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9949A">
      <w:pPr>
        <w:pStyle w:val="21"/>
        <w:adjustRightInd w:val="0"/>
        <w:snapToGrid w:val="0"/>
        <w:spacing w:line="240" w:lineRule="atLeast"/>
        <w:jc w:val="center"/>
        <w:rPr>
          <w:rFonts w:hAnsi="宋体"/>
        </w:rPr>
      </w:pPr>
    </w:p>
    <w:p w14:paraId="2A44FD1C">
      <w:pPr>
        <w:pStyle w:val="21"/>
        <w:adjustRightInd w:val="0"/>
        <w:snapToGrid w:val="0"/>
        <w:spacing w:line="240" w:lineRule="atLeast"/>
        <w:jc w:val="center"/>
        <w:rPr>
          <w:rFonts w:hAnsi="宋体"/>
        </w:rPr>
      </w:pPr>
    </w:p>
    <w:p w14:paraId="25095856">
      <w:pPr>
        <w:pStyle w:val="21"/>
        <w:adjustRightInd w:val="0"/>
        <w:snapToGrid w:val="0"/>
        <w:spacing w:line="240" w:lineRule="atLeast"/>
        <w:jc w:val="center"/>
        <w:rPr>
          <w:rFonts w:hAnsi="宋体"/>
        </w:rPr>
      </w:pPr>
    </w:p>
    <w:p w14:paraId="1A78AC41">
      <w:pPr>
        <w:pStyle w:val="21"/>
        <w:adjustRightInd w:val="0"/>
        <w:snapToGrid w:val="0"/>
        <w:spacing w:line="240" w:lineRule="atLeast"/>
        <w:jc w:val="center"/>
        <w:rPr>
          <w:rFonts w:hAnsi="宋体"/>
        </w:rPr>
      </w:pPr>
    </w:p>
    <w:p w14:paraId="6B030408">
      <w:pPr>
        <w:pStyle w:val="21"/>
        <w:adjustRightInd w:val="0"/>
        <w:snapToGrid w:val="0"/>
        <w:spacing w:line="240" w:lineRule="atLeast"/>
        <w:ind w:left="840"/>
        <w:jc w:val="center"/>
        <w:rPr>
          <w:rFonts w:hint="default" w:ascii="方正小标宋简体" w:hAnsi="方正小标宋简体" w:eastAsia="方正小标宋简体"/>
          <w:b w:val="0"/>
          <w:bCs w:val="0"/>
          <w:sz w:val="84"/>
          <w:szCs w:val="84"/>
          <w:lang w:val="en-US" w:eastAsia="zh-CN"/>
        </w:rPr>
      </w:pPr>
      <w:r>
        <w:rPr>
          <w:rFonts w:hint="eastAsia" w:ascii="方正小标宋简体" w:hAnsi="方正小标宋简体" w:eastAsia="方正小标宋简体"/>
          <w:b w:val="0"/>
          <w:bCs w:val="0"/>
          <w:sz w:val="84"/>
          <w:szCs w:val="84"/>
        </w:rPr>
        <w:t>政府采购</w:t>
      </w:r>
      <w:r>
        <w:rPr>
          <w:rFonts w:hint="eastAsia" w:ascii="方正小标宋简体" w:hAnsi="方正小标宋简体" w:eastAsia="方正小标宋简体"/>
          <w:b w:val="0"/>
          <w:bCs w:val="0"/>
          <w:sz w:val="84"/>
          <w:szCs w:val="84"/>
          <w:lang w:val="en-US" w:eastAsia="zh-CN"/>
        </w:rPr>
        <w:t xml:space="preserve">    </w:t>
      </w:r>
    </w:p>
    <w:p w14:paraId="4AA2BF83">
      <w:pPr>
        <w:pStyle w:val="21"/>
        <w:adjustRightInd w:val="0"/>
        <w:snapToGrid w:val="0"/>
        <w:spacing w:line="240" w:lineRule="atLeast"/>
        <w:ind w:left="840"/>
        <w:jc w:val="center"/>
        <w:rPr>
          <w:rFonts w:ascii="方正小标宋简体" w:hAnsi="方正小标宋简体" w:eastAsia="方正小标宋简体"/>
          <w:b/>
          <w:bCs/>
          <w:sz w:val="84"/>
          <w:szCs w:val="84"/>
        </w:rPr>
      </w:pPr>
      <w:r>
        <w:rPr>
          <w:rFonts w:hint="eastAsia" w:ascii="方正小标宋简体" w:hAnsi="方正小标宋简体" w:eastAsia="方正小标宋简体"/>
          <w:b w:val="0"/>
          <w:bCs w:val="0"/>
          <w:sz w:val="84"/>
          <w:szCs w:val="84"/>
          <w:lang w:eastAsia="zh-CN"/>
        </w:rPr>
        <w:t>服务</w:t>
      </w:r>
      <w:r>
        <w:rPr>
          <w:rFonts w:hint="eastAsia" w:ascii="方正小标宋简体" w:hAnsi="方正小标宋简体" w:eastAsia="方正小标宋简体"/>
          <w:b w:val="0"/>
          <w:bCs w:val="0"/>
          <w:sz w:val="84"/>
          <w:szCs w:val="84"/>
        </w:rPr>
        <w:t>项目招标文件</w:t>
      </w:r>
    </w:p>
    <w:p w14:paraId="0A9D83CE">
      <w:pPr>
        <w:pStyle w:val="21"/>
        <w:adjustRightInd w:val="0"/>
        <w:snapToGrid w:val="0"/>
        <w:spacing w:line="240" w:lineRule="atLeast"/>
        <w:jc w:val="center"/>
        <w:rPr>
          <w:rFonts w:ascii="华文中宋" w:hAnsi="华文中宋" w:eastAsia="华文中宋"/>
          <w:b/>
          <w:bCs/>
          <w:sz w:val="44"/>
          <w:szCs w:val="44"/>
        </w:rPr>
      </w:pPr>
    </w:p>
    <w:p w14:paraId="3C25A0B7">
      <w:pPr>
        <w:pStyle w:val="21"/>
        <w:adjustRightInd w:val="0"/>
        <w:snapToGrid w:val="0"/>
        <w:spacing w:line="240" w:lineRule="atLeast"/>
        <w:jc w:val="center"/>
        <w:rPr>
          <w:rFonts w:ascii="方正小标宋简体" w:hAnsi="方正小标宋简体" w:eastAsia="方正小标宋简体"/>
          <w:b/>
          <w:bCs/>
          <w:sz w:val="44"/>
          <w:szCs w:val="44"/>
        </w:rPr>
      </w:pPr>
      <w:r>
        <w:rPr>
          <w:rFonts w:hint="eastAsia" w:ascii="方正小标宋简体" w:hAnsi="方正小标宋简体" w:eastAsia="方正小标宋简体"/>
          <w:b/>
          <w:bCs/>
          <w:sz w:val="44"/>
          <w:szCs w:val="44"/>
        </w:rPr>
        <w:t>（电子标）</w:t>
      </w:r>
    </w:p>
    <w:p w14:paraId="1A017D89">
      <w:pPr>
        <w:pStyle w:val="21"/>
        <w:adjustRightInd w:val="0"/>
        <w:snapToGrid w:val="0"/>
        <w:spacing w:line="240" w:lineRule="atLeast"/>
        <w:jc w:val="center"/>
        <w:rPr>
          <w:rFonts w:ascii="华文中宋" w:hAnsi="华文中宋" w:eastAsia="华文中宋"/>
          <w:bCs/>
        </w:rPr>
      </w:pPr>
    </w:p>
    <w:p w14:paraId="64BD0DDA">
      <w:pPr>
        <w:adjustRightInd w:val="0"/>
        <w:snapToGrid w:val="0"/>
        <w:spacing w:line="360" w:lineRule="auto"/>
        <w:ind w:firstLine="1124" w:firstLineChars="350"/>
        <w:rPr>
          <w:rFonts w:hAnsi="宋体"/>
          <w:b/>
          <w:sz w:val="32"/>
          <w:szCs w:val="32"/>
        </w:rPr>
      </w:pPr>
    </w:p>
    <w:p w14:paraId="602EA6CE">
      <w:pPr>
        <w:adjustRightInd w:val="0"/>
        <w:snapToGrid w:val="0"/>
        <w:spacing w:line="360" w:lineRule="auto"/>
        <w:ind w:firstLine="1124" w:firstLineChars="350"/>
        <w:rPr>
          <w:rFonts w:hAnsi="宋体"/>
          <w:b/>
          <w:sz w:val="32"/>
          <w:szCs w:val="32"/>
        </w:rPr>
      </w:pPr>
    </w:p>
    <w:p w14:paraId="39DFFBCE">
      <w:pPr>
        <w:adjustRightInd w:val="0"/>
        <w:snapToGrid w:val="0"/>
        <w:spacing w:line="360" w:lineRule="auto"/>
        <w:ind w:firstLine="1124" w:firstLineChars="350"/>
        <w:rPr>
          <w:rFonts w:hAnsi="宋体"/>
          <w:b/>
          <w:sz w:val="32"/>
          <w:szCs w:val="32"/>
        </w:rPr>
      </w:pPr>
    </w:p>
    <w:p w14:paraId="22EC37C3">
      <w:pPr>
        <w:adjustRightInd w:val="0"/>
        <w:snapToGrid w:val="0"/>
        <w:spacing w:line="360" w:lineRule="auto"/>
        <w:ind w:firstLine="1124" w:firstLineChars="350"/>
        <w:rPr>
          <w:rFonts w:hAnsi="宋体"/>
          <w:b/>
          <w:sz w:val="32"/>
          <w:szCs w:val="32"/>
        </w:rPr>
      </w:pPr>
    </w:p>
    <w:p w14:paraId="3ADF7AE8">
      <w:pPr>
        <w:adjustRightInd w:val="0"/>
        <w:snapToGrid w:val="0"/>
        <w:spacing w:line="360" w:lineRule="auto"/>
        <w:ind w:left="3686" w:leftChars="608" w:hanging="2409" w:hangingChars="750"/>
        <w:rPr>
          <w:rFonts w:hint="eastAsia" w:hAnsi="宋体"/>
          <w:b/>
          <w:sz w:val="32"/>
          <w:szCs w:val="32"/>
          <w:lang w:eastAsia="zh-CN"/>
        </w:rPr>
      </w:pPr>
      <w:r>
        <w:rPr>
          <w:rFonts w:hint="eastAsia" w:hAnsi="宋体"/>
          <w:b/>
          <w:sz w:val="32"/>
          <w:szCs w:val="32"/>
        </w:rPr>
        <w:t>采购项目名称：</w:t>
      </w:r>
      <w:r>
        <w:rPr>
          <w:rFonts w:hint="eastAsia" w:hAnsi="宋体"/>
          <w:b/>
          <w:w w:val="100"/>
          <w:sz w:val="32"/>
          <w:szCs w:val="32"/>
          <w:u w:val="thick"/>
          <w:lang w:eastAsia="zh-CN"/>
        </w:rPr>
        <w:t>湘西自治州人民医院彩色超声诊断系统维保项目</w:t>
      </w:r>
    </w:p>
    <w:p w14:paraId="32DDCF02">
      <w:pPr>
        <w:adjustRightInd w:val="0"/>
        <w:snapToGrid w:val="0"/>
        <w:spacing w:line="360" w:lineRule="auto"/>
        <w:ind w:firstLine="1124" w:firstLineChars="350"/>
        <w:rPr>
          <w:rFonts w:hint="eastAsia" w:eastAsia="宋体"/>
          <w:b/>
          <w:sz w:val="32"/>
          <w:szCs w:val="32"/>
          <w:lang w:eastAsia="zh-CN"/>
        </w:rPr>
      </w:pPr>
      <w:r>
        <w:rPr>
          <w:rFonts w:hint="eastAsia" w:hAnsi="宋体"/>
          <w:b/>
          <w:sz w:val="32"/>
          <w:szCs w:val="32"/>
        </w:rPr>
        <w:t>政府采购编号：</w:t>
      </w:r>
      <w:r>
        <w:rPr>
          <w:rFonts w:hint="eastAsia" w:hAnsi="宋体"/>
          <w:b/>
          <w:sz w:val="32"/>
          <w:szCs w:val="32"/>
          <w:u w:val="single"/>
          <w:lang w:eastAsia="zh-CN"/>
        </w:rPr>
        <w:t>州财采计【2025】000044号</w:t>
      </w:r>
    </w:p>
    <w:p w14:paraId="5B7A609F">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采购代理编号：</w:t>
      </w:r>
      <w:r>
        <w:rPr>
          <w:rFonts w:hint="eastAsia"/>
          <w:b/>
          <w:sz w:val="32"/>
          <w:szCs w:val="32"/>
          <w:u w:val="single"/>
          <w:lang w:eastAsia="zh-CN"/>
        </w:rPr>
        <w:t>HNYSXX2025011</w:t>
      </w:r>
    </w:p>
    <w:p w14:paraId="187DE6C7">
      <w:pPr>
        <w:adjustRightInd w:val="0"/>
        <w:snapToGrid w:val="0"/>
        <w:spacing w:line="360" w:lineRule="auto"/>
        <w:ind w:firstLine="1124" w:firstLineChars="350"/>
        <w:rPr>
          <w:rFonts w:hAnsi="宋体"/>
          <w:b/>
          <w:sz w:val="32"/>
          <w:szCs w:val="32"/>
        </w:rPr>
      </w:pPr>
      <w:r>
        <w:rPr>
          <w:rFonts w:hint="eastAsia" w:hAnsi="宋体"/>
          <w:b/>
          <w:sz w:val="32"/>
          <w:szCs w:val="32"/>
        </w:rPr>
        <w:t>采   购   人：</w:t>
      </w:r>
      <w:r>
        <w:rPr>
          <w:rFonts w:hint="eastAsia" w:hAnsi="宋体"/>
          <w:b/>
          <w:sz w:val="32"/>
          <w:szCs w:val="32"/>
          <w:u w:val="thick"/>
        </w:rPr>
        <w:t>湘西土家族苗族自治州人民医院</w:t>
      </w:r>
    </w:p>
    <w:p w14:paraId="02445405">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Theme="minorEastAsia" w:hAnsiTheme="minorEastAsia" w:eastAsiaTheme="minorEastAsia"/>
          <w:b/>
          <w:sz w:val="32"/>
          <w:szCs w:val="21"/>
          <w:u w:val="thick"/>
        </w:rPr>
        <w:t>湖南永晟电子商务有限公司湘西分公司</w:t>
      </w:r>
    </w:p>
    <w:p w14:paraId="5B9681B9">
      <w:pPr>
        <w:pStyle w:val="21"/>
        <w:adjustRightInd w:val="0"/>
        <w:snapToGrid w:val="0"/>
        <w:spacing w:line="240" w:lineRule="atLeast"/>
        <w:jc w:val="center"/>
        <w:rPr>
          <w:rFonts w:hAnsi="宋体"/>
          <w:bCs/>
          <w:sz w:val="32"/>
          <w:szCs w:val="32"/>
        </w:rPr>
      </w:pPr>
    </w:p>
    <w:p w14:paraId="5F4B26DD">
      <w:pPr>
        <w:pStyle w:val="21"/>
        <w:adjustRightInd w:val="0"/>
        <w:snapToGrid w:val="0"/>
        <w:spacing w:line="240" w:lineRule="atLeast"/>
        <w:jc w:val="center"/>
        <w:rPr>
          <w:rFonts w:hAnsi="宋体"/>
          <w:bCs/>
          <w:sz w:val="32"/>
          <w:szCs w:val="32"/>
        </w:rPr>
      </w:pPr>
    </w:p>
    <w:p w14:paraId="74236A9A">
      <w:pPr>
        <w:pStyle w:val="21"/>
        <w:adjustRightInd w:val="0"/>
        <w:snapToGrid w:val="0"/>
        <w:spacing w:line="240" w:lineRule="atLeast"/>
        <w:jc w:val="center"/>
        <w:rPr>
          <w:rFonts w:hAnsi="宋体"/>
          <w:bCs/>
          <w:sz w:val="32"/>
          <w:szCs w:val="32"/>
        </w:rPr>
      </w:pPr>
    </w:p>
    <w:p w14:paraId="6508E16A">
      <w:pPr>
        <w:pStyle w:val="21"/>
        <w:adjustRightInd w:val="0"/>
        <w:snapToGrid w:val="0"/>
        <w:spacing w:line="240" w:lineRule="atLeast"/>
        <w:jc w:val="center"/>
        <w:rPr>
          <w:rFonts w:ascii="Times New Roman" w:hAnsi="Times New Roman" w:cs="Times New Roman"/>
          <w:b/>
          <w:bCs/>
          <w:sz w:val="32"/>
          <w:szCs w:val="32"/>
        </w:rPr>
      </w:pPr>
      <w:r>
        <w:rPr>
          <w:rFonts w:ascii="Times New Roman" w:hAnsi="Times New Roman" w:cs="Times New Roman"/>
          <w:b/>
          <w:sz w:val="32"/>
        </w:rPr>
        <w:t>202</w:t>
      </w:r>
      <w:r>
        <w:rPr>
          <w:rFonts w:hint="eastAsia" w:ascii="Times New Roman" w:hAnsi="Times New Roman" w:cs="Times New Roman"/>
          <w:b/>
          <w:sz w:val="32"/>
          <w:lang w:val="en-US" w:eastAsia="zh-CN"/>
        </w:rPr>
        <w:t>5</w:t>
      </w:r>
      <w:r>
        <w:rPr>
          <w:rFonts w:ascii="Times New Roman" w:hAnsi="宋体" w:cs="Times New Roman"/>
          <w:b/>
          <w:sz w:val="32"/>
        </w:rPr>
        <w:t>年</w:t>
      </w:r>
      <w:r>
        <w:rPr>
          <w:rFonts w:hint="eastAsia" w:ascii="Times New Roman" w:hAnsi="Times New Roman" w:cs="Times New Roman"/>
          <w:b/>
          <w:sz w:val="32"/>
          <w:lang w:val="en-US" w:eastAsia="zh-CN"/>
        </w:rPr>
        <w:t>7</w:t>
      </w:r>
      <w:r>
        <w:rPr>
          <w:rFonts w:ascii="Times New Roman" w:hAnsi="宋体" w:cs="Times New Roman"/>
          <w:b/>
          <w:sz w:val="32"/>
        </w:rPr>
        <w:t>月</w:t>
      </w:r>
    </w:p>
    <w:p w14:paraId="0A26256A">
      <w:pPr>
        <w:pStyle w:val="21"/>
        <w:adjustRightInd w:val="0"/>
        <w:snapToGrid w:val="0"/>
        <w:spacing w:line="240" w:lineRule="atLeast"/>
        <w:jc w:val="center"/>
        <w:rPr>
          <w:rFonts w:hAnsi="宋体"/>
          <w:b/>
          <w:bCs/>
          <w:sz w:val="32"/>
          <w:szCs w:val="32"/>
        </w:rPr>
        <w:sectPr>
          <w:headerReference r:id="rId3" w:type="default"/>
          <w:pgSz w:w="11906" w:h="16838"/>
          <w:pgMar w:top="1440" w:right="1588" w:bottom="1440" w:left="1588" w:header="851" w:footer="992" w:gutter="0"/>
          <w:cols w:space="720" w:num="1"/>
          <w:docGrid w:type="lines" w:linePitch="312" w:charSpace="0"/>
        </w:sectPr>
      </w:pPr>
    </w:p>
    <w:p w14:paraId="5080E663">
      <w:pPr>
        <w:pStyle w:val="21"/>
        <w:adjustRightInd w:val="0"/>
        <w:snapToGrid w:val="0"/>
        <w:spacing w:line="360" w:lineRule="auto"/>
        <w:jc w:val="center"/>
        <w:rPr>
          <w:rFonts w:asciiTheme="minorEastAsia" w:hAnsiTheme="minorEastAsia" w:eastAsiaTheme="minorEastAsia"/>
          <w:b/>
          <w:spacing w:val="160"/>
          <w:sz w:val="36"/>
          <w:szCs w:val="36"/>
        </w:rPr>
      </w:pPr>
      <w:r>
        <w:rPr>
          <w:rFonts w:hint="eastAsia" w:asciiTheme="minorEastAsia" w:hAnsiTheme="minorEastAsia" w:eastAsiaTheme="minorEastAsia"/>
          <w:b/>
          <w:spacing w:val="160"/>
          <w:sz w:val="36"/>
          <w:szCs w:val="36"/>
        </w:rPr>
        <w:t>目录</w:t>
      </w:r>
    </w:p>
    <w:p w14:paraId="219F83C0">
      <w:pPr>
        <w:pStyle w:val="28"/>
        <w:tabs>
          <w:tab w:val="right" w:leader="dot" w:pos="8834"/>
        </w:tabs>
        <w:rPr>
          <w:rFonts w:asciiTheme="minorHAnsi" w:hAnsiTheme="minorHAnsi" w:cstheme="minorBidi"/>
          <w:b w:val="0"/>
          <w:sz w:val="21"/>
          <w:szCs w:val="22"/>
        </w:rPr>
      </w:pPr>
      <w:r>
        <w:rPr>
          <w:rStyle w:val="44"/>
          <w:b w:val="0"/>
        </w:rPr>
        <w:fldChar w:fldCharType="begin"/>
      </w:r>
      <w:r>
        <w:rPr>
          <w:rStyle w:val="44"/>
          <w:b w:val="0"/>
        </w:rPr>
        <w:instrText xml:space="preserve"> TOC \o "1-4" \h \z \u </w:instrText>
      </w:r>
      <w:r>
        <w:rPr>
          <w:rStyle w:val="44"/>
          <w:b w:val="0"/>
        </w:rPr>
        <w:fldChar w:fldCharType="separate"/>
      </w:r>
      <w:r>
        <w:fldChar w:fldCharType="begin"/>
      </w:r>
      <w:r>
        <w:instrText xml:space="preserve"> HYPERLINK \l "_Toc29913893" </w:instrText>
      </w:r>
      <w:r>
        <w:fldChar w:fldCharType="separate"/>
      </w:r>
      <w:r>
        <w:rPr>
          <w:rStyle w:val="47"/>
          <w:rFonts w:hint="eastAsia" w:ascii="黑体" w:hAnsi="华文中宋" w:eastAsia="黑体"/>
        </w:rPr>
        <w:t>第一章投标邀请</w:t>
      </w:r>
      <w:r>
        <w:tab/>
      </w:r>
      <w:r>
        <w:rPr>
          <w:rFonts w:ascii="Times New Roman" w:hAnsi="Times New Roman"/>
          <w:sz w:val="21"/>
          <w:szCs w:val="24"/>
        </w:rPr>
        <w:fldChar w:fldCharType="begin"/>
      </w:r>
      <w:r>
        <w:rPr>
          <w:rFonts w:ascii="Times New Roman" w:hAnsi="Times New Roman"/>
          <w:sz w:val="21"/>
          <w:szCs w:val="24"/>
        </w:rPr>
        <w:instrText xml:space="preserve"> PAGEREF _Toc29913893 \h </w:instrText>
      </w:r>
      <w:r>
        <w:rPr>
          <w:rFonts w:ascii="Times New Roman" w:hAnsi="Times New Roman"/>
          <w:sz w:val="21"/>
          <w:szCs w:val="24"/>
        </w:rPr>
        <w:fldChar w:fldCharType="separate"/>
      </w:r>
      <w:r>
        <w:rPr>
          <w:rFonts w:ascii="Times New Roman" w:hAnsi="Times New Roman"/>
          <w:sz w:val="21"/>
          <w:szCs w:val="24"/>
        </w:rPr>
        <w:t>1</w:t>
      </w:r>
      <w:r>
        <w:rPr>
          <w:rFonts w:ascii="Times New Roman" w:hAnsi="Times New Roman"/>
          <w:sz w:val="21"/>
          <w:szCs w:val="24"/>
        </w:rPr>
        <w:fldChar w:fldCharType="end"/>
      </w:r>
      <w:r>
        <w:rPr>
          <w:rFonts w:ascii="Times New Roman" w:hAnsi="Times New Roman"/>
          <w:sz w:val="21"/>
          <w:szCs w:val="24"/>
        </w:rPr>
        <w:fldChar w:fldCharType="end"/>
      </w:r>
    </w:p>
    <w:p w14:paraId="5E28BA57">
      <w:pPr>
        <w:pStyle w:val="28"/>
        <w:tabs>
          <w:tab w:val="right" w:leader="dot" w:pos="8834"/>
        </w:tabs>
        <w:rPr>
          <w:rFonts w:asciiTheme="minorHAnsi" w:hAnsiTheme="minorHAnsi" w:cstheme="minorBidi"/>
          <w:b w:val="0"/>
          <w:sz w:val="21"/>
          <w:szCs w:val="22"/>
        </w:rPr>
      </w:pPr>
      <w:r>
        <w:fldChar w:fldCharType="begin"/>
      </w:r>
      <w:r>
        <w:instrText xml:space="preserve"> HYPERLINK \l "_Toc29913894" </w:instrText>
      </w:r>
      <w:r>
        <w:fldChar w:fldCharType="separate"/>
      </w:r>
      <w:r>
        <w:rPr>
          <w:rStyle w:val="47"/>
          <w:rFonts w:hint="eastAsia" w:ascii="黑体" w:hAnsi="华文中宋" w:eastAsia="黑体"/>
        </w:rPr>
        <w:t>第二章投标须知</w:t>
      </w:r>
      <w:r>
        <w:tab/>
      </w:r>
      <w:r>
        <w:rPr>
          <w:rFonts w:ascii="Times New Roman" w:hAnsi="Times New Roman"/>
          <w:sz w:val="21"/>
          <w:szCs w:val="24"/>
        </w:rPr>
        <w:fldChar w:fldCharType="begin"/>
      </w:r>
      <w:r>
        <w:rPr>
          <w:rFonts w:ascii="Times New Roman" w:hAnsi="Times New Roman"/>
          <w:sz w:val="21"/>
          <w:szCs w:val="24"/>
        </w:rPr>
        <w:instrText xml:space="preserve"> PAGEREF _Toc29913894 \h </w:instrText>
      </w:r>
      <w:r>
        <w:rPr>
          <w:rFonts w:ascii="Times New Roman" w:hAnsi="Times New Roman"/>
          <w:sz w:val="21"/>
          <w:szCs w:val="24"/>
        </w:rPr>
        <w:fldChar w:fldCharType="separate"/>
      </w:r>
      <w:r>
        <w:rPr>
          <w:rFonts w:ascii="Times New Roman" w:hAnsi="Times New Roman"/>
          <w:sz w:val="21"/>
          <w:szCs w:val="24"/>
        </w:rPr>
        <w:t>4</w:t>
      </w:r>
      <w:r>
        <w:rPr>
          <w:rFonts w:ascii="Times New Roman" w:hAnsi="Times New Roman"/>
          <w:sz w:val="21"/>
          <w:szCs w:val="24"/>
        </w:rPr>
        <w:fldChar w:fldCharType="end"/>
      </w:r>
      <w:r>
        <w:rPr>
          <w:rFonts w:ascii="Times New Roman" w:hAnsi="Times New Roman"/>
          <w:sz w:val="21"/>
          <w:szCs w:val="24"/>
        </w:rPr>
        <w:fldChar w:fldCharType="end"/>
      </w:r>
    </w:p>
    <w:p w14:paraId="7872FB89">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"_Toc29913895" </w:instrText>
      </w:r>
      <w:r>
        <w:fldChar w:fldCharType="separate"/>
      </w:r>
      <w:r>
        <w:rPr>
          <w:rStyle w:val="47"/>
          <w:rFonts w:hint="eastAsia" w:ascii="黑体" w:hAnsi="华文中宋" w:eastAsia="黑体"/>
        </w:rPr>
        <w:t>第一节投标须知前附表</w:t>
      </w:r>
      <w:r>
        <w:tab/>
      </w:r>
      <w:r>
        <w:fldChar w:fldCharType="begin"/>
      </w:r>
      <w:r>
        <w:instrText xml:space="preserve"> PAGEREF _Toc29913895 \h </w:instrText>
      </w:r>
      <w:r>
        <w:fldChar w:fldCharType="separate"/>
      </w:r>
      <w:r>
        <w:t>4</w:t>
      </w:r>
      <w:r>
        <w:fldChar w:fldCharType="end"/>
      </w:r>
      <w:r>
        <w:fldChar w:fldCharType="end"/>
      </w:r>
    </w:p>
    <w:p w14:paraId="5B1E593B">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"_Toc29913896" </w:instrText>
      </w:r>
      <w:r>
        <w:fldChar w:fldCharType="separate"/>
      </w:r>
      <w:r>
        <w:rPr>
          <w:rStyle w:val="47"/>
          <w:rFonts w:hint="eastAsia" w:ascii="黑体" w:hAnsi="黑体" w:eastAsia="黑体"/>
        </w:rPr>
        <w:t>第二节投标须知</w:t>
      </w:r>
      <w:r>
        <w:tab/>
      </w:r>
      <w:r>
        <w:fldChar w:fldCharType="begin"/>
      </w:r>
      <w:r>
        <w:instrText xml:space="preserve"> PAGEREF _Toc29913896 \h </w:instrText>
      </w:r>
      <w:r>
        <w:fldChar w:fldCharType="separate"/>
      </w:r>
      <w:r>
        <w:t>7</w:t>
      </w:r>
      <w:r>
        <w:fldChar w:fldCharType="end"/>
      </w:r>
      <w:r>
        <w:fldChar w:fldCharType="end"/>
      </w:r>
    </w:p>
    <w:p w14:paraId="45B7B6DC">
      <w:pPr>
        <w:pStyle w:val="20"/>
        <w:tabs>
          <w:tab w:val="right" w:leader="dot" w:pos="8834"/>
        </w:tabs>
        <w:ind w:left="840"/>
        <w:rPr>
          <w:rFonts w:asciiTheme="minorHAnsi" w:hAnsiTheme="minorHAnsi" w:cstheme="minorBidi"/>
          <w:b w:val="0"/>
          <w:szCs w:val="22"/>
        </w:rPr>
      </w:pPr>
      <w:r>
        <w:fldChar w:fldCharType="begin"/>
      </w:r>
      <w:r>
        <w:instrText xml:space="preserve"> HYPERLINK \l "_Toc29913897" </w:instrText>
      </w:r>
      <w:r>
        <w:fldChar w:fldCharType="separate"/>
      </w:r>
      <w:r>
        <w:rPr>
          <w:rStyle w:val="47"/>
          <w:rFonts w:hint="eastAsia" w:ascii="黑体" w:hAnsi="黑体" w:eastAsia="黑体"/>
        </w:rPr>
        <w:t>一、总则</w:t>
      </w:r>
      <w:r>
        <w:tab/>
      </w:r>
      <w:r>
        <w:fldChar w:fldCharType="begin"/>
      </w:r>
      <w:r>
        <w:instrText xml:space="preserve"> PAGEREF _Toc29913897 \h </w:instrText>
      </w:r>
      <w:r>
        <w:fldChar w:fldCharType="separate"/>
      </w:r>
      <w:r>
        <w:t>7</w:t>
      </w:r>
      <w:r>
        <w:fldChar w:fldCharType="end"/>
      </w:r>
      <w:r>
        <w:fldChar w:fldCharType="end"/>
      </w:r>
    </w:p>
    <w:p w14:paraId="08CBC1C2">
      <w:pPr>
        <w:pStyle w:val="20"/>
        <w:tabs>
          <w:tab w:val="right" w:leader="dot" w:pos="8834"/>
        </w:tabs>
        <w:ind w:left="840"/>
        <w:rPr>
          <w:rFonts w:asciiTheme="minorHAnsi" w:hAnsiTheme="minorHAnsi" w:cstheme="minorBidi"/>
          <w:b w:val="0"/>
          <w:szCs w:val="22"/>
        </w:rPr>
      </w:pPr>
      <w:r>
        <w:fldChar w:fldCharType="begin"/>
      </w:r>
      <w:r>
        <w:instrText xml:space="preserve"> HYPERLINK \l "_Toc29913898" </w:instrText>
      </w:r>
      <w:r>
        <w:fldChar w:fldCharType="separate"/>
      </w:r>
      <w:r>
        <w:rPr>
          <w:rStyle w:val="47"/>
          <w:rFonts w:hint="eastAsia" w:ascii="黑体" w:hAnsi="黑体" w:eastAsia="黑体"/>
        </w:rPr>
        <w:t>二、招标文件</w:t>
      </w:r>
      <w:r>
        <w:tab/>
      </w:r>
      <w:r>
        <w:fldChar w:fldCharType="begin"/>
      </w:r>
      <w:r>
        <w:instrText xml:space="preserve"> PAGEREF _Toc29913898 \h </w:instrText>
      </w:r>
      <w:r>
        <w:fldChar w:fldCharType="separate"/>
      </w:r>
      <w:r>
        <w:t>8</w:t>
      </w:r>
      <w:r>
        <w:fldChar w:fldCharType="end"/>
      </w:r>
      <w:r>
        <w:fldChar w:fldCharType="end"/>
      </w:r>
    </w:p>
    <w:p w14:paraId="7C92F177">
      <w:pPr>
        <w:pStyle w:val="20"/>
        <w:tabs>
          <w:tab w:val="right" w:leader="dot" w:pos="8834"/>
        </w:tabs>
        <w:ind w:left="840"/>
        <w:rPr>
          <w:rFonts w:asciiTheme="minorHAnsi" w:hAnsiTheme="minorHAnsi" w:cstheme="minorBidi"/>
          <w:b w:val="0"/>
          <w:szCs w:val="22"/>
        </w:rPr>
      </w:pPr>
      <w:r>
        <w:fldChar w:fldCharType="begin"/>
      </w:r>
      <w:r>
        <w:instrText xml:space="preserve"> HYPERLINK \l "_Toc29913899" </w:instrText>
      </w:r>
      <w:r>
        <w:fldChar w:fldCharType="separate"/>
      </w:r>
      <w:r>
        <w:rPr>
          <w:rStyle w:val="47"/>
          <w:rFonts w:hint="eastAsia" w:ascii="黑体" w:hAnsi="黑体" w:eastAsia="黑体"/>
        </w:rPr>
        <w:t>三、投标文件</w:t>
      </w:r>
      <w:r>
        <w:tab/>
      </w:r>
      <w:r>
        <w:fldChar w:fldCharType="begin"/>
      </w:r>
      <w:r>
        <w:instrText xml:space="preserve"> PAGEREF _Toc29913899 \h </w:instrText>
      </w:r>
      <w:r>
        <w:fldChar w:fldCharType="separate"/>
      </w:r>
      <w:r>
        <w:t>9</w:t>
      </w:r>
      <w:r>
        <w:fldChar w:fldCharType="end"/>
      </w:r>
      <w:r>
        <w:fldChar w:fldCharType="end"/>
      </w:r>
    </w:p>
    <w:p w14:paraId="63587B51">
      <w:pPr>
        <w:pStyle w:val="20"/>
        <w:tabs>
          <w:tab w:val="right" w:leader="dot" w:pos="8834"/>
        </w:tabs>
        <w:ind w:left="840"/>
        <w:rPr>
          <w:rFonts w:asciiTheme="minorHAnsi" w:hAnsiTheme="minorHAnsi" w:cstheme="minorBidi"/>
          <w:b w:val="0"/>
          <w:szCs w:val="22"/>
        </w:rPr>
      </w:pPr>
      <w:r>
        <w:fldChar w:fldCharType="begin"/>
      </w:r>
      <w:r>
        <w:instrText xml:space="preserve"> HYPERLINK \l "_Toc29913900" </w:instrText>
      </w:r>
      <w:r>
        <w:fldChar w:fldCharType="separate"/>
      </w:r>
      <w:r>
        <w:rPr>
          <w:rStyle w:val="47"/>
          <w:rFonts w:hint="eastAsia" w:ascii="黑体" w:hAnsi="黑体" w:eastAsia="黑体"/>
        </w:rPr>
        <w:t>四、投标</w:t>
      </w:r>
      <w:r>
        <w:tab/>
      </w:r>
      <w:r>
        <w:fldChar w:fldCharType="begin"/>
      </w:r>
      <w:r>
        <w:instrText xml:space="preserve"> PAGEREF _Toc29913900 \h </w:instrText>
      </w:r>
      <w:r>
        <w:fldChar w:fldCharType="separate"/>
      </w:r>
      <w:r>
        <w:t>13</w:t>
      </w:r>
      <w:r>
        <w:fldChar w:fldCharType="end"/>
      </w:r>
      <w:r>
        <w:fldChar w:fldCharType="end"/>
      </w:r>
    </w:p>
    <w:p w14:paraId="01BF3DF3">
      <w:pPr>
        <w:pStyle w:val="20"/>
        <w:tabs>
          <w:tab w:val="right" w:leader="dot" w:pos="8834"/>
        </w:tabs>
        <w:ind w:left="840"/>
        <w:rPr>
          <w:rFonts w:asciiTheme="minorHAnsi" w:hAnsiTheme="minorHAnsi" w:cstheme="minorBidi"/>
          <w:b w:val="0"/>
          <w:szCs w:val="22"/>
        </w:rPr>
      </w:pPr>
      <w:r>
        <w:fldChar w:fldCharType="begin"/>
      </w:r>
      <w:r>
        <w:instrText xml:space="preserve"> HYPERLINK \l "_Toc29913901" </w:instrText>
      </w:r>
      <w:r>
        <w:fldChar w:fldCharType="separate"/>
      </w:r>
      <w:r>
        <w:rPr>
          <w:rStyle w:val="47"/>
          <w:rFonts w:hint="eastAsia" w:ascii="黑体" w:hAnsi="黑体" w:eastAsia="黑体"/>
        </w:rPr>
        <w:t>五、开标，资格审查和评标</w:t>
      </w:r>
      <w:r>
        <w:tab/>
      </w:r>
      <w:r>
        <w:fldChar w:fldCharType="begin"/>
      </w:r>
      <w:r>
        <w:instrText xml:space="preserve"> PAGEREF _Toc29913901 \h </w:instrText>
      </w:r>
      <w:r>
        <w:fldChar w:fldCharType="separate"/>
      </w:r>
      <w:r>
        <w:t>14</w:t>
      </w:r>
      <w:r>
        <w:fldChar w:fldCharType="end"/>
      </w:r>
      <w:r>
        <w:fldChar w:fldCharType="end"/>
      </w:r>
    </w:p>
    <w:p w14:paraId="129EBF30">
      <w:pPr>
        <w:pStyle w:val="20"/>
        <w:tabs>
          <w:tab w:val="right" w:leader="dot" w:pos="8834"/>
        </w:tabs>
        <w:ind w:left="840"/>
        <w:rPr>
          <w:rFonts w:asciiTheme="minorHAnsi" w:hAnsiTheme="minorHAnsi" w:cstheme="minorBidi"/>
          <w:b w:val="0"/>
          <w:szCs w:val="22"/>
        </w:rPr>
      </w:pPr>
      <w:r>
        <w:fldChar w:fldCharType="begin"/>
      </w:r>
      <w:r>
        <w:instrText xml:space="preserve"> HYPERLINK \l "_Toc29913902" </w:instrText>
      </w:r>
      <w:r>
        <w:fldChar w:fldCharType="separate"/>
      </w:r>
      <w:r>
        <w:rPr>
          <w:rStyle w:val="47"/>
          <w:rFonts w:hint="eastAsia" w:ascii="黑体" w:hAnsi="黑体" w:eastAsia="黑体"/>
        </w:rPr>
        <w:t>六、中标信息公布</w:t>
      </w:r>
      <w:r>
        <w:tab/>
      </w:r>
      <w:r>
        <w:fldChar w:fldCharType="begin"/>
      </w:r>
      <w:r>
        <w:instrText xml:space="preserve"> PAGEREF _Toc29913902 \h </w:instrText>
      </w:r>
      <w:r>
        <w:fldChar w:fldCharType="separate"/>
      </w:r>
      <w:r>
        <w:t>16</w:t>
      </w:r>
      <w:r>
        <w:fldChar w:fldCharType="end"/>
      </w:r>
      <w:r>
        <w:fldChar w:fldCharType="end"/>
      </w:r>
    </w:p>
    <w:p w14:paraId="588D6DD4">
      <w:pPr>
        <w:pStyle w:val="20"/>
        <w:tabs>
          <w:tab w:val="right" w:leader="dot" w:pos="8834"/>
        </w:tabs>
        <w:ind w:left="840"/>
        <w:rPr>
          <w:rFonts w:asciiTheme="minorHAnsi" w:hAnsiTheme="minorHAnsi" w:cstheme="minorBidi"/>
          <w:b w:val="0"/>
          <w:szCs w:val="22"/>
        </w:rPr>
      </w:pPr>
      <w:r>
        <w:fldChar w:fldCharType="begin"/>
      </w:r>
      <w:r>
        <w:instrText xml:space="preserve"> HYPERLINK \l "_Toc29913903" </w:instrText>
      </w:r>
      <w:r>
        <w:fldChar w:fldCharType="separate"/>
      </w:r>
      <w:r>
        <w:rPr>
          <w:rStyle w:val="47"/>
          <w:rFonts w:hint="eastAsia" w:ascii="黑体" w:hAnsi="黑体" w:eastAsia="黑体"/>
        </w:rPr>
        <w:t>七、合同签订</w:t>
      </w:r>
      <w:r>
        <w:tab/>
      </w:r>
      <w:r>
        <w:fldChar w:fldCharType="begin"/>
      </w:r>
      <w:r>
        <w:instrText xml:space="preserve"> PAGEREF _Toc29913903 \h </w:instrText>
      </w:r>
      <w:r>
        <w:fldChar w:fldCharType="separate"/>
      </w:r>
      <w:r>
        <w:t>17</w:t>
      </w:r>
      <w:r>
        <w:fldChar w:fldCharType="end"/>
      </w:r>
      <w:r>
        <w:fldChar w:fldCharType="end"/>
      </w:r>
    </w:p>
    <w:p w14:paraId="090DE5D3">
      <w:pPr>
        <w:pStyle w:val="20"/>
        <w:tabs>
          <w:tab w:val="right" w:leader="dot" w:pos="8834"/>
        </w:tabs>
        <w:ind w:left="840"/>
        <w:rPr>
          <w:rFonts w:asciiTheme="minorHAnsi" w:hAnsiTheme="minorHAnsi" w:cstheme="minorBidi"/>
          <w:b w:val="0"/>
          <w:szCs w:val="22"/>
        </w:rPr>
      </w:pPr>
      <w:r>
        <w:fldChar w:fldCharType="begin"/>
      </w:r>
      <w:r>
        <w:instrText xml:space="preserve"> HYPERLINK \l "_Toc29913904" </w:instrText>
      </w:r>
      <w:r>
        <w:fldChar w:fldCharType="separate"/>
      </w:r>
      <w:r>
        <w:rPr>
          <w:rStyle w:val="47"/>
          <w:rFonts w:hint="eastAsia" w:ascii="黑体" w:hAnsi="黑体" w:eastAsia="黑体"/>
        </w:rPr>
        <w:t>八、政府采购政策</w:t>
      </w:r>
      <w:r>
        <w:tab/>
      </w:r>
      <w:r>
        <w:fldChar w:fldCharType="begin"/>
      </w:r>
      <w:r>
        <w:instrText xml:space="preserve"> PAGEREF _Toc29913904 \h </w:instrText>
      </w:r>
      <w:r>
        <w:fldChar w:fldCharType="separate"/>
      </w:r>
      <w:r>
        <w:t>17</w:t>
      </w:r>
      <w:r>
        <w:fldChar w:fldCharType="end"/>
      </w:r>
      <w:r>
        <w:fldChar w:fldCharType="end"/>
      </w:r>
    </w:p>
    <w:p w14:paraId="261F6C2D">
      <w:pPr>
        <w:pStyle w:val="20"/>
        <w:tabs>
          <w:tab w:val="right" w:leader="dot" w:pos="8834"/>
        </w:tabs>
        <w:ind w:left="840"/>
        <w:rPr>
          <w:rFonts w:asciiTheme="minorHAnsi" w:hAnsiTheme="minorHAnsi" w:cstheme="minorBidi"/>
          <w:b w:val="0"/>
          <w:szCs w:val="22"/>
        </w:rPr>
      </w:pPr>
      <w:r>
        <w:fldChar w:fldCharType="begin"/>
      </w:r>
      <w:r>
        <w:instrText xml:space="preserve"> HYPERLINK \l "_Toc29913905" </w:instrText>
      </w:r>
      <w:r>
        <w:fldChar w:fldCharType="separate"/>
      </w:r>
      <w:r>
        <w:rPr>
          <w:rStyle w:val="47"/>
          <w:rFonts w:hint="eastAsia" w:ascii="黑体" w:hAnsi="黑体" w:eastAsia="黑体"/>
        </w:rPr>
        <w:t>九、其他规定</w:t>
      </w:r>
      <w:r>
        <w:tab/>
      </w:r>
      <w:r>
        <w:fldChar w:fldCharType="begin"/>
      </w:r>
      <w:r>
        <w:instrText xml:space="preserve"> PAGEREF _Toc29913905 \h </w:instrText>
      </w:r>
      <w:r>
        <w:fldChar w:fldCharType="separate"/>
      </w:r>
      <w:r>
        <w:t>19</w:t>
      </w:r>
      <w:r>
        <w:fldChar w:fldCharType="end"/>
      </w:r>
      <w:r>
        <w:fldChar w:fldCharType="end"/>
      </w:r>
    </w:p>
    <w:p w14:paraId="44630FCB">
      <w:pPr>
        <w:pStyle w:val="28"/>
        <w:tabs>
          <w:tab w:val="right" w:leader="dot" w:pos="8834"/>
        </w:tabs>
        <w:rPr>
          <w:rFonts w:asciiTheme="minorHAnsi" w:hAnsiTheme="minorHAnsi" w:cstheme="minorBidi"/>
          <w:b w:val="0"/>
          <w:sz w:val="21"/>
          <w:szCs w:val="22"/>
        </w:rPr>
      </w:pPr>
      <w:r>
        <w:fldChar w:fldCharType="begin"/>
      </w:r>
      <w:r>
        <w:instrText xml:space="preserve"> HYPERLINK \l "_Toc29913906" </w:instrText>
      </w:r>
      <w:r>
        <w:fldChar w:fldCharType="separate"/>
      </w:r>
      <w:r>
        <w:rPr>
          <w:rStyle w:val="47"/>
          <w:rFonts w:hint="eastAsia" w:ascii="黑体" w:hAnsi="黑体" w:eastAsia="黑体"/>
        </w:rPr>
        <w:t>第三章资格审查</w:t>
      </w:r>
      <w:r>
        <w:tab/>
      </w:r>
      <w:r>
        <w:rPr>
          <w:rFonts w:ascii="Times New Roman" w:hAnsi="Times New Roman"/>
          <w:sz w:val="21"/>
          <w:szCs w:val="24"/>
        </w:rPr>
        <w:fldChar w:fldCharType="begin"/>
      </w:r>
      <w:r>
        <w:rPr>
          <w:rFonts w:ascii="Times New Roman" w:hAnsi="Times New Roman"/>
          <w:sz w:val="21"/>
          <w:szCs w:val="24"/>
        </w:rPr>
        <w:instrText xml:space="preserve"> PAGEREF _Toc29913906 \h </w:instrText>
      </w:r>
      <w:r>
        <w:rPr>
          <w:rFonts w:ascii="Times New Roman" w:hAnsi="Times New Roman"/>
          <w:sz w:val="21"/>
          <w:szCs w:val="24"/>
        </w:rPr>
        <w:fldChar w:fldCharType="separate"/>
      </w:r>
      <w:r>
        <w:rPr>
          <w:rFonts w:ascii="Times New Roman" w:hAnsi="Times New Roman"/>
          <w:sz w:val="21"/>
          <w:szCs w:val="24"/>
        </w:rPr>
        <w:t>20</w:t>
      </w:r>
      <w:r>
        <w:rPr>
          <w:rFonts w:ascii="Times New Roman" w:hAnsi="Times New Roman"/>
          <w:sz w:val="21"/>
          <w:szCs w:val="24"/>
        </w:rPr>
        <w:fldChar w:fldCharType="end"/>
      </w:r>
      <w:r>
        <w:rPr>
          <w:rFonts w:ascii="Times New Roman" w:hAnsi="Times New Roman"/>
          <w:sz w:val="21"/>
          <w:szCs w:val="24"/>
        </w:rPr>
        <w:fldChar w:fldCharType="end"/>
      </w:r>
    </w:p>
    <w:p w14:paraId="17B71C6A">
      <w:pPr>
        <w:pStyle w:val="20"/>
        <w:tabs>
          <w:tab w:val="right" w:leader="dot" w:pos="8834"/>
        </w:tabs>
        <w:ind w:left="840"/>
        <w:rPr>
          <w:rFonts w:asciiTheme="minorHAnsi" w:hAnsiTheme="minorHAnsi" w:cstheme="minorBidi"/>
          <w:b w:val="0"/>
          <w:szCs w:val="22"/>
        </w:rPr>
      </w:pPr>
      <w:r>
        <w:fldChar w:fldCharType="begin"/>
      </w:r>
      <w:r>
        <w:instrText xml:space="preserve"> HYPERLINK \l "_Toc29913907" </w:instrText>
      </w:r>
      <w:r>
        <w:fldChar w:fldCharType="separate"/>
      </w:r>
      <w:r>
        <w:rPr>
          <w:rStyle w:val="47"/>
          <w:rFonts w:ascii="黑体" w:hAnsi="黑体" w:eastAsia="黑体"/>
        </w:rPr>
        <w:t>1</w:t>
      </w:r>
      <w:r>
        <w:rPr>
          <w:rStyle w:val="47"/>
          <w:rFonts w:hint="eastAsia" w:ascii="黑体" w:hAnsi="黑体" w:eastAsia="黑体"/>
        </w:rPr>
        <w:t>．资格审查主体</w:t>
      </w:r>
      <w:r>
        <w:tab/>
      </w:r>
      <w:r>
        <w:fldChar w:fldCharType="begin"/>
      </w:r>
      <w:r>
        <w:instrText xml:space="preserve"> PAGEREF _Toc29913907 \h </w:instrText>
      </w:r>
      <w:r>
        <w:fldChar w:fldCharType="separate"/>
      </w:r>
      <w:r>
        <w:t>20</w:t>
      </w:r>
      <w:r>
        <w:fldChar w:fldCharType="end"/>
      </w:r>
      <w:r>
        <w:fldChar w:fldCharType="end"/>
      </w:r>
    </w:p>
    <w:p w14:paraId="5F32D6AB">
      <w:pPr>
        <w:pStyle w:val="20"/>
        <w:tabs>
          <w:tab w:val="right" w:leader="dot" w:pos="8834"/>
        </w:tabs>
        <w:ind w:left="840"/>
        <w:rPr>
          <w:rFonts w:asciiTheme="minorHAnsi" w:hAnsiTheme="minorHAnsi" w:cstheme="minorBidi"/>
          <w:b w:val="0"/>
          <w:szCs w:val="22"/>
        </w:rPr>
      </w:pPr>
      <w:r>
        <w:fldChar w:fldCharType="begin"/>
      </w:r>
      <w:r>
        <w:instrText xml:space="preserve"> HYPERLINK \l "_Toc29913908" </w:instrText>
      </w:r>
      <w:r>
        <w:fldChar w:fldCharType="separate"/>
      </w:r>
      <w:r>
        <w:rPr>
          <w:rStyle w:val="47"/>
          <w:rFonts w:ascii="黑体" w:hAnsi="黑体" w:eastAsia="黑体"/>
        </w:rPr>
        <w:t>2</w:t>
      </w:r>
      <w:r>
        <w:rPr>
          <w:rStyle w:val="47"/>
          <w:rFonts w:hint="eastAsia" w:ascii="黑体" w:hAnsi="黑体" w:eastAsia="黑体"/>
        </w:rPr>
        <w:t>．资格审查</w:t>
      </w:r>
      <w:r>
        <w:tab/>
      </w:r>
      <w:r>
        <w:fldChar w:fldCharType="begin"/>
      </w:r>
      <w:r>
        <w:instrText xml:space="preserve"> PAGEREF _Toc29913908 \h </w:instrText>
      </w:r>
      <w:r>
        <w:fldChar w:fldCharType="separate"/>
      </w:r>
      <w:r>
        <w:t>20</w:t>
      </w:r>
      <w:r>
        <w:fldChar w:fldCharType="end"/>
      </w:r>
      <w:r>
        <w:fldChar w:fldCharType="end"/>
      </w:r>
    </w:p>
    <w:p w14:paraId="58F4F32C">
      <w:pPr>
        <w:pStyle w:val="20"/>
        <w:tabs>
          <w:tab w:val="right" w:leader="dot" w:pos="8834"/>
        </w:tabs>
        <w:ind w:left="840"/>
        <w:rPr>
          <w:rFonts w:asciiTheme="minorHAnsi" w:hAnsiTheme="minorHAnsi" w:cstheme="minorBidi"/>
          <w:b w:val="0"/>
          <w:szCs w:val="22"/>
        </w:rPr>
      </w:pPr>
      <w:r>
        <w:fldChar w:fldCharType="begin"/>
      </w:r>
      <w:r>
        <w:instrText xml:space="preserve"> HYPERLINK \l "_Toc29913909" </w:instrText>
      </w:r>
      <w:r>
        <w:fldChar w:fldCharType="separate"/>
      </w:r>
      <w:r>
        <w:rPr>
          <w:rStyle w:val="47"/>
          <w:rFonts w:ascii="黑体" w:hAnsi="黑体" w:eastAsia="黑体"/>
        </w:rPr>
        <w:t>3</w:t>
      </w:r>
      <w:r>
        <w:rPr>
          <w:rStyle w:val="47"/>
          <w:rFonts w:hint="eastAsia" w:ascii="黑体" w:hAnsi="黑体" w:eastAsia="黑体"/>
        </w:rPr>
        <w:t>．资格审查结果</w:t>
      </w:r>
      <w:r>
        <w:tab/>
      </w:r>
      <w:r>
        <w:fldChar w:fldCharType="begin"/>
      </w:r>
      <w:r>
        <w:instrText xml:space="preserve"> PAGEREF _Toc29913909 \h </w:instrText>
      </w:r>
      <w:r>
        <w:fldChar w:fldCharType="separate"/>
      </w:r>
      <w:r>
        <w:t>21</w:t>
      </w:r>
      <w:r>
        <w:fldChar w:fldCharType="end"/>
      </w:r>
      <w:r>
        <w:fldChar w:fldCharType="end"/>
      </w:r>
    </w:p>
    <w:p w14:paraId="5B565638">
      <w:pPr>
        <w:pStyle w:val="28"/>
        <w:tabs>
          <w:tab w:val="right" w:leader="dot" w:pos="8834"/>
        </w:tabs>
        <w:rPr>
          <w:rFonts w:asciiTheme="minorHAnsi" w:hAnsiTheme="minorHAnsi" w:cstheme="minorBidi"/>
          <w:b w:val="0"/>
          <w:sz w:val="21"/>
          <w:szCs w:val="22"/>
        </w:rPr>
      </w:pPr>
      <w:r>
        <w:fldChar w:fldCharType="begin"/>
      </w:r>
      <w:r>
        <w:instrText xml:space="preserve"> HYPERLINK \l "_Toc29913910" </w:instrText>
      </w:r>
      <w:r>
        <w:fldChar w:fldCharType="separate"/>
      </w:r>
      <w:r>
        <w:rPr>
          <w:rStyle w:val="47"/>
          <w:rFonts w:hint="eastAsia" w:ascii="黑体" w:hAnsi="华文中宋" w:eastAsia="黑体"/>
        </w:rPr>
        <w:t>第四章评标方法及标准（综合评分法）</w:t>
      </w:r>
      <w:r>
        <w:tab/>
      </w:r>
      <w:r>
        <w:rPr>
          <w:rFonts w:ascii="Times New Roman" w:hAnsi="Times New Roman"/>
          <w:sz w:val="21"/>
          <w:szCs w:val="24"/>
        </w:rPr>
        <w:fldChar w:fldCharType="begin"/>
      </w:r>
      <w:r>
        <w:rPr>
          <w:rFonts w:ascii="Times New Roman" w:hAnsi="Times New Roman"/>
          <w:sz w:val="21"/>
          <w:szCs w:val="24"/>
        </w:rPr>
        <w:instrText xml:space="preserve"> PAGEREF _Toc29913910 \h </w:instrText>
      </w:r>
      <w:r>
        <w:rPr>
          <w:rFonts w:ascii="Times New Roman" w:hAnsi="Times New Roman"/>
          <w:sz w:val="21"/>
          <w:szCs w:val="24"/>
        </w:rPr>
        <w:fldChar w:fldCharType="separate"/>
      </w:r>
      <w:r>
        <w:rPr>
          <w:rFonts w:ascii="Times New Roman" w:hAnsi="Times New Roman"/>
          <w:sz w:val="21"/>
          <w:szCs w:val="24"/>
        </w:rPr>
        <w:t>22</w:t>
      </w:r>
      <w:r>
        <w:rPr>
          <w:rFonts w:ascii="Times New Roman" w:hAnsi="Times New Roman"/>
          <w:sz w:val="21"/>
          <w:szCs w:val="24"/>
        </w:rPr>
        <w:fldChar w:fldCharType="end"/>
      </w:r>
      <w:r>
        <w:rPr>
          <w:rFonts w:ascii="Times New Roman" w:hAnsi="Times New Roman"/>
          <w:sz w:val="21"/>
          <w:szCs w:val="24"/>
        </w:rPr>
        <w:fldChar w:fldCharType="end"/>
      </w:r>
    </w:p>
    <w:p w14:paraId="47AF4BA2">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"_Toc29913911" </w:instrText>
      </w:r>
      <w:r>
        <w:fldChar w:fldCharType="separate"/>
      </w:r>
      <w:r>
        <w:rPr>
          <w:rStyle w:val="47"/>
          <w:rFonts w:hint="eastAsia" w:ascii="黑体" w:hAnsi="华文中宋" w:eastAsia="黑体"/>
        </w:rPr>
        <w:t>第一节评标方法及标准前附表</w:t>
      </w:r>
      <w:r>
        <w:tab/>
      </w:r>
      <w:r>
        <w:fldChar w:fldCharType="begin"/>
      </w:r>
      <w:r>
        <w:instrText xml:space="preserve"> PAGEREF _Toc29913911 \h </w:instrText>
      </w:r>
      <w:r>
        <w:fldChar w:fldCharType="separate"/>
      </w:r>
      <w:r>
        <w:t>22</w:t>
      </w:r>
      <w:r>
        <w:fldChar w:fldCharType="end"/>
      </w:r>
      <w:r>
        <w:fldChar w:fldCharType="end"/>
      </w:r>
    </w:p>
    <w:p w14:paraId="2A783AFE">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"_Toc29913912" </w:instrText>
      </w:r>
      <w:r>
        <w:fldChar w:fldCharType="separate"/>
      </w:r>
      <w:r>
        <w:rPr>
          <w:rStyle w:val="47"/>
          <w:rFonts w:hint="eastAsia" w:ascii="黑体" w:hAnsi="华文中宋" w:eastAsia="黑体"/>
        </w:rPr>
        <w:t>第二节评标方法及标准</w:t>
      </w:r>
      <w:r>
        <w:tab/>
      </w:r>
      <w:r>
        <w:fldChar w:fldCharType="begin"/>
      </w:r>
      <w:r>
        <w:instrText xml:space="preserve"> PAGEREF _Toc29913912 \h </w:instrText>
      </w:r>
      <w:r>
        <w:fldChar w:fldCharType="separate"/>
      </w:r>
      <w:r>
        <w:t>24</w:t>
      </w:r>
      <w:r>
        <w:fldChar w:fldCharType="end"/>
      </w:r>
      <w:r>
        <w:fldChar w:fldCharType="end"/>
      </w:r>
    </w:p>
    <w:p w14:paraId="311FDF78">
      <w:pPr>
        <w:pStyle w:val="20"/>
        <w:tabs>
          <w:tab w:val="right" w:leader="dot" w:pos="8834"/>
        </w:tabs>
        <w:ind w:left="840"/>
        <w:rPr>
          <w:rFonts w:asciiTheme="minorHAnsi" w:hAnsiTheme="minorHAnsi" w:cstheme="minorBidi"/>
          <w:b w:val="0"/>
          <w:szCs w:val="22"/>
        </w:rPr>
      </w:pPr>
      <w:r>
        <w:fldChar w:fldCharType="begin"/>
      </w:r>
      <w:r>
        <w:instrText xml:space="preserve"> HYPERLINK \l "_Toc29913913" </w:instrText>
      </w:r>
      <w:r>
        <w:fldChar w:fldCharType="separate"/>
      </w:r>
      <w:r>
        <w:rPr>
          <w:rStyle w:val="47"/>
          <w:rFonts w:ascii="黑体" w:hAnsi="黑体" w:eastAsia="黑体"/>
        </w:rPr>
        <w:t>1</w:t>
      </w:r>
      <w:r>
        <w:rPr>
          <w:rStyle w:val="47"/>
          <w:rFonts w:hint="eastAsia" w:ascii="黑体" w:hAnsi="黑体" w:eastAsia="黑体"/>
        </w:rPr>
        <w:t>．评标方法</w:t>
      </w:r>
      <w:r>
        <w:tab/>
      </w:r>
      <w:r>
        <w:fldChar w:fldCharType="begin"/>
      </w:r>
      <w:r>
        <w:instrText xml:space="preserve"> PAGEREF _Toc29913913 \h </w:instrText>
      </w:r>
      <w:r>
        <w:fldChar w:fldCharType="separate"/>
      </w:r>
      <w:r>
        <w:t>24</w:t>
      </w:r>
      <w:r>
        <w:fldChar w:fldCharType="end"/>
      </w:r>
      <w:r>
        <w:fldChar w:fldCharType="end"/>
      </w:r>
    </w:p>
    <w:p w14:paraId="26288DEB">
      <w:pPr>
        <w:pStyle w:val="20"/>
        <w:tabs>
          <w:tab w:val="right" w:leader="dot" w:pos="8834"/>
        </w:tabs>
        <w:ind w:left="840"/>
        <w:rPr>
          <w:rFonts w:asciiTheme="minorHAnsi" w:hAnsiTheme="minorHAnsi" w:cstheme="minorBidi"/>
          <w:b w:val="0"/>
          <w:szCs w:val="22"/>
        </w:rPr>
      </w:pPr>
      <w:r>
        <w:fldChar w:fldCharType="begin"/>
      </w:r>
      <w:r>
        <w:instrText xml:space="preserve"> HYPERLINK \l "_Toc29913914" </w:instrText>
      </w:r>
      <w:r>
        <w:fldChar w:fldCharType="separate"/>
      </w:r>
      <w:r>
        <w:rPr>
          <w:rStyle w:val="47"/>
          <w:rFonts w:ascii="黑体" w:hAnsi="黑体" w:eastAsia="黑体"/>
        </w:rPr>
        <w:t>2</w:t>
      </w:r>
      <w:r>
        <w:rPr>
          <w:rStyle w:val="47"/>
          <w:rFonts w:hint="eastAsia" w:ascii="黑体" w:hAnsi="黑体" w:eastAsia="黑体"/>
        </w:rPr>
        <w:t>．评标程序</w:t>
      </w:r>
      <w:r>
        <w:tab/>
      </w:r>
      <w:r>
        <w:fldChar w:fldCharType="begin"/>
      </w:r>
      <w:r>
        <w:instrText xml:space="preserve"> PAGEREF _Toc29913914 \h </w:instrText>
      </w:r>
      <w:r>
        <w:fldChar w:fldCharType="separate"/>
      </w:r>
      <w:r>
        <w:t>24</w:t>
      </w:r>
      <w:r>
        <w:fldChar w:fldCharType="end"/>
      </w:r>
      <w:r>
        <w:fldChar w:fldCharType="end"/>
      </w:r>
    </w:p>
    <w:p w14:paraId="1DABCFAC">
      <w:pPr>
        <w:pStyle w:val="20"/>
        <w:tabs>
          <w:tab w:val="right" w:leader="dot" w:pos="8834"/>
        </w:tabs>
        <w:ind w:left="840"/>
        <w:rPr>
          <w:rFonts w:asciiTheme="minorHAnsi" w:hAnsiTheme="minorHAnsi" w:cstheme="minorBidi"/>
          <w:b w:val="0"/>
          <w:szCs w:val="22"/>
        </w:rPr>
      </w:pPr>
      <w:r>
        <w:fldChar w:fldCharType="begin"/>
      </w:r>
      <w:r>
        <w:instrText xml:space="preserve"> HYPERLINK \l "_Toc29913915" </w:instrText>
      </w:r>
      <w:r>
        <w:fldChar w:fldCharType="separate"/>
      </w:r>
      <w:r>
        <w:rPr>
          <w:rStyle w:val="47"/>
          <w:rFonts w:ascii="黑体" w:hAnsi="黑体" w:eastAsia="黑体"/>
        </w:rPr>
        <w:t>3</w:t>
      </w:r>
      <w:r>
        <w:rPr>
          <w:rStyle w:val="47"/>
          <w:rFonts w:hint="eastAsia" w:ascii="黑体" w:hAnsi="黑体" w:eastAsia="黑体"/>
        </w:rPr>
        <w:t>．投标文件的符合性审查</w:t>
      </w:r>
      <w:r>
        <w:tab/>
      </w:r>
      <w:r>
        <w:fldChar w:fldCharType="begin"/>
      </w:r>
      <w:r>
        <w:instrText xml:space="preserve"> PAGEREF _Toc29913915 \h </w:instrText>
      </w:r>
      <w:r>
        <w:fldChar w:fldCharType="separate"/>
      </w:r>
      <w:r>
        <w:t>24</w:t>
      </w:r>
      <w:r>
        <w:fldChar w:fldCharType="end"/>
      </w:r>
      <w:r>
        <w:fldChar w:fldCharType="end"/>
      </w:r>
    </w:p>
    <w:p w14:paraId="418E55CA">
      <w:pPr>
        <w:pStyle w:val="20"/>
        <w:tabs>
          <w:tab w:val="right" w:leader="dot" w:pos="8834"/>
        </w:tabs>
        <w:ind w:left="840"/>
        <w:rPr>
          <w:rFonts w:asciiTheme="minorHAnsi" w:hAnsiTheme="minorHAnsi" w:cstheme="minorBidi"/>
          <w:b w:val="0"/>
          <w:szCs w:val="22"/>
        </w:rPr>
      </w:pPr>
      <w:r>
        <w:fldChar w:fldCharType="begin"/>
      </w:r>
      <w:r>
        <w:instrText xml:space="preserve"> HYPERLINK \l "_Toc29913916" </w:instrText>
      </w:r>
      <w:r>
        <w:fldChar w:fldCharType="separate"/>
      </w:r>
      <w:r>
        <w:rPr>
          <w:rStyle w:val="47"/>
          <w:rFonts w:ascii="黑体" w:hAnsi="黑体" w:eastAsia="黑体"/>
        </w:rPr>
        <w:t>4</w:t>
      </w:r>
      <w:r>
        <w:rPr>
          <w:rStyle w:val="47"/>
          <w:rFonts w:hint="eastAsia" w:ascii="黑体" w:hAnsi="黑体" w:eastAsia="黑体"/>
        </w:rPr>
        <w:t>．投标文件的澄清</w:t>
      </w:r>
      <w:r>
        <w:tab/>
      </w:r>
      <w:r>
        <w:fldChar w:fldCharType="begin"/>
      </w:r>
      <w:r>
        <w:instrText xml:space="preserve"> PAGEREF _Toc29913916 \h </w:instrText>
      </w:r>
      <w:r>
        <w:fldChar w:fldCharType="separate"/>
      </w:r>
      <w:r>
        <w:t>24</w:t>
      </w:r>
      <w:r>
        <w:fldChar w:fldCharType="end"/>
      </w:r>
      <w:r>
        <w:fldChar w:fldCharType="end"/>
      </w:r>
    </w:p>
    <w:p w14:paraId="36E839A4">
      <w:pPr>
        <w:pStyle w:val="20"/>
        <w:tabs>
          <w:tab w:val="right" w:leader="dot" w:pos="8834"/>
        </w:tabs>
        <w:ind w:left="840"/>
        <w:rPr>
          <w:rFonts w:asciiTheme="minorHAnsi" w:hAnsiTheme="minorHAnsi" w:cstheme="minorBidi"/>
          <w:b w:val="0"/>
          <w:szCs w:val="22"/>
        </w:rPr>
      </w:pPr>
      <w:r>
        <w:fldChar w:fldCharType="begin"/>
      </w:r>
      <w:r>
        <w:instrText xml:space="preserve"> HYPERLINK \l "_Toc29913917" </w:instrText>
      </w:r>
      <w:r>
        <w:fldChar w:fldCharType="separate"/>
      </w:r>
      <w:r>
        <w:rPr>
          <w:rStyle w:val="47"/>
          <w:rFonts w:ascii="黑体" w:hAnsi="黑体" w:eastAsia="黑体"/>
        </w:rPr>
        <w:t>5</w:t>
      </w:r>
      <w:r>
        <w:rPr>
          <w:rStyle w:val="47"/>
          <w:rFonts w:hint="eastAsia" w:ascii="黑体" w:hAnsi="黑体" w:eastAsia="黑体"/>
        </w:rPr>
        <w:t>．投标文件的比较与评价</w:t>
      </w:r>
      <w:r>
        <w:tab/>
      </w:r>
      <w:r>
        <w:fldChar w:fldCharType="begin"/>
      </w:r>
      <w:r>
        <w:instrText xml:space="preserve"> PAGEREF _Toc29913917 \h </w:instrText>
      </w:r>
      <w:r>
        <w:fldChar w:fldCharType="separate"/>
      </w:r>
      <w:r>
        <w:t>25</w:t>
      </w:r>
      <w:r>
        <w:fldChar w:fldCharType="end"/>
      </w:r>
      <w:r>
        <w:fldChar w:fldCharType="end"/>
      </w:r>
    </w:p>
    <w:p w14:paraId="7715B96E">
      <w:pPr>
        <w:pStyle w:val="20"/>
        <w:tabs>
          <w:tab w:val="right" w:leader="dot" w:pos="8834"/>
        </w:tabs>
        <w:ind w:left="840"/>
        <w:rPr>
          <w:rFonts w:asciiTheme="minorHAnsi" w:hAnsiTheme="minorHAnsi" w:cstheme="minorBidi"/>
          <w:b w:val="0"/>
          <w:szCs w:val="22"/>
        </w:rPr>
      </w:pPr>
      <w:r>
        <w:fldChar w:fldCharType="begin"/>
      </w:r>
      <w:r>
        <w:instrText xml:space="preserve"> HYPERLINK \l "_Toc29913918" </w:instrText>
      </w:r>
      <w:r>
        <w:fldChar w:fldCharType="separate"/>
      </w:r>
      <w:r>
        <w:rPr>
          <w:rStyle w:val="47"/>
          <w:rFonts w:ascii="黑体" w:hAnsi="黑体" w:eastAsia="黑体"/>
        </w:rPr>
        <w:t>6</w:t>
      </w:r>
      <w:r>
        <w:rPr>
          <w:rStyle w:val="47"/>
          <w:rFonts w:hint="eastAsia" w:ascii="黑体" w:hAnsi="黑体" w:eastAsia="黑体"/>
        </w:rPr>
        <w:t>．推荐中标候选人</w:t>
      </w:r>
      <w:r>
        <w:tab/>
      </w:r>
      <w:r>
        <w:fldChar w:fldCharType="begin"/>
      </w:r>
      <w:r>
        <w:instrText xml:space="preserve"> PAGEREF _Toc29913918 \h </w:instrText>
      </w:r>
      <w:r>
        <w:fldChar w:fldCharType="separate"/>
      </w:r>
      <w:r>
        <w:t>25</w:t>
      </w:r>
      <w:r>
        <w:fldChar w:fldCharType="end"/>
      </w:r>
      <w:r>
        <w:fldChar w:fldCharType="end"/>
      </w:r>
    </w:p>
    <w:p w14:paraId="58717AD6">
      <w:pPr>
        <w:pStyle w:val="20"/>
        <w:tabs>
          <w:tab w:val="right" w:leader="dot" w:pos="8834"/>
        </w:tabs>
        <w:ind w:left="840"/>
        <w:rPr>
          <w:rFonts w:asciiTheme="minorHAnsi" w:hAnsiTheme="minorHAnsi" w:cstheme="minorBidi"/>
          <w:b w:val="0"/>
          <w:szCs w:val="22"/>
        </w:rPr>
      </w:pPr>
      <w:r>
        <w:fldChar w:fldCharType="begin"/>
      </w:r>
      <w:r>
        <w:instrText xml:space="preserve"> HYPERLINK \l "_Toc29913919" </w:instrText>
      </w:r>
      <w:r>
        <w:fldChar w:fldCharType="separate"/>
      </w:r>
      <w:r>
        <w:rPr>
          <w:rStyle w:val="47"/>
          <w:rFonts w:ascii="黑体" w:hAnsi="黑体" w:eastAsia="黑体"/>
        </w:rPr>
        <w:t>7</w:t>
      </w:r>
      <w:r>
        <w:rPr>
          <w:rStyle w:val="47"/>
          <w:rFonts w:hint="eastAsia" w:ascii="黑体" w:hAnsi="黑体" w:eastAsia="黑体"/>
        </w:rPr>
        <w:t>．编写评标报告</w:t>
      </w:r>
      <w:r>
        <w:tab/>
      </w:r>
      <w:r>
        <w:fldChar w:fldCharType="begin"/>
      </w:r>
      <w:r>
        <w:instrText xml:space="preserve"> PAGEREF _Toc29913919 \h </w:instrText>
      </w:r>
      <w:r>
        <w:fldChar w:fldCharType="separate"/>
      </w:r>
      <w:r>
        <w:t>26</w:t>
      </w:r>
      <w:r>
        <w:fldChar w:fldCharType="end"/>
      </w:r>
      <w:r>
        <w:fldChar w:fldCharType="end"/>
      </w:r>
    </w:p>
    <w:p w14:paraId="78F3A24B">
      <w:pPr>
        <w:pStyle w:val="20"/>
        <w:tabs>
          <w:tab w:val="right" w:leader="dot" w:pos="8834"/>
        </w:tabs>
        <w:ind w:left="840"/>
        <w:rPr>
          <w:rFonts w:asciiTheme="minorHAnsi" w:hAnsiTheme="minorHAnsi" w:cstheme="minorBidi"/>
          <w:b w:val="0"/>
          <w:szCs w:val="22"/>
        </w:rPr>
      </w:pPr>
      <w:r>
        <w:fldChar w:fldCharType="begin"/>
      </w:r>
      <w:r>
        <w:instrText xml:space="preserve"> HYPERLINK \l "_Toc29913920" </w:instrText>
      </w:r>
      <w:r>
        <w:fldChar w:fldCharType="separate"/>
      </w:r>
      <w:r>
        <w:rPr>
          <w:rStyle w:val="47"/>
          <w:rFonts w:ascii="黑体" w:hAnsi="黑体" w:eastAsia="黑体"/>
        </w:rPr>
        <w:t>8</w:t>
      </w:r>
      <w:r>
        <w:rPr>
          <w:rStyle w:val="47"/>
          <w:rFonts w:hint="eastAsia" w:ascii="黑体" w:hAnsi="黑体" w:eastAsia="黑体"/>
        </w:rPr>
        <w:t>．评标报告复核</w:t>
      </w:r>
      <w:r>
        <w:tab/>
      </w:r>
      <w:r>
        <w:fldChar w:fldCharType="begin"/>
      </w:r>
      <w:r>
        <w:instrText xml:space="preserve"> PAGEREF _Toc29913920 \h </w:instrText>
      </w:r>
      <w:r>
        <w:fldChar w:fldCharType="separate"/>
      </w:r>
      <w:r>
        <w:t>26</w:t>
      </w:r>
      <w:r>
        <w:fldChar w:fldCharType="end"/>
      </w:r>
      <w:r>
        <w:fldChar w:fldCharType="end"/>
      </w:r>
    </w:p>
    <w:p w14:paraId="49E30070">
      <w:pPr>
        <w:pStyle w:val="20"/>
        <w:tabs>
          <w:tab w:val="right" w:leader="dot" w:pos="8834"/>
        </w:tabs>
        <w:ind w:left="840"/>
        <w:rPr>
          <w:rFonts w:hint="eastAsia"/>
        </w:rPr>
      </w:pPr>
      <w:r>
        <w:fldChar w:fldCharType="begin"/>
      </w:r>
      <w:r>
        <w:instrText xml:space="preserve"> HYPERLINK \l "_Toc29913921" </w:instrText>
      </w:r>
      <w:r>
        <w:fldChar w:fldCharType="separate"/>
      </w:r>
      <w:r>
        <w:rPr>
          <w:rStyle w:val="47"/>
          <w:rFonts w:ascii="黑体" w:hAnsi="黑体" w:eastAsia="黑体"/>
        </w:rPr>
        <w:t>9</w:t>
      </w:r>
      <w:r>
        <w:rPr>
          <w:rStyle w:val="47"/>
          <w:rFonts w:hint="eastAsia" w:ascii="黑体" w:hAnsi="黑体" w:eastAsia="黑体"/>
        </w:rPr>
        <w:t>．停止评标</w:t>
      </w:r>
      <w:r>
        <w:tab/>
      </w:r>
      <w:r>
        <w:fldChar w:fldCharType="begin"/>
      </w:r>
      <w:r>
        <w:instrText xml:space="preserve"> PAGEREF _Toc29913921 \h </w:instrText>
      </w:r>
      <w:r>
        <w:fldChar w:fldCharType="separate"/>
      </w:r>
      <w:r>
        <w:t>26</w:t>
      </w:r>
      <w:r>
        <w:fldChar w:fldCharType="end"/>
      </w:r>
      <w:r>
        <w:fldChar w:fldCharType="end"/>
      </w:r>
    </w:p>
    <w:p w14:paraId="1E4D9A3B">
      <w:pPr>
        <w:pStyle w:val="20"/>
        <w:tabs>
          <w:tab w:val="right" w:leader="dot" w:pos="8834"/>
        </w:tabs>
        <w:ind w:left="840"/>
        <w:rPr>
          <w:rFonts w:hint="eastAsia"/>
        </w:rPr>
      </w:pPr>
      <w:r>
        <w:fldChar w:fldCharType="begin"/>
      </w:r>
      <w:r>
        <w:instrText xml:space="preserve"> HYPERLINK \l "_Toc29913921" </w:instrText>
      </w:r>
      <w:r>
        <w:fldChar w:fldCharType="separate"/>
      </w:r>
      <w:r>
        <w:rPr>
          <w:rStyle w:val="47"/>
          <w:rFonts w:hint="eastAsia" w:ascii="黑体" w:hAnsi="黑体" w:eastAsia="黑体"/>
        </w:rPr>
        <w:t>10．废标</w:t>
      </w:r>
      <w:r>
        <w:tab/>
      </w:r>
      <w:r>
        <w:fldChar w:fldCharType="begin"/>
      </w:r>
      <w:r>
        <w:instrText xml:space="preserve"> PAGEREF _Toc29913921 \h </w:instrText>
      </w:r>
      <w:r>
        <w:fldChar w:fldCharType="separate"/>
      </w:r>
      <w:r>
        <w:t>26</w:t>
      </w:r>
      <w:r>
        <w:fldChar w:fldCharType="end"/>
      </w:r>
      <w:r>
        <w:fldChar w:fldCharType="end"/>
      </w:r>
    </w:p>
    <w:p w14:paraId="3B3AEAA6">
      <w:pPr>
        <w:pStyle w:val="20"/>
        <w:tabs>
          <w:tab w:val="right" w:leader="dot" w:pos="8834"/>
        </w:tabs>
        <w:ind w:left="840"/>
        <w:rPr>
          <w:rFonts w:asciiTheme="minorHAnsi" w:hAnsiTheme="minorHAnsi" w:cstheme="minorBidi"/>
          <w:b w:val="0"/>
          <w:szCs w:val="22"/>
        </w:rPr>
      </w:pPr>
      <w:r>
        <w:fldChar w:fldCharType="begin"/>
      </w:r>
      <w:r>
        <w:instrText xml:space="preserve"> HYPERLINK \l "_Toc29913922" </w:instrText>
      </w:r>
      <w:r>
        <w:fldChar w:fldCharType="separate"/>
      </w:r>
      <w:r>
        <w:rPr>
          <w:rStyle w:val="47"/>
          <w:rFonts w:ascii="黑体" w:hAnsi="黑体" w:eastAsia="黑体" w:cs="宋体"/>
          <w:kern w:val="0"/>
        </w:rPr>
        <w:t>11</w:t>
      </w:r>
      <w:r>
        <w:rPr>
          <w:rStyle w:val="47"/>
          <w:rFonts w:hint="eastAsia" w:ascii="黑体" w:hAnsi="黑体" w:eastAsia="黑体" w:cs="宋体"/>
          <w:kern w:val="0"/>
        </w:rPr>
        <w:t>．重新组建评标委员会进行评标</w:t>
      </w:r>
      <w:r>
        <w:tab/>
      </w:r>
      <w:r>
        <w:fldChar w:fldCharType="begin"/>
      </w:r>
      <w:r>
        <w:instrText xml:space="preserve"> PAGEREF _Toc29913922 \h </w:instrText>
      </w:r>
      <w:r>
        <w:fldChar w:fldCharType="separate"/>
      </w:r>
      <w:r>
        <w:t>27</w:t>
      </w:r>
      <w:r>
        <w:fldChar w:fldCharType="end"/>
      </w:r>
      <w:r>
        <w:fldChar w:fldCharType="end"/>
      </w:r>
    </w:p>
    <w:p w14:paraId="1AF3B99B">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"_Toc29913923" </w:instrText>
      </w:r>
      <w:r>
        <w:fldChar w:fldCharType="separate"/>
      </w:r>
      <w:r>
        <w:rPr>
          <w:rStyle w:val="47"/>
          <w:rFonts w:hint="eastAsia" w:ascii="黑体" w:hAnsi="华文中宋" w:eastAsia="黑体"/>
        </w:rPr>
        <w:t>第三节投标文件的符合性审查</w:t>
      </w:r>
      <w:r>
        <w:tab/>
      </w:r>
      <w:r>
        <w:fldChar w:fldCharType="begin"/>
      </w:r>
      <w:r>
        <w:instrText xml:space="preserve"> PAGEREF _Toc29913923 \h </w:instrText>
      </w:r>
      <w:r>
        <w:fldChar w:fldCharType="separate"/>
      </w:r>
      <w:r>
        <w:t>28</w:t>
      </w:r>
      <w:r>
        <w:fldChar w:fldCharType="end"/>
      </w:r>
      <w:r>
        <w:fldChar w:fldCharType="end"/>
      </w:r>
    </w:p>
    <w:p w14:paraId="55FD83BC">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"_Toc29913924" </w:instrText>
      </w:r>
      <w:r>
        <w:fldChar w:fldCharType="separate"/>
      </w:r>
      <w:r>
        <w:rPr>
          <w:rStyle w:val="47"/>
          <w:rFonts w:hint="eastAsia" w:ascii="黑体" w:hAnsi="华文中宋" w:eastAsia="黑体"/>
        </w:rPr>
        <w:t>第四节投标文件的比较与评价</w:t>
      </w:r>
      <w:r>
        <w:tab/>
      </w:r>
      <w:r>
        <w:fldChar w:fldCharType="begin"/>
      </w:r>
      <w:r>
        <w:instrText xml:space="preserve"> PAGEREF _Toc29913924 \h </w:instrText>
      </w:r>
      <w:r>
        <w:fldChar w:fldCharType="separate"/>
      </w:r>
      <w:r>
        <w:t>29</w:t>
      </w:r>
      <w:r>
        <w:fldChar w:fldCharType="end"/>
      </w:r>
      <w:r>
        <w:fldChar w:fldCharType="end"/>
      </w:r>
    </w:p>
    <w:p w14:paraId="162D9C87">
      <w:pPr>
        <w:pStyle w:val="29"/>
        <w:tabs>
          <w:tab w:val="right" w:leader="dot" w:pos="8834"/>
        </w:tabs>
        <w:ind w:left="1260"/>
        <w:rPr>
          <w:rStyle w:val="47"/>
          <w:rFonts w:ascii="黑体" w:hAnsi="宋体" w:eastAsia="黑体" w:cs="Times New Roman"/>
          <w:szCs w:val="24"/>
        </w:rPr>
      </w:pPr>
      <w:r>
        <w:fldChar w:fldCharType="begin"/>
      </w:r>
      <w:r>
        <w:instrText xml:space="preserve"> HYPERLINK \l "_Toc29913925" </w:instrText>
      </w:r>
      <w:r>
        <w:fldChar w:fldCharType="separate"/>
      </w:r>
      <w:r>
        <w:rPr>
          <w:rStyle w:val="47"/>
          <w:rFonts w:hint="eastAsia" w:ascii="黑体" w:hAnsi="宋体" w:eastAsia="黑体" w:cs="Times New Roman"/>
          <w:szCs w:val="24"/>
        </w:rPr>
        <w:t>附页</w:t>
      </w:r>
      <w:r>
        <w:rPr>
          <w:rStyle w:val="47"/>
          <w:rFonts w:ascii="黑体" w:hAnsi="宋体" w:eastAsia="黑体" w:cs="Times New Roman"/>
          <w:szCs w:val="24"/>
        </w:rPr>
        <w:t xml:space="preserve">1 </w:t>
      </w:r>
      <w:r>
        <w:rPr>
          <w:rStyle w:val="47"/>
          <w:rFonts w:hint="eastAsia" w:ascii="黑体" w:hAnsi="宋体" w:eastAsia="黑体" w:cs="Times New Roman"/>
          <w:szCs w:val="24"/>
        </w:rPr>
        <w:t>评标方法及标准表</w:t>
      </w:r>
      <w:r>
        <w:rPr>
          <w:rStyle w:val="47"/>
          <w:rFonts w:ascii="黑体" w:hAnsi="宋体" w:eastAsia="黑体" w:cs="Times New Roman"/>
          <w:szCs w:val="24"/>
        </w:rPr>
        <w:tab/>
      </w:r>
      <w:r>
        <w:rPr>
          <w:rFonts w:ascii="Times New Roman" w:hAnsi="Times New Roman"/>
        </w:rPr>
        <w:fldChar w:fldCharType="begin"/>
      </w:r>
      <w:r>
        <w:rPr>
          <w:rFonts w:ascii="Times New Roman" w:hAnsi="Times New Roman"/>
        </w:rPr>
        <w:instrText xml:space="preserve"> PAGEREF _Toc29913925 \h </w:instrText>
      </w:r>
      <w:r>
        <w:rPr>
          <w:rFonts w:ascii="Times New Roman" w:hAnsi="Times New Roman"/>
        </w:rPr>
        <w:fldChar w:fldCharType="separate"/>
      </w:r>
      <w:r>
        <w:rPr>
          <w:rFonts w:ascii="Times New Roman" w:hAnsi="Times New Roman"/>
        </w:rPr>
        <w:t>31</w:t>
      </w:r>
      <w:r>
        <w:rPr>
          <w:rFonts w:ascii="Times New Roman" w:hAnsi="Times New Roman"/>
        </w:rPr>
        <w:fldChar w:fldCharType="end"/>
      </w:r>
      <w:r>
        <w:rPr>
          <w:rFonts w:ascii="Times New Roman" w:hAnsi="Times New Roman"/>
        </w:rPr>
        <w:fldChar w:fldCharType="end"/>
      </w:r>
    </w:p>
    <w:p w14:paraId="00E42992">
      <w:pPr>
        <w:pStyle w:val="28"/>
        <w:tabs>
          <w:tab w:val="right" w:leader="dot" w:pos="8834"/>
        </w:tabs>
        <w:rPr>
          <w:rFonts w:asciiTheme="minorHAnsi" w:hAnsiTheme="minorHAnsi" w:cstheme="minorBidi"/>
          <w:b w:val="0"/>
          <w:sz w:val="21"/>
          <w:szCs w:val="22"/>
        </w:rPr>
      </w:pPr>
      <w:r>
        <w:fldChar w:fldCharType="begin"/>
      </w:r>
      <w:r>
        <w:instrText xml:space="preserve"> HYPERLINK \l "_Toc29913941" </w:instrText>
      </w:r>
      <w:r>
        <w:fldChar w:fldCharType="separate"/>
      </w:r>
      <w:r>
        <w:rPr>
          <w:rStyle w:val="47"/>
          <w:rFonts w:hint="eastAsia" w:ascii="黑体" w:hAnsi="华文中宋" w:eastAsia="黑体"/>
        </w:rPr>
        <w:t>第五章采购需求</w:t>
      </w:r>
      <w:r>
        <w:tab/>
      </w:r>
      <w:r>
        <w:rPr>
          <w:rFonts w:ascii="Times New Roman" w:hAnsi="Times New Roman"/>
          <w:sz w:val="21"/>
          <w:szCs w:val="24"/>
        </w:rPr>
        <w:fldChar w:fldCharType="begin"/>
      </w:r>
      <w:r>
        <w:rPr>
          <w:rFonts w:ascii="Times New Roman" w:hAnsi="Times New Roman"/>
          <w:sz w:val="21"/>
          <w:szCs w:val="24"/>
        </w:rPr>
        <w:instrText xml:space="preserve"> PAGEREF _Toc29913941 \h </w:instrText>
      </w:r>
      <w:r>
        <w:rPr>
          <w:rFonts w:ascii="Times New Roman" w:hAnsi="Times New Roman"/>
          <w:sz w:val="21"/>
          <w:szCs w:val="24"/>
        </w:rPr>
        <w:fldChar w:fldCharType="separate"/>
      </w:r>
      <w:r>
        <w:rPr>
          <w:rFonts w:ascii="Times New Roman" w:hAnsi="Times New Roman"/>
          <w:sz w:val="21"/>
          <w:szCs w:val="24"/>
        </w:rPr>
        <w:t>33</w:t>
      </w:r>
      <w:r>
        <w:rPr>
          <w:rFonts w:ascii="Times New Roman" w:hAnsi="Times New Roman"/>
          <w:sz w:val="21"/>
          <w:szCs w:val="24"/>
        </w:rPr>
        <w:fldChar w:fldCharType="end"/>
      </w:r>
      <w:r>
        <w:rPr>
          <w:rFonts w:ascii="Times New Roman" w:hAnsi="Times New Roman"/>
          <w:sz w:val="21"/>
          <w:szCs w:val="24"/>
        </w:rPr>
        <w:fldChar w:fldCharType="end"/>
      </w:r>
    </w:p>
    <w:p w14:paraId="35876C53">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"_Toc29913942" </w:instrText>
      </w:r>
      <w:r>
        <w:fldChar w:fldCharType="separate"/>
      </w:r>
      <w:r>
        <w:rPr>
          <w:rStyle w:val="47"/>
          <w:rFonts w:hint="eastAsia" w:ascii="黑体" w:hAnsi="黑体" w:eastAsia="黑体"/>
        </w:rPr>
        <w:t>第一节采购清单一览表</w:t>
      </w:r>
      <w:r>
        <w:tab/>
      </w:r>
      <w:r>
        <w:fldChar w:fldCharType="begin"/>
      </w:r>
      <w:r>
        <w:instrText xml:space="preserve"> PAGEREF _Toc29913942 \h </w:instrText>
      </w:r>
      <w:r>
        <w:fldChar w:fldCharType="separate"/>
      </w:r>
      <w:r>
        <w:t>35</w:t>
      </w:r>
      <w:r>
        <w:fldChar w:fldCharType="end"/>
      </w:r>
      <w:r>
        <w:fldChar w:fldCharType="end"/>
      </w:r>
    </w:p>
    <w:p w14:paraId="6F130769">
      <w:pPr>
        <w:pStyle w:val="32"/>
        <w:tabs>
          <w:tab w:val="right" w:leader="dot" w:pos="8834"/>
        </w:tabs>
        <w:ind w:left="420"/>
        <w:rPr>
          <w:rFonts w:hint="eastAsia"/>
        </w:rPr>
      </w:pPr>
      <w:r>
        <w:fldChar w:fldCharType="begin"/>
      </w:r>
      <w:r>
        <w:instrText xml:space="preserve"> HYPERLINK \l "_Toc29913943" </w:instrText>
      </w:r>
      <w:r>
        <w:fldChar w:fldCharType="separate"/>
      </w:r>
      <w:r>
        <w:rPr>
          <w:rStyle w:val="47"/>
          <w:rFonts w:hint="eastAsia" w:ascii="黑体" w:hAnsi="黑体" w:eastAsia="黑体"/>
        </w:rPr>
        <w:t>第二节</w:t>
      </w:r>
      <w:r>
        <w:rPr>
          <w:rStyle w:val="47"/>
          <w:rFonts w:hint="eastAsia" w:ascii="黑体" w:hAnsi="黑体" w:eastAsia="黑体"/>
          <w:lang w:eastAsia="zh-CN"/>
        </w:rPr>
        <w:t>服务</w:t>
      </w:r>
      <w:r>
        <w:rPr>
          <w:rStyle w:val="47"/>
          <w:rFonts w:hint="eastAsia" w:ascii="黑体" w:hAnsi="黑体" w:eastAsia="黑体"/>
        </w:rPr>
        <w:t>要求</w:t>
      </w:r>
      <w:r>
        <w:rPr>
          <w:rStyle w:val="47"/>
          <w:rFonts w:hint="eastAsia" w:ascii="黑体" w:hAnsi="黑体" w:eastAsia="黑体"/>
          <w:lang w:eastAsia="zh-CN"/>
        </w:rPr>
        <w:t>及商务要求</w:t>
      </w:r>
      <w:r>
        <w:tab/>
      </w:r>
      <w:r>
        <w:fldChar w:fldCharType="begin"/>
      </w:r>
      <w:r>
        <w:instrText xml:space="preserve"> PAGEREF _Toc29913943 \h </w:instrText>
      </w:r>
      <w:r>
        <w:fldChar w:fldCharType="separate"/>
      </w:r>
      <w:r>
        <w:rPr>
          <w:b/>
        </w:rPr>
        <w:t>错误！未定义书签。</w:t>
      </w:r>
      <w:r>
        <w:fldChar w:fldCharType="end"/>
      </w:r>
      <w:r>
        <w:fldChar w:fldCharType="end"/>
      </w:r>
    </w:p>
    <w:p w14:paraId="414269FE">
      <w:pPr>
        <w:pStyle w:val="28"/>
        <w:tabs>
          <w:tab w:val="right" w:leader="dot" w:pos="8834"/>
        </w:tabs>
        <w:rPr>
          <w:rFonts w:asciiTheme="minorHAnsi" w:hAnsiTheme="minorHAnsi" w:cstheme="minorBidi"/>
          <w:b w:val="0"/>
          <w:sz w:val="21"/>
          <w:szCs w:val="22"/>
        </w:rPr>
      </w:pPr>
      <w:r>
        <w:fldChar w:fldCharType="begin"/>
      </w:r>
      <w:r>
        <w:instrText xml:space="preserve"> HYPERLINK \l "_Toc29913944" </w:instrText>
      </w:r>
      <w:r>
        <w:fldChar w:fldCharType="separate"/>
      </w:r>
      <w:r>
        <w:rPr>
          <w:rStyle w:val="47"/>
          <w:rFonts w:hint="eastAsia" w:ascii="黑体" w:hAnsi="华文中宋" w:eastAsia="黑体"/>
        </w:rPr>
        <w:t>第六章政府采购合同</w:t>
      </w:r>
      <w:r>
        <w:tab/>
      </w:r>
      <w:r>
        <w:rPr>
          <w:rFonts w:hint="eastAsia" w:ascii="Times New Roman" w:hAnsi="Times New Roman" w:cstheme="minorBidi"/>
          <w:sz w:val="21"/>
          <w:szCs w:val="22"/>
        </w:rPr>
        <w:t>36</w:t>
      </w:r>
      <w:r>
        <w:rPr>
          <w:rFonts w:hint="eastAsia" w:ascii="Times New Roman" w:hAnsi="Times New Roman" w:cstheme="minorBidi"/>
          <w:sz w:val="21"/>
          <w:szCs w:val="22"/>
        </w:rPr>
        <w:fldChar w:fldCharType="end"/>
      </w:r>
    </w:p>
    <w:p w14:paraId="5EADB039">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"_Toc29913945" </w:instrText>
      </w:r>
      <w:r>
        <w:fldChar w:fldCharType="separate"/>
      </w:r>
      <w:r>
        <w:rPr>
          <w:rStyle w:val="47"/>
          <w:rFonts w:hint="eastAsia" w:ascii="黑体" w:hAnsi="华文中宋" w:eastAsia="黑体"/>
        </w:rPr>
        <w:t>第一节政府采购合同协议书</w:t>
      </w:r>
      <w:r>
        <w:tab/>
      </w:r>
      <w:r>
        <w:rPr>
          <w:rFonts w:hint="eastAsia"/>
        </w:rPr>
        <w:t>36</w:t>
      </w:r>
      <w:r>
        <w:rPr>
          <w:rFonts w:hint="eastAsia"/>
        </w:rPr>
        <w:fldChar w:fldCharType="end"/>
      </w:r>
    </w:p>
    <w:p w14:paraId="5FC5848C">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"_Toc29913946" </w:instrText>
      </w:r>
      <w:r>
        <w:fldChar w:fldCharType="separate"/>
      </w:r>
      <w:r>
        <w:rPr>
          <w:rStyle w:val="47"/>
          <w:rFonts w:hint="eastAsia" w:ascii="黑体" w:hAnsi="黑体" w:eastAsia="黑体"/>
        </w:rPr>
        <w:t>第二节政府采购合同通用条款</w:t>
      </w:r>
      <w:r>
        <w:tab/>
      </w:r>
      <w:r>
        <w:rPr>
          <w:rFonts w:hint="eastAsia"/>
        </w:rPr>
        <w:t>38</w:t>
      </w:r>
      <w:r>
        <w:rPr>
          <w:rFonts w:hint="eastAsia"/>
        </w:rPr>
        <w:fldChar w:fldCharType="end"/>
      </w:r>
    </w:p>
    <w:p w14:paraId="5181C25B">
      <w:pPr>
        <w:pStyle w:val="32"/>
        <w:tabs>
          <w:tab w:val="right" w:leader="dot" w:pos="8834"/>
        </w:tabs>
        <w:ind w:left="420"/>
        <w:rPr>
          <w:rFonts w:asciiTheme="minorHAnsi" w:hAnsiTheme="minorHAnsi" w:cstheme="minorBidi"/>
          <w:b w:val="0"/>
          <w:szCs w:val="22"/>
        </w:rPr>
      </w:pPr>
      <w:r>
        <w:fldChar w:fldCharType="begin"/>
      </w:r>
      <w:r>
        <w:instrText xml:space="preserve"> HYPERLINK \l "_Toc29913947" </w:instrText>
      </w:r>
      <w:r>
        <w:fldChar w:fldCharType="separate"/>
      </w:r>
      <w:r>
        <w:rPr>
          <w:rStyle w:val="47"/>
          <w:rFonts w:hint="eastAsia" w:ascii="黑体" w:hAnsi="华文中宋" w:eastAsia="黑体"/>
        </w:rPr>
        <w:t>第三节政府采购合同专用条款</w:t>
      </w:r>
      <w:r>
        <w:tab/>
      </w:r>
      <w:r>
        <w:rPr>
          <w:rFonts w:hint="eastAsia"/>
        </w:rPr>
        <w:t>44</w:t>
      </w:r>
      <w:r>
        <w:rPr>
          <w:rFonts w:hint="eastAsia"/>
        </w:rPr>
        <w:fldChar w:fldCharType="end"/>
      </w:r>
    </w:p>
    <w:p w14:paraId="2AD35247">
      <w:pPr>
        <w:pStyle w:val="28"/>
        <w:tabs>
          <w:tab w:val="right" w:leader="dot" w:pos="8834"/>
        </w:tabs>
        <w:rPr>
          <w:rFonts w:asciiTheme="minorHAnsi" w:hAnsiTheme="minorHAnsi" w:cstheme="minorBidi"/>
          <w:b w:val="0"/>
          <w:sz w:val="21"/>
          <w:szCs w:val="22"/>
        </w:rPr>
      </w:pPr>
      <w:r>
        <w:fldChar w:fldCharType="begin"/>
      </w:r>
      <w:r>
        <w:instrText xml:space="preserve"> HYPERLINK \l "_Toc29913948" </w:instrText>
      </w:r>
      <w:r>
        <w:fldChar w:fldCharType="separate"/>
      </w:r>
      <w:r>
        <w:rPr>
          <w:rStyle w:val="47"/>
          <w:rFonts w:hint="eastAsia" w:ascii="黑体" w:hAnsi="华文中宋" w:eastAsia="黑体"/>
        </w:rPr>
        <w:t>第七章投标文件的组成</w:t>
      </w:r>
      <w:r>
        <w:tab/>
      </w:r>
      <w:r>
        <w:rPr>
          <w:rFonts w:hint="eastAsia" w:ascii="Times New Roman" w:hAnsi="Times New Roman" w:cstheme="minorBidi"/>
          <w:sz w:val="21"/>
          <w:szCs w:val="22"/>
        </w:rPr>
        <w:t>45</w:t>
      </w:r>
      <w:r>
        <w:rPr>
          <w:rFonts w:hint="eastAsia" w:ascii="Times New Roman" w:hAnsi="Times New Roman" w:cstheme="minorBidi"/>
          <w:sz w:val="21"/>
          <w:szCs w:val="22"/>
        </w:rPr>
        <w:fldChar w:fldCharType="end"/>
      </w:r>
    </w:p>
    <w:p w14:paraId="5574A6D5">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"_Toc29913949" </w:instrText>
      </w:r>
      <w:r>
        <w:fldChar w:fldCharType="separate"/>
      </w:r>
      <w:r>
        <w:rPr>
          <w:rStyle w:val="47"/>
          <w:rFonts w:hint="eastAsia" w:ascii="黑体" w:hAnsi="黑体" w:eastAsia="黑体"/>
        </w:rPr>
        <w:t>第一部分资格证明文件</w:t>
      </w:r>
      <w:r>
        <w:tab/>
      </w:r>
      <w:r>
        <w:rPr>
          <w:rFonts w:hint="eastAsia"/>
        </w:rPr>
        <w:t>46</w:t>
      </w:r>
      <w:r>
        <w:rPr>
          <w:rFonts w:hint="eastAsia"/>
        </w:rPr>
        <w:fldChar w:fldCharType="end"/>
      </w:r>
    </w:p>
    <w:p w14:paraId="2A802A6A">
      <w:pPr>
        <w:pStyle w:val="20"/>
        <w:tabs>
          <w:tab w:val="right" w:leader="dot" w:pos="8834"/>
        </w:tabs>
        <w:ind w:left="840"/>
        <w:rPr>
          <w:rFonts w:asciiTheme="minorHAnsi" w:hAnsiTheme="minorHAnsi" w:cstheme="minorBidi"/>
          <w:b w:val="0"/>
          <w:szCs w:val="22"/>
        </w:rPr>
      </w:pPr>
      <w:r>
        <w:fldChar w:fldCharType="begin"/>
      </w:r>
      <w:r>
        <w:instrText xml:space="preserve"> HYPERLINK \l "_Toc29913950" </w:instrText>
      </w:r>
      <w:r>
        <w:fldChar w:fldCharType="separate"/>
      </w:r>
      <w:r>
        <w:rPr>
          <w:rStyle w:val="47"/>
          <w:rFonts w:hint="eastAsia" w:ascii="黑体" w:hAnsi="宋体" w:eastAsia="黑体"/>
        </w:rPr>
        <w:t>一、开标一览表</w:t>
      </w:r>
      <w:r>
        <w:tab/>
      </w:r>
      <w:r>
        <w:rPr>
          <w:rFonts w:hint="eastAsia"/>
        </w:rPr>
        <w:t>47</w:t>
      </w:r>
      <w:r>
        <w:rPr>
          <w:rFonts w:hint="eastAsia"/>
        </w:rPr>
        <w:fldChar w:fldCharType="end"/>
      </w:r>
    </w:p>
    <w:p w14:paraId="77CE298F">
      <w:pPr>
        <w:pStyle w:val="20"/>
        <w:tabs>
          <w:tab w:val="right" w:leader="dot" w:pos="8834"/>
        </w:tabs>
        <w:ind w:left="840"/>
        <w:rPr>
          <w:rFonts w:asciiTheme="minorHAnsi" w:hAnsiTheme="minorHAnsi" w:cstheme="minorBidi"/>
          <w:b w:val="0"/>
          <w:szCs w:val="22"/>
        </w:rPr>
      </w:pPr>
      <w:r>
        <w:fldChar w:fldCharType="begin"/>
      </w:r>
      <w:r>
        <w:instrText xml:space="preserve"> HYPERLINK \l "_Toc29913951" </w:instrText>
      </w:r>
      <w:r>
        <w:fldChar w:fldCharType="separate"/>
      </w:r>
      <w:r>
        <w:rPr>
          <w:rStyle w:val="47"/>
          <w:rFonts w:hint="eastAsia" w:ascii="黑体" w:hAnsi="宋体" w:eastAsia="黑体"/>
        </w:rPr>
        <w:t>二、投标保证金</w:t>
      </w:r>
      <w:r>
        <w:tab/>
      </w:r>
      <w:r>
        <w:rPr>
          <w:rFonts w:hint="eastAsia"/>
        </w:rPr>
        <w:t>48</w:t>
      </w:r>
      <w:r>
        <w:rPr>
          <w:rFonts w:hint="eastAsia"/>
        </w:rPr>
        <w:fldChar w:fldCharType="end"/>
      </w:r>
    </w:p>
    <w:p w14:paraId="58F55927">
      <w:pPr>
        <w:pStyle w:val="20"/>
        <w:tabs>
          <w:tab w:val="right" w:leader="dot" w:pos="8834"/>
        </w:tabs>
        <w:ind w:left="840"/>
        <w:rPr>
          <w:rFonts w:asciiTheme="minorHAnsi" w:hAnsiTheme="minorHAnsi" w:cstheme="minorBidi"/>
          <w:b w:val="0"/>
          <w:szCs w:val="22"/>
        </w:rPr>
      </w:pPr>
      <w:r>
        <w:fldChar w:fldCharType="begin"/>
      </w:r>
      <w:r>
        <w:instrText xml:space="preserve"> HYPERLINK \l "_Toc29913953" </w:instrText>
      </w:r>
      <w:r>
        <w:fldChar w:fldCharType="separate"/>
      </w:r>
      <w:r>
        <w:rPr>
          <w:rStyle w:val="47"/>
          <w:rFonts w:hint="eastAsia" w:ascii="黑体" w:hAnsi="黑体" w:eastAsia="黑体"/>
        </w:rPr>
        <w:t>三、法定代表人（单位负责人）身份证明</w:t>
      </w:r>
      <w:r>
        <w:tab/>
      </w:r>
      <w:r>
        <w:rPr>
          <w:rFonts w:hint="eastAsia"/>
        </w:rPr>
        <w:t>49</w:t>
      </w:r>
      <w:r>
        <w:rPr>
          <w:rFonts w:hint="eastAsia"/>
        </w:rPr>
        <w:fldChar w:fldCharType="end"/>
      </w:r>
    </w:p>
    <w:p w14:paraId="78880D44">
      <w:pPr>
        <w:pStyle w:val="20"/>
        <w:tabs>
          <w:tab w:val="right" w:leader="dot" w:pos="8834"/>
        </w:tabs>
        <w:ind w:left="840"/>
        <w:rPr>
          <w:rFonts w:asciiTheme="minorHAnsi" w:hAnsiTheme="minorHAnsi" w:cstheme="minorBidi"/>
          <w:b w:val="0"/>
          <w:szCs w:val="22"/>
        </w:rPr>
      </w:pPr>
      <w:r>
        <w:fldChar w:fldCharType="begin"/>
      </w:r>
      <w:r>
        <w:instrText xml:space="preserve"> HYPERLINK \l "_Toc29913954" </w:instrText>
      </w:r>
      <w:r>
        <w:fldChar w:fldCharType="separate"/>
      </w:r>
      <w:r>
        <w:rPr>
          <w:rStyle w:val="47"/>
          <w:rFonts w:hint="eastAsia" w:ascii="黑体" w:hAnsi="宋体" w:eastAsia="黑体"/>
        </w:rPr>
        <w:t>三、授权委托书</w:t>
      </w:r>
      <w:r>
        <w:tab/>
      </w:r>
      <w:r>
        <w:fldChar w:fldCharType="begin"/>
      </w:r>
      <w:r>
        <w:instrText xml:space="preserve"> PAGEREF _Toc29913954 \h </w:instrText>
      </w:r>
      <w:r>
        <w:fldChar w:fldCharType="separate"/>
      </w:r>
      <w:r>
        <w:t>55</w:t>
      </w:r>
      <w:r>
        <w:fldChar w:fldCharType="end"/>
      </w:r>
      <w:r>
        <w:fldChar w:fldCharType="end"/>
      </w:r>
    </w:p>
    <w:p w14:paraId="7DB20F05">
      <w:pPr>
        <w:pStyle w:val="20"/>
        <w:tabs>
          <w:tab w:val="right" w:leader="dot" w:pos="8834"/>
        </w:tabs>
        <w:ind w:left="840"/>
        <w:rPr>
          <w:rFonts w:asciiTheme="minorHAnsi" w:hAnsiTheme="minorHAnsi" w:cstheme="minorBidi"/>
          <w:b w:val="0"/>
          <w:szCs w:val="22"/>
        </w:rPr>
      </w:pPr>
      <w:r>
        <w:fldChar w:fldCharType="begin"/>
      </w:r>
      <w:r>
        <w:instrText xml:space="preserve"> HYPERLINK \l "_Toc29913955" </w:instrText>
      </w:r>
      <w:r>
        <w:fldChar w:fldCharType="separate"/>
      </w:r>
      <w:r>
        <w:rPr>
          <w:rStyle w:val="47"/>
          <w:rFonts w:hint="eastAsia" w:ascii="黑体" w:hAnsi="宋体" w:eastAsia="黑体"/>
        </w:rPr>
        <w:t>四、投标人提供的资格证明文件</w:t>
      </w:r>
      <w:r>
        <w:tab/>
      </w:r>
      <w:r>
        <w:fldChar w:fldCharType="begin"/>
      </w:r>
      <w:r>
        <w:instrText xml:space="preserve"> PAGEREF _Toc29913955 \h </w:instrText>
      </w:r>
      <w:r>
        <w:fldChar w:fldCharType="separate"/>
      </w:r>
      <w:r>
        <w:t>56</w:t>
      </w:r>
      <w:r>
        <w:fldChar w:fldCharType="end"/>
      </w:r>
      <w:r>
        <w:fldChar w:fldCharType="end"/>
      </w:r>
    </w:p>
    <w:p w14:paraId="4397F188">
      <w:pPr>
        <w:pStyle w:val="29"/>
        <w:tabs>
          <w:tab w:val="right" w:leader="dot" w:pos="8834"/>
        </w:tabs>
        <w:ind w:left="1260"/>
        <w:rPr>
          <w:b w:val="0"/>
        </w:rPr>
      </w:pPr>
      <w:r>
        <w:fldChar w:fldCharType="begin"/>
      </w:r>
      <w:r>
        <w:instrText xml:space="preserve"> HYPERLINK \l "_Toc29913956"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4-1 </w:t>
      </w:r>
      <w:r>
        <w:rPr>
          <w:rStyle w:val="47"/>
          <w:rFonts w:hint="eastAsia" w:ascii="黑体" w:hAnsi="宋体" w:eastAsia="黑体" w:cs="Times New Roman"/>
          <w:szCs w:val="24"/>
        </w:rPr>
        <w:t>法人或者其他组织的营业执照等主体资格证明文件，自然人的身份证明</w:t>
      </w:r>
      <w:r>
        <w:tab/>
      </w:r>
      <w:r>
        <w:fldChar w:fldCharType="begin"/>
      </w:r>
      <w:r>
        <w:instrText xml:space="preserve"> PAGEREF _Toc29913956 \h </w:instrText>
      </w:r>
      <w:r>
        <w:fldChar w:fldCharType="separate"/>
      </w:r>
      <w:r>
        <w:t>57</w:t>
      </w:r>
      <w:r>
        <w:fldChar w:fldCharType="end"/>
      </w:r>
      <w:r>
        <w:fldChar w:fldCharType="end"/>
      </w:r>
    </w:p>
    <w:p w14:paraId="6FFC4D72">
      <w:pPr>
        <w:pStyle w:val="29"/>
        <w:tabs>
          <w:tab w:val="right" w:leader="dot" w:pos="8834"/>
        </w:tabs>
        <w:ind w:left="1260"/>
        <w:rPr>
          <w:rFonts w:hint="eastAsia"/>
        </w:rPr>
      </w:pPr>
      <w:r>
        <w:fldChar w:fldCharType="begin"/>
      </w:r>
      <w:r>
        <w:instrText xml:space="preserve"> HYPERLINK \l "_Toc29913957"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4-2 </w:t>
      </w:r>
      <w:r>
        <w:rPr>
          <w:rStyle w:val="47"/>
          <w:rFonts w:hint="eastAsia" w:ascii="黑体" w:hAnsi="宋体" w:eastAsia="黑体" w:cs="Times New Roman"/>
          <w:szCs w:val="24"/>
        </w:rPr>
        <w:t>投标人资格声明</w:t>
      </w:r>
      <w:r>
        <w:rPr>
          <w:rStyle w:val="47"/>
          <w:rFonts w:ascii="黑体" w:hAnsi="宋体" w:eastAsia="黑体" w:cs="Times New Roman"/>
          <w:szCs w:val="24"/>
        </w:rPr>
        <w:t>(</w:t>
      </w:r>
      <w:r>
        <w:rPr>
          <w:rStyle w:val="47"/>
          <w:rFonts w:hint="eastAsia" w:ascii="黑体" w:hAnsi="宋体" w:eastAsia="黑体" w:cs="Times New Roman"/>
          <w:szCs w:val="24"/>
        </w:rPr>
        <w:t>格式</w:t>
      </w:r>
      <w:r>
        <w:rPr>
          <w:rStyle w:val="47"/>
          <w:rFonts w:ascii="黑体" w:hAnsi="宋体" w:eastAsia="黑体" w:cs="Times New Roman"/>
          <w:szCs w:val="24"/>
        </w:rPr>
        <w:t>)</w:t>
      </w:r>
      <w:r>
        <w:tab/>
      </w:r>
      <w:r>
        <w:rPr>
          <w:rFonts w:hint="eastAsia" w:ascii="Times New Roman" w:hAnsi="Times New Roman"/>
        </w:rPr>
        <w:t>53</w:t>
      </w:r>
      <w:r>
        <w:rPr>
          <w:rFonts w:hint="eastAsia" w:ascii="Times New Roman" w:hAnsi="Times New Roman"/>
        </w:rPr>
        <w:fldChar w:fldCharType="end"/>
      </w:r>
    </w:p>
    <w:p w14:paraId="0FA1E8C1">
      <w:pPr>
        <w:pStyle w:val="29"/>
        <w:tabs>
          <w:tab w:val="right" w:leader="dot" w:pos="8834"/>
        </w:tabs>
        <w:ind w:left="1260"/>
        <w:rPr>
          <w:rFonts w:hint="eastAsia"/>
        </w:rPr>
      </w:pPr>
      <w:r>
        <w:fldChar w:fldCharType="begin"/>
      </w:r>
      <w:r>
        <w:instrText xml:space="preserve"> HYPERLINK \l "_Toc29913957"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4-</w:t>
      </w:r>
      <w:r>
        <w:rPr>
          <w:rStyle w:val="47"/>
          <w:rFonts w:hint="eastAsia" w:ascii="黑体" w:hAnsi="宋体" w:eastAsia="黑体" w:cs="Times New Roman"/>
          <w:szCs w:val="24"/>
        </w:rPr>
        <w:t>3</w:t>
      </w:r>
      <w:r>
        <w:rPr>
          <w:rStyle w:val="47"/>
          <w:rFonts w:hint="eastAsia" w:hAnsi="宋体" w:eastAsia="黑体" w:cs="Times New Roman"/>
          <w:szCs w:val="24"/>
        </w:rPr>
        <w:t>湖南省政府采购供应商资格承诺函(格式)</w:t>
      </w:r>
      <w:r>
        <w:rPr>
          <w:rStyle w:val="47"/>
          <w:rFonts w:ascii="黑体" w:hAnsi="宋体" w:eastAsia="黑体" w:cs="Times New Roman"/>
          <w:szCs w:val="24"/>
        </w:rPr>
        <w:tab/>
      </w:r>
      <w:r>
        <w:rPr>
          <w:rFonts w:hint="eastAsia" w:ascii="Times New Roman" w:hAnsi="Times New Roman"/>
        </w:rPr>
        <w:t>55</w:t>
      </w:r>
      <w:r>
        <w:rPr>
          <w:rFonts w:hint="eastAsia" w:ascii="Times New Roman" w:hAnsi="Times New Roman"/>
        </w:rPr>
        <w:fldChar w:fldCharType="end"/>
      </w:r>
    </w:p>
    <w:p w14:paraId="5CE307B0">
      <w:pPr>
        <w:pStyle w:val="29"/>
        <w:tabs>
          <w:tab w:val="right" w:leader="dot" w:pos="8834"/>
        </w:tabs>
        <w:ind w:left="1260"/>
        <w:rPr>
          <w:rStyle w:val="47"/>
          <w:rFonts w:ascii="黑体" w:hAnsi="宋体" w:eastAsia="黑体" w:cs="Times New Roman"/>
          <w:szCs w:val="24"/>
        </w:rPr>
      </w:pPr>
      <w:r>
        <w:fldChar w:fldCharType="begin"/>
      </w:r>
      <w:r>
        <w:instrText xml:space="preserve"> HYPERLINK \l "_Toc29913958"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4-3 </w:t>
      </w:r>
      <w:r>
        <w:rPr>
          <w:rStyle w:val="47"/>
          <w:rFonts w:hint="eastAsia" w:ascii="黑体" w:hAnsi="宋体" w:eastAsia="黑体" w:cs="Times New Roman"/>
          <w:szCs w:val="24"/>
        </w:rPr>
        <w:t>符合特定资格条件证明材料复印件或者情况说明</w:t>
      </w:r>
      <w:r>
        <w:rPr>
          <w:rStyle w:val="47"/>
          <w:rFonts w:ascii="黑体" w:hAnsi="宋体" w:eastAsia="黑体" w:cs="Times New Roman"/>
          <w:szCs w:val="24"/>
        </w:rPr>
        <w:tab/>
      </w:r>
      <w:r>
        <w:rPr>
          <w:rFonts w:hint="eastAsia" w:ascii="Times New Roman" w:hAnsi="Times New Roman"/>
        </w:rPr>
        <w:t>56</w:t>
      </w:r>
      <w:r>
        <w:rPr>
          <w:rFonts w:hint="eastAsia" w:ascii="Times New Roman" w:hAnsi="Times New Roman"/>
        </w:rPr>
        <w:fldChar w:fldCharType="end"/>
      </w:r>
    </w:p>
    <w:p w14:paraId="05D9FC53">
      <w:pPr>
        <w:pStyle w:val="29"/>
        <w:tabs>
          <w:tab w:val="right" w:leader="dot" w:pos="8834"/>
        </w:tabs>
        <w:ind w:left="1260"/>
        <w:rPr>
          <w:b w:val="0"/>
        </w:rPr>
      </w:pPr>
      <w:r>
        <w:fldChar w:fldCharType="begin"/>
      </w:r>
      <w:r>
        <w:instrText xml:space="preserve"> HYPERLINK \l "_Toc29913959"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4-4 </w:t>
      </w:r>
      <w:r>
        <w:rPr>
          <w:rStyle w:val="47"/>
          <w:rFonts w:hint="eastAsia" w:ascii="黑体" w:hAnsi="宋体" w:eastAsia="黑体" w:cs="Times New Roman"/>
          <w:szCs w:val="24"/>
        </w:rPr>
        <w:t>联合体协议书（格式）</w:t>
      </w:r>
      <w:r>
        <w:tab/>
      </w:r>
      <w:r>
        <w:rPr>
          <w:rFonts w:hint="eastAsia" w:ascii="Times New Roman" w:hAnsi="Times New Roman"/>
        </w:rPr>
        <w:t>57</w:t>
      </w:r>
      <w:r>
        <w:rPr>
          <w:rFonts w:hint="eastAsia" w:ascii="Times New Roman" w:hAnsi="Times New Roman"/>
        </w:rPr>
        <w:fldChar w:fldCharType="end"/>
      </w:r>
    </w:p>
    <w:p w14:paraId="72044D60">
      <w:pPr>
        <w:pStyle w:val="32"/>
        <w:tabs>
          <w:tab w:val="right" w:leader="dot" w:pos="8834"/>
        </w:tabs>
        <w:ind w:left="420"/>
        <w:rPr>
          <w:rFonts w:asciiTheme="minorHAnsi" w:hAnsiTheme="minorHAnsi" w:eastAsiaTheme="minorEastAsia" w:cstheme="minorBidi"/>
          <w:b w:val="0"/>
          <w:szCs w:val="22"/>
        </w:rPr>
      </w:pPr>
      <w:r>
        <w:fldChar w:fldCharType="begin"/>
      </w:r>
      <w:r>
        <w:instrText xml:space="preserve"> HYPERLINK \l "_Toc29913960" </w:instrText>
      </w:r>
      <w:r>
        <w:fldChar w:fldCharType="separate"/>
      </w:r>
      <w:r>
        <w:rPr>
          <w:rStyle w:val="47"/>
          <w:rFonts w:hint="eastAsia" w:ascii="黑体" w:hAnsi="黑体" w:eastAsia="黑体"/>
        </w:rPr>
        <w:t>第二部分商务技术文件</w:t>
      </w:r>
      <w:r>
        <w:tab/>
      </w:r>
      <w:r>
        <w:rPr>
          <w:rFonts w:hint="eastAsia"/>
        </w:rPr>
        <w:t>58</w:t>
      </w:r>
      <w:r>
        <w:rPr>
          <w:rFonts w:hint="eastAsia"/>
        </w:rPr>
        <w:fldChar w:fldCharType="end"/>
      </w:r>
    </w:p>
    <w:p w14:paraId="5408CC7E">
      <w:pPr>
        <w:pStyle w:val="20"/>
        <w:tabs>
          <w:tab w:val="right" w:leader="dot" w:pos="8834"/>
        </w:tabs>
        <w:ind w:left="840"/>
        <w:rPr>
          <w:rFonts w:asciiTheme="minorHAnsi" w:hAnsiTheme="minorHAnsi" w:cstheme="minorBidi"/>
          <w:b w:val="0"/>
          <w:szCs w:val="22"/>
        </w:rPr>
      </w:pPr>
      <w:r>
        <w:fldChar w:fldCharType="begin"/>
      </w:r>
      <w:r>
        <w:instrText xml:space="preserve"> HYPERLINK \l "_Toc29913961" </w:instrText>
      </w:r>
      <w:r>
        <w:fldChar w:fldCharType="separate"/>
      </w:r>
      <w:r>
        <w:rPr>
          <w:rStyle w:val="47"/>
          <w:rFonts w:hint="eastAsia" w:ascii="黑体" w:hAnsi="宋体" w:eastAsia="黑体"/>
        </w:rPr>
        <w:t>五、投标函</w:t>
      </w:r>
      <w:r>
        <w:tab/>
      </w:r>
      <w:r>
        <w:rPr>
          <w:rFonts w:hint="eastAsia"/>
        </w:rPr>
        <w:t>59</w:t>
      </w:r>
      <w:r>
        <w:rPr>
          <w:rFonts w:hint="eastAsia"/>
        </w:rPr>
        <w:fldChar w:fldCharType="end"/>
      </w:r>
    </w:p>
    <w:p w14:paraId="2A6A9586">
      <w:pPr>
        <w:pStyle w:val="20"/>
        <w:tabs>
          <w:tab w:val="right" w:leader="dot" w:pos="8834"/>
        </w:tabs>
        <w:ind w:left="840"/>
        <w:rPr>
          <w:rFonts w:asciiTheme="minorHAnsi" w:hAnsiTheme="minorHAnsi" w:cstheme="minorBidi"/>
          <w:b w:val="0"/>
          <w:szCs w:val="22"/>
        </w:rPr>
      </w:pPr>
      <w:r>
        <w:fldChar w:fldCharType="begin"/>
      </w:r>
      <w:r>
        <w:instrText xml:space="preserve"> HYPERLINK \l "_Toc29913962" </w:instrText>
      </w:r>
      <w:r>
        <w:fldChar w:fldCharType="separate"/>
      </w:r>
      <w:r>
        <w:rPr>
          <w:rStyle w:val="47"/>
          <w:rFonts w:hint="eastAsia" w:ascii="黑体" w:hAnsi="宋体" w:eastAsia="黑体"/>
        </w:rPr>
        <w:t>六、分项报价</w:t>
      </w:r>
      <w:r>
        <w:tab/>
      </w:r>
      <w:r>
        <w:fldChar w:fldCharType="begin"/>
      </w:r>
      <w:r>
        <w:instrText xml:space="preserve"> PAGEREF _Toc29913962 \h </w:instrText>
      </w:r>
      <w:r>
        <w:fldChar w:fldCharType="separate"/>
      </w:r>
      <w:r>
        <w:t>66</w:t>
      </w:r>
      <w:r>
        <w:fldChar w:fldCharType="end"/>
      </w:r>
      <w:r>
        <w:fldChar w:fldCharType="end"/>
      </w:r>
    </w:p>
    <w:p w14:paraId="01A5CEDB">
      <w:pPr>
        <w:pStyle w:val="29"/>
        <w:tabs>
          <w:tab w:val="right" w:leader="dot" w:pos="8834"/>
        </w:tabs>
        <w:ind w:left="1260"/>
        <w:rPr>
          <w:b w:val="0"/>
        </w:rPr>
      </w:pPr>
      <w:r>
        <w:fldChar w:fldCharType="begin"/>
      </w:r>
      <w:r>
        <w:instrText xml:space="preserve"> HYPERLINK \l "_Toc29913963"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6-1 </w:t>
      </w:r>
      <w:r>
        <w:rPr>
          <w:rStyle w:val="47"/>
          <w:rFonts w:hint="eastAsia" w:ascii="黑体" w:hAnsi="宋体" w:eastAsia="黑体" w:cs="Times New Roman"/>
          <w:szCs w:val="24"/>
        </w:rPr>
        <w:t>分项报价说明</w:t>
      </w:r>
      <w:r>
        <w:tab/>
      </w:r>
      <w:r>
        <w:fldChar w:fldCharType="begin"/>
      </w:r>
      <w:r>
        <w:instrText xml:space="preserve"> PAGEREF _Toc29913963 \h </w:instrText>
      </w:r>
      <w:r>
        <w:fldChar w:fldCharType="separate"/>
      </w:r>
      <w:r>
        <w:t>66</w:t>
      </w:r>
      <w:r>
        <w:fldChar w:fldCharType="end"/>
      </w:r>
      <w:r>
        <w:fldChar w:fldCharType="end"/>
      </w:r>
    </w:p>
    <w:p w14:paraId="5EBF80BF">
      <w:pPr>
        <w:pStyle w:val="29"/>
        <w:tabs>
          <w:tab w:val="right" w:leader="dot" w:pos="8834"/>
        </w:tabs>
        <w:ind w:left="1260"/>
        <w:rPr>
          <w:b w:val="0"/>
        </w:rPr>
      </w:pPr>
      <w:r>
        <w:fldChar w:fldCharType="begin"/>
      </w:r>
      <w:r>
        <w:instrText xml:space="preserve"> HYPERLINK \l "_Toc29913964"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6-2 </w:t>
      </w:r>
      <w:r>
        <w:rPr>
          <w:rStyle w:val="47"/>
          <w:rFonts w:hint="eastAsia" w:ascii="黑体" w:hAnsi="宋体" w:eastAsia="黑体" w:cs="Times New Roman"/>
          <w:szCs w:val="24"/>
        </w:rPr>
        <w:t>分项报价明细表</w:t>
      </w:r>
      <w:r>
        <w:tab/>
      </w:r>
      <w:r>
        <w:fldChar w:fldCharType="begin"/>
      </w:r>
      <w:r>
        <w:instrText xml:space="preserve"> PAGEREF _Toc29913964 \h </w:instrText>
      </w:r>
      <w:r>
        <w:fldChar w:fldCharType="separate"/>
      </w:r>
      <w:r>
        <w:t>66</w:t>
      </w:r>
      <w:r>
        <w:fldChar w:fldCharType="end"/>
      </w:r>
      <w:r>
        <w:fldChar w:fldCharType="end"/>
      </w:r>
    </w:p>
    <w:p w14:paraId="2BA504BB">
      <w:pPr>
        <w:pStyle w:val="20"/>
        <w:tabs>
          <w:tab w:val="right" w:leader="dot" w:pos="8834"/>
        </w:tabs>
        <w:ind w:left="840"/>
        <w:rPr>
          <w:rFonts w:asciiTheme="minorHAnsi" w:hAnsiTheme="minorHAnsi" w:cstheme="minorBidi"/>
          <w:b w:val="0"/>
          <w:szCs w:val="22"/>
        </w:rPr>
      </w:pPr>
      <w:r>
        <w:fldChar w:fldCharType="begin"/>
      </w:r>
      <w:r>
        <w:instrText xml:space="preserve"> HYPERLINK \l "_Toc29913965" </w:instrText>
      </w:r>
      <w:r>
        <w:fldChar w:fldCharType="separate"/>
      </w:r>
      <w:r>
        <w:rPr>
          <w:rStyle w:val="47"/>
          <w:rFonts w:hint="eastAsia" w:ascii="黑体" w:hAnsi="宋体" w:eastAsia="黑体"/>
        </w:rPr>
        <w:t>七、采购需求响应</w:t>
      </w:r>
      <w:r>
        <w:tab/>
      </w:r>
      <w:r>
        <w:fldChar w:fldCharType="begin"/>
      </w:r>
      <w:r>
        <w:instrText xml:space="preserve"> PAGEREF _Toc29913965 \h </w:instrText>
      </w:r>
      <w:r>
        <w:fldChar w:fldCharType="separate"/>
      </w:r>
      <w:r>
        <w:t>67</w:t>
      </w:r>
      <w:r>
        <w:fldChar w:fldCharType="end"/>
      </w:r>
      <w:r>
        <w:fldChar w:fldCharType="end"/>
      </w:r>
    </w:p>
    <w:p w14:paraId="07E82E73">
      <w:pPr>
        <w:pStyle w:val="20"/>
        <w:tabs>
          <w:tab w:val="right" w:leader="dot" w:pos="8834"/>
        </w:tabs>
        <w:ind w:left="840"/>
        <w:rPr>
          <w:rFonts w:asciiTheme="minorHAnsi" w:hAnsiTheme="minorHAnsi" w:cstheme="minorBidi"/>
          <w:b w:val="0"/>
          <w:szCs w:val="22"/>
        </w:rPr>
      </w:pPr>
      <w:r>
        <w:fldChar w:fldCharType="begin"/>
      </w:r>
      <w:r>
        <w:instrText xml:space="preserve"> HYPERLINK \l "_Toc29913967" </w:instrText>
      </w:r>
      <w:r>
        <w:fldChar w:fldCharType="separate"/>
      </w:r>
      <w:r>
        <w:rPr>
          <w:rStyle w:val="47"/>
          <w:rFonts w:hint="eastAsia" w:ascii="黑体" w:hAnsi="黑体" w:eastAsia="黑体"/>
        </w:rPr>
        <w:t>八、合同条款偏离表</w:t>
      </w:r>
      <w:r>
        <w:tab/>
      </w:r>
      <w:r>
        <w:rPr>
          <w:rFonts w:hint="eastAsia"/>
        </w:rPr>
        <w:t>64</w:t>
      </w:r>
      <w:r>
        <w:rPr>
          <w:rFonts w:hint="eastAsia"/>
        </w:rPr>
        <w:fldChar w:fldCharType="end"/>
      </w:r>
    </w:p>
    <w:p w14:paraId="4F9CAA1B">
      <w:pPr>
        <w:pStyle w:val="20"/>
        <w:tabs>
          <w:tab w:val="right" w:leader="dot" w:pos="8834"/>
        </w:tabs>
        <w:ind w:left="840"/>
        <w:rPr>
          <w:rFonts w:asciiTheme="minorHAnsi" w:hAnsiTheme="minorHAnsi" w:cstheme="minorBidi"/>
          <w:b w:val="0"/>
          <w:szCs w:val="22"/>
        </w:rPr>
      </w:pPr>
      <w:r>
        <w:fldChar w:fldCharType="begin"/>
      </w:r>
      <w:r>
        <w:instrText xml:space="preserve"> HYPERLINK \l "_Toc29913968" </w:instrText>
      </w:r>
      <w:r>
        <w:fldChar w:fldCharType="separate"/>
      </w:r>
      <w:r>
        <w:rPr>
          <w:rStyle w:val="47"/>
          <w:rFonts w:hint="eastAsia" w:ascii="黑体" w:hAnsi="宋体" w:eastAsia="黑体"/>
        </w:rPr>
        <w:t>九、采购需求偏离表</w:t>
      </w:r>
      <w:r>
        <w:tab/>
      </w:r>
      <w:r>
        <w:rPr>
          <w:rFonts w:hint="eastAsia"/>
        </w:rPr>
        <w:t>65</w:t>
      </w:r>
      <w:r>
        <w:rPr>
          <w:rFonts w:hint="eastAsia"/>
        </w:rPr>
        <w:fldChar w:fldCharType="end"/>
      </w:r>
    </w:p>
    <w:p w14:paraId="49A037C6">
      <w:pPr>
        <w:pStyle w:val="20"/>
        <w:tabs>
          <w:tab w:val="right" w:leader="dot" w:pos="8834"/>
        </w:tabs>
        <w:ind w:left="840"/>
        <w:rPr>
          <w:rFonts w:asciiTheme="minorHAnsi" w:hAnsiTheme="minorHAnsi" w:cstheme="minorBidi"/>
          <w:b w:val="0"/>
          <w:szCs w:val="22"/>
        </w:rPr>
      </w:pPr>
      <w:r>
        <w:fldChar w:fldCharType="begin"/>
      </w:r>
      <w:r>
        <w:instrText xml:space="preserve"> HYPERLINK \l "_Toc29913969" </w:instrText>
      </w:r>
      <w:r>
        <w:fldChar w:fldCharType="separate"/>
      </w:r>
      <w:r>
        <w:rPr>
          <w:rStyle w:val="47"/>
          <w:rFonts w:hint="eastAsia" w:ascii="宋体" w:hAnsi="宋体"/>
        </w:rPr>
        <w:t>十</w:t>
      </w:r>
      <w:r>
        <w:rPr>
          <w:rStyle w:val="47"/>
          <w:rFonts w:hint="eastAsia" w:ascii="黑体" w:hAnsi="宋体" w:eastAsia="黑体"/>
        </w:rPr>
        <w:t>、享受政府采购政策优惠的证明资料</w:t>
      </w:r>
      <w:r>
        <w:tab/>
      </w:r>
      <w:r>
        <w:rPr>
          <w:rFonts w:hint="eastAsia"/>
        </w:rPr>
        <w:t>66</w:t>
      </w:r>
      <w:r>
        <w:rPr>
          <w:rFonts w:hint="eastAsia"/>
        </w:rPr>
        <w:fldChar w:fldCharType="end"/>
      </w:r>
    </w:p>
    <w:p w14:paraId="0B45DB02">
      <w:pPr>
        <w:pStyle w:val="29"/>
        <w:tabs>
          <w:tab w:val="right" w:leader="dot" w:pos="8834"/>
        </w:tabs>
        <w:ind w:left="1260"/>
        <w:rPr>
          <w:rStyle w:val="47"/>
          <w:rFonts w:ascii="黑体" w:hAnsi="宋体" w:eastAsia="黑体" w:cs="Times New Roman"/>
          <w:szCs w:val="24"/>
        </w:rPr>
      </w:pPr>
      <w:r>
        <w:fldChar w:fldCharType="begin"/>
      </w:r>
      <w:r>
        <w:instrText xml:space="preserve"> HYPERLINK \l "_Toc29913970"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10-1</w:t>
      </w:r>
      <w:r>
        <w:rPr>
          <w:rStyle w:val="47"/>
          <w:rFonts w:hint="eastAsia" w:ascii="黑体" w:hAnsi="宋体" w:eastAsia="黑体" w:cs="Times New Roman"/>
          <w:szCs w:val="24"/>
        </w:rPr>
        <w:t>中小企业声明函</w:t>
      </w:r>
      <w:r>
        <w:rPr>
          <w:rStyle w:val="47"/>
          <w:rFonts w:ascii="黑体" w:hAnsi="宋体" w:eastAsia="黑体" w:cs="Times New Roman"/>
          <w:szCs w:val="24"/>
        </w:rPr>
        <w:tab/>
      </w:r>
      <w:r>
        <w:rPr>
          <w:rFonts w:hint="eastAsia" w:ascii="Times New Roman" w:hAnsi="Times New Roman"/>
        </w:rPr>
        <w:t>66</w:t>
      </w:r>
      <w:r>
        <w:rPr>
          <w:rFonts w:hint="eastAsia" w:ascii="Times New Roman" w:hAnsi="Times New Roman"/>
        </w:rPr>
        <w:fldChar w:fldCharType="end"/>
      </w:r>
    </w:p>
    <w:p w14:paraId="72A07E3C">
      <w:pPr>
        <w:pStyle w:val="29"/>
        <w:tabs>
          <w:tab w:val="right" w:leader="dot" w:pos="8834"/>
        </w:tabs>
        <w:ind w:left="1260"/>
        <w:rPr>
          <w:rStyle w:val="47"/>
          <w:rFonts w:ascii="黑体" w:hAnsi="宋体" w:eastAsia="黑体" w:cs="Times New Roman"/>
          <w:szCs w:val="24"/>
        </w:rPr>
      </w:pPr>
      <w:r>
        <w:fldChar w:fldCharType="begin"/>
      </w:r>
      <w:r>
        <w:instrText xml:space="preserve"> HYPERLINK \l "_Toc29913972"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10-2 </w:t>
      </w:r>
      <w:r>
        <w:rPr>
          <w:rStyle w:val="47"/>
          <w:rFonts w:hint="eastAsia" w:ascii="黑体" w:hAnsi="宋体" w:eastAsia="黑体" w:cs="Times New Roman"/>
          <w:szCs w:val="24"/>
        </w:rPr>
        <w:t>残疾人福利性单位声明函</w:t>
      </w:r>
      <w:r>
        <w:rPr>
          <w:rStyle w:val="47"/>
          <w:rFonts w:ascii="黑体" w:hAnsi="宋体" w:eastAsia="黑体" w:cs="Times New Roman"/>
          <w:szCs w:val="24"/>
        </w:rPr>
        <w:tab/>
      </w:r>
      <w:r>
        <w:rPr>
          <w:rFonts w:hint="eastAsia" w:ascii="Times New Roman" w:hAnsi="Times New Roman"/>
        </w:rPr>
        <w:t>67</w:t>
      </w:r>
      <w:r>
        <w:rPr>
          <w:rFonts w:hint="eastAsia" w:ascii="Times New Roman" w:hAnsi="Times New Roman"/>
        </w:rPr>
        <w:fldChar w:fldCharType="end"/>
      </w:r>
    </w:p>
    <w:p w14:paraId="540E2563">
      <w:pPr>
        <w:pStyle w:val="29"/>
        <w:tabs>
          <w:tab w:val="right" w:leader="dot" w:pos="8834"/>
        </w:tabs>
        <w:ind w:left="1260"/>
        <w:rPr>
          <w:rStyle w:val="47"/>
          <w:rFonts w:ascii="黑体" w:hAnsi="宋体" w:eastAsia="黑体" w:cs="Times New Roman"/>
          <w:szCs w:val="24"/>
        </w:rPr>
      </w:pPr>
      <w:r>
        <w:fldChar w:fldCharType="begin"/>
      </w:r>
      <w:r>
        <w:instrText xml:space="preserve"> HYPERLINK \l "_Toc29913973"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10-3 </w:t>
      </w:r>
      <w:r>
        <w:rPr>
          <w:rStyle w:val="47"/>
          <w:rFonts w:hint="eastAsia" w:ascii="黑体" w:hAnsi="宋体" w:eastAsia="黑体" w:cs="Times New Roman"/>
          <w:szCs w:val="24"/>
        </w:rPr>
        <w:t>监狱企业证明资料</w:t>
      </w:r>
      <w:r>
        <w:rPr>
          <w:rStyle w:val="47"/>
          <w:rFonts w:ascii="黑体" w:hAnsi="宋体" w:eastAsia="黑体" w:cs="Times New Roman"/>
          <w:szCs w:val="24"/>
        </w:rPr>
        <w:tab/>
      </w:r>
      <w:r>
        <w:rPr>
          <w:rFonts w:hint="eastAsia" w:ascii="Times New Roman" w:hAnsi="Times New Roman"/>
        </w:rPr>
        <w:t>68</w:t>
      </w:r>
      <w:r>
        <w:rPr>
          <w:rFonts w:hint="eastAsia" w:ascii="Times New Roman" w:hAnsi="Times New Roman"/>
        </w:rPr>
        <w:fldChar w:fldCharType="end"/>
      </w:r>
    </w:p>
    <w:p w14:paraId="2F9BC17F">
      <w:pPr>
        <w:pStyle w:val="29"/>
        <w:tabs>
          <w:tab w:val="right" w:leader="dot" w:pos="8834"/>
        </w:tabs>
        <w:ind w:left="1260"/>
        <w:rPr>
          <w:rStyle w:val="47"/>
          <w:rFonts w:ascii="黑体" w:hAnsi="宋体" w:eastAsia="黑体" w:cs="Times New Roman"/>
          <w:szCs w:val="24"/>
        </w:rPr>
      </w:pPr>
      <w:r>
        <w:fldChar w:fldCharType="begin"/>
      </w:r>
      <w:r>
        <w:instrText xml:space="preserve"> HYPERLINK \l "_Toc29913974" </w:instrText>
      </w:r>
      <w:r>
        <w:fldChar w:fldCharType="separate"/>
      </w:r>
      <w:r>
        <w:rPr>
          <w:rStyle w:val="47"/>
          <w:rFonts w:hint="eastAsia" w:ascii="黑体" w:hAnsi="宋体" w:eastAsia="黑体" w:cs="Times New Roman"/>
          <w:szCs w:val="24"/>
        </w:rPr>
        <w:t>附件</w:t>
      </w:r>
      <w:r>
        <w:rPr>
          <w:rStyle w:val="47"/>
          <w:rFonts w:ascii="黑体" w:hAnsi="宋体" w:eastAsia="黑体" w:cs="Times New Roman"/>
          <w:szCs w:val="24"/>
        </w:rPr>
        <w:t xml:space="preserve">10-4 </w:t>
      </w:r>
      <w:r>
        <w:rPr>
          <w:rStyle w:val="47"/>
          <w:rFonts w:hint="eastAsia" w:ascii="黑体" w:hAnsi="宋体" w:eastAsia="黑体" w:cs="Times New Roman"/>
          <w:szCs w:val="24"/>
        </w:rPr>
        <w:t>强制采购或者优先采购产品的证明材料</w:t>
      </w:r>
      <w:r>
        <w:rPr>
          <w:rStyle w:val="47"/>
          <w:rFonts w:ascii="黑体" w:hAnsi="宋体" w:eastAsia="黑体" w:cs="Times New Roman"/>
          <w:szCs w:val="24"/>
        </w:rPr>
        <w:tab/>
      </w:r>
      <w:r>
        <w:rPr>
          <w:rFonts w:hint="eastAsia" w:ascii="Times New Roman" w:hAnsi="Times New Roman"/>
        </w:rPr>
        <w:t>69</w:t>
      </w:r>
      <w:r>
        <w:rPr>
          <w:rFonts w:hint="eastAsia" w:ascii="Times New Roman" w:hAnsi="Times New Roman"/>
        </w:rPr>
        <w:fldChar w:fldCharType="end"/>
      </w:r>
    </w:p>
    <w:p w14:paraId="2E8E2B2A">
      <w:pPr>
        <w:pStyle w:val="29"/>
        <w:tabs>
          <w:tab w:val="right" w:leader="dot" w:pos="8834"/>
        </w:tabs>
        <w:ind w:left="1260"/>
        <w:rPr>
          <w:rStyle w:val="47"/>
          <w:rFonts w:ascii="黑体" w:hAnsi="宋体" w:eastAsia="黑体" w:cs="Times New Roman"/>
          <w:szCs w:val="24"/>
        </w:rPr>
      </w:pPr>
      <w:r>
        <w:fldChar w:fldCharType="begin"/>
      </w:r>
      <w:r>
        <w:instrText xml:space="preserve"> HYPERLINK \l "_Toc29913975" </w:instrText>
      </w:r>
      <w:r>
        <w:fldChar w:fldCharType="separate"/>
      </w:r>
      <w:r>
        <w:rPr>
          <w:rStyle w:val="47"/>
          <w:rFonts w:hint="eastAsia" w:ascii="黑体" w:hAnsi="宋体" w:eastAsia="黑体" w:cs="Times New Roman"/>
          <w:szCs w:val="24"/>
        </w:rPr>
        <w:t>附页</w:t>
      </w:r>
      <w:r>
        <w:rPr>
          <w:rStyle w:val="47"/>
          <w:rFonts w:ascii="黑体" w:hAnsi="宋体" w:eastAsia="黑体" w:cs="Times New Roman"/>
          <w:szCs w:val="24"/>
        </w:rPr>
        <w:t xml:space="preserve"> 2 </w:t>
      </w:r>
      <w:r>
        <w:rPr>
          <w:rStyle w:val="47"/>
          <w:rFonts w:hint="eastAsia" w:ascii="黑体" w:hAnsi="宋体" w:eastAsia="黑体" w:cs="Times New Roman"/>
          <w:szCs w:val="24"/>
        </w:rPr>
        <w:t>优先采购产品清单</w:t>
      </w:r>
      <w:r>
        <w:rPr>
          <w:rStyle w:val="47"/>
          <w:rFonts w:ascii="黑体" w:hAnsi="宋体" w:eastAsia="黑体" w:cs="Times New Roman"/>
          <w:szCs w:val="24"/>
        </w:rPr>
        <w:tab/>
      </w:r>
      <w:r>
        <w:rPr>
          <w:rFonts w:hint="eastAsia" w:ascii="Times New Roman" w:hAnsi="Times New Roman"/>
        </w:rPr>
        <w:t>70</w:t>
      </w:r>
      <w:r>
        <w:rPr>
          <w:rFonts w:hint="eastAsia" w:ascii="Times New Roman" w:hAnsi="Times New Roman"/>
        </w:rPr>
        <w:fldChar w:fldCharType="end"/>
      </w:r>
    </w:p>
    <w:p w14:paraId="3CB5BDE0">
      <w:pPr>
        <w:pStyle w:val="20"/>
        <w:tabs>
          <w:tab w:val="right" w:leader="dot" w:pos="8834"/>
        </w:tabs>
        <w:ind w:left="840"/>
        <w:rPr>
          <w:rFonts w:asciiTheme="minorHAnsi" w:hAnsiTheme="minorHAnsi" w:cstheme="minorBidi"/>
          <w:b w:val="0"/>
          <w:szCs w:val="22"/>
        </w:rPr>
      </w:pPr>
      <w:r>
        <w:fldChar w:fldCharType="begin"/>
      </w:r>
      <w:r>
        <w:instrText xml:space="preserve"> HYPERLINK \l "_Toc29913976" </w:instrText>
      </w:r>
      <w:r>
        <w:fldChar w:fldCharType="separate"/>
      </w:r>
      <w:r>
        <w:rPr>
          <w:rStyle w:val="47"/>
          <w:rFonts w:hint="eastAsia" w:ascii="黑体" w:hAnsi="宋体" w:eastAsia="黑体"/>
        </w:rPr>
        <w:t>十一、投标货物符合招标文件规定的证明文件</w:t>
      </w:r>
      <w:r>
        <w:tab/>
      </w:r>
      <w:r>
        <w:rPr>
          <w:rFonts w:hint="eastAsia"/>
        </w:rPr>
        <w:t>71</w:t>
      </w:r>
      <w:r>
        <w:rPr>
          <w:rFonts w:hint="eastAsia"/>
        </w:rPr>
        <w:fldChar w:fldCharType="end"/>
      </w:r>
    </w:p>
    <w:p w14:paraId="508B6C9E">
      <w:pPr>
        <w:pStyle w:val="20"/>
        <w:tabs>
          <w:tab w:val="right" w:leader="dot" w:pos="8834"/>
        </w:tabs>
        <w:ind w:left="840"/>
        <w:rPr>
          <w:rFonts w:asciiTheme="minorHAnsi" w:hAnsiTheme="minorHAnsi" w:cstheme="minorBidi"/>
          <w:b w:val="0"/>
          <w:szCs w:val="22"/>
        </w:rPr>
      </w:pPr>
      <w:r>
        <w:fldChar w:fldCharType="begin"/>
      </w:r>
      <w:r>
        <w:instrText xml:space="preserve"> HYPERLINK \l "_Toc29913977" </w:instrText>
      </w:r>
      <w:r>
        <w:fldChar w:fldCharType="separate"/>
      </w:r>
      <w:r>
        <w:rPr>
          <w:rStyle w:val="47"/>
          <w:rFonts w:hint="eastAsia" w:ascii="黑体" w:hAnsi="宋体" w:eastAsia="黑体"/>
        </w:rPr>
        <w:t>十二、投标人认为需提供的其他资料</w:t>
      </w:r>
      <w:r>
        <w:tab/>
      </w:r>
      <w:r>
        <w:rPr>
          <w:rFonts w:hint="eastAsia"/>
        </w:rPr>
        <w:t>72</w:t>
      </w:r>
      <w:r>
        <w:rPr>
          <w:rFonts w:hint="eastAsia"/>
        </w:rPr>
        <w:fldChar w:fldCharType="end"/>
      </w:r>
    </w:p>
    <w:p w14:paraId="3DD20FC9">
      <w:r>
        <w:rPr>
          <w:rStyle w:val="44"/>
          <w:rFonts w:asciiTheme="minorEastAsia" w:hAnsiTheme="minorEastAsia" w:eastAsiaTheme="minorEastAsia"/>
          <w:sz w:val="24"/>
        </w:rPr>
        <w:fldChar w:fldCharType="end"/>
      </w:r>
    </w:p>
    <w:p w14:paraId="4394584D">
      <w:pPr>
        <w:adjustRightInd w:val="0"/>
        <w:snapToGrid w:val="0"/>
        <w:spacing w:line="240" w:lineRule="atLeast"/>
        <w:ind w:firstLine="840" w:firstLineChars="400"/>
        <w:rPr>
          <w:rFonts w:ascii="宋体" w:hAnsi="宋体"/>
          <w:szCs w:val="21"/>
        </w:rPr>
      </w:pPr>
    </w:p>
    <w:p w14:paraId="7CB41EFF">
      <w:pPr>
        <w:pStyle w:val="2"/>
        <w:sectPr>
          <w:headerReference r:id="rId6" w:type="first"/>
          <w:headerReference r:id="rId4" w:type="default"/>
          <w:footerReference r:id="rId7" w:type="default"/>
          <w:headerReference r:id="rId5" w:type="even"/>
          <w:pgSz w:w="11906" w:h="16838"/>
          <w:pgMar w:top="1474" w:right="1474" w:bottom="1474" w:left="1588" w:header="851" w:footer="992" w:gutter="0"/>
          <w:pgNumType w:start="1"/>
          <w:cols w:space="720" w:num="1"/>
          <w:docGrid w:type="lines" w:linePitch="312" w:charSpace="0"/>
        </w:sectPr>
      </w:pPr>
    </w:p>
    <w:p w14:paraId="75C43B0B">
      <w:pPr>
        <w:pStyle w:val="2"/>
        <w:rPr>
          <w:rFonts w:ascii="方正小标宋简体" w:hAnsi="方正小标宋简体" w:eastAsia="方正小标宋简体"/>
          <w:sz w:val="32"/>
          <w:szCs w:val="32"/>
        </w:rPr>
      </w:pPr>
      <w:bookmarkStart w:id="0" w:name="_Toc29913893"/>
      <w:r>
        <w:rPr>
          <w:rFonts w:hint="eastAsia" w:ascii="方正小标宋简体" w:hAnsi="方正小标宋简体" w:eastAsia="方正小标宋简体"/>
          <w:sz w:val="32"/>
          <w:szCs w:val="32"/>
        </w:rPr>
        <w:t>第一章 投标邀请</w:t>
      </w:r>
      <w:bookmarkEnd w:id="0"/>
    </w:p>
    <w:p w14:paraId="244F8B69">
      <w:pPr>
        <w:ind w:firstLine="420" w:firstLineChars="200"/>
      </w:pPr>
    </w:p>
    <w:p w14:paraId="40A69BE9">
      <w:pPr>
        <w:adjustRightInd w:val="0"/>
        <w:snapToGrid w:val="0"/>
        <w:spacing w:line="340" w:lineRule="exact"/>
        <w:ind w:firstLine="630" w:firstLineChars="300"/>
        <w:rPr>
          <w:rFonts w:asciiTheme="minorEastAsia" w:hAnsiTheme="minorEastAsia" w:eastAsiaTheme="minorEastAsia"/>
          <w:szCs w:val="21"/>
        </w:rPr>
      </w:pPr>
      <w:r>
        <w:rPr>
          <w:rFonts w:hint="eastAsia" w:asciiTheme="minorEastAsia" w:hAnsiTheme="minorEastAsia" w:eastAsiaTheme="minorEastAsia"/>
          <w:szCs w:val="21"/>
          <w:u w:val="single"/>
        </w:rPr>
        <w:t>湘西土家族苗族自治州人民医院</w:t>
      </w:r>
      <w:r>
        <w:rPr>
          <w:rFonts w:hint="eastAsia" w:asciiTheme="minorEastAsia" w:hAnsiTheme="minorEastAsia" w:eastAsiaTheme="minorEastAsia"/>
          <w:szCs w:val="21"/>
        </w:rPr>
        <w:t>的</w:t>
      </w:r>
      <w:r>
        <w:rPr>
          <w:rFonts w:hint="eastAsia" w:eastAsiaTheme="minorEastAsia"/>
          <w:u w:val="single"/>
          <w:lang w:eastAsia="zh-CN"/>
        </w:rPr>
        <w:t>湘西自治州人民医院彩色超声诊断系统维保项目</w:t>
      </w:r>
      <w:r>
        <w:rPr>
          <w:rFonts w:hint="eastAsia" w:asciiTheme="minorEastAsia" w:hAnsiTheme="minorEastAsia" w:eastAsiaTheme="minorEastAsia"/>
          <w:szCs w:val="21"/>
        </w:rPr>
        <w:t>进行公开招标采购，现邀请合格投标人参加投标。</w:t>
      </w:r>
    </w:p>
    <w:p w14:paraId="5E75B7EE">
      <w:pPr>
        <w:adjustRightInd w:val="0"/>
        <w:snapToGrid w:val="0"/>
        <w:spacing w:line="340" w:lineRule="exact"/>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一、采购项目名称、编号及预算金额</w:t>
      </w:r>
    </w:p>
    <w:p w14:paraId="76628FA6">
      <w:pPr>
        <w:ind w:firstLine="840" w:firstLineChars="400"/>
        <w:rPr>
          <w:rFonts w:hint="eastAsia" w:eastAsia="宋体"/>
          <w:lang w:eastAsia="zh-CN"/>
        </w:rPr>
      </w:pPr>
      <w:r>
        <w:rPr>
          <w:rFonts w:hint="eastAsia"/>
        </w:rPr>
        <w:t>1、采购项目名称：</w:t>
      </w:r>
      <w:r>
        <w:rPr>
          <w:rFonts w:hint="eastAsia"/>
          <w:lang w:eastAsia="zh-CN"/>
        </w:rPr>
        <w:t>湘西自治州人民医院彩色超声诊断系统维保项目</w:t>
      </w:r>
    </w:p>
    <w:p w14:paraId="1F611D7F">
      <w:pPr>
        <w:ind w:firstLine="840" w:firstLineChars="400"/>
        <w:rPr>
          <w:rFonts w:hint="eastAsia" w:eastAsia="宋体"/>
          <w:lang w:eastAsia="zh-CN"/>
        </w:rPr>
      </w:pPr>
      <w:r>
        <w:rPr>
          <w:rFonts w:hint="eastAsia"/>
        </w:rPr>
        <w:t>2、政府采购计划编号：</w:t>
      </w:r>
      <w:r>
        <w:rPr>
          <w:rFonts w:hint="eastAsia"/>
          <w:lang w:eastAsia="zh-CN"/>
        </w:rPr>
        <w:t>州财采计【2025】000044号</w:t>
      </w:r>
    </w:p>
    <w:p w14:paraId="53769073">
      <w:pPr>
        <w:ind w:firstLine="840" w:firstLineChars="400"/>
        <w:rPr>
          <w:rFonts w:hint="eastAsia" w:eastAsia="宋体"/>
          <w:lang w:eastAsia="zh-CN"/>
        </w:rPr>
      </w:pPr>
      <w:r>
        <w:rPr>
          <w:rFonts w:hint="eastAsia"/>
        </w:rPr>
        <w:t>3、委托代理编号：</w:t>
      </w:r>
      <w:r>
        <w:rPr>
          <w:rFonts w:hint="eastAsia"/>
          <w:lang w:eastAsia="zh-CN"/>
        </w:rPr>
        <w:t>HNYSXX2025011</w:t>
      </w:r>
    </w:p>
    <w:p w14:paraId="6741493B">
      <w:pPr>
        <w:ind w:firstLine="840" w:firstLineChars="400"/>
      </w:pPr>
      <w:r>
        <w:rPr>
          <w:rFonts w:hint="eastAsia"/>
        </w:rPr>
        <w:t>4、采购项目预算：</w:t>
      </w:r>
      <w:r>
        <w:rPr>
          <w:rFonts w:hint="eastAsia" w:cs="Times New Roman"/>
          <w:b w:val="0"/>
          <w:bCs w:val="0"/>
          <w:lang w:val="en-US" w:eastAsia="zh-CN"/>
        </w:rPr>
        <w:t>115.5</w:t>
      </w:r>
      <w:r>
        <w:t>万元</w:t>
      </w:r>
      <w:r>
        <w:rPr>
          <w:rFonts w:hint="eastAsia"/>
        </w:rPr>
        <w:t>。</w:t>
      </w:r>
    </w:p>
    <w:p w14:paraId="486C72DE">
      <w:pPr>
        <w:ind w:firstLine="1155" w:firstLineChars="550"/>
      </w:pPr>
      <w:r>
        <w:rPr>
          <w:rFonts w:hint="eastAsia"/>
        </w:rPr>
        <w:sym w:font="Wingdings" w:char="00A8"/>
      </w:r>
      <w:r>
        <w:rPr>
          <w:rFonts w:hint="eastAsia"/>
        </w:rPr>
        <w:t>支持预付款，预付比例：</w:t>
      </w:r>
    </w:p>
    <w:p w14:paraId="1BBC580E">
      <w:pPr>
        <w:ind w:firstLine="840" w:firstLineChars="400"/>
      </w:pPr>
      <w:r>
        <w:rPr>
          <w:rFonts w:hint="eastAsia"/>
        </w:rPr>
        <w:t>5、采购项目最高限价(设定最高限价的)：</w:t>
      </w:r>
      <w:r>
        <w:rPr>
          <w:rFonts w:hint="eastAsia" w:cs="Times New Roman"/>
          <w:b w:val="0"/>
          <w:bCs w:val="0"/>
          <w:lang w:val="en-US" w:eastAsia="zh-CN"/>
        </w:rPr>
        <w:t>115.5</w:t>
      </w:r>
      <w:r>
        <w:rPr>
          <w:rFonts w:hint="eastAsia"/>
        </w:rPr>
        <w:t>万元</w:t>
      </w:r>
      <w:r>
        <w:rPr>
          <w:rFonts w:hint="eastAsia"/>
          <w:color w:val="FF0000"/>
        </w:rPr>
        <w:t xml:space="preserve"> </w:t>
      </w:r>
    </w:p>
    <w:p w14:paraId="3EA27C0F">
      <w:pPr>
        <w:ind w:firstLine="840" w:firstLineChars="400"/>
      </w:pPr>
      <w:r>
        <w:rPr>
          <w:rFonts w:hint="eastAsia"/>
        </w:rPr>
        <w:t>5、本项目对应的中小企业划分标准所属行业：</w:t>
      </w:r>
      <w:r>
        <w:rPr>
          <w:rFonts w:hint="eastAsia"/>
          <w:lang w:eastAsia="zh-CN"/>
        </w:rPr>
        <w:t>其他行业</w:t>
      </w:r>
      <w:r>
        <w:rPr>
          <w:rFonts w:hint="eastAsia"/>
        </w:rPr>
        <w:t xml:space="preserve">               </w:t>
      </w:r>
    </w:p>
    <w:p w14:paraId="17942FCE">
      <w:pPr>
        <w:ind w:firstLine="840" w:firstLineChars="400"/>
      </w:pPr>
      <w:r>
        <w:rPr>
          <w:rFonts w:hint="eastAsia"/>
        </w:rPr>
        <w:t>6、评标方法：</w:t>
      </w:r>
      <w:r>
        <w:rPr>
          <w:rFonts w:hint="eastAsia"/>
        </w:rPr>
        <w:sym w:font="Wingdings" w:char="F0FE"/>
      </w:r>
      <w:r>
        <w:rPr>
          <w:rFonts w:hint="eastAsia"/>
        </w:rPr>
        <w:t xml:space="preserve">综合评分法 </w:t>
      </w:r>
      <w:r>
        <w:rPr>
          <w:rFonts w:hint="eastAsia"/>
        </w:rPr>
        <w:sym w:font="Wingdings" w:char="00A8"/>
      </w:r>
      <w:r>
        <w:rPr>
          <w:rFonts w:hint="eastAsia"/>
        </w:rPr>
        <w:t>最低评标价法</w:t>
      </w:r>
    </w:p>
    <w:p w14:paraId="07E7D7E8">
      <w:pPr>
        <w:ind w:firstLine="840" w:firstLineChars="400"/>
      </w:pPr>
      <w:r>
        <w:rPr>
          <w:rFonts w:hint="eastAsia"/>
        </w:rPr>
        <w:t>7、合同定价方式：</w:t>
      </w:r>
      <w:r>
        <w:rPr>
          <w:rFonts w:hint="eastAsia"/>
        </w:rPr>
        <w:sym w:font="Wingdings" w:char="F0FE"/>
      </w:r>
      <w:r>
        <w:rPr>
          <w:rFonts w:hint="eastAsia"/>
        </w:rPr>
        <w:t xml:space="preserve">固定总价 </w:t>
      </w:r>
      <w:r>
        <w:rPr>
          <w:rFonts w:hint="eastAsia"/>
        </w:rPr>
        <w:sym w:font="Wingdings" w:char="00A8"/>
      </w:r>
      <w:r>
        <w:rPr>
          <w:rFonts w:hint="eastAsia"/>
        </w:rPr>
        <w:t xml:space="preserve">固定单价 </w:t>
      </w:r>
      <w:r>
        <w:rPr>
          <w:rFonts w:hint="eastAsia"/>
        </w:rPr>
        <w:sym w:font="Wingdings" w:char="00A8"/>
      </w:r>
      <w:r>
        <w:rPr>
          <w:rFonts w:hint="eastAsia"/>
        </w:rPr>
        <w:t xml:space="preserve">成本补偿 </w:t>
      </w:r>
      <w:r>
        <w:rPr>
          <w:rFonts w:hint="eastAsia"/>
        </w:rPr>
        <w:sym w:font="Wingdings" w:char="00A8"/>
      </w:r>
      <w:r>
        <w:rPr>
          <w:rFonts w:hint="eastAsia"/>
        </w:rPr>
        <w:t>绩效激励</w:t>
      </w:r>
    </w:p>
    <w:p w14:paraId="367D5E5F">
      <w:pPr>
        <w:ind w:firstLine="840" w:firstLineChars="400"/>
      </w:pPr>
      <w:r>
        <w:rPr>
          <w:rFonts w:hint="eastAsia"/>
        </w:rPr>
        <w:t>8、合同履行期限：</w:t>
      </w:r>
      <w:r>
        <w:rPr>
          <w:rFonts w:hint="eastAsia"/>
          <w:lang w:eastAsia="zh-CN"/>
        </w:rPr>
        <w:t>自合同签订之日起</w:t>
      </w:r>
      <w:r>
        <w:rPr>
          <w:rFonts w:hint="eastAsia"/>
          <w:lang w:val="en-US" w:eastAsia="zh-CN"/>
        </w:rPr>
        <w:t>36</w:t>
      </w:r>
      <w:r>
        <w:rPr>
          <w:rFonts w:hint="eastAsia"/>
          <w:lang w:eastAsia="zh-CN"/>
        </w:rPr>
        <w:t>个月</w:t>
      </w:r>
    </w:p>
    <w:p w14:paraId="48454571">
      <w:pPr>
        <w:ind w:firstLine="840" w:firstLineChars="400"/>
      </w:pPr>
      <w:r>
        <w:rPr>
          <w:rFonts w:hint="eastAsia"/>
        </w:rPr>
        <w:t>9、本项目分阶段要求投标人提供以下保证：</w:t>
      </w:r>
    </w:p>
    <w:p w14:paraId="2E24F1DA">
      <w:pPr>
        <w:ind w:firstLine="1155" w:firstLineChars="550"/>
      </w:pPr>
      <w:r>
        <w:rPr>
          <w:rFonts w:hint="eastAsia"/>
        </w:rPr>
        <w:sym w:font="Wingdings" w:char="00A8"/>
      </w:r>
      <w:r>
        <w:rPr>
          <w:rFonts w:hint="eastAsia"/>
        </w:rPr>
        <w:t>投标保证金：采购项目预算的    %；</w:t>
      </w:r>
    </w:p>
    <w:p w14:paraId="022C1B78">
      <w:pPr>
        <w:ind w:firstLine="1155" w:firstLineChars="550"/>
      </w:pPr>
      <w:r>
        <w:rPr>
          <w:rFonts w:hint="eastAsia"/>
        </w:rPr>
        <w:sym w:font="Wingdings" w:char="00A8"/>
      </w:r>
      <w:r>
        <w:rPr>
          <w:rFonts w:hint="eastAsia"/>
        </w:rPr>
        <w:t>履约保证金：中标金额的    %；</w:t>
      </w:r>
    </w:p>
    <w:p w14:paraId="0E604D20">
      <w:pPr>
        <w:ind w:firstLine="1155" w:firstLineChars="550"/>
      </w:pPr>
      <w:r>
        <w:rPr>
          <w:rFonts w:hint="eastAsia"/>
        </w:rPr>
        <w:sym w:font="Wingdings" w:char="00A8"/>
      </w:r>
      <w:r>
        <w:rPr>
          <w:rFonts w:hint="eastAsia"/>
        </w:rPr>
        <w:t>预付款保证金：预付款的    %；</w:t>
      </w:r>
    </w:p>
    <w:p w14:paraId="68A19A91">
      <w:pPr>
        <w:ind w:firstLine="1155" w:firstLineChars="550"/>
      </w:pPr>
      <w:r>
        <w:rPr>
          <w:rFonts w:hint="eastAsia"/>
        </w:rPr>
        <w:sym w:font="Wingdings" w:char="00A8"/>
      </w:r>
      <w:r>
        <w:rPr>
          <w:rFonts w:hint="eastAsia"/>
        </w:rPr>
        <w:t>质量保证金：合同金额的    %。</w:t>
      </w:r>
    </w:p>
    <w:p w14:paraId="56910640">
      <w:pPr>
        <w:numPr>
          <w:ilvl w:val="0"/>
          <w:numId w:val="1"/>
        </w:numPr>
        <w:adjustRightInd w:val="0"/>
        <w:snapToGrid w:val="0"/>
        <w:spacing w:line="360" w:lineRule="exact"/>
        <w:ind w:firstLine="422" w:firstLineChars="200"/>
        <w:rPr>
          <w:rFonts w:hint="eastAsia" w:asciiTheme="minorEastAsia" w:hAnsiTheme="minorEastAsia" w:eastAsiaTheme="minorEastAsia"/>
          <w:b/>
          <w:szCs w:val="21"/>
        </w:rPr>
      </w:pPr>
      <w:r>
        <w:rPr>
          <w:rFonts w:hint="eastAsia" w:asciiTheme="minorEastAsia" w:hAnsiTheme="minorEastAsia" w:eastAsiaTheme="minorEastAsia"/>
          <w:b/>
          <w:szCs w:val="21"/>
        </w:rPr>
        <w:t>采购内容、数量（详见采购需求）</w:t>
      </w:r>
    </w:p>
    <w:tbl>
      <w:tblPr>
        <w:tblStyle w:val="42"/>
        <w:tblW w:w="8517"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1002"/>
        <w:gridCol w:w="3955"/>
        <w:gridCol w:w="660"/>
        <w:gridCol w:w="726"/>
        <w:gridCol w:w="1456"/>
      </w:tblGrid>
      <w:tr w14:paraId="15D13AA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42" w:hRule="atLeast"/>
          <w:jc w:val="center"/>
        </w:trPr>
        <w:tc>
          <w:tcPr>
            <w:tcW w:w="718" w:type="dxa"/>
            <w:tcBorders>
              <w:bottom w:val="single" w:color="auto" w:sz="6" w:space="0"/>
            </w:tcBorders>
            <w:vAlign w:val="center"/>
          </w:tcPr>
          <w:p w14:paraId="2DC6D0A8">
            <w:pPr>
              <w:jc w:val="center"/>
              <w:rPr>
                <w:b/>
                <w:kern w:val="0"/>
                <w:sz w:val="21"/>
                <w:szCs w:val="28"/>
              </w:rPr>
            </w:pPr>
            <w:r>
              <w:rPr>
                <w:rFonts w:hint="eastAsia"/>
                <w:b/>
                <w:kern w:val="0"/>
                <w:sz w:val="21"/>
                <w:szCs w:val="28"/>
              </w:rPr>
              <w:t>包号</w:t>
            </w:r>
          </w:p>
        </w:tc>
        <w:tc>
          <w:tcPr>
            <w:tcW w:w="1002" w:type="dxa"/>
            <w:tcBorders>
              <w:bottom w:val="single" w:color="auto" w:sz="6" w:space="0"/>
            </w:tcBorders>
            <w:vAlign w:val="center"/>
          </w:tcPr>
          <w:p w14:paraId="5E1C3A33">
            <w:pPr>
              <w:jc w:val="center"/>
              <w:rPr>
                <w:b/>
                <w:kern w:val="0"/>
                <w:sz w:val="21"/>
                <w:szCs w:val="28"/>
              </w:rPr>
            </w:pPr>
            <w:r>
              <w:rPr>
                <w:rFonts w:hint="eastAsia"/>
                <w:b/>
                <w:kern w:val="0"/>
                <w:sz w:val="21"/>
                <w:szCs w:val="28"/>
              </w:rPr>
              <w:t>品目号</w:t>
            </w:r>
          </w:p>
        </w:tc>
        <w:tc>
          <w:tcPr>
            <w:tcW w:w="3955" w:type="dxa"/>
            <w:tcBorders>
              <w:bottom w:val="single" w:color="auto" w:sz="6" w:space="0"/>
            </w:tcBorders>
            <w:vAlign w:val="center"/>
          </w:tcPr>
          <w:p w14:paraId="7E57051F">
            <w:pPr>
              <w:jc w:val="center"/>
              <w:rPr>
                <w:b/>
                <w:kern w:val="0"/>
                <w:sz w:val="21"/>
                <w:szCs w:val="28"/>
              </w:rPr>
            </w:pPr>
            <w:r>
              <w:rPr>
                <w:rFonts w:hint="eastAsia"/>
                <w:b/>
                <w:kern w:val="0"/>
                <w:sz w:val="21"/>
                <w:szCs w:val="28"/>
              </w:rPr>
              <w:t>品目名称</w:t>
            </w:r>
          </w:p>
        </w:tc>
        <w:tc>
          <w:tcPr>
            <w:tcW w:w="660" w:type="dxa"/>
            <w:tcBorders>
              <w:bottom w:val="single" w:color="auto" w:sz="6" w:space="0"/>
            </w:tcBorders>
            <w:vAlign w:val="center"/>
          </w:tcPr>
          <w:p w14:paraId="402E5589">
            <w:pPr>
              <w:jc w:val="center"/>
              <w:rPr>
                <w:b/>
                <w:kern w:val="0"/>
                <w:sz w:val="21"/>
                <w:szCs w:val="28"/>
              </w:rPr>
            </w:pPr>
            <w:r>
              <w:rPr>
                <w:rFonts w:hint="eastAsia"/>
                <w:b/>
                <w:kern w:val="0"/>
                <w:sz w:val="21"/>
                <w:szCs w:val="28"/>
              </w:rPr>
              <w:t>数量</w:t>
            </w:r>
          </w:p>
        </w:tc>
        <w:tc>
          <w:tcPr>
            <w:tcW w:w="726" w:type="dxa"/>
            <w:tcBorders>
              <w:bottom w:val="single" w:color="auto" w:sz="6" w:space="0"/>
            </w:tcBorders>
            <w:vAlign w:val="center"/>
          </w:tcPr>
          <w:p w14:paraId="40D91B48">
            <w:pPr>
              <w:jc w:val="center"/>
              <w:rPr>
                <w:b/>
                <w:kern w:val="0"/>
                <w:sz w:val="21"/>
                <w:szCs w:val="28"/>
              </w:rPr>
            </w:pPr>
            <w:r>
              <w:rPr>
                <w:rFonts w:hint="eastAsia"/>
                <w:b/>
                <w:kern w:val="0"/>
                <w:sz w:val="21"/>
                <w:szCs w:val="28"/>
              </w:rPr>
              <w:t>是否进口</w:t>
            </w:r>
          </w:p>
        </w:tc>
        <w:tc>
          <w:tcPr>
            <w:tcW w:w="1456" w:type="dxa"/>
            <w:vAlign w:val="center"/>
          </w:tcPr>
          <w:p w14:paraId="7AC3BFC4">
            <w:pPr>
              <w:jc w:val="center"/>
              <w:rPr>
                <w:b/>
                <w:kern w:val="0"/>
                <w:sz w:val="21"/>
                <w:szCs w:val="28"/>
              </w:rPr>
            </w:pPr>
            <w:r>
              <w:rPr>
                <w:rFonts w:hint="eastAsia"/>
                <w:b/>
                <w:kern w:val="0"/>
                <w:sz w:val="21"/>
                <w:szCs w:val="28"/>
              </w:rPr>
              <w:t>预算总价</w:t>
            </w:r>
          </w:p>
          <w:p w14:paraId="76D7A101">
            <w:pPr>
              <w:jc w:val="center"/>
              <w:rPr>
                <w:b/>
                <w:kern w:val="0"/>
                <w:sz w:val="21"/>
                <w:szCs w:val="28"/>
              </w:rPr>
            </w:pPr>
            <w:r>
              <w:rPr>
                <w:rFonts w:hint="eastAsia"/>
                <w:b/>
                <w:kern w:val="0"/>
                <w:sz w:val="21"/>
                <w:szCs w:val="28"/>
              </w:rPr>
              <w:t>（万元）</w:t>
            </w:r>
          </w:p>
        </w:tc>
      </w:tr>
      <w:tr w14:paraId="34E2E8E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718" w:type="dxa"/>
            <w:tcBorders>
              <w:top w:val="single" w:color="auto" w:sz="6" w:space="0"/>
              <w:bottom w:val="single" w:color="auto" w:sz="4" w:space="0"/>
            </w:tcBorders>
            <w:vAlign w:val="center"/>
          </w:tcPr>
          <w:p w14:paraId="0C60A121">
            <w:pPr>
              <w:jc w:val="center"/>
              <w:rPr>
                <w:rFonts w:hint="default" w:eastAsia="宋体"/>
                <w:kern w:val="0"/>
                <w:sz w:val="20"/>
                <w:lang w:val="en-US" w:eastAsia="zh-CN"/>
              </w:rPr>
            </w:pPr>
            <w:r>
              <w:rPr>
                <w:rFonts w:hint="eastAsia"/>
                <w:kern w:val="0"/>
                <w:sz w:val="20"/>
                <w:lang w:val="en-US" w:eastAsia="zh-CN"/>
              </w:rPr>
              <w:t>01</w:t>
            </w:r>
          </w:p>
        </w:tc>
        <w:tc>
          <w:tcPr>
            <w:tcW w:w="1002" w:type="dxa"/>
            <w:tcBorders>
              <w:top w:val="single" w:color="auto" w:sz="6" w:space="0"/>
              <w:bottom w:val="single" w:color="auto" w:sz="4" w:space="0"/>
            </w:tcBorders>
            <w:vAlign w:val="center"/>
          </w:tcPr>
          <w:p w14:paraId="1DA0C8BD">
            <w:pPr>
              <w:jc w:val="center"/>
              <w:rPr>
                <w:rFonts w:hint="default" w:eastAsia="宋体"/>
                <w:kern w:val="0"/>
                <w:sz w:val="20"/>
                <w:lang w:val="en-US" w:eastAsia="zh-CN"/>
              </w:rPr>
            </w:pPr>
            <w:r>
              <w:rPr>
                <w:rFonts w:hint="eastAsia"/>
                <w:kern w:val="0"/>
                <w:sz w:val="20"/>
                <w:lang w:val="en-US" w:eastAsia="zh-CN"/>
              </w:rPr>
              <w:t>/</w:t>
            </w:r>
          </w:p>
        </w:tc>
        <w:tc>
          <w:tcPr>
            <w:tcW w:w="3955" w:type="dxa"/>
            <w:tcBorders>
              <w:top w:val="single" w:color="auto" w:sz="6" w:space="0"/>
            </w:tcBorders>
            <w:vAlign w:val="center"/>
          </w:tcPr>
          <w:p w14:paraId="2E5BB05E">
            <w:pPr>
              <w:rPr>
                <w:rFonts w:hint="default" w:eastAsia="宋体"/>
                <w:kern w:val="0"/>
                <w:sz w:val="20"/>
                <w:lang w:val="en-US" w:eastAsia="zh-CN"/>
              </w:rPr>
            </w:pPr>
            <w:r>
              <w:rPr>
                <w:rFonts w:hint="eastAsia"/>
                <w:kern w:val="0"/>
                <w:sz w:val="21"/>
                <w:szCs w:val="28"/>
                <w:lang w:val="en-US" w:eastAsia="zh-CN"/>
              </w:rPr>
              <w:t>彩色超声诊断系统（飞利浦）维保项目</w:t>
            </w:r>
          </w:p>
        </w:tc>
        <w:tc>
          <w:tcPr>
            <w:tcW w:w="660" w:type="dxa"/>
            <w:tcBorders>
              <w:top w:val="single" w:color="auto" w:sz="6" w:space="0"/>
            </w:tcBorders>
            <w:vAlign w:val="center"/>
          </w:tcPr>
          <w:p w14:paraId="395D28BB">
            <w:pPr>
              <w:jc w:val="center"/>
              <w:rPr>
                <w:rFonts w:hint="default" w:eastAsia="宋体"/>
                <w:kern w:val="0"/>
                <w:sz w:val="21"/>
                <w:szCs w:val="28"/>
                <w:lang w:val="en-US" w:eastAsia="zh-CN"/>
              </w:rPr>
            </w:pPr>
            <w:r>
              <w:rPr>
                <w:rFonts w:hint="eastAsia"/>
                <w:kern w:val="0"/>
                <w:sz w:val="21"/>
                <w:szCs w:val="28"/>
                <w:lang w:val="en-US" w:eastAsia="zh-CN"/>
              </w:rPr>
              <w:t>1</w:t>
            </w:r>
          </w:p>
        </w:tc>
        <w:tc>
          <w:tcPr>
            <w:tcW w:w="726" w:type="dxa"/>
            <w:tcBorders>
              <w:top w:val="single" w:color="auto" w:sz="6" w:space="0"/>
              <w:bottom w:val="single" w:color="auto" w:sz="4" w:space="0"/>
            </w:tcBorders>
            <w:vAlign w:val="center"/>
          </w:tcPr>
          <w:p w14:paraId="508F6750">
            <w:pPr>
              <w:jc w:val="center"/>
              <w:rPr>
                <w:kern w:val="0"/>
                <w:sz w:val="21"/>
                <w:szCs w:val="28"/>
              </w:rPr>
            </w:pPr>
            <w:r>
              <w:rPr>
                <w:rFonts w:hint="eastAsia"/>
                <w:kern w:val="0"/>
                <w:sz w:val="21"/>
                <w:szCs w:val="28"/>
              </w:rPr>
              <w:t>否</w:t>
            </w:r>
          </w:p>
        </w:tc>
        <w:tc>
          <w:tcPr>
            <w:tcW w:w="1456" w:type="dxa"/>
            <w:vAlign w:val="center"/>
          </w:tcPr>
          <w:p w14:paraId="766FD044">
            <w:pPr>
              <w:jc w:val="center"/>
              <w:rPr>
                <w:rFonts w:hint="default" w:eastAsia="宋体"/>
                <w:kern w:val="0"/>
                <w:sz w:val="21"/>
                <w:szCs w:val="28"/>
                <w:lang w:val="en-US" w:eastAsia="zh-CN"/>
              </w:rPr>
            </w:pPr>
            <w:r>
              <w:rPr>
                <w:rFonts w:hint="eastAsia"/>
                <w:kern w:val="0"/>
                <w:sz w:val="21"/>
                <w:szCs w:val="28"/>
                <w:lang w:val="en-US" w:eastAsia="zh-CN"/>
              </w:rPr>
              <w:t>43.5</w:t>
            </w:r>
          </w:p>
        </w:tc>
      </w:tr>
      <w:tr w14:paraId="216B815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718" w:type="dxa"/>
            <w:tcBorders>
              <w:top w:val="single" w:color="auto" w:sz="6" w:space="0"/>
              <w:bottom w:val="single" w:color="auto" w:sz="4" w:space="0"/>
            </w:tcBorders>
            <w:vAlign w:val="center"/>
          </w:tcPr>
          <w:p w14:paraId="3BEF7A75">
            <w:pPr>
              <w:jc w:val="center"/>
              <w:rPr>
                <w:rFonts w:hint="default"/>
                <w:kern w:val="0"/>
                <w:sz w:val="20"/>
                <w:lang w:val="en-US" w:eastAsia="zh-CN"/>
              </w:rPr>
            </w:pPr>
            <w:r>
              <w:rPr>
                <w:rFonts w:hint="eastAsia"/>
                <w:kern w:val="0"/>
                <w:sz w:val="20"/>
                <w:lang w:val="en-US" w:eastAsia="zh-CN"/>
              </w:rPr>
              <w:t>02</w:t>
            </w:r>
          </w:p>
        </w:tc>
        <w:tc>
          <w:tcPr>
            <w:tcW w:w="1002" w:type="dxa"/>
            <w:tcBorders>
              <w:top w:val="single" w:color="auto" w:sz="6" w:space="0"/>
              <w:bottom w:val="single" w:color="auto" w:sz="4" w:space="0"/>
            </w:tcBorders>
            <w:vAlign w:val="center"/>
          </w:tcPr>
          <w:p w14:paraId="530F17F2">
            <w:pPr>
              <w:jc w:val="center"/>
              <w:rPr>
                <w:rFonts w:hint="default"/>
                <w:kern w:val="0"/>
                <w:sz w:val="20"/>
                <w:lang w:val="en-US" w:eastAsia="zh-CN"/>
              </w:rPr>
            </w:pPr>
            <w:r>
              <w:rPr>
                <w:rFonts w:hint="eastAsia"/>
                <w:kern w:val="0"/>
                <w:sz w:val="20"/>
                <w:lang w:val="en-US" w:eastAsia="zh-CN"/>
              </w:rPr>
              <w:t>/</w:t>
            </w:r>
          </w:p>
        </w:tc>
        <w:tc>
          <w:tcPr>
            <w:tcW w:w="3955" w:type="dxa"/>
            <w:tcBorders>
              <w:top w:val="single" w:color="auto" w:sz="6" w:space="0"/>
            </w:tcBorders>
            <w:vAlign w:val="center"/>
          </w:tcPr>
          <w:p w14:paraId="5D1A1EB2">
            <w:pPr>
              <w:rPr>
                <w:rFonts w:hint="eastAsia"/>
                <w:kern w:val="0"/>
                <w:sz w:val="21"/>
                <w:szCs w:val="28"/>
                <w:lang w:val="en-US" w:eastAsia="zh-CN"/>
              </w:rPr>
            </w:pPr>
            <w:r>
              <w:rPr>
                <w:rFonts w:hint="eastAsia"/>
                <w:kern w:val="0"/>
                <w:sz w:val="21"/>
                <w:szCs w:val="28"/>
                <w:lang w:val="en-US" w:eastAsia="zh-CN"/>
              </w:rPr>
              <w:t>彩色超声诊断系统（飞利浦+迈瑞）维保项目</w:t>
            </w:r>
          </w:p>
        </w:tc>
        <w:tc>
          <w:tcPr>
            <w:tcW w:w="660" w:type="dxa"/>
            <w:tcBorders>
              <w:top w:val="single" w:color="auto" w:sz="6" w:space="0"/>
            </w:tcBorders>
            <w:vAlign w:val="center"/>
          </w:tcPr>
          <w:p w14:paraId="3D56F1B3">
            <w:pPr>
              <w:jc w:val="center"/>
              <w:rPr>
                <w:rFonts w:hint="default" w:eastAsia="宋体"/>
                <w:kern w:val="0"/>
                <w:sz w:val="21"/>
                <w:szCs w:val="28"/>
                <w:lang w:val="en-US" w:eastAsia="zh-CN"/>
              </w:rPr>
            </w:pPr>
            <w:r>
              <w:rPr>
                <w:rFonts w:hint="eastAsia"/>
                <w:kern w:val="0"/>
                <w:sz w:val="21"/>
                <w:szCs w:val="28"/>
                <w:lang w:val="en-US" w:eastAsia="zh-CN"/>
              </w:rPr>
              <w:t>1</w:t>
            </w:r>
          </w:p>
        </w:tc>
        <w:tc>
          <w:tcPr>
            <w:tcW w:w="726" w:type="dxa"/>
            <w:tcBorders>
              <w:top w:val="single" w:color="auto" w:sz="6" w:space="0"/>
              <w:bottom w:val="single" w:color="auto" w:sz="4" w:space="0"/>
            </w:tcBorders>
            <w:vAlign w:val="center"/>
          </w:tcPr>
          <w:p w14:paraId="18FE9375">
            <w:pPr>
              <w:jc w:val="center"/>
              <w:rPr>
                <w:rFonts w:hint="eastAsia" w:eastAsia="宋体"/>
                <w:kern w:val="0"/>
                <w:sz w:val="21"/>
                <w:szCs w:val="28"/>
                <w:lang w:eastAsia="zh-CN"/>
              </w:rPr>
            </w:pPr>
            <w:r>
              <w:rPr>
                <w:rFonts w:hint="eastAsia"/>
                <w:kern w:val="0"/>
                <w:sz w:val="21"/>
                <w:szCs w:val="28"/>
                <w:lang w:eastAsia="zh-CN"/>
              </w:rPr>
              <w:t>否</w:t>
            </w:r>
          </w:p>
        </w:tc>
        <w:tc>
          <w:tcPr>
            <w:tcW w:w="1456" w:type="dxa"/>
            <w:vAlign w:val="center"/>
          </w:tcPr>
          <w:p w14:paraId="726A9A4E">
            <w:pPr>
              <w:jc w:val="center"/>
              <w:rPr>
                <w:rFonts w:hint="eastAsia"/>
                <w:kern w:val="0"/>
                <w:sz w:val="21"/>
                <w:szCs w:val="28"/>
                <w:lang w:val="en-US" w:eastAsia="zh-CN"/>
              </w:rPr>
            </w:pPr>
            <w:r>
              <w:rPr>
                <w:rFonts w:hint="eastAsia"/>
                <w:kern w:val="0"/>
                <w:sz w:val="21"/>
                <w:szCs w:val="28"/>
                <w:lang w:val="en-US" w:eastAsia="zh-CN"/>
              </w:rPr>
              <w:t>43.2</w:t>
            </w:r>
          </w:p>
        </w:tc>
      </w:tr>
      <w:tr w14:paraId="043782B3">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718" w:type="dxa"/>
            <w:tcBorders>
              <w:top w:val="single" w:color="auto" w:sz="6" w:space="0"/>
              <w:bottom w:val="single" w:color="auto" w:sz="4" w:space="0"/>
            </w:tcBorders>
            <w:vAlign w:val="center"/>
          </w:tcPr>
          <w:p w14:paraId="54BD4B78">
            <w:pPr>
              <w:jc w:val="center"/>
              <w:rPr>
                <w:rFonts w:hint="default"/>
                <w:kern w:val="0"/>
                <w:sz w:val="20"/>
                <w:lang w:val="en-US" w:eastAsia="zh-CN"/>
              </w:rPr>
            </w:pPr>
            <w:r>
              <w:rPr>
                <w:rFonts w:hint="eastAsia"/>
                <w:kern w:val="0"/>
                <w:sz w:val="20"/>
                <w:lang w:val="en-US" w:eastAsia="zh-CN"/>
              </w:rPr>
              <w:t>03</w:t>
            </w:r>
          </w:p>
        </w:tc>
        <w:tc>
          <w:tcPr>
            <w:tcW w:w="1002" w:type="dxa"/>
            <w:tcBorders>
              <w:top w:val="single" w:color="auto" w:sz="6" w:space="0"/>
              <w:bottom w:val="single" w:color="auto" w:sz="4" w:space="0"/>
            </w:tcBorders>
            <w:vAlign w:val="center"/>
          </w:tcPr>
          <w:p w14:paraId="7DFDE7DA">
            <w:pPr>
              <w:jc w:val="center"/>
              <w:rPr>
                <w:rFonts w:hint="default"/>
                <w:kern w:val="0"/>
                <w:sz w:val="20"/>
                <w:lang w:val="en-US" w:eastAsia="zh-CN"/>
              </w:rPr>
            </w:pPr>
            <w:r>
              <w:rPr>
                <w:rFonts w:hint="eastAsia"/>
                <w:kern w:val="0"/>
                <w:sz w:val="20"/>
                <w:lang w:val="en-US" w:eastAsia="zh-CN"/>
              </w:rPr>
              <w:t>/</w:t>
            </w:r>
          </w:p>
        </w:tc>
        <w:tc>
          <w:tcPr>
            <w:tcW w:w="3955" w:type="dxa"/>
            <w:tcBorders>
              <w:top w:val="single" w:color="auto" w:sz="6" w:space="0"/>
            </w:tcBorders>
            <w:vAlign w:val="center"/>
          </w:tcPr>
          <w:p w14:paraId="1672A784">
            <w:pPr>
              <w:rPr>
                <w:rFonts w:hint="eastAsia"/>
                <w:kern w:val="0"/>
                <w:sz w:val="21"/>
                <w:szCs w:val="28"/>
                <w:lang w:val="en-US" w:eastAsia="zh-CN"/>
              </w:rPr>
            </w:pPr>
            <w:r>
              <w:rPr>
                <w:rFonts w:hint="eastAsia"/>
                <w:kern w:val="0"/>
                <w:sz w:val="21"/>
                <w:szCs w:val="28"/>
                <w:lang w:val="en-US" w:eastAsia="zh-CN"/>
              </w:rPr>
              <w:t>彩色超声诊断系统（GE）维保项目</w:t>
            </w:r>
          </w:p>
        </w:tc>
        <w:tc>
          <w:tcPr>
            <w:tcW w:w="660" w:type="dxa"/>
            <w:tcBorders>
              <w:top w:val="single" w:color="auto" w:sz="6" w:space="0"/>
            </w:tcBorders>
            <w:vAlign w:val="center"/>
          </w:tcPr>
          <w:p w14:paraId="4F061505">
            <w:pPr>
              <w:jc w:val="center"/>
              <w:rPr>
                <w:rFonts w:hint="default" w:eastAsia="宋体"/>
                <w:kern w:val="0"/>
                <w:sz w:val="21"/>
                <w:szCs w:val="28"/>
                <w:lang w:val="en-US" w:eastAsia="zh-CN"/>
              </w:rPr>
            </w:pPr>
            <w:r>
              <w:rPr>
                <w:rFonts w:hint="eastAsia"/>
                <w:kern w:val="0"/>
                <w:sz w:val="21"/>
                <w:szCs w:val="28"/>
                <w:lang w:val="en-US" w:eastAsia="zh-CN"/>
              </w:rPr>
              <w:t>1</w:t>
            </w:r>
          </w:p>
        </w:tc>
        <w:tc>
          <w:tcPr>
            <w:tcW w:w="726" w:type="dxa"/>
            <w:tcBorders>
              <w:top w:val="single" w:color="auto" w:sz="6" w:space="0"/>
              <w:bottom w:val="single" w:color="auto" w:sz="4" w:space="0"/>
            </w:tcBorders>
            <w:vAlign w:val="center"/>
          </w:tcPr>
          <w:p w14:paraId="7681C49C">
            <w:pPr>
              <w:jc w:val="center"/>
              <w:rPr>
                <w:rFonts w:hint="eastAsia" w:eastAsia="宋体"/>
                <w:kern w:val="0"/>
                <w:sz w:val="21"/>
                <w:szCs w:val="28"/>
                <w:lang w:eastAsia="zh-CN"/>
              </w:rPr>
            </w:pPr>
            <w:r>
              <w:rPr>
                <w:rFonts w:hint="eastAsia"/>
                <w:kern w:val="0"/>
                <w:sz w:val="21"/>
                <w:szCs w:val="28"/>
                <w:lang w:eastAsia="zh-CN"/>
              </w:rPr>
              <w:t>否</w:t>
            </w:r>
          </w:p>
        </w:tc>
        <w:tc>
          <w:tcPr>
            <w:tcW w:w="1456" w:type="dxa"/>
            <w:vAlign w:val="center"/>
          </w:tcPr>
          <w:p w14:paraId="55A69C46">
            <w:pPr>
              <w:jc w:val="center"/>
              <w:rPr>
                <w:rFonts w:hint="eastAsia"/>
                <w:kern w:val="0"/>
                <w:sz w:val="21"/>
                <w:szCs w:val="28"/>
                <w:lang w:val="en-US" w:eastAsia="zh-CN"/>
              </w:rPr>
            </w:pPr>
            <w:r>
              <w:rPr>
                <w:rFonts w:hint="eastAsia"/>
                <w:kern w:val="0"/>
                <w:sz w:val="21"/>
                <w:szCs w:val="28"/>
                <w:lang w:val="en-US" w:eastAsia="zh-CN"/>
              </w:rPr>
              <w:t>28.8</w:t>
            </w:r>
          </w:p>
        </w:tc>
      </w:tr>
      <w:tr w14:paraId="5E539539">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18" w:type="dxa"/>
            <w:tcBorders>
              <w:top w:val="single" w:color="auto" w:sz="4" w:space="0"/>
              <w:bottom w:val="double" w:color="auto" w:sz="2" w:space="0"/>
            </w:tcBorders>
            <w:vAlign w:val="center"/>
          </w:tcPr>
          <w:p w14:paraId="50649D9C">
            <w:pPr>
              <w:jc w:val="center"/>
              <w:rPr>
                <w:kern w:val="0"/>
                <w:sz w:val="20"/>
              </w:rPr>
            </w:pPr>
          </w:p>
        </w:tc>
        <w:tc>
          <w:tcPr>
            <w:tcW w:w="4957" w:type="dxa"/>
            <w:gridSpan w:val="2"/>
            <w:tcBorders>
              <w:top w:val="single" w:color="auto" w:sz="4" w:space="0"/>
              <w:bottom w:val="double" w:color="auto" w:sz="2" w:space="0"/>
              <w:right w:val="single" w:color="auto" w:sz="4" w:space="0"/>
            </w:tcBorders>
            <w:vAlign w:val="center"/>
          </w:tcPr>
          <w:p w14:paraId="1078D391">
            <w:pPr>
              <w:jc w:val="center"/>
              <w:rPr>
                <w:b/>
                <w:kern w:val="0"/>
                <w:sz w:val="20"/>
              </w:rPr>
            </w:pPr>
            <w:r>
              <w:rPr>
                <w:rFonts w:hint="eastAsia"/>
                <w:b/>
                <w:kern w:val="0"/>
                <w:sz w:val="21"/>
                <w:szCs w:val="28"/>
              </w:rPr>
              <w:t>合 计</w:t>
            </w:r>
          </w:p>
        </w:tc>
        <w:tc>
          <w:tcPr>
            <w:tcW w:w="660" w:type="dxa"/>
            <w:tcBorders>
              <w:left w:val="single" w:color="auto" w:sz="4" w:space="0"/>
              <w:bottom w:val="double" w:color="auto" w:sz="2" w:space="0"/>
              <w:right w:val="single" w:color="auto" w:sz="4" w:space="0"/>
            </w:tcBorders>
            <w:vAlign w:val="center"/>
          </w:tcPr>
          <w:p w14:paraId="605C215E">
            <w:pPr>
              <w:jc w:val="center"/>
              <w:rPr>
                <w:rFonts w:hint="eastAsia" w:eastAsia="宋体"/>
                <w:b/>
                <w:kern w:val="0"/>
                <w:sz w:val="20"/>
                <w:lang w:eastAsia="zh-CN"/>
              </w:rPr>
            </w:pPr>
            <w:r>
              <w:rPr>
                <w:rFonts w:hint="eastAsia"/>
                <w:b/>
                <w:kern w:val="0"/>
                <w:sz w:val="20"/>
                <w:lang w:val="en-US" w:eastAsia="zh-CN"/>
              </w:rPr>
              <w:t>3</w:t>
            </w:r>
          </w:p>
        </w:tc>
        <w:tc>
          <w:tcPr>
            <w:tcW w:w="726" w:type="dxa"/>
            <w:tcBorders>
              <w:left w:val="single" w:color="auto" w:sz="4" w:space="0"/>
              <w:bottom w:val="double" w:color="auto" w:sz="2" w:space="0"/>
              <w:right w:val="single" w:color="auto" w:sz="4" w:space="0"/>
            </w:tcBorders>
            <w:vAlign w:val="center"/>
          </w:tcPr>
          <w:p w14:paraId="5BFAFB38">
            <w:pPr>
              <w:jc w:val="center"/>
              <w:rPr>
                <w:b/>
                <w:kern w:val="0"/>
                <w:sz w:val="20"/>
              </w:rPr>
            </w:pPr>
          </w:p>
        </w:tc>
        <w:tc>
          <w:tcPr>
            <w:tcW w:w="1456" w:type="dxa"/>
            <w:vAlign w:val="center"/>
          </w:tcPr>
          <w:p w14:paraId="6355CDD8">
            <w:pPr>
              <w:jc w:val="center"/>
              <w:rPr>
                <w:rFonts w:hint="default" w:eastAsia="宋体"/>
                <w:b/>
                <w:kern w:val="0"/>
                <w:sz w:val="20"/>
                <w:lang w:val="en-US" w:eastAsia="zh-CN"/>
              </w:rPr>
            </w:pPr>
            <w:r>
              <w:rPr>
                <w:rFonts w:hint="eastAsia"/>
                <w:b/>
                <w:kern w:val="0"/>
                <w:sz w:val="20"/>
                <w:lang w:val="en-US" w:eastAsia="zh-CN"/>
              </w:rPr>
              <w:t>115.5</w:t>
            </w:r>
          </w:p>
        </w:tc>
      </w:tr>
    </w:tbl>
    <w:p w14:paraId="4FAF496C">
      <w:pPr>
        <w:ind w:firstLine="840" w:firstLineChars="400"/>
      </w:pPr>
      <w:r>
        <w:rPr>
          <w:rFonts w:hint="eastAsia"/>
        </w:rPr>
        <w:t>1、采购项目需要落实的政府采购政策：</w:t>
      </w:r>
    </w:p>
    <w:p w14:paraId="56125A28">
      <w:pPr>
        <w:ind w:firstLine="1155" w:firstLineChars="550"/>
      </w:pPr>
      <w:r>
        <w:rPr>
          <w:rFonts w:hint="eastAsia"/>
        </w:rPr>
        <w:t>1）支持中小企业：中小企业享受预留采购份额或价格折扣。</w:t>
      </w:r>
    </w:p>
    <w:p w14:paraId="1957BB20">
      <w:pPr>
        <w:ind w:firstLine="840" w:firstLineChars="400"/>
      </w:pPr>
      <w:r>
        <w:rPr>
          <w:rFonts w:hint="eastAsia"/>
        </w:rPr>
        <w:t>2、采购进口产品：</w:t>
      </w:r>
      <w:r>
        <w:rPr>
          <w:rFonts w:hint="eastAsia"/>
          <w:color w:val="auto"/>
        </w:rPr>
        <w:t>本项目采购</w:t>
      </w:r>
      <w:r>
        <w:rPr>
          <w:rFonts w:hint="eastAsia"/>
          <w:color w:val="auto"/>
          <w:lang w:eastAsia="zh-CN"/>
        </w:rPr>
        <w:t>拒绝</w:t>
      </w:r>
      <w:r>
        <w:rPr>
          <w:rFonts w:hint="eastAsia"/>
          <w:color w:val="auto"/>
        </w:rPr>
        <w:t>进口产品投标</w:t>
      </w:r>
      <w:r>
        <w:rPr>
          <w:rFonts w:hint="eastAsia"/>
        </w:rPr>
        <w:t>。</w:t>
      </w:r>
    </w:p>
    <w:p w14:paraId="3919C11A">
      <w:pPr>
        <w:adjustRightInd w:val="0"/>
        <w:snapToGrid w:val="0"/>
        <w:spacing w:line="340" w:lineRule="exact"/>
        <w:ind w:firstLine="422" w:firstLineChars="200"/>
        <w:rPr>
          <w:rFonts w:asciiTheme="minorEastAsia" w:hAnsiTheme="minorEastAsia" w:eastAsiaTheme="minorEastAsia"/>
          <w:szCs w:val="21"/>
        </w:rPr>
      </w:pPr>
      <w:r>
        <w:rPr>
          <w:rFonts w:hint="eastAsia" w:asciiTheme="minorEastAsia" w:hAnsiTheme="minorEastAsia" w:eastAsiaTheme="minorEastAsia"/>
          <w:b/>
          <w:szCs w:val="21"/>
        </w:rPr>
        <w:t>三、投标人的资格要求</w:t>
      </w:r>
      <w:r>
        <w:rPr>
          <w:rFonts w:hint="eastAsia" w:asciiTheme="minorEastAsia" w:hAnsiTheme="minorEastAsia" w:eastAsiaTheme="minorEastAsia"/>
          <w:szCs w:val="21"/>
        </w:rPr>
        <w:t>：</w:t>
      </w:r>
    </w:p>
    <w:p w14:paraId="7D8E0B61">
      <w:pPr>
        <w:ind w:firstLine="840" w:firstLineChars="400"/>
      </w:pPr>
      <w:r>
        <w:rPr>
          <w:rFonts w:hint="eastAsia"/>
        </w:rPr>
        <w:t>1、投标人基本资格条件：投标人必须是在中华人民共和国境内注册登记的法人、非法人组织或者自然人，且应当符合《政府采购法》第二十二条规定的供应商条件，即：</w:t>
      </w:r>
    </w:p>
    <w:p w14:paraId="744C11ED">
      <w:pPr>
        <w:ind w:firstLine="1050" w:firstLineChars="500"/>
      </w:pPr>
      <w:r>
        <w:rPr>
          <w:rFonts w:hint="eastAsia"/>
        </w:rPr>
        <w:t>（1）具有独立承担民事责任的能力；</w:t>
      </w:r>
    </w:p>
    <w:p w14:paraId="479A8726">
      <w:pPr>
        <w:ind w:firstLine="1050" w:firstLineChars="500"/>
      </w:pPr>
      <w:r>
        <w:rPr>
          <w:rFonts w:hint="eastAsia"/>
        </w:rPr>
        <w:t>（2）具有良好的商业信誉和健全的财务会计制度；</w:t>
      </w:r>
    </w:p>
    <w:p w14:paraId="0DDA38F3">
      <w:pPr>
        <w:ind w:firstLine="1050" w:firstLineChars="500"/>
      </w:pPr>
      <w:r>
        <w:rPr>
          <w:rFonts w:hint="eastAsia"/>
        </w:rPr>
        <w:t>（3）具有履行合同所必需的设备和专业技术能力；</w:t>
      </w:r>
    </w:p>
    <w:p w14:paraId="23C91D27">
      <w:pPr>
        <w:ind w:firstLine="1050" w:firstLineChars="500"/>
      </w:pPr>
      <w:r>
        <w:rPr>
          <w:rFonts w:hint="eastAsia"/>
        </w:rPr>
        <w:t>（4）有依法缴纳税收和社会保障资金的良好记录；</w:t>
      </w:r>
    </w:p>
    <w:p w14:paraId="7E34BA11">
      <w:pPr>
        <w:ind w:firstLine="1050" w:firstLineChars="500"/>
      </w:pPr>
      <w:r>
        <w:rPr>
          <w:rFonts w:hint="eastAsia"/>
        </w:rPr>
        <w:t>（5）参加政府采购活动前三年内，在经营活动中没有重大违法记录；</w:t>
      </w:r>
    </w:p>
    <w:p w14:paraId="427212CE">
      <w:pPr>
        <w:ind w:firstLine="1050" w:firstLineChars="500"/>
      </w:pPr>
      <w:r>
        <w:rPr>
          <w:rFonts w:hint="eastAsia"/>
        </w:rPr>
        <w:t>（6）法律、行政法规规定的其他条件。</w:t>
      </w:r>
    </w:p>
    <w:p w14:paraId="275008D5">
      <w:pPr>
        <w:ind w:firstLine="840" w:firstLineChars="400"/>
      </w:pPr>
      <w:r>
        <w:rPr>
          <w:rFonts w:hint="eastAsia"/>
        </w:rPr>
        <w:t>2、落实政府采购政策需满足的资格要求：</w:t>
      </w:r>
    </w:p>
    <w:p w14:paraId="50DA145A">
      <w:pPr>
        <w:ind w:firstLine="1050" w:firstLineChars="500"/>
      </w:pPr>
      <w:r>
        <w:rPr>
          <w:rFonts w:hint="eastAsia"/>
        </w:rPr>
        <w:sym w:font="Wingdings" w:char="00A8"/>
      </w:r>
      <w:r>
        <w:rPr>
          <w:rFonts w:hint="eastAsia"/>
        </w:rPr>
        <w:t>专门面向：</w:t>
      </w:r>
      <w:r>
        <w:rPr>
          <w:rFonts w:hint="eastAsia"/>
        </w:rPr>
        <w:sym w:font="Wingdings" w:char="00A8"/>
      </w:r>
      <w:r>
        <w:rPr>
          <w:rFonts w:hint="eastAsia"/>
        </w:rPr>
        <w:t xml:space="preserve">中小企业  </w:t>
      </w:r>
      <w:r>
        <w:rPr>
          <w:rFonts w:hint="eastAsia"/>
        </w:rPr>
        <w:sym w:font="Wingdings" w:char="00A8"/>
      </w:r>
      <w:r>
        <w:rPr>
          <w:rFonts w:hint="eastAsia"/>
        </w:rPr>
        <w:t xml:space="preserve">小微企业 </w:t>
      </w:r>
      <w:r>
        <w:rPr>
          <w:rFonts w:hint="eastAsia"/>
        </w:rPr>
        <w:sym w:font="Wingdings" w:char="00A8"/>
      </w:r>
      <w:r>
        <w:rPr>
          <w:rFonts w:hint="eastAsia"/>
        </w:rPr>
        <w:t xml:space="preserve">监狱企业 </w:t>
      </w:r>
      <w:r>
        <w:rPr>
          <w:rFonts w:hint="eastAsia"/>
        </w:rPr>
        <w:sym w:font="Wingdings" w:char="00A8"/>
      </w:r>
      <w:r>
        <w:rPr>
          <w:rFonts w:hint="eastAsia"/>
        </w:rPr>
        <w:t>福利性单位。</w:t>
      </w:r>
    </w:p>
    <w:p w14:paraId="12547D7D">
      <w:pPr>
        <w:ind w:firstLine="1050" w:firstLineChars="500"/>
      </w:pPr>
      <w:r>
        <w:rPr>
          <w:rFonts w:hint="eastAsia"/>
        </w:rPr>
        <w:sym w:font="Wingdings" w:char="00A8"/>
      </w:r>
      <w:r>
        <w:rPr>
          <w:rFonts w:hint="eastAsia"/>
        </w:rPr>
        <w:t>强制分包：大型企业应将采购份额的         %分包给中小企业。</w:t>
      </w:r>
    </w:p>
    <w:p w14:paraId="00C46120">
      <w:pPr>
        <w:ind w:firstLine="840" w:firstLineChars="400"/>
      </w:pPr>
      <w:r>
        <w:rPr>
          <w:rFonts w:hint="eastAsia"/>
        </w:rPr>
        <w:t>3、投标人特定资格条件：</w:t>
      </w:r>
    </w:p>
    <w:p w14:paraId="4EC1ED41">
      <w:pPr>
        <w:ind w:firstLine="1050" w:firstLineChars="500"/>
        <w:rPr>
          <w:rFonts w:hint="eastAsia" w:eastAsia="宋体"/>
          <w:lang w:eastAsia="zh-CN"/>
        </w:rPr>
      </w:pPr>
      <w:r>
        <w:rPr>
          <w:rFonts w:hint="eastAsia"/>
        </w:rPr>
        <w:t>（1）投标人须提供有效的《医疗器械经营企业许可证》</w:t>
      </w:r>
      <w:r>
        <w:rPr>
          <w:rFonts w:hint="eastAsia"/>
          <w:lang w:eastAsia="zh-CN"/>
        </w:rPr>
        <w:t>或第二类医疗器械经营备案凭证。</w:t>
      </w:r>
    </w:p>
    <w:p w14:paraId="181AF541">
      <w:pPr>
        <w:ind w:firstLine="840" w:firstLineChars="400"/>
      </w:pPr>
      <w:r>
        <w:rPr>
          <w:rFonts w:hint="eastAsia"/>
        </w:rPr>
        <w:t>4、单位负责人为同一人或者存在直接控股、管理关系的不同投标人，不得参加本项目同一合同项下的政府采购活动。</w:t>
      </w:r>
    </w:p>
    <w:p w14:paraId="2FA1FE2A">
      <w:pPr>
        <w:ind w:firstLine="840" w:firstLineChars="400"/>
      </w:pPr>
      <w:r>
        <w:rPr>
          <w:rFonts w:hint="eastAsia"/>
        </w:rPr>
        <w:t>5、为本采购项目提供整体设计、规范编制或者项目管理、监理、检测等服务的，不得再参加本项目的其他招标采购活动。</w:t>
      </w:r>
    </w:p>
    <w:p w14:paraId="751C6034">
      <w:pPr>
        <w:ind w:firstLine="840" w:firstLineChars="400"/>
      </w:pPr>
      <w:r>
        <w:rPr>
          <w:rFonts w:hint="eastAsia"/>
        </w:rPr>
        <w:t>6、未</w:t>
      </w:r>
      <w:r>
        <w:t>被</w:t>
      </w:r>
      <w:r>
        <w:rPr>
          <w:rFonts w:hint="eastAsia"/>
        </w:rPr>
        <w:t>列入失信被执行人、重大税收违法案件当事人名单，未</w:t>
      </w:r>
      <w:r>
        <w:t>被</w:t>
      </w:r>
      <w:r>
        <w:rPr>
          <w:rFonts w:hint="eastAsia"/>
        </w:rPr>
        <w:t>列入政府采购严重违法失信行为记录名单。</w:t>
      </w:r>
    </w:p>
    <w:p w14:paraId="7AD5A176">
      <w:pPr>
        <w:ind w:firstLine="840" w:firstLineChars="400"/>
      </w:pPr>
      <w:r>
        <w:rPr>
          <w:rFonts w:hint="eastAsia"/>
        </w:rPr>
        <w:t>7、联合体投标。本次招标</w:t>
      </w:r>
      <w:r>
        <w:rPr>
          <w:rFonts w:hint="eastAsia"/>
          <w:lang w:val="en-US" w:eastAsia="zh-CN"/>
        </w:rPr>
        <w:t>不</w:t>
      </w:r>
      <w:r>
        <w:rPr>
          <w:rFonts w:hint="eastAsia"/>
          <w:color w:val="auto"/>
        </w:rPr>
        <w:t>接受</w:t>
      </w:r>
      <w:r>
        <w:rPr>
          <w:rFonts w:hint="eastAsia"/>
        </w:rPr>
        <w:t>联合体投标。</w:t>
      </w:r>
    </w:p>
    <w:p w14:paraId="3D257832">
      <w:pPr>
        <w:ind w:firstLine="422" w:firstLineChars="200"/>
        <w:rPr>
          <w:b/>
        </w:rPr>
      </w:pPr>
      <w:r>
        <w:rPr>
          <w:rFonts w:hint="eastAsia"/>
          <w:b/>
        </w:rPr>
        <w:t>四、获取电子招标文件的时间、期限、方式</w:t>
      </w:r>
    </w:p>
    <w:p w14:paraId="732BEF5A">
      <w:pPr>
        <w:ind w:firstLine="840" w:firstLineChars="400"/>
      </w:pPr>
      <w:r>
        <w:rPr>
          <w:rFonts w:hint="eastAsia"/>
        </w:rPr>
        <w:t>1、本项目为电子招投标项目，投标人应当在《湘西公共资源交易网》（http://ggzyjy.xxz.gov.cn）进行注册登记和CA认证，须在规定时间内通过“湘西公共资源交易网”会员端下载采购文件，否则无法进行电子投标文件制作及进行电子投标。</w:t>
      </w:r>
    </w:p>
    <w:p w14:paraId="458A0688">
      <w:pPr>
        <w:ind w:firstLine="840" w:firstLineChars="400"/>
      </w:pPr>
      <w:r>
        <w:rPr>
          <w:rFonts w:hint="eastAsia"/>
        </w:rPr>
        <w:t>2、有意参加投标者，请于</w:t>
      </w:r>
      <w:bookmarkStart w:id="67" w:name="_GoBack"/>
      <w:bookmarkEnd w:id="67"/>
      <w:r>
        <w:rPr>
          <w:rFonts w:hint="eastAsia"/>
          <w:lang w:eastAsia="zh-CN"/>
        </w:rPr>
        <w:t>2025年7月16日至2025年7月22日</w:t>
      </w:r>
      <w:r>
        <w:rPr>
          <w:rFonts w:hint="eastAsia"/>
        </w:rPr>
        <w:t>17:30时止(北京时间，下同),登录中国湖南政府采购网（www.ccgp-hunan.gov.cn）→查看政府采购公告→附件→下载招标文件，或者登陆《湘西公共资源交易网》（http://ggzyjy.xxz.gov.cn）→点击“一站式综合服务系统”→点击“投标人/供应商/竞买方登录”→证书 Key登录）→点击“采购业务-填写投标信息”菜单，进入页面→点击“操作”按钮，进入到投标信息完善详情页面：填写项目负责人，点击我要投标→点击“采购业务-采购公告及文件下载”菜单，进入页面→点击“领取”下载按钮，进入详细页面→点击“下载招标文件”按钮，进入文件详细页面进行交易文件下载。</w:t>
      </w:r>
    </w:p>
    <w:p w14:paraId="53B3085B">
      <w:pPr>
        <w:ind w:firstLine="738" w:firstLineChars="350"/>
        <w:rPr>
          <w:b/>
        </w:rPr>
      </w:pPr>
      <w:r>
        <w:rPr>
          <w:rFonts w:hint="eastAsia"/>
          <w:b/>
        </w:rPr>
        <w:t>（备注：以上2种途径均可获取招标文件，但投标人必须登陆《湘西公共资源交易网》完成点击我要投标阶段的操作，否则将会影响其投标）。</w:t>
      </w:r>
    </w:p>
    <w:p w14:paraId="7D0948DC">
      <w:pPr>
        <w:ind w:firstLine="840" w:firstLineChars="400"/>
      </w:pPr>
      <w:r>
        <w:rPr>
          <w:rFonts w:hint="eastAsia"/>
        </w:rPr>
        <w:t>3、请投标人登录《湘西公共资源交易网》（http://ggzyjy.xxz.gov.cn） 下载电子投标文件制作工具编制投标文件，投标人应在投标截止时间前通过电子招标投标交易平台递交数据电文形式的投标文件。逾期送达的投标文件，电子招标投标交易平台予以拒收。</w:t>
      </w:r>
    </w:p>
    <w:p w14:paraId="26980A8B">
      <w:pPr>
        <w:ind w:firstLine="422" w:firstLineChars="200"/>
        <w:rPr>
          <w:b/>
        </w:rPr>
      </w:pPr>
      <w:r>
        <w:rPr>
          <w:rFonts w:hint="eastAsia"/>
          <w:b/>
        </w:rPr>
        <w:t>五、投标截止时间、开标时间、开标地点及电子投标文件解密时限</w:t>
      </w:r>
    </w:p>
    <w:p w14:paraId="56F5512D">
      <w:pPr>
        <w:ind w:firstLine="840" w:firstLineChars="400"/>
        <w:rPr>
          <w:rFonts w:hint="eastAsia" w:eastAsia="宋体"/>
          <w:lang w:eastAsia="zh-CN"/>
        </w:rPr>
      </w:pPr>
      <w:r>
        <w:rPr>
          <w:rFonts w:hint="eastAsia"/>
        </w:rPr>
        <w:t>1、提交电子投标文件的截止时间：</w:t>
      </w:r>
      <w:r>
        <w:rPr>
          <w:rFonts w:hint="eastAsia"/>
          <w:lang w:eastAsia="zh-CN"/>
        </w:rPr>
        <w:t>2025年8月6日9时00分（北京时间）</w:t>
      </w:r>
    </w:p>
    <w:p w14:paraId="6C8E0E5A">
      <w:pPr>
        <w:ind w:firstLine="840" w:firstLineChars="400"/>
        <w:rPr>
          <w:rFonts w:hint="eastAsia" w:eastAsia="宋体"/>
          <w:lang w:eastAsia="zh-CN"/>
        </w:rPr>
      </w:pPr>
      <w:r>
        <w:rPr>
          <w:rFonts w:hint="eastAsia"/>
        </w:rPr>
        <w:t>2、开标时间：</w:t>
      </w:r>
      <w:r>
        <w:rPr>
          <w:rFonts w:hint="eastAsia"/>
          <w:lang w:eastAsia="zh-CN"/>
        </w:rPr>
        <w:t>2025年8月6日9时00分（北京时间）</w:t>
      </w:r>
    </w:p>
    <w:p w14:paraId="29CB30E3">
      <w:pPr>
        <w:ind w:firstLine="840" w:firstLineChars="400"/>
        <w:rPr>
          <w:rFonts w:hint="eastAsia"/>
        </w:rPr>
      </w:pPr>
      <w:r>
        <w:rPr>
          <w:rFonts w:hint="eastAsia"/>
        </w:rPr>
        <w:t>3、开标地点：湘西自治州公共资源交易中心不见面开标</w:t>
      </w:r>
      <w:r>
        <w:rPr>
          <w:rFonts w:hint="eastAsia"/>
          <w:lang w:val="en-US" w:eastAsia="zh-CN"/>
        </w:rPr>
        <w:t>九</w:t>
      </w:r>
      <w:r>
        <w:rPr>
          <w:rFonts w:hint="eastAsia"/>
        </w:rPr>
        <w:t>室（吉首市吉凤街道州行政中心政务服务大楼四楼）</w:t>
      </w:r>
    </w:p>
    <w:p w14:paraId="070CB64B">
      <w:pPr>
        <w:ind w:firstLine="840" w:firstLineChars="400"/>
      </w:pPr>
      <w:r>
        <w:rPr>
          <w:rFonts w:hint="eastAsia"/>
        </w:rPr>
        <w:t>4、电子投标文件解密时限：30分钟，请投标人确保投标文件如期解密。在开标现场解密的，请投标人自备解密电脑和网络。</w:t>
      </w:r>
    </w:p>
    <w:p w14:paraId="63B862AC">
      <w:pPr>
        <w:ind w:firstLine="422" w:firstLineChars="200"/>
      </w:pPr>
      <w:r>
        <w:rPr>
          <w:rFonts w:hint="eastAsia"/>
          <w:b/>
        </w:rPr>
        <w:t>六、投标保证金（本项目不收取投标保证金）</w:t>
      </w:r>
    </w:p>
    <w:p w14:paraId="35CD8A33">
      <w:pPr>
        <w:ind w:firstLine="422" w:firstLineChars="200"/>
        <w:rPr>
          <w:b/>
        </w:rPr>
      </w:pPr>
      <w:r>
        <w:rPr>
          <w:rFonts w:hint="eastAsia"/>
          <w:b/>
        </w:rPr>
        <w:t>七、公告期限：</w:t>
      </w:r>
    </w:p>
    <w:p w14:paraId="57C279B0">
      <w:pPr>
        <w:ind w:firstLine="630" w:firstLineChars="300"/>
      </w:pPr>
      <w:r>
        <w:rPr>
          <w:rFonts w:hint="eastAsia"/>
        </w:rPr>
        <w:t>1、本招标公告在中国湖南政府采购网（www.ccgp-hunan.gov.cn）和湘西公共资源交易网(http://ggzyjy.xxz.gov.cn/)发布。公告期限从本招标公告发布之日起5个工作日。</w:t>
      </w:r>
    </w:p>
    <w:p w14:paraId="6AE206B4">
      <w:pPr>
        <w:ind w:firstLine="630" w:firstLineChars="300"/>
      </w:pPr>
      <w:r>
        <w:rPr>
          <w:rFonts w:hint="eastAsia"/>
        </w:rPr>
        <w:t>2、在其他媒体发布的招标公告，公告内容以本招标公告指定媒体发布的公告为准；公告期限自本招标公告指定媒体最先发布公告之日起算。</w:t>
      </w:r>
    </w:p>
    <w:p w14:paraId="080309F3">
      <w:pPr>
        <w:ind w:firstLine="422" w:firstLineChars="200"/>
        <w:rPr>
          <w:b/>
        </w:rPr>
      </w:pPr>
      <w:r>
        <w:rPr>
          <w:rFonts w:hint="eastAsia"/>
          <w:b/>
        </w:rPr>
        <w:t>八、疑问及质疑：</w:t>
      </w:r>
    </w:p>
    <w:p w14:paraId="025B1E69">
      <w:pPr>
        <w:ind w:firstLine="630" w:firstLineChars="300"/>
      </w:pPr>
      <w:r>
        <w:rPr>
          <w:rFonts w:hint="eastAsia"/>
        </w:rPr>
        <w:t>1、投标人对政府采购活动事项如有疑问的，可以向采购人、采购代理机构提出询问。采购人、采购代理机构将在3个工作日内作出答复。</w:t>
      </w:r>
    </w:p>
    <w:p w14:paraId="20ABE247">
      <w:pPr>
        <w:ind w:firstLine="630" w:firstLineChars="300"/>
      </w:pPr>
      <w:r>
        <w:rPr>
          <w:rFonts w:hint="eastAsia"/>
        </w:rPr>
        <w:t>2、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书面形式向采购人、采购代理机构提出质疑。</w:t>
      </w:r>
    </w:p>
    <w:p w14:paraId="439CD85C">
      <w:pPr>
        <w:ind w:firstLine="422" w:firstLineChars="200"/>
        <w:rPr>
          <w:b/>
        </w:rPr>
      </w:pPr>
      <w:r>
        <w:rPr>
          <w:rFonts w:hint="eastAsia"/>
          <w:b/>
        </w:rPr>
        <w:t>九、采购人、采购代理机构的名称、地址和联系方法</w:t>
      </w:r>
    </w:p>
    <w:p w14:paraId="6F3BEE94">
      <w:pPr>
        <w:ind w:firstLine="840" w:firstLineChars="400"/>
      </w:pPr>
      <w:r>
        <w:rPr>
          <w:rFonts w:hint="eastAsia"/>
        </w:rPr>
        <w:t>1、采购人信息</w:t>
      </w:r>
    </w:p>
    <w:p w14:paraId="0C34CA1C">
      <w:pPr>
        <w:ind w:firstLine="1155" w:firstLineChars="550"/>
      </w:pPr>
      <w:r>
        <w:rPr>
          <w:rFonts w:hint="eastAsia"/>
        </w:rPr>
        <w:t>名  称：湘西土家族苗族自治州人民医院</w:t>
      </w:r>
    </w:p>
    <w:p w14:paraId="27AB7B6C">
      <w:pPr>
        <w:ind w:firstLine="1155" w:firstLineChars="550"/>
        <w:rPr>
          <w:rFonts w:hint="eastAsia" w:eastAsia="宋体"/>
          <w:lang w:eastAsia="zh-CN"/>
        </w:rPr>
      </w:pPr>
      <w:r>
        <w:rPr>
          <w:rFonts w:hint="eastAsia"/>
        </w:rPr>
        <w:t>联系人：</w:t>
      </w:r>
      <w:r>
        <w:rPr>
          <w:rFonts w:hint="eastAsia"/>
          <w:lang w:eastAsia="zh-CN"/>
        </w:rPr>
        <w:t>田利平、吴金增</w:t>
      </w:r>
    </w:p>
    <w:p w14:paraId="1BCFACCB">
      <w:pPr>
        <w:ind w:firstLine="1155" w:firstLineChars="550"/>
      </w:pPr>
      <w:r>
        <w:rPr>
          <w:rFonts w:hint="eastAsia"/>
        </w:rPr>
        <w:t>电  话：0743-8669088</w:t>
      </w:r>
    </w:p>
    <w:p w14:paraId="5368DAC9">
      <w:pPr>
        <w:ind w:firstLine="1155" w:firstLineChars="550"/>
      </w:pPr>
      <w:r>
        <w:rPr>
          <w:rFonts w:hint="eastAsia"/>
        </w:rPr>
        <w:t>地  址：吉首市乾州世纪大道与建新路交汇处</w:t>
      </w:r>
    </w:p>
    <w:p w14:paraId="795957DC">
      <w:pPr>
        <w:ind w:firstLine="840" w:firstLineChars="400"/>
      </w:pPr>
      <w:r>
        <w:rPr>
          <w:rFonts w:hint="eastAsia"/>
        </w:rPr>
        <w:t>2、采购代理机构信息</w:t>
      </w:r>
    </w:p>
    <w:p w14:paraId="51A1C0F9">
      <w:pPr>
        <w:ind w:firstLine="1155" w:firstLineChars="550"/>
      </w:pPr>
      <w:r>
        <w:rPr>
          <w:rFonts w:hint="eastAsia"/>
        </w:rPr>
        <w:t>名  称：湖南永晟电子商务有限公司湘西分公司</w:t>
      </w:r>
    </w:p>
    <w:p w14:paraId="63B8906B">
      <w:pPr>
        <w:ind w:firstLine="1155" w:firstLineChars="550"/>
      </w:pPr>
      <w:r>
        <w:rPr>
          <w:rFonts w:hint="eastAsia"/>
        </w:rPr>
        <w:t>地  址：吉首市乾州世纪广场商业城B栋710室</w:t>
      </w:r>
    </w:p>
    <w:p w14:paraId="0B4849D9">
      <w:pPr>
        <w:ind w:firstLine="1155" w:firstLineChars="550"/>
        <w:rPr>
          <w:rFonts w:hint="eastAsia" w:eastAsia="宋体"/>
          <w:lang w:eastAsia="zh-CN"/>
        </w:rPr>
      </w:pPr>
      <w:r>
        <w:rPr>
          <w:rFonts w:hint="eastAsia"/>
        </w:rPr>
        <w:t>联系人：</w:t>
      </w:r>
      <w:r>
        <w:rPr>
          <w:rFonts w:hint="eastAsia"/>
          <w:lang w:eastAsia="zh-CN"/>
        </w:rPr>
        <w:t>伍程波</w:t>
      </w:r>
      <w:r>
        <w:rPr>
          <w:rFonts w:hint="eastAsia"/>
        </w:rPr>
        <w:t>、</w:t>
      </w:r>
      <w:r>
        <w:rPr>
          <w:rFonts w:hint="eastAsia"/>
          <w:lang w:eastAsia="zh-CN"/>
        </w:rPr>
        <w:t>秦明霞、江钰玲</w:t>
      </w:r>
    </w:p>
    <w:p w14:paraId="5BAAB451">
      <w:pPr>
        <w:ind w:firstLine="1155" w:firstLineChars="550"/>
      </w:pPr>
      <w:r>
        <w:rPr>
          <w:rFonts w:hint="eastAsia"/>
        </w:rPr>
        <w:t>邮  编：416000</w:t>
      </w:r>
    </w:p>
    <w:p w14:paraId="59FE3C52">
      <w:pPr>
        <w:ind w:firstLine="1155" w:firstLineChars="550"/>
      </w:pPr>
      <w:r>
        <w:rPr>
          <w:rFonts w:hint="eastAsia"/>
        </w:rPr>
        <w:t>电  话：0743-8257308</w:t>
      </w:r>
    </w:p>
    <w:p w14:paraId="50A08DA1">
      <w:pPr>
        <w:ind w:firstLine="1155" w:firstLineChars="550"/>
      </w:pPr>
      <w:r>
        <w:rPr>
          <w:rFonts w:hint="eastAsia"/>
        </w:rPr>
        <w:t>电子邮箱：21045240@qq.com</w:t>
      </w:r>
    </w:p>
    <w:p w14:paraId="06831543">
      <w:pPr>
        <w:ind w:firstLine="422" w:firstLineChars="200"/>
        <w:rPr>
          <w:b/>
        </w:rPr>
      </w:pPr>
      <w:r>
        <w:rPr>
          <w:rFonts w:hint="eastAsia"/>
          <w:b/>
        </w:rPr>
        <w:t xml:space="preserve">十、其它补充事宜 </w:t>
      </w:r>
    </w:p>
    <w:p w14:paraId="1139C749">
      <w:pPr>
        <w:ind w:firstLine="630" w:firstLineChars="300"/>
      </w:pPr>
      <w:r>
        <w:rPr>
          <w:rFonts w:hint="eastAsia"/>
        </w:rPr>
        <w:t>1、本项目为电子交易系统项目，参与投标均须使用CA数字证书登陆进行操作。投标人参与本项目的投标事宜，须办理至少以下数字证书：（1）办理投标单位数字证书（含电子印章）；（2）被授权委托人数字证书（法人代表投标须办理法人代表数字证书，含个人电子签名）。投标时，必须使用对应投标单位的CA数字证书进行投标参与及投标文件制作。具体办理流程详见《湘西公共资源交易网》（http://ggzyjy.xxz.gov.cn）“服务导航”菜单“CA 办理指南”。数字证书（含电子印章）有关业务流程或电话咨询：0743-8523032。</w:t>
      </w:r>
    </w:p>
    <w:p w14:paraId="1C86D326">
      <w:pPr>
        <w:ind w:firstLine="630" w:firstLineChars="300"/>
      </w:pPr>
      <w:r>
        <w:rPr>
          <w:rFonts w:hint="eastAsia"/>
        </w:rPr>
        <w:t>2、投标人在编制电子投标文件时应当将大小控制在200M 以内，请投标人注意控制文件大小。</w:t>
      </w:r>
    </w:p>
    <w:p w14:paraId="317F323F">
      <w:pPr>
        <w:ind w:firstLine="630" w:firstLineChars="300"/>
      </w:pPr>
      <w:r>
        <w:rPr>
          <w:rFonts w:hint="eastAsia"/>
        </w:rPr>
        <w:t>3、由于对网上招投标操作不熟悉或自身电脑、个人网络等原因导致不能在投标截止时间之前完成投标文件上传的，相应责任由投标人自行承担。在使用系统过程中有疑问或困难请及时进行咨询。</w:t>
      </w:r>
    </w:p>
    <w:p w14:paraId="0A21F647">
      <w:pPr>
        <w:ind w:firstLine="630" w:firstLineChars="300"/>
      </w:pPr>
      <w:r>
        <w:rPr>
          <w:rFonts w:hint="eastAsia"/>
        </w:rPr>
        <w:t>4、如果开标时出现网络故障、技术故障等情形而影响招投标活动，招标人可采取项目延期、延长投标文件解密时间等相应措施，以保障招投标活动的公开、公平和公正，投标人不得对此持有异议。</w:t>
      </w:r>
    </w:p>
    <w:p w14:paraId="6F4A3476">
      <w:pPr>
        <w:ind w:firstLine="630" w:firstLineChars="300"/>
      </w:pPr>
      <w:r>
        <w:rPr>
          <w:rFonts w:hint="eastAsia"/>
        </w:rPr>
        <w:t>5、开标注意事项：投标人自行完成投标文件解密，因投标人自身原因未在规定时间内完成解密或无法解密的投标文件视为撤销其投标文件，相应责任由投标人自行承担。</w:t>
      </w:r>
    </w:p>
    <w:p w14:paraId="4216726A">
      <w:pPr>
        <w:spacing w:line="320" w:lineRule="exact"/>
        <w:ind w:firstLine="630" w:firstLineChars="300"/>
      </w:pPr>
      <w:r>
        <w:rPr>
          <w:rFonts w:hint="eastAsia"/>
        </w:rPr>
        <w:t>6、因</w:t>
      </w:r>
      <w:r>
        <w:rPr>
          <w:rFonts w:hint="eastAsia"/>
          <w:lang w:eastAsia="zh-CN"/>
        </w:rPr>
        <w:t>投标人</w:t>
      </w:r>
      <w:r>
        <w:rPr>
          <w:rFonts w:hint="eastAsia"/>
        </w:rPr>
        <w:t>提交的</w:t>
      </w:r>
      <w:r>
        <w:rPr>
          <w:rFonts w:hint="eastAsia"/>
          <w:lang w:eastAsia="zh-CN"/>
        </w:rPr>
        <w:t>电子投标</w:t>
      </w:r>
      <w:r>
        <w:rPr>
          <w:rFonts w:hint="eastAsia"/>
        </w:rPr>
        <w:t>文件等资料含有计算机病毒，导致无法参与开标、评标等交易活动，后果由</w:t>
      </w:r>
      <w:r>
        <w:rPr>
          <w:rFonts w:hint="eastAsia"/>
          <w:lang w:eastAsia="zh-CN"/>
        </w:rPr>
        <w:t>投标人</w:t>
      </w:r>
      <w:r>
        <w:rPr>
          <w:rFonts w:hint="eastAsia"/>
        </w:rPr>
        <w:t>承担。</w:t>
      </w:r>
    </w:p>
    <w:p w14:paraId="30259B1B">
      <w:pPr>
        <w:ind w:firstLine="630" w:firstLineChars="300"/>
        <w:rPr>
          <w:rFonts w:hint="eastAsia" w:eastAsia="宋体"/>
          <w:lang w:eastAsia="zh-CN"/>
        </w:rPr>
      </w:pPr>
      <w:r>
        <w:rPr>
          <w:rFonts w:hint="eastAsia"/>
          <w:lang w:val="en-US" w:eastAsia="zh-CN"/>
        </w:rPr>
        <w:t>7</w:t>
      </w:r>
      <w:r>
        <w:rPr>
          <w:rFonts w:hint="eastAsia"/>
        </w:rPr>
        <w:t>、请各投标人一定要提前熟悉系统操作和软件操作，投标文件制作软件过程中如遇问题可联系新点技术支持：</w:t>
      </w:r>
      <w:r>
        <w:rPr>
          <w:rFonts w:hint="eastAsia"/>
          <w:lang w:val="en-US" w:eastAsia="zh-CN"/>
        </w:rPr>
        <w:t>0743-8523902</w:t>
      </w:r>
      <w:r>
        <w:rPr>
          <w:rFonts w:hint="eastAsia"/>
        </w:rPr>
        <w:t>。如因不会操作所造成的投标失败或损失由投标人自行负责</w:t>
      </w:r>
      <w:r>
        <w:rPr>
          <w:rFonts w:hint="eastAsia"/>
          <w:lang w:eastAsia="zh-CN"/>
        </w:rPr>
        <w:t>。</w:t>
      </w:r>
    </w:p>
    <w:p w14:paraId="44B29A48">
      <w:pPr>
        <w:pStyle w:val="21"/>
        <w:adjustRightInd w:val="0"/>
        <w:snapToGrid w:val="0"/>
        <w:spacing w:line="360" w:lineRule="auto"/>
        <w:jc w:val="center"/>
        <w:rPr>
          <w:rFonts w:ascii="黑体" w:hAnsi="华文中宋" w:eastAsia="黑体"/>
          <w:b/>
          <w:sz w:val="32"/>
          <w:szCs w:val="32"/>
        </w:rPr>
      </w:pPr>
      <w:r>
        <w:rPr>
          <w:rFonts w:ascii="黑体" w:hAnsi="华文中宋" w:eastAsia="黑体"/>
          <w:b/>
          <w:sz w:val="32"/>
          <w:szCs w:val="32"/>
        </w:rPr>
        <w:br w:type="page"/>
      </w:r>
    </w:p>
    <w:p w14:paraId="126E7095">
      <w:pPr>
        <w:pStyle w:val="21"/>
        <w:adjustRightInd w:val="0"/>
        <w:snapToGrid w:val="0"/>
        <w:spacing w:line="360" w:lineRule="auto"/>
        <w:jc w:val="center"/>
        <w:outlineLvl w:val="0"/>
        <w:rPr>
          <w:rFonts w:hint="eastAsia" w:ascii="方正小标宋简体" w:hAnsi="方正小标宋简体" w:eastAsia="方正小标宋简体" w:cs="方正小标宋简体"/>
          <w:b w:val="0"/>
          <w:bCs/>
          <w:spacing w:val="100"/>
          <w:sz w:val="36"/>
          <w:szCs w:val="36"/>
        </w:rPr>
      </w:pPr>
      <w:bookmarkStart w:id="1" w:name="_Toc29913894"/>
      <w:r>
        <w:rPr>
          <w:rFonts w:hint="eastAsia" w:ascii="方正小标宋简体" w:hAnsi="方正小标宋简体" w:eastAsia="方正小标宋简体" w:cs="方正小标宋简体"/>
          <w:b w:val="0"/>
          <w:bCs/>
          <w:sz w:val="36"/>
          <w:szCs w:val="36"/>
        </w:rPr>
        <w:t>第二章 投标须知</w:t>
      </w:r>
      <w:bookmarkEnd w:id="1"/>
    </w:p>
    <w:p w14:paraId="4F8BCE53">
      <w:pPr>
        <w:pStyle w:val="3"/>
        <w:adjustRightInd w:val="0"/>
        <w:snapToGrid w:val="0"/>
        <w:jc w:val="center"/>
        <w:rPr>
          <w:rFonts w:ascii="黑体" w:hAnsi="华文中宋" w:eastAsia="黑体"/>
          <w:spacing w:val="100"/>
          <w:sz w:val="28"/>
          <w:szCs w:val="28"/>
        </w:rPr>
      </w:pPr>
      <w:bookmarkStart w:id="2" w:name="_Toc29913895"/>
      <w:r>
        <w:rPr>
          <w:rFonts w:hint="eastAsia" w:ascii="黑体" w:hAnsi="华文中宋" w:eastAsia="黑体"/>
          <w:sz w:val="28"/>
          <w:szCs w:val="28"/>
        </w:rPr>
        <w:t>第一节 投标须知前附表</w:t>
      </w:r>
      <w:bookmarkEnd w:id="2"/>
    </w:p>
    <w:tbl>
      <w:tblPr>
        <w:tblStyle w:val="41"/>
        <w:tblW w:w="893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693"/>
        <w:gridCol w:w="4678"/>
      </w:tblGrid>
      <w:tr w14:paraId="39E3E7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560" w:type="dxa"/>
            <w:vAlign w:val="center"/>
          </w:tcPr>
          <w:p w14:paraId="52C8EAC2">
            <w:pPr>
              <w:jc w:val="center"/>
              <w:rPr>
                <w:b/>
              </w:rPr>
            </w:pPr>
            <w:r>
              <w:rPr>
                <w:rFonts w:hint="eastAsia"/>
                <w:b/>
              </w:rPr>
              <w:t>条款号</w:t>
            </w:r>
          </w:p>
        </w:tc>
        <w:tc>
          <w:tcPr>
            <w:tcW w:w="2693" w:type="dxa"/>
            <w:vAlign w:val="center"/>
          </w:tcPr>
          <w:p w14:paraId="1A49C236">
            <w:pPr>
              <w:jc w:val="center"/>
              <w:rPr>
                <w:b/>
              </w:rPr>
            </w:pPr>
            <w:r>
              <w:rPr>
                <w:rFonts w:hint="eastAsia"/>
                <w:b/>
              </w:rPr>
              <w:t>条款名称</w:t>
            </w:r>
          </w:p>
        </w:tc>
        <w:tc>
          <w:tcPr>
            <w:tcW w:w="4678" w:type="dxa"/>
            <w:vAlign w:val="center"/>
          </w:tcPr>
          <w:p w14:paraId="687641E6">
            <w:pPr>
              <w:jc w:val="center"/>
              <w:rPr>
                <w:b/>
              </w:rPr>
            </w:pPr>
            <w:r>
              <w:rPr>
                <w:rFonts w:hint="eastAsia"/>
                <w:b/>
              </w:rPr>
              <w:t>编列内容规定</w:t>
            </w:r>
          </w:p>
        </w:tc>
      </w:tr>
      <w:tr w14:paraId="678E19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0E6FD3C4">
            <w:r>
              <w:rPr>
                <w:rFonts w:hint="eastAsia"/>
              </w:rPr>
              <w:t>一、说明</w:t>
            </w:r>
          </w:p>
        </w:tc>
      </w:tr>
      <w:tr w14:paraId="0FCAF2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585D46B">
            <w:r>
              <w:rPr>
                <w:rFonts w:hint="eastAsia"/>
              </w:rPr>
              <w:t>第1.1款</w:t>
            </w:r>
          </w:p>
        </w:tc>
        <w:tc>
          <w:tcPr>
            <w:tcW w:w="2693" w:type="dxa"/>
            <w:vAlign w:val="center"/>
          </w:tcPr>
          <w:p w14:paraId="4637BCEB">
            <w:r>
              <w:rPr>
                <w:rFonts w:hint="eastAsia"/>
              </w:rPr>
              <w:t>采购项目</w:t>
            </w:r>
          </w:p>
        </w:tc>
        <w:tc>
          <w:tcPr>
            <w:tcW w:w="4678" w:type="dxa"/>
            <w:vAlign w:val="center"/>
          </w:tcPr>
          <w:p w14:paraId="51FC7EEB">
            <w:pPr>
              <w:rPr>
                <w:rFonts w:hint="eastAsia" w:eastAsiaTheme="minorEastAsia"/>
                <w:lang w:eastAsia="zh-CN"/>
              </w:rPr>
            </w:pPr>
            <w:r>
              <w:rPr>
                <w:rFonts w:hint="eastAsia"/>
                <w:lang w:eastAsia="zh-CN"/>
              </w:rPr>
              <w:t>湘西自治州人民医院彩色超声诊断系统维保项目</w:t>
            </w:r>
          </w:p>
        </w:tc>
      </w:tr>
      <w:tr w14:paraId="7FEBDB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2" w:hRule="atLeast"/>
        </w:trPr>
        <w:tc>
          <w:tcPr>
            <w:tcW w:w="1560" w:type="dxa"/>
            <w:vAlign w:val="center"/>
          </w:tcPr>
          <w:p w14:paraId="3AE06109">
            <w:r>
              <w:rPr>
                <w:rFonts w:hint="eastAsia"/>
              </w:rPr>
              <w:t>第1.2款</w:t>
            </w:r>
          </w:p>
        </w:tc>
        <w:tc>
          <w:tcPr>
            <w:tcW w:w="2693" w:type="dxa"/>
            <w:vAlign w:val="center"/>
          </w:tcPr>
          <w:p w14:paraId="027F20BA">
            <w:r>
              <w:rPr>
                <w:rFonts w:hint="eastAsia"/>
              </w:rPr>
              <w:t>专门面向中小企业采购</w:t>
            </w:r>
          </w:p>
        </w:tc>
        <w:tc>
          <w:tcPr>
            <w:tcW w:w="4678" w:type="dxa"/>
            <w:vAlign w:val="center"/>
          </w:tcPr>
          <w:p w14:paraId="4B62E731">
            <w:r>
              <w:rPr>
                <w:rFonts w:hint="eastAsia"/>
              </w:rPr>
              <w:t>否</w:t>
            </w:r>
          </w:p>
        </w:tc>
      </w:tr>
      <w:tr w14:paraId="2569F8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19869AC">
            <w:r>
              <w:rPr>
                <w:rFonts w:hint="eastAsia"/>
              </w:rPr>
              <w:t>第2.2款</w:t>
            </w:r>
          </w:p>
        </w:tc>
        <w:tc>
          <w:tcPr>
            <w:tcW w:w="2693" w:type="dxa"/>
            <w:vAlign w:val="center"/>
          </w:tcPr>
          <w:p w14:paraId="279D7FB4">
            <w:r>
              <w:rPr>
                <w:rFonts w:hint="eastAsia"/>
              </w:rPr>
              <w:t>采购人名称、地址、电话、联系人</w:t>
            </w:r>
          </w:p>
        </w:tc>
        <w:tc>
          <w:tcPr>
            <w:tcW w:w="4678" w:type="dxa"/>
            <w:vAlign w:val="center"/>
          </w:tcPr>
          <w:p w14:paraId="74848CA9">
            <w:pPr>
              <w:pStyle w:val="4"/>
              <w:keepNext w:val="0"/>
              <w:keepLines w:val="0"/>
              <w:widowControl/>
              <w:spacing w:before="0" w:after="0" w:line="240" w:lineRule="exact"/>
              <w:ind w:left="1470" w:hanging="1470" w:hangingChars="700"/>
              <w:rPr>
                <w:rFonts w:ascii="宋体" w:hAnsi="宋体" w:cs="宋体"/>
                <w:b w:val="0"/>
                <w:bCs w:val="0"/>
                <w:color w:val="000000"/>
                <w:sz w:val="21"/>
                <w:szCs w:val="21"/>
              </w:rPr>
            </w:pPr>
            <w:r>
              <w:rPr>
                <w:rFonts w:hint="eastAsia" w:ascii="宋体" w:hAnsi="宋体" w:cs="宋体"/>
                <w:b w:val="0"/>
                <w:bCs w:val="0"/>
                <w:color w:val="000000"/>
                <w:sz w:val="21"/>
                <w:szCs w:val="21"/>
              </w:rPr>
              <w:t xml:space="preserve">名  称：湘西土家族苗族自治州人民医院 </w:t>
            </w:r>
          </w:p>
          <w:p w14:paraId="1B2D775E">
            <w:pPr>
              <w:pStyle w:val="4"/>
              <w:keepNext w:val="0"/>
              <w:keepLines w:val="0"/>
              <w:widowControl/>
              <w:spacing w:before="0" w:after="0" w:line="240" w:lineRule="exact"/>
              <w:ind w:left="1470" w:hanging="1470" w:hangingChars="700"/>
              <w:rPr>
                <w:rFonts w:ascii="宋体" w:hAnsi="宋体" w:cs="宋体"/>
                <w:b w:val="0"/>
                <w:bCs w:val="0"/>
                <w:color w:val="000000"/>
                <w:sz w:val="21"/>
                <w:szCs w:val="21"/>
              </w:rPr>
            </w:pPr>
            <w:r>
              <w:rPr>
                <w:rFonts w:hint="eastAsia" w:ascii="宋体" w:hAnsi="宋体" w:cs="宋体"/>
                <w:b w:val="0"/>
                <w:bCs w:val="0"/>
                <w:color w:val="000000"/>
                <w:sz w:val="21"/>
                <w:szCs w:val="21"/>
              </w:rPr>
              <w:t>地  址：吉首市乾州世纪大道与建新路交汇处</w:t>
            </w:r>
          </w:p>
          <w:p w14:paraId="47F361E1">
            <w:pPr>
              <w:pStyle w:val="4"/>
              <w:keepNext w:val="0"/>
              <w:keepLines w:val="0"/>
              <w:widowControl/>
              <w:spacing w:before="0" w:after="0" w:line="240" w:lineRule="exact"/>
              <w:ind w:left="1470" w:hanging="1470" w:hangingChars="700"/>
              <w:rPr>
                <w:rFonts w:hint="eastAsia" w:ascii="宋体" w:hAnsi="宋体" w:eastAsia="宋体" w:cs="宋体"/>
                <w:b w:val="0"/>
                <w:bCs w:val="0"/>
                <w:color w:val="000000"/>
                <w:sz w:val="21"/>
                <w:szCs w:val="21"/>
                <w:lang w:eastAsia="zh-CN"/>
              </w:rPr>
            </w:pPr>
            <w:r>
              <w:rPr>
                <w:rFonts w:hint="eastAsia" w:ascii="宋体" w:hAnsi="宋体" w:cs="宋体"/>
                <w:b w:val="0"/>
                <w:bCs w:val="0"/>
                <w:color w:val="000000"/>
                <w:sz w:val="21"/>
                <w:szCs w:val="21"/>
              </w:rPr>
              <w:t>联系人：</w:t>
            </w:r>
            <w:r>
              <w:rPr>
                <w:rFonts w:hint="eastAsia" w:ascii="宋体" w:hAnsi="宋体" w:cs="宋体"/>
                <w:b w:val="0"/>
                <w:bCs w:val="0"/>
                <w:color w:val="000000"/>
                <w:sz w:val="21"/>
                <w:szCs w:val="21"/>
                <w:lang w:eastAsia="zh-CN"/>
              </w:rPr>
              <w:t>田利平、吴金增</w:t>
            </w:r>
          </w:p>
          <w:p w14:paraId="1A1493B7">
            <w:pPr>
              <w:pStyle w:val="4"/>
              <w:keepNext w:val="0"/>
              <w:keepLines w:val="0"/>
              <w:widowControl/>
              <w:spacing w:before="0" w:after="0" w:line="240" w:lineRule="exact"/>
              <w:ind w:left="1470" w:hanging="1470" w:hangingChars="700"/>
              <w:rPr>
                <w:rFonts w:asciiTheme="minorEastAsia" w:hAnsiTheme="minorEastAsia" w:eastAsiaTheme="minorEastAsia"/>
                <w:szCs w:val="21"/>
              </w:rPr>
            </w:pPr>
            <w:r>
              <w:rPr>
                <w:rFonts w:hint="eastAsia" w:ascii="宋体" w:hAnsi="宋体" w:cs="宋体"/>
                <w:b w:val="0"/>
                <w:bCs w:val="0"/>
                <w:color w:val="000000"/>
                <w:sz w:val="21"/>
                <w:szCs w:val="21"/>
              </w:rPr>
              <w:t>电  话：</w:t>
            </w:r>
            <w:r>
              <w:rPr>
                <w:b w:val="0"/>
                <w:bCs w:val="0"/>
                <w:color w:val="000000"/>
                <w:sz w:val="21"/>
                <w:szCs w:val="21"/>
              </w:rPr>
              <w:t>0743-8669088</w:t>
            </w:r>
          </w:p>
        </w:tc>
      </w:tr>
      <w:tr w14:paraId="69E4B7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6EE1C66">
            <w:r>
              <w:rPr>
                <w:rFonts w:hint="eastAsia"/>
              </w:rPr>
              <w:t>第2.3款</w:t>
            </w:r>
          </w:p>
        </w:tc>
        <w:tc>
          <w:tcPr>
            <w:tcW w:w="2693" w:type="dxa"/>
            <w:vAlign w:val="center"/>
          </w:tcPr>
          <w:p w14:paraId="114A5605">
            <w:r>
              <w:rPr>
                <w:rFonts w:hint="eastAsia"/>
              </w:rPr>
              <w:t>采购代理机构名称、地址、电话、联系人</w:t>
            </w:r>
          </w:p>
        </w:tc>
        <w:tc>
          <w:tcPr>
            <w:tcW w:w="4678" w:type="dxa"/>
            <w:vAlign w:val="center"/>
          </w:tcPr>
          <w:p w14:paraId="0E6DD628">
            <w:pPr>
              <w:pStyle w:val="4"/>
              <w:keepNext w:val="0"/>
              <w:keepLines w:val="0"/>
              <w:widowControl/>
              <w:spacing w:before="0" w:after="0" w:line="240" w:lineRule="exact"/>
              <w:ind w:left="1470" w:hanging="1470" w:hangingChars="700"/>
              <w:rPr>
                <w:rFonts w:ascii="宋体" w:hAnsi="宋体" w:cs="宋体"/>
                <w:b w:val="0"/>
                <w:bCs w:val="0"/>
                <w:color w:val="000000"/>
                <w:sz w:val="21"/>
                <w:szCs w:val="21"/>
              </w:rPr>
            </w:pPr>
            <w:r>
              <w:rPr>
                <w:rFonts w:hint="eastAsia" w:ascii="宋体" w:hAnsi="宋体" w:cs="宋体"/>
                <w:b w:val="0"/>
                <w:bCs w:val="0"/>
                <w:color w:val="000000"/>
                <w:sz w:val="21"/>
                <w:szCs w:val="21"/>
              </w:rPr>
              <w:t>名  称：湖南永晟电子商务有限公司湘西分公司</w:t>
            </w:r>
          </w:p>
          <w:p w14:paraId="4C6D54E3">
            <w:pPr>
              <w:pStyle w:val="4"/>
              <w:keepNext w:val="0"/>
              <w:keepLines w:val="0"/>
              <w:widowControl/>
              <w:spacing w:before="0" w:after="0" w:line="240" w:lineRule="exact"/>
              <w:rPr>
                <w:rFonts w:ascii="宋体" w:hAnsi="宋体" w:cs="宋体"/>
                <w:b w:val="0"/>
                <w:bCs w:val="0"/>
                <w:color w:val="000000"/>
                <w:sz w:val="21"/>
                <w:szCs w:val="21"/>
              </w:rPr>
            </w:pPr>
            <w:r>
              <w:rPr>
                <w:rFonts w:hint="eastAsia" w:ascii="宋体" w:hAnsi="宋体" w:cs="宋体"/>
                <w:b w:val="0"/>
                <w:color w:val="000000"/>
                <w:kern w:val="0"/>
                <w:sz w:val="21"/>
                <w:szCs w:val="21"/>
              </w:rPr>
              <w:t>地  址：吉首市乾州世纪广场商业城B栋710室</w:t>
            </w:r>
          </w:p>
          <w:p w14:paraId="5F2918E4">
            <w:pPr>
              <w:widowControl/>
              <w:spacing w:line="240" w:lineRule="exact"/>
              <w:rPr>
                <w:rFonts w:ascii="宋体" w:hAnsi="宋体" w:cs="宋体"/>
                <w:color w:val="000000"/>
                <w:kern w:val="0"/>
                <w:szCs w:val="21"/>
              </w:rPr>
            </w:pPr>
            <w:r>
              <w:rPr>
                <w:rFonts w:hint="eastAsia" w:ascii="宋体" w:hAnsi="宋体" w:cs="宋体"/>
                <w:color w:val="000000"/>
                <w:kern w:val="0"/>
                <w:szCs w:val="21"/>
              </w:rPr>
              <w:t>联系人：</w:t>
            </w:r>
            <w:r>
              <w:rPr>
                <w:rFonts w:hint="eastAsia" w:ascii="宋体" w:hAnsi="宋体" w:cs="宋体"/>
                <w:color w:val="000000"/>
                <w:kern w:val="0"/>
                <w:szCs w:val="21"/>
                <w:lang w:eastAsia="zh-CN"/>
              </w:rPr>
              <w:t>伍程波</w:t>
            </w:r>
            <w:r>
              <w:rPr>
                <w:rFonts w:hint="eastAsia" w:ascii="宋体" w:hAnsi="宋体" w:cs="宋体"/>
                <w:color w:val="000000"/>
                <w:kern w:val="0"/>
                <w:szCs w:val="21"/>
              </w:rPr>
              <w:t>、</w:t>
            </w:r>
            <w:r>
              <w:rPr>
                <w:rFonts w:hint="eastAsia" w:ascii="宋体" w:hAnsi="宋体" w:cs="宋体"/>
                <w:color w:val="000000"/>
                <w:kern w:val="0"/>
                <w:szCs w:val="21"/>
                <w:lang w:eastAsia="zh-CN"/>
              </w:rPr>
              <w:t>秦明霞、江钰玲</w:t>
            </w:r>
            <w:r>
              <w:rPr>
                <w:rFonts w:hint="eastAsia" w:ascii="宋体" w:hAnsi="宋体" w:cs="宋体"/>
                <w:color w:val="000000"/>
                <w:kern w:val="0"/>
                <w:szCs w:val="21"/>
              </w:rPr>
              <w:t xml:space="preserve">                 </w:t>
            </w:r>
          </w:p>
          <w:p w14:paraId="0AE5D00E">
            <w:pPr>
              <w:adjustRightInd w:val="0"/>
              <w:snapToGrid w:val="0"/>
              <w:spacing w:line="240" w:lineRule="exact"/>
            </w:pPr>
            <w:r>
              <w:rPr>
                <w:rFonts w:hint="eastAsia" w:ascii="宋体" w:hAnsi="宋体" w:cs="宋体"/>
                <w:color w:val="000000"/>
                <w:kern w:val="0"/>
                <w:szCs w:val="21"/>
              </w:rPr>
              <w:t>电  话：</w:t>
            </w:r>
            <w:r>
              <w:rPr>
                <w:color w:val="000000"/>
                <w:kern w:val="0"/>
                <w:szCs w:val="21"/>
              </w:rPr>
              <w:t>0743-8257308</w:t>
            </w:r>
          </w:p>
        </w:tc>
      </w:tr>
      <w:tr w14:paraId="46A5CE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57D9646">
            <w:r>
              <w:rPr>
                <w:rFonts w:hint="eastAsia"/>
              </w:rPr>
              <w:t>第2.5款</w:t>
            </w:r>
          </w:p>
        </w:tc>
        <w:tc>
          <w:tcPr>
            <w:tcW w:w="2693" w:type="dxa"/>
            <w:vAlign w:val="center"/>
          </w:tcPr>
          <w:p w14:paraId="4BC5A3A5">
            <w:r>
              <w:rPr>
                <w:rFonts w:hint="eastAsia"/>
              </w:rPr>
              <w:t>采购进口产品</w:t>
            </w:r>
          </w:p>
        </w:tc>
        <w:tc>
          <w:tcPr>
            <w:tcW w:w="4678" w:type="dxa"/>
            <w:vAlign w:val="center"/>
          </w:tcPr>
          <w:p w14:paraId="500F708F">
            <w:pPr>
              <w:rPr>
                <w:color w:val="FF0000"/>
              </w:rPr>
            </w:pPr>
            <w:r>
              <w:rPr>
                <w:rFonts w:hint="eastAsia"/>
                <w:color w:val="auto"/>
              </w:rPr>
              <w:t>本项目采购</w:t>
            </w:r>
            <w:r>
              <w:rPr>
                <w:rFonts w:hint="eastAsia"/>
                <w:color w:val="auto"/>
                <w:lang w:eastAsia="zh-CN"/>
              </w:rPr>
              <w:t>拒绝</w:t>
            </w:r>
            <w:r>
              <w:rPr>
                <w:rFonts w:hint="eastAsia"/>
                <w:color w:val="auto"/>
              </w:rPr>
              <w:t>进口产品</w:t>
            </w:r>
          </w:p>
        </w:tc>
      </w:tr>
      <w:tr w14:paraId="3F8AA2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74DD3D4">
            <w:r>
              <w:rPr>
                <w:rFonts w:hint="eastAsia"/>
              </w:rPr>
              <w:t>第3.2款</w:t>
            </w:r>
          </w:p>
        </w:tc>
        <w:tc>
          <w:tcPr>
            <w:tcW w:w="2693" w:type="dxa"/>
            <w:vAlign w:val="center"/>
          </w:tcPr>
          <w:p w14:paraId="716FF9FA">
            <w:r>
              <w:rPr>
                <w:rFonts w:hint="eastAsia"/>
              </w:rPr>
              <w:t>联合体形式投标</w:t>
            </w:r>
          </w:p>
        </w:tc>
        <w:tc>
          <w:tcPr>
            <w:tcW w:w="4678" w:type="dxa"/>
            <w:vAlign w:val="center"/>
          </w:tcPr>
          <w:p w14:paraId="35DF62CC">
            <w:r>
              <w:rPr>
                <w:rFonts w:hint="eastAsia"/>
                <w:color w:val="auto"/>
                <w:lang w:eastAsia="zh-CN"/>
              </w:rPr>
              <w:t>不</w:t>
            </w:r>
            <w:r>
              <w:rPr>
                <w:rFonts w:hint="eastAsia"/>
                <w:color w:val="auto"/>
              </w:rPr>
              <w:t>接受</w:t>
            </w:r>
          </w:p>
        </w:tc>
      </w:tr>
      <w:tr w14:paraId="49CA79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E020365">
            <w:r>
              <w:rPr>
                <w:rFonts w:hint="eastAsia"/>
              </w:rPr>
              <w:t>第5.1款</w:t>
            </w:r>
          </w:p>
        </w:tc>
        <w:tc>
          <w:tcPr>
            <w:tcW w:w="2693" w:type="dxa"/>
            <w:vAlign w:val="center"/>
          </w:tcPr>
          <w:p w14:paraId="6000883C">
            <w:r>
              <w:rPr>
                <w:rFonts w:hint="eastAsia"/>
              </w:rPr>
              <w:t>招标文件提供期限</w:t>
            </w:r>
          </w:p>
        </w:tc>
        <w:tc>
          <w:tcPr>
            <w:tcW w:w="4678" w:type="dxa"/>
            <w:vAlign w:val="center"/>
          </w:tcPr>
          <w:p w14:paraId="148EED67">
            <w:r>
              <w:rPr>
                <w:rFonts w:hint="eastAsia"/>
                <w:lang w:eastAsia="zh-CN"/>
              </w:rPr>
              <w:t>2025年7月16日至2025年7月22日</w:t>
            </w:r>
            <w:r>
              <w:rPr>
                <w:rFonts w:hint="eastAsia"/>
              </w:rPr>
              <w:t>17:</w:t>
            </w:r>
            <w:r>
              <w:rPr>
                <w:rFonts w:hint="eastAsia"/>
                <w:lang w:val="en-US" w:eastAsia="zh-CN"/>
              </w:rPr>
              <w:t>3</w:t>
            </w:r>
            <w:r>
              <w:rPr>
                <w:rFonts w:hint="eastAsia"/>
              </w:rPr>
              <w:t>0时止(北京时间)</w:t>
            </w:r>
          </w:p>
        </w:tc>
      </w:tr>
      <w:tr w14:paraId="7EA229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DE72EE3">
            <w:r>
              <w:rPr>
                <w:rFonts w:hint="eastAsia"/>
              </w:rPr>
              <w:t>第5.2款</w:t>
            </w:r>
          </w:p>
        </w:tc>
        <w:tc>
          <w:tcPr>
            <w:tcW w:w="2693" w:type="dxa"/>
            <w:vAlign w:val="center"/>
          </w:tcPr>
          <w:p w14:paraId="76DCD87F">
            <w:r>
              <w:rPr>
                <w:rFonts w:hint="eastAsia"/>
              </w:rPr>
              <w:t>组织现场考察或者召开答疑会</w:t>
            </w:r>
          </w:p>
        </w:tc>
        <w:tc>
          <w:tcPr>
            <w:tcW w:w="4678" w:type="dxa"/>
            <w:vAlign w:val="center"/>
          </w:tcPr>
          <w:p w14:paraId="3E327ABB">
            <w:r>
              <w:rPr>
                <w:rFonts w:hint="eastAsia"/>
              </w:rPr>
              <w:t xml:space="preserve">不组织                              </w:t>
            </w:r>
          </w:p>
        </w:tc>
      </w:tr>
      <w:tr w14:paraId="65742A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6B461B37">
            <w:r>
              <w:rPr>
                <w:rFonts w:hint="eastAsia"/>
              </w:rPr>
              <w:t>二、招标文件</w:t>
            </w:r>
          </w:p>
        </w:tc>
      </w:tr>
      <w:tr w14:paraId="678F03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102E933">
            <w:r>
              <w:rPr>
                <w:rFonts w:hint="eastAsia"/>
              </w:rPr>
              <w:t>第7.4款</w:t>
            </w:r>
          </w:p>
        </w:tc>
        <w:tc>
          <w:tcPr>
            <w:tcW w:w="2693" w:type="dxa"/>
            <w:vAlign w:val="center"/>
          </w:tcPr>
          <w:p w14:paraId="25541391">
            <w:r>
              <w:rPr>
                <w:rFonts w:hint="eastAsia"/>
              </w:rPr>
              <w:t>非实质性偏离的范围和幅度</w:t>
            </w:r>
          </w:p>
        </w:tc>
        <w:tc>
          <w:tcPr>
            <w:tcW w:w="4678" w:type="dxa"/>
            <w:vAlign w:val="center"/>
          </w:tcPr>
          <w:p w14:paraId="6C94B0DB">
            <w:pPr>
              <w:rPr>
                <w:color w:val="FF0000"/>
              </w:rPr>
            </w:pPr>
            <w:r>
              <w:rPr>
                <w:rFonts w:hint="eastAsia"/>
                <w:color w:val="auto"/>
              </w:rPr>
              <w:t>招标文件第五章【采购需求】中：</w:t>
            </w:r>
            <w:r>
              <w:rPr>
                <w:rFonts w:hint="eastAsia"/>
                <w:color w:val="auto"/>
                <w:lang w:eastAsia="zh-CN"/>
              </w:rPr>
              <w:t>每包</w:t>
            </w:r>
            <w:r>
              <w:rPr>
                <w:rFonts w:hint="eastAsia"/>
                <w:color w:val="auto"/>
              </w:rPr>
              <w:t xml:space="preserve">非实质性条款偏离项数之和＞ </w:t>
            </w:r>
            <w:r>
              <w:rPr>
                <w:rFonts w:hint="eastAsia"/>
                <w:color w:val="auto"/>
                <w:lang w:val="en-US" w:eastAsia="zh-CN"/>
              </w:rPr>
              <w:t>5</w:t>
            </w:r>
            <w:r>
              <w:rPr>
                <w:rFonts w:hint="eastAsia"/>
                <w:color w:val="auto"/>
              </w:rPr>
              <w:t>项将导致无效投标。</w:t>
            </w:r>
          </w:p>
        </w:tc>
      </w:tr>
      <w:tr w14:paraId="5D08E2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876348B">
            <w:r>
              <w:rPr>
                <w:rFonts w:hint="eastAsia"/>
              </w:rPr>
              <w:t>第9.1款</w:t>
            </w:r>
          </w:p>
        </w:tc>
        <w:tc>
          <w:tcPr>
            <w:tcW w:w="2693" w:type="dxa"/>
            <w:vAlign w:val="center"/>
          </w:tcPr>
          <w:p w14:paraId="24126EC1">
            <w:r>
              <w:rPr>
                <w:rFonts w:hint="eastAsia"/>
              </w:rPr>
              <w:t>招标公告指定媒体</w:t>
            </w:r>
          </w:p>
        </w:tc>
        <w:tc>
          <w:tcPr>
            <w:tcW w:w="4678" w:type="dxa"/>
            <w:vAlign w:val="center"/>
          </w:tcPr>
          <w:p w14:paraId="5E4AC783">
            <w:r>
              <w:rPr>
                <w:rFonts w:hint="eastAsia"/>
              </w:rPr>
              <w:t>中国湖南政府采购网（</w:t>
            </w:r>
            <w:r>
              <w:fldChar w:fldCharType="begin"/>
            </w:r>
            <w:r>
              <w:instrText xml:space="preserve"> HYPERLINK "http://www.ccgp-hunan.gov.cn" </w:instrText>
            </w:r>
            <w:r>
              <w:fldChar w:fldCharType="separate"/>
            </w:r>
            <w:r>
              <w:rPr>
                <w:rStyle w:val="47"/>
                <w:rFonts w:hint="eastAsia"/>
              </w:rPr>
              <w:t>www.ccgp-hunan.gov.cn</w:t>
            </w:r>
            <w:r>
              <w:rPr>
                <w:rStyle w:val="47"/>
                <w:rFonts w:hint="eastAsia"/>
              </w:rPr>
              <w:fldChar w:fldCharType="end"/>
            </w:r>
            <w:r>
              <w:rPr>
                <w:rFonts w:hint="eastAsia"/>
              </w:rPr>
              <w:t>）</w:t>
            </w:r>
          </w:p>
          <w:p w14:paraId="21AD784A">
            <w:r>
              <w:rPr>
                <w:rFonts w:hint="eastAsia"/>
              </w:rPr>
              <w:t>湘西州公共资源交易网（</w:t>
            </w:r>
            <w:r>
              <w:fldChar w:fldCharType="begin"/>
            </w:r>
            <w:r>
              <w:instrText xml:space="preserve"> HYPERLINK "http://ggzyjy.xxz.gov.cn" </w:instrText>
            </w:r>
            <w:r>
              <w:fldChar w:fldCharType="separate"/>
            </w:r>
            <w:r>
              <w:rPr>
                <w:rStyle w:val="47"/>
                <w:rFonts w:hint="eastAsia"/>
              </w:rPr>
              <w:t>http://ggzyjy.xxz.gov.cn</w:t>
            </w:r>
            <w:r>
              <w:rPr>
                <w:rStyle w:val="47"/>
                <w:rFonts w:hint="eastAsia"/>
              </w:rPr>
              <w:fldChar w:fldCharType="end"/>
            </w:r>
            <w:r>
              <w:rPr>
                <w:rFonts w:hint="eastAsia"/>
              </w:rPr>
              <w:t>）</w:t>
            </w:r>
          </w:p>
        </w:tc>
      </w:tr>
      <w:tr w14:paraId="376D21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18FDE261">
            <w:r>
              <w:rPr>
                <w:rFonts w:hint="eastAsia"/>
              </w:rPr>
              <w:t>三、投标文件</w:t>
            </w:r>
          </w:p>
        </w:tc>
      </w:tr>
      <w:tr w14:paraId="6FB196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420B884">
            <w:r>
              <w:rPr>
                <w:rFonts w:hint="eastAsia"/>
              </w:rPr>
              <w:t>第13.2款</w:t>
            </w:r>
          </w:p>
        </w:tc>
        <w:tc>
          <w:tcPr>
            <w:tcW w:w="2693" w:type="dxa"/>
            <w:vAlign w:val="center"/>
          </w:tcPr>
          <w:p w14:paraId="15DFE0DC">
            <w:r>
              <w:rPr>
                <w:rFonts w:hint="eastAsia"/>
              </w:rPr>
              <w:t>采购预算、最高限价</w:t>
            </w:r>
          </w:p>
        </w:tc>
        <w:tc>
          <w:tcPr>
            <w:tcW w:w="4678" w:type="dxa"/>
            <w:vAlign w:val="center"/>
          </w:tcPr>
          <w:p w14:paraId="5C10FCE8">
            <w:r>
              <w:rPr>
                <w:rFonts w:hint="eastAsia"/>
              </w:rPr>
              <w:t>采购预算</w:t>
            </w:r>
            <w:r>
              <w:rPr>
                <w:rFonts w:hint="eastAsia" w:cs="Times New Roman"/>
                <w:b w:val="0"/>
                <w:bCs w:val="0"/>
                <w:lang w:val="en-US" w:eastAsia="zh-CN"/>
              </w:rPr>
              <w:t>115.5</w:t>
            </w:r>
            <w:r>
              <w:rPr>
                <w:rFonts w:hint="eastAsia"/>
              </w:rPr>
              <w:t>万元；最高限价</w:t>
            </w:r>
            <w:r>
              <w:rPr>
                <w:rFonts w:hint="eastAsia"/>
                <w:lang w:val="en-US" w:eastAsia="zh-CN"/>
              </w:rPr>
              <w:t>115.5</w:t>
            </w:r>
            <w:r>
              <w:rPr>
                <w:rFonts w:hint="eastAsia"/>
              </w:rPr>
              <w:t>万元</w:t>
            </w:r>
          </w:p>
        </w:tc>
      </w:tr>
      <w:tr w14:paraId="34DA97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CFBA7DB">
            <w:r>
              <w:rPr>
                <w:rFonts w:hint="eastAsia"/>
              </w:rPr>
              <w:t>第14.1款</w:t>
            </w:r>
          </w:p>
        </w:tc>
        <w:tc>
          <w:tcPr>
            <w:tcW w:w="2693" w:type="dxa"/>
            <w:vAlign w:val="center"/>
          </w:tcPr>
          <w:p w14:paraId="3E70002A">
            <w:r>
              <w:rPr>
                <w:rFonts w:hint="eastAsia"/>
              </w:rPr>
              <w:t>投标人应提供资格审查资料</w:t>
            </w:r>
          </w:p>
        </w:tc>
        <w:tc>
          <w:tcPr>
            <w:tcW w:w="4678" w:type="dxa"/>
            <w:vAlign w:val="center"/>
          </w:tcPr>
          <w:p w14:paraId="54D9AF80">
            <w:r>
              <w:rPr>
                <w:rFonts w:hint="eastAsia"/>
                <w:b/>
              </w:rPr>
              <w:t>1、投标人基本资格条件：</w:t>
            </w:r>
            <w:r>
              <w:rPr>
                <w:rFonts w:hint="eastAsia"/>
              </w:rPr>
              <w:t>投标人必须是在中华人民共和国境内注册登记的法人、非法人组织或者自然人，且应当符合《政府采购法》第二十二条规定的供应商条件，即：</w:t>
            </w:r>
          </w:p>
          <w:p w14:paraId="58BAE334">
            <w:r>
              <w:rPr>
                <w:rFonts w:hint="eastAsia"/>
              </w:rPr>
              <w:t>（1）具有独立承担民事责任的能力；</w:t>
            </w:r>
          </w:p>
          <w:p w14:paraId="4A79EC7C">
            <w:r>
              <w:rPr>
                <w:rFonts w:hint="eastAsia"/>
              </w:rPr>
              <w:t>（2）具有良好的商业信誉和健全的财务会计制度；</w:t>
            </w:r>
          </w:p>
          <w:p w14:paraId="5C0CF45E">
            <w:r>
              <w:rPr>
                <w:rFonts w:hint="eastAsia"/>
              </w:rPr>
              <w:t>（3）具有履行合同所必需的设备和专业技术能力；</w:t>
            </w:r>
          </w:p>
          <w:p w14:paraId="5403A259">
            <w:r>
              <w:rPr>
                <w:rFonts w:hint="eastAsia"/>
              </w:rPr>
              <w:t>（4）有依法缴纳税收和社会保障资金的良好记录；</w:t>
            </w:r>
          </w:p>
          <w:p w14:paraId="5A1E413D">
            <w:r>
              <w:rPr>
                <w:rFonts w:hint="eastAsia"/>
              </w:rPr>
              <w:t>（5）参加政府采购活动前三年内，在经营活动中没有重大违法记录；</w:t>
            </w:r>
          </w:p>
          <w:p w14:paraId="69437E71">
            <w:r>
              <w:rPr>
                <w:rFonts w:hint="eastAsia"/>
              </w:rPr>
              <w:t>（6）法律、行政法规规定的其他条件。</w:t>
            </w:r>
          </w:p>
          <w:p w14:paraId="56DC50E4">
            <w:pPr>
              <w:rPr>
                <w:b/>
              </w:rPr>
            </w:pPr>
            <w:r>
              <w:rPr>
                <w:rFonts w:hint="eastAsia"/>
                <w:b/>
              </w:rPr>
              <w:t>2、落实政府采购政策需满足的资格要求：</w:t>
            </w:r>
          </w:p>
          <w:p w14:paraId="03393442">
            <w:r>
              <w:rPr>
                <w:rFonts w:hint="eastAsia"/>
              </w:rPr>
              <w:sym w:font="Wingdings" w:char="00A8"/>
            </w:r>
            <w:r>
              <w:rPr>
                <w:rFonts w:hint="eastAsia"/>
              </w:rPr>
              <w:t>专门面向：</w:t>
            </w:r>
            <w:r>
              <w:rPr>
                <w:rFonts w:hint="eastAsia"/>
              </w:rPr>
              <w:sym w:font="Wingdings" w:char="00A8"/>
            </w:r>
            <w:r>
              <w:rPr>
                <w:rFonts w:hint="eastAsia"/>
              </w:rPr>
              <w:t xml:space="preserve">中小企业  </w:t>
            </w:r>
            <w:r>
              <w:rPr>
                <w:rFonts w:hint="eastAsia"/>
              </w:rPr>
              <w:sym w:font="Wingdings" w:char="00A8"/>
            </w:r>
            <w:r>
              <w:rPr>
                <w:rFonts w:hint="eastAsia"/>
              </w:rPr>
              <w:t xml:space="preserve">小微企业 </w:t>
            </w:r>
            <w:r>
              <w:rPr>
                <w:rFonts w:hint="eastAsia"/>
              </w:rPr>
              <w:sym w:font="Wingdings" w:char="00A8"/>
            </w:r>
            <w:r>
              <w:rPr>
                <w:rFonts w:hint="eastAsia"/>
              </w:rPr>
              <w:t xml:space="preserve">监狱企业 </w:t>
            </w:r>
            <w:r>
              <w:rPr>
                <w:rFonts w:hint="eastAsia"/>
              </w:rPr>
              <w:sym w:font="Wingdings" w:char="00A8"/>
            </w:r>
            <w:r>
              <w:rPr>
                <w:rFonts w:hint="eastAsia"/>
              </w:rPr>
              <w:t>福利性单位。</w:t>
            </w:r>
          </w:p>
          <w:p w14:paraId="4FECA909">
            <w:r>
              <w:rPr>
                <w:rFonts w:hint="eastAsia"/>
              </w:rPr>
              <w:sym w:font="Wingdings" w:char="00A8"/>
            </w:r>
            <w:r>
              <w:rPr>
                <w:rFonts w:hint="eastAsia"/>
              </w:rPr>
              <w:t>强制分包：大型企业应将采购份额的</w:t>
            </w:r>
            <w:r>
              <w:rPr>
                <w:rFonts w:hint="eastAsia"/>
                <w:u w:val="single"/>
              </w:rPr>
              <w:t xml:space="preserve">    </w:t>
            </w:r>
            <w:r>
              <w:rPr>
                <w:rFonts w:hint="eastAsia"/>
              </w:rPr>
              <w:t>%分包给中小企业。</w:t>
            </w:r>
          </w:p>
          <w:p w14:paraId="4E34AD31">
            <w:pPr>
              <w:rPr>
                <w:b/>
              </w:rPr>
            </w:pPr>
            <w:r>
              <w:rPr>
                <w:rFonts w:hint="eastAsia"/>
                <w:b/>
              </w:rPr>
              <w:t>3、投标人特定资格条件：</w:t>
            </w:r>
          </w:p>
          <w:p w14:paraId="352EAF7E">
            <w:pPr>
              <w:rPr>
                <w:rFonts w:hint="default"/>
                <w:lang w:val="en-US" w:eastAsia="zh-CN"/>
              </w:rPr>
            </w:pPr>
            <w:r>
              <w:rPr>
                <w:rFonts w:hint="eastAsia"/>
              </w:rPr>
              <w:t>（1）投标人须提供有效的《医疗器械经营企业许可证》</w:t>
            </w:r>
            <w:r>
              <w:rPr>
                <w:rFonts w:hint="eastAsia"/>
                <w:lang w:eastAsia="zh-CN"/>
              </w:rPr>
              <w:t>或第二类医疗器械经营备案凭证</w:t>
            </w:r>
            <w:r>
              <w:rPr>
                <w:rFonts w:hint="eastAsia"/>
                <w:lang w:val="en-US" w:eastAsia="zh-CN"/>
              </w:rPr>
              <w:t>。</w:t>
            </w:r>
          </w:p>
          <w:p w14:paraId="6DB39148">
            <w:r>
              <w:rPr>
                <w:rFonts w:hint="eastAsia"/>
              </w:rPr>
              <w:t>4、单位负责人为同一人或者存在直接控股、管理关系的不同投标人，不得参加本项目同一合同项下的政府采购活动。</w:t>
            </w:r>
          </w:p>
          <w:p w14:paraId="33B76EA6">
            <w:r>
              <w:rPr>
                <w:rFonts w:hint="eastAsia"/>
              </w:rPr>
              <w:t>5、为本采购项目提供整体设计、规范编制或者项目管理、监理、检测等服务的，不得再参加本项目的其他招标采购活动。</w:t>
            </w:r>
          </w:p>
          <w:p w14:paraId="4E10E817">
            <w:r>
              <w:rPr>
                <w:rFonts w:hint="eastAsia"/>
              </w:rPr>
              <w:t>6、未</w:t>
            </w:r>
            <w:r>
              <w:t>被</w:t>
            </w:r>
            <w:r>
              <w:rPr>
                <w:rFonts w:hint="eastAsia"/>
              </w:rPr>
              <w:t>列入失信被执行人、重大税收违法案件当事人名单，未</w:t>
            </w:r>
            <w:r>
              <w:t>被</w:t>
            </w:r>
            <w:r>
              <w:rPr>
                <w:rFonts w:hint="eastAsia"/>
              </w:rPr>
              <w:t>列入政府采购严重违法失信行为记录名单。</w:t>
            </w:r>
          </w:p>
          <w:p w14:paraId="4BC4808E">
            <w:r>
              <w:rPr>
                <w:rFonts w:hint="eastAsia"/>
              </w:rPr>
              <w:t>7、联合体投标。本次招标</w:t>
            </w:r>
            <w:r>
              <w:rPr>
                <w:rFonts w:hint="eastAsia"/>
                <w:lang w:val="en-US" w:eastAsia="zh-CN"/>
              </w:rPr>
              <w:t>不</w:t>
            </w:r>
            <w:r>
              <w:rPr>
                <w:rFonts w:hint="eastAsia"/>
                <w:color w:val="auto"/>
              </w:rPr>
              <w:t>接受</w:t>
            </w:r>
            <w:r>
              <w:rPr>
                <w:rFonts w:hint="eastAsia"/>
              </w:rPr>
              <w:t>联合体投标。</w:t>
            </w:r>
          </w:p>
          <w:p w14:paraId="56B3B4C8">
            <w:r>
              <w:rPr>
                <w:rFonts w:hint="eastAsia"/>
              </w:rPr>
              <w:t>8、投标人有下列情形之一的，视为无效投标（★）：</w:t>
            </w:r>
          </w:p>
          <w:p w14:paraId="6F30560C">
            <w:r>
              <w:rPr>
                <w:rFonts w:hint="eastAsia"/>
              </w:rPr>
              <w:t>（1）提供不符合要求或虚假资格证明文件的；</w:t>
            </w:r>
          </w:p>
          <w:p w14:paraId="4255810F">
            <w:r>
              <w:rPr>
                <w:rFonts w:hint="eastAsia"/>
              </w:rPr>
              <w:t>（2）资格证明文件过了有效期的；</w:t>
            </w:r>
          </w:p>
          <w:p w14:paraId="313262A6">
            <w:r>
              <w:rPr>
                <w:rFonts w:hint="eastAsia"/>
              </w:rPr>
              <w:t>（3）资格证明文件复印件未加盖投标人公章的。</w:t>
            </w:r>
          </w:p>
        </w:tc>
      </w:tr>
      <w:tr w14:paraId="10EA37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77612DA">
            <w:r>
              <w:rPr>
                <w:rFonts w:hint="eastAsia"/>
              </w:rPr>
              <w:t>第16.1款</w:t>
            </w:r>
          </w:p>
        </w:tc>
        <w:tc>
          <w:tcPr>
            <w:tcW w:w="2693" w:type="dxa"/>
            <w:vAlign w:val="center"/>
          </w:tcPr>
          <w:p w14:paraId="47E20523">
            <w:r>
              <w:rPr>
                <w:rFonts w:hint="eastAsia"/>
              </w:rPr>
              <w:t>投标有效期</w:t>
            </w:r>
          </w:p>
        </w:tc>
        <w:tc>
          <w:tcPr>
            <w:tcW w:w="4678" w:type="dxa"/>
            <w:vAlign w:val="center"/>
          </w:tcPr>
          <w:p w14:paraId="57B221E0">
            <w:r>
              <w:rPr>
                <w:rFonts w:hint="eastAsia"/>
              </w:rPr>
              <w:t>60日（日历日），如投标有效期不足的，在评标时将视为无效投标。</w:t>
            </w:r>
          </w:p>
        </w:tc>
      </w:tr>
      <w:tr w14:paraId="2D3766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3591774">
            <w:r>
              <w:rPr>
                <w:rFonts w:hint="eastAsia"/>
              </w:rPr>
              <w:t>第17.1款</w:t>
            </w:r>
          </w:p>
        </w:tc>
        <w:tc>
          <w:tcPr>
            <w:tcW w:w="2693" w:type="dxa"/>
            <w:vAlign w:val="center"/>
          </w:tcPr>
          <w:p w14:paraId="43DD4690">
            <w:r>
              <w:rPr>
                <w:rFonts w:hint="eastAsia"/>
              </w:rPr>
              <w:t>投标保证金</w:t>
            </w:r>
          </w:p>
        </w:tc>
        <w:tc>
          <w:tcPr>
            <w:tcW w:w="4678" w:type="dxa"/>
            <w:vAlign w:val="center"/>
          </w:tcPr>
          <w:p w14:paraId="4FE5678A">
            <w:r>
              <w:rPr>
                <w:rFonts w:hint="eastAsia"/>
              </w:rPr>
              <w:t>本项目不收取投标保证金</w:t>
            </w:r>
          </w:p>
        </w:tc>
      </w:tr>
      <w:tr w14:paraId="4F2B31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927D336">
            <w:r>
              <w:rPr>
                <w:rFonts w:hint="eastAsia"/>
              </w:rPr>
              <w:t>第18.1款</w:t>
            </w:r>
          </w:p>
        </w:tc>
        <w:tc>
          <w:tcPr>
            <w:tcW w:w="2693" w:type="dxa"/>
            <w:vAlign w:val="center"/>
          </w:tcPr>
          <w:p w14:paraId="5F221379">
            <w:r>
              <w:rPr>
                <w:rFonts w:hint="eastAsia"/>
              </w:rPr>
              <w:t>分包</w:t>
            </w:r>
          </w:p>
        </w:tc>
        <w:tc>
          <w:tcPr>
            <w:tcW w:w="4678" w:type="dxa"/>
            <w:vAlign w:val="center"/>
          </w:tcPr>
          <w:p w14:paraId="3113C264">
            <w:r>
              <w:rPr>
                <w:rFonts w:hint="eastAsia"/>
              </w:rPr>
              <w:t xml:space="preserve">无                          </w:t>
            </w:r>
          </w:p>
        </w:tc>
      </w:tr>
      <w:tr w14:paraId="397A61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6CADDB43">
            <w:r>
              <w:rPr>
                <w:rFonts w:hint="eastAsia"/>
              </w:rPr>
              <w:t>四、投标</w:t>
            </w:r>
          </w:p>
        </w:tc>
      </w:tr>
      <w:tr w14:paraId="0831CE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5C98B33">
            <w:r>
              <w:rPr>
                <w:rFonts w:hint="eastAsia"/>
              </w:rPr>
              <w:t>第20.2款</w:t>
            </w:r>
          </w:p>
        </w:tc>
        <w:tc>
          <w:tcPr>
            <w:tcW w:w="2693" w:type="dxa"/>
            <w:vAlign w:val="center"/>
          </w:tcPr>
          <w:p w14:paraId="74965460">
            <w:r>
              <w:rPr>
                <w:rFonts w:hint="eastAsia"/>
              </w:rPr>
              <w:t>投标截止时间（开标时间）</w:t>
            </w:r>
          </w:p>
        </w:tc>
        <w:tc>
          <w:tcPr>
            <w:tcW w:w="4678" w:type="dxa"/>
            <w:vAlign w:val="center"/>
          </w:tcPr>
          <w:p w14:paraId="7EDC3CB7">
            <w:pPr>
              <w:rPr>
                <w:rFonts w:hint="eastAsia" w:eastAsia="宋体"/>
                <w:lang w:val="en-US" w:eastAsia="zh-CN"/>
              </w:rPr>
            </w:pPr>
            <w:r>
              <w:rPr>
                <w:rFonts w:hint="eastAsia"/>
                <w:lang w:eastAsia="zh-CN"/>
              </w:rPr>
              <w:t>2025年8月6日9时00分（北京时间）</w:t>
            </w:r>
          </w:p>
        </w:tc>
      </w:tr>
      <w:tr w14:paraId="2FC62B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664F07B2">
            <w:r>
              <w:rPr>
                <w:rFonts w:hint="eastAsia"/>
              </w:rPr>
              <w:t>五、开标、资格审查和评标</w:t>
            </w:r>
          </w:p>
        </w:tc>
      </w:tr>
      <w:tr w14:paraId="219113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3F75077">
            <w:r>
              <w:rPr>
                <w:rFonts w:hint="eastAsia"/>
              </w:rPr>
              <w:t>第23.1款</w:t>
            </w:r>
          </w:p>
        </w:tc>
        <w:tc>
          <w:tcPr>
            <w:tcW w:w="2693" w:type="dxa"/>
            <w:vAlign w:val="center"/>
          </w:tcPr>
          <w:p w14:paraId="7C05A3E6">
            <w:r>
              <w:rPr>
                <w:rFonts w:hint="eastAsia"/>
              </w:rPr>
              <w:t>解密电子投标文件时限及方式</w:t>
            </w:r>
          </w:p>
        </w:tc>
        <w:tc>
          <w:tcPr>
            <w:tcW w:w="4678" w:type="dxa"/>
            <w:vAlign w:val="center"/>
          </w:tcPr>
          <w:p w14:paraId="2A182C5D">
            <w:r>
              <w:rPr>
                <w:rFonts w:hint="eastAsia"/>
              </w:rPr>
              <w:t>投标人使用加密投标文件的CA数字证书在投标截止时间起30分钟内完成投标文件的解密，投标文件在解密时限内未解密或解密失败，视为撤销其投标文件，开标继续进行。（如因交易平台出现系统故障，导致解密无法完成的，由采购代理机构酌情延长解密时间）</w:t>
            </w:r>
          </w:p>
        </w:tc>
      </w:tr>
      <w:tr w14:paraId="4424EB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12A9D51">
            <w:r>
              <w:rPr>
                <w:rFonts w:hint="eastAsia"/>
              </w:rPr>
              <w:t>第23.3款</w:t>
            </w:r>
          </w:p>
        </w:tc>
        <w:tc>
          <w:tcPr>
            <w:tcW w:w="2693" w:type="dxa"/>
            <w:vAlign w:val="center"/>
          </w:tcPr>
          <w:p w14:paraId="460424FB">
            <w:r>
              <w:rPr>
                <w:rFonts w:hint="eastAsia"/>
              </w:rPr>
              <w:t>需要宣布的其他内容</w:t>
            </w:r>
          </w:p>
        </w:tc>
        <w:tc>
          <w:tcPr>
            <w:tcW w:w="4678" w:type="dxa"/>
            <w:vAlign w:val="center"/>
          </w:tcPr>
          <w:p w14:paraId="7D336FA1">
            <w:r>
              <w:rPr>
                <w:rFonts w:hint="eastAsia"/>
              </w:rPr>
              <w:t xml:space="preserve"> 无                   </w:t>
            </w:r>
          </w:p>
        </w:tc>
      </w:tr>
      <w:tr w14:paraId="240D28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2BECDA9A">
            <w:r>
              <w:rPr>
                <w:rFonts w:hint="eastAsia"/>
              </w:rPr>
              <w:t>六、中标信息公布</w:t>
            </w:r>
          </w:p>
        </w:tc>
      </w:tr>
      <w:tr w14:paraId="13DCC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2EF87D7">
            <w:r>
              <w:rPr>
                <w:rFonts w:hint="eastAsia"/>
              </w:rPr>
              <w:t>第27.2款</w:t>
            </w:r>
          </w:p>
        </w:tc>
        <w:tc>
          <w:tcPr>
            <w:tcW w:w="2693" w:type="dxa"/>
            <w:vAlign w:val="center"/>
          </w:tcPr>
          <w:p w14:paraId="7FAD578B">
            <w:r>
              <w:rPr>
                <w:rFonts w:hint="eastAsia"/>
              </w:rPr>
              <w:t>中标候选人并列的确定中标人的方式</w:t>
            </w:r>
          </w:p>
        </w:tc>
        <w:tc>
          <w:tcPr>
            <w:tcW w:w="4678" w:type="dxa"/>
            <w:vAlign w:val="center"/>
          </w:tcPr>
          <w:p w14:paraId="484C7D04">
            <w:r>
              <w:rPr>
                <w:rFonts w:hint="eastAsia" w:asciiTheme="minorEastAsia" w:hAnsiTheme="minorEastAsia" w:eastAsiaTheme="minorEastAsia"/>
                <w:szCs w:val="21"/>
              </w:rPr>
              <w:t>以投标</w:t>
            </w:r>
            <w:r>
              <w:rPr>
                <w:rFonts w:hint="eastAsia" w:asciiTheme="minorEastAsia" w:hAnsiTheme="minorEastAsia" w:eastAsiaTheme="minorEastAsia"/>
                <w:szCs w:val="21"/>
                <w:lang w:eastAsia="zh-CN"/>
              </w:rPr>
              <w:t>人</w:t>
            </w:r>
            <w:r>
              <w:rPr>
                <w:rFonts w:hint="eastAsia" w:asciiTheme="minorEastAsia" w:hAnsiTheme="minorEastAsia" w:eastAsiaTheme="minorEastAsia"/>
                <w:bCs/>
                <w:szCs w:val="21"/>
              </w:rPr>
              <w:t>投标报价</w:t>
            </w:r>
            <w:r>
              <w:rPr>
                <w:rFonts w:hint="eastAsia" w:asciiTheme="minorEastAsia" w:hAnsiTheme="minorEastAsia" w:eastAsiaTheme="minorEastAsia"/>
                <w:bCs/>
                <w:szCs w:val="21"/>
                <w:lang w:eastAsia="zh-CN"/>
              </w:rPr>
              <w:t>高低</w:t>
            </w:r>
            <w:r>
              <w:rPr>
                <w:rFonts w:hint="eastAsia" w:asciiTheme="minorEastAsia" w:hAnsiTheme="minorEastAsia" w:eastAsiaTheme="minorEastAsia"/>
                <w:szCs w:val="21"/>
              </w:rPr>
              <w:t>来确定中标候选人</w:t>
            </w:r>
          </w:p>
        </w:tc>
      </w:tr>
      <w:tr w14:paraId="7D9788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8BE93A8">
            <w:r>
              <w:rPr>
                <w:rFonts w:hint="eastAsia"/>
              </w:rPr>
              <w:t>第28.3款</w:t>
            </w:r>
          </w:p>
        </w:tc>
        <w:tc>
          <w:tcPr>
            <w:tcW w:w="2693" w:type="dxa"/>
            <w:vAlign w:val="center"/>
          </w:tcPr>
          <w:p w14:paraId="6DBB62FD">
            <w:r>
              <w:rPr>
                <w:rFonts w:hint="eastAsia"/>
              </w:rPr>
              <w:t>接收质疑函的联系部门、联系电话和通讯地址</w:t>
            </w:r>
          </w:p>
        </w:tc>
        <w:tc>
          <w:tcPr>
            <w:tcW w:w="4678" w:type="dxa"/>
            <w:vAlign w:val="center"/>
          </w:tcPr>
          <w:p w14:paraId="4C614CF6">
            <w:r>
              <w:rPr>
                <w:rFonts w:hint="eastAsia"/>
              </w:rPr>
              <w:t>联系部门：湖南永晟电子商务有限公司湘西分公司</w:t>
            </w:r>
          </w:p>
          <w:p w14:paraId="403181B2">
            <w:r>
              <w:rPr>
                <w:rFonts w:hint="eastAsia"/>
              </w:rPr>
              <w:t>联系电话：0743-8257308</w:t>
            </w:r>
          </w:p>
          <w:p w14:paraId="01F35168">
            <w:r>
              <w:rPr>
                <w:rFonts w:hint="eastAsia"/>
              </w:rPr>
              <w:t>通讯地址：吉首市乾州世纪广场商业城B栋7楼710室</w:t>
            </w:r>
          </w:p>
        </w:tc>
      </w:tr>
      <w:tr w14:paraId="2E20E4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76505615">
            <w:r>
              <w:rPr>
                <w:rFonts w:hint="eastAsia"/>
              </w:rPr>
              <w:t>七、合同签订</w:t>
            </w:r>
          </w:p>
        </w:tc>
      </w:tr>
      <w:tr w14:paraId="5C9EE3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7D5D5FB">
            <w:r>
              <w:rPr>
                <w:rFonts w:hint="eastAsia"/>
              </w:rPr>
              <w:t>第30.1款</w:t>
            </w:r>
          </w:p>
        </w:tc>
        <w:tc>
          <w:tcPr>
            <w:tcW w:w="2693" w:type="dxa"/>
            <w:vAlign w:val="center"/>
          </w:tcPr>
          <w:p w14:paraId="6AA7F8E0">
            <w:r>
              <w:rPr>
                <w:rFonts w:hint="eastAsia"/>
              </w:rPr>
              <w:t>履约担保</w:t>
            </w:r>
          </w:p>
        </w:tc>
        <w:tc>
          <w:tcPr>
            <w:tcW w:w="4678" w:type="dxa"/>
            <w:vAlign w:val="center"/>
          </w:tcPr>
          <w:p w14:paraId="7AC54A1B">
            <w:r>
              <w:t>不需要</w:t>
            </w:r>
          </w:p>
        </w:tc>
      </w:tr>
      <w:tr w14:paraId="1EB6B8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2E721821">
            <w:r>
              <w:rPr>
                <w:rFonts w:hint="eastAsia"/>
              </w:rPr>
              <w:t>九、其他规定</w:t>
            </w:r>
          </w:p>
        </w:tc>
      </w:tr>
      <w:tr w14:paraId="62C028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71DC81C">
            <w:r>
              <w:rPr>
                <w:rFonts w:hint="eastAsia"/>
              </w:rPr>
              <w:t>第34.1款</w:t>
            </w:r>
          </w:p>
        </w:tc>
        <w:tc>
          <w:tcPr>
            <w:tcW w:w="2693" w:type="dxa"/>
            <w:vAlign w:val="center"/>
          </w:tcPr>
          <w:p w14:paraId="4E0D0A9B">
            <w:r>
              <w:rPr>
                <w:rFonts w:hint="eastAsia"/>
              </w:rPr>
              <w:t>招标代理服务费</w:t>
            </w:r>
          </w:p>
        </w:tc>
        <w:tc>
          <w:tcPr>
            <w:tcW w:w="4678" w:type="dxa"/>
            <w:vAlign w:val="center"/>
          </w:tcPr>
          <w:p w14:paraId="7C83F25C">
            <w:r>
              <w:rPr>
                <w:rFonts w:hint="eastAsia" w:hAnsi="宋体"/>
                <w:kern w:val="0"/>
                <w:szCs w:val="21"/>
                <w:lang w:eastAsia="zh-CN"/>
              </w:rPr>
              <w:t>代理服务费参照计价格[2002]1980号文收费标准下浮后收取，最高限额为：包</w:t>
            </w:r>
            <w:r>
              <w:rPr>
                <w:rFonts w:hint="eastAsia" w:hAnsi="宋体"/>
                <w:kern w:val="0"/>
                <w:szCs w:val="21"/>
                <w:lang w:val="en-US" w:eastAsia="zh-CN"/>
              </w:rPr>
              <w:t>01：</w:t>
            </w:r>
            <w:r>
              <w:rPr>
                <w:rFonts w:hint="eastAsia" w:hAnsi="宋体"/>
                <w:kern w:val="0"/>
                <w:szCs w:val="21"/>
                <w:lang w:eastAsia="zh-CN"/>
              </w:rPr>
              <w:t>陆仟伍佰元整（¥：</w:t>
            </w:r>
            <w:r>
              <w:rPr>
                <w:rFonts w:hint="eastAsia" w:hAnsi="宋体"/>
                <w:kern w:val="0"/>
                <w:szCs w:val="21"/>
                <w:lang w:val="en-US" w:eastAsia="zh-CN"/>
              </w:rPr>
              <w:t>65</w:t>
            </w:r>
            <w:r>
              <w:rPr>
                <w:rFonts w:hint="eastAsia" w:hAnsi="宋体"/>
                <w:kern w:val="0"/>
                <w:szCs w:val="21"/>
                <w:lang w:eastAsia="zh-CN"/>
              </w:rPr>
              <w:t>00.00 元）；包</w:t>
            </w:r>
            <w:r>
              <w:rPr>
                <w:rFonts w:hint="eastAsia" w:hAnsi="宋体"/>
                <w:kern w:val="0"/>
                <w:szCs w:val="21"/>
                <w:lang w:val="en-US" w:eastAsia="zh-CN"/>
              </w:rPr>
              <w:t>02：</w:t>
            </w:r>
            <w:r>
              <w:rPr>
                <w:rFonts w:hint="eastAsia" w:hAnsi="宋体"/>
                <w:kern w:val="0"/>
                <w:szCs w:val="21"/>
                <w:lang w:eastAsia="zh-CN"/>
              </w:rPr>
              <w:t>陆仟伍佰元整（¥：</w:t>
            </w:r>
            <w:r>
              <w:rPr>
                <w:rFonts w:hint="eastAsia" w:hAnsi="宋体"/>
                <w:kern w:val="0"/>
                <w:szCs w:val="21"/>
                <w:lang w:val="en-US" w:eastAsia="zh-CN"/>
              </w:rPr>
              <w:t>65</w:t>
            </w:r>
            <w:r>
              <w:rPr>
                <w:rFonts w:hint="eastAsia" w:hAnsi="宋体"/>
                <w:kern w:val="0"/>
                <w:szCs w:val="21"/>
                <w:lang w:eastAsia="zh-CN"/>
              </w:rPr>
              <w:t>00.00 元；包</w:t>
            </w:r>
            <w:r>
              <w:rPr>
                <w:rFonts w:hint="eastAsia" w:hAnsi="宋体"/>
                <w:kern w:val="0"/>
                <w:szCs w:val="21"/>
                <w:lang w:val="en-US" w:eastAsia="zh-CN"/>
              </w:rPr>
              <w:t>03：肆</w:t>
            </w:r>
            <w:r>
              <w:rPr>
                <w:rFonts w:hint="eastAsia" w:hAnsi="宋体"/>
                <w:kern w:val="0"/>
                <w:szCs w:val="21"/>
                <w:lang w:eastAsia="zh-CN"/>
              </w:rPr>
              <w:t>仟叁佰元整（¥：</w:t>
            </w:r>
            <w:r>
              <w:rPr>
                <w:rFonts w:hint="eastAsia" w:hAnsi="宋体"/>
                <w:kern w:val="0"/>
                <w:szCs w:val="21"/>
                <w:lang w:val="en-US" w:eastAsia="zh-CN"/>
              </w:rPr>
              <w:t>43</w:t>
            </w:r>
            <w:r>
              <w:rPr>
                <w:rFonts w:hint="eastAsia" w:hAnsi="宋体"/>
                <w:kern w:val="0"/>
                <w:szCs w:val="21"/>
                <w:lang w:eastAsia="zh-CN"/>
              </w:rPr>
              <w:t>00.00 元本项目代理服务费、专家评审费、采购文件专家论证费已包含在采购预算中，由中标人代采购人支付，专家评审费据实结算。</w:t>
            </w:r>
          </w:p>
        </w:tc>
      </w:tr>
      <w:tr w14:paraId="6D319A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5C31383">
            <w:r>
              <w:rPr>
                <w:rFonts w:hint="eastAsia"/>
              </w:rPr>
              <w:t>第35.1款</w:t>
            </w:r>
          </w:p>
        </w:tc>
        <w:tc>
          <w:tcPr>
            <w:tcW w:w="2693" w:type="dxa"/>
            <w:vAlign w:val="center"/>
          </w:tcPr>
          <w:p w14:paraId="21261D79">
            <w:r>
              <w:rPr>
                <w:rFonts w:hint="eastAsia"/>
              </w:rPr>
              <w:t>其他规定</w:t>
            </w:r>
          </w:p>
        </w:tc>
        <w:tc>
          <w:tcPr>
            <w:tcW w:w="4678" w:type="dxa"/>
            <w:vAlign w:val="center"/>
          </w:tcPr>
          <w:p w14:paraId="6D154149">
            <w:r>
              <w:rPr>
                <w:rFonts w:hint="eastAsia"/>
              </w:rPr>
              <w:t>无</w:t>
            </w:r>
          </w:p>
        </w:tc>
      </w:tr>
    </w:tbl>
    <w:p w14:paraId="5E4CC513">
      <w:pPr>
        <w:adjustRightInd w:val="0"/>
        <w:snapToGrid w:val="0"/>
        <w:spacing w:line="360" w:lineRule="auto"/>
        <w:rPr>
          <w:rFonts w:ascii="宋体" w:hAnsi="宋体"/>
          <w:b/>
          <w:szCs w:val="21"/>
        </w:rPr>
      </w:pPr>
      <w:r>
        <w:rPr>
          <w:rFonts w:ascii="宋体" w:hAnsi="宋体"/>
          <w:b/>
          <w:szCs w:val="21"/>
        </w:rPr>
        <w:br w:type="page"/>
      </w:r>
    </w:p>
    <w:p w14:paraId="6EDFAFC3">
      <w:pPr>
        <w:pStyle w:val="3"/>
        <w:adjustRightInd w:val="0"/>
        <w:snapToGrid w:val="0"/>
        <w:spacing w:beforeLines="50"/>
        <w:jc w:val="center"/>
        <w:rPr>
          <w:rFonts w:ascii="方正小标宋简体" w:hAnsi="方正小标宋简体" w:eastAsia="方正小标宋简体"/>
          <w:b/>
          <w:bCs/>
          <w:sz w:val="36"/>
          <w:szCs w:val="32"/>
        </w:rPr>
      </w:pPr>
      <w:bookmarkStart w:id="3" w:name="_Toc29913896"/>
      <w:r>
        <w:rPr>
          <w:rFonts w:hint="eastAsia" w:ascii="方正小标宋简体" w:hAnsi="方正小标宋简体" w:eastAsia="方正小标宋简体"/>
          <w:b/>
          <w:bCs/>
          <w:sz w:val="36"/>
          <w:szCs w:val="32"/>
        </w:rPr>
        <w:t>第二节 投标须知</w:t>
      </w:r>
      <w:bookmarkEnd w:id="3"/>
    </w:p>
    <w:p w14:paraId="1DDBD71D">
      <w:pPr>
        <w:pStyle w:val="4"/>
        <w:adjustRightInd w:val="0"/>
        <w:snapToGrid w:val="0"/>
        <w:spacing w:beforeLines="50" w:after="0" w:line="360" w:lineRule="auto"/>
        <w:jc w:val="center"/>
        <w:rPr>
          <w:rFonts w:ascii="黑体" w:hAnsi="黑体" w:eastAsia="黑体"/>
          <w:b w:val="0"/>
          <w:sz w:val="28"/>
          <w:szCs w:val="28"/>
        </w:rPr>
      </w:pPr>
      <w:bookmarkStart w:id="4" w:name="_Toc29913897"/>
      <w:r>
        <w:rPr>
          <w:rFonts w:hint="eastAsia" w:ascii="黑体" w:hAnsi="黑体" w:eastAsia="黑体"/>
          <w:sz w:val="28"/>
          <w:szCs w:val="28"/>
        </w:rPr>
        <w:t>一、总则</w:t>
      </w:r>
      <w:bookmarkEnd w:id="4"/>
    </w:p>
    <w:p w14:paraId="114B8772">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 适用范围</w:t>
      </w:r>
    </w:p>
    <w:p w14:paraId="525651F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1.1本招标文件仅适用于本章第一节“投标须知前附表”（以下简称</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）中所叙述的采购项目。</w:t>
      </w:r>
    </w:p>
    <w:p w14:paraId="6D2364F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1.2</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规定采购项目专门面向中小企业采购的，如投标人为非中小企业，其</w:t>
      </w:r>
      <w:r>
        <w:rPr>
          <w:rFonts w:hint="eastAsia" w:asciiTheme="minorEastAsia" w:hAnsiTheme="minorEastAsia" w:eastAsiaTheme="minorEastAsia"/>
          <w:b/>
          <w:szCs w:val="21"/>
        </w:rPr>
        <w:t>投标无效</w:t>
      </w:r>
      <w:r>
        <w:rPr>
          <w:rFonts w:hint="eastAsia" w:asciiTheme="minorEastAsia" w:hAnsiTheme="minorEastAsia" w:eastAsiaTheme="minorEastAsia"/>
          <w:szCs w:val="21"/>
        </w:rPr>
        <w:t>。</w:t>
      </w:r>
    </w:p>
    <w:p w14:paraId="0981DE5D">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2. 定义</w:t>
      </w:r>
    </w:p>
    <w:p w14:paraId="0205043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2.1采购项目联系人姓名和电话见</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w:t>
      </w:r>
    </w:p>
    <w:p w14:paraId="6CE5D5C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w:t>
      </w:r>
    </w:p>
    <w:p w14:paraId="6A6B676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2.3采购代理机构名称、地址、电话、联系人见</w:t>
      </w:r>
      <w:r>
        <w:rPr>
          <w:rFonts w:hint="eastAsia" w:asciiTheme="minorEastAsia" w:hAnsiTheme="minorEastAsia" w:eastAsiaTheme="minorEastAsia"/>
          <w:b/>
          <w:szCs w:val="21"/>
        </w:rPr>
        <w:t>【投标须知前附表】。</w:t>
      </w:r>
    </w:p>
    <w:p w14:paraId="0385FA6C">
      <w:pPr>
        <w:adjustRightInd w:val="0"/>
        <w:snapToGrid w:val="0"/>
        <w:spacing w:beforeLines="50" w:line="360" w:lineRule="auto"/>
        <w:ind w:firstLine="420" w:firstLineChars="200"/>
        <w:jc w:val="left"/>
        <w:rPr>
          <w:rFonts w:asciiTheme="minorEastAsia" w:hAnsiTheme="minorEastAsia" w:eastAsiaTheme="minorEastAsia"/>
          <w:b/>
          <w:szCs w:val="21"/>
        </w:rPr>
      </w:pPr>
      <w:r>
        <w:rPr>
          <w:rFonts w:hint="eastAsia" w:asciiTheme="minorEastAsia" w:hAnsiTheme="minorEastAsia" w:eastAsiaTheme="minorEastAsia"/>
          <w:szCs w:val="21"/>
        </w:rPr>
        <w:t>2.4投标人系指响应招标、参加投标竞争的法人、其他组织或自然人。</w:t>
      </w:r>
    </w:p>
    <w:p w14:paraId="6D6C4E3D">
      <w:pPr>
        <w:adjustRightInd w:val="0"/>
        <w:snapToGrid w:val="0"/>
        <w:spacing w:beforeLines="50" w:line="360" w:lineRule="auto"/>
        <w:ind w:firstLine="420" w:firstLineChars="200"/>
        <w:jc w:val="left"/>
        <w:rPr>
          <w:rFonts w:cs="宋体" w:asciiTheme="minorEastAsia" w:hAnsiTheme="minorEastAsia" w:eastAsiaTheme="minorEastAsia"/>
          <w:kern w:val="0"/>
          <w:szCs w:val="21"/>
        </w:rPr>
      </w:pPr>
      <w:r>
        <w:rPr>
          <w:rFonts w:asciiTheme="minorEastAsia" w:hAnsiTheme="minorEastAsia" w:eastAsiaTheme="minorEastAsia"/>
          <w:szCs w:val="21"/>
        </w:rPr>
        <w:t>2.</w:t>
      </w:r>
      <w:r>
        <w:rPr>
          <w:rFonts w:hint="eastAsia" w:asciiTheme="minorEastAsia" w:hAnsiTheme="minorEastAsia" w:eastAsiaTheme="minorEastAsia"/>
          <w:szCs w:val="21"/>
        </w:rPr>
        <w:t>5</w:t>
      </w:r>
      <w:r>
        <w:rPr>
          <w:rFonts w:hint="eastAsia" w:cs="宋体" w:asciiTheme="minorEastAsia" w:hAnsiTheme="minorEastAsia" w:eastAsiaTheme="minorEastAsia"/>
          <w:kern w:val="0"/>
          <w:szCs w:val="21"/>
        </w:rPr>
        <w:t>进口产品是指符合《政府采购进口产品管理办法》（财库〔2007〕119号）和《关于政府采购进口产品管理有关问题的通知》（财办库〔2008〕248号）文件规定的产品。除</w:t>
      </w:r>
      <w:r>
        <w:rPr>
          <w:rFonts w:hint="eastAsia" w:asciiTheme="minorEastAsia" w:hAnsiTheme="minorEastAsia" w:eastAsiaTheme="minorEastAsia"/>
          <w:b/>
          <w:szCs w:val="21"/>
        </w:rPr>
        <w:t>【投标须知前附表】</w:t>
      </w:r>
      <w:r>
        <w:rPr>
          <w:rFonts w:hint="eastAsia" w:cs="宋体" w:asciiTheme="minorEastAsia" w:hAnsiTheme="minorEastAsia" w:eastAsiaTheme="minorEastAsia"/>
          <w:kern w:val="0"/>
          <w:szCs w:val="21"/>
        </w:rPr>
        <w:t>另有规定外，采购项目</w:t>
      </w:r>
      <w:r>
        <w:rPr>
          <w:rFonts w:hint="eastAsia" w:cs="宋体" w:asciiTheme="minorEastAsia" w:hAnsiTheme="minorEastAsia" w:eastAsiaTheme="minorEastAsia"/>
          <w:b/>
          <w:kern w:val="0"/>
          <w:szCs w:val="21"/>
        </w:rPr>
        <w:t>拒绝进口产品参加投标</w:t>
      </w:r>
      <w:r>
        <w:rPr>
          <w:rFonts w:hint="eastAsia" w:cs="宋体" w:asciiTheme="minorEastAsia" w:hAnsiTheme="minorEastAsia" w:eastAsiaTheme="minorEastAsia"/>
          <w:kern w:val="0"/>
          <w:szCs w:val="21"/>
        </w:rPr>
        <w:t>。本款规定同意购买进口产品的，不限制满足招标文件要求的国内产品参与投标竞争。</w:t>
      </w:r>
    </w:p>
    <w:p w14:paraId="35AA7E19">
      <w:pPr>
        <w:adjustRightInd w:val="0"/>
        <w:snapToGrid w:val="0"/>
        <w:spacing w:beforeLines="50"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2.6电子招标投标：是指电子招标投标参与各方（采购人、采购代理机构、供应商、评审专家）按照相关法律法规的规定，应用网络信息技术，使用CA数字证书（含电子签章、签名）在电子招标投标交易平台(以下简称交易平台)，进行的招标投标活动。</w:t>
      </w:r>
    </w:p>
    <w:p w14:paraId="3B1EE04E">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3. 投标人的资格要求</w:t>
      </w:r>
    </w:p>
    <w:p w14:paraId="6B624FB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3.1投标人应当符合</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规定的投标人资格条件。</w:t>
      </w:r>
    </w:p>
    <w:p w14:paraId="7A804CD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规定接受联合体形式投标的，投标人除应符合本章第3.1</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759937E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（l）联合体中有同类资质的供应商按照联合体分工承担相同工作的，应当按照资质等级较低的供应商确定资质等级。</w:t>
      </w:r>
    </w:p>
    <w:p w14:paraId="6F58FC8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（2）联合体各方应按招标文件提供的格式签订联合体协议书，明确联合体牵头人和各方的权利义务、合同工作量比例；</w:t>
      </w:r>
    </w:p>
    <w:p w14:paraId="0FE3EA48">
      <w:pPr>
        <w:adjustRightInd w:val="0"/>
        <w:snapToGrid w:val="0"/>
        <w:spacing w:beforeLines="50" w:line="360" w:lineRule="auto"/>
        <w:ind w:firstLine="420" w:firstLineChars="200"/>
        <w:jc w:val="left"/>
        <w:rPr>
          <w:rFonts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不得再单独参加或者与其他投标人组成新的联合体参加同一合同项下的采购活动。</w:t>
      </w:r>
    </w:p>
    <w:p w14:paraId="1554518B">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4. 投标费用 </w:t>
      </w:r>
    </w:p>
    <w:p w14:paraId="3628F9A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4.1投标人应自行承担所有参与投标的相关费用，不论投标的结果如何，采购人、采购代理机构均无义务和责任承担这些费用。</w:t>
      </w:r>
    </w:p>
    <w:p w14:paraId="733116D6">
      <w:pPr>
        <w:adjustRightInd w:val="0"/>
        <w:snapToGrid w:val="0"/>
        <w:spacing w:beforeLines="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5．组织现场考察或者召开答疑会</w:t>
      </w:r>
    </w:p>
    <w:p w14:paraId="7FA551B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rPr>
        <w:t>5.1采购人、采购代理机构可以在</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规定的招标文件提供期限截止后，组织已获取招标文件的潜在投标人现场考察或者召开开标前答疑会。</w:t>
      </w:r>
    </w:p>
    <w:p w14:paraId="009B8BA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5.2获取招标文件的潜在投标人应按</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规定参加现场考察或者答疑会；如不参加，其风险由其自行承担。</w:t>
      </w:r>
    </w:p>
    <w:p w14:paraId="4864CEF5">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5.3潜在投标人现场考察或者参加答疑会的费用由自己承担，现场考察期间所发生的人身伤害及财产损失由自己负责。</w:t>
      </w:r>
    </w:p>
    <w:p w14:paraId="7CED5D7E">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5.4采购人、采购代理机构不对投标人据此而做出的推论、理解和结论负责。投标人一旦中标，不得以任何借口，提出额外补偿，或延长合同期限的要求。</w:t>
      </w:r>
    </w:p>
    <w:p w14:paraId="40801BCB">
      <w:pPr>
        <w:pStyle w:val="4"/>
        <w:adjustRightInd w:val="0"/>
        <w:snapToGrid w:val="0"/>
        <w:spacing w:beforeLines="50" w:after="0" w:line="360" w:lineRule="auto"/>
        <w:jc w:val="center"/>
        <w:rPr>
          <w:rFonts w:ascii="黑体" w:hAnsi="黑体" w:eastAsia="黑体"/>
          <w:sz w:val="28"/>
          <w:szCs w:val="28"/>
        </w:rPr>
      </w:pPr>
      <w:bookmarkStart w:id="5" w:name="_Toc29913898"/>
      <w:r>
        <w:rPr>
          <w:rFonts w:hint="eastAsia" w:ascii="黑体" w:hAnsi="黑体" w:eastAsia="黑体"/>
          <w:sz w:val="28"/>
          <w:szCs w:val="28"/>
        </w:rPr>
        <w:t>二、招标文件</w:t>
      </w:r>
      <w:bookmarkEnd w:id="5"/>
    </w:p>
    <w:p w14:paraId="17070768">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6. 招标文件的构成</w:t>
      </w:r>
    </w:p>
    <w:p w14:paraId="248EBB1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6.1 招标文件共七章，各章内容如下：</w:t>
      </w:r>
    </w:p>
    <w:p w14:paraId="16D607E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第一章 投标邀请</w:t>
      </w:r>
    </w:p>
    <w:p w14:paraId="13290F5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第二章 投标须知</w:t>
      </w:r>
    </w:p>
    <w:p w14:paraId="784B45D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第三章 资格审查</w:t>
      </w:r>
    </w:p>
    <w:p w14:paraId="706A1BD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第四章 评标方法及标准</w:t>
      </w:r>
    </w:p>
    <w:p w14:paraId="213C37B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第五章 采购需求</w:t>
      </w:r>
    </w:p>
    <w:p w14:paraId="4DBA55D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第六章 政府采购合同</w:t>
      </w:r>
    </w:p>
    <w:p w14:paraId="455587A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第七章 投标文件的组成</w:t>
      </w:r>
    </w:p>
    <w:p w14:paraId="11C6ADCD">
      <w:pPr>
        <w:adjustRightInd w:val="0"/>
        <w:snapToGrid w:val="0"/>
        <w:spacing w:beforeLines="50" w:line="360" w:lineRule="auto"/>
        <w:ind w:firstLine="420" w:firstLineChars="200"/>
        <w:jc w:val="left"/>
        <w:rPr>
          <w:rFonts w:cs="宋体" w:asciiTheme="minorEastAsia" w:hAnsiTheme="minorEastAsia" w:eastAsiaTheme="minorEastAsia"/>
          <w:b/>
          <w:szCs w:val="21"/>
        </w:rPr>
      </w:pPr>
      <w:r>
        <w:rPr>
          <w:rFonts w:hint="eastAsia" w:asciiTheme="minorEastAsia" w:hAnsiTheme="minorEastAsia" w:eastAsiaTheme="minorEastAsia"/>
          <w:szCs w:val="21"/>
        </w:rPr>
        <w:t>6.2采购人、采购代理机构在提交投标文件截止时间前</w:t>
      </w:r>
      <w:r>
        <w:rPr>
          <w:rFonts w:hint="eastAsia" w:cs="宋体" w:asciiTheme="minorEastAsia" w:hAnsiTheme="minorEastAsia" w:eastAsiaTheme="minorEastAsia"/>
          <w:szCs w:val="21"/>
        </w:rPr>
        <w:t>对招标文件所作的澄清或者修改，构成招标文件的组成部分。</w:t>
      </w:r>
    </w:p>
    <w:p w14:paraId="266B87A4">
      <w:pPr>
        <w:adjustRightInd w:val="0"/>
        <w:snapToGrid w:val="0"/>
        <w:spacing w:beforeLines="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7．偏离与实质性响应</w:t>
      </w:r>
    </w:p>
    <w:p w14:paraId="2D889F5C">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eastAsiaTheme="minorEastAsia"/>
        </w:rPr>
        <w:t>7.1投标人应当按照招标文件的要求编制投标文件。投标文件应当对招标文件提出的要求和条件作出明确响应。</w:t>
      </w:r>
    </w:p>
    <w:p w14:paraId="7D1D5C25">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eastAsiaTheme="minorEastAsia"/>
        </w:rPr>
        <w:t>7.2偏离是指投标文件不响应或者不满足招标文件提出的要求和条件，分为实质性偏离和非实质性偏离。</w:t>
      </w:r>
    </w:p>
    <w:p w14:paraId="4F5641D7">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eastAsiaTheme="minorEastAsia"/>
        </w:rPr>
        <w:t>7.3除法律、法规和招标文件规定的其他投标无效情形外，招标文件中用“★”符号标明的条款为实质性要求和条件，对其中任何一条的偏离，为实质性偏离，</w:t>
      </w:r>
      <w:r>
        <w:rPr>
          <w:rFonts w:hint="eastAsia" w:asciiTheme="minorEastAsia" w:hAnsiTheme="minorEastAsia" w:eastAsiaTheme="minorEastAsia"/>
          <w:b/>
        </w:rPr>
        <w:t>其投标无效</w:t>
      </w:r>
      <w:r>
        <w:rPr>
          <w:rFonts w:hint="eastAsia" w:asciiTheme="minorEastAsia" w:hAnsiTheme="minorEastAsia" w:eastAsiaTheme="minorEastAsia"/>
        </w:rPr>
        <w:t>。</w:t>
      </w:r>
    </w:p>
    <w:p w14:paraId="569BF4AE">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7.4投标</w:t>
      </w:r>
      <w:r>
        <w:rPr>
          <w:rFonts w:hint="eastAsia" w:asciiTheme="minorEastAsia" w:hAnsiTheme="minorEastAsia" w:eastAsiaTheme="minorEastAsia"/>
          <w:szCs w:val="21"/>
        </w:rPr>
        <w:t>文件偏离招标文件的非实质性要求和条件，为非实质性偏离。非实质性偏离的范围和幅度应当符合</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的规定，</w:t>
      </w:r>
      <w:r>
        <w:rPr>
          <w:rFonts w:hint="eastAsia" w:asciiTheme="minorEastAsia" w:hAnsiTheme="minorEastAsia" w:eastAsiaTheme="minorEastAsia"/>
          <w:b/>
          <w:szCs w:val="21"/>
        </w:rPr>
        <w:t>否</w:t>
      </w:r>
      <w:r>
        <w:rPr>
          <w:rFonts w:hint="eastAsia" w:asciiTheme="minorEastAsia" w:hAnsiTheme="minorEastAsia" w:eastAsiaTheme="minorEastAsia"/>
          <w:b/>
        </w:rPr>
        <w:t>则投标无效</w:t>
      </w:r>
      <w:r>
        <w:rPr>
          <w:rFonts w:hint="eastAsia" w:asciiTheme="minorEastAsia" w:hAnsiTheme="minorEastAsia" w:eastAsiaTheme="minorEastAsia"/>
        </w:rPr>
        <w:t>。</w:t>
      </w:r>
    </w:p>
    <w:p w14:paraId="15E4C501">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sz w:val="24"/>
        </w:rPr>
        <w:t>8. 询问</w:t>
      </w:r>
    </w:p>
    <w:p w14:paraId="38AEC914">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8.1潜在投标人应仔细阅读和检查招标文件的全部内容。如有疑问，可以向采购人或者采购代理机构提出询问。</w:t>
      </w:r>
    </w:p>
    <w:p w14:paraId="5C825CC7">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9. 招标文件的澄清或者修改</w:t>
      </w:r>
    </w:p>
    <w:p w14:paraId="603C6BE5">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9.1采购人、采购代理机构对已发出的招标文件进行必要澄清或者修改的，将在</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规定的</w:t>
      </w:r>
      <w:r>
        <w:rPr>
          <w:rFonts w:hint="eastAsia" w:asciiTheme="minorEastAsia" w:hAnsiTheme="minorEastAsia" w:eastAsiaTheme="minorEastAsia"/>
        </w:rPr>
        <w:t>招标公告指定媒体上发布澄清或者修改公告。</w:t>
      </w:r>
    </w:p>
    <w:p w14:paraId="7391BB0D">
      <w:pPr>
        <w:adjustRightInd w:val="0"/>
        <w:snapToGrid w:val="0"/>
        <w:spacing w:beforeLines="50" w:line="360" w:lineRule="auto"/>
        <w:ind w:firstLine="420" w:firstLineChars="200"/>
        <w:jc w:val="left"/>
        <w:rPr>
          <w:rFonts w:asciiTheme="minorEastAsia" w:hAnsiTheme="minorEastAsia" w:eastAsiaTheme="minorEastAsia"/>
        </w:rPr>
      </w:pPr>
      <w:r>
        <w:rPr>
          <w:rFonts w:hint="eastAsia" w:cs="宋体" w:asciiTheme="minorEastAsia" w:hAnsiTheme="minorEastAsia" w:eastAsiaTheme="minorEastAsia"/>
          <w:kern w:val="0"/>
          <w:szCs w:val="21"/>
        </w:rPr>
        <w:t>9.2澄清或者修改</w:t>
      </w:r>
      <w:r>
        <w:rPr>
          <w:rFonts w:hint="eastAsia" w:asciiTheme="minorEastAsia" w:hAnsiTheme="minorEastAsia" w:eastAsiaTheme="minorEastAsia"/>
        </w:rPr>
        <w:t>的</w:t>
      </w:r>
      <w:r>
        <w:rPr>
          <w:rFonts w:hint="eastAsia" w:cs="宋体" w:asciiTheme="minorEastAsia" w:hAnsiTheme="minorEastAsia" w:eastAsiaTheme="minorEastAsia"/>
          <w:kern w:val="0"/>
          <w:szCs w:val="21"/>
        </w:rPr>
        <w:t>内容可能影响投标文件编制的，采购人、采购代理机构</w:t>
      </w:r>
      <w:r>
        <w:rPr>
          <w:rFonts w:hint="eastAsia" w:asciiTheme="minorEastAsia" w:hAnsiTheme="minorEastAsia" w:eastAsiaTheme="minorEastAsia"/>
        </w:rPr>
        <w:t>将</w:t>
      </w:r>
      <w:r>
        <w:rPr>
          <w:rFonts w:hint="eastAsia" w:cs="宋体" w:asciiTheme="minorEastAsia" w:hAnsiTheme="minorEastAsia" w:eastAsiaTheme="minorEastAsia"/>
          <w:kern w:val="0"/>
          <w:szCs w:val="21"/>
        </w:rPr>
        <w:t>在提交投标文件截止时间15日前，</w:t>
      </w:r>
      <w:r>
        <w:rPr>
          <w:rFonts w:hint="eastAsia" w:asciiTheme="minorEastAsia" w:hAnsiTheme="minorEastAsia" w:eastAsiaTheme="minorEastAsia"/>
        </w:rPr>
        <w:t>以数据电文形式通知所有获取招标文件的潜在投标人；不足15日的，将相应延长提交投标文件的截止时间。</w:t>
      </w:r>
    </w:p>
    <w:p w14:paraId="4D549B80">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9</w:t>
      </w:r>
      <w:r>
        <w:rPr>
          <w:rFonts w:asciiTheme="minorEastAsia" w:hAnsiTheme="minorEastAsia" w:eastAsiaTheme="minorEastAsia"/>
        </w:rPr>
        <w:t>.3</w:t>
      </w:r>
      <w:r>
        <w:rPr>
          <w:rFonts w:hint="eastAsia" w:asciiTheme="minorEastAsia" w:hAnsiTheme="minorEastAsia" w:eastAsiaTheme="minorEastAsia"/>
        </w:rPr>
        <w:t>招标文件的提供期限届满后，获取招标文件的潜在投标人不足3家的，可以顺延提供期限，并在指定媒体上发布修改公告。</w:t>
      </w:r>
    </w:p>
    <w:p w14:paraId="58B2E23A">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9.4 通过交易平台下载招标文件的，请获取招标文件的潜在投标人及时关注</w:t>
      </w:r>
      <w:r>
        <w:rPr>
          <w:rFonts w:hint="eastAsia" w:asciiTheme="minorEastAsia" w:hAnsiTheme="minorEastAsia" w:eastAsiaTheme="minorEastAsia"/>
          <w:szCs w:val="21"/>
        </w:rPr>
        <w:t>招标公告指定媒体</w:t>
      </w:r>
      <w:r>
        <w:rPr>
          <w:rFonts w:hint="eastAsia" w:asciiTheme="minorEastAsia" w:hAnsiTheme="minorEastAsia" w:eastAsiaTheme="minorEastAsia"/>
        </w:rPr>
        <w:t>发布的澄清或者修改公告。</w:t>
      </w:r>
    </w:p>
    <w:p w14:paraId="0B59F8D3">
      <w:pPr>
        <w:pStyle w:val="4"/>
        <w:adjustRightInd w:val="0"/>
        <w:snapToGrid w:val="0"/>
        <w:spacing w:beforeLines="50" w:after="0" w:line="360" w:lineRule="auto"/>
        <w:jc w:val="center"/>
        <w:rPr>
          <w:rFonts w:ascii="黑体" w:hAnsi="黑体" w:eastAsia="黑体"/>
          <w:sz w:val="28"/>
          <w:szCs w:val="28"/>
        </w:rPr>
      </w:pPr>
      <w:bookmarkStart w:id="6" w:name="_Toc29913899"/>
      <w:r>
        <w:rPr>
          <w:rFonts w:hint="eastAsia" w:ascii="黑体" w:hAnsi="黑体" w:eastAsia="黑体"/>
          <w:sz w:val="28"/>
          <w:szCs w:val="28"/>
        </w:rPr>
        <w:t>三、投标文件</w:t>
      </w:r>
      <w:bookmarkEnd w:id="6"/>
    </w:p>
    <w:p w14:paraId="11C2FAEB">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10. 投标语言</w:t>
      </w:r>
    </w:p>
    <w:p w14:paraId="0F5EFD21">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10.1除专用术语外，投标人提交的投标文件及投标人与采购人、采购代理机构就有关投标的所有来往函电均使用中文。投标人可以提交其它语言的资料，但应附有中文注释，有差异时以中文为准。</w:t>
      </w:r>
    </w:p>
    <w:p w14:paraId="2A0C7E03">
      <w:pPr>
        <w:adjustRightInd w:val="0"/>
        <w:snapToGrid w:val="0"/>
        <w:spacing w:beforeLines="50" w:line="360" w:lineRule="auto"/>
        <w:jc w:val="left"/>
        <w:rPr>
          <w:rFonts w:asciiTheme="minorEastAsia" w:hAnsiTheme="minorEastAsia" w:eastAsiaTheme="minorEastAsia"/>
          <w:b/>
          <w:sz w:val="24"/>
        </w:rPr>
      </w:pPr>
      <w:r>
        <w:rPr>
          <w:rFonts w:hint="eastAsia" w:asciiTheme="minorEastAsia" w:hAnsiTheme="minorEastAsia" w:eastAsiaTheme="minorEastAsia"/>
          <w:b/>
          <w:bCs/>
          <w:sz w:val="24"/>
        </w:rPr>
        <w:t xml:space="preserve">11. </w:t>
      </w:r>
      <w:r>
        <w:rPr>
          <w:rFonts w:hint="eastAsia" w:asciiTheme="minorEastAsia" w:hAnsiTheme="minorEastAsia" w:eastAsiaTheme="minorEastAsia"/>
          <w:b/>
          <w:sz w:val="24"/>
        </w:rPr>
        <w:t>计量单位</w:t>
      </w:r>
    </w:p>
    <w:p w14:paraId="26FCC6A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11.1所有计量均采用中华人民共和国法定计量单位。</w:t>
      </w:r>
    </w:p>
    <w:p w14:paraId="4D11656E">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sz w:val="24"/>
        </w:rPr>
        <w:t xml:space="preserve">12. </w:t>
      </w:r>
      <w:r>
        <w:rPr>
          <w:rFonts w:hint="eastAsia" w:asciiTheme="minorEastAsia" w:hAnsiTheme="minorEastAsia" w:eastAsiaTheme="minorEastAsia"/>
          <w:b/>
          <w:bCs/>
          <w:sz w:val="24"/>
        </w:rPr>
        <w:t>投标文件的组成</w:t>
      </w:r>
    </w:p>
    <w:p w14:paraId="2F8F15D1">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12.1投标文件由如下内容组成：</w:t>
      </w:r>
    </w:p>
    <w:p w14:paraId="0DFF09CB">
      <w:pPr>
        <w:adjustRightInd w:val="0"/>
        <w:snapToGrid w:val="0"/>
        <w:spacing w:beforeLines="50" w:line="360" w:lineRule="auto"/>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第一部分 资格证明文件</w:t>
      </w:r>
    </w:p>
    <w:p w14:paraId="337BB08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（1）开标一览表</w:t>
      </w:r>
    </w:p>
    <w:p w14:paraId="74A9315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（2）投标保</w:t>
      </w:r>
      <w:r>
        <w:rPr>
          <w:rFonts w:hint="eastAsia" w:asciiTheme="minorEastAsia" w:hAnsiTheme="minorEastAsia" w:eastAsiaTheme="minorEastAsia"/>
          <w:bCs/>
          <w:szCs w:val="21"/>
        </w:rPr>
        <w:t>证金</w:t>
      </w:r>
    </w:p>
    <w:p w14:paraId="726210B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（3）法定代表人（单位负责人）身份证明或授权委托书</w:t>
      </w:r>
    </w:p>
    <w:p w14:paraId="4C48DAF1">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（4）投标人提供的资格证明文件</w:t>
      </w:r>
    </w:p>
    <w:p w14:paraId="01682827">
      <w:pPr>
        <w:adjustRightInd w:val="0"/>
        <w:snapToGrid w:val="0"/>
        <w:spacing w:beforeLines="50" w:line="360" w:lineRule="auto"/>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第二部分 商务和技术文件</w:t>
      </w:r>
    </w:p>
    <w:p w14:paraId="029835C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（5）投标函</w:t>
      </w:r>
    </w:p>
    <w:p w14:paraId="4BE4D94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（6）分项报价</w:t>
      </w:r>
    </w:p>
    <w:p w14:paraId="74647C9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（7）采购需求响应</w:t>
      </w:r>
    </w:p>
    <w:p w14:paraId="0185CDD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（8）合同条款偏离表</w:t>
      </w:r>
    </w:p>
    <w:p w14:paraId="7C1D6B5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（9）采购需求偏离表</w:t>
      </w:r>
    </w:p>
    <w:p w14:paraId="46FB6A3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（10）享受政府采购政策优惠的证明资料</w:t>
      </w:r>
    </w:p>
    <w:p w14:paraId="5889693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（11）投标货物符合招标文件规定的证明文件</w:t>
      </w:r>
    </w:p>
    <w:p w14:paraId="70C9519B">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（12）投标人认为需提供的其他资料</w:t>
      </w:r>
    </w:p>
    <w:p w14:paraId="5C741664">
      <w:pPr>
        <w:adjustRightInd w:val="0"/>
        <w:snapToGrid w:val="0"/>
        <w:spacing w:beforeLines="50" w:line="360" w:lineRule="auto"/>
        <w:ind w:firstLine="422" w:firstLineChars="200"/>
        <w:jc w:val="left"/>
        <w:rPr>
          <w:rFonts w:asciiTheme="minorEastAsia" w:hAnsiTheme="minorEastAsia" w:eastAsiaTheme="minorEastAsia"/>
          <w:szCs w:val="21"/>
        </w:rPr>
      </w:pPr>
      <w:r>
        <w:rPr>
          <w:rFonts w:hint="eastAsia" w:asciiTheme="minorEastAsia" w:hAnsiTheme="minorEastAsia" w:eastAsiaTheme="minorEastAsia"/>
          <w:b/>
          <w:szCs w:val="21"/>
        </w:rPr>
        <w:t>12.2投标人应按照电子招标文件格式及投标工具编制资格证明文件，不得将其编制到商务和技术文件中。否则，由于编制失误所产生的后果，由投标人自行承担。</w:t>
      </w:r>
    </w:p>
    <w:p w14:paraId="62D052E6">
      <w:pPr>
        <w:adjustRightInd w:val="0"/>
        <w:snapToGrid w:val="0"/>
        <w:spacing w:beforeLines="50" w:line="360" w:lineRule="auto"/>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12.3投标人应按照电子招标文件格式及投标工具编制商务和技术及综合评分表相关资料。否则，由于编制失误所产生的后果，由投标人自行承担。</w:t>
      </w:r>
    </w:p>
    <w:p w14:paraId="068C979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12.4根据《政府采购法》第四十二条的规定，投标人无论中标与否，其投标文件不予退还。</w:t>
      </w:r>
    </w:p>
    <w:p w14:paraId="70A4706A">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13. 投标报价</w:t>
      </w:r>
    </w:p>
    <w:p w14:paraId="61A54A0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0FA03723">
      <w:pPr>
        <w:adjustRightInd w:val="0"/>
        <w:snapToGrid w:val="0"/>
        <w:spacing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3</w:t>
      </w:r>
      <w:r>
        <w:rPr>
          <w:rFonts w:asciiTheme="minorEastAsia" w:hAnsiTheme="minorEastAsia" w:eastAsiaTheme="minorEastAsia"/>
          <w:szCs w:val="21"/>
        </w:rPr>
        <w:t>.</w:t>
      </w:r>
      <w:r>
        <w:rPr>
          <w:rFonts w:hint="eastAsia" w:asciiTheme="minorEastAsia" w:hAnsiTheme="minorEastAsia" w:eastAsiaTheme="minorEastAsia"/>
          <w:szCs w:val="21"/>
        </w:rPr>
        <w:t>2投标人的投标报价不得超过采购预算，也不得超过最高限价(如果设定)，否则其</w:t>
      </w:r>
      <w:r>
        <w:rPr>
          <w:rFonts w:hint="eastAsia" w:asciiTheme="minorEastAsia" w:hAnsiTheme="minorEastAsia" w:eastAsiaTheme="minorEastAsia"/>
          <w:b/>
          <w:szCs w:val="21"/>
        </w:rPr>
        <w:t>投标无效</w:t>
      </w:r>
      <w:r>
        <w:rPr>
          <w:rFonts w:hint="eastAsia" w:asciiTheme="minorEastAsia" w:hAnsiTheme="minorEastAsia" w:eastAsiaTheme="minorEastAsia"/>
          <w:szCs w:val="21"/>
        </w:rPr>
        <w:t>。采购项目预算、最高限价见</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w:t>
      </w:r>
    </w:p>
    <w:p w14:paraId="7F287D4E">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szCs w:val="21"/>
        </w:rPr>
        <w:t>13.3 投标人应在分项报价明细表中对每项内容给予详细分项</w:t>
      </w:r>
      <w:r>
        <w:rPr>
          <w:rFonts w:hint="eastAsia" w:asciiTheme="minorEastAsia" w:hAnsiTheme="minorEastAsia" w:eastAsiaTheme="minorEastAsia"/>
        </w:rPr>
        <w:t>报价。</w:t>
      </w:r>
    </w:p>
    <w:p w14:paraId="6C94EE15">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13.4投标人对采购项目内容只允许有一个投标报价，否则其</w:t>
      </w:r>
      <w:r>
        <w:rPr>
          <w:rFonts w:hint="eastAsia" w:asciiTheme="minorEastAsia" w:hAnsiTheme="minorEastAsia" w:eastAsiaTheme="minorEastAsia"/>
          <w:b/>
        </w:rPr>
        <w:t>投标无效</w:t>
      </w:r>
      <w:r>
        <w:rPr>
          <w:rFonts w:hint="eastAsia" w:asciiTheme="minorEastAsia" w:hAnsiTheme="minorEastAsia" w:eastAsiaTheme="minorEastAsia"/>
        </w:rPr>
        <w:t>。</w:t>
      </w:r>
    </w:p>
    <w:p w14:paraId="412E915B">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13.5采购人不接受投标人给予的赠品、回扣或者与采购无关的其他商品、服务。如有赠与行为，其</w:t>
      </w:r>
      <w:r>
        <w:rPr>
          <w:rFonts w:hint="eastAsia" w:asciiTheme="minorEastAsia" w:hAnsiTheme="minorEastAsia" w:eastAsiaTheme="minorEastAsia"/>
          <w:b/>
        </w:rPr>
        <w:t>投标无效</w:t>
      </w:r>
      <w:r>
        <w:rPr>
          <w:rFonts w:hint="eastAsia" w:asciiTheme="minorEastAsia" w:hAnsiTheme="minorEastAsia" w:eastAsiaTheme="minorEastAsia"/>
        </w:rPr>
        <w:t>。</w:t>
      </w:r>
    </w:p>
    <w:p w14:paraId="2E21EC7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13.6</w:t>
      </w:r>
      <w:r>
        <w:rPr>
          <w:rFonts w:hint="eastAsia" w:asciiTheme="minorEastAsia" w:hAnsiTheme="minorEastAsia" w:eastAsiaTheme="minorEastAsia"/>
        </w:rPr>
        <w:t>投标文件中标明的价格在合同执行过程中是固定不变的，不得以任何理由予以变更。任何包含价格调整要求和条件的投标，其</w:t>
      </w:r>
      <w:r>
        <w:rPr>
          <w:rFonts w:hint="eastAsia" w:asciiTheme="minorEastAsia" w:hAnsiTheme="minorEastAsia" w:eastAsiaTheme="minorEastAsia"/>
          <w:b/>
        </w:rPr>
        <w:t>投标无效</w:t>
      </w:r>
      <w:r>
        <w:rPr>
          <w:rFonts w:hint="eastAsia" w:asciiTheme="minorEastAsia" w:hAnsiTheme="minorEastAsia" w:eastAsiaTheme="minorEastAsia"/>
        </w:rPr>
        <w:t>。</w:t>
      </w:r>
    </w:p>
    <w:p w14:paraId="14235694">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13.7投标人在投标截止时间前修改“开标一览表”中的投标报价的，应同时修改投标文件“分项报价明细表”“享受政府采购政策优惠的证明资料”以及“联合体协议书”（如果影响）等相关内容。</w:t>
      </w:r>
    </w:p>
    <w:p w14:paraId="0BD21264">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13.8投标报价的其他要求见</w:t>
      </w:r>
      <w:r>
        <w:rPr>
          <w:rFonts w:hint="eastAsia" w:asciiTheme="minorEastAsia" w:hAnsiTheme="minorEastAsia"/>
          <w:b/>
          <w:szCs w:val="21"/>
        </w:rPr>
        <w:t>【投标须知前附表】</w:t>
      </w:r>
      <w:r>
        <w:rPr>
          <w:rFonts w:hint="eastAsia" w:asciiTheme="minorEastAsia" w:hAnsiTheme="minorEastAsia" w:eastAsiaTheme="minorEastAsia"/>
        </w:rPr>
        <w:t xml:space="preserve">。 </w:t>
      </w:r>
    </w:p>
    <w:p w14:paraId="35A234D8">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sz w:val="24"/>
        </w:rPr>
        <w:t xml:space="preserve">14. </w:t>
      </w:r>
      <w:r>
        <w:rPr>
          <w:rFonts w:hint="eastAsia" w:asciiTheme="minorEastAsia" w:hAnsiTheme="minorEastAsia" w:eastAsiaTheme="minorEastAsia"/>
          <w:b/>
          <w:bCs/>
          <w:sz w:val="24"/>
        </w:rPr>
        <w:t>投标人的资格证明文件</w:t>
      </w:r>
    </w:p>
    <w:p w14:paraId="13C661C9">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rPr>
        <w:t>14.1</w:t>
      </w:r>
      <w:r>
        <w:rPr>
          <w:rFonts w:hint="eastAsia" w:asciiTheme="minorEastAsia" w:hAnsiTheme="minorEastAsia" w:eastAsiaTheme="minorEastAsia"/>
          <w:szCs w:val="21"/>
        </w:rPr>
        <w:t>除</w:t>
      </w:r>
      <w:r>
        <w:rPr>
          <w:rFonts w:hint="eastAsia" w:asciiTheme="minorEastAsia" w:hAnsiTheme="minorEastAsia"/>
          <w:b/>
          <w:szCs w:val="21"/>
        </w:rPr>
        <w:t>【投标须知前附表】</w:t>
      </w:r>
      <w:r>
        <w:rPr>
          <w:rFonts w:hint="eastAsia" w:asciiTheme="minorEastAsia" w:hAnsiTheme="minorEastAsia" w:eastAsiaTheme="minorEastAsia"/>
          <w:szCs w:val="21"/>
        </w:rPr>
        <w:t>另有规</w:t>
      </w:r>
      <w:r>
        <w:rPr>
          <w:rFonts w:hint="eastAsia" w:asciiTheme="minorEastAsia" w:hAnsiTheme="minorEastAsia" w:eastAsiaTheme="minorEastAsia"/>
        </w:rPr>
        <w:t>定外，投标人应按下列规定提供资格证明文件。</w:t>
      </w:r>
    </w:p>
    <w:p w14:paraId="57CF4163">
      <w:pPr>
        <w:adjustRightInd w:val="0"/>
        <w:snapToGrid w:val="0"/>
        <w:spacing w:beforeLines="50" w:line="360" w:lineRule="auto"/>
        <w:ind w:firstLine="420" w:firstLineChars="200"/>
        <w:rPr>
          <w:rFonts w:asciiTheme="minorEastAsia" w:hAnsiTheme="minorEastAsia"/>
        </w:rPr>
      </w:pPr>
      <w:r>
        <w:rPr>
          <w:rFonts w:hint="eastAsia" w:asciiTheme="minorEastAsia" w:hAnsiTheme="minorEastAsia"/>
        </w:rPr>
        <w:t>（1）</w:t>
      </w:r>
      <w:r>
        <w:rPr>
          <w:rFonts w:hint="eastAsia" w:asciiTheme="minorEastAsia" w:hAnsiTheme="minorEastAsia"/>
          <w:b/>
        </w:rPr>
        <w:t>法人或者其他组织的营业执照等主体资格证明文件，自然人的身份证明</w:t>
      </w:r>
      <w:r>
        <w:rPr>
          <w:rFonts w:hint="eastAsia" w:asciiTheme="minorEastAsia" w:hAnsiTheme="minorEastAsia"/>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0B7DD98D">
      <w:pPr>
        <w:adjustRightInd w:val="0"/>
        <w:snapToGrid w:val="0"/>
        <w:spacing w:beforeLines="50" w:line="360" w:lineRule="auto"/>
        <w:ind w:firstLine="420" w:firstLineChars="200"/>
        <w:rPr>
          <w:rFonts w:asciiTheme="minorEastAsia" w:hAnsiTheme="minorEastAsia"/>
        </w:rPr>
      </w:pPr>
      <w:r>
        <w:rPr>
          <w:rFonts w:hint="eastAsia" w:asciiTheme="minorEastAsia" w:hAnsiTheme="minorEastAsia"/>
        </w:rPr>
        <w:t>（2）</w:t>
      </w:r>
      <w:r>
        <w:rPr>
          <w:rFonts w:hint="eastAsia" w:asciiTheme="minorEastAsia" w:hAnsiTheme="minorEastAsia" w:eastAsiaTheme="minorEastAsia"/>
          <w:b/>
        </w:rPr>
        <w:t>投标人资格声明(格式)</w:t>
      </w:r>
    </w:p>
    <w:p w14:paraId="2412C32E">
      <w:pPr>
        <w:adjustRightInd w:val="0"/>
        <w:snapToGrid w:val="0"/>
        <w:spacing w:beforeLines="50" w:line="360" w:lineRule="auto"/>
        <w:ind w:firstLine="420" w:firstLineChars="200"/>
        <w:rPr>
          <w:rFonts w:asciiTheme="minorEastAsia" w:hAnsiTheme="minorEastAsia"/>
          <w:szCs w:val="21"/>
        </w:rPr>
      </w:pPr>
      <w:r>
        <w:rPr>
          <w:rFonts w:hint="eastAsia" w:asciiTheme="minorEastAsia" w:hAnsiTheme="minorEastAsia"/>
        </w:rPr>
        <w:t>（3）</w:t>
      </w:r>
      <w:r>
        <w:rPr>
          <w:rFonts w:hint="eastAsia" w:asciiTheme="minorEastAsia" w:hAnsiTheme="minorEastAsia"/>
          <w:b/>
        </w:rPr>
        <w:t>符合特定资格条件证明材料复印件或者情况说明原件</w:t>
      </w:r>
      <w:r>
        <w:rPr>
          <w:rFonts w:hint="eastAsia" w:asciiTheme="minorEastAsia" w:hAnsiTheme="minorEastAsia"/>
        </w:rPr>
        <w:t>。</w:t>
      </w:r>
      <w:r>
        <w:rPr>
          <w:rFonts w:hint="eastAsia" w:asciiTheme="minorEastAsia" w:hAnsiTheme="minorEastAsia"/>
          <w:szCs w:val="21"/>
        </w:rPr>
        <w:t>具体要求见</w:t>
      </w:r>
      <w:r>
        <w:rPr>
          <w:rFonts w:hint="eastAsia" w:asciiTheme="minorEastAsia" w:hAnsiTheme="minorEastAsia"/>
          <w:b/>
          <w:szCs w:val="21"/>
        </w:rPr>
        <w:t>【投标须知前附表】</w:t>
      </w:r>
      <w:r>
        <w:rPr>
          <w:rFonts w:hint="eastAsia" w:asciiTheme="minorEastAsia" w:hAnsiTheme="minorEastAsia"/>
          <w:szCs w:val="21"/>
        </w:rPr>
        <w:t>。</w:t>
      </w:r>
    </w:p>
    <w:p w14:paraId="345EDB7A">
      <w:pPr>
        <w:adjustRightInd w:val="0"/>
        <w:snapToGrid w:val="0"/>
        <w:spacing w:beforeLines="50" w:line="360" w:lineRule="auto"/>
        <w:ind w:firstLine="420" w:firstLineChars="200"/>
        <w:rPr>
          <w:rFonts w:asciiTheme="minorEastAsia" w:hAnsiTheme="minorEastAsia"/>
        </w:rPr>
      </w:pPr>
      <w:r>
        <w:rPr>
          <w:rFonts w:hint="eastAsia" w:asciiTheme="minorEastAsia" w:hAnsiTheme="minorEastAsia"/>
        </w:rPr>
        <w:t>14.2投标人以联合体形式投标的，除应提交联合协议(格式)外，参加联合体的各方均应提交上款资格证明材料。</w:t>
      </w:r>
    </w:p>
    <w:p w14:paraId="05342078">
      <w:pPr>
        <w:adjustRightInd w:val="0"/>
        <w:snapToGrid w:val="0"/>
        <w:spacing w:beforeLines="50" w:line="360" w:lineRule="auto"/>
        <w:ind w:firstLine="420" w:firstLineChars="200"/>
        <w:rPr>
          <w:rFonts w:asciiTheme="minorEastAsia" w:hAnsiTheme="minorEastAsia"/>
        </w:rPr>
      </w:pPr>
      <w:r>
        <w:rPr>
          <w:rFonts w:hint="eastAsia" w:asciiTheme="minorEastAsia" w:hAnsiTheme="minorEastAsia"/>
        </w:rPr>
        <w:t>14.3投标人的资格证明文件均应为有效文件并加盖投标人单位电子章，并按招标文件规定签署。</w:t>
      </w:r>
    </w:p>
    <w:p w14:paraId="1DE8418D">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15. 投标货物及服务符合招标文件规定的证明文件</w:t>
      </w:r>
    </w:p>
    <w:p w14:paraId="2A543F7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15.1投标人应当提交其拟供的合同项下货物及其服务符合招标文件规定的证明文件,该证明文件作为投标文件的一部分。</w:t>
      </w:r>
    </w:p>
    <w:p w14:paraId="4E1D020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15.2上述证明文件可以是文字资料、图表、数据、证书等资料，包括但不限于：</w:t>
      </w:r>
    </w:p>
    <w:p w14:paraId="4DB6220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（1）货物主要技术指标和性能的详细说明。对有具体参数要求的指标，投标人应提供具体参数值；</w:t>
      </w:r>
    </w:p>
    <w:p w14:paraId="17A4F10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（2）货物的品牌型号、制造商及原产地等说明；</w:t>
      </w:r>
    </w:p>
    <w:p w14:paraId="2C5EF02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（3）招标文件第五章“采购需求”要求的其它文件。</w:t>
      </w:r>
    </w:p>
    <w:p w14:paraId="19B03064">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16. 投标有效期</w:t>
      </w:r>
    </w:p>
    <w:p w14:paraId="4FE5B01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16.1投标有效期从提交投标文件的截止之日起算。投标文件中承诺的投标有效期应当不少于</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中载明的投标有效期。投标有效期不满足要求的，其</w:t>
      </w:r>
      <w:r>
        <w:rPr>
          <w:rFonts w:hint="eastAsia" w:asciiTheme="minorEastAsia" w:hAnsiTheme="minorEastAsia" w:eastAsiaTheme="minorEastAsia"/>
          <w:b/>
          <w:szCs w:val="21"/>
        </w:rPr>
        <w:t>投标无效</w:t>
      </w:r>
      <w:r>
        <w:rPr>
          <w:rFonts w:hint="eastAsia" w:asciiTheme="minorEastAsia" w:hAnsiTheme="minorEastAsia" w:eastAsiaTheme="minorEastAsia"/>
          <w:szCs w:val="21"/>
        </w:rPr>
        <w:t>。</w:t>
      </w:r>
    </w:p>
    <w:p w14:paraId="5293469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16.2投标有效期内投标人撤销投标文件的，投标人应承担招标文件和法律规定的责任。</w:t>
      </w:r>
    </w:p>
    <w:p w14:paraId="425106E0">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17. 投标保证金</w:t>
      </w:r>
    </w:p>
    <w:p w14:paraId="560A100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17.1招标文件要求投标人提交投标保证金的，</w:t>
      </w:r>
      <w:r>
        <w:rPr>
          <w:rFonts w:hint="eastAsia" w:asciiTheme="minorEastAsia" w:hAnsiTheme="minorEastAsia" w:eastAsiaTheme="minorEastAsia"/>
          <w:bCs/>
          <w:szCs w:val="21"/>
        </w:rPr>
        <w:t>投标人</w:t>
      </w:r>
      <w:r>
        <w:rPr>
          <w:rFonts w:hint="eastAsia" w:asciiTheme="minorEastAsia" w:hAnsiTheme="minorEastAsia" w:eastAsiaTheme="minorEastAsia"/>
          <w:szCs w:val="21"/>
        </w:rPr>
        <w:t>应按</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w:t>
      </w:r>
      <w:r>
        <w:rPr>
          <w:rFonts w:hint="eastAsia" w:asciiTheme="minorEastAsia" w:hAnsiTheme="minorEastAsia" w:eastAsiaTheme="minorEastAsia"/>
          <w:bCs/>
          <w:szCs w:val="21"/>
        </w:rPr>
        <w:t>在</w:t>
      </w:r>
      <w:r>
        <w:rPr>
          <w:rFonts w:hint="eastAsia" w:asciiTheme="minorEastAsia" w:hAnsiTheme="minorEastAsia" w:eastAsiaTheme="minorEastAsia"/>
          <w:szCs w:val="21"/>
        </w:rPr>
        <w:t>提交投标文件的截止时间</w:t>
      </w:r>
      <w:r>
        <w:rPr>
          <w:rFonts w:hint="eastAsia" w:asciiTheme="minorEastAsia" w:hAnsiTheme="minorEastAsia" w:eastAsiaTheme="minorEastAsia"/>
          <w:bCs/>
          <w:szCs w:val="21"/>
        </w:rPr>
        <w:t>前提交投标保证金</w:t>
      </w:r>
      <w:r>
        <w:rPr>
          <w:rFonts w:hint="eastAsia" w:asciiTheme="minorEastAsia" w:hAnsiTheme="minorEastAsia" w:eastAsiaTheme="minorEastAsia"/>
          <w:szCs w:val="21"/>
        </w:rPr>
        <w:t>。</w:t>
      </w:r>
    </w:p>
    <w:p w14:paraId="036F572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17.2联合体投标的，可以由联合体中的一方或者共同提交投标保证金。以一方名义提交投标保证金的，对联合体各方均具有约束力。</w:t>
      </w:r>
    </w:p>
    <w:p w14:paraId="5E84232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17.3投标保证金的退还按政府采购相关规定办理：</w:t>
      </w:r>
    </w:p>
    <w:p w14:paraId="41035AA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17.4有以下情形之一的，投标保证金将不予退还，上交国库：</w:t>
      </w:r>
    </w:p>
    <w:p w14:paraId="1198F26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（1）投标人在招标文件中规定的投标有效期内撤销其投标；</w:t>
      </w:r>
    </w:p>
    <w:p w14:paraId="18A3A30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（2）中标人无正当理由不与招标人订立合同，在签订合同时向招标人提出附加条件，或者不按照招标文件要求提交履约保证金。</w:t>
      </w:r>
    </w:p>
    <w:p w14:paraId="46663179">
      <w:pPr>
        <w:adjustRightInd w:val="0"/>
        <w:snapToGrid w:val="0"/>
        <w:spacing w:beforeLines="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18.分包</w:t>
      </w:r>
    </w:p>
    <w:p w14:paraId="4C6BB678">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18.1投标人拟在中标后将中</w:t>
      </w:r>
      <w:r>
        <w:rPr>
          <w:rFonts w:hint="eastAsia" w:asciiTheme="minorEastAsia" w:hAnsiTheme="minorEastAsia" w:eastAsiaTheme="minorEastAsia"/>
          <w:szCs w:val="21"/>
        </w:rPr>
        <w:t>标项目的非主体、非关键性工作进行分包的，应符合</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规定的分包内容、分包金</w:t>
      </w:r>
      <w:r>
        <w:rPr>
          <w:rFonts w:hint="eastAsia" w:asciiTheme="minorEastAsia" w:hAnsiTheme="minorEastAsia" w:eastAsiaTheme="minorEastAsia"/>
        </w:rPr>
        <w:t>额和资质要求等限制性条件，并在投标文件中载明分包承担主体，且分包承担主体不得再次分包。</w:t>
      </w:r>
    </w:p>
    <w:p w14:paraId="0E5B8A97">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18.2中标人应当就分包项目向采购人负责，分包承担主体就分包项目承担连带责任。</w:t>
      </w:r>
    </w:p>
    <w:p w14:paraId="1C5CD2D0">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18.3不符合招标文件中有关分包规定的，其</w:t>
      </w:r>
      <w:r>
        <w:rPr>
          <w:rFonts w:hint="eastAsia" w:asciiTheme="minorEastAsia" w:hAnsiTheme="minorEastAsia" w:eastAsiaTheme="minorEastAsia"/>
          <w:b/>
        </w:rPr>
        <w:t>投标无效</w:t>
      </w:r>
      <w:r>
        <w:rPr>
          <w:rFonts w:hint="eastAsia" w:asciiTheme="minorEastAsia" w:hAnsiTheme="minorEastAsia" w:eastAsiaTheme="minorEastAsia"/>
        </w:rPr>
        <w:t>。</w:t>
      </w:r>
    </w:p>
    <w:p w14:paraId="6F5D386F">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19. 电子投标投标文件的制作和签署</w:t>
      </w:r>
    </w:p>
    <w:p w14:paraId="30A35B4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19.1</w:t>
      </w:r>
      <w:r>
        <w:rPr>
          <w:rFonts w:hint="eastAsia" w:asciiTheme="minorEastAsia" w:hAnsiTheme="minorEastAsia" w:eastAsiaTheme="minorEastAsia"/>
          <w:bCs/>
          <w:szCs w:val="21"/>
        </w:rPr>
        <w:t>投标人确认投标后，应从交易平台上下载“电子投标文件制作工具”，并使用此工具编制电子投标文件，否则将可能影响电子投标文件的上传而导致投标无效。</w:t>
      </w:r>
    </w:p>
    <w:p w14:paraId="1F3BAC5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19.2</w:t>
      </w:r>
      <w:r>
        <w:rPr>
          <w:rFonts w:hint="eastAsia" w:asciiTheme="minorEastAsia" w:hAnsiTheme="minorEastAsia" w:eastAsiaTheme="minorEastAsia"/>
          <w:szCs w:val="21"/>
        </w:rPr>
        <w:t>投标人应按照电子招标文件要求制作电子投标文件，并进行电子签名和盖章后提交至交易平台。</w:t>
      </w:r>
    </w:p>
    <w:p w14:paraId="2FC1F1DE">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szCs w:val="21"/>
        </w:rPr>
        <w:t>19.3电子招投标文件具有法律效力，若投标文件与招标文件要求不一致，其内通影响中标结果时，责任由投标人自行承担。</w:t>
      </w:r>
    </w:p>
    <w:p w14:paraId="119CE424">
      <w:pPr>
        <w:pStyle w:val="4"/>
        <w:keepNext w:val="0"/>
        <w:keepLines w:val="0"/>
        <w:adjustRightInd w:val="0"/>
        <w:snapToGrid w:val="0"/>
        <w:spacing w:beforeLines="50" w:after="0" w:line="360" w:lineRule="auto"/>
        <w:jc w:val="center"/>
        <w:rPr>
          <w:rFonts w:ascii="黑体" w:hAnsi="黑体" w:eastAsia="黑体"/>
          <w:sz w:val="28"/>
          <w:szCs w:val="28"/>
        </w:rPr>
      </w:pPr>
      <w:bookmarkStart w:id="7" w:name="_Toc29913900"/>
      <w:r>
        <w:rPr>
          <w:rFonts w:hint="eastAsia" w:ascii="黑体" w:hAnsi="黑体" w:eastAsia="黑体"/>
          <w:sz w:val="28"/>
          <w:szCs w:val="28"/>
        </w:rPr>
        <w:t>四、投标</w:t>
      </w:r>
      <w:bookmarkEnd w:id="7"/>
    </w:p>
    <w:p w14:paraId="4710151F">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sz w:val="24"/>
        </w:rPr>
        <w:t>20.</w:t>
      </w:r>
      <w:r>
        <w:rPr>
          <w:rFonts w:hint="eastAsia" w:asciiTheme="minorEastAsia" w:hAnsiTheme="minorEastAsia" w:eastAsiaTheme="minorEastAsia"/>
          <w:b/>
          <w:bCs/>
          <w:sz w:val="24"/>
        </w:rPr>
        <w:t xml:space="preserve"> 电子投标文件的加密和提交</w:t>
      </w:r>
    </w:p>
    <w:p w14:paraId="05B2A10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20.1投标人应按照招标文件和交易平台的要求编制数据电文形式的投标文件并通过数字证书进行加密后提交至交易平台。未按要求加密的投标文件，交易平台将无法接受, 采购代理机构不予受理。</w:t>
      </w:r>
    </w:p>
    <w:p w14:paraId="6CE553CE">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20.2投标人应在招标文件【投标须知前附表】规定的开标时间前规定将电子投标文件上传到交易平台的对应项目。逾期不予受理。</w:t>
      </w:r>
    </w:p>
    <w:p w14:paraId="1C889ED6">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20.3如遇系统提示“上传未成功”，投标人应及时重新修改文件或与系统运维机构联系，查明原因，确保上传无误，因自身原因导致不能上传的，由投标人自行承担责任。</w:t>
      </w:r>
    </w:p>
    <w:p w14:paraId="5D04B759">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20.4投标人因自身原因导致电子投标文件无法导入电子评标系统的，该投标文件视为无效投标文件。</w:t>
      </w:r>
    </w:p>
    <w:p w14:paraId="64C78FD0">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20.5投标人将最终投标文件上传至交易平台后，系统将显示“上传成功”，否则请重新上传。</w:t>
      </w:r>
    </w:p>
    <w:p w14:paraId="36C7AFE3">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21.电子投标文件的修改和撤回</w:t>
      </w:r>
    </w:p>
    <w:p w14:paraId="4AF8944D">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21.1投标人在招标文件规定的投标截止时间前，可以撤回已上传的投标文件，也可以撤回并修改后再重新上传。</w:t>
      </w:r>
    </w:p>
    <w:p w14:paraId="59E83A7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21.2采购人、采购代理机构发布了修改、澄清文件的，投标人应按照修改、澄清后的招标文件重新编制投标文件并上传至交易平台。</w:t>
      </w:r>
    </w:p>
    <w:p w14:paraId="5A677C52">
      <w:pPr>
        <w:adjustRightInd w:val="0"/>
        <w:snapToGrid w:val="0"/>
        <w:spacing w:beforeLines="50" w:line="360" w:lineRule="auto"/>
        <w:jc w:val="left"/>
        <w:rPr>
          <w:rFonts w:cs="Arial" w:asciiTheme="minorEastAsia" w:hAnsiTheme="minorEastAsia" w:eastAsiaTheme="minorEastAsia"/>
          <w:b/>
          <w:sz w:val="24"/>
        </w:rPr>
      </w:pPr>
      <w:r>
        <w:rPr>
          <w:rFonts w:hint="eastAsia" w:asciiTheme="minorEastAsia" w:hAnsiTheme="minorEastAsia" w:eastAsiaTheme="minorEastAsia"/>
          <w:b/>
          <w:bCs/>
          <w:sz w:val="24"/>
        </w:rPr>
        <w:t>22.</w:t>
      </w:r>
      <w:r>
        <w:rPr>
          <w:rFonts w:hint="eastAsia" w:cs="Arial" w:asciiTheme="minorEastAsia" w:hAnsiTheme="minorEastAsia" w:eastAsiaTheme="minorEastAsia"/>
          <w:b/>
          <w:sz w:val="24"/>
        </w:rPr>
        <w:t xml:space="preserve"> 串通</w:t>
      </w:r>
      <w:r>
        <w:rPr>
          <w:rFonts w:hint="eastAsia" w:asciiTheme="minorEastAsia" w:hAnsiTheme="minorEastAsia" w:eastAsiaTheme="minorEastAsia"/>
          <w:b/>
          <w:sz w:val="24"/>
        </w:rPr>
        <w:t>投标行为</w:t>
      </w:r>
    </w:p>
    <w:p w14:paraId="5B9B1EBC">
      <w:pPr>
        <w:adjustRightInd w:val="0"/>
        <w:snapToGrid w:val="0"/>
        <w:spacing w:beforeLines="50" w:line="360" w:lineRule="auto"/>
        <w:ind w:firstLine="396" w:firstLineChars="200"/>
        <w:jc w:val="left"/>
        <w:rPr>
          <w:rFonts w:asciiTheme="minorEastAsia" w:hAnsiTheme="minorEastAsia" w:eastAsiaTheme="minorEastAsia"/>
          <w:spacing w:val="-6"/>
          <w:szCs w:val="21"/>
        </w:rPr>
      </w:pPr>
      <w:r>
        <w:rPr>
          <w:rFonts w:hint="eastAsia" w:asciiTheme="minorEastAsia" w:hAnsiTheme="minorEastAsia" w:eastAsiaTheme="minorEastAsia"/>
          <w:spacing w:val="-6"/>
          <w:szCs w:val="21"/>
        </w:rPr>
        <w:t>22.1有下列情形之一的，属于恶意串通，对投标人依照政府采购法第七十七条第一款的规定追究法律责任：</w:t>
      </w:r>
    </w:p>
    <w:p w14:paraId="6FB2B7BA">
      <w:pPr>
        <w:adjustRightInd w:val="0"/>
        <w:snapToGrid w:val="0"/>
        <w:spacing w:beforeLines="50" w:line="360" w:lineRule="auto"/>
        <w:ind w:firstLine="396" w:firstLineChars="200"/>
        <w:jc w:val="left"/>
        <w:rPr>
          <w:rFonts w:asciiTheme="minorEastAsia" w:hAnsiTheme="minorEastAsia" w:eastAsiaTheme="minorEastAsia"/>
          <w:spacing w:val="-6"/>
          <w:szCs w:val="21"/>
        </w:rPr>
      </w:pPr>
      <w:r>
        <w:rPr>
          <w:rFonts w:hint="eastAsia" w:asciiTheme="minorEastAsia" w:hAnsiTheme="minorEastAsia" w:eastAsiaTheme="minorEastAsia"/>
          <w:spacing w:val="-6"/>
          <w:szCs w:val="21"/>
        </w:rPr>
        <w:t>（1）投标人直接或者间接从采购人或者采购代理机构处获得其他投标人的相关情况并修改其投标文件；</w:t>
      </w:r>
    </w:p>
    <w:p w14:paraId="6F70FB5C">
      <w:pPr>
        <w:adjustRightInd w:val="0"/>
        <w:snapToGrid w:val="0"/>
        <w:spacing w:beforeLines="50" w:line="360" w:lineRule="auto"/>
        <w:ind w:firstLine="396" w:firstLineChars="200"/>
        <w:jc w:val="left"/>
        <w:rPr>
          <w:rFonts w:asciiTheme="minorEastAsia" w:hAnsiTheme="minorEastAsia" w:eastAsiaTheme="minorEastAsia"/>
          <w:spacing w:val="-6"/>
          <w:szCs w:val="21"/>
        </w:rPr>
      </w:pPr>
      <w:r>
        <w:rPr>
          <w:rFonts w:hint="eastAsia" w:asciiTheme="minorEastAsia" w:hAnsiTheme="minorEastAsia" w:eastAsiaTheme="minorEastAsia"/>
          <w:spacing w:val="-6"/>
          <w:szCs w:val="21"/>
        </w:rPr>
        <w:t>（2）投标人按照采购人或者采购代理机构的授意撤换、修改投标文件；</w:t>
      </w:r>
    </w:p>
    <w:p w14:paraId="30B7C263">
      <w:pPr>
        <w:adjustRightInd w:val="0"/>
        <w:snapToGrid w:val="0"/>
        <w:spacing w:beforeLines="50" w:line="360" w:lineRule="auto"/>
        <w:ind w:firstLine="396" w:firstLineChars="200"/>
        <w:jc w:val="left"/>
        <w:rPr>
          <w:rFonts w:asciiTheme="minorEastAsia" w:hAnsiTheme="minorEastAsia" w:eastAsiaTheme="minorEastAsia"/>
          <w:spacing w:val="-6"/>
          <w:szCs w:val="21"/>
        </w:rPr>
      </w:pPr>
      <w:r>
        <w:rPr>
          <w:rFonts w:hint="eastAsia" w:asciiTheme="minorEastAsia" w:hAnsiTheme="minorEastAsia" w:eastAsiaTheme="minorEastAsia"/>
          <w:spacing w:val="-6"/>
          <w:szCs w:val="21"/>
        </w:rPr>
        <w:t>（3）投标人之间协商报价、技术方案等投标文件的实质性内容；</w:t>
      </w:r>
    </w:p>
    <w:p w14:paraId="5EB641D1">
      <w:pPr>
        <w:adjustRightInd w:val="0"/>
        <w:snapToGrid w:val="0"/>
        <w:spacing w:beforeLines="50" w:line="360" w:lineRule="auto"/>
        <w:ind w:firstLine="396" w:firstLineChars="200"/>
        <w:jc w:val="left"/>
        <w:rPr>
          <w:rFonts w:asciiTheme="minorEastAsia" w:hAnsiTheme="minorEastAsia" w:eastAsiaTheme="minorEastAsia"/>
          <w:spacing w:val="-6"/>
          <w:szCs w:val="21"/>
        </w:rPr>
      </w:pPr>
      <w:r>
        <w:rPr>
          <w:rFonts w:hint="eastAsia" w:asciiTheme="minorEastAsia" w:hAnsiTheme="minorEastAsia" w:eastAsiaTheme="minorEastAsia"/>
          <w:spacing w:val="-6"/>
          <w:szCs w:val="21"/>
        </w:rPr>
        <w:t>（4）属于同一集团、协会、商会等组织成员的投标人按照该组织要求协同参加政府采购活动；</w:t>
      </w:r>
    </w:p>
    <w:p w14:paraId="6C191FD9">
      <w:pPr>
        <w:adjustRightInd w:val="0"/>
        <w:snapToGrid w:val="0"/>
        <w:spacing w:beforeLines="50" w:line="360" w:lineRule="auto"/>
        <w:ind w:firstLine="396" w:firstLineChars="200"/>
        <w:jc w:val="left"/>
        <w:rPr>
          <w:rFonts w:asciiTheme="minorEastAsia" w:hAnsiTheme="minorEastAsia" w:eastAsiaTheme="minorEastAsia"/>
          <w:spacing w:val="-6"/>
          <w:szCs w:val="21"/>
        </w:rPr>
      </w:pPr>
      <w:r>
        <w:rPr>
          <w:rFonts w:hint="eastAsia" w:asciiTheme="minorEastAsia" w:hAnsiTheme="minorEastAsia" w:eastAsiaTheme="minorEastAsia"/>
          <w:spacing w:val="-6"/>
          <w:szCs w:val="21"/>
        </w:rPr>
        <w:t>（5）投标人之间事先约定由某一特定投标人中标；</w:t>
      </w:r>
    </w:p>
    <w:p w14:paraId="7F3BA3A2">
      <w:pPr>
        <w:adjustRightInd w:val="0"/>
        <w:snapToGrid w:val="0"/>
        <w:spacing w:beforeLines="50" w:line="360" w:lineRule="auto"/>
        <w:ind w:firstLine="396" w:firstLineChars="200"/>
        <w:jc w:val="left"/>
        <w:rPr>
          <w:rFonts w:asciiTheme="minorEastAsia" w:hAnsiTheme="minorEastAsia" w:eastAsiaTheme="minorEastAsia"/>
          <w:spacing w:val="-6"/>
          <w:szCs w:val="21"/>
        </w:rPr>
      </w:pPr>
      <w:r>
        <w:rPr>
          <w:rFonts w:hint="eastAsia" w:asciiTheme="minorEastAsia" w:hAnsiTheme="minorEastAsia" w:eastAsiaTheme="minorEastAsia"/>
          <w:spacing w:val="-6"/>
          <w:szCs w:val="21"/>
        </w:rPr>
        <w:t>（6）投标人之间商定部分投标人放弃参加政府采购活动或者放弃中标；</w:t>
      </w:r>
    </w:p>
    <w:p w14:paraId="6B66B86C">
      <w:pPr>
        <w:adjustRightInd w:val="0"/>
        <w:snapToGrid w:val="0"/>
        <w:spacing w:beforeLines="50" w:line="360" w:lineRule="auto"/>
        <w:ind w:firstLine="396" w:firstLineChars="200"/>
        <w:jc w:val="left"/>
        <w:rPr>
          <w:rFonts w:asciiTheme="minorEastAsia" w:hAnsiTheme="minorEastAsia" w:eastAsiaTheme="minorEastAsia"/>
          <w:spacing w:val="-6"/>
          <w:szCs w:val="21"/>
        </w:rPr>
      </w:pPr>
      <w:r>
        <w:rPr>
          <w:rFonts w:hint="eastAsia" w:asciiTheme="minorEastAsia" w:hAnsiTheme="minorEastAsia" w:eastAsiaTheme="minorEastAsia"/>
          <w:spacing w:val="-6"/>
          <w:szCs w:val="21"/>
        </w:rPr>
        <w:t>（7）投标人与采购人或者采购代理机构之间、投标人相互之间，为谋求特定投标人中标或者排斥其他投标人的其他串通行为。</w:t>
      </w:r>
    </w:p>
    <w:p w14:paraId="73D16DF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22.2有下列情形之一的，视为投标人串通投标，其</w:t>
      </w:r>
      <w:r>
        <w:rPr>
          <w:rFonts w:hint="eastAsia" w:asciiTheme="minorEastAsia" w:hAnsiTheme="minorEastAsia" w:eastAsiaTheme="minorEastAsia"/>
          <w:b/>
          <w:szCs w:val="21"/>
        </w:rPr>
        <w:t>投标无效</w:t>
      </w:r>
      <w:r>
        <w:rPr>
          <w:rFonts w:hint="eastAsia" w:asciiTheme="minorEastAsia" w:hAnsiTheme="minorEastAsia" w:eastAsiaTheme="minorEastAsia"/>
          <w:szCs w:val="21"/>
        </w:rPr>
        <w:t>：</w:t>
      </w:r>
    </w:p>
    <w:p w14:paraId="77C42CA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（1）不同投标人的投标文件由同一单位或者个人编制；</w:t>
      </w:r>
    </w:p>
    <w:p w14:paraId="101DBDF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（2）不同投标人委托同一单位或者个人办理投标事宜；</w:t>
      </w:r>
    </w:p>
    <w:p w14:paraId="2401975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（3）不同投标人的投标文件载明的项目管理成员或者联系人员为同一人；</w:t>
      </w:r>
    </w:p>
    <w:p w14:paraId="6C46D5E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（4）不同投标人的投标文件异常一致或者投标报价呈规律性差异；</w:t>
      </w:r>
    </w:p>
    <w:p w14:paraId="4A31C6E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（5）不同投标人的投标文件相互签章；</w:t>
      </w:r>
    </w:p>
    <w:p w14:paraId="5D085748">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（6）不同投标人的投标保证金从同一单位或者个人的账户转出。</w:t>
      </w:r>
    </w:p>
    <w:p w14:paraId="3464FBAE">
      <w:pPr>
        <w:pStyle w:val="4"/>
        <w:adjustRightInd w:val="0"/>
        <w:snapToGrid w:val="0"/>
        <w:spacing w:beforeLines="50" w:after="0" w:line="360" w:lineRule="auto"/>
        <w:jc w:val="center"/>
        <w:rPr>
          <w:rFonts w:ascii="黑体" w:hAnsi="黑体" w:eastAsia="黑体"/>
          <w:sz w:val="28"/>
          <w:szCs w:val="28"/>
        </w:rPr>
      </w:pPr>
      <w:bookmarkStart w:id="8" w:name="_Toc29913901"/>
      <w:r>
        <w:rPr>
          <w:rFonts w:hint="eastAsia" w:ascii="黑体" w:hAnsi="黑体" w:eastAsia="黑体"/>
          <w:sz w:val="28"/>
          <w:szCs w:val="28"/>
        </w:rPr>
        <w:t>五、开标，资格审查和评标</w:t>
      </w:r>
      <w:bookmarkEnd w:id="8"/>
    </w:p>
    <w:p w14:paraId="46ECB06B">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23. 开标</w:t>
      </w:r>
    </w:p>
    <w:p w14:paraId="4E5D0B2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23.1开标时，出现下列情形之一的，采购代理机构不予受理： </w:t>
      </w:r>
    </w:p>
    <w:p w14:paraId="6239A7D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（1）经检查数字证书无效的电子投标文件； </w:t>
      </w:r>
    </w:p>
    <w:p w14:paraId="1E4BFF6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（2）电子投标文件未按照招标文件的要求进行加密的； </w:t>
      </w:r>
    </w:p>
    <w:p w14:paraId="789A5E6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（3）电子投标文件未按招标文件要求上传至交易平台的；</w:t>
      </w:r>
    </w:p>
    <w:p w14:paraId="1BE5707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（4）投标人未按照</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规定的方式及时间解密电子投标文件的；</w:t>
      </w:r>
    </w:p>
    <w:p w14:paraId="64F314B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（5）其它违反法律、法规的情形。</w:t>
      </w:r>
    </w:p>
    <w:p w14:paraId="38B7D38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23.2采购人或者采购代理机构应按招标文件规定的时间、地点在交易平台上组织公开开标，并邀请投标人参加。</w:t>
      </w:r>
    </w:p>
    <w:p w14:paraId="24D23E1B">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23.3开标程序。采购代理机构在投标截止时间后，按下列程序进行开标： </w:t>
      </w:r>
    </w:p>
    <w:p w14:paraId="4071B04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（1）公布投标人名称并检查投标文件的数字证书有效性和加密状况；  </w:t>
      </w:r>
    </w:p>
    <w:p w14:paraId="7BCF8A5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（2）投标人在规定的时间内解密投标文件；因投标人原因造成投标文件未解密的，视为撤销其投标文件；部分投标文件未解密的，其他投标文件的开标可以继续进行。</w:t>
      </w:r>
    </w:p>
    <w:p w14:paraId="448D722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（3）唱标。宣读投标人名称、投标价格和</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规定需要宣布的其他内容；</w:t>
      </w:r>
    </w:p>
    <w:p w14:paraId="2DE249F8">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（4）投标人代表通过电子开标软件在开标记录上进行确认。在规定的时间内未进行确认的，视同认可开标结果。</w:t>
      </w:r>
    </w:p>
    <w:p w14:paraId="4F25426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23.4开标时，投标人不足3家的，不得开标。</w:t>
      </w:r>
    </w:p>
    <w:p w14:paraId="7650A13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23.5投标人代表对开标过程和开标记录有疑义，以及认为采购人或者采购代理机构相关工作人员有《政府采购法实施条例》第九条第一款需要回避的情形的，应当场提出询问或者回避申请。</w:t>
      </w:r>
    </w:p>
    <w:p w14:paraId="2A5D40D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23.6采购人或者采购代理机构对投标人代表当场提出的询问或者回避申请，按《政府采购法实施条例》有关规定及时处理。</w:t>
      </w:r>
    </w:p>
    <w:p w14:paraId="656B34C1">
      <w:pPr>
        <w:adjustRightInd w:val="0"/>
        <w:snapToGrid w:val="0"/>
        <w:spacing w:beforeLines="50" w:line="360" w:lineRule="auto"/>
        <w:jc w:val="left"/>
        <w:rPr>
          <w:rFonts w:asciiTheme="minorEastAsia" w:hAnsiTheme="minorEastAsia" w:eastAsiaTheme="minorEastAsia"/>
          <w:b/>
          <w:sz w:val="24"/>
        </w:rPr>
      </w:pPr>
      <w:r>
        <w:rPr>
          <w:rStyle w:val="44"/>
          <w:rFonts w:hint="eastAsia" w:cs="Arial" w:asciiTheme="minorEastAsia" w:hAnsiTheme="minorEastAsia" w:eastAsiaTheme="minorEastAsia"/>
          <w:sz w:val="24"/>
        </w:rPr>
        <w:t>24.</w:t>
      </w:r>
      <w:r>
        <w:rPr>
          <w:rFonts w:hint="eastAsia" w:asciiTheme="minorEastAsia" w:hAnsiTheme="minorEastAsia" w:eastAsiaTheme="minorEastAsia"/>
          <w:b/>
          <w:sz w:val="24"/>
        </w:rPr>
        <w:t xml:space="preserve"> 资格审查</w:t>
      </w:r>
    </w:p>
    <w:p w14:paraId="28FEE80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24.1开标结束后，采购人、采购代理机构依法按照第三章</w:t>
      </w:r>
      <w:r>
        <w:rPr>
          <w:rFonts w:hint="eastAsia" w:ascii="华文宋体" w:hAnsi="华文宋体" w:eastAsia="华文宋体"/>
          <w:szCs w:val="21"/>
        </w:rPr>
        <w:t>“</w:t>
      </w:r>
      <w:r>
        <w:rPr>
          <w:rFonts w:hint="eastAsia" w:asciiTheme="minorEastAsia" w:hAnsiTheme="minorEastAsia" w:eastAsiaTheme="minorEastAsia"/>
          <w:szCs w:val="21"/>
        </w:rPr>
        <w:t>资格审查</w:t>
      </w:r>
      <w:r>
        <w:rPr>
          <w:rFonts w:hint="eastAsia" w:ascii="华文宋体" w:hAnsi="华文宋体" w:eastAsia="华文宋体"/>
          <w:szCs w:val="21"/>
        </w:rPr>
        <w:t>”</w:t>
      </w:r>
      <w:r>
        <w:rPr>
          <w:rFonts w:hint="eastAsia" w:asciiTheme="minorEastAsia" w:hAnsiTheme="minorEastAsia" w:eastAsiaTheme="minorEastAsia"/>
          <w:szCs w:val="21"/>
        </w:rPr>
        <w:t>规定组织资格审查。</w:t>
      </w:r>
    </w:p>
    <w:p w14:paraId="2C18ED8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24.2资格审查结束后，采购人、采购代理机构应将资格审查结果告知评标委员会。资格审查不合格投标人不进入评标；资格审查合格投标人少于3家的，不得评标。</w:t>
      </w:r>
    </w:p>
    <w:p w14:paraId="3DB6EC33">
      <w:pPr>
        <w:adjustRightInd w:val="0"/>
        <w:snapToGrid w:val="0"/>
        <w:spacing w:beforeLines="50" w:line="360" w:lineRule="auto"/>
        <w:jc w:val="left"/>
        <w:rPr>
          <w:rFonts w:asciiTheme="minorEastAsia" w:hAnsiTheme="minorEastAsia" w:eastAsiaTheme="minorEastAsia"/>
          <w:b/>
          <w:sz w:val="24"/>
        </w:rPr>
      </w:pPr>
      <w:r>
        <w:rPr>
          <w:rFonts w:hint="eastAsia" w:asciiTheme="minorEastAsia" w:hAnsiTheme="minorEastAsia" w:eastAsiaTheme="minorEastAsia"/>
          <w:b/>
          <w:bCs/>
          <w:sz w:val="24"/>
        </w:rPr>
        <w:t>25.</w:t>
      </w:r>
      <w:r>
        <w:rPr>
          <w:rFonts w:hint="eastAsia" w:asciiTheme="minorEastAsia" w:hAnsiTheme="minorEastAsia" w:eastAsiaTheme="minorEastAsia"/>
          <w:b/>
          <w:sz w:val="24"/>
        </w:rPr>
        <w:t xml:space="preserve"> 评标委员会</w:t>
      </w:r>
    </w:p>
    <w:p w14:paraId="54AFC53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25.1评标由依法组建的评标委员会负责，评标委员会由采购人代表和评审专家组成。</w:t>
      </w:r>
    </w:p>
    <w:p w14:paraId="33E9E02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25.2评标委员会成员有下列情形之一的，应当回避：</w:t>
      </w:r>
    </w:p>
    <w:p w14:paraId="05D3F8F1">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（1）参加采购活动前三年内,与投标人存在劳动关系,或者担任过投标人的董事、监事,或者是投标人的控股股东或实际控制人；</w:t>
      </w:r>
    </w:p>
    <w:p w14:paraId="08DF474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（2）与投标人的法定代表人或者负责人有夫妻、直系血亲、三代以内旁系血亲或者近姻亲关系；</w:t>
      </w:r>
    </w:p>
    <w:p w14:paraId="6F666CD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（3）与投标人有其他可能影响政府采购活动公平、公正进行的关系。</w:t>
      </w:r>
    </w:p>
    <w:p w14:paraId="2BF74D5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25.3评标委员会负责具体评标事务，并独立履行下列职责：</w:t>
      </w:r>
    </w:p>
    <w:p w14:paraId="3732C2B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（1）审查、评价投标文件是否符合招标文件的商务、技术等实质性要求；</w:t>
      </w:r>
    </w:p>
    <w:p w14:paraId="2550D79B">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（2）要求投标人对投标文件有关事项作出澄清或者说明；</w:t>
      </w:r>
    </w:p>
    <w:p w14:paraId="034A335B">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（3）对投标文件进行比较和评价；</w:t>
      </w:r>
    </w:p>
    <w:p w14:paraId="5271A10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（4）确定中标候选人名单，以及根据采购人委托直接确定中标人。</w:t>
      </w:r>
    </w:p>
    <w:p w14:paraId="2E5637F8">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sz w:val="24"/>
        </w:rPr>
        <w:t>26.</w:t>
      </w:r>
      <w:r>
        <w:rPr>
          <w:rFonts w:hint="eastAsia" w:asciiTheme="minorEastAsia" w:hAnsiTheme="minorEastAsia" w:eastAsiaTheme="minorEastAsia"/>
          <w:b/>
          <w:bCs/>
          <w:sz w:val="24"/>
        </w:rPr>
        <w:t xml:space="preserve"> 评标</w:t>
      </w:r>
    </w:p>
    <w:p w14:paraId="248DC325">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26.1评标委员会按照</w:t>
      </w:r>
      <w:r>
        <w:rPr>
          <w:rFonts w:hint="eastAsia" w:asciiTheme="minorEastAsia" w:hAnsiTheme="minorEastAsia" w:eastAsiaTheme="minorEastAsia"/>
          <w:bCs/>
        </w:rPr>
        <w:t>第四章</w:t>
      </w:r>
      <w:r>
        <w:rPr>
          <w:rFonts w:hint="eastAsia" w:ascii="华文宋体" w:hAnsi="华文宋体" w:eastAsia="华文宋体"/>
          <w:bCs/>
        </w:rPr>
        <w:t>“</w:t>
      </w:r>
      <w:r>
        <w:rPr>
          <w:rFonts w:hint="eastAsia" w:asciiTheme="minorEastAsia" w:hAnsiTheme="minorEastAsia" w:eastAsiaTheme="minorEastAsia"/>
          <w:bCs/>
        </w:rPr>
        <w:t>评标方法及标准</w:t>
      </w:r>
      <w:r>
        <w:rPr>
          <w:rFonts w:hint="eastAsia" w:ascii="华文宋体" w:hAnsi="华文宋体" w:eastAsia="华文宋体"/>
          <w:bCs/>
        </w:rPr>
        <w:t>”</w:t>
      </w:r>
      <w:r>
        <w:rPr>
          <w:rFonts w:hint="eastAsia" w:asciiTheme="minorEastAsia" w:hAnsiTheme="minorEastAsia" w:eastAsiaTheme="minorEastAsia"/>
        </w:rPr>
        <w:t>规定的评标方法、评审因素、标准和程序以及有关法律、法规及规章对投标文件进行评审。</w:t>
      </w:r>
    </w:p>
    <w:p w14:paraId="3D157B1F">
      <w:pPr>
        <w:pStyle w:val="4"/>
        <w:adjustRightInd w:val="0"/>
        <w:snapToGrid w:val="0"/>
        <w:spacing w:beforeLines="50" w:after="0" w:line="360" w:lineRule="auto"/>
        <w:jc w:val="center"/>
        <w:rPr>
          <w:rFonts w:ascii="黑体" w:hAnsi="黑体" w:eastAsia="黑体"/>
          <w:sz w:val="28"/>
          <w:szCs w:val="28"/>
        </w:rPr>
      </w:pPr>
      <w:bookmarkStart w:id="9" w:name="_Toc29913902"/>
      <w:r>
        <w:rPr>
          <w:rFonts w:hint="eastAsia" w:ascii="黑体" w:hAnsi="黑体" w:eastAsia="黑体"/>
          <w:sz w:val="28"/>
          <w:szCs w:val="28"/>
        </w:rPr>
        <w:t>六、中标信息公布</w:t>
      </w:r>
      <w:bookmarkEnd w:id="9"/>
    </w:p>
    <w:p w14:paraId="64F17968">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sz w:val="24"/>
        </w:rPr>
        <w:t>27.</w:t>
      </w:r>
      <w:r>
        <w:rPr>
          <w:rFonts w:hint="eastAsia" w:asciiTheme="minorEastAsia" w:hAnsiTheme="minorEastAsia" w:eastAsiaTheme="minorEastAsia"/>
          <w:b/>
          <w:bCs/>
          <w:sz w:val="24"/>
        </w:rPr>
        <w:t>中标通知书与中标信息公布</w:t>
      </w:r>
    </w:p>
    <w:p w14:paraId="251C27D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27.1采购代理机构应当在评标结束后2个工作日内将评标报告送采购人。</w:t>
      </w:r>
    </w:p>
    <w:p w14:paraId="75D660F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27.2采购人应当自收到评标报告之日起5个工作日内，在评标报告确定的中标候选人名单中按顺序确定中标人。中标候选人并列的，按照</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规定的方式确定中标人；招标文件未规定的，采取随机抽取的方式确定。</w:t>
      </w:r>
    </w:p>
    <w:p w14:paraId="43045A0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27.3采购人、采购代理机构应当自采购人确定中标供应商之日起2个工作日内，发出中标通知书，并在招标公告指定媒体上公告中标结果，招标文件随中标结果同时公告，中标结果公告期限为１个工作日。</w:t>
      </w:r>
    </w:p>
    <w:p w14:paraId="40362441">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28.</w:t>
      </w:r>
      <w:r>
        <w:rPr>
          <w:rFonts w:hint="eastAsia" w:asciiTheme="minorEastAsia" w:hAnsiTheme="minorEastAsia" w:eastAsiaTheme="minorEastAsia"/>
          <w:b/>
          <w:sz w:val="24"/>
        </w:rPr>
        <w:t xml:space="preserve"> 投标人询问及</w:t>
      </w:r>
      <w:r>
        <w:rPr>
          <w:rFonts w:hint="eastAsia" w:asciiTheme="minorEastAsia" w:hAnsiTheme="minorEastAsia" w:eastAsiaTheme="minorEastAsia"/>
          <w:b/>
          <w:bCs/>
          <w:sz w:val="24"/>
        </w:rPr>
        <w:t>质疑</w:t>
      </w:r>
    </w:p>
    <w:p w14:paraId="4BFE944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28.1投标人对政府采购活动事项有疑问的，可以向采购人、采购代理机构提出询问。采购人或采购代理机构将在3个工作日内作出答复。</w:t>
      </w:r>
    </w:p>
    <w:p w14:paraId="4459790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28.2投标人认为招标文件、采购过程和中标结果使自己的权益受到损害的，可以在知道或者应知其权益受到损害之日起7个工作日内，按照《湖南省财政厅关于印发＜政府采购质疑答复和投诉处理操作规程＞的通知》(湘财购〔2019〕20号)规定，以纸质书面形式向采购人、采购代理机构提出质疑。</w:t>
      </w:r>
    </w:p>
    <w:p w14:paraId="188161C8">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28.3投标人提出质疑的，应按照《湖南省财政厅关于印发＜政府采购质疑答复和投诉处理操作规程＞的通知》规定制作、签署、送达。采购人、采购代理机构接收质疑函的联系部门、联系电话和通讯地址见</w:t>
      </w:r>
      <w:r>
        <w:rPr>
          <w:rFonts w:hint="eastAsia" w:asciiTheme="minorEastAsia" w:hAnsiTheme="minorEastAsia" w:eastAsiaTheme="minorEastAsia"/>
          <w:b/>
          <w:szCs w:val="21"/>
        </w:rPr>
        <w:t>【申请人须知前附表】</w:t>
      </w:r>
      <w:r>
        <w:rPr>
          <w:rFonts w:hint="eastAsia" w:asciiTheme="minorEastAsia" w:hAnsiTheme="minorEastAsia" w:eastAsiaTheme="minorEastAsia"/>
          <w:szCs w:val="21"/>
        </w:rPr>
        <w:t xml:space="preserve">。  </w:t>
      </w:r>
    </w:p>
    <w:p w14:paraId="614C0AE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28.4采购人、采购代理机构按照《湖南省财政厅关于印发＜政府采购质疑答复和投诉处理操作规程＞的通知》规定进行质疑答复。</w:t>
      </w:r>
    </w:p>
    <w:p w14:paraId="06F73470">
      <w:pPr>
        <w:adjustRightInd w:val="0"/>
        <w:snapToGrid w:val="0"/>
        <w:spacing w:beforeLines="50" w:line="360" w:lineRule="auto"/>
        <w:ind w:firstLine="420" w:firstLineChars="200"/>
        <w:jc w:val="left"/>
        <w:rPr>
          <w:rFonts w:asciiTheme="minorEastAsia" w:hAnsiTheme="minorEastAsia" w:eastAsiaTheme="minorEastAsia"/>
          <w:b/>
          <w:bCs/>
        </w:rPr>
      </w:pPr>
      <w:r>
        <w:rPr>
          <w:rFonts w:hint="eastAsia" w:asciiTheme="minorEastAsia" w:hAnsiTheme="minorEastAsia" w:eastAsiaTheme="minorEastAsia"/>
          <w:szCs w:val="21"/>
        </w:rPr>
        <w:t>28</w:t>
      </w:r>
      <w:r>
        <w:rPr>
          <w:rFonts w:asciiTheme="minorEastAsia" w:hAnsiTheme="minorEastAsia" w:eastAsiaTheme="minorEastAsia"/>
          <w:szCs w:val="21"/>
        </w:rPr>
        <w:t>.</w:t>
      </w:r>
      <w:r>
        <w:rPr>
          <w:rFonts w:hint="eastAsia" w:asciiTheme="minorEastAsia" w:hAnsiTheme="minorEastAsia" w:eastAsiaTheme="minorEastAsia"/>
          <w:szCs w:val="21"/>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74573953">
      <w:pPr>
        <w:pStyle w:val="4"/>
        <w:adjustRightInd w:val="0"/>
        <w:snapToGrid w:val="0"/>
        <w:spacing w:beforeLines="50" w:after="0" w:line="360" w:lineRule="auto"/>
        <w:jc w:val="center"/>
        <w:rPr>
          <w:rFonts w:ascii="黑体" w:hAnsi="黑体" w:eastAsia="黑体"/>
          <w:sz w:val="28"/>
          <w:szCs w:val="28"/>
        </w:rPr>
      </w:pPr>
      <w:bookmarkStart w:id="10" w:name="_Toc29913903"/>
      <w:r>
        <w:rPr>
          <w:rFonts w:hint="eastAsia" w:ascii="黑体" w:hAnsi="黑体" w:eastAsia="黑体"/>
          <w:sz w:val="28"/>
          <w:szCs w:val="28"/>
        </w:rPr>
        <w:t>七、合同签订</w:t>
      </w:r>
      <w:bookmarkEnd w:id="10"/>
    </w:p>
    <w:p w14:paraId="64A84120">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29. 签订合同</w:t>
      </w:r>
    </w:p>
    <w:p w14:paraId="29EAE04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29.1采购人应自中标通知书发出之日起30日内，按中标通知书指定的时间、地点与中标人签订政府采购合同。所签订的合同不得对招标文件确定的事项和中标人投标文件作实质性修改。</w:t>
      </w:r>
    </w:p>
    <w:p w14:paraId="52F7F3F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29.2招标文件、中标人的投标文件均为签订合同的依据。</w:t>
      </w:r>
    </w:p>
    <w:p w14:paraId="26559FA0">
      <w:pPr>
        <w:adjustRightInd w:val="0"/>
        <w:snapToGrid w:val="0"/>
        <w:spacing w:beforeLines="50" w:line="360" w:lineRule="auto"/>
        <w:ind w:firstLine="420" w:firstLineChars="200"/>
        <w:jc w:val="left"/>
        <w:rPr>
          <w:rFonts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29.3联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中</w:t>
      </w:r>
      <w:r>
        <w:rPr>
          <w:rFonts w:hint="eastAsia" w:cs="微软雅黑" w:asciiTheme="minorEastAsia" w:hAnsiTheme="minorEastAsia" w:eastAsiaTheme="minorEastAsia"/>
          <w:kern w:val="0"/>
          <w:szCs w:val="21"/>
        </w:rPr>
        <w:t>标的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中</w:t>
      </w:r>
      <w:r>
        <w:rPr>
          <w:rFonts w:hint="eastAsia" w:cs="微软雅黑" w:asciiTheme="minorEastAsia" w:hAnsiTheme="minorEastAsia" w:eastAsiaTheme="minorEastAsia"/>
          <w:kern w:val="0"/>
          <w:szCs w:val="21"/>
        </w:rPr>
        <w:t>标</w:t>
      </w:r>
      <w:r>
        <w:rPr>
          <w:rFonts w:hint="eastAsia" w:cs="微软雅黑" w:asciiTheme="minorEastAsia" w:hAnsiTheme="minorEastAsia" w:eastAsiaTheme="minorEastAsia"/>
          <w:spacing w:val="-2"/>
          <w:kern w:val="0"/>
          <w:szCs w:val="21"/>
        </w:rPr>
        <w:t>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46AEAF9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29</w:t>
      </w:r>
      <w:r>
        <w:rPr>
          <w:rFonts w:asciiTheme="minorEastAsia" w:hAnsiTheme="minorEastAsia" w:eastAsiaTheme="minorEastAsia"/>
          <w:szCs w:val="21"/>
        </w:rPr>
        <w:t>.4</w:t>
      </w:r>
      <w:r>
        <w:rPr>
          <w:rFonts w:hint="eastAsia" w:asciiTheme="minorEastAsia" w:hAnsiTheme="minorEastAsia" w:eastAsiaTheme="minorEastAsia"/>
          <w:szCs w:val="21"/>
        </w:rPr>
        <w:t>中标合同将在招标公告指定媒体上公告，但合同中涉及国家秘密、商业秘密的内容除外。</w:t>
      </w:r>
    </w:p>
    <w:p w14:paraId="49483AF8">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szCs w:val="21"/>
        </w:rPr>
        <w:t>29.5中标人</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应当按照合同约定依法履行合同义务。政府采购合同的履行、违约责任和解决争议的方法等适用《中华人民共和国合同法》。</w:t>
      </w:r>
    </w:p>
    <w:p w14:paraId="0C3FD1A7">
      <w:pPr>
        <w:adjustRightInd w:val="0"/>
        <w:snapToGrid w:val="0"/>
        <w:spacing w:beforeLines="50" w:line="360" w:lineRule="auto"/>
        <w:jc w:val="left"/>
        <w:rPr>
          <w:rFonts w:cs="宋体" w:asciiTheme="minorEastAsia" w:hAnsiTheme="minorEastAsia" w:eastAsiaTheme="minorEastAsia"/>
          <w:b/>
          <w:kern w:val="0"/>
          <w:sz w:val="24"/>
        </w:rPr>
      </w:pPr>
      <w:r>
        <w:rPr>
          <w:rFonts w:hint="eastAsia" w:asciiTheme="minorEastAsia" w:hAnsiTheme="minorEastAsia" w:eastAsiaTheme="minorEastAsia"/>
          <w:b/>
          <w:bCs/>
          <w:sz w:val="24"/>
        </w:rPr>
        <w:t>30.</w:t>
      </w:r>
      <w:r>
        <w:rPr>
          <w:rFonts w:hint="eastAsia" w:cs="宋体" w:asciiTheme="minorEastAsia" w:hAnsiTheme="minorEastAsia" w:eastAsiaTheme="minorEastAsia"/>
          <w:b/>
          <w:kern w:val="0"/>
          <w:sz w:val="24"/>
        </w:rPr>
        <w:t xml:space="preserve"> 履约担保</w:t>
      </w:r>
    </w:p>
    <w:p w14:paraId="2E6C7BA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kern w:val="0"/>
          <w:szCs w:val="21"/>
        </w:rPr>
        <w:t>30.1</w:t>
      </w:r>
      <w:r>
        <w:rPr>
          <w:rFonts w:hint="eastAsia" w:asciiTheme="minorEastAsia" w:hAnsiTheme="minorEastAsia" w:eastAsiaTheme="minorEastAsia"/>
          <w:szCs w:val="21"/>
        </w:rPr>
        <w:t>招标文件要求中标人向采购人提交履约担保的，中标人应按照</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的规定提交。联合体中标的，履约担保由联合体各方或联合体中牵头人的名义提交。</w:t>
      </w:r>
    </w:p>
    <w:p w14:paraId="79A0AD1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30.2中标人</w:t>
      </w:r>
      <w:r>
        <w:rPr>
          <w:rFonts w:hint="eastAsia" w:asciiTheme="minorEastAsia" w:hAnsiTheme="minorEastAsia" w:eastAsiaTheme="minorEastAsia"/>
          <w:spacing w:val="4"/>
          <w:szCs w:val="21"/>
        </w:rPr>
        <w:t>没有按照本章第30.1</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pacing w:val="4"/>
          <w:szCs w:val="21"/>
        </w:rPr>
        <w:t>规定</w:t>
      </w:r>
      <w:r>
        <w:rPr>
          <w:rFonts w:hint="eastAsia" w:asciiTheme="minorEastAsia" w:hAnsiTheme="minorEastAsia" w:eastAsiaTheme="minorEastAsia"/>
          <w:szCs w:val="21"/>
        </w:rPr>
        <w:t>提交履约担保的</w:t>
      </w:r>
      <w:r>
        <w:rPr>
          <w:rFonts w:hint="eastAsia" w:asciiTheme="minorEastAsia" w:hAnsiTheme="minorEastAsia" w:eastAsiaTheme="minorEastAsia"/>
          <w:spacing w:val="4"/>
          <w:szCs w:val="21"/>
        </w:rPr>
        <w:t>，视为</w:t>
      </w:r>
      <w:r>
        <w:rPr>
          <w:rFonts w:hint="eastAsia" w:asciiTheme="minorEastAsia" w:hAnsiTheme="minorEastAsia" w:eastAsiaTheme="minorEastAsia"/>
          <w:b/>
          <w:spacing w:val="4"/>
          <w:szCs w:val="21"/>
        </w:rPr>
        <w:t>放弃中标</w:t>
      </w:r>
      <w:r>
        <w:rPr>
          <w:rFonts w:hint="eastAsia" w:asciiTheme="minorEastAsia" w:hAnsiTheme="minorEastAsia" w:eastAsiaTheme="minorEastAsia"/>
          <w:spacing w:val="4"/>
          <w:szCs w:val="21"/>
        </w:rPr>
        <w:t>，</w:t>
      </w:r>
      <w:r>
        <w:rPr>
          <w:rFonts w:hint="eastAsia" w:asciiTheme="minorEastAsia" w:hAnsiTheme="minorEastAsia" w:eastAsiaTheme="minorEastAsia"/>
          <w:spacing w:val="2"/>
          <w:szCs w:val="21"/>
        </w:rPr>
        <w:t>其投标保证金不予退还。</w:t>
      </w:r>
    </w:p>
    <w:p w14:paraId="38197DC5">
      <w:pPr>
        <w:adjustRightInd w:val="0"/>
        <w:snapToGrid w:val="0"/>
        <w:spacing w:beforeLines="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31.</w:t>
      </w:r>
      <w:r>
        <w:rPr>
          <w:rFonts w:hint="eastAsia" w:asciiTheme="minorEastAsia" w:hAnsiTheme="minorEastAsia" w:eastAsiaTheme="minorEastAsia"/>
          <w:b/>
          <w:sz w:val="24"/>
        </w:rPr>
        <w:t xml:space="preserve"> 政府采购合同履行中</w:t>
      </w:r>
      <w:r>
        <w:rPr>
          <w:rFonts w:hint="eastAsia" w:asciiTheme="minorEastAsia" w:hAnsiTheme="minorEastAsia" w:eastAsiaTheme="minorEastAsia"/>
          <w:b/>
          <w:bCs/>
          <w:sz w:val="24"/>
        </w:rPr>
        <w:t>数量的变更</w:t>
      </w:r>
    </w:p>
    <w:p w14:paraId="24D81BB5">
      <w:pPr>
        <w:adjustRightInd w:val="0"/>
        <w:snapToGrid w:val="0"/>
        <w:spacing w:beforeLines="50" w:line="360" w:lineRule="auto"/>
        <w:ind w:firstLine="420" w:firstLineChars="200"/>
        <w:jc w:val="left"/>
        <w:rPr>
          <w:rFonts w:asciiTheme="minorEastAsia" w:hAnsiTheme="minorEastAsia" w:eastAsiaTheme="minorEastAsia"/>
          <w:sz w:val="28"/>
          <w:szCs w:val="28"/>
        </w:rPr>
      </w:pPr>
      <w:r>
        <w:rPr>
          <w:rFonts w:hint="eastAsia" w:asciiTheme="minorEastAsia" w:hAnsiTheme="minorEastAsia" w:eastAsiaTheme="minorEastAsia"/>
        </w:rPr>
        <w:t>31.1政府采购合同履行中，采购人需追加与合同标的相同的货物服务的，在不改变合同其他条款的前提下，可以与中标人协商签订补充合同，但所有补充合同的采购金额不得超过原合同采购金额的百分之十。</w:t>
      </w:r>
    </w:p>
    <w:p w14:paraId="649F6B68">
      <w:pPr>
        <w:pStyle w:val="4"/>
        <w:adjustRightInd w:val="0"/>
        <w:snapToGrid w:val="0"/>
        <w:spacing w:beforeLines="50" w:after="0" w:line="360" w:lineRule="auto"/>
        <w:jc w:val="center"/>
        <w:rPr>
          <w:rFonts w:ascii="黑体" w:hAnsi="黑体" w:eastAsia="黑体"/>
          <w:sz w:val="28"/>
          <w:szCs w:val="28"/>
        </w:rPr>
      </w:pPr>
      <w:bookmarkStart w:id="11" w:name="_Toc29913904"/>
      <w:r>
        <w:rPr>
          <w:rFonts w:hint="eastAsia" w:ascii="黑体" w:hAnsi="黑体" w:eastAsia="黑体"/>
          <w:sz w:val="28"/>
          <w:szCs w:val="28"/>
        </w:rPr>
        <w:t>八、政府采购政策</w:t>
      </w:r>
      <w:bookmarkEnd w:id="11"/>
    </w:p>
    <w:p w14:paraId="599BDA8F">
      <w:pPr>
        <w:adjustRightInd w:val="0"/>
        <w:snapToGrid w:val="0"/>
        <w:spacing w:beforeLines="50" w:line="360" w:lineRule="auto"/>
        <w:jc w:val="left"/>
        <w:rPr>
          <w:rFonts w:asciiTheme="minorEastAsia" w:hAnsiTheme="minorEastAsia" w:eastAsiaTheme="minorEastAsia"/>
          <w:b/>
          <w:sz w:val="24"/>
        </w:rPr>
      </w:pPr>
      <w:r>
        <w:rPr>
          <w:rFonts w:hint="eastAsia" w:asciiTheme="minorEastAsia" w:hAnsiTheme="minorEastAsia" w:eastAsiaTheme="minorEastAsia"/>
          <w:b/>
          <w:bCs/>
          <w:sz w:val="24"/>
        </w:rPr>
        <w:t>32.</w:t>
      </w:r>
      <w:r>
        <w:rPr>
          <w:rFonts w:hint="eastAsia" w:asciiTheme="minorEastAsia" w:hAnsiTheme="minorEastAsia" w:eastAsiaTheme="minorEastAsia"/>
          <w:b/>
          <w:sz w:val="24"/>
        </w:rPr>
        <w:t>政府采购政策</w:t>
      </w:r>
    </w:p>
    <w:p w14:paraId="49F36446">
      <w:pPr>
        <w:adjustRightInd w:val="0"/>
        <w:snapToGrid w:val="0"/>
        <w:spacing w:beforeLines="50" w:line="360" w:lineRule="auto"/>
        <w:ind w:firstLine="42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32.1优先采购：</w:t>
      </w:r>
    </w:p>
    <w:p w14:paraId="099F001B">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w:t>
      </w:r>
      <w:r>
        <w:rPr>
          <w:rFonts w:hint="eastAsia" w:asciiTheme="minorEastAsia" w:hAnsiTheme="minorEastAsia" w:eastAsiaTheme="minorEastAsia"/>
          <w:szCs w:val="21"/>
        </w:rPr>
        <w:t>纳入财政部会同国务院有关部门发布的节能产品、环境标志产品政府采购品目清单，实施政府优先采购的，评审时按招标文件第四章第一节有关规定给予一定比例的价格折扣或者加分；</w:t>
      </w:r>
    </w:p>
    <w:p w14:paraId="539FA227">
      <w:pPr>
        <w:adjustRightInd w:val="0"/>
        <w:snapToGrid w:val="0"/>
        <w:spacing w:beforeLines="50" w:line="360" w:lineRule="auto"/>
        <w:ind w:firstLine="42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32.2强制采购：</w:t>
      </w:r>
    </w:p>
    <w:p w14:paraId="5979B9A7">
      <w:pPr>
        <w:adjustRightInd w:val="0"/>
        <w:snapToGrid w:val="0"/>
        <w:spacing w:beforeLines="50" w:line="360" w:lineRule="auto"/>
        <w:ind w:firstLine="42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（1）纳入财政部会同国务院有关部门发布的节能产品政府采购品目清单，实施政府强制采购的（品目清单标注</w:t>
      </w:r>
      <w:r>
        <w:rPr>
          <w:rFonts w:hint="eastAsia" w:cs="宋体" w:asciiTheme="minorEastAsia" w:hAnsiTheme="minorEastAsia" w:eastAsiaTheme="minorEastAsia"/>
          <w:kern w:val="0"/>
        </w:rPr>
        <w:sym w:font="Wingdings" w:char="F0AB"/>
      </w:r>
      <w:r>
        <w:rPr>
          <w:rFonts w:hint="eastAsia" w:cs="宋体" w:asciiTheme="minorEastAsia" w:hAnsiTheme="minorEastAsia" w:eastAsiaTheme="minorEastAsia"/>
          <w:kern w:val="0"/>
        </w:rPr>
        <w:t>符号产品），投标人投标产品应当取得国家确定的认证机构出具的、处于有效期之内的节能产品认证证书，否则其</w:t>
      </w:r>
      <w:r>
        <w:rPr>
          <w:rFonts w:hint="eastAsia" w:cs="宋体" w:asciiTheme="minorEastAsia" w:hAnsiTheme="minorEastAsia" w:eastAsiaTheme="minorEastAsia"/>
          <w:b/>
          <w:kern w:val="0"/>
          <w:szCs w:val="21"/>
        </w:rPr>
        <w:t>投标无效</w:t>
      </w:r>
      <w:r>
        <w:rPr>
          <w:rFonts w:hint="eastAsia" w:cs="宋体" w:asciiTheme="minorEastAsia" w:hAnsiTheme="minorEastAsia" w:eastAsiaTheme="minorEastAsia"/>
          <w:kern w:val="0"/>
        </w:rPr>
        <w:t>。</w:t>
      </w:r>
    </w:p>
    <w:p w14:paraId="2BA4040D">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32.3价格评审优惠：</w:t>
      </w:r>
    </w:p>
    <w:p w14:paraId="58DB2640">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（1）投标人为小型、微型企业，且提供本企业生产的货物或者提供其他小型、微型企业生产的货物，投标价格按</w:t>
      </w:r>
      <w:r>
        <w:rPr>
          <w:rFonts w:hint="eastAsia" w:asciiTheme="minorEastAsia" w:hAnsiTheme="minorEastAsia" w:eastAsiaTheme="minorEastAsia"/>
          <w:szCs w:val="21"/>
        </w:rPr>
        <w:t>招标文件第四章第一节有关规定</w:t>
      </w:r>
      <w:r>
        <w:rPr>
          <w:rFonts w:hint="eastAsia" w:asciiTheme="minorEastAsia" w:hAnsiTheme="minorEastAsia" w:eastAsiaTheme="minorEastAsia"/>
        </w:rPr>
        <w:t>给予一定比例的价格折扣，用扣除后的价格参与评审。本项所称货物不包括使用大型企业注册商标的货物；</w:t>
      </w:r>
    </w:p>
    <w:p w14:paraId="6430E27C">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（2）小型、微型企业参加联合体投标并在联合体协议中明确其在合同金额占联合体合同总金额 30%以上的，该联合体投标价格按</w:t>
      </w:r>
      <w:r>
        <w:rPr>
          <w:rFonts w:hint="eastAsia" w:asciiTheme="minorEastAsia" w:hAnsiTheme="minorEastAsia" w:eastAsiaTheme="minorEastAsia"/>
          <w:szCs w:val="21"/>
        </w:rPr>
        <w:t>招标文件第四章第一节有关规定</w:t>
      </w:r>
      <w:r>
        <w:rPr>
          <w:rFonts w:hint="eastAsia" w:asciiTheme="minorEastAsia" w:hAnsiTheme="minorEastAsia" w:eastAsiaTheme="minorEastAsia"/>
        </w:rPr>
        <w:t>给予一定比例的价格折扣，用扣除后的价格参与评审。联合体各方均为小型、微型企业的，联合体视同为小型、微型企业；</w:t>
      </w:r>
    </w:p>
    <w:p w14:paraId="33848D3A">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（3）监狱企业、残</w:t>
      </w:r>
      <w:r>
        <w:rPr>
          <w:rFonts w:hint="eastAsia" w:asciiTheme="minorEastAsia" w:hAnsiTheme="minorEastAsia" w:eastAsiaTheme="minorEastAsia"/>
          <w:szCs w:val="21"/>
        </w:rPr>
        <w:t>疾人福利性单位视同小型、微型企业，享受评审中价格扣除等促进中小企业发展的政府采购政策。</w:t>
      </w:r>
    </w:p>
    <w:p w14:paraId="0996A0A3">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32.4政府采购政策交叉与叠加</w:t>
      </w:r>
    </w:p>
    <w:p w14:paraId="764D5479">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（1）投标产品取得两个及以上优先采购产品认证的，评审时只有其中一项产品能享受优先采购优惠（投标人自行选择，并在投标文件中并填报相关信息及数据）</w:t>
      </w:r>
    </w:p>
    <w:p w14:paraId="677DC346">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（2）投标人同时符合小型、微型企业及监狱企业、残疾人福利性单位要求的，评审时只有一种类型享受价格评审优惠政策；</w:t>
      </w:r>
    </w:p>
    <w:p w14:paraId="7D891993">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（3）小型和微型企业的价格评审优惠可以与同时属于“节能产品”、“环境标志产品”中的一项优先采购优惠累加计算。</w:t>
      </w:r>
    </w:p>
    <w:p w14:paraId="771B4944">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32.5小型、微型企业的投标人提供部分小型、微型企业制造的产品，以及部分投标产品属于优先采购的，评审时只对该部分产品的报价实行价格扣除及加分。投标人应按本章第33.6款规定提供相关证明资料（包括提供相关报价）。</w:t>
      </w:r>
    </w:p>
    <w:p w14:paraId="141F0A1C">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32.6投标人符合本章第32.1款、第32.2款、第32.3款规定的，应提供相关证明资料。</w:t>
      </w:r>
    </w:p>
    <w:p w14:paraId="1CA2EBE8">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（1）节能产品、环境标志产品：提供国家确定的认证机构出具的、处于有效期之内的节能产品、环境标志产品认证证书（复印件）。</w:t>
      </w:r>
    </w:p>
    <w:p w14:paraId="62BB8072">
      <w:pPr>
        <w:adjustRightInd w:val="0"/>
        <w:snapToGrid w:val="0"/>
        <w:spacing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w:t>
      </w:r>
      <w:r>
        <w:rPr>
          <w:rFonts w:hint="eastAsia" w:ascii="宋体" w:hAnsi="宋体" w:eastAsia="宋体"/>
        </w:rPr>
        <w:t>中小企业：按</w:t>
      </w:r>
      <w:r>
        <w:rPr>
          <w:rFonts w:hint="eastAsia" w:ascii="宋体" w:hAnsi="宋体" w:cs="宋体"/>
          <w:kern w:val="0"/>
          <w:szCs w:val="21"/>
        </w:rPr>
        <w:t>《政府采购促进中小企业发展管理办法》（财库﹝2020﹞46 号）</w:t>
      </w:r>
      <w:r>
        <w:rPr>
          <w:rFonts w:hint="eastAsia" w:ascii="宋体" w:hAnsi="宋体" w:eastAsia="宋体"/>
        </w:rPr>
        <w:t>规定，投标人提供《</w:t>
      </w:r>
      <w:r>
        <w:rPr>
          <w:rFonts w:hint="eastAsia" w:ascii="宋体" w:hAnsi="宋体" w:eastAsia="宋体"/>
          <w:lang w:eastAsia="zh-CN"/>
        </w:rPr>
        <w:t>中小</w:t>
      </w:r>
      <w:r>
        <w:rPr>
          <w:rFonts w:hint="eastAsia" w:ascii="宋体" w:hAnsi="宋体" w:eastAsia="宋体"/>
        </w:rPr>
        <w:t>企业声明函》（格式）。</w:t>
      </w:r>
    </w:p>
    <w:p w14:paraId="7776C345">
      <w:pPr>
        <w:adjustRightInd w:val="0"/>
        <w:snapToGrid w:val="0"/>
        <w:spacing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（3）监狱企业：按《关于政府采购支持监狱企业发展有关问题的通知》(财库〔2014〕68号)文件规定提供证明文件（复印件）。</w:t>
      </w:r>
    </w:p>
    <w:p w14:paraId="365FE010">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（4）残疾人福利性单位：按《关于促进残疾人就业政府采购政策的通知》(财库〔2017〕141号)文件规定提供《残疾人福利性单位声明函》（格式）。</w:t>
      </w:r>
    </w:p>
    <w:p w14:paraId="01FA3A18">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32.7投标人有融资、担保需求的，可登陆中国湖南政府采购网查询相关银行、担保机构业务。</w:t>
      </w:r>
    </w:p>
    <w:p w14:paraId="02028C32">
      <w:pPr>
        <w:pStyle w:val="4"/>
        <w:adjustRightInd w:val="0"/>
        <w:snapToGrid w:val="0"/>
        <w:spacing w:beforeLines="50" w:after="0" w:line="360" w:lineRule="auto"/>
        <w:jc w:val="center"/>
        <w:rPr>
          <w:rFonts w:ascii="黑体" w:hAnsi="黑体" w:eastAsia="黑体"/>
          <w:sz w:val="28"/>
          <w:szCs w:val="28"/>
        </w:rPr>
      </w:pPr>
      <w:bookmarkStart w:id="12" w:name="_Toc29913905"/>
      <w:r>
        <w:rPr>
          <w:rFonts w:hint="eastAsia" w:ascii="黑体" w:hAnsi="黑体" w:eastAsia="黑体"/>
          <w:sz w:val="28"/>
          <w:szCs w:val="28"/>
        </w:rPr>
        <w:t>九、其他规定</w:t>
      </w:r>
      <w:bookmarkEnd w:id="12"/>
    </w:p>
    <w:p w14:paraId="6934D363">
      <w:pPr>
        <w:adjustRightInd w:val="0"/>
        <w:snapToGrid w:val="0"/>
        <w:spacing w:beforeLines="50" w:line="360" w:lineRule="auto"/>
        <w:jc w:val="left"/>
        <w:rPr>
          <w:rFonts w:asciiTheme="minorEastAsia" w:hAnsiTheme="minorEastAsia" w:eastAsiaTheme="minorEastAsia"/>
          <w:b/>
          <w:sz w:val="24"/>
        </w:rPr>
      </w:pPr>
      <w:r>
        <w:rPr>
          <w:rFonts w:hint="eastAsia" w:asciiTheme="minorEastAsia" w:hAnsiTheme="minorEastAsia" w:eastAsiaTheme="minorEastAsia"/>
          <w:b/>
          <w:bCs/>
          <w:sz w:val="24"/>
        </w:rPr>
        <w:t>33.</w:t>
      </w:r>
      <w:r>
        <w:rPr>
          <w:rFonts w:hint="eastAsia" w:asciiTheme="minorEastAsia" w:hAnsiTheme="minorEastAsia" w:eastAsiaTheme="minorEastAsia"/>
          <w:b/>
          <w:sz w:val="24"/>
        </w:rPr>
        <w:t>招标不足三家处理</w:t>
      </w:r>
    </w:p>
    <w:p w14:paraId="412F2D9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33.1公开招标数额标准以上的采购项目，投标截止后投标人不足3家或者通过资格审查或符合性审查的投标人不足3家的，除采购任务取消情形外，按照以下方式处理：</w:t>
      </w:r>
    </w:p>
    <w:p w14:paraId="0DD35E5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（1）招标文件存在不合理条款或者招标程序不符合规定的，采购人、采购代理机构改正后依法重新招标；</w:t>
      </w:r>
    </w:p>
    <w:p w14:paraId="3FDA0B6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（2）招标文件没有不合理条款、招标程序符合规定，需要采用其他采购方式采购的，采购人应当依法报财政部门批准。</w:t>
      </w:r>
    </w:p>
    <w:p w14:paraId="2C41D14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33.2属上款第（2）项情形的，评标委员会应出具的招标文件没有不合理条款的论证意见。</w:t>
      </w:r>
    </w:p>
    <w:p w14:paraId="3ECE373F">
      <w:pPr>
        <w:adjustRightInd w:val="0"/>
        <w:snapToGrid w:val="0"/>
        <w:spacing w:beforeLines="50" w:line="360" w:lineRule="auto"/>
        <w:jc w:val="left"/>
        <w:rPr>
          <w:rFonts w:asciiTheme="minorEastAsia" w:hAnsiTheme="minorEastAsia" w:eastAsiaTheme="minorEastAsia"/>
          <w:b/>
          <w:sz w:val="24"/>
        </w:rPr>
      </w:pPr>
      <w:r>
        <w:rPr>
          <w:rFonts w:hint="eastAsia" w:asciiTheme="minorEastAsia" w:hAnsiTheme="minorEastAsia" w:eastAsiaTheme="minorEastAsia"/>
          <w:b/>
          <w:bCs/>
          <w:sz w:val="24"/>
        </w:rPr>
        <w:t>34.</w:t>
      </w:r>
      <w:r>
        <w:rPr>
          <w:rFonts w:hint="eastAsia" w:asciiTheme="minorEastAsia" w:hAnsiTheme="minorEastAsia" w:eastAsiaTheme="minorEastAsia"/>
          <w:b/>
          <w:sz w:val="24"/>
        </w:rPr>
        <w:t xml:space="preserve"> 招标代理服务费</w:t>
      </w:r>
    </w:p>
    <w:p w14:paraId="3BF32AF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34.1招标代理服务费由采购人支付的，采购人应按</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规定向采购代理机构支付招标代理服务费。</w:t>
      </w:r>
    </w:p>
    <w:p w14:paraId="5CEA0FDA">
      <w:pPr>
        <w:adjustRightInd w:val="0"/>
        <w:snapToGrid w:val="0"/>
        <w:spacing w:beforeLines="50" w:line="360" w:lineRule="auto"/>
        <w:jc w:val="left"/>
        <w:rPr>
          <w:rFonts w:asciiTheme="minorEastAsia" w:hAnsiTheme="minorEastAsia" w:eastAsiaTheme="minorEastAsia"/>
          <w:b/>
          <w:sz w:val="24"/>
        </w:rPr>
      </w:pPr>
      <w:r>
        <w:rPr>
          <w:rFonts w:hint="eastAsia" w:cs="宋体" w:asciiTheme="minorEastAsia" w:hAnsiTheme="minorEastAsia" w:eastAsiaTheme="minorEastAsia"/>
          <w:b/>
          <w:kern w:val="0"/>
          <w:sz w:val="24"/>
        </w:rPr>
        <w:t>35.</w:t>
      </w:r>
      <w:r>
        <w:rPr>
          <w:rFonts w:hint="eastAsia" w:asciiTheme="minorEastAsia" w:hAnsiTheme="minorEastAsia" w:eastAsiaTheme="minorEastAsia"/>
          <w:b/>
          <w:sz w:val="24"/>
        </w:rPr>
        <w:t xml:space="preserve"> 需要补充的其他内容</w:t>
      </w:r>
    </w:p>
    <w:p w14:paraId="47F7F7F8">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rPr>
        <w:t>35.1招标文件需要补充的其</w:t>
      </w:r>
      <w:r>
        <w:rPr>
          <w:rFonts w:hint="eastAsia" w:asciiTheme="minorEastAsia" w:hAnsiTheme="minorEastAsia" w:eastAsiaTheme="minorEastAsia"/>
          <w:szCs w:val="21"/>
        </w:rPr>
        <w:t>他内容见</w:t>
      </w:r>
      <w:r>
        <w:rPr>
          <w:rFonts w:hint="eastAsia" w:asciiTheme="minorEastAsia" w:hAnsiTheme="minorEastAsia" w:eastAsiaTheme="minorEastAsia"/>
          <w:b/>
          <w:szCs w:val="21"/>
        </w:rPr>
        <w:t>【投标须知前附表】</w:t>
      </w:r>
      <w:r>
        <w:rPr>
          <w:rFonts w:hint="eastAsia" w:asciiTheme="minorEastAsia" w:hAnsiTheme="minorEastAsia" w:eastAsiaTheme="minorEastAsia"/>
          <w:szCs w:val="21"/>
        </w:rPr>
        <w:t>。</w:t>
      </w:r>
    </w:p>
    <w:p w14:paraId="1023D4F8">
      <w:pPr>
        <w:pStyle w:val="21"/>
        <w:adjustRightInd w:val="0"/>
        <w:snapToGrid w:val="0"/>
        <w:spacing w:line="360" w:lineRule="auto"/>
        <w:jc w:val="center"/>
        <w:outlineLvl w:val="0"/>
        <w:rPr>
          <w:rFonts w:ascii="黑体" w:hAnsi="华文中宋" w:eastAsia="黑体"/>
          <w:bCs/>
          <w:w w:val="90"/>
          <w:sz w:val="32"/>
          <w:szCs w:val="32"/>
        </w:rPr>
      </w:pPr>
      <w:r>
        <w:rPr>
          <w:rFonts w:hAnsi="宋体"/>
        </w:rPr>
        <w:br w:type="page"/>
      </w:r>
    </w:p>
    <w:p w14:paraId="0C4CDA11">
      <w:pPr>
        <w:pStyle w:val="2"/>
        <w:rPr>
          <w:rFonts w:hint="eastAsia" w:ascii="方正小标宋简体" w:hAnsi="方正小标宋简体" w:eastAsia="方正小标宋简体" w:cs="方正小标宋简体"/>
          <w:b/>
          <w:bCs/>
          <w:sz w:val="36"/>
          <w:szCs w:val="36"/>
        </w:rPr>
      </w:pPr>
      <w:bookmarkStart w:id="13" w:name="_Toc29913906"/>
      <w:r>
        <w:rPr>
          <w:rFonts w:hint="eastAsia" w:ascii="方正小标宋简体" w:hAnsi="方正小标宋简体" w:eastAsia="方正小标宋简体" w:cs="方正小标宋简体"/>
          <w:b/>
          <w:bCs/>
          <w:sz w:val="36"/>
          <w:szCs w:val="36"/>
        </w:rPr>
        <w:t>第三章 资格审查</w:t>
      </w:r>
      <w:bookmarkEnd w:id="13"/>
    </w:p>
    <w:p w14:paraId="5F6B5D34">
      <w:pPr>
        <w:pStyle w:val="4"/>
        <w:adjustRightInd w:val="0"/>
        <w:snapToGrid w:val="0"/>
        <w:spacing w:beforeLines="50" w:after="0" w:line="360" w:lineRule="auto"/>
        <w:rPr>
          <w:rFonts w:ascii="黑体" w:hAnsi="黑体" w:eastAsia="黑体"/>
          <w:sz w:val="24"/>
          <w:szCs w:val="24"/>
        </w:rPr>
      </w:pPr>
      <w:bookmarkStart w:id="14" w:name="_Toc29913907"/>
      <w:r>
        <w:rPr>
          <w:rFonts w:hint="eastAsia" w:ascii="黑体" w:hAnsi="黑体" w:eastAsia="黑体"/>
          <w:sz w:val="24"/>
          <w:szCs w:val="24"/>
        </w:rPr>
        <w:t>1．资格审查主体</w:t>
      </w:r>
      <w:bookmarkEnd w:id="14"/>
    </w:p>
    <w:p w14:paraId="46297AA2">
      <w:pPr>
        <w:adjustRightInd w:val="0"/>
        <w:snapToGrid w:val="0"/>
        <w:spacing w:beforeLines="50" w:line="360" w:lineRule="auto"/>
        <w:ind w:firstLine="417" w:firstLineChars="199"/>
        <w:jc w:val="left"/>
        <w:rPr>
          <w:rFonts w:asciiTheme="minorEastAsia" w:hAnsiTheme="minorEastAsia" w:eastAsiaTheme="minorEastAsia"/>
          <w:szCs w:val="21"/>
        </w:rPr>
      </w:pPr>
      <w:r>
        <w:rPr>
          <w:rFonts w:hint="eastAsia" w:asciiTheme="minorEastAsia" w:hAnsiTheme="minorEastAsia" w:eastAsiaTheme="minorEastAsia"/>
          <w:szCs w:val="21"/>
        </w:rPr>
        <w:t>1.1资格审查主体：采购人、采购代理机构负责资格审查。</w:t>
      </w:r>
    </w:p>
    <w:p w14:paraId="38F1604F">
      <w:pPr>
        <w:pStyle w:val="4"/>
        <w:adjustRightInd w:val="0"/>
        <w:snapToGrid w:val="0"/>
        <w:spacing w:beforeLines="50" w:after="0" w:line="360" w:lineRule="auto"/>
        <w:rPr>
          <w:rFonts w:ascii="黑体" w:hAnsi="黑体" w:eastAsia="黑体"/>
          <w:sz w:val="24"/>
          <w:szCs w:val="24"/>
        </w:rPr>
      </w:pPr>
      <w:bookmarkStart w:id="15" w:name="_Toc29913908"/>
      <w:r>
        <w:rPr>
          <w:rFonts w:hint="eastAsia" w:ascii="黑体" w:hAnsi="黑体" w:eastAsia="黑体"/>
          <w:sz w:val="24"/>
          <w:szCs w:val="24"/>
        </w:rPr>
        <w:t>2．资格审查</w:t>
      </w:r>
      <w:bookmarkEnd w:id="15"/>
    </w:p>
    <w:p w14:paraId="58E1DE0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2.1资格审查依据法律法规和招标文件的规定，对投标文件中的资格证明文件、投标保证金、投标报价等进行审查，以确定投标供应商是否具备投标资格。</w:t>
      </w:r>
    </w:p>
    <w:p w14:paraId="0E69C25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2.2在资格审查时，投标人存在下列情况之一的，资格审查不合格，其投标无效：</w:t>
      </w:r>
    </w:p>
    <w:p w14:paraId="7FA496F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（1）不具备招标文件中规定的资格要求的，或提交的资格证明文件不符合招标文件要求的；</w:t>
      </w:r>
    </w:p>
    <w:p w14:paraId="38FDB6D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（2）联合体投标未提交联合体协议书，或未提交联合体各方资格证明文件的；</w:t>
      </w:r>
    </w:p>
    <w:p w14:paraId="12DEB71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（3）投标文件的资格证明文件未按照招标文件要求进行电子签名、盖章的；</w:t>
      </w:r>
    </w:p>
    <w:p w14:paraId="25BF3488">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（4）未按照招标文件的规定提交投标保证金的。</w:t>
      </w:r>
    </w:p>
    <w:p w14:paraId="5057F85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（5）投标报价超过招标文件中规定的预算金额或者最高限价的；</w:t>
      </w:r>
    </w:p>
    <w:p w14:paraId="60146D3B">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（6）法律、法规和招标文件规定的其他投标无效情形的。</w:t>
      </w:r>
    </w:p>
    <w:p w14:paraId="1F5BE6DB">
      <w:pPr>
        <w:adjustRightInd w:val="0"/>
        <w:snapToGrid w:val="0"/>
        <w:spacing w:beforeLines="50" w:line="360" w:lineRule="auto"/>
        <w:ind w:firstLine="420" w:firstLineChars="200"/>
        <w:jc w:val="left"/>
        <w:rPr>
          <w:rFonts w:asciiTheme="minorEastAsia" w:hAnsiTheme="minorEastAsia" w:eastAsiaTheme="minorEastAsia"/>
          <w:b/>
          <w:sz w:val="32"/>
          <w:szCs w:val="32"/>
        </w:rPr>
      </w:pPr>
      <w:r>
        <w:rPr>
          <w:rFonts w:hint="eastAsia" w:asciiTheme="minorEastAsia" w:hAnsiTheme="minorEastAsia" w:eastAsiaTheme="minorEastAsia"/>
        </w:rPr>
        <w:t>2.3信用记录。开标结束后</w:t>
      </w:r>
      <w:r>
        <w:rPr>
          <w:rFonts w:hint="eastAsia" w:asciiTheme="minorEastAsia" w:hAnsiTheme="minorEastAsia" w:eastAsiaTheme="minorEastAsia"/>
          <w:szCs w:val="21"/>
        </w:rPr>
        <w:t>资格审查时，采购人、采购代理机构将对投标人信用记录进行甄别。</w:t>
      </w:r>
    </w:p>
    <w:p w14:paraId="2177E68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（1）信用信息查询的查询渠道：信用中国网（www.creditchina.gov.cn）、中国政府采购网（www.ccgp.gov.cn）；</w:t>
      </w:r>
    </w:p>
    <w:p w14:paraId="672C4431">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6B33C50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（3）联合体形式投标的，联合体成员存在不良信用记录的，视同联合体存在不良信用记录。</w:t>
      </w:r>
    </w:p>
    <w:p w14:paraId="6D31C4D6">
      <w:pPr>
        <w:adjustRightInd w:val="0"/>
        <w:snapToGrid w:val="0"/>
        <w:spacing w:beforeLines="50" w:line="360" w:lineRule="auto"/>
        <w:ind w:firstLine="420" w:firstLineChars="200"/>
        <w:jc w:val="left"/>
        <w:rPr>
          <w:rFonts w:asciiTheme="minorEastAsia" w:hAnsiTheme="minorEastAsia" w:eastAsiaTheme="minorEastAsia"/>
          <w:color w:val="FF0000"/>
          <w:szCs w:val="21"/>
        </w:rPr>
      </w:pPr>
      <w:r>
        <w:rPr>
          <w:rFonts w:hint="eastAsia" w:asciiTheme="minorEastAsia" w:hAnsiTheme="minorEastAsia" w:eastAsiaTheme="minorEastAsia"/>
          <w:szCs w:val="21"/>
        </w:rPr>
        <w:t>（4）信用信息查询记录和证据留存具体方式：</w:t>
      </w:r>
      <w:r>
        <w:rPr>
          <w:rFonts w:hint="eastAsia" w:ascii="宋体" w:hAnsi="宋体"/>
          <w:szCs w:val="21"/>
        </w:rPr>
        <w:t>采购人、采购代理机构</w:t>
      </w:r>
      <w:r>
        <w:rPr>
          <w:rFonts w:ascii="宋体" w:hAnsi="宋体"/>
          <w:szCs w:val="21"/>
        </w:rPr>
        <w:t>经办人将查询网页</w:t>
      </w:r>
      <w:r>
        <w:rPr>
          <w:rFonts w:hint="eastAsia" w:ascii="宋体" w:hAnsi="宋体"/>
          <w:szCs w:val="21"/>
        </w:rPr>
        <w:t>截图、</w:t>
      </w:r>
      <w:r>
        <w:rPr>
          <w:rFonts w:ascii="宋体" w:hAnsi="宋体"/>
          <w:szCs w:val="21"/>
        </w:rPr>
        <w:t>打印、签字</w:t>
      </w:r>
      <w:r>
        <w:rPr>
          <w:rFonts w:hint="eastAsia" w:ascii="宋体" w:hAnsi="宋体"/>
          <w:szCs w:val="21"/>
        </w:rPr>
        <w:t>，作为查询记录和证据，与其他采购文件一并保存。</w:t>
      </w:r>
      <w:r>
        <w:rPr>
          <w:rFonts w:ascii="宋体" w:hAnsi="宋体"/>
          <w:szCs w:val="21"/>
        </w:rPr>
        <w:t>投标人不良信用记录以</w:t>
      </w:r>
      <w:r>
        <w:rPr>
          <w:rFonts w:hint="eastAsia" w:ascii="宋体" w:hAnsi="宋体"/>
          <w:szCs w:val="21"/>
        </w:rPr>
        <w:t>采购人、采购代理机构</w:t>
      </w:r>
      <w:r>
        <w:rPr>
          <w:rFonts w:ascii="宋体" w:hAnsi="宋体"/>
          <w:szCs w:val="21"/>
        </w:rPr>
        <w:t>查询结果为准</w:t>
      </w:r>
      <w:r>
        <w:rPr>
          <w:rFonts w:hint="eastAsia" w:ascii="宋体" w:hAnsi="宋体"/>
          <w:szCs w:val="21"/>
        </w:rPr>
        <w:t>。</w:t>
      </w:r>
    </w:p>
    <w:p w14:paraId="62C6FFC5">
      <w:pPr>
        <w:pStyle w:val="4"/>
        <w:adjustRightInd w:val="0"/>
        <w:snapToGrid w:val="0"/>
        <w:spacing w:beforeLines="50" w:after="0" w:line="360" w:lineRule="auto"/>
        <w:rPr>
          <w:rFonts w:ascii="黑体" w:hAnsi="黑体" w:eastAsia="黑体"/>
          <w:sz w:val="24"/>
          <w:szCs w:val="24"/>
        </w:rPr>
      </w:pPr>
      <w:bookmarkStart w:id="16" w:name="_Toc29913909"/>
      <w:r>
        <w:rPr>
          <w:rFonts w:hint="eastAsia" w:ascii="黑体" w:hAnsi="黑体" w:eastAsia="黑体"/>
          <w:sz w:val="24"/>
          <w:szCs w:val="24"/>
        </w:rPr>
        <w:t>3．资格审查结果</w:t>
      </w:r>
      <w:bookmarkEnd w:id="16"/>
    </w:p>
    <w:p w14:paraId="1D42025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3.1未通过资格审查的投标人，采购人、采购代理机构应当告知其未通过的原因。</w:t>
      </w:r>
    </w:p>
    <w:p w14:paraId="1A04D44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3.2资格审查结束后，采购人、采购代理机构应将资格审查结果告知评标委员会。</w:t>
      </w:r>
    </w:p>
    <w:p w14:paraId="7AE6F30B">
      <w:pPr>
        <w:adjustRightInd w:val="0"/>
        <w:snapToGrid w:val="0"/>
        <w:spacing w:beforeLines="50" w:line="360" w:lineRule="auto"/>
        <w:ind w:firstLine="420" w:firstLineChars="200"/>
        <w:jc w:val="left"/>
        <w:rPr>
          <w:rFonts w:ascii="华文中宋" w:hAnsi="华文中宋" w:eastAsia="华文中宋"/>
          <w:b/>
          <w:bCs/>
          <w:sz w:val="32"/>
        </w:rPr>
      </w:pPr>
      <w:r>
        <w:rPr>
          <w:rFonts w:ascii="华文中宋" w:hAnsi="华文中宋" w:eastAsia="华文中宋"/>
        </w:rPr>
        <w:br w:type="page"/>
      </w:r>
    </w:p>
    <w:p w14:paraId="0DC016EC">
      <w:pPr>
        <w:pStyle w:val="21"/>
        <w:adjustRightInd w:val="0"/>
        <w:snapToGrid w:val="0"/>
        <w:spacing w:line="360" w:lineRule="auto"/>
        <w:jc w:val="center"/>
        <w:outlineLvl w:val="0"/>
        <w:rPr>
          <w:rFonts w:hint="eastAsia" w:ascii="方正小标宋简体" w:hAnsi="方正小标宋简体" w:eastAsia="方正小标宋简体" w:cs="方正小标宋简体"/>
          <w:b w:val="0"/>
          <w:bCs/>
          <w:sz w:val="36"/>
          <w:szCs w:val="36"/>
        </w:rPr>
      </w:pPr>
      <w:bookmarkStart w:id="17" w:name="_Toc29913910"/>
      <w:r>
        <w:rPr>
          <w:rFonts w:hint="eastAsia" w:ascii="方正小标宋简体" w:hAnsi="方正小标宋简体" w:eastAsia="方正小标宋简体" w:cs="方正小标宋简体"/>
          <w:b/>
          <w:bCs w:val="0"/>
          <w:sz w:val="36"/>
          <w:szCs w:val="36"/>
        </w:rPr>
        <w:t>第四章 评标方法及标准（综合评分法）</w:t>
      </w:r>
      <w:bookmarkEnd w:id="17"/>
    </w:p>
    <w:p w14:paraId="185306BA">
      <w:pPr>
        <w:pStyle w:val="3"/>
        <w:adjustRightInd w:val="0"/>
        <w:snapToGrid w:val="0"/>
        <w:jc w:val="center"/>
        <w:rPr>
          <w:rFonts w:ascii="黑体" w:hAnsi="华文中宋" w:eastAsia="黑体"/>
          <w:sz w:val="28"/>
          <w:szCs w:val="28"/>
        </w:rPr>
      </w:pPr>
      <w:bookmarkStart w:id="18" w:name="_Toc29913911"/>
      <w:r>
        <w:rPr>
          <w:rFonts w:hint="eastAsia" w:ascii="方正小标宋简体" w:hAnsi="方正小标宋简体" w:eastAsia="方正小标宋简体" w:cs="方正小标宋简体"/>
          <w:sz w:val="32"/>
          <w:szCs w:val="32"/>
        </w:rPr>
        <w:t>第一节 评标方法及标准前附表</w:t>
      </w:r>
      <w:bookmarkEnd w:id="18"/>
    </w:p>
    <w:tbl>
      <w:tblPr>
        <w:tblStyle w:val="41"/>
        <w:tblW w:w="887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17"/>
        <w:gridCol w:w="716"/>
        <w:gridCol w:w="1578"/>
        <w:gridCol w:w="4867"/>
      </w:tblGrid>
      <w:tr w14:paraId="260B51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 w:hRule="atLeast"/>
        </w:trPr>
        <w:tc>
          <w:tcPr>
            <w:tcW w:w="1717" w:type="dxa"/>
            <w:tcBorders>
              <w:top w:val="double" w:color="auto" w:sz="4" w:space="0"/>
              <w:bottom w:val="single" w:color="auto" w:sz="6" w:space="0"/>
            </w:tcBorders>
          </w:tcPr>
          <w:p w14:paraId="2FC84F24">
            <w:pPr>
              <w:adjustRightInd w:val="0"/>
              <w:snapToGrid w:val="0"/>
              <w:spacing w:beforeLines="50" w:line="360" w:lineRule="auto"/>
              <w:jc w:val="center"/>
              <w:rPr>
                <w:b/>
              </w:rPr>
            </w:pPr>
            <w:r>
              <w:rPr>
                <w:rFonts w:hint="eastAsia"/>
                <w:b/>
              </w:rPr>
              <w:t>条款号</w:t>
            </w:r>
          </w:p>
        </w:tc>
        <w:tc>
          <w:tcPr>
            <w:tcW w:w="2294" w:type="dxa"/>
            <w:gridSpan w:val="2"/>
            <w:tcBorders>
              <w:top w:val="double" w:color="auto" w:sz="4" w:space="0"/>
              <w:bottom w:val="single" w:color="auto" w:sz="6" w:space="0"/>
            </w:tcBorders>
          </w:tcPr>
          <w:p w14:paraId="6A182D61">
            <w:pPr>
              <w:adjustRightInd w:val="0"/>
              <w:snapToGrid w:val="0"/>
              <w:spacing w:beforeLines="50" w:line="360" w:lineRule="auto"/>
              <w:jc w:val="center"/>
              <w:rPr>
                <w:b/>
              </w:rPr>
            </w:pPr>
            <w:r>
              <w:rPr>
                <w:rFonts w:hint="eastAsia"/>
                <w:b/>
              </w:rPr>
              <w:t>条款名称</w:t>
            </w:r>
          </w:p>
        </w:tc>
        <w:tc>
          <w:tcPr>
            <w:tcW w:w="4867" w:type="dxa"/>
            <w:tcBorders>
              <w:top w:val="double" w:color="auto" w:sz="4" w:space="0"/>
              <w:bottom w:val="single" w:color="auto" w:sz="6" w:space="0"/>
            </w:tcBorders>
          </w:tcPr>
          <w:p w14:paraId="14F90FAF">
            <w:pPr>
              <w:adjustRightInd w:val="0"/>
              <w:snapToGrid w:val="0"/>
              <w:spacing w:beforeLines="50" w:line="360" w:lineRule="auto"/>
              <w:jc w:val="center"/>
              <w:rPr>
                <w:b/>
              </w:rPr>
            </w:pPr>
            <w:r>
              <w:rPr>
                <w:rFonts w:hint="eastAsia"/>
                <w:b/>
              </w:rPr>
              <w:t>编列内容规定</w:t>
            </w:r>
          </w:p>
        </w:tc>
      </w:tr>
      <w:tr w14:paraId="6EA8C1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 w:hRule="atLeast"/>
        </w:trPr>
        <w:tc>
          <w:tcPr>
            <w:tcW w:w="1717" w:type="dxa"/>
            <w:tcBorders>
              <w:top w:val="single" w:color="auto" w:sz="6" w:space="0"/>
              <w:bottom w:val="single" w:color="auto" w:sz="6" w:space="0"/>
            </w:tcBorders>
            <w:vAlign w:val="center"/>
          </w:tcPr>
          <w:p w14:paraId="7777418C">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第1.3</w:t>
            </w:r>
            <w:r>
              <w:rPr>
                <w:rFonts w:hint="eastAsia" w:cs="宋体" w:asciiTheme="minorEastAsia" w:hAnsiTheme="minorEastAsia" w:eastAsiaTheme="minorEastAsia"/>
                <w:kern w:val="0"/>
                <w:szCs w:val="21"/>
                <w:lang w:val="zh-CN"/>
              </w:rPr>
              <w:t>款</w:t>
            </w:r>
          </w:p>
        </w:tc>
        <w:tc>
          <w:tcPr>
            <w:tcW w:w="2294" w:type="dxa"/>
            <w:gridSpan w:val="2"/>
            <w:tcBorders>
              <w:top w:val="single" w:color="auto" w:sz="6" w:space="0"/>
              <w:bottom w:val="single" w:color="auto" w:sz="6" w:space="0"/>
            </w:tcBorders>
            <w:vAlign w:val="center"/>
          </w:tcPr>
          <w:p w14:paraId="42F90104">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评标方法</w:t>
            </w:r>
          </w:p>
        </w:tc>
        <w:tc>
          <w:tcPr>
            <w:tcW w:w="4867" w:type="dxa"/>
            <w:tcBorders>
              <w:top w:val="single" w:color="auto" w:sz="6" w:space="0"/>
              <w:bottom w:val="single" w:color="auto" w:sz="6" w:space="0"/>
            </w:tcBorders>
            <w:vAlign w:val="center"/>
          </w:tcPr>
          <w:p w14:paraId="7777FD33">
            <w:pPr>
              <w:adjustRightInd w:val="0"/>
              <w:snapToGrid w:val="0"/>
              <w:spacing w:beforeLines="50" w:line="360" w:lineRule="auto"/>
              <w:rPr>
                <w:rFonts w:asciiTheme="minorEastAsia" w:hAnsiTheme="minorEastAsia" w:eastAsiaTheme="minorEastAsia"/>
                <w:szCs w:val="21"/>
              </w:rPr>
            </w:pPr>
            <w:r>
              <w:rPr>
                <w:rFonts w:hint="eastAsia" w:asciiTheme="minorEastAsia" w:hAnsiTheme="minorEastAsia" w:eastAsiaTheme="minorEastAsia"/>
                <w:szCs w:val="21"/>
              </w:rPr>
              <w:t>综合评分法</w:t>
            </w:r>
          </w:p>
        </w:tc>
      </w:tr>
      <w:tr w14:paraId="3A9B8E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 w:hRule="atLeast"/>
        </w:trPr>
        <w:tc>
          <w:tcPr>
            <w:tcW w:w="1717" w:type="dxa"/>
            <w:tcBorders>
              <w:top w:val="single" w:color="auto" w:sz="6" w:space="0"/>
              <w:bottom w:val="single" w:color="auto" w:sz="6" w:space="0"/>
            </w:tcBorders>
            <w:vAlign w:val="center"/>
          </w:tcPr>
          <w:p w14:paraId="2836C827">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第3.4</w:t>
            </w:r>
            <w:r>
              <w:rPr>
                <w:rFonts w:hint="eastAsia" w:cs="宋体" w:asciiTheme="minorEastAsia" w:hAnsiTheme="minorEastAsia" w:eastAsiaTheme="minorEastAsia"/>
                <w:kern w:val="0"/>
                <w:szCs w:val="21"/>
                <w:lang w:val="zh-CN"/>
              </w:rPr>
              <w:t>款</w:t>
            </w:r>
          </w:p>
        </w:tc>
        <w:tc>
          <w:tcPr>
            <w:tcW w:w="2294" w:type="dxa"/>
            <w:gridSpan w:val="2"/>
            <w:tcBorders>
              <w:top w:val="single" w:color="auto" w:sz="6" w:space="0"/>
              <w:bottom w:val="single" w:color="auto" w:sz="6" w:space="0"/>
            </w:tcBorders>
            <w:vAlign w:val="center"/>
          </w:tcPr>
          <w:p w14:paraId="74328059">
            <w:pPr>
              <w:adjustRightInd w:val="0"/>
              <w:snapToGrid w:val="0"/>
              <w:spacing w:beforeLines="50"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非单一产品采购项目的核心产品</w:t>
            </w:r>
          </w:p>
        </w:tc>
        <w:tc>
          <w:tcPr>
            <w:tcW w:w="4867" w:type="dxa"/>
            <w:tcBorders>
              <w:top w:val="single" w:color="auto" w:sz="6" w:space="0"/>
              <w:bottom w:val="single" w:color="auto" w:sz="6" w:space="0"/>
            </w:tcBorders>
            <w:vAlign w:val="center"/>
          </w:tcPr>
          <w:p w14:paraId="557F81D3">
            <w:pPr>
              <w:adjustRightInd w:val="0"/>
              <w:snapToGrid w:val="0"/>
              <w:spacing w:beforeLines="50"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eastAsia="zh-CN"/>
              </w:rPr>
              <w:t>无</w:t>
            </w:r>
          </w:p>
        </w:tc>
      </w:tr>
      <w:tr w14:paraId="1D2EC2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 w:hRule="atLeast"/>
        </w:trPr>
        <w:tc>
          <w:tcPr>
            <w:tcW w:w="1717" w:type="dxa"/>
            <w:tcBorders>
              <w:top w:val="single" w:color="auto" w:sz="6" w:space="0"/>
              <w:bottom w:val="single" w:color="auto" w:sz="6" w:space="0"/>
            </w:tcBorders>
            <w:vAlign w:val="center"/>
          </w:tcPr>
          <w:p w14:paraId="20E8F42A">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第4.2</w:t>
            </w:r>
            <w:r>
              <w:rPr>
                <w:rFonts w:hint="eastAsia" w:cs="宋体" w:asciiTheme="minorEastAsia" w:hAnsiTheme="minorEastAsia" w:eastAsiaTheme="minorEastAsia"/>
                <w:kern w:val="0"/>
                <w:szCs w:val="21"/>
                <w:lang w:val="zh-CN"/>
              </w:rPr>
              <w:t>款</w:t>
            </w:r>
          </w:p>
        </w:tc>
        <w:tc>
          <w:tcPr>
            <w:tcW w:w="2294" w:type="dxa"/>
            <w:gridSpan w:val="2"/>
            <w:tcBorders>
              <w:top w:val="single" w:color="auto" w:sz="6" w:space="0"/>
              <w:bottom w:val="single" w:color="auto" w:sz="6" w:space="0"/>
            </w:tcBorders>
            <w:vAlign w:val="center"/>
          </w:tcPr>
          <w:p w14:paraId="5B052932">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投标文件报价出现前后不一致的修正</w:t>
            </w:r>
          </w:p>
        </w:tc>
        <w:tc>
          <w:tcPr>
            <w:tcW w:w="4867" w:type="dxa"/>
            <w:tcBorders>
              <w:top w:val="single" w:color="auto" w:sz="6" w:space="0"/>
              <w:bottom w:val="single" w:color="auto" w:sz="6" w:space="0"/>
            </w:tcBorders>
            <w:vAlign w:val="center"/>
          </w:tcPr>
          <w:p w14:paraId="78EFB819">
            <w:pPr>
              <w:adjustRightInd w:val="0"/>
              <w:snapToGrid w:val="0"/>
              <w:spacing w:line="420" w:lineRule="exact"/>
              <w:rPr>
                <w:szCs w:val="21"/>
              </w:rPr>
            </w:pPr>
            <w:r>
              <w:rPr>
                <w:rFonts w:hint="eastAsia" w:asciiTheme="minorEastAsia" w:hAnsiTheme="minorEastAsia" w:eastAsiaTheme="minorEastAsia"/>
                <w:szCs w:val="21"/>
              </w:rPr>
              <w:t>按本章第4.2款</w:t>
            </w:r>
          </w:p>
        </w:tc>
      </w:tr>
      <w:tr w14:paraId="3BC9EC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 w:hRule="atLeast"/>
        </w:trPr>
        <w:tc>
          <w:tcPr>
            <w:tcW w:w="1717" w:type="dxa"/>
            <w:tcBorders>
              <w:top w:val="single" w:color="auto" w:sz="6" w:space="0"/>
              <w:bottom w:val="single" w:color="auto" w:sz="6" w:space="0"/>
            </w:tcBorders>
            <w:vAlign w:val="center"/>
          </w:tcPr>
          <w:p w14:paraId="75705758">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第5.2</w:t>
            </w:r>
            <w:r>
              <w:rPr>
                <w:rFonts w:hint="eastAsia" w:cs="宋体" w:asciiTheme="minorEastAsia" w:hAnsiTheme="minorEastAsia" w:eastAsiaTheme="minorEastAsia"/>
                <w:kern w:val="0"/>
                <w:szCs w:val="21"/>
                <w:lang w:val="zh-CN"/>
              </w:rPr>
              <w:t>项</w:t>
            </w:r>
          </w:p>
        </w:tc>
        <w:tc>
          <w:tcPr>
            <w:tcW w:w="2294" w:type="dxa"/>
            <w:gridSpan w:val="2"/>
            <w:tcBorders>
              <w:top w:val="single" w:color="auto" w:sz="6" w:space="0"/>
              <w:bottom w:val="single" w:color="auto" w:sz="6" w:space="0"/>
            </w:tcBorders>
            <w:vAlign w:val="center"/>
          </w:tcPr>
          <w:p w14:paraId="233DDB2F">
            <w:pPr>
              <w:adjustRightInd w:val="0"/>
              <w:snapToGrid w:val="0"/>
              <w:spacing w:beforeLines="50"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相同品牌产品评审得分相同的规定</w:t>
            </w:r>
          </w:p>
        </w:tc>
        <w:tc>
          <w:tcPr>
            <w:tcW w:w="4867" w:type="dxa"/>
            <w:tcBorders>
              <w:top w:val="single" w:color="auto" w:sz="6" w:space="0"/>
              <w:bottom w:val="single" w:color="auto" w:sz="6" w:space="0"/>
            </w:tcBorders>
            <w:vAlign w:val="center"/>
          </w:tcPr>
          <w:p w14:paraId="5F7E739D">
            <w:pPr>
              <w:adjustRightInd w:val="0"/>
              <w:snapToGrid w:val="0"/>
              <w:spacing w:line="420" w:lineRule="exact"/>
              <w:rPr>
                <w:rFonts w:hint="eastAsia" w:eastAsia="宋体"/>
                <w:szCs w:val="21"/>
                <w:lang w:eastAsia="zh-CN"/>
              </w:rPr>
            </w:pPr>
            <w:r>
              <w:rPr>
                <w:rFonts w:hint="eastAsia" w:asciiTheme="minorEastAsia" w:hAnsiTheme="minorEastAsia" w:eastAsiaTheme="minorEastAsia"/>
                <w:bCs/>
                <w:szCs w:val="21"/>
                <w:lang w:eastAsia="zh-CN"/>
              </w:rPr>
              <w:t>本项目不适用</w:t>
            </w:r>
          </w:p>
        </w:tc>
      </w:tr>
      <w:tr w14:paraId="2D64F6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7" w:hRule="atLeast"/>
        </w:trPr>
        <w:tc>
          <w:tcPr>
            <w:tcW w:w="1717" w:type="dxa"/>
            <w:vMerge w:val="restart"/>
            <w:tcBorders>
              <w:top w:val="single" w:color="auto" w:sz="6" w:space="0"/>
            </w:tcBorders>
            <w:vAlign w:val="center"/>
          </w:tcPr>
          <w:p w14:paraId="2546DCD4">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第5.3（1）</w:t>
            </w:r>
            <w:r>
              <w:rPr>
                <w:rFonts w:hint="eastAsia" w:cs="宋体" w:asciiTheme="minorEastAsia" w:hAnsiTheme="minorEastAsia" w:eastAsiaTheme="minorEastAsia"/>
                <w:kern w:val="0"/>
                <w:szCs w:val="21"/>
                <w:lang w:val="zh-CN"/>
              </w:rPr>
              <w:t>项</w:t>
            </w:r>
          </w:p>
        </w:tc>
        <w:tc>
          <w:tcPr>
            <w:tcW w:w="716" w:type="dxa"/>
            <w:vMerge w:val="restart"/>
            <w:tcBorders>
              <w:top w:val="single" w:color="auto" w:sz="6" w:space="0"/>
              <w:right w:val="single" w:color="auto" w:sz="4" w:space="0"/>
            </w:tcBorders>
            <w:vAlign w:val="center"/>
          </w:tcPr>
          <w:p w14:paraId="08D83F06">
            <w:pPr>
              <w:adjustRightInd w:val="0"/>
              <w:snapToGrid w:val="0"/>
              <w:spacing w:beforeLines="50" w:line="360" w:lineRule="auto"/>
              <w:jc w:val="center"/>
              <w:rPr>
                <w:rFonts w:asciiTheme="minorEastAsia" w:hAnsiTheme="minorEastAsia" w:eastAsiaTheme="minorEastAsia"/>
                <w:bCs/>
                <w:szCs w:val="21"/>
              </w:rPr>
            </w:pPr>
            <w:r>
              <w:rPr>
                <w:rFonts w:hint="eastAsia" w:asciiTheme="minorEastAsia" w:hAnsiTheme="minorEastAsia" w:eastAsiaTheme="minorEastAsia"/>
                <w:szCs w:val="21"/>
              </w:rPr>
              <w:t>价格评审优惠</w:t>
            </w:r>
          </w:p>
        </w:tc>
        <w:tc>
          <w:tcPr>
            <w:tcW w:w="1578" w:type="dxa"/>
            <w:tcBorders>
              <w:top w:val="single" w:color="auto" w:sz="6" w:space="0"/>
              <w:left w:val="single" w:color="auto" w:sz="4" w:space="0"/>
              <w:bottom w:val="single" w:color="auto" w:sz="4" w:space="0"/>
            </w:tcBorders>
            <w:vAlign w:val="center"/>
          </w:tcPr>
          <w:p w14:paraId="1B8ED54B">
            <w:pPr>
              <w:spacing w:line="360" w:lineRule="atLeast"/>
              <w:rPr>
                <w:szCs w:val="21"/>
              </w:rPr>
            </w:pPr>
            <w:r>
              <w:rPr>
                <w:rFonts w:hint="eastAsia"/>
                <w:szCs w:val="21"/>
              </w:rPr>
              <w:t>扶持小、微企业</w:t>
            </w:r>
          </w:p>
        </w:tc>
        <w:tc>
          <w:tcPr>
            <w:tcW w:w="4867" w:type="dxa"/>
            <w:tcBorders>
              <w:top w:val="single" w:color="auto" w:sz="6" w:space="0"/>
              <w:bottom w:val="single" w:color="auto" w:sz="4" w:space="0"/>
            </w:tcBorders>
            <w:vAlign w:val="center"/>
          </w:tcPr>
          <w:p w14:paraId="7B4229BB">
            <w:pPr>
              <w:spacing w:line="360" w:lineRule="atLeast"/>
              <w:rPr>
                <w:rFonts w:ascii="宋体" w:hAnsi="宋体" w:cs="宋体"/>
                <w:szCs w:val="21"/>
              </w:rPr>
            </w:pPr>
            <w:r>
              <w:rPr>
                <w:rFonts w:ascii="宋体" w:hAnsi="宋体" w:cs="宋体"/>
                <w:szCs w:val="21"/>
              </w:rPr>
              <w:t>投标人如提供有小</w:t>
            </w:r>
            <w:r>
              <w:rPr>
                <w:rFonts w:hint="eastAsia" w:ascii="宋体" w:hAnsi="宋体" w:cs="宋体"/>
                <w:szCs w:val="21"/>
              </w:rPr>
              <w:t>、微</w:t>
            </w:r>
            <w:r>
              <w:rPr>
                <w:rFonts w:ascii="宋体" w:hAnsi="宋体" w:cs="宋体"/>
                <w:szCs w:val="21"/>
              </w:rPr>
              <w:t>企业产品，投标文件必</w:t>
            </w:r>
            <w:r>
              <w:rPr>
                <w:rFonts w:hint="eastAsia" w:ascii="宋体" w:hAnsi="宋体" w:cs="宋体"/>
                <w:szCs w:val="21"/>
              </w:rPr>
              <w:t>须</w:t>
            </w:r>
            <w:r>
              <w:rPr>
                <w:rFonts w:ascii="宋体" w:hAnsi="宋体" w:cs="宋体"/>
                <w:szCs w:val="21"/>
              </w:rPr>
              <w:t>按招标文件</w:t>
            </w:r>
            <w:r>
              <w:rPr>
                <w:rFonts w:hint="eastAsia" w:ascii="宋体" w:hAnsi="宋体" w:cs="宋体"/>
                <w:szCs w:val="21"/>
              </w:rPr>
              <w:t>要求提供“享受政府采购政策优惠的证明材料”</w:t>
            </w:r>
            <w:r>
              <w:rPr>
                <w:rFonts w:ascii="宋体" w:hAnsi="宋体" w:cs="宋体"/>
                <w:szCs w:val="21"/>
              </w:rPr>
              <w:t>，否则评审时不予以考虑</w:t>
            </w:r>
            <w:r>
              <w:rPr>
                <w:rFonts w:hint="eastAsia" w:ascii="宋体" w:hAnsi="宋体" w:cs="宋体"/>
                <w:szCs w:val="21"/>
              </w:rPr>
              <w:t>。</w:t>
            </w:r>
          </w:p>
          <w:p w14:paraId="49548E5F">
            <w:pPr>
              <w:spacing w:line="360" w:lineRule="atLeast"/>
              <w:rPr>
                <w:rFonts w:ascii="宋体" w:hAnsi="宋体" w:cs="宋体"/>
                <w:color w:val="000000"/>
                <w:szCs w:val="21"/>
              </w:rPr>
            </w:pPr>
            <w:r>
              <w:rPr>
                <w:rFonts w:hint="eastAsia" w:ascii="宋体" w:hAnsi="宋体" w:cs="宋体"/>
                <w:szCs w:val="21"/>
              </w:rPr>
              <w:t>1、</w:t>
            </w:r>
            <w:r>
              <w:rPr>
                <w:rFonts w:ascii="宋体" w:hAnsi="宋体" w:cs="宋体"/>
                <w:szCs w:val="21"/>
              </w:rPr>
              <w:t>给予小型和微型企业产品的价格给予</w:t>
            </w:r>
            <w:r>
              <w:rPr>
                <w:rFonts w:hint="eastAsia" w:ascii="宋体" w:hAnsi="宋体" w:cs="宋体"/>
                <w:szCs w:val="21"/>
              </w:rPr>
              <w:t>10</w:t>
            </w:r>
            <w:r>
              <w:rPr>
                <w:rFonts w:ascii="宋体" w:hAnsi="宋体" w:cs="宋体"/>
                <w:szCs w:val="21"/>
              </w:rPr>
              <w:t>%-</w:t>
            </w:r>
            <w:r>
              <w:rPr>
                <w:rFonts w:hint="eastAsia" w:ascii="宋体" w:hAnsi="宋体" w:cs="宋体"/>
                <w:szCs w:val="21"/>
              </w:rPr>
              <w:t>2</w:t>
            </w:r>
            <w:r>
              <w:rPr>
                <w:rFonts w:ascii="宋体" w:hAnsi="宋体" w:cs="宋体"/>
                <w:szCs w:val="21"/>
              </w:rPr>
              <w:t>0%的扣除，用扣除后的价格参与评审，本项目具体扣除比例为：</w:t>
            </w:r>
            <w:r>
              <w:rPr>
                <w:rFonts w:ascii="宋体" w:hAnsi="宋体" w:cs="宋体"/>
                <w:color w:val="000000"/>
                <w:szCs w:val="21"/>
              </w:rPr>
              <w:t>价格部分</w:t>
            </w:r>
            <w:r>
              <w:rPr>
                <w:rFonts w:hint="eastAsia" w:ascii="宋体" w:hAnsi="宋体" w:cs="宋体"/>
                <w:color w:val="000000"/>
                <w:szCs w:val="21"/>
                <w:u w:val="single"/>
              </w:rPr>
              <w:t>10</w:t>
            </w:r>
            <w:r>
              <w:rPr>
                <w:rFonts w:ascii="宋体" w:hAnsi="宋体" w:cs="宋体"/>
                <w:color w:val="000000"/>
                <w:szCs w:val="21"/>
              </w:rPr>
              <w:t>%</w:t>
            </w:r>
            <w:r>
              <w:rPr>
                <w:rFonts w:hint="eastAsia" w:ascii="宋体" w:hAnsi="宋体" w:cs="宋体"/>
                <w:color w:val="000000"/>
                <w:szCs w:val="21"/>
              </w:rPr>
              <w:t>。</w:t>
            </w:r>
          </w:p>
          <w:p w14:paraId="794CC8FE">
            <w:pPr>
              <w:spacing w:line="360" w:lineRule="atLeast"/>
              <w:rPr>
                <w:rFonts w:ascii="宋体" w:hAnsi="宋体" w:cs="宋体"/>
                <w:color w:val="000000"/>
                <w:szCs w:val="21"/>
              </w:rPr>
            </w:pPr>
            <w:r>
              <w:rPr>
                <w:rFonts w:hint="eastAsia" w:ascii="宋体" w:hAnsi="宋体" w:cs="宋体"/>
                <w:color w:val="000000"/>
                <w:szCs w:val="21"/>
              </w:rPr>
              <w:t>2、小型、微型企业参加联合体投标并在联合体协议中明确其在合同金额占联合体合同总金额 30%以上的，给予该联合体投标价格给予2%-3%的价格折扣，用扣除后的价格参与评审，本项目具体扣除比例为：价格部分</w:t>
            </w:r>
            <w:r>
              <w:rPr>
                <w:rFonts w:hint="eastAsia" w:ascii="宋体" w:hAnsi="宋体" w:cs="宋体"/>
                <w:color w:val="000000"/>
                <w:szCs w:val="21"/>
                <w:u w:val="single"/>
              </w:rPr>
              <w:t>2</w:t>
            </w:r>
            <w:r>
              <w:rPr>
                <w:rFonts w:hint="eastAsia" w:ascii="宋体" w:hAnsi="宋体" w:cs="宋体"/>
                <w:color w:val="000000"/>
                <w:szCs w:val="21"/>
              </w:rPr>
              <w:t>%。</w:t>
            </w:r>
          </w:p>
          <w:p w14:paraId="3F023636">
            <w:pPr>
              <w:spacing w:line="360" w:lineRule="atLeast"/>
              <w:rPr>
                <w:rFonts w:ascii="宋体" w:hAnsi="宋体" w:cs="宋体"/>
                <w:color w:val="000000"/>
                <w:szCs w:val="21"/>
              </w:rPr>
            </w:pPr>
            <w:r>
              <w:rPr>
                <w:rFonts w:hint="eastAsia" w:ascii="宋体" w:hAnsi="宋体" w:cs="宋体"/>
                <w:color w:val="000000"/>
                <w:szCs w:val="21"/>
              </w:rPr>
              <w:t>3、联合体各方均为小型、微型企业的，联合体视同为小型、微型企业，给予该联合体投标价格给予10%-20%的扣除，用扣除后的价格参与评审，本项目具体扣除比例为：价格部分</w:t>
            </w:r>
            <w:r>
              <w:rPr>
                <w:rFonts w:hint="eastAsia" w:ascii="宋体" w:hAnsi="宋体" w:cs="宋体"/>
                <w:color w:val="000000"/>
                <w:szCs w:val="21"/>
                <w:u w:val="single"/>
              </w:rPr>
              <w:t>10</w:t>
            </w:r>
            <w:r>
              <w:rPr>
                <w:rFonts w:hint="eastAsia" w:ascii="宋体" w:hAnsi="宋体" w:cs="宋体"/>
                <w:color w:val="000000"/>
                <w:szCs w:val="21"/>
              </w:rPr>
              <w:t>%。</w:t>
            </w:r>
          </w:p>
        </w:tc>
      </w:tr>
      <w:tr w14:paraId="65686B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1717" w:type="dxa"/>
            <w:vMerge w:val="continue"/>
            <w:tcBorders>
              <w:bottom w:val="single" w:color="auto" w:sz="6" w:space="0"/>
            </w:tcBorders>
            <w:vAlign w:val="center"/>
          </w:tcPr>
          <w:p w14:paraId="0CAD2425">
            <w:pPr>
              <w:adjustRightInd w:val="0"/>
              <w:snapToGrid w:val="0"/>
              <w:spacing w:beforeLines="50" w:line="360" w:lineRule="auto"/>
              <w:jc w:val="center"/>
              <w:rPr>
                <w:rFonts w:asciiTheme="minorEastAsia" w:hAnsiTheme="minorEastAsia" w:eastAsiaTheme="minorEastAsia"/>
                <w:szCs w:val="21"/>
              </w:rPr>
            </w:pPr>
          </w:p>
        </w:tc>
        <w:tc>
          <w:tcPr>
            <w:tcW w:w="716" w:type="dxa"/>
            <w:vMerge w:val="continue"/>
            <w:tcBorders>
              <w:bottom w:val="single" w:color="auto" w:sz="6" w:space="0"/>
              <w:right w:val="single" w:color="auto" w:sz="4" w:space="0"/>
            </w:tcBorders>
            <w:vAlign w:val="center"/>
          </w:tcPr>
          <w:p w14:paraId="0279C2B8">
            <w:pPr>
              <w:adjustRightInd w:val="0"/>
              <w:snapToGrid w:val="0"/>
              <w:spacing w:beforeLines="50" w:line="360" w:lineRule="auto"/>
              <w:jc w:val="center"/>
              <w:rPr>
                <w:rFonts w:asciiTheme="minorEastAsia" w:hAnsiTheme="minorEastAsia" w:eastAsiaTheme="minorEastAsia"/>
                <w:szCs w:val="21"/>
              </w:rPr>
            </w:pPr>
          </w:p>
        </w:tc>
        <w:tc>
          <w:tcPr>
            <w:tcW w:w="1578" w:type="dxa"/>
            <w:tcBorders>
              <w:top w:val="single" w:color="auto" w:sz="4" w:space="0"/>
              <w:left w:val="single" w:color="auto" w:sz="4" w:space="0"/>
              <w:bottom w:val="single" w:color="auto" w:sz="6" w:space="0"/>
            </w:tcBorders>
            <w:vAlign w:val="center"/>
          </w:tcPr>
          <w:p w14:paraId="63C6FEC4">
            <w:pPr>
              <w:spacing w:line="360" w:lineRule="atLeast"/>
              <w:rPr>
                <w:szCs w:val="21"/>
              </w:rPr>
            </w:pPr>
            <w:r>
              <w:rPr>
                <w:rFonts w:hint="eastAsia"/>
                <w:szCs w:val="21"/>
              </w:rPr>
              <w:t>监狱企业、残疾人福利性单位</w:t>
            </w:r>
          </w:p>
        </w:tc>
        <w:tc>
          <w:tcPr>
            <w:tcW w:w="4867" w:type="dxa"/>
            <w:tcBorders>
              <w:top w:val="single" w:color="auto" w:sz="4" w:space="0"/>
              <w:bottom w:val="single" w:color="auto" w:sz="6" w:space="0"/>
            </w:tcBorders>
            <w:vAlign w:val="center"/>
          </w:tcPr>
          <w:p w14:paraId="3D0C5BA4">
            <w:pPr>
              <w:spacing w:line="360" w:lineRule="atLeast"/>
              <w:rPr>
                <w:rFonts w:ascii="宋体" w:hAnsi="宋体" w:cs="宋体"/>
                <w:szCs w:val="21"/>
              </w:rPr>
            </w:pPr>
            <w:r>
              <w:rPr>
                <w:rFonts w:hint="eastAsia" w:ascii="宋体" w:hAnsi="宋体" w:cs="宋体"/>
                <w:szCs w:val="21"/>
              </w:rPr>
              <w:t>投标人如提供监狱企业、残疾人福利性单位生产的产品，投标文件必须按招标文件要求提供“享受政府采购政策优惠的证明材料”，否则评审时不予以考虑。</w:t>
            </w:r>
          </w:p>
          <w:p w14:paraId="32344FD3">
            <w:pPr>
              <w:spacing w:line="360" w:lineRule="atLeast"/>
              <w:rPr>
                <w:rFonts w:ascii="宋体" w:hAnsi="宋体" w:cs="宋体"/>
                <w:szCs w:val="21"/>
              </w:rPr>
            </w:pPr>
            <w:r>
              <w:rPr>
                <w:rFonts w:hint="eastAsia" w:ascii="宋体" w:hAnsi="宋体" w:cs="宋体"/>
                <w:szCs w:val="21"/>
              </w:rPr>
              <w:t>监狱企业、残疾人福利性单位生产的产品的价格给予6%-10%的扣除，用扣除后的价格参与评审，本项目具体扣除比例为：价格部分</w:t>
            </w:r>
            <w:r>
              <w:rPr>
                <w:rFonts w:hint="eastAsia" w:ascii="宋体" w:hAnsi="宋体" w:cs="宋体"/>
                <w:szCs w:val="21"/>
                <w:u w:val="single"/>
              </w:rPr>
              <w:t>6</w:t>
            </w:r>
            <w:r>
              <w:rPr>
                <w:rFonts w:hint="eastAsia" w:ascii="宋体" w:hAnsi="宋体" w:cs="宋体"/>
                <w:szCs w:val="21"/>
              </w:rPr>
              <w:t>%。</w:t>
            </w:r>
          </w:p>
        </w:tc>
      </w:tr>
      <w:tr w14:paraId="19646E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 w:hRule="atLeast"/>
        </w:trPr>
        <w:tc>
          <w:tcPr>
            <w:tcW w:w="1717" w:type="dxa"/>
            <w:tcBorders>
              <w:top w:val="single" w:color="auto" w:sz="6" w:space="0"/>
              <w:bottom w:val="single" w:color="auto" w:sz="6" w:space="0"/>
              <w:right w:val="single" w:color="auto" w:sz="6" w:space="0"/>
            </w:tcBorders>
            <w:vAlign w:val="center"/>
          </w:tcPr>
          <w:p w14:paraId="5EDCE441">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第5.3（2）</w:t>
            </w:r>
            <w:r>
              <w:rPr>
                <w:rFonts w:hint="eastAsia" w:cs="宋体" w:asciiTheme="minorEastAsia" w:hAnsiTheme="minorEastAsia" w:eastAsiaTheme="minorEastAsia"/>
                <w:kern w:val="0"/>
                <w:szCs w:val="21"/>
                <w:lang w:val="zh-CN"/>
              </w:rPr>
              <w:t>项</w:t>
            </w:r>
          </w:p>
        </w:tc>
        <w:tc>
          <w:tcPr>
            <w:tcW w:w="716" w:type="dxa"/>
            <w:tcBorders>
              <w:top w:val="single" w:color="auto" w:sz="6" w:space="0"/>
              <w:left w:val="single" w:color="auto" w:sz="6" w:space="0"/>
              <w:bottom w:val="single" w:color="auto" w:sz="6" w:space="0"/>
              <w:right w:val="single" w:color="auto" w:sz="6" w:space="0"/>
            </w:tcBorders>
            <w:vAlign w:val="center"/>
          </w:tcPr>
          <w:p w14:paraId="6C29EDC7">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优先采购</w:t>
            </w:r>
          </w:p>
        </w:tc>
        <w:tc>
          <w:tcPr>
            <w:tcW w:w="1578" w:type="dxa"/>
            <w:tcBorders>
              <w:top w:val="single" w:color="auto" w:sz="6" w:space="0"/>
              <w:left w:val="single" w:color="auto" w:sz="6" w:space="0"/>
              <w:right w:val="single" w:color="auto" w:sz="6" w:space="0"/>
            </w:tcBorders>
            <w:vAlign w:val="center"/>
          </w:tcPr>
          <w:p w14:paraId="6F847507">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节能产品或环境标志产品</w:t>
            </w:r>
          </w:p>
        </w:tc>
        <w:tc>
          <w:tcPr>
            <w:tcW w:w="4867" w:type="dxa"/>
            <w:tcBorders>
              <w:top w:val="single" w:color="auto" w:sz="6" w:space="0"/>
              <w:left w:val="single" w:color="auto" w:sz="6" w:space="0"/>
              <w:bottom w:val="single" w:color="auto" w:sz="6" w:space="0"/>
            </w:tcBorders>
            <w:vAlign w:val="center"/>
          </w:tcPr>
          <w:p w14:paraId="014AC013">
            <w:pPr>
              <w:spacing w:line="360" w:lineRule="atLeast"/>
              <w:rPr>
                <w:rFonts w:ascii="宋体" w:hAnsi="宋体"/>
                <w:szCs w:val="21"/>
              </w:rPr>
            </w:pPr>
            <w:r>
              <w:rPr>
                <w:rFonts w:hint="eastAsia" w:ascii="宋体" w:hAnsi="宋体" w:cs="宋体"/>
                <w:szCs w:val="21"/>
              </w:rPr>
              <w:t>投标</w:t>
            </w:r>
            <w:r>
              <w:rPr>
                <w:rFonts w:ascii="宋体" w:hAnsi="宋体" w:cs="宋体"/>
                <w:szCs w:val="21"/>
              </w:rPr>
              <w:t>产品为</w:t>
            </w:r>
            <w:r>
              <w:rPr>
                <w:rFonts w:hint="eastAsia" w:ascii="宋体" w:hAnsi="宋体" w:cs="宋体"/>
                <w:szCs w:val="21"/>
              </w:rPr>
              <w:t>《节能产品政府采购品目清单》非“★”产品、</w:t>
            </w:r>
            <w:r>
              <w:rPr>
                <w:rFonts w:ascii="宋体" w:hAnsi="宋体" w:cs="宋体"/>
                <w:szCs w:val="21"/>
              </w:rPr>
              <w:t>《环境标志产品政府采购</w:t>
            </w:r>
            <w:r>
              <w:rPr>
                <w:rFonts w:hint="eastAsia" w:ascii="宋体" w:hAnsi="宋体" w:cs="宋体"/>
                <w:szCs w:val="21"/>
              </w:rPr>
              <w:t>品目</w:t>
            </w:r>
            <w:r>
              <w:rPr>
                <w:rFonts w:ascii="宋体" w:hAnsi="宋体" w:cs="宋体"/>
                <w:szCs w:val="21"/>
              </w:rPr>
              <w:t>清单》</w:t>
            </w:r>
            <w:r>
              <w:rPr>
                <w:rFonts w:hint="eastAsia" w:ascii="宋体" w:hAnsi="宋体" w:cs="宋体"/>
                <w:szCs w:val="21"/>
              </w:rPr>
              <w:t>产品</w:t>
            </w:r>
            <w:r>
              <w:rPr>
                <w:rFonts w:ascii="宋体" w:hAnsi="宋体" w:cs="宋体"/>
                <w:szCs w:val="21"/>
              </w:rPr>
              <w:t>的</w:t>
            </w:r>
            <w:r>
              <w:rPr>
                <w:rFonts w:hint="eastAsia" w:ascii="宋体" w:hAnsi="宋体" w:cs="宋体"/>
                <w:szCs w:val="21"/>
              </w:rPr>
              <w:t>，</w:t>
            </w:r>
            <w:r>
              <w:rPr>
                <w:rFonts w:ascii="宋体" w:hAnsi="宋体" w:cs="宋体"/>
                <w:szCs w:val="21"/>
              </w:rPr>
              <w:t>投标人必需提供</w:t>
            </w:r>
            <w:r>
              <w:rPr>
                <w:rFonts w:hint="eastAsia" w:ascii="宋体" w:hAnsi="宋体" w:cs="宋体"/>
                <w:szCs w:val="21"/>
              </w:rPr>
              <w:t>节能或</w:t>
            </w:r>
            <w:r>
              <w:rPr>
                <w:rFonts w:ascii="宋体" w:hAnsi="宋体" w:cs="宋体"/>
                <w:szCs w:val="21"/>
              </w:rPr>
              <w:t>环境标志产品</w:t>
            </w:r>
            <w:r>
              <w:rPr>
                <w:rFonts w:hint="eastAsia" w:ascii="宋体" w:hAnsi="宋体" w:cs="宋体"/>
                <w:szCs w:val="21"/>
              </w:rPr>
              <w:t>认证证书复印件，未按以上要求提供认证证书复印件或</w:t>
            </w:r>
            <w:r>
              <w:rPr>
                <w:rFonts w:ascii="宋体" w:hAnsi="宋体" w:cs="宋体"/>
                <w:szCs w:val="21"/>
              </w:rPr>
              <w:t>不是清单内的产品，评审时不予</w:t>
            </w:r>
            <w:r>
              <w:rPr>
                <w:rFonts w:hint="eastAsia" w:ascii="宋体" w:hAnsi="宋体" w:cs="宋体"/>
                <w:szCs w:val="21"/>
              </w:rPr>
              <w:t>优先采购</w:t>
            </w:r>
            <w:r>
              <w:rPr>
                <w:rFonts w:ascii="宋体" w:hAnsi="宋体" w:cs="宋体"/>
                <w:szCs w:val="21"/>
              </w:rPr>
              <w:t>：</w:t>
            </w:r>
          </w:p>
          <w:p w14:paraId="58039285">
            <w:pPr>
              <w:spacing w:line="360" w:lineRule="atLeast"/>
              <w:rPr>
                <w:rFonts w:ascii="宋体" w:hAnsi="宋体"/>
                <w:szCs w:val="21"/>
              </w:rPr>
            </w:pPr>
            <w:r>
              <w:rPr>
                <w:rFonts w:ascii="宋体" w:hAnsi="宋体" w:cs="宋体"/>
                <w:szCs w:val="21"/>
              </w:rPr>
              <w:t>采用综合评分法时，对于技术和价格分，应分别给予总分值4%-8%的加分。本项目具体加分比例分别为：技术部分</w:t>
            </w:r>
            <w:r>
              <w:rPr>
                <w:rFonts w:hint="eastAsia" w:ascii="宋体" w:hAnsi="宋体" w:cs="宋体"/>
                <w:szCs w:val="21"/>
                <w:u w:val="single"/>
              </w:rPr>
              <w:t>4</w:t>
            </w:r>
            <w:r>
              <w:rPr>
                <w:rFonts w:ascii="宋体" w:hAnsi="宋体" w:cs="宋体"/>
                <w:szCs w:val="21"/>
              </w:rPr>
              <w:t>%、价格部分</w:t>
            </w:r>
            <w:r>
              <w:rPr>
                <w:rFonts w:hint="eastAsia" w:ascii="宋体" w:hAnsi="宋体" w:cs="宋体"/>
                <w:szCs w:val="21"/>
                <w:u w:val="single"/>
              </w:rPr>
              <w:t>4</w:t>
            </w:r>
            <w:r>
              <w:rPr>
                <w:rFonts w:ascii="宋体" w:hAnsi="宋体" w:cs="宋体"/>
                <w:szCs w:val="21"/>
              </w:rPr>
              <w:t>%。</w:t>
            </w:r>
          </w:p>
        </w:tc>
      </w:tr>
      <w:tr w14:paraId="0AE083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0" w:hRule="atLeast"/>
        </w:trPr>
        <w:tc>
          <w:tcPr>
            <w:tcW w:w="1717" w:type="dxa"/>
            <w:tcBorders>
              <w:top w:val="single" w:color="auto" w:sz="6" w:space="0"/>
              <w:bottom w:val="double" w:color="auto" w:sz="4" w:space="0"/>
            </w:tcBorders>
            <w:vAlign w:val="center"/>
          </w:tcPr>
          <w:p w14:paraId="453EAB6D">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第6.1</w:t>
            </w:r>
            <w:r>
              <w:rPr>
                <w:rFonts w:hint="eastAsia" w:cs="宋体" w:asciiTheme="minorEastAsia" w:hAnsiTheme="minorEastAsia" w:eastAsiaTheme="minorEastAsia"/>
                <w:kern w:val="0"/>
                <w:szCs w:val="21"/>
                <w:lang w:val="zh-CN"/>
              </w:rPr>
              <w:t>款</w:t>
            </w:r>
          </w:p>
        </w:tc>
        <w:tc>
          <w:tcPr>
            <w:tcW w:w="2294" w:type="dxa"/>
            <w:gridSpan w:val="2"/>
            <w:tcBorders>
              <w:top w:val="single" w:color="auto" w:sz="6" w:space="0"/>
              <w:bottom w:val="double" w:color="auto" w:sz="4" w:space="0"/>
              <w:right w:val="single" w:color="auto" w:sz="6" w:space="0"/>
            </w:tcBorders>
            <w:vAlign w:val="center"/>
          </w:tcPr>
          <w:p w14:paraId="52B6E0BF">
            <w:pPr>
              <w:adjustRightInd w:val="0"/>
              <w:snapToGrid w:val="0"/>
              <w:spacing w:beforeLines="5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中标候选人并列的确定中标人的方式</w:t>
            </w:r>
          </w:p>
        </w:tc>
        <w:tc>
          <w:tcPr>
            <w:tcW w:w="4867" w:type="dxa"/>
            <w:tcBorders>
              <w:top w:val="single" w:color="auto" w:sz="6" w:space="0"/>
              <w:left w:val="single" w:color="auto" w:sz="6" w:space="0"/>
              <w:bottom w:val="double" w:color="auto" w:sz="4" w:space="0"/>
              <w:right w:val="double" w:color="auto" w:sz="4" w:space="0"/>
            </w:tcBorders>
            <w:vAlign w:val="center"/>
          </w:tcPr>
          <w:p w14:paraId="007657D0">
            <w:pPr>
              <w:adjustRightInd w:val="0"/>
              <w:snapToGrid w:val="0"/>
              <w:spacing w:line="420" w:lineRule="exact"/>
              <w:rPr>
                <w:rFonts w:asciiTheme="minorEastAsia" w:hAnsiTheme="minorEastAsia" w:eastAsiaTheme="minorEastAsia"/>
                <w:szCs w:val="21"/>
                <w:u w:val="single"/>
              </w:rPr>
            </w:pPr>
            <w:r>
              <w:rPr>
                <w:rFonts w:hint="eastAsia" w:asciiTheme="minorEastAsia" w:hAnsiTheme="minorEastAsia" w:eastAsiaTheme="minorEastAsia"/>
                <w:szCs w:val="21"/>
              </w:rPr>
              <w:t>以投标</w:t>
            </w:r>
            <w:r>
              <w:rPr>
                <w:rFonts w:hint="eastAsia" w:asciiTheme="minorEastAsia" w:hAnsiTheme="minorEastAsia" w:eastAsiaTheme="minorEastAsia"/>
                <w:szCs w:val="21"/>
                <w:lang w:eastAsia="zh-CN"/>
              </w:rPr>
              <w:t>人</w:t>
            </w:r>
            <w:r>
              <w:rPr>
                <w:rFonts w:hint="eastAsia" w:asciiTheme="minorEastAsia" w:hAnsiTheme="minorEastAsia" w:eastAsiaTheme="minorEastAsia"/>
                <w:bCs/>
                <w:szCs w:val="21"/>
              </w:rPr>
              <w:t>投标报价</w:t>
            </w:r>
            <w:r>
              <w:rPr>
                <w:rFonts w:hint="eastAsia" w:asciiTheme="minorEastAsia" w:hAnsiTheme="minorEastAsia" w:eastAsiaTheme="minorEastAsia"/>
                <w:bCs/>
                <w:szCs w:val="21"/>
                <w:lang w:eastAsia="zh-CN"/>
              </w:rPr>
              <w:t>高低</w:t>
            </w:r>
            <w:r>
              <w:rPr>
                <w:rFonts w:hint="eastAsia" w:asciiTheme="minorEastAsia" w:hAnsiTheme="minorEastAsia" w:eastAsiaTheme="minorEastAsia"/>
                <w:szCs w:val="21"/>
              </w:rPr>
              <w:t>来确定中标候选人。</w:t>
            </w:r>
          </w:p>
        </w:tc>
      </w:tr>
    </w:tbl>
    <w:p w14:paraId="26167938">
      <w:pPr>
        <w:adjustRightInd w:val="0"/>
        <w:snapToGrid w:val="0"/>
        <w:spacing w:beforeLines="50" w:line="360" w:lineRule="auto"/>
        <w:ind w:firstLine="420" w:firstLineChars="200"/>
        <w:jc w:val="left"/>
        <w:rPr>
          <w:rFonts w:ascii="黑体" w:hAnsi="华文中宋" w:eastAsia="黑体"/>
          <w:b/>
          <w:sz w:val="28"/>
          <w:szCs w:val="28"/>
        </w:rPr>
      </w:pPr>
      <w:r>
        <w:rPr>
          <w:rFonts w:asciiTheme="minorEastAsia" w:hAnsiTheme="minorEastAsia" w:eastAsiaTheme="minorEastAsia"/>
        </w:rPr>
        <w:br w:type="page"/>
      </w:r>
    </w:p>
    <w:p w14:paraId="65EA5659">
      <w:pPr>
        <w:pStyle w:val="3"/>
        <w:keepNext w:val="0"/>
        <w:keepLines w:val="0"/>
        <w:adjustRightInd w:val="0"/>
        <w:snapToGrid w:val="0"/>
        <w:spacing w:beforeLines="50"/>
        <w:jc w:val="center"/>
        <w:rPr>
          <w:rFonts w:hint="eastAsia" w:ascii="方正小标宋简体" w:hAnsi="方正小标宋简体" w:eastAsia="方正小标宋简体" w:cs="方正小标宋简体"/>
          <w:sz w:val="32"/>
          <w:szCs w:val="32"/>
        </w:rPr>
      </w:pPr>
      <w:bookmarkStart w:id="19" w:name="_Toc29913912"/>
      <w:r>
        <w:rPr>
          <w:rFonts w:hint="eastAsia" w:ascii="方正小标宋简体" w:hAnsi="方正小标宋简体" w:eastAsia="方正小标宋简体" w:cs="方正小标宋简体"/>
          <w:sz w:val="32"/>
          <w:szCs w:val="32"/>
        </w:rPr>
        <w:t>第二节 评标方法及标准</w:t>
      </w:r>
      <w:bookmarkEnd w:id="19"/>
    </w:p>
    <w:p w14:paraId="1BFA0E02">
      <w:pPr>
        <w:pStyle w:val="4"/>
        <w:keepNext w:val="0"/>
        <w:keepLines w:val="0"/>
        <w:adjustRightInd w:val="0"/>
        <w:snapToGrid w:val="0"/>
        <w:spacing w:beforeLines="50" w:after="0" w:line="360" w:lineRule="auto"/>
        <w:rPr>
          <w:rFonts w:ascii="黑体" w:hAnsi="黑体" w:eastAsia="黑体"/>
          <w:sz w:val="24"/>
          <w:szCs w:val="24"/>
        </w:rPr>
      </w:pPr>
      <w:bookmarkStart w:id="20" w:name="_Toc29913913"/>
      <w:r>
        <w:rPr>
          <w:rFonts w:hint="eastAsia" w:ascii="黑体" w:hAnsi="黑体" w:eastAsia="黑体"/>
          <w:sz w:val="24"/>
          <w:szCs w:val="24"/>
        </w:rPr>
        <w:t>1．评标方法</w:t>
      </w:r>
      <w:bookmarkEnd w:id="20"/>
    </w:p>
    <w:p w14:paraId="2CD7AD1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1.1综合评分法，指投标文件满足招标文件全部实质性要求，且按照评审因素的量化指标评审得分最高的投标人为中标候选人的评标方法。</w:t>
      </w:r>
    </w:p>
    <w:p w14:paraId="1A66ABD4">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1.2本采购项目评标方法见本章第一节“评标规范前附表”</w:t>
      </w:r>
      <w:r>
        <w:rPr>
          <w:rFonts w:hint="eastAsia" w:ascii="华文中宋" w:hAnsi="华文中宋" w:eastAsia="华文中宋"/>
          <w:bCs/>
          <w:szCs w:val="21"/>
        </w:rPr>
        <w:t>（</w:t>
      </w:r>
      <w:r>
        <w:rPr>
          <w:rFonts w:hint="eastAsia" w:asciiTheme="minorEastAsia" w:hAnsiTheme="minorEastAsia" w:eastAsiaTheme="minorEastAsia"/>
          <w:bCs/>
          <w:szCs w:val="21"/>
        </w:rPr>
        <w:t>以下简称</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w:t>
      </w:r>
    </w:p>
    <w:p w14:paraId="23DE7EB5">
      <w:pPr>
        <w:pStyle w:val="4"/>
        <w:keepNext w:val="0"/>
        <w:keepLines w:val="0"/>
        <w:adjustRightInd w:val="0"/>
        <w:snapToGrid w:val="0"/>
        <w:spacing w:beforeLines="50" w:after="0" w:line="360" w:lineRule="auto"/>
        <w:rPr>
          <w:rFonts w:ascii="黑体" w:hAnsi="黑体" w:eastAsia="黑体"/>
          <w:bCs w:val="0"/>
          <w:sz w:val="24"/>
          <w:szCs w:val="24"/>
        </w:rPr>
      </w:pPr>
      <w:bookmarkStart w:id="21" w:name="_Toc29913914"/>
      <w:r>
        <w:rPr>
          <w:rFonts w:hint="eastAsia" w:ascii="黑体" w:hAnsi="黑体" w:eastAsia="黑体"/>
          <w:bCs w:val="0"/>
          <w:sz w:val="24"/>
          <w:szCs w:val="24"/>
        </w:rPr>
        <w:t>2．评标程序</w:t>
      </w:r>
      <w:bookmarkEnd w:id="21"/>
    </w:p>
    <w:p w14:paraId="3A798E91">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2.1评标程序分为投标文件符合性审查、澄清有关问题、比较和评价、推荐中标候选人。</w:t>
      </w:r>
    </w:p>
    <w:p w14:paraId="11B26B9E">
      <w:pPr>
        <w:pStyle w:val="4"/>
        <w:keepNext w:val="0"/>
        <w:keepLines w:val="0"/>
        <w:adjustRightInd w:val="0"/>
        <w:snapToGrid w:val="0"/>
        <w:spacing w:beforeLines="50" w:after="0" w:line="360" w:lineRule="auto"/>
        <w:rPr>
          <w:rFonts w:ascii="黑体" w:hAnsi="黑体" w:eastAsia="黑体"/>
          <w:bCs w:val="0"/>
          <w:sz w:val="24"/>
          <w:szCs w:val="24"/>
        </w:rPr>
      </w:pPr>
      <w:bookmarkStart w:id="22" w:name="_Toc29913915"/>
      <w:r>
        <w:rPr>
          <w:rFonts w:hint="eastAsia" w:ascii="黑体" w:hAnsi="黑体" w:eastAsia="黑体"/>
          <w:bCs w:val="0"/>
          <w:sz w:val="24"/>
          <w:szCs w:val="24"/>
        </w:rPr>
        <w:t>3．投标文件的符合性审查</w:t>
      </w:r>
      <w:bookmarkEnd w:id="22"/>
    </w:p>
    <w:p w14:paraId="0B99D16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3.1资格审查结束后，评标委员会依法按照本章第三节“投标文件的符合性审查”规定进行投标文件符合性。</w:t>
      </w:r>
    </w:p>
    <w:p w14:paraId="6BC9A4B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3.2符合性审查合格投标人少于3家的，应予废标。</w:t>
      </w:r>
    </w:p>
    <w:p w14:paraId="13DB9D3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3.3单一产品采购项目：提供相同品牌产品的不同投标人参加同一合同项下投标的，按一家投标人计算。提供不同品牌产品的投标人不足三家的，应予废标。</w:t>
      </w:r>
    </w:p>
    <w:p w14:paraId="2267D34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3.4非单一产品采购项目：采购人或者采购代理机构将在</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中载明核心产品。多家投标人提供的核心产品品牌相同的，视为相同品牌，按本章本节第3.3款规定处理。</w:t>
      </w:r>
    </w:p>
    <w:p w14:paraId="1EF9E88E">
      <w:pPr>
        <w:pStyle w:val="4"/>
        <w:keepNext w:val="0"/>
        <w:keepLines w:val="0"/>
        <w:adjustRightInd w:val="0"/>
        <w:snapToGrid w:val="0"/>
        <w:spacing w:beforeLines="50" w:after="0" w:line="360" w:lineRule="auto"/>
        <w:rPr>
          <w:rFonts w:ascii="黑体" w:hAnsi="黑体" w:eastAsia="黑体"/>
          <w:bCs w:val="0"/>
          <w:sz w:val="24"/>
          <w:szCs w:val="24"/>
        </w:rPr>
      </w:pPr>
      <w:bookmarkStart w:id="23" w:name="_Toc29913916"/>
      <w:r>
        <w:rPr>
          <w:rFonts w:hint="eastAsia" w:ascii="黑体" w:hAnsi="黑体" w:eastAsia="黑体"/>
          <w:bCs w:val="0"/>
          <w:sz w:val="24"/>
          <w:szCs w:val="24"/>
        </w:rPr>
        <w:t>4．投标文件的澄清</w:t>
      </w:r>
      <w:bookmarkEnd w:id="23"/>
    </w:p>
    <w:p w14:paraId="218F4A8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4.1对于投标文件中含义不明确、同类问题表述不一致或者有明显文字和计算错误的内容，评标委员会应当以数据电文形式要求投标人作出必要的澄清、说明或者补正。</w:t>
      </w:r>
    </w:p>
    <w:p w14:paraId="35579C7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4.2投标文件的投标报价出现前后不一致的，除</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另有规定外，按照下列规定修正：</w:t>
      </w:r>
    </w:p>
    <w:p w14:paraId="4DF06B2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（1）投标文件中开标一览表内容与投标文件中相应内容不一致的，以开标一览表为准；</w:t>
      </w:r>
    </w:p>
    <w:p w14:paraId="67774234">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（2）大写金额和小写金额不一致的，以大写金额为准；</w:t>
      </w:r>
    </w:p>
    <w:p w14:paraId="0A1F34B1">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（3）单价金额小数点或者百分比有明显错位的，以开标一览表的总价为准，并修改单价；</w:t>
      </w:r>
    </w:p>
    <w:p w14:paraId="7E3DF43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（4）总价金额与按单价汇总金额不一致的，以单价金额计算结果为准。</w:t>
      </w:r>
    </w:p>
    <w:p w14:paraId="4A3349EB">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4.3投标文件报价同时出现两种以上不一致的，按照前款规定的顺序修正。修正后的报价由投标人代表电子签名或者加盖单位电子章确认后产生约束力，投标人不确认的，其投标无效。</w:t>
      </w:r>
    </w:p>
    <w:p w14:paraId="3BFBE88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14:paraId="7648AC28">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4.5有效的澄清材料，是投标文件的补充材料，成为投标文件的组成部分。</w:t>
      </w:r>
    </w:p>
    <w:p w14:paraId="455B259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14:paraId="40446B81">
      <w:pPr>
        <w:pStyle w:val="4"/>
        <w:keepNext w:val="0"/>
        <w:keepLines w:val="0"/>
        <w:adjustRightInd w:val="0"/>
        <w:snapToGrid w:val="0"/>
        <w:spacing w:beforeLines="50" w:after="0" w:line="360" w:lineRule="auto"/>
        <w:rPr>
          <w:rFonts w:ascii="黑体" w:hAnsi="黑体" w:eastAsia="黑体"/>
          <w:bCs w:val="0"/>
          <w:sz w:val="24"/>
          <w:szCs w:val="24"/>
        </w:rPr>
      </w:pPr>
      <w:bookmarkStart w:id="24" w:name="_Toc29913917"/>
      <w:r>
        <w:rPr>
          <w:rFonts w:hint="eastAsia" w:ascii="黑体" w:hAnsi="黑体" w:eastAsia="黑体"/>
          <w:bCs w:val="0"/>
          <w:sz w:val="24"/>
          <w:szCs w:val="24"/>
        </w:rPr>
        <w:t>5．投标文件的比较与评价</w:t>
      </w:r>
      <w:bookmarkEnd w:id="24"/>
    </w:p>
    <w:p w14:paraId="0527337F">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5.1评标委员会依法按照本章第三节“投标文件的比较与评价”规定，对资格性检查和符合性检查合格的投标文件进行比较和评价。</w:t>
      </w:r>
    </w:p>
    <w:p w14:paraId="62921467">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5.2单一产品采购项目：</w:t>
      </w:r>
    </w:p>
    <w:p w14:paraId="237B61F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综合评分法：提供相同品牌产品且通过资格审查、符合性审查的不同投标人参加同一合同项下投标的，评审后得分最高的同品牌投标人获得中标人推荐资格；评审得分相同的，按照</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规定的方式确定一个投标人获得中标人推荐资格，招标文件未规定的采取随机抽取方式确定，其他同品牌投标人</w:t>
      </w:r>
      <w:r>
        <w:rPr>
          <w:rFonts w:hint="eastAsia" w:asciiTheme="minorEastAsia" w:hAnsiTheme="minorEastAsia" w:eastAsiaTheme="minorEastAsia"/>
          <w:b/>
          <w:szCs w:val="21"/>
        </w:rPr>
        <w:t>不作为中标候选人</w:t>
      </w:r>
      <w:r>
        <w:rPr>
          <w:rFonts w:hint="eastAsia" w:asciiTheme="minorEastAsia" w:hAnsiTheme="minorEastAsia" w:eastAsiaTheme="minorEastAsia"/>
          <w:szCs w:val="21"/>
        </w:rPr>
        <w:t>。</w:t>
      </w:r>
    </w:p>
    <w:p w14:paraId="42D464B5">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5.3非单一产品采购项目：多家投标人提供的核心产品品牌相同的，视为相同品牌，按本章本节第 5.2 款规定处理。</w:t>
      </w:r>
    </w:p>
    <w:p w14:paraId="7A466ACF">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5.3政府采购政策：</w:t>
      </w:r>
    </w:p>
    <w:p w14:paraId="42B8CA51">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szCs w:val="21"/>
        </w:rPr>
        <w:t>（1）</w:t>
      </w:r>
      <w:r>
        <w:rPr>
          <w:rFonts w:hint="eastAsia" w:asciiTheme="minorEastAsia" w:hAnsiTheme="minorEastAsia" w:eastAsiaTheme="minorEastAsia"/>
          <w:bCs/>
          <w:szCs w:val="21"/>
        </w:rPr>
        <w:t>价格评审优惠：</w:t>
      </w:r>
      <w:r>
        <w:rPr>
          <w:rFonts w:hint="eastAsia" w:asciiTheme="minorEastAsia" w:hAnsiTheme="minorEastAsia" w:eastAsiaTheme="minorEastAsia"/>
          <w:szCs w:val="21"/>
        </w:rPr>
        <w:t>按</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及第二章“投标须知”的相关规定给予一定的价格折扣。</w:t>
      </w:r>
    </w:p>
    <w:p w14:paraId="6C58B475">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szCs w:val="21"/>
        </w:rPr>
        <w:t>（2）优先采购：</w:t>
      </w:r>
      <w:r>
        <w:rPr>
          <w:rFonts w:hint="eastAsia" w:asciiTheme="minorEastAsia" w:hAnsiTheme="minorEastAsia" w:eastAsiaTheme="minorEastAsia"/>
          <w:bCs/>
          <w:szCs w:val="21"/>
        </w:rPr>
        <w:t>评审时按</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bCs/>
          <w:szCs w:val="21"/>
        </w:rPr>
        <w:t>及第二章</w:t>
      </w:r>
      <w:r>
        <w:rPr>
          <w:rFonts w:hint="eastAsia" w:asciiTheme="minorEastAsia" w:hAnsiTheme="minorEastAsia" w:eastAsiaTheme="minorEastAsia"/>
          <w:szCs w:val="21"/>
        </w:rPr>
        <w:t>“投标须知”</w:t>
      </w:r>
      <w:r>
        <w:rPr>
          <w:rFonts w:hint="eastAsia" w:asciiTheme="minorEastAsia" w:hAnsiTheme="minorEastAsia" w:eastAsiaTheme="minorEastAsia"/>
          <w:bCs/>
          <w:szCs w:val="21"/>
        </w:rPr>
        <w:t>的相关规定给予价格折扣或者加分。</w:t>
      </w:r>
    </w:p>
    <w:p w14:paraId="79F6795F">
      <w:pPr>
        <w:pStyle w:val="4"/>
        <w:keepNext w:val="0"/>
        <w:keepLines w:val="0"/>
        <w:adjustRightInd w:val="0"/>
        <w:snapToGrid w:val="0"/>
        <w:spacing w:beforeLines="50" w:after="0" w:line="360" w:lineRule="auto"/>
        <w:rPr>
          <w:rFonts w:ascii="黑体" w:hAnsi="黑体" w:eastAsia="黑体"/>
          <w:color w:val="FF0000"/>
          <w:sz w:val="24"/>
          <w:szCs w:val="24"/>
        </w:rPr>
      </w:pPr>
      <w:bookmarkStart w:id="25" w:name="_Toc29913918"/>
      <w:r>
        <w:rPr>
          <w:rFonts w:hint="eastAsia" w:ascii="黑体" w:hAnsi="黑体" w:eastAsia="黑体"/>
          <w:bCs w:val="0"/>
          <w:sz w:val="24"/>
          <w:szCs w:val="24"/>
        </w:rPr>
        <w:t>6．</w:t>
      </w:r>
      <w:r>
        <w:rPr>
          <w:rFonts w:hint="eastAsia" w:ascii="黑体" w:hAnsi="黑体" w:eastAsia="黑体"/>
          <w:sz w:val="24"/>
          <w:szCs w:val="24"/>
        </w:rPr>
        <w:t>推荐中标候选人</w:t>
      </w:r>
      <w:bookmarkEnd w:id="25"/>
    </w:p>
    <w:p w14:paraId="0693ABB5">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综合评分法：评标结果按评审后得分由高到低顺序排列。得分相同的，按投标报价由低到高顺序排列。得分且投标报价相同的并列，按</w:t>
      </w:r>
      <w:r>
        <w:rPr>
          <w:rFonts w:hint="eastAsia" w:asciiTheme="minorEastAsia" w:hAnsiTheme="minorEastAsia" w:eastAsiaTheme="minorEastAsia"/>
          <w:b/>
          <w:bCs/>
          <w:szCs w:val="21"/>
        </w:rPr>
        <w:t>【评标方法及标准前附表】</w:t>
      </w:r>
      <w:r>
        <w:rPr>
          <w:rFonts w:hint="eastAsia" w:asciiTheme="minorEastAsia" w:hAnsiTheme="minorEastAsia" w:eastAsiaTheme="minorEastAsia"/>
          <w:bCs/>
          <w:szCs w:val="21"/>
        </w:rPr>
        <w:t>规定的方式确定中标人；招标文件未规定的，采取随机抽取的方式确定。</w:t>
      </w:r>
    </w:p>
    <w:p w14:paraId="53CBF8EB">
      <w:pPr>
        <w:pStyle w:val="4"/>
        <w:keepNext w:val="0"/>
        <w:keepLines w:val="0"/>
        <w:adjustRightInd w:val="0"/>
        <w:snapToGrid w:val="0"/>
        <w:spacing w:beforeLines="50" w:after="0" w:line="360" w:lineRule="auto"/>
        <w:rPr>
          <w:rFonts w:ascii="黑体" w:hAnsi="黑体" w:eastAsia="黑体"/>
          <w:sz w:val="24"/>
          <w:szCs w:val="24"/>
        </w:rPr>
      </w:pPr>
      <w:bookmarkStart w:id="26" w:name="_Toc29913919"/>
      <w:r>
        <w:rPr>
          <w:rFonts w:hint="eastAsia" w:ascii="黑体" w:hAnsi="黑体" w:eastAsia="黑体"/>
          <w:bCs w:val="0"/>
          <w:sz w:val="24"/>
          <w:szCs w:val="24"/>
        </w:rPr>
        <w:t>7．</w:t>
      </w:r>
      <w:r>
        <w:rPr>
          <w:rFonts w:hint="eastAsia" w:ascii="黑体" w:hAnsi="黑体" w:eastAsia="黑体"/>
          <w:sz w:val="24"/>
          <w:szCs w:val="24"/>
        </w:rPr>
        <w:t>编写评标报告</w:t>
      </w:r>
      <w:bookmarkEnd w:id="26"/>
    </w:p>
    <w:p w14:paraId="107A8AD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7.1评标</w:t>
      </w:r>
      <w:r>
        <w:rPr>
          <w:rFonts w:hint="eastAsia" w:asciiTheme="minorEastAsia" w:hAnsiTheme="minorEastAsia" w:eastAsiaTheme="minorEastAsia"/>
          <w:bCs/>
          <w:szCs w:val="21"/>
        </w:rPr>
        <w:t>委员会</w:t>
      </w:r>
      <w:r>
        <w:rPr>
          <w:rFonts w:hint="eastAsia" w:asciiTheme="minorEastAsia" w:hAnsiTheme="minorEastAsia" w:eastAsiaTheme="minorEastAsia"/>
          <w:szCs w:val="21"/>
        </w:rPr>
        <w:t>根据全体评标成员电子签名的原始评标记录和评标结果编写评标报告。</w:t>
      </w:r>
    </w:p>
    <w:p w14:paraId="09DB4D44">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szCs w:val="21"/>
        </w:rPr>
        <w:t>7.2</w:t>
      </w:r>
      <w:r>
        <w:rPr>
          <w:rFonts w:hint="eastAsia" w:asciiTheme="minorEastAsia" w:hAnsiTheme="minorEastAsia" w:eastAsiaTheme="minorEastAsia"/>
          <w:bCs/>
          <w:szCs w:val="21"/>
        </w:rPr>
        <w:t>评标委员会成员对需要共同认定的事项存在争议的，应当按照少数服从多数的原则作出结论。持不同意见的评标委员会成员应当在评标报告上签署不同意见及理由，否则视为同意评标报告。</w:t>
      </w:r>
    </w:p>
    <w:p w14:paraId="2CD10C1E">
      <w:pPr>
        <w:pStyle w:val="4"/>
        <w:keepNext w:val="0"/>
        <w:keepLines w:val="0"/>
        <w:adjustRightInd w:val="0"/>
        <w:snapToGrid w:val="0"/>
        <w:spacing w:beforeLines="50" w:after="0" w:line="360" w:lineRule="auto"/>
        <w:rPr>
          <w:rFonts w:ascii="黑体" w:hAnsi="黑体" w:eastAsia="黑体"/>
          <w:bCs w:val="0"/>
          <w:sz w:val="24"/>
          <w:szCs w:val="24"/>
        </w:rPr>
      </w:pPr>
      <w:bookmarkStart w:id="27" w:name="_Toc29913920"/>
      <w:r>
        <w:rPr>
          <w:rFonts w:hint="eastAsia" w:ascii="黑体" w:hAnsi="黑体" w:eastAsia="黑体"/>
          <w:bCs w:val="0"/>
          <w:sz w:val="24"/>
          <w:szCs w:val="24"/>
        </w:rPr>
        <w:t>8．</w:t>
      </w:r>
      <w:r>
        <w:rPr>
          <w:rFonts w:hint="eastAsia" w:ascii="黑体" w:hAnsi="黑体" w:eastAsia="黑体"/>
          <w:sz w:val="24"/>
          <w:szCs w:val="24"/>
        </w:rPr>
        <w:t>评标报告</w:t>
      </w:r>
      <w:r>
        <w:rPr>
          <w:rFonts w:hint="eastAsia" w:ascii="黑体" w:hAnsi="黑体" w:eastAsia="黑体"/>
          <w:bCs w:val="0"/>
          <w:sz w:val="24"/>
          <w:szCs w:val="24"/>
        </w:rPr>
        <w:t>复核</w:t>
      </w:r>
      <w:bookmarkEnd w:id="27"/>
    </w:p>
    <w:p w14:paraId="5715C965">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8.1汇总结束后，评标委员会应当进行复核，特别要对拟推荐为中标候选供应商的、报价最低的、投标文件被认定为无效的进行重点复核。</w:t>
      </w:r>
    </w:p>
    <w:p w14:paraId="1BB4E8CE">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8.2汇总完成后，除下列情形外，任何人不得修改评标结果：</w:t>
      </w:r>
    </w:p>
    <w:p w14:paraId="3CF68278">
      <w:pPr>
        <w:adjustRightInd w:val="0"/>
        <w:snapToGrid w:val="0"/>
        <w:spacing w:beforeLines="50"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（1）分值汇总计算错误的；</w:t>
      </w:r>
    </w:p>
    <w:p w14:paraId="7E1E19AF">
      <w:pPr>
        <w:adjustRightInd w:val="0"/>
        <w:snapToGrid w:val="0"/>
        <w:spacing w:beforeLines="50"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（2）分项评分超出评分标准范围的；</w:t>
      </w:r>
    </w:p>
    <w:p w14:paraId="0F2278DC">
      <w:pPr>
        <w:adjustRightInd w:val="0"/>
        <w:snapToGrid w:val="0"/>
        <w:spacing w:beforeLines="50"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（3）评标委员会成员对客观评审因素评分不一致的；</w:t>
      </w:r>
    </w:p>
    <w:p w14:paraId="729B5808">
      <w:pPr>
        <w:adjustRightInd w:val="0"/>
        <w:snapToGrid w:val="0"/>
        <w:spacing w:beforeLines="50"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（4）经评标委员会认定评分畸高、畸低的。</w:t>
      </w:r>
    </w:p>
    <w:p w14:paraId="7E3570AE">
      <w:pPr>
        <w:adjustRightInd w:val="0"/>
        <w:snapToGrid w:val="0"/>
        <w:spacing w:beforeLines="50" w:line="360" w:lineRule="auto"/>
        <w:ind w:firstLine="420" w:firstLineChars="200"/>
        <w:jc w:val="left"/>
        <w:rPr>
          <w:rFonts w:asciiTheme="minorEastAsia" w:hAnsiTheme="minorEastAsia" w:eastAsiaTheme="minorEastAsia"/>
          <w:b/>
          <w:bCs/>
          <w:szCs w:val="21"/>
        </w:rPr>
      </w:pPr>
      <w:r>
        <w:rPr>
          <w:rFonts w:hint="eastAsia" w:asciiTheme="minorEastAsia" w:hAnsiTheme="minorEastAsia" w:eastAsiaTheme="minorEastAsia"/>
          <w:bCs/>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6FD5D197">
      <w:pPr>
        <w:pStyle w:val="4"/>
        <w:keepNext w:val="0"/>
        <w:keepLines w:val="0"/>
        <w:adjustRightInd w:val="0"/>
        <w:snapToGrid w:val="0"/>
        <w:spacing w:beforeLines="50" w:after="0" w:line="360" w:lineRule="auto"/>
        <w:rPr>
          <w:rFonts w:ascii="黑体" w:hAnsi="黑体" w:eastAsia="黑体"/>
          <w:bCs w:val="0"/>
          <w:sz w:val="24"/>
          <w:szCs w:val="24"/>
        </w:rPr>
      </w:pPr>
      <w:bookmarkStart w:id="28" w:name="_Toc29913921"/>
      <w:r>
        <w:rPr>
          <w:rFonts w:hint="eastAsia" w:ascii="黑体" w:hAnsi="黑体" w:eastAsia="黑体"/>
          <w:sz w:val="24"/>
          <w:szCs w:val="24"/>
        </w:rPr>
        <w:t>9．</w:t>
      </w:r>
      <w:r>
        <w:rPr>
          <w:rFonts w:hint="eastAsia" w:ascii="黑体" w:hAnsi="黑体" w:eastAsia="黑体"/>
          <w:bCs w:val="0"/>
          <w:sz w:val="24"/>
          <w:szCs w:val="24"/>
        </w:rPr>
        <w:t>停止评标</w:t>
      </w:r>
      <w:bookmarkEnd w:id="28"/>
    </w:p>
    <w:p w14:paraId="63CBA102">
      <w:pPr>
        <w:adjustRightInd w:val="0"/>
        <w:snapToGrid w:val="0"/>
        <w:spacing w:beforeLines="50" w:line="360" w:lineRule="auto"/>
        <w:ind w:firstLine="420" w:firstLineChars="200"/>
        <w:jc w:val="left"/>
        <w:rPr>
          <w:rFonts w:cs="宋体" w:asciiTheme="minorEastAsia" w:hAnsiTheme="minorEastAsia" w:eastAsiaTheme="minorEastAsia"/>
          <w:kern w:val="0"/>
          <w:szCs w:val="21"/>
        </w:rPr>
      </w:pPr>
      <w:r>
        <w:rPr>
          <w:rFonts w:hint="eastAsia" w:asciiTheme="minorEastAsia" w:hAnsiTheme="minorEastAsia" w:eastAsiaTheme="minorEastAsia"/>
          <w:bCs/>
          <w:szCs w:val="21"/>
        </w:rPr>
        <w:t>9.1</w:t>
      </w:r>
      <w:r>
        <w:rPr>
          <w:rFonts w:hint="eastAsia" w:cs="宋体" w:asciiTheme="minorEastAsia" w:hAnsiTheme="minorEastAsia" w:eastAsiaTheme="minorEastAsia"/>
          <w:kern w:val="0"/>
          <w:szCs w:val="21"/>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6F4A034A">
      <w:pPr>
        <w:adjustRightInd w:val="0"/>
        <w:snapToGrid w:val="0"/>
        <w:spacing w:beforeLines="50" w:line="360" w:lineRule="auto"/>
        <w:rPr>
          <w:rFonts w:ascii="黑体" w:hAnsi="黑体" w:eastAsia="黑体"/>
          <w:b/>
          <w:sz w:val="24"/>
        </w:rPr>
      </w:pPr>
      <w:r>
        <w:rPr>
          <w:rFonts w:hint="eastAsia" w:ascii="黑体" w:hAnsi="黑体" w:eastAsia="黑体"/>
          <w:b/>
          <w:sz w:val="24"/>
        </w:rPr>
        <w:t>10.废标</w:t>
      </w:r>
    </w:p>
    <w:p w14:paraId="2F1F676E">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10.1 根据有关法律法规和招标文件的有关规定，如出现下列情况之一的，应予以废标：</w:t>
      </w:r>
    </w:p>
    <w:p w14:paraId="665F03E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（1）符合专业条件的投标人或者对招标文件作实质响应的投标人不足三家的；</w:t>
      </w:r>
    </w:p>
    <w:p w14:paraId="6CDE0CF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（2）出现影响采购公正的违法、违规行为的；</w:t>
      </w:r>
    </w:p>
    <w:p w14:paraId="7678563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（3）投标人的报价均超过招标人项目采购预算，招标人不能支付的；</w:t>
      </w:r>
    </w:p>
    <w:p w14:paraId="45598AC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（4）因重大变故，采购任务取消的。</w:t>
      </w:r>
    </w:p>
    <w:p w14:paraId="46ADA908">
      <w:pPr>
        <w:pStyle w:val="4"/>
        <w:keepNext w:val="0"/>
        <w:keepLines w:val="0"/>
        <w:adjustRightInd w:val="0"/>
        <w:snapToGrid w:val="0"/>
        <w:spacing w:beforeLines="50" w:after="0" w:line="360" w:lineRule="auto"/>
        <w:rPr>
          <w:rFonts w:ascii="黑体" w:hAnsi="黑体" w:eastAsia="黑体"/>
          <w:bCs w:val="0"/>
          <w:sz w:val="24"/>
          <w:szCs w:val="24"/>
        </w:rPr>
      </w:pPr>
      <w:bookmarkStart w:id="29" w:name="_Toc29913922"/>
      <w:r>
        <w:rPr>
          <w:rFonts w:hint="eastAsia" w:ascii="黑体" w:hAnsi="黑体" w:eastAsia="黑体" w:cs="宋体"/>
          <w:kern w:val="0"/>
          <w:sz w:val="24"/>
          <w:szCs w:val="24"/>
        </w:rPr>
        <w:t>11．重新组建评标委员会进行评标</w:t>
      </w:r>
      <w:bookmarkEnd w:id="29"/>
    </w:p>
    <w:p w14:paraId="7A47E7D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11.1评标委员会或者其成员存在下列情形导致评标结果无效的，采购人、采购代理机构可以重新组建评标委员会进行评标，并书面报告本级财政部门，但采购合同已经履行的除外：</w:t>
      </w:r>
    </w:p>
    <w:p w14:paraId="2B13F76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（1）评标委员会组成不符合《政府采购货物和服务招标投标管理办法》规定的；</w:t>
      </w:r>
    </w:p>
    <w:p w14:paraId="0467406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（2）有《政府采购货物和服务招标投标管理办法》第六十二条第一至五项情形的；</w:t>
      </w:r>
    </w:p>
    <w:p w14:paraId="21089109">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（3）评标委员会及其成员独立评标受到非法干预的；</w:t>
      </w:r>
    </w:p>
    <w:p w14:paraId="5146BD05">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（4）有政府采购法实施条例第七十五条规定的违法行为的。</w:t>
      </w:r>
    </w:p>
    <w:p w14:paraId="58D68F6F">
      <w:pPr>
        <w:adjustRightInd w:val="0"/>
        <w:snapToGrid w:val="0"/>
        <w:spacing w:beforeLines="50" w:line="360" w:lineRule="auto"/>
        <w:ind w:firstLine="420" w:firstLineChars="200"/>
        <w:jc w:val="left"/>
        <w:rPr>
          <w:rFonts w:ascii="黑体" w:hAnsi="华文中宋" w:eastAsia="黑体"/>
          <w:b/>
          <w:sz w:val="32"/>
          <w:szCs w:val="32"/>
        </w:rPr>
      </w:pPr>
      <w:r>
        <w:rPr>
          <w:rFonts w:hint="eastAsia" w:asciiTheme="minorEastAsia" w:hAnsiTheme="minorEastAsia" w:eastAsiaTheme="minorEastAsia"/>
          <w:szCs w:val="21"/>
        </w:rPr>
        <w:t>11.2有违法违规行为的原评标委员会成员不得参加重新组建的评标委员会。</w:t>
      </w:r>
      <w:r>
        <w:rPr>
          <w:rFonts w:ascii="黑体" w:hAnsi="华文中宋" w:eastAsia="黑体"/>
          <w:b/>
          <w:sz w:val="32"/>
          <w:szCs w:val="32"/>
        </w:rPr>
        <w:br w:type="page"/>
      </w:r>
    </w:p>
    <w:p w14:paraId="5792909F">
      <w:pPr>
        <w:pStyle w:val="3"/>
        <w:adjustRightInd w:val="0"/>
        <w:snapToGrid w:val="0"/>
        <w:jc w:val="center"/>
        <w:rPr>
          <w:rFonts w:hint="eastAsia" w:ascii="方正小标宋简体" w:hAnsi="方正小标宋简体" w:eastAsia="方正小标宋简体" w:cs="方正小标宋简体"/>
          <w:sz w:val="32"/>
          <w:szCs w:val="32"/>
        </w:rPr>
      </w:pPr>
      <w:bookmarkStart w:id="30" w:name="_Toc29913923"/>
      <w:r>
        <w:rPr>
          <w:rFonts w:hint="eastAsia" w:ascii="方正小标宋简体" w:hAnsi="方正小标宋简体" w:eastAsia="方正小标宋简体" w:cs="方正小标宋简体"/>
          <w:sz w:val="32"/>
          <w:szCs w:val="32"/>
        </w:rPr>
        <w:t>第三节 投标文件的符合性审查</w:t>
      </w:r>
      <w:bookmarkEnd w:id="30"/>
    </w:p>
    <w:p w14:paraId="0C45941E">
      <w:pPr>
        <w:adjustRightInd w:val="0"/>
        <w:snapToGrid w:val="0"/>
        <w:spacing w:beforeLines="50" w:line="360" w:lineRule="auto"/>
        <w:rPr>
          <w:rFonts w:ascii="黑体" w:hAnsi="黑体" w:eastAsia="黑体"/>
          <w:b/>
          <w:sz w:val="24"/>
        </w:rPr>
      </w:pPr>
      <w:r>
        <w:rPr>
          <w:rFonts w:hint="eastAsia" w:ascii="黑体" w:hAnsi="黑体" w:eastAsia="黑体"/>
          <w:b/>
          <w:sz w:val="24"/>
        </w:rPr>
        <w:t>1.符合性审查</w:t>
      </w:r>
    </w:p>
    <w:p w14:paraId="12D749E7">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1"/>
        </w:rPr>
        <w:t>评标委员会应</w:t>
      </w:r>
      <w:r>
        <w:rPr>
          <w:rFonts w:hint="eastAsia" w:asciiTheme="minorEastAsia" w:hAnsiTheme="minorEastAsia" w:eastAsiaTheme="minorEastAsia"/>
        </w:rPr>
        <w:t>对符合资格条件的投标人的投标文件进行符合性审查，以确定其是否满足招标文件的实质性要求。</w:t>
      </w:r>
    </w:p>
    <w:p w14:paraId="4B0DCCB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5246557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（2）投标人不得通过修正或撤销不合要求的偏离从而使其投标成为实质上响应的投标。</w:t>
      </w:r>
    </w:p>
    <w:p w14:paraId="12801ED9">
      <w:pPr>
        <w:adjustRightInd w:val="0"/>
        <w:snapToGrid w:val="0"/>
        <w:spacing w:beforeLines="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kern w:val="0"/>
          <w:szCs w:val="21"/>
        </w:rPr>
        <w:t>1.2</w:t>
      </w:r>
      <w:r>
        <w:rPr>
          <w:rFonts w:hint="eastAsia" w:asciiTheme="minorEastAsia" w:hAnsiTheme="minorEastAsia" w:eastAsiaTheme="minorEastAsia"/>
        </w:rPr>
        <w:t>未通过符合性审查的投标人，其投标将被认定为投标无效，不能进入下一阶段评审。通过符合性审查的投标人数量不足 3 家的，不得作进一步的比较和评价。</w:t>
      </w:r>
    </w:p>
    <w:p w14:paraId="03E9AF29">
      <w:pPr>
        <w:adjustRightInd w:val="0"/>
        <w:snapToGrid w:val="0"/>
        <w:spacing w:beforeLines="50" w:line="360" w:lineRule="auto"/>
        <w:jc w:val="left"/>
        <w:rPr>
          <w:rFonts w:ascii="黑体" w:hAnsi="黑体" w:eastAsia="黑体"/>
          <w:b/>
          <w:sz w:val="24"/>
        </w:rPr>
      </w:pPr>
      <w:r>
        <w:rPr>
          <w:rFonts w:hint="eastAsia" w:ascii="黑体" w:hAnsi="黑体" w:eastAsia="黑体"/>
          <w:b/>
          <w:sz w:val="24"/>
        </w:rPr>
        <w:t>2.投标无效</w:t>
      </w:r>
    </w:p>
    <w:p w14:paraId="0AD61CD6">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2.1投标人存在下列情况之一的，符合性审查不合格，投标无效：</w:t>
      </w:r>
    </w:p>
    <w:p w14:paraId="3110287F">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（1）投标文件中商务技术文件未按照招标文件规定要求签署、盖章的；</w:t>
      </w:r>
    </w:p>
    <w:p w14:paraId="29DC2B2C">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（2）投标文件没有对招标文件的实质性要求和条件作出响应，或者对招标文件的偏离超出招标文件规定的偏离</w:t>
      </w:r>
      <w:r>
        <w:rPr>
          <w:rFonts w:hint="eastAsia" w:asciiTheme="minorEastAsia" w:hAnsiTheme="minorEastAsia" w:eastAsiaTheme="minorEastAsia"/>
        </w:rPr>
        <w:t>范围和幅度</w:t>
      </w:r>
      <w:r>
        <w:rPr>
          <w:rFonts w:hint="eastAsia" w:asciiTheme="minorEastAsia" w:hAnsiTheme="minorEastAsia" w:eastAsiaTheme="minorEastAsia"/>
          <w:szCs w:val="21"/>
        </w:rPr>
        <w:t>；</w:t>
      </w:r>
    </w:p>
    <w:p w14:paraId="3E83114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（3）投标有效期不足的；</w:t>
      </w:r>
    </w:p>
    <w:p w14:paraId="6A879B4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（4）投标文件含有采购人不能接受的附加条件的；</w:t>
      </w:r>
    </w:p>
    <w:p w14:paraId="1F04C43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（5）不符合本节第1.1款规定符合性审查标准的；</w:t>
      </w:r>
    </w:p>
    <w:p w14:paraId="597BFF3D">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（6）法律、法规和招标文件规定的其他投标无效情形的。</w:t>
      </w:r>
    </w:p>
    <w:p w14:paraId="4C5CFDA9">
      <w:pPr>
        <w:adjustRightInd w:val="0"/>
        <w:snapToGrid w:val="0"/>
        <w:spacing w:beforeLines="50" w:line="360" w:lineRule="auto"/>
        <w:ind w:firstLine="420" w:firstLineChars="200"/>
        <w:jc w:val="left"/>
        <w:rPr>
          <w:rFonts w:asciiTheme="minorEastAsia" w:hAnsiTheme="minorEastAsia" w:eastAsiaTheme="minorEastAsia"/>
          <w:kern w:val="0"/>
          <w:szCs w:val="21"/>
        </w:rPr>
      </w:pPr>
      <w:r>
        <w:rPr>
          <w:rFonts w:hint="eastAsia" w:asciiTheme="minorEastAsia" w:hAnsiTheme="minorEastAsia" w:eastAsiaTheme="minorEastAsia"/>
          <w:kern w:val="0"/>
          <w:szCs w:val="21"/>
        </w:rPr>
        <w:t>2.2在评标过程中发现投标人有不遵循公平竞争的原则，恶意串通，妨碍其他投标人的竞争行为，损害采购人或者其他投标人的合法权益的，评标委员会应当认定其</w:t>
      </w:r>
      <w:r>
        <w:rPr>
          <w:rFonts w:hint="eastAsia" w:asciiTheme="minorEastAsia" w:hAnsiTheme="minorEastAsia" w:eastAsiaTheme="minorEastAsia"/>
          <w:b/>
          <w:kern w:val="0"/>
          <w:szCs w:val="21"/>
        </w:rPr>
        <w:t>投标无效</w:t>
      </w:r>
      <w:r>
        <w:rPr>
          <w:rFonts w:hint="eastAsia" w:asciiTheme="minorEastAsia" w:hAnsiTheme="minorEastAsia" w:eastAsiaTheme="minorEastAsia"/>
          <w:kern w:val="0"/>
          <w:szCs w:val="21"/>
        </w:rPr>
        <w:t>，并书面报告本级财政部门。</w:t>
      </w:r>
    </w:p>
    <w:p w14:paraId="43A636F7"/>
    <w:p w14:paraId="604338EC"/>
    <w:p w14:paraId="58A91976">
      <w:pPr>
        <w:widowControl/>
        <w:jc w:val="left"/>
        <w:rPr>
          <w:rFonts w:ascii="黑体" w:hAnsi="黑体"/>
          <w:b/>
          <w:color w:val="FF0000"/>
          <w:szCs w:val="21"/>
        </w:rPr>
      </w:pPr>
      <w:r>
        <w:rPr>
          <w:rFonts w:ascii="黑体" w:hAnsi="黑体"/>
          <w:b/>
          <w:color w:val="FF0000"/>
          <w:szCs w:val="21"/>
        </w:rPr>
        <w:br w:type="page"/>
      </w:r>
    </w:p>
    <w:p w14:paraId="446AF144">
      <w:pPr>
        <w:pStyle w:val="3"/>
        <w:adjustRightInd w:val="0"/>
        <w:snapToGrid w:val="0"/>
        <w:jc w:val="center"/>
        <w:rPr>
          <w:rFonts w:hint="eastAsia" w:ascii="方正小标宋简体" w:hAnsi="方正小标宋简体" w:eastAsia="方正小标宋简体" w:cs="方正小标宋简体"/>
          <w:sz w:val="32"/>
          <w:szCs w:val="32"/>
        </w:rPr>
      </w:pPr>
      <w:bookmarkStart w:id="31" w:name="_Toc29913924"/>
      <w:r>
        <w:rPr>
          <w:rFonts w:hint="eastAsia" w:ascii="方正小标宋简体" w:hAnsi="方正小标宋简体" w:eastAsia="方正小标宋简体" w:cs="方正小标宋简体"/>
          <w:sz w:val="32"/>
          <w:szCs w:val="32"/>
        </w:rPr>
        <w:t>第四节 投标文件的比较与评价</w:t>
      </w:r>
      <w:bookmarkEnd w:id="31"/>
    </w:p>
    <w:p w14:paraId="25A56CA7">
      <w:pPr>
        <w:widowControl/>
        <w:adjustRightInd w:val="0"/>
        <w:snapToGrid w:val="0"/>
        <w:spacing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1.综合评分法</w:t>
      </w:r>
    </w:p>
    <w:p w14:paraId="21ED2DE2">
      <w:pPr>
        <w:adjustRightInd w:val="0"/>
        <w:snapToGrid w:val="0"/>
        <w:spacing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1.1综合评分法，指投标文件满足招标文件全部实质性要求，且按照评审因素的量化指标评审得分最高的投标人为中标候选人的评标方法。</w:t>
      </w:r>
    </w:p>
    <w:p w14:paraId="34B62644">
      <w:pPr>
        <w:adjustRightInd w:val="0"/>
        <w:snapToGrid w:val="0"/>
        <w:spacing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327FAA3D">
      <w:pPr>
        <w:adjustRightInd w:val="0"/>
        <w:snapToGrid w:val="0"/>
        <w:spacing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1.3未通过符合性审查的投标文件不得进入比较与评价。</w:t>
      </w:r>
    </w:p>
    <w:p w14:paraId="0703C123">
      <w:pPr>
        <w:adjustRightInd w:val="0"/>
        <w:snapToGrid w:val="0"/>
        <w:spacing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2.投标报价的算术修正及政府采购政策调整</w:t>
      </w:r>
    </w:p>
    <w:p w14:paraId="5CC20E4F">
      <w:pPr>
        <w:adjustRightInd w:val="0"/>
        <w:snapToGrid w:val="0"/>
        <w:spacing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2.1如果有算术错误，投标报价将按本章第二节第4.2款、第4.3款规定进行算术修正。</w:t>
      </w:r>
    </w:p>
    <w:p w14:paraId="48674461">
      <w:pPr>
        <w:adjustRightInd w:val="0"/>
        <w:snapToGrid w:val="0"/>
        <w:spacing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2.2需落实政府采购政策（价格评审优惠）的，按第二章“投标须知”及本章第二节第</w:t>
      </w:r>
      <w:r>
        <w:rPr>
          <w:rFonts w:asciiTheme="minorEastAsia" w:hAnsiTheme="minorEastAsia" w:eastAsiaTheme="minorEastAsia"/>
          <w:bCs/>
          <w:color w:val="000000" w:themeColor="text1"/>
          <w:szCs w:val="21"/>
          <w14:textFill>
            <w14:solidFill>
              <w14:schemeClr w14:val="tx1"/>
            </w14:solidFill>
          </w14:textFill>
        </w:rPr>
        <w:t>5.3</w:t>
      </w:r>
      <w:r>
        <w:rPr>
          <w:rFonts w:hint="eastAsia" w:asciiTheme="minorEastAsia" w:hAnsiTheme="minorEastAsia" w:eastAsiaTheme="minorEastAsia"/>
          <w:bCs/>
          <w:color w:val="000000" w:themeColor="text1"/>
          <w:szCs w:val="21"/>
          <w14:textFill>
            <w14:solidFill>
              <w14:schemeClr w14:val="tx1"/>
            </w14:solidFill>
          </w14:textFill>
        </w:rPr>
        <w:t>（1）项的相关规定进行价格调整。</w:t>
      </w:r>
    </w:p>
    <w:p w14:paraId="4CAD2C6F">
      <w:pPr>
        <w:adjustRightInd w:val="0"/>
        <w:snapToGrid w:val="0"/>
        <w:spacing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2.3按本章本节第2.1款、第2.2款规定，以修正或调整后的价格确定投标人的投标报价和评标基准价，用于投标报价评价。</w:t>
      </w:r>
    </w:p>
    <w:p w14:paraId="58D5B4E2">
      <w:pPr>
        <w:adjustRightInd w:val="0"/>
        <w:snapToGrid w:val="0"/>
        <w:spacing w:beforeLines="50" w:line="360" w:lineRule="auto"/>
        <w:jc w:val="left"/>
        <w:rPr>
          <w:rFonts w:ascii="黑体" w:hAnsi="黑体" w:eastAsia="黑体"/>
          <w:b/>
          <w:bCs/>
          <w:sz w:val="24"/>
        </w:rPr>
      </w:pPr>
      <w:r>
        <w:rPr>
          <w:rFonts w:hint="eastAsia" w:ascii="黑体" w:hAnsi="黑体" w:eastAsia="黑体"/>
          <w:b/>
          <w:bCs/>
          <w:sz w:val="24"/>
        </w:rPr>
        <w:t>3.投标报价评价</w:t>
      </w:r>
    </w:p>
    <w:p w14:paraId="7F923DE2">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3.1投标报价评价：价格分应当采用低价优先法计算，即满足招标文件要求且投标价格最低的投标报价为评标基准价，其价格分为满分（报价权重分）。其他投标人的价格分统一按照下列公式计算：</w:t>
      </w:r>
    </w:p>
    <w:p w14:paraId="2FA1E58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投标报价得分=（评标基准价</w:t>
      </w:r>
      <w:r>
        <w:rPr>
          <w:rFonts w:hint="eastAsia" w:asciiTheme="minorEastAsia" w:hAnsiTheme="minorEastAsia" w:eastAsiaTheme="minorEastAsia"/>
          <w:szCs w:val="21"/>
          <w:vertAlign w:val="subscript"/>
        </w:rPr>
        <w:t>修正或调整</w:t>
      </w:r>
      <w:r>
        <w:rPr>
          <w:rFonts w:hint="eastAsia" w:asciiTheme="minorEastAsia" w:hAnsiTheme="minorEastAsia" w:eastAsiaTheme="minorEastAsia"/>
          <w:szCs w:val="21"/>
        </w:rPr>
        <w:t>／投标报价</w:t>
      </w:r>
      <w:r>
        <w:rPr>
          <w:rFonts w:hint="eastAsia" w:asciiTheme="minorEastAsia" w:hAnsiTheme="minorEastAsia" w:eastAsiaTheme="minorEastAsia"/>
          <w:szCs w:val="21"/>
          <w:vertAlign w:val="subscript"/>
        </w:rPr>
        <w:t>修正或调整</w:t>
      </w:r>
      <w:r>
        <w:rPr>
          <w:rFonts w:hint="eastAsia" w:asciiTheme="minorEastAsia" w:hAnsiTheme="minorEastAsia" w:eastAsiaTheme="minorEastAsia"/>
          <w:szCs w:val="21"/>
        </w:rPr>
        <w:t>） × 报价权重分</w:t>
      </w:r>
    </w:p>
    <w:p w14:paraId="28692E12">
      <w:pPr>
        <w:adjustRightInd w:val="0"/>
        <w:snapToGrid w:val="0"/>
        <w:spacing w:beforeLines="50" w:line="360" w:lineRule="auto"/>
        <w:jc w:val="left"/>
        <w:rPr>
          <w:rFonts w:ascii="黑体" w:hAnsi="黑体" w:eastAsia="黑体"/>
          <w:sz w:val="24"/>
        </w:rPr>
      </w:pPr>
      <w:r>
        <w:rPr>
          <w:rFonts w:hint="eastAsia" w:ascii="黑体" w:hAnsi="黑体" w:eastAsia="黑体"/>
          <w:bCs/>
          <w:sz w:val="24"/>
        </w:rPr>
        <w:t>4.</w:t>
      </w:r>
      <w:r>
        <w:rPr>
          <w:rFonts w:hint="eastAsia" w:ascii="黑体" w:hAnsi="黑体" w:eastAsia="黑体"/>
          <w:sz w:val="24"/>
        </w:rPr>
        <w:t>技术、商务等评分项响应评价及政府采购政策加分</w:t>
      </w:r>
    </w:p>
    <w:p w14:paraId="74834EB8">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4.1技术、商务等评分项响应评分。按</w:t>
      </w:r>
      <w:r>
        <w:rPr>
          <w:rFonts w:hint="eastAsia" w:asciiTheme="minorEastAsia" w:hAnsiTheme="minorEastAsia" w:eastAsiaTheme="minorEastAsia"/>
          <w:bCs/>
          <w:color w:val="000000" w:themeColor="text1"/>
          <w:szCs w:val="21"/>
          <w14:textFill>
            <w14:solidFill>
              <w14:schemeClr w14:val="tx1"/>
            </w14:solidFill>
          </w14:textFill>
        </w:rPr>
        <w:t>本章</w:t>
      </w:r>
      <w:r>
        <w:rPr>
          <w:rFonts w:hint="eastAsia" w:asciiTheme="minorEastAsia" w:hAnsiTheme="minorEastAsia" w:eastAsiaTheme="minorEastAsia"/>
          <w:szCs w:val="21"/>
        </w:rPr>
        <w:t>本节附页1“评标方法及标准表”规定的评标因素和标准，对技术、商务等评分项计算得分。</w:t>
      </w:r>
    </w:p>
    <w:p w14:paraId="3302C8DA">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4.2需落实政府采购政策（优先采购）的，按第二章、本章第二节第5.3（2）项以及本节附页1“评标方法及标准表”的相关规定进行技术、价格、商务项得分(加分)计算。</w:t>
      </w:r>
    </w:p>
    <w:p w14:paraId="68A92CD7">
      <w:pPr>
        <w:adjustRightInd w:val="0"/>
        <w:snapToGrid w:val="0"/>
        <w:spacing w:beforeLines="50" w:line="360" w:lineRule="auto"/>
        <w:jc w:val="left"/>
        <w:rPr>
          <w:rFonts w:ascii="黑体" w:hAnsi="黑体" w:eastAsia="黑体"/>
          <w:b/>
          <w:sz w:val="24"/>
        </w:rPr>
      </w:pPr>
      <w:r>
        <w:rPr>
          <w:rFonts w:hint="eastAsia" w:ascii="黑体" w:hAnsi="黑体" w:eastAsia="黑体"/>
          <w:b/>
          <w:sz w:val="24"/>
        </w:rPr>
        <w:t>5.评标总得分</w:t>
      </w:r>
    </w:p>
    <w:p w14:paraId="4170172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5.1评标总得分为投标报价、技术、商务等评分项得分(含优先采购政策加分)之和。</w:t>
      </w:r>
    </w:p>
    <w:p w14:paraId="742E5BF3">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评标总得分＝A</w:t>
      </w:r>
      <w:r>
        <w:rPr>
          <w:rFonts w:hint="eastAsia" w:asciiTheme="minorEastAsia" w:hAnsiTheme="minorEastAsia" w:eastAsiaTheme="minorEastAsia"/>
          <w:szCs w:val="21"/>
          <w:vertAlign w:val="subscript"/>
        </w:rPr>
        <w:t>投标报价得分</w:t>
      </w:r>
      <w:r>
        <w:rPr>
          <w:rFonts w:hint="eastAsia" w:asciiTheme="minorEastAsia" w:hAnsiTheme="minorEastAsia" w:eastAsiaTheme="minorEastAsia"/>
          <w:szCs w:val="21"/>
        </w:rPr>
        <w:t>＋A</w:t>
      </w:r>
      <w:r>
        <w:rPr>
          <w:rFonts w:hint="eastAsia" w:asciiTheme="minorEastAsia" w:hAnsiTheme="minorEastAsia" w:eastAsiaTheme="minorEastAsia"/>
          <w:szCs w:val="21"/>
          <w:vertAlign w:val="subscript"/>
        </w:rPr>
        <w:t>技术项得分</w:t>
      </w:r>
      <w:r>
        <w:rPr>
          <w:rFonts w:hint="eastAsia" w:asciiTheme="minorEastAsia" w:hAnsiTheme="minorEastAsia" w:eastAsiaTheme="minorEastAsia"/>
          <w:szCs w:val="21"/>
        </w:rPr>
        <w:t>＋A</w:t>
      </w:r>
      <w:r>
        <w:rPr>
          <w:rFonts w:hint="eastAsia" w:asciiTheme="minorEastAsia" w:hAnsiTheme="minorEastAsia" w:eastAsiaTheme="minorEastAsia"/>
          <w:szCs w:val="21"/>
          <w:vertAlign w:val="subscript"/>
        </w:rPr>
        <w:t>商务项得分</w:t>
      </w:r>
      <w:r>
        <w:rPr>
          <w:rFonts w:hint="eastAsia" w:asciiTheme="minorEastAsia" w:hAnsiTheme="minorEastAsia" w:eastAsiaTheme="minorEastAsia"/>
          <w:szCs w:val="21"/>
        </w:rPr>
        <w:t>＋A</w:t>
      </w:r>
      <w:r>
        <w:rPr>
          <w:rFonts w:hint="eastAsia" w:asciiTheme="minorEastAsia" w:hAnsiTheme="minorEastAsia" w:eastAsiaTheme="minorEastAsia"/>
          <w:szCs w:val="21"/>
          <w:vertAlign w:val="subscript"/>
        </w:rPr>
        <w:t>优先采购加分</w:t>
      </w:r>
    </w:p>
    <w:p w14:paraId="08A13F5B">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5.2评分分值计算保留小数点后两位，小数点后第三位“四舍五入”。</w:t>
      </w:r>
    </w:p>
    <w:p w14:paraId="598EA330">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kern w:val="0"/>
          <w:szCs w:val="21"/>
        </w:rPr>
        <w:t>5.3</w:t>
      </w:r>
      <w:r>
        <w:rPr>
          <w:rFonts w:hint="eastAsia" w:asciiTheme="minorEastAsia" w:hAnsiTheme="minorEastAsia" w:eastAsiaTheme="minorEastAsia"/>
          <w:szCs w:val="21"/>
        </w:rPr>
        <w:t>评标时，评标委员会成员应当独立对满足招标文件全部实质性要求投标人的</w:t>
      </w:r>
      <w:r>
        <w:rPr>
          <w:rFonts w:hint="eastAsia" w:asciiTheme="minorEastAsia" w:hAnsiTheme="minorEastAsia" w:eastAsiaTheme="minorEastAsia"/>
          <w:bCs/>
          <w:szCs w:val="21"/>
        </w:rPr>
        <w:t>投标文件</w:t>
      </w:r>
      <w:r>
        <w:rPr>
          <w:rFonts w:hint="eastAsia" w:asciiTheme="minorEastAsia" w:hAnsiTheme="minorEastAsia" w:eastAsiaTheme="minorEastAsia"/>
          <w:szCs w:val="21"/>
        </w:rPr>
        <w:t>进行评价、评分，然后汇总每个投标人每项评分因素的得分。每个投标人的最终得分为所有评标委员会成员评分的算术平均值。</w:t>
      </w:r>
    </w:p>
    <w:p w14:paraId="09655D1D">
      <w:pPr>
        <w:adjustRightInd w:val="0"/>
        <w:snapToGrid w:val="0"/>
        <w:spacing w:beforeLines="50" w:line="360" w:lineRule="auto"/>
        <w:jc w:val="left"/>
        <w:rPr>
          <w:rFonts w:ascii="黑体" w:hAnsi="黑体" w:eastAsia="黑体"/>
          <w:b/>
          <w:bCs/>
          <w:sz w:val="24"/>
        </w:rPr>
      </w:pPr>
      <w:r>
        <w:rPr>
          <w:rFonts w:hint="eastAsia" w:ascii="黑体" w:hAnsi="黑体" w:eastAsia="黑体"/>
          <w:b/>
          <w:bCs/>
          <w:sz w:val="24"/>
        </w:rPr>
        <w:t>6.中标候选人的推荐方法</w:t>
      </w:r>
    </w:p>
    <w:p w14:paraId="289A1CB1">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A51EACD">
      <w:pPr>
        <w:adjustRightInd w:val="0"/>
        <w:snapToGrid w:val="0"/>
        <w:spacing w:beforeLines="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6.2得分且投标报价相同的并列，按本章第二节规定确定中标候选人。</w:t>
      </w:r>
    </w:p>
    <w:p w14:paraId="690CEC4C">
      <w:pPr>
        <w:adjustRightInd w:val="0"/>
        <w:snapToGrid w:val="0"/>
        <w:spacing w:beforeLines="50" w:line="360" w:lineRule="auto"/>
        <w:ind w:firstLine="420" w:firstLineChars="200"/>
        <w:jc w:val="left"/>
        <w:rPr>
          <w:rFonts w:asciiTheme="minorEastAsia" w:hAnsiTheme="minorEastAsia" w:eastAsiaTheme="minorEastAsia"/>
          <w:bCs/>
          <w:szCs w:val="21"/>
        </w:rPr>
      </w:pPr>
    </w:p>
    <w:p w14:paraId="4BC709CE">
      <w:pPr>
        <w:widowControl/>
        <w:jc w:val="left"/>
        <w:rPr>
          <w:rFonts w:asciiTheme="minorEastAsia" w:hAnsiTheme="minorEastAsia" w:eastAsiaTheme="minorEastAsia"/>
          <w:bCs/>
          <w:szCs w:val="21"/>
        </w:rPr>
      </w:pPr>
      <w:r>
        <w:rPr>
          <w:rFonts w:asciiTheme="minorEastAsia" w:hAnsiTheme="minorEastAsia" w:eastAsiaTheme="minorEastAsia"/>
          <w:bCs/>
          <w:szCs w:val="21"/>
        </w:rPr>
        <w:br w:type="page"/>
      </w:r>
    </w:p>
    <w:p w14:paraId="7A8A3594">
      <w:pPr>
        <w:pStyle w:val="4"/>
        <w:adjustRightInd w:val="0"/>
        <w:snapToGrid w:val="0"/>
        <w:spacing w:beforeLines="50" w:after="0" w:line="360" w:lineRule="auto"/>
        <w:rPr>
          <w:sz w:val="21"/>
          <w:szCs w:val="21"/>
        </w:rPr>
      </w:pPr>
      <w:bookmarkStart w:id="32" w:name="_Toc29913925"/>
      <w:r>
        <w:rPr>
          <w:rFonts w:hint="eastAsia"/>
          <w:sz w:val="21"/>
          <w:szCs w:val="21"/>
        </w:rPr>
        <w:t>附页1 评标方法及标准表</w:t>
      </w:r>
      <w:bookmarkEnd w:id="32"/>
    </w:p>
    <w:p w14:paraId="2D018B51">
      <w:pPr>
        <w:adjustRightInd w:val="0"/>
        <w:snapToGrid w:val="0"/>
        <w:spacing w:beforeLines="50" w:line="360" w:lineRule="auto"/>
        <w:jc w:val="center"/>
        <w:rPr>
          <w:rFonts w:ascii="黑体" w:hAnsi="黑体" w:eastAsia="黑体"/>
          <w:b/>
          <w:sz w:val="28"/>
          <w:szCs w:val="28"/>
        </w:rPr>
      </w:pPr>
      <w:r>
        <w:rPr>
          <w:rFonts w:hint="eastAsia" w:ascii="黑体" w:hAnsi="黑体" w:eastAsia="黑体"/>
          <w:b/>
          <w:sz w:val="28"/>
          <w:szCs w:val="28"/>
          <w:lang w:eastAsia="zh-CN"/>
        </w:rPr>
        <w:t>包</w:t>
      </w:r>
      <w:r>
        <w:rPr>
          <w:rFonts w:hint="eastAsia" w:ascii="黑体" w:hAnsi="黑体" w:eastAsia="黑体"/>
          <w:b/>
          <w:sz w:val="28"/>
          <w:szCs w:val="28"/>
          <w:lang w:val="en-US" w:eastAsia="zh-CN"/>
        </w:rPr>
        <w:t>01</w:t>
      </w:r>
      <w:r>
        <w:rPr>
          <w:rFonts w:hint="eastAsia" w:ascii="黑体" w:hAnsi="黑体" w:eastAsia="黑体"/>
          <w:b/>
          <w:sz w:val="28"/>
          <w:szCs w:val="28"/>
        </w:rPr>
        <w:t>评标方法及标准</w:t>
      </w:r>
    </w:p>
    <w:tbl>
      <w:tblPr>
        <w:tblStyle w:val="41"/>
        <w:tblW w:w="8860" w:type="dxa"/>
        <w:jc w:val="center"/>
        <w:tblLayout w:type="fixed"/>
        <w:tblCellMar>
          <w:top w:w="0" w:type="dxa"/>
          <w:left w:w="0" w:type="dxa"/>
          <w:bottom w:w="0" w:type="dxa"/>
          <w:right w:w="0" w:type="dxa"/>
        </w:tblCellMar>
      </w:tblPr>
      <w:tblGrid>
        <w:gridCol w:w="5442"/>
        <w:gridCol w:w="3418"/>
      </w:tblGrid>
      <w:tr w14:paraId="1772F0B4">
        <w:tblPrEx>
          <w:tblCellMar>
            <w:top w:w="0" w:type="dxa"/>
            <w:left w:w="0" w:type="dxa"/>
            <w:bottom w:w="0" w:type="dxa"/>
            <w:right w:w="0" w:type="dxa"/>
          </w:tblCellMar>
        </w:tblPrEx>
        <w:trPr>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6F59A60D">
            <w:pPr>
              <w:widowControl/>
              <w:jc w:val="center"/>
              <w:rPr>
                <w:rFonts w:ascii="宋体" w:hAnsi="宋体"/>
                <w:kern w:val="0"/>
                <w:szCs w:val="21"/>
              </w:rPr>
            </w:pPr>
            <w:r>
              <w:rPr>
                <w:rFonts w:ascii="宋体" w:hAnsi="宋体"/>
                <w:kern w:val="0"/>
                <w:szCs w:val="21"/>
              </w:rPr>
              <w:t>评审因素及权值</w:t>
            </w:r>
          </w:p>
        </w:tc>
      </w:tr>
      <w:tr w14:paraId="71169064">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32DC4F71">
            <w:pPr>
              <w:widowControl/>
              <w:jc w:val="center"/>
              <w:rPr>
                <w:rFonts w:ascii="宋体" w:hAnsi="宋体"/>
                <w:b/>
                <w:kern w:val="0"/>
                <w:szCs w:val="21"/>
              </w:rPr>
            </w:pPr>
            <w:r>
              <w:rPr>
                <w:rFonts w:ascii="宋体" w:hAnsi="宋体"/>
                <w:b/>
                <w:kern w:val="0"/>
                <w:szCs w:val="21"/>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51E861E2">
            <w:pPr>
              <w:widowControl/>
              <w:jc w:val="center"/>
              <w:rPr>
                <w:rFonts w:ascii="宋体" w:hAnsi="宋体"/>
                <w:b/>
                <w:kern w:val="0"/>
                <w:szCs w:val="21"/>
              </w:rPr>
            </w:pPr>
            <w:r>
              <w:rPr>
                <w:rFonts w:ascii="宋体" w:hAnsi="宋体"/>
                <w:b/>
                <w:kern w:val="0"/>
                <w:szCs w:val="21"/>
              </w:rPr>
              <w:t>权值范围</w:t>
            </w:r>
          </w:p>
        </w:tc>
      </w:tr>
      <w:tr w14:paraId="3B44E104">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A8ACAB3">
            <w:pPr>
              <w:widowControl/>
              <w:jc w:val="center"/>
              <w:rPr>
                <w:rFonts w:ascii="宋体" w:hAnsi="宋体"/>
                <w:kern w:val="0"/>
                <w:szCs w:val="21"/>
              </w:rPr>
            </w:pPr>
            <w:r>
              <w:rPr>
                <w:rFonts w:ascii="宋体" w:hAnsi="宋体"/>
                <w:kern w:val="0"/>
                <w:szCs w:val="21"/>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DABDFF6">
            <w:pPr>
              <w:widowControl/>
              <w:jc w:val="center"/>
              <w:rPr>
                <w:rFonts w:hint="default" w:ascii="宋体" w:hAnsi="宋体" w:eastAsia="宋体"/>
                <w:kern w:val="0"/>
                <w:szCs w:val="21"/>
                <w:lang w:val="en-US" w:eastAsia="zh-CN"/>
              </w:rPr>
            </w:pPr>
            <w:r>
              <w:rPr>
                <w:rFonts w:hint="eastAsia" w:ascii="宋体" w:hAnsi="宋体"/>
                <w:kern w:val="0"/>
                <w:szCs w:val="21"/>
              </w:rPr>
              <w:t>（A1）</w:t>
            </w:r>
            <w:r>
              <w:rPr>
                <w:rFonts w:hint="eastAsia" w:ascii="宋体" w:hAnsi="宋体"/>
                <w:kern w:val="0"/>
                <w:szCs w:val="21"/>
                <w:lang w:val="en-US" w:eastAsia="zh-CN"/>
              </w:rPr>
              <w:t>45</w:t>
            </w:r>
          </w:p>
        </w:tc>
      </w:tr>
      <w:tr w14:paraId="6A013528">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C75C4BA">
            <w:pPr>
              <w:widowControl/>
              <w:jc w:val="center"/>
              <w:rPr>
                <w:rFonts w:ascii="宋体" w:hAnsi="宋体"/>
                <w:kern w:val="0"/>
                <w:szCs w:val="21"/>
              </w:rPr>
            </w:pPr>
            <w:r>
              <w:rPr>
                <w:rFonts w:ascii="宋体" w:hAnsi="宋体"/>
                <w:kern w:val="0"/>
                <w:szCs w:val="21"/>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CDBA056">
            <w:pPr>
              <w:widowControl/>
              <w:jc w:val="center"/>
              <w:rPr>
                <w:rFonts w:hint="default" w:ascii="宋体" w:hAnsi="宋体" w:eastAsia="宋体"/>
                <w:color w:val="auto"/>
                <w:kern w:val="0"/>
                <w:szCs w:val="21"/>
                <w:lang w:val="en-US" w:eastAsia="zh-CN"/>
              </w:rPr>
            </w:pPr>
            <w:r>
              <w:rPr>
                <w:rFonts w:hint="eastAsia" w:ascii="宋体" w:hAnsi="宋体"/>
                <w:color w:val="auto"/>
                <w:kern w:val="0"/>
                <w:szCs w:val="21"/>
              </w:rPr>
              <w:t>（A2）</w:t>
            </w:r>
            <w:r>
              <w:rPr>
                <w:rFonts w:hint="eastAsia" w:ascii="宋体" w:hAnsi="宋体"/>
                <w:color w:val="auto"/>
                <w:kern w:val="0"/>
                <w:szCs w:val="21"/>
                <w:lang w:val="en-US" w:eastAsia="zh-CN"/>
              </w:rPr>
              <w:t>25</w:t>
            </w:r>
          </w:p>
        </w:tc>
      </w:tr>
      <w:tr w14:paraId="7F161D7A">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5057159">
            <w:pPr>
              <w:widowControl/>
              <w:jc w:val="center"/>
              <w:rPr>
                <w:rFonts w:ascii="宋体" w:hAnsi="宋体"/>
                <w:kern w:val="0"/>
                <w:szCs w:val="21"/>
              </w:rPr>
            </w:pPr>
            <w:r>
              <w:rPr>
                <w:rFonts w:ascii="宋体" w:hAnsi="宋体"/>
                <w:kern w:val="0"/>
                <w:szCs w:val="21"/>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6BE2999">
            <w:pPr>
              <w:widowControl/>
              <w:jc w:val="center"/>
              <w:rPr>
                <w:rFonts w:hint="default" w:ascii="宋体" w:hAnsi="宋体" w:eastAsia="宋体"/>
                <w:color w:val="auto"/>
                <w:kern w:val="0"/>
                <w:szCs w:val="21"/>
                <w:lang w:val="en-US" w:eastAsia="zh-CN"/>
              </w:rPr>
            </w:pPr>
            <w:r>
              <w:rPr>
                <w:rFonts w:hint="eastAsia" w:ascii="宋体" w:hAnsi="宋体"/>
                <w:color w:val="auto"/>
                <w:kern w:val="0"/>
                <w:szCs w:val="21"/>
              </w:rPr>
              <w:t>（A3）</w:t>
            </w:r>
            <w:r>
              <w:rPr>
                <w:rFonts w:hint="eastAsia" w:ascii="宋体" w:hAnsi="宋体"/>
                <w:color w:val="auto"/>
                <w:kern w:val="0"/>
                <w:szCs w:val="21"/>
                <w:lang w:val="en-US" w:eastAsia="zh-CN"/>
              </w:rPr>
              <w:t>30</w:t>
            </w:r>
          </w:p>
        </w:tc>
      </w:tr>
    </w:tbl>
    <w:p w14:paraId="536AE2D5">
      <w:pPr>
        <w:widowControl/>
        <w:rPr>
          <w:kern w:val="0"/>
          <w:sz w:val="24"/>
        </w:rPr>
      </w:pPr>
      <w:r>
        <w:rPr>
          <w:kern w:val="0"/>
          <w:szCs w:val="21"/>
        </w:rPr>
        <w:t xml:space="preserve">  </w:t>
      </w:r>
    </w:p>
    <w:tbl>
      <w:tblPr>
        <w:tblStyle w:val="41"/>
        <w:tblW w:w="8845" w:type="dxa"/>
        <w:jc w:val="center"/>
        <w:tblLayout w:type="fixed"/>
        <w:tblCellMar>
          <w:top w:w="0" w:type="dxa"/>
          <w:left w:w="0" w:type="dxa"/>
          <w:bottom w:w="0" w:type="dxa"/>
          <w:right w:w="0" w:type="dxa"/>
        </w:tblCellMar>
      </w:tblPr>
      <w:tblGrid>
        <w:gridCol w:w="626"/>
        <w:gridCol w:w="793"/>
        <w:gridCol w:w="709"/>
        <w:gridCol w:w="6717"/>
      </w:tblGrid>
      <w:tr w14:paraId="004D5859">
        <w:tblPrEx>
          <w:tblCellMar>
            <w:top w:w="0" w:type="dxa"/>
            <w:left w:w="0" w:type="dxa"/>
            <w:bottom w:w="0" w:type="dxa"/>
            <w:right w:w="0" w:type="dxa"/>
          </w:tblCellMar>
        </w:tblPrEx>
        <w:trPr>
          <w:jc w:val="center"/>
        </w:trPr>
        <w:tc>
          <w:tcPr>
            <w:tcW w:w="8845" w:type="dxa"/>
            <w:gridSpan w:val="4"/>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919C41A">
            <w:pPr>
              <w:jc w:val="center"/>
              <w:rPr>
                <w:b/>
              </w:rPr>
            </w:pPr>
            <w:r>
              <w:rPr>
                <w:b/>
              </w:rPr>
              <w:t>综合评分表</w:t>
            </w:r>
          </w:p>
        </w:tc>
      </w:tr>
      <w:tr w14:paraId="7A69571E">
        <w:tblPrEx>
          <w:tblCellMar>
            <w:top w:w="0" w:type="dxa"/>
            <w:left w:w="0" w:type="dxa"/>
            <w:bottom w:w="0" w:type="dxa"/>
            <w:right w:w="0" w:type="dxa"/>
          </w:tblCellMar>
        </w:tblPrEx>
        <w:trPr>
          <w:jc w:val="center"/>
        </w:trPr>
        <w:tc>
          <w:tcPr>
            <w:tcW w:w="62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52B72DD">
            <w:pPr>
              <w:jc w:val="center"/>
              <w:rPr>
                <w:b/>
              </w:rPr>
            </w:pPr>
            <w:r>
              <w:rPr>
                <w:b/>
              </w:rPr>
              <w:t>评审因素</w:t>
            </w:r>
          </w:p>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BF2C981">
            <w:pPr>
              <w:jc w:val="center"/>
              <w:rPr>
                <w:b/>
              </w:rPr>
            </w:pPr>
            <w:r>
              <w:rPr>
                <w:b/>
              </w:rPr>
              <w:t>计分</w:t>
            </w:r>
          </w:p>
          <w:p w14:paraId="08018DD9">
            <w:pPr>
              <w:jc w:val="center"/>
              <w:rPr>
                <w:b/>
              </w:rPr>
            </w:pPr>
            <w:r>
              <w:rPr>
                <w:b/>
              </w:rPr>
              <w:t>因素</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02BB0C2">
            <w:pPr>
              <w:jc w:val="center"/>
              <w:rPr>
                <w:b/>
              </w:rPr>
            </w:pPr>
            <w:r>
              <w:rPr>
                <w:b/>
              </w:rPr>
              <w:t>分值</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F8BEA9A">
            <w:pPr>
              <w:jc w:val="center"/>
              <w:rPr>
                <w:b/>
              </w:rPr>
            </w:pPr>
            <w:r>
              <w:rPr>
                <w:b/>
              </w:rPr>
              <w:t>计分标准</w:t>
            </w:r>
          </w:p>
        </w:tc>
      </w:tr>
      <w:tr w14:paraId="3E864BFA">
        <w:tblPrEx>
          <w:tblCellMar>
            <w:top w:w="0" w:type="dxa"/>
            <w:left w:w="0" w:type="dxa"/>
            <w:bottom w:w="0" w:type="dxa"/>
            <w:right w:w="0" w:type="dxa"/>
          </w:tblCellMar>
        </w:tblPrEx>
        <w:trPr>
          <w:jc w:val="center"/>
        </w:trPr>
        <w:tc>
          <w:tcPr>
            <w:tcW w:w="626"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E58F662">
            <w:pPr>
              <w:jc w:val="center"/>
            </w:pPr>
            <w:r>
              <w:rPr>
                <w:b/>
              </w:rPr>
              <w:t>技术部分(F1)</w:t>
            </w:r>
          </w:p>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00BBC53">
            <w:pPr>
              <w:jc w:val="center"/>
              <w:rPr>
                <w:rFonts w:hint="eastAsia"/>
                <w:lang w:eastAsia="zh-CN"/>
              </w:rPr>
            </w:pPr>
            <w:r>
              <w:rPr>
                <w:rFonts w:hint="eastAsia"/>
                <w:lang w:eastAsia="zh-CN"/>
              </w:rPr>
              <w:t>采购</w:t>
            </w:r>
          </w:p>
          <w:p w14:paraId="3105D2AF">
            <w:pPr>
              <w:jc w:val="center"/>
              <w:rPr>
                <w:rFonts w:hint="eastAsia" w:eastAsia="宋体"/>
                <w:lang w:eastAsia="zh-CN"/>
              </w:rPr>
            </w:pPr>
            <w:r>
              <w:rPr>
                <w:rFonts w:hint="eastAsia"/>
                <w:lang w:eastAsia="zh-CN"/>
              </w:rPr>
              <w:t>需求</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716CEC2">
            <w:pPr>
              <w:jc w:val="center"/>
            </w:pPr>
            <w:r>
              <w:rPr>
                <w:rFonts w:hint="eastAsia"/>
              </w:rPr>
              <w:t>100.0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A383FF1">
            <w:pP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以招标文件“第五章采购需求”为基准，完全满足或优于招标文件的</w:t>
            </w:r>
            <w:r>
              <w:rPr>
                <w:rFonts w:hint="eastAsia" w:cs="Times New Roman" w:eastAsiaTheme="minorEastAsia"/>
                <w:szCs w:val="21"/>
                <w:lang w:eastAsia="zh-CN"/>
              </w:rPr>
              <w:t>计</w:t>
            </w:r>
            <w:r>
              <w:rPr>
                <w:rFonts w:hint="default" w:ascii="Times New Roman" w:hAnsi="Times New Roman" w:cs="Times New Roman" w:eastAsiaTheme="minorEastAsia"/>
                <w:szCs w:val="21"/>
              </w:rPr>
              <w:t>100分；带</w:t>
            </w:r>
            <w:r>
              <w:rPr>
                <w:rFonts w:hint="default" w:ascii="Times New Roman" w:hAnsi="Times New Roman" w:cs="Times New Roman" w:eastAsiaTheme="minorEastAsia"/>
                <w:szCs w:val="21"/>
                <w:lang w:eastAsia="zh-CN"/>
              </w:rPr>
              <w:t>“</w:t>
            </w:r>
            <w:r>
              <w:rPr>
                <w:rFonts w:hint="default" w:ascii="Times New Roman" w:hAnsi="Times New Roman" w:cs="Times New Roman" w:eastAsiaTheme="minorEastAsia"/>
                <w:szCs w:val="21"/>
              </w:rPr>
              <w:t>★</w:t>
            </w:r>
            <w:r>
              <w:rPr>
                <w:rFonts w:hint="default" w:ascii="Times New Roman" w:hAnsi="Times New Roman" w:cs="Times New Roman" w:eastAsiaTheme="minorEastAsia"/>
                <w:szCs w:val="21"/>
                <w:lang w:eastAsia="zh-CN"/>
              </w:rPr>
              <w:t>”为</w:t>
            </w:r>
            <w:r>
              <w:rPr>
                <w:rFonts w:hint="default" w:ascii="Times New Roman" w:hAnsi="Times New Roman" w:cs="Times New Roman" w:eastAsiaTheme="minorEastAsia"/>
                <w:szCs w:val="21"/>
              </w:rPr>
              <w:t>实质性响应项，如有负偏离，取消投标人资格。</w:t>
            </w:r>
          </w:p>
          <w:p w14:paraId="00F5CDB1">
            <w:pPr>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eastAsiaTheme="minorEastAsia"/>
                <w:szCs w:val="21"/>
              </w:rPr>
              <w:t>带</w:t>
            </w:r>
            <w:r>
              <w:rPr>
                <w:rFonts w:hint="default" w:ascii="Times New Roman" w:hAnsi="Times New Roman" w:cs="Times New Roman" w:eastAsiaTheme="minorEastAsia"/>
                <w:szCs w:val="21"/>
                <w:lang w:eastAsia="zh-CN"/>
              </w:rPr>
              <w:t>“</w:t>
            </w:r>
            <w:r>
              <w:rPr>
                <w:rFonts w:hint="eastAsia" w:ascii="宋体" w:hAnsi="宋体" w:eastAsia="宋体" w:cs="宋体"/>
                <w:szCs w:val="21"/>
              </w:rPr>
              <w:t>▲</w:t>
            </w:r>
            <w:r>
              <w:rPr>
                <w:rFonts w:hint="default" w:ascii="Times New Roman" w:hAnsi="Times New Roman" w:cs="Times New Roman" w:eastAsiaTheme="minorEastAsia"/>
                <w:szCs w:val="21"/>
                <w:lang w:eastAsia="zh-CN"/>
              </w:rPr>
              <w:t>”为</w:t>
            </w:r>
            <w:r>
              <w:rPr>
                <w:rFonts w:hint="eastAsia" w:cs="Times New Roman" w:eastAsiaTheme="minorEastAsia"/>
                <w:szCs w:val="21"/>
                <w:lang w:eastAsia="zh-CN"/>
              </w:rPr>
              <w:t>重要非实质性项，如有负偏离扣</w:t>
            </w:r>
            <w:r>
              <w:rPr>
                <w:rFonts w:hint="eastAsia" w:cs="Times New Roman" w:eastAsiaTheme="minorEastAsia"/>
                <w:szCs w:val="21"/>
                <w:lang w:val="en-US" w:eastAsia="zh-CN"/>
              </w:rPr>
              <w:t>30分，其他</w:t>
            </w:r>
            <w:r>
              <w:rPr>
                <w:rFonts w:hint="default" w:ascii="Times New Roman" w:hAnsi="Times New Roman" w:cs="Times New Roman"/>
              </w:rPr>
              <w:t>非实质性项如有负偏离每处扣</w:t>
            </w:r>
            <w:r>
              <w:rPr>
                <w:rFonts w:hint="default" w:ascii="Times New Roman" w:hAnsi="Times New Roman" w:cs="Times New Roman"/>
                <w:lang w:val="en-US" w:eastAsia="zh-CN"/>
              </w:rPr>
              <w:t>20</w:t>
            </w:r>
            <w:r>
              <w:rPr>
                <w:rFonts w:hint="default" w:ascii="Times New Roman" w:hAnsi="Times New Roman" w:cs="Times New Roman"/>
              </w:rPr>
              <w:t>分（以最小单位为一项），</w:t>
            </w:r>
            <w:r>
              <w:rPr>
                <w:rFonts w:hint="eastAsia" w:cs="Times New Roman"/>
                <w:lang w:eastAsia="zh-CN"/>
              </w:rPr>
              <w:t>扣完本项分值为准。</w:t>
            </w:r>
            <w:r>
              <w:rPr>
                <w:rFonts w:hint="default" w:ascii="Times New Roman" w:hAnsi="Times New Roman" w:cs="Times New Roman"/>
              </w:rPr>
              <w:t>本次招标允许</w:t>
            </w:r>
            <w:r>
              <w:rPr>
                <w:rFonts w:hint="eastAsia" w:ascii="宋体" w:hAnsi="宋体" w:eastAsia="宋体" w:cs="宋体"/>
              </w:rPr>
              <w:t>≤</w:t>
            </w:r>
            <w:r>
              <w:rPr>
                <w:rFonts w:hint="default" w:ascii="Times New Roman" w:hAnsi="Times New Roman" w:cs="Times New Roman"/>
                <w:lang w:val="en-US" w:eastAsia="zh-CN"/>
              </w:rPr>
              <w:t>5</w:t>
            </w:r>
            <w:r>
              <w:rPr>
                <w:rFonts w:hint="default" w:ascii="Times New Roman" w:hAnsi="Times New Roman" w:cs="Times New Roman"/>
              </w:rPr>
              <w:t>项负偏离。</w:t>
            </w:r>
          </w:p>
          <w:p w14:paraId="0E03CC9D">
            <w:pPr>
              <w:rPr>
                <w:rFonts w:hint="default" w:ascii="Times New Roman" w:hAnsi="Times New Roman" w:cs="Times New Roman"/>
              </w:rPr>
            </w:pPr>
            <w:r>
              <w:rPr>
                <w:rFonts w:hint="default" w:ascii="Times New Roman" w:hAnsi="Times New Roman" w:cs="Times New Roman" w:eastAsiaTheme="minorEastAsia"/>
                <w:szCs w:val="21"/>
              </w:rPr>
              <w:t>2、正偏离不加分。</w:t>
            </w:r>
          </w:p>
        </w:tc>
      </w:tr>
      <w:tr w14:paraId="074820DE">
        <w:tblPrEx>
          <w:tblCellMar>
            <w:top w:w="0" w:type="dxa"/>
            <w:left w:w="0" w:type="dxa"/>
            <w:bottom w:w="0" w:type="dxa"/>
            <w:right w:w="0" w:type="dxa"/>
          </w:tblCellMar>
        </w:tblPrEx>
        <w:trPr>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109C981F"/>
        </w:tc>
        <w:tc>
          <w:tcPr>
            <w:tcW w:w="8219" w:type="dxa"/>
            <w:gridSpan w:val="3"/>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6F5175C">
            <w:pPr>
              <w:rPr>
                <w:rFonts w:hint="default" w:ascii="Times New Roman" w:hAnsi="Times New Roman" w:cs="Times New Roman"/>
              </w:rPr>
            </w:pPr>
            <w:r>
              <w:rPr>
                <w:rFonts w:hint="default" w:ascii="Times New Roman" w:hAnsi="Times New Roman" w:cs="Times New Roman"/>
              </w:rPr>
              <w:t xml:space="preserve">节能、环境标志产品加分(此仅限于节能、环境标志政府采购品目清单内产品，不是品目清单内的产品，在评审时不予加分)： </w:t>
            </w:r>
          </w:p>
          <w:p w14:paraId="48FD608D">
            <w:pPr>
              <w:rPr>
                <w:rFonts w:hint="default" w:ascii="Times New Roman" w:hAnsi="Times New Roman" w:cs="Times New Roman"/>
              </w:rPr>
            </w:pPr>
            <w:r>
              <w:rPr>
                <w:rFonts w:hint="default" w:ascii="Times New Roman" w:hAnsi="Times New Roman" w:cs="Times New Roman"/>
              </w:rPr>
              <w:t>所投环保产品的价格</w:t>
            </w:r>
          </w:p>
          <w:p w14:paraId="00C85F6B">
            <w:pPr>
              <w:rPr>
                <w:rFonts w:hint="default" w:ascii="Times New Roman" w:hAnsi="Times New Roman" w:cs="Times New Roman"/>
              </w:rPr>
            </w:pPr>
            <w:r>
              <w:rPr>
                <w:rFonts w:hint="default" w:ascii="Times New Roman" w:hAnsi="Times New Roman" w:cs="Times New Roman"/>
              </w:rPr>
              <w:t>———————————×技术权值×100×本项目加分比例= 应加分数</w:t>
            </w:r>
          </w:p>
          <w:p w14:paraId="51DFF7B5">
            <w:pPr>
              <w:rPr>
                <w:rFonts w:hint="default" w:ascii="Times New Roman" w:hAnsi="Times New Roman" w:cs="Times New Roman"/>
              </w:rPr>
            </w:pPr>
            <w:r>
              <w:rPr>
                <w:rFonts w:hint="default" w:ascii="Times New Roman" w:hAnsi="Times New Roman" w:cs="Times New Roman"/>
              </w:rPr>
              <w:t>项目总价格</w:t>
            </w:r>
          </w:p>
          <w:p w14:paraId="0F26C3B2">
            <w:pPr>
              <w:rPr>
                <w:rFonts w:hint="default" w:ascii="Times New Roman" w:hAnsi="Times New Roman" w:cs="Times New Roman"/>
              </w:rPr>
            </w:pPr>
            <w:r>
              <w:rPr>
                <w:rFonts w:hint="default" w:ascii="Times New Roman" w:hAnsi="Times New Roman" w:cs="Times New Roman"/>
              </w:rPr>
              <w:t>注：整包中某一品目为节能、环境标志政府采购品目清单内产品时只对该品目技术加分，并合计到技术最终得分。</w:t>
            </w:r>
          </w:p>
        </w:tc>
      </w:tr>
      <w:tr w14:paraId="19DFDD4C">
        <w:tblPrEx>
          <w:tblCellMar>
            <w:top w:w="0" w:type="dxa"/>
            <w:left w:w="0" w:type="dxa"/>
            <w:bottom w:w="0" w:type="dxa"/>
            <w:right w:w="0" w:type="dxa"/>
          </w:tblCellMar>
        </w:tblPrEx>
        <w:trPr>
          <w:trHeight w:val="2085" w:hRule="atLeast"/>
          <w:jc w:val="center"/>
        </w:trPr>
        <w:tc>
          <w:tcPr>
            <w:tcW w:w="626"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7F16799">
            <w:pPr>
              <w:jc w:val="center"/>
            </w:pPr>
            <w:r>
              <w:rPr>
                <w:b/>
              </w:rPr>
              <w:t>商务部分(F2)</w:t>
            </w:r>
          </w:p>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ADF6186">
            <w:pPr>
              <w:jc w:val="center"/>
              <w:rPr>
                <w:rFonts w:hint="default" w:ascii="Times New Roman" w:hAnsi="Times New Roman" w:cs="Times New Roman"/>
                <w:lang w:eastAsia="zh-CN"/>
              </w:rPr>
            </w:pPr>
            <w:r>
              <w:rPr>
                <w:rFonts w:hint="default" w:ascii="Times New Roman" w:hAnsi="Times New Roman" w:cs="Times New Roman"/>
                <w:lang w:eastAsia="zh-CN"/>
              </w:rPr>
              <w:t>服务</w:t>
            </w:r>
          </w:p>
          <w:p w14:paraId="0F3C54F2">
            <w:pPr>
              <w:jc w:val="center"/>
              <w:rPr>
                <w:rFonts w:hint="default" w:ascii="Times New Roman" w:hAnsi="Times New Roman" w:cs="Times New Roman"/>
              </w:rPr>
            </w:pPr>
            <w:r>
              <w:rPr>
                <w:rFonts w:hint="default" w:ascii="Times New Roman" w:hAnsi="Times New Roman" w:cs="Times New Roman"/>
              </w:rPr>
              <w:t>业绩</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B042854">
            <w:pPr>
              <w:tabs>
                <w:tab w:val="left" w:pos="1988"/>
              </w:tabs>
              <w:spacing w:line="360" w:lineRule="exact"/>
              <w:jc w:val="center"/>
              <w:rPr>
                <w:rFonts w:hint="default" w:ascii="Times New Roman" w:hAnsi="Times New Roman" w:cs="Times New Roman"/>
                <w:szCs w:val="21"/>
              </w:rPr>
            </w:pPr>
            <w:r>
              <w:rPr>
                <w:rFonts w:hint="eastAsia" w:cs="Times New Roman"/>
                <w:szCs w:val="21"/>
                <w:lang w:val="en-US" w:eastAsia="zh-CN"/>
              </w:rPr>
              <w:t>20</w:t>
            </w:r>
            <w:r>
              <w:rPr>
                <w:rFonts w:hint="default" w:ascii="Times New Roman" w:hAnsi="Times New Roman" w:cs="Times New Roman"/>
                <w:szCs w:val="21"/>
              </w:rPr>
              <w:t>.0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DBFE41B">
            <w:pPr>
              <w:spacing w:line="360" w:lineRule="exact"/>
              <w:rPr>
                <w:rFonts w:hint="default" w:ascii="Times New Roman" w:hAnsi="Times New Roman" w:cs="Times New Roman"/>
                <w:szCs w:val="21"/>
              </w:rPr>
            </w:pPr>
            <w:r>
              <w:rPr>
                <w:rFonts w:hint="default" w:ascii="Times New Roman" w:hAnsi="Times New Roman" w:cs="Times New Roman"/>
                <w:kern w:val="0"/>
                <w:szCs w:val="21"/>
                <w:lang w:eastAsia="zh-CN"/>
              </w:rPr>
              <w:t>评标专家根据投标人提供</w:t>
            </w:r>
            <w:r>
              <w:rPr>
                <w:rFonts w:hint="default" w:ascii="Times New Roman" w:hAnsi="Times New Roman" w:cs="Times New Roman"/>
                <w:kern w:val="0"/>
                <w:szCs w:val="21"/>
                <w:lang w:val="en-US" w:eastAsia="zh-CN"/>
              </w:rPr>
              <w:t>的自202</w:t>
            </w:r>
            <w:r>
              <w:rPr>
                <w:rFonts w:hint="eastAsia" w:cs="Times New Roman"/>
                <w:kern w:val="0"/>
                <w:szCs w:val="21"/>
                <w:lang w:val="en-US" w:eastAsia="zh-CN"/>
              </w:rPr>
              <w:t>2</w:t>
            </w:r>
            <w:r>
              <w:rPr>
                <w:rFonts w:hint="default" w:ascii="Times New Roman" w:hAnsi="Times New Roman" w:cs="Times New Roman"/>
                <w:kern w:val="0"/>
                <w:szCs w:val="21"/>
                <w:lang w:val="en-US" w:eastAsia="zh-CN"/>
              </w:rPr>
              <w:t>年</w:t>
            </w:r>
            <w:r>
              <w:rPr>
                <w:rFonts w:hint="eastAsia" w:cs="Times New Roman"/>
                <w:kern w:val="0"/>
                <w:szCs w:val="21"/>
                <w:lang w:val="en-US" w:eastAsia="zh-CN"/>
              </w:rPr>
              <w:t>7</w:t>
            </w:r>
            <w:r>
              <w:rPr>
                <w:rFonts w:hint="default" w:ascii="Times New Roman" w:hAnsi="Times New Roman" w:cs="Times New Roman"/>
                <w:kern w:val="0"/>
                <w:szCs w:val="21"/>
                <w:lang w:val="en-US" w:eastAsia="zh-CN"/>
              </w:rPr>
              <w:t>月至投标截止时间前的</w:t>
            </w:r>
            <w:r>
              <w:rPr>
                <w:rFonts w:hint="eastAsia" w:ascii="Times New Roman" w:hAnsi="Times New Roman" w:cs="Times New Roman"/>
                <w:kern w:val="0"/>
                <w:szCs w:val="21"/>
                <w:lang w:eastAsia="zh-CN"/>
              </w:rPr>
              <w:t>同品牌类似</w:t>
            </w:r>
            <w:r>
              <w:rPr>
                <w:rFonts w:hint="default" w:ascii="Times New Roman" w:hAnsi="Times New Roman" w:cs="Times New Roman"/>
                <w:kern w:val="0"/>
                <w:szCs w:val="21"/>
                <w:lang w:eastAsia="zh-CN"/>
              </w:rPr>
              <w:t>维保业绩，每提供一份维保业绩的证明文件计</w:t>
            </w:r>
            <w:r>
              <w:rPr>
                <w:rFonts w:hint="eastAsia" w:cs="Times New Roman"/>
                <w:kern w:val="0"/>
                <w:szCs w:val="21"/>
                <w:lang w:val="en-US" w:eastAsia="zh-CN"/>
              </w:rPr>
              <w:t>5</w:t>
            </w:r>
            <w:r>
              <w:rPr>
                <w:rFonts w:hint="default" w:ascii="Times New Roman" w:hAnsi="Times New Roman" w:cs="Times New Roman"/>
                <w:kern w:val="0"/>
                <w:szCs w:val="21"/>
                <w:lang w:eastAsia="zh-CN"/>
              </w:rPr>
              <w:t>分，计满本项分值为准；（未提供上述相关证明文件的复印件，视同无业绩，不予计分）。对于投标人所提供的同样项目业绩案例，采购人保留予以核实的权利。如发现投标人提供虚假业绩，按虚假应标处理。</w:t>
            </w:r>
          </w:p>
        </w:tc>
      </w:tr>
      <w:tr w14:paraId="518D9AD0">
        <w:tblPrEx>
          <w:tblCellMar>
            <w:top w:w="0" w:type="dxa"/>
            <w:left w:w="0" w:type="dxa"/>
            <w:bottom w:w="0" w:type="dxa"/>
            <w:right w:w="0" w:type="dxa"/>
          </w:tblCellMar>
        </w:tblPrEx>
        <w:trPr>
          <w:trHeight w:val="1800"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66844460"/>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68F495D">
            <w:pPr>
              <w:jc w:val="center"/>
              <w:rPr>
                <w:rFonts w:hint="default" w:ascii="Times New Roman" w:hAnsi="Times New Roman" w:cs="Times New Roman"/>
              </w:rPr>
            </w:pPr>
            <w:r>
              <w:rPr>
                <w:rFonts w:hint="default" w:ascii="Times New Roman" w:hAnsi="Times New Roman" w:cs="Times New Roman"/>
                <w:lang w:eastAsia="zh-CN"/>
              </w:rPr>
              <w:t>拟派维修</w:t>
            </w:r>
            <w:r>
              <w:rPr>
                <w:rFonts w:hint="default" w:ascii="Times New Roman" w:hAnsi="Times New Roman" w:cs="Times New Roman"/>
              </w:rPr>
              <w:t>工程师资质</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4593025">
            <w:pPr>
              <w:tabs>
                <w:tab w:val="left" w:pos="1988"/>
              </w:tabs>
              <w:spacing w:line="360" w:lineRule="exact"/>
              <w:jc w:val="center"/>
              <w:rPr>
                <w:rFonts w:hint="default" w:ascii="Times New Roman" w:hAnsi="Times New Roman" w:cs="Times New Roman"/>
                <w:szCs w:val="21"/>
              </w:rPr>
            </w:pPr>
            <w:r>
              <w:rPr>
                <w:rFonts w:hint="eastAsia" w:cs="Times New Roman"/>
                <w:color w:val="auto"/>
                <w:szCs w:val="21"/>
                <w:lang w:val="en-US" w:eastAsia="zh-CN"/>
              </w:rPr>
              <w:t>20</w:t>
            </w:r>
            <w:r>
              <w:rPr>
                <w:rFonts w:hint="default" w:ascii="Times New Roman" w:hAnsi="Times New Roman" w:cs="Times New Roman"/>
                <w:color w:val="auto"/>
                <w:szCs w:val="21"/>
              </w:rPr>
              <w:t>.0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E527575">
            <w:pPr>
              <w:spacing w:line="360" w:lineRule="exact"/>
              <w:rPr>
                <w:rFonts w:hint="default" w:ascii="Times New Roman" w:hAnsi="Times New Roman" w:cs="Times New Roman"/>
                <w:szCs w:val="21"/>
              </w:rPr>
            </w:pPr>
            <w:r>
              <w:rPr>
                <w:rFonts w:hint="default" w:ascii="Times New Roman" w:hAnsi="Times New Roman" w:cs="Times New Roman"/>
                <w:szCs w:val="21"/>
              </w:rPr>
              <w:t>评标专家根据投标人提供</w:t>
            </w:r>
            <w:r>
              <w:rPr>
                <w:rFonts w:hint="default" w:ascii="Times New Roman" w:hAnsi="Times New Roman" w:cs="Times New Roman"/>
                <w:szCs w:val="21"/>
                <w:lang w:eastAsia="zh-CN"/>
              </w:rPr>
              <w:t>的</w:t>
            </w:r>
            <w:r>
              <w:rPr>
                <w:rFonts w:hint="default" w:ascii="Times New Roman" w:hAnsi="Times New Roman" w:cs="Times New Roman"/>
                <w:szCs w:val="21"/>
                <w:lang w:val="en-US" w:eastAsia="zh-CN"/>
              </w:rPr>
              <w:t>2名或2名以上拟派维修</w:t>
            </w:r>
            <w:r>
              <w:rPr>
                <w:rFonts w:hint="default" w:ascii="Times New Roman" w:hAnsi="Times New Roman" w:cs="Times New Roman"/>
                <w:szCs w:val="21"/>
              </w:rPr>
              <w:t>工程师的原厂培训证书、身份证复印件，</w:t>
            </w:r>
            <w:r>
              <w:rPr>
                <w:rFonts w:hint="default" w:ascii="Times New Roman" w:hAnsi="Times New Roman" w:cs="Times New Roman"/>
                <w:szCs w:val="21"/>
                <w:lang w:eastAsia="zh-CN"/>
              </w:rPr>
              <w:t>单位</w:t>
            </w:r>
            <w:r>
              <w:rPr>
                <w:rFonts w:hint="default" w:ascii="Times New Roman" w:hAnsi="Times New Roman" w:cs="Times New Roman"/>
                <w:szCs w:val="21"/>
              </w:rPr>
              <w:t>社保证明</w:t>
            </w:r>
            <w:r>
              <w:rPr>
                <w:rFonts w:hint="default" w:ascii="Times New Roman" w:hAnsi="Times New Roman" w:cs="Times New Roman"/>
                <w:szCs w:val="21"/>
                <w:lang w:eastAsia="zh-CN"/>
              </w:rPr>
              <w:t>进行计分</w:t>
            </w:r>
            <w:r>
              <w:rPr>
                <w:rFonts w:hint="default" w:ascii="Times New Roman" w:hAnsi="Times New Roman" w:cs="Times New Roman"/>
                <w:szCs w:val="21"/>
              </w:rPr>
              <w:t>，每完整提供一份（含原厂培训证书、身份证复印件、</w:t>
            </w:r>
            <w:r>
              <w:rPr>
                <w:rFonts w:hint="default" w:ascii="Times New Roman" w:hAnsi="Times New Roman" w:cs="Times New Roman"/>
                <w:szCs w:val="21"/>
                <w:lang w:eastAsia="zh-CN"/>
              </w:rPr>
              <w:t>单位</w:t>
            </w:r>
            <w:r>
              <w:rPr>
                <w:rFonts w:hint="default" w:ascii="Times New Roman" w:hAnsi="Times New Roman" w:cs="Times New Roman"/>
                <w:szCs w:val="21"/>
              </w:rPr>
              <w:t>社保证明）计</w:t>
            </w:r>
            <w:r>
              <w:rPr>
                <w:rFonts w:hint="default" w:ascii="Times New Roman" w:hAnsi="Times New Roman" w:cs="Times New Roman"/>
                <w:szCs w:val="21"/>
                <w:lang w:val="en-US" w:eastAsia="zh-CN"/>
              </w:rPr>
              <w:t>5</w:t>
            </w:r>
            <w:r>
              <w:rPr>
                <w:rFonts w:hint="default" w:ascii="Times New Roman" w:hAnsi="Times New Roman" w:cs="Times New Roman"/>
                <w:szCs w:val="21"/>
              </w:rPr>
              <w:t>分，计满本项分值为止,未完整提供不计分。</w:t>
            </w:r>
          </w:p>
        </w:tc>
      </w:tr>
      <w:tr w14:paraId="0A7C6E51">
        <w:tblPrEx>
          <w:tblCellMar>
            <w:top w:w="0" w:type="dxa"/>
            <w:left w:w="0" w:type="dxa"/>
            <w:bottom w:w="0" w:type="dxa"/>
            <w:right w:w="0" w:type="dxa"/>
          </w:tblCellMar>
        </w:tblPrEx>
        <w:trPr>
          <w:trHeight w:val="1800"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6394BA07"/>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EDAD624">
            <w:pPr>
              <w:jc w:val="center"/>
              <w:rPr>
                <w:rFonts w:hint="eastAsia" w:cs="Times New Roman"/>
                <w:lang w:eastAsia="zh-CN"/>
              </w:rPr>
            </w:pPr>
            <w:r>
              <w:rPr>
                <w:rFonts w:hint="eastAsia" w:cs="Times New Roman"/>
                <w:lang w:eastAsia="zh-CN"/>
              </w:rPr>
              <w:t>管理</w:t>
            </w:r>
          </w:p>
          <w:p w14:paraId="28B3347F">
            <w:pPr>
              <w:jc w:val="center"/>
              <w:rPr>
                <w:rFonts w:hint="default" w:ascii="Times New Roman" w:hAnsi="Times New Roman" w:cs="Times New Roman"/>
                <w:lang w:eastAsia="zh-CN"/>
              </w:rPr>
            </w:pPr>
            <w:r>
              <w:rPr>
                <w:rFonts w:hint="eastAsia" w:cs="Times New Roman"/>
                <w:lang w:eastAsia="zh-CN"/>
              </w:rPr>
              <w:t>体系</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2F8CB60">
            <w:pPr>
              <w:tabs>
                <w:tab w:val="left" w:pos="1988"/>
              </w:tabs>
              <w:spacing w:line="360" w:lineRule="exact"/>
              <w:jc w:val="center"/>
              <w:rPr>
                <w:rFonts w:hint="default" w:cs="Times New Roman"/>
                <w:color w:val="auto"/>
                <w:szCs w:val="21"/>
                <w:lang w:val="en-US" w:eastAsia="zh-CN"/>
              </w:rPr>
            </w:pPr>
            <w:r>
              <w:rPr>
                <w:rFonts w:hint="eastAsia" w:cs="Times New Roman"/>
                <w:color w:val="auto"/>
                <w:szCs w:val="21"/>
                <w:lang w:val="en-US" w:eastAsia="zh-CN"/>
              </w:rPr>
              <w:t>20.0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1B7C253">
            <w:pPr>
              <w:spacing w:line="360" w:lineRule="exac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评标专家根据投标人提供的投标人的</w:t>
            </w:r>
            <w:r>
              <w:rPr>
                <w:rFonts w:hint="default" w:ascii="Times New Roman" w:hAnsi="Times New Roman" w:eastAsia="宋体" w:cs="Times New Roman"/>
                <w:szCs w:val="21"/>
                <w:lang w:val="en-US"/>
              </w:rPr>
              <w:t>质量管理体系（ISO9001）认证、环境管理体系（ISO14001）认证、职业健康管理体系（ISO45001）认证</w:t>
            </w:r>
            <w:r>
              <w:rPr>
                <w:rFonts w:hint="default" w:ascii="Times New Roman" w:hAnsi="Times New Roman" w:eastAsia="宋体" w:cs="Times New Roman"/>
                <w:szCs w:val="21"/>
                <w:lang w:val="en-US" w:eastAsia="zh-CN"/>
              </w:rPr>
              <w:t>、</w:t>
            </w:r>
            <w:r>
              <w:rPr>
                <w:rFonts w:hint="default" w:ascii="Times New Roman" w:hAnsi="Times New Roman" w:eastAsia="宋体" w:cs="Times New Roman"/>
                <w:szCs w:val="21"/>
                <w:lang w:val="en-US"/>
              </w:rPr>
              <w:t>医疗器械质量</w:t>
            </w:r>
            <w:r>
              <w:rPr>
                <w:rFonts w:hint="default" w:ascii="Times New Roman" w:hAnsi="Times New Roman" w:eastAsia="宋体" w:cs="Times New Roman"/>
                <w:szCs w:val="21"/>
                <w:lang w:val="en-US" w:eastAsia="zh-CN"/>
              </w:rPr>
              <w:t>管理</w:t>
            </w:r>
            <w:r>
              <w:rPr>
                <w:rFonts w:hint="default" w:ascii="Times New Roman" w:hAnsi="Times New Roman" w:eastAsia="宋体" w:cs="Times New Roman"/>
                <w:szCs w:val="21"/>
                <w:lang w:val="en-US"/>
              </w:rPr>
              <w:t>体系（ISO13485）认证</w:t>
            </w:r>
            <w:r>
              <w:rPr>
                <w:rFonts w:hint="default" w:ascii="Times New Roman" w:hAnsi="Times New Roman" w:eastAsia="宋体" w:cs="Times New Roman"/>
                <w:szCs w:val="21"/>
                <w:lang w:val="en-US" w:eastAsia="zh-CN"/>
              </w:rPr>
              <w:t>情况进行计分，每提供一份有效的认证证书的计5分，计满本项分值为准。（须提供有效的认证证书复印件并加盖公章，未提供的不计分。）</w:t>
            </w:r>
          </w:p>
        </w:tc>
      </w:tr>
      <w:tr w14:paraId="7E3323F8">
        <w:tblPrEx>
          <w:tblCellMar>
            <w:top w:w="0" w:type="dxa"/>
            <w:left w:w="0" w:type="dxa"/>
            <w:bottom w:w="0" w:type="dxa"/>
            <w:right w:w="0" w:type="dxa"/>
          </w:tblCellMar>
        </w:tblPrEx>
        <w:trPr>
          <w:trHeight w:val="963"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6C3E9262"/>
        </w:tc>
        <w:tc>
          <w:tcPr>
            <w:tcW w:w="793" w:type="dxa"/>
            <w:tcBorders>
              <w:top w:val="single" w:color="000000" w:sz="6" w:space="0"/>
              <w:left w:val="single" w:color="000000" w:sz="6" w:space="0"/>
              <w:bottom w:val="single" w:color="000000" w:sz="6" w:space="0"/>
              <w:right w:val="single" w:color="000000" w:sz="6" w:space="0"/>
            </w:tcBorders>
            <w:vAlign w:val="center"/>
          </w:tcPr>
          <w:p w14:paraId="2D11607C">
            <w:pPr>
              <w:jc w:val="center"/>
              <w:rPr>
                <w:rFonts w:hint="default" w:ascii="Times New Roman" w:hAnsi="Times New Roman" w:cs="Times New Roman"/>
              </w:rPr>
            </w:pPr>
            <w:r>
              <w:rPr>
                <w:rFonts w:hint="default" w:ascii="Times New Roman" w:hAnsi="Times New Roman" w:cs="Times New Roman"/>
                <w:szCs w:val="21"/>
              </w:rPr>
              <w:t>开机率承诺</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727179A">
            <w:pPr>
              <w:tabs>
                <w:tab w:val="left" w:pos="1988"/>
              </w:tabs>
              <w:spacing w:line="360" w:lineRule="exact"/>
              <w:jc w:val="center"/>
              <w:rPr>
                <w:rFonts w:hint="default" w:ascii="Times New Roman" w:hAnsi="Times New Roman" w:cs="Times New Roman"/>
                <w:szCs w:val="21"/>
              </w:rPr>
            </w:pPr>
            <w:r>
              <w:rPr>
                <w:rFonts w:hint="default" w:ascii="Times New Roman" w:hAnsi="Times New Roman" w:cs="Times New Roman"/>
                <w:szCs w:val="21"/>
                <w:lang w:val="en-US" w:eastAsia="zh-CN"/>
              </w:rPr>
              <w:t>10</w:t>
            </w:r>
            <w:r>
              <w:rPr>
                <w:rFonts w:hint="default" w:ascii="Times New Roman" w:hAnsi="Times New Roman" w:cs="Times New Roman"/>
                <w:szCs w:val="21"/>
              </w:rPr>
              <w:t>.0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DFEDA1B">
            <w:pPr>
              <w:spacing w:line="360" w:lineRule="exact"/>
              <w:rPr>
                <w:rFonts w:hint="default" w:ascii="Times New Roman" w:hAnsi="Times New Roman" w:cs="Times New Roman"/>
                <w:szCs w:val="21"/>
              </w:rPr>
            </w:pPr>
            <w:r>
              <w:rPr>
                <w:rFonts w:hint="default" w:ascii="Times New Roman" w:hAnsi="Times New Roman" w:cs="Times New Roman"/>
                <w:bCs/>
                <w:szCs w:val="21"/>
              </w:rPr>
              <w:t>评标专家根据投标人对设备开机率承诺，</w:t>
            </w:r>
            <w:r>
              <w:rPr>
                <w:rFonts w:hint="default" w:ascii="Times New Roman" w:hAnsi="Times New Roman" w:cs="Times New Roman"/>
                <w:bCs/>
                <w:color w:val="auto"/>
                <w:szCs w:val="21"/>
              </w:rPr>
              <w:t>开</w:t>
            </w:r>
            <w:r>
              <w:rPr>
                <w:rFonts w:hint="default" w:ascii="Times New Roman" w:hAnsi="Times New Roman" w:cs="Times New Roman"/>
                <w:bCs/>
                <w:color w:val="auto"/>
                <w:szCs w:val="21"/>
                <w:lang w:eastAsia="zh-CN"/>
              </w:rPr>
              <w:t>机</w:t>
            </w:r>
            <w:r>
              <w:rPr>
                <w:rFonts w:hint="default" w:ascii="Times New Roman" w:hAnsi="Times New Roman" w:cs="Times New Roman"/>
                <w:bCs/>
                <w:color w:val="auto"/>
                <w:szCs w:val="21"/>
              </w:rPr>
              <w:t>率</w:t>
            </w:r>
            <w:r>
              <w:rPr>
                <w:rFonts w:hint="default" w:ascii="Times New Roman" w:hAnsi="Times New Roman" w:eastAsia="宋体" w:cs="Times New Roman"/>
                <w:bCs/>
                <w:kern w:val="0"/>
                <w:szCs w:val="21"/>
              </w:rPr>
              <w:t>≥</w:t>
            </w:r>
            <w:r>
              <w:rPr>
                <w:rFonts w:hint="default" w:ascii="Times New Roman" w:hAnsi="Times New Roman" w:cs="Times New Roman"/>
                <w:bCs/>
                <w:szCs w:val="21"/>
              </w:rPr>
              <w:t>95%，</w:t>
            </w:r>
            <w:r>
              <w:rPr>
                <w:rFonts w:hint="default" w:ascii="Times New Roman" w:hAnsi="Times New Roman" w:cs="Times New Roman"/>
                <w:szCs w:val="21"/>
                <w:shd w:val="clear" w:color="auto" w:fill="FFFFFF"/>
              </w:rPr>
              <w:t>每低于一个百分点扣</w:t>
            </w:r>
            <w:r>
              <w:rPr>
                <w:rFonts w:hint="default" w:ascii="Times New Roman" w:hAnsi="Times New Roman" w:cs="Times New Roman"/>
                <w:szCs w:val="21"/>
                <w:shd w:val="clear" w:color="auto" w:fill="FFFFFF"/>
                <w:lang w:val="en-US" w:eastAsia="zh-CN"/>
              </w:rPr>
              <w:t>5</w:t>
            </w:r>
            <w:r>
              <w:rPr>
                <w:rFonts w:hint="default" w:ascii="Times New Roman" w:hAnsi="Times New Roman" w:cs="Times New Roman"/>
                <w:szCs w:val="21"/>
                <w:shd w:val="clear" w:color="auto" w:fill="FFFFFF"/>
              </w:rPr>
              <w:t>分，扣完</w:t>
            </w:r>
            <w:r>
              <w:rPr>
                <w:rFonts w:hint="default" w:ascii="Times New Roman" w:hAnsi="Times New Roman" w:cs="Times New Roman"/>
                <w:szCs w:val="21"/>
                <w:shd w:val="clear" w:color="auto" w:fill="FFFFFF"/>
                <w:lang w:val="en-US" w:eastAsia="zh-CN"/>
              </w:rPr>
              <w:t>10</w:t>
            </w:r>
            <w:r>
              <w:rPr>
                <w:rFonts w:hint="default" w:ascii="Times New Roman" w:hAnsi="Times New Roman" w:cs="Times New Roman"/>
                <w:szCs w:val="21"/>
                <w:shd w:val="clear" w:color="auto" w:fill="FFFFFF"/>
              </w:rPr>
              <w:t>分为止；如应答缺项</w:t>
            </w:r>
            <w:r>
              <w:rPr>
                <w:rFonts w:hint="eastAsia" w:cs="Times New Roman"/>
                <w:szCs w:val="21"/>
                <w:shd w:val="clear" w:color="auto" w:fill="FFFFFF"/>
                <w:lang w:eastAsia="zh-CN"/>
              </w:rPr>
              <w:t>的不计分</w:t>
            </w:r>
            <w:r>
              <w:rPr>
                <w:rFonts w:hint="default" w:ascii="Times New Roman" w:hAnsi="Times New Roman" w:cs="Times New Roman"/>
                <w:szCs w:val="21"/>
                <w:shd w:val="clear" w:color="auto" w:fill="FFFFFF"/>
              </w:rPr>
              <w:t>。</w:t>
            </w:r>
          </w:p>
        </w:tc>
      </w:tr>
      <w:tr w14:paraId="100A593F">
        <w:tblPrEx>
          <w:tblCellMar>
            <w:top w:w="0" w:type="dxa"/>
            <w:left w:w="0" w:type="dxa"/>
            <w:bottom w:w="0" w:type="dxa"/>
            <w:right w:w="0" w:type="dxa"/>
          </w:tblCellMar>
        </w:tblPrEx>
        <w:trPr>
          <w:trHeight w:val="823"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3C6896BB"/>
        </w:tc>
        <w:tc>
          <w:tcPr>
            <w:tcW w:w="793" w:type="dxa"/>
            <w:tcBorders>
              <w:top w:val="single" w:color="000000" w:sz="6" w:space="0"/>
              <w:left w:val="single" w:color="000000" w:sz="6" w:space="0"/>
              <w:bottom w:val="single" w:color="000000" w:sz="6" w:space="0"/>
              <w:right w:val="single" w:color="000000" w:sz="6" w:space="0"/>
            </w:tcBorders>
            <w:vAlign w:val="center"/>
          </w:tcPr>
          <w:p w14:paraId="746804CA">
            <w:pPr>
              <w:jc w:val="center"/>
              <w:rPr>
                <w:rFonts w:hint="default" w:ascii="Times New Roman" w:hAnsi="Times New Roman" w:cs="Times New Roman"/>
              </w:rPr>
            </w:pPr>
            <w:r>
              <w:rPr>
                <w:rFonts w:hint="default" w:ascii="Times New Roman" w:hAnsi="Times New Roman" w:cs="Times New Roman"/>
              </w:rPr>
              <w:t>响应</w:t>
            </w:r>
          </w:p>
          <w:p w14:paraId="63FC4ECA">
            <w:pPr>
              <w:jc w:val="center"/>
              <w:rPr>
                <w:rFonts w:hint="default" w:ascii="Times New Roman" w:hAnsi="Times New Roman" w:cs="Times New Roman"/>
              </w:rPr>
            </w:pPr>
            <w:r>
              <w:rPr>
                <w:rFonts w:hint="default" w:ascii="Times New Roman" w:hAnsi="Times New Roman" w:cs="Times New Roman"/>
              </w:rPr>
              <w:t>服务</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D16CE1E">
            <w:pPr>
              <w:tabs>
                <w:tab w:val="left" w:pos="1988"/>
              </w:tabs>
              <w:spacing w:line="360" w:lineRule="exact"/>
              <w:jc w:val="center"/>
              <w:rPr>
                <w:rFonts w:hint="default" w:ascii="Times New Roman" w:hAnsi="Times New Roman" w:cs="Times New Roman"/>
                <w:color w:val="auto"/>
                <w:szCs w:val="21"/>
                <w:lang w:val="en-US"/>
              </w:rPr>
            </w:pPr>
            <w:r>
              <w:rPr>
                <w:rFonts w:hint="eastAsia" w:cs="Times New Roman"/>
                <w:color w:val="auto"/>
                <w:szCs w:val="21"/>
                <w:lang w:val="en-US" w:eastAsia="zh-CN"/>
              </w:rPr>
              <w:t>10.0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6018772">
            <w:pPr>
              <w:spacing w:line="360" w:lineRule="exact"/>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1、评标专家根据投标人的服务承诺进行计分</w:t>
            </w:r>
            <w:r>
              <w:rPr>
                <w:rFonts w:hint="eastAsia" w:cs="Times New Roman"/>
                <w:bCs/>
                <w:color w:val="auto"/>
                <w:szCs w:val="21"/>
                <w:lang w:val="en-US" w:eastAsia="zh-CN"/>
              </w:rPr>
              <w:t>：</w:t>
            </w:r>
            <w:r>
              <w:rPr>
                <w:rFonts w:hint="default" w:ascii="Times New Roman" w:hAnsi="Times New Roman" w:cs="Times New Roman"/>
                <w:bCs/>
                <w:color w:val="auto"/>
                <w:szCs w:val="21"/>
                <w:lang w:val="en-US" w:eastAsia="zh-CN"/>
              </w:rPr>
              <w:t>承诺工程师在接到采购人维修通知后24小时内到达现场响应的计1分</w:t>
            </w:r>
            <w:r>
              <w:rPr>
                <w:rFonts w:hint="eastAsia" w:cs="Times New Roman"/>
                <w:bCs/>
                <w:color w:val="auto"/>
                <w:szCs w:val="21"/>
                <w:lang w:val="en-US" w:eastAsia="zh-CN"/>
              </w:rPr>
              <w:t>；</w:t>
            </w:r>
            <w:r>
              <w:rPr>
                <w:rFonts w:hint="default" w:ascii="Times New Roman" w:hAnsi="Times New Roman" w:cs="Times New Roman"/>
                <w:bCs/>
                <w:color w:val="auto"/>
                <w:szCs w:val="21"/>
                <w:lang w:val="en-US" w:eastAsia="zh-CN"/>
              </w:rPr>
              <w:t>承诺工程师在接到采购人维修通知后16小时内到达现场响应的计3分</w:t>
            </w:r>
            <w:r>
              <w:rPr>
                <w:rFonts w:hint="eastAsia" w:cs="Times New Roman"/>
                <w:bCs/>
                <w:color w:val="auto"/>
                <w:szCs w:val="21"/>
                <w:lang w:val="en-US" w:eastAsia="zh-CN"/>
              </w:rPr>
              <w:t>；</w:t>
            </w:r>
            <w:r>
              <w:rPr>
                <w:rFonts w:hint="default" w:ascii="Times New Roman" w:hAnsi="Times New Roman" w:cs="Times New Roman"/>
                <w:bCs/>
                <w:color w:val="auto"/>
                <w:szCs w:val="21"/>
                <w:lang w:val="en-US" w:eastAsia="zh-CN"/>
              </w:rPr>
              <w:t>承诺工程师在接到采购人维修通知后12小时内到达现场响应的计6分。</w:t>
            </w:r>
          </w:p>
          <w:p w14:paraId="2B59614A">
            <w:pPr>
              <w:spacing w:line="360" w:lineRule="exact"/>
              <w:rPr>
                <w:rFonts w:hint="default" w:ascii="Times New Roman" w:hAnsi="Times New Roman" w:cs="Times New Roman"/>
                <w:color w:val="auto"/>
                <w:szCs w:val="21"/>
              </w:rPr>
            </w:pPr>
            <w:r>
              <w:rPr>
                <w:rFonts w:hint="default" w:ascii="Times New Roman" w:hAnsi="Times New Roman" w:cs="Times New Roman"/>
                <w:bCs/>
                <w:color w:val="auto"/>
                <w:szCs w:val="21"/>
                <w:lang w:val="en-US" w:eastAsia="zh-CN"/>
              </w:rPr>
              <w:t>2、</w:t>
            </w:r>
            <w:r>
              <w:rPr>
                <w:rFonts w:hint="default" w:ascii="Times New Roman" w:hAnsi="Times New Roman" w:cs="Times New Roman"/>
                <w:bCs/>
                <w:color w:val="auto"/>
                <w:szCs w:val="21"/>
              </w:rPr>
              <w:t>评标根据投标人提供</w:t>
            </w:r>
            <w:r>
              <w:rPr>
                <w:rFonts w:hint="default" w:ascii="Times New Roman" w:hAnsi="Times New Roman" w:cs="Times New Roman"/>
                <w:color w:val="auto"/>
                <w:szCs w:val="21"/>
              </w:rPr>
              <w:t>365天×24小时</w:t>
            </w:r>
            <w:r>
              <w:rPr>
                <w:rFonts w:hint="default" w:ascii="Times New Roman" w:hAnsi="Times New Roman" w:cs="Times New Roman"/>
                <w:bCs/>
                <w:color w:val="auto"/>
                <w:szCs w:val="21"/>
              </w:rPr>
              <w:t>400</w:t>
            </w:r>
            <w:r>
              <w:rPr>
                <w:rFonts w:hint="default" w:ascii="Times New Roman" w:hAnsi="Times New Roman" w:cs="Times New Roman"/>
                <w:color w:val="auto"/>
                <w:szCs w:val="21"/>
              </w:rPr>
              <w:t>或800</w:t>
            </w:r>
            <w:r>
              <w:rPr>
                <w:rFonts w:hint="default" w:ascii="Times New Roman" w:hAnsi="Times New Roman" w:cs="Times New Roman"/>
                <w:bCs/>
                <w:color w:val="auto"/>
                <w:szCs w:val="21"/>
              </w:rPr>
              <w:t>热线电话的专业技术支持</w:t>
            </w:r>
            <w:r>
              <w:rPr>
                <w:rFonts w:hint="default" w:ascii="Times New Roman" w:hAnsi="Times New Roman" w:cs="Times New Roman"/>
                <w:color w:val="auto"/>
                <w:szCs w:val="21"/>
              </w:rPr>
              <w:t>，并有专人负责接听，提供</w:t>
            </w:r>
            <w:r>
              <w:rPr>
                <w:rFonts w:hint="default" w:ascii="Times New Roman" w:hAnsi="Times New Roman" w:cs="Times New Roman"/>
                <w:bCs/>
                <w:color w:val="auto"/>
                <w:szCs w:val="21"/>
              </w:rPr>
              <w:t>热线</w:t>
            </w:r>
            <w:r>
              <w:rPr>
                <w:rFonts w:hint="default" w:ascii="Times New Roman" w:hAnsi="Times New Roman" w:cs="Times New Roman"/>
                <w:color w:val="auto"/>
                <w:szCs w:val="21"/>
              </w:rPr>
              <w:t>电话号码计</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分，无则不计分。</w:t>
            </w:r>
          </w:p>
        </w:tc>
      </w:tr>
      <w:tr w14:paraId="23A31A86">
        <w:tblPrEx>
          <w:tblCellMar>
            <w:top w:w="0" w:type="dxa"/>
            <w:left w:w="0" w:type="dxa"/>
            <w:bottom w:w="0" w:type="dxa"/>
            <w:right w:w="0" w:type="dxa"/>
          </w:tblCellMar>
        </w:tblPrEx>
        <w:trPr>
          <w:trHeight w:val="835"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72F6AE85"/>
        </w:tc>
        <w:tc>
          <w:tcPr>
            <w:tcW w:w="793" w:type="dxa"/>
            <w:tcBorders>
              <w:top w:val="single" w:color="000000" w:sz="6" w:space="0"/>
              <w:left w:val="single" w:color="000000" w:sz="6" w:space="0"/>
              <w:bottom w:val="single" w:color="000000" w:sz="6" w:space="0"/>
              <w:right w:val="single" w:color="000000" w:sz="6" w:space="0"/>
            </w:tcBorders>
            <w:vAlign w:val="center"/>
          </w:tcPr>
          <w:p w14:paraId="67BBDD7E">
            <w:pPr>
              <w:jc w:val="center"/>
              <w:rPr>
                <w:rFonts w:hint="default" w:ascii="Times New Roman" w:hAnsi="Times New Roman" w:cs="Times New Roman"/>
              </w:rPr>
            </w:pPr>
            <w:r>
              <w:rPr>
                <w:rFonts w:hint="default" w:ascii="Times New Roman" w:hAnsi="Times New Roman" w:cs="Times New Roman"/>
              </w:rPr>
              <w:t>服务实施方案及</w:t>
            </w:r>
            <w:r>
              <w:rPr>
                <w:rFonts w:hint="default" w:ascii="Times New Roman" w:hAnsi="Times New Roman" w:cs="Times New Roman"/>
                <w:lang w:eastAsia="zh-CN"/>
              </w:rPr>
              <w:t>培训</w:t>
            </w:r>
            <w:r>
              <w:rPr>
                <w:rFonts w:hint="default" w:ascii="Times New Roman" w:hAnsi="Times New Roman" w:cs="Times New Roman"/>
              </w:rPr>
              <w:t>计划</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DDF04C8">
            <w:pPr>
              <w:tabs>
                <w:tab w:val="left" w:pos="1988"/>
              </w:tabs>
              <w:spacing w:line="360" w:lineRule="exact"/>
              <w:jc w:val="center"/>
              <w:rPr>
                <w:rFonts w:hint="default" w:ascii="Times New Roman" w:hAnsi="Times New Roman" w:cs="Times New Roman"/>
                <w:szCs w:val="21"/>
              </w:rPr>
            </w:pPr>
            <w:r>
              <w:rPr>
                <w:rFonts w:hint="default" w:ascii="Times New Roman" w:hAnsi="Times New Roman" w:cs="Times New Roman"/>
                <w:szCs w:val="21"/>
                <w:lang w:val="en-US" w:eastAsia="zh-CN"/>
              </w:rPr>
              <w:t>20</w:t>
            </w:r>
            <w:r>
              <w:rPr>
                <w:rFonts w:hint="default" w:ascii="Times New Roman" w:hAnsi="Times New Roman" w:cs="Times New Roman"/>
                <w:szCs w:val="21"/>
              </w:rPr>
              <w:t>.0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CFA4922">
            <w:pPr>
              <w:spacing w:line="360" w:lineRule="exact"/>
              <w:rPr>
                <w:rFonts w:hint="default" w:ascii="Times New Roman" w:hAnsi="Times New Roman" w:cs="Times New Roman"/>
                <w:szCs w:val="21"/>
              </w:rPr>
            </w:pPr>
            <w:r>
              <w:rPr>
                <w:rFonts w:hint="default" w:ascii="Times New Roman" w:hAnsi="Times New Roman" w:cs="Times New Roman"/>
                <w:szCs w:val="21"/>
              </w:rPr>
              <w:t>评标专家根据投标人针对本项目提供的服务实施方案及</w:t>
            </w:r>
            <w:r>
              <w:rPr>
                <w:rFonts w:hint="default" w:ascii="Times New Roman" w:hAnsi="Times New Roman" w:cs="Times New Roman"/>
                <w:szCs w:val="21"/>
                <w:lang w:eastAsia="zh-CN"/>
              </w:rPr>
              <w:t>培训</w:t>
            </w:r>
            <w:r>
              <w:rPr>
                <w:rFonts w:hint="default" w:ascii="Times New Roman" w:hAnsi="Times New Roman" w:cs="Times New Roman"/>
                <w:szCs w:val="21"/>
              </w:rPr>
              <w:t>计划</w:t>
            </w:r>
            <w:r>
              <w:rPr>
                <w:rFonts w:hint="default" w:ascii="Times New Roman" w:hAnsi="Times New Roman" w:cs="Times New Roman"/>
                <w:szCs w:val="21"/>
                <w:lang w:eastAsia="zh-CN"/>
              </w:rPr>
              <w:t>（包含：服务响应、预防保养、年检达标、远程连接、网络安全、人员培训、应急处置等）</w:t>
            </w:r>
            <w:r>
              <w:rPr>
                <w:rFonts w:hint="default" w:ascii="Times New Roman" w:hAnsi="Times New Roman" w:cs="Times New Roman"/>
                <w:szCs w:val="21"/>
              </w:rPr>
              <w:t>分档计分：①服务实施方案及计划完整，可操作性强的得</w:t>
            </w:r>
            <w:r>
              <w:rPr>
                <w:rFonts w:hint="default" w:ascii="Times New Roman" w:hAnsi="Times New Roman" w:cs="Times New Roman"/>
                <w:szCs w:val="21"/>
                <w:lang w:val="en-US" w:eastAsia="zh-CN"/>
              </w:rPr>
              <w:t>20</w:t>
            </w:r>
            <w:r>
              <w:rPr>
                <w:rFonts w:hint="default" w:ascii="Times New Roman" w:hAnsi="Times New Roman" w:cs="Times New Roman"/>
                <w:szCs w:val="21"/>
              </w:rPr>
              <w:t>分，②服务实施方案及计划较完整，可操作性一般的得14分，③服务实施方案及计划一般的得6分，未提供培训方案及计划的不得分。</w:t>
            </w:r>
          </w:p>
        </w:tc>
      </w:tr>
      <w:tr w14:paraId="4DFAC2C0">
        <w:tblPrEx>
          <w:tblCellMar>
            <w:top w:w="0" w:type="dxa"/>
            <w:left w:w="0" w:type="dxa"/>
            <w:bottom w:w="0" w:type="dxa"/>
            <w:right w:w="0" w:type="dxa"/>
          </w:tblCellMar>
        </w:tblPrEx>
        <w:trPr>
          <w:jc w:val="center"/>
        </w:trPr>
        <w:tc>
          <w:tcPr>
            <w:tcW w:w="626"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E8E9C84">
            <w:pPr>
              <w:jc w:val="center"/>
            </w:pPr>
            <w:r>
              <w:rPr>
                <w:b/>
              </w:rPr>
              <w:t>价格部分(F3)</w:t>
            </w:r>
          </w:p>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4C27FAC">
            <w:pPr>
              <w:jc w:val="center"/>
            </w:pPr>
            <w:r>
              <w:t>投标报价</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03D72AC">
            <w:pPr>
              <w:jc w:val="center"/>
            </w:pPr>
            <w:r>
              <w:t>100.0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764309C">
            <w:r>
              <w:t>1</w:t>
            </w:r>
            <w:r>
              <w:rPr>
                <w:rFonts w:hint="eastAsia"/>
              </w:rPr>
              <w:t>、</w:t>
            </w:r>
            <w:r>
              <w:t>投标报价调整</w:t>
            </w:r>
            <w:r>
              <w:rPr>
                <w:rFonts w:hint="eastAsia"/>
              </w:rPr>
              <w:t>（扶持中小企业发展优惠政策、残疾人福利性单位优惠政策）：</w:t>
            </w:r>
            <w:r>
              <w:t>如整包投标，整包某一品目为中小企业产品</w:t>
            </w:r>
            <w:r>
              <w:rPr>
                <w:rFonts w:hint="eastAsia"/>
              </w:rPr>
              <w:t>或残疾人福利性单位产品</w:t>
            </w:r>
            <w:r>
              <w:t>，只对其品目中小企业产品</w:t>
            </w:r>
            <w:r>
              <w:rPr>
                <w:rFonts w:hint="eastAsia"/>
              </w:rPr>
              <w:t>或残疾人福利性单位产品</w:t>
            </w:r>
            <w:r>
              <w:t>报价</w:t>
            </w:r>
            <w:r>
              <w:rPr>
                <w:rFonts w:hint="eastAsia"/>
              </w:rPr>
              <w:t>进行</w:t>
            </w:r>
            <w:r>
              <w:t>折扣，</w:t>
            </w:r>
            <w:r>
              <w:rPr>
                <w:rFonts w:hint="eastAsia"/>
              </w:rPr>
              <w:t>再</w:t>
            </w:r>
            <w:r>
              <w:t>合计到投标报价总价</w:t>
            </w:r>
            <w:r>
              <w:rPr>
                <w:rFonts w:hint="eastAsia"/>
              </w:rPr>
              <w:t>中</w:t>
            </w:r>
            <w:r>
              <w:t>。本项目的具体扣除比例详见</w:t>
            </w:r>
            <w:r>
              <w:rPr>
                <w:rFonts w:hint="eastAsia"/>
              </w:rPr>
              <w:t>第二章。</w:t>
            </w:r>
          </w:p>
          <w:p w14:paraId="7FA83B67">
            <w:r>
              <w:t>2、满足招标文件要求且投标报价中最低的投标报价为评标基准价其价格分为满分；其他投标人的价格分统一按照以下公式计算：</w:t>
            </w:r>
          </w:p>
          <w:p w14:paraId="620B64A3">
            <w:r>
              <w:t xml:space="preserve">投标报价得分=（评标基准价/投标报价）×价格权值×100 </w:t>
            </w:r>
          </w:p>
        </w:tc>
      </w:tr>
      <w:tr w14:paraId="65BCBC89">
        <w:tblPrEx>
          <w:tblCellMar>
            <w:top w:w="0" w:type="dxa"/>
            <w:left w:w="0" w:type="dxa"/>
            <w:bottom w:w="0" w:type="dxa"/>
            <w:right w:w="0" w:type="dxa"/>
          </w:tblCellMar>
        </w:tblPrEx>
        <w:trPr>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3083BF68"/>
        </w:tc>
        <w:tc>
          <w:tcPr>
            <w:tcW w:w="8219" w:type="dxa"/>
            <w:gridSpan w:val="3"/>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1274148">
            <w:r>
              <w:rPr>
                <w:rFonts w:hint="eastAsia"/>
              </w:rPr>
              <w:t>节能、</w:t>
            </w:r>
            <w:r>
              <w:t>环境标志产品加分(此仅限于</w:t>
            </w:r>
            <w:r>
              <w:rPr>
                <w:rFonts w:hint="eastAsia"/>
              </w:rPr>
              <w:t>节能、</w:t>
            </w:r>
            <w:r>
              <w:t>环境标志政府采购</w:t>
            </w:r>
            <w:r>
              <w:rPr>
                <w:rFonts w:hint="eastAsia"/>
              </w:rPr>
              <w:t>品目</w:t>
            </w:r>
            <w:r>
              <w:t>清单内产品，不是</w:t>
            </w:r>
            <w:r>
              <w:rPr>
                <w:rFonts w:hint="eastAsia"/>
              </w:rPr>
              <w:t>品目</w:t>
            </w:r>
            <w:r>
              <w:t xml:space="preserve">清单内的产品，在评审时不予以考虑)： </w:t>
            </w:r>
          </w:p>
          <w:p w14:paraId="55574A0E">
            <w:r>
              <w:t>所投环保产品的价格</w:t>
            </w:r>
          </w:p>
          <w:p w14:paraId="34188004">
            <w:r>
              <w:t>———————————×技术权值×100×本项目加分比例= 应加分数</w:t>
            </w:r>
          </w:p>
          <w:p w14:paraId="6954A894">
            <w:r>
              <w:t>项目总价格</w:t>
            </w:r>
          </w:p>
          <w:p w14:paraId="14EAED0C">
            <w:r>
              <w:t>注：整包中某一品目为</w:t>
            </w:r>
            <w:r>
              <w:rPr>
                <w:rFonts w:hint="eastAsia"/>
              </w:rPr>
              <w:t>节能、</w:t>
            </w:r>
            <w:r>
              <w:t>环境标志政府采购</w:t>
            </w:r>
            <w:r>
              <w:rPr>
                <w:rFonts w:hint="eastAsia"/>
              </w:rPr>
              <w:t>品目</w:t>
            </w:r>
            <w:r>
              <w:t>清单内产品时只对该品目技术加分，并合计到技术最终得分。</w:t>
            </w:r>
          </w:p>
        </w:tc>
      </w:tr>
    </w:tbl>
    <w:p w14:paraId="7B0A14AA">
      <w:pPr>
        <w:adjustRightInd w:val="0"/>
        <w:snapToGrid w:val="0"/>
        <w:spacing w:beforeLines="50" w:line="360" w:lineRule="auto"/>
        <w:jc w:val="center"/>
        <w:rPr>
          <w:rFonts w:ascii="黑体" w:hAnsi="黑体" w:eastAsia="黑体"/>
          <w:b/>
          <w:sz w:val="28"/>
          <w:szCs w:val="28"/>
        </w:rPr>
      </w:pPr>
    </w:p>
    <w:p w14:paraId="2CFF70A6">
      <w:pPr>
        <w:pStyle w:val="2"/>
        <w:keepNext w:val="0"/>
        <w:adjustRightInd w:val="0"/>
        <w:snapToGrid w:val="0"/>
        <w:spacing w:beforeLines="50" w:line="360" w:lineRule="auto"/>
        <w:rPr>
          <w:rFonts w:hint="eastAsia" w:ascii="方正小标宋简体" w:hAnsi="方正小标宋简体" w:eastAsia="方正小标宋简体" w:cs="方正小标宋简体"/>
          <w:sz w:val="36"/>
          <w:szCs w:val="36"/>
        </w:rPr>
      </w:pPr>
      <w:bookmarkStart w:id="33" w:name="_Toc29913941"/>
    </w:p>
    <w:p w14:paraId="1266DF0B">
      <w:pPr>
        <w:rPr>
          <w:rFonts w:hint="eastAsia" w:ascii="方正小标宋简体" w:hAnsi="方正小标宋简体" w:eastAsia="方正小标宋简体" w:cs="方正小标宋简体"/>
          <w:sz w:val="36"/>
          <w:szCs w:val="36"/>
        </w:rPr>
      </w:pPr>
    </w:p>
    <w:p w14:paraId="3DE7370E">
      <w:pPr>
        <w:pStyle w:val="49"/>
        <w:rPr>
          <w:rFonts w:hint="eastAsia" w:ascii="方正小标宋简体" w:hAnsi="方正小标宋简体" w:eastAsia="方正小标宋简体" w:cs="方正小标宋简体"/>
          <w:sz w:val="36"/>
          <w:szCs w:val="36"/>
        </w:rPr>
      </w:pPr>
    </w:p>
    <w:p w14:paraId="60B70B86">
      <w:pPr>
        <w:pStyle w:val="51"/>
        <w:rPr>
          <w:rFonts w:hint="eastAsia" w:ascii="方正小标宋简体" w:hAnsi="方正小标宋简体" w:eastAsia="方正小标宋简体" w:cs="方正小标宋简体"/>
          <w:sz w:val="36"/>
          <w:szCs w:val="36"/>
        </w:rPr>
      </w:pPr>
    </w:p>
    <w:p w14:paraId="6BD0FDCB">
      <w:pPr>
        <w:pStyle w:val="51"/>
        <w:rPr>
          <w:rFonts w:hint="eastAsia" w:ascii="方正小标宋简体" w:hAnsi="方正小标宋简体" w:eastAsia="方正小标宋简体" w:cs="方正小标宋简体"/>
          <w:sz w:val="36"/>
          <w:szCs w:val="36"/>
        </w:rPr>
      </w:pPr>
    </w:p>
    <w:p w14:paraId="18BD637D">
      <w:pPr>
        <w:adjustRightInd w:val="0"/>
        <w:snapToGrid w:val="0"/>
        <w:spacing w:beforeLines="50" w:line="360" w:lineRule="auto"/>
        <w:jc w:val="center"/>
        <w:rPr>
          <w:rFonts w:ascii="黑体" w:hAnsi="黑体" w:eastAsia="黑体"/>
          <w:b/>
          <w:sz w:val="28"/>
          <w:szCs w:val="28"/>
        </w:rPr>
      </w:pPr>
      <w:r>
        <w:rPr>
          <w:rFonts w:hint="eastAsia" w:ascii="黑体" w:hAnsi="黑体" w:eastAsia="黑体"/>
          <w:b/>
          <w:sz w:val="28"/>
          <w:szCs w:val="28"/>
          <w:lang w:eastAsia="zh-CN"/>
        </w:rPr>
        <w:t>包</w:t>
      </w:r>
      <w:r>
        <w:rPr>
          <w:rFonts w:hint="eastAsia" w:ascii="黑体" w:hAnsi="黑体" w:eastAsia="黑体"/>
          <w:b/>
          <w:sz w:val="28"/>
          <w:szCs w:val="28"/>
          <w:lang w:val="en-US" w:eastAsia="zh-CN"/>
        </w:rPr>
        <w:t>02、03</w:t>
      </w:r>
      <w:r>
        <w:rPr>
          <w:rFonts w:hint="eastAsia" w:ascii="黑体" w:hAnsi="黑体" w:eastAsia="黑体"/>
          <w:b/>
          <w:sz w:val="28"/>
          <w:szCs w:val="28"/>
        </w:rPr>
        <w:t>评标方法及标准</w:t>
      </w:r>
    </w:p>
    <w:tbl>
      <w:tblPr>
        <w:tblStyle w:val="41"/>
        <w:tblW w:w="8860" w:type="dxa"/>
        <w:jc w:val="center"/>
        <w:tblLayout w:type="fixed"/>
        <w:tblCellMar>
          <w:top w:w="0" w:type="dxa"/>
          <w:left w:w="0" w:type="dxa"/>
          <w:bottom w:w="0" w:type="dxa"/>
          <w:right w:w="0" w:type="dxa"/>
        </w:tblCellMar>
      </w:tblPr>
      <w:tblGrid>
        <w:gridCol w:w="5442"/>
        <w:gridCol w:w="3418"/>
      </w:tblGrid>
      <w:tr w14:paraId="75136FD6">
        <w:tblPrEx>
          <w:tblCellMar>
            <w:top w:w="0" w:type="dxa"/>
            <w:left w:w="0" w:type="dxa"/>
            <w:bottom w:w="0" w:type="dxa"/>
            <w:right w:w="0" w:type="dxa"/>
          </w:tblCellMar>
        </w:tblPrEx>
        <w:trPr>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318EF07A">
            <w:pPr>
              <w:widowControl/>
              <w:jc w:val="center"/>
              <w:rPr>
                <w:rFonts w:ascii="宋体" w:hAnsi="宋体"/>
                <w:kern w:val="0"/>
                <w:szCs w:val="21"/>
              </w:rPr>
            </w:pPr>
            <w:r>
              <w:rPr>
                <w:rFonts w:ascii="宋体" w:hAnsi="宋体"/>
                <w:kern w:val="0"/>
                <w:szCs w:val="21"/>
              </w:rPr>
              <w:t>评审因素及权值</w:t>
            </w:r>
          </w:p>
        </w:tc>
      </w:tr>
      <w:tr w14:paraId="48CA0837">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52396FCD">
            <w:pPr>
              <w:widowControl/>
              <w:jc w:val="center"/>
              <w:rPr>
                <w:rFonts w:ascii="宋体" w:hAnsi="宋体"/>
                <w:b/>
                <w:kern w:val="0"/>
                <w:szCs w:val="21"/>
              </w:rPr>
            </w:pPr>
            <w:r>
              <w:rPr>
                <w:rFonts w:ascii="宋体" w:hAnsi="宋体"/>
                <w:b/>
                <w:kern w:val="0"/>
                <w:szCs w:val="21"/>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7AC52822">
            <w:pPr>
              <w:widowControl/>
              <w:jc w:val="center"/>
              <w:rPr>
                <w:rFonts w:ascii="宋体" w:hAnsi="宋体"/>
                <w:b/>
                <w:kern w:val="0"/>
                <w:szCs w:val="21"/>
              </w:rPr>
            </w:pPr>
            <w:r>
              <w:rPr>
                <w:rFonts w:ascii="宋体" w:hAnsi="宋体"/>
                <w:b/>
                <w:kern w:val="0"/>
                <w:szCs w:val="21"/>
              </w:rPr>
              <w:t>权值范围</w:t>
            </w:r>
          </w:p>
        </w:tc>
      </w:tr>
      <w:tr w14:paraId="59266E4F">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0A37B48">
            <w:pPr>
              <w:widowControl/>
              <w:jc w:val="center"/>
              <w:rPr>
                <w:rFonts w:ascii="宋体" w:hAnsi="宋体"/>
                <w:kern w:val="0"/>
                <w:szCs w:val="21"/>
              </w:rPr>
            </w:pPr>
            <w:r>
              <w:rPr>
                <w:rFonts w:ascii="宋体" w:hAnsi="宋体"/>
                <w:kern w:val="0"/>
                <w:szCs w:val="21"/>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14FFFE7">
            <w:pPr>
              <w:widowControl/>
              <w:jc w:val="center"/>
              <w:rPr>
                <w:rFonts w:hint="default" w:ascii="宋体" w:hAnsi="宋体" w:eastAsia="宋体"/>
                <w:kern w:val="0"/>
                <w:szCs w:val="21"/>
                <w:lang w:val="en-US" w:eastAsia="zh-CN"/>
              </w:rPr>
            </w:pPr>
            <w:r>
              <w:rPr>
                <w:rFonts w:hint="eastAsia" w:ascii="宋体" w:hAnsi="宋体"/>
                <w:kern w:val="0"/>
                <w:szCs w:val="21"/>
              </w:rPr>
              <w:t>（A1）</w:t>
            </w:r>
            <w:r>
              <w:rPr>
                <w:rFonts w:hint="eastAsia" w:ascii="宋体" w:hAnsi="宋体"/>
                <w:kern w:val="0"/>
                <w:szCs w:val="21"/>
                <w:lang w:val="en-US" w:eastAsia="zh-CN"/>
              </w:rPr>
              <w:t>45</w:t>
            </w:r>
          </w:p>
        </w:tc>
      </w:tr>
      <w:tr w14:paraId="597DCADA">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6278518">
            <w:pPr>
              <w:widowControl/>
              <w:jc w:val="center"/>
              <w:rPr>
                <w:rFonts w:ascii="宋体" w:hAnsi="宋体"/>
                <w:kern w:val="0"/>
                <w:szCs w:val="21"/>
              </w:rPr>
            </w:pPr>
            <w:r>
              <w:rPr>
                <w:rFonts w:ascii="宋体" w:hAnsi="宋体"/>
                <w:kern w:val="0"/>
                <w:szCs w:val="21"/>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CCA95F7">
            <w:pPr>
              <w:widowControl/>
              <w:jc w:val="center"/>
              <w:rPr>
                <w:rFonts w:hint="default" w:ascii="宋体" w:hAnsi="宋体" w:eastAsia="宋体"/>
                <w:color w:val="auto"/>
                <w:kern w:val="0"/>
                <w:szCs w:val="21"/>
                <w:lang w:val="en-US" w:eastAsia="zh-CN"/>
              </w:rPr>
            </w:pPr>
            <w:r>
              <w:rPr>
                <w:rFonts w:hint="eastAsia" w:ascii="宋体" w:hAnsi="宋体"/>
                <w:color w:val="auto"/>
                <w:kern w:val="0"/>
                <w:szCs w:val="21"/>
              </w:rPr>
              <w:t>（A2）</w:t>
            </w:r>
            <w:r>
              <w:rPr>
                <w:rFonts w:hint="eastAsia" w:ascii="宋体" w:hAnsi="宋体"/>
                <w:color w:val="auto"/>
                <w:kern w:val="0"/>
                <w:szCs w:val="21"/>
                <w:lang w:val="en-US" w:eastAsia="zh-CN"/>
              </w:rPr>
              <w:t>25</w:t>
            </w:r>
          </w:p>
        </w:tc>
      </w:tr>
      <w:tr w14:paraId="21324B48">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D554763">
            <w:pPr>
              <w:widowControl/>
              <w:jc w:val="center"/>
              <w:rPr>
                <w:rFonts w:ascii="宋体" w:hAnsi="宋体"/>
                <w:kern w:val="0"/>
                <w:szCs w:val="21"/>
              </w:rPr>
            </w:pPr>
            <w:r>
              <w:rPr>
                <w:rFonts w:ascii="宋体" w:hAnsi="宋体"/>
                <w:kern w:val="0"/>
                <w:szCs w:val="21"/>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5D2C39B">
            <w:pPr>
              <w:widowControl/>
              <w:jc w:val="center"/>
              <w:rPr>
                <w:rFonts w:hint="default" w:ascii="宋体" w:hAnsi="宋体" w:eastAsia="宋体"/>
                <w:color w:val="auto"/>
                <w:kern w:val="0"/>
                <w:szCs w:val="21"/>
                <w:lang w:val="en-US" w:eastAsia="zh-CN"/>
              </w:rPr>
            </w:pPr>
            <w:r>
              <w:rPr>
                <w:rFonts w:hint="eastAsia" w:ascii="宋体" w:hAnsi="宋体"/>
                <w:color w:val="auto"/>
                <w:kern w:val="0"/>
                <w:szCs w:val="21"/>
              </w:rPr>
              <w:t>（A3）</w:t>
            </w:r>
            <w:r>
              <w:rPr>
                <w:rFonts w:hint="eastAsia" w:ascii="宋体" w:hAnsi="宋体"/>
                <w:color w:val="auto"/>
                <w:kern w:val="0"/>
                <w:szCs w:val="21"/>
                <w:lang w:val="en-US" w:eastAsia="zh-CN"/>
              </w:rPr>
              <w:t>30</w:t>
            </w:r>
          </w:p>
        </w:tc>
      </w:tr>
    </w:tbl>
    <w:p w14:paraId="439DDBD0">
      <w:pPr>
        <w:widowControl/>
        <w:rPr>
          <w:kern w:val="0"/>
          <w:sz w:val="24"/>
        </w:rPr>
      </w:pPr>
      <w:r>
        <w:rPr>
          <w:kern w:val="0"/>
          <w:szCs w:val="21"/>
        </w:rPr>
        <w:t xml:space="preserve">  </w:t>
      </w:r>
    </w:p>
    <w:tbl>
      <w:tblPr>
        <w:tblStyle w:val="41"/>
        <w:tblW w:w="8845" w:type="dxa"/>
        <w:jc w:val="center"/>
        <w:tblLayout w:type="fixed"/>
        <w:tblCellMar>
          <w:top w:w="0" w:type="dxa"/>
          <w:left w:w="0" w:type="dxa"/>
          <w:bottom w:w="0" w:type="dxa"/>
          <w:right w:w="0" w:type="dxa"/>
        </w:tblCellMar>
      </w:tblPr>
      <w:tblGrid>
        <w:gridCol w:w="626"/>
        <w:gridCol w:w="793"/>
        <w:gridCol w:w="709"/>
        <w:gridCol w:w="6717"/>
      </w:tblGrid>
      <w:tr w14:paraId="2681B36B">
        <w:tblPrEx>
          <w:tblCellMar>
            <w:top w:w="0" w:type="dxa"/>
            <w:left w:w="0" w:type="dxa"/>
            <w:bottom w:w="0" w:type="dxa"/>
            <w:right w:w="0" w:type="dxa"/>
          </w:tblCellMar>
        </w:tblPrEx>
        <w:trPr>
          <w:jc w:val="center"/>
        </w:trPr>
        <w:tc>
          <w:tcPr>
            <w:tcW w:w="8845" w:type="dxa"/>
            <w:gridSpan w:val="4"/>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BE93B44">
            <w:pPr>
              <w:jc w:val="center"/>
              <w:rPr>
                <w:b/>
              </w:rPr>
            </w:pPr>
            <w:r>
              <w:rPr>
                <w:b/>
              </w:rPr>
              <w:t>综合评分表</w:t>
            </w:r>
          </w:p>
        </w:tc>
      </w:tr>
      <w:tr w14:paraId="476E3D27">
        <w:tblPrEx>
          <w:tblCellMar>
            <w:top w:w="0" w:type="dxa"/>
            <w:left w:w="0" w:type="dxa"/>
            <w:bottom w:w="0" w:type="dxa"/>
            <w:right w:w="0" w:type="dxa"/>
          </w:tblCellMar>
        </w:tblPrEx>
        <w:trPr>
          <w:jc w:val="center"/>
        </w:trPr>
        <w:tc>
          <w:tcPr>
            <w:tcW w:w="62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A07FD21">
            <w:pPr>
              <w:jc w:val="center"/>
              <w:rPr>
                <w:b/>
              </w:rPr>
            </w:pPr>
            <w:r>
              <w:rPr>
                <w:b/>
              </w:rPr>
              <w:t>评审因素</w:t>
            </w:r>
          </w:p>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F557974">
            <w:pPr>
              <w:jc w:val="center"/>
              <w:rPr>
                <w:b/>
              </w:rPr>
            </w:pPr>
            <w:r>
              <w:rPr>
                <w:b/>
              </w:rPr>
              <w:t>计分</w:t>
            </w:r>
          </w:p>
          <w:p w14:paraId="36BDC3D2">
            <w:pPr>
              <w:jc w:val="center"/>
              <w:rPr>
                <w:b/>
              </w:rPr>
            </w:pPr>
            <w:r>
              <w:rPr>
                <w:b/>
              </w:rPr>
              <w:t>因素</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63281D0">
            <w:pPr>
              <w:jc w:val="center"/>
              <w:rPr>
                <w:b/>
              </w:rPr>
            </w:pPr>
            <w:r>
              <w:rPr>
                <w:b/>
              </w:rPr>
              <w:t>分值</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A6A81A4">
            <w:pPr>
              <w:jc w:val="center"/>
              <w:rPr>
                <w:b/>
              </w:rPr>
            </w:pPr>
            <w:r>
              <w:rPr>
                <w:b/>
              </w:rPr>
              <w:t>计分标准</w:t>
            </w:r>
          </w:p>
        </w:tc>
      </w:tr>
      <w:tr w14:paraId="30BA6552">
        <w:tblPrEx>
          <w:tblCellMar>
            <w:top w:w="0" w:type="dxa"/>
            <w:left w:w="0" w:type="dxa"/>
            <w:bottom w:w="0" w:type="dxa"/>
            <w:right w:w="0" w:type="dxa"/>
          </w:tblCellMar>
        </w:tblPrEx>
        <w:trPr>
          <w:jc w:val="center"/>
        </w:trPr>
        <w:tc>
          <w:tcPr>
            <w:tcW w:w="626"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71ED805">
            <w:pPr>
              <w:jc w:val="center"/>
            </w:pPr>
            <w:r>
              <w:rPr>
                <w:b/>
              </w:rPr>
              <w:t>技术部分(F1)</w:t>
            </w:r>
          </w:p>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2E20454">
            <w:pPr>
              <w:jc w:val="center"/>
              <w:rPr>
                <w:rFonts w:hint="eastAsia"/>
                <w:lang w:eastAsia="zh-CN"/>
              </w:rPr>
            </w:pPr>
            <w:r>
              <w:rPr>
                <w:rFonts w:hint="eastAsia"/>
                <w:lang w:eastAsia="zh-CN"/>
              </w:rPr>
              <w:t>采购</w:t>
            </w:r>
          </w:p>
          <w:p w14:paraId="2DEA0D82">
            <w:pPr>
              <w:jc w:val="center"/>
              <w:rPr>
                <w:rFonts w:hint="eastAsia" w:eastAsia="宋体"/>
                <w:lang w:eastAsia="zh-CN"/>
              </w:rPr>
            </w:pPr>
            <w:r>
              <w:rPr>
                <w:rFonts w:hint="eastAsia"/>
                <w:lang w:eastAsia="zh-CN"/>
              </w:rPr>
              <w:t>需求</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AAAB947">
            <w:pPr>
              <w:jc w:val="center"/>
            </w:pPr>
            <w:r>
              <w:rPr>
                <w:rFonts w:hint="eastAsia"/>
              </w:rPr>
              <w:t>100.0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7FEA6C7">
            <w:pP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以招标文件“第五章采购需求”为基准，完全满足或优于招标文件的</w:t>
            </w:r>
            <w:r>
              <w:rPr>
                <w:rFonts w:hint="eastAsia" w:cs="Times New Roman" w:eastAsiaTheme="minorEastAsia"/>
                <w:szCs w:val="21"/>
                <w:lang w:eastAsia="zh-CN"/>
              </w:rPr>
              <w:t>计</w:t>
            </w:r>
            <w:r>
              <w:rPr>
                <w:rFonts w:hint="default" w:ascii="Times New Roman" w:hAnsi="Times New Roman" w:cs="Times New Roman" w:eastAsiaTheme="minorEastAsia"/>
                <w:szCs w:val="21"/>
              </w:rPr>
              <w:t>100分；带</w:t>
            </w:r>
            <w:r>
              <w:rPr>
                <w:rFonts w:hint="default" w:ascii="Times New Roman" w:hAnsi="Times New Roman" w:cs="Times New Roman" w:eastAsiaTheme="minorEastAsia"/>
                <w:szCs w:val="21"/>
                <w:lang w:eastAsia="zh-CN"/>
              </w:rPr>
              <w:t>“</w:t>
            </w:r>
            <w:r>
              <w:rPr>
                <w:rFonts w:hint="default" w:ascii="Times New Roman" w:hAnsi="Times New Roman" w:cs="Times New Roman" w:eastAsiaTheme="minorEastAsia"/>
                <w:szCs w:val="21"/>
              </w:rPr>
              <w:t>★</w:t>
            </w:r>
            <w:r>
              <w:rPr>
                <w:rFonts w:hint="default" w:ascii="Times New Roman" w:hAnsi="Times New Roman" w:cs="Times New Roman" w:eastAsiaTheme="minorEastAsia"/>
                <w:szCs w:val="21"/>
                <w:lang w:eastAsia="zh-CN"/>
              </w:rPr>
              <w:t>”为</w:t>
            </w:r>
            <w:r>
              <w:rPr>
                <w:rFonts w:hint="default" w:ascii="Times New Roman" w:hAnsi="Times New Roman" w:cs="Times New Roman" w:eastAsiaTheme="minorEastAsia"/>
                <w:szCs w:val="21"/>
              </w:rPr>
              <w:t>实质性响应项，如有负偏离，取消投标人资格。</w:t>
            </w:r>
          </w:p>
          <w:p w14:paraId="7ECF69B4">
            <w:pPr>
              <w:rPr>
                <w:rFonts w:hint="default" w:ascii="Times New Roman" w:hAnsi="Times New Roman" w:cs="Times New Roman"/>
              </w:rPr>
            </w:pPr>
            <w:r>
              <w:rPr>
                <w:rFonts w:hint="default" w:ascii="Times New Roman" w:hAnsi="Times New Roman" w:cs="Times New Roman"/>
              </w:rPr>
              <w:t>1、非实质性项如有负偏离每处扣</w:t>
            </w:r>
            <w:r>
              <w:rPr>
                <w:rFonts w:hint="default" w:ascii="Times New Roman" w:hAnsi="Times New Roman" w:cs="Times New Roman"/>
                <w:lang w:val="en-US" w:eastAsia="zh-CN"/>
              </w:rPr>
              <w:t>20</w:t>
            </w:r>
            <w:r>
              <w:rPr>
                <w:rFonts w:hint="default" w:ascii="Times New Roman" w:hAnsi="Times New Roman" w:cs="Times New Roman"/>
              </w:rPr>
              <w:t>分（以最小单位为一项），</w:t>
            </w:r>
            <w:r>
              <w:rPr>
                <w:rFonts w:hint="eastAsia" w:cs="Times New Roman"/>
                <w:lang w:eastAsia="zh-CN"/>
              </w:rPr>
              <w:t>扣完本项分值为准。</w:t>
            </w:r>
            <w:r>
              <w:rPr>
                <w:rFonts w:hint="default" w:ascii="Times New Roman" w:hAnsi="Times New Roman" w:cs="Times New Roman"/>
              </w:rPr>
              <w:t>本次招标允许</w:t>
            </w:r>
            <w:r>
              <w:rPr>
                <w:rFonts w:hint="eastAsia" w:ascii="宋体" w:hAnsi="宋体" w:eastAsia="宋体" w:cs="宋体"/>
              </w:rPr>
              <w:t>≤</w:t>
            </w:r>
            <w:r>
              <w:rPr>
                <w:rFonts w:hint="default" w:ascii="Times New Roman" w:hAnsi="Times New Roman" w:cs="Times New Roman"/>
                <w:lang w:val="en-US" w:eastAsia="zh-CN"/>
              </w:rPr>
              <w:t>5</w:t>
            </w:r>
            <w:r>
              <w:rPr>
                <w:rFonts w:hint="default" w:ascii="Times New Roman" w:hAnsi="Times New Roman" w:cs="Times New Roman"/>
              </w:rPr>
              <w:t>项负偏离。</w:t>
            </w:r>
          </w:p>
          <w:p w14:paraId="0799EAAD">
            <w:pPr>
              <w:rPr>
                <w:rFonts w:hint="default" w:ascii="Times New Roman" w:hAnsi="Times New Roman" w:cs="Times New Roman"/>
              </w:rPr>
            </w:pPr>
            <w:r>
              <w:rPr>
                <w:rFonts w:hint="default" w:ascii="Times New Roman" w:hAnsi="Times New Roman" w:cs="Times New Roman" w:eastAsiaTheme="minorEastAsia"/>
                <w:szCs w:val="21"/>
              </w:rPr>
              <w:t>2、正偏离不加分。</w:t>
            </w:r>
          </w:p>
        </w:tc>
      </w:tr>
      <w:tr w14:paraId="42B6FF1B">
        <w:tblPrEx>
          <w:tblCellMar>
            <w:top w:w="0" w:type="dxa"/>
            <w:left w:w="0" w:type="dxa"/>
            <w:bottom w:w="0" w:type="dxa"/>
            <w:right w:w="0" w:type="dxa"/>
          </w:tblCellMar>
        </w:tblPrEx>
        <w:trPr>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6D3F82DC"/>
        </w:tc>
        <w:tc>
          <w:tcPr>
            <w:tcW w:w="8219" w:type="dxa"/>
            <w:gridSpan w:val="3"/>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6DE8533">
            <w:pPr>
              <w:rPr>
                <w:rFonts w:hint="default" w:ascii="Times New Roman" w:hAnsi="Times New Roman" w:cs="Times New Roman"/>
              </w:rPr>
            </w:pPr>
            <w:r>
              <w:rPr>
                <w:rFonts w:hint="default" w:ascii="Times New Roman" w:hAnsi="Times New Roman" w:cs="Times New Roman"/>
              </w:rPr>
              <w:t xml:space="preserve">节能、环境标志产品加分(此仅限于节能、环境标志政府采购品目清单内产品，不是品目清单内的产品，在评审时不予加分)： </w:t>
            </w:r>
          </w:p>
          <w:p w14:paraId="78448DFB">
            <w:pPr>
              <w:rPr>
                <w:rFonts w:hint="default" w:ascii="Times New Roman" w:hAnsi="Times New Roman" w:cs="Times New Roman"/>
              </w:rPr>
            </w:pPr>
            <w:r>
              <w:rPr>
                <w:rFonts w:hint="default" w:ascii="Times New Roman" w:hAnsi="Times New Roman" w:cs="Times New Roman"/>
              </w:rPr>
              <w:t>所投环保产品的价格</w:t>
            </w:r>
          </w:p>
          <w:p w14:paraId="1AA0CE75">
            <w:pPr>
              <w:rPr>
                <w:rFonts w:hint="default" w:ascii="Times New Roman" w:hAnsi="Times New Roman" w:cs="Times New Roman"/>
              </w:rPr>
            </w:pPr>
            <w:r>
              <w:rPr>
                <w:rFonts w:hint="default" w:ascii="Times New Roman" w:hAnsi="Times New Roman" w:cs="Times New Roman"/>
              </w:rPr>
              <w:t>———————————×技术权值×100×本项目加分比例= 应加分数</w:t>
            </w:r>
          </w:p>
          <w:p w14:paraId="588AD4F3">
            <w:pPr>
              <w:rPr>
                <w:rFonts w:hint="default" w:ascii="Times New Roman" w:hAnsi="Times New Roman" w:cs="Times New Roman"/>
              </w:rPr>
            </w:pPr>
            <w:r>
              <w:rPr>
                <w:rFonts w:hint="default" w:ascii="Times New Roman" w:hAnsi="Times New Roman" w:cs="Times New Roman"/>
              </w:rPr>
              <w:t>项目总价格</w:t>
            </w:r>
          </w:p>
          <w:p w14:paraId="6D1C9FA9">
            <w:pPr>
              <w:rPr>
                <w:rFonts w:hint="default" w:ascii="Times New Roman" w:hAnsi="Times New Roman" w:cs="Times New Roman"/>
              </w:rPr>
            </w:pPr>
            <w:r>
              <w:rPr>
                <w:rFonts w:hint="default" w:ascii="Times New Roman" w:hAnsi="Times New Roman" w:cs="Times New Roman"/>
              </w:rPr>
              <w:t>注：整包中某一品目为节能、环境标志政府采购品目清单内产品时只对该品目技术加分，并合计到技术最终得分。</w:t>
            </w:r>
          </w:p>
        </w:tc>
      </w:tr>
      <w:tr w14:paraId="11411A1A">
        <w:tblPrEx>
          <w:tblCellMar>
            <w:top w:w="0" w:type="dxa"/>
            <w:left w:w="0" w:type="dxa"/>
            <w:bottom w:w="0" w:type="dxa"/>
            <w:right w:w="0" w:type="dxa"/>
          </w:tblCellMar>
        </w:tblPrEx>
        <w:trPr>
          <w:trHeight w:val="2085" w:hRule="atLeast"/>
          <w:jc w:val="center"/>
        </w:trPr>
        <w:tc>
          <w:tcPr>
            <w:tcW w:w="626"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A698343">
            <w:pPr>
              <w:jc w:val="center"/>
            </w:pPr>
            <w:r>
              <w:rPr>
                <w:b/>
              </w:rPr>
              <w:t>商务部分(F2)</w:t>
            </w:r>
          </w:p>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DF9EED1">
            <w:pPr>
              <w:jc w:val="center"/>
              <w:rPr>
                <w:rFonts w:hint="default" w:ascii="Times New Roman" w:hAnsi="Times New Roman" w:cs="Times New Roman"/>
                <w:lang w:eastAsia="zh-CN"/>
              </w:rPr>
            </w:pPr>
            <w:r>
              <w:rPr>
                <w:rFonts w:hint="default" w:ascii="Times New Roman" w:hAnsi="Times New Roman" w:cs="Times New Roman"/>
                <w:lang w:eastAsia="zh-CN"/>
              </w:rPr>
              <w:t>服务</w:t>
            </w:r>
          </w:p>
          <w:p w14:paraId="79855077">
            <w:pPr>
              <w:jc w:val="center"/>
              <w:rPr>
                <w:rFonts w:hint="default" w:ascii="Times New Roman" w:hAnsi="Times New Roman" w:cs="Times New Roman"/>
              </w:rPr>
            </w:pPr>
            <w:r>
              <w:rPr>
                <w:rFonts w:hint="default" w:ascii="Times New Roman" w:hAnsi="Times New Roman" w:cs="Times New Roman"/>
              </w:rPr>
              <w:t>业绩</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FAE82C8">
            <w:pPr>
              <w:tabs>
                <w:tab w:val="left" w:pos="1988"/>
              </w:tabs>
              <w:spacing w:line="360" w:lineRule="exact"/>
              <w:jc w:val="center"/>
              <w:rPr>
                <w:rFonts w:hint="default" w:ascii="Times New Roman" w:hAnsi="Times New Roman" w:cs="Times New Roman"/>
                <w:szCs w:val="21"/>
              </w:rPr>
            </w:pPr>
            <w:r>
              <w:rPr>
                <w:rFonts w:hint="eastAsia" w:cs="Times New Roman"/>
                <w:szCs w:val="21"/>
                <w:lang w:val="en-US" w:eastAsia="zh-CN"/>
              </w:rPr>
              <w:t>20</w:t>
            </w:r>
            <w:r>
              <w:rPr>
                <w:rFonts w:hint="default" w:ascii="Times New Roman" w:hAnsi="Times New Roman" w:cs="Times New Roman"/>
                <w:szCs w:val="21"/>
              </w:rPr>
              <w:t>.0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3F81C9C">
            <w:pPr>
              <w:spacing w:line="360" w:lineRule="exact"/>
              <w:rPr>
                <w:rFonts w:hint="default" w:ascii="Times New Roman" w:hAnsi="Times New Roman" w:cs="Times New Roman"/>
                <w:szCs w:val="21"/>
              </w:rPr>
            </w:pPr>
            <w:r>
              <w:rPr>
                <w:rFonts w:hint="default" w:ascii="Times New Roman" w:hAnsi="Times New Roman" w:cs="Times New Roman"/>
                <w:kern w:val="0"/>
                <w:szCs w:val="21"/>
                <w:lang w:eastAsia="zh-CN"/>
              </w:rPr>
              <w:t>评标专家根据投标人提供</w:t>
            </w:r>
            <w:r>
              <w:rPr>
                <w:rFonts w:hint="default" w:ascii="Times New Roman" w:hAnsi="Times New Roman" w:cs="Times New Roman"/>
                <w:kern w:val="0"/>
                <w:szCs w:val="21"/>
                <w:lang w:val="en-US" w:eastAsia="zh-CN"/>
              </w:rPr>
              <w:t>的自202</w:t>
            </w:r>
            <w:r>
              <w:rPr>
                <w:rFonts w:hint="eastAsia" w:cs="Times New Roman"/>
                <w:kern w:val="0"/>
                <w:szCs w:val="21"/>
                <w:lang w:val="en-US" w:eastAsia="zh-CN"/>
              </w:rPr>
              <w:t>2</w:t>
            </w:r>
            <w:r>
              <w:rPr>
                <w:rFonts w:hint="default" w:ascii="Times New Roman" w:hAnsi="Times New Roman" w:cs="Times New Roman"/>
                <w:kern w:val="0"/>
                <w:szCs w:val="21"/>
                <w:lang w:val="en-US" w:eastAsia="zh-CN"/>
              </w:rPr>
              <w:t>年</w:t>
            </w:r>
            <w:r>
              <w:rPr>
                <w:rFonts w:hint="eastAsia" w:cs="Times New Roman"/>
                <w:kern w:val="0"/>
                <w:szCs w:val="21"/>
                <w:lang w:val="en-US" w:eastAsia="zh-CN"/>
              </w:rPr>
              <w:t>7</w:t>
            </w:r>
            <w:r>
              <w:rPr>
                <w:rFonts w:hint="default" w:ascii="Times New Roman" w:hAnsi="Times New Roman" w:cs="Times New Roman"/>
                <w:kern w:val="0"/>
                <w:szCs w:val="21"/>
                <w:lang w:val="en-US" w:eastAsia="zh-CN"/>
              </w:rPr>
              <w:t>月至投标截止时间前的</w:t>
            </w:r>
            <w:r>
              <w:rPr>
                <w:rFonts w:hint="eastAsia" w:ascii="Times New Roman" w:hAnsi="Times New Roman" w:cs="Times New Roman"/>
                <w:kern w:val="0"/>
                <w:szCs w:val="21"/>
                <w:lang w:eastAsia="zh-CN"/>
              </w:rPr>
              <w:t>类似</w:t>
            </w:r>
            <w:r>
              <w:rPr>
                <w:rFonts w:hint="default" w:ascii="Times New Roman" w:hAnsi="Times New Roman" w:cs="Times New Roman"/>
                <w:kern w:val="0"/>
                <w:szCs w:val="21"/>
                <w:lang w:eastAsia="zh-CN"/>
              </w:rPr>
              <w:t>维保业绩，每提供一份维保业绩的证明文件计</w:t>
            </w:r>
            <w:r>
              <w:rPr>
                <w:rFonts w:hint="eastAsia" w:cs="Times New Roman"/>
                <w:kern w:val="0"/>
                <w:szCs w:val="21"/>
                <w:lang w:val="en-US" w:eastAsia="zh-CN"/>
              </w:rPr>
              <w:t>5</w:t>
            </w:r>
            <w:r>
              <w:rPr>
                <w:rFonts w:hint="default" w:ascii="Times New Roman" w:hAnsi="Times New Roman" w:cs="Times New Roman"/>
                <w:kern w:val="0"/>
                <w:szCs w:val="21"/>
                <w:lang w:eastAsia="zh-CN"/>
              </w:rPr>
              <w:t>分，计满本项分值为准；（未提供上述相关证明文件的复印件，视同无业绩，不予计分）。对于投标人所提供的同样项目业绩案例，采购人保留予以核实的权利。如发现投标人提供虚假业绩，按虚假应标处理。</w:t>
            </w:r>
          </w:p>
        </w:tc>
      </w:tr>
      <w:tr w14:paraId="43CD6A1B">
        <w:tblPrEx>
          <w:tblCellMar>
            <w:top w:w="0" w:type="dxa"/>
            <w:left w:w="0" w:type="dxa"/>
            <w:bottom w:w="0" w:type="dxa"/>
            <w:right w:w="0" w:type="dxa"/>
          </w:tblCellMar>
        </w:tblPrEx>
        <w:trPr>
          <w:trHeight w:val="1800"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7A217800"/>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B03C2C2">
            <w:pPr>
              <w:jc w:val="center"/>
              <w:rPr>
                <w:rFonts w:hint="default" w:ascii="Times New Roman" w:hAnsi="Times New Roman" w:cs="Times New Roman"/>
              </w:rPr>
            </w:pPr>
            <w:r>
              <w:rPr>
                <w:rFonts w:hint="default" w:ascii="Times New Roman" w:hAnsi="Times New Roman" w:cs="Times New Roman"/>
                <w:lang w:eastAsia="zh-CN"/>
              </w:rPr>
              <w:t>拟派维修</w:t>
            </w:r>
            <w:r>
              <w:rPr>
                <w:rFonts w:hint="default" w:ascii="Times New Roman" w:hAnsi="Times New Roman" w:cs="Times New Roman"/>
              </w:rPr>
              <w:t>工程师资质</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5F8C127">
            <w:pPr>
              <w:tabs>
                <w:tab w:val="left" w:pos="1988"/>
              </w:tabs>
              <w:spacing w:line="360" w:lineRule="exact"/>
              <w:jc w:val="center"/>
              <w:rPr>
                <w:rFonts w:hint="default" w:ascii="Times New Roman" w:hAnsi="Times New Roman" w:cs="Times New Roman"/>
                <w:szCs w:val="21"/>
              </w:rPr>
            </w:pPr>
            <w:r>
              <w:rPr>
                <w:rFonts w:hint="eastAsia" w:cs="Times New Roman"/>
                <w:color w:val="auto"/>
                <w:szCs w:val="21"/>
                <w:lang w:val="en-US" w:eastAsia="zh-CN"/>
              </w:rPr>
              <w:t>20</w:t>
            </w:r>
            <w:r>
              <w:rPr>
                <w:rFonts w:hint="default" w:ascii="Times New Roman" w:hAnsi="Times New Roman" w:cs="Times New Roman"/>
                <w:color w:val="auto"/>
                <w:szCs w:val="21"/>
              </w:rPr>
              <w:t>.0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1C1E5B7">
            <w:pPr>
              <w:spacing w:line="360" w:lineRule="exact"/>
              <w:rPr>
                <w:rFonts w:hint="default" w:ascii="Times New Roman" w:hAnsi="Times New Roman" w:cs="Times New Roman"/>
                <w:szCs w:val="21"/>
              </w:rPr>
            </w:pPr>
            <w:r>
              <w:rPr>
                <w:rFonts w:hint="default" w:ascii="Times New Roman" w:hAnsi="Times New Roman" w:cs="Times New Roman"/>
                <w:szCs w:val="21"/>
              </w:rPr>
              <w:t>评标专家根据投标人提供</w:t>
            </w:r>
            <w:r>
              <w:rPr>
                <w:rFonts w:hint="default" w:ascii="Times New Roman" w:hAnsi="Times New Roman" w:cs="Times New Roman"/>
                <w:szCs w:val="21"/>
                <w:lang w:eastAsia="zh-CN"/>
              </w:rPr>
              <w:t>的</w:t>
            </w:r>
            <w:r>
              <w:rPr>
                <w:rFonts w:hint="default" w:ascii="Times New Roman" w:hAnsi="Times New Roman" w:cs="Times New Roman"/>
                <w:szCs w:val="21"/>
                <w:lang w:val="en-US" w:eastAsia="zh-CN"/>
              </w:rPr>
              <w:t>2名或2名以上拟派维修</w:t>
            </w:r>
            <w:r>
              <w:rPr>
                <w:rFonts w:hint="default" w:ascii="Times New Roman" w:hAnsi="Times New Roman" w:cs="Times New Roman"/>
                <w:szCs w:val="21"/>
              </w:rPr>
              <w:t>工程师的原厂培训证书、身份证复印件，</w:t>
            </w:r>
            <w:r>
              <w:rPr>
                <w:rFonts w:hint="default" w:ascii="Times New Roman" w:hAnsi="Times New Roman" w:cs="Times New Roman"/>
                <w:szCs w:val="21"/>
                <w:lang w:eastAsia="zh-CN"/>
              </w:rPr>
              <w:t>单位</w:t>
            </w:r>
            <w:r>
              <w:rPr>
                <w:rFonts w:hint="default" w:ascii="Times New Roman" w:hAnsi="Times New Roman" w:cs="Times New Roman"/>
                <w:szCs w:val="21"/>
              </w:rPr>
              <w:t>社保证明</w:t>
            </w:r>
            <w:r>
              <w:rPr>
                <w:rFonts w:hint="default" w:ascii="Times New Roman" w:hAnsi="Times New Roman" w:cs="Times New Roman"/>
                <w:szCs w:val="21"/>
                <w:lang w:eastAsia="zh-CN"/>
              </w:rPr>
              <w:t>进行计分</w:t>
            </w:r>
            <w:r>
              <w:rPr>
                <w:rFonts w:hint="default" w:ascii="Times New Roman" w:hAnsi="Times New Roman" w:cs="Times New Roman"/>
                <w:szCs w:val="21"/>
              </w:rPr>
              <w:t>，每完整提供一份（含原厂培训证书、身份证复印件、</w:t>
            </w:r>
            <w:r>
              <w:rPr>
                <w:rFonts w:hint="default" w:ascii="Times New Roman" w:hAnsi="Times New Roman" w:cs="Times New Roman"/>
                <w:szCs w:val="21"/>
                <w:lang w:eastAsia="zh-CN"/>
              </w:rPr>
              <w:t>单位</w:t>
            </w:r>
            <w:r>
              <w:rPr>
                <w:rFonts w:hint="default" w:ascii="Times New Roman" w:hAnsi="Times New Roman" w:cs="Times New Roman"/>
                <w:szCs w:val="21"/>
              </w:rPr>
              <w:t>社保证明）计</w:t>
            </w:r>
            <w:r>
              <w:rPr>
                <w:rFonts w:hint="default" w:ascii="Times New Roman" w:hAnsi="Times New Roman" w:cs="Times New Roman"/>
                <w:szCs w:val="21"/>
                <w:lang w:val="en-US" w:eastAsia="zh-CN"/>
              </w:rPr>
              <w:t>5</w:t>
            </w:r>
            <w:r>
              <w:rPr>
                <w:rFonts w:hint="default" w:ascii="Times New Roman" w:hAnsi="Times New Roman" w:cs="Times New Roman"/>
                <w:szCs w:val="21"/>
              </w:rPr>
              <w:t>分，计满本项分值为止,未完整提供不计分。</w:t>
            </w:r>
          </w:p>
        </w:tc>
      </w:tr>
      <w:tr w14:paraId="35C125D2">
        <w:tblPrEx>
          <w:tblCellMar>
            <w:top w:w="0" w:type="dxa"/>
            <w:left w:w="0" w:type="dxa"/>
            <w:bottom w:w="0" w:type="dxa"/>
            <w:right w:w="0" w:type="dxa"/>
          </w:tblCellMar>
        </w:tblPrEx>
        <w:trPr>
          <w:trHeight w:val="1800"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6EDABD24"/>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DC04635">
            <w:pPr>
              <w:jc w:val="center"/>
              <w:rPr>
                <w:rFonts w:hint="eastAsia" w:cs="Times New Roman"/>
                <w:lang w:eastAsia="zh-CN"/>
              </w:rPr>
            </w:pPr>
            <w:r>
              <w:rPr>
                <w:rFonts w:hint="eastAsia" w:cs="Times New Roman"/>
                <w:lang w:eastAsia="zh-CN"/>
              </w:rPr>
              <w:t>管理</w:t>
            </w:r>
          </w:p>
          <w:p w14:paraId="4BB230EA">
            <w:pPr>
              <w:jc w:val="center"/>
              <w:rPr>
                <w:rFonts w:hint="default" w:ascii="Times New Roman" w:hAnsi="Times New Roman" w:cs="Times New Roman"/>
                <w:lang w:eastAsia="zh-CN"/>
              </w:rPr>
            </w:pPr>
            <w:r>
              <w:rPr>
                <w:rFonts w:hint="eastAsia" w:cs="Times New Roman"/>
                <w:lang w:eastAsia="zh-CN"/>
              </w:rPr>
              <w:t>体系</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EEAB358">
            <w:pPr>
              <w:tabs>
                <w:tab w:val="left" w:pos="1988"/>
              </w:tabs>
              <w:spacing w:line="360" w:lineRule="exact"/>
              <w:jc w:val="center"/>
              <w:rPr>
                <w:rFonts w:hint="default" w:cs="Times New Roman"/>
                <w:color w:val="auto"/>
                <w:szCs w:val="21"/>
                <w:lang w:val="en-US" w:eastAsia="zh-CN"/>
              </w:rPr>
            </w:pPr>
            <w:r>
              <w:rPr>
                <w:rFonts w:hint="eastAsia" w:cs="Times New Roman"/>
                <w:color w:val="auto"/>
                <w:szCs w:val="21"/>
                <w:lang w:val="en-US" w:eastAsia="zh-CN"/>
              </w:rPr>
              <w:t>20.0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090C936">
            <w:pPr>
              <w:spacing w:line="360" w:lineRule="exac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eastAsia="zh-CN"/>
              </w:rPr>
              <w:t>评标专家根据投标人提供的投标人的</w:t>
            </w:r>
            <w:r>
              <w:rPr>
                <w:rFonts w:hint="default" w:ascii="Times New Roman" w:hAnsi="Times New Roman" w:eastAsia="宋体" w:cs="Times New Roman"/>
                <w:szCs w:val="21"/>
                <w:lang w:val="en-US"/>
              </w:rPr>
              <w:t>质量管理体系（ISO9001）认证、环境管理体系（ISO14001）认证、职业健康管理体系（ISO45001）认证</w:t>
            </w:r>
            <w:r>
              <w:rPr>
                <w:rFonts w:hint="default" w:ascii="Times New Roman" w:hAnsi="Times New Roman" w:eastAsia="宋体" w:cs="Times New Roman"/>
                <w:szCs w:val="21"/>
                <w:lang w:val="en-US" w:eastAsia="zh-CN"/>
              </w:rPr>
              <w:t>、</w:t>
            </w:r>
            <w:r>
              <w:rPr>
                <w:rFonts w:hint="default" w:ascii="Times New Roman" w:hAnsi="Times New Roman" w:eastAsia="宋体" w:cs="Times New Roman"/>
                <w:szCs w:val="21"/>
                <w:lang w:val="en-US"/>
              </w:rPr>
              <w:t>医疗器械质量</w:t>
            </w:r>
            <w:r>
              <w:rPr>
                <w:rFonts w:hint="default" w:ascii="Times New Roman" w:hAnsi="Times New Roman" w:eastAsia="宋体" w:cs="Times New Roman"/>
                <w:szCs w:val="21"/>
                <w:lang w:val="en-US" w:eastAsia="zh-CN"/>
              </w:rPr>
              <w:t>管理</w:t>
            </w:r>
            <w:r>
              <w:rPr>
                <w:rFonts w:hint="default" w:ascii="Times New Roman" w:hAnsi="Times New Roman" w:eastAsia="宋体" w:cs="Times New Roman"/>
                <w:szCs w:val="21"/>
                <w:lang w:val="en-US"/>
              </w:rPr>
              <w:t>体系（ISO13485）认证</w:t>
            </w:r>
            <w:r>
              <w:rPr>
                <w:rFonts w:hint="default" w:ascii="Times New Roman" w:hAnsi="Times New Roman" w:eastAsia="宋体" w:cs="Times New Roman"/>
                <w:szCs w:val="21"/>
                <w:lang w:val="en-US" w:eastAsia="zh-CN"/>
              </w:rPr>
              <w:t>情况进行计分，每提供一份有效的认证证书的计5分，计满本项分值为准。（须提供有效的认证证书复印件并加盖公章，未提供的不计分。）</w:t>
            </w:r>
          </w:p>
        </w:tc>
      </w:tr>
      <w:tr w14:paraId="26965D90">
        <w:tblPrEx>
          <w:tblCellMar>
            <w:top w:w="0" w:type="dxa"/>
            <w:left w:w="0" w:type="dxa"/>
            <w:bottom w:w="0" w:type="dxa"/>
            <w:right w:w="0" w:type="dxa"/>
          </w:tblCellMar>
        </w:tblPrEx>
        <w:trPr>
          <w:trHeight w:val="963"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62B402F4"/>
        </w:tc>
        <w:tc>
          <w:tcPr>
            <w:tcW w:w="793" w:type="dxa"/>
            <w:tcBorders>
              <w:top w:val="single" w:color="000000" w:sz="6" w:space="0"/>
              <w:left w:val="single" w:color="000000" w:sz="6" w:space="0"/>
              <w:bottom w:val="single" w:color="000000" w:sz="6" w:space="0"/>
              <w:right w:val="single" w:color="000000" w:sz="6" w:space="0"/>
            </w:tcBorders>
            <w:vAlign w:val="center"/>
          </w:tcPr>
          <w:p w14:paraId="54CFCEFE">
            <w:pPr>
              <w:jc w:val="center"/>
              <w:rPr>
                <w:rFonts w:hint="default" w:ascii="Times New Roman" w:hAnsi="Times New Roman" w:cs="Times New Roman"/>
              </w:rPr>
            </w:pPr>
            <w:r>
              <w:rPr>
                <w:rFonts w:hint="default" w:ascii="Times New Roman" w:hAnsi="Times New Roman" w:cs="Times New Roman"/>
                <w:szCs w:val="21"/>
              </w:rPr>
              <w:t>开机率承诺</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39D0956">
            <w:pPr>
              <w:tabs>
                <w:tab w:val="left" w:pos="1988"/>
              </w:tabs>
              <w:spacing w:line="360" w:lineRule="exact"/>
              <w:jc w:val="center"/>
              <w:rPr>
                <w:rFonts w:hint="default" w:ascii="Times New Roman" w:hAnsi="Times New Roman" w:cs="Times New Roman"/>
                <w:szCs w:val="21"/>
              </w:rPr>
            </w:pPr>
            <w:r>
              <w:rPr>
                <w:rFonts w:hint="default" w:ascii="Times New Roman" w:hAnsi="Times New Roman" w:cs="Times New Roman"/>
                <w:szCs w:val="21"/>
                <w:lang w:val="en-US" w:eastAsia="zh-CN"/>
              </w:rPr>
              <w:t>10</w:t>
            </w:r>
            <w:r>
              <w:rPr>
                <w:rFonts w:hint="default" w:ascii="Times New Roman" w:hAnsi="Times New Roman" w:cs="Times New Roman"/>
                <w:szCs w:val="21"/>
              </w:rPr>
              <w:t>.0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5C4BC43">
            <w:pPr>
              <w:spacing w:line="360" w:lineRule="exact"/>
              <w:rPr>
                <w:rFonts w:hint="default" w:ascii="Times New Roman" w:hAnsi="Times New Roman" w:cs="Times New Roman"/>
                <w:szCs w:val="21"/>
              </w:rPr>
            </w:pPr>
            <w:r>
              <w:rPr>
                <w:rFonts w:hint="default" w:ascii="Times New Roman" w:hAnsi="Times New Roman" w:cs="Times New Roman"/>
                <w:bCs/>
                <w:szCs w:val="21"/>
              </w:rPr>
              <w:t>评标专家根据投标人对设备开机率承诺，</w:t>
            </w:r>
            <w:r>
              <w:rPr>
                <w:rFonts w:hint="default" w:ascii="Times New Roman" w:hAnsi="Times New Roman" w:cs="Times New Roman"/>
                <w:bCs/>
                <w:color w:val="auto"/>
                <w:szCs w:val="21"/>
              </w:rPr>
              <w:t>开</w:t>
            </w:r>
            <w:r>
              <w:rPr>
                <w:rFonts w:hint="default" w:ascii="Times New Roman" w:hAnsi="Times New Roman" w:cs="Times New Roman"/>
                <w:bCs/>
                <w:color w:val="auto"/>
                <w:szCs w:val="21"/>
                <w:lang w:eastAsia="zh-CN"/>
              </w:rPr>
              <w:t>机</w:t>
            </w:r>
            <w:r>
              <w:rPr>
                <w:rFonts w:hint="default" w:ascii="Times New Roman" w:hAnsi="Times New Roman" w:cs="Times New Roman"/>
                <w:bCs/>
                <w:color w:val="auto"/>
                <w:szCs w:val="21"/>
              </w:rPr>
              <w:t>率</w:t>
            </w:r>
            <w:r>
              <w:rPr>
                <w:rFonts w:hint="default" w:ascii="Times New Roman" w:hAnsi="Times New Roman" w:eastAsia="宋体" w:cs="Times New Roman"/>
                <w:bCs/>
                <w:kern w:val="0"/>
                <w:szCs w:val="21"/>
              </w:rPr>
              <w:t>≥</w:t>
            </w:r>
            <w:r>
              <w:rPr>
                <w:rFonts w:hint="default" w:ascii="Times New Roman" w:hAnsi="Times New Roman" w:cs="Times New Roman"/>
                <w:bCs/>
                <w:szCs w:val="21"/>
              </w:rPr>
              <w:t>95%，</w:t>
            </w:r>
            <w:r>
              <w:rPr>
                <w:rFonts w:hint="default" w:ascii="Times New Roman" w:hAnsi="Times New Roman" w:cs="Times New Roman"/>
                <w:szCs w:val="21"/>
                <w:shd w:val="clear" w:color="auto" w:fill="FFFFFF"/>
              </w:rPr>
              <w:t>每低于一个百分点扣</w:t>
            </w:r>
            <w:r>
              <w:rPr>
                <w:rFonts w:hint="default" w:ascii="Times New Roman" w:hAnsi="Times New Roman" w:cs="Times New Roman"/>
                <w:szCs w:val="21"/>
                <w:shd w:val="clear" w:color="auto" w:fill="FFFFFF"/>
                <w:lang w:val="en-US" w:eastAsia="zh-CN"/>
              </w:rPr>
              <w:t>5</w:t>
            </w:r>
            <w:r>
              <w:rPr>
                <w:rFonts w:hint="default" w:ascii="Times New Roman" w:hAnsi="Times New Roman" w:cs="Times New Roman"/>
                <w:szCs w:val="21"/>
                <w:shd w:val="clear" w:color="auto" w:fill="FFFFFF"/>
              </w:rPr>
              <w:t>分，扣完</w:t>
            </w:r>
            <w:r>
              <w:rPr>
                <w:rFonts w:hint="default" w:ascii="Times New Roman" w:hAnsi="Times New Roman" w:cs="Times New Roman"/>
                <w:szCs w:val="21"/>
                <w:shd w:val="clear" w:color="auto" w:fill="FFFFFF"/>
                <w:lang w:val="en-US" w:eastAsia="zh-CN"/>
              </w:rPr>
              <w:t>10</w:t>
            </w:r>
            <w:r>
              <w:rPr>
                <w:rFonts w:hint="default" w:ascii="Times New Roman" w:hAnsi="Times New Roman" w:cs="Times New Roman"/>
                <w:szCs w:val="21"/>
                <w:shd w:val="clear" w:color="auto" w:fill="FFFFFF"/>
              </w:rPr>
              <w:t>分为止；如应答缺项</w:t>
            </w:r>
            <w:r>
              <w:rPr>
                <w:rFonts w:hint="eastAsia" w:cs="Times New Roman"/>
                <w:szCs w:val="21"/>
                <w:shd w:val="clear" w:color="auto" w:fill="FFFFFF"/>
                <w:lang w:eastAsia="zh-CN"/>
              </w:rPr>
              <w:t>的不计分</w:t>
            </w:r>
            <w:r>
              <w:rPr>
                <w:rFonts w:hint="default" w:ascii="Times New Roman" w:hAnsi="Times New Roman" w:cs="Times New Roman"/>
                <w:szCs w:val="21"/>
                <w:shd w:val="clear" w:color="auto" w:fill="FFFFFF"/>
              </w:rPr>
              <w:t>。</w:t>
            </w:r>
          </w:p>
        </w:tc>
      </w:tr>
      <w:tr w14:paraId="302FF20F">
        <w:tblPrEx>
          <w:tblCellMar>
            <w:top w:w="0" w:type="dxa"/>
            <w:left w:w="0" w:type="dxa"/>
            <w:bottom w:w="0" w:type="dxa"/>
            <w:right w:w="0" w:type="dxa"/>
          </w:tblCellMar>
        </w:tblPrEx>
        <w:trPr>
          <w:trHeight w:val="823"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5F0D5922"/>
        </w:tc>
        <w:tc>
          <w:tcPr>
            <w:tcW w:w="793" w:type="dxa"/>
            <w:tcBorders>
              <w:top w:val="single" w:color="000000" w:sz="6" w:space="0"/>
              <w:left w:val="single" w:color="000000" w:sz="6" w:space="0"/>
              <w:bottom w:val="single" w:color="000000" w:sz="6" w:space="0"/>
              <w:right w:val="single" w:color="000000" w:sz="6" w:space="0"/>
            </w:tcBorders>
            <w:vAlign w:val="center"/>
          </w:tcPr>
          <w:p w14:paraId="359FD4BB">
            <w:pPr>
              <w:jc w:val="center"/>
              <w:rPr>
                <w:rFonts w:hint="default" w:ascii="Times New Roman" w:hAnsi="Times New Roman" w:cs="Times New Roman"/>
              </w:rPr>
            </w:pPr>
            <w:r>
              <w:rPr>
                <w:rFonts w:hint="default" w:ascii="Times New Roman" w:hAnsi="Times New Roman" w:cs="Times New Roman"/>
              </w:rPr>
              <w:t>响应</w:t>
            </w:r>
          </w:p>
          <w:p w14:paraId="6A3CBB51">
            <w:pPr>
              <w:jc w:val="center"/>
              <w:rPr>
                <w:rFonts w:hint="default" w:ascii="Times New Roman" w:hAnsi="Times New Roman" w:cs="Times New Roman"/>
              </w:rPr>
            </w:pPr>
            <w:r>
              <w:rPr>
                <w:rFonts w:hint="default" w:ascii="Times New Roman" w:hAnsi="Times New Roman" w:cs="Times New Roman"/>
              </w:rPr>
              <w:t>服务</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2FFBD9D">
            <w:pPr>
              <w:tabs>
                <w:tab w:val="left" w:pos="1988"/>
              </w:tabs>
              <w:spacing w:line="360" w:lineRule="exact"/>
              <w:jc w:val="center"/>
              <w:rPr>
                <w:rFonts w:hint="default" w:ascii="Times New Roman" w:hAnsi="Times New Roman" w:cs="Times New Roman"/>
                <w:color w:val="auto"/>
                <w:szCs w:val="21"/>
                <w:lang w:val="en-US"/>
              </w:rPr>
            </w:pPr>
            <w:r>
              <w:rPr>
                <w:rFonts w:hint="eastAsia" w:cs="Times New Roman"/>
                <w:color w:val="auto"/>
                <w:szCs w:val="21"/>
                <w:lang w:val="en-US" w:eastAsia="zh-CN"/>
              </w:rPr>
              <w:t>10.0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DB4B1BC">
            <w:pPr>
              <w:spacing w:line="360" w:lineRule="exact"/>
              <w:rPr>
                <w:rFonts w:hint="default" w:ascii="Times New Roman" w:hAnsi="Times New Roman" w:cs="Times New Roman"/>
                <w:color w:val="auto"/>
                <w:szCs w:val="21"/>
              </w:rPr>
            </w:pPr>
            <w:r>
              <w:rPr>
                <w:rFonts w:hint="default" w:ascii="Times New Roman" w:hAnsi="Times New Roman" w:cs="Times New Roman"/>
                <w:bCs/>
                <w:color w:val="auto"/>
                <w:szCs w:val="21"/>
                <w:lang w:val="en-US" w:eastAsia="zh-CN"/>
              </w:rPr>
              <w:t>评标专家根据投标人的服务承诺进行计分</w:t>
            </w:r>
            <w:r>
              <w:rPr>
                <w:rFonts w:hint="eastAsia" w:cs="Times New Roman"/>
                <w:bCs/>
                <w:color w:val="auto"/>
                <w:szCs w:val="21"/>
                <w:lang w:val="en-US" w:eastAsia="zh-CN"/>
              </w:rPr>
              <w:t>：</w:t>
            </w:r>
            <w:r>
              <w:rPr>
                <w:rFonts w:hint="default" w:ascii="Calibri" w:hAnsi="Calibri" w:cs="Calibri"/>
                <w:bCs/>
                <w:color w:val="auto"/>
                <w:szCs w:val="21"/>
                <w:lang w:val="en-US" w:eastAsia="zh-CN"/>
              </w:rPr>
              <w:t>①</w:t>
            </w:r>
            <w:r>
              <w:rPr>
                <w:rFonts w:hint="default" w:ascii="Times New Roman" w:hAnsi="Times New Roman" w:cs="Times New Roman"/>
                <w:bCs/>
                <w:color w:val="auto"/>
                <w:szCs w:val="21"/>
                <w:lang w:val="en-US" w:eastAsia="zh-CN"/>
              </w:rPr>
              <w:t>承诺工程师在接到采购人维修通知后24小时内到达现场响应的计</w:t>
            </w:r>
            <w:r>
              <w:rPr>
                <w:rFonts w:hint="eastAsia" w:cs="Times New Roman"/>
                <w:bCs/>
                <w:color w:val="auto"/>
                <w:szCs w:val="21"/>
                <w:lang w:val="en-US" w:eastAsia="zh-CN"/>
              </w:rPr>
              <w:t>3</w:t>
            </w:r>
            <w:r>
              <w:rPr>
                <w:rFonts w:hint="default" w:ascii="Times New Roman" w:hAnsi="Times New Roman" w:cs="Times New Roman"/>
                <w:bCs/>
                <w:color w:val="auto"/>
                <w:szCs w:val="21"/>
                <w:lang w:val="en-US" w:eastAsia="zh-CN"/>
              </w:rPr>
              <w:t>分</w:t>
            </w:r>
            <w:r>
              <w:rPr>
                <w:rFonts w:hint="eastAsia" w:cs="Times New Roman"/>
                <w:bCs/>
                <w:color w:val="auto"/>
                <w:szCs w:val="21"/>
                <w:lang w:val="en-US" w:eastAsia="zh-CN"/>
              </w:rPr>
              <w:t>；</w:t>
            </w:r>
            <w:r>
              <w:rPr>
                <w:rFonts w:hint="default" w:ascii="Calibri" w:hAnsi="Calibri" w:cs="Calibri"/>
                <w:bCs/>
                <w:color w:val="auto"/>
                <w:szCs w:val="21"/>
                <w:lang w:val="en-US" w:eastAsia="zh-CN"/>
              </w:rPr>
              <w:t>②</w:t>
            </w:r>
            <w:r>
              <w:rPr>
                <w:rFonts w:hint="default" w:ascii="Times New Roman" w:hAnsi="Times New Roman" w:cs="Times New Roman"/>
                <w:bCs/>
                <w:color w:val="auto"/>
                <w:szCs w:val="21"/>
                <w:lang w:val="en-US" w:eastAsia="zh-CN"/>
              </w:rPr>
              <w:t>承诺工程师在接到采购人维修通知后16小时内到达现场响应的计</w:t>
            </w:r>
            <w:r>
              <w:rPr>
                <w:rFonts w:hint="eastAsia" w:cs="Times New Roman"/>
                <w:bCs/>
                <w:color w:val="auto"/>
                <w:szCs w:val="21"/>
                <w:lang w:val="en-US" w:eastAsia="zh-CN"/>
              </w:rPr>
              <w:t>6</w:t>
            </w:r>
            <w:r>
              <w:rPr>
                <w:rFonts w:hint="default" w:ascii="Times New Roman" w:hAnsi="Times New Roman" w:cs="Times New Roman"/>
                <w:bCs/>
                <w:color w:val="auto"/>
                <w:szCs w:val="21"/>
                <w:lang w:val="en-US" w:eastAsia="zh-CN"/>
              </w:rPr>
              <w:t>分</w:t>
            </w:r>
            <w:r>
              <w:rPr>
                <w:rFonts w:hint="eastAsia" w:cs="Times New Roman"/>
                <w:bCs/>
                <w:color w:val="auto"/>
                <w:szCs w:val="21"/>
                <w:lang w:val="en-US" w:eastAsia="zh-CN"/>
              </w:rPr>
              <w:t>；</w:t>
            </w:r>
            <w:r>
              <w:rPr>
                <w:rFonts w:hint="default" w:ascii="Calibri" w:hAnsi="Calibri" w:cs="Calibri"/>
                <w:bCs/>
                <w:color w:val="auto"/>
                <w:szCs w:val="21"/>
                <w:lang w:val="en-US" w:eastAsia="zh-CN"/>
              </w:rPr>
              <w:t>③</w:t>
            </w:r>
            <w:r>
              <w:rPr>
                <w:rFonts w:hint="default" w:ascii="Times New Roman" w:hAnsi="Times New Roman" w:cs="Times New Roman"/>
                <w:bCs/>
                <w:color w:val="auto"/>
                <w:szCs w:val="21"/>
                <w:lang w:val="en-US" w:eastAsia="zh-CN"/>
              </w:rPr>
              <w:t>承诺工程师在接到采购人维修通知后12小时内到达现场响应的计</w:t>
            </w:r>
            <w:r>
              <w:rPr>
                <w:rFonts w:hint="eastAsia" w:cs="Times New Roman"/>
                <w:bCs/>
                <w:color w:val="auto"/>
                <w:szCs w:val="21"/>
                <w:lang w:val="en-US" w:eastAsia="zh-CN"/>
              </w:rPr>
              <w:t>10</w:t>
            </w:r>
            <w:r>
              <w:rPr>
                <w:rFonts w:hint="default" w:ascii="Times New Roman" w:hAnsi="Times New Roman" w:cs="Times New Roman"/>
                <w:bCs/>
                <w:color w:val="auto"/>
                <w:szCs w:val="21"/>
                <w:lang w:val="en-US" w:eastAsia="zh-CN"/>
              </w:rPr>
              <w:t>分。</w:t>
            </w:r>
          </w:p>
        </w:tc>
      </w:tr>
      <w:tr w14:paraId="6A7D48F4">
        <w:tblPrEx>
          <w:tblCellMar>
            <w:top w:w="0" w:type="dxa"/>
            <w:left w:w="0" w:type="dxa"/>
            <w:bottom w:w="0" w:type="dxa"/>
            <w:right w:w="0" w:type="dxa"/>
          </w:tblCellMar>
        </w:tblPrEx>
        <w:trPr>
          <w:trHeight w:val="835" w:hRule="atLeast"/>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7E913376"/>
        </w:tc>
        <w:tc>
          <w:tcPr>
            <w:tcW w:w="793" w:type="dxa"/>
            <w:tcBorders>
              <w:top w:val="single" w:color="000000" w:sz="6" w:space="0"/>
              <w:left w:val="single" w:color="000000" w:sz="6" w:space="0"/>
              <w:bottom w:val="single" w:color="000000" w:sz="6" w:space="0"/>
              <w:right w:val="single" w:color="000000" w:sz="6" w:space="0"/>
            </w:tcBorders>
            <w:vAlign w:val="center"/>
          </w:tcPr>
          <w:p w14:paraId="3E974318">
            <w:pPr>
              <w:jc w:val="center"/>
              <w:rPr>
                <w:rFonts w:hint="default" w:ascii="Times New Roman" w:hAnsi="Times New Roman" w:cs="Times New Roman"/>
              </w:rPr>
            </w:pPr>
            <w:r>
              <w:rPr>
                <w:rFonts w:hint="default" w:ascii="Times New Roman" w:hAnsi="Times New Roman" w:cs="Times New Roman"/>
              </w:rPr>
              <w:t>服务实施方案及</w:t>
            </w:r>
            <w:r>
              <w:rPr>
                <w:rFonts w:hint="default" w:ascii="Times New Roman" w:hAnsi="Times New Roman" w:cs="Times New Roman"/>
                <w:lang w:eastAsia="zh-CN"/>
              </w:rPr>
              <w:t>培训</w:t>
            </w:r>
            <w:r>
              <w:rPr>
                <w:rFonts w:hint="default" w:ascii="Times New Roman" w:hAnsi="Times New Roman" w:cs="Times New Roman"/>
              </w:rPr>
              <w:t>计划</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4AC6B2F">
            <w:pPr>
              <w:tabs>
                <w:tab w:val="left" w:pos="1988"/>
              </w:tabs>
              <w:spacing w:line="360" w:lineRule="exact"/>
              <w:jc w:val="center"/>
              <w:rPr>
                <w:rFonts w:hint="default" w:ascii="Times New Roman" w:hAnsi="Times New Roman" w:cs="Times New Roman"/>
                <w:szCs w:val="21"/>
              </w:rPr>
            </w:pPr>
            <w:r>
              <w:rPr>
                <w:rFonts w:hint="default" w:ascii="Times New Roman" w:hAnsi="Times New Roman" w:cs="Times New Roman"/>
                <w:szCs w:val="21"/>
                <w:lang w:val="en-US" w:eastAsia="zh-CN"/>
              </w:rPr>
              <w:t>20</w:t>
            </w:r>
            <w:r>
              <w:rPr>
                <w:rFonts w:hint="default" w:ascii="Times New Roman" w:hAnsi="Times New Roman" w:cs="Times New Roman"/>
                <w:szCs w:val="21"/>
              </w:rPr>
              <w:t>.0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C04A100">
            <w:pPr>
              <w:spacing w:line="360" w:lineRule="exact"/>
              <w:rPr>
                <w:rFonts w:hint="default" w:ascii="Times New Roman" w:hAnsi="Times New Roman" w:cs="Times New Roman"/>
                <w:szCs w:val="21"/>
              </w:rPr>
            </w:pPr>
            <w:r>
              <w:rPr>
                <w:rFonts w:hint="default" w:ascii="Times New Roman" w:hAnsi="Times New Roman" w:cs="Times New Roman"/>
                <w:szCs w:val="21"/>
              </w:rPr>
              <w:t>评标专家根据投标人针对本项目提供的服务实施方案及</w:t>
            </w:r>
            <w:r>
              <w:rPr>
                <w:rFonts w:hint="default" w:ascii="Times New Roman" w:hAnsi="Times New Roman" w:cs="Times New Roman"/>
                <w:szCs w:val="21"/>
                <w:lang w:eastAsia="zh-CN"/>
              </w:rPr>
              <w:t>培训</w:t>
            </w:r>
            <w:r>
              <w:rPr>
                <w:rFonts w:hint="default" w:ascii="Times New Roman" w:hAnsi="Times New Roman" w:cs="Times New Roman"/>
                <w:szCs w:val="21"/>
              </w:rPr>
              <w:t>计划</w:t>
            </w:r>
            <w:r>
              <w:rPr>
                <w:rFonts w:hint="default" w:ascii="Times New Roman" w:hAnsi="Times New Roman" w:cs="Times New Roman"/>
                <w:szCs w:val="21"/>
                <w:lang w:eastAsia="zh-CN"/>
              </w:rPr>
              <w:t>（包含：服务响应、预防保养、年检达标、远程连接、网络安全、人员培训、应急处置等）</w:t>
            </w:r>
            <w:r>
              <w:rPr>
                <w:rFonts w:hint="default" w:ascii="Times New Roman" w:hAnsi="Times New Roman" w:cs="Times New Roman"/>
                <w:szCs w:val="21"/>
              </w:rPr>
              <w:t>分档计分：①服务实施方案及计划完整，可操作性强的得</w:t>
            </w:r>
            <w:r>
              <w:rPr>
                <w:rFonts w:hint="default" w:ascii="Times New Roman" w:hAnsi="Times New Roman" w:cs="Times New Roman"/>
                <w:szCs w:val="21"/>
                <w:lang w:val="en-US" w:eastAsia="zh-CN"/>
              </w:rPr>
              <w:t>20</w:t>
            </w:r>
            <w:r>
              <w:rPr>
                <w:rFonts w:hint="default" w:ascii="Times New Roman" w:hAnsi="Times New Roman" w:cs="Times New Roman"/>
                <w:szCs w:val="21"/>
              </w:rPr>
              <w:t>分，②服务实施方案及计划较完整，可操作性一般的得14分，③服务实施方案及计划一般的得6分，未提供培训方案及计划的不得分。</w:t>
            </w:r>
          </w:p>
        </w:tc>
      </w:tr>
      <w:tr w14:paraId="2D14372F">
        <w:tblPrEx>
          <w:tblCellMar>
            <w:top w:w="0" w:type="dxa"/>
            <w:left w:w="0" w:type="dxa"/>
            <w:bottom w:w="0" w:type="dxa"/>
            <w:right w:w="0" w:type="dxa"/>
          </w:tblCellMar>
        </w:tblPrEx>
        <w:trPr>
          <w:jc w:val="center"/>
        </w:trPr>
        <w:tc>
          <w:tcPr>
            <w:tcW w:w="626"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18EE722">
            <w:pPr>
              <w:jc w:val="center"/>
            </w:pPr>
            <w:r>
              <w:rPr>
                <w:b/>
              </w:rPr>
              <w:t>价格部分(F3)</w:t>
            </w:r>
          </w:p>
        </w:tc>
        <w:tc>
          <w:tcPr>
            <w:tcW w:w="79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2BF4884">
            <w:pPr>
              <w:jc w:val="center"/>
            </w:pPr>
            <w:r>
              <w:t>投标报价</w:t>
            </w:r>
          </w:p>
        </w:tc>
        <w:tc>
          <w:tcPr>
            <w:tcW w:w="70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2E5EF2E">
            <w:pPr>
              <w:jc w:val="center"/>
            </w:pPr>
            <w:r>
              <w:t>100.0</w:t>
            </w:r>
          </w:p>
        </w:tc>
        <w:tc>
          <w:tcPr>
            <w:tcW w:w="671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F3E3FB5">
            <w:r>
              <w:t>1</w:t>
            </w:r>
            <w:r>
              <w:rPr>
                <w:rFonts w:hint="eastAsia"/>
              </w:rPr>
              <w:t>、</w:t>
            </w:r>
            <w:r>
              <w:t>投标报价调整</w:t>
            </w:r>
            <w:r>
              <w:rPr>
                <w:rFonts w:hint="eastAsia"/>
              </w:rPr>
              <w:t>（扶持中小企业发展优惠政策、残疾人福利性单位优惠政策）：</w:t>
            </w:r>
            <w:r>
              <w:t>如整包投标，整包某一品目为中小企业产品</w:t>
            </w:r>
            <w:r>
              <w:rPr>
                <w:rFonts w:hint="eastAsia"/>
              </w:rPr>
              <w:t>或残疾人福利性单位产品</w:t>
            </w:r>
            <w:r>
              <w:t>，只对其品目中小企业产品</w:t>
            </w:r>
            <w:r>
              <w:rPr>
                <w:rFonts w:hint="eastAsia"/>
              </w:rPr>
              <w:t>或残疾人福利性单位产品</w:t>
            </w:r>
            <w:r>
              <w:t>报价</w:t>
            </w:r>
            <w:r>
              <w:rPr>
                <w:rFonts w:hint="eastAsia"/>
              </w:rPr>
              <w:t>进行</w:t>
            </w:r>
            <w:r>
              <w:t>折扣，</w:t>
            </w:r>
            <w:r>
              <w:rPr>
                <w:rFonts w:hint="eastAsia"/>
              </w:rPr>
              <w:t>再</w:t>
            </w:r>
            <w:r>
              <w:t>合计到投标报价总价</w:t>
            </w:r>
            <w:r>
              <w:rPr>
                <w:rFonts w:hint="eastAsia"/>
              </w:rPr>
              <w:t>中</w:t>
            </w:r>
            <w:r>
              <w:t>。本项目的具体扣除比例详见</w:t>
            </w:r>
            <w:r>
              <w:rPr>
                <w:rFonts w:hint="eastAsia"/>
              </w:rPr>
              <w:t>第二章。</w:t>
            </w:r>
          </w:p>
          <w:p w14:paraId="583234AE">
            <w:r>
              <w:t>2、满足招标文件要求且投标报价中最低的投标报价为评标基准价其价格分为满分；其他投标人的价格分统一按照以下公式计算：</w:t>
            </w:r>
          </w:p>
          <w:p w14:paraId="596D5C06">
            <w:r>
              <w:t xml:space="preserve">投标报价得分=（评标基准价/投标报价）×价格权值×100 </w:t>
            </w:r>
          </w:p>
        </w:tc>
      </w:tr>
      <w:tr w14:paraId="732DC52A">
        <w:tblPrEx>
          <w:tblCellMar>
            <w:top w:w="0" w:type="dxa"/>
            <w:left w:w="0" w:type="dxa"/>
            <w:bottom w:w="0" w:type="dxa"/>
            <w:right w:w="0" w:type="dxa"/>
          </w:tblCellMar>
        </w:tblPrEx>
        <w:trPr>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6744ED2B"/>
        </w:tc>
        <w:tc>
          <w:tcPr>
            <w:tcW w:w="8219" w:type="dxa"/>
            <w:gridSpan w:val="3"/>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41EB712">
            <w:r>
              <w:rPr>
                <w:rFonts w:hint="eastAsia"/>
              </w:rPr>
              <w:t>节能、</w:t>
            </w:r>
            <w:r>
              <w:t>环境标志产品加分(此仅限于</w:t>
            </w:r>
            <w:r>
              <w:rPr>
                <w:rFonts w:hint="eastAsia"/>
              </w:rPr>
              <w:t>节能、</w:t>
            </w:r>
            <w:r>
              <w:t>环境标志政府采购</w:t>
            </w:r>
            <w:r>
              <w:rPr>
                <w:rFonts w:hint="eastAsia"/>
              </w:rPr>
              <w:t>品目</w:t>
            </w:r>
            <w:r>
              <w:t>清单内产品，不是</w:t>
            </w:r>
            <w:r>
              <w:rPr>
                <w:rFonts w:hint="eastAsia"/>
              </w:rPr>
              <w:t>品目</w:t>
            </w:r>
            <w:r>
              <w:t xml:space="preserve">清单内的产品，在评审时不予以考虑)： </w:t>
            </w:r>
          </w:p>
          <w:p w14:paraId="5EADA485">
            <w:r>
              <w:t>所投环保产品的价格</w:t>
            </w:r>
          </w:p>
          <w:p w14:paraId="14D81FBA">
            <w:r>
              <w:t>———————————×技术权值×100×本项目加分比例= 应加分数</w:t>
            </w:r>
          </w:p>
          <w:p w14:paraId="6DD0B849">
            <w:r>
              <w:t>项目总价格</w:t>
            </w:r>
          </w:p>
          <w:p w14:paraId="0160151E">
            <w:r>
              <w:t>注：整包中某一品目为</w:t>
            </w:r>
            <w:r>
              <w:rPr>
                <w:rFonts w:hint="eastAsia"/>
              </w:rPr>
              <w:t>节能、</w:t>
            </w:r>
            <w:r>
              <w:t>环境标志政府采购</w:t>
            </w:r>
            <w:r>
              <w:rPr>
                <w:rFonts w:hint="eastAsia"/>
              </w:rPr>
              <w:t>品目</w:t>
            </w:r>
            <w:r>
              <w:t>清单内产品时只对该品目技术加分，并合计到技术最终得分。</w:t>
            </w:r>
          </w:p>
        </w:tc>
      </w:tr>
    </w:tbl>
    <w:p w14:paraId="28DD02B7">
      <w:pPr>
        <w:pStyle w:val="51"/>
        <w:rPr>
          <w:rFonts w:hint="eastAsia" w:ascii="方正小标宋简体" w:hAnsi="方正小标宋简体" w:eastAsia="方正小标宋简体" w:cs="方正小标宋简体"/>
          <w:sz w:val="36"/>
          <w:szCs w:val="36"/>
        </w:rPr>
      </w:pPr>
    </w:p>
    <w:p w14:paraId="116CAB67">
      <w:pPr>
        <w:pStyle w:val="2"/>
        <w:keepNext w:val="0"/>
        <w:adjustRightInd w:val="0"/>
        <w:snapToGrid w:val="0"/>
        <w:spacing w:beforeLines="50" w:line="360" w:lineRule="auto"/>
        <w:rPr>
          <w:rFonts w:hint="eastAsia" w:ascii="方正小标宋简体" w:hAnsi="方正小标宋简体" w:eastAsia="方正小标宋简体" w:cs="方正小标宋简体"/>
          <w:sz w:val="36"/>
          <w:szCs w:val="36"/>
        </w:rPr>
      </w:pPr>
    </w:p>
    <w:p w14:paraId="0E59DEFA">
      <w:pPr>
        <w:pStyle w:val="2"/>
        <w:keepNext w:val="0"/>
        <w:adjustRightInd w:val="0"/>
        <w:snapToGrid w:val="0"/>
        <w:spacing w:beforeLines="50" w:line="360" w:lineRule="auto"/>
        <w:rPr>
          <w:rFonts w:hint="eastAsia" w:ascii="方正小标宋简体" w:hAnsi="方正小标宋简体" w:eastAsia="方正小标宋简体" w:cs="方正小标宋简体"/>
          <w:sz w:val="36"/>
          <w:szCs w:val="36"/>
        </w:rPr>
      </w:pPr>
    </w:p>
    <w:p w14:paraId="4172DB7F">
      <w:pPr>
        <w:pStyle w:val="2"/>
        <w:keepNext w:val="0"/>
        <w:adjustRightInd w:val="0"/>
        <w:snapToGrid w:val="0"/>
        <w:spacing w:beforeLines="50" w:line="360" w:lineRule="auto"/>
        <w:rPr>
          <w:rFonts w:hint="eastAsia" w:ascii="方正小标宋简体" w:hAnsi="方正小标宋简体" w:eastAsia="方正小标宋简体" w:cs="方正小标宋简体"/>
          <w:sz w:val="36"/>
          <w:szCs w:val="36"/>
        </w:rPr>
      </w:pPr>
    </w:p>
    <w:p w14:paraId="190BA8D2">
      <w:pPr>
        <w:rPr>
          <w:rFonts w:hint="eastAsia" w:ascii="方正小标宋简体" w:hAnsi="方正小标宋简体" w:eastAsia="方正小标宋简体" w:cs="方正小标宋简体"/>
          <w:sz w:val="36"/>
          <w:szCs w:val="36"/>
        </w:rPr>
      </w:pPr>
    </w:p>
    <w:p w14:paraId="50FA2330">
      <w:pPr>
        <w:pStyle w:val="49"/>
        <w:rPr>
          <w:rFonts w:hint="eastAsia" w:ascii="方正小标宋简体" w:hAnsi="方正小标宋简体" w:eastAsia="方正小标宋简体" w:cs="方正小标宋简体"/>
          <w:sz w:val="36"/>
          <w:szCs w:val="36"/>
        </w:rPr>
      </w:pPr>
    </w:p>
    <w:p w14:paraId="2594DF7D">
      <w:pPr>
        <w:pStyle w:val="51"/>
        <w:rPr>
          <w:rFonts w:hint="eastAsia"/>
        </w:rPr>
      </w:pPr>
    </w:p>
    <w:p w14:paraId="64E9C6F6">
      <w:pPr>
        <w:pStyle w:val="2"/>
        <w:keepNext w:val="0"/>
        <w:adjustRightInd w:val="0"/>
        <w:snapToGrid w:val="0"/>
        <w:spacing w:beforeLines="50" w:line="360"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第五章 采购需求</w:t>
      </w:r>
      <w:bookmarkEnd w:id="33"/>
    </w:p>
    <w:p w14:paraId="77BA7B8D">
      <w:pPr>
        <w:pStyle w:val="3"/>
        <w:adjustRightInd w:val="0"/>
        <w:snapToGrid w:val="0"/>
        <w:spacing w:beforeLines="50"/>
        <w:jc w:val="center"/>
        <w:rPr>
          <w:rFonts w:hint="eastAsia" w:ascii="方正小标宋简体" w:hAnsi="方正小标宋简体" w:eastAsia="方正小标宋简体" w:cs="方正小标宋简体"/>
          <w:sz w:val="28"/>
          <w:szCs w:val="28"/>
          <w:lang w:eastAsia="zh-CN"/>
        </w:rPr>
      </w:pPr>
      <w:bookmarkStart w:id="34" w:name="_Toc29913942"/>
      <w:bookmarkStart w:id="35" w:name="_Toc29913944"/>
      <w:r>
        <w:rPr>
          <w:rFonts w:hint="eastAsia" w:ascii="方正小标宋简体" w:hAnsi="方正小标宋简体" w:eastAsia="方正小标宋简体" w:cs="方正小标宋简体"/>
          <w:sz w:val="32"/>
          <w:szCs w:val="32"/>
        </w:rPr>
        <w:t xml:space="preserve">第一节 </w:t>
      </w:r>
      <w:bookmarkEnd w:id="34"/>
      <w:r>
        <w:rPr>
          <w:rFonts w:hint="eastAsia" w:ascii="方正小标宋简体" w:hAnsi="方正小标宋简体" w:eastAsia="方正小标宋简体" w:cs="方正小标宋简体"/>
          <w:sz w:val="32"/>
          <w:szCs w:val="32"/>
          <w:lang w:eastAsia="zh-CN"/>
        </w:rPr>
        <w:t>采购清单</w:t>
      </w:r>
    </w:p>
    <w:tbl>
      <w:tblPr>
        <w:tblStyle w:val="42"/>
        <w:tblW w:w="8598"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725"/>
        <w:gridCol w:w="1012"/>
        <w:gridCol w:w="3992"/>
        <w:gridCol w:w="666"/>
        <w:gridCol w:w="733"/>
        <w:gridCol w:w="1470"/>
      </w:tblGrid>
      <w:tr w14:paraId="04B1D25A">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66" w:hRule="atLeast"/>
          <w:jc w:val="center"/>
        </w:trPr>
        <w:tc>
          <w:tcPr>
            <w:tcW w:w="725" w:type="dxa"/>
            <w:tcBorders>
              <w:bottom w:val="single" w:color="auto" w:sz="6" w:space="0"/>
            </w:tcBorders>
            <w:vAlign w:val="center"/>
          </w:tcPr>
          <w:p w14:paraId="58513A7B">
            <w:pPr>
              <w:jc w:val="center"/>
              <w:rPr>
                <w:b/>
                <w:kern w:val="0"/>
                <w:sz w:val="21"/>
                <w:szCs w:val="28"/>
              </w:rPr>
            </w:pPr>
            <w:r>
              <w:rPr>
                <w:rFonts w:hint="eastAsia"/>
                <w:b/>
                <w:kern w:val="0"/>
                <w:sz w:val="21"/>
                <w:szCs w:val="28"/>
              </w:rPr>
              <w:t>包号</w:t>
            </w:r>
          </w:p>
        </w:tc>
        <w:tc>
          <w:tcPr>
            <w:tcW w:w="1012" w:type="dxa"/>
            <w:tcBorders>
              <w:bottom w:val="single" w:color="auto" w:sz="6" w:space="0"/>
            </w:tcBorders>
            <w:vAlign w:val="center"/>
          </w:tcPr>
          <w:p w14:paraId="3CA3D564">
            <w:pPr>
              <w:jc w:val="center"/>
              <w:rPr>
                <w:b/>
                <w:kern w:val="0"/>
                <w:sz w:val="21"/>
                <w:szCs w:val="28"/>
              </w:rPr>
            </w:pPr>
            <w:r>
              <w:rPr>
                <w:rFonts w:hint="eastAsia"/>
                <w:b/>
                <w:kern w:val="0"/>
                <w:sz w:val="21"/>
                <w:szCs w:val="28"/>
              </w:rPr>
              <w:t>品目号</w:t>
            </w:r>
          </w:p>
        </w:tc>
        <w:tc>
          <w:tcPr>
            <w:tcW w:w="3992" w:type="dxa"/>
            <w:tcBorders>
              <w:bottom w:val="single" w:color="auto" w:sz="6" w:space="0"/>
            </w:tcBorders>
            <w:vAlign w:val="center"/>
          </w:tcPr>
          <w:p w14:paraId="4C846E7B">
            <w:pPr>
              <w:jc w:val="center"/>
              <w:rPr>
                <w:b/>
                <w:kern w:val="0"/>
                <w:sz w:val="21"/>
                <w:szCs w:val="28"/>
              </w:rPr>
            </w:pPr>
            <w:r>
              <w:rPr>
                <w:rFonts w:hint="eastAsia"/>
                <w:b/>
                <w:kern w:val="0"/>
                <w:sz w:val="21"/>
                <w:szCs w:val="28"/>
              </w:rPr>
              <w:t>品目名称</w:t>
            </w:r>
          </w:p>
        </w:tc>
        <w:tc>
          <w:tcPr>
            <w:tcW w:w="666" w:type="dxa"/>
            <w:tcBorders>
              <w:bottom w:val="single" w:color="auto" w:sz="6" w:space="0"/>
            </w:tcBorders>
            <w:vAlign w:val="center"/>
          </w:tcPr>
          <w:p w14:paraId="50F1F049">
            <w:pPr>
              <w:jc w:val="center"/>
              <w:rPr>
                <w:b/>
                <w:kern w:val="0"/>
                <w:sz w:val="21"/>
                <w:szCs w:val="28"/>
              </w:rPr>
            </w:pPr>
            <w:r>
              <w:rPr>
                <w:rFonts w:hint="eastAsia"/>
                <w:b/>
                <w:kern w:val="0"/>
                <w:sz w:val="21"/>
                <w:szCs w:val="28"/>
              </w:rPr>
              <w:t>数量</w:t>
            </w:r>
          </w:p>
        </w:tc>
        <w:tc>
          <w:tcPr>
            <w:tcW w:w="733" w:type="dxa"/>
            <w:tcBorders>
              <w:bottom w:val="single" w:color="auto" w:sz="6" w:space="0"/>
            </w:tcBorders>
            <w:vAlign w:val="center"/>
          </w:tcPr>
          <w:p w14:paraId="32D88295">
            <w:pPr>
              <w:jc w:val="center"/>
              <w:rPr>
                <w:b/>
                <w:kern w:val="0"/>
                <w:sz w:val="21"/>
                <w:szCs w:val="28"/>
              </w:rPr>
            </w:pPr>
            <w:r>
              <w:rPr>
                <w:rFonts w:hint="eastAsia"/>
                <w:b/>
                <w:kern w:val="0"/>
                <w:sz w:val="21"/>
                <w:szCs w:val="28"/>
              </w:rPr>
              <w:t>是否进口</w:t>
            </w:r>
          </w:p>
        </w:tc>
        <w:tc>
          <w:tcPr>
            <w:tcW w:w="1470" w:type="dxa"/>
            <w:vAlign w:val="center"/>
          </w:tcPr>
          <w:p w14:paraId="30C2C346">
            <w:pPr>
              <w:jc w:val="center"/>
              <w:rPr>
                <w:b/>
                <w:kern w:val="0"/>
                <w:sz w:val="21"/>
                <w:szCs w:val="28"/>
              </w:rPr>
            </w:pPr>
            <w:r>
              <w:rPr>
                <w:rFonts w:hint="eastAsia"/>
                <w:b/>
                <w:kern w:val="0"/>
                <w:sz w:val="21"/>
                <w:szCs w:val="28"/>
              </w:rPr>
              <w:t>预算总价</w:t>
            </w:r>
          </w:p>
          <w:p w14:paraId="5F15C1E0">
            <w:pPr>
              <w:jc w:val="center"/>
              <w:rPr>
                <w:b/>
                <w:kern w:val="0"/>
                <w:sz w:val="21"/>
                <w:szCs w:val="28"/>
              </w:rPr>
            </w:pPr>
            <w:r>
              <w:rPr>
                <w:rFonts w:hint="eastAsia"/>
                <w:b/>
                <w:kern w:val="0"/>
                <w:sz w:val="21"/>
                <w:szCs w:val="28"/>
              </w:rPr>
              <w:t>（万元）</w:t>
            </w:r>
          </w:p>
        </w:tc>
      </w:tr>
      <w:tr w14:paraId="56B5967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725" w:type="dxa"/>
            <w:tcBorders>
              <w:top w:val="single" w:color="auto" w:sz="6" w:space="0"/>
              <w:bottom w:val="single" w:color="auto" w:sz="4" w:space="0"/>
            </w:tcBorders>
            <w:vAlign w:val="center"/>
          </w:tcPr>
          <w:p w14:paraId="7BACC1F0">
            <w:pPr>
              <w:jc w:val="center"/>
              <w:rPr>
                <w:rFonts w:hint="default" w:eastAsia="宋体"/>
                <w:kern w:val="0"/>
                <w:sz w:val="20"/>
                <w:lang w:val="en-US" w:eastAsia="zh-CN"/>
              </w:rPr>
            </w:pPr>
            <w:r>
              <w:rPr>
                <w:rFonts w:hint="eastAsia"/>
                <w:kern w:val="0"/>
                <w:sz w:val="20"/>
                <w:lang w:val="en-US" w:eastAsia="zh-CN"/>
              </w:rPr>
              <w:t>01</w:t>
            </w:r>
          </w:p>
        </w:tc>
        <w:tc>
          <w:tcPr>
            <w:tcW w:w="1012" w:type="dxa"/>
            <w:tcBorders>
              <w:top w:val="single" w:color="auto" w:sz="6" w:space="0"/>
              <w:bottom w:val="single" w:color="auto" w:sz="4" w:space="0"/>
            </w:tcBorders>
            <w:vAlign w:val="center"/>
          </w:tcPr>
          <w:p w14:paraId="236E8AE8">
            <w:pPr>
              <w:jc w:val="center"/>
              <w:rPr>
                <w:rFonts w:hint="default" w:eastAsia="宋体"/>
                <w:kern w:val="0"/>
                <w:sz w:val="20"/>
                <w:lang w:val="en-US" w:eastAsia="zh-CN"/>
              </w:rPr>
            </w:pPr>
            <w:r>
              <w:rPr>
                <w:rFonts w:hint="eastAsia"/>
                <w:kern w:val="0"/>
                <w:sz w:val="20"/>
                <w:lang w:val="en-US" w:eastAsia="zh-CN"/>
              </w:rPr>
              <w:t>/</w:t>
            </w:r>
          </w:p>
        </w:tc>
        <w:tc>
          <w:tcPr>
            <w:tcW w:w="3992" w:type="dxa"/>
            <w:tcBorders>
              <w:top w:val="single" w:color="auto" w:sz="6" w:space="0"/>
            </w:tcBorders>
            <w:vAlign w:val="center"/>
          </w:tcPr>
          <w:p w14:paraId="5DD17AA1">
            <w:pPr>
              <w:rPr>
                <w:rFonts w:hint="eastAsia" w:eastAsia="宋体"/>
                <w:kern w:val="0"/>
                <w:sz w:val="20"/>
                <w:lang w:val="en-US" w:eastAsia="zh-CN"/>
              </w:rPr>
            </w:pPr>
            <w:r>
              <w:rPr>
                <w:rFonts w:hint="eastAsia"/>
                <w:kern w:val="0"/>
                <w:sz w:val="21"/>
                <w:szCs w:val="28"/>
                <w:lang w:val="en-US" w:eastAsia="zh-CN"/>
              </w:rPr>
              <w:t>彩色超声诊断系统（飞利浦）维保项目</w:t>
            </w:r>
          </w:p>
        </w:tc>
        <w:tc>
          <w:tcPr>
            <w:tcW w:w="666" w:type="dxa"/>
            <w:tcBorders>
              <w:top w:val="single" w:color="auto" w:sz="6" w:space="0"/>
            </w:tcBorders>
            <w:vAlign w:val="center"/>
          </w:tcPr>
          <w:p w14:paraId="24ACDAB7">
            <w:pPr>
              <w:jc w:val="center"/>
              <w:rPr>
                <w:kern w:val="0"/>
                <w:sz w:val="21"/>
                <w:szCs w:val="28"/>
              </w:rPr>
            </w:pPr>
            <w:r>
              <w:rPr>
                <w:rFonts w:hint="eastAsia"/>
                <w:kern w:val="0"/>
                <w:sz w:val="21"/>
                <w:szCs w:val="28"/>
              </w:rPr>
              <w:t>1</w:t>
            </w:r>
          </w:p>
        </w:tc>
        <w:tc>
          <w:tcPr>
            <w:tcW w:w="733" w:type="dxa"/>
            <w:tcBorders>
              <w:top w:val="single" w:color="auto" w:sz="6" w:space="0"/>
              <w:bottom w:val="single" w:color="auto" w:sz="4" w:space="0"/>
            </w:tcBorders>
            <w:vAlign w:val="center"/>
          </w:tcPr>
          <w:p w14:paraId="6C3BD63F">
            <w:pPr>
              <w:jc w:val="center"/>
              <w:rPr>
                <w:kern w:val="0"/>
                <w:sz w:val="21"/>
                <w:szCs w:val="28"/>
              </w:rPr>
            </w:pPr>
            <w:r>
              <w:rPr>
                <w:rFonts w:hint="eastAsia"/>
                <w:kern w:val="0"/>
                <w:sz w:val="21"/>
                <w:szCs w:val="28"/>
              </w:rPr>
              <w:t>否</w:t>
            </w:r>
          </w:p>
        </w:tc>
        <w:tc>
          <w:tcPr>
            <w:tcW w:w="1470" w:type="dxa"/>
            <w:vAlign w:val="center"/>
          </w:tcPr>
          <w:p w14:paraId="5DEC32CD">
            <w:pPr>
              <w:jc w:val="center"/>
              <w:rPr>
                <w:rFonts w:hint="default" w:eastAsia="宋体"/>
                <w:kern w:val="0"/>
                <w:sz w:val="21"/>
                <w:szCs w:val="28"/>
                <w:lang w:val="en-US" w:eastAsia="zh-CN"/>
              </w:rPr>
            </w:pPr>
            <w:r>
              <w:rPr>
                <w:rFonts w:hint="eastAsia"/>
                <w:kern w:val="0"/>
                <w:sz w:val="21"/>
                <w:szCs w:val="28"/>
                <w:lang w:val="en-US" w:eastAsia="zh-CN"/>
              </w:rPr>
              <w:t>43.5</w:t>
            </w:r>
          </w:p>
        </w:tc>
      </w:tr>
      <w:tr w14:paraId="4B362A5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725" w:type="dxa"/>
            <w:tcBorders>
              <w:top w:val="single" w:color="auto" w:sz="6" w:space="0"/>
              <w:bottom w:val="single" w:color="auto" w:sz="4" w:space="0"/>
            </w:tcBorders>
            <w:vAlign w:val="center"/>
          </w:tcPr>
          <w:p w14:paraId="11E1843D">
            <w:pPr>
              <w:jc w:val="center"/>
              <w:rPr>
                <w:rFonts w:hint="default"/>
                <w:kern w:val="0"/>
                <w:sz w:val="20"/>
                <w:lang w:val="en-US" w:eastAsia="zh-CN"/>
              </w:rPr>
            </w:pPr>
            <w:r>
              <w:rPr>
                <w:rFonts w:hint="eastAsia"/>
                <w:kern w:val="0"/>
                <w:sz w:val="20"/>
                <w:lang w:val="en-US" w:eastAsia="zh-CN"/>
              </w:rPr>
              <w:t>02</w:t>
            </w:r>
          </w:p>
        </w:tc>
        <w:tc>
          <w:tcPr>
            <w:tcW w:w="1012" w:type="dxa"/>
            <w:tcBorders>
              <w:top w:val="single" w:color="auto" w:sz="6" w:space="0"/>
              <w:bottom w:val="single" w:color="auto" w:sz="4" w:space="0"/>
            </w:tcBorders>
            <w:vAlign w:val="center"/>
          </w:tcPr>
          <w:p w14:paraId="267BBE6F">
            <w:pPr>
              <w:jc w:val="center"/>
              <w:rPr>
                <w:rFonts w:hint="default"/>
                <w:kern w:val="0"/>
                <w:sz w:val="20"/>
                <w:lang w:val="en-US" w:eastAsia="zh-CN"/>
              </w:rPr>
            </w:pPr>
            <w:r>
              <w:rPr>
                <w:rFonts w:hint="eastAsia"/>
                <w:kern w:val="0"/>
                <w:sz w:val="20"/>
                <w:lang w:val="en-US" w:eastAsia="zh-CN"/>
              </w:rPr>
              <w:t>/</w:t>
            </w:r>
          </w:p>
        </w:tc>
        <w:tc>
          <w:tcPr>
            <w:tcW w:w="3992" w:type="dxa"/>
            <w:tcBorders>
              <w:top w:val="single" w:color="auto" w:sz="6" w:space="0"/>
            </w:tcBorders>
            <w:vAlign w:val="center"/>
          </w:tcPr>
          <w:p w14:paraId="246B72F4">
            <w:pPr>
              <w:rPr>
                <w:rFonts w:hint="eastAsia"/>
                <w:kern w:val="0"/>
                <w:sz w:val="21"/>
                <w:szCs w:val="28"/>
                <w:lang w:val="en-US" w:eastAsia="zh-CN"/>
              </w:rPr>
            </w:pPr>
            <w:r>
              <w:rPr>
                <w:rFonts w:hint="eastAsia"/>
                <w:kern w:val="0"/>
                <w:sz w:val="21"/>
                <w:szCs w:val="28"/>
                <w:lang w:val="en-US" w:eastAsia="zh-CN"/>
              </w:rPr>
              <w:t>彩色超声诊断系统（飞利浦+迈瑞）维保项目</w:t>
            </w:r>
          </w:p>
        </w:tc>
        <w:tc>
          <w:tcPr>
            <w:tcW w:w="666" w:type="dxa"/>
            <w:tcBorders>
              <w:top w:val="single" w:color="auto" w:sz="6" w:space="0"/>
            </w:tcBorders>
            <w:vAlign w:val="center"/>
          </w:tcPr>
          <w:p w14:paraId="63FD8AD0">
            <w:pPr>
              <w:jc w:val="center"/>
              <w:rPr>
                <w:rFonts w:hint="eastAsia" w:eastAsia="宋体"/>
                <w:kern w:val="0"/>
                <w:sz w:val="21"/>
                <w:szCs w:val="28"/>
                <w:lang w:val="en-US" w:eastAsia="zh-CN"/>
              </w:rPr>
            </w:pPr>
            <w:r>
              <w:rPr>
                <w:rFonts w:hint="eastAsia"/>
                <w:kern w:val="0"/>
                <w:sz w:val="21"/>
                <w:szCs w:val="28"/>
                <w:lang w:val="en-US" w:eastAsia="zh-CN"/>
              </w:rPr>
              <w:t>1</w:t>
            </w:r>
          </w:p>
        </w:tc>
        <w:tc>
          <w:tcPr>
            <w:tcW w:w="733" w:type="dxa"/>
            <w:tcBorders>
              <w:top w:val="single" w:color="auto" w:sz="6" w:space="0"/>
              <w:bottom w:val="single" w:color="auto" w:sz="4" w:space="0"/>
            </w:tcBorders>
            <w:vAlign w:val="center"/>
          </w:tcPr>
          <w:p w14:paraId="516B537E">
            <w:pPr>
              <w:jc w:val="center"/>
              <w:rPr>
                <w:rFonts w:hint="eastAsia" w:eastAsia="宋体"/>
                <w:kern w:val="0"/>
                <w:sz w:val="21"/>
                <w:szCs w:val="28"/>
                <w:lang w:eastAsia="zh-CN"/>
              </w:rPr>
            </w:pPr>
            <w:r>
              <w:rPr>
                <w:rFonts w:hint="eastAsia"/>
                <w:kern w:val="0"/>
                <w:sz w:val="21"/>
                <w:szCs w:val="28"/>
                <w:lang w:eastAsia="zh-CN"/>
              </w:rPr>
              <w:t>否</w:t>
            </w:r>
          </w:p>
        </w:tc>
        <w:tc>
          <w:tcPr>
            <w:tcW w:w="1470" w:type="dxa"/>
            <w:vAlign w:val="center"/>
          </w:tcPr>
          <w:p w14:paraId="3C88B31B">
            <w:pPr>
              <w:jc w:val="center"/>
              <w:rPr>
                <w:rFonts w:hint="default"/>
                <w:kern w:val="0"/>
                <w:sz w:val="21"/>
                <w:szCs w:val="28"/>
                <w:lang w:val="en-US" w:eastAsia="zh-CN"/>
              </w:rPr>
            </w:pPr>
            <w:r>
              <w:rPr>
                <w:rFonts w:hint="eastAsia"/>
                <w:kern w:val="0"/>
                <w:sz w:val="21"/>
                <w:szCs w:val="28"/>
                <w:lang w:val="en-US" w:eastAsia="zh-CN"/>
              </w:rPr>
              <w:t>43.2</w:t>
            </w:r>
          </w:p>
        </w:tc>
      </w:tr>
      <w:tr w14:paraId="2F84C884">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725" w:type="dxa"/>
            <w:tcBorders>
              <w:top w:val="single" w:color="auto" w:sz="6" w:space="0"/>
              <w:bottom w:val="single" w:color="auto" w:sz="4" w:space="0"/>
            </w:tcBorders>
            <w:vAlign w:val="center"/>
          </w:tcPr>
          <w:p w14:paraId="3E36B299">
            <w:pPr>
              <w:jc w:val="center"/>
              <w:rPr>
                <w:rFonts w:hint="default"/>
                <w:kern w:val="0"/>
                <w:sz w:val="20"/>
                <w:lang w:val="en-US" w:eastAsia="zh-CN"/>
              </w:rPr>
            </w:pPr>
            <w:r>
              <w:rPr>
                <w:rFonts w:hint="eastAsia"/>
                <w:kern w:val="0"/>
                <w:sz w:val="20"/>
                <w:lang w:val="en-US" w:eastAsia="zh-CN"/>
              </w:rPr>
              <w:t>03</w:t>
            </w:r>
          </w:p>
        </w:tc>
        <w:tc>
          <w:tcPr>
            <w:tcW w:w="1012" w:type="dxa"/>
            <w:tcBorders>
              <w:top w:val="single" w:color="auto" w:sz="6" w:space="0"/>
              <w:bottom w:val="single" w:color="auto" w:sz="4" w:space="0"/>
            </w:tcBorders>
            <w:vAlign w:val="center"/>
          </w:tcPr>
          <w:p w14:paraId="65F589A8">
            <w:pPr>
              <w:jc w:val="center"/>
              <w:rPr>
                <w:rFonts w:hint="default"/>
                <w:kern w:val="0"/>
                <w:sz w:val="20"/>
                <w:lang w:val="en-US" w:eastAsia="zh-CN"/>
              </w:rPr>
            </w:pPr>
            <w:r>
              <w:rPr>
                <w:rFonts w:hint="eastAsia"/>
                <w:kern w:val="0"/>
                <w:sz w:val="20"/>
                <w:lang w:val="en-US" w:eastAsia="zh-CN"/>
              </w:rPr>
              <w:t>/</w:t>
            </w:r>
          </w:p>
        </w:tc>
        <w:tc>
          <w:tcPr>
            <w:tcW w:w="3992" w:type="dxa"/>
            <w:tcBorders>
              <w:top w:val="single" w:color="auto" w:sz="6" w:space="0"/>
            </w:tcBorders>
            <w:vAlign w:val="center"/>
          </w:tcPr>
          <w:p w14:paraId="553EF939">
            <w:pPr>
              <w:rPr>
                <w:rFonts w:hint="eastAsia"/>
                <w:kern w:val="0"/>
                <w:sz w:val="21"/>
                <w:szCs w:val="28"/>
                <w:lang w:val="en-US" w:eastAsia="zh-CN"/>
              </w:rPr>
            </w:pPr>
            <w:r>
              <w:rPr>
                <w:rFonts w:hint="eastAsia"/>
                <w:kern w:val="0"/>
                <w:sz w:val="21"/>
                <w:szCs w:val="28"/>
                <w:lang w:val="en-US" w:eastAsia="zh-CN"/>
              </w:rPr>
              <w:t>彩色超声诊断系统（GE）维保项目</w:t>
            </w:r>
          </w:p>
        </w:tc>
        <w:tc>
          <w:tcPr>
            <w:tcW w:w="666" w:type="dxa"/>
            <w:tcBorders>
              <w:top w:val="single" w:color="auto" w:sz="6" w:space="0"/>
            </w:tcBorders>
            <w:vAlign w:val="center"/>
          </w:tcPr>
          <w:p w14:paraId="519654FF">
            <w:pPr>
              <w:jc w:val="center"/>
              <w:rPr>
                <w:rFonts w:hint="default"/>
                <w:kern w:val="0"/>
                <w:sz w:val="21"/>
                <w:szCs w:val="28"/>
                <w:lang w:val="en-US" w:eastAsia="zh-CN"/>
              </w:rPr>
            </w:pPr>
            <w:r>
              <w:rPr>
                <w:rFonts w:hint="eastAsia"/>
                <w:kern w:val="0"/>
                <w:sz w:val="21"/>
                <w:szCs w:val="28"/>
                <w:lang w:val="en-US" w:eastAsia="zh-CN"/>
              </w:rPr>
              <w:t>1</w:t>
            </w:r>
          </w:p>
        </w:tc>
        <w:tc>
          <w:tcPr>
            <w:tcW w:w="733" w:type="dxa"/>
            <w:tcBorders>
              <w:top w:val="single" w:color="auto" w:sz="6" w:space="0"/>
              <w:bottom w:val="single" w:color="auto" w:sz="4" w:space="0"/>
            </w:tcBorders>
            <w:vAlign w:val="center"/>
          </w:tcPr>
          <w:p w14:paraId="23838718">
            <w:pPr>
              <w:jc w:val="center"/>
              <w:rPr>
                <w:rFonts w:hint="eastAsia"/>
                <w:kern w:val="0"/>
                <w:sz w:val="21"/>
                <w:szCs w:val="28"/>
                <w:lang w:eastAsia="zh-CN"/>
              </w:rPr>
            </w:pPr>
            <w:r>
              <w:rPr>
                <w:rFonts w:hint="eastAsia"/>
                <w:kern w:val="0"/>
                <w:sz w:val="21"/>
                <w:szCs w:val="28"/>
                <w:lang w:eastAsia="zh-CN"/>
              </w:rPr>
              <w:t>否</w:t>
            </w:r>
          </w:p>
        </w:tc>
        <w:tc>
          <w:tcPr>
            <w:tcW w:w="1470" w:type="dxa"/>
            <w:vAlign w:val="center"/>
          </w:tcPr>
          <w:p w14:paraId="47964551">
            <w:pPr>
              <w:jc w:val="center"/>
              <w:rPr>
                <w:rFonts w:hint="default"/>
                <w:kern w:val="0"/>
                <w:sz w:val="21"/>
                <w:szCs w:val="28"/>
                <w:lang w:val="en-US" w:eastAsia="zh-CN"/>
              </w:rPr>
            </w:pPr>
            <w:r>
              <w:rPr>
                <w:rFonts w:hint="eastAsia"/>
                <w:kern w:val="0"/>
                <w:sz w:val="21"/>
                <w:szCs w:val="28"/>
                <w:lang w:val="en-US" w:eastAsia="zh-CN"/>
              </w:rPr>
              <w:t>28.8</w:t>
            </w:r>
          </w:p>
        </w:tc>
      </w:tr>
      <w:tr w14:paraId="7B08F5C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725" w:type="dxa"/>
            <w:tcBorders>
              <w:top w:val="single" w:color="auto" w:sz="4" w:space="0"/>
              <w:bottom w:val="double" w:color="auto" w:sz="2" w:space="0"/>
            </w:tcBorders>
            <w:vAlign w:val="center"/>
          </w:tcPr>
          <w:p w14:paraId="6DFD83D8">
            <w:pPr>
              <w:jc w:val="center"/>
              <w:rPr>
                <w:kern w:val="0"/>
                <w:sz w:val="20"/>
              </w:rPr>
            </w:pPr>
          </w:p>
        </w:tc>
        <w:tc>
          <w:tcPr>
            <w:tcW w:w="5004" w:type="dxa"/>
            <w:gridSpan w:val="2"/>
            <w:tcBorders>
              <w:top w:val="single" w:color="auto" w:sz="4" w:space="0"/>
              <w:bottom w:val="double" w:color="auto" w:sz="2" w:space="0"/>
              <w:right w:val="single" w:color="auto" w:sz="4" w:space="0"/>
            </w:tcBorders>
            <w:vAlign w:val="center"/>
          </w:tcPr>
          <w:p w14:paraId="331BF3B5">
            <w:pPr>
              <w:jc w:val="center"/>
              <w:rPr>
                <w:b/>
                <w:kern w:val="0"/>
                <w:sz w:val="20"/>
              </w:rPr>
            </w:pPr>
            <w:r>
              <w:rPr>
                <w:rFonts w:hint="eastAsia"/>
                <w:b/>
                <w:kern w:val="0"/>
                <w:sz w:val="20"/>
              </w:rPr>
              <w:t>合 计</w:t>
            </w:r>
          </w:p>
        </w:tc>
        <w:tc>
          <w:tcPr>
            <w:tcW w:w="666" w:type="dxa"/>
            <w:tcBorders>
              <w:left w:val="single" w:color="auto" w:sz="4" w:space="0"/>
              <w:bottom w:val="double" w:color="auto" w:sz="2" w:space="0"/>
              <w:right w:val="single" w:color="auto" w:sz="4" w:space="0"/>
            </w:tcBorders>
            <w:vAlign w:val="center"/>
          </w:tcPr>
          <w:p w14:paraId="6CF484E5">
            <w:pPr>
              <w:jc w:val="center"/>
              <w:rPr>
                <w:rFonts w:hint="eastAsia" w:eastAsia="宋体"/>
                <w:b/>
                <w:kern w:val="0"/>
                <w:sz w:val="20"/>
                <w:lang w:eastAsia="zh-CN"/>
              </w:rPr>
            </w:pPr>
            <w:r>
              <w:rPr>
                <w:rFonts w:hint="eastAsia"/>
                <w:b/>
                <w:kern w:val="0"/>
                <w:sz w:val="20"/>
                <w:lang w:val="en-US" w:eastAsia="zh-CN"/>
              </w:rPr>
              <w:t>3</w:t>
            </w:r>
          </w:p>
        </w:tc>
        <w:tc>
          <w:tcPr>
            <w:tcW w:w="733" w:type="dxa"/>
            <w:tcBorders>
              <w:left w:val="single" w:color="auto" w:sz="4" w:space="0"/>
              <w:bottom w:val="double" w:color="auto" w:sz="2" w:space="0"/>
              <w:right w:val="single" w:color="auto" w:sz="4" w:space="0"/>
            </w:tcBorders>
            <w:vAlign w:val="center"/>
          </w:tcPr>
          <w:p w14:paraId="12206FFA">
            <w:pPr>
              <w:jc w:val="center"/>
              <w:rPr>
                <w:b/>
                <w:kern w:val="0"/>
                <w:sz w:val="20"/>
              </w:rPr>
            </w:pPr>
          </w:p>
        </w:tc>
        <w:tc>
          <w:tcPr>
            <w:tcW w:w="1470" w:type="dxa"/>
            <w:vAlign w:val="center"/>
          </w:tcPr>
          <w:p w14:paraId="4D82BE7F">
            <w:pPr>
              <w:jc w:val="center"/>
              <w:rPr>
                <w:rFonts w:hint="default" w:eastAsia="宋体"/>
                <w:b/>
                <w:kern w:val="0"/>
                <w:sz w:val="20"/>
                <w:lang w:val="en-US" w:eastAsia="zh-CN"/>
              </w:rPr>
            </w:pPr>
            <w:r>
              <w:rPr>
                <w:rFonts w:hint="eastAsia"/>
                <w:b/>
                <w:kern w:val="0"/>
                <w:sz w:val="20"/>
                <w:lang w:val="en-US" w:eastAsia="zh-CN"/>
              </w:rPr>
              <w:t>115.5</w:t>
            </w:r>
          </w:p>
        </w:tc>
      </w:tr>
    </w:tbl>
    <w:p w14:paraId="4F6606BF">
      <w:pPr>
        <w:adjustRightInd w:val="0"/>
        <w:snapToGrid w:val="0"/>
        <w:spacing w:beforeLines="50" w:line="360" w:lineRule="auto"/>
        <w:rPr>
          <w:rFonts w:asciiTheme="minorEastAsia" w:hAnsiTheme="minorEastAsia" w:eastAsiaTheme="minorEastAsia"/>
          <w:szCs w:val="21"/>
        </w:rPr>
      </w:pPr>
      <w:r>
        <w:rPr>
          <w:rFonts w:hint="eastAsia" w:asciiTheme="minorEastAsia" w:hAnsiTheme="minorEastAsia" w:eastAsiaTheme="minorEastAsia"/>
          <w:szCs w:val="21"/>
        </w:rPr>
        <w:t>注：1、“包”为最小合同单位（最小投标单位）。每“包”内容应细化到“品目”（如果分品目的）。</w:t>
      </w:r>
    </w:p>
    <w:p w14:paraId="31B2F4CA">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2、投标人必须对一个完整、独立的包进行投标，不得仅对一个包中的部分品目投标，否则</w:t>
      </w:r>
      <w:r>
        <w:rPr>
          <w:rFonts w:hint="eastAsia" w:asciiTheme="minorEastAsia" w:hAnsiTheme="minorEastAsia" w:eastAsiaTheme="minorEastAsia"/>
          <w:b/>
          <w:szCs w:val="21"/>
        </w:rPr>
        <w:t>投标无效。</w:t>
      </w:r>
    </w:p>
    <w:p w14:paraId="13772BC6">
      <w:pPr>
        <w:adjustRightInd w:val="0"/>
        <w:snapToGrid w:val="0"/>
        <w:spacing w:beforeLines="50" w:line="360" w:lineRule="auto"/>
        <w:ind w:firstLine="420" w:firstLineChars="200"/>
        <w:rPr>
          <w:rFonts w:cs="宋体" w:asciiTheme="minorEastAsia" w:hAnsiTheme="minorEastAsia" w:eastAsiaTheme="minorEastAsia"/>
          <w:color w:val="000000"/>
          <w:kern w:val="0"/>
          <w:szCs w:val="21"/>
        </w:rPr>
      </w:pPr>
      <w:r>
        <w:rPr>
          <w:rFonts w:hint="eastAsia" w:asciiTheme="minorEastAsia" w:hAnsiTheme="minorEastAsia" w:eastAsiaTheme="minorEastAsia"/>
          <w:szCs w:val="21"/>
        </w:rPr>
        <w:t>3、</w:t>
      </w:r>
      <w:r>
        <w:rPr>
          <w:rFonts w:hint="eastAsia" w:asciiTheme="minorEastAsia" w:hAnsiTheme="minorEastAsia" w:eastAsiaTheme="minorEastAsia"/>
          <w:szCs w:val="21"/>
          <w:lang w:eastAsia="zh-CN"/>
        </w:rPr>
        <w:t>服务</w:t>
      </w:r>
      <w:r>
        <w:rPr>
          <w:rFonts w:hint="eastAsia" w:asciiTheme="minorEastAsia" w:hAnsiTheme="minorEastAsia" w:eastAsiaTheme="minorEastAsia"/>
          <w:szCs w:val="21"/>
        </w:rPr>
        <w:t>的主要</w:t>
      </w:r>
      <w:r>
        <w:rPr>
          <w:rFonts w:hint="eastAsia" w:asciiTheme="minorEastAsia" w:hAnsiTheme="minorEastAsia" w:eastAsiaTheme="minorEastAsia"/>
          <w:szCs w:val="21"/>
          <w:lang w:eastAsia="zh-CN"/>
        </w:rPr>
        <w:t>服务要求</w:t>
      </w:r>
      <w:r>
        <w:rPr>
          <w:rFonts w:hint="eastAsia" w:asciiTheme="minorEastAsia" w:hAnsiTheme="minorEastAsia" w:eastAsiaTheme="minorEastAsia"/>
          <w:szCs w:val="21"/>
        </w:rPr>
        <w:t>：</w:t>
      </w:r>
      <w:r>
        <w:rPr>
          <w:rFonts w:cs="宋体" w:asciiTheme="minorEastAsia" w:hAnsiTheme="minorEastAsia" w:eastAsiaTheme="minorEastAsia"/>
          <w:color w:val="000000"/>
          <w:kern w:val="0"/>
          <w:szCs w:val="21"/>
        </w:rPr>
        <w:t>详见“</w:t>
      </w:r>
      <w:r>
        <w:rPr>
          <w:rFonts w:hint="eastAsia" w:cs="宋体" w:asciiTheme="minorEastAsia" w:hAnsiTheme="minorEastAsia" w:eastAsiaTheme="minorEastAsia"/>
          <w:color w:val="000000"/>
          <w:kern w:val="0"/>
          <w:szCs w:val="21"/>
          <w:lang w:eastAsia="zh-CN"/>
        </w:rPr>
        <w:t>服务要求及商务要求</w:t>
      </w:r>
      <w:r>
        <w:rPr>
          <w:rFonts w:cs="宋体" w:asciiTheme="minorEastAsia" w:hAnsiTheme="minorEastAsia" w:eastAsiaTheme="minorEastAsia"/>
          <w:color w:val="000000"/>
          <w:kern w:val="0"/>
          <w:szCs w:val="21"/>
        </w:rPr>
        <w:t>”中的具体</w:t>
      </w:r>
      <w:r>
        <w:rPr>
          <w:rFonts w:hint="eastAsia" w:cs="宋体" w:asciiTheme="minorEastAsia" w:hAnsiTheme="minorEastAsia" w:eastAsiaTheme="minorEastAsia"/>
          <w:color w:val="000000"/>
          <w:kern w:val="0"/>
          <w:szCs w:val="21"/>
          <w:lang w:eastAsia="zh-CN"/>
        </w:rPr>
        <w:t>要求</w:t>
      </w:r>
      <w:r>
        <w:rPr>
          <w:rFonts w:hint="eastAsia" w:cs="宋体" w:asciiTheme="minorEastAsia" w:hAnsiTheme="minorEastAsia" w:eastAsiaTheme="minorEastAsia"/>
          <w:color w:val="000000"/>
          <w:kern w:val="0"/>
          <w:szCs w:val="21"/>
        </w:rPr>
        <w:t>。</w:t>
      </w:r>
    </w:p>
    <w:p w14:paraId="33AB3F83">
      <w:pPr>
        <w:adjustRightInd w:val="0"/>
        <w:snapToGrid w:val="0"/>
        <w:spacing w:beforeLines="50" w:line="360" w:lineRule="auto"/>
        <w:ind w:firstLine="420" w:firstLineChars="200"/>
        <w:rPr>
          <w:rFonts w:ascii="宋体" w:hAnsi="宋体" w:cs="宋体"/>
          <w:kern w:val="0"/>
          <w:szCs w:val="21"/>
        </w:rPr>
      </w:pPr>
      <w:r>
        <w:rPr>
          <w:rFonts w:hint="eastAsia" w:ascii="宋体" w:hAnsi="宋体" w:cs="宋体"/>
          <w:bCs/>
          <w:kern w:val="0"/>
          <w:szCs w:val="21"/>
        </w:rPr>
        <w:t>4、投标人应</w:t>
      </w:r>
      <w:r>
        <w:rPr>
          <w:rFonts w:hint="eastAsia" w:ascii="宋体" w:hAnsi="宋体" w:cs="宋体"/>
          <w:kern w:val="0"/>
          <w:szCs w:val="21"/>
        </w:rPr>
        <w:t>在投标文件《分项报价明细表》中按</w:t>
      </w:r>
      <w:r>
        <w:rPr>
          <w:rFonts w:hint="eastAsia" w:ascii="宋体" w:hAnsi="宋体"/>
          <w:color w:val="000000"/>
          <w:szCs w:val="21"/>
        </w:rPr>
        <w:t>分项项目名称（包括</w:t>
      </w:r>
      <w:r>
        <w:rPr>
          <w:rFonts w:hint="eastAsia" w:ascii="宋体" w:hAnsi="宋体" w:cs="宋体"/>
          <w:kern w:val="0"/>
          <w:szCs w:val="21"/>
        </w:rPr>
        <w:t>条目号/品目名称）顺序逐项填写，且每个品目中的条目均需按招标文件规定报价。如有缺项、漏项，其</w:t>
      </w:r>
      <w:r>
        <w:rPr>
          <w:rFonts w:hint="eastAsia" w:ascii="宋体" w:hAnsi="宋体" w:cs="宋体"/>
          <w:b/>
          <w:kern w:val="0"/>
          <w:szCs w:val="21"/>
        </w:rPr>
        <w:t>投标无效</w:t>
      </w:r>
      <w:r>
        <w:rPr>
          <w:rFonts w:hint="eastAsia" w:ascii="宋体" w:hAnsi="宋体" w:cs="宋体"/>
          <w:kern w:val="0"/>
          <w:szCs w:val="21"/>
        </w:rPr>
        <w:t>。</w:t>
      </w:r>
    </w:p>
    <w:p w14:paraId="1A6D84C5">
      <w:pPr>
        <w:spacing w:line="360" w:lineRule="exact"/>
        <w:rPr>
          <w:rFonts w:ascii="宋体"/>
          <w:b/>
          <w:sz w:val="24"/>
        </w:rPr>
      </w:pPr>
    </w:p>
    <w:p w14:paraId="036237A8">
      <w:pPr>
        <w:ind w:firstLine="420" w:firstLineChars="200"/>
        <w:rPr>
          <w:rFonts w:hint="eastAsia"/>
        </w:rPr>
      </w:pPr>
    </w:p>
    <w:p w14:paraId="107557D1">
      <w:pPr>
        <w:pStyle w:val="3"/>
        <w:adjustRightInd w:val="0"/>
        <w:snapToGrid w:val="0"/>
        <w:spacing w:beforeLines="50"/>
        <w:jc w:val="center"/>
        <w:rPr>
          <w:rFonts w:hint="eastAsia" w:ascii="方正小标宋简体" w:hAnsi="方正小标宋简体" w:eastAsia="方正小标宋简体" w:cs="方正小标宋简体"/>
          <w:b w:val="0"/>
          <w:bCs w:val="0"/>
          <w:sz w:val="28"/>
          <w:szCs w:val="28"/>
          <w:lang w:eastAsia="zh-CN"/>
        </w:rPr>
      </w:pPr>
      <w:r>
        <w:rPr>
          <w:rFonts w:hint="eastAsia" w:ascii="方正小标宋简体" w:hAnsi="方正小标宋简体" w:eastAsia="方正小标宋简体" w:cs="方正小标宋简体"/>
          <w:b w:val="0"/>
          <w:bCs w:val="0"/>
          <w:sz w:val="32"/>
          <w:szCs w:val="32"/>
        </w:rPr>
        <w:t>第</w:t>
      </w:r>
      <w:r>
        <w:rPr>
          <w:rFonts w:hint="eastAsia" w:ascii="方正小标宋简体" w:hAnsi="方正小标宋简体" w:eastAsia="方正小标宋简体" w:cs="方正小标宋简体"/>
          <w:b w:val="0"/>
          <w:bCs w:val="0"/>
          <w:sz w:val="32"/>
          <w:szCs w:val="32"/>
          <w:lang w:eastAsia="zh-CN"/>
        </w:rPr>
        <w:t>二</w:t>
      </w:r>
      <w:r>
        <w:rPr>
          <w:rFonts w:hint="eastAsia" w:ascii="方正小标宋简体" w:hAnsi="方正小标宋简体" w:eastAsia="方正小标宋简体" w:cs="方正小标宋简体"/>
          <w:b w:val="0"/>
          <w:bCs w:val="0"/>
          <w:sz w:val="32"/>
          <w:szCs w:val="32"/>
        </w:rPr>
        <w:t xml:space="preserve">节 </w:t>
      </w:r>
      <w:r>
        <w:rPr>
          <w:rFonts w:hint="eastAsia" w:ascii="方正小标宋简体" w:hAnsi="方正小标宋简体" w:eastAsia="方正小标宋简体" w:cs="方正小标宋简体"/>
          <w:b w:val="0"/>
          <w:bCs w:val="0"/>
          <w:sz w:val="32"/>
          <w:szCs w:val="32"/>
          <w:lang w:eastAsia="zh-CN"/>
        </w:rPr>
        <w:t>服务要求及商务要求</w:t>
      </w:r>
    </w:p>
    <w:p w14:paraId="7144D25D">
      <w:pPr>
        <w:rPr>
          <w:rFonts w:hint="default" w:eastAsia="宋体"/>
          <w:b/>
          <w:lang w:val="en-US" w:eastAsia="zh-CN"/>
        </w:rPr>
      </w:pPr>
      <w:r>
        <w:rPr>
          <w:rFonts w:hint="eastAsia"/>
          <w:b/>
          <w:lang w:eastAsia="zh-CN"/>
        </w:rPr>
        <w:t>包</w:t>
      </w:r>
      <w:r>
        <w:rPr>
          <w:rFonts w:hint="eastAsia"/>
          <w:b/>
          <w:lang w:val="en-US" w:eastAsia="zh-CN"/>
        </w:rPr>
        <w:t>01：</w:t>
      </w:r>
    </w:p>
    <w:p w14:paraId="2D55CCF6">
      <w:pPr>
        <w:ind w:firstLine="211" w:firstLineChars="100"/>
        <w:rPr>
          <w:rFonts w:hint="eastAsia" w:eastAsia="宋体"/>
          <w:lang w:eastAsia="zh-CN"/>
        </w:rPr>
      </w:pPr>
      <w:r>
        <w:rPr>
          <w:rFonts w:hint="eastAsia"/>
          <w:b/>
        </w:rPr>
        <w:t>一、采购项目名称：</w:t>
      </w:r>
      <w:r>
        <w:rPr>
          <w:rFonts w:hint="eastAsia"/>
          <w:kern w:val="0"/>
          <w:sz w:val="21"/>
          <w:szCs w:val="28"/>
          <w:lang w:val="en-US" w:eastAsia="zh-CN"/>
        </w:rPr>
        <w:t>彩色超声诊断系统（飞利浦）维保项目</w:t>
      </w:r>
    </w:p>
    <w:p w14:paraId="15454AC4">
      <w:pPr>
        <w:ind w:firstLine="211" w:firstLineChars="100"/>
        <w:rPr>
          <w:b/>
        </w:rPr>
      </w:pPr>
      <w:r>
        <w:rPr>
          <w:rFonts w:hint="eastAsia"/>
          <w:b/>
        </w:rPr>
        <w:t>二、采购项目概况：</w:t>
      </w:r>
    </w:p>
    <w:p w14:paraId="7A5F93FC">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1、维保范围：对下列2台彩超设备及附件：</w:t>
      </w:r>
    </w:p>
    <w:tbl>
      <w:tblPr>
        <w:tblStyle w:val="41"/>
        <w:tblW w:w="8250" w:type="dxa"/>
        <w:jc w:val="center"/>
        <w:tblLayout w:type="fixed"/>
        <w:tblCellMar>
          <w:top w:w="0" w:type="dxa"/>
          <w:left w:w="108" w:type="dxa"/>
          <w:bottom w:w="0" w:type="dxa"/>
          <w:right w:w="108" w:type="dxa"/>
        </w:tblCellMar>
      </w:tblPr>
      <w:tblGrid>
        <w:gridCol w:w="750"/>
        <w:gridCol w:w="1575"/>
        <w:gridCol w:w="959"/>
        <w:gridCol w:w="1231"/>
        <w:gridCol w:w="1020"/>
        <w:gridCol w:w="1275"/>
        <w:gridCol w:w="1440"/>
      </w:tblGrid>
      <w:tr w14:paraId="65FE66B9">
        <w:tblPrEx>
          <w:tblCellMar>
            <w:top w:w="0" w:type="dxa"/>
            <w:left w:w="108" w:type="dxa"/>
            <w:bottom w:w="0" w:type="dxa"/>
            <w:right w:w="108" w:type="dxa"/>
          </w:tblCellMar>
        </w:tblPrEx>
        <w:trPr>
          <w:trHeight w:val="688" w:hRule="exac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7F98DC4B">
            <w:pPr>
              <w:jc w:val="center"/>
              <w:rPr>
                <w:b/>
                <w:bCs/>
              </w:rPr>
            </w:pPr>
            <w:r>
              <w:rPr>
                <w:rFonts w:hint="eastAsia"/>
                <w:b/>
                <w:bCs/>
              </w:rPr>
              <w:t>序号</w:t>
            </w:r>
          </w:p>
        </w:tc>
        <w:tc>
          <w:tcPr>
            <w:tcW w:w="1575" w:type="dxa"/>
            <w:tcBorders>
              <w:top w:val="single" w:color="auto" w:sz="4" w:space="0"/>
              <w:left w:val="nil"/>
              <w:bottom w:val="single" w:color="auto" w:sz="4" w:space="0"/>
              <w:right w:val="single" w:color="auto" w:sz="4" w:space="0"/>
            </w:tcBorders>
            <w:noWrap w:val="0"/>
            <w:vAlign w:val="center"/>
          </w:tcPr>
          <w:p w14:paraId="5CD7F94F">
            <w:pPr>
              <w:jc w:val="center"/>
              <w:rPr>
                <w:b/>
                <w:bCs/>
              </w:rPr>
            </w:pPr>
            <w:r>
              <w:rPr>
                <w:rFonts w:hint="eastAsia"/>
                <w:b/>
                <w:bCs/>
              </w:rPr>
              <w:t>设备名称</w:t>
            </w:r>
          </w:p>
        </w:tc>
        <w:tc>
          <w:tcPr>
            <w:tcW w:w="959" w:type="dxa"/>
            <w:tcBorders>
              <w:top w:val="single" w:color="auto" w:sz="4" w:space="0"/>
              <w:left w:val="nil"/>
              <w:bottom w:val="single" w:color="auto" w:sz="4" w:space="0"/>
              <w:right w:val="single" w:color="auto" w:sz="4" w:space="0"/>
            </w:tcBorders>
            <w:noWrap w:val="0"/>
            <w:vAlign w:val="center"/>
          </w:tcPr>
          <w:p w14:paraId="4B89D96A">
            <w:pPr>
              <w:jc w:val="center"/>
              <w:rPr>
                <w:b/>
                <w:bCs/>
              </w:rPr>
            </w:pPr>
            <w:r>
              <w:rPr>
                <w:rFonts w:hint="eastAsia"/>
                <w:b/>
                <w:bCs/>
              </w:rPr>
              <w:t>型号</w:t>
            </w:r>
          </w:p>
        </w:tc>
        <w:tc>
          <w:tcPr>
            <w:tcW w:w="1231" w:type="dxa"/>
            <w:tcBorders>
              <w:top w:val="single" w:color="auto" w:sz="4" w:space="0"/>
              <w:left w:val="nil"/>
              <w:bottom w:val="single" w:color="auto" w:sz="4" w:space="0"/>
              <w:right w:val="single" w:color="auto" w:sz="4" w:space="0"/>
            </w:tcBorders>
            <w:noWrap w:val="0"/>
            <w:vAlign w:val="center"/>
          </w:tcPr>
          <w:p w14:paraId="398310B6">
            <w:pPr>
              <w:jc w:val="center"/>
              <w:rPr>
                <w:b/>
                <w:bCs/>
              </w:rPr>
            </w:pPr>
            <w:r>
              <w:rPr>
                <w:rFonts w:hint="eastAsia"/>
                <w:b/>
                <w:bCs/>
              </w:rPr>
              <w:t>序列号</w:t>
            </w:r>
          </w:p>
        </w:tc>
        <w:tc>
          <w:tcPr>
            <w:tcW w:w="1020" w:type="dxa"/>
            <w:tcBorders>
              <w:top w:val="single" w:color="auto" w:sz="4" w:space="0"/>
              <w:left w:val="nil"/>
              <w:bottom w:val="single" w:color="auto" w:sz="4" w:space="0"/>
              <w:right w:val="single" w:color="auto" w:sz="4" w:space="0"/>
            </w:tcBorders>
            <w:noWrap w:val="0"/>
            <w:vAlign w:val="center"/>
          </w:tcPr>
          <w:p w14:paraId="09836637">
            <w:pPr>
              <w:jc w:val="center"/>
              <w:rPr>
                <w:b/>
                <w:bCs/>
              </w:rPr>
            </w:pPr>
            <w:r>
              <w:rPr>
                <w:rFonts w:hint="eastAsia"/>
                <w:b/>
                <w:bCs/>
              </w:rPr>
              <w:t>品牌</w:t>
            </w:r>
          </w:p>
        </w:tc>
        <w:tc>
          <w:tcPr>
            <w:tcW w:w="1275" w:type="dxa"/>
            <w:tcBorders>
              <w:top w:val="single" w:color="auto" w:sz="4" w:space="0"/>
              <w:left w:val="nil"/>
              <w:bottom w:val="single" w:color="auto" w:sz="4" w:space="0"/>
              <w:right w:val="single" w:color="auto" w:sz="4" w:space="0"/>
            </w:tcBorders>
            <w:noWrap w:val="0"/>
            <w:vAlign w:val="center"/>
          </w:tcPr>
          <w:p w14:paraId="7BD23B35">
            <w:pPr>
              <w:jc w:val="center"/>
              <w:rPr>
                <w:b/>
                <w:bCs/>
              </w:rPr>
            </w:pPr>
            <w:r>
              <w:rPr>
                <w:rFonts w:hint="eastAsia"/>
                <w:b/>
                <w:bCs/>
              </w:rPr>
              <w:t>探头</w:t>
            </w:r>
          </w:p>
        </w:tc>
        <w:tc>
          <w:tcPr>
            <w:tcW w:w="1440" w:type="dxa"/>
            <w:tcBorders>
              <w:top w:val="single" w:color="auto" w:sz="4" w:space="0"/>
              <w:left w:val="nil"/>
              <w:bottom w:val="single" w:color="auto" w:sz="4" w:space="0"/>
              <w:right w:val="single" w:color="auto" w:sz="4" w:space="0"/>
            </w:tcBorders>
            <w:noWrap w:val="0"/>
            <w:vAlign w:val="center"/>
          </w:tcPr>
          <w:p w14:paraId="5CDEF8EC">
            <w:pPr>
              <w:jc w:val="center"/>
              <w:rPr>
                <w:rFonts w:hint="eastAsia"/>
                <w:b/>
                <w:bCs/>
                <w:lang w:eastAsia="zh-CN"/>
              </w:rPr>
            </w:pPr>
            <w:r>
              <w:rPr>
                <w:rFonts w:hint="eastAsia"/>
                <w:b/>
                <w:bCs/>
                <w:lang w:val="en-US" w:eastAsia="zh-CN"/>
              </w:rPr>
              <w:t>序列号</w:t>
            </w:r>
          </w:p>
        </w:tc>
      </w:tr>
      <w:tr w14:paraId="58064B92">
        <w:tblPrEx>
          <w:tblCellMar>
            <w:top w:w="0" w:type="dxa"/>
            <w:left w:w="108" w:type="dxa"/>
            <w:bottom w:w="0" w:type="dxa"/>
            <w:right w:w="108" w:type="dxa"/>
          </w:tblCellMar>
        </w:tblPrEx>
        <w:trPr>
          <w:trHeight w:val="397" w:hRule="exact"/>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1B0756C7">
            <w:pPr>
              <w:jc w:val="center"/>
              <w:rPr>
                <w:rFonts w:hint="eastAsia"/>
                <w:lang w:eastAsia="zh-CN"/>
              </w:rPr>
            </w:pPr>
            <w:r>
              <w:rPr>
                <w:rFonts w:hint="eastAsia"/>
                <w:lang w:val="en-US" w:eastAsia="zh-CN"/>
              </w:rPr>
              <w:t>1</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07459B79">
            <w:pPr>
              <w:jc w:val="center"/>
            </w:pPr>
            <w:r>
              <w:rPr>
                <w:rFonts w:hint="eastAsia"/>
              </w:rPr>
              <w:t>彩色多普勒超声诊断系统</w:t>
            </w:r>
          </w:p>
        </w:tc>
        <w:tc>
          <w:tcPr>
            <w:tcW w:w="959" w:type="dxa"/>
            <w:vMerge w:val="restart"/>
            <w:tcBorders>
              <w:top w:val="single" w:color="auto" w:sz="4" w:space="0"/>
              <w:left w:val="single" w:color="auto" w:sz="4" w:space="0"/>
              <w:bottom w:val="single" w:color="auto" w:sz="4" w:space="0"/>
              <w:right w:val="single" w:color="auto" w:sz="4" w:space="0"/>
            </w:tcBorders>
            <w:noWrap w:val="0"/>
            <w:vAlign w:val="center"/>
          </w:tcPr>
          <w:p w14:paraId="5F2B1EB8">
            <w:pPr>
              <w:jc w:val="center"/>
              <w:rPr>
                <w:rFonts w:hint="eastAsia"/>
                <w:lang w:val="en-US" w:eastAsia="zh-CN"/>
              </w:rPr>
            </w:pPr>
          </w:p>
          <w:p w14:paraId="4FFF79DE">
            <w:pPr>
              <w:jc w:val="center"/>
              <w:rPr>
                <w:rFonts w:hint="eastAsia"/>
                <w:lang w:val="en-US" w:eastAsia="zh-CN"/>
              </w:rPr>
            </w:pPr>
            <w:r>
              <w:rPr>
                <w:rFonts w:hint="eastAsia"/>
                <w:lang w:val="en-US" w:eastAsia="zh-CN"/>
              </w:rPr>
              <w:t>EPIQ7</w:t>
            </w:r>
          </w:p>
          <w:p w14:paraId="7F907DD3">
            <w:pPr>
              <w:jc w:val="center"/>
              <w:rPr>
                <w:rFonts w:hint="eastAsia"/>
              </w:rPr>
            </w:pPr>
          </w:p>
        </w:tc>
        <w:tc>
          <w:tcPr>
            <w:tcW w:w="1231" w:type="dxa"/>
            <w:vMerge w:val="restart"/>
            <w:tcBorders>
              <w:top w:val="single" w:color="auto" w:sz="4" w:space="0"/>
              <w:left w:val="single" w:color="auto" w:sz="4" w:space="0"/>
              <w:bottom w:val="single" w:color="auto" w:sz="4" w:space="0"/>
              <w:right w:val="single" w:color="auto" w:sz="4" w:space="0"/>
            </w:tcBorders>
            <w:noWrap w:val="0"/>
            <w:vAlign w:val="center"/>
          </w:tcPr>
          <w:p w14:paraId="71B27042">
            <w:pPr>
              <w:jc w:val="center"/>
              <w:rPr>
                <w:rFonts w:hint="eastAsia"/>
              </w:rPr>
            </w:pPr>
            <w:r>
              <w:rPr>
                <w:rFonts w:hint="eastAsia"/>
                <w:lang w:val="en-US" w:eastAsia="zh-CN"/>
              </w:rPr>
              <w:t>USN21B2036</w:t>
            </w:r>
          </w:p>
        </w:tc>
        <w:tc>
          <w:tcPr>
            <w:tcW w:w="1020" w:type="dxa"/>
            <w:vMerge w:val="restart"/>
            <w:tcBorders>
              <w:top w:val="single" w:color="auto" w:sz="4" w:space="0"/>
              <w:left w:val="single" w:color="auto" w:sz="4" w:space="0"/>
              <w:bottom w:val="single" w:color="auto" w:sz="4" w:space="0"/>
              <w:right w:val="single" w:color="auto" w:sz="4" w:space="0"/>
            </w:tcBorders>
            <w:noWrap w:val="0"/>
            <w:vAlign w:val="center"/>
          </w:tcPr>
          <w:p w14:paraId="433E99BB">
            <w:pPr>
              <w:jc w:val="center"/>
              <w:rPr>
                <w:rFonts w:hint="eastAsia"/>
                <w:lang w:val="en-US" w:eastAsia="zh-CN"/>
              </w:rPr>
            </w:pPr>
            <w:r>
              <w:rPr>
                <w:rFonts w:hint="eastAsia"/>
                <w:lang w:val="en-US" w:eastAsia="zh-CN"/>
              </w:rPr>
              <w:t>飞利浦</w:t>
            </w:r>
          </w:p>
        </w:tc>
        <w:tc>
          <w:tcPr>
            <w:tcW w:w="1275" w:type="dxa"/>
            <w:tcBorders>
              <w:top w:val="single" w:color="auto" w:sz="4" w:space="0"/>
              <w:left w:val="single" w:color="auto" w:sz="4" w:space="0"/>
              <w:bottom w:val="single" w:color="auto" w:sz="4" w:space="0"/>
              <w:right w:val="single" w:color="auto" w:sz="4" w:space="0"/>
            </w:tcBorders>
            <w:noWrap/>
            <w:vAlign w:val="center"/>
          </w:tcPr>
          <w:p w14:paraId="041A3F67">
            <w:pPr>
              <w:jc w:val="center"/>
              <w:rPr>
                <w:rFonts w:hint="default"/>
                <w:lang w:val="en-US" w:eastAsia="zh-CN"/>
              </w:rPr>
            </w:pPr>
            <w:r>
              <w:rPr>
                <w:rFonts w:hint="eastAsia"/>
                <w:lang w:eastAsia="zh-CN"/>
              </w:rPr>
              <w:t>C10-3V</w:t>
            </w:r>
          </w:p>
        </w:tc>
        <w:tc>
          <w:tcPr>
            <w:tcW w:w="1440" w:type="dxa"/>
            <w:tcBorders>
              <w:top w:val="single" w:color="auto" w:sz="4" w:space="0"/>
              <w:left w:val="single" w:color="auto" w:sz="4" w:space="0"/>
              <w:bottom w:val="single" w:color="auto" w:sz="4" w:space="0"/>
              <w:right w:val="single" w:color="auto" w:sz="4" w:space="0"/>
            </w:tcBorders>
            <w:noWrap/>
            <w:vAlign w:val="center"/>
          </w:tcPr>
          <w:p w14:paraId="79B7056C">
            <w:pPr>
              <w:jc w:val="center"/>
              <w:rPr>
                <w:rFonts w:hint="default"/>
                <w:lang w:val="en-US" w:eastAsia="zh-CN"/>
              </w:rPr>
            </w:pPr>
            <w:r>
              <w:rPr>
                <w:rFonts w:hint="eastAsia"/>
                <w:lang w:eastAsia="zh-CN"/>
              </w:rPr>
              <w:t>F03TLC</w:t>
            </w:r>
          </w:p>
        </w:tc>
      </w:tr>
      <w:tr w14:paraId="67058E0D">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199A4BBD">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3F93B09A">
            <w:pPr>
              <w:jc w:val="cente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26849D9D">
            <w:pPr>
              <w:jc w:val="center"/>
              <w:rPr>
                <w:rFonts w:hint="eastAsia"/>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04E47757">
            <w:pPr>
              <w:jc w:val="center"/>
              <w:rPr>
                <w:rFonts w:hint="eastAsia"/>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6B437C61">
            <w:pPr>
              <w:jc w:val="center"/>
              <w:rPr>
                <w:rFonts w:hint="eastAsia"/>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0AA7034">
            <w:pPr>
              <w:jc w:val="center"/>
              <w:rPr>
                <w:rFonts w:hint="default"/>
                <w:lang w:val="en-US" w:eastAsia="zh-CN"/>
              </w:rPr>
            </w:pPr>
            <w:r>
              <w:rPr>
                <w:rFonts w:hint="eastAsia"/>
                <w:lang w:eastAsia="zh-CN"/>
              </w:rPr>
              <w:t>S5-1</w:t>
            </w:r>
          </w:p>
        </w:tc>
        <w:tc>
          <w:tcPr>
            <w:tcW w:w="1440" w:type="dxa"/>
            <w:tcBorders>
              <w:top w:val="single" w:color="auto" w:sz="4" w:space="0"/>
              <w:left w:val="single" w:color="auto" w:sz="4" w:space="0"/>
              <w:bottom w:val="single" w:color="auto" w:sz="4" w:space="0"/>
              <w:right w:val="single" w:color="auto" w:sz="4" w:space="0"/>
            </w:tcBorders>
            <w:noWrap/>
            <w:vAlign w:val="center"/>
          </w:tcPr>
          <w:p w14:paraId="64DD5B02">
            <w:pPr>
              <w:jc w:val="center"/>
              <w:rPr>
                <w:rFonts w:hint="default"/>
                <w:lang w:val="en-US" w:eastAsia="zh-CN"/>
              </w:rPr>
            </w:pPr>
            <w:r>
              <w:rPr>
                <w:rFonts w:hint="eastAsia"/>
                <w:lang w:eastAsia="zh-CN"/>
              </w:rPr>
              <w:t>F03Y5J</w:t>
            </w:r>
          </w:p>
        </w:tc>
      </w:tr>
      <w:tr w14:paraId="4D9026C7">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59DF7FBE">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4B4299D9">
            <w:pPr>
              <w:jc w:val="cente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3300CFEE">
            <w:pPr>
              <w:jc w:val="center"/>
              <w:rPr>
                <w:rFonts w:hint="eastAsia"/>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5A8D99F0">
            <w:pPr>
              <w:jc w:val="center"/>
              <w:rPr>
                <w:rFonts w:hint="eastAsia"/>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79C7F44E">
            <w:pPr>
              <w:jc w:val="center"/>
              <w:rPr>
                <w:rFonts w:hint="eastAsia"/>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5F272D1">
            <w:pPr>
              <w:jc w:val="center"/>
              <w:rPr>
                <w:rFonts w:hint="default"/>
                <w:lang w:val="en-US" w:eastAsia="zh-CN"/>
              </w:rPr>
            </w:pPr>
            <w:r>
              <w:rPr>
                <w:rFonts w:hint="eastAsia"/>
                <w:lang w:eastAsia="zh-CN"/>
              </w:rPr>
              <w:t>C5-1</w:t>
            </w:r>
          </w:p>
        </w:tc>
        <w:tc>
          <w:tcPr>
            <w:tcW w:w="1440" w:type="dxa"/>
            <w:tcBorders>
              <w:top w:val="single" w:color="auto" w:sz="4" w:space="0"/>
              <w:left w:val="single" w:color="auto" w:sz="4" w:space="0"/>
              <w:bottom w:val="single" w:color="auto" w:sz="4" w:space="0"/>
              <w:right w:val="single" w:color="auto" w:sz="4" w:space="0"/>
            </w:tcBorders>
            <w:noWrap/>
            <w:vAlign w:val="center"/>
          </w:tcPr>
          <w:p w14:paraId="551ADCD0">
            <w:pPr>
              <w:jc w:val="center"/>
              <w:rPr>
                <w:rFonts w:hint="default"/>
                <w:lang w:val="en-US" w:eastAsia="zh-CN"/>
              </w:rPr>
            </w:pPr>
            <w:r>
              <w:rPr>
                <w:rFonts w:hint="eastAsia"/>
                <w:lang w:eastAsia="zh-CN"/>
              </w:rPr>
              <w:t>F0496H</w:t>
            </w:r>
          </w:p>
        </w:tc>
      </w:tr>
      <w:tr w14:paraId="1FEFC027">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18D9C777">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10C0FAA7">
            <w:pPr>
              <w:jc w:val="cente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0F735D4D">
            <w:pPr>
              <w:jc w:val="center"/>
              <w:rPr>
                <w:rFonts w:hint="eastAsia"/>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12A16223">
            <w:pPr>
              <w:jc w:val="center"/>
              <w:rPr>
                <w:rFonts w:hint="eastAsia"/>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6202C0AE">
            <w:pPr>
              <w:jc w:val="center"/>
              <w:rPr>
                <w:rFonts w:hint="eastAsia"/>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6CD49ADF">
            <w:pPr>
              <w:jc w:val="center"/>
              <w:rPr>
                <w:rFonts w:hint="default"/>
                <w:lang w:val="en-US" w:eastAsia="zh-CN"/>
              </w:rPr>
            </w:pPr>
            <w:r>
              <w:rPr>
                <w:rFonts w:hint="eastAsia"/>
                <w:lang w:eastAsia="zh-CN"/>
              </w:rPr>
              <w:t>eL18-4</w:t>
            </w:r>
          </w:p>
        </w:tc>
        <w:tc>
          <w:tcPr>
            <w:tcW w:w="1440" w:type="dxa"/>
            <w:tcBorders>
              <w:top w:val="single" w:color="auto" w:sz="4" w:space="0"/>
              <w:left w:val="single" w:color="auto" w:sz="4" w:space="0"/>
              <w:bottom w:val="single" w:color="auto" w:sz="4" w:space="0"/>
              <w:right w:val="single" w:color="auto" w:sz="4" w:space="0"/>
            </w:tcBorders>
            <w:noWrap/>
            <w:vAlign w:val="center"/>
          </w:tcPr>
          <w:p w14:paraId="08888805">
            <w:pPr>
              <w:jc w:val="center"/>
              <w:rPr>
                <w:rFonts w:hint="default"/>
                <w:lang w:val="en-US" w:eastAsia="zh-CN"/>
              </w:rPr>
            </w:pPr>
            <w:r>
              <w:rPr>
                <w:rFonts w:hint="eastAsia"/>
                <w:lang w:eastAsia="zh-CN"/>
              </w:rPr>
              <w:t>F044RM</w:t>
            </w:r>
          </w:p>
        </w:tc>
      </w:tr>
      <w:tr w14:paraId="49A83C8D">
        <w:tblPrEx>
          <w:tblCellMar>
            <w:top w:w="0" w:type="dxa"/>
            <w:left w:w="108" w:type="dxa"/>
            <w:bottom w:w="0" w:type="dxa"/>
            <w:right w:w="108" w:type="dxa"/>
          </w:tblCellMar>
        </w:tblPrEx>
        <w:trPr>
          <w:trHeight w:val="96" w:hRule="atLeast"/>
          <w:jc w:val="center"/>
        </w:trPr>
        <w:tc>
          <w:tcPr>
            <w:tcW w:w="750" w:type="dxa"/>
            <w:vMerge w:val="restart"/>
            <w:tcBorders>
              <w:top w:val="single" w:color="auto" w:sz="4" w:space="0"/>
              <w:left w:val="single" w:color="auto" w:sz="4" w:space="0"/>
              <w:right w:val="single" w:color="auto" w:sz="4" w:space="0"/>
            </w:tcBorders>
            <w:noWrap w:val="0"/>
            <w:vAlign w:val="center"/>
          </w:tcPr>
          <w:p w14:paraId="49634B46">
            <w:pPr>
              <w:jc w:val="center"/>
              <w:rPr>
                <w:rFonts w:hint="eastAsia"/>
                <w:lang w:eastAsia="zh-CN"/>
              </w:rPr>
            </w:pPr>
            <w:r>
              <w:rPr>
                <w:rFonts w:hint="eastAsia"/>
                <w:lang w:val="en-US" w:eastAsia="zh-CN"/>
              </w:rPr>
              <w:t>2</w:t>
            </w:r>
          </w:p>
        </w:tc>
        <w:tc>
          <w:tcPr>
            <w:tcW w:w="1575" w:type="dxa"/>
            <w:vMerge w:val="restart"/>
            <w:tcBorders>
              <w:top w:val="single" w:color="auto" w:sz="4" w:space="0"/>
              <w:left w:val="single" w:color="auto" w:sz="4" w:space="0"/>
              <w:right w:val="single" w:color="auto" w:sz="4" w:space="0"/>
            </w:tcBorders>
            <w:noWrap w:val="0"/>
            <w:vAlign w:val="center"/>
          </w:tcPr>
          <w:p w14:paraId="78D59970">
            <w:pPr>
              <w:jc w:val="center"/>
              <w:rPr>
                <w:rFonts w:hint="eastAsia"/>
                <w:lang w:eastAsia="zh-CN"/>
              </w:rPr>
            </w:pPr>
            <w:r>
              <w:rPr>
                <w:rFonts w:hint="eastAsia"/>
                <w:lang w:val="en-US" w:eastAsia="zh-CN"/>
              </w:rPr>
              <w:t>彩色多普勒超声诊断系统</w:t>
            </w:r>
          </w:p>
        </w:tc>
        <w:tc>
          <w:tcPr>
            <w:tcW w:w="959" w:type="dxa"/>
            <w:vMerge w:val="restart"/>
            <w:tcBorders>
              <w:top w:val="single" w:color="auto" w:sz="4" w:space="0"/>
              <w:left w:val="single" w:color="auto" w:sz="4" w:space="0"/>
              <w:right w:val="single" w:color="auto" w:sz="4" w:space="0"/>
            </w:tcBorders>
            <w:noWrap w:val="0"/>
            <w:vAlign w:val="center"/>
          </w:tcPr>
          <w:p w14:paraId="1D6BB505">
            <w:pPr>
              <w:jc w:val="center"/>
              <w:rPr>
                <w:rFonts w:hint="eastAsia"/>
                <w:lang w:eastAsia="zh-CN"/>
              </w:rPr>
            </w:pPr>
            <w:r>
              <w:rPr>
                <w:rFonts w:hint="eastAsia"/>
                <w:lang w:val="en-US" w:eastAsia="zh-CN"/>
              </w:rPr>
              <w:t>EPIQ 5C</w:t>
            </w:r>
          </w:p>
        </w:tc>
        <w:tc>
          <w:tcPr>
            <w:tcW w:w="1231" w:type="dxa"/>
            <w:vMerge w:val="restart"/>
            <w:tcBorders>
              <w:top w:val="single" w:color="auto" w:sz="4" w:space="0"/>
              <w:left w:val="single" w:color="auto" w:sz="4" w:space="0"/>
              <w:right w:val="single" w:color="auto" w:sz="4" w:space="0"/>
            </w:tcBorders>
            <w:noWrap w:val="0"/>
            <w:vAlign w:val="center"/>
          </w:tcPr>
          <w:p w14:paraId="5684F1ED">
            <w:pPr>
              <w:jc w:val="center"/>
              <w:rPr>
                <w:rFonts w:hint="eastAsia"/>
                <w:lang w:eastAsia="zh-CN"/>
              </w:rPr>
            </w:pPr>
            <w:r>
              <w:rPr>
                <w:rFonts w:hint="eastAsia"/>
                <w:lang w:val="en-US" w:eastAsia="zh-CN"/>
              </w:rPr>
              <w:t>US821C2207</w:t>
            </w:r>
          </w:p>
        </w:tc>
        <w:tc>
          <w:tcPr>
            <w:tcW w:w="1020" w:type="dxa"/>
            <w:vMerge w:val="restart"/>
            <w:tcBorders>
              <w:top w:val="single" w:color="auto" w:sz="4" w:space="0"/>
              <w:left w:val="single" w:color="auto" w:sz="4" w:space="0"/>
              <w:right w:val="single" w:color="auto" w:sz="4" w:space="0"/>
            </w:tcBorders>
            <w:noWrap w:val="0"/>
            <w:vAlign w:val="center"/>
          </w:tcPr>
          <w:p w14:paraId="23914D7D">
            <w:pPr>
              <w:jc w:val="center"/>
              <w:rPr>
                <w:rFonts w:hint="eastAsia"/>
                <w:lang w:eastAsia="zh-CN"/>
              </w:rPr>
            </w:pPr>
            <w:r>
              <w:rPr>
                <w:rFonts w:hint="eastAsia"/>
                <w:lang w:val="en-US" w:eastAsia="zh-CN"/>
              </w:rPr>
              <w:t>飞利浦</w:t>
            </w:r>
          </w:p>
        </w:tc>
        <w:tc>
          <w:tcPr>
            <w:tcW w:w="1275" w:type="dxa"/>
            <w:tcBorders>
              <w:top w:val="single" w:color="auto" w:sz="4" w:space="0"/>
              <w:left w:val="nil"/>
              <w:bottom w:val="single" w:color="auto" w:sz="4" w:space="0"/>
              <w:right w:val="single" w:color="auto" w:sz="4" w:space="0"/>
            </w:tcBorders>
            <w:noWrap/>
            <w:vAlign w:val="center"/>
          </w:tcPr>
          <w:p w14:paraId="0A19CA7E">
            <w:pPr>
              <w:jc w:val="center"/>
              <w:rPr>
                <w:rFonts w:hint="eastAsia"/>
                <w:lang w:eastAsia="zh-CN"/>
              </w:rPr>
            </w:pPr>
            <w:r>
              <w:rPr>
                <w:rFonts w:hint="eastAsia"/>
                <w:lang w:val="en-US" w:eastAsia="zh-CN"/>
              </w:rPr>
              <w:t>C5-1</w:t>
            </w:r>
          </w:p>
        </w:tc>
        <w:tc>
          <w:tcPr>
            <w:tcW w:w="1440" w:type="dxa"/>
            <w:tcBorders>
              <w:top w:val="single" w:color="auto" w:sz="4" w:space="0"/>
              <w:left w:val="nil"/>
              <w:bottom w:val="single" w:color="auto" w:sz="4" w:space="0"/>
              <w:right w:val="single" w:color="auto" w:sz="4" w:space="0"/>
            </w:tcBorders>
            <w:noWrap/>
            <w:vAlign w:val="center"/>
          </w:tcPr>
          <w:p w14:paraId="0C6B42C0">
            <w:pPr>
              <w:jc w:val="center"/>
              <w:rPr>
                <w:rFonts w:hint="eastAsia"/>
                <w:lang w:eastAsia="zh-CN"/>
              </w:rPr>
            </w:pPr>
            <w:r>
              <w:rPr>
                <w:rFonts w:hint="eastAsia"/>
                <w:lang w:val="en-US" w:eastAsia="zh-CN"/>
              </w:rPr>
              <w:t>F03BCP</w:t>
            </w:r>
          </w:p>
        </w:tc>
      </w:tr>
      <w:tr w14:paraId="09CB8F91">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right w:val="single" w:color="auto" w:sz="4" w:space="0"/>
            </w:tcBorders>
            <w:noWrap w:val="0"/>
            <w:vAlign w:val="center"/>
          </w:tcPr>
          <w:p w14:paraId="5A3A24F1">
            <w:pPr>
              <w:jc w:val="center"/>
            </w:pPr>
          </w:p>
        </w:tc>
        <w:tc>
          <w:tcPr>
            <w:tcW w:w="1575" w:type="dxa"/>
            <w:vMerge w:val="continue"/>
            <w:tcBorders>
              <w:left w:val="single" w:color="auto" w:sz="4" w:space="0"/>
              <w:right w:val="single" w:color="auto" w:sz="4" w:space="0"/>
            </w:tcBorders>
            <w:noWrap w:val="0"/>
            <w:vAlign w:val="center"/>
          </w:tcPr>
          <w:p w14:paraId="77EFBC33">
            <w:pPr>
              <w:jc w:val="center"/>
            </w:pPr>
          </w:p>
        </w:tc>
        <w:tc>
          <w:tcPr>
            <w:tcW w:w="959" w:type="dxa"/>
            <w:vMerge w:val="continue"/>
            <w:tcBorders>
              <w:left w:val="single" w:color="auto" w:sz="4" w:space="0"/>
              <w:right w:val="single" w:color="auto" w:sz="4" w:space="0"/>
            </w:tcBorders>
            <w:noWrap w:val="0"/>
            <w:vAlign w:val="center"/>
          </w:tcPr>
          <w:p w14:paraId="6B7011B9">
            <w:pPr>
              <w:jc w:val="center"/>
            </w:pPr>
          </w:p>
        </w:tc>
        <w:tc>
          <w:tcPr>
            <w:tcW w:w="1231" w:type="dxa"/>
            <w:vMerge w:val="continue"/>
            <w:tcBorders>
              <w:left w:val="single" w:color="auto" w:sz="4" w:space="0"/>
              <w:right w:val="single" w:color="auto" w:sz="4" w:space="0"/>
            </w:tcBorders>
            <w:noWrap w:val="0"/>
            <w:vAlign w:val="center"/>
          </w:tcPr>
          <w:p w14:paraId="4D067ACF">
            <w:pPr>
              <w:jc w:val="center"/>
            </w:pPr>
          </w:p>
        </w:tc>
        <w:tc>
          <w:tcPr>
            <w:tcW w:w="1020" w:type="dxa"/>
            <w:vMerge w:val="continue"/>
            <w:tcBorders>
              <w:left w:val="single" w:color="auto" w:sz="4" w:space="0"/>
              <w:right w:val="single" w:color="auto" w:sz="4" w:space="0"/>
            </w:tcBorders>
            <w:noWrap w:val="0"/>
            <w:vAlign w:val="center"/>
          </w:tcPr>
          <w:p w14:paraId="2B326EAB">
            <w:pPr>
              <w:jc w:val="center"/>
            </w:pPr>
          </w:p>
        </w:tc>
        <w:tc>
          <w:tcPr>
            <w:tcW w:w="1275" w:type="dxa"/>
            <w:tcBorders>
              <w:top w:val="single" w:color="auto" w:sz="4" w:space="0"/>
              <w:left w:val="nil"/>
              <w:bottom w:val="single" w:color="auto" w:sz="4" w:space="0"/>
              <w:right w:val="single" w:color="auto" w:sz="4" w:space="0"/>
            </w:tcBorders>
            <w:noWrap/>
            <w:vAlign w:val="center"/>
          </w:tcPr>
          <w:p w14:paraId="7C67A5AD">
            <w:pPr>
              <w:jc w:val="center"/>
              <w:rPr>
                <w:rFonts w:hint="eastAsia"/>
                <w:lang w:eastAsia="zh-CN"/>
              </w:rPr>
            </w:pPr>
            <w:r>
              <w:rPr>
                <w:rFonts w:hint="eastAsia"/>
                <w:lang w:val="en-US" w:eastAsia="zh-CN"/>
              </w:rPr>
              <w:t>eL18-4</w:t>
            </w:r>
          </w:p>
        </w:tc>
        <w:tc>
          <w:tcPr>
            <w:tcW w:w="1440" w:type="dxa"/>
            <w:tcBorders>
              <w:top w:val="single" w:color="auto" w:sz="4" w:space="0"/>
              <w:left w:val="nil"/>
              <w:bottom w:val="single" w:color="auto" w:sz="4" w:space="0"/>
              <w:right w:val="single" w:color="auto" w:sz="4" w:space="0"/>
            </w:tcBorders>
            <w:noWrap/>
            <w:vAlign w:val="center"/>
          </w:tcPr>
          <w:p w14:paraId="1C835F5A">
            <w:pPr>
              <w:jc w:val="center"/>
              <w:rPr>
                <w:rFonts w:hint="eastAsia"/>
                <w:lang w:eastAsia="zh-CN"/>
              </w:rPr>
            </w:pPr>
            <w:r>
              <w:rPr>
                <w:rFonts w:hint="eastAsia"/>
                <w:lang w:val="en-US" w:eastAsia="zh-CN"/>
              </w:rPr>
              <w:t>F094MM</w:t>
            </w:r>
          </w:p>
        </w:tc>
      </w:tr>
      <w:tr w14:paraId="29D709C2">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right w:val="single" w:color="auto" w:sz="4" w:space="0"/>
            </w:tcBorders>
            <w:noWrap w:val="0"/>
            <w:vAlign w:val="center"/>
          </w:tcPr>
          <w:p w14:paraId="4CE6D4B2">
            <w:pPr>
              <w:jc w:val="center"/>
              <w:rPr>
                <w:rFonts w:hint="eastAsia"/>
                <w:lang w:eastAsia="zh-CN"/>
              </w:rPr>
            </w:pPr>
          </w:p>
        </w:tc>
        <w:tc>
          <w:tcPr>
            <w:tcW w:w="1575" w:type="dxa"/>
            <w:vMerge w:val="continue"/>
            <w:tcBorders>
              <w:left w:val="single" w:color="auto" w:sz="4" w:space="0"/>
              <w:right w:val="single" w:color="auto" w:sz="4" w:space="0"/>
            </w:tcBorders>
            <w:noWrap w:val="0"/>
            <w:vAlign w:val="center"/>
          </w:tcPr>
          <w:p w14:paraId="7BC30444">
            <w:pPr>
              <w:jc w:val="center"/>
              <w:rPr>
                <w:rFonts w:hint="eastAsia"/>
                <w:lang w:eastAsia="zh-CN"/>
              </w:rPr>
            </w:pPr>
          </w:p>
        </w:tc>
        <w:tc>
          <w:tcPr>
            <w:tcW w:w="959" w:type="dxa"/>
            <w:vMerge w:val="continue"/>
            <w:tcBorders>
              <w:left w:val="single" w:color="auto" w:sz="4" w:space="0"/>
              <w:right w:val="single" w:color="auto" w:sz="4" w:space="0"/>
            </w:tcBorders>
            <w:noWrap w:val="0"/>
            <w:vAlign w:val="center"/>
          </w:tcPr>
          <w:p w14:paraId="13059F53">
            <w:pPr>
              <w:jc w:val="center"/>
              <w:rPr>
                <w:rFonts w:hint="eastAsia"/>
                <w:lang w:eastAsia="zh-CN"/>
              </w:rPr>
            </w:pPr>
          </w:p>
        </w:tc>
        <w:tc>
          <w:tcPr>
            <w:tcW w:w="1231" w:type="dxa"/>
            <w:vMerge w:val="continue"/>
            <w:tcBorders>
              <w:left w:val="single" w:color="auto" w:sz="4" w:space="0"/>
              <w:right w:val="single" w:color="auto" w:sz="4" w:space="0"/>
            </w:tcBorders>
            <w:noWrap w:val="0"/>
            <w:vAlign w:val="center"/>
          </w:tcPr>
          <w:p w14:paraId="1D075A65">
            <w:pPr>
              <w:jc w:val="center"/>
              <w:rPr>
                <w:rFonts w:hint="eastAsia"/>
                <w:lang w:eastAsia="zh-CN"/>
              </w:rPr>
            </w:pPr>
          </w:p>
        </w:tc>
        <w:tc>
          <w:tcPr>
            <w:tcW w:w="1020" w:type="dxa"/>
            <w:vMerge w:val="continue"/>
            <w:tcBorders>
              <w:left w:val="single" w:color="auto" w:sz="4" w:space="0"/>
              <w:right w:val="single" w:color="auto" w:sz="4" w:space="0"/>
            </w:tcBorders>
            <w:noWrap w:val="0"/>
            <w:vAlign w:val="center"/>
          </w:tcPr>
          <w:p w14:paraId="325932D9">
            <w:pPr>
              <w:jc w:val="center"/>
              <w:rPr>
                <w:rFonts w:hint="eastAsia"/>
                <w:lang w:eastAsia="zh-CN"/>
              </w:rPr>
            </w:pPr>
          </w:p>
        </w:tc>
        <w:tc>
          <w:tcPr>
            <w:tcW w:w="1275" w:type="dxa"/>
            <w:tcBorders>
              <w:top w:val="single" w:color="auto" w:sz="4" w:space="0"/>
              <w:left w:val="nil"/>
              <w:bottom w:val="single" w:color="auto" w:sz="4" w:space="0"/>
              <w:right w:val="single" w:color="auto" w:sz="4" w:space="0"/>
            </w:tcBorders>
            <w:noWrap/>
            <w:vAlign w:val="center"/>
          </w:tcPr>
          <w:p w14:paraId="3F1442A6">
            <w:pPr>
              <w:jc w:val="center"/>
              <w:rPr>
                <w:rFonts w:hint="eastAsia"/>
                <w:lang w:eastAsia="zh-CN"/>
              </w:rPr>
            </w:pPr>
            <w:r>
              <w:rPr>
                <w:rFonts w:hint="eastAsia"/>
                <w:lang w:val="en-US" w:eastAsia="zh-CN"/>
              </w:rPr>
              <w:t>S5-1</w:t>
            </w:r>
          </w:p>
        </w:tc>
        <w:tc>
          <w:tcPr>
            <w:tcW w:w="1440" w:type="dxa"/>
            <w:tcBorders>
              <w:top w:val="single" w:color="auto" w:sz="4" w:space="0"/>
              <w:left w:val="nil"/>
              <w:bottom w:val="single" w:color="auto" w:sz="4" w:space="0"/>
              <w:right w:val="single" w:color="auto" w:sz="4" w:space="0"/>
            </w:tcBorders>
            <w:noWrap/>
            <w:vAlign w:val="center"/>
          </w:tcPr>
          <w:p w14:paraId="2FE7F057">
            <w:pPr>
              <w:jc w:val="center"/>
              <w:rPr>
                <w:rFonts w:hint="eastAsia"/>
                <w:lang w:eastAsia="zh-CN"/>
              </w:rPr>
            </w:pPr>
            <w:r>
              <w:rPr>
                <w:rFonts w:hint="eastAsia"/>
                <w:lang w:val="en-US" w:eastAsia="zh-CN"/>
              </w:rPr>
              <w:t>F0398N</w:t>
            </w:r>
          </w:p>
        </w:tc>
      </w:tr>
      <w:tr w14:paraId="1C3C0538">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bottom w:val="single" w:color="auto" w:sz="4" w:space="0"/>
              <w:right w:val="single" w:color="auto" w:sz="4" w:space="0"/>
            </w:tcBorders>
            <w:noWrap w:val="0"/>
            <w:vAlign w:val="center"/>
          </w:tcPr>
          <w:p w14:paraId="7D00F75C">
            <w:pPr>
              <w:jc w:val="center"/>
              <w:rPr>
                <w:rFonts w:hint="eastAsia"/>
                <w:lang w:eastAsia="zh-CN"/>
              </w:rPr>
            </w:pPr>
          </w:p>
        </w:tc>
        <w:tc>
          <w:tcPr>
            <w:tcW w:w="1575" w:type="dxa"/>
            <w:vMerge w:val="continue"/>
            <w:tcBorders>
              <w:left w:val="single" w:color="auto" w:sz="4" w:space="0"/>
              <w:bottom w:val="single" w:color="auto" w:sz="4" w:space="0"/>
              <w:right w:val="single" w:color="auto" w:sz="4" w:space="0"/>
            </w:tcBorders>
            <w:noWrap w:val="0"/>
            <w:vAlign w:val="center"/>
          </w:tcPr>
          <w:p w14:paraId="55FC8CBD">
            <w:pPr>
              <w:jc w:val="center"/>
              <w:rPr>
                <w:rFonts w:hint="eastAsia"/>
                <w:lang w:eastAsia="zh-CN"/>
              </w:rPr>
            </w:pPr>
          </w:p>
        </w:tc>
        <w:tc>
          <w:tcPr>
            <w:tcW w:w="959" w:type="dxa"/>
            <w:vMerge w:val="continue"/>
            <w:tcBorders>
              <w:left w:val="single" w:color="auto" w:sz="4" w:space="0"/>
              <w:bottom w:val="single" w:color="auto" w:sz="4" w:space="0"/>
              <w:right w:val="single" w:color="auto" w:sz="4" w:space="0"/>
            </w:tcBorders>
            <w:noWrap w:val="0"/>
            <w:vAlign w:val="center"/>
          </w:tcPr>
          <w:p w14:paraId="13F0A75B">
            <w:pPr>
              <w:jc w:val="center"/>
              <w:rPr>
                <w:rFonts w:hint="eastAsia"/>
                <w:lang w:eastAsia="zh-CN"/>
              </w:rPr>
            </w:pPr>
          </w:p>
        </w:tc>
        <w:tc>
          <w:tcPr>
            <w:tcW w:w="1231" w:type="dxa"/>
            <w:vMerge w:val="continue"/>
            <w:tcBorders>
              <w:left w:val="single" w:color="auto" w:sz="4" w:space="0"/>
              <w:bottom w:val="single" w:color="auto" w:sz="4" w:space="0"/>
              <w:right w:val="single" w:color="auto" w:sz="4" w:space="0"/>
            </w:tcBorders>
            <w:noWrap w:val="0"/>
            <w:vAlign w:val="center"/>
          </w:tcPr>
          <w:p w14:paraId="45451D6E">
            <w:pPr>
              <w:jc w:val="center"/>
              <w:rPr>
                <w:rFonts w:hint="eastAsia"/>
                <w:lang w:eastAsia="zh-CN"/>
              </w:rPr>
            </w:pPr>
          </w:p>
        </w:tc>
        <w:tc>
          <w:tcPr>
            <w:tcW w:w="1020" w:type="dxa"/>
            <w:vMerge w:val="continue"/>
            <w:tcBorders>
              <w:left w:val="single" w:color="auto" w:sz="4" w:space="0"/>
              <w:bottom w:val="single" w:color="auto" w:sz="4" w:space="0"/>
              <w:right w:val="single" w:color="auto" w:sz="4" w:space="0"/>
            </w:tcBorders>
            <w:noWrap w:val="0"/>
            <w:vAlign w:val="center"/>
          </w:tcPr>
          <w:p w14:paraId="5D1326BC">
            <w:pPr>
              <w:jc w:val="center"/>
              <w:rPr>
                <w:rFonts w:hint="eastAsia"/>
                <w:lang w:eastAsia="zh-CN"/>
              </w:rPr>
            </w:pPr>
          </w:p>
        </w:tc>
        <w:tc>
          <w:tcPr>
            <w:tcW w:w="1275" w:type="dxa"/>
            <w:tcBorders>
              <w:top w:val="single" w:color="auto" w:sz="4" w:space="0"/>
              <w:left w:val="nil"/>
              <w:bottom w:val="single" w:color="auto" w:sz="4" w:space="0"/>
              <w:right w:val="single" w:color="auto" w:sz="4" w:space="0"/>
            </w:tcBorders>
            <w:noWrap/>
            <w:vAlign w:val="center"/>
          </w:tcPr>
          <w:p w14:paraId="2D875C36">
            <w:pPr>
              <w:jc w:val="center"/>
              <w:rPr>
                <w:rFonts w:hint="eastAsia"/>
                <w:lang w:eastAsia="zh-CN"/>
              </w:rPr>
            </w:pPr>
            <w:r>
              <w:rPr>
                <w:rFonts w:hint="eastAsia"/>
                <w:lang w:val="en-US" w:eastAsia="zh-CN"/>
              </w:rPr>
              <w:t>C10-3V</w:t>
            </w:r>
          </w:p>
        </w:tc>
        <w:tc>
          <w:tcPr>
            <w:tcW w:w="1440" w:type="dxa"/>
            <w:tcBorders>
              <w:top w:val="single" w:color="auto" w:sz="4" w:space="0"/>
              <w:left w:val="nil"/>
              <w:bottom w:val="single" w:color="auto" w:sz="4" w:space="0"/>
              <w:right w:val="single" w:color="auto" w:sz="4" w:space="0"/>
            </w:tcBorders>
            <w:noWrap/>
            <w:vAlign w:val="center"/>
          </w:tcPr>
          <w:p w14:paraId="4501887B">
            <w:pPr>
              <w:jc w:val="center"/>
              <w:rPr>
                <w:rFonts w:hint="eastAsia"/>
                <w:lang w:eastAsia="zh-CN"/>
              </w:rPr>
            </w:pPr>
            <w:r>
              <w:rPr>
                <w:rFonts w:hint="eastAsia"/>
                <w:lang w:val="en-US" w:eastAsia="zh-CN"/>
              </w:rPr>
              <w:t>F039Z8</w:t>
            </w:r>
          </w:p>
        </w:tc>
      </w:tr>
    </w:tbl>
    <w:p w14:paraId="471FA266">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进行整机全保服务（包括主机、探头和软件），除维保费外，所有维修维保服务采购人无需另付任何费用。</w:t>
      </w:r>
    </w:p>
    <w:p w14:paraId="71AF7548">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2、服务期限：3年，维保服务具体时间以合同约定为准。</w:t>
      </w:r>
    </w:p>
    <w:p w14:paraId="0735E81A">
      <w:pPr>
        <w:ind w:firstLine="211" w:firstLineChars="100"/>
        <w:rPr>
          <w:rFonts w:hint="eastAsia" w:eastAsia="宋体"/>
          <w:b/>
          <w:lang w:eastAsia="zh-CN"/>
        </w:rPr>
      </w:pPr>
      <w:r>
        <w:rPr>
          <w:rFonts w:hint="eastAsia"/>
          <w:b/>
        </w:rPr>
        <w:t>三、服务要求</w:t>
      </w:r>
      <w:r>
        <w:rPr>
          <w:rFonts w:hint="eastAsia"/>
          <w:b/>
          <w:lang w:eastAsia="zh-CN"/>
        </w:rPr>
        <w:t>：</w:t>
      </w:r>
    </w:p>
    <w:p w14:paraId="14DE404D">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1、探头更换：投标人在整个服务合同期间需提供6次全新原厂探头免费更换，所更换探头须支持上述维保彩超型号但不局限于使用在上述设备，探头更换标准以临床需要为原则，维修探头时提供备用探头。</w:t>
      </w:r>
    </w:p>
    <w:p w14:paraId="4565DD2F">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2、服务响应时间：投标人提供365天×24小时×3年的技术服务及不限次数的人工上门维修。维保服务期内维保设备维护、维修所发生的所有费用（更换零部件费，人工费和出差费等）均由投标人承担。电话响应时间：1小时，收到现场服务请求后24小时内到达维保设备现场（不可抗力除外）。安全检查和维护保养提前预约服务时间，尽量不影响日常诊疗工作。</w:t>
      </w:r>
    </w:p>
    <w:p w14:paraId="31750B68">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3、开机率承诺：投标人保证设备年开机率≥95%（按一年365天，每天24小时计算）。若设备开机率低于95%，停机时间每超过一天顺延七天维保期。并承担由此给采购人造成的损失。</w:t>
      </w:r>
    </w:p>
    <w:p w14:paraId="5EDA4DAA">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4、安全检查和预防性维护保养：投标人每年提供4次安全检查和预防性维护保养，安全检查和保养包括但不限于以下内容：机械安全检查、影像质量检查，设备除尘保养，运行状态检查、电气安全检查、性能测试及校准，以及非紧急性质的预防性维护，提供保养检测报告，保证超声设备处于最佳运行状态。每年至少提供一次应用工程师上门设备调试和医生培训服务。</w:t>
      </w:r>
    </w:p>
    <w:p w14:paraId="35CC9BE8">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5、达标要求：投标人保证维保设备的全部性能监测指标达标，能通过计量测试检定并取得计量检定合格证书。</w:t>
      </w:r>
    </w:p>
    <w:p w14:paraId="4BC7FD7D">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6、服务热线电话：投标人提供400或800服务热线电话供采购人与投标人的技术专家进行交流，保证及时获得在线技术支持和维修诊断。</w:t>
      </w:r>
    </w:p>
    <w:p w14:paraId="2E7EDF70">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7、零备件保障要求：投标人在国内设有配件品仓库及维保设备的全套配件，当设备出现故障时，保证配件48小时内抵达用户现场（提供相关配件库证明文件）。</w:t>
      </w:r>
    </w:p>
    <w:p w14:paraId="2254203E">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8、维保服务报告：投标人提供维保服务时，按要求在采购人的设备管理部门进行备案，完成相关服务后，须在采购人的设备科、使用科室保留原始工作记录（维修工单及保养清单），并经双方签字确认，每年须出具年度维保服务报告。</w:t>
      </w:r>
    </w:p>
    <w:p w14:paraId="0C57CB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9、零备件质量要求：投标人保证维修所提供零备件均为飞利浦公司的全新原厂备件（必须提供证明材料），确保维修后的设备达到原厂合格标准及相应的国家质量标准要求，若提供非飞利浦原厂备件采购人有权终止合同并追究相关责任。</w:t>
      </w:r>
    </w:p>
    <w:p w14:paraId="339BAFF3">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lang w:val="en-US" w:eastAsia="zh-CN"/>
        </w:rPr>
      </w:pPr>
      <w:r>
        <w:rPr>
          <w:rFonts w:hint="eastAsia"/>
          <w:lang w:val="en-US" w:eastAsia="zh-CN"/>
        </w:rPr>
        <w:t>10、零备件质保要求：配件质保期为6个月，如合同结束，该配件质保期顺延；投标人须妥善维修顺延期该配件发生的故障。</w:t>
      </w:r>
    </w:p>
    <w:p w14:paraId="131B8AE2">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11、应急处理要求：投标人3日内不能修复超声探头故障，必须在24小时内提供备用探头；5日内无法修复设备故障，投标人提供备用彩超供采购人应急使用。</w:t>
      </w:r>
    </w:p>
    <w:p w14:paraId="3004F54B">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12、维保能力要求：投标人具备必要的维保能力；（须提供3份与采购人同品牌彩超三甲医院维保合同复印件）</w:t>
      </w:r>
    </w:p>
    <w:p w14:paraId="2E321835">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13、服务质量考核：维保期内，采购人每半年对中标人提供的服务质量进行考核（包括：开机率、响应时间、故障排除及维保服务条款履行情况等）。若考核不合格，采购人有权解除合同并要求中标方赔偿由于设备停机造成的直接和间接损失。</w:t>
      </w:r>
    </w:p>
    <w:p w14:paraId="30AC51E3">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lang w:val="en-US" w:eastAsia="zh-CN"/>
        </w:rPr>
      </w:pPr>
      <w:r>
        <w:rPr>
          <w:rFonts w:hint="eastAsia"/>
          <w:lang w:val="en-US" w:eastAsia="zh-CN"/>
        </w:rPr>
        <w:t>14、其它：如果因其它原因设备不再使用（如：提前报废、病人急剧减少等原因，造成此设备不再使用），医院提前一个月书面通知投标人，按日计算合同金额维保费用余款一次性付清。</w:t>
      </w:r>
    </w:p>
    <w:p w14:paraId="5FFD5A4D">
      <w:pPr>
        <w:spacing w:line="360" w:lineRule="auto"/>
        <w:ind w:firstLine="422" w:firstLineChars="200"/>
        <w:jc w:val="left"/>
        <w:rPr>
          <w:rFonts w:hint="eastAsia"/>
          <w:lang w:val="en-US" w:eastAsia="zh-CN"/>
        </w:rPr>
      </w:pPr>
      <w:r>
        <w:rPr>
          <w:rFonts w:hint="eastAsia"/>
          <w:b/>
          <w:bCs/>
          <w:lang w:val="en-US" w:eastAsia="zh-CN"/>
        </w:rPr>
        <w:t>四、付款方式：</w:t>
      </w:r>
      <w:r>
        <w:rPr>
          <w:rFonts w:hint="eastAsia"/>
          <w:lang w:val="en-US" w:eastAsia="zh-CN"/>
        </w:rPr>
        <w:t>先服务后付款。设备维保款分6期支付，每期支付维保总费用的1/6。每半年考核周期满后凭投标人开具的正规发票及考核合格报告支付当期款项。</w:t>
      </w:r>
    </w:p>
    <w:p w14:paraId="0AAB50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p>
    <w:p w14:paraId="36AB9929">
      <w:pPr>
        <w:rPr>
          <w:rFonts w:hint="default" w:eastAsia="宋体"/>
          <w:b/>
          <w:lang w:val="en-US" w:eastAsia="zh-CN"/>
        </w:rPr>
      </w:pPr>
      <w:r>
        <w:rPr>
          <w:rFonts w:hint="eastAsia"/>
          <w:b/>
          <w:lang w:eastAsia="zh-CN"/>
        </w:rPr>
        <w:t>包</w:t>
      </w:r>
      <w:r>
        <w:rPr>
          <w:rFonts w:hint="eastAsia"/>
          <w:b/>
          <w:lang w:val="en-US" w:eastAsia="zh-CN"/>
        </w:rPr>
        <w:t>02：</w:t>
      </w:r>
    </w:p>
    <w:p w14:paraId="619D0D29">
      <w:pPr>
        <w:ind w:firstLine="211" w:firstLineChars="100"/>
        <w:rPr>
          <w:rFonts w:hint="eastAsia" w:eastAsia="宋体"/>
          <w:lang w:eastAsia="zh-CN"/>
        </w:rPr>
      </w:pPr>
      <w:r>
        <w:rPr>
          <w:rFonts w:hint="eastAsia"/>
          <w:b/>
        </w:rPr>
        <w:t>一、采购项目名称：</w:t>
      </w:r>
      <w:r>
        <w:rPr>
          <w:rFonts w:hint="eastAsia"/>
          <w:kern w:val="0"/>
          <w:sz w:val="21"/>
          <w:szCs w:val="28"/>
          <w:lang w:val="en-US" w:eastAsia="zh-CN"/>
        </w:rPr>
        <w:t>彩色超声诊断系统（飞利浦+迈瑞）维保项目</w:t>
      </w:r>
    </w:p>
    <w:p w14:paraId="2BF7F4DC">
      <w:pPr>
        <w:ind w:firstLine="211" w:firstLineChars="100"/>
        <w:rPr>
          <w:b/>
        </w:rPr>
      </w:pPr>
      <w:r>
        <w:rPr>
          <w:rFonts w:hint="eastAsia"/>
          <w:b/>
        </w:rPr>
        <w:t>二、采购项目概况：</w:t>
      </w:r>
    </w:p>
    <w:p w14:paraId="00FDE788">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1、维保范围：对下列3台彩超设备及附件：</w:t>
      </w:r>
    </w:p>
    <w:tbl>
      <w:tblPr>
        <w:tblStyle w:val="41"/>
        <w:tblW w:w="8524" w:type="dxa"/>
        <w:jc w:val="center"/>
        <w:tblLayout w:type="fixed"/>
        <w:tblCellMar>
          <w:top w:w="0" w:type="dxa"/>
          <w:left w:w="108" w:type="dxa"/>
          <w:bottom w:w="0" w:type="dxa"/>
          <w:right w:w="108" w:type="dxa"/>
        </w:tblCellMar>
      </w:tblPr>
      <w:tblGrid>
        <w:gridCol w:w="750"/>
        <w:gridCol w:w="1575"/>
        <w:gridCol w:w="959"/>
        <w:gridCol w:w="1231"/>
        <w:gridCol w:w="1020"/>
        <w:gridCol w:w="1275"/>
        <w:gridCol w:w="1714"/>
      </w:tblGrid>
      <w:tr w14:paraId="79F7F5A4">
        <w:tblPrEx>
          <w:tblCellMar>
            <w:top w:w="0" w:type="dxa"/>
            <w:left w:w="108" w:type="dxa"/>
            <w:bottom w:w="0" w:type="dxa"/>
            <w:right w:w="108" w:type="dxa"/>
          </w:tblCellMar>
        </w:tblPrEx>
        <w:trPr>
          <w:trHeight w:val="688" w:hRule="exac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5D3D89EE">
            <w:pPr>
              <w:jc w:val="center"/>
              <w:rPr>
                <w:b/>
                <w:bCs/>
              </w:rPr>
            </w:pPr>
            <w:r>
              <w:rPr>
                <w:rFonts w:hint="eastAsia"/>
                <w:b/>
                <w:bCs/>
              </w:rPr>
              <w:t>序号</w:t>
            </w:r>
          </w:p>
        </w:tc>
        <w:tc>
          <w:tcPr>
            <w:tcW w:w="1575" w:type="dxa"/>
            <w:tcBorders>
              <w:top w:val="single" w:color="auto" w:sz="4" w:space="0"/>
              <w:left w:val="nil"/>
              <w:bottom w:val="single" w:color="auto" w:sz="4" w:space="0"/>
              <w:right w:val="single" w:color="auto" w:sz="4" w:space="0"/>
            </w:tcBorders>
            <w:noWrap w:val="0"/>
            <w:vAlign w:val="center"/>
          </w:tcPr>
          <w:p w14:paraId="3C656264">
            <w:pPr>
              <w:jc w:val="center"/>
              <w:rPr>
                <w:b/>
                <w:bCs/>
              </w:rPr>
            </w:pPr>
            <w:r>
              <w:rPr>
                <w:rFonts w:hint="eastAsia"/>
                <w:b/>
                <w:bCs/>
              </w:rPr>
              <w:t>设备名称</w:t>
            </w:r>
          </w:p>
        </w:tc>
        <w:tc>
          <w:tcPr>
            <w:tcW w:w="959" w:type="dxa"/>
            <w:tcBorders>
              <w:top w:val="single" w:color="auto" w:sz="4" w:space="0"/>
              <w:left w:val="nil"/>
              <w:bottom w:val="single" w:color="auto" w:sz="4" w:space="0"/>
              <w:right w:val="single" w:color="auto" w:sz="4" w:space="0"/>
            </w:tcBorders>
            <w:noWrap w:val="0"/>
            <w:vAlign w:val="center"/>
          </w:tcPr>
          <w:p w14:paraId="381306DC">
            <w:pPr>
              <w:jc w:val="center"/>
              <w:rPr>
                <w:b/>
                <w:bCs/>
              </w:rPr>
            </w:pPr>
            <w:r>
              <w:rPr>
                <w:rFonts w:hint="eastAsia"/>
                <w:b/>
                <w:bCs/>
              </w:rPr>
              <w:t>型号</w:t>
            </w:r>
          </w:p>
        </w:tc>
        <w:tc>
          <w:tcPr>
            <w:tcW w:w="1231" w:type="dxa"/>
            <w:tcBorders>
              <w:top w:val="single" w:color="auto" w:sz="4" w:space="0"/>
              <w:left w:val="nil"/>
              <w:bottom w:val="single" w:color="auto" w:sz="4" w:space="0"/>
              <w:right w:val="single" w:color="auto" w:sz="4" w:space="0"/>
            </w:tcBorders>
            <w:noWrap w:val="0"/>
            <w:vAlign w:val="center"/>
          </w:tcPr>
          <w:p w14:paraId="06179201">
            <w:pPr>
              <w:jc w:val="center"/>
              <w:rPr>
                <w:b/>
                <w:bCs/>
              </w:rPr>
            </w:pPr>
            <w:r>
              <w:rPr>
                <w:rFonts w:hint="eastAsia"/>
                <w:b/>
                <w:bCs/>
              </w:rPr>
              <w:t>序列号</w:t>
            </w:r>
          </w:p>
        </w:tc>
        <w:tc>
          <w:tcPr>
            <w:tcW w:w="1020" w:type="dxa"/>
            <w:tcBorders>
              <w:top w:val="single" w:color="auto" w:sz="4" w:space="0"/>
              <w:left w:val="nil"/>
              <w:bottom w:val="single" w:color="auto" w:sz="4" w:space="0"/>
              <w:right w:val="single" w:color="auto" w:sz="4" w:space="0"/>
            </w:tcBorders>
            <w:noWrap w:val="0"/>
            <w:vAlign w:val="center"/>
          </w:tcPr>
          <w:p w14:paraId="31860A50">
            <w:pPr>
              <w:jc w:val="center"/>
              <w:rPr>
                <w:b/>
                <w:bCs/>
              </w:rPr>
            </w:pPr>
            <w:r>
              <w:rPr>
                <w:rFonts w:hint="eastAsia"/>
                <w:b/>
                <w:bCs/>
              </w:rPr>
              <w:t>品牌</w:t>
            </w:r>
          </w:p>
        </w:tc>
        <w:tc>
          <w:tcPr>
            <w:tcW w:w="1275" w:type="dxa"/>
            <w:tcBorders>
              <w:top w:val="single" w:color="auto" w:sz="4" w:space="0"/>
              <w:left w:val="nil"/>
              <w:bottom w:val="single" w:color="auto" w:sz="4" w:space="0"/>
              <w:right w:val="single" w:color="auto" w:sz="4" w:space="0"/>
            </w:tcBorders>
            <w:noWrap w:val="0"/>
            <w:vAlign w:val="center"/>
          </w:tcPr>
          <w:p w14:paraId="2DDE3B49">
            <w:pPr>
              <w:jc w:val="center"/>
              <w:rPr>
                <w:b/>
                <w:bCs/>
              </w:rPr>
            </w:pPr>
            <w:r>
              <w:rPr>
                <w:rFonts w:hint="eastAsia"/>
                <w:b/>
                <w:bCs/>
              </w:rPr>
              <w:t>探头</w:t>
            </w:r>
          </w:p>
        </w:tc>
        <w:tc>
          <w:tcPr>
            <w:tcW w:w="1714" w:type="dxa"/>
            <w:tcBorders>
              <w:top w:val="single" w:color="auto" w:sz="4" w:space="0"/>
              <w:left w:val="nil"/>
              <w:bottom w:val="single" w:color="auto" w:sz="4" w:space="0"/>
              <w:right w:val="single" w:color="auto" w:sz="4" w:space="0"/>
            </w:tcBorders>
            <w:noWrap w:val="0"/>
            <w:vAlign w:val="center"/>
          </w:tcPr>
          <w:p w14:paraId="3C666B82">
            <w:pPr>
              <w:jc w:val="center"/>
              <w:rPr>
                <w:rFonts w:hint="eastAsia"/>
                <w:b/>
                <w:bCs/>
                <w:lang w:eastAsia="zh-CN"/>
              </w:rPr>
            </w:pPr>
            <w:r>
              <w:rPr>
                <w:rFonts w:hint="eastAsia"/>
                <w:b/>
                <w:bCs/>
                <w:lang w:val="en-US" w:eastAsia="zh-CN"/>
              </w:rPr>
              <w:t>序列号</w:t>
            </w:r>
          </w:p>
        </w:tc>
      </w:tr>
      <w:tr w14:paraId="0D0267F2">
        <w:tblPrEx>
          <w:tblCellMar>
            <w:top w:w="0" w:type="dxa"/>
            <w:left w:w="108" w:type="dxa"/>
            <w:bottom w:w="0" w:type="dxa"/>
            <w:right w:w="108" w:type="dxa"/>
          </w:tblCellMar>
        </w:tblPrEx>
        <w:trPr>
          <w:trHeight w:val="397" w:hRule="exact"/>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786B5779">
            <w:pPr>
              <w:jc w:val="center"/>
              <w:rPr>
                <w:rFonts w:hint="eastAsia"/>
                <w:lang w:eastAsia="zh-CN"/>
              </w:rPr>
            </w:pPr>
            <w:r>
              <w:rPr>
                <w:rFonts w:hint="eastAsia"/>
                <w:lang w:val="en-US" w:eastAsia="zh-CN"/>
              </w:rPr>
              <w:t>1</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622C9011">
            <w:pPr>
              <w:jc w:val="center"/>
              <w:rPr>
                <w:rFonts w:hint="eastAsia"/>
                <w:lang w:eastAsia="zh-CN"/>
              </w:rPr>
            </w:pPr>
            <w:r>
              <w:rPr>
                <w:rFonts w:hint="eastAsia"/>
                <w:lang w:eastAsia="zh-CN"/>
              </w:rPr>
              <w:t>彩色多普勒超声诊断系统</w:t>
            </w:r>
          </w:p>
        </w:tc>
        <w:tc>
          <w:tcPr>
            <w:tcW w:w="959" w:type="dxa"/>
            <w:vMerge w:val="restart"/>
            <w:tcBorders>
              <w:top w:val="single" w:color="auto" w:sz="4" w:space="0"/>
              <w:left w:val="single" w:color="auto" w:sz="4" w:space="0"/>
              <w:bottom w:val="single" w:color="auto" w:sz="4" w:space="0"/>
              <w:right w:val="single" w:color="auto" w:sz="4" w:space="0"/>
            </w:tcBorders>
            <w:noWrap w:val="0"/>
            <w:vAlign w:val="center"/>
          </w:tcPr>
          <w:p w14:paraId="12849263">
            <w:pPr>
              <w:jc w:val="center"/>
              <w:rPr>
                <w:rFonts w:hint="eastAsia"/>
                <w:lang w:eastAsia="zh-CN"/>
              </w:rPr>
            </w:pPr>
            <w:r>
              <w:rPr>
                <w:rFonts w:hint="eastAsia"/>
                <w:lang w:val="en-US" w:eastAsia="zh-CN"/>
              </w:rPr>
              <w:t>IE ELITE</w:t>
            </w:r>
            <w:r>
              <w:rPr>
                <w:rFonts w:hint="eastAsia"/>
                <w:lang w:eastAsia="zh-CN"/>
              </w:rPr>
              <w:t xml:space="preserve"> </w:t>
            </w:r>
          </w:p>
        </w:tc>
        <w:tc>
          <w:tcPr>
            <w:tcW w:w="1231" w:type="dxa"/>
            <w:vMerge w:val="restart"/>
            <w:tcBorders>
              <w:top w:val="single" w:color="auto" w:sz="4" w:space="0"/>
              <w:left w:val="single" w:color="auto" w:sz="4" w:space="0"/>
              <w:bottom w:val="single" w:color="auto" w:sz="4" w:space="0"/>
              <w:right w:val="single" w:color="auto" w:sz="4" w:space="0"/>
            </w:tcBorders>
            <w:noWrap w:val="0"/>
            <w:vAlign w:val="center"/>
          </w:tcPr>
          <w:p w14:paraId="169BDF34">
            <w:pPr>
              <w:jc w:val="center"/>
              <w:rPr>
                <w:rFonts w:hint="eastAsia"/>
                <w:lang w:eastAsia="zh-CN"/>
              </w:rPr>
            </w:pPr>
            <w:r>
              <w:rPr>
                <w:rFonts w:hint="eastAsia"/>
                <w:lang w:val="en-US" w:eastAsia="zh-CN"/>
              </w:rPr>
              <w:t>B0Y8F8</w:t>
            </w:r>
            <w:r>
              <w:rPr>
                <w:rFonts w:hint="eastAsia"/>
                <w:lang w:eastAsia="zh-CN"/>
              </w:rPr>
              <w:t xml:space="preserve"> </w:t>
            </w:r>
          </w:p>
        </w:tc>
        <w:tc>
          <w:tcPr>
            <w:tcW w:w="1020" w:type="dxa"/>
            <w:vMerge w:val="restart"/>
            <w:tcBorders>
              <w:top w:val="single" w:color="auto" w:sz="4" w:space="0"/>
              <w:left w:val="single" w:color="auto" w:sz="4" w:space="0"/>
              <w:bottom w:val="single" w:color="auto" w:sz="4" w:space="0"/>
              <w:right w:val="single" w:color="auto" w:sz="4" w:space="0"/>
            </w:tcBorders>
            <w:noWrap w:val="0"/>
            <w:vAlign w:val="center"/>
          </w:tcPr>
          <w:p w14:paraId="045DE746">
            <w:pPr>
              <w:jc w:val="center"/>
              <w:rPr>
                <w:rFonts w:hint="eastAsia"/>
                <w:lang w:val="en-US" w:eastAsia="zh-CN"/>
              </w:rPr>
            </w:pPr>
            <w:r>
              <w:rPr>
                <w:rFonts w:hint="eastAsia"/>
                <w:lang w:val="en-US" w:eastAsia="zh-CN"/>
              </w:rPr>
              <w:t>飞利浦</w:t>
            </w:r>
          </w:p>
        </w:tc>
        <w:tc>
          <w:tcPr>
            <w:tcW w:w="1275" w:type="dxa"/>
            <w:tcBorders>
              <w:top w:val="single" w:color="auto" w:sz="4" w:space="0"/>
              <w:left w:val="single" w:color="auto" w:sz="4" w:space="0"/>
              <w:bottom w:val="single" w:color="auto" w:sz="4" w:space="0"/>
              <w:right w:val="single" w:color="auto" w:sz="4" w:space="0"/>
            </w:tcBorders>
            <w:noWrap/>
            <w:vAlign w:val="center"/>
          </w:tcPr>
          <w:p w14:paraId="6EDE9F94">
            <w:pPr>
              <w:jc w:val="center"/>
              <w:rPr>
                <w:rFonts w:hint="default"/>
                <w:lang w:val="en-US" w:eastAsia="zh-CN"/>
              </w:rPr>
            </w:pPr>
            <w:r>
              <w:rPr>
                <w:rFonts w:hint="eastAsia"/>
                <w:lang w:val="en-US" w:eastAsia="zh-CN"/>
              </w:rPr>
              <w:t>S8-3</w:t>
            </w:r>
          </w:p>
        </w:tc>
        <w:tc>
          <w:tcPr>
            <w:tcW w:w="1714" w:type="dxa"/>
            <w:tcBorders>
              <w:top w:val="single" w:color="auto" w:sz="4" w:space="0"/>
              <w:left w:val="single" w:color="auto" w:sz="4" w:space="0"/>
              <w:bottom w:val="single" w:color="auto" w:sz="4" w:space="0"/>
              <w:right w:val="single" w:color="auto" w:sz="4" w:space="0"/>
            </w:tcBorders>
            <w:noWrap/>
            <w:vAlign w:val="center"/>
          </w:tcPr>
          <w:p w14:paraId="0309D79C">
            <w:pPr>
              <w:jc w:val="center"/>
              <w:rPr>
                <w:rFonts w:hint="default"/>
                <w:lang w:val="en-US" w:eastAsia="zh-CN"/>
              </w:rPr>
            </w:pPr>
            <w:r>
              <w:rPr>
                <w:rFonts w:hint="eastAsia"/>
                <w:lang w:val="en-US" w:eastAsia="zh-CN"/>
              </w:rPr>
              <w:t>B10G5R</w:t>
            </w:r>
          </w:p>
        </w:tc>
      </w:tr>
      <w:tr w14:paraId="18825DD4">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736012E9">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4ED396A6">
            <w:pPr>
              <w:jc w:val="cente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46139F79">
            <w:pPr>
              <w:jc w:val="center"/>
              <w:rPr>
                <w:rFonts w:hint="eastAsia"/>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0B151F15">
            <w:pPr>
              <w:jc w:val="center"/>
              <w:rPr>
                <w:rFonts w:hint="eastAsia"/>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467C7A9A">
            <w:pPr>
              <w:jc w:val="center"/>
              <w:rPr>
                <w:rFonts w:hint="eastAsia"/>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B7D8024">
            <w:pPr>
              <w:jc w:val="center"/>
              <w:rPr>
                <w:rFonts w:hint="default"/>
                <w:lang w:val="en-US" w:eastAsia="zh-CN"/>
              </w:rPr>
            </w:pPr>
            <w:r>
              <w:rPr>
                <w:rFonts w:hint="eastAsia"/>
                <w:lang w:val="en-US" w:eastAsia="zh-CN"/>
              </w:rPr>
              <w:t>L11-3</w:t>
            </w:r>
          </w:p>
        </w:tc>
        <w:tc>
          <w:tcPr>
            <w:tcW w:w="1714" w:type="dxa"/>
            <w:tcBorders>
              <w:top w:val="single" w:color="auto" w:sz="4" w:space="0"/>
              <w:left w:val="single" w:color="auto" w:sz="4" w:space="0"/>
              <w:bottom w:val="single" w:color="auto" w:sz="4" w:space="0"/>
              <w:right w:val="single" w:color="auto" w:sz="4" w:space="0"/>
            </w:tcBorders>
            <w:noWrap/>
            <w:vAlign w:val="center"/>
          </w:tcPr>
          <w:p w14:paraId="50CDF200">
            <w:pPr>
              <w:jc w:val="center"/>
              <w:rPr>
                <w:rFonts w:hint="default"/>
                <w:lang w:val="en-US" w:eastAsia="zh-CN"/>
              </w:rPr>
            </w:pPr>
            <w:r>
              <w:rPr>
                <w:rFonts w:hint="eastAsia"/>
                <w:lang w:val="en-US" w:eastAsia="zh-CN"/>
              </w:rPr>
              <w:t>F05NT1</w:t>
            </w:r>
          </w:p>
        </w:tc>
      </w:tr>
      <w:tr w14:paraId="42A77278">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4D01D6E0">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645B6600">
            <w:pPr>
              <w:jc w:val="cente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2A26334C">
            <w:pPr>
              <w:jc w:val="center"/>
              <w:rPr>
                <w:rFonts w:hint="eastAsia"/>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7F705A28">
            <w:pPr>
              <w:jc w:val="center"/>
              <w:rPr>
                <w:rFonts w:hint="eastAsia"/>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6B7CA3C8">
            <w:pPr>
              <w:jc w:val="center"/>
              <w:rPr>
                <w:rFonts w:hint="eastAsia"/>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99351D4">
            <w:pPr>
              <w:jc w:val="center"/>
              <w:rPr>
                <w:rFonts w:hint="default"/>
                <w:lang w:val="en-US" w:eastAsia="zh-CN"/>
              </w:rPr>
            </w:pPr>
            <w:r>
              <w:rPr>
                <w:rFonts w:hint="eastAsia"/>
                <w:lang w:val="en-US" w:eastAsia="zh-CN"/>
              </w:rPr>
              <w:t>C5-1</w:t>
            </w:r>
          </w:p>
        </w:tc>
        <w:tc>
          <w:tcPr>
            <w:tcW w:w="1714" w:type="dxa"/>
            <w:tcBorders>
              <w:top w:val="single" w:color="auto" w:sz="4" w:space="0"/>
              <w:left w:val="single" w:color="auto" w:sz="4" w:space="0"/>
              <w:bottom w:val="single" w:color="auto" w:sz="4" w:space="0"/>
              <w:right w:val="single" w:color="auto" w:sz="4" w:space="0"/>
            </w:tcBorders>
            <w:noWrap/>
            <w:vAlign w:val="center"/>
          </w:tcPr>
          <w:p w14:paraId="75C74AE3">
            <w:pPr>
              <w:jc w:val="center"/>
              <w:rPr>
                <w:rFonts w:hint="default"/>
                <w:lang w:val="en-US" w:eastAsia="zh-CN"/>
              </w:rPr>
            </w:pPr>
            <w:r>
              <w:rPr>
                <w:rFonts w:hint="eastAsia"/>
                <w:lang w:val="en-US" w:eastAsia="zh-CN"/>
              </w:rPr>
              <w:t>B13Y1J</w:t>
            </w:r>
          </w:p>
        </w:tc>
      </w:tr>
      <w:tr w14:paraId="60EBB51B">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4B6D3C73">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7A25CD82">
            <w:pPr>
              <w:jc w:val="cente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54E808E1">
            <w:pPr>
              <w:jc w:val="center"/>
              <w:rPr>
                <w:rFonts w:hint="eastAsia"/>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7B61BA01">
            <w:pPr>
              <w:jc w:val="center"/>
              <w:rPr>
                <w:rFonts w:hint="eastAsia"/>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05DA2389">
            <w:pPr>
              <w:jc w:val="center"/>
              <w:rPr>
                <w:rFonts w:hint="eastAsia"/>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2B8EB45">
            <w:pPr>
              <w:jc w:val="center"/>
              <w:rPr>
                <w:rFonts w:hint="default"/>
                <w:lang w:val="en-US" w:eastAsia="zh-CN"/>
              </w:rPr>
            </w:pPr>
            <w:r>
              <w:rPr>
                <w:rFonts w:hint="eastAsia"/>
                <w:lang w:val="en-US" w:eastAsia="zh-CN"/>
              </w:rPr>
              <w:t>S5-1</w:t>
            </w:r>
          </w:p>
        </w:tc>
        <w:tc>
          <w:tcPr>
            <w:tcW w:w="1714" w:type="dxa"/>
            <w:tcBorders>
              <w:top w:val="single" w:color="auto" w:sz="4" w:space="0"/>
              <w:left w:val="single" w:color="auto" w:sz="4" w:space="0"/>
              <w:bottom w:val="single" w:color="auto" w:sz="4" w:space="0"/>
              <w:right w:val="single" w:color="auto" w:sz="4" w:space="0"/>
            </w:tcBorders>
            <w:noWrap/>
            <w:vAlign w:val="center"/>
          </w:tcPr>
          <w:p w14:paraId="44F0B12C">
            <w:pPr>
              <w:jc w:val="center"/>
              <w:rPr>
                <w:rFonts w:hint="default"/>
                <w:lang w:val="en-US" w:eastAsia="zh-CN"/>
              </w:rPr>
            </w:pPr>
            <w:r>
              <w:rPr>
                <w:rFonts w:hint="eastAsia"/>
                <w:lang w:val="en-US" w:eastAsia="zh-CN"/>
              </w:rPr>
              <w:t>B2ZMNN</w:t>
            </w:r>
          </w:p>
        </w:tc>
      </w:tr>
      <w:tr w14:paraId="1B35643C">
        <w:tblPrEx>
          <w:tblCellMar>
            <w:top w:w="0" w:type="dxa"/>
            <w:left w:w="108" w:type="dxa"/>
            <w:bottom w:w="0" w:type="dxa"/>
            <w:right w:w="108" w:type="dxa"/>
          </w:tblCellMar>
        </w:tblPrEx>
        <w:trPr>
          <w:trHeight w:val="96" w:hRule="atLeast"/>
          <w:jc w:val="center"/>
        </w:trPr>
        <w:tc>
          <w:tcPr>
            <w:tcW w:w="750" w:type="dxa"/>
            <w:vMerge w:val="restart"/>
            <w:tcBorders>
              <w:top w:val="single" w:color="auto" w:sz="4" w:space="0"/>
              <w:left w:val="single" w:color="auto" w:sz="4" w:space="0"/>
              <w:right w:val="single" w:color="auto" w:sz="4" w:space="0"/>
            </w:tcBorders>
            <w:noWrap w:val="0"/>
            <w:vAlign w:val="center"/>
          </w:tcPr>
          <w:p w14:paraId="22D51DCE">
            <w:pPr>
              <w:jc w:val="center"/>
              <w:rPr>
                <w:rFonts w:hint="eastAsia"/>
                <w:lang w:eastAsia="zh-CN"/>
              </w:rPr>
            </w:pPr>
            <w:r>
              <w:rPr>
                <w:rFonts w:hint="eastAsia"/>
                <w:lang w:val="en-US" w:eastAsia="zh-CN"/>
              </w:rPr>
              <w:t>2</w:t>
            </w:r>
          </w:p>
        </w:tc>
        <w:tc>
          <w:tcPr>
            <w:tcW w:w="1575" w:type="dxa"/>
            <w:vMerge w:val="restart"/>
            <w:tcBorders>
              <w:top w:val="single" w:color="auto" w:sz="4" w:space="0"/>
              <w:left w:val="single" w:color="auto" w:sz="4" w:space="0"/>
              <w:right w:val="single" w:color="auto" w:sz="4" w:space="0"/>
            </w:tcBorders>
            <w:noWrap w:val="0"/>
            <w:vAlign w:val="center"/>
          </w:tcPr>
          <w:p w14:paraId="447DFE98">
            <w:pPr>
              <w:jc w:val="center"/>
              <w:rPr>
                <w:rFonts w:hint="eastAsia"/>
                <w:lang w:eastAsia="zh-CN"/>
              </w:rPr>
            </w:pPr>
            <w:r>
              <w:rPr>
                <w:rFonts w:hint="eastAsia"/>
                <w:lang w:eastAsia="zh-CN"/>
              </w:rPr>
              <w:t>彩色多普勒超声诊断系统</w:t>
            </w:r>
          </w:p>
        </w:tc>
        <w:tc>
          <w:tcPr>
            <w:tcW w:w="959" w:type="dxa"/>
            <w:vMerge w:val="restart"/>
            <w:tcBorders>
              <w:top w:val="single" w:color="auto" w:sz="4" w:space="0"/>
              <w:left w:val="single" w:color="auto" w:sz="4" w:space="0"/>
              <w:right w:val="single" w:color="auto" w:sz="4" w:space="0"/>
            </w:tcBorders>
            <w:noWrap w:val="0"/>
            <w:vAlign w:val="center"/>
          </w:tcPr>
          <w:p w14:paraId="4D5DB7F5">
            <w:pPr>
              <w:jc w:val="center"/>
              <w:rPr>
                <w:rFonts w:hint="eastAsia"/>
                <w:lang w:eastAsia="zh-CN"/>
              </w:rPr>
            </w:pPr>
            <w:r>
              <w:rPr>
                <w:rFonts w:hint="eastAsia"/>
                <w:lang w:val="en-US" w:eastAsia="zh-CN"/>
              </w:rPr>
              <w:t>EPIQ7C</w:t>
            </w:r>
          </w:p>
        </w:tc>
        <w:tc>
          <w:tcPr>
            <w:tcW w:w="1231" w:type="dxa"/>
            <w:vMerge w:val="restart"/>
            <w:tcBorders>
              <w:top w:val="single" w:color="auto" w:sz="4" w:space="0"/>
              <w:left w:val="single" w:color="auto" w:sz="4" w:space="0"/>
              <w:right w:val="single" w:color="auto" w:sz="4" w:space="0"/>
            </w:tcBorders>
            <w:noWrap w:val="0"/>
            <w:vAlign w:val="center"/>
          </w:tcPr>
          <w:p w14:paraId="13928790">
            <w:pPr>
              <w:jc w:val="center"/>
              <w:rPr>
                <w:rFonts w:hint="eastAsia"/>
                <w:lang w:eastAsia="zh-CN"/>
              </w:rPr>
            </w:pPr>
            <w:r>
              <w:rPr>
                <w:rFonts w:hint="eastAsia"/>
                <w:lang w:val="en-US" w:eastAsia="zh-CN"/>
              </w:rPr>
              <w:t>US417B1128</w:t>
            </w:r>
            <w:r>
              <w:rPr>
                <w:rFonts w:hint="eastAsia"/>
                <w:lang w:eastAsia="zh-CN"/>
              </w:rPr>
              <w:t xml:space="preserve">  </w:t>
            </w:r>
          </w:p>
        </w:tc>
        <w:tc>
          <w:tcPr>
            <w:tcW w:w="1020" w:type="dxa"/>
            <w:vMerge w:val="restart"/>
            <w:tcBorders>
              <w:top w:val="single" w:color="auto" w:sz="4" w:space="0"/>
              <w:left w:val="single" w:color="auto" w:sz="4" w:space="0"/>
              <w:right w:val="single" w:color="auto" w:sz="4" w:space="0"/>
            </w:tcBorders>
            <w:noWrap w:val="0"/>
            <w:vAlign w:val="center"/>
          </w:tcPr>
          <w:p w14:paraId="6B8FD1C5">
            <w:pPr>
              <w:jc w:val="center"/>
              <w:rPr>
                <w:rFonts w:hint="eastAsia"/>
                <w:lang w:eastAsia="zh-CN"/>
              </w:rPr>
            </w:pPr>
            <w:r>
              <w:rPr>
                <w:rFonts w:hint="eastAsia"/>
                <w:lang w:val="en-US" w:eastAsia="zh-CN"/>
              </w:rPr>
              <w:t>飞利浦</w:t>
            </w:r>
          </w:p>
        </w:tc>
        <w:tc>
          <w:tcPr>
            <w:tcW w:w="1275" w:type="dxa"/>
            <w:tcBorders>
              <w:top w:val="single" w:color="auto" w:sz="4" w:space="0"/>
              <w:left w:val="nil"/>
              <w:bottom w:val="single" w:color="auto" w:sz="4" w:space="0"/>
              <w:right w:val="single" w:color="auto" w:sz="4" w:space="0"/>
            </w:tcBorders>
            <w:noWrap/>
            <w:vAlign w:val="center"/>
          </w:tcPr>
          <w:p w14:paraId="085E2BF3">
            <w:pPr>
              <w:jc w:val="center"/>
              <w:rPr>
                <w:rFonts w:hint="eastAsia"/>
                <w:lang w:val="en-US" w:eastAsia="zh-CN"/>
              </w:rPr>
            </w:pPr>
            <w:r>
              <w:rPr>
                <w:rFonts w:hint="eastAsia"/>
                <w:lang w:val="en-US" w:eastAsia="zh-CN"/>
              </w:rPr>
              <w:t>S8-3</w:t>
            </w:r>
          </w:p>
        </w:tc>
        <w:tc>
          <w:tcPr>
            <w:tcW w:w="1714" w:type="dxa"/>
            <w:tcBorders>
              <w:top w:val="single" w:color="auto" w:sz="4" w:space="0"/>
              <w:left w:val="nil"/>
              <w:bottom w:val="single" w:color="auto" w:sz="4" w:space="0"/>
              <w:right w:val="single" w:color="auto" w:sz="4" w:space="0"/>
            </w:tcBorders>
            <w:noWrap/>
            <w:vAlign w:val="center"/>
          </w:tcPr>
          <w:p w14:paraId="05B5CD30">
            <w:pPr>
              <w:jc w:val="center"/>
              <w:rPr>
                <w:rFonts w:hint="eastAsia"/>
                <w:lang w:val="en-US" w:eastAsia="zh-CN"/>
              </w:rPr>
            </w:pPr>
            <w:r>
              <w:rPr>
                <w:rFonts w:hint="eastAsia"/>
                <w:lang w:val="en-US" w:eastAsia="zh-CN"/>
              </w:rPr>
              <w:t>B20F6W</w:t>
            </w:r>
          </w:p>
        </w:tc>
      </w:tr>
      <w:tr w14:paraId="2B63F3DE">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right w:val="single" w:color="auto" w:sz="4" w:space="0"/>
            </w:tcBorders>
            <w:noWrap w:val="0"/>
            <w:vAlign w:val="center"/>
          </w:tcPr>
          <w:p w14:paraId="118A7C6F">
            <w:pPr>
              <w:jc w:val="center"/>
            </w:pPr>
          </w:p>
        </w:tc>
        <w:tc>
          <w:tcPr>
            <w:tcW w:w="1575" w:type="dxa"/>
            <w:vMerge w:val="continue"/>
            <w:tcBorders>
              <w:left w:val="single" w:color="auto" w:sz="4" w:space="0"/>
              <w:right w:val="single" w:color="auto" w:sz="4" w:space="0"/>
            </w:tcBorders>
            <w:noWrap w:val="0"/>
            <w:vAlign w:val="center"/>
          </w:tcPr>
          <w:p w14:paraId="60B88303">
            <w:pPr>
              <w:jc w:val="center"/>
              <w:rPr>
                <w:rFonts w:hint="eastAsia"/>
                <w:lang w:eastAsia="zh-CN"/>
              </w:rPr>
            </w:pPr>
          </w:p>
        </w:tc>
        <w:tc>
          <w:tcPr>
            <w:tcW w:w="959" w:type="dxa"/>
            <w:vMerge w:val="continue"/>
            <w:tcBorders>
              <w:left w:val="single" w:color="auto" w:sz="4" w:space="0"/>
              <w:right w:val="single" w:color="auto" w:sz="4" w:space="0"/>
            </w:tcBorders>
            <w:noWrap w:val="0"/>
            <w:vAlign w:val="center"/>
          </w:tcPr>
          <w:p w14:paraId="02D2BFDA">
            <w:pPr>
              <w:jc w:val="center"/>
              <w:rPr>
                <w:rFonts w:hint="eastAsia"/>
                <w:lang w:eastAsia="zh-CN"/>
              </w:rPr>
            </w:pPr>
          </w:p>
        </w:tc>
        <w:tc>
          <w:tcPr>
            <w:tcW w:w="1231" w:type="dxa"/>
            <w:vMerge w:val="continue"/>
            <w:tcBorders>
              <w:left w:val="single" w:color="auto" w:sz="4" w:space="0"/>
              <w:right w:val="single" w:color="auto" w:sz="4" w:space="0"/>
            </w:tcBorders>
            <w:noWrap w:val="0"/>
            <w:vAlign w:val="center"/>
          </w:tcPr>
          <w:p w14:paraId="7CCB4AC9">
            <w:pPr>
              <w:jc w:val="center"/>
              <w:rPr>
                <w:rFonts w:hint="eastAsia"/>
                <w:lang w:eastAsia="zh-CN"/>
              </w:rPr>
            </w:pPr>
          </w:p>
        </w:tc>
        <w:tc>
          <w:tcPr>
            <w:tcW w:w="1020" w:type="dxa"/>
            <w:vMerge w:val="continue"/>
            <w:tcBorders>
              <w:left w:val="single" w:color="auto" w:sz="4" w:space="0"/>
              <w:right w:val="single" w:color="auto" w:sz="4" w:space="0"/>
            </w:tcBorders>
            <w:noWrap w:val="0"/>
            <w:vAlign w:val="center"/>
          </w:tcPr>
          <w:p w14:paraId="01F1CE96">
            <w:pPr>
              <w:jc w:val="center"/>
              <w:rPr>
                <w:rFonts w:hint="eastAsia"/>
                <w:lang w:eastAsia="zh-CN"/>
              </w:rPr>
            </w:pPr>
          </w:p>
        </w:tc>
        <w:tc>
          <w:tcPr>
            <w:tcW w:w="1275" w:type="dxa"/>
            <w:tcBorders>
              <w:top w:val="single" w:color="auto" w:sz="4" w:space="0"/>
              <w:left w:val="nil"/>
              <w:bottom w:val="single" w:color="auto" w:sz="4" w:space="0"/>
              <w:right w:val="single" w:color="auto" w:sz="4" w:space="0"/>
            </w:tcBorders>
            <w:noWrap/>
            <w:vAlign w:val="center"/>
          </w:tcPr>
          <w:p w14:paraId="55F84E17">
            <w:pPr>
              <w:jc w:val="center"/>
              <w:rPr>
                <w:rFonts w:hint="eastAsia"/>
                <w:lang w:val="en-US" w:eastAsia="zh-CN"/>
              </w:rPr>
            </w:pPr>
            <w:r>
              <w:rPr>
                <w:rFonts w:hint="eastAsia"/>
                <w:lang w:val="en-US" w:eastAsia="zh-CN"/>
              </w:rPr>
              <w:t>S5-1</w:t>
            </w:r>
          </w:p>
        </w:tc>
        <w:tc>
          <w:tcPr>
            <w:tcW w:w="1714" w:type="dxa"/>
            <w:tcBorders>
              <w:top w:val="single" w:color="auto" w:sz="4" w:space="0"/>
              <w:left w:val="nil"/>
              <w:bottom w:val="single" w:color="auto" w:sz="4" w:space="0"/>
              <w:right w:val="single" w:color="auto" w:sz="4" w:space="0"/>
            </w:tcBorders>
            <w:noWrap/>
            <w:vAlign w:val="center"/>
          </w:tcPr>
          <w:p w14:paraId="085DE3AC">
            <w:pPr>
              <w:jc w:val="center"/>
              <w:rPr>
                <w:rFonts w:hint="eastAsia"/>
                <w:lang w:val="en-US" w:eastAsia="zh-CN"/>
              </w:rPr>
            </w:pPr>
            <w:r>
              <w:rPr>
                <w:rFonts w:hint="eastAsia"/>
                <w:lang w:val="en-US" w:eastAsia="zh-CN"/>
              </w:rPr>
              <w:t>B21QWX</w:t>
            </w:r>
          </w:p>
        </w:tc>
      </w:tr>
      <w:tr w14:paraId="2DFC592D">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right w:val="single" w:color="auto" w:sz="4" w:space="0"/>
            </w:tcBorders>
            <w:noWrap w:val="0"/>
            <w:vAlign w:val="center"/>
          </w:tcPr>
          <w:p w14:paraId="66EDA58B">
            <w:pPr>
              <w:jc w:val="center"/>
              <w:rPr>
                <w:rFonts w:hint="eastAsia"/>
                <w:lang w:eastAsia="zh-CN"/>
              </w:rPr>
            </w:pPr>
          </w:p>
        </w:tc>
        <w:tc>
          <w:tcPr>
            <w:tcW w:w="1575" w:type="dxa"/>
            <w:vMerge w:val="continue"/>
            <w:tcBorders>
              <w:left w:val="single" w:color="auto" w:sz="4" w:space="0"/>
              <w:right w:val="single" w:color="auto" w:sz="4" w:space="0"/>
            </w:tcBorders>
            <w:noWrap w:val="0"/>
            <w:vAlign w:val="center"/>
          </w:tcPr>
          <w:p w14:paraId="17D6D7C6">
            <w:pPr>
              <w:jc w:val="center"/>
              <w:rPr>
                <w:rFonts w:hint="eastAsia"/>
                <w:lang w:eastAsia="zh-CN"/>
              </w:rPr>
            </w:pPr>
          </w:p>
        </w:tc>
        <w:tc>
          <w:tcPr>
            <w:tcW w:w="959" w:type="dxa"/>
            <w:vMerge w:val="continue"/>
            <w:tcBorders>
              <w:left w:val="single" w:color="auto" w:sz="4" w:space="0"/>
              <w:right w:val="single" w:color="auto" w:sz="4" w:space="0"/>
            </w:tcBorders>
            <w:noWrap w:val="0"/>
            <w:vAlign w:val="center"/>
          </w:tcPr>
          <w:p w14:paraId="71335CAA">
            <w:pPr>
              <w:jc w:val="center"/>
              <w:rPr>
                <w:rFonts w:hint="eastAsia"/>
                <w:lang w:eastAsia="zh-CN"/>
              </w:rPr>
            </w:pPr>
          </w:p>
        </w:tc>
        <w:tc>
          <w:tcPr>
            <w:tcW w:w="1231" w:type="dxa"/>
            <w:vMerge w:val="continue"/>
            <w:tcBorders>
              <w:left w:val="single" w:color="auto" w:sz="4" w:space="0"/>
              <w:right w:val="single" w:color="auto" w:sz="4" w:space="0"/>
            </w:tcBorders>
            <w:noWrap w:val="0"/>
            <w:vAlign w:val="center"/>
          </w:tcPr>
          <w:p w14:paraId="17636A0A">
            <w:pPr>
              <w:jc w:val="center"/>
              <w:rPr>
                <w:rFonts w:hint="eastAsia"/>
                <w:lang w:eastAsia="zh-CN"/>
              </w:rPr>
            </w:pPr>
          </w:p>
        </w:tc>
        <w:tc>
          <w:tcPr>
            <w:tcW w:w="1020" w:type="dxa"/>
            <w:vMerge w:val="continue"/>
            <w:tcBorders>
              <w:left w:val="single" w:color="auto" w:sz="4" w:space="0"/>
              <w:right w:val="single" w:color="auto" w:sz="4" w:space="0"/>
            </w:tcBorders>
            <w:noWrap w:val="0"/>
            <w:vAlign w:val="center"/>
          </w:tcPr>
          <w:p w14:paraId="12E610A8">
            <w:pPr>
              <w:jc w:val="center"/>
              <w:rPr>
                <w:rFonts w:hint="eastAsia"/>
                <w:lang w:eastAsia="zh-CN"/>
              </w:rPr>
            </w:pPr>
          </w:p>
        </w:tc>
        <w:tc>
          <w:tcPr>
            <w:tcW w:w="1275" w:type="dxa"/>
            <w:tcBorders>
              <w:top w:val="single" w:color="auto" w:sz="4" w:space="0"/>
              <w:left w:val="nil"/>
              <w:bottom w:val="single" w:color="auto" w:sz="4" w:space="0"/>
              <w:right w:val="single" w:color="auto" w:sz="4" w:space="0"/>
            </w:tcBorders>
            <w:noWrap/>
            <w:vAlign w:val="center"/>
          </w:tcPr>
          <w:p w14:paraId="4E30D1B6">
            <w:pPr>
              <w:jc w:val="center"/>
              <w:rPr>
                <w:rFonts w:hint="eastAsia"/>
                <w:lang w:val="en-US" w:eastAsia="zh-CN"/>
              </w:rPr>
            </w:pPr>
            <w:r>
              <w:rPr>
                <w:rFonts w:hint="eastAsia"/>
                <w:lang w:val="en-US" w:eastAsia="zh-CN"/>
              </w:rPr>
              <w:t>C5-1</w:t>
            </w:r>
          </w:p>
        </w:tc>
        <w:tc>
          <w:tcPr>
            <w:tcW w:w="1714" w:type="dxa"/>
            <w:tcBorders>
              <w:top w:val="single" w:color="auto" w:sz="4" w:space="0"/>
              <w:left w:val="nil"/>
              <w:bottom w:val="single" w:color="auto" w:sz="4" w:space="0"/>
              <w:right w:val="single" w:color="auto" w:sz="4" w:space="0"/>
            </w:tcBorders>
            <w:noWrap/>
            <w:vAlign w:val="center"/>
          </w:tcPr>
          <w:p w14:paraId="02FBC4D1">
            <w:pPr>
              <w:jc w:val="center"/>
              <w:rPr>
                <w:rFonts w:hint="eastAsia"/>
                <w:lang w:val="en-US" w:eastAsia="zh-CN"/>
              </w:rPr>
            </w:pPr>
            <w:r>
              <w:rPr>
                <w:rFonts w:hint="eastAsia"/>
                <w:lang w:val="en-US" w:eastAsia="zh-CN"/>
              </w:rPr>
              <w:t>F05MTP</w:t>
            </w:r>
          </w:p>
        </w:tc>
      </w:tr>
      <w:tr w14:paraId="12F6B894">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bottom w:val="single" w:color="auto" w:sz="4" w:space="0"/>
              <w:right w:val="single" w:color="auto" w:sz="4" w:space="0"/>
            </w:tcBorders>
            <w:noWrap w:val="0"/>
            <w:vAlign w:val="center"/>
          </w:tcPr>
          <w:p w14:paraId="5CDCC28C">
            <w:pPr>
              <w:jc w:val="center"/>
              <w:rPr>
                <w:rFonts w:hint="eastAsia"/>
                <w:lang w:eastAsia="zh-CN"/>
              </w:rPr>
            </w:pPr>
          </w:p>
        </w:tc>
        <w:tc>
          <w:tcPr>
            <w:tcW w:w="1575" w:type="dxa"/>
            <w:vMerge w:val="continue"/>
            <w:tcBorders>
              <w:left w:val="single" w:color="auto" w:sz="4" w:space="0"/>
              <w:bottom w:val="single" w:color="auto" w:sz="4" w:space="0"/>
              <w:right w:val="single" w:color="auto" w:sz="4" w:space="0"/>
            </w:tcBorders>
            <w:noWrap w:val="0"/>
            <w:vAlign w:val="center"/>
          </w:tcPr>
          <w:p w14:paraId="741D945D">
            <w:pPr>
              <w:jc w:val="center"/>
              <w:rPr>
                <w:rFonts w:hint="eastAsia"/>
                <w:lang w:eastAsia="zh-CN"/>
              </w:rPr>
            </w:pPr>
          </w:p>
        </w:tc>
        <w:tc>
          <w:tcPr>
            <w:tcW w:w="959" w:type="dxa"/>
            <w:vMerge w:val="continue"/>
            <w:tcBorders>
              <w:left w:val="single" w:color="auto" w:sz="4" w:space="0"/>
              <w:bottom w:val="single" w:color="auto" w:sz="4" w:space="0"/>
              <w:right w:val="single" w:color="auto" w:sz="4" w:space="0"/>
            </w:tcBorders>
            <w:noWrap w:val="0"/>
            <w:vAlign w:val="center"/>
          </w:tcPr>
          <w:p w14:paraId="3C4B6770">
            <w:pPr>
              <w:jc w:val="center"/>
              <w:rPr>
                <w:rFonts w:hint="eastAsia"/>
                <w:lang w:eastAsia="zh-CN"/>
              </w:rPr>
            </w:pPr>
          </w:p>
        </w:tc>
        <w:tc>
          <w:tcPr>
            <w:tcW w:w="1231" w:type="dxa"/>
            <w:vMerge w:val="continue"/>
            <w:tcBorders>
              <w:left w:val="single" w:color="auto" w:sz="4" w:space="0"/>
              <w:bottom w:val="single" w:color="auto" w:sz="4" w:space="0"/>
              <w:right w:val="single" w:color="auto" w:sz="4" w:space="0"/>
            </w:tcBorders>
            <w:noWrap w:val="0"/>
            <w:vAlign w:val="center"/>
          </w:tcPr>
          <w:p w14:paraId="3EE11AD4">
            <w:pPr>
              <w:jc w:val="center"/>
              <w:rPr>
                <w:rFonts w:hint="eastAsia"/>
                <w:lang w:eastAsia="zh-CN"/>
              </w:rPr>
            </w:pPr>
          </w:p>
        </w:tc>
        <w:tc>
          <w:tcPr>
            <w:tcW w:w="1020" w:type="dxa"/>
            <w:vMerge w:val="continue"/>
            <w:tcBorders>
              <w:left w:val="single" w:color="auto" w:sz="4" w:space="0"/>
              <w:bottom w:val="single" w:color="auto" w:sz="4" w:space="0"/>
              <w:right w:val="single" w:color="auto" w:sz="4" w:space="0"/>
            </w:tcBorders>
            <w:noWrap w:val="0"/>
            <w:vAlign w:val="center"/>
          </w:tcPr>
          <w:p w14:paraId="2FC796AD">
            <w:pPr>
              <w:jc w:val="center"/>
              <w:rPr>
                <w:rFonts w:hint="eastAsia"/>
                <w:lang w:eastAsia="zh-CN"/>
              </w:rPr>
            </w:pPr>
          </w:p>
        </w:tc>
        <w:tc>
          <w:tcPr>
            <w:tcW w:w="1275" w:type="dxa"/>
            <w:tcBorders>
              <w:top w:val="single" w:color="auto" w:sz="4" w:space="0"/>
              <w:left w:val="nil"/>
              <w:bottom w:val="single" w:color="auto" w:sz="4" w:space="0"/>
              <w:right w:val="single" w:color="auto" w:sz="4" w:space="0"/>
            </w:tcBorders>
            <w:noWrap/>
            <w:vAlign w:val="center"/>
          </w:tcPr>
          <w:p w14:paraId="3207BDA5">
            <w:pPr>
              <w:jc w:val="center"/>
              <w:rPr>
                <w:rFonts w:hint="eastAsia"/>
                <w:lang w:val="en-US" w:eastAsia="zh-CN"/>
              </w:rPr>
            </w:pPr>
            <w:r>
              <w:rPr>
                <w:rFonts w:hint="eastAsia"/>
                <w:lang w:val="en-US" w:eastAsia="zh-CN"/>
              </w:rPr>
              <w:t>L12-3</w:t>
            </w:r>
          </w:p>
        </w:tc>
        <w:tc>
          <w:tcPr>
            <w:tcW w:w="1714" w:type="dxa"/>
            <w:tcBorders>
              <w:top w:val="single" w:color="auto" w:sz="4" w:space="0"/>
              <w:left w:val="nil"/>
              <w:bottom w:val="single" w:color="auto" w:sz="4" w:space="0"/>
              <w:right w:val="single" w:color="auto" w:sz="4" w:space="0"/>
            </w:tcBorders>
            <w:noWrap/>
            <w:vAlign w:val="center"/>
          </w:tcPr>
          <w:p w14:paraId="6F0110C3">
            <w:pPr>
              <w:jc w:val="center"/>
              <w:rPr>
                <w:rFonts w:hint="eastAsia"/>
                <w:lang w:val="en-US" w:eastAsia="zh-CN"/>
              </w:rPr>
            </w:pPr>
            <w:r>
              <w:rPr>
                <w:rFonts w:hint="eastAsia"/>
                <w:lang w:val="en-US" w:eastAsia="zh-CN"/>
              </w:rPr>
              <w:t>B23NOH</w:t>
            </w:r>
          </w:p>
        </w:tc>
      </w:tr>
      <w:tr w14:paraId="51CF4E90">
        <w:tblPrEx>
          <w:tblCellMar>
            <w:top w:w="0" w:type="dxa"/>
            <w:left w:w="108" w:type="dxa"/>
            <w:bottom w:w="0" w:type="dxa"/>
            <w:right w:w="108" w:type="dxa"/>
          </w:tblCellMar>
        </w:tblPrEx>
        <w:trPr>
          <w:trHeight w:val="156" w:hRule="atLeast"/>
          <w:jc w:val="center"/>
        </w:trPr>
        <w:tc>
          <w:tcPr>
            <w:tcW w:w="750" w:type="dxa"/>
            <w:vMerge w:val="restart"/>
            <w:tcBorders>
              <w:top w:val="single" w:color="auto" w:sz="4" w:space="0"/>
              <w:left w:val="single" w:color="auto" w:sz="4" w:space="0"/>
              <w:right w:val="single" w:color="auto" w:sz="4" w:space="0"/>
            </w:tcBorders>
            <w:noWrap w:val="0"/>
            <w:vAlign w:val="center"/>
          </w:tcPr>
          <w:p w14:paraId="7084D761">
            <w:pPr>
              <w:jc w:val="center"/>
              <w:rPr>
                <w:rFonts w:hint="default"/>
                <w:lang w:val="en-US" w:eastAsia="zh-CN"/>
              </w:rPr>
            </w:pPr>
            <w:r>
              <w:rPr>
                <w:rFonts w:hint="eastAsia"/>
                <w:lang w:val="en-US" w:eastAsia="zh-CN"/>
              </w:rPr>
              <w:t>3</w:t>
            </w:r>
          </w:p>
        </w:tc>
        <w:tc>
          <w:tcPr>
            <w:tcW w:w="1575" w:type="dxa"/>
            <w:vMerge w:val="restart"/>
            <w:tcBorders>
              <w:top w:val="single" w:color="auto" w:sz="4" w:space="0"/>
              <w:left w:val="single" w:color="auto" w:sz="4" w:space="0"/>
              <w:right w:val="single" w:color="auto" w:sz="4" w:space="0"/>
            </w:tcBorders>
            <w:noWrap w:val="0"/>
            <w:vAlign w:val="center"/>
          </w:tcPr>
          <w:p w14:paraId="42656B4A">
            <w:pPr>
              <w:jc w:val="center"/>
              <w:rPr>
                <w:rFonts w:hint="eastAsia"/>
                <w:lang w:val="en-US" w:eastAsia="zh-CN"/>
              </w:rPr>
            </w:pPr>
            <w:r>
              <w:rPr>
                <w:rFonts w:hint="eastAsia"/>
                <w:lang w:val="en-US" w:eastAsia="zh-CN"/>
              </w:rPr>
              <w:t>彩色多普勒超声诊断系统</w:t>
            </w:r>
          </w:p>
        </w:tc>
        <w:tc>
          <w:tcPr>
            <w:tcW w:w="959" w:type="dxa"/>
            <w:vMerge w:val="restart"/>
            <w:tcBorders>
              <w:top w:val="single" w:color="auto" w:sz="4" w:space="0"/>
              <w:left w:val="single" w:color="auto" w:sz="4" w:space="0"/>
              <w:right w:val="single" w:color="auto" w:sz="4" w:space="0"/>
            </w:tcBorders>
            <w:noWrap w:val="0"/>
            <w:vAlign w:val="center"/>
          </w:tcPr>
          <w:p w14:paraId="6FBA6A13">
            <w:pPr>
              <w:jc w:val="center"/>
              <w:rPr>
                <w:rFonts w:hint="eastAsia"/>
                <w:lang w:val="en-US" w:eastAsia="zh-CN"/>
              </w:rPr>
            </w:pPr>
            <w:r>
              <w:rPr>
                <w:rFonts w:hint="eastAsia"/>
                <w:lang w:val="en-US" w:eastAsia="zh-CN"/>
              </w:rPr>
              <w:t>DC-80</w:t>
            </w:r>
          </w:p>
        </w:tc>
        <w:tc>
          <w:tcPr>
            <w:tcW w:w="1231" w:type="dxa"/>
            <w:vMerge w:val="restart"/>
            <w:tcBorders>
              <w:top w:val="single" w:color="auto" w:sz="4" w:space="0"/>
              <w:left w:val="single" w:color="auto" w:sz="4" w:space="0"/>
              <w:right w:val="single" w:color="auto" w:sz="4" w:space="0"/>
            </w:tcBorders>
            <w:noWrap w:val="0"/>
            <w:vAlign w:val="center"/>
          </w:tcPr>
          <w:p w14:paraId="4CFFE17A">
            <w:pPr>
              <w:jc w:val="center"/>
              <w:rPr>
                <w:rFonts w:hint="eastAsia"/>
                <w:lang w:val="en-US" w:eastAsia="zh-CN"/>
              </w:rPr>
            </w:pPr>
            <w:r>
              <w:rPr>
                <w:rFonts w:hint="eastAsia"/>
                <w:lang w:val="en-US" w:eastAsia="zh-CN"/>
              </w:rPr>
              <w:t>CB4-87000314</w:t>
            </w:r>
          </w:p>
        </w:tc>
        <w:tc>
          <w:tcPr>
            <w:tcW w:w="1020" w:type="dxa"/>
            <w:vMerge w:val="restart"/>
            <w:tcBorders>
              <w:top w:val="single" w:color="auto" w:sz="4" w:space="0"/>
              <w:left w:val="single" w:color="auto" w:sz="4" w:space="0"/>
              <w:right w:val="single" w:color="auto" w:sz="4" w:space="0"/>
            </w:tcBorders>
            <w:noWrap w:val="0"/>
            <w:vAlign w:val="center"/>
          </w:tcPr>
          <w:p w14:paraId="37722626">
            <w:pPr>
              <w:jc w:val="center"/>
              <w:rPr>
                <w:rFonts w:hint="eastAsia"/>
                <w:lang w:val="en-US" w:eastAsia="zh-CN"/>
              </w:rPr>
            </w:pPr>
            <w:r>
              <w:rPr>
                <w:rFonts w:hint="eastAsia"/>
                <w:lang w:val="en-US" w:eastAsia="zh-CN"/>
              </w:rPr>
              <w:t>迈瑞</w:t>
            </w:r>
          </w:p>
        </w:tc>
        <w:tc>
          <w:tcPr>
            <w:tcW w:w="1275" w:type="dxa"/>
            <w:tcBorders>
              <w:top w:val="single" w:color="auto" w:sz="4" w:space="0"/>
              <w:left w:val="single" w:color="auto" w:sz="4" w:space="0"/>
              <w:bottom w:val="single" w:color="auto" w:sz="4" w:space="0"/>
              <w:right w:val="single" w:color="auto" w:sz="4" w:space="0"/>
            </w:tcBorders>
            <w:noWrap/>
            <w:vAlign w:val="center"/>
          </w:tcPr>
          <w:p w14:paraId="12FE505E">
            <w:pPr>
              <w:jc w:val="center"/>
              <w:rPr>
                <w:rFonts w:hint="eastAsia"/>
                <w:lang w:val="en-US" w:eastAsia="zh-CN"/>
              </w:rPr>
            </w:pPr>
            <w:r>
              <w:rPr>
                <w:rFonts w:hint="eastAsia"/>
                <w:lang w:val="en-US" w:eastAsia="zh-CN"/>
              </w:rPr>
              <w:t>V11-3e</w:t>
            </w:r>
          </w:p>
        </w:tc>
        <w:tc>
          <w:tcPr>
            <w:tcW w:w="1714" w:type="dxa"/>
            <w:tcBorders>
              <w:top w:val="single" w:color="auto" w:sz="4" w:space="0"/>
              <w:left w:val="single" w:color="auto" w:sz="4" w:space="0"/>
              <w:bottom w:val="single" w:color="auto" w:sz="4" w:space="0"/>
              <w:right w:val="single" w:color="auto" w:sz="4" w:space="0"/>
            </w:tcBorders>
            <w:noWrap/>
            <w:vAlign w:val="center"/>
          </w:tcPr>
          <w:p w14:paraId="764A4726">
            <w:pPr>
              <w:jc w:val="center"/>
              <w:rPr>
                <w:rFonts w:hint="eastAsia"/>
                <w:lang w:val="en-US" w:eastAsia="zh-CN"/>
              </w:rPr>
            </w:pPr>
            <w:r>
              <w:rPr>
                <w:rFonts w:hint="eastAsia"/>
                <w:lang w:val="en-US" w:eastAsia="zh-CN"/>
              </w:rPr>
              <w:t>VV12052814</w:t>
            </w:r>
          </w:p>
        </w:tc>
      </w:tr>
      <w:tr w14:paraId="48B4F624">
        <w:tblPrEx>
          <w:tblCellMar>
            <w:top w:w="0" w:type="dxa"/>
            <w:left w:w="108" w:type="dxa"/>
            <w:bottom w:w="0" w:type="dxa"/>
            <w:right w:w="108" w:type="dxa"/>
          </w:tblCellMar>
        </w:tblPrEx>
        <w:trPr>
          <w:trHeight w:val="156" w:hRule="atLeast"/>
          <w:jc w:val="center"/>
        </w:trPr>
        <w:tc>
          <w:tcPr>
            <w:tcW w:w="750" w:type="dxa"/>
            <w:vMerge w:val="continue"/>
            <w:tcBorders>
              <w:left w:val="single" w:color="auto" w:sz="4" w:space="0"/>
              <w:right w:val="single" w:color="auto" w:sz="4" w:space="0"/>
            </w:tcBorders>
            <w:noWrap w:val="0"/>
            <w:vAlign w:val="center"/>
          </w:tcPr>
          <w:p w14:paraId="31F15449">
            <w:pPr>
              <w:jc w:val="center"/>
            </w:pPr>
          </w:p>
        </w:tc>
        <w:tc>
          <w:tcPr>
            <w:tcW w:w="1575" w:type="dxa"/>
            <w:vMerge w:val="continue"/>
            <w:tcBorders>
              <w:left w:val="single" w:color="auto" w:sz="4" w:space="0"/>
              <w:right w:val="single" w:color="auto" w:sz="4" w:space="0"/>
            </w:tcBorders>
            <w:noWrap w:val="0"/>
            <w:vAlign w:val="center"/>
          </w:tcPr>
          <w:p w14:paraId="1792781C">
            <w:pPr>
              <w:jc w:val="center"/>
            </w:pPr>
          </w:p>
        </w:tc>
        <w:tc>
          <w:tcPr>
            <w:tcW w:w="959" w:type="dxa"/>
            <w:vMerge w:val="continue"/>
            <w:tcBorders>
              <w:left w:val="single" w:color="auto" w:sz="4" w:space="0"/>
              <w:right w:val="single" w:color="auto" w:sz="4" w:space="0"/>
            </w:tcBorders>
            <w:noWrap w:val="0"/>
            <w:vAlign w:val="center"/>
          </w:tcPr>
          <w:p w14:paraId="59D03529">
            <w:pPr>
              <w:jc w:val="center"/>
            </w:pPr>
          </w:p>
        </w:tc>
        <w:tc>
          <w:tcPr>
            <w:tcW w:w="1231" w:type="dxa"/>
            <w:vMerge w:val="continue"/>
            <w:tcBorders>
              <w:left w:val="single" w:color="auto" w:sz="4" w:space="0"/>
              <w:right w:val="single" w:color="auto" w:sz="4" w:space="0"/>
            </w:tcBorders>
            <w:noWrap w:val="0"/>
            <w:vAlign w:val="center"/>
          </w:tcPr>
          <w:p w14:paraId="2224FCE6">
            <w:pPr>
              <w:jc w:val="center"/>
            </w:pPr>
          </w:p>
        </w:tc>
        <w:tc>
          <w:tcPr>
            <w:tcW w:w="1020" w:type="dxa"/>
            <w:vMerge w:val="continue"/>
            <w:tcBorders>
              <w:left w:val="single" w:color="auto" w:sz="4" w:space="0"/>
              <w:right w:val="single" w:color="auto" w:sz="4" w:space="0"/>
            </w:tcBorders>
            <w:noWrap w:val="0"/>
            <w:vAlign w:val="center"/>
          </w:tcPr>
          <w:p w14:paraId="0D59CC34">
            <w:pPr>
              <w:jc w:val="center"/>
            </w:pPr>
          </w:p>
        </w:tc>
        <w:tc>
          <w:tcPr>
            <w:tcW w:w="1275" w:type="dxa"/>
            <w:tcBorders>
              <w:top w:val="single" w:color="auto" w:sz="4" w:space="0"/>
              <w:left w:val="single" w:color="auto" w:sz="4" w:space="0"/>
              <w:bottom w:val="single" w:color="auto" w:sz="4" w:space="0"/>
              <w:right w:val="single" w:color="auto" w:sz="4" w:space="0"/>
            </w:tcBorders>
            <w:noWrap/>
            <w:vAlign w:val="center"/>
          </w:tcPr>
          <w:p w14:paraId="0AFB1DA3">
            <w:pPr>
              <w:jc w:val="center"/>
              <w:rPr>
                <w:rFonts w:hint="eastAsia"/>
                <w:lang w:val="en-US" w:eastAsia="zh-CN"/>
              </w:rPr>
            </w:pPr>
            <w:r>
              <w:rPr>
                <w:rFonts w:hint="eastAsia"/>
                <w:lang w:val="en-US" w:eastAsia="zh-CN"/>
              </w:rPr>
              <w:t>SP5-1E</w:t>
            </w:r>
          </w:p>
        </w:tc>
        <w:tc>
          <w:tcPr>
            <w:tcW w:w="1714" w:type="dxa"/>
            <w:tcBorders>
              <w:top w:val="single" w:color="auto" w:sz="4" w:space="0"/>
              <w:left w:val="single" w:color="auto" w:sz="4" w:space="0"/>
              <w:bottom w:val="single" w:color="auto" w:sz="4" w:space="0"/>
              <w:right w:val="single" w:color="auto" w:sz="4" w:space="0"/>
            </w:tcBorders>
            <w:noWrap/>
            <w:vAlign w:val="center"/>
          </w:tcPr>
          <w:p w14:paraId="252877C1">
            <w:pPr>
              <w:jc w:val="center"/>
              <w:rPr>
                <w:rFonts w:hint="eastAsia"/>
                <w:lang w:val="en-US" w:eastAsia="zh-CN"/>
              </w:rPr>
            </w:pPr>
            <w:r>
              <w:rPr>
                <w:rFonts w:hint="eastAsia"/>
                <w:lang w:val="en-US" w:eastAsia="zh-CN"/>
              </w:rPr>
              <w:t>9SG86012739</w:t>
            </w:r>
          </w:p>
        </w:tc>
      </w:tr>
      <w:tr w14:paraId="31CDD863">
        <w:tblPrEx>
          <w:tblCellMar>
            <w:top w:w="0" w:type="dxa"/>
            <w:left w:w="108" w:type="dxa"/>
            <w:bottom w:w="0" w:type="dxa"/>
            <w:right w:w="108" w:type="dxa"/>
          </w:tblCellMar>
        </w:tblPrEx>
        <w:trPr>
          <w:trHeight w:val="156" w:hRule="atLeast"/>
          <w:jc w:val="center"/>
        </w:trPr>
        <w:tc>
          <w:tcPr>
            <w:tcW w:w="750" w:type="dxa"/>
            <w:vMerge w:val="continue"/>
            <w:tcBorders>
              <w:left w:val="single" w:color="auto" w:sz="4" w:space="0"/>
              <w:right w:val="single" w:color="auto" w:sz="4" w:space="0"/>
            </w:tcBorders>
            <w:noWrap w:val="0"/>
            <w:vAlign w:val="center"/>
          </w:tcPr>
          <w:p w14:paraId="1F912B90">
            <w:pPr>
              <w:jc w:val="center"/>
              <w:rPr>
                <w:rFonts w:hint="eastAsia"/>
                <w:lang w:eastAsia="zh-CN"/>
              </w:rPr>
            </w:pPr>
          </w:p>
        </w:tc>
        <w:tc>
          <w:tcPr>
            <w:tcW w:w="1575" w:type="dxa"/>
            <w:vMerge w:val="continue"/>
            <w:tcBorders>
              <w:left w:val="single" w:color="auto" w:sz="4" w:space="0"/>
              <w:right w:val="single" w:color="auto" w:sz="4" w:space="0"/>
            </w:tcBorders>
            <w:noWrap w:val="0"/>
            <w:vAlign w:val="center"/>
          </w:tcPr>
          <w:p w14:paraId="6455C097">
            <w:pPr>
              <w:jc w:val="center"/>
              <w:rPr>
                <w:rFonts w:hint="eastAsia"/>
                <w:lang w:eastAsia="zh-CN"/>
              </w:rPr>
            </w:pPr>
          </w:p>
        </w:tc>
        <w:tc>
          <w:tcPr>
            <w:tcW w:w="959" w:type="dxa"/>
            <w:vMerge w:val="continue"/>
            <w:tcBorders>
              <w:left w:val="single" w:color="auto" w:sz="4" w:space="0"/>
              <w:right w:val="single" w:color="auto" w:sz="4" w:space="0"/>
            </w:tcBorders>
            <w:noWrap w:val="0"/>
            <w:vAlign w:val="center"/>
          </w:tcPr>
          <w:p w14:paraId="36B09E25">
            <w:pPr>
              <w:jc w:val="center"/>
              <w:rPr>
                <w:rFonts w:hint="eastAsia"/>
                <w:lang w:eastAsia="zh-CN"/>
              </w:rPr>
            </w:pPr>
          </w:p>
        </w:tc>
        <w:tc>
          <w:tcPr>
            <w:tcW w:w="1231" w:type="dxa"/>
            <w:vMerge w:val="continue"/>
            <w:tcBorders>
              <w:left w:val="single" w:color="auto" w:sz="4" w:space="0"/>
              <w:right w:val="single" w:color="auto" w:sz="4" w:space="0"/>
            </w:tcBorders>
            <w:noWrap w:val="0"/>
            <w:vAlign w:val="center"/>
          </w:tcPr>
          <w:p w14:paraId="2FC4E681">
            <w:pPr>
              <w:jc w:val="center"/>
              <w:rPr>
                <w:rFonts w:hint="eastAsia"/>
                <w:lang w:eastAsia="zh-CN"/>
              </w:rPr>
            </w:pPr>
          </w:p>
        </w:tc>
        <w:tc>
          <w:tcPr>
            <w:tcW w:w="1020" w:type="dxa"/>
            <w:vMerge w:val="continue"/>
            <w:tcBorders>
              <w:left w:val="single" w:color="auto" w:sz="4" w:space="0"/>
              <w:right w:val="single" w:color="auto" w:sz="4" w:space="0"/>
            </w:tcBorders>
            <w:noWrap w:val="0"/>
            <w:vAlign w:val="center"/>
          </w:tcPr>
          <w:p w14:paraId="1666072B">
            <w:pPr>
              <w:jc w:val="center"/>
              <w:rPr>
                <w:rFonts w:hint="eastAsia"/>
                <w:lang w:eastAsia="zh-CN"/>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E95FEE8">
            <w:pPr>
              <w:jc w:val="center"/>
              <w:rPr>
                <w:rFonts w:hint="eastAsia"/>
                <w:lang w:val="en-US" w:eastAsia="zh-CN"/>
              </w:rPr>
            </w:pPr>
            <w:r>
              <w:rPr>
                <w:rFonts w:hint="eastAsia"/>
                <w:lang w:val="en-US" w:eastAsia="zh-CN"/>
              </w:rPr>
              <w:t>L12-3E</w:t>
            </w:r>
          </w:p>
        </w:tc>
        <w:tc>
          <w:tcPr>
            <w:tcW w:w="1714" w:type="dxa"/>
            <w:tcBorders>
              <w:top w:val="single" w:color="auto" w:sz="4" w:space="0"/>
              <w:left w:val="single" w:color="auto" w:sz="4" w:space="0"/>
              <w:bottom w:val="single" w:color="auto" w:sz="4" w:space="0"/>
              <w:right w:val="single" w:color="auto" w:sz="4" w:space="0"/>
            </w:tcBorders>
            <w:noWrap/>
            <w:vAlign w:val="center"/>
          </w:tcPr>
          <w:p w14:paraId="3548CF32">
            <w:pPr>
              <w:jc w:val="center"/>
              <w:rPr>
                <w:rFonts w:hint="eastAsia"/>
                <w:lang w:val="en-US" w:eastAsia="zh-CN"/>
              </w:rPr>
            </w:pPr>
            <w:r>
              <w:rPr>
                <w:rFonts w:hint="eastAsia"/>
                <w:lang w:val="en-US" w:eastAsia="zh-CN"/>
              </w:rPr>
              <w:t>CAYD86049247</w:t>
            </w:r>
          </w:p>
        </w:tc>
      </w:tr>
      <w:tr w14:paraId="08BD6D27">
        <w:tblPrEx>
          <w:tblCellMar>
            <w:top w:w="0" w:type="dxa"/>
            <w:left w:w="108" w:type="dxa"/>
            <w:bottom w:w="0" w:type="dxa"/>
            <w:right w:w="108" w:type="dxa"/>
          </w:tblCellMar>
        </w:tblPrEx>
        <w:trPr>
          <w:trHeight w:val="156" w:hRule="atLeast"/>
          <w:jc w:val="center"/>
        </w:trPr>
        <w:tc>
          <w:tcPr>
            <w:tcW w:w="750" w:type="dxa"/>
            <w:vMerge w:val="continue"/>
            <w:tcBorders>
              <w:left w:val="single" w:color="auto" w:sz="4" w:space="0"/>
              <w:bottom w:val="single" w:color="auto" w:sz="4" w:space="0"/>
              <w:right w:val="single" w:color="auto" w:sz="4" w:space="0"/>
            </w:tcBorders>
            <w:noWrap w:val="0"/>
            <w:vAlign w:val="center"/>
          </w:tcPr>
          <w:p w14:paraId="569287B3">
            <w:pPr>
              <w:jc w:val="center"/>
              <w:rPr>
                <w:rFonts w:hint="eastAsia"/>
                <w:lang w:eastAsia="zh-CN"/>
              </w:rPr>
            </w:pPr>
          </w:p>
        </w:tc>
        <w:tc>
          <w:tcPr>
            <w:tcW w:w="1575" w:type="dxa"/>
            <w:vMerge w:val="continue"/>
            <w:tcBorders>
              <w:left w:val="single" w:color="auto" w:sz="4" w:space="0"/>
              <w:bottom w:val="single" w:color="auto" w:sz="4" w:space="0"/>
              <w:right w:val="single" w:color="auto" w:sz="4" w:space="0"/>
            </w:tcBorders>
            <w:noWrap w:val="0"/>
            <w:vAlign w:val="center"/>
          </w:tcPr>
          <w:p w14:paraId="65985713">
            <w:pPr>
              <w:jc w:val="center"/>
              <w:rPr>
                <w:rFonts w:hint="eastAsia"/>
                <w:lang w:eastAsia="zh-CN"/>
              </w:rPr>
            </w:pPr>
          </w:p>
        </w:tc>
        <w:tc>
          <w:tcPr>
            <w:tcW w:w="959" w:type="dxa"/>
            <w:vMerge w:val="continue"/>
            <w:tcBorders>
              <w:left w:val="single" w:color="auto" w:sz="4" w:space="0"/>
              <w:bottom w:val="single" w:color="auto" w:sz="4" w:space="0"/>
              <w:right w:val="single" w:color="auto" w:sz="4" w:space="0"/>
            </w:tcBorders>
            <w:noWrap w:val="0"/>
            <w:vAlign w:val="center"/>
          </w:tcPr>
          <w:p w14:paraId="0380EF18">
            <w:pPr>
              <w:jc w:val="center"/>
              <w:rPr>
                <w:rFonts w:hint="eastAsia"/>
                <w:lang w:eastAsia="zh-CN"/>
              </w:rPr>
            </w:pPr>
          </w:p>
        </w:tc>
        <w:tc>
          <w:tcPr>
            <w:tcW w:w="1231" w:type="dxa"/>
            <w:vMerge w:val="continue"/>
            <w:tcBorders>
              <w:left w:val="single" w:color="auto" w:sz="4" w:space="0"/>
              <w:bottom w:val="single" w:color="auto" w:sz="4" w:space="0"/>
              <w:right w:val="single" w:color="auto" w:sz="4" w:space="0"/>
            </w:tcBorders>
            <w:noWrap w:val="0"/>
            <w:vAlign w:val="center"/>
          </w:tcPr>
          <w:p w14:paraId="26EC2AC8">
            <w:pPr>
              <w:jc w:val="center"/>
              <w:rPr>
                <w:rFonts w:hint="eastAsia"/>
                <w:lang w:eastAsia="zh-CN"/>
              </w:rPr>
            </w:pPr>
          </w:p>
        </w:tc>
        <w:tc>
          <w:tcPr>
            <w:tcW w:w="1020" w:type="dxa"/>
            <w:vMerge w:val="continue"/>
            <w:tcBorders>
              <w:left w:val="single" w:color="auto" w:sz="4" w:space="0"/>
              <w:bottom w:val="single" w:color="auto" w:sz="4" w:space="0"/>
              <w:right w:val="single" w:color="auto" w:sz="4" w:space="0"/>
            </w:tcBorders>
            <w:noWrap w:val="0"/>
            <w:vAlign w:val="center"/>
          </w:tcPr>
          <w:p w14:paraId="5CBF6D16">
            <w:pPr>
              <w:jc w:val="center"/>
              <w:rPr>
                <w:rFonts w:hint="eastAsia"/>
                <w:lang w:eastAsia="zh-CN"/>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35DF90E">
            <w:pPr>
              <w:jc w:val="center"/>
              <w:rPr>
                <w:rFonts w:hint="eastAsia"/>
                <w:lang w:val="en-US" w:eastAsia="zh-CN"/>
              </w:rPr>
            </w:pPr>
            <w:r>
              <w:rPr>
                <w:rFonts w:hint="eastAsia"/>
                <w:lang w:val="en-US" w:eastAsia="zh-CN"/>
              </w:rPr>
              <w:t>SC5-1E</w:t>
            </w:r>
          </w:p>
        </w:tc>
        <w:tc>
          <w:tcPr>
            <w:tcW w:w="1714" w:type="dxa"/>
            <w:tcBorders>
              <w:top w:val="single" w:color="auto" w:sz="4" w:space="0"/>
              <w:left w:val="single" w:color="auto" w:sz="4" w:space="0"/>
              <w:bottom w:val="single" w:color="auto" w:sz="4" w:space="0"/>
              <w:right w:val="single" w:color="auto" w:sz="4" w:space="0"/>
            </w:tcBorders>
            <w:noWrap/>
            <w:vAlign w:val="center"/>
          </w:tcPr>
          <w:p w14:paraId="7EB28D2D">
            <w:pPr>
              <w:jc w:val="center"/>
              <w:rPr>
                <w:rFonts w:hint="eastAsia"/>
                <w:lang w:val="en-US" w:eastAsia="zh-CN"/>
              </w:rPr>
            </w:pPr>
            <w:r>
              <w:rPr>
                <w:rFonts w:hint="eastAsia"/>
                <w:lang w:val="en-US" w:eastAsia="zh-CN"/>
              </w:rPr>
              <w:t>CB2W87003090</w:t>
            </w:r>
          </w:p>
        </w:tc>
      </w:tr>
    </w:tbl>
    <w:p w14:paraId="1737FF34">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进行整机全保服务（包括主机、探头和软件），除维保费外，所有维修维保服务采购人无需另付任何费用。</w:t>
      </w:r>
    </w:p>
    <w:p w14:paraId="431A527D">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2、服务期限：3年，维保服务具体时间以合同约定为准。</w:t>
      </w:r>
    </w:p>
    <w:p w14:paraId="31060980">
      <w:pPr>
        <w:ind w:firstLine="211" w:firstLineChars="100"/>
        <w:rPr>
          <w:rFonts w:hint="eastAsia" w:eastAsia="宋体"/>
          <w:b/>
          <w:lang w:eastAsia="zh-CN"/>
        </w:rPr>
      </w:pPr>
      <w:r>
        <w:rPr>
          <w:rFonts w:hint="eastAsia"/>
          <w:b/>
        </w:rPr>
        <w:t>三、服务要求</w:t>
      </w:r>
      <w:r>
        <w:rPr>
          <w:rFonts w:hint="eastAsia"/>
          <w:b/>
          <w:lang w:eastAsia="zh-CN"/>
        </w:rPr>
        <w:t>：</w:t>
      </w:r>
    </w:p>
    <w:p w14:paraId="46126249">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1、探头更换：投标人在整个服务合同期间需提供9次全新原厂探头免费更换，所更换探头须支持上述维保彩超型号但不局限于使用在上述设备，探头更换标准以临床需要为原则，维修探头时提供备用探头。</w:t>
      </w:r>
    </w:p>
    <w:p w14:paraId="73BA91A2">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2、服务响应时间：投标人提供365天×24小时×3年的技术服务及不限次数的人工上门维修。维保服务期内维保设备维护、维修所发生的所有费用（更换零部件费，人工费和出差费等）均由投标人承担。电话响应时间：1小时，收到现场服务请求后24小时内到达维保设备现场（不可抗力除外）。安全检查和维护保养提前预约服务时间，尽量不影响日常诊疗工作。</w:t>
      </w:r>
    </w:p>
    <w:p w14:paraId="78166335">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3、开机率承诺：投标人保证设备年开机率≥95%（按一年365天，每天24小时计算）。若设备开机率低于95%，停机时间每超过一天顺延七天维保期。并承担由此给采购人造成的损失。</w:t>
      </w:r>
    </w:p>
    <w:p w14:paraId="5F0FFF4C">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4、安全检查和预防性维护保养：投标人每年提供4次安全检查和预防性维护保养，安全检查和保养包括但不限于以下内容：机械安全检查、影像质量检查，设备除尘保养，运行状态检查、电气安全检查、性能测试及校准，以及非紧急性质的预防性维护，提供保养检测报告，保证超声设备处于最佳运行状态。每年至少提供一次应用工程师上门设备调试和医生培训服务。</w:t>
      </w:r>
    </w:p>
    <w:p w14:paraId="7E6E24E7">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5、达标要求：投标人保证维保设备的全部性能监测指标达标，能通过计量测试检定并取得计量检定合格证书。</w:t>
      </w:r>
    </w:p>
    <w:p w14:paraId="35818766">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6、服务热线电话：投标人提供技术服务热线电话供采购人与投标人的技术专家进行交流，保证及时获得在线技术支持和维修诊断。</w:t>
      </w:r>
    </w:p>
    <w:p w14:paraId="5F39B0EA">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7、零备件保障要求：投标人在国内设有配件品仓库及维保设备的全套配件，当设备出现故障时，保证配件48小时内抵达用户现场（提供相关配件库证明文件）。</w:t>
      </w:r>
    </w:p>
    <w:p w14:paraId="7DA16FB7">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8、维保服务报告：投标人提供维保服务时，按要求在采购人的设备管理部门进行备案，完成相关服务后，须在采购人的设备科、使用科室保留原始工作记录（维修工单及保养清单），并经双方签字确认，每年须出具年度维保服务报告。</w:t>
      </w:r>
    </w:p>
    <w:p w14:paraId="79754D5E">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9、零备件质量要求：投标人保证维修所提供零备件为原厂生产或原厂认证许可使用的配件、损耗品进行维修、保养，确保维修后的设备达到原厂合格标准及相应的国家质量标准要求。</w:t>
      </w:r>
    </w:p>
    <w:p w14:paraId="5A55A61F">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lang w:val="en-US" w:eastAsia="zh-CN"/>
        </w:rPr>
      </w:pPr>
      <w:r>
        <w:rPr>
          <w:rFonts w:hint="eastAsia"/>
          <w:lang w:val="en-US" w:eastAsia="zh-CN"/>
        </w:rPr>
        <w:t>10、零备件质保要求：配件质保期为6个月，如合同结束，该配件质保期顺延；投标人须妥善维修顺延期该配件发生的故障。</w:t>
      </w:r>
    </w:p>
    <w:p w14:paraId="6B8AE7A2">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11、应急处理要求：投标人3日内不能修复超声探头故障，必须在24小时内提供备用探头；5日内无法修复设备故障，投标人提供备用彩超供采购人应急使用。</w:t>
      </w:r>
    </w:p>
    <w:p w14:paraId="23CBB868">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12、服务质量考核：维保期内，采购人每半年对中标人提供的服务质量进行考核（包括：开机率、响应时间、故障排除及维保服务条款履行情况等）。若考核不合格，采购人有权解除合同并要求中标方赔偿由于设备停机造成的直接和间接损失。</w:t>
      </w:r>
    </w:p>
    <w:p w14:paraId="5F0546C4">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lang w:val="en-US" w:eastAsia="zh-CN"/>
        </w:rPr>
      </w:pPr>
      <w:r>
        <w:rPr>
          <w:rFonts w:hint="eastAsia"/>
          <w:lang w:val="en-US" w:eastAsia="zh-CN"/>
        </w:rPr>
        <w:t>13、其它：如果因其它原因设备不再使用（如：提前报废、病人急剧减少等原因，造成此设备不再使用），医院提前一个月书面通知投标人，按日计算合同金额维保费用余款一次性付清。</w:t>
      </w:r>
    </w:p>
    <w:p w14:paraId="3E2DE97C">
      <w:pPr>
        <w:keepNext w:val="0"/>
        <w:keepLines w:val="0"/>
        <w:pageBreakBefore w:val="0"/>
        <w:widowControl w:val="0"/>
        <w:kinsoku/>
        <w:wordWrap/>
        <w:overflowPunct/>
        <w:topLinePunct w:val="0"/>
        <w:autoSpaceDE/>
        <w:autoSpaceDN/>
        <w:bidi w:val="0"/>
        <w:adjustRightInd/>
        <w:snapToGrid/>
        <w:spacing w:line="360" w:lineRule="auto"/>
        <w:ind w:firstLine="211" w:firstLineChars="100"/>
        <w:textAlignment w:val="auto"/>
        <w:rPr>
          <w:rFonts w:hint="eastAsia"/>
          <w:b w:val="0"/>
          <w:bCs/>
          <w:lang w:val="en-US" w:eastAsia="zh-CN"/>
        </w:rPr>
      </w:pPr>
      <w:r>
        <w:rPr>
          <w:rFonts w:hint="eastAsia"/>
          <w:b/>
          <w:lang w:val="en-US" w:eastAsia="zh-CN"/>
        </w:rPr>
        <w:t>四、付款方式：</w:t>
      </w:r>
      <w:r>
        <w:rPr>
          <w:rFonts w:hint="eastAsia"/>
          <w:b w:val="0"/>
          <w:bCs/>
          <w:lang w:val="en-US" w:eastAsia="zh-CN"/>
        </w:rPr>
        <w:t>先服务后付款。设备维保款分6期支付，每期支付维保总费用的1/6。每半年考核周期满后凭投标人开具的正规发票及考核合格报告支付当期款项。</w:t>
      </w:r>
    </w:p>
    <w:p w14:paraId="1AFFC84F">
      <w:pPr>
        <w:pStyle w:val="49"/>
        <w:rPr>
          <w:rFonts w:hint="eastAsia"/>
          <w:b w:val="0"/>
          <w:bCs/>
          <w:lang w:val="en-US" w:eastAsia="zh-CN"/>
        </w:rPr>
      </w:pPr>
    </w:p>
    <w:p w14:paraId="4448691B">
      <w:pPr>
        <w:rPr>
          <w:rFonts w:hint="default" w:eastAsia="宋体"/>
          <w:b/>
          <w:lang w:val="en-US" w:eastAsia="zh-CN"/>
        </w:rPr>
      </w:pPr>
      <w:r>
        <w:rPr>
          <w:rFonts w:hint="eastAsia"/>
          <w:b/>
          <w:lang w:eastAsia="zh-CN"/>
        </w:rPr>
        <w:t>包</w:t>
      </w:r>
      <w:r>
        <w:rPr>
          <w:rFonts w:hint="eastAsia"/>
          <w:b/>
          <w:lang w:val="en-US" w:eastAsia="zh-CN"/>
        </w:rPr>
        <w:t>03：</w:t>
      </w:r>
    </w:p>
    <w:p w14:paraId="34636859">
      <w:pPr>
        <w:ind w:firstLine="211" w:firstLineChars="100"/>
        <w:rPr>
          <w:rFonts w:hint="eastAsia" w:eastAsia="宋体"/>
          <w:lang w:eastAsia="zh-CN"/>
        </w:rPr>
      </w:pPr>
      <w:r>
        <w:rPr>
          <w:rFonts w:hint="eastAsia"/>
          <w:b/>
        </w:rPr>
        <w:t>一、采购项目名称：</w:t>
      </w:r>
      <w:r>
        <w:rPr>
          <w:rFonts w:hint="eastAsia"/>
          <w:kern w:val="0"/>
          <w:sz w:val="21"/>
          <w:szCs w:val="28"/>
          <w:lang w:val="en-US" w:eastAsia="zh-CN"/>
        </w:rPr>
        <w:t>彩色超声诊断系统（GE）维保项目</w:t>
      </w:r>
    </w:p>
    <w:p w14:paraId="00B0FF59">
      <w:pPr>
        <w:ind w:firstLine="211" w:firstLineChars="100"/>
        <w:rPr>
          <w:b/>
        </w:rPr>
      </w:pPr>
      <w:r>
        <w:rPr>
          <w:rFonts w:hint="eastAsia"/>
          <w:b/>
        </w:rPr>
        <w:t>二、采购项目概况：</w:t>
      </w:r>
    </w:p>
    <w:p w14:paraId="6D805154">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1、维保范围：对下列2台彩超设备及附件：</w:t>
      </w:r>
    </w:p>
    <w:tbl>
      <w:tblPr>
        <w:tblStyle w:val="41"/>
        <w:tblW w:w="8250" w:type="dxa"/>
        <w:jc w:val="center"/>
        <w:tblLayout w:type="fixed"/>
        <w:tblCellMar>
          <w:top w:w="0" w:type="dxa"/>
          <w:left w:w="108" w:type="dxa"/>
          <w:bottom w:w="0" w:type="dxa"/>
          <w:right w:w="108" w:type="dxa"/>
        </w:tblCellMar>
      </w:tblPr>
      <w:tblGrid>
        <w:gridCol w:w="750"/>
        <w:gridCol w:w="1575"/>
        <w:gridCol w:w="959"/>
        <w:gridCol w:w="1231"/>
        <w:gridCol w:w="1020"/>
        <w:gridCol w:w="1275"/>
        <w:gridCol w:w="1440"/>
      </w:tblGrid>
      <w:tr w14:paraId="034FCFDC">
        <w:tblPrEx>
          <w:tblCellMar>
            <w:top w:w="0" w:type="dxa"/>
            <w:left w:w="108" w:type="dxa"/>
            <w:bottom w:w="0" w:type="dxa"/>
            <w:right w:w="108" w:type="dxa"/>
          </w:tblCellMar>
        </w:tblPrEx>
        <w:trPr>
          <w:trHeight w:val="688" w:hRule="exact"/>
          <w:jc w:val="center"/>
        </w:trPr>
        <w:tc>
          <w:tcPr>
            <w:tcW w:w="750" w:type="dxa"/>
            <w:tcBorders>
              <w:top w:val="single" w:color="auto" w:sz="4" w:space="0"/>
              <w:left w:val="single" w:color="auto" w:sz="4" w:space="0"/>
              <w:bottom w:val="single" w:color="auto" w:sz="4" w:space="0"/>
              <w:right w:val="single" w:color="auto" w:sz="4" w:space="0"/>
            </w:tcBorders>
            <w:noWrap w:val="0"/>
            <w:vAlign w:val="center"/>
          </w:tcPr>
          <w:p w14:paraId="3502DD91">
            <w:pPr>
              <w:jc w:val="center"/>
              <w:rPr>
                <w:b/>
                <w:bCs/>
              </w:rPr>
            </w:pPr>
            <w:r>
              <w:rPr>
                <w:rFonts w:hint="eastAsia"/>
                <w:b/>
                <w:bCs/>
              </w:rPr>
              <w:t>序号</w:t>
            </w:r>
          </w:p>
        </w:tc>
        <w:tc>
          <w:tcPr>
            <w:tcW w:w="1575" w:type="dxa"/>
            <w:tcBorders>
              <w:top w:val="single" w:color="auto" w:sz="4" w:space="0"/>
              <w:left w:val="nil"/>
              <w:bottom w:val="single" w:color="auto" w:sz="4" w:space="0"/>
              <w:right w:val="single" w:color="auto" w:sz="4" w:space="0"/>
            </w:tcBorders>
            <w:noWrap w:val="0"/>
            <w:vAlign w:val="center"/>
          </w:tcPr>
          <w:p w14:paraId="4BCF657B">
            <w:pPr>
              <w:jc w:val="center"/>
              <w:rPr>
                <w:b/>
                <w:bCs/>
              </w:rPr>
            </w:pPr>
            <w:r>
              <w:rPr>
                <w:rFonts w:hint="eastAsia"/>
                <w:b/>
                <w:bCs/>
              </w:rPr>
              <w:t>设备名称</w:t>
            </w:r>
          </w:p>
        </w:tc>
        <w:tc>
          <w:tcPr>
            <w:tcW w:w="959" w:type="dxa"/>
            <w:tcBorders>
              <w:top w:val="single" w:color="auto" w:sz="4" w:space="0"/>
              <w:left w:val="nil"/>
              <w:bottom w:val="single" w:color="auto" w:sz="4" w:space="0"/>
              <w:right w:val="single" w:color="auto" w:sz="4" w:space="0"/>
            </w:tcBorders>
            <w:noWrap w:val="0"/>
            <w:vAlign w:val="center"/>
          </w:tcPr>
          <w:p w14:paraId="442B4EB6">
            <w:pPr>
              <w:jc w:val="center"/>
              <w:rPr>
                <w:b/>
                <w:bCs/>
              </w:rPr>
            </w:pPr>
            <w:r>
              <w:rPr>
                <w:rFonts w:hint="eastAsia"/>
                <w:b/>
                <w:bCs/>
              </w:rPr>
              <w:t>型号</w:t>
            </w:r>
          </w:p>
        </w:tc>
        <w:tc>
          <w:tcPr>
            <w:tcW w:w="1231" w:type="dxa"/>
            <w:tcBorders>
              <w:top w:val="single" w:color="auto" w:sz="4" w:space="0"/>
              <w:left w:val="nil"/>
              <w:bottom w:val="single" w:color="auto" w:sz="4" w:space="0"/>
              <w:right w:val="single" w:color="auto" w:sz="4" w:space="0"/>
            </w:tcBorders>
            <w:noWrap w:val="0"/>
            <w:vAlign w:val="center"/>
          </w:tcPr>
          <w:p w14:paraId="1D876DF5">
            <w:pPr>
              <w:jc w:val="center"/>
              <w:rPr>
                <w:b/>
                <w:bCs/>
              </w:rPr>
            </w:pPr>
            <w:r>
              <w:rPr>
                <w:rFonts w:hint="eastAsia"/>
                <w:b/>
                <w:bCs/>
              </w:rPr>
              <w:t>序列号</w:t>
            </w:r>
          </w:p>
        </w:tc>
        <w:tc>
          <w:tcPr>
            <w:tcW w:w="1020" w:type="dxa"/>
            <w:tcBorders>
              <w:top w:val="single" w:color="auto" w:sz="4" w:space="0"/>
              <w:left w:val="nil"/>
              <w:bottom w:val="single" w:color="auto" w:sz="4" w:space="0"/>
              <w:right w:val="single" w:color="auto" w:sz="4" w:space="0"/>
            </w:tcBorders>
            <w:noWrap w:val="0"/>
            <w:vAlign w:val="center"/>
          </w:tcPr>
          <w:p w14:paraId="01C94C8B">
            <w:pPr>
              <w:jc w:val="center"/>
              <w:rPr>
                <w:b/>
                <w:bCs/>
              </w:rPr>
            </w:pPr>
            <w:r>
              <w:rPr>
                <w:rFonts w:hint="eastAsia"/>
                <w:b/>
                <w:bCs/>
              </w:rPr>
              <w:t>品牌</w:t>
            </w:r>
          </w:p>
        </w:tc>
        <w:tc>
          <w:tcPr>
            <w:tcW w:w="1275" w:type="dxa"/>
            <w:tcBorders>
              <w:top w:val="single" w:color="auto" w:sz="4" w:space="0"/>
              <w:left w:val="nil"/>
              <w:bottom w:val="single" w:color="auto" w:sz="4" w:space="0"/>
              <w:right w:val="single" w:color="auto" w:sz="4" w:space="0"/>
            </w:tcBorders>
            <w:noWrap w:val="0"/>
            <w:vAlign w:val="center"/>
          </w:tcPr>
          <w:p w14:paraId="404FEC19">
            <w:pPr>
              <w:jc w:val="center"/>
              <w:rPr>
                <w:b/>
                <w:bCs/>
              </w:rPr>
            </w:pPr>
            <w:r>
              <w:rPr>
                <w:rFonts w:hint="eastAsia"/>
                <w:b/>
                <w:bCs/>
              </w:rPr>
              <w:t>探头</w:t>
            </w:r>
          </w:p>
        </w:tc>
        <w:tc>
          <w:tcPr>
            <w:tcW w:w="1440" w:type="dxa"/>
            <w:tcBorders>
              <w:top w:val="single" w:color="auto" w:sz="4" w:space="0"/>
              <w:left w:val="nil"/>
              <w:bottom w:val="single" w:color="auto" w:sz="4" w:space="0"/>
              <w:right w:val="single" w:color="auto" w:sz="4" w:space="0"/>
            </w:tcBorders>
            <w:noWrap w:val="0"/>
            <w:vAlign w:val="center"/>
          </w:tcPr>
          <w:p w14:paraId="50EC4C0C">
            <w:pPr>
              <w:jc w:val="center"/>
              <w:rPr>
                <w:rFonts w:hint="eastAsia"/>
                <w:b/>
                <w:bCs/>
                <w:lang w:eastAsia="zh-CN"/>
              </w:rPr>
            </w:pPr>
            <w:r>
              <w:rPr>
                <w:rFonts w:hint="eastAsia"/>
                <w:b/>
                <w:bCs/>
                <w:lang w:val="en-US" w:eastAsia="zh-CN"/>
              </w:rPr>
              <w:t>序列号</w:t>
            </w:r>
          </w:p>
        </w:tc>
      </w:tr>
      <w:tr w14:paraId="06028C86">
        <w:tblPrEx>
          <w:tblCellMar>
            <w:top w:w="0" w:type="dxa"/>
            <w:left w:w="108" w:type="dxa"/>
            <w:bottom w:w="0" w:type="dxa"/>
            <w:right w:w="108" w:type="dxa"/>
          </w:tblCellMar>
        </w:tblPrEx>
        <w:trPr>
          <w:trHeight w:val="397" w:hRule="exact"/>
          <w:jc w:val="center"/>
        </w:trPr>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14:paraId="6DAC3560">
            <w:pPr>
              <w:jc w:val="center"/>
              <w:rPr>
                <w:rFonts w:hint="eastAsia"/>
                <w:lang w:eastAsia="zh-CN"/>
              </w:rPr>
            </w:pPr>
            <w:r>
              <w:rPr>
                <w:rFonts w:hint="eastAsia"/>
                <w:lang w:val="en-US" w:eastAsia="zh-CN"/>
              </w:rPr>
              <w:t>1</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034F0D22">
            <w:pPr>
              <w:jc w:val="center"/>
              <w:rPr>
                <w:rFonts w:hint="eastAsia"/>
                <w:lang w:eastAsia="zh-CN"/>
              </w:rPr>
            </w:pPr>
            <w:r>
              <w:rPr>
                <w:rFonts w:hint="eastAsia"/>
                <w:lang w:val="en-US" w:eastAsia="zh-CN"/>
              </w:rPr>
              <w:t>彩色多普勒超声诊断系统</w:t>
            </w:r>
          </w:p>
        </w:tc>
        <w:tc>
          <w:tcPr>
            <w:tcW w:w="959" w:type="dxa"/>
            <w:vMerge w:val="restart"/>
            <w:tcBorders>
              <w:top w:val="single" w:color="auto" w:sz="4" w:space="0"/>
              <w:left w:val="single" w:color="auto" w:sz="4" w:space="0"/>
              <w:bottom w:val="single" w:color="auto" w:sz="4" w:space="0"/>
              <w:right w:val="single" w:color="auto" w:sz="4" w:space="0"/>
            </w:tcBorders>
            <w:noWrap w:val="0"/>
            <w:vAlign w:val="center"/>
          </w:tcPr>
          <w:p w14:paraId="2E5A26EE">
            <w:pPr>
              <w:jc w:val="center"/>
              <w:rPr>
                <w:rFonts w:hint="eastAsia"/>
                <w:lang w:eastAsia="zh-CN"/>
              </w:rPr>
            </w:pPr>
            <w:r>
              <w:rPr>
                <w:rFonts w:hint="eastAsia"/>
                <w:lang w:val="en-US" w:eastAsia="zh-CN"/>
              </w:rPr>
              <w:t xml:space="preserve">LOGIQ E9 </w:t>
            </w:r>
          </w:p>
        </w:tc>
        <w:tc>
          <w:tcPr>
            <w:tcW w:w="1231" w:type="dxa"/>
            <w:vMerge w:val="restart"/>
            <w:tcBorders>
              <w:top w:val="single" w:color="auto" w:sz="4" w:space="0"/>
              <w:left w:val="single" w:color="auto" w:sz="4" w:space="0"/>
              <w:bottom w:val="single" w:color="auto" w:sz="4" w:space="0"/>
              <w:right w:val="single" w:color="auto" w:sz="4" w:space="0"/>
            </w:tcBorders>
            <w:noWrap w:val="0"/>
            <w:vAlign w:val="center"/>
          </w:tcPr>
          <w:p w14:paraId="6B6A4EEF">
            <w:pPr>
              <w:jc w:val="center"/>
              <w:rPr>
                <w:rFonts w:hint="eastAsia"/>
                <w:lang w:eastAsia="zh-CN"/>
              </w:rPr>
            </w:pPr>
            <w:r>
              <w:rPr>
                <w:rFonts w:hint="eastAsia"/>
                <w:lang w:val="en-US" w:eastAsia="zh-CN"/>
              </w:rPr>
              <w:t>205287US6</w:t>
            </w:r>
          </w:p>
        </w:tc>
        <w:tc>
          <w:tcPr>
            <w:tcW w:w="1020" w:type="dxa"/>
            <w:vMerge w:val="restart"/>
            <w:tcBorders>
              <w:top w:val="single" w:color="auto" w:sz="4" w:space="0"/>
              <w:left w:val="single" w:color="auto" w:sz="4" w:space="0"/>
              <w:bottom w:val="single" w:color="auto" w:sz="4" w:space="0"/>
              <w:right w:val="single" w:color="auto" w:sz="4" w:space="0"/>
            </w:tcBorders>
            <w:noWrap w:val="0"/>
            <w:vAlign w:val="center"/>
          </w:tcPr>
          <w:p w14:paraId="4A2805B8">
            <w:pPr>
              <w:jc w:val="center"/>
              <w:rPr>
                <w:rFonts w:hint="eastAsia"/>
                <w:lang w:val="en-US" w:eastAsia="zh-CN"/>
              </w:rPr>
            </w:pPr>
            <w:r>
              <w:rPr>
                <w:rFonts w:hint="eastAsia"/>
                <w:lang w:val="en-US" w:eastAsia="zh-CN"/>
              </w:rPr>
              <w:t>通用</w:t>
            </w:r>
          </w:p>
          <w:p w14:paraId="37DE2BE2">
            <w:pPr>
              <w:jc w:val="center"/>
              <w:rPr>
                <w:rFonts w:hint="eastAsia"/>
                <w:lang w:val="en-US" w:eastAsia="zh-CN"/>
              </w:rPr>
            </w:pPr>
            <w:r>
              <w:rPr>
                <w:rFonts w:hint="eastAsia"/>
                <w:lang w:val="en-US" w:eastAsia="zh-CN"/>
              </w:rPr>
              <w:t>电气</w:t>
            </w:r>
          </w:p>
        </w:tc>
        <w:tc>
          <w:tcPr>
            <w:tcW w:w="1275" w:type="dxa"/>
            <w:tcBorders>
              <w:top w:val="single" w:color="auto" w:sz="4" w:space="0"/>
              <w:left w:val="single" w:color="auto" w:sz="4" w:space="0"/>
              <w:bottom w:val="single" w:color="auto" w:sz="4" w:space="0"/>
              <w:right w:val="single" w:color="auto" w:sz="4" w:space="0"/>
            </w:tcBorders>
            <w:noWrap/>
            <w:vAlign w:val="center"/>
          </w:tcPr>
          <w:p w14:paraId="3F5F83EC">
            <w:pPr>
              <w:jc w:val="center"/>
              <w:rPr>
                <w:rFonts w:hint="default"/>
                <w:lang w:val="en-US" w:eastAsia="zh-CN"/>
              </w:rPr>
            </w:pPr>
            <w:r>
              <w:rPr>
                <w:rFonts w:hint="eastAsia"/>
                <w:lang w:val="en-US" w:eastAsia="zh-CN"/>
              </w:rPr>
              <w:t>C1-6-D</w:t>
            </w:r>
          </w:p>
        </w:tc>
        <w:tc>
          <w:tcPr>
            <w:tcW w:w="1440" w:type="dxa"/>
            <w:tcBorders>
              <w:top w:val="single" w:color="auto" w:sz="4" w:space="0"/>
              <w:left w:val="single" w:color="auto" w:sz="4" w:space="0"/>
              <w:bottom w:val="single" w:color="auto" w:sz="4" w:space="0"/>
              <w:right w:val="single" w:color="auto" w:sz="4" w:space="0"/>
            </w:tcBorders>
            <w:noWrap/>
            <w:vAlign w:val="center"/>
          </w:tcPr>
          <w:p w14:paraId="614095F1">
            <w:pPr>
              <w:jc w:val="center"/>
              <w:rPr>
                <w:rFonts w:hint="default"/>
                <w:lang w:val="en-US" w:eastAsia="zh-CN"/>
              </w:rPr>
            </w:pPr>
            <w:r>
              <w:rPr>
                <w:rFonts w:hint="eastAsia"/>
                <w:lang w:val="en-US" w:eastAsia="zh-CN"/>
              </w:rPr>
              <w:t>434641YP7</w:t>
            </w:r>
          </w:p>
        </w:tc>
      </w:tr>
      <w:tr w14:paraId="01F975A2">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5EEB4A5E">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645302A7">
            <w:pPr>
              <w:jc w:val="center"/>
              <w:rPr>
                <w:rFonts w:hint="eastAsia"/>
                <w:lang w:eastAsia="zh-CN"/>
              </w:rP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5F049199">
            <w:pPr>
              <w:jc w:val="center"/>
              <w:rPr>
                <w:rFonts w:hint="eastAsia"/>
                <w:lang w:eastAsia="zh-CN"/>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7B2513CF">
            <w:pPr>
              <w:jc w:val="center"/>
              <w:rPr>
                <w:rFonts w:hint="eastAsia"/>
                <w:lang w:eastAsia="zh-CN"/>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2DE03A1D">
            <w:pPr>
              <w:jc w:val="center"/>
              <w:rPr>
                <w:rFonts w:hint="eastAsia"/>
                <w:lang w:eastAsia="zh-CN"/>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3D5B895">
            <w:pPr>
              <w:jc w:val="center"/>
              <w:rPr>
                <w:rFonts w:hint="default"/>
                <w:lang w:val="en-US" w:eastAsia="zh-CN"/>
              </w:rPr>
            </w:pPr>
            <w:r>
              <w:rPr>
                <w:rFonts w:hint="eastAsia"/>
                <w:lang w:val="en-US" w:eastAsia="zh-CN"/>
              </w:rPr>
              <w:t>9L-D</w:t>
            </w:r>
          </w:p>
        </w:tc>
        <w:tc>
          <w:tcPr>
            <w:tcW w:w="1440" w:type="dxa"/>
            <w:tcBorders>
              <w:top w:val="single" w:color="auto" w:sz="4" w:space="0"/>
              <w:left w:val="single" w:color="auto" w:sz="4" w:space="0"/>
              <w:bottom w:val="single" w:color="auto" w:sz="4" w:space="0"/>
              <w:right w:val="single" w:color="auto" w:sz="4" w:space="0"/>
            </w:tcBorders>
            <w:noWrap/>
            <w:vAlign w:val="center"/>
          </w:tcPr>
          <w:p w14:paraId="3F4CA96E">
            <w:pPr>
              <w:jc w:val="center"/>
              <w:rPr>
                <w:rFonts w:hint="default"/>
                <w:lang w:val="en-US" w:eastAsia="zh-CN"/>
              </w:rPr>
            </w:pPr>
            <w:r>
              <w:rPr>
                <w:rFonts w:hint="eastAsia"/>
                <w:lang w:val="en-US" w:eastAsia="zh-CN"/>
              </w:rPr>
              <w:t>202578WP1</w:t>
            </w:r>
          </w:p>
        </w:tc>
      </w:tr>
      <w:tr w14:paraId="44115610">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3D5B0251">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5632962C">
            <w:pPr>
              <w:jc w:val="center"/>
              <w:rPr>
                <w:rFonts w:hint="eastAsia"/>
                <w:lang w:eastAsia="zh-CN"/>
              </w:rP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532BCABF">
            <w:pPr>
              <w:jc w:val="center"/>
              <w:rPr>
                <w:rFonts w:hint="eastAsia"/>
                <w:lang w:eastAsia="zh-CN"/>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6202ABE4">
            <w:pPr>
              <w:jc w:val="center"/>
              <w:rPr>
                <w:rFonts w:hint="eastAsia"/>
                <w:lang w:eastAsia="zh-CN"/>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0AE85DBE">
            <w:pPr>
              <w:jc w:val="center"/>
              <w:rPr>
                <w:rFonts w:hint="eastAsia"/>
                <w:lang w:eastAsia="zh-CN"/>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F1532E2">
            <w:pPr>
              <w:jc w:val="center"/>
              <w:rPr>
                <w:rFonts w:hint="default"/>
                <w:lang w:val="en-US" w:eastAsia="zh-CN"/>
              </w:rPr>
            </w:pPr>
            <w:r>
              <w:rPr>
                <w:rFonts w:hint="eastAsia"/>
                <w:lang w:val="en-US" w:eastAsia="zh-CN"/>
              </w:rPr>
              <w:t>IC5-9-D</w:t>
            </w:r>
          </w:p>
        </w:tc>
        <w:tc>
          <w:tcPr>
            <w:tcW w:w="1440" w:type="dxa"/>
            <w:tcBorders>
              <w:top w:val="single" w:color="auto" w:sz="4" w:space="0"/>
              <w:left w:val="single" w:color="auto" w:sz="4" w:space="0"/>
              <w:bottom w:val="single" w:color="auto" w:sz="4" w:space="0"/>
              <w:right w:val="single" w:color="auto" w:sz="4" w:space="0"/>
            </w:tcBorders>
            <w:noWrap/>
            <w:vAlign w:val="center"/>
          </w:tcPr>
          <w:p w14:paraId="761ECB6D">
            <w:pPr>
              <w:jc w:val="center"/>
              <w:rPr>
                <w:rFonts w:hint="default"/>
                <w:lang w:val="en-US" w:eastAsia="zh-CN"/>
              </w:rPr>
            </w:pPr>
            <w:r>
              <w:rPr>
                <w:rFonts w:hint="eastAsia"/>
                <w:lang w:val="en-US" w:eastAsia="zh-CN"/>
              </w:rPr>
              <w:t>1299798WX7</w:t>
            </w:r>
          </w:p>
        </w:tc>
      </w:tr>
      <w:tr w14:paraId="2B1189A6">
        <w:tblPrEx>
          <w:tblCellMar>
            <w:top w:w="0" w:type="dxa"/>
            <w:left w:w="108" w:type="dxa"/>
            <w:bottom w:w="0" w:type="dxa"/>
            <w:right w:w="108" w:type="dxa"/>
          </w:tblCellMar>
        </w:tblPrEx>
        <w:trPr>
          <w:trHeight w:val="397" w:hRule="exact"/>
          <w:jc w:val="center"/>
        </w:trPr>
        <w:tc>
          <w:tcPr>
            <w:tcW w:w="750" w:type="dxa"/>
            <w:vMerge w:val="continue"/>
            <w:tcBorders>
              <w:top w:val="single" w:color="auto" w:sz="4" w:space="0"/>
              <w:left w:val="single" w:color="auto" w:sz="4" w:space="0"/>
              <w:bottom w:val="single" w:color="auto" w:sz="4" w:space="0"/>
              <w:right w:val="single" w:color="auto" w:sz="4" w:space="0"/>
            </w:tcBorders>
            <w:noWrap w:val="0"/>
            <w:vAlign w:val="center"/>
          </w:tcPr>
          <w:p w14:paraId="1EBC1E61">
            <w:pPr>
              <w:jc w:val="center"/>
            </w:pP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520B8ED8">
            <w:pPr>
              <w:jc w:val="center"/>
              <w:rPr>
                <w:rFonts w:hint="eastAsia"/>
                <w:lang w:eastAsia="zh-CN"/>
              </w:rPr>
            </w:pPr>
          </w:p>
        </w:tc>
        <w:tc>
          <w:tcPr>
            <w:tcW w:w="959" w:type="dxa"/>
            <w:vMerge w:val="continue"/>
            <w:tcBorders>
              <w:top w:val="single" w:color="auto" w:sz="4" w:space="0"/>
              <w:left w:val="single" w:color="auto" w:sz="4" w:space="0"/>
              <w:bottom w:val="single" w:color="auto" w:sz="4" w:space="0"/>
              <w:right w:val="single" w:color="auto" w:sz="4" w:space="0"/>
            </w:tcBorders>
            <w:noWrap w:val="0"/>
            <w:vAlign w:val="center"/>
          </w:tcPr>
          <w:p w14:paraId="1983D831">
            <w:pPr>
              <w:jc w:val="center"/>
              <w:rPr>
                <w:rFonts w:hint="eastAsia"/>
                <w:lang w:eastAsia="zh-CN"/>
              </w:rPr>
            </w:pPr>
          </w:p>
        </w:tc>
        <w:tc>
          <w:tcPr>
            <w:tcW w:w="1231" w:type="dxa"/>
            <w:vMerge w:val="continue"/>
            <w:tcBorders>
              <w:top w:val="single" w:color="auto" w:sz="4" w:space="0"/>
              <w:left w:val="single" w:color="auto" w:sz="4" w:space="0"/>
              <w:bottom w:val="single" w:color="auto" w:sz="4" w:space="0"/>
              <w:right w:val="single" w:color="auto" w:sz="4" w:space="0"/>
            </w:tcBorders>
            <w:noWrap w:val="0"/>
            <w:vAlign w:val="center"/>
          </w:tcPr>
          <w:p w14:paraId="29879D30">
            <w:pPr>
              <w:jc w:val="center"/>
              <w:rPr>
                <w:rFonts w:hint="eastAsia"/>
                <w:lang w:eastAsia="zh-CN"/>
              </w:rPr>
            </w:pPr>
          </w:p>
        </w:tc>
        <w:tc>
          <w:tcPr>
            <w:tcW w:w="1020" w:type="dxa"/>
            <w:vMerge w:val="continue"/>
            <w:tcBorders>
              <w:top w:val="single" w:color="auto" w:sz="4" w:space="0"/>
              <w:left w:val="single" w:color="auto" w:sz="4" w:space="0"/>
              <w:bottom w:val="single" w:color="auto" w:sz="4" w:space="0"/>
              <w:right w:val="single" w:color="auto" w:sz="4" w:space="0"/>
            </w:tcBorders>
            <w:noWrap w:val="0"/>
            <w:vAlign w:val="center"/>
          </w:tcPr>
          <w:p w14:paraId="40F588FC">
            <w:pPr>
              <w:jc w:val="center"/>
              <w:rPr>
                <w:rFonts w:hint="eastAsia"/>
                <w:lang w:eastAsia="zh-CN"/>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3669938">
            <w:pPr>
              <w:jc w:val="center"/>
              <w:rPr>
                <w:rFonts w:hint="default"/>
                <w:lang w:val="en-US" w:eastAsia="zh-CN"/>
              </w:rPr>
            </w:pPr>
            <w:r>
              <w:rPr>
                <w:rFonts w:hint="eastAsia"/>
                <w:lang w:val="en-US" w:eastAsia="zh-CN"/>
              </w:rPr>
              <w:t>M5S-D</w:t>
            </w:r>
          </w:p>
        </w:tc>
        <w:tc>
          <w:tcPr>
            <w:tcW w:w="1440" w:type="dxa"/>
            <w:tcBorders>
              <w:top w:val="single" w:color="auto" w:sz="4" w:space="0"/>
              <w:left w:val="single" w:color="auto" w:sz="4" w:space="0"/>
              <w:bottom w:val="single" w:color="auto" w:sz="4" w:space="0"/>
              <w:right w:val="single" w:color="auto" w:sz="4" w:space="0"/>
            </w:tcBorders>
            <w:noWrap/>
            <w:vAlign w:val="center"/>
          </w:tcPr>
          <w:p w14:paraId="1D8B0FAA">
            <w:pPr>
              <w:jc w:val="center"/>
              <w:rPr>
                <w:rFonts w:hint="default"/>
                <w:lang w:val="en-US" w:eastAsia="zh-CN"/>
              </w:rPr>
            </w:pPr>
            <w:r>
              <w:rPr>
                <w:rFonts w:hint="eastAsia"/>
                <w:lang w:val="en-US" w:eastAsia="zh-CN"/>
              </w:rPr>
              <w:t>BF-180462</w:t>
            </w:r>
          </w:p>
        </w:tc>
      </w:tr>
      <w:tr w14:paraId="14295B8D">
        <w:tblPrEx>
          <w:tblCellMar>
            <w:top w:w="0" w:type="dxa"/>
            <w:left w:w="108" w:type="dxa"/>
            <w:bottom w:w="0" w:type="dxa"/>
            <w:right w:w="108" w:type="dxa"/>
          </w:tblCellMar>
        </w:tblPrEx>
        <w:trPr>
          <w:trHeight w:val="96" w:hRule="atLeast"/>
          <w:jc w:val="center"/>
        </w:trPr>
        <w:tc>
          <w:tcPr>
            <w:tcW w:w="750" w:type="dxa"/>
            <w:vMerge w:val="restart"/>
            <w:tcBorders>
              <w:top w:val="single" w:color="auto" w:sz="4" w:space="0"/>
              <w:left w:val="single" w:color="auto" w:sz="4" w:space="0"/>
              <w:right w:val="single" w:color="auto" w:sz="4" w:space="0"/>
            </w:tcBorders>
            <w:noWrap w:val="0"/>
            <w:vAlign w:val="center"/>
          </w:tcPr>
          <w:p w14:paraId="0048CCE4">
            <w:pPr>
              <w:jc w:val="center"/>
              <w:rPr>
                <w:rFonts w:hint="eastAsia"/>
                <w:lang w:eastAsia="zh-CN"/>
              </w:rPr>
            </w:pPr>
            <w:r>
              <w:rPr>
                <w:rFonts w:hint="eastAsia"/>
                <w:lang w:val="en-US" w:eastAsia="zh-CN"/>
              </w:rPr>
              <w:t>2</w:t>
            </w:r>
          </w:p>
        </w:tc>
        <w:tc>
          <w:tcPr>
            <w:tcW w:w="1575" w:type="dxa"/>
            <w:vMerge w:val="restart"/>
            <w:tcBorders>
              <w:top w:val="single" w:color="auto" w:sz="4" w:space="0"/>
              <w:left w:val="single" w:color="auto" w:sz="4" w:space="0"/>
              <w:right w:val="single" w:color="auto" w:sz="4" w:space="0"/>
            </w:tcBorders>
            <w:noWrap w:val="0"/>
            <w:vAlign w:val="center"/>
          </w:tcPr>
          <w:p w14:paraId="6873F9B0">
            <w:pPr>
              <w:jc w:val="center"/>
              <w:rPr>
                <w:rFonts w:hint="eastAsia"/>
                <w:lang w:eastAsia="zh-CN"/>
              </w:rPr>
            </w:pPr>
            <w:r>
              <w:rPr>
                <w:rFonts w:hint="eastAsia"/>
                <w:lang w:val="en-US" w:eastAsia="zh-CN"/>
              </w:rPr>
              <w:t>彩色多普勒超声诊断系统</w:t>
            </w:r>
          </w:p>
        </w:tc>
        <w:tc>
          <w:tcPr>
            <w:tcW w:w="959" w:type="dxa"/>
            <w:vMerge w:val="restart"/>
            <w:tcBorders>
              <w:top w:val="single" w:color="auto" w:sz="4" w:space="0"/>
              <w:left w:val="single" w:color="auto" w:sz="4" w:space="0"/>
              <w:right w:val="single" w:color="auto" w:sz="4" w:space="0"/>
            </w:tcBorders>
            <w:noWrap w:val="0"/>
            <w:vAlign w:val="center"/>
          </w:tcPr>
          <w:p w14:paraId="0FD0F463">
            <w:pPr>
              <w:jc w:val="center"/>
              <w:rPr>
                <w:rFonts w:hint="eastAsia"/>
                <w:lang w:eastAsia="zh-CN"/>
              </w:rPr>
            </w:pPr>
            <w:r>
              <w:rPr>
                <w:rFonts w:hint="eastAsia"/>
                <w:lang w:val="en-US" w:eastAsia="zh-CN"/>
              </w:rPr>
              <w:t xml:space="preserve">GE </w:t>
            </w:r>
            <w:r>
              <w:rPr>
                <w:rFonts w:hint="default"/>
                <w:lang w:val="en-US" w:eastAsia="zh-CN"/>
              </w:rPr>
              <w:t>Vivid E95</w:t>
            </w:r>
          </w:p>
        </w:tc>
        <w:tc>
          <w:tcPr>
            <w:tcW w:w="1231" w:type="dxa"/>
            <w:vMerge w:val="restart"/>
            <w:tcBorders>
              <w:top w:val="single" w:color="auto" w:sz="4" w:space="0"/>
              <w:left w:val="single" w:color="auto" w:sz="4" w:space="0"/>
              <w:right w:val="single" w:color="auto" w:sz="4" w:space="0"/>
            </w:tcBorders>
            <w:noWrap w:val="0"/>
            <w:vAlign w:val="center"/>
          </w:tcPr>
          <w:p w14:paraId="6BFD56FE">
            <w:pPr>
              <w:jc w:val="center"/>
              <w:rPr>
                <w:rFonts w:hint="eastAsia"/>
                <w:lang w:eastAsia="zh-CN"/>
              </w:rPr>
            </w:pPr>
            <w:r>
              <w:rPr>
                <w:rFonts w:hint="eastAsia"/>
                <w:lang w:val="en-US" w:eastAsia="zh-CN"/>
              </w:rPr>
              <w:t xml:space="preserve"> AU61069</w:t>
            </w:r>
          </w:p>
        </w:tc>
        <w:tc>
          <w:tcPr>
            <w:tcW w:w="1020" w:type="dxa"/>
            <w:vMerge w:val="restart"/>
            <w:tcBorders>
              <w:top w:val="single" w:color="auto" w:sz="4" w:space="0"/>
              <w:left w:val="single" w:color="auto" w:sz="4" w:space="0"/>
              <w:right w:val="single" w:color="auto" w:sz="4" w:space="0"/>
            </w:tcBorders>
            <w:noWrap w:val="0"/>
            <w:vAlign w:val="center"/>
          </w:tcPr>
          <w:p w14:paraId="734356FF">
            <w:pPr>
              <w:jc w:val="center"/>
              <w:rPr>
                <w:rFonts w:hint="eastAsia"/>
                <w:lang w:val="en-US" w:eastAsia="zh-CN"/>
              </w:rPr>
            </w:pPr>
            <w:r>
              <w:rPr>
                <w:rFonts w:hint="eastAsia"/>
                <w:lang w:val="en-US" w:eastAsia="zh-CN"/>
              </w:rPr>
              <w:t>通用</w:t>
            </w:r>
          </w:p>
          <w:p w14:paraId="2C4F8988">
            <w:pPr>
              <w:jc w:val="center"/>
              <w:rPr>
                <w:rFonts w:hint="eastAsia"/>
                <w:lang w:eastAsia="zh-CN"/>
              </w:rPr>
            </w:pPr>
            <w:r>
              <w:rPr>
                <w:rFonts w:hint="eastAsia"/>
                <w:lang w:val="en-US" w:eastAsia="zh-CN"/>
              </w:rPr>
              <w:t>电气</w:t>
            </w:r>
          </w:p>
        </w:tc>
        <w:tc>
          <w:tcPr>
            <w:tcW w:w="1275" w:type="dxa"/>
            <w:tcBorders>
              <w:top w:val="single" w:color="auto" w:sz="4" w:space="0"/>
              <w:left w:val="nil"/>
              <w:bottom w:val="single" w:color="auto" w:sz="4" w:space="0"/>
              <w:right w:val="single" w:color="auto" w:sz="4" w:space="0"/>
            </w:tcBorders>
            <w:noWrap/>
            <w:vAlign w:val="center"/>
          </w:tcPr>
          <w:p w14:paraId="306F324D">
            <w:pPr>
              <w:jc w:val="center"/>
              <w:rPr>
                <w:rFonts w:hint="eastAsia"/>
                <w:lang w:eastAsia="zh-CN"/>
              </w:rPr>
            </w:pPr>
            <w:r>
              <w:rPr>
                <w:rFonts w:hint="eastAsia"/>
                <w:lang w:val="en-US" w:eastAsia="zh-CN"/>
              </w:rPr>
              <w:t>6S-D</w:t>
            </w:r>
          </w:p>
        </w:tc>
        <w:tc>
          <w:tcPr>
            <w:tcW w:w="1440" w:type="dxa"/>
            <w:tcBorders>
              <w:top w:val="single" w:color="auto" w:sz="4" w:space="0"/>
              <w:left w:val="nil"/>
              <w:bottom w:val="single" w:color="auto" w:sz="4" w:space="0"/>
              <w:right w:val="single" w:color="auto" w:sz="4" w:space="0"/>
            </w:tcBorders>
            <w:noWrap/>
            <w:vAlign w:val="center"/>
          </w:tcPr>
          <w:p w14:paraId="68AAEDB9">
            <w:pPr>
              <w:jc w:val="center"/>
              <w:rPr>
                <w:rFonts w:hint="eastAsia"/>
                <w:lang w:eastAsia="zh-CN"/>
              </w:rPr>
            </w:pPr>
            <w:r>
              <w:rPr>
                <w:rFonts w:hint="eastAsia"/>
                <w:lang w:val="en-US" w:eastAsia="zh-CN"/>
              </w:rPr>
              <w:t>178062PD6</w:t>
            </w:r>
          </w:p>
        </w:tc>
      </w:tr>
      <w:tr w14:paraId="6EDF989A">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right w:val="single" w:color="auto" w:sz="4" w:space="0"/>
            </w:tcBorders>
            <w:noWrap w:val="0"/>
            <w:vAlign w:val="center"/>
          </w:tcPr>
          <w:p w14:paraId="71F3A8BE">
            <w:pPr>
              <w:jc w:val="center"/>
            </w:pPr>
          </w:p>
        </w:tc>
        <w:tc>
          <w:tcPr>
            <w:tcW w:w="1575" w:type="dxa"/>
            <w:vMerge w:val="continue"/>
            <w:tcBorders>
              <w:left w:val="single" w:color="auto" w:sz="4" w:space="0"/>
              <w:right w:val="single" w:color="auto" w:sz="4" w:space="0"/>
            </w:tcBorders>
            <w:noWrap w:val="0"/>
            <w:vAlign w:val="center"/>
          </w:tcPr>
          <w:p w14:paraId="2A2D0BA3">
            <w:pPr>
              <w:jc w:val="center"/>
              <w:rPr>
                <w:rFonts w:hint="eastAsia"/>
                <w:lang w:eastAsia="zh-CN"/>
              </w:rPr>
            </w:pPr>
          </w:p>
        </w:tc>
        <w:tc>
          <w:tcPr>
            <w:tcW w:w="959" w:type="dxa"/>
            <w:vMerge w:val="continue"/>
            <w:tcBorders>
              <w:left w:val="single" w:color="auto" w:sz="4" w:space="0"/>
              <w:right w:val="single" w:color="auto" w:sz="4" w:space="0"/>
            </w:tcBorders>
            <w:noWrap w:val="0"/>
            <w:vAlign w:val="center"/>
          </w:tcPr>
          <w:p w14:paraId="3A4FEC3F">
            <w:pPr>
              <w:jc w:val="center"/>
              <w:rPr>
                <w:rFonts w:hint="eastAsia"/>
                <w:lang w:eastAsia="zh-CN"/>
              </w:rPr>
            </w:pPr>
          </w:p>
        </w:tc>
        <w:tc>
          <w:tcPr>
            <w:tcW w:w="1231" w:type="dxa"/>
            <w:vMerge w:val="continue"/>
            <w:tcBorders>
              <w:left w:val="single" w:color="auto" w:sz="4" w:space="0"/>
              <w:right w:val="single" w:color="auto" w:sz="4" w:space="0"/>
            </w:tcBorders>
            <w:noWrap w:val="0"/>
            <w:vAlign w:val="center"/>
          </w:tcPr>
          <w:p w14:paraId="63E700B9">
            <w:pPr>
              <w:jc w:val="center"/>
              <w:rPr>
                <w:rFonts w:hint="eastAsia"/>
                <w:lang w:eastAsia="zh-CN"/>
              </w:rPr>
            </w:pPr>
          </w:p>
        </w:tc>
        <w:tc>
          <w:tcPr>
            <w:tcW w:w="1020" w:type="dxa"/>
            <w:vMerge w:val="continue"/>
            <w:tcBorders>
              <w:left w:val="single" w:color="auto" w:sz="4" w:space="0"/>
              <w:right w:val="single" w:color="auto" w:sz="4" w:space="0"/>
            </w:tcBorders>
            <w:noWrap w:val="0"/>
            <w:vAlign w:val="center"/>
          </w:tcPr>
          <w:p w14:paraId="223F02BC">
            <w:pPr>
              <w:jc w:val="center"/>
              <w:rPr>
                <w:rFonts w:hint="eastAsia"/>
                <w:lang w:eastAsia="zh-CN"/>
              </w:rPr>
            </w:pPr>
          </w:p>
        </w:tc>
        <w:tc>
          <w:tcPr>
            <w:tcW w:w="1275" w:type="dxa"/>
            <w:tcBorders>
              <w:top w:val="single" w:color="auto" w:sz="4" w:space="0"/>
              <w:left w:val="nil"/>
              <w:bottom w:val="single" w:color="auto" w:sz="4" w:space="0"/>
              <w:right w:val="single" w:color="auto" w:sz="4" w:space="0"/>
            </w:tcBorders>
            <w:noWrap/>
            <w:vAlign w:val="center"/>
          </w:tcPr>
          <w:p w14:paraId="3B625BE7">
            <w:pPr>
              <w:jc w:val="center"/>
              <w:rPr>
                <w:rFonts w:hint="eastAsia"/>
                <w:lang w:eastAsia="zh-CN"/>
              </w:rPr>
            </w:pPr>
            <w:r>
              <w:rPr>
                <w:rFonts w:hint="eastAsia"/>
                <w:lang w:val="en-US" w:eastAsia="zh-CN"/>
              </w:rPr>
              <w:t>M5Sc-D</w:t>
            </w:r>
          </w:p>
        </w:tc>
        <w:tc>
          <w:tcPr>
            <w:tcW w:w="1440" w:type="dxa"/>
            <w:tcBorders>
              <w:top w:val="single" w:color="auto" w:sz="4" w:space="0"/>
              <w:left w:val="nil"/>
              <w:bottom w:val="single" w:color="auto" w:sz="4" w:space="0"/>
              <w:right w:val="single" w:color="auto" w:sz="4" w:space="0"/>
            </w:tcBorders>
            <w:noWrap/>
            <w:vAlign w:val="center"/>
          </w:tcPr>
          <w:p w14:paraId="25A1F7C3">
            <w:pPr>
              <w:jc w:val="center"/>
              <w:rPr>
                <w:rFonts w:hint="eastAsia"/>
                <w:lang w:eastAsia="zh-CN"/>
              </w:rPr>
            </w:pPr>
            <w:r>
              <w:rPr>
                <w:rFonts w:hint="eastAsia"/>
                <w:lang w:val="en-US" w:eastAsia="zh-CN"/>
              </w:rPr>
              <w:t>330934YP1</w:t>
            </w:r>
          </w:p>
        </w:tc>
      </w:tr>
      <w:tr w14:paraId="3635429B">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right w:val="single" w:color="auto" w:sz="4" w:space="0"/>
            </w:tcBorders>
            <w:noWrap w:val="0"/>
            <w:vAlign w:val="center"/>
          </w:tcPr>
          <w:p w14:paraId="30CB91DD">
            <w:pPr>
              <w:jc w:val="center"/>
              <w:rPr>
                <w:rFonts w:hint="eastAsia"/>
                <w:lang w:eastAsia="zh-CN"/>
              </w:rPr>
            </w:pPr>
          </w:p>
        </w:tc>
        <w:tc>
          <w:tcPr>
            <w:tcW w:w="1575" w:type="dxa"/>
            <w:vMerge w:val="continue"/>
            <w:tcBorders>
              <w:left w:val="single" w:color="auto" w:sz="4" w:space="0"/>
              <w:right w:val="single" w:color="auto" w:sz="4" w:space="0"/>
            </w:tcBorders>
            <w:noWrap w:val="0"/>
            <w:vAlign w:val="center"/>
          </w:tcPr>
          <w:p w14:paraId="209BD9DC">
            <w:pPr>
              <w:jc w:val="center"/>
              <w:rPr>
                <w:rFonts w:hint="eastAsia"/>
                <w:lang w:eastAsia="zh-CN"/>
              </w:rPr>
            </w:pPr>
          </w:p>
        </w:tc>
        <w:tc>
          <w:tcPr>
            <w:tcW w:w="959" w:type="dxa"/>
            <w:vMerge w:val="continue"/>
            <w:tcBorders>
              <w:left w:val="single" w:color="auto" w:sz="4" w:space="0"/>
              <w:right w:val="single" w:color="auto" w:sz="4" w:space="0"/>
            </w:tcBorders>
            <w:noWrap w:val="0"/>
            <w:vAlign w:val="center"/>
          </w:tcPr>
          <w:p w14:paraId="1BBA1D67">
            <w:pPr>
              <w:jc w:val="center"/>
              <w:rPr>
                <w:rFonts w:hint="eastAsia"/>
                <w:lang w:eastAsia="zh-CN"/>
              </w:rPr>
            </w:pPr>
          </w:p>
        </w:tc>
        <w:tc>
          <w:tcPr>
            <w:tcW w:w="1231" w:type="dxa"/>
            <w:vMerge w:val="continue"/>
            <w:tcBorders>
              <w:left w:val="single" w:color="auto" w:sz="4" w:space="0"/>
              <w:right w:val="single" w:color="auto" w:sz="4" w:space="0"/>
            </w:tcBorders>
            <w:noWrap w:val="0"/>
            <w:vAlign w:val="center"/>
          </w:tcPr>
          <w:p w14:paraId="5EA6632C">
            <w:pPr>
              <w:jc w:val="center"/>
              <w:rPr>
                <w:rFonts w:hint="eastAsia"/>
                <w:lang w:eastAsia="zh-CN"/>
              </w:rPr>
            </w:pPr>
          </w:p>
        </w:tc>
        <w:tc>
          <w:tcPr>
            <w:tcW w:w="1020" w:type="dxa"/>
            <w:vMerge w:val="continue"/>
            <w:tcBorders>
              <w:left w:val="single" w:color="auto" w:sz="4" w:space="0"/>
              <w:right w:val="single" w:color="auto" w:sz="4" w:space="0"/>
            </w:tcBorders>
            <w:noWrap w:val="0"/>
            <w:vAlign w:val="center"/>
          </w:tcPr>
          <w:p w14:paraId="038D5ED7">
            <w:pPr>
              <w:jc w:val="center"/>
              <w:rPr>
                <w:rFonts w:hint="eastAsia"/>
                <w:lang w:eastAsia="zh-CN"/>
              </w:rPr>
            </w:pPr>
          </w:p>
        </w:tc>
        <w:tc>
          <w:tcPr>
            <w:tcW w:w="1275" w:type="dxa"/>
            <w:tcBorders>
              <w:top w:val="single" w:color="auto" w:sz="4" w:space="0"/>
              <w:left w:val="nil"/>
              <w:bottom w:val="single" w:color="auto" w:sz="4" w:space="0"/>
              <w:right w:val="single" w:color="auto" w:sz="4" w:space="0"/>
            </w:tcBorders>
            <w:noWrap/>
            <w:vAlign w:val="center"/>
          </w:tcPr>
          <w:p w14:paraId="5FFD85CE">
            <w:pPr>
              <w:jc w:val="center"/>
              <w:rPr>
                <w:rFonts w:hint="eastAsia"/>
                <w:lang w:eastAsia="zh-CN"/>
              </w:rPr>
            </w:pPr>
            <w:r>
              <w:rPr>
                <w:rFonts w:hint="eastAsia"/>
                <w:lang w:val="en-US" w:eastAsia="zh-CN"/>
              </w:rPr>
              <w:t>9L-D</w:t>
            </w:r>
          </w:p>
        </w:tc>
        <w:tc>
          <w:tcPr>
            <w:tcW w:w="1440" w:type="dxa"/>
            <w:tcBorders>
              <w:top w:val="single" w:color="auto" w:sz="4" w:space="0"/>
              <w:left w:val="nil"/>
              <w:bottom w:val="single" w:color="auto" w:sz="4" w:space="0"/>
              <w:right w:val="single" w:color="auto" w:sz="4" w:space="0"/>
            </w:tcBorders>
            <w:noWrap/>
            <w:vAlign w:val="center"/>
          </w:tcPr>
          <w:p w14:paraId="05A1A65A">
            <w:pPr>
              <w:jc w:val="center"/>
              <w:rPr>
                <w:rFonts w:hint="eastAsia"/>
                <w:lang w:eastAsia="zh-CN"/>
              </w:rPr>
            </w:pPr>
            <w:r>
              <w:rPr>
                <w:rFonts w:hint="eastAsia"/>
                <w:lang w:val="en-US" w:eastAsia="zh-CN"/>
              </w:rPr>
              <w:t>204758WP7</w:t>
            </w:r>
          </w:p>
        </w:tc>
      </w:tr>
      <w:tr w14:paraId="5BF0355E">
        <w:tblPrEx>
          <w:tblCellMar>
            <w:top w:w="0" w:type="dxa"/>
            <w:left w:w="108" w:type="dxa"/>
            <w:bottom w:w="0" w:type="dxa"/>
            <w:right w:w="108" w:type="dxa"/>
          </w:tblCellMar>
        </w:tblPrEx>
        <w:trPr>
          <w:trHeight w:val="96" w:hRule="atLeast"/>
          <w:jc w:val="center"/>
        </w:trPr>
        <w:tc>
          <w:tcPr>
            <w:tcW w:w="750" w:type="dxa"/>
            <w:vMerge w:val="continue"/>
            <w:tcBorders>
              <w:left w:val="single" w:color="auto" w:sz="4" w:space="0"/>
              <w:bottom w:val="single" w:color="auto" w:sz="4" w:space="0"/>
              <w:right w:val="single" w:color="auto" w:sz="4" w:space="0"/>
            </w:tcBorders>
            <w:noWrap w:val="0"/>
            <w:vAlign w:val="center"/>
          </w:tcPr>
          <w:p w14:paraId="1D16F37E">
            <w:pPr>
              <w:jc w:val="center"/>
              <w:rPr>
                <w:rFonts w:hint="eastAsia"/>
                <w:lang w:eastAsia="zh-CN"/>
              </w:rPr>
            </w:pPr>
          </w:p>
        </w:tc>
        <w:tc>
          <w:tcPr>
            <w:tcW w:w="1575" w:type="dxa"/>
            <w:vMerge w:val="continue"/>
            <w:tcBorders>
              <w:left w:val="single" w:color="auto" w:sz="4" w:space="0"/>
              <w:bottom w:val="single" w:color="auto" w:sz="4" w:space="0"/>
              <w:right w:val="single" w:color="auto" w:sz="4" w:space="0"/>
            </w:tcBorders>
            <w:noWrap w:val="0"/>
            <w:vAlign w:val="center"/>
          </w:tcPr>
          <w:p w14:paraId="5875A24A">
            <w:pPr>
              <w:jc w:val="center"/>
              <w:rPr>
                <w:rFonts w:hint="eastAsia"/>
                <w:lang w:eastAsia="zh-CN"/>
              </w:rPr>
            </w:pPr>
          </w:p>
        </w:tc>
        <w:tc>
          <w:tcPr>
            <w:tcW w:w="959" w:type="dxa"/>
            <w:vMerge w:val="continue"/>
            <w:tcBorders>
              <w:left w:val="single" w:color="auto" w:sz="4" w:space="0"/>
              <w:bottom w:val="single" w:color="auto" w:sz="4" w:space="0"/>
              <w:right w:val="single" w:color="auto" w:sz="4" w:space="0"/>
            </w:tcBorders>
            <w:noWrap w:val="0"/>
            <w:vAlign w:val="center"/>
          </w:tcPr>
          <w:p w14:paraId="4917E73F">
            <w:pPr>
              <w:jc w:val="center"/>
              <w:rPr>
                <w:rFonts w:hint="eastAsia"/>
                <w:lang w:eastAsia="zh-CN"/>
              </w:rPr>
            </w:pPr>
          </w:p>
        </w:tc>
        <w:tc>
          <w:tcPr>
            <w:tcW w:w="1231" w:type="dxa"/>
            <w:vMerge w:val="continue"/>
            <w:tcBorders>
              <w:left w:val="single" w:color="auto" w:sz="4" w:space="0"/>
              <w:bottom w:val="single" w:color="auto" w:sz="4" w:space="0"/>
              <w:right w:val="single" w:color="auto" w:sz="4" w:space="0"/>
            </w:tcBorders>
            <w:noWrap w:val="0"/>
            <w:vAlign w:val="center"/>
          </w:tcPr>
          <w:p w14:paraId="0CB21CFD">
            <w:pPr>
              <w:jc w:val="center"/>
              <w:rPr>
                <w:rFonts w:hint="eastAsia"/>
                <w:lang w:eastAsia="zh-CN"/>
              </w:rPr>
            </w:pPr>
          </w:p>
        </w:tc>
        <w:tc>
          <w:tcPr>
            <w:tcW w:w="1020" w:type="dxa"/>
            <w:vMerge w:val="continue"/>
            <w:tcBorders>
              <w:left w:val="single" w:color="auto" w:sz="4" w:space="0"/>
              <w:bottom w:val="single" w:color="auto" w:sz="4" w:space="0"/>
              <w:right w:val="single" w:color="auto" w:sz="4" w:space="0"/>
            </w:tcBorders>
            <w:noWrap w:val="0"/>
            <w:vAlign w:val="center"/>
          </w:tcPr>
          <w:p w14:paraId="1E53D679">
            <w:pPr>
              <w:jc w:val="center"/>
              <w:rPr>
                <w:rFonts w:hint="eastAsia"/>
                <w:lang w:eastAsia="zh-CN"/>
              </w:rPr>
            </w:pPr>
          </w:p>
        </w:tc>
        <w:tc>
          <w:tcPr>
            <w:tcW w:w="1275" w:type="dxa"/>
            <w:tcBorders>
              <w:top w:val="single" w:color="auto" w:sz="4" w:space="0"/>
              <w:left w:val="nil"/>
              <w:bottom w:val="single" w:color="auto" w:sz="4" w:space="0"/>
              <w:right w:val="single" w:color="auto" w:sz="4" w:space="0"/>
            </w:tcBorders>
            <w:noWrap/>
            <w:vAlign w:val="center"/>
          </w:tcPr>
          <w:p w14:paraId="33774405">
            <w:pPr>
              <w:jc w:val="center"/>
              <w:rPr>
                <w:rFonts w:hint="eastAsia"/>
                <w:lang w:eastAsia="zh-CN"/>
              </w:rPr>
            </w:pPr>
            <w:r>
              <w:rPr>
                <w:rFonts w:hint="eastAsia"/>
                <w:lang w:val="en-US" w:eastAsia="zh-CN"/>
              </w:rPr>
              <w:t>C1-6-D</w:t>
            </w:r>
          </w:p>
        </w:tc>
        <w:tc>
          <w:tcPr>
            <w:tcW w:w="1440" w:type="dxa"/>
            <w:tcBorders>
              <w:top w:val="single" w:color="auto" w:sz="4" w:space="0"/>
              <w:left w:val="nil"/>
              <w:bottom w:val="single" w:color="auto" w:sz="4" w:space="0"/>
              <w:right w:val="single" w:color="auto" w:sz="4" w:space="0"/>
            </w:tcBorders>
            <w:noWrap/>
            <w:vAlign w:val="center"/>
          </w:tcPr>
          <w:p w14:paraId="396D1BFA">
            <w:pPr>
              <w:jc w:val="center"/>
              <w:rPr>
                <w:rFonts w:hint="eastAsia"/>
                <w:lang w:eastAsia="zh-CN"/>
              </w:rPr>
            </w:pPr>
            <w:r>
              <w:rPr>
                <w:rFonts w:hint="eastAsia"/>
                <w:lang w:val="en-US" w:eastAsia="zh-CN"/>
              </w:rPr>
              <w:t>295352YP9</w:t>
            </w:r>
          </w:p>
        </w:tc>
      </w:tr>
    </w:tbl>
    <w:p w14:paraId="56FB49EC">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进行整机全保服务（包括主机、探头和软件），除维保费外，所有维修维保服务采购人无需另付任何费用。</w:t>
      </w:r>
    </w:p>
    <w:p w14:paraId="6C87FA79">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2、服务期限：3年，维保服务具体时间以合同约定为准。</w:t>
      </w:r>
    </w:p>
    <w:p w14:paraId="258AE0E3">
      <w:pPr>
        <w:ind w:firstLine="211" w:firstLineChars="100"/>
        <w:rPr>
          <w:rFonts w:hint="eastAsia" w:eastAsia="宋体"/>
          <w:b/>
          <w:lang w:eastAsia="zh-CN"/>
        </w:rPr>
      </w:pPr>
      <w:r>
        <w:rPr>
          <w:rFonts w:hint="eastAsia"/>
          <w:b/>
        </w:rPr>
        <w:t>三、服务要求</w:t>
      </w:r>
      <w:r>
        <w:rPr>
          <w:rFonts w:hint="eastAsia"/>
          <w:b/>
          <w:lang w:eastAsia="zh-CN"/>
        </w:rPr>
        <w:t>：</w:t>
      </w:r>
    </w:p>
    <w:p w14:paraId="7CD6AEE7">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1、探头更换：投标人在整个服务合同期间需提供6次全新原厂探头免费更换，所更换探头须支持上述维保彩超型号但不局限于使用在上述设备，探头更换标准以临床需要为原则，维修探头时提供备用探头。</w:t>
      </w:r>
    </w:p>
    <w:p w14:paraId="6128BC7A">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2、服务响应时间：投标人提供365天×24小时×3年的技术服务及不限次数的人工上门维修。维保服务期内维保设备维护、维修所发生的所有费用（更换零部件费，人工费和出差费等）均由投标人承担。电话响应时间：1小时，收到现场服务请求后24小时内到达维保设备现场（不可抗力除外）。安全检查和维护保养提前预约服务时间，尽量不影响日常诊疗工作。</w:t>
      </w:r>
    </w:p>
    <w:p w14:paraId="47E87D00">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3、开机率承诺：投标人保证设备年开机率≥95%（按一年365天，每天24小时计算）。若设备开机率低于95%，停机时间每超过一天顺延七天维保期。并承担由此给采购人造成的损失。</w:t>
      </w:r>
    </w:p>
    <w:p w14:paraId="07861D55">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4、安全检查和预防性维护保养：投标人每年提供4次安全检查和预防性维护保养，安全检查和保养包括但不限于以下内容：机械安全检查、影像质量检查，设备除尘保养，运行状态检查、电气安全检查、性能测试及校准，以及非紧急性质的预防性维护，提供保养检测报告，保证超声设备处于最佳运行状态。每年至少提供一次应用工程师上门设备调试和医生培训服务。</w:t>
      </w:r>
    </w:p>
    <w:p w14:paraId="272BB3BA">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5、达标要求：投标人保证维保设备的全部性能监测指标达标，能通过计量测试检定并取得计量检定合格证书。</w:t>
      </w:r>
    </w:p>
    <w:p w14:paraId="2C60F7B5">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6、服务热线电话：投标人提供技术服务热线电话供采购人与投标人的技术专家进行交流，保证及时获得在线技术支持和维修诊断。</w:t>
      </w:r>
    </w:p>
    <w:p w14:paraId="0CBAAC6E">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7、零备件保障要求：投标人在国内设有配件品仓库及维保设备的全套配件，当设备出现故障时，保证配件48小时内抵达用户现场（提供相关配件库证明文件）。</w:t>
      </w:r>
    </w:p>
    <w:p w14:paraId="4628E2FC">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8、维保服务报告：投标人提供维保服务时，按要求在采购人的设备管理部门进行备案，完成相关服务后，须在采购人的设备科、使用科室保留原始工作记录（维修工单及保养清单），并经双方签字确认，每年须出具年度维保服务报告。</w:t>
      </w:r>
    </w:p>
    <w:p w14:paraId="04000096">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9、零备件质量要求：投标人保证维修所提供零备件为原厂生产或原厂认证许可使用的配件、损耗品进行维修、保养，确保维修后的设备达到原厂合格标准及相应的国家质量标准要求。</w:t>
      </w:r>
    </w:p>
    <w:p w14:paraId="1892095E">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lang w:val="en-US" w:eastAsia="zh-CN"/>
        </w:rPr>
      </w:pPr>
      <w:r>
        <w:rPr>
          <w:rFonts w:hint="eastAsia"/>
          <w:lang w:val="en-US" w:eastAsia="zh-CN"/>
        </w:rPr>
        <w:t>10、零备件质保要求：配件质保期为6个月，如合同结束，该配件质保期顺延；投标人须妥善维修顺延期该配件发生的故障。</w:t>
      </w:r>
    </w:p>
    <w:p w14:paraId="257D1A54">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11、应急处理要求：投标人3日内不能修复超声探头故障，必须在24小时内提供备用探头；5日内无法修复设备故障，投标人提供备用彩超供采购人应急使用。</w:t>
      </w:r>
    </w:p>
    <w:p w14:paraId="0D14A53E">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12、维保能力要求：投标人具备必要的维保能力；（须提供3份与采购人同品牌彩超三甲医院维保合同复印件）</w:t>
      </w:r>
    </w:p>
    <w:p w14:paraId="57AA5C89">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lang w:val="en-US" w:eastAsia="zh-CN"/>
        </w:rPr>
      </w:pPr>
      <w:r>
        <w:rPr>
          <w:rFonts w:hint="eastAsia"/>
          <w:lang w:val="en-US" w:eastAsia="zh-CN"/>
        </w:rPr>
        <w:t>13、服务质量考核：维保期内，采购人每半年对中标人提供的服务质量进行考核（包括：开机率、响应时间、故障排除及维保服务条款履行情况等）。若考核不合格，采购人有权解除合同并要求中标方赔偿由于设备停机造成的直接和间接损失。</w:t>
      </w:r>
    </w:p>
    <w:p w14:paraId="2E8CBA3A">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default"/>
          <w:lang w:val="en-US" w:eastAsia="zh-CN"/>
        </w:rPr>
      </w:pPr>
      <w:r>
        <w:rPr>
          <w:rFonts w:hint="eastAsia"/>
          <w:lang w:val="en-US" w:eastAsia="zh-CN"/>
        </w:rPr>
        <w:t>14、其它：如果因其它原因设备不再使用（如：提前报废、病人急剧减少等原因，造成此设备不再使用），医院提前一个月书面通知投标人，按日计算合同金额维保费用余款一次性付清。</w:t>
      </w:r>
    </w:p>
    <w:p w14:paraId="5E7E603E">
      <w:pPr>
        <w:pStyle w:val="21"/>
        <w:adjustRightInd w:val="0"/>
        <w:snapToGrid w:val="0"/>
        <w:spacing w:line="360" w:lineRule="auto"/>
        <w:jc w:val="center"/>
        <w:outlineLvl w:val="0"/>
        <w:rPr>
          <w:rFonts w:hint="eastAsia"/>
          <w:lang w:val="en-US" w:eastAsia="zh-CN"/>
        </w:rPr>
      </w:pPr>
      <w:r>
        <w:rPr>
          <w:rFonts w:hint="eastAsia"/>
          <w:b/>
          <w:bCs/>
          <w:lang w:val="en-US" w:eastAsia="zh-CN"/>
        </w:rPr>
        <w:t xml:space="preserve">  四、付款方式：</w:t>
      </w:r>
      <w:r>
        <w:rPr>
          <w:rFonts w:hint="eastAsia"/>
          <w:lang w:val="en-US" w:eastAsia="zh-CN"/>
        </w:rPr>
        <w:t>先服务后付款。设备维保款分6期支付，每期支付维保总费用的1/6。每半年</w:t>
      </w:r>
    </w:p>
    <w:p w14:paraId="0B11D3C3">
      <w:pPr>
        <w:pStyle w:val="21"/>
        <w:adjustRightInd w:val="0"/>
        <w:snapToGrid w:val="0"/>
        <w:spacing w:line="360" w:lineRule="auto"/>
        <w:jc w:val="both"/>
        <w:outlineLvl w:val="0"/>
        <w:rPr>
          <w:rFonts w:hint="eastAsia" w:ascii="方正小标宋简体" w:hAnsi="方正小标宋简体" w:eastAsia="方正小标宋简体" w:cs="方正小标宋简体"/>
          <w:b w:val="0"/>
          <w:bCs/>
          <w:sz w:val="36"/>
          <w:szCs w:val="36"/>
        </w:rPr>
      </w:pPr>
      <w:r>
        <w:rPr>
          <w:rFonts w:hint="eastAsia"/>
          <w:lang w:val="en-US" w:eastAsia="zh-CN"/>
        </w:rPr>
        <w:t>考核周期满后凭投标人开具的正规发票及考核合格报告支付当期款项。</w:t>
      </w:r>
    </w:p>
    <w:p w14:paraId="7970046A">
      <w:pPr>
        <w:pStyle w:val="21"/>
        <w:adjustRightInd w:val="0"/>
        <w:snapToGrid w:val="0"/>
        <w:spacing w:line="360" w:lineRule="auto"/>
        <w:jc w:val="center"/>
        <w:outlineLvl w:val="0"/>
        <w:rPr>
          <w:rFonts w:hint="eastAsia" w:ascii="方正小标宋简体" w:hAnsi="方正小标宋简体" w:eastAsia="方正小标宋简体" w:cs="方正小标宋简体"/>
          <w:b w:val="0"/>
          <w:bCs/>
          <w:sz w:val="36"/>
          <w:szCs w:val="36"/>
        </w:rPr>
      </w:pPr>
      <w:r>
        <w:rPr>
          <w:rFonts w:hint="eastAsia" w:ascii="方正小标宋简体" w:hAnsi="方正小标宋简体" w:eastAsia="方正小标宋简体" w:cs="方正小标宋简体"/>
          <w:b w:val="0"/>
          <w:bCs/>
          <w:sz w:val="36"/>
          <w:szCs w:val="36"/>
        </w:rPr>
        <w:t>第六章 政府采购合同</w:t>
      </w:r>
      <w:bookmarkEnd w:id="35"/>
    </w:p>
    <w:p w14:paraId="7FBD48C8">
      <w:pPr>
        <w:pStyle w:val="3"/>
        <w:adjustRightInd w:val="0"/>
        <w:snapToGrid w:val="0"/>
        <w:jc w:val="center"/>
        <w:rPr>
          <w:rFonts w:hint="eastAsia" w:ascii="方正小标宋简体" w:hAnsi="方正小标宋简体" w:eastAsia="方正小标宋简体" w:cs="方正小标宋简体"/>
          <w:b w:val="0"/>
          <w:bCs w:val="0"/>
          <w:sz w:val="32"/>
          <w:szCs w:val="32"/>
        </w:rPr>
      </w:pPr>
      <w:bookmarkStart w:id="36" w:name="_Toc29913945"/>
      <w:r>
        <w:rPr>
          <w:rFonts w:hint="eastAsia" w:ascii="方正小标宋简体" w:hAnsi="方正小标宋简体" w:eastAsia="方正小标宋简体" w:cs="方正小标宋简体"/>
          <w:b w:val="0"/>
          <w:bCs w:val="0"/>
          <w:sz w:val="32"/>
          <w:szCs w:val="32"/>
        </w:rPr>
        <w:t>第一节 政府采购合同协议书</w:t>
      </w:r>
      <w:bookmarkEnd w:id="36"/>
    </w:p>
    <w:p w14:paraId="2168590E">
      <w:pPr>
        <w:adjustRightInd w:val="0"/>
        <w:snapToGrid w:val="0"/>
        <w:spacing w:beforeLines="50" w:line="360" w:lineRule="auto"/>
        <w:ind w:firstLine="5460" w:firstLineChars="26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采购合同编号：</w:t>
      </w:r>
    </w:p>
    <w:p w14:paraId="503DFDDA">
      <w:pPr>
        <w:keepNext w:val="0"/>
        <w:keepLines w:val="0"/>
        <w:pageBreakBefore w:val="0"/>
        <w:widowControl w:val="0"/>
        <w:kinsoku/>
        <w:wordWrap/>
        <w:overflowPunct/>
        <w:topLinePunct w:val="0"/>
        <w:autoSpaceDE/>
        <w:autoSpaceDN/>
        <w:bidi w:val="0"/>
        <w:adjustRightInd w:val="0"/>
        <w:snapToGrid w:val="0"/>
        <w:spacing w:beforeLines="50" w:line="360" w:lineRule="exact"/>
        <w:textAlignment w:val="auto"/>
        <w:rPr>
          <w:rFonts w:asciiTheme="minorEastAsia" w:hAnsiTheme="minorEastAsia" w:eastAsiaTheme="minorEastAsia"/>
          <w:color w:val="000000" w:themeColor="text1"/>
          <w:szCs w:val="21"/>
          <w:u w:val="thick"/>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采购人（全称）：（甲方）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p>
    <w:p w14:paraId="3A01EAA8">
      <w:pPr>
        <w:keepNext w:val="0"/>
        <w:keepLines w:val="0"/>
        <w:pageBreakBefore w:val="0"/>
        <w:widowControl w:val="0"/>
        <w:kinsoku/>
        <w:wordWrap/>
        <w:overflowPunct/>
        <w:topLinePunct w:val="0"/>
        <w:autoSpaceDE/>
        <w:autoSpaceDN/>
        <w:bidi w:val="0"/>
        <w:adjustRightInd w:val="0"/>
        <w:snapToGrid w:val="0"/>
        <w:spacing w:beforeLines="50" w:line="360" w:lineRule="exact"/>
        <w:textAlignment w:val="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供应商（全称）：（乙方）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4124353C">
      <w:pPr>
        <w:pStyle w:val="17"/>
        <w:keepNext w:val="0"/>
        <w:keepLines w:val="0"/>
        <w:pageBreakBefore w:val="0"/>
        <w:widowControl w:val="0"/>
        <w:kinsoku/>
        <w:wordWrap/>
        <w:overflowPunct/>
        <w:topLinePunct w:val="0"/>
        <w:autoSpaceDE/>
        <w:autoSpaceDN/>
        <w:bidi w:val="0"/>
        <w:adjustRightInd w:val="0"/>
        <w:snapToGrid w:val="0"/>
        <w:spacing w:beforeLines="50" w:after="0" w:line="360" w:lineRule="exact"/>
        <w:ind w:left="0" w:leftChars="0"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为了保护甲、乙双方合法权益，根据《中华人民共和国合同法》、《中华人民共和国政府采购法》及其他有关法律、法规、规章，双方签订本合同协议书。</w:t>
      </w:r>
    </w:p>
    <w:p w14:paraId="1090EAE0">
      <w:pPr>
        <w:keepNext w:val="0"/>
        <w:keepLines w:val="0"/>
        <w:pageBreakBefore w:val="0"/>
        <w:widowControl w:val="0"/>
        <w:kinsoku/>
        <w:wordWrap/>
        <w:overflowPunct/>
        <w:topLinePunct w:val="0"/>
        <w:autoSpaceDE/>
        <w:autoSpaceDN/>
        <w:bidi w:val="0"/>
        <w:adjustRightInd w:val="0"/>
        <w:snapToGrid w:val="0"/>
        <w:spacing w:beforeLines="50" w:line="360" w:lineRule="exact"/>
        <w:textAlignment w:val="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1.项目信息</w:t>
      </w:r>
    </w:p>
    <w:p w14:paraId="4331F67C">
      <w:pPr>
        <w:pStyle w:val="17"/>
        <w:keepNext w:val="0"/>
        <w:keepLines w:val="0"/>
        <w:pageBreakBefore w:val="0"/>
        <w:widowControl w:val="0"/>
        <w:kinsoku/>
        <w:wordWrap/>
        <w:overflowPunct/>
        <w:topLinePunct w:val="0"/>
        <w:autoSpaceDE/>
        <w:autoSpaceDN/>
        <w:bidi w:val="0"/>
        <w:adjustRightInd w:val="0"/>
        <w:snapToGrid w:val="0"/>
        <w:spacing w:beforeLines="50" w:after="0" w:line="360" w:lineRule="exact"/>
        <w:textAlignment w:val="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（1）采购项目名称：</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04828F1E">
      <w:pPr>
        <w:pStyle w:val="17"/>
        <w:keepNext w:val="0"/>
        <w:keepLines w:val="0"/>
        <w:pageBreakBefore w:val="0"/>
        <w:widowControl w:val="0"/>
        <w:kinsoku/>
        <w:wordWrap/>
        <w:overflowPunct/>
        <w:topLinePunct w:val="0"/>
        <w:autoSpaceDE/>
        <w:autoSpaceDN/>
        <w:bidi w:val="0"/>
        <w:adjustRightInd w:val="0"/>
        <w:snapToGrid w:val="0"/>
        <w:spacing w:beforeLines="50" w:after="0" w:line="360" w:lineRule="exact"/>
        <w:textAlignment w:val="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（2）采购计划编号：</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2DA2DD69">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（3）项目内容：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36AFCBEF">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（4）项目负责人：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w:t>
      </w:r>
    </w:p>
    <w:p w14:paraId="17CF50E2">
      <w:pPr>
        <w:keepNext w:val="0"/>
        <w:keepLines w:val="0"/>
        <w:pageBreakBefore w:val="0"/>
        <w:widowControl w:val="0"/>
        <w:kinsoku/>
        <w:wordWrap/>
        <w:overflowPunct/>
        <w:topLinePunct w:val="0"/>
        <w:autoSpaceDE/>
        <w:autoSpaceDN/>
        <w:bidi w:val="0"/>
        <w:adjustRightInd w:val="0"/>
        <w:snapToGrid w:val="0"/>
        <w:spacing w:beforeLines="50" w:line="360" w:lineRule="exact"/>
        <w:textAlignment w:val="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2.合同金额</w:t>
      </w:r>
    </w:p>
    <w:p w14:paraId="7084A8FD">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（1）合同金额小写：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大写：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5CF9DB51">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（2）具体标的见附件。</w:t>
      </w:r>
    </w:p>
    <w:p w14:paraId="65428DAC">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（3）合同价格形式：</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w:t>
      </w:r>
    </w:p>
    <w:p w14:paraId="0FD2E498">
      <w:pPr>
        <w:keepNext w:val="0"/>
        <w:keepLines w:val="0"/>
        <w:pageBreakBefore w:val="0"/>
        <w:widowControl w:val="0"/>
        <w:kinsoku/>
        <w:wordWrap/>
        <w:overflowPunct/>
        <w:topLinePunct w:val="0"/>
        <w:autoSpaceDE/>
        <w:autoSpaceDN/>
        <w:bidi w:val="0"/>
        <w:adjustRightInd w:val="0"/>
        <w:snapToGrid w:val="0"/>
        <w:spacing w:beforeLines="50" w:line="360" w:lineRule="exact"/>
        <w:textAlignment w:val="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3.履行合同的时间、地点及方式</w:t>
      </w:r>
    </w:p>
    <w:p w14:paraId="45923B14">
      <w:pPr>
        <w:keepNext w:val="0"/>
        <w:keepLines w:val="0"/>
        <w:pageBreakBefore w:val="0"/>
        <w:widowControl w:val="0"/>
        <w:kinsoku/>
        <w:wordWrap/>
        <w:overflowPunct/>
        <w:topLinePunct w:val="0"/>
        <w:autoSpaceDE/>
        <w:autoSpaceDN/>
        <w:bidi w:val="0"/>
        <w:adjustRightInd w:val="0"/>
        <w:snapToGrid w:val="0"/>
        <w:spacing w:beforeLines="50" w:line="360" w:lineRule="exact"/>
        <w:ind w:firstLine="630" w:firstLineChars="3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起始日期：</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月</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日，完成日期：</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月</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日。总日历天数：</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天。</w:t>
      </w:r>
    </w:p>
    <w:p w14:paraId="1957B2C5">
      <w:pPr>
        <w:keepNext w:val="0"/>
        <w:keepLines w:val="0"/>
        <w:pageBreakBefore w:val="0"/>
        <w:widowControl w:val="0"/>
        <w:kinsoku/>
        <w:wordWrap/>
        <w:overflowPunct/>
        <w:topLinePunct w:val="0"/>
        <w:autoSpaceDE/>
        <w:autoSpaceDN/>
        <w:bidi w:val="0"/>
        <w:adjustRightInd w:val="0"/>
        <w:snapToGrid w:val="0"/>
        <w:spacing w:beforeLines="50" w:line="360" w:lineRule="exact"/>
        <w:ind w:firstLine="630" w:firstLineChars="300"/>
        <w:textAlignment w:val="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地点</w:t>
      </w:r>
      <w:r>
        <w:rPr>
          <w:rFonts w:hint="eastAsia" w:asciiTheme="minorEastAsia" w:hAnsiTheme="minorEastAsia" w:eastAsiaTheme="minorEastAsia"/>
          <w:b/>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u w:val="single"/>
          <w14:textFill>
            <w14:solidFill>
              <w14:schemeClr w14:val="tx1"/>
            </w14:solidFill>
          </w14:textFill>
        </w:rPr>
        <w:t xml:space="preserve">                             </w:t>
      </w:r>
    </w:p>
    <w:p w14:paraId="0DEDDB34">
      <w:pPr>
        <w:keepNext w:val="0"/>
        <w:keepLines w:val="0"/>
        <w:pageBreakBefore w:val="0"/>
        <w:widowControl w:val="0"/>
        <w:kinsoku/>
        <w:wordWrap/>
        <w:overflowPunct/>
        <w:topLinePunct w:val="0"/>
        <w:autoSpaceDE/>
        <w:autoSpaceDN/>
        <w:bidi w:val="0"/>
        <w:adjustRightInd w:val="0"/>
        <w:snapToGrid w:val="0"/>
        <w:spacing w:beforeLines="50" w:line="360" w:lineRule="exact"/>
        <w:ind w:firstLine="630" w:firstLineChars="300"/>
        <w:textAlignment w:val="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方式：</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p>
    <w:p w14:paraId="104FBD8F">
      <w:pPr>
        <w:keepNext w:val="0"/>
        <w:keepLines w:val="0"/>
        <w:pageBreakBefore w:val="0"/>
        <w:widowControl w:val="0"/>
        <w:kinsoku/>
        <w:wordWrap/>
        <w:overflowPunct/>
        <w:topLinePunct w:val="0"/>
        <w:autoSpaceDE/>
        <w:autoSpaceDN/>
        <w:bidi w:val="0"/>
        <w:adjustRightInd w:val="0"/>
        <w:snapToGrid w:val="0"/>
        <w:spacing w:beforeLines="50" w:line="360" w:lineRule="exact"/>
        <w:textAlignment w:val="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4.付款：</w:t>
      </w:r>
    </w:p>
    <w:p w14:paraId="7E4910CC">
      <w:pPr>
        <w:keepNext w:val="0"/>
        <w:keepLines w:val="0"/>
        <w:pageBreakBefore w:val="0"/>
        <w:widowControl w:val="0"/>
        <w:kinsoku/>
        <w:wordWrap/>
        <w:overflowPunct/>
        <w:topLinePunct w:val="0"/>
        <w:autoSpaceDE/>
        <w:autoSpaceDN/>
        <w:bidi w:val="0"/>
        <w:adjustRightInd w:val="0"/>
        <w:snapToGrid w:val="0"/>
        <w:spacing w:beforeLines="50" w:line="360" w:lineRule="exact"/>
        <w:ind w:firstLine="210" w:firstLineChars="100"/>
        <w:textAlignment w:val="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w:t>
      </w:r>
    </w:p>
    <w:p w14:paraId="11DDDB51">
      <w:pPr>
        <w:keepNext w:val="0"/>
        <w:keepLines w:val="0"/>
        <w:pageBreakBefore w:val="0"/>
        <w:widowControl w:val="0"/>
        <w:kinsoku/>
        <w:wordWrap/>
        <w:overflowPunct/>
        <w:topLinePunct w:val="0"/>
        <w:autoSpaceDE/>
        <w:autoSpaceDN/>
        <w:bidi w:val="0"/>
        <w:adjustRightInd w:val="0"/>
        <w:snapToGrid w:val="0"/>
        <w:spacing w:beforeLines="50" w:line="360" w:lineRule="exact"/>
        <w:ind w:firstLine="210" w:firstLineChars="1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2、预付款根据采购文件的约定，在合同签订前提交不超过合同金额10%的履约担保。</w:t>
      </w:r>
    </w:p>
    <w:p w14:paraId="35510CB0">
      <w:pPr>
        <w:keepNext w:val="0"/>
        <w:keepLines w:val="0"/>
        <w:pageBreakBefore w:val="0"/>
        <w:widowControl w:val="0"/>
        <w:kinsoku/>
        <w:wordWrap/>
        <w:overflowPunct/>
        <w:topLinePunct w:val="0"/>
        <w:autoSpaceDE/>
        <w:autoSpaceDN/>
        <w:bidi w:val="0"/>
        <w:adjustRightInd w:val="0"/>
        <w:snapToGrid w:val="0"/>
        <w:spacing w:beforeLines="50" w:line="360" w:lineRule="exact"/>
        <w:ind w:firstLine="422" w:firstLineChars="200"/>
        <w:textAlignment w:val="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5.解决合同纠纷方式</w:t>
      </w:r>
    </w:p>
    <w:p w14:paraId="48609567">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首先通过双方协商解决，协商解决不成，则通过以下途径之一解决纠纷：</w:t>
      </w:r>
    </w:p>
    <w:p w14:paraId="220151AD">
      <w:pPr>
        <w:keepNext w:val="0"/>
        <w:keepLines w:val="0"/>
        <w:pageBreakBefore w:val="0"/>
        <w:widowControl w:val="0"/>
        <w:kinsoku/>
        <w:wordWrap/>
        <w:overflowPunct/>
        <w:topLinePunct w:val="0"/>
        <w:autoSpaceDE/>
        <w:autoSpaceDN/>
        <w:bidi w:val="0"/>
        <w:adjustRightInd w:val="0"/>
        <w:snapToGrid w:val="0"/>
        <w:spacing w:beforeLines="50" w:line="360" w:lineRule="exact"/>
        <w:ind w:firstLine="840" w:firstLineChars="4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提请仲裁       □ 向人民法院提起诉讼</w:t>
      </w:r>
    </w:p>
    <w:p w14:paraId="577B6F09">
      <w:pPr>
        <w:keepNext w:val="0"/>
        <w:keepLines w:val="0"/>
        <w:pageBreakBefore w:val="0"/>
        <w:widowControl w:val="0"/>
        <w:kinsoku/>
        <w:wordWrap/>
        <w:overflowPunct/>
        <w:topLinePunct w:val="0"/>
        <w:autoSpaceDE/>
        <w:autoSpaceDN/>
        <w:bidi w:val="0"/>
        <w:adjustRightInd w:val="0"/>
        <w:snapToGrid w:val="0"/>
        <w:spacing w:beforeLines="50" w:line="360" w:lineRule="exact"/>
        <w:ind w:firstLine="422" w:firstLineChars="200"/>
        <w:textAlignment w:val="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6.组成合同的文件</w:t>
      </w:r>
    </w:p>
    <w:p w14:paraId="2D59B408">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本协议书与下列文件一起构成合同文件，如下述文件之间有任何抵触、矛盾或歧义，应按以下顺序解释：</w:t>
      </w:r>
    </w:p>
    <w:p w14:paraId="2B01F046">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（1）在采购或合同履行过程中乙方作出的承诺以及双方协商达成的变更或补充协议</w:t>
      </w:r>
    </w:p>
    <w:p w14:paraId="01004440">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（2）本合同协议书</w:t>
      </w:r>
    </w:p>
    <w:p w14:paraId="01964E42">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（3）中标通知书</w:t>
      </w:r>
    </w:p>
    <w:p w14:paraId="4762CB7E">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（4）投标文件</w:t>
      </w:r>
    </w:p>
    <w:p w14:paraId="2115A591">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（5）政府采购合同专用条款</w:t>
      </w:r>
    </w:p>
    <w:p w14:paraId="78140C1D">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（6）政府采购合同通用条款</w:t>
      </w:r>
    </w:p>
    <w:p w14:paraId="08CBCD31">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（7）标准、规范及有关技术文件，图纸。</w:t>
      </w:r>
    </w:p>
    <w:p w14:paraId="2CE79214">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（8）其他合同文件。</w:t>
      </w:r>
    </w:p>
    <w:p w14:paraId="52B3EADC">
      <w:pPr>
        <w:keepNext w:val="0"/>
        <w:keepLines w:val="0"/>
        <w:pageBreakBefore w:val="0"/>
        <w:widowControl w:val="0"/>
        <w:kinsoku/>
        <w:wordWrap/>
        <w:overflowPunct/>
        <w:topLinePunct w:val="0"/>
        <w:autoSpaceDE/>
        <w:autoSpaceDN/>
        <w:bidi w:val="0"/>
        <w:adjustRightInd w:val="0"/>
        <w:snapToGrid w:val="0"/>
        <w:spacing w:beforeLines="50" w:line="360" w:lineRule="exact"/>
        <w:ind w:firstLine="310" w:firstLineChars="147"/>
        <w:textAlignment w:val="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7.合同生效</w:t>
      </w:r>
    </w:p>
    <w:p w14:paraId="125697BF">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本合同自生效。</w:t>
      </w:r>
    </w:p>
    <w:p w14:paraId="76299608">
      <w:pPr>
        <w:keepNext w:val="0"/>
        <w:keepLines w:val="0"/>
        <w:pageBreakBefore w:val="0"/>
        <w:widowControl w:val="0"/>
        <w:kinsoku/>
        <w:wordWrap/>
        <w:overflowPunct/>
        <w:topLinePunct w:val="0"/>
        <w:autoSpaceDE/>
        <w:autoSpaceDN/>
        <w:bidi w:val="0"/>
        <w:adjustRightInd w:val="0"/>
        <w:snapToGrid w:val="0"/>
        <w:spacing w:beforeLines="50" w:line="360" w:lineRule="exact"/>
        <w:ind w:firstLine="310" w:firstLineChars="147"/>
        <w:textAlignment w:val="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8.合同份数</w:t>
      </w:r>
    </w:p>
    <w:p w14:paraId="2849B404">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本合同一式份，采购人执份，供应商执份，均具有同等法律效力。</w:t>
      </w:r>
    </w:p>
    <w:p w14:paraId="3CCA3066">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合同订立时间：年月日</w:t>
      </w:r>
    </w:p>
    <w:p w14:paraId="21FEB2EE">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合同订立地点：</w:t>
      </w:r>
    </w:p>
    <w:p w14:paraId="14E11405">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甲      方：（公章）                     乙      方：（公章）</w:t>
      </w:r>
    </w:p>
    <w:p w14:paraId="6009088B">
      <w:pPr>
        <w:keepNext w:val="0"/>
        <w:keepLines w:val="0"/>
        <w:pageBreakBefore w:val="0"/>
        <w:widowControl w:val="0"/>
        <w:kinsoku/>
        <w:wordWrap/>
        <w:overflowPunct/>
        <w:topLinePunct w:val="0"/>
        <w:autoSpaceDE/>
        <w:autoSpaceDN/>
        <w:bidi w:val="0"/>
        <w:adjustRightInd w:val="0"/>
        <w:snapToGrid w:val="0"/>
        <w:spacing w:beforeLines="50" w:line="360" w:lineRule="exact"/>
        <w:ind w:firstLine="525" w:firstLineChars="25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法定代表人：                           法定代表人：</w:t>
      </w:r>
    </w:p>
    <w:p w14:paraId="5D4D9CF4">
      <w:pPr>
        <w:keepNext w:val="0"/>
        <w:keepLines w:val="0"/>
        <w:pageBreakBefore w:val="0"/>
        <w:widowControl w:val="0"/>
        <w:kinsoku/>
        <w:wordWrap/>
        <w:overflowPunct/>
        <w:topLinePunct w:val="0"/>
        <w:autoSpaceDE/>
        <w:autoSpaceDN/>
        <w:bidi w:val="0"/>
        <w:adjustRightInd w:val="0"/>
        <w:snapToGrid w:val="0"/>
        <w:spacing w:beforeLines="50" w:line="360" w:lineRule="exact"/>
        <w:ind w:firstLine="525" w:firstLineChars="25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委托代理人：                           委托代理人：</w:t>
      </w:r>
    </w:p>
    <w:p w14:paraId="23B71773">
      <w:pPr>
        <w:keepNext w:val="0"/>
        <w:keepLines w:val="0"/>
        <w:pageBreakBefore w:val="0"/>
        <w:widowControl w:val="0"/>
        <w:kinsoku/>
        <w:wordWrap/>
        <w:overflowPunct/>
        <w:topLinePunct w:val="0"/>
        <w:autoSpaceDE/>
        <w:autoSpaceDN/>
        <w:bidi w:val="0"/>
        <w:adjustRightInd w:val="0"/>
        <w:snapToGrid w:val="0"/>
        <w:spacing w:beforeLines="50" w:line="360" w:lineRule="exact"/>
        <w:ind w:firstLine="525" w:firstLineChars="25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      话：                           电      话：</w:t>
      </w:r>
    </w:p>
    <w:p w14:paraId="5105F246">
      <w:pPr>
        <w:keepNext w:val="0"/>
        <w:keepLines w:val="0"/>
        <w:pageBreakBefore w:val="0"/>
        <w:widowControl w:val="0"/>
        <w:kinsoku/>
        <w:wordWrap/>
        <w:overflowPunct/>
        <w:topLinePunct w:val="0"/>
        <w:autoSpaceDE/>
        <w:autoSpaceDN/>
        <w:bidi w:val="0"/>
        <w:adjustRightInd w:val="0"/>
        <w:snapToGrid w:val="0"/>
        <w:spacing w:beforeLines="50" w:line="360" w:lineRule="exact"/>
        <w:ind w:firstLine="525" w:firstLineChars="25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传      真：                          传      真：</w:t>
      </w:r>
    </w:p>
    <w:p w14:paraId="541B8DFC">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开 户 银 行：</w:t>
      </w:r>
    </w:p>
    <w:p w14:paraId="5B0AEC1A">
      <w:pPr>
        <w:keepNext w:val="0"/>
        <w:keepLines w:val="0"/>
        <w:pageBreakBefore w:val="0"/>
        <w:widowControl w:val="0"/>
        <w:kinsoku/>
        <w:wordWrap/>
        <w:overflowPunct/>
        <w:topLinePunct w:val="0"/>
        <w:autoSpaceDE/>
        <w:autoSpaceDN/>
        <w:bidi w:val="0"/>
        <w:adjustRightInd w:val="0"/>
        <w:snapToGrid w:val="0"/>
        <w:spacing w:beforeLines="50" w:line="360" w:lineRule="exact"/>
        <w:ind w:firstLine="420" w:firstLineChars="200"/>
        <w:textAlignment w:val="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帐       号：</w:t>
      </w:r>
    </w:p>
    <w:p w14:paraId="5A074B08">
      <w:pPr>
        <w:pStyle w:val="3"/>
        <w:adjustRightInd w:val="0"/>
        <w:snapToGrid w:val="0"/>
        <w:spacing w:beforeLines="50"/>
        <w:jc w:val="center"/>
        <w:rPr>
          <w:rFonts w:hint="eastAsia" w:ascii="方正小标宋简体" w:hAnsi="方正小标宋简体" w:eastAsia="方正小标宋简体" w:cs="方正小标宋简体"/>
          <w:b w:val="0"/>
          <w:bCs w:val="0"/>
          <w:sz w:val="32"/>
          <w:szCs w:val="32"/>
        </w:rPr>
      </w:pPr>
      <w:r>
        <w:rPr>
          <w:rFonts w:asciiTheme="minorEastAsia" w:hAnsiTheme="minorEastAsia" w:eastAsiaTheme="minorEastAsia"/>
          <w:color w:val="000000" w:themeColor="text1"/>
          <w:sz w:val="21"/>
          <w:szCs w:val="21"/>
          <w:u w:val="single"/>
          <w14:textFill>
            <w14:solidFill>
              <w14:schemeClr w14:val="tx1"/>
            </w14:solidFill>
          </w14:textFill>
        </w:rPr>
        <w:br w:type="page"/>
      </w:r>
      <w:bookmarkStart w:id="37" w:name="_Toc29913946"/>
      <w:r>
        <w:rPr>
          <w:rFonts w:hint="eastAsia" w:ascii="方正小标宋简体" w:hAnsi="方正小标宋简体" w:eastAsia="方正小标宋简体" w:cs="方正小标宋简体"/>
          <w:b w:val="0"/>
          <w:bCs w:val="0"/>
          <w:sz w:val="32"/>
          <w:szCs w:val="32"/>
        </w:rPr>
        <w:t>第二节 政府采购合同通用条款</w:t>
      </w:r>
      <w:bookmarkEnd w:id="37"/>
    </w:p>
    <w:p w14:paraId="22B83F7B">
      <w:pPr>
        <w:tabs>
          <w:tab w:val="left" w:pos="8820"/>
          <w:tab w:val="left" w:pos="9345"/>
          <w:tab w:val="left" w:pos="9765"/>
        </w:tabs>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sz w:val="24"/>
        </w:rPr>
        <w:t>1.</w:t>
      </w:r>
      <w:r>
        <w:rPr>
          <w:rFonts w:hint="eastAsia" w:asciiTheme="minorEastAsia" w:hAnsiTheme="minorEastAsia" w:eastAsiaTheme="minorEastAsia"/>
          <w:b/>
          <w:bCs/>
          <w:sz w:val="24"/>
        </w:rPr>
        <w:t>定义</w:t>
      </w:r>
    </w:p>
    <w:p w14:paraId="5461C6C3">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1.1合同当事人</w:t>
      </w:r>
    </w:p>
    <w:p w14:paraId="7916990D">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（1）采购人（以下称甲方）是指使用财政性资金，通过政府采购程序向供应商购买货物、服务的国家机关、事业单位、团体组织。本次采购的甲方名称、地址见</w:t>
      </w:r>
      <w:r>
        <w:rPr>
          <w:rFonts w:hint="eastAsia" w:asciiTheme="minorEastAsia" w:hAnsiTheme="minorEastAsia" w:eastAsiaTheme="minorEastAsia"/>
          <w:b/>
          <w:szCs w:val="21"/>
        </w:rPr>
        <w:t>【政府采购合同专用条款】。</w:t>
      </w:r>
    </w:p>
    <w:p w14:paraId="09B74EEE">
      <w:pPr>
        <w:autoSpaceDE w:val="0"/>
        <w:autoSpaceDN w:val="0"/>
        <w:adjustRightInd w:val="0"/>
        <w:snapToGrid w:val="0"/>
        <w:spacing w:before="50" w:line="360" w:lineRule="auto"/>
        <w:ind w:firstLine="420" w:firstLineChars="200"/>
        <w:jc w:val="left"/>
        <w:rPr>
          <w:rFonts w:asciiTheme="minorEastAsia" w:hAnsiTheme="minorEastAsia" w:eastAsiaTheme="minorEastAsia"/>
          <w:b/>
          <w:szCs w:val="21"/>
        </w:rPr>
      </w:pPr>
      <w:r>
        <w:rPr>
          <w:rFonts w:hint="eastAsia" w:asciiTheme="minorEastAsia" w:hAnsiTheme="minorEastAsia" w:eastAsiaTheme="minorEastAsia"/>
          <w:szCs w:val="21"/>
        </w:rPr>
        <w:t>（2）供应商（以下称乙方）是指参加政府采购活动而取得中标结果，并向采购人提供货物、服务的法人、其他组织或者自然人。</w:t>
      </w:r>
    </w:p>
    <w:p w14:paraId="3C6F7FCE">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1.2本合同下列术语应解释为：</w:t>
      </w:r>
    </w:p>
    <w:p w14:paraId="1FA3D492">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（1）“合同”系指甲乙双方签署的、政府采购合同协议书中载明的甲乙双方所达成的协议，包括所有的附件、附录和上述文件所提到的构成合同的所有文件。</w:t>
      </w:r>
    </w:p>
    <w:p w14:paraId="21C5D141">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（2）“合同价”系指根据本合同规定乙方在正确地完全履行合同义务后甲方应支付给乙方的价款。</w:t>
      </w:r>
    </w:p>
    <w:p w14:paraId="07CEFF1C">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（3）“货物”系指乙方根据本合同规定须向甲方提供的各种形态和种类的物品，包括原材料、设备、产品（包括软件）及相关的其备品备件、工具、手册及其它技术资料和材料。</w:t>
      </w:r>
    </w:p>
    <w:p w14:paraId="37A69E70">
      <w:pPr>
        <w:tabs>
          <w:tab w:val="left" w:pos="570"/>
          <w:tab w:val="left" w:pos="8880"/>
          <w:tab w:val="left" w:pos="9555"/>
        </w:tabs>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服务”系指根据合同规定，乙方应提供的技术、管理和其它服务，包括但不限于：管理和质量保证、运输、保险、检验、现场准备、安装、集成、调试、培训、维修、技术支持等以及合同中规定乙方应承担的其它义务。</w:t>
      </w:r>
    </w:p>
    <w:p w14:paraId="504818EE">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（5）“合同条款”系指本合同条款。</w:t>
      </w:r>
    </w:p>
    <w:p w14:paraId="7AF8BACD">
      <w:pPr>
        <w:tabs>
          <w:tab w:val="left" w:pos="570"/>
          <w:tab w:val="left" w:pos="9240"/>
          <w:tab w:val="left" w:pos="9555"/>
        </w:tabs>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（6）“项目现场”系指本合同项下货物安装、运行的现场，其名称见</w:t>
      </w:r>
      <w:r>
        <w:rPr>
          <w:rFonts w:hint="eastAsia" w:asciiTheme="minorEastAsia" w:hAnsiTheme="minorEastAsia" w:eastAsiaTheme="minorEastAsia"/>
          <w:b/>
          <w:szCs w:val="21"/>
        </w:rPr>
        <w:t>【政府采购合同专用条款】</w:t>
      </w:r>
      <w:r>
        <w:rPr>
          <w:rFonts w:hint="eastAsia" w:asciiTheme="minorEastAsia" w:hAnsiTheme="minorEastAsia" w:eastAsiaTheme="minorEastAsia"/>
          <w:szCs w:val="21"/>
        </w:rPr>
        <w:t>。</w:t>
      </w:r>
    </w:p>
    <w:p w14:paraId="0941C5F4">
      <w:pPr>
        <w:autoSpaceDE w:val="0"/>
        <w:autoSpaceDN w:val="0"/>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2.合同的适用范围</w:t>
      </w:r>
    </w:p>
    <w:p w14:paraId="3D04FA97">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 本合同条款适用于没有被本合同其他部分的条款所取代的范围。</w:t>
      </w:r>
    </w:p>
    <w:p w14:paraId="33DFA883">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 合同内容根据招标文件、投标文件而确定。</w:t>
      </w:r>
    </w:p>
    <w:p w14:paraId="6D2705FC">
      <w:pPr>
        <w:autoSpaceDE w:val="0"/>
        <w:autoSpaceDN w:val="0"/>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3.</w:t>
      </w:r>
      <w:r>
        <w:rPr>
          <w:rFonts w:hint="eastAsia" w:asciiTheme="minorEastAsia" w:hAnsiTheme="minorEastAsia" w:eastAsiaTheme="minorEastAsia"/>
          <w:b/>
          <w:sz w:val="24"/>
        </w:rPr>
        <w:t>合同标的及金额</w:t>
      </w:r>
    </w:p>
    <w:p w14:paraId="6B6CDF37">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 合同标的及金额应与中标结果一致。</w:t>
      </w:r>
    </w:p>
    <w:p w14:paraId="4460FC27">
      <w:pPr>
        <w:autoSpaceDE w:val="0"/>
        <w:autoSpaceDN w:val="0"/>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4.</w:t>
      </w:r>
      <w:r>
        <w:rPr>
          <w:rFonts w:hint="eastAsia" w:asciiTheme="minorEastAsia" w:hAnsiTheme="minorEastAsia" w:eastAsiaTheme="minorEastAsia"/>
          <w:b/>
          <w:sz w:val="24"/>
        </w:rPr>
        <w:t>合同价款</w:t>
      </w:r>
    </w:p>
    <w:p w14:paraId="622D37B2">
      <w:pPr>
        <w:adjustRightInd w:val="0"/>
        <w:snapToGrid w:val="0"/>
        <w:spacing w:before="50" w:line="360" w:lineRule="auto"/>
        <w:ind w:firstLine="420" w:firstLineChars="200"/>
        <w:jc w:val="left"/>
        <w:rPr>
          <w:rFonts w:asciiTheme="minorEastAsia" w:hAnsiTheme="minorEastAsia" w:eastAsiaTheme="minorEastAsia"/>
          <w:b/>
          <w:bCs/>
          <w:i/>
          <w:iCs/>
          <w:szCs w:val="21"/>
        </w:rPr>
      </w:pPr>
      <w:r>
        <w:rPr>
          <w:rFonts w:hint="eastAsia" w:asciiTheme="minorEastAsia" w:hAnsiTheme="minorEastAsia" w:eastAsiaTheme="minorEastAsia"/>
          <w:szCs w:val="21"/>
        </w:rPr>
        <w:t>4.1具体合同价款见本合同第3.1条。乙方为履行本合同而发生的所有费用均应包含在合同价款中，甲方不再另行支付其它任何费用。</w:t>
      </w:r>
    </w:p>
    <w:p w14:paraId="4F945344">
      <w:pPr>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5.履行合同的时间、地点和方式</w:t>
      </w:r>
    </w:p>
    <w:p w14:paraId="69D815B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5.1 乙方应当在甲方确定的时间、指定的地点履行合同，具体的交货时间、地点和方式见</w:t>
      </w:r>
      <w:r>
        <w:rPr>
          <w:rFonts w:hint="eastAsia" w:asciiTheme="minorEastAsia" w:hAnsiTheme="minorEastAsia" w:eastAsiaTheme="minorEastAsia"/>
          <w:b/>
          <w:szCs w:val="21"/>
        </w:rPr>
        <w:t>【政府采购合同专用条款】</w:t>
      </w:r>
      <w:r>
        <w:rPr>
          <w:rFonts w:hint="eastAsia" w:asciiTheme="minorEastAsia" w:hAnsiTheme="minorEastAsia" w:eastAsiaTheme="minorEastAsia"/>
          <w:szCs w:val="21"/>
        </w:rPr>
        <w:t>。</w:t>
      </w:r>
    </w:p>
    <w:p w14:paraId="6CA4A02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5.2 乙方提供服务的应当在甲方指定的地点完成服务项目。</w:t>
      </w:r>
    </w:p>
    <w:p w14:paraId="40A14A73">
      <w:pPr>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6.</w:t>
      </w:r>
      <w:r>
        <w:rPr>
          <w:rFonts w:hint="eastAsia" w:asciiTheme="minorEastAsia" w:hAnsiTheme="minorEastAsia" w:eastAsiaTheme="minorEastAsia"/>
          <w:b/>
          <w:sz w:val="24"/>
        </w:rPr>
        <w:t>货物的验收</w:t>
      </w:r>
    </w:p>
    <w:p w14:paraId="23912BF8">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6.1 甲方在收到乙方交付的货物后应当及时组织验收。</w:t>
      </w:r>
    </w:p>
    <w:p w14:paraId="7F6B9C67">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6.2 货物的表面瑕疵，甲方应在验收时当面提出；对质量问题有异议的应在安装调试后十个工作日内提出。</w:t>
      </w:r>
    </w:p>
    <w:p w14:paraId="56585F2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6.3 在验收过程中发现数量不足或有质量、技术等问题，乙方应负责按照甲方的要求采取补足、更换或退货等处理措施，并承担由此发生的一切费用和损失。</w:t>
      </w:r>
    </w:p>
    <w:p w14:paraId="58379BC1">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6.4 甲方在乙方按合同规定交货或安装、调试后，无正当理由而拖延接收、验收或拒绝接收、验收的，应承担因此给乙方造成的直接损失。</w:t>
      </w:r>
    </w:p>
    <w:p w14:paraId="619481A1">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6.5 甲方对货物进行检查验收合格后，应当收取发票并在《交货验收单》上签署验收意见及加盖单位印章。</w:t>
      </w:r>
    </w:p>
    <w:p w14:paraId="03145515">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6.6 大型或者复杂的货物采购项目，甲方可以邀请国家认可的质量检测机构参加验收工作，并由其出具验收报告单。</w:t>
      </w:r>
    </w:p>
    <w:p w14:paraId="790D3F9C">
      <w:pPr>
        <w:autoSpaceDE w:val="0"/>
        <w:autoSpaceDN w:val="0"/>
        <w:adjustRightInd w:val="0"/>
        <w:snapToGrid w:val="0"/>
        <w:spacing w:before="50" w:line="360" w:lineRule="auto"/>
        <w:ind w:firstLine="420" w:firstLineChars="200"/>
        <w:jc w:val="left"/>
        <w:rPr>
          <w:rFonts w:asciiTheme="minorEastAsia" w:hAnsiTheme="minorEastAsia" w:eastAsiaTheme="minorEastAsia"/>
          <w:color w:val="FF0000"/>
          <w:szCs w:val="21"/>
        </w:rPr>
      </w:pPr>
      <w:r>
        <w:rPr>
          <w:rFonts w:hint="eastAsia" w:asciiTheme="minorEastAsia" w:hAnsiTheme="minorEastAsia" w:eastAsiaTheme="minorEastAsia"/>
          <w:szCs w:val="21"/>
        </w:rPr>
        <w:t>6.7 乙方提供的进口产品，乙方应出示中华人民共和国进出口商品检验部门出具的检验证书（招标文件第五章采购需求另有约定的除外）。</w:t>
      </w:r>
    </w:p>
    <w:p w14:paraId="2AF69F76">
      <w:pPr>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7.货物包装要求</w:t>
      </w:r>
    </w:p>
    <w:p w14:paraId="31CE6027">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416DBF35">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7.2 每一个包装箱内应附一份详细装箱单、质量证书和保修保养证书。</w:t>
      </w:r>
    </w:p>
    <w:p w14:paraId="617734F7">
      <w:pPr>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8.运输和保险</w:t>
      </w:r>
    </w:p>
    <w:p w14:paraId="0BF1CBD9">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8.1乙方负责办理将货物运抵本合同第5.1条规定的交货地点的一切运输事项，相关费用应包括在合同总价中。</w:t>
      </w:r>
    </w:p>
    <w:p w14:paraId="67E1F60B">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8.2乙方应向保险公司投保以甲方为受益人的发运合同货物发票金额的110％运输一切险。</w:t>
      </w:r>
    </w:p>
    <w:p w14:paraId="10DAB991">
      <w:pPr>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9.质量标准和保证</w:t>
      </w:r>
    </w:p>
    <w:p w14:paraId="550FBBAA">
      <w:pPr>
        <w:pStyle w:val="21"/>
        <w:adjustRightInd w:val="0"/>
        <w:snapToGrid w:val="0"/>
        <w:spacing w:before="50" w:line="360" w:lineRule="auto"/>
        <w:ind w:firstLine="420" w:firstLineChars="200"/>
        <w:jc w:val="left"/>
        <w:rPr>
          <w:rFonts w:asciiTheme="minorEastAsia" w:hAnsiTheme="minorEastAsia" w:eastAsiaTheme="minorEastAsia"/>
          <w:b/>
        </w:rPr>
      </w:pPr>
      <w:r>
        <w:rPr>
          <w:rFonts w:hint="eastAsia" w:asciiTheme="minorEastAsia" w:hAnsiTheme="minorEastAsia" w:eastAsiaTheme="minorEastAsia"/>
        </w:rPr>
        <w:t>9.1 质量标准</w:t>
      </w:r>
    </w:p>
    <w:p w14:paraId="257ED2CC">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（1）本合同下交付的货物应符合招标文件第四章“技术规格、参数与要求”所述的标准。如果没有提及适用标准，则应符合中华人民共和国有关机构发布的最新版本的标准。</w:t>
      </w:r>
    </w:p>
    <w:p w14:paraId="3721BB84">
      <w:pPr>
        <w:pStyle w:val="21"/>
        <w:adjustRightInd w:val="0"/>
        <w:snapToGrid w:val="0"/>
        <w:spacing w:before="50" w:line="360" w:lineRule="auto"/>
        <w:ind w:firstLine="420" w:firstLineChars="200"/>
        <w:jc w:val="left"/>
        <w:rPr>
          <w:rFonts w:asciiTheme="minorEastAsia" w:hAnsiTheme="minorEastAsia" w:eastAsiaTheme="minorEastAsia"/>
        </w:rPr>
      </w:pPr>
      <w:r>
        <w:rPr>
          <w:rFonts w:hint="eastAsia" w:asciiTheme="minorEastAsia" w:hAnsiTheme="minorEastAsia" w:eastAsiaTheme="minorEastAsia"/>
        </w:rPr>
        <w:t>（2）采用中华人民共和国法定计量单位。</w:t>
      </w:r>
    </w:p>
    <w:p w14:paraId="7AB80BE5">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（3）乙方所出售的货物还应符合国家有关安全、环保、卫生之规定。</w:t>
      </w:r>
    </w:p>
    <w:p w14:paraId="6E3FB334">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9.2 保证</w:t>
      </w:r>
    </w:p>
    <w:p w14:paraId="39F4692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Theme="minorEastAsia" w:hAnsiTheme="minorEastAsia" w:eastAsiaTheme="minorEastAsia"/>
          <w:b/>
          <w:szCs w:val="21"/>
        </w:rPr>
        <w:t>【政府采购合同专用条款】</w:t>
      </w:r>
      <w:r>
        <w:rPr>
          <w:rFonts w:hint="eastAsia" w:asciiTheme="minorEastAsia" w:hAnsiTheme="minorEastAsia" w:eastAsiaTheme="minorEastAsia"/>
          <w:szCs w:val="21"/>
        </w:rPr>
        <w:t>规定或乙方承诺（两者以较长的为准）的质量保证期内，本保证保持有效。</w:t>
      </w:r>
    </w:p>
    <w:p w14:paraId="3113ED88">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（2）在质量保证期内所发现的缺陷，甲方应尽快以书面形式通知乙方。</w:t>
      </w:r>
    </w:p>
    <w:p w14:paraId="7F84D5B2">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（3）乙方收到通知后应在</w:t>
      </w:r>
      <w:r>
        <w:rPr>
          <w:rFonts w:hint="eastAsia" w:asciiTheme="minorEastAsia" w:hAnsiTheme="minorEastAsia" w:eastAsiaTheme="minorEastAsia"/>
          <w:b/>
          <w:szCs w:val="21"/>
        </w:rPr>
        <w:t>【政府采购合同专用条款】</w:t>
      </w:r>
      <w:r>
        <w:rPr>
          <w:rFonts w:hint="eastAsia" w:asciiTheme="minorEastAsia" w:hAnsiTheme="minorEastAsia" w:eastAsiaTheme="minorEastAsia"/>
          <w:szCs w:val="21"/>
        </w:rPr>
        <w:t>规定的响应时间内以合理的速度免费维修或更换有缺陷的货物或部件。</w:t>
      </w:r>
    </w:p>
    <w:p w14:paraId="365040B1">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14:paraId="6D276CA1">
      <w:pPr>
        <w:adjustRightInd w:val="0"/>
        <w:snapToGrid w:val="0"/>
        <w:spacing w:before="50" w:line="360" w:lineRule="auto"/>
        <w:ind w:firstLine="420" w:firstLineChars="200"/>
        <w:jc w:val="left"/>
        <w:rPr>
          <w:rFonts w:asciiTheme="minorEastAsia" w:hAnsiTheme="minorEastAsia" w:eastAsiaTheme="minorEastAsia"/>
          <w:b/>
          <w:szCs w:val="21"/>
        </w:rPr>
      </w:pPr>
      <w:r>
        <w:rPr>
          <w:rFonts w:hint="eastAsia" w:asciiTheme="minorEastAsia" w:hAnsiTheme="minorEastAsia" w:eastAsiaTheme="minorEastAsia"/>
          <w:szCs w:val="21"/>
        </w:rPr>
        <w:t>（5）乙方在约定的时间内未能弥补缺陷，甲方可采取必要的补救措施，但其风险和费用将由乙方承担，甲方根据合同规定对乙方行使的其他权利不受影响。</w:t>
      </w:r>
    </w:p>
    <w:p w14:paraId="7D238312">
      <w:pPr>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10.权利瑕疵担保</w:t>
      </w:r>
    </w:p>
    <w:p w14:paraId="77426BFC">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10.1 乙方保证对其出售的货物享有合法的权利。</w:t>
      </w:r>
    </w:p>
    <w:p w14:paraId="7EDD2DED">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10.2 乙方保证在其出售的货物上不存在任何未曾向甲方透露的担保物权，如抵押权、质押权、留置权等。</w:t>
      </w:r>
    </w:p>
    <w:p w14:paraId="5D7098D8">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10.3 如甲方使用该货物构成上述侵权的，则由乙方承担全部责任。</w:t>
      </w:r>
    </w:p>
    <w:p w14:paraId="778D53BB">
      <w:pPr>
        <w:autoSpaceDE w:val="0"/>
        <w:autoSpaceDN w:val="0"/>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11.知识产权保护</w:t>
      </w:r>
    </w:p>
    <w:p w14:paraId="4AD6B0C7">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11.1 乙方对其所销售的货物应当享有知识产权或经权利人合法授权，保证没有侵犯任何第三人的知识产权和商业秘密等权利。</w:t>
      </w:r>
    </w:p>
    <w:p w14:paraId="25136E76">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11.2 甲方使用乙方提供的货物对第三人构成侵权的，应当由乙方承担全部法律责任，给甲方造成损害的，乙方应当承担赔偿责任。</w:t>
      </w:r>
    </w:p>
    <w:p w14:paraId="7A2B6EFC">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11.3 甲方委托乙方开发的产品，甲方享有知识产权，未经甲方许可不得转让任何第三人。</w:t>
      </w:r>
    </w:p>
    <w:p w14:paraId="3368D2A0">
      <w:pPr>
        <w:autoSpaceDE w:val="0"/>
        <w:autoSpaceDN w:val="0"/>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12.保密义务</w:t>
      </w:r>
    </w:p>
    <w:p w14:paraId="46A9CEA7">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12.1 甲、乙双方在采购和履行合同过程中所获悉的对方属于保密的内容，双方均有保密义务。</w:t>
      </w:r>
    </w:p>
    <w:p w14:paraId="058534D2">
      <w:pPr>
        <w:autoSpaceDE w:val="0"/>
        <w:autoSpaceDN w:val="0"/>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13.合同价款支付</w:t>
      </w:r>
    </w:p>
    <w:p w14:paraId="25EDA23E">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13.1验收合格后，乙方出具正规发票给甲方，凭甲方开具的《政府采购合同验收报告单》办理合同价</w:t>
      </w:r>
      <w:r>
        <w:rPr>
          <w:rFonts w:hint="eastAsia" w:asciiTheme="minorEastAsia" w:hAnsiTheme="minorEastAsia" w:eastAsiaTheme="minorEastAsia"/>
          <w:bCs/>
          <w:szCs w:val="21"/>
        </w:rPr>
        <w:t>款</w:t>
      </w:r>
      <w:r>
        <w:rPr>
          <w:rFonts w:hint="eastAsia" w:asciiTheme="minorEastAsia" w:hAnsiTheme="minorEastAsia" w:eastAsiaTheme="minorEastAsia"/>
          <w:szCs w:val="21"/>
        </w:rPr>
        <w:t>结算手续。</w:t>
      </w:r>
    </w:p>
    <w:p w14:paraId="045AE152">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13.2 合同价款构成中应当由财政支付的部分，甲方应当在货物验收合格后的十五个工作日内向国库管理部门申请支付，经国库管理部门审核后直接支付给乙方。</w:t>
      </w:r>
    </w:p>
    <w:p w14:paraId="1C66B5C6">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13.3 合同价款构成中应当由甲方自行支付的部分，甲方应当在货物验收合格后十五个工作内支付。</w:t>
      </w:r>
    </w:p>
    <w:p w14:paraId="40D29F8F">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13.4支付合同价</w:t>
      </w:r>
      <w:r>
        <w:rPr>
          <w:rFonts w:hint="eastAsia" w:asciiTheme="minorEastAsia" w:hAnsiTheme="minorEastAsia" w:eastAsiaTheme="minorEastAsia"/>
          <w:bCs/>
          <w:szCs w:val="21"/>
        </w:rPr>
        <w:t>款</w:t>
      </w:r>
      <w:r>
        <w:rPr>
          <w:rFonts w:hint="eastAsia" w:asciiTheme="minorEastAsia" w:hAnsiTheme="minorEastAsia" w:eastAsiaTheme="minorEastAsia"/>
          <w:szCs w:val="21"/>
        </w:rPr>
        <w:t>时，一律不向乙方以外的任何第三方办理付款手续。开户行和账号以签订的政府采购合同为准，如果乙方要求变更，则乙方必须提供加盖了财务专用章、法定代表人签字的证明文件，报经甲方审查同意。</w:t>
      </w:r>
    </w:p>
    <w:p w14:paraId="79CFA19E">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13.5 合同价款支付方式</w:t>
      </w:r>
      <w:r>
        <w:rPr>
          <w:rFonts w:hint="eastAsia" w:asciiTheme="minorEastAsia" w:hAnsiTheme="minorEastAsia" w:eastAsiaTheme="minorEastAsia"/>
          <w:bCs/>
          <w:szCs w:val="21"/>
        </w:rPr>
        <w:t>和条件在</w:t>
      </w:r>
      <w:r>
        <w:rPr>
          <w:rFonts w:hint="eastAsia" w:asciiTheme="minorEastAsia" w:hAnsiTheme="minorEastAsia" w:eastAsiaTheme="minorEastAsia"/>
          <w:b/>
          <w:szCs w:val="21"/>
        </w:rPr>
        <w:t>【政府采购合同专用条款】</w:t>
      </w:r>
      <w:r>
        <w:rPr>
          <w:rFonts w:hint="eastAsia" w:asciiTheme="minorEastAsia" w:hAnsiTheme="minorEastAsia" w:eastAsiaTheme="minorEastAsia"/>
          <w:szCs w:val="21"/>
        </w:rPr>
        <w:t>中另有规定。</w:t>
      </w:r>
    </w:p>
    <w:p w14:paraId="5C5062CA">
      <w:pPr>
        <w:autoSpaceDE w:val="0"/>
        <w:autoSpaceDN w:val="0"/>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bCs/>
          <w:sz w:val="24"/>
        </w:rPr>
        <w:t>14.</w:t>
      </w:r>
      <w:r>
        <w:rPr>
          <w:rFonts w:hint="eastAsia"/>
          <w:b/>
          <w:sz w:val="24"/>
        </w:rPr>
        <w:t>乙方应提供的</w:t>
      </w:r>
      <w:r>
        <w:rPr>
          <w:rFonts w:hint="eastAsia" w:asciiTheme="minorEastAsia" w:hAnsiTheme="minorEastAsia" w:eastAsiaTheme="minorEastAsia"/>
          <w:b/>
          <w:sz w:val="24"/>
        </w:rPr>
        <w:t>服务</w:t>
      </w:r>
    </w:p>
    <w:p w14:paraId="426EC44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14.1 乙方应向甲方提交所提供货物的技术文件，包括相应的中文技术文件，如：产品目录、图纸、操作手册、使用说明、维护手册或服务指南。这些文件应包装好随同货物一起发运。</w:t>
      </w:r>
    </w:p>
    <w:p w14:paraId="27C6D5BD">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14.2 乙方还应提供下列服务：</w:t>
      </w:r>
    </w:p>
    <w:p w14:paraId="3B88226A">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（1）货物的现场移动、安装、调试、启动监督及技术支持；</w:t>
      </w:r>
    </w:p>
    <w:p w14:paraId="30DA3164">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（2）提供货物组装和维修所需的专用工具和辅助材料；</w:t>
      </w:r>
    </w:p>
    <w:p w14:paraId="24BE7D9C">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（3）在合同各方商定的一定期限内对所有的货物实施运行监督、维修，但前提条件是该服务并不能免除乙方在质量保证期内所承担的义务；</w:t>
      </w:r>
    </w:p>
    <w:p w14:paraId="07B257D9">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（4）在制造商或项目现场就货物的安装、启动、运营、维护对甲方操作人员进行培训；</w:t>
      </w:r>
    </w:p>
    <w:p w14:paraId="4A1E5F2E">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w:t>
      </w:r>
      <w:r>
        <w:rPr>
          <w:rFonts w:hint="eastAsia" w:asciiTheme="minorEastAsia" w:hAnsiTheme="minorEastAsia" w:eastAsiaTheme="minorEastAsia"/>
          <w:b/>
          <w:szCs w:val="21"/>
        </w:rPr>
        <w:t>【政府采购合同专用条款】</w:t>
      </w:r>
      <w:r>
        <w:rPr>
          <w:rFonts w:hint="eastAsia" w:asciiTheme="minorEastAsia" w:hAnsiTheme="minorEastAsia" w:eastAsiaTheme="minorEastAsia"/>
          <w:szCs w:val="21"/>
        </w:rPr>
        <w:t>规定由乙方提供的其他服务。</w:t>
      </w:r>
    </w:p>
    <w:p w14:paraId="761AC9D2">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14.3 乙方提供的服务的费用应包含在合同价款中，甲方不再另行支付。</w:t>
      </w:r>
    </w:p>
    <w:p w14:paraId="003A2663">
      <w:pPr>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15.违约责任</w:t>
      </w:r>
    </w:p>
    <w:p w14:paraId="015EDAD4">
      <w:pPr>
        <w:adjustRightInd w:val="0"/>
        <w:snapToGrid w:val="0"/>
        <w:spacing w:before="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15.1质量瑕疵的补救措施和索赔</w:t>
      </w:r>
    </w:p>
    <w:p w14:paraId="71A11A1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49DAF124">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①乙方同意退货并将货款退还给甲方，由此发生的一切费用和损失由乙方承担。</w:t>
      </w:r>
    </w:p>
    <w:p w14:paraId="2E21A92F">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②根据货物的质量状况以及甲方所遭受的损失，经过甲乙双方商定降低货物的价格。</w:t>
      </w:r>
    </w:p>
    <w:p w14:paraId="5DEB396E">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38144C38">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1A9AFC6A">
      <w:pPr>
        <w:autoSpaceDE w:val="0"/>
        <w:autoSpaceDN w:val="0"/>
        <w:adjustRightInd w:val="0"/>
        <w:snapToGrid w:val="0"/>
        <w:spacing w:before="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15.2 迟延交货的违约责任</w:t>
      </w:r>
    </w:p>
    <w:p w14:paraId="77F404DF">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57F2C491">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（2）除本合同</w:t>
      </w:r>
      <w:r>
        <w:rPr>
          <w:rFonts w:hint="eastAsia" w:asciiTheme="minorEastAsia" w:hAnsiTheme="minorEastAsia" w:eastAsiaTheme="minorEastAsia"/>
          <w:bCs/>
          <w:szCs w:val="21"/>
        </w:rPr>
        <w:t>第20条</w:t>
      </w:r>
      <w:r>
        <w:rPr>
          <w:rFonts w:hint="eastAsia" w:asciiTheme="minorEastAsia" w:hAnsiTheme="minorEastAsia" w:eastAsiaTheme="minorEastAsia"/>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4080BE5E">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133AD482">
      <w:pPr>
        <w:autoSpaceDE w:val="0"/>
        <w:autoSpaceDN w:val="0"/>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16.合同的变更</w:t>
      </w:r>
    </w:p>
    <w:p w14:paraId="06AD1E22">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16.1 在合同履行过程中，甲、乙双方可就合同履行的时间、地点和方式等协商进行变更。协商一致后，双方应签订书面的补充协议。</w:t>
      </w:r>
    </w:p>
    <w:p w14:paraId="2C73B5F8">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16.2 在不改变合同其他条款的前提下，甲方有权在合同价款百分之十的范围内追加与合同标的相同的货物或服务，并就此与乙方签订补充合同，乙方不得拒绝。</w:t>
      </w:r>
    </w:p>
    <w:p w14:paraId="4C0A0B48">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16.3 除双方签署书面协议，并成为合同不可分割的一部分外，本合同条件不得有任何变更。</w:t>
      </w:r>
    </w:p>
    <w:p w14:paraId="79630F65">
      <w:pPr>
        <w:autoSpaceDE w:val="0"/>
        <w:autoSpaceDN w:val="0"/>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17.合同中止与终止</w:t>
      </w:r>
    </w:p>
    <w:p w14:paraId="7826718E">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17.1合同的中止</w:t>
      </w:r>
    </w:p>
    <w:p w14:paraId="5E9249C9">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（1）合同在履行过程中，因采购计划调整，甲方可以要求中止履行，待计划确定后继续履行；</w:t>
      </w:r>
    </w:p>
    <w:p w14:paraId="34B0B55C">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（2）合同履行过程中因供应商就采购过程或结果提起投诉的，甲方认为有必要或财政部门责令中止的，应当中止合同的履行。</w:t>
      </w:r>
    </w:p>
    <w:p w14:paraId="0AFDDBA1">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17.2合同的终止</w:t>
      </w:r>
    </w:p>
    <w:p w14:paraId="62686B29">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（1）合同因有效期限届满而终止；</w:t>
      </w:r>
    </w:p>
    <w:p w14:paraId="7C17C24E">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（2）乙方未能依照本合同约定条件履行合同，已构成根本性违约的，甲方有权终止本合同，并追究乙方的违约责任。</w:t>
      </w:r>
    </w:p>
    <w:p w14:paraId="5EA44E95">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（3）如果乙方丧失履约能力或被宣告破产，甲方可在任何时候以书面形式通知乙方终止合同而不给乙方补偿。</w:t>
      </w:r>
    </w:p>
    <w:p w14:paraId="0A2405B6">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（4）如果乙方在履行合同过程中有不正当竞争行为，甲方有权解除合同，并按《中华人民共和国反不正当竞争法》规定由有关部门追究其法律责任。</w:t>
      </w:r>
    </w:p>
    <w:p w14:paraId="5A59AD1A">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（5）如果合同的履行将损害国家利益或社会公共利益，甲方有权终止合同的履行，给乙方造成损失的予以相应补偿。</w:t>
      </w:r>
    </w:p>
    <w:p w14:paraId="21FAB08E">
      <w:pPr>
        <w:autoSpaceDE w:val="0"/>
        <w:autoSpaceDN w:val="0"/>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18.合同转让和分包</w:t>
      </w:r>
    </w:p>
    <w:p w14:paraId="21F3B7EC">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18.1 乙方不得以任何形式将合同转包。</w:t>
      </w:r>
    </w:p>
    <w:p w14:paraId="1B0E6E3E">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18.2 乙方未在投标文件中说明，不得将</w:t>
      </w:r>
      <w:r>
        <w:rPr>
          <w:rFonts w:hint="eastAsia" w:asciiTheme="minorEastAsia" w:hAnsiTheme="minorEastAsia" w:eastAsiaTheme="minorEastAsia"/>
          <w:bCs/>
          <w:szCs w:val="21"/>
        </w:rPr>
        <w:t>合同</w:t>
      </w:r>
      <w:r>
        <w:rPr>
          <w:rFonts w:hint="eastAsia" w:asciiTheme="minorEastAsia" w:hAnsiTheme="minorEastAsia" w:eastAsiaTheme="minorEastAsia"/>
          <w:szCs w:val="21"/>
        </w:rPr>
        <w:t>的非主体、非关键性工作分包给他人。</w:t>
      </w:r>
    </w:p>
    <w:p w14:paraId="31372990">
      <w:pPr>
        <w:autoSpaceDE w:val="0"/>
        <w:autoSpaceDN w:val="0"/>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19.不可抗力</w:t>
      </w:r>
    </w:p>
    <w:p w14:paraId="4AFF8E7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19.1 不可抗力是指合同双方不可预见、不可避免、不可克服的自然灾害和社会事件。</w:t>
      </w:r>
    </w:p>
    <w:p w14:paraId="54F371C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19.2 任何一方对由于不可抗力造成的部分或全部不能履行合同不承担违约责任。但迟延履行后发生不可抗力的，不能免除责任。</w:t>
      </w:r>
    </w:p>
    <w:p w14:paraId="215D3DE3">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19.3 遇有不可抗力的一方，应在三日内将事件的情况以书面形式通知另一方，并在事件发生后十日内，向另一方提交合同不能履行或部分不能履行或需要延期履行理由的报告。</w:t>
      </w:r>
    </w:p>
    <w:p w14:paraId="756C7EB3">
      <w:pPr>
        <w:autoSpaceDE w:val="0"/>
        <w:autoSpaceDN w:val="0"/>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20.解决争议的方法</w:t>
      </w:r>
    </w:p>
    <w:p w14:paraId="40C58F70">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20.1 合同各方应通过友好协商，解决在执行合同过程中所发生的或与合同有关的一切争端。如从协商开始后十日内仍不能解决，可以向财政部门提请调解。</w:t>
      </w:r>
    </w:p>
    <w:p w14:paraId="534DB2E9">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20.2 调解不成可以按</w:t>
      </w:r>
      <w:r>
        <w:rPr>
          <w:rFonts w:hint="eastAsia" w:asciiTheme="minorEastAsia" w:hAnsiTheme="minorEastAsia" w:eastAsiaTheme="minorEastAsia"/>
          <w:b/>
          <w:szCs w:val="21"/>
        </w:rPr>
        <w:t>【政府采购合同专用条款】</w:t>
      </w:r>
      <w:r>
        <w:rPr>
          <w:rFonts w:hint="eastAsia" w:asciiTheme="minorEastAsia" w:hAnsiTheme="minorEastAsia" w:eastAsiaTheme="minorEastAsia"/>
          <w:szCs w:val="21"/>
        </w:rPr>
        <w:t>中约定中规定下列方式之一提起仲裁或诉讼：</w:t>
      </w:r>
    </w:p>
    <w:p w14:paraId="09930666">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（1）向甲方所在地仲裁机构提起仲裁；</w:t>
      </w:r>
    </w:p>
    <w:p w14:paraId="1FF260C2">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（2）向甲方所在地人民法院提起诉讼。</w:t>
      </w:r>
    </w:p>
    <w:p w14:paraId="3785EF89">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20.3 如仲裁或诉讼事项不影响合同其它部分的履行，则在仲裁或诉讼期间，除正在进行仲裁或诉讼的部分外，合同的其它部分应继续执行。</w:t>
      </w:r>
    </w:p>
    <w:p w14:paraId="26047B1D">
      <w:pPr>
        <w:autoSpaceDE w:val="0"/>
        <w:autoSpaceDN w:val="0"/>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21.法律适用</w:t>
      </w:r>
    </w:p>
    <w:p w14:paraId="41F3C674">
      <w:pPr>
        <w:autoSpaceDE w:val="0"/>
        <w:autoSpaceDN w:val="0"/>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21.1 本合同适用中华人民共和国现行法律、行政法规和规章，如合同条款与法律、行政法规和规章不一致的，按照法律、行政法规和规章修改本合同。</w:t>
      </w:r>
    </w:p>
    <w:p w14:paraId="00D5B826">
      <w:pPr>
        <w:autoSpaceDE w:val="0"/>
        <w:autoSpaceDN w:val="0"/>
        <w:adjustRightInd w:val="0"/>
        <w:snapToGrid w:val="0"/>
        <w:spacing w:before="50" w:line="360" w:lineRule="auto"/>
        <w:jc w:val="left"/>
        <w:rPr>
          <w:rFonts w:asciiTheme="minorEastAsia" w:hAnsiTheme="minorEastAsia" w:eastAsiaTheme="minorEastAsia"/>
          <w:b/>
          <w:sz w:val="24"/>
        </w:rPr>
      </w:pPr>
      <w:r>
        <w:rPr>
          <w:rFonts w:hint="eastAsia" w:asciiTheme="minorEastAsia" w:hAnsiTheme="minorEastAsia" w:eastAsiaTheme="minorEastAsia"/>
          <w:b/>
          <w:bCs/>
          <w:sz w:val="24"/>
        </w:rPr>
        <w:t>22.</w:t>
      </w:r>
      <w:r>
        <w:rPr>
          <w:rFonts w:hint="eastAsia" w:asciiTheme="minorEastAsia" w:hAnsiTheme="minorEastAsia" w:eastAsiaTheme="minorEastAsia"/>
          <w:b/>
          <w:sz w:val="24"/>
        </w:rPr>
        <w:t>通知</w:t>
      </w:r>
    </w:p>
    <w:p w14:paraId="07471E9E">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22.1本合同一方给另一方的通知均应采用书面形式，传真或快递送到本合同中规定的对方的地址和办理签收手续，</w:t>
      </w:r>
    </w:p>
    <w:p w14:paraId="57A26CF4">
      <w:pPr>
        <w:adjustRightInd w:val="0"/>
        <w:snapToGrid w:val="0"/>
        <w:spacing w:before="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22.2通知以送到之日或通知书中规定的生效之日起生效，两者中以较迟之日为准。</w:t>
      </w:r>
    </w:p>
    <w:p w14:paraId="723DE6D0">
      <w:pPr>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23. 合同未尽事项</w:t>
      </w:r>
    </w:p>
    <w:p w14:paraId="140D4122">
      <w:pPr>
        <w:adjustRightInd w:val="0"/>
        <w:snapToGrid w:val="0"/>
        <w:spacing w:before="50" w:line="360" w:lineRule="auto"/>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23.1合同未尽事项见</w:t>
      </w:r>
      <w:r>
        <w:rPr>
          <w:rFonts w:hint="eastAsia" w:asciiTheme="minorEastAsia" w:hAnsiTheme="minorEastAsia" w:eastAsiaTheme="minorEastAsia"/>
          <w:b/>
          <w:szCs w:val="21"/>
        </w:rPr>
        <w:t>【政府采购合同专用条款】。</w:t>
      </w:r>
    </w:p>
    <w:p w14:paraId="0CAD1812">
      <w:pPr>
        <w:adjustRightInd w:val="0"/>
        <w:snapToGrid w:val="0"/>
        <w:spacing w:before="50" w:line="360" w:lineRule="auto"/>
        <w:jc w:val="left"/>
        <w:rPr>
          <w:rFonts w:asciiTheme="minorEastAsia" w:hAnsiTheme="minorEastAsia" w:eastAsiaTheme="minorEastAsia"/>
          <w:b/>
          <w:bCs/>
          <w:sz w:val="24"/>
        </w:rPr>
      </w:pPr>
      <w:r>
        <w:rPr>
          <w:rFonts w:hint="eastAsia" w:asciiTheme="minorEastAsia" w:hAnsiTheme="minorEastAsia" w:eastAsiaTheme="minorEastAsia"/>
          <w:b/>
          <w:bCs/>
          <w:sz w:val="24"/>
        </w:rPr>
        <w:t>24.合同生效</w:t>
      </w:r>
    </w:p>
    <w:p w14:paraId="5A356C1D">
      <w:pPr>
        <w:autoSpaceDE w:val="0"/>
        <w:autoSpaceDN w:val="0"/>
        <w:adjustRightInd w:val="0"/>
        <w:snapToGrid w:val="0"/>
        <w:spacing w:before="50" w:line="360" w:lineRule="auto"/>
        <w:ind w:firstLine="420" w:firstLineChars="200"/>
        <w:jc w:val="left"/>
        <w:rPr>
          <w:rFonts w:ascii="黑体" w:hAnsi="黑体" w:eastAsia="黑体"/>
          <w:b/>
          <w:bCs/>
          <w:sz w:val="32"/>
        </w:rPr>
      </w:pPr>
      <w:r>
        <w:rPr>
          <w:rFonts w:hint="eastAsia" w:asciiTheme="minorEastAsia" w:hAnsiTheme="minorEastAsia" w:eastAsiaTheme="minorEastAsia"/>
          <w:szCs w:val="21"/>
        </w:rPr>
        <w:t>24.1 本合同在合同双方签字盖章后生效。</w:t>
      </w:r>
      <w:r>
        <w:rPr>
          <w:rFonts w:ascii="黑体" w:hAnsi="黑体" w:eastAsia="黑体"/>
          <w:b/>
          <w:bCs/>
          <w:sz w:val="32"/>
        </w:rPr>
        <w:br w:type="page"/>
      </w:r>
    </w:p>
    <w:p w14:paraId="6DA92E1C">
      <w:pPr>
        <w:adjustRightInd w:val="0"/>
        <w:snapToGrid w:val="0"/>
        <w:spacing w:line="360" w:lineRule="auto"/>
        <w:jc w:val="center"/>
        <w:rPr>
          <w:rFonts w:hint="eastAsia"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第三节 政府采购合同专用条款</w:t>
      </w:r>
    </w:p>
    <w:tbl>
      <w:tblPr>
        <w:tblStyle w:val="41"/>
        <w:tblW w:w="903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7"/>
        <w:gridCol w:w="1849"/>
        <w:gridCol w:w="5482"/>
      </w:tblGrid>
      <w:tr w14:paraId="4EDD62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03" w:hRule="atLeast"/>
        </w:trPr>
        <w:tc>
          <w:tcPr>
            <w:tcW w:w="1707" w:type="dxa"/>
            <w:vAlign w:val="center"/>
          </w:tcPr>
          <w:p w14:paraId="7768941B">
            <w:pPr>
              <w:adjustRightInd w:val="0"/>
              <w:snapToGrid w:val="0"/>
              <w:spacing w:line="360" w:lineRule="auto"/>
              <w:jc w:val="center"/>
              <w:rPr>
                <w:rFonts w:ascii="宋体" w:hAnsi="宋体"/>
                <w:szCs w:val="21"/>
              </w:rPr>
            </w:pPr>
            <w:r>
              <w:rPr>
                <w:rFonts w:hint="eastAsia" w:ascii="宋体" w:hAnsi="宋体"/>
                <w:szCs w:val="21"/>
              </w:rPr>
              <w:t>本章第二节</w:t>
            </w:r>
          </w:p>
          <w:p w14:paraId="19FE7746">
            <w:pPr>
              <w:adjustRightInd w:val="0"/>
              <w:snapToGrid w:val="0"/>
              <w:spacing w:line="360" w:lineRule="auto"/>
              <w:jc w:val="center"/>
              <w:rPr>
                <w:rFonts w:ascii="宋体" w:hAnsi="宋体"/>
                <w:szCs w:val="21"/>
              </w:rPr>
            </w:pPr>
            <w:r>
              <w:rPr>
                <w:rFonts w:hint="eastAsia" w:ascii="宋体" w:hAnsi="宋体"/>
                <w:szCs w:val="21"/>
              </w:rPr>
              <w:t>第1.1款</w:t>
            </w:r>
          </w:p>
        </w:tc>
        <w:tc>
          <w:tcPr>
            <w:tcW w:w="1849" w:type="dxa"/>
            <w:vAlign w:val="center"/>
          </w:tcPr>
          <w:p w14:paraId="07DC9892">
            <w:pPr>
              <w:adjustRightInd w:val="0"/>
              <w:snapToGrid w:val="0"/>
              <w:spacing w:line="360" w:lineRule="auto"/>
              <w:jc w:val="left"/>
              <w:rPr>
                <w:rFonts w:ascii="宋体" w:hAnsi="宋体"/>
                <w:szCs w:val="21"/>
              </w:rPr>
            </w:pPr>
            <w:r>
              <w:rPr>
                <w:rFonts w:hint="eastAsia" w:ascii="宋体" w:hAnsi="宋体"/>
                <w:szCs w:val="21"/>
              </w:rPr>
              <w:t xml:space="preserve">甲方名称、地址 </w:t>
            </w:r>
          </w:p>
        </w:tc>
        <w:tc>
          <w:tcPr>
            <w:tcW w:w="5482" w:type="dxa"/>
            <w:vAlign w:val="center"/>
          </w:tcPr>
          <w:p w14:paraId="72CF1DD0">
            <w:r>
              <w:rPr>
                <w:rFonts w:hint="eastAsia"/>
              </w:rPr>
              <w:t>采购人：湘西土家族苗族自治州人民医院</w:t>
            </w:r>
          </w:p>
          <w:p w14:paraId="1903DC20">
            <w:r>
              <w:rPr>
                <w:rFonts w:hint="eastAsia"/>
              </w:rPr>
              <w:t>地  址：吉首市乾州世纪大道与建新路交汇处</w:t>
            </w:r>
          </w:p>
        </w:tc>
      </w:tr>
      <w:tr w14:paraId="04AB03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44" w:hRule="atLeast"/>
        </w:trPr>
        <w:tc>
          <w:tcPr>
            <w:tcW w:w="1707" w:type="dxa"/>
            <w:vAlign w:val="center"/>
          </w:tcPr>
          <w:p w14:paraId="25BD73A0">
            <w:pPr>
              <w:adjustRightInd w:val="0"/>
              <w:snapToGrid w:val="0"/>
              <w:spacing w:line="360" w:lineRule="auto"/>
              <w:jc w:val="center"/>
              <w:rPr>
                <w:rFonts w:ascii="宋体" w:hAnsi="宋体"/>
                <w:szCs w:val="21"/>
              </w:rPr>
            </w:pPr>
            <w:r>
              <w:rPr>
                <w:rFonts w:hint="eastAsia" w:ascii="宋体" w:hAnsi="宋体"/>
                <w:szCs w:val="21"/>
              </w:rPr>
              <w:t>本章第二节</w:t>
            </w:r>
          </w:p>
          <w:p w14:paraId="38B8854C">
            <w:pPr>
              <w:adjustRightInd w:val="0"/>
              <w:snapToGrid w:val="0"/>
              <w:spacing w:line="360" w:lineRule="auto"/>
              <w:jc w:val="center"/>
              <w:rPr>
                <w:rFonts w:ascii="宋体" w:hAnsi="宋体"/>
                <w:szCs w:val="21"/>
              </w:rPr>
            </w:pPr>
            <w:r>
              <w:rPr>
                <w:rFonts w:hint="eastAsia" w:ascii="宋体" w:hAnsi="宋体"/>
                <w:szCs w:val="21"/>
              </w:rPr>
              <w:t>第1.2（6）项</w:t>
            </w:r>
          </w:p>
        </w:tc>
        <w:tc>
          <w:tcPr>
            <w:tcW w:w="1849" w:type="dxa"/>
            <w:vAlign w:val="center"/>
          </w:tcPr>
          <w:p w14:paraId="408EEA52">
            <w:pPr>
              <w:adjustRightInd w:val="0"/>
              <w:snapToGrid w:val="0"/>
              <w:spacing w:line="360" w:lineRule="auto"/>
              <w:jc w:val="left"/>
              <w:rPr>
                <w:rFonts w:ascii="宋体" w:hAnsi="宋体"/>
                <w:szCs w:val="21"/>
              </w:rPr>
            </w:pPr>
            <w:r>
              <w:rPr>
                <w:rFonts w:hint="eastAsia" w:ascii="宋体" w:hAnsi="宋体"/>
                <w:szCs w:val="21"/>
              </w:rPr>
              <w:t>项目现场</w:t>
            </w:r>
          </w:p>
        </w:tc>
        <w:tc>
          <w:tcPr>
            <w:tcW w:w="5482" w:type="dxa"/>
            <w:vAlign w:val="center"/>
          </w:tcPr>
          <w:p w14:paraId="7E1C7511">
            <w:r>
              <w:rPr>
                <w:rFonts w:hint="eastAsia"/>
              </w:rPr>
              <w:t xml:space="preserve">湘西土家族苗族自治州人民医院 </w:t>
            </w:r>
          </w:p>
        </w:tc>
      </w:tr>
      <w:tr w14:paraId="5E5E3B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11" w:hRule="atLeast"/>
        </w:trPr>
        <w:tc>
          <w:tcPr>
            <w:tcW w:w="1707" w:type="dxa"/>
            <w:vAlign w:val="center"/>
          </w:tcPr>
          <w:p w14:paraId="08AAC0B0">
            <w:pPr>
              <w:adjustRightInd w:val="0"/>
              <w:snapToGrid w:val="0"/>
              <w:spacing w:line="360" w:lineRule="auto"/>
              <w:jc w:val="center"/>
              <w:rPr>
                <w:rFonts w:ascii="宋体" w:hAnsi="宋体"/>
                <w:szCs w:val="21"/>
              </w:rPr>
            </w:pPr>
            <w:r>
              <w:rPr>
                <w:rFonts w:hint="eastAsia" w:ascii="宋体" w:hAnsi="宋体"/>
                <w:szCs w:val="21"/>
              </w:rPr>
              <w:t>本章第二节</w:t>
            </w:r>
          </w:p>
          <w:p w14:paraId="093D8D31">
            <w:pPr>
              <w:adjustRightInd w:val="0"/>
              <w:snapToGrid w:val="0"/>
              <w:spacing w:line="360" w:lineRule="auto"/>
              <w:jc w:val="center"/>
              <w:rPr>
                <w:rFonts w:ascii="宋体" w:hAnsi="宋体"/>
                <w:szCs w:val="21"/>
              </w:rPr>
            </w:pPr>
            <w:r>
              <w:rPr>
                <w:rFonts w:hint="eastAsia" w:ascii="宋体" w:hAnsi="宋体"/>
                <w:szCs w:val="21"/>
              </w:rPr>
              <w:t>第5.1款</w:t>
            </w:r>
          </w:p>
        </w:tc>
        <w:tc>
          <w:tcPr>
            <w:tcW w:w="1849" w:type="dxa"/>
            <w:vAlign w:val="center"/>
          </w:tcPr>
          <w:p w14:paraId="330ADF5A">
            <w:pPr>
              <w:adjustRightInd w:val="0"/>
              <w:snapToGrid w:val="0"/>
              <w:spacing w:line="360" w:lineRule="auto"/>
              <w:jc w:val="left"/>
              <w:rPr>
                <w:rFonts w:ascii="宋体" w:hAnsi="宋体"/>
                <w:szCs w:val="21"/>
              </w:rPr>
            </w:pPr>
            <w:r>
              <w:rPr>
                <w:rFonts w:hint="eastAsia" w:ascii="宋体" w:hAnsi="宋体"/>
                <w:szCs w:val="21"/>
              </w:rPr>
              <w:t>履行合同的时间、地点及方式</w:t>
            </w:r>
          </w:p>
        </w:tc>
        <w:tc>
          <w:tcPr>
            <w:tcW w:w="5482" w:type="dxa"/>
            <w:vAlign w:val="center"/>
          </w:tcPr>
          <w:p w14:paraId="77790E0E">
            <w:pPr>
              <w:rPr>
                <w:rFonts w:hint="eastAsia" w:eastAsia="宋体"/>
                <w:lang w:eastAsia="zh-CN"/>
              </w:rPr>
            </w:pPr>
            <w:r>
              <w:rPr>
                <w:rFonts w:hint="eastAsia"/>
                <w:lang w:eastAsia="zh-CN"/>
              </w:rPr>
              <w:t>履行合同</w:t>
            </w:r>
            <w:r>
              <w:rPr>
                <w:rFonts w:hint="eastAsia"/>
              </w:rPr>
              <w:t>时间：</w:t>
            </w:r>
            <w:r>
              <w:rPr>
                <w:rFonts w:hint="eastAsia"/>
                <w:lang w:eastAsia="zh-CN"/>
              </w:rPr>
              <w:t>自</w:t>
            </w:r>
            <w:r>
              <w:rPr>
                <w:rFonts w:hint="eastAsia"/>
              </w:rPr>
              <w:t>签订合同后</w:t>
            </w:r>
            <w:r>
              <w:rPr>
                <w:rFonts w:hint="eastAsia"/>
                <w:lang w:val="en-US" w:eastAsia="zh-CN"/>
              </w:rPr>
              <w:t>36</w:t>
            </w:r>
            <w:r>
              <w:rPr>
                <w:rFonts w:hint="eastAsia"/>
                <w:lang w:eastAsia="zh-CN"/>
              </w:rPr>
              <w:t>个月</w:t>
            </w:r>
          </w:p>
          <w:p w14:paraId="598D4566">
            <w:r>
              <w:rPr>
                <w:rFonts w:hint="eastAsia"/>
                <w:lang w:eastAsia="zh-CN"/>
              </w:rPr>
              <w:t>履行合同</w:t>
            </w:r>
            <w:r>
              <w:rPr>
                <w:rFonts w:hint="eastAsia"/>
              </w:rPr>
              <w:t>地点：湘西土家族苗族自治州人民医院</w:t>
            </w:r>
          </w:p>
        </w:tc>
      </w:tr>
      <w:tr w14:paraId="6438DC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23" w:hRule="atLeast"/>
        </w:trPr>
        <w:tc>
          <w:tcPr>
            <w:tcW w:w="1707" w:type="dxa"/>
            <w:vAlign w:val="center"/>
          </w:tcPr>
          <w:p w14:paraId="12861DFC">
            <w:pPr>
              <w:adjustRightInd w:val="0"/>
              <w:snapToGrid w:val="0"/>
              <w:spacing w:line="360" w:lineRule="auto"/>
              <w:jc w:val="center"/>
              <w:rPr>
                <w:rFonts w:ascii="宋体" w:hAnsi="宋体"/>
                <w:szCs w:val="21"/>
              </w:rPr>
            </w:pPr>
            <w:r>
              <w:rPr>
                <w:rFonts w:hint="eastAsia" w:ascii="宋体" w:hAnsi="宋体"/>
                <w:szCs w:val="21"/>
              </w:rPr>
              <w:t>本章第二节</w:t>
            </w:r>
          </w:p>
          <w:p w14:paraId="265813A0">
            <w:pPr>
              <w:adjustRightInd w:val="0"/>
              <w:snapToGrid w:val="0"/>
              <w:spacing w:line="360" w:lineRule="auto"/>
              <w:jc w:val="center"/>
              <w:rPr>
                <w:rFonts w:ascii="宋体" w:hAnsi="宋体"/>
                <w:szCs w:val="21"/>
              </w:rPr>
            </w:pPr>
            <w:r>
              <w:rPr>
                <w:rFonts w:hint="eastAsia" w:ascii="宋体" w:hAnsi="宋体"/>
                <w:szCs w:val="21"/>
              </w:rPr>
              <w:t>第9.2（1）项</w:t>
            </w:r>
          </w:p>
        </w:tc>
        <w:tc>
          <w:tcPr>
            <w:tcW w:w="1849" w:type="dxa"/>
            <w:vAlign w:val="center"/>
          </w:tcPr>
          <w:p w14:paraId="45349022">
            <w:pPr>
              <w:adjustRightInd w:val="0"/>
              <w:snapToGrid w:val="0"/>
              <w:spacing w:line="360" w:lineRule="auto"/>
              <w:jc w:val="left"/>
              <w:rPr>
                <w:rFonts w:ascii="宋体" w:hAnsi="宋体"/>
                <w:szCs w:val="21"/>
              </w:rPr>
            </w:pPr>
            <w:r>
              <w:rPr>
                <w:rFonts w:hint="eastAsia" w:ascii="宋体" w:hAnsi="宋体"/>
                <w:szCs w:val="21"/>
              </w:rPr>
              <w:t>质量保证期</w:t>
            </w:r>
          </w:p>
        </w:tc>
        <w:tc>
          <w:tcPr>
            <w:tcW w:w="5482" w:type="dxa"/>
            <w:vAlign w:val="center"/>
          </w:tcPr>
          <w:p w14:paraId="1AFB7A90">
            <w:pPr>
              <w:rPr>
                <w:rFonts w:hint="default"/>
                <w:lang w:val="en-US"/>
              </w:rPr>
            </w:pPr>
            <w:r>
              <w:rPr>
                <w:rFonts w:hint="eastAsia"/>
                <w:lang w:val="en-US" w:eastAsia="zh-CN"/>
              </w:rPr>
              <w:t>/</w:t>
            </w:r>
          </w:p>
        </w:tc>
      </w:tr>
      <w:tr w14:paraId="153C42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23" w:hRule="atLeast"/>
        </w:trPr>
        <w:tc>
          <w:tcPr>
            <w:tcW w:w="1707" w:type="dxa"/>
            <w:vAlign w:val="center"/>
          </w:tcPr>
          <w:p w14:paraId="5D6A686C">
            <w:pPr>
              <w:adjustRightInd w:val="0"/>
              <w:snapToGrid w:val="0"/>
              <w:spacing w:line="360" w:lineRule="auto"/>
              <w:jc w:val="center"/>
              <w:rPr>
                <w:rFonts w:ascii="宋体" w:hAnsi="宋体"/>
                <w:szCs w:val="21"/>
              </w:rPr>
            </w:pPr>
            <w:r>
              <w:rPr>
                <w:rFonts w:hint="eastAsia" w:ascii="宋体" w:hAnsi="宋体"/>
                <w:szCs w:val="21"/>
              </w:rPr>
              <w:t>本章第二节</w:t>
            </w:r>
          </w:p>
          <w:p w14:paraId="2F6A0799">
            <w:pPr>
              <w:adjustRightInd w:val="0"/>
              <w:snapToGrid w:val="0"/>
              <w:spacing w:line="360" w:lineRule="auto"/>
              <w:jc w:val="center"/>
              <w:rPr>
                <w:rFonts w:ascii="宋体" w:hAnsi="宋体"/>
                <w:szCs w:val="21"/>
              </w:rPr>
            </w:pPr>
            <w:r>
              <w:rPr>
                <w:rFonts w:hint="eastAsia" w:ascii="宋体" w:hAnsi="宋体"/>
                <w:szCs w:val="21"/>
              </w:rPr>
              <w:t>第9.2（3）项</w:t>
            </w:r>
          </w:p>
        </w:tc>
        <w:tc>
          <w:tcPr>
            <w:tcW w:w="1849" w:type="dxa"/>
            <w:vAlign w:val="center"/>
          </w:tcPr>
          <w:p w14:paraId="3E877B1C">
            <w:pPr>
              <w:adjustRightInd w:val="0"/>
              <w:snapToGrid w:val="0"/>
              <w:spacing w:line="360" w:lineRule="auto"/>
              <w:jc w:val="left"/>
              <w:rPr>
                <w:rFonts w:ascii="宋体" w:hAnsi="宋体"/>
                <w:szCs w:val="21"/>
              </w:rPr>
            </w:pPr>
            <w:r>
              <w:rPr>
                <w:rFonts w:hint="eastAsia" w:ascii="宋体" w:hAnsi="宋体"/>
                <w:szCs w:val="21"/>
              </w:rPr>
              <w:t>响应时间</w:t>
            </w:r>
          </w:p>
        </w:tc>
        <w:tc>
          <w:tcPr>
            <w:tcW w:w="5482" w:type="dxa"/>
            <w:vAlign w:val="center"/>
          </w:tcPr>
          <w:p w14:paraId="36C32952">
            <w:pPr>
              <w:spacing w:line="280" w:lineRule="exact"/>
            </w:pPr>
            <w:r>
              <w:rPr>
                <w:rFonts w:hint="eastAsia"/>
                <w:lang w:val="en-US" w:eastAsia="zh-CN"/>
              </w:rPr>
              <w:t>响应时间为全年（含节假日），初次响应时间＜1小时，工程师到达现场时间＜24小时。</w:t>
            </w:r>
          </w:p>
        </w:tc>
      </w:tr>
      <w:tr w14:paraId="41FB20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23" w:hRule="atLeast"/>
        </w:trPr>
        <w:tc>
          <w:tcPr>
            <w:tcW w:w="1707" w:type="dxa"/>
            <w:vAlign w:val="center"/>
          </w:tcPr>
          <w:p w14:paraId="33228E3E">
            <w:pPr>
              <w:adjustRightInd w:val="0"/>
              <w:snapToGrid w:val="0"/>
              <w:spacing w:line="360" w:lineRule="auto"/>
              <w:jc w:val="center"/>
              <w:rPr>
                <w:rFonts w:ascii="宋体" w:hAnsi="宋体"/>
                <w:szCs w:val="21"/>
              </w:rPr>
            </w:pPr>
            <w:r>
              <w:rPr>
                <w:rFonts w:hint="eastAsia" w:ascii="宋体" w:hAnsi="宋体"/>
                <w:szCs w:val="21"/>
              </w:rPr>
              <w:t>本章第二节</w:t>
            </w:r>
          </w:p>
          <w:p w14:paraId="39793A7C">
            <w:pPr>
              <w:adjustRightInd w:val="0"/>
              <w:snapToGrid w:val="0"/>
              <w:spacing w:line="360" w:lineRule="auto"/>
              <w:jc w:val="center"/>
              <w:rPr>
                <w:rFonts w:ascii="宋体" w:hAnsi="宋体"/>
                <w:szCs w:val="21"/>
              </w:rPr>
            </w:pPr>
            <w:r>
              <w:rPr>
                <w:rFonts w:hint="eastAsia" w:ascii="宋体" w:hAnsi="宋体"/>
                <w:szCs w:val="21"/>
              </w:rPr>
              <w:t>第13.5款</w:t>
            </w:r>
          </w:p>
        </w:tc>
        <w:tc>
          <w:tcPr>
            <w:tcW w:w="1849" w:type="dxa"/>
            <w:vAlign w:val="center"/>
          </w:tcPr>
          <w:p w14:paraId="0BADACC0">
            <w:pPr>
              <w:adjustRightInd w:val="0"/>
              <w:snapToGrid w:val="0"/>
              <w:spacing w:line="360" w:lineRule="auto"/>
              <w:jc w:val="left"/>
              <w:rPr>
                <w:rFonts w:ascii="宋体" w:hAnsi="宋体"/>
                <w:szCs w:val="21"/>
              </w:rPr>
            </w:pPr>
            <w:r>
              <w:rPr>
                <w:rFonts w:hint="eastAsia" w:ascii="宋体" w:hAnsi="宋体"/>
                <w:szCs w:val="21"/>
              </w:rPr>
              <w:t>合同价款支付方式</w:t>
            </w:r>
            <w:r>
              <w:rPr>
                <w:rFonts w:hint="eastAsia" w:ascii="宋体" w:hAnsi="宋体"/>
                <w:bCs/>
                <w:szCs w:val="21"/>
              </w:rPr>
              <w:t>和条件</w:t>
            </w:r>
          </w:p>
        </w:tc>
        <w:tc>
          <w:tcPr>
            <w:tcW w:w="5482" w:type="dxa"/>
            <w:vAlign w:val="center"/>
          </w:tcPr>
          <w:p w14:paraId="6BC9C91A">
            <w:pPr>
              <w:spacing w:line="280" w:lineRule="exact"/>
              <w:rPr>
                <w:rFonts w:hint="eastAsia" w:ascii="Times New Roman" w:hAnsi="Times New Roman" w:eastAsia="宋体" w:cs="Times New Roman"/>
                <w:lang w:val="en-US" w:eastAsia="zh-CN"/>
              </w:rPr>
            </w:pPr>
            <w:r>
              <w:rPr>
                <w:rFonts w:hint="eastAsia"/>
                <w:lang w:val="en-US" w:eastAsia="zh-CN"/>
              </w:rPr>
              <w:t>先服务后付款。设备维保款分6期支付，每期支付维保总费用的1/6。每半年考核周期满后凭投标人开具的正规发票及考核合格报告支付当期款项。</w:t>
            </w:r>
          </w:p>
        </w:tc>
      </w:tr>
      <w:tr w14:paraId="7DB0B7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44" w:hRule="atLeast"/>
        </w:trPr>
        <w:tc>
          <w:tcPr>
            <w:tcW w:w="1707" w:type="dxa"/>
            <w:vAlign w:val="center"/>
          </w:tcPr>
          <w:p w14:paraId="4476D687">
            <w:pPr>
              <w:adjustRightInd w:val="0"/>
              <w:snapToGrid w:val="0"/>
              <w:spacing w:line="360" w:lineRule="auto"/>
              <w:jc w:val="center"/>
              <w:rPr>
                <w:rFonts w:ascii="宋体" w:hAnsi="宋体"/>
                <w:szCs w:val="21"/>
              </w:rPr>
            </w:pPr>
            <w:r>
              <w:rPr>
                <w:rFonts w:hint="eastAsia" w:ascii="宋体" w:hAnsi="宋体"/>
                <w:szCs w:val="21"/>
              </w:rPr>
              <w:t>本章第二节</w:t>
            </w:r>
          </w:p>
          <w:p w14:paraId="719B9F55">
            <w:pPr>
              <w:adjustRightInd w:val="0"/>
              <w:snapToGrid w:val="0"/>
              <w:spacing w:line="360" w:lineRule="auto"/>
              <w:jc w:val="center"/>
              <w:rPr>
                <w:rFonts w:ascii="宋体" w:hAnsi="宋体"/>
                <w:szCs w:val="21"/>
              </w:rPr>
            </w:pPr>
            <w:r>
              <w:rPr>
                <w:rFonts w:hint="eastAsia" w:ascii="宋体" w:hAnsi="宋体"/>
                <w:szCs w:val="21"/>
              </w:rPr>
              <w:t>第14.2（6）项</w:t>
            </w:r>
          </w:p>
        </w:tc>
        <w:tc>
          <w:tcPr>
            <w:tcW w:w="1849" w:type="dxa"/>
            <w:vAlign w:val="center"/>
          </w:tcPr>
          <w:p w14:paraId="5E4BB29A">
            <w:pPr>
              <w:adjustRightInd w:val="0"/>
              <w:snapToGrid w:val="0"/>
              <w:spacing w:line="360" w:lineRule="auto"/>
              <w:jc w:val="left"/>
              <w:rPr>
                <w:rFonts w:ascii="宋体" w:hAnsi="宋体"/>
                <w:szCs w:val="21"/>
              </w:rPr>
            </w:pPr>
            <w:r>
              <w:rPr>
                <w:rFonts w:hint="eastAsia" w:ascii="宋体" w:hAnsi="宋体"/>
                <w:szCs w:val="21"/>
              </w:rPr>
              <w:t>乙方提供的其他服务</w:t>
            </w:r>
          </w:p>
        </w:tc>
        <w:tc>
          <w:tcPr>
            <w:tcW w:w="5482" w:type="dxa"/>
            <w:vAlign w:val="center"/>
          </w:tcPr>
          <w:p w14:paraId="3D778601">
            <w:pPr>
              <w:rPr>
                <w:rFonts w:hint="eastAsia" w:eastAsia="宋体"/>
                <w:lang w:eastAsia="zh-CN"/>
              </w:rPr>
            </w:pPr>
            <w:r>
              <w:rPr>
                <w:rFonts w:hint="eastAsia"/>
                <w:lang w:eastAsia="zh-CN"/>
              </w:rPr>
              <w:t>详见《采购需求》</w:t>
            </w:r>
          </w:p>
        </w:tc>
      </w:tr>
      <w:tr w14:paraId="0844F4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23" w:hRule="atLeast"/>
        </w:trPr>
        <w:tc>
          <w:tcPr>
            <w:tcW w:w="1707" w:type="dxa"/>
            <w:vAlign w:val="center"/>
          </w:tcPr>
          <w:p w14:paraId="0AA67340">
            <w:pPr>
              <w:adjustRightInd w:val="0"/>
              <w:snapToGrid w:val="0"/>
              <w:spacing w:line="360" w:lineRule="auto"/>
              <w:jc w:val="center"/>
              <w:rPr>
                <w:rFonts w:ascii="宋体" w:hAnsi="宋体"/>
                <w:szCs w:val="21"/>
              </w:rPr>
            </w:pPr>
            <w:r>
              <w:rPr>
                <w:rFonts w:hint="eastAsia" w:ascii="宋体" w:hAnsi="宋体"/>
                <w:szCs w:val="21"/>
              </w:rPr>
              <w:t>本章第二节</w:t>
            </w:r>
          </w:p>
          <w:p w14:paraId="6A784B40">
            <w:pPr>
              <w:adjustRightInd w:val="0"/>
              <w:snapToGrid w:val="0"/>
              <w:spacing w:line="360" w:lineRule="auto"/>
              <w:jc w:val="center"/>
              <w:rPr>
                <w:rFonts w:ascii="宋体" w:hAnsi="宋体"/>
                <w:bCs/>
                <w:szCs w:val="21"/>
              </w:rPr>
            </w:pPr>
            <w:r>
              <w:rPr>
                <w:rFonts w:hint="eastAsia" w:ascii="宋体" w:hAnsi="宋体"/>
                <w:szCs w:val="21"/>
              </w:rPr>
              <w:t>第20.2款</w:t>
            </w:r>
          </w:p>
        </w:tc>
        <w:tc>
          <w:tcPr>
            <w:tcW w:w="1849" w:type="dxa"/>
            <w:vAlign w:val="center"/>
          </w:tcPr>
          <w:p w14:paraId="1F73BAFC">
            <w:pPr>
              <w:adjustRightInd w:val="0"/>
              <w:snapToGrid w:val="0"/>
              <w:spacing w:line="360" w:lineRule="auto"/>
              <w:jc w:val="left"/>
              <w:rPr>
                <w:rFonts w:ascii="宋体" w:hAnsi="宋体"/>
                <w:bCs/>
                <w:szCs w:val="21"/>
              </w:rPr>
            </w:pPr>
            <w:r>
              <w:rPr>
                <w:rFonts w:hint="eastAsia" w:ascii="宋体" w:hAnsi="宋体"/>
                <w:szCs w:val="21"/>
              </w:rPr>
              <w:t>解决争议的方式</w:t>
            </w:r>
          </w:p>
        </w:tc>
        <w:tc>
          <w:tcPr>
            <w:tcW w:w="5482" w:type="dxa"/>
            <w:vAlign w:val="center"/>
          </w:tcPr>
          <w:p w14:paraId="2EF4DF22">
            <w:r>
              <w:rPr>
                <w:rFonts w:hint="eastAsia" w:ascii="MS Mincho" w:hAnsi="MS Mincho" w:eastAsia="MS Mincho" w:cs="MS Mincho"/>
              </w:rPr>
              <w:t>☑</w:t>
            </w:r>
            <w:r>
              <w:rPr>
                <w:rFonts w:hint="eastAsia"/>
              </w:rPr>
              <w:t xml:space="preserve"> 诉讼</w:t>
            </w:r>
          </w:p>
          <w:p w14:paraId="1A48A772">
            <w:r>
              <w:rPr>
                <w:rFonts w:hint="eastAsia" w:ascii="MS Mincho" w:hAnsi="MS Mincho" w:cs="MS Mincho"/>
                <w:lang w:eastAsia="zh-CN"/>
              </w:rPr>
              <w:t>□</w:t>
            </w:r>
            <w:r>
              <w:rPr>
                <w:rFonts w:hint="eastAsia"/>
              </w:rPr>
              <w:t xml:space="preserve"> 仲裁</w:t>
            </w:r>
          </w:p>
        </w:tc>
      </w:tr>
      <w:tr w14:paraId="510FD0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23" w:hRule="atLeast"/>
        </w:trPr>
        <w:tc>
          <w:tcPr>
            <w:tcW w:w="1707" w:type="dxa"/>
            <w:vAlign w:val="center"/>
          </w:tcPr>
          <w:p w14:paraId="11554C10">
            <w:pPr>
              <w:adjustRightInd w:val="0"/>
              <w:snapToGrid w:val="0"/>
              <w:spacing w:line="360" w:lineRule="auto"/>
              <w:jc w:val="center"/>
              <w:rPr>
                <w:rFonts w:ascii="宋体" w:hAnsi="宋体"/>
                <w:szCs w:val="21"/>
              </w:rPr>
            </w:pPr>
            <w:r>
              <w:rPr>
                <w:rFonts w:hint="eastAsia" w:ascii="宋体" w:hAnsi="宋体"/>
                <w:szCs w:val="21"/>
              </w:rPr>
              <w:t>本章第二节</w:t>
            </w:r>
          </w:p>
          <w:p w14:paraId="14CDCADB">
            <w:pPr>
              <w:adjustRightInd w:val="0"/>
              <w:snapToGrid w:val="0"/>
              <w:spacing w:line="360" w:lineRule="auto"/>
              <w:jc w:val="center"/>
              <w:rPr>
                <w:rFonts w:ascii="宋体" w:hAnsi="宋体"/>
                <w:szCs w:val="21"/>
              </w:rPr>
            </w:pPr>
            <w:r>
              <w:rPr>
                <w:rFonts w:hint="eastAsia" w:ascii="宋体" w:hAnsi="宋体"/>
                <w:szCs w:val="21"/>
              </w:rPr>
              <w:t>第23.1款</w:t>
            </w:r>
          </w:p>
        </w:tc>
        <w:tc>
          <w:tcPr>
            <w:tcW w:w="1849" w:type="dxa"/>
            <w:vAlign w:val="center"/>
          </w:tcPr>
          <w:p w14:paraId="74795561">
            <w:pPr>
              <w:adjustRightInd w:val="0"/>
              <w:snapToGrid w:val="0"/>
              <w:spacing w:line="360" w:lineRule="auto"/>
              <w:jc w:val="left"/>
              <w:rPr>
                <w:rFonts w:ascii="宋体" w:hAnsi="宋体"/>
                <w:szCs w:val="21"/>
              </w:rPr>
            </w:pPr>
            <w:r>
              <w:rPr>
                <w:rFonts w:hint="eastAsia" w:ascii="宋体" w:hAnsi="宋体"/>
                <w:bCs/>
                <w:szCs w:val="21"/>
              </w:rPr>
              <w:t>合同未尽事项</w:t>
            </w:r>
          </w:p>
        </w:tc>
        <w:tc>
          <w:tcPr>
            <w:tcW w:w="5482" w:type="dxa"/>
            <w:vAlign w:val="center"/>
          </w:tcPr>
          <w:p w14:paraId="1E7F377D">
            <w:r>
              <w:rPr>
                <w:rFonts w:hint="eastAsia"/>
              </w:rPr>
              <w:t>双方协商解决</w:t>
            </w:r>
          </w:p>
        </w:tc>
      </w:tr>
    </w:tbl>
    <w:p w14:paraId="39E8286A">
      <w:pPr>
        <w:adjustRightInd w:val="0"/>
        <w:snapToGrid w:val="0"/>
        <w:spacing w:line="360" w:lineRule="auto"/>
        <w:jc w:val="center"/>
        <w:rPr>
          <w:rFonts w:ascii="黑体" w:hAnsi="华文中宋" w:eastAsia="黑体"/>
          <w:b/>
          <w:bCs/>
          <w:sz w:val="28"/>
          <w:szCs w:val="28"/>
        </w:rPr>
      </w:pPr>
      <w:r>
        <w:rPr>
          <w:rFonts w:ascii="黑体" w:hAnsi="华文中宋" w:eastAsia="黑体"/>
          <w:b/>
          <w:bCs/>
          <w:sz w:val="28"/>
          <w:szCs w:val="28"/>
        </w:rPr>
        <w:br w:type="page"/>
      </w:r>
    </w:p>
    <w:p w14:paraId="094FAD15">
      <w:pPr>
        <w:pStyle w:val="21"/>
        <w:adjustRightInd w:val="0"/>
        <w:snapToGrid w:val="0"/>
        <w:spacing w:line="360" w:lineRule="auto"/>
        <w:jc w:val="center"/>
        <w:outlineLvl w:val="0"/>
        <w:rPr>
          <w:rFonts w:hint="eastAsia" w:ascii="方正小标宋简体" w:hAnsi="方正小标宋简体" w:eastAsia="方正小标宋简体" w:cs="方正小标宋简体"/>
          <w:b/>
          <w:sz w:val="36"/>
          <w:szCs w:val="36"/>
        </w:rPr>
      </w:pPr>
      <w:bookmarkStart w:id="38" w:name="_Toc29913948"/>
      <w:r>
        <w:rPr>
          <w:rFonts w:hint="eastAsia" w:ascii="方正小标宋简体" w:hAnsi="方正小标宋简体" w:eastAsia="方正小标宋简体" w:cs="方正小标宋简体"/>
          <w:b/>
          <w:sz w:val="36"/>
          <w:szCs w:val="36"/>
        </w:rPr>
        <w:t>第七章 投标文件的组成</w:t>
      </w:r>
      <w:bookmarkEnd w:id="38"/>
    </w:p>
    <w:p w14:paraId="7F2CF5DD">
      <w:pPr>
        <w:adjustRightInd w:val="0"/>
        <w:snapToGrid w:val="0"/>
        <w:spacing w:line="360" w:lineRule="auto"/>
        <w:ind w:left="-88" w:leftChars="-42"/>
        <w:jc w:val="center"/>
        <w:rPr>
          <w:b/>
          <w:bCs/>
          <w:sz w:val="32"/>
        </w:rPr>
      </w:pPr>
    </w:p>
    <w:p w14:paraId="1407DC49">
      <w:pPr>
        <w:adjustRightInd w:val="0"/>
        <w:snapToGrid w:val="0"/>
        <w:spacing w:beforeLines="50" w:line="360" w:lineRule="auto"/>
        <w:jc w:val="left"/>
        <w:rPr>
          <w:rFonts w:ascii="宋体" w:hAnsi="宋体"/>
          <w:b/>
          <w:szCs w:val="21"/>
        </w:rPr>
      </w:pPr>
      <w:r>
        <w:rPr>
          <w:rFonts w:hint="eastAsia" w:ascii="宋体" w:hAnsi="宋体"/>
          <w:b/>
          <w:szCs w:val="21"/>
        </w:rPr>
        <w:t>第一部分 资格证明文件</w:t>
      </w:r>
    </w:p>
    <w:p w14:paraId="45EA19BB">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一、开标一览表</w:t>
      </w:r>
    </w:p>
    <w:p w14:paraId="1998F26F">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二、投标保</w:t>
      </w:r>
      <w:r>
        <w:rPr>
          <w:rFonts w:hint="eastAsia" w:ascii="宋体" w:hAnsi="宋体"/>
          <w:bCs/>
          <w:szCs w:val="21"/>
        </w:rPr>
        <w:t>证金</w:t>
      </w:r>
    </w:p>
    <w:p w14:paraId="493188FA">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三、法定代表人（单位负责人）身份证明或授权委托书</w:t>
      </w:r>
    </w:p>
    <w:p w14:paraId="091EA536">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四、投标人提供的资格证明文件</w:t>
      </w:r>
    </w:p>
    <w:p w14:paraId="4776284A">
      <w:pPr>
        <w:adjustRightInd w:val="0"/>
        <w:snapToGrid w:val="0"/>
        <w:spacing w:beforeLines="50" w:line="360" w:lineRule="auto"/>
        <w:jc w:val="left"/>
        <w:rPr>
          <w:rFonts w:ascii="宋体" w:hAnsi="宋体"/>
          <w:b/>
          <w:szCs w:val="21"/>
        </w:rPr>
      </w:pPr>
      <w:r>
        <w:rPr>
          <w:rFonts w:hint="eastAsia" w:ascii="宋体" w:hAnsi="宋体"/>
          <w:b/>
          <w:szCs w:val="21"/>
        </w:rPr>
        <w:t>第二部分 商务技术文件</w:t>
      </w:r>
    </w:p>
    <w:p w14:paraId="5CAE9048">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五、投标函</w:t>
      </w:r>
    </w:p>
    <w:p w14:paraId="0BC2AD50">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六、分项报价</w:t>
      </w:r>
    </w:p>
    <w:p w14:paraId="3236E312">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七、采购需求响应</w:t>
      </w:r>
    </w:p>
    <w:p w14:paraId="1A9BDEAE">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八、合同条款偏离表</w:t>
      </w:r>
    </w:p>
    <w:p w14:paraId="3EB447B8">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九、采购需求偏离表</w:t>
      </w:r>
    </w:p>
    <w:p w14:paraId="6A246FD0">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十、享受政府采购政策优惠的证明资料和清单表</w:t>
      </w:r>
    </w:p>
    <w:p w14:paraId="66AD8F3B">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十一、投标货物符合招标文件规定的证明文件</w:t>
      </w:r>
    </w:p>
    <w:p w14:paraId="2E764AF7">
      <w:pPr>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十二、投标人认为需提供的其他资料</w:t>
      </w:r>
    </w:p>
    <w:p w14:paraId="0401B08D">
      <w:pPr>
        <w:adjustRightInd w:val="0"/>
        <w:snapToGrid w:val="0"/>
        <w:spacing w:beforeLines="50" w:line="360" w:lineRule="auto"/>
        <w:ind w:firstLine="422" w:firstLineChars="200"/>
        <w:jc w:val="left"/>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注：</w:t>
      </w:r>
      <w:r>
        <w:rPr>
          <w:rFonts w:hint="eastAsia" w:asciiTheme="minorEastAsia" w:hAnsiTheme="minorEastAsia" w:eastAsiaTheme="minorEastAsia"/>
          <w:b/>
          <w:szCs w:val="21"/>
        </w:rPr>
        <w:t>1、投标人应按照电子招标文件格式及投标工具编制资格证明文件，不得将其编制到商务和技术文件中。否则，由于编制失误所产生的后果，由投标人自行承担。</w:t>
      </w:r>
    </w:p>
    <w:p w14:paraId="1D1E03A3">
      <w:pPr>
        <w:adjustRightInd w:val="0"/>
        <w:snapToGrid w:val="0"/>
        <w:spacing w:beforeLines="50" w:line="360" w:lineRule="auto"/>
        <w:ind w:firstLine="422" w:firstLineChars="200"/>
        <w:jc w:val="left"/>
        <w:rPr>
          <w:rFonts w:asciiTheme="minorEastAsia" w:hAnsiTheme="minorEastAsia" w:eastAsiaTheme="minorEastAsia"/>
          <w:b/>
          <w:color w:val="000000"/>
          <w:szCs w:val="21"/>
        </w:rPr>
      </w:pPr>
      <w:r>
        <w:rPr>
          <w:rFonts w:hint="eastAsia" w:asciiTheme="minorEastAsia" w:hAnsiTheme="minorEastAsia" w:eastAsiaTheme="minorEastAsia"/>
          <w:b/>
          <w:szCs w:val="21"/>
        </w:rPr>
        <w:t>2、投标人应按照电子招标文件格式及投标工具编制商务和技术及综合评分表相关资料。否则，由于编制失误所产生的后果，由投标人自行承担。</w:t>
      </w:r>
    </w:p>
    <w:p w14:paraId="2F41085F">
      <w:pPr>
        <w:adjustRightInd w:val="0"/>
        <w:snapToGrid w:val="0"/>
        <w:spacing w:beforeLines="50" w:line="360" w:lineRule="auto"/>
        <w:ind w:firstLine="420" w:firstLineChars="200"/>
        <w:jc w:val="left"/>
        <w:rPr>
          <w:rFonts w:asciiTheme="minorEastAsia" w:hAnsiTheme="minorEastAsia" w:eastAsiaTheme="minorEastAsia"/>
          <w:color w:val="000000"/>
          <w:szCs w:val="21"/>
        </w:rPr>
      </w:pPr>
    </w:p>
    <w:p w14:paraId="2725DACB">
      <w:pPr>
        <w:adjustRightInd w:val="0"/>
        <w:snapToGrid w:val="0"/>
        <w:spacing w:line="360" w:lineRule="auto"/>
        <w:jc w:val="center"/>
        <w:rPr>
          <w:rFonts w:ascii="仿宋_GB2312" w:hAnsi="宋体" w:eastAsia="仿宋_GB2312"/>
          <w:color w:val="000000"/>
          <w:szCs w:val="21"/>
        </w:rPr>
      </w:pPr>
    </w:p>
    <w:p w14:paraId="09923EB5">
      <w:pPr>
        <w:adjustRightInd w:val="0"/>
        <w:snapToGrid w:val="0"/>
        <w:spacing w:line="360" w:lineRule="auto"/>
        <w:jc w:val="center"/>
        <w:rPr>
          <w:rFonts w:ascii="黑体" w:eastAsia="黑体"/>
          <w:color w:val="000000"/>
          <w:sz w:val="32"/>
          <w:szCs w:val="32"/>
        </w:rPr>
      </w:pPr>
      <w:r>
        <w:rPr>
          <w:rFonts w:ascii="仿宋_GB2312" w:hAnsi="宋体" w:eastAsia="仿宋_GB2312"/>
          <w:color w:val="000000"/>
          <w:szCs w:val="21"/>
        </w:rPr>
        <w:br w:type="page"/>
      </w:r>
    </w:p>
    <w:p w14:paraId="54352A66">
      <w:pPr>
        <w:adjustRightInd w:val="0"/>
        <w:snapToGrid w:val="0"/>
        <w:spacing w:line="360" w:lineRule="auto"/>
        <w:jc w:val="center"/>
        <w:rPr>
          <w:rFonts w:ascii="黑体" w:eastAsia="黑体"/>
          <w:color w:val="000000"/>
          <w:sz w:val="32"/>
          <w:szCs w:val="32"/>
        </w:rPr>
      </w:pPr>
    </w:p>
    <w:p w14:paraId="7744946A">
      <w:pPr>
        <w:pStyle w:val="21"/>
        <w:adjustRightInd w:val="0"/>
        <w:snapToGrid w:val="0"/>
        <w:spacing w:line="360" w:lineRule="auto"/>
        <w:jc w:val="center"/>
        <w:rPr>
          <w:rFonts w:ascii="方正小标宋简体" w:hAnsi="方正小标宋简体" w:eastAsia="方正小标宋简体"/>
          <w:b w:val="0"/>
          <w:bCs w:val="0"/>
          <w:sz w:val="72"/>
          <w:szCs w:val="72"/>
        </w:rPr>
      </w:pPr>
      <w:r>
        <w:rPr>
          <w:rFonts w:hint="eastAsia" w:ascii="方正小标宋简体" w:hAnsi="方正小标宋简体" w:eastAsia="方正小标宋简体"/>
          <w:b w:val="0"/>
          <w:bCs w:val="0"/>
          <w:sz w:val="72"/>
          <w:szCs w:val="72"/>
        </w:rPr>
        <w:t>政府采购</w:t>
      </w:r>
    </w:p>
    <w:p w14:paraId="6FD8B8C7">
      <w:pPr>
        <w:adjustRightInd w:val="0"/>
        <w:snapToGrid w:val="0"/>
        <w:spacing w:line="360" w:lineRule="auto"/>
        <w:jc w:val="center"/>
        <w:rPr>
          <w:rFonts w:ascii="方正小标宋简体" w:hAnsi="方正小标宋简体" w:eastAsia="方正小标宋简体"/>
          <w:b w:val="0"/>
          <w:bCs w:val="0"/>
          <w:sz w:val="84"/>
          <w:szCs w:val="84"/>
        </w:rPr>
      </w:pPr>
      <w:r>
        <w:rPr>
          <w:rFonts w:hint="eastAsia" w:ascii="方正小标宋简体" w:hAnsi="方正小标宋简体" w:eastAsia="方正小标宋简体"/>
          <w:b w:val="0"/>
          <w:bCs w:val="0"/>
          <w:sz w:val="84"/>
          <w:szCs w:val="84"/>
        </w:rPr>
        <w:t>投 标 文 件</w:t>
      </w:r>
    </w:p>
    <w:p w14:paraId="33F4E541">
      <w:pPr>
        <w:pStyle w:val="3"/>
        <w:adjustRightInd w:val="0"/>
        <w:snapToGrid w:val="0"/>
        <w:jc w:val="center"/>
        <w:rPr>
          <w:rFonts w:ascii="方正小标宋简体" w:hAnsi="方正小标宋简体" w:eastAsia="方正小标宋简体"/>
          <w:color w:val="000000"/>
          <w:sz w:val="44"/>
          <w:szCs w:val="44"/>
        </w:rPr>
      </w:pPr>
      <w:bookmarkStart w:id="39" w:name="_Toc29913949"/>
      <w:r>
        <w:rPr>
          <w:rFonts w:hint="eastAsia" w:ascii="方正小标宋简体" w:hAnsi="方正小标宋简体" w:eastAsia="方正小标宋简体"/>
          <w:color w:val="000000"/>
          <w:sz w:val="44"/>
          <w:szCs w:val="44"/>
        </w:rPr>
        <w:t>第一部分 资格证明文件</w:t>
      </w:r>
      <w:bookmarkEnd w:id="39"/>
    </w:p>
    <w:p w14:paraId="55CB9C66">
      <w:pPr>
        <w:adjustRightInd w:val="0"/>
        <w:snapToGrid w:val="0"/>
        <w:spacing w:line="360" w:lineRule="auto"/>
        <w:rPr>
          <w:rFonts w:ascii="黑体" w:hAnsi="黑体" w:eastAsia="黑体"/>
          <w:b/>
          <w:color w:val="000000"/>
          <w:sz w:val="32"/>
          <w:szCs w:val="32"/>
        </w:rPr>
      </w:pPr>
    </w:p>
    <w:p w14:paraId="68626716">
      <w:pPr>
        <w:adjustRightInd w:val="0"/>
        <w:snapToGrid w:val="0"/>
        <w:spacing w:line="360" w:lineRule="auto"/>
        <w:rPr>
          <w:rFonts w:asciiTheme="minorEastAsia" w:hAnsiTheme="minorEastAsia" w:eastAsiaTheme="minorEastAsia"/>
          <w:b/>
          <w:color w:val="000000"/>
          <w:sz w:val="30"/>
          <w:szCs w:val="30"/>
        </w:rPr>
      </w:pPr>
    </w:p>
    <w:p w14:paraId="29427D63">
      <w:pPr>
        <w:pStyle w:val="21"/>
        <w:adjustRightInd w:val="0"/>
        <w:snapToGrid w:val="0"/>
        <w:spacing w:line="360" w:lineRule="auto"/>
        <w:ind w:firstLine="1988" w:firstLineChars="660"/>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包        号：</w:t>
      </w:r>
    </w:p>
    <w:p w14:paraId="31E1079C">
      <w:pPr>
        <w:pStyle w:val="21"/>
        <w:adjustRightInd w:val="0"/>
        <w:snapToGrid w:val="0"/>
        <w:spacing w:line="360" w:lineRule="auto"/>
        <w:ind w:firstLine="1988" w:firstLineChars="660"/>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采购项目名称:</w:t>
      </w:r>
    </w:p>
    <w:p w14:paraId="3017C3E5">
      <w:pPr>
        <w:pStyle w:val="21"/>
        <w:adjustRightInd w:val="0"/>
        <w:snapToGrid w:val="0"/>
        <w:spacing w:line="360" w:lineRule="auto"/>
        <w:ind w:firstLine="1988" w:firstLineChars="660"/>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采   购   人：</w:t>
      </w:r>
    </w:p>
    <w:p w14:paraId="04B109D6">
      <w:pPr>
        <w:pStyle w:val="21"/>
        <w:adjustRightInd w:val="0"/>
        <w:snapToGrid w:val="0"/>
        <w:spacing w:line="360" w:lineRule="auto"/>
        <w:ind w:firstLine="1988" w:firstLineChars="660"/>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政府采购编号:</w:t>
      </w:r>
    </w:p>
    <w:p w14:paraId="365579D7">
      <w:pPr>
        <w:pStyle w:val="21"/>
        <w:adjustRightInd w:val="0"/>
        <w:snapToGrid w:val="0"/>
        <w:spacing w:line="360" w:lineRule="auto"/>
        <w:ind w:firstLine="1988" w:firstLineChars="660"/>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采购代理编号:</w:t>
      </w:r>
    </w:p>
    <w:p w14:paraId="603989D7">
      <w:pPr>
        <w:pStyle w:val="21"/>
        <w:adjustRightInd w:val="0"/>
        <w:snapToGrid w:val="0"/>
        <w:spacing w:line="360" w:lineRule="auto"/>
        <w:ind w:firstLine="1988" w:firstLineChars="660"/>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采购代理机构：</w:t>
      </w:r>
    </w:p>
    <w:p w14:paraId="6FFAC8C4">
      <w:pPr>
        <w:adjustRightInd w:val="0"/>
        <w:snapToGrid w:val="0"/>
        <w:spacing w:line="360" w:lineRule="auto"/>
        <w:rPr>
          <w:rFonts w:ascii="黑体" w:hAnsi="黑体" w:eastAsia="黑体"/>
          <w:color w:val="000000"/>
          <w:sz w:val="30"/>
          <w:szCs w:val="30"/>
        </w:rPr>
      </w:pPr>
    </w:p>
    <w:p w14:paraId="7006DCC8">
      <w:pPr>
        <w:adjustRightInd w:val="0"/>
        <w:snapToGrid w:val="0"/>
        <w:rPr>
          <w:rFonts w:ascii="黑体" w:hAnsi="宋体" w:eastAsia="黑体"/>
          <w:color w:val="000000"/>
          <w:sz w:val="30"/>
          <w:szCs w:val="30"/>
        </w:rPr>
      </w:pPr>
    </w:p>
    <w:p w14:paraId="5C35FF89">
      <w:pPr>
        <w:adjustRightInd w:val="0"/>
        <w:snapToGrid w:val="0"/>
        <w:spacing w:line="360" w:lineRule="auto"/>
        <w:rPr>
          <w:rFonts w:ascii="黑体" w:hAnsi="宋体" w:eastAsia="黑体"/>
          <w:color w:val="000000"/>
          <w:sz w:val="30"/>
          <w:szCs w:val="30"/>
        </w:rPr>
      </w:pPr>
    </w:p>
    <w:p w14:paraId="5897C0BD">
      <w:pPr>
        <w:adjustRightInd w:val="0"/>
        <w:snapToGrid w:val="0"/>
        <w:spacing w:line="360" w:lineRule="auto"/>
        <w:rPr>
          <w:rFonts w:ascii="黑体" w:hAnsi="宋体" w:eastAsia="黑体"/>
          <w:color w:val="000000"/>
          <w:sz w:val="30"/>
          <w:szCs w:val="30"/>
        </w:rPr>
      </w:pPr>
    </w:p>
    <w:p w14:paraId="2048492E">
      <w:pPr>
        <w:adjustRightInd w:val="0"/>
        <w:snapToGrid w:val="0"/>
        <w:spacing w:line="360" w:lineRule="auto"/>
        <w:rPr>
          <w:rFonts w:ascii="黑体" w:hAnsi="宋体" w:eastAsia="黑体"/>
          <w:color w:val="000000"/>
          <w:sz w:val="30"/>
          <w:szCs w:val="30"/>
        </w:rPr>
      </w:pPr>
    </w:p>
    <w:p w14:paraId="03B2295B">
      <w:pPr>
        <w:adjustRightInd w:val="0"/>
        <w:snapToGrid w:val="0"/>
        <w:spacing w:line="360" w:lineRule="auto"/>
        <w:ind w:firstLine="1984" w:firstLineChars="620"/>
        <w:rPr>
          <w:rFonts w:ascii="黑体" w:hAnsi="宋体" w:eastAsia="黑体"/>
          <w:color w:val="000000"/>
          <w:sz w:val="32"/>
          <w:szCs w:val="32"/>
          <w:u w:val="thick"/>
        </w:rPr>
      </w:pPr>
      <w:r>
        <w:rPr>
          <w:rFonts w:hint="eastAsia" w:ascii="黑体" w:hAnsi="宋体" w:eastAsia="黑体"/>
          <w:color w:val="000000"/>
          <w:sz w:val="32"/>
          <w:szCs w:val="32"/>
        </w:rPr>
        <w:t>投标人：</w:t>
      </w:r>
      <w:r>
        <w:rPr>
          <w:rFonts w:hint="eastAsia" w:ascii="黑体" w:hAnsi="宋体" w:eastAsia="黑体"/>
          <w:color w:val="000000"/>
          <w:sz w:val="32"/>
          <w:szCs w:val="32"/>
          <w:u w:val="thick"/>
        </w:rPr>
        <w:t xml:space="preserve">                      </w:t>
      </w:r>
    </w:p>
    <w:p w14:paraId="027801ED">
      <w:pPr>
        <w:adjustRightInd w:val="0"/>
        <w:snapToGrid w:val="0"/>
        <w:spacing w:line="360" w:lineRule="auto"/>
        <w:jc w:val="center"/>
        <w:rPr>
          <w:rFonts w:ascii="黑体" w:eastAsia="黑体"/>
          <w:sz w:val="28"/>
          <w:szCs w:val="28"/>
        </w:rPr>
      </w:pPr>
      <w:r>
        <w:rPr>
          <w:rFonts w:hint="eastAsia" w:ascii="黑体" w:hAnsi="宋体" w:eastAsia="黑体"/>
          <w:color w:val="000000"/>
          <w:sz w:val="32"/>
          <w:szCs w:val="32"/>
        </w:rPr>
        <w:t>年  月  日</w:t>
      </w:r>
      <w:r>
        <w:rPr>
          <w:rFonts w:ascii="黑体" w:eastAsia="黑体"/>
          <w:sz w:val="28"/>
          <w:szCs w:val="28"/>
        </w:rPr>
        <w:br w:type="page"/>
      </w:r>
    </w:p>
    <w:p w14:paraId="33563085">
      <w:pPr>
        <w:pStyle w:val="4"/>
        <w:adjustRightInd w:val="0"/>
        <w:snapToGrid w:val="0"/>
        <w:spacing w:before="0" w:after="0" w:line="360" w:lineRule="auto"/>
        <w:jc w:val="center"/>
        <w:rPr>
          <w:rFonts w:ascii="方正小标宋简体" w:hAnsi="方正小标宋简体" w:eastAsia="方正小标宋简体"/>
          <w:sz w:val="32"/>
          <w:szCs w:val="32"/>
        </w:rPr>
      </w:pPr>
      <w:bookmarkStart w:id="40" w:name="_Toc29913950"/>
      <w:r>
        <w:rPr>
          <w:rFonts w:hint="eastAsia" w:ascii="方正小标宋简体" w:hAnsi="方正小标宋简体" w:eastAsia="方正小标宋简体"/>
          <w:sz w:val="32"/>
          <w:szCs w:val="32"/>
        </w:rPr>
        <w:t>一、开标一览表</w:t>
      </w:r>
      <w:bookmarkEnd w:id="40"/>
    </w:p>
    <w:p w14:paraId="3E4790D6">
      <w:pPr>
        <w:adjustRightInd w:val="0"/>
        <w:snapToGrid w:val="0"/>
        <w:spacing w:line="360" w:lineRule="auto"/>
        <w:ind w:left="-88" w:leftChars="-42"/>
        <w:jc w:val="center"/>
        <w:rPr>
          <w:rFonts w:ascii="仿宋_GB2312" w:hAnsi="宋体" w:eastAsia="仿宋_GB2312"/>
          <w:color w:val="000000"/>
          <w:sz w:val="24"/>
        </w:rPr>
      </w:pPr>
    </w:p>
    <w:p w14:paraId="26DCB6F3">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采购代理编号：</w:t>
      </w:r>
      <w:r>
        <w:rPr>
          <w:rFonts w:hint="eastAsia" w:asciiTheme="minorEastAsia" w:hAnsiTheme="minorEastAsia" w:eastAsiaTheme="minorEastAsia"/>
          <w:szCs w:val="21"/>
          <w:u w:val="single"/>
        </w:rPr>
        <w:t>__    ________</w:t>
      </w:r>
      <w:r>
        <w:rPr>
          <w:rFonts w:hint="eastAsia" w:asciiTheme="minorEastAsia" w:hAnsiTheme="minorEastAsia" w:eastAsiaTheme="minorEastAsia"/>
          <w:szCs w:val="21"/>
        </w:rPr>
        <w:t xml:space="preserve">                       项目名称：</w:t>
      </w:r>
      <w:r>
        <w:rPr>
          <w:rFonts w:hint="eastAsia" w:asciiTheme="minorEastAsia" w:hAnsiTheme="minorEastAsia" w:eastAsiaTheme="minorEastAsia"/>
          <w:szCs w:val="21"/>
          <w:u w:val="single"/>
        </w:rPr>
        <w:t>____            ______</w:t>
      </w:r>
    </w:p>
    <w:p w14:paraId="5E33A38B">
      <w:pPr>
        <w:adjustRightInd w:val="0"/>
        <w:snapToGrid w:val="0"/>
        <w:spacing w:line="360" w:lineRule="auto"/>
        <w:rPr>
          <w:rFonts w:asciiTheme="minorEastAsia" w:hAnsiTheme="minorEastAsia" w:eastAsiaTheme="minorEastAsia"/>
          <w:b/>
          <w:szCs w:val="21"/>
        </w:rPr>
      </w:pPr>
      <w:r>
        <w:rPr>
          <w:rFonts w:hint="eastAsia" w:asciiTheme="minorEastAsia" w:hAnsiTheme="minorEastAsia" w:eastAsiaTheme="minorEastAsia"/>
          <w:szCs w:val="21"/>
        </w:rPr>
        <w:t>包号：</w:t>
      </w:r>
      <w:r>
        <w:rPr>
          <w:rFonts w:hint="eastAsia" w:asciiTheme="minorEastAsia" w:hAnsiTheme="minorEastAsia" w:eastAsiaTheme="minorEastAsia"/>
          <w:szCs w:val="21"/>
          <w:u w:val="single"/>
        </w:rPr>
        <w:t>__    ________</w:t>
      </w:r>
      <w:r>
        <w:rPr>
          <w:rFonts w:hint="eastAsia" w:asciiTheme="minorEastAsia" w:hAnsiTheme="minorEastAsia" w:eastAsiaTheme="minorEastAsia"/>
          <w:szCs w:val="21"/>
        </w:rPr>
        <w:t xml:space="preserve">                               包名称：</w:t>
      </w:r>
      <w:r>
        <w:rPr>
          <w:rFonts w:hint="eastAsia" w:asciiTheme="minorEastAsia" w:hAnsiTheme="minorEastAsia" w:eastAsiaTheme="minorEastAsia"/>
          <w:szCs w:val="21"/>
          <w:u w:val="single"/>
        </w:rPr>
        <w:t>__    ________</w:t>
      </w:r>
    </w:p>
    <w:tbl>
      <w:tblPr>
        <w:tblStyle w:val="4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48D9DF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68DA9E14">
            <w:pPr>
              <w:adjustRightInd w:val="0"/>
              <w:snapToGrid w:val="0"/>
              <w:spacing w:line="360" w:lineRule="auto"/>
              <w:jc w:val="center"/>
              <w:rPr>
                <w:rFonts w:asciiTheme="minorEastAsia" w:hAnsiTheme="minorEastAsia" w:eastAsiaTheme="minorEastAsia"/>
                <w:b/>
                <w:kern w:val="0"/>
                <w:sz w:val="20"/>
                <w:szCs w:val="21"/>
              </w:rPr>
            </w:pPr>
            <w:r>
              <w:rPr>
                <w:rFonts w:hint="eastAsia" w:asciiTheme="minorEastAsia" w:hAnsiTheme="minorEastAsia" w:eastAsiaTheme="minorEastAsia"/>
                <w:b/>
                <w:kern w:val="0"/>
                <w:szCs w:val="21"/>
              </w:rPr>
              <w:t>投标报价</w:t>
            </w:r>
          </w:p>
        </w:tc>
        <w:tc>
          <w:tcPr>
            <w:tcW w:w="3119" w:type="dxa"/>
            <w:vAlign w:val="center"/>
          </w:tcPr>
          <w:p w14:paraId="296DC169">
            <w:pPr>
              <w:adjustRightInd w:val="0"/>
              <w:snapToGrid w:val="0"/>
              <w:spacing w:line="360" w:lineRule="auto"/>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其他内容</w:t>
            </w:r>
          </w:p>
        </w:tc>
      </w:tr>
      <w:tr w14:paraId="743F71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7C19AD7F">
            <w:pPr>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小写金额：</w:t>
            </w:r>
            <w:r>
              <w:rPr>
                <w:rFonts w:hint="eastAsia" w:asciiTheme="minorEastAsia" w:hAnsiTheme="minorEastAsia" w:eastAsiaTheme="minorEastAsia"/>
                <w:kern w:val="0"/>
                <w:szCs w:val="21"/>
                <w:u w:val="single"/>
              </w:rPr>
              <w:t>__    _______</w:t>
            </w:r>
            <w:r>
              <w:rPr>
                <w:rFonts w:hint="eastAsia" w:asciiTheme="minorEastAsia" w:hAnsiTheme="minorEastAsia" w:eastAsiaTheme="minorEastAsia"/>
                <w:kern w:val="0"/>
                <w:szCs w:val="21"/>
              </w:rPr>
              <w:t>（</w:t>
            </w:r>
            <w:r>
              <w:rPr>
                <w:rFonts w:hint="eastAsia" w:asciiTheme="minorEastAsia" w:hAnsiTheme="minorEastAsia" w:eastAsiaTheme="minorEastAsia"/>
                <w:kern w:val="0"/>
                <w:sz w:val="20"/>
                <w:szCs w:val="21"/>
              </w:rPr>
              <w:t>人民币元</w:t>
            </w:r>
            <w:r>
              <w:rPr>
                <w:rFonts w:hint="eastAsia" w:asciiTheme="minorEastAsia" w:hAnsiTheme="minorEastAsia" w:eastAsiaTheme="minorEastAsia"/>
                <w:kern w:val="0"/>
                <w:szCs w:val="21"/>
              </w:rPr>
              <w:t>）</w:t>
            </w:r>
          </w:p>
          <w:p w14:paraId="720F021F">
            <w:pPr>
              <w:adjustRightInd w:val="0"/>
              <w:snapToGrid w:val="0"/>
              <w:spacing w:line="360" w:lineRule="auto"/>
              <w:jc w:val="center"/>
              <w:rPr>
                <w:rFonts w:asciiTheme="minorEastAsia" w:hAnsiTheme="minorEastAsia" w:eastAsiaTheme="minorEastAsia"/>
                <w:kern w:val="0"/>
                <w:szCs w:val="21"/>
                <w:u w:val="single"/>
              </w:rPr>
            </w:pPr>
            <w:r>
              <w:rPr>
                <w:rFonts w:hint="eastAsia" w:asciiTheme="minorEastAsia" w:hAnsiTheme="minorEastAsia" w:eastAsiaTheme="minorEastAsia"/>
                <w:kern w:val="0"/>
                <w:szCs w:val="21"/>
              </w:rPr>
              <w:t>大写金额：</w:t>
            </w:r>
            <w:r>
              <w:rPr>
                <w:rFonts w:hint="eastAsia" w:asciiTheme="minorEastAsia" w:hAnsiTheme="minorEastAsia" w:eastAsiaTheme="minorEastAsia"/>
                <w:kern w:val="0"/>
                <w:szCs w:val="21"/>
                <w:u w:val="single"/>
              </w:rPr>
              <w:t>__    _______</w:t>
            </w:r>
            <w:r>
              <w:rPr>
                <w:rFonts w:hint="eastAsia" w:asciiTheme="minorEastAsia" w:hAnsiTheme="minorEastAsia" w:eastAsiaTheme="minorEastAsia"/>
                <w:kern w:val="0"/>
                <w:szCs w:val="21"/>
              </w:rPr>
              <w:t>（</w:t>
            </w:r>
            <w:r>
              <w:rPr>
                <w:rFonts w:hint="eastAsia" w:asciiTheme="minorEastAsia" w:hAnsiTheme="minorEastAsia" w:eastAsiaTheme="minorEastAsia"/>
                <w:kern w:val="0"/>
                <w:sz w:val="20"/>
                <w:szCs w:val="21"/>
              </w:rPr>
              <w:t>人民币元</w:t>
            </w:r>
            <w:r>
              <w:rPr>
                <w:rFonts w:hint="eastAsia" w:asciiTheme="minorEastAsia" w:hAnsiTheme="minorEastAsia" w:eastAsiaTheme="minorEastAsia"/>
                <w:kern w:val="0"/>
                <w:szCs w:val="21"/>
              </w:rPr>
              <w:t>）</w:t>
            </w:r>
          </w:p>
          <w:p w14:paraId="5A5047DD">
            <w:pPr>
              <w:adjustRightInd w:val="0"/>
              <w:snapToGrid w:val="0"/>
              <w:spacing w:line="360" w:lineRule="auto"/>
              <w:jc w:val="center"/>
              <w:rPr>
                <w:rFonts w:asciiTheme="minorEastAsia" w:hAnsiTheme="minorEastAsia" w:eastAsiaTheme="minorEastAsia"/>
                <w:kern w:val="0"/>
                <w:sz w:val="20"/>
                <w:szCs w:val="21"/>
              </w:rPr>
            </w:pPr>
            <w:r>
              <w:rPr>
                <w:rFonts w:hint="eastAsia" w:asciiTheme="minorEastAsia" w:hAnsiTheme="minorEastAsia" w:eastAsiaTheme="minorEastAsia"/>
                <w:kern w:val="0"/>
                <w:szCs w:val="21"/>
              </w:rPr>
              <w:t>（</w:t>
            </w:r>
            <w:r>
              <w:rPr>
                <w:rFonts w:hint="eastAsia" w:ascii="黑体" w:hAnsi="黑体" w:eastAsia="黑体"/>
                <w:kern w:val="0"/>
                <w:sz w:val="24"/>
              </w:rPr>
              <w:t>大写金额与小写金额不一致时，以大写金额为准</w:t>
            </w:r>
            <w:r>
              <w:rPr>
                <w:rFonts w:hint="eastAsia" w:asciiTheme="minorEastAsia" w:hAnsiTheme="minorEastAsia" w:eastAsiaTheme="minorEastAsia"/>
                <w:kern w:val="0"/>
                <w:szCs w:val="21"/>
              </w:rPr>
              <w:t>）</w:t>
            </w:r>
          </w:p>
        </w:tc>
        <w:tc>
          <w:tcPr>
            <w:tcW w:w="3119" w:type="dxa"/>
            <w:vAlign w:val="center"/>
          </w:tcPr>
          <w:p w14:paraId="607531F8">
            <w:pPr>
              <w:adjustRightInd w:val="0"/>
              <w:snapToGrid w:val="0"/>
              <w:spacing w:line="360" w:lineRule="auto"/>
              <w:jc w:val="center"/>
              <w:rPr>
                <w:rFonts w:asciiTheme="minorEastAsia" w:hAnsiTheme="minorEastAsia" w:eastAsiaTheme="minorEastAsia"/>
                <w:kern w:val="0"/>
                <w:szCs w:val="21"/>
              </w:rPr>
            </w:pPr>
          </w:p>
        </w:tc>
      </w:tr>
    </w:tbl>
    <w:p w14:paraId="7B7FE6EB">
      <w:pPr>
        <w:adjustRightInd w:val="0"/>
        <w:snapToGrid w:val="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备注：1、本“开标一览表”所填报价应与交易平台上所填电子“开标一览表”报价一致，否则，以交易平台上所填电子“开标一览表”报价为准。</w:t>
      </w:r>
    </w:p>
    <w:p w14:paraId="55C25203">
      <w:pPr>
        <w:adjustRightInd w:val="0"/>
        <w:snapToGrid w:val="0"/>
        <w:spacing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2、本表须按包填写，一个“包号”一份。</w:t>
      </w:r>
    </w:p>
    <w:p w14:paraId="50ED5BCF">
      <w:pPr>
        <w:adjustRightInd w:val="0"/>
        <w:snapToGrid w:val="0"/>
        <w:spacing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3、投标人提交两份及以上投标报价不同的“开标一览表”，且未书面说明哪个有效或以哪个为准的，其</w:t>
      </w:r>
      <w:r>
        <w:rPr>
          <w:rFonts w:hint="eastAsia" w:asciiTheme="minorEastAsia" w:hAnsiTheme="minorEastAsia" w:eastAsiaTheme="minorEastAsia"/>
          <w:b/>
          <w:szCs w:val="21"/>
        </w:rPr>
        <w:t>投标无效</w:t>
      </w:r>
      <w:r>
        <w:rPr>
          <w:rFonts w:hint="eastAsia" w:asciiTheme="minorEastAsia" w:hAnsiTheme="minorEastAsia" w:eastAsiaTheme="minorEastAsia"/>
          <w:szCs w:val="21"/>
        </w:rPr>
        <w:t>。</w:t>
      </w:r>
    </w:p>
    <w:p w14:paraId="4C01D995">
      <w:pPr>
        <w:adjustRightInd w:val="0"/>
        <w:snapToGrid w:val="0"/>
        <w:spacing w:line="360" w:lineRule="auto"/>
        <w:ind w:firstLine="630" w:firstLineChars="300"/>
        <w:jc w:val="left"/>
        <w:rPr>
          <w:rFonts w:asciiTheme="minorEastAsia" w:hAnsiTheme="minorEastAsia" w:eastAsiaTheme="minorEastAsia"/>
        </w:rPr>
      </w:pPr>
      <w:r>
        <w:rPr>
          <w:rFonts w:hint="eastAsia" w:asciiTheme="minorEastAsia" w:hAnsiTheme="minorEastAsia" w:eastAsiaTheme="minorEastAsia"/>
          <w:szCs w:val="21"/>
        </w:rPr>
        <w:t>4、</w:t>
      </w:r>
      <w:r>
        <w:rPr>
          <w:rFonts w:hint="eastAsia" w:asciiTheme="minorEastAsia" w:hAnsiTheme="minorEastAsia" w:eastAsiaTheme="minorEastAsia"/>
        </w:rPr>
        <w:t>投标人在投标截止时间前修改“开标一览表”中的投标报价的，应同时修改投标文件“分项报价明细表”“享受政府采购政策优惠的证明资料”以及“联合体协议书”（如果影响）等相关内容。</w:t>
      </w:r>
    </w:p>
    <w:p w14:paraId="57F3BF28">
      <w:pPr>
        <w:adjustRightInd w:val="0"/>
        <w:snapToGrid w:val="0"/>
        <w:spacing w:line="360" w:lineRule="auto"/>
        <w:ind w:firstLine="420" w:firstLineChars="200"/>
        <w:rPr>
          <w:rFonts w:asciiTheme="minorEastAsia" w:hAnsiTheme="minorEastAsia" w:eastAsiaTheme="minorEastAsia"/>
          <w:szCs w:val="21"/>
        </w:rPr>
      </w:pPr>
    </w:p>
    <w:p w14:paraId="647C05A8">
      <w:pPr>
        <w:adjustRightInd w:val="0"/>
        <w:snapToGrid w:val="0"/>
        <w:spacing w:line="360" w:lineRule="auto"/>
        <w:ind w:firstLine="420" w:firstLineChars="200"/>
        <w:rPr>
          <w:rFonts w:asciiTheme="minorEastAsia" w:hAnsiTheme="minorEastAsia" w:eastAsiaTheme="minorEastAsia"/>
          <w:szCs w:val="21"/>
        </w:rPr>
      </w:pPr>
    </w:p>
    <w:p w14:paraId="32535055">
      <w:pPr>
        <w:adjustRightInd w:val="0"/>
        <w:snapToGrid w:val="0"/>
        <w:spacing w:line="360" w:lineRule="auto"/>
        <w:rPr>
          <w:rFonts w:asciiTheme="minorEastAsia" w:hAnsiTheme="minorEastAsia" w:eastAsiaTheme="minorEastAsia"/>
          <w:color w:val="FF0000"/>
          <w:szCs w:val="21"/>
        </w:rPr>
      </w:pPr>
    </w:p>
    <w:p w14:paraId="17C6EB85">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投标人名称（盖单位电子章）：</w:t>
      </w:r>
    </w:p>
    <w:p w14:paraId="25DFC4F2">
      <w:pPr>
        <w:adjustRightInd w:val="0"/>
        <w:snapToGrid w:val="0"/>
        <w:spacing w:line="360" w:lineRule="auto"/>
        <w:rPr>
          <w:rFonts w:asciiTheme="minorEastAsia" w:hAnsiTheme="minorEastAsia" w:eastAsiaTheme="minorEastAsia"/>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或其授权的代理人（电子签字或电子印章）：_</w:t>
      </w:r>
    </w:p>
    <w:p w14:paraId="11326A69">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日期：年月日</w:t>
      </w:r>
    </w:p>
    <w:p w14:paraId="7A7FCD38">
      <w:pPr>
        <w:widowControl/>
        <w:jc w:val="left"/>
        <w:rPr>
          <w:rFonts w:asciiTheme="minorEastAsia" w:hAnsiTheme="minorEastAsia" w:eastAsiaTheme="minorEastAsia"/>
          <w:szCs w:val="21"/>
        </w:rPr>
      </w:pPr>
      <w:r>
        <w:rPr>
          <w:rFonts w:asciiTheme="minorEastAsia" w:hAnsiTheme="minorEastAsia" w:eastAsiaTheme="minorEastAsia"/>
          <w:szCs w:val="21"/>
        </w:rPr>
        <w:br w:type="page"/>
      </w:r>
    </w:p>
    <w:p w14:paraId="3B054CB0">
      <w:pPr>
        <w:pStyle w:val="4"/>
        <w:adjustRightInd w:val="0"/>
        <w:snapToGrid w:val="0"/>
        <w:spacing w:before="0" w:after="0" w:line="360" w:lineRule="auto"/>
        <w:jc w:val="center"/>
        <w:rPr>
          <w:rFonts w:ascii="方正小标宋简体" w:hAnsi="方正小标宋简体" w:eastAsia="方正小标宋简体"/>
          <w:sz w:val="32"/>
          <w:szCs w:val="32"/>
        </w:rPr>
      </w:pPr>
      <w:bookmarkStart w:id="41" w:name="_Toc29913951"/>
      <w:r>
        <w:rPr>
          <w:rFonts w:hint="eastAsia" w:ascii="方正小标宋简体" w:hAnsi="方正小标宋简体" w:eastAsia="方正小标宋简体"/>
          <w:sz w:val="32"/>
          <w:szCs w:val="32"/>
        </w:rPr>
        <w:t>二、投标保证金</w:t>
      </w:r>
      <w:bookmarkEnd w:id="41"/>
    </w:p>
    <w:p w14:paraId="1A865545">
      <w:pPr>
        <w:adjustRightInd w:val="0"/>
        <w:snapToGrid w:val="0"/>
        <w:spacing w:beforeLines="50" w:line="360" w:lineRule="auto"/>
        <w:ind w:firstLine="482" w:firstLineChars="200"/>
        <w:jc w:val="center"/>
        <w:rPr>
          <w:rFonts w:asciiTheme="minorEastAsia" w:hAnsiTheme="minorEastAsia" w:eastAsiaTheme="minorEastAsia"/>
          <w:b/>
          <w:sz w:val="24"/>
          <w:szCs w:val="21"/>
        </w:rPr>
      </w:pPr>
      <w:r>
        <w:rPr>
          <w:rFonts w:hint="eastAsia" w:asciiTheme="minorEastAsia" w:hAnsiTheme="minorEastAsia" w:eastAsiaTheme="minorEastAsia"/>
          <w:b/>
          <w:sz w:val="24"/>
          <w:szCs w:val="21"/>
        </w:rPr>
        <w:t>(本项目不收取投标保证金)</w:t>
      </w:r>
    </w:p>
    <w:p w14:paraId="49D1BBF6">
      <w:pPr>
        <w:adjustRightInd w:val="0"/>
        <w:snapToGrid w:val="0"/>
        <w:spacing w:beforeLines="50" w:line="360" w:lineRule="auto"/>
        <w:ind w:firstLine="420" w:firstLineChars="200"/>
        <w:jc w:val="left"/>
        <w:rPr>
          <w:rFonts w:asciiTheme="minorEastAsia" w:hAnsiTheme="minorEastAsia" w:eastAsiaTheme="minorEastAsia"/>
        </w:rPr>
      </w:pPr>
    </w:p>
    <w:p w14:paraId="45ECFDAF">
      <w:pPr>
        <w:widowControl/>
        <w:jc w:val="left"/>
        <w:rPr>
          <w:rFonts w:ascii="黑体" w:eastAsia="黑体"/>
          <w:color w:val="000000"/>
          <w:sz w:val="32"/>
          <w:szCs w:val="32"/>
        </w:rPr>
      </w:pPr>
      <w:r>
        <w:rPr>
          <w:rFonts w:ascii="黑体" w:eastAsia="黑体"/>
          <w:color w:val="000000"/>
          <w:sz w:val="32"/>
          <w:szCs w:val="32"/>
        </w:rPr>
        <w:br w:type="page"/>
      </w:r>
    </w:p>
    <w:p w14:paraId="763DC217">
      <w:pPr>
        <w:pStyle w:val="4"/>
        <w:adjustRightInd w:val="0"/>
        <w:snapToGrid w:val="0"/>
        <w:spacing w:before="0" w:after="0" w:line="360" w:lineRule="auto"/>
        <w:jc w:val="center"/>
        <w:rPr>
          <w:rFonts w:ascii="方正小标宋简体" w:hAnsi="方正小标宋简体" w:eastAsia="方正小标宋简体"/>
          <w:sz w:val="32"/>
          <w:szCs w:val="32"/>
        </w:rPr>
      </w:pPr>
      <w:bookmarkStart w:id="42" w:name="_Toc29913953"/>
      <w:r>
        <w:rPr>
          <w:rFonts w:hint="eastAsia" w:ascii="方正小标宋简体" w:hAnsi="方正小标宋简体" w:eastAsia="方正小标宋简体"/>
          <w:sz w:val="32"/>
          <w:szCs w:val="32"/>
        </w:rPr>
        <w:t>三、法定代表人（单位负责人）身份证明</w:t>
      </w:r>
      <w:bookmarkEnd w:id="42"/>
    </w:p>
    <w:p w14:paraId="77CDBF11">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kern w:val="0"/>
          <w:position w:val="-4"/>
          <w:szCs w:val="21"/>
        </w:rPr>
      </w:pPr>
    </w:p>
    <w:p w14:paraId="115C0A4A">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kern w:val="0"/>
          <w:szCs w:val="21"/>
        </w:rPr>
      </w:pPr>
      <w:r>
        <w:rPr>
          <w:rFonts w:hint="eastAsia" w:cs="微软雅黑" w:asciiTheme="minorEastAsia" w:hAnsiTheme="minorEastAsia" w:eastAsiaTheme="minorEastAsia"/>
          <w:kern w:val="0"/>
          <w:position w:val="-4"/>
          <w:szCs w:val="21"/>
        </w:rPr>
        <w:t>投标</w:t>
      </w:r>
      <w:r>
        <w:rPr>
          <w:rFonts w:hint="eastAsia" w:cs="微软雅黑" w:asciiTheme="minorEastAsia" w:hAnsiTheme="minorEastAsia" w:eastAsiaTheme="minorEastAsia"/>
          <w:spacing w:val="-2"/>
          <w:kern w:val="0"/>
          <w:position w:val="-4"/>
          <w:szCs w:val="21"/>
        </w:rPr>
        <w:t>人</w:t>
      </w:r>
      <w:r>
        <w:rPr>
          <w:rFonts w:hint="eastAsia" w:cs="微软雅黑" w:asciiTheme="minorEastAsia" w:hAnsiTheme="minorEastAsia" w:eastAsiaTheme="minorEastAsia"/>
          <w:kern w:val="0"/>
          <w:position w:val="-4"/>
          <w:szCs w:val="21"/>
        </w:rPr>
        <w:t>名</w:t>
      </w:r>
      <w:r>
        <w:rPr>
          <w:rFonts w:hint="eastAsia" w:cs="微软雅黑" w:asciiTheme="minorEastAsia" w:hAnsiTheme="minorEastAsia" w:eastAsiaTheme="minorEastAsia"/>
          <w:spacing w:val="-2"/>
          <w:kern w:val="0"/>
          <w:position w:val="-4"/>
          <w:szCs w:val="21"/>
        </w:rPr>
        <w:t>称</w:t>
      </w:r>
      <w:r>
        <w:rPr>
          <w:rFonts w:hint="eastAsia" w:cs="微软雅黑" w:asciiTheme="minorEastAsia" w:hAnsiTheme="minorEastAsia" w:eastAsiaTheme="minorEastAsia"/>
          <w:kern w:val="0"/>
          <w:position w:val="-4"/>
          <w:szCs w:val="21"/>
        </w:rPr>
        <w:t>：</w:t>
      </w:r>
    </w:p>
    <w:p w14:paraId="03FD0090">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kern w:val="0"/>
          <w:position w:val="-2"/>
          <w:szCs w:val="21"/>
        </w:rPr>
      </w:pPr>
      <w:r>
        <w:rPr>
          <w:rFonts w:hint="eastAsia" w:cs="微软雅黑" w:asciiTheme="minorEastAsia" w:hAnsiTheme="minorEastAsia" w:eastAsiaTheme="minorEastAsia"/>
          <w:kern w:val="0"/>
          <w:position w:val="-2"/>
          <w:szCs w:val="21"/>
        </w:rPr>
        <w:t>统一社会信用代码：</w:t>
      </w:r>
    </w:p>
    <w:p w14:paraId="127F578E">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kern w:val="0"/>
          <w:position w:val="-2"/>
          <w:szCs w:val="21"/>
        </w:rPr>
      </w:pPr>
      <w:r>
        <w:rPr>
          <w:rFonts w:hint="eastAsia" w:cs="微软雅黑" w:asciiTheme="minorEastAsia" w:hAnsiTheme="minorEastAsia" w:eastAsiaTheme="minorEastAsia"/>
          <w:kern w:val="0"/>
          <w:position w:val="-2"/>
          <w:szCs w:val="21"/>
        </w:rPr>
        <w:t>注册地址：</w:t>
      </w:r>
    </w:p>
    <w:p w14:paraId="3D4FBBCB">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cs="微软雅黑" w:asciiTheme="minorEastAsia" w:hAnsiTheme="minorEastAsia" w:eastAsiaTheme="minorEastAsia"/>
          <w:kern w:val="0"/>
          <w:szCs w:val="21"/>
        </w:rPr>
      </w:pPr>
      <w:r>
        <w:rPr>
          <w:rFonts w:hint="eastAsia" w:cs="微软雅黑" w:asciiTheme="minorEastAsia" w:hAnsiTheme="minorEastAsia" w:eastAsiaTheme="minorEastAsia"/>
          <w:kern w:val="0"/>
          <w:position w:val="-2"/>
          <w:szCs w:val="21"/>
        </w:rPr>
        <w:t>姓名</w:t>
      </w:r>
      <w:r>
        <w:rPr>
          <w:rFonts w:hint="eastAsia" w:cs="微软雅黑" w:asciiTheme="minorEastAsia" w:hAnsiTheme="minorEastAsia" w:eastAsiaTheme="minorEastAsia"/>
          <w:spacing w:val="-2"/>
          <w:kern w:val="0"/>
          <w:position w:val="-2"/>
          <w:szCs w:val="21"/>
        </w:rPr>
        <w:t>：</w:t>
      </w:r>
      <w:r>
        <w:rPr>
          <w:rFonts w:hint="eastAsia" w:cs="微软雅黑" w:asciiTheme="minorEastAsia" w:hAnsiTheme="minorEastAsia" w:eastAsiaTheme="minorEastAsia"/>
          <w:kern w:val="0"/>
          <w:position w:val="-2"/>
          <w:szCs w:val="21"/>
        </w:rPr>
        <w:t>性别</w:t>
      </w:r>
      <w:r>
        <w:rPr>
          <w:rFonts w:hint="eastAsia" w:cs="微软雅黑" w:asciiTheme="minorEastAsia" w:hAnsiTheme="minorEastAsia" w:eastAsiaTheme="minorEastAsia"/>
          <w:spacing w:val="-2"/>
          <w:kern w:val="0"/>
          <w:position w:val="-2"/>
          <w:szCs w:val="21"/>
        </w:rPr>
        <w:t>：</w:t>
      </w:r>
      <w:r>
        <w:rPr>
          <w:rFonts w:hint="eastAsia" w:cs="微软雅黑" w:asciiTheme="minorEastAsia" w:hAnsiTheme="minorEastAsia" w:eastAsiaTheme="minorEastAsia"/>
          <w:kern w:val="0"/>
          <w:position w:val="-2"/>
          <w:szCs w:val="21"/>
        </w:rPr>
        <w:t>年</w:t>
      </w:r>
      <w:r>
        <w:rPr>
          <w:rFonts w:hint="eastAsia" w:cs="微软雅黑" w:asciiTheme="minorEastAsia" w:hAnsiTheme="minorEastAsia" w:eastAsiaTheme="minorEastAsia"/>
          <w:spacing w:val="-2"/>
          <w:kern w:val="0"/>
          <w:position w:val="-2"/>
          <w:szCs w:val="21"/>
        </w:rPr>
        <w:t>龄</w:t>
      </w:r>
      <w:r>
        <w:rPr>
          <w:rFonts w:hint="eastAsia" w:cs="微软雅黑" w:asciiTheme="minorEastAsia" w:hAnsiTheme="minorEastAsia" w:eastAsiaTheme="minorEastAsia"/>
          <w:kern w:val="0"/>
          <w:position w:val="-2"/>
          <w:szCs w:val="21"/>
        </w:rPr>
        <w:t>：职</w:t>
      </w:r>
      <w:r>
        <w:rPr>
          <w:rFonts w:hint="eastAsia" w:cs="微软雅黑" w:asciiTheme="minorEastAsia" w:hAnsiTheme="minorEastAsia" w:eastAsiaTheme="minorEastAsia"/>
          <w:spacing w:val="-2"/>
          <w:kern w:val="0"/>
          <w:position w:val="-2"/>
          <w:szCs w:val="21"/>
        </w:rPr>
        <w:t>务</w:t>
      </w:r>
      <w:r>
        <w:rPr>
          <w:rFonts w:hint="eastAsia" w:cs="微软雅黑" w:asciiTheme="minorEastAsia" w:hAnsiTheme="minorEastAsia" w:eastAsiaTheme="minorEastAsia"/>
          <w:kern w:val="0"/>
          <w:position w:val="-2"/>
          <w:szCs w:val="21"/>
        </w:rPr>
        <w:t>：系</w:t>
      </w:r>
      <w:r>
        <w:rPr>
          <w:rFonts w:hint="eastAsia" w:cs="微软雅黑" w:asciiTheme="minorEastAsia" w:hAnsiTheme="minorEastAsia" w:eastAsiaTheme="minorEastAsia"/>
          <w:spacing w:val="-2"/>
          <w:kern w:val="0"/>
          <w:position w:val="-2"/>
          <w:szCs w:val="21"/>
        </w:rPr>
        <w:t>（</w:t>
      </w:r>
      <w:r>
        <w:rPr>
          <w:rFonts w:hint="eastAsia" w:cs="微软雅黑" w:asciiTheme="minorEastAsia" w:hAnsiTheme="minorEastAsia" w:eastAsiaTheme="minorEastAsia"/>
          <w:kern w:val="0"/>
          <w:position w:val="-2"/>
          <w:szCs w:val="21"/>
        </w:rPr>
        <w:t>投</w:t>
      </w:r>
      <w:r>
        <w:rPr>
          <w:rFonts w:hint="eastAsia" w:cs="微软雅黑" w:asciiTheme="minorEastAsia" w:hAnsiTheme="minorEastAsia" w:eastAsiaTheme="minorEastAsia"/>
          <w:spacing w:val="-2"/>
          <w:kern w:val="0"/>
          <w:position w:val="-2"/>
          <w:szCs w:val="21"/>
        </w:rPr>
        <w:t>标</w:t>
      </w:r>
      <w:r>
        <w:rPr>
          <w:rFonts w:hint="eastAsia" w:cs="微软雅黑" w:asciiTheme="minorEastAsia" w:hAnsiTheme="minorEastAsia" w:eastAsiaTheme="minorEastAsia"/>
          <w:kern w:val="0"/>
          <w:position w:val="-2"/>
          <w:szCs w:val="21"/>
        </w:rPr>
        <w:t>人</w:t>
      </w:r>
      <w:r>
        <w:rPr>
          <w:rFonts w:hint="eastAsia" w:cs="微软雅黑" w:asciiTheme="minorEastAsia" w:hAnsiTheme="minorEastAsia" w:eastAsiaTheme="minorEastAsia"/>
          <w:spacing w:val="-2"/>
          <w:kern w:val="0"/>
          <w:position w:val="-2"/>
          <w:szCs w:val="21"/>
        </w:rPr>
        <w:t>名</w:t>
      </w:r>
      <w:r>
        <w:rPr>
          <w:rFonts w:hint="eastAsia" w:cs="微软雅黑" w:asciiTheme="minorEastAsia" w:hAnsiTheme="minorEastAsia" w:eastAsiaTheme="minorEastAsia"/>
          <w:kern w:val="0"/>
          <w:position w:val="-2"/>
          <w:szCs w:val="21"/>
        </w:rPr>
        <w:t>称</w:t>
      </w:r>
      <w:r>
        <w:rPr>
          <w:rFonts w:hint="eastAsia" w:cs="微软雅黑" w:asciiTheme="minorEastAsia" w:hAnsiTheme="minorEastAsia" w:eastAsiaTheme="minorEastAsia"/>
          <w:spacing w:val="-2"/>
          <w:kern w:val="0"/>
          <w:position w:val="-2"/>
          <w:szCs w:val="21"/>
        </w:rPr>
        <w:t>）</w:t>
      </w:r>
      <w:r>
        <w:rPr>
          <w:rFonts w:hint="eastAsia" w:cs="微软雅黑" w:asciiTheme="minorEastAsia" w:hAnsiTheme="minorEastAsia" w:eastAsiaTheme="minorEastAsia"/>
          <w:kern w:val="0"/>
          <w:position w:val="-2"/>
          <w:szCs w:val="21"/>
        </w:rPr>
        <w:t>的</w:t>
      </w:r>
      <w:r>
        <w:rPr>
          <w:rFonts w:hint="eastAsia" w:cs="微软雅黑" w:asciiTheme="minorEastAsia" w:hAnsiTheme="minorEastAsia" w:eastAsiaTheme="minorEastAsia"/>
          <w:spacing w:val="-2"/>
          <w:kern w:val="0"/>
          <w:position w:val="-2"/>
          <w:szCs w:val="21"/>
        </w:rPr>
        <w:t>法定</w:t>
      </w:r>
      <w:r>
        <w:rPr>
          <w:rFonts w:hint="eastAsia" w:cs="微软雅黑" w:asciiTheme="minorEastAsia" w:hAnsiTheme="minorEastAsia" w:eastAsiaTheme="minorEastAsia"/>
          <w:kern w:val="0"/>
          <w:position w:val="-2"/>
          <w:szCs w:val="21"/>
        </w:rPr>
        <w:t>代表</w:t>
      </w:r>
      <w:r>
        <w:rPr>
          <w:rFonts w:hint="eastAsia" w:cs="微软雅黑" w:asciiTheme="minorEastAsia" w:hAnsiTheme="minorEastAsia" w:eastAsiaTheme="minorEastAsia"/>
          <w:spacing w:val="-2"/>
          <w:kern w:val="0"/>
          <w:position w:val="-2"/>
          <w:szCs w:val="21"/>
        </w:rPr>
        <w:t>人</w:t>
      </w:r>
      <w:r>
        <w:rPr>
          <w:rFonts w:hint="eastAsia" w:cs="微软雅黑" w:asciiTheme="minorEastAsia" w:hAnsiTheme="minorEastAsia" w:eastAsiaTheme="minorEastAsia"/>
          <w:kern w:val="0"/>
          <w:position w:val="-2"/>
          <w:szCs w:val="21"/>
        </w:rPr>
        <w:t>（</w:t>
      </w:r>
      <w:r>
        <w:rPr>
          <w:rFonts w:hint="eastAsia" w:cs="微软雅黑" w:asciiTheme="minorEastAsia" w:hAnsiTheme="minorEastAsia" w:eastAsiaTheme="minorEastAsia"/>
          <w:spacing w:val="-2"/>
          <w:kern w:val="0"/>
          <w:position w:val="-2"/>
          <w:szCs w:val="21"/>
        </w:rPr>
        <w:t>单</w:t>
      </w:r>
      <w:r>
        <w:rPr>
          <w:rFonts w:hint="eastAsia" w:cs="微软雅黑" w:asciiTheme="minorEastAsia" w:hAnsiTheme="minorEastAsia" w:eastAsiaTheme="minorEastAsia"/>
          <w:kern w:val="0"/>
          <w:position w:val="-2"/>
          <w:szCs w:val="21"/>
        </w:rPr>
        <w:t>位</w:t>
      </w:r>
      <w:r>
        <w:rPr>
          <w:rFonts w:hint="eastAsia" w:cs="微软雅黑" w:asciiTheme="minorEastAsia" w:hAnsiTheme="minorEastAsia" w:eastAsiaTheme="minorEastAsia"/>
          <w:spacing w:val="-2"/>
          <w:kern w:val="0"/>
          <w:position w:val="-2"/>
          <w:szCs w:val="21"/>
        </w:rPr>
        <w:t>负</w:t>
      </w:r>
      <w:r>
        <w:rPr>
          <w:rFonts w:hint="eastAsia" w:cs="微软雅黑" w:asciiTheme="minorEastAsia" w:hAnsiTheme="minorEastAsia" w:eastAsiaTheme="minorEastAsia"/>
          <w:kern w:val="0"/>
          <w:position w:val="-2"/>
          <w:szCs w:val="21"/>
        </w:rPr>
        <w:t>责</w:t>
      </w:r>
      <w:r>
        <w:rPr>
          <w:rFonts w:hint="eastAsia" w:cs="微软雅黑" w:asciiTheme="minorEastAsia" w:hAnsiTheme="minorEastAsia" w:eastAsiaTheme="minorEastAsia"/>
          <w:spacing w:val="-2"/>
          <w:kern w:val="0"/>
          <w:position w:val="-2"/>
          <w:szCs w:val="21"/>
        </w:rPr>
        <w:t>人</w:t>
      </w:r>
      <w:r>
        <w:rPr>
          <w:rFonts w:hint="eastAsia" w:cs="微软雅黑" w:asciiTheme="minorEastAsia" w:hAnsiTheme="minorEastAsia" w:eastAsiaTheme="minorEastAsia"/>
          <w:spacing w:val="-106"/>
          <w:kern w:val="0"/>
          <w:position w:val="-2"/>
          <w:szCs w:val="21"/>
        </w:rPr>
        <w:t>）</w:t>
      </w:r>
      <w:r>
        <w:rPr>
          <w:rFonts w:hint="eastAsia" w:cs="微软雅黑" w:asciiTheme="minorEastAsia" w:hAnsiTheme="minorEastAsia" w:eastAsiaTheme="minorEastAsia"/>
          <w:kern w:val="0"/>
          <w:position w:val="-2"/>
          <w:szCs w:val="21"/>
        </w:rPr>
        <w:t>。</w:t>
      </w:r>
    </w:p>
    <w:p w14:paraId="5948A22E">
      <w:pPr>
        <w:autoSpaceDE w:val="0"/>
        <w:autoSpaceDN w:val="0"/>
        <w:adjustRightInd w:val="0"/>
        <w:snapToGrid w:val="0"/>
        <w:spacing w:line="360" w:lineRule="auto"/>
        <w:ind w:left="520" w:right="-20"/>
        <w:jc w:val="left"/>
        <w:rPr>
          <w:rFonts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特此</w:t>
      </w:r>
      <w:r>
        <w:rPr>
          <w:rFonts w:hint="eastAsia" w:cs="微软雅黑" w:asciiTheme="minorEastAsia" w:hAnsiTheme="minorEastAsia" w:eastAsiaTheme="minorEastAsia"/>
          <w:spacing w:val="-2"/>
          <w:kern w:val="0"/>
          <w:szCs w:val="21"/>
        </w:rPr>
        <w:t>证</w:t>
      </w:r>
      <w:r>
        <w:rPr>
          <w:rFonts w:hint="eastAsia" w:cs="微软雅黑" w:asciiTheme="minorEastAsia" w:hAnsiTheme="minorEastAsia" w:eastAsiaTheme="minorEastAsia"/>
          <w:kern w:val="0"/>
          <w:szCs w:val="21"/>
        </w:rPr>
        <w:t>明。</w:t>
      </w:r>
    </w:p>
    <w:p w14:paraId="3EE1FC80">
      <w:pPr>
        <w:autoSpaceDE w:val="0"/>
        <w:autoSpaceDN w:val="0"/>
        <w:adjustRightInd w:val="0"/>
        <w:snapToGrid w:val="0"/>
        <w:spacing w:line="360" w:lineRule="auto"/>
        <w:ind w:left="100" w:right="4231"/>
        <w:jc w:val="left"/>
        <w:rPr>
          <w:rFonts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附：</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cs="微软雅黑" w:asciiTheme="minorEastAsia" w:hAnsiTheme="minorEastAsia" w:eastAsiaTheme="minorEastAsia"/>
          <w:kern w:val="0"/>
          <w:szCs w:val="21"/>
        </w:rPr>
        <w:t>身</w:t>
      </w:r>
      <w:r>
        <w:rPr>
          <w:rFonts w:hint="eastAsia" w:cs="微软雅黑" w:asciiTheme="minorEastAsia" w:hAnsiTheme="minorEastAsia" w:eastAsiaTheme="minorEastAsia"/>
          <w:spacing w:val="-2"/>
          <w:kern w:val="0"/>
          <w:szCs w:val="21"/>
        </w:rPr>
        <w:t>份</w:t>
      </w:r>
      <w:r>
        <w:rPr>
          <w:rFonts w:hint="eastAsia" w:cs="微软雅黑" w:asciiTheme="minorEastAsia" w:hAnsiTheme="minorEastAsia" w:eastAsiaTheme="minorEastAsia"/>
          <w:kern w:val="0"/>
          <w:szCs w:val="21"/>
        </w:rPr>
        <w:t>证</w:t>
      </w:r>
      <w:r>
        <w:rPr>
          <w:rFonts w:hint="eastAsia" w:cs="微软雅黑" w:asciiTheme="minorEastAsia" w:hAnsiTheme="minorEastAsia" w:eastAsiaTheme="minorEastAsia"/>
          <w:spacing w:val="-2"/>
          <w:kern w:val="0"/>
          <w:szCs w:val="21"/>
        </w:rPr>
        <w:t>复</w:t>
      </w:r>
      <w:r>
        <w:rPr>
          <w:rFonts w:hint="eastAsia" w:cs="微软雅黑" w:asciiTheme="minorEastAsia" w:hAnsiTheme="minorEastAsia" w:eastAsiaTheme="minorEastAsia"/>
          <w:kern w:val="0"/>
          <w:szCs w:val="21"/>
        </w:rPr>
        <w:t>印</w:t>
      </w:r>
      <w:r>
        <w:rPr>
          <w:rFonts w:hint="eastAsia" w:cs="微软雅黑" w:asciiTheme="minorEastAsia" w:hAnsiTheme="minorEastAsia" w:eastAsiaTheme="minorEastAsia"/>
          <w:spacing w:val="-2"/>
          <w:kern w:val="0"/>
          <w:szCs w:val="21"/>
        </w:rPr>
        <w:t>件</w:t>
      </w:r>
      <w:r>
        <w:rPr>
          <w:rFonts w:hint="eastAsia" w:cs="微软雅黑" w:asciiTheme="minorEastAsia" w:hAnsiTheme="minorEastAsia" w:eastAsiaTheme="minorEastAsia"/>
          <w:kern w:val="0"/>
          <w:szCs w:val="21"/>
        </w:rPr>
        <w:t>。</w:t>
      </w:r>
    </w:p>
    <w:tbl>
      <w:tblPr>
        <w:tblStyle w:val="41"/>
        <w:tblW w:w="7797" w:type="dxa"/>
        <w:tblInd w:w="675" w:type="dxa"/>
        <w:tblLayout w:type="fixed"/>
        <w:tblCellMar>
          <w:top w:w="0" w:type="dxa"/>
          <w:left w:w="108" w:type="dxa"/>
          <w:bottom w:w="0" w:type="dxa"/>
          <w:right w:w="108" w:type="dxa"/>
        </w:tblCellMar>
      </w:tblPr>
      <w:tblGrid>
        <w:gridCol w:w="3898"/>
        <w:gridCol w:w="3899"/>
      </w:tblGrid>
      <w:tr w14:paraId="49E170B1">
        <w:tblPrEx>
          <w:tblCellMar>
            <w:top w:w="0" w:type="dxa"/>
            <w:left w:w="108" w:type="dxa"/>
            <w:bottom w:w="0" w:type="dxa"/>
            <w:right w:w="108" w:type="dxa"/>
          </w:tblCellMar>
        </w:tblPrEx>
        <w:trPr>
          <w:trHeight w:val="1265" w:hRule="atLeast"/>
        </w:trPr>
        <w:tc>
          <w:tcPr>
            <w:tcW w:w="3898" w:type="dxa"/>
            <w:vAlign w:val="center"/>
          </w:tcPr>
          <w:p w14:paraId="4B2D9E6D">
            <w:pPr>
              <w:adjustRightInd w:val="0"/>
              <w:snapToGrid w:val="0"/>
              <w:spacing w:line="360" w:lineRule="auto"/>
              <w:jc w:val="center"/>
              <w:rPr>
                <w:rFonts w:ascii="宋体" w:hAnsi="宋体"/>
                <w:szCs w:val="21"/>
              </w:rPr>
            </w:pPr>
            <w:r>
              <w:rPr>
                <w:rFonts w:hint="eastAsia" w:ascii="宋体" w:hAnsi="宋体"/>
                <w:szCs w:val="21"/>
              </w:rPr>
              <w:t>身份证（正面）</w:t>
            </w:r>
            <w:r>
              <w:rPr>
                <w:rFonts w:hint="eastAsia" w:cs="微软雅黑" w:asciiTheme="minorEastAsia" w:hAnsiTheme="minorEastAsia" w:eastAsiaTheme="minorEastAsia"/>
                <w:spacing w:val="-2"/>
                <w:kern w:val="0"/>
                <w:szCs w:val="21"/>
              </w:rPr>
              <w:t>复</w:t>
            </w:r>
            <w:r>
              <w:rPr>
                <w:rFonts w:hint="eastAsia" w:cs="微软雅黑" w:asciiTheme="minorEastAsia" w:hAnsiTheme="minorEastAsia" w:eastAsiaTheme="minorEastAsia"/>
                <w:kern w:val="0"/>
                <w:szCs w:val="21"/>
              </w:rPr>
              <w:t>印</w:t>
            </w:r>
            <w:r>
              <w:rPr>
                <w:rFonts w:hint="eastAsia" w:cs="微软雅黑" w:asciiTheme="minorEastAsia" w:hAnsiTheme="minorEastAsia" w:eastAsiaTheme="minorEastAsia"/>
                <w:spacing w:val="-2"/>
                <w:kern w:val="0"/>
                <w:szCs w:val="21"/>
              </w:rPr>
              <w:t>件</w:t>
            </w:r>
          </w:p>
        </w:tc>
        <w:tc>
          <w:tcPr>
            <w:tcW w:w="3899" w:type="dxa"/>
            <w:vAlign w:val="center"/>
          </w:tcPr>
          <w:p w14:paraId="45133ECC">
            <w:pPr>
              <w:adjustRightInd w:val="0"/>
              <w:snapToGrid w:val="0"/>
              <w:spacing w:line="360" w:lineRule="auto"/>
              <w:jc w:val="center"/>
              <w:rPr>
                <w:rFonts w:ascii="宋体" w:hAnsi="宋体"/>
                <w:szCs w:val="21"/>
              </w:rPr>
            </w:pPr>
            <w:r>
              <w:rPr>
                <w:rFonts w:hint="eastAsia" w:ascii="宋体" w:hAnsi="宋体"/>
                <w:szCs w:val="21"/>
              </w:rPr>
              <w:t>身份证（反面）</w:t>
            </w:r>
            <w:r>
              <w:rPr>
                <w:rFonts w:hint="eastAsia" w:cs="微软雅黑" w:asciiTheme="minorEastAsia" w:hAnsiTheme="minorEastAsia" w:eastAsiaTheme="minorEastAsia"/>
                <w:spacing w:val="-2"/>
                <w:kern w:val="0"/>
                <w:szCs w:val="21"/>
              </w:rPr>
              <w:t>复</w:t>
            </w:r>
            <w:r>
              <w:rPr>
                <w:rFonts w:hint="eastAsia" w:cs="微软雅黑" w:asciiTheme="minorEastAsia" w:hAnsiTheme="minorEastAsia" w:eastAsiaTheme="minorEastAsia"/>
                <w:kern w:val="0"/>
                <w:szCs w:val="21"/>
              </w:rPr>
              <w:t>印</w:t>
            </w:r>
            <w:r>
              <w:rPr>
                <w:rFonts w:hint="eastAsia" w:cs="微软雅黑" w:asciiTheme="minorEastAsia" w:hAnsiTheme="minorEastAsia" w:eastAsiaTheme="minorEastAsia"/>
                <w:spacing w:val="-2"/>
                <w:kern w:val="0"/>
                <w:szCs w:val="21"/>
              </w:rPr>
              <w:t>件</w:t>
            </w:r>
          </w:p>
        </w:tc>
      </w:tr>
    </w:tbl>
    <w:p w14:paraId="1965F885">
      <w:pPr>
        <w:adjustRightInd w:val="0"/>
        <w:snapToGrid w:val="0"/>
        <w:spacing w:line="360" w:lineRule="auto"/>
        <w:rPr>
          <w:rFonts w:ascii="宋体" w:hAnsi="宋体"/>
          <w:szCs w:val="21"/>
        </w:rPr>
      </w:pPr>
    </w:p>
    <w:p w14:paraId="046872E8">
      <w:pPr>
        <w:adjustRightInd w:val="0"/>
        <w:snapToGrid w:val="0"/>
        <w:spacing w:line="360" w:lineRule="auto"/>
        <w:rPr>
          <w:rFonts w:ascii="宋体" w:hAnsi="宋体"/>
          <w:szCs w:val="21"/>
        </w:rPr>
      </w:pPr>
      <w:r>
        <w:rPr>
          <w:rFonts w:hint="eastAsia" w:ascii="宋体" w:hAnsi="宋体"/>
          <w:szCs w:val="21"/>
        </w:rPr>
        <w:t>注：投标人代表为法定代表人（单位负责人）的提供。自然人投标的无需提供。</w:t>
      </w:r>
    </w:p>
    <w:p w14:paraId="3F40A420">
      <w:pPr>
        <w:adjustRightInd w:val="0"/>
        <w:snapToGrid w:val="0"/>
        <w:spacing w:line="360" w:lineRule="auto"/>
        <w:rPr>
          <w:rFonts w:ascii="宋体" w:hAnsi="宋体"/>
          <w:szCs w:val="21"/>
        </w:rPr>
      </w:pPr>
    </w:p>
    <w:p w14:paraId="443F1716">
      <w:pPr>
        <w:adjustRightInd w:val="0"/>
        <w:snapToGrid w:val="0"/>
        <w:spacing w:line="360" w:lineRule="auto"/>
        <w:rPr>
          <w:rFonts w:ascii="宋体" w:hAnsi="宋体"/>
          <w:szCs w:val="21"/>
        </w:rPr>
      </w:pPr>
      <w:r>
        <w:rPr>
          <w:rFonts w:hint="eastAsia" w:ascii="宋体" w:hAnsi="宋体"/>
          <w:szCs w:val="21"/>
        </w:rPr>
        <w:t>投标人名称（盖单位电子章）：</w:t>
      </w:r>
    </w:p>
    <w:p w14:paraId="28FA526D">
      <w:pPr>
        <w:adjustRightInd w:val="0"/>
        <w:snapToGrid w:val="0"/>
        <w:spacing w:line="360" w:lineRule="auto"/>
        <w:ind w:right="420"/>
        <w:rPr>
          <w:rFonts w:ascii="宋体" w:hAnsi="宋体"/>
          <w:szCs w:val="21"/>
        </w:rPr>
      </w:pPr>
      <w:r>
        <w:rPr>
          <w:rFonts w:hint="eastAsia" w:cs="宋体" w:asciiTheme="minorEastAsia" w:hAnsiTheme="minorEastAsia" w:eastAsiaTheme="minorEastAsia"/>
          <w:szCs w:val="21"/>
        </w:rPr>
        <w:t>日期：</w:t>
      </w:r>
      <w:r>
        <w:rPr>
          <w:rFonts w:hint="eastAsia" w:ascii="宋体" w:hAnsi="宋体"/>
          <w:szCs w:val="21"/>
        </w:rPr>
        <w:t>年月日</w:t>
      </w:r>
    </w:p>
    <w:p w14:paraId="1BD3896E">
      <w:pPr>
        <w:adjustRightInd w:val="0"/>
        <w:snapToGrid w:val="0"/>
        <w:spacing w:line="360" w:lineRule="auto"/>
      </w:pPr>
    </w:p>
    <w:p w14:paraId="7B50FB22">
      <w:pPr>
        <w:widowControl/>
        <w:jc w:val="left"/>
      </w:pPr>
      <w:r>
        <w:br w:type="page"/>
      </w:r>
    </w:p>
    <w:p w14:paraId="26CB555A">
      <w:pPr>
        <w:pStyle w:val="4"/>
        <w:adjustRightInd w:val="0"/>
        <w:snapToGrid w:val="0"/>
        <w:spacing w:before="0" w:after="0" w:line="360" w:lineRule="auto"/>
        <w:jc w:val="center"/>
        <w:rPr>
          <w:rFonts w:ascii="方正小标宋简体" w:hAnsi="方正小标宋简体" w:eastAsia="方正小标宋简体"/>
          <w:sz w:val="32"/>
          <w:szCs w:val="32"/>
        </w:rPr>
      </w:pPr>
      <w:bookmarkStart w:id="43" w:name="_Toc29913954"/>
      <w:r>
        <w:rPr>
          <w:rFonts w:hint="eastAsia" w:ascii="方正小标宋简体" w:hAnsi="方正小标宋简体" w:eastAsia="方正小标宋简体"/>
          <w:sz w:val="32"/>
          <w:szCs w:val="32"/>
        </w:rPr>
        <w:t>三、授权委托书</w:t>
      </w:r>
      <w:bookmarkEnd w:id="43"/>
    </w:p>
    <w:p w14:paraId="7D29A0F8">
      <w:pPr>
        <w:autoSpaceDE w:val="0"/>
        <w:autoSpaceDN w:val="0"/>
        <w:adjustRightInd w:val="0"/>
        <w:snapToGrid w:val="0"/>
        <w:spacing w:line="360" w:lineRule="auto"/>
        <w:ind w:firstLine="446" w:firstLineChars="200"/>
        <w:jc w:val="left"/>
        <w:rPr>
          <w:rFonts w:ascii="宋体" w:hAnsi="宋体"/>
          <w:b/>
          <w:spacing w:val="6"/>
          <w:szCs w:val="21"/>
        </w:rPr>
      </w:pPr>
    </w:p>
    <w:p w14:paraId="397AD99E">
      <w:pPr>
        <w:autoSpaceDE w:val="0"/>
        <w:autoSpaceDN w:val="0"/>
        <w:adjustRightInd w:val="0"/>
        <w:snapToGrid w:val="0"/>
        <w:spacing w:line="360" w:lineRule="auto"/>
        <w:ind w:firstLine="420" w:firstLineChars="200"/>
        <w:jc w:val="left"/>
        <w:rPr>
          <w:rFonts w:ascii="宋体" w:hAnsi="宋体" w:cs="宋体"/>
          <w:kern w:val="0"/>
          <w:szCs w:val="21"/>
        </w:rPr>
      </w:pPr>
    </w:p>
    <w:p w14:paraId="7D834811">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本人（姓名、职务）系 （</w:t>
      </w:r>
      <w:r>
        <w:rPr>
          <w:rFonts w:hint="eastAsia" w:ascii="宋体" w:hAnsi="宋体"/>
          <w:szCs w:val="21"/>
        </w:rPr>
        <w:t>投标人</w:t>
      </w:r>
      <w:r>
        <w:rPr>
          <w:rFonts w:hint="eastAsia" w:ascii="宋体" w:hAnsi="宋体" w:cs="宋体"/>
          <w:kern w:val="0"/>
          <w:szCs w:val="21"/>
        </w:rPr>
        <w:t>名称）的法定代表人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cs="宋体"/>
          <w:kern w:val="0"/>
          <w:szCs w:val="21"/>
        </w:rPr>
        <w:t>，现授权（姓名、职务）为我方代理人。代理人根据授权，以我方名义签署、澄清、说明、补正、递交、撤回、修改（项目名称</w:t>
      </w:r>
      <w:r>
        <w:rPr>
          <w:rFonts w:ascii="宋体" w:hAnsi="宋体" w:cs="宋体"/>
          <w:kern w:val="0"/>
          <w:szCs w:val="21"/>
        </w:rPr>
        <w:t>）</w:t>
      </w:r>
      <w:r>
        <w:rPr>
          <w:rFonts w:hint="eastAsia" w:ascii="宋体" w:hAnsi="宋体" w:cs="宋体"/>
          <w:kern w:val="0"/>
          <w:szCs w:val="21"/>
        </w:rPr>
        <w:t>（</w:t>
      </w:r>
      <w:r>
        <w:rPr>
          <w:rFonts w:hint="eastAsia" w:asciiTheme="minorEastAsia" w:hAnsiTheme="minorEastAsia" w:eastAsiaTheme="minorEastAsia"/>
        </w:rPr>
        <w:t>政府</w:t>
      </w:r>
      <w:r>
        <w:rPr>
          <w:rFonts w:hint="eastAsia" w:asciiTheme="minorEastAsia" w:hAnsiTheme="minorEastAsia" w:eastAsiaTheme="minorEastAsia"/>
          <w:iCs/>
        </w:rPr>
        <w:t>采购编号： ，</w:t>
      </w:r>
      <w:r>
        <w:rPr>
          <w:rFonts w:hint="eastAsia" w:ascii="宋体" w:hAnsi="宋体" w:cs="宋体"/>
          <w:kern w:val="0"/>
          <w:szCs w:val="21"/>
        </w:rPr>
        <w:t>采购代理编号：）投标文件、签订合同和处理有关事宜，其法律后果由我方承担。</w:t>
      </w:r>
    </w:p>
    <w:p w14:paraId="291D9F83">
      <w:pPr>
        <w:autoSpaceDE w:val="0"/>
        <w:autoSpaceDN w:val="0"/>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委托期限： 。</w:t>
      </w:r>
    </w:p>
    <w:p w14:paraId="6E2F1774">
      <w:pPr>
        <w:adjustRightInd w:val="0"/>
        <w:snapToGrid w:val="0"/>
        <w:spacing w:line="360" w:lineRule="auto"/>
        <w:ind w:firstLine="435"/>
        <w:rPr>
          <w:rFonts w:ascii="宋体" w:hAnsi="宋体" w:cs="宋体"/>
          <w:kern w:val="0"/>
          <w:szCs w:val="21"/>
        </w:rPr>
      </w:pPr>
      <w:r>
        <w:rPr>
          <w:rFonts w:hint="eastAsia" w:ascii="宋体" w:hAnsi="宋体" w:cs="宋体"/>
          <w:kern w:val="0"/>
          <w:szCs w:val="21"/>
        </w:rPr>
        <w:t>代理人无转委托权。</w:t>
      </w:r>
    </w:p>
    <w:p w14:paraId="7B0D6111">
      <w:pPr>
        <w:adjustRightInd w:val="0"/>
        <w:snapToGrid w:val="0"/>
        <w:spacing w:line="360" w:lineRule="auto"/>
        <w:ind w:firstLine="435"/>
        <w:rPr>
          <w:rFonts w:cs="微软雅黑" w:asciiTheme="minorEastAsia" w:hAnsiTheme="minorEastAsia" w:eastAsiaTheme="minorEastAsia"/>
          <w:kern w:val="0"/>
          <w:szCs w:val="21"/>
        </w:rPr>
      </w:pPr>
      <w:r>
        <w:rPr>
          <w:rFonts w:hint="eastAsia" w:ascii="宋体" w:hAnsi="宋体"/>
          <w:szCs w:val="21"/>
        </w:rPr>
        <w:t>本授权书于年月日签字生效，特此声明。</w:t>
      </w:r>
    </w:p>
    <w:tbl>
      <w:tblPr>
        <w:tblStyle w:val="41"/>
        <w:tblW w:w="7889" w:type="dxa"/>
        <w:tblInd w:w="675" w:type="dxa"/>
        <w:tblLayout w:type="fixed"/>
        <w:tblCellMar>
          <w:top w:w="0" w:type="dxa"/>
          <w:left w:w="108" w:type="dxa"/>
          <w:bottom w:w="0" w:type="dxa"/>
          <w:right w:w="108" w:type="dxa"/>
        </w:tblCellMar>
      </w:tblPr>
      <w:tblGrid>
        <w:gridCol w:w="3944"/>
        <w:gridCol w:w="3945"/>
      </w:tblGrid>
      <w:tr w14:paraId="6FA8A3DF">
        <w:tblPrEx>
          <w:tblCellMar>
            <w:top w:w="0" w:type="dxa"/>
            <w:left w:w="108" w:type="dxa"/>
            <w:bottom w:w="0" w:type="dxa"/>
            <w:right w:w="108" w:type="dxa"/>
          </w:tblCellMar>
        </w:tblPrEx>
        <w:trPr>
          <w:trHeight w:val="2077" w:hRule="atLeast"/>
        </w:trPr>
        <w:tc>
          <w:tcPr>
            <w:tcW w:w="3944" w:type="dxa"/>
            <w:vAlign w:val="center"/>
          </w:tcPr>
          <w:p w14:paraId="1FA4F1EA">
            <w:pPr>
              <w:adjustRightInd w:val="0"/>
              <w:snapToGrid w:val="0"/>
              <w:spacing w:line="360" w:lineRule="auto"/>
              <w:jc w:val="center"/>
              <w:rPr>
                <w:rFonts w:ascii="宋体" w:hAnsi="宋体"/>
                <w:szCs w:val="21"/>
              </w:rPr>
            </w:pPr>
            <w:r>
              <w:rPr>
                <w:rFonts w:hint="eastAsia" w:ascii="宋体" w:hAnsi="宋体"/>
                <w:szCs w:val="21"/>
              </w:rPr>
              <w:t>身份证（正面）</w:t>
            </w:r>
            <w:r>
              <w:rPr>
                <w:rFonts w:hint="eastAsia" w:cs="微软雅黑" w:asciiTheme="minorEastAsia" w:hAnsiTheme="minorEastAsia" w:eastAsiaTheme="minorEastAsia"/>
                <w:spacing w:val="-2"/>
                <w:kern w:val="0"/>
                <w:szCs w:val="21"/>
              </w:rPr>
              <w:t>复</w:t>
            </w:r>
            <w:r>
              <w:rPr>
                <w:rFonts w:hint="eastAsia" w:cs="微软雅黑" w:asciiTheme="minorEastAsia" w:hAnsiTheme="minorEastAsia" w:eastAsiaTheme="minorEastAsia"/>
                <w:kern w:val="0"/>
                <w:szCs w:val="21"/>
              </w:rPr>
              <w:t>印</w:t>
            </w:r>
            <w:r>
              <w:rPr>
                <w:rFonts w:hint="eastAsia" w:cs="微软雅黑" w:asciiTheme="minorEastAsia" w:hAnsiTheme="minorEastAsia" w:eastAsiaTheme="minorEastAsia"/>
                <w:spacing w:val="-2"/>
                <w:kern w:val="0"/>
                <w:szCs w:val="21"/>
              </w:rPr>
              <w:t>件</w:t>
            </w:r>
          </w:p>
        </w:tc>
        <w:tc>
          <w:tcPr>
            <w:tcW w:w="3945" w:type="dxa"/>
            <w:vAlign w:val="center"/>
          </w:tcPr>
          <w:p w14:paraId="4BAFCF73">
            <w:pPr>
              <w:adjustRightInd w:val="0"/>
              <w:snapToGrid w:val="0"/>
              <w:spacing w:line="360" w:lineRule="auto"/>
              <w:jc w:val="center"/>
              <w:rPr>
                <w:rFonts w:ascii="宋体" w:hAnsi="宋体"/>
                <w:szCs w:val="21"/>
              </w:rPr>
            </w:pPr>
            <w:r>
              <w:rPr>
                <w:rFonts w:hint="eastAsia" w:ascii="宋体" w:hAnsi="宋体"/>
                <w:szCs w:val="21"/>
              </w:rPr>
              <w:t>身份证（反面）</w:t>
            </w:r>
            <w:r>
              <w:rPr>
                <w:rFonts w:hint="eastAsia" w:cs="微软雅黑" w:asciiTheme="minorEastAsia" w:hAnsiTheme="minorEastAsia" w:eastAsiaTheme="minorEastAsia"/>
                <w:spacing w:val="-2"/>
                <w:kern w:val="0"/>
                <w:szCs w:val="21"/>
              </w:rPr>
              <w:t>复</w:t>
            </w:r>
            <w:r>
              <w:rPr>
                <w:rFonts w:hint="eastAsia" w:cs="微软雅黑" w:asciiTheme="minorEastAsia" w:hAnsiTheme="minorEastAsia" w:eastAsiaTheme="minorEastAsia"/>
                <w:kern w:val="0"/>
                <w:szCs w:val="21"/>
              </w:rPr>
              <w:t>印</w:t>
            </w:r>
            <w:r>
              <w:rPr>
                <w:rFonts w:hint="eastAsia" w:cs="微软雅黑" w:asciiTheme="minorEastAsia" w:hAnsiTheme="minorEastAsia" w:eastAsiaTheme="minorEastAsia"/>
                <w:spacing w:val="-2"/>
                <w:kern w:val="0"/>
                <w:szCs w:val="21"/>
              </w:rPr>
              <w:t>件</w:t>
            </w:r>
          </w:p>
        </w:tc>
      </w:tr>
    </w:tbl>
    <w:p w14:paraId="0B7CDCAB">
      <w:pPr>
        <w:adjustRightInd w:val="0"/>
        <w:snapToGrid w:val="0"/>
        <w:spacing w:line="360" w:lineRule="auto"/>
        <w:ind w:firstLine="420" w:firstLineChars="200"/>
        <w:rPr>
          <w:rFonts w:ascii="宋体" w:hAnsi="宋体"/>
          <w:szCs w:val="21"/>
        </w:rPr>
      </w:pPr>
    </w:p>
    <w:p w14:paraId="000E8927">
      <w:pPr>
        <w:adjustRightInd w:val="0"/>
        <w:snapToGrid w:val="0"/>
        <w:spacing w:line="360" w:lineRule="auto"/>
        <w:ind w:firstLine="420" w:firstLineChars="200"/>
        <w:rPr>
          <w:rFonts w:ascii="宋体" w:hAnsi="宋体"/>
          <w:szCs w:val="21"/>
        </w:rPr>
      </w:pPr>
    </w:p>
    <w:p w14:paraId="1397FEAF">
      <w:pPr>
        <w:adjustRightInd w:val="0"/>
        <w:snapToGrid w:val="0"/>
        <w:spacing w:line="360" w:lineRule="auto"/>
        <w:rPr>
          <w:rFonts w:ascii="宋体" w:hAnsi="宋体"/>
          <w:szCs w:val="21"/>
        </w:rPr>
      </w:pPr>
      <w:r>
        <w:rPr>
          <w:rFonts w:hint="eastAsia" w:ascii="宋体" w:hAnsi="宋体"/>
          <w:szCs w:val="21"/>
        </w:rPr>
        <w:t>注：投标人代表不是投标人的法定代表人（单位负责人）的提供。自然人投标的无需提供。</w:t>
      </w:r>
    </w:p>
    <w:p w14:paraId="4C04BA42">
      <w:pPr>
        <w:adjustRightInd w:val="0"/>
        <w:snapToGrid w:val="0"/>
        <w:spacing w:line="360" w:lineRule="auto"/>
        <w:ind w:firstLine="420" w:firstLineChars="200"/>
        <w:rPr>
          <w:rFonts w:ascii="宋体" w:hAnsi="宋体"/>
          <w:szCs w:val="21"/>
        </w:rPr>
      </w:pPr>
    </w:p>
    <w:p w14:paraId="143512F2">
      <w:pPr>
        <w:adjustRightInd w:val="0"/>
        <w:snapToGrid w:val="0"/>
        <w:spacing w:line="360" w:lineRule="auto"/>
        <w:ind w:firstLine="420" w:firstLineChars="200"/>
        <w:rPr>
          <w:rFonts w:ascii="宋体" w:hAnsi="宋体"/>
          <w:szCs w:val="21"/>
        </w:rPr>
      </w:pPr>
    </w:p>
    <w:p w14:paraId="0BD8D8C2">
      <w:pPr>
        <w:adjustRightInd w:val="0"/>
        <w:snapToGrid w:val="0"/>
        <w:spacing w:line="360" w:lineRule="auto"/>
        <w:rPr>
          <w:rFonts w:ascii="宋体" w:hAnsi="宋体"/>
          <w:szCs w:val="21"/>
        </w:rPr>
      </w:pPr>
      <w:r>
        <w:rPr>
          <w:rFonts w:hint="eastAsia" w:ascii="宋体" w:hAnsi="宋体"/>
          <w:szCs w:val="21"/>
        </w:rPr>
        <w:t>投标人名称（盖单位电子章）：</w:t>
      </w:r>
    </w:p>
    <w:p w14:paraId="59B8D1D3">
      <w:pPr>
        <w:adjustRightInd w:val="0"/>
        <w:snapToGrid w:val="0"/>
        <w:spacing w:line="360" w:lineRule="auto"/>
        <w:ind w:right="420"/>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（电子签字或电子印章）：</w:t>
      </w:r>
    </w:p>
    <w:p w14:paraId="48F6F066">
      <w:pPr>
        <w:adjustRightInd w:val="0"/>
        <w:snapToGrid w:val="0"/>
        <w:spacing w:line="360" w:lineRule="auto"/>
        <w:ind w:right="420"/>
        <w:rPr>
          <w:rFonts w:ascii="宋体" w:hAnsi="宋体"/>
          <w:szCs w:val="21"/>
        </w:rPr>
      </w:pPr>
      <w:r>
        <w:rPr>
          <w:rFonts w:hint="eastAsia" w:ascii="宋体" w:hAnsi="宋体"/>
          <w:szCs w:val="21"/>
        </w:rPr>
        <w:t>委托代理人（电子签字或电子印章）：</w:t>
      </w:r>
    </w:p>
    <w:p w14:paraId="4AB55663">
      <w:pPr>
        <w:adjustRightInd w:val="0"/>
        <w:snapToGrid w:val="0"/>
        <w:spacing w:line="360" w:lineRule="auto"/>
        <w:ind w:right="420"/>
        <w:rPr>
          <w:rFonts w:ascii="宋体" w:hAnsi="宋体"/>
          <w:szCs w:val="21"/>
        </w:rPr>
      </w:pPr>
      <w:r>
        <w:rPr>
          <w:rFonts w:hint="eastAsia" w:cs="宋体" w:asciiTheme="minorEastAsia" w:hAnsiTheme="minorEastAsia" w:eastAsiaTheme="minorEastAsia"/>
          <w:szCs w:val="21"/>
        </w:rPr>
        <w:t xml:space="preserve">日期：   </w:t>
      </w:r>
      <w:r>
        <w:rPr>
          <w:rFonts w:hint="eastAsia" w:ascii="宋体" w:hAnsi="宋体"/>
          <w:szCs w:val="21"/>
        </w:rPr>
        <w:t>年  月  日</w:t>
      </w:r>
    </w:p>
    <w:p w14:paraId="54AC64F0">
      <w:pPr>
        <w:adjustRightInd w:val="0"/>
        <w:snapToGrid w:val="0"/>
        <w:spacing w:line="360" w:lineRule="auto"/>
        <w:jc w:val="left"/>
        <w:rPr>
          <w:rFonts w:ascii="黑体" w:hAnsi="黑体" w:eastAsia="黑体"/>
          <w:bCs/>
          <w:sz w:val="28"/>
          <w:szCs w:val="28"/>
        </w:rPr>
      </w:pPr>
      <w:r>
        <w:rPr>
          <w:rFonts w:ascii="黑体" w:hAnsi="黑体" w:eastAsia="黑体"/>
          <w:bCs/>
          <w:sz w:val="28"/>
          <w:szCs w:val="28"/>
        </w:rPr>
        <w:br w:type="page"/>
      </w:r>
    </w:p>
    <w:p w14:paraId="66C65391">
      <w:pPr>
        <w:pStyle w:val="4"/>
        <w:adjustRightInd w:val="0"/>
        <w:snapToGrid w:val="0"/>
        <w:spacing w:before="0" w:after="0" w:line="360" w:lineRule="auto"/>
        <w:jc w:val="center"/>
        <w:rPr>
          <w:rFonts w:ascii="方正小标宋简体" w:hAnsi="方正小标宋简体" w:eastAsia="方正小标宋简体"/>
          <w:sz w:val="32"/>
          <w:szCs w:val="32"/>
        </w:rPr>
      </w:pPr>
      <w:bookmarkStart w:id="44" w:name="_Toc29913955"/>
      <w:r>
        <w:rPr>
          <w:rFonts w:hint="eastAsia" w:ascii="方正小标宋简体" w:hAnsi="方正小标宋简体" w:eastAsia="方正小标宋简体"/>
          <w:sz w:val="32"/>
          <w:szCs w:val="32"/>
        </w:rPr>
        <w:t>四、投标人提供的资格证明文件</w:t>
      </w:r>
      <w:bookmarkEnd w:id="44"/>
    </w:p>
    <w:p w14:paraId="0667E8E0">
      <w:pPr>
        <w:pStyle w:val="21"/>
        <w:adjustRightInd w:val="0"/>
        <w:snapToGrid w:val="0"/>
        <w:spacing w:line="360" w:lineRule="auto"/>
        <w:jc w:val="center"/>
        <w:rPr>
          <w:rFonts w:hAnsi="宋体" w:cs="Times New Roman"/>
          <w:b/>
          <w:bCs/>
          <w:sz w:val="24"/>
          <w:szCs w:val="24"/>
        </w:rPr>
      </w:pPr>
    </w:p>
    <w:p w14:paraId="4435381A">
      <w:pPr>
        <w:pStyle w:val="21"/>
        <w:adjustRightInd w:val="0"/>
        <w:snapToGrid w:val="0"/>
        <w:spacing w:line="360" w:lineRule="auto"/>
        <w:jc w:val="center"/>
        <w:rPr>
          <w:rFonts w:ascii="黑体" w:hAnsi="黑体" w:eastAsia="黑体" w:cs="Times New Roman"/>
          <w:b/>
          <w:bCs/>
          <w:sz w:val="28"/>
          <w:szCs w:val="28"/>
        </w:rPr>
      </w:pPr>
      <w:r>
        <w:rPr>
          <w:rFonts w:hint="eastAsia" w:ascii="黑体" w:hAnsi="黑体" w:eastAsia="黑体" w:cs="Times New Roman"/>
          <w:b/>
          <w:bCs/>
          <w:sz w:val="28"/>
          <w:szCs w:val="28"/>
        </w:rPr>
        <w:t>须  知</w:t>
      </w:r>
    </w:p>
    <w:p w14:paraId="5A4CDACE">
      <w:pPr>
        <w:tabs>
          <w:tab w:val="left" w:pos="4725"/>
        </w:tabs>
        <w:adjustRightInd w:val="0"/>
        <w:snapToGrid w:val="0"/>
        <w:spacing w:beforeLines="50" w:line="360" w:lineRule="auto"/>
        <w:ind w:firstLine="422" w:firstLineChars="200"/>
        <w:rPr>
          <w:rFonts w:ascii="宋体" w:hAnsi="宋体"/>
          <w:b/>
          <w:bCs/>
          <w:szCs w:val="21"/>
        </w:rPr>
      </w:pPr>
      <w:r>
        <w:rPr>
          <w:rFonts w:hint="eastAsia" w:ascii="宋体" w:hAnsi="宋体"/>
          <w:b/>
          <w:szCs w:val="21"/>
        </w:rPr>
        <w:t>1、投标人</w:t>
      </w:r>
      <w:r>
        <w:rPr>
          <w:rFonts w:hint="eastAsia" w:ascii="宋体" w:hAnsi="宋体"/>
          <w:b/>
          <w:bCs/>
          <w:szCs w:val="21"/>
        </w:rPr>
        <w:t>应按第二章第14.1款要求提供下列的证明材料</w:t>
      </w:r>
    </w:p>
    <w:p w14:paraId="040CA6D6">
      <w:pPr>
        <w:tabs>
          <w:tab w:val="left" w:pos="4725"/>
        </w:tabs>
        <w:adjustRightInd w:val="0"/>
        <w:snapToGrid w:val="0"/>
        <w:spacing w:beforeLines="50" w:line="360" w:lineRule="auto"/>
        <w:ind w:firstLine="735" w:firstLineChars="350"/>
        <w:rPr>
          <w:rFonts w:asciiTheme="minorEastAsia" w:hAnsiTheme="minorEastAsia" w:eastAsiaTheme="minorEastAsia"/>
          <w:szCs w:val="21"/>
        </w:rPr>
      </w:pPr>
      <w:r>
        <w:rPr>
          <w:rFonts w:hint="eastAsia" w:asciiTheme="minorEastAsia" w:hAnsiTheme="minorEastAsia" w:eastAsiaTheme="minorEastAsia"/>
          <w:szCs w:val="21"/>
        </w:rPr>
        <w:t>附件4-1 法人或者其他组织的营业执照等主体资格证明文件，自然人的身份证明</w:t>
      </w:r>
    </w:p>
    <w:p w14:paraId="64E1CE4A">
      <w:pPr>
        <w:tabs>
          <w:tab w:val="left" w:pos="4725"/>
        </w:tabs>
        <w:adjustRightInd w:val="0"/>
        <w:snapToGrid w:val="0"/>
        <w:spacing w:beforeLines="50" w:line="360" w:lineRule="auto"/>
        <w:ind w:firstLine="735" w:firstLineChars="350"/>
        <w:rPr>
          <w:rFonts w:ascii="宋体" w:hAnsi="宋体" w:cs="宋体"/>
          <w:bCs/>
          <w:color w:val="000000"/>
          <w:kern w:val="0"/>
          <w:szCs w:val="21"/>
        </w:rPr>
      </w:pPr>
      <w:r>
        <w:rPr>
          <w:rFonts w:hint="eastAsia" w:asciiTheme="minorEastAsia" w:hAnsiTheme="minorEastAsia" w:eastAsiaTheme="minorEastAsia"/>
          <w:szCs w:val="21"/>
        </w:rPr>
        <w:t>附件4-2投标人资格声明(格式)</w:t>
      </w:r>
    </w:p>
    <w:p w14:paraId="7A3E02B7">
      <w:pPr>
        <w:tabs>
          <w:tab w:val="left" w:pos="4725"/>
        </w:tabs>
        <w:adjustRightInd w:val="0"/>
        <w:snapToGrid w:val="0"/>
        <w:spacing w:beforeLines="50" w:line="360" w:lineRule="auto"/>
        <w:ind w:firstLine="735" w:firstLineChars="350"/>
        <w:rPr>
          <w:rFonts w:asciiTheme="minorEastAsia" w:hAnsiTheme="minorEastAsia" w:eastAsiaTheme="minorEastAsia"/>
          <w:szCs w:val="21"/>
        </w:rPr>
      </w:pPr>
      <w:r>
        <w:rPr>
          <w:rFonts w:hint="eastAsia" w:asciiTheme="minorEastAsia" w:hAnsiTheme="minorEastAsia" w:eastAsiaTheme="minorEastAsia"/>
          <w:szCs w:val="21"/>
        </w:rPr>
        <w:t>附件4-3湖南省政府采购供应商资格承诺函(格式)</w:t>
      </w:r>
    </w:p>
    <w:p w14:paraId="65D0D7DE">
      <w:pPr>
        <w:tabs>
          <w:tab w:val="left" w:pos="4725"/>
        </w:tabs>
        <w:adjustRightInd w:val="0"/>
        <w:snapToGrid w:val="0"/>
        <w:spacing w:beforeLines="50" w:line="360" w:lineRule="auto"/>
        <w:ind w:firstLine="735" w:firstLineChars="350"/>
        <w:rPr>
          <w:rFonts w:asciiTheme="minorEastAsia" w:hAnsiTheme="minorEastAsia" w:eastAsiaTheme="minorEastAsia"/>
          <w:szCs w:val="21"/>
        </w:rPr>
      </w:pPr>
      <w:r>
        <w:rPr>
          <w:rFonts w:hint="eastAsia" w:ascii="宋体" w:hAnsi="宋体" w:cs="宋体"/>
          <w:bCs/>
          <w:color w:val="000000"/>
          <w:kern w:val="0"/>
          <w:szCs w:val="21"/>
        </w:rPr>
        <w:t>附件4-4</w:t>
      </w:r>
      <w:r>
        <w:rPr>
          <w:rFonts w:hint="eastAsia" w:asciiTheme="minorEastAsia" w:hAnsiTheme="minorEastAsia" w:eastAsiaTheme="minorEastAsia"/>
          <w:szCs w:val="21"/>
        </w:rPr>
        <w:t>符合特定资格条件证明材料复印件或者情况说明</w:t>
      </w:r>
    </w:p>
    <w:p w14:paraId="34664562">
      <w:pPr>
        <w:tabs>
          <w:tab w:val="left" w:pos="4725"/>
        </w:tabs>
        <w:adjustRightInd w:val="0"/>
        <w:snapToGrid w:val="0"/>
        <w:spacing w:beforeLines="50" w:line="360" w:lineRule="auto"/>
        <w:ind w:firstLine="735" w:firstLineChars="350"/>
        <w:rPr>
          <w:rFonts w:asciiTheme="minorEastAsia" w:hAnsiTheme="minorEastAsia" w:eastAsiaTheme="minorEastAsia"/>
          <w:szCs w:val="21"/>
        </w:rPr>
      </w:pPr>
      <w:r>
        <w:rPr>
          <w:rFonts w:hint="eastAsia" w:asciiTheme="minorEastAsia" w:hAnsiTheme="minorEastAsia" w:eastAsiaTheme="minorEastAsia"/>
          <w:szCs w:val="21"/>
        </w:rPr>
        <w:t xml:space="preserve">附件4-5联合体协议书（格式）（联合体形式投标的提供） </w:t>
      </w:r>
    </w:p>
    <w:p w14:paraId="496A742A">
      <w:pPr>
        <w:tabs>
          <w:tab w:val="left" w:pos="4725"/>
        </w:tabs>
        <w:adjustRightInd w:val="0"/>
        <w:snapToGrid w:val="0"/>
        <w:spacing w:beforeLines="50" w:line="360" w:lineRule="auto"/>
        <w:ind w:firstLine="420" w:firstLineChars="200"/>
        <w:rPr>
          <w:rFonts w:cs="宋体" w:asciiTheme="minorEastAsia" w:hAnsiTheme="minorEastAsia" w:eastAsiaTheme="minorEastAsia"/>
          <w:szCs w:val="21"/>
        </w:rPr>
      </w:pPr>
      <w:r>
        <w:rPr>
          <w:rFonts w:hint="eastAsia" w:asciiTheme="minorEastAsia" w:hAnsiTheme="minorEastAsia" w:eastAsiaTheme="minorEastAsia"/>
          <w:szCs w:val="21"/>
        </w:rPr>
        <w:t>2、</w:t>
      </w:r>
      <w:r>
        <w:rPr>
          <w:rFonts w:hint="eastAsia" w:cs="宋体" w:asciiTheme="minorEastAsia" w:hAnsiTheme="minorEastAsia" w:eastAsiaTheme="minorEastAsia"/>
          <w:szCs w:val="21"/>
        </w:rPr>
        <w:t>投标人以联合体形式投标的，除应提交联合协议书(本节附4-6)外，参加联合体的各方均应提交上款资格证明材料。</w:t>
      </w:r>
    </w:p>
    <w:p w14:paraId="228948FC">
      <w:pPr>
        <w:tabs>
          <w:tab w:val="left" w:pos="4725"/>
        </w:tabs>
        <w:adjustRightInd w:val="0"/>
        <w:snapToGrid w:val="0"/>
        <w:spacing w:line="360" w:lineRule="auto"/>
        <w:rPr>
          <w:rFonts w:cs="宋体" w:asciiTheme="minorEastAsia" w:hAnsiTheme="minorEastAsia" w:eastAsiaTheme="minorEastAsia"/>
          <w:szCs w:val="21"/>
        </w:rPr>
      </w:pPr>
    </w:p>
    <w:p w14:paraId="71218773">
      <w:pPr>
        <w:widowControl/>
        <w:adjustRightInd w:val="0"/>
        <w:snapToGrid w:val="0"/>
        <w:spacing w:line="360" w:lineRule="auto"/>
        <w:jc w:val="left"/>
        <w:rPr>
          <w:rFonts w:ascii="黑体" w:hAnsi="仿宋" w:eastAsia="黑体" w:cs="宋体"/>
          <w:szCs w:val="21"/>
        </w:rPr>
      </w:pPr>
      <w:r>
        <w:rPr>
          <w:rFonts w:ascii="黑体" w:hAnsi="仿宋" w:eastAsia="黑体" w:cs="宋体"/>
          <w:szCs w:val="21"/>
        </w:rPr>
        <w:br w:type="page"/>
      </w:r>
    </w:p>
    <w:p w14:paraId="43C71A58">
      <w:pPr>
        <w:pStyle w:val="5"/>
        <w:rPr>
          <w:rFonts w:ascii="黑体" w:hAnsi="仿宋" w:cs="宋体"/>
          <w:b w:val="0"/>
          <w:sz w:val="21"/>
          <w:szCs w:val="21"/>
        </w:rPr>
      </w:pPr>
      <w:bookmarkStart w:id="45" w:name="_Toc29913956"/>
      <w:r>
        <w:rPr>
          <w:rFonts w:hint="eastAsia" w:ascii="黑体" w:hAnsi="仿宋" w:cs="宋体"/>
          <w:b w:val="0"/>
          <w:sz w:val="21"/>
          <w:szCs w:val="21"/>
        </w:rPr>
        <w:t>附件4-1 法人或者其他组织的营业执照等主体资格证明文件，自然人的身份证明</w:t>
      </w:r>
      <w:bookmarkEnd w:id="45"/>
    </w:p>
    <w:p w14:paraId="04EBA892">
      <w:pPr>
        <w:widowControl/>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28"/>
          <w:szCs w:val="28"/>
        </w:rPr>
        <w:t>法人或者其他组织的营业执照等主体资格证明文件，自然人的身份证明</w:t>
      </w:r>
    </w:p>
    <w:p w14:paraId="686BE533">
      <w:pPr>
        <w:widowControl/>
        <w:adjustRightInd w:val="0"/>
        <w:snapToGrid w:val="0"/>
        <w:spacing w:beforeLines="50" w:line="360" w:lineRule="auto"/>
        <w:ind w:firstLine="420" w:firstLineChars="200"/>
        <w:jc w:val="left"/>
        <w:rPr>
          <w:rFonts w:cs="宋体" w:asciiTheme="minorEastAsia" w:hAnsiTheme="minorEastAsia" w:eastAsiaTheme="minorEastAsia"/>
          <w:szCs w:val="21"/>
        </w:rPr>
      </w:pPr>
    </w:p>
    <w:p w14:paraId="15AC31A6">
      <w:pPr>
        <w:adjustRightInd w:val="0"/>
        <w:snapToGrid w:val="0"/>
        <w:spacing w:beforeLines="50"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注：按第二章第</w:t>
      </w:r>
      <w:r>
        <w:rPr>
          <w:rFonts w:cs="宋体" w:asciiTheme="minorEastAsia" w:hAnsiTheme="minorEastAsia" w:eastAsiaTheme="minorEastAsia"/>
          <w:szCs w:val="21"/>
        </w:rPr>
        <w:t>1</w:t>
      </w:r>
      <w:r>
        <w:rPr>
          <w:rFonts w:hint="eastAsia" w:cs="宋体" w:asciiTheme="minorEastAsia" w:hAnsiTheme="minorEastAsia" w:eastAsiaTheme="minorEastAsia"/>
          <w:szCs w:val="21"/>
        </w:rPr>
        <w:t>4</w:t>
      </w:r>
      <w:r>
        <w:rPr>
          <w:rFonts w:cs="宋体" w:asciiTheme="minorEastAsia" w:hAnsiTheme="minorEastAsia" w:eastAsiaTheme="minorEastAsia"/>
          <w:szCs w:val="21"/>
        </w:rPr>
        <w:t>.1</w:t>
      </w:r>
      <w:r>
        <w:rPr>
          <w:rFonts w:hint="eastAsia" w:cs="宋体" w:asciiTheme="minorEastAsia" w:hAnsiTheme="minorEastAsia" w:eastAsiaTheme="minorEastAsia"/>
          <w:szCs w:val="21"/>
        </w:rPr>
        <w:t>（2）项要求提供。</w:t>
      </w:r>
    </w:p>
    <w:p w14:paraId="0AD80035">
      <w:pPr>
        <w:adjustRightInd w:val="0"/>
        <w:snapToGrid w:val="0"/>
        <w:spacing w:beforeLines="50" w:line="360" w:lineRule="auto"/>
        <w:ind w:firstLine="420" w:firstLineChars="200"/>
        <w:rPr>
          <w:rFonts w:asciiTheme="minorEastAsia" w:hAnsiTheme="minorEastAsia"/>
        </w:rPr>
      </w:pPr>
      <w:r>
        <w:rPr>
          <w:rFonts w:hint="eastAsia" w:cs="宋体" w:asciiTheme="minorEastAsia" w:hAnsiTheme="minorEastAsia" w:eastAsiaTheme="minorEastAsia"/>
          <w:szCs w:val="21"/>
        </w:rPr>
        <w:t>（1）</w:t>
      </w:r>
      <w:r>
        <w:rPr>
          <w:rFonts w:hint="eastAsia" w:asciiTheme="minorEastAsia" w:hAnsiTheme="minorEastAsia"/>
        </w:rPr>
        <w:t>投标人为法人的，应提交营业执照或法人登记证书的复印件；</w:t>
      </w:r>
    </w:p>
    <w:p w14:paraId="667395A0">
      <w:pPr>
        <w:adjustRightInd w:val="0"/>
        <w:snapToGrid w:val="0"/>
        <w:spacing w:beforeLines="50" w:line="360" w:lineRule="auto"/>
        <w:ind w:firstLine="420" w:firstLineChars="200"/>
        <w:rPr>
          <w:rFonts w:asciiTheme="minorEastAsia" w:hAnsiTheme="minorEastAsia"/>
        </w:rPr>
      </w:pPr>
      <w:r>
        <w:rPr>
          <w:rFonts w:hint="eastAsia" w:cs="宋体" w:asciiTheme="minorEastAsia" w:hAnsiTheme="minorEastAsia" w:eastAsiaTheme="minorEastAsia"/>
          <w:szCs w:val="21"/>
        </w:rPr>
        <w:t>（2）</w:t>
      </w:r>
      <w:r>
        <w:rPr>
          <w:rFonts w:hint="eastAsia" w:asciiTheme="minorEastAsia" w:hAnsiTheme="minorEastAsia"/>
        </w:rPr>
        <w:t>投标人为非法人组织的，应提交依法登记证书复印件；</w:t>
      </w:r>
    </w:p>
    <w:p w14:paraId="57D90083">
      <w:pPr>
        <w:adjustRightInd w:val="0"/>
        <w:snapToGrid w:val="0"/>
        <w:spacing w:beforeLines="50" w:line="360" w:lineRule="auto"/>
        <w:ind w:firstLine="420" w:firstLineChars="200"/>
        <w:rPr>
          <w:rFonts w:asciiTheme="minorEastAsia" w:hAnsiTheme="minorEastAsia"/>
        </w:rPr>
      </w:pPr>
      <w:r>
        <w:rPr>
          <w:rFonts w:hint="eastAsia" w:cs="宋体" w:asciiTheme="minorEastAsia" w:hAnsiTheme="minorEastAsia" w:eastAsiaTheme="minorEastAsia"/>
          <w:szCs w:val="21"/>
        </w:rPr>
        <w:t>（3）</w:t>
      </w:r>
      <w:r>
        <w:rPr>
          <w:rFonts w:hint="eastAsia" w:asciiTheme="minorEastAsia" w:hAnsiTheme="minorEastAsia"/>
        </w:rPr>
        <w:t>投标人为个体工商户的，应提交个体工商户营业执照复印件；</w:t>
      </w:r>
    </w:p>
    <w:p w14:paraId="7B238AD0">
      <w:pPr>
        <w:adjustRightInd w:val="0"/>
        <w:snapToGrid w:val="0"/>
        <w:spacing w:beforeLines="50" w:line="360" w:lineRule="auto"/>
        <w:ind w:firstLine="420" w:firstLineChars="200"/>
        <w:rPr>
          <w:rFonts w:asciiTheme="minorEastAsia" w:hAnsiTheme="minorEastAsia"/>
        </w:rPr>
      </w:pPr>
      <w:r>
        <w:rPr>
          <w:rFonts w:hint="eastAsia" w:cs="宋体" w:asciiTheme="minorEastAsia" w:hAnsiTheme="minorEastAsia" w:eastAsiaTheme="minorEastAsia"/>
          <w:szCs w:val="21"/>
        </w:rPr>
        <w:t>（4）</w:t>
      </w:r>
      <w:r>
        <w:rPr>
          <w:rFonts w:hint="eastAsia" w:asciiTheme="minorEastAsia" w:hAnsiTheme="minorEastAsia"/>
        </w:rPr>
        <w:t>投标人为自然人的，应提交自然人的身份证明复印件。</w:t>
      </w:r>
    </w:p>
    <w:p w14:paraId="13E5FC28">
      <w:pPr>
        <w:adjustRightInd w:val="0"/>
        <w:snapToGrid w:val="0"/>
        <w:spacing w:beforeLines="50" w:line="360" w:lineRule="auto"/>
        <w:ind w:firstLine="420" w:firstLineChars="200"/>
        <w:rPr>
          <w:rFonts w:asciiTheme="minorEastAsia" w:hAnsiTheme="minorEastAsia"/>
        </w:rPr>
      </w:pPr>
    </w:p>
    <w:p w14:paraId="4DFBAC71">
      <w:pPr>
        <w:pStyle w:val="5"/>
        <w:rPr>
          <w:rFonts w:ascii="黑体" w:hAnsi="仿宋" w:cs="宋体"/>
          <w:b w:val="0"/>
          <w:sz w:val="21"/>
          <w:szCs w:val="21"/>
        </w:rPr>
      </w:pPr>
      <w:r>
        <w:rPr>
          <w:rFonts w:ascii="黑体" w:hAnsi="仿宋" w:cs="宋体"/>
          <w:szCs w:val="21"/>
        </w:rPr>
        <w:br w:type="page"/>
      </w:r>
      <w:bookmarkStart w:id="46" w:name="_Toc29913957"/>
    </w:p>
    <w:p w14:paraId="767673BA">
      <w:pPr>
        <w:pStyle w:val="5"/>
        <w:adjustRightInd w:val="0"/>
        <w:snapToGrid w:val="0"/>
        <w:spacing w:beforeLines="50" w:after="0" w:line="360" w:lineRule="auto"/>
        <w:rPr>
          <w:rFonts w:ascii="黑体" w:hAnsi="仿宋" w:cs="宋体"/>
          <w:b w:val="0"/>
          <w:sz w:val="21"/>
          <w:szCs w:val="21"/>
        </w:rPr>
      </w:pPr>
      <w:r>
        <w:rPr>
          <w:rFonts w:hint="eastAsia" w:ascii="黑体" w:hAnsi="仿宋" w:cs="宋体"/>
          <w:b w:val="0"/>
          <w:sz w:val="21"/>
          <w:szCs w:val="21"/>
        </w:rPr>
        <w:t>附件4-2投标人资格声明(格式)</w:t>
      </w:r>
      <w:bookmarkEnd w:id="46"/>
    </w:p>
    <w:p w14:paraId="7A1408E0">
      <w:pPr>
        <w:widowControl/>
        <w:adjustRightInd w:val="0"/>
        <w:snapToGrid w:val="0"/>
        <w:spacing w:beforeLines="50" w:line="360" w:lineRule="auto"/>
        <w:jc w:val="center"/>
        <w:rPr>
          <w:rFonts w:cs="宋体" w:asciiTheme="minorEastAsia" w:hAnsiTheme="minorEastAsia" w:eastAsiaTheme="minorEastAsia"/>
          <w:sz w:val="32"/>
          <w:szCs w:val="32"/>
        </w:rPr>
      </w:pPr>
      <w:r>
        <w:rPr>
          <w:rFonts w:hint="eastAsia" w:ascii="黑体" w:hAnsi="仿宋" w:eastAsia="黑体" w:cs="宋体"/>
          <w:b/>
          <w:sz w:val="32"/>
          <w:szCs w:val="32"/>
        </w:rPr>
        <w:t>投标人资格声明(格式)</w:t>
      </w:r>
    </w:p>
    <w:p w14:paraId="6865AFB9">
      <w:pPr>
        <w:widowControl/>
        <w:adjustRightInd w:val="0"/>
        <w:snapToGrid w:val="0"/>
        <w:spacing w:beforeLines="50" w:line="360" w:lineRule="auto"/>
        <w:jc w:val="left"/>
        <w:rPr>
          <w:rFonts w:ascii="宋体" w:hAnsi="宋体" w:cs="宋体"/>
          <w:kern w:val="0"/>
          <w:szCs w:val="21"/>
        </w:rPr>
      </w:pPr>
      <w:r>
        <w:rPr>
          <w:rFonts w:hint="eastAsia" w:ascii="宋体" w:hAnsi="宋体" w:cs="宋体"/>
          <w:szCs w:val="21"/>
        </w:rPr>
        <w:t>致(采购人、采购代理机构)：</w:t>
      </w:r>
    </w:p>
    <w:p w14:paraId="54D60126">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按照《中华人民共和国政府采购法》第二十二条和招标文件的规定，我单位郑重声明如下：</w:t>
      </w:r>
    </w:p>
    <w:p w14:paraId="559D9C8F">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一、我单位是按照中华人民共和国法律规定登记注册的，注册地点为，全称为，统一社会信用代码为，法定代表人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cs="宋体"/>
          <w:szCs w:val="21"/>
        </w:rPr>
        <w:t>为，具有独立承担民事责任的能力。</w:t>
      </w:r>
    </w:p>
    <w:p w14:paraId="49EFC593">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二、我单位未被</w:t>
      </w:r>
      <w:r>
        <w:rPr>
          <w:rFonts w:hint="eastAsia" w:ascii="华文中宋" w:hAnsi="华文中宋" w:eastAsia="华文中宋" w:cs="宋体"/>
          <w:szCs w:val="21"/>
        </w:rPr>
        <w:t>“</w:t>
      </w:r>
      <w:r>
        <w:rPr>
          <w:rFonts w:hint="eastAsia" w:ascii="宋体" w:hAnsi="宋体" w:cs="宋体"/>
          <w:szCs w:val="21"/>
        </w:rPr>
        <w:t>国家企业信用信息系统</w:t>
      </w:r>
      <w:r>
        <w:rPr>
          <w:rFonts w:hint="eastAsia" w:ascii="华文中宋" w:hAnsi="华文中宋" w:eastAsia="华文中宋" w:cs="宋体"/>
          <w:szCs w:val="21"/>
        </w:rPr>
        <w:t>”</w:t>
      </w:r>
      <w:r>
        <w:rPr>
          <w:rFonts w:hint="eastAsia" w:ascii="宋体" w:hAnsi="宋体" w:cs="宋体"/>
          <w:szCs w:val="21"/>
        </w:rPr>
        <w:t>列入经营异常名录或者严重违法企业名单。</w:t>
      </w:r>
    </w:p>
    <w:p w14:paraId="08FB9253">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kern w:val="0"/>
          <w:szCs w:val="21"/>
        </w:rPr>
        <w:t>三、</w:t>
      </w:r>
      <w:r>
        <w:rPr>
          <w:rFonts w:hint="eastAsia" w:ascii="宋体" w:hAnsi="宋体" w:cs="宋体"/>
          <w:szCs w:val="21"/>
        </w:rPr>
        <w:t>我单位具有良好的商业信誉和健全的财务会计制度。</w:t>
      </w:r>
    </w:p>
    <w:p w14:paraId="7F67FE31">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kern w:val="0"/>
          <w:szCs w:val="21"/>
        </w:rPr>
        <w:t>四、我</w:t>
      </w:r>
      <w:r>
        <w:rPr>
          <w:rFonts w:hint="eastAsia" w:ascii="宋体" w:hAnsi="宋体" w:cs="宋体"/>
          <w:szCs w:val="21"/>
        </w:rPr>
        <w:t>单位</w:t>
      </w:r>
      <w:r>
        <w:rPr>
          <w:rFonts w:hint="eastAsia" w:ascii="宋体" w:hAnsi="宋体" w:cs="宋体"/>
          <w:kern w:val="0"/>
          <w:szCs w:val="21"/>
        </w:rPr>
        <w:t>依法进行纳税和社会保险申报并实际履行了义务。</w:t>
      </w:r>
    </w:p>
    <w:p w14:paraId="7578BCB7">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五、我单位具有履行本项目采购合同所必需的设备和专业技术能力，并具有履行合同的良好</w:t>
      </w:r>
      <w:r>
        <w:rPr>
          <w:rFonts w:asciiTheme="minorEastAsia" w:hAnsiTheme="minorEastAsia" w:eastAsiaTheme="minorEastAsia"/>
          <w:szCs w:val="21"/>
        </w:rPr>
        <w:t>记录</w:t>
      </w:r>
      <w:r>
        <w:rPr>
          <w:rFonts w:hint="eastAsia" w:ascii="宋体" w:hAnsi="宋体" w:cs="宋体"/>
          <w:szCs w:val="21"/>
        </w:rPr>
        <w:t>。</w:t>
      </w:r>
    </w:p>
    <w:p w14:paraId="7DF007A0">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13FDC5B5">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供应商在参加政府采购活动前3年内因违法经营被禁止在一定期限内参加政府采购活动，期限届满的，可以参加政府采购活动。</w:t>
      </w:r>
    </w:p>
    <w:p w14:paraId="6AFB6627">
      <w:pPr>
        <w:widowControl/>
        <w:adjustRightInd w:val="0"/>
        <w:snapToGrid w:val="0"/>
        <w:spacing w:beforeLines="50" w:line="360" w:lineRule="auto"/>
        <w:ind w:firstLine="420" w:firstLineChars="200"/>
        <w:jc w:val="left"/>
        <w:rPr>
          <w:rFonts w:ascii="宋体" w:hAnsi="宋体" w:cs="宋体"/>
          <w:szCs w:val="21"/>
        </w:rPr>
      </w:pPr>
      <w:r>
        <w:rPr>
          <w:rFonts w:hint="eastAsia" w:ascii="宋体" w:hAnsi="宋体" w:cs="宋体"/>
          <w:szCs w:val="21"/>
        </w:rPr>
        <w:t>七、我单位具备法律、行政法规规定的其他条件。</w:t>
      </w:r>
    </w:p>
    <w:p w14:paraId="4D15FE23">
      <w:pPr>
        <w:widowControl/>
        <w:adjustRightInd w:val="0"/>
        <w:snapToGrid w:val="0"/>
        <w:spacing w:beforeLines="50" w:line="360" w:lineRule="auto"/>
        <w:ind w:firstLine="420" w:firstLineChars="200"/>
        <w:jc w:val="left"/>
        <w:rPr>
          <w:szCs w:val="21"/>
        </w:rPr>
      </w:pPr>
      <w:r>
        <w:rPr>
          <w:rFonts w:hint="eastAsia" w:ascii="宋体" w:hAnsi="宋体" w:cs="宋体"/>
          <w:kern w:val="0"/>
          <w:szCs w:val="21"/>
        </w:rPr>
        <w:t>八、</w:t>
      </w:r>
      <w:r>
        <w:rPr>
          <w:rFonts w:hint="eastAsia"/>
          <w:szCs w:val="21"/>
        </w:rPr>
        <w:t>与我单位存在“单位负责人为同一人或者存在直接控股、管理关系”的其他单位信息如下（如无，填写“无”）：</w:t>
      </w:r>
    </w:p>
    <w:p w14:paraId="0DC041CA">
      <w:pPr>
        <w:adjustRightInd w:val="0"/>
        <w:snapToGrid w:val="0"/>
        <w:spacing w:beforeLines="50" w:line="360" w:lineRule="auto"/>
        <w:ind w:firstLine="420" w:firstLineChars="200"/>
        <w:rPr>
          <w:szCs w:val="21"/>
        </w:rPr>
      </w:pPr>
      <w:r>
        <w:rPr>
          <w:rFonts w:hint="eastAsia" w:asciiTheme="minorEastAsia" w:hAnsiTheme="minorEastAsia" w:eastAsiaTheme="minorEastAsia"/>
          <w:szCs w:val="21"/>
        </w:rPr>
        <w:t>1、</w:t>
      </w:r>
      <w:r>
        <w:rPr>
          <w:rFonts w:hint="eastAsia"/>
          <w:szCs w:val="21"/>
        </w:rPr>
        <w:t>与我单位的法定代表人（单位负责人）为同一人的其他单位如下：</w:t>
      </w:r>
    </w:p>
    <w:p w14:paraId="3B356661">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2、我</w:t>
      </w:r>
      <w:r>
        <w:rPr>
          <w:rFonts w:hint="eastAsia"/>
          <w:szCs w:val="21"/>
        </w:rPr>
        <w:t>单位</w:t>
      </w:r>
      <w:r>
        <w:rPr>
          <w:rFonts w:hint="eastAsia" w:asciiTheme="minorEastAsia" w:hAnsiTheme="minorEastAsia" w:eastAsiaTheme="minorEastAsia"/>
          <w:szCs w:val="21"/>
        </w:rPr>
        <w:t>直接控股的其他单位如下：</w:t>
      </w:r>
    </w:p>
    <w:p w14:paraId="106D4D70">
      <w:pPr>
        <w:adjustRightInd w:val="0"/>
        <w:snapToGrid w:val="0"/>
        <w:spacing w:beforeLines="50" w:line="360" w:lineRule="auto"/>
        <w:ind w:firstLine="420" w:firstLineChars="200"/>
        <w:rPr>
          <w:szCs w:val="21"/>
        </w:rPr>
      </w:pPr>
      <w:r>
        <w:rPr>
          <w:rFonts w:hint="eastAsia" w:asciiTheme="minorEastAsia" w:hAnsiTheme="minorEastAsia" w:eastAsiaTheme="minorEastAsia"/>
          <w:szCs w:val="21"/>
        </w:rPr>
        <w:t>3、与我</w:t>
      </w:r>
      <w:r>
        <w:rPr>
          <w:rFonts w:hint="eastAsia"/>
          <w:szCs w:val="21"/>
        </w:rPr>
        <w:t>单位存在</w:t>
      </w:r>
      <w:r>
        <w:rPr>
          <w:rFonts w:hint="eastAsia" w:asciiTheme="minorEastAsia" w:hAnsiTheme="minorEastAsia" w:eastAsiaTheme="minorEastAsia"/>
          <w:szCs w:val="21"/>
        </w:rPr>
        <w:t>管理关系的其他单位如下：</w:t>
      </w:r>
    </w:p>
    <w:p w14:paraId="5BC3C72D">
      <w:pPr>
        <w:widowControl/>
        <w:adjustRightInd w:val="0"/>
        <w:snapToGrid w:val="0"/>
        <w:spacing w:beforeLines="50" w:line="360" w:lineRule="auto"/>
        <w:ind w:firstLine="420" w:firstLineChars="200"/>
        <w:jc w:val="left"/>
        <w:rPr>
          <w:szCs w:val="21"/>
        </w:rPr>
      </w:pPr>
      <w:r>
        <w:rPr>
          <w:rFonts w:hint="eastAsia" w:ascii="宋体" w:hAnsi="宋体"/>
          <w:szCs w:val="21"/>
        </w:rPr>
        <w:t>九、</w:t>
      </w:r>
      <w:r>
        <w:rPr>
          <w:rFonts w:asciiTheme="minorEastAsia" w:hAnsiTheme="minorEastAsia" w:eastAsiaTheme="minorEastAsia"/>
          <w:szCs w:val="21"/>
        </w:rPr>
        <w:t>我</w:t>
      </w:r>
      <w:r>
        <w:rPr>
          <w:rFonts w:hint="eastAsia" w:asciiTheme="minorEastAsia" w:hAnsiTheme="minorEastAsia" w:eastAsiaTheme="minorEastAsia"/>
          <w:szCs w:val="21"/>
        </w:rPr>
        <w:t>单位</w:t>
      </w:r>
      <w:r>
        <w:rPr>
          <w:rFonts w:asciiTheme="minorEastAsia" w:hAnsiTheme="minorEastAsia" w:eastAsiaTheme="minorEastAsia"/>
          <w:szCs w:val="21"/>
        </w:rPr>
        <w:t>不属于为本项目提供整体设计、规范编制或者项目管理、监理、检测等服务的投标人。</w:t>
      </w:r>
    </w:p>
    <w:p w14:paraId="757D2412">
      <w:pPr>
        <w:widowControl/>
        <w:adjustRightInd w:val="0"/>
        <w:snapToGrid w:val="0"/>
        <w:spacing w:beforeLines="50"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十、</w:t>
      </w:r>
      <w:r>
        <w:rPr>
          <w:rFonts w:asciiTheme="minorEastAsia" w:hAnsiTheme="minorEastAsia" w:eastAsiaTheme="minorEastAsia"/>
          <w:szCs w:val="21"/>
        </w:rPr>
        <w:t>我单位无以下不良信用记录情形：</w:t>
      </w:r>
    </w:p>
    <w:p w14:paraId="0130A5A8">
      <w:pPr>
        <w:widowControl/>
        <w:adjustRightInd w:val="0"/>
        <w:snapToGrid w:val="0"/>
        <w:spacing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、在</w:t>
      </w:r>
      <w:r>
        <w:rPr>
          <w:rFonts w:hint="eastAsia" w:ascii="宋体" w:hAnsi="宋体" w:cs="宋体"/>
          <w:szCs w:val="21"/>
        </w:rPr>
        <w:t>“信用中国”网站被列入失信被执行人和重大税收违法案件当事人名单；</w:t>
      </w:r>
    </w:p>
    <w:p w14:paraId="55E66799">
      <w:pPr>
        <w:widowControl/>
        <w:adjustRightInd w:val="0"/>
        <w:snapToGrid w:val="0"/>
        <w:spacing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、在</w:t>
      </w:r>
      <w:r>
        <w:rPr>
          <w:rFonts w:hint="eastAsia" w:ascii="宋体" w:hAnsi="宋体" w:cs="宋体"/>
          <w:szCs w:val="21"/>
        </w:rPr>
        <w:t>“中国政府采购网”网站被列入政府采购严重违法失信行为记录名单；</w:t>
      </w:r>
    </w:p>
    <w:p w14:paraId="296260C9">
      <w:pPr>
        <w:widowControl/>
        <w:adjustRightInd w:val="0"/>
        <w:snapToGrid w:val="0"/>
        <w:spacing w:beforeLines="50"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w:t>
      </w:r>
      <w:r>
        <w:rPr>
          <w:rFonts w:asciiTheme="minorEastAsia" w:hAnsiTheme="minorEastAsia" w:eastAsiaTheme="minorEastAsia"/>
          <w:szCs w:val="21"/>
        </w:rPr>
        <w:t>不符合《政府采购法》第二十二条规定的条件。</w:t>
      </w:r>
    </w:p>
    <w:p w14:paraId="4B0369A5">
      <w:pPr>
        <w:widowControl/>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szCs w:val="21"/>
        </w:rPr>
        <w:t>我单位保证上述声明的事项都是真实的，如有虚假，我单位愿意承担相应的法律责任，并承担因此所造成的一切损失。</w:t>
      </w:r>
    </w:p>
    <w:p w14:paraId="02EA646F">
      <w:pPr>
        <w:widowControl/>
        <w:adjustRightInd w:val="0"/>
        <w:snapToGrid w:val="0"/>
        <w:spacing w:beforeLines="50" w:line="360" w:lineRule="auto"/>
        <w:jc w:val="left"/>
        <w:rPr>
          <w:rFonts w:ascii="宋体" w:hAnsi="宋体" w:cs="宋体"/>
          <w:szCs w:val="21"/>
        </w:rPr>
      </w:pPr>
    </w:p>
    <w:p w14:paraId="432B9514">
      <w:pPr>
        <w:widowControl/>
        <w:adjustRightInd w:val="0"/>
        <w:snapToGrid w:val="0"/>
        <w:spacing w:beforeLines="50" w:line="360" w:lineRule="auto"/>
        <w:jc w:val="left"/>
        <w:rPr>
          <w:rFonts w:ascii="宋体" w:hAnsi="宋体" w:cs="宋体"/>
          <w:szCs w:val="21"/>
        </w:rPr>
      </w:pPr>
      <w:r>
        <w:rPr>
          <w:rFonts w:hint="eastAsia" w:cs="宋体" w:asciiTheme="minorEastAsia" w:hAnsiTheme="minorEastAsia" w:eastAsiaTheme="minorEastAsia"/>
          <w:szCs w:val="21"/>
        </w:rPr>
        <w:t>注：第三条“良好的商业信誉”是指投标人经营状况良好，无本资格声明第十条情形。</w:t>
      </w:r>
    </w:p>
    <w:p w14:paraId="37E53E58">
      <w:pPr>
        <w:widowControl/>
        <w:adjustRightInd w:val="0"/>
        <w:snapToGrid w:val="0"/>
        <w:spacing w:beforeLines="50" w:line="360" w:lineRule="auto"/>
        <w:jc w:val="left"/>
        <w:rPr>
          <w:rFonts w:ascii="宋体" w:hAnsi="宋体" w:cs="宋体"/>
          <w:color w:val="FF0000"/>
          <w:szCs w:val="21"/>
        </w:rPr>
      </w:pPr>
    </w:p>
    <w:p w14:paraId="4D5A2F39">
      <w:pPr>
        <w:widowControl/>
        <w:adjustRightInd w:val="0"/>
        <w:snapToGrid w:val="0"/>
        <w:spacing w:line="360" w:lineRule="auto"/>
        <w:jc w:val="left"/>
        <w:rPr>
          <w:rFonts w:ascii="宋体" w:hAnsi="宋体" w:cs="宋体"/>
          <w:kern w:val="0"/>
          <w:szCs w:val="21"/>
        </w:rPr>
      </w:pPr>
      <w:r>
        <w:rPr>
          <w:rFonts w:hint="eastAsia" w:ascii="宋体" w:hAnsi="宋体" w:cs="宋体"/>
          <w:szCs w:val="21"/>
        </w:rPr>
        <w:t>投标人名称（盖单位电子公章）：</w:t>
      </w:r>
    </w:p>
    <w:p w14:paraId="6BFE11AF">
      <w:pPr>
        <w:widowControl/>
        <w:adjustRightInd w:val="0"/>
        <w:snapToGrid w:val="0"/>
        <w:spacing w:line="360" w:lineRule="auto"/>
        <w:jc w:val="left"/>
        <w:rPr>
          <w:rFonts w:ascii="宋体" w:hAnsi="宋体" w:cs="宋体"/>
          <w:b/>
          <w:bCs/>
          <w:kern w:val="0"/>
          <w:sz w:val="44"/>
          <w:szCs w:val="44"/>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rPr>
        <w:t>或委托代理人：（电子签字或电子印章）</w:t>
      </w:r>
    </w:p>
    <w:p w14:paraId="208A63E7">
      <w:pPr>
        <w:widowControl/>
        <w:adjustRightInd w:val="0"/>
        <w:snapToGrid w:val="0"/>
        <w:spacing w:line="360" w:lineRule="auto"/>
        <w:jc w:val="left"/>
        <w:rPr>
          <w:rFonts w:cs="宋体" w:asciiTheme="minorEastAsia" w:hAnsiTheme="minorEastAsia" w:eastAsiaTheme="minorEastAsia"/>
          <w:szCs w:val="21"/>
        </w:rPr>
      </w:pPr>
      <w:r>
        <w:rPr>
          <w:rFonts w:hint="eastAsia" w:ascii="宋体" w:hAnsi="宋体" w:cs="宋体"/>
          <w:szCs w:val="21"/>
        </w:rPr>
        <w:t>日期：年月日</w:t>
      </w:r>
    </w:p>
    <w:p w14:paraId="13323F0A">
      <w:pPr>
        <w:widowControl/>
        <w:jc w:val="left"/>
        <w:rPr>
          <w:rFonts w:ascii="黑体" w:hAnsi="仿宋" w:eastAsia="黑体" w:cs="宋体"/>
          <w:bCs/>
          <w:szCs w:val="21"/>
        </w:rPr>
      </w:pPr>
      <w:r>
        <w:rPr>
          <w:rFonts w:ascii="黑体" w:hAnsi="仿宋" w:cs="宋体"/>
          <w:b/>
          <w:szCs w:val="21"/>
        </w:rPr>
        <w:br w:type="page"/>
      </w:r>
    </w:p>
    <w:p w14:paraId="2BD88ACF">
      <w:pPr>
        <w:pStyle w:val="5"/>
        <w:adjustRightInd w:val="0"/>
        <w:snapToGrid w:val="0"/>
        <w:spacing w:beforeLines="50" w:after="0" w:line="360" w:lineRule="auto"/>
        <w:rPr>
          <w:rFonts w:ascii="黑体" w:hAnsi="仿宋" w:cs="宋体"/>
          <w:b w:val="0"/>
          <w:sz w:val="21"/>
          <w:szCs w:val="21"/>
        </w:rPr>
      </w:pPr>
      <w:bookmarkStart w:id="47" w:name="_Toc24449"/>
      <w:bookmarkStart w:id="48" w:name="_Toc29913958"/>
      <w:r>
        <w:rPr>
          <w:rFonts w:hint="eastAsia" w:ascii="黑体" w:hAnsi="仿宋" w:cs="宋体"/>
          <w:b w:val="0"/>
          <w:sz w:val="21"/>
          <w:szCs w:val="21"/>
        </w:rPr>
        <w:t>附件4-3湖南省政府采购供应商资格承诺函(格式)</w:t>
      </w:r>
      <w:bookmarkEnd w:id="47"/>
    </w:p>
    <w:p w14:paraId="3B28AFAC">
      <w:pPr>
        <w:widowControl/>
        <w:adjustRightInd w:val="0"/>
        <w:snapToGrid w:val="0"/>
        <w:spacing w:beforeLines="150"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b/>
          <w:sz w:val="32"/>
          <w:szCs w:val="32"/>
        </w:rPr>
        <w:t>湖南省政府采购供应商资格承诺函(格式)</w:t>
      </w:r>
    </w:p>
    <w:p w14:paraId="66ED7B4A">
      <w:pPr>
        <w:widowControl/>
        <w:spacing w:beforeLines="50" w:line="360" w:lineRule="auto"/>
        <w:ind w:firstLine="420" w:firstLineChars="200"/>
        <w:jc w:val="left"/>
        <w:rPr>
          <w:rFonts w:ascii="宋体" w:hAnsi="宋体" w:cs="宋体"/>
          <w:szCs w:val="21"/>
        </w:rPr>
      </w:pPr>
      <w:r>
        <w:rPr>
          <w:rFonts w:hint="eastAsia" w:ascii="宋体" w:hAnsi="宋体" w:cs="宋体"/>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35FAECC5">
      <w:pPr>
        <w:widowControl/>
        <w:spacing w:beforeLines="50" w:line="360" w:lineRule="auto"/>
        <w:ind w:firstLine="420" w:firstLineChars="200"/>
        <w:jc w:val="left"/>
        <w:rPr>
          <w:rFonts w:ascii="宋体" w:hAnsi="宋体" w:cs="宋体"/>
          <w:szCs w:val="21"/>
        </w:rPr>
      </w:pPr>
      <w:r>
        <w:rPr>
          <w:rFonts w:hint="eastAsia" w:ascii="宋体" w:hAnsi="宋体" w:cs="宋体"/>
          <w:szCs w:val="21"/>
        </w:rPr>
        <w:t>按照《政府采购促进中小企业发展管理办法》(财库〔2020〕46号),本公司企业规模为: 大型口中型口小型□微型□。</w:t>
      </w:r>
    </w:p>
    <w:p w14:paraId="7AAF32F6">
      <w:pPr>
        <w:widowControl/>
        <w:spacing w:beforeLines="50" w:line="360" w:lineRule="auto"/>
        <w:ind w:firstLine="420" w:firstLineChars="200"/>
        <w:jc w:val="left"/>
        <w:rPr>
          <w:rFonts w:ascii="宋体" w:hAnsi="宋体" w:cs="宋体"/>
          <w:szCs w:val="21"/>
        </w:rPr>
      </w:pPr>
      <w:r>
        <w:rPr>
          <w:rFonts w:hint="eastAsia" w:ascii="宋体" w:hAnsi="宋体" w:cs="宋体"/>
          <w:szCs w:val="21"/>
        </w:rPr>
        <w:t>□本公司自愿入驻湖南省政府采购电子卖场,遵守《湖南省政府采购电子卖场管理办法》(湘财购〔2019〕27号),如违反承诺,同意金融机构将增信保证划缴国库(非电子卖场采购活动项目不需勾选)。</w:t>
      </w:r>
    </w:p>
    <w:p w14:paraId="342E6420">
      <w:pPr>
        <w:widowControl/>
        <w:spacing w:beforeLines="50" w:line="360" w:lineRule="auto"/>
        <w:ind w:firstLine="420" w:firstLineChars="200"/>
        <w:jc w:val="left"/>
        <w:rPr>
          <w:rFonts w:ascii="宋体" w:hAnsi="宋体" w:cs="宋体"/>
          <w:szCs w:val="21"/>
        </w:rPr>
      </w:pPr>
    </w:p>
    <w:p w14:paraId="77E79DE1">
      <w:pPr>
        <w:widowControl/>
        <w:spacing w:beforeLines="50" w:line="360" w:lineRule="auto"/>
        <w:ind w:firstLine="420" w:firstLineChars="200"/>
        <w:jc w:val="left"/>
        <w:rPr>
          <w:rFonts w:ascii="宋体" w:hAnsi="宋体" w:cs="宋体"/>
          <w:szCs w:val="21"/>
        </w:rPr>
      </w:pPr>
      <w:r>
        <w:rPr>
          <w:rFonts w:hint="eastAsia" w:ascii="宋体" w:hAnsi="宋体" w:cs="宋体"/>
          <w:szCs w:val="21"/>
        </w:rPr>
        <w:t>公司(单位)名称(盖章)：</w:t>
      </w:r>
    </w:p>
    <w:p w14:paraId="566B3A0F">
      <w:pPr>
        <w:widowControl/>
        <w:spacing w:beforeLines="50" w:line="360" w:lineRule="auto"/>
        <w:ind w:firstLine="420" w:firstLineChars="200"/>
        <w:jc w:val="left"/>
        <w:rPr>
          <w:rFonts w:ascii="宋体" w:hAnsi="宋体" w:cs="宋体"/>
          <w:szCs w:val="21"/>
        </w:rPr>
      </w:pPr>
      <w:r>
        <w:rPr>
          <w:rFonts w:hint="eastAsia" w:ascii="宋体" w:hAnsi="宋体" w:cs="宋体"/>
          <w:szCs w:val="21"/>
        </w:rPr>
        <w:t>机构代码、注册登记机构、日期、有效期、注册资本、地 址、经济行业、经济性质</w:t>
      </w:r>
    </w:p>
    <w:p w14:paraId="3DCE9187">
      <w:pPr>
        <w:widowControl/>
        <w:spacing w:beforeLines="50" w:line="360" w:lineRule="auto"/>
        <w:ind w:firstLine="420" w:firstLineChars="200"/>
        <w:jc w:val="left"/>
        <w:rPr>
          <w:rFonts w:ascii="宋体" w:hAnsi="宋体" w:cs="宋体"/>
          <w:szCs w:val="21"/>
        </w:rPr>
      </w:pPr>
      <w:r>
        <w:rPr>
          <w:rFonts w:hint="eastAsia" w:ascii="宋体" w:hAnsi="宋体" w:cs="宋体"/>
          <w:szCs w:val="21"/>
        </w:rPr>
        <w:t>法定代表人(负责人)姓名(签字)、身份证号、手机号:</w:t>
      </w:r>
    </w:p>
    <w:p w14:paraId="0FE45A86">
      <w:pPr>
        <w:widowControl/>
        <w:spacing w:beforeLines="50" w:line="360" w:lineRule="auto"/>
        <w:ind w:firstLine="420" w:firstLineChars="200"/>
        <w:jc w:val="left"/>
        <w:rPr>
          <w:rFonts w:ascii="宋体" w:hAnsi="宋体" w:cs="宋体"/>
          <w:szCs w:val="21"/>
        </w:rPr>
      </w:pPr>
      <w:r>
        <w:rPr>
          <w:rFonts w:hint="eastAsia" w:ascii="宋体" w:hAnsi="宋体" w:cs="宋体"/>
          <w:szCs w:val="21"/>
        </w:rPr>
        <w:t>授权代表人姓名(签字)、身份证号、手机号:</w:t>
      </w:r>
    </w:p>
    <w:p w14:paraId="1BEFABC5">
      <w:pPr>
        <w:widowControl/>
        <w:spacing w:beforeLines="50" w:line="360" w:lineRule="auto"/>
        <w:ind w:firstLine="420" w:firstLineChars="200"/>
        <w:jc w:val="left"/>
        <w:rPr>
          <w:rFonts w:ascii="宋体" w:hAnsi="宋体" w:cs="宋体"/>
          <w:szCs w:val="21"/>
        </w:rPr>
      </w:pPr>
    </w:p>
    <w:p w14:paraId="4346DA58">
      <w:pPr>
        <w:widowControl/>
        <w:spacing w:beforeLines="50" w:line="360" w:lineRule="auto"/>
        <w:ind w:firstLine="420" w:firstLineChars="200"/>
        <w:jc w:val="left"/>
        <w:rPr>
          <w:rFonts w:ascii="宋体" w:hAnsi="宋体" w:cs="宋体"/>
          <w:szCs w:val="21"/>
        </w:rPr>
      </w:pPr>
    </w:p>
    <w:p w14:paraId="140B9014">
      <w:pPr>
        <w:rPr>
          <w:rFonts w:hint="eastAsia" w:ascii="新宋体" w:hAnsi="新宋体" w:eastAsia="新宋体"/>
          <w:sz w:val="28"/>
          <w:szCs w:val="28"/>
        </w:rPr>
      </w:pPr>
      <w:r>
        <w:rPr>
          <w:rFonts w:hint="eastAsia" w:ascii="宋体" w:hAnsi="宋体" w:cs="宋体"/>
          <w:szCs w:val="21"/>
          <w:lang w:eastAsia="zh-CN"/>
        </w:rPr>
        <w:t>（</w:t>
      </w:r>
      <w:r>
        <w:rPr>
          <w:rFonts w:hint="eastAsia" w:ascii="宋体" w:hAnsi="宋体" w:cs="宋体"/>
          <w:b/>
          <w:bCs/>
          <w:szCs w:val="21"/>
          <w:lang w:eastAsia="zh-CN"/>
        </w:rPr>
        <w:t>备注：提供本承诺函的投标人无需提供财务状况、缴纳税收和社会保障资金等资格证明材料内容</w:t>
      </w:r>
      <w:r>
        <w:rPr>
          <w:rFonts w:hint="eastAsia" w:ascii="宋体" w:hAnsi="宋体" w:cs="宋体"/>
          <w:szCs w:val="21"/>
          <w:lang w:eastAsia="zh-CN"/>
        </w:rPr>
        <w:t>）</w:t>
      </w:r>
    </w:p>
    <w:p w14:paraId="63C122F4">
      <w:pPr>
        <w:widowControl/>
        <w:spacing w:beforeLines="50" w:line="360" w:lineRule="auto"/>
        <w:ind w:firstLine="420" w:firstLineChars="200"/>
        <w:jc w:val="left"/>
        <w:rPr>
          <w:rFonts w:ascii="宋体" w:hAnsi="宋体" w:cs="宋体"/>
          <w:szCs w:val="21"/>
        </w:rPr>
      </w:pPr>
    </w:p>
    <w:p w14:paraId="517F12A7">
      <w:pPr>
        <w:widowControl/>
        <w:spacing w:beforeLines="50" w:line="360" w:lineRule="auto"/>
        <w:ind w:firstLine="420" w:firstLineChars="200"/>
        <w:jc w:val="left"/>
        <w:rPr>
          <w:rFonts w:ascii="宋体" w:hAnsi="宋体" w:cs="宋体"/>
          <w:szCs w:val="21"/>
        </w:rPr>
      </w:pPr>
    </w:p>
    <w:p w14:paraId="5004E283">
      <w:pPr>
        <w:widowControl/>
        <w:spacing w:beforeLines="50" w:line="360" w:lineRule="auto"/>
        <w:ind w:firstLine="420" w:firstLineChars="200"/>
        <w:jc w:val="left"/>
        <w:rPr>
          <w:rFonts w:ascii="宋体" w:hAnsi="宋体" w:cs="宋体"/>
          <w:szCs w:val="21"/>
        </w:rPr>
      </w:pPr>
    </w:p>
    <w:p w14:paraId="28274B66">
      <w:pPr>
        <w:widowControl/>
        <w:spacing w:beforeLines="50" w:line="360" w:lineRule="auto"/>
        <w:ind w:firstLine="420" w:firstLineChars="200"/>
        <w:jc w:val="left"/>
        <w:rPr>
          <w:rFonts w:ascii="宋体" w:hAnsi="宋体" w:cs="宋体"/>
          <w:szCs w:val="21"/>
        </w:rPr>
      </w:pPr>
    </w:p>
    <w:p w14:paraId="506824F3">
      <w:pPr>
        <w:pStyle w:val="5"/>
        <w:rPr>
          <w:rFonts w:ascii="黑体" w:hAnsi="仿宋" w:cs="宋体"/>
          <w:b w:val="0"/>
          <w:sz w:val="21"/>
          <w:szCs w:val="21"/>
        </w:rPr>
      </w:pPr>
      <w:r>
        <w:rPr>
          <w:rFonts w:hint="eastAsia" w:ascii="黑体" w:hAnsi="仿宋" w:cs="宋体"/>
          <w:b w:val="0"/>
          <w:sz w:val="21"/>
          <w:szCs w:val="21"/>
        </w:rPr>
        <w:t>附件4-4符合特定资格条件证明材料复印件或者情况说明</w:t>
      </w:r>
      <w:bookmarkEnd w:id="48"/>
    </w:p>
    <w:p w14:paraId="1B727D9A">
      <w:pPr>
        <w:widowControl/>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32"/>
          <w:szCs w:val="32"/>
        </w:rPr>
        <w:t>符合特定资格条件证明材料复印件或者情况说明</w:t>
      </w:r>
    </w:p>
    <w:p w14:paraId="7D74A4B4">
      <w:pPr>
        <w:widowControl/>
        <w:adjustRightInd w:val="0"/>
        <w:snapToGrid w:val="0"/>
        <w:spacing w:line="360" w:lineRule="auto"/>
        <w:ind w:firstLine="560" w:firstLineChars="200"/>
        <w:jc w:val="left"/>
        <w:rPr>
          <w:rFonts w:ascii="黑体" w:hAnsi="仿宋" w:eastAsia="黑体" w:cs="宋体"/>
          <w:sz w:val="28"/>
          <w:szCs w:val="28"/>
        </w:rPr>
      </w:pPr>
    </w:p>
    <w:p w14:paraId="55FCCA99">
      <w:pPr>
        <w:widowControl/>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注：按第二章第</w:t>
      </w:r>
      <w:r>
        <w:rPr>
          <w:rFonts w:cs="宋体" w:asciiTheme="minorEastAsia" w:hAnsiTheme="minorEastAsia" w:eastAsiaTheme="minorEastAsia"/>
          <w:szCs w:val="21"/>
        </w:rPr>
        <w:t>1</w:t>
      </w:r>
      <w:r>
        <w:rPr>
          <w:rFonts w:hint="eastAsia" w:cs="宋体" w:asciiTheme="minorEastAsia" w:hAnsiTheme="minorEastAsia" w:eastAsiaTheme="minorEastAsia"/>
          <w:szCs w:val="21"/>
        </w:rPr>
        <w:t>4</w:t>
      </w:r>
      <w:r>
        <w:rPr>
          <w:rFonts w:cs="宋体" w:asciiTheme="minorEastAsia" w:hAnsiTheme="minorEastAsia" w:eastAsiaTheme="minorEastAsia"/>
          <w:szCs w:val="21"/>
        </w:rPr>
        <w:t>.1</w:t>
      </w:r>
      <w:r>
        <w:rPr>
          <w:rFonts w:hint="eastAsia" w:cs="宋体" w:asciiTheme="minorEastAsia" w:hAnsiTheme="minorEastAsia" w:eastAsiaTheme="minorEastAsia"/>
          <w:szCs w:val="21"/>
        </w:rPr>
        <w:t>（3）项要求提供。</w:t>
      </w:r>
    </w:p>
    <w:p w14:paraId="345BF56E">
      <w:pPr>
        <w:widowControl/>
        <w:jc w:val="left"/>
        <w:rPr>
          <w:rFonts w:ascii="黑体" w:hAnsi="仿宋" w:eastAsia="黑体" w:cs="宋体"/>
          <w:szCs w:val="21"/>
        </w:rPr>
      </w:pPr>
      <w:r>
        <w:rPr>
          <w:rFonts w:ascii="黑体" w:hAnsi="仿宋" w:eastAsia="黑体" w:cs="宋体"/>
          <w:szCs w:val="21"/>
        </w:rPr>
        <w:br w:type="page"/>
      </w:r>
    </w:p>
    <w:p w14:paraId="3FA6502E">
      <w:pPr>
        <w:pStyle w:val="5"/>
        <w:rPr>
          <w:rFonts w:ascii="黑体" w:cs="宋体" w:hAnsiTheme="minorEastAsia"/>
          <w:b w:val="0"/>
          <w:kern w:val="0"/>
          <w:sz w:val="21"/>
          <w:szCs w:val="21"/>
        </w:rPr>
      </w:pPr>
      <w:bookmarkStart w:id="49" w:name="_Toc29913959"/>
      <w:r>
        <w:rPr>
          <w:rFonts w:hint="eastAsia" w:ascii="黑体" w:hAnsi="仿宋" w:cs="宋体"/>
          <w:b w:val="0"/>
          <w:sz w:val="21"/>
          <w:szCs w:val="21"/>
        </w:rPr>
        <w:t>附件4-5联合体协议书（格式）</w:t>
      </w:r>
      <w:bookmarkEnd w:id="49"/>
    </w:p>
    <w:p w14:paraId="12B3F7F6">
      <w:pPr>
        <w:adjustRightInd w:val="0"/>
        <w:snapToGrid w:val="0"/>
        <w:spacing w:line="360" w:lineRule="auto"/>
        <w:jc w:val="center"/>
        <w:rPr>
          <w:rFonts w:hint="eastAsia" w:ascii="方正小标宋简体" w:hAnsi="方正小标宋简体" w:eastAsia="方正小标宋简体" w:cs="方正小标宋简体"/>
          <w:b w:val="0"/>
          <w:bCs/>
          <w:color w:val="000000"/>
          <w:sz w:val="32"/>
          <w:szCs w:val="32"/>
        </w:rPr>
      </w:pPr>
      <w:r>
        <w:rPr>
          <w:rFonts w:hint="eastAsia" w:ascii="方正小标宋简体" w:hAnsi="方正小标宋简体" w:eastAsia="方正小标宋简体" w:cs="方正小标宋简体"/>
          <w:b w:val="0"/>
          <w:bCs/>
          <w:sz w:val="32"/>
          <w:szCs w:val="32"/>
        </w:rPr>
        <w:t>联合体协议书（格式）</w:t>
      </w:r>
    </w:p>
    <w:p w14:paraId="6EC1EADC">
      <w:pPr>
        <w:adjustRightInd w:val="0"/>
        <w:snapToGrid w:val="0"/>
        <w:spacing w:line="360" w:lineRule="auto"/>
        <w:rPr>
          <w:rFonts w:asciiTheme="minorEastAsia" w:hAnsiTheme="minorEastAsia" w:eastAsiaTheme="minorEastAsia"/>
          <w:color w:val="000000"/>
          <w:szCs w:val="21"/>
        </w:rPr>
      </w:pPr>
    </w:p>
    <w:p w14:paraId="0F40A51F">
      <w:pPr>
        <w:adjustRightInd w:val="0"/>
        <w:snapToGrid w:val="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致（采购人、采购代理机构</w:t>
      </w:r>
      <w:r>
        <w:rPr>
          <w:rFonts w:hint="eastAsia" w:asciiTheme="minorEastAsia" w:hAnsiTheme="minorEastAsia" w:eastAsiaTheme="minorEastAsia"/>
          <w:szCs w:val="21"/>
        </w:rPr>
        <w:t>）：</w:t>
      </w:r>
    </w:p>
    <w:p w14:paraId="5DFCE756">
      <w:pPr>
        <w:adjustRightInd w:val="0"/>
        <w:snapToGrid w:val="0"/>
        <w:spacing w:line="360" w:lineRule="auto"/>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经研究，我们决定自愿组成联合体共同参加</w:t>
      </w:r>
      <w:r>
        <w:rPr>
          <w:rFonts w:hint="eastAsia" w:asciiTheme="minorEastAsia" w:hAnsiTheme="minorEastAsia" w:eastAsiaTheme="minorEastAsia"/>
          <w:szCs w:val="21"/>
        </w:rPr>
        <w:t>（项目名称</w:t>
      </w:r>
      <w:r>
        <w:rPr>
          <w:rFonts w:asciiTheme="minorEastAsia" w:hAnsiTheme="minorEastAsia" w:eastAsiaTheme="minorEastAsia"/>
          <w:szCs w:val="21"/>
        </w:rPr>
        <w:t>）</w:t>
      </w:r>
      <w:r>
        <w:rPr>
          <w:rFonts w:hint="eastAsia" w:asciiTheme="minorEastAsia" w:hAnsiTheme="minorEastAsia" w:eastAsiaTheme="minorEastAsia"/>
          <w:szCs w:val="21"/>
        </w:rPr>
        <w:t>（采购代理编号： ）项目的投标</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现就联合体投标事宜订立如下协议：</w:t>
      </w:r>
    </w:p>
    <w:p w14:paraId="572719AD">
      <w:pPr>
        <w:adjustRightInd w:val="0"/>
        <w:snapToGrid w:val="0"/>
        <w:spacing w:line="360" w:lineRule="auto"/>
        <w:ind w:firstLine="420" w:firstLineChars="200"/>
        <w:rPr>
          <w:rFonts w:asciiTheme="minorEastAsia" w:hAnsiTheme="minorEastAsia" w:eastAsiaTheme="minorEastAsia"/>
          <w:szCs w:val="21"/>
          <w:u w:val="single"/>
        </w:rPr>
      </w:pPr>
      <w:r>
        <w:rPr>
          <w:rFonts w:hint="eastAsia" w:asciiTheme="minorEastAsia" w:hAnsiTheme="minorEastAsia" w:eastAsiaTheme="minorEastAsia"/>
          <w:szCs w:val="21"/>
        </w:rPr>
        <w:t>一、联合体基本信息：（各方公司名称、地址、注册资金、营业执照、</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w:t>
      </w:r>
    </w:p>
    <w:p w14:paraId="00133F18">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二、（某成员单位名称）为（联合体名称）牵头人。</w:t>
      </w:r>
    </w:p>
    <w:p w14:paraId="33E24DDB">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3711D111">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四．联合体将严格按照招标文件的各项要求，递交投标文件，参加投标，履行中标义务和中标后的合同，并向采购人承担连带责任。</w:t>
      </w:r>
    </w:p>
    <w:p w14:paraId="2EA0111C">
      <w:pPr>
        <w:adjustRightInd w:val="0"/>
        <w:snapToGrid w:val="0"/>
        <w:spacing w:line="360" w:lineRule="auto"/>
        <w:ind w:firstLine="420" w:firstLineChars="200"/>
        <w:rPr>
          <w:rFonts w:asciiTheme="minorEastAsia" w:hAnsiTheme="minorEastAsia" w:eastAsiaTheme="minorEastAsia"/>
          <w:szCs w:val="21"/>
          <w:u w:val="single"/>
        </w:rPr>
      </w:pPr>
      <w:r>
        <w:rPr>
          <w:rFonts w:hint="eastAsia" w:asciiTheme="minorEastAsia" w:hAnsiTheme="minorEastAsia" w:eastAsiaTheme="minorEastAsia"/>
          <w:szCs w:val="21"/>
        </w:rPr>
        <w:t>五、联合体各成员单位内部的职责分工如下：。按照本条上述分工，联合体各成员的协议合同金额占联合体协议合同总金额比例如下：。</w:t>
      </w:r>
    </w:p>
    <w:p w14:paraId="62C3D0B8">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六、本协议书自签署之日起生效，合同履行完毕后自动失效。</w:t>
      </w:r>
    </w:p>
    <w:p w14:paraId="6AC85DB9">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七、本协议书一式份，联合体成员和采购人各执一份。</w:t>
      </w:r>
    </w:p>
    <w:p w14:paraId="65B62783">
      <w:pPr>
        <w:adjustRightInd w:val="0"/>
        <w:snapToGrid w:val="0"/>
        <w:spacing w:line="360" w:lineRule="auto"/>
        <w:rPr>
          <w:rFonts w:asciiTheme="minorEastAsia" w:hAnsiTheme="minorEastAsia" w:eastAsiaTheme="minorEastAsia"/>
          <w:szCs w:val="21"/>
        </w:rPr>
      </w:pPr>
    </w:p>
    <w:p w14:paraId="708F892A">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牵头人名称（盖单位电子章）：</w:t>
      </w:r>
    </w:p>
    <w:p w14:paraId="6769FA44">
      <w:pPr>
        <w:adjustRightInd w:val="0"/>
        <w:snapToGrid w:val="0"/>
        <w:spacing w:line="360" w:lineRule="auto"/>
        <w:rPr>
          <w:rFonts w:asciiTheme="minorEastAsia" w:hAnsiTheme="minorEastAsia" w:eastAsiaTheme="minorEastAsia"/>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或其委托代理人（电子签字或电子印章）：</w:t>
      </w:r>
    </w:p>
    <w:p w14:paraId="66FBF96E">
      <w:pPr>
        <w:adjustRightInd w:val="0"/>
        <w:snapToGrid w:val="0"/>
        <w:spacing w:line="360" w:lineRule="auto"/>
        <w:rPr>
          <w:rFonts w:asciiTheme="minorEastAsia" w:hAnsiTheme="minorEastAsia" w:eastAsiaTheme="minorEastAsia"/>
          <w:szCs w:val="21"/>
        </w:rPr>
      </w:pPr>
    </w:p>
    <w:p w14:paraId="6382F44D">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成员1名称（盖单位电子章）：</w:t>
      </w:r>
    </w:p>
    <w:p w14:paraId="6E49E68E">
      <w:pPr>
        <w:adjustRightInd w:val="0"/>
        <w:snapToGrid w:val="0"/>
        <w:spacing w:line="360" w:lineRule="auto"/>
        <w:rPr>
          <w:rFonts w:asciiTheme="minorEastAsia" w:hAnsiTheme="minorEastAsia" w:eastAsiaTheme="minorEastAsia"/>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或其委托代理人（电子签字或电子印章）：</w:t>
      </w:r>
    </w:p>
    <w:p w14:paraId="730E029E">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成员2名称（盖单位电子章）：</w:t>
      </w:r>
    </w:p>
    <w:p w14:paraId="5E64B8E6">
      <w:pPr>
        <w:adjustRightInd w:val="0"/>
        <w:snapToGrid w:val="0"/>
        <w:spacing w:line="360" w:lineRule="auto"/>
        <w:rPr>
          <w:rFonts w:asciiTheme="minorEastAsia" w:hAnsiTheme="minorEastAsia" w:eastAsiaTheme="minorEastAsia"/>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或其委托代理人（电子签字或电子印章）：</w:t>
      </w:r>
    </w:p>
    <w:p w14:paraId="416AE0C2">
      <w:pPr>
        <w:adjustRightInd w:val="0"/>
        <w:snapToGrid w:val="0"/>
        <w:spacing w:line="360" w:lineRule="auto"/>
        <w:rPr>
          <w:rFonts w:asciiTheme="minorEastAsia" w:hAnsiTheme="minorEastAsia" w:eastAsiaTheme="minorEastAsia"/>
          <w:szCs w:val="21"/>
        </w:rPr>
      </w:pPr>
      <w:r>
        <w:rPr>
          <w:rFonts w:asciiTheme="minorEastAsia" w:hAnsiTheme="minorEastAsia" w:eastAsiaTheme="minorEastAsia"/>
          <w:szCs w:val="21"/>
        </w:rPr>
        <w:t>…</w:t>
      </w:r>
    </w:p>
    <w:p w14:paraId="6C107123">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日期：年月日  </w:t>
      </w:r>
    </w:p>
    <w:p w14:paraId="5D2468D6">
      <w:pPr>
        <w:widowControl/>
        <w:adjustRightInd w:val="0"/>
        <w:snapToGrid w:val="0"/>
        <w:spacing w:line="360" w:lineRule="auto"/>
        <w:ind w:firstLine="422" w:firstLineChars="200"/>
        <w:jc w:val="left"/>
        <w:rPr>
          <w:rFonts w:asciiTheme="minorEastAsia" w:hAnsiTheme="minorEastAsia" w:eastAsiaTheme="minorEastAsia"/>
          <w:szCs w:val="21"/>
        </w:rPr>
      </w:pPr>
      <w:r>
        <w:rPr>
          <w:rFonts w:hint="eastAsia" w:asciiTheme="minorEastAsia" w:hAnsiTheme="minorEastAsia" w:eastAsiaTheme="minorEastAsia"/>
          <w:b/>
          <w:szCs w:val="21"/>
        </w:rPr>
        <w:t>注</w:t>
      </w:r>
      <w:r>
        <w:rPr>
          <w:rFonts w:hint="eastAsia" w:asciiTheme="minorEastAsia" w:hAnsiTheme="minorEastAsia" w:eastAsiaTheme="minorEastAsia"/>
          <w:szCs w:val="21"/>
        </w:rPr>
        <w:t>：1、本协议书由委托代理人签字的，应附法定代表人（单位负责人）授权委托书。</w:t>
      </w:r>
    </w:p>
    <w:p w14:paraId="24158673">
      <w:pPr>
        <w:widowControl/>
        <w:adjustRightInd w:val="0"/>
        <w:snapToGrid w:val="0"/>
        <w:spacing w:line="360" w:lineRule="auto"/>
        <w:ind w:firstLine="420" w:firstLineChars="200"/>
        <w:jc w:val="left"/>
        <w:rPr>
          <w:rFonts w:ascii="黑体" w:eastAsia="黑体"/>
          <w:color w:val="000000"/>
          <w:sz w:val="32"/>
          <w:szCs w:val="32"/>
        </w:rPr>
      </w:pPr>
      <w:r>
        <w:rPr>
          <w:rFonts w:hint="eastAsia" w:asciiTheme="minorEastAsia" w:hAnsiTheme="minorEastAsia" w:eastAsiaTheme="minorEastAsia"/>
          <w:szCs w:val="21"/>
        </w:rPr>
        <w:t>2、投标人在提交投标文件的截止时间前修改“开标一览表”中的投标报价，影响本协议书第五条的，应同时修改本协议书第五条。否则，评审时价格评审优惠不予以考虑。</w:t>
      </w:r>
      <w:r>
        <w:rPr>
          <w:rFonts w:ascii="宋体" w:hAnsi="宋体"/>
          <w:szCs w:val="21"/>
        </w:rPr>
        <w:br w:type="page"/>
      </w:r>
    </w:p>
    <w:p w14:paraId="2D7E8818">
      <w:pPr>
        <w:adjustRightInd w:val="0"/>
        <w:snapToGrid w:val="0"/>
        <w:spacing w:line="360" w:lineRule="auto"/>
        <w:jc w:val="center"/>
        <w:rPr>
          <w:rFonts w:ascii="黑体" w:eastAsia="黑体"/>
          <w:color w:val="000000"/>
          <w:sz w:val="32"/>
          <w:szCs w:val="32"/>
        </w:rPr>
      </w:pPr>
    </w:p>
    <w:p w14:paraId="4BE82C7F">
      <w:pPr>
        <w:adjustRightInd w:val="0"/>
        <w:snapToGrid w:val="0"/>
        <w:spacing w:line="360" w:lineRule="auto"/>
        <w:jc w:val="center"/>
        <w:rPr>
          <w:rFonts w:ascii="黑体" w:eastAsia="黑体"/>
          <w:color w:val="000000"/>
          <w:sz w:val="32"/>
          <w:szCs w:val="32"/>
        </w:rPr>
      </w:pPr>
    </w:p>
    <w:p w14:paraId="42E871E7">
      <w:pPr>
        <w:pStyle w:val="21"/>
        <w:adjustRightInd w:val="0"/>
        <w:snapToGrid w:val="0"/>
        <w:spacing w:line="360" w:lineRule="auto"/>
        <w:jc w:val="center"/>
        <w:rPr>
          <w:rFonts w:ascii="方正小标宋简体" w:hAnsi="方正小标宋简体" w:eastAsia="方正小标宋简体"/>
          <w:bCs/>
          <w:sz w:val="72"/>
          <w:szCs w:val="72"/>
        </w:rPr>
      </w:pPr>
      <w:r>
        <w:rPr>
          <w:rFonts w:hint="eastAsia" w:ascii="方正小标宋简体" w:hAnsi="方正小标宋简体" w:eastAsia="方正小标宋简体"/>
          <w:bCs/>
          <w:sz w:val="72"/>
          <w:szCs w:val="72"/>
        </w:rPr>
        <w:t>政府采购</w:t>
      </w:r>
    </w:p>
    <w:p w14:paraId="41D5D310">
      <w:pPr>
        <w:adjustRightInd w:val="0"/>
        <w:snapToGrid w:val="0"/>
        <w:spacing w:line="360" w:lineRule="auto"/>
        <w:jc w:val="center"/>
        <w:rPr>
          <w:rFonts w:ascii="方正小标宋简体" w:hAnsi="方正小标宋简体" w:eastAsia="方正小标宋简体"/>
          <w:b/>
          <w:bCs/>
          <w:sz w:val="84"/>
          <w:szCs w:val="84"/>
        </w:rPr>
      </w:pPr>
      <w:r>
        <w:rPr>
          <w:rFonts w:hint="eastAsia" w:ascii="方正小标宋简体" w:hAnsi="方正小标宋简体" w:eastAsia="方正小标宋简体"/>
          <w:b/>
          <w:bCs/>
          <w:sz w:val="84"/>
          <w:szCs w:val="84"/>
        </w:rPr>
        <w:t>投 标 文 件</w:t>
      </w:r>
    </w:p>
    <w:p w14:paraId="5A01CA3E">
      <w:pPr>
        <w:pStyle w:val="3"/>
        <w:adjustRightInd w:val="0"/>
        <w:snapToGrid w:val="0"/>
        <w:jc w:val="center"/>
        <w:rPr>
          <w:rFonts w:ascii="方正小标宋简体" w:hAnsi="方正小标宋简体" w:eastAsia="方正小标宋简体"/>
          <w:color w:val="000000"/>
          <w:sz w:val="44"/>
          <w:szCs w:val="44"/>
        </w:rPr>
      </w:pPr>
      <w:bookmarkStart w:id="50" w:name="_Toc29913960"/>
      <w:r>
        <w:rPr>
          <w:rFonts w:hint="eastAsia" w:ascii="方正小标宋简体" w:hAnsi="方正小标宋简体" w:eastAsia="方正小标宋简体"/>
          <w:color w:val="000000"/>
          <w:sz w:val="44"/>
          <w:szCs w:val="44"/>
        </w:rPr>
        <w:t>第二部分 商务技术文件</w:t>
      </w:r>
      <w:bookmarkEnd w:id="50"/>
    </w:p>
    <w:p w14:paraId="443DE67E">
      <w:pPr>
        <w:adjustRightInd w:val="0"/>
        <w:snapToGrid w:val="0"/>
        <w:spacing w:line="360" w:lineRule="auto"/>
        <w:rPr>
          <w:rFonts w:asciiTheme="minorEastAsia" w:hAnsiTheme="minorEastAsia" w:eastAsiaTheme="minorEastAsia"/>
          <w:color w:val="000000"/>
          <w:sz w:val="32"/>
          <w:szCs w:val="32"/>
        </w:rPr>
      </w:pPr>
    </w:p>
    <w:p w14:paraId="0068B040">
      <w:pPr>
        <w:pStyle w:val="21"/>
        <w:adjustRightInd w:val="0"/>
        <w:snapToGrid w:val="0"/>
        <w:spacing w:line="360" w:lineRule="auto"/>
        <w:ind w:firstLine="1988" w:firstLineChars="660"/>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 </w:t>
      </w:r>
    </w:p>
    <w:p w14:paraId="76F141B4">
      <w:pPr>
        <w:pStyle w:val="21"/>
        <w:adjustRightInd w:val="0"/>
        <w:snapToGrid w:val="0"/>
        <w:spacing w:line="360" w:lineRule="auto"/>
        <w:ind w:firstLine="1988" w:firstLineChars="660"/>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包        号：</w:t>
      </w:r>
    </w:p>
    <w:p w14:paraId="08DCB8A8">
      <w:pPr>
        <w:pStyle w:val="21"/>
        <w:adjustRightInd w:val="0"/>
        <w:snapToGrid w:val="0"/>
        <w:spacing w:line="360" w:lineRule="auto"/>
        <w:ind w:firstLine="1988" w:firstLineChars="660"/>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采购项目名称:</w:t>
      </w:r>
    </w:p>
    <w:p w14:paraId="4D16752D">
      <w:pPr>
        <w:pStyle w:val="21"/>
        <w:adjustRightInd w:val="0"/>
        <w:snapToGrid w:val="0"/>
        <w:spacing w:line="360" w:lineRule="auto"/>
        <w:ind w:firstLine="1988" w:firstLineChars="660"/>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采   购   人：</w:t>
      </w:r>
    </w:p>
    <w:p w14:paraId="441D2CDA">
      <w:pPr>
        <w:pStyle w:val="21"/>
        <w:adjustRightInd w:val="0"/>
        <w:snapToGrid w:val="0"/>
        <w:spacing w:line="360" w:lineRule="auto"/>
        <w:ind w:firstLine="1988" w:firstLineChars="660"/>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政府采购编号:</w:t>
      </w:r>
    </w:p>
    <w:p w14:paraId="0801DD94">
      <w:pPr>
        <w:pStyle w:val="21"/>
        <w:adjustRightInd w:val="0"/>
        <w:snapToGrid w:val="0"/>
        <w:spacing w:line="360" w:lineRule="auto"/>
        <w:ind w:firstLine="1988" w:firstLineChars="660"/>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采购代理编号:</w:t>
      </w:r>
    </w:p>
    <w:p w14:paraId="04FC456A">
      <w:pPr>
        <w:pStyle w:val="21"/>
        <w:adjustRightInd w:val="0"/>
        <w:snapToGrid w:val="0"/>
        <w:spacing w:line="360" w:lineRule="auto"/>
        <w:ind w:firstLine="1988" w:firstLineChars="660"/>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采购代理机构：</w:t>
      </w:r>
    </w:p>
    <w:p w14:paraId="5F616884">
      <w:pPr>
        <w:adjustRightInd w:val="0"/>
        <w:snapToGrid w:val="0"/>
        <w:spacing w:line="360" w:lineRule="auto"/>
        <w:rPr>
          <w:rFonts w:asciiTheme="minorEastAsia" w:hAnsiTheme="minorEastAsia" w:eastAsiaTheme="minorEastAsia"/>
          <w:color w:val="000000"/>
          <w:sz w:val="30"/>
          <w:szCs w:val="30"/>
        </w:rPr>
      </w:pPr>
    </w:p>
    <w:p w14:paraId="5CACA906">
      <w:pPr>
        <w:adjustRightInd w:val="0"/>
        <w:snapToGrid w:val="0"/>
        <w:spacing w:line="360" w:lineRule="auto"/>
        <w:rPr>
          <w:rFonts w:asciiTheme="minorEastAsia" w:hAnsiTheme="minorEastAsia" w:eastAsiaTheme="minorEastAsia"/>
          <w:color w:val="000000"/>
          <w:sz w:val="30"/>
          <w:szCs w:val="30"/>
        </w:rPr>
      </w:pPr>
    </w:p>
    <w:p w14:paraId="2C8C080A">
      <w:pPr>
        <w:adjustRightInd w:val="0"/>
        <w:snapToGrid w:val="0"/>
        <w:spacing w:line="360" w:lineRule="auto"/>
        <w:rPr>
          <w:rFonts w:asciiTheme="minorEastAsia" w:hAnsiTheme="minorEastAsia" w:eastAsiaTheme="minorEastAsia"/>
          <w:color w:val="000000"/>
          <w:sz w:val="30"/>
          <w:szCs w:val="30"/>
        </w:rPr>
      </w:pPr>
    </w:p>
    <w:p w14:paraId="217587D5">
      <w:pPr>
        <w:adjustRightInd w:val="0"/>
        <w:snapToGrid w:val="0"/>
        <w:spacing w:line="360" w:lineRule="auto"/>
        <w:ind w:left="1273" w:leftChars="606" w:firstLine="640" w:firstLineChars="200"/>
        <w:rPr>
          <w:rFonts w:asciiTheme="minorEastAsia" w:hAnsiTheme="minorEastAsia" w:eastAsiaTheme="minorEastAsia"/>
          <w:color w:val="000000"/>
          <w:sz w:val="32"/>
          <w:szCs w:val="32"/>
          <w:u w:val="thick"/>
        </w:rPr>
      </w:pPr>
      <w:r>
        <w:rPr>
          <w:rFonts w:hint="eastAsia" w:asciiTheme="minorEastAsia" w:hAnsiTheme="minorEastAsia" w:eastAsiaTheme="minorEastAsia"/>
          <w:color w:val="000000"/>
          <w:sz w:val="32"/>
          <w:szCs w:val="32"/>
        </w:rPr>
        <w:t>投标人:</w:t>
      </w:r>
      <w:r>
        <w:rPr>
          <w:rFonts w:hint="eastAsia" w:asciiTheme="minorEastAsia" w:hAnsiTheme="minorEastAsia" w:eastAsiaTheme="minorEastAsia"/>
          <w:color w:val="000000"/>
          <w:sz w:val="32"/>
          <w:szCs w:val="32"/>
          <w:u w:val="thick"/>
        </w:rPr>
        <w:t xml:space="preserve">                      </w:t>
      </w:r>
    </w:p>
    <w:p w14:paraId="783428CE">
      <w:pPr>
        <w:adjustRightInd w:val="0"/>
        <w:snapToGrid w:val="0"/>
        <w:spacing w:line="360" w:lineRule="auto"/>
        <w:jc w:val="center"/>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年  月  日</w:t>
      </w:r>
    </w:p>
    <w:p w14:paraId="55686A6A">
      <w:pPr>
        <w:pStyle w:val="4"/>
        <w:adjustRightInd w:val="0"/>
        <w:snapToGrid w:val="0"/>
        <w:spacing w:before="0" w:after="0" w:line="360" w:lineRule="auto"/>
        <w:jc w:val="center"/>
        <w:rPr>
          <w:rFonts w:hint="eastAsia" w:ascii="方正小标宋简体" w:hAnsi="方正小标宋简体" w:eastAsia="方正小标宋简体" w:cs="方正小标宋简体"/>
          <w:sz w:val="32"/>
          <w:szCs w:val="32"/>
        </w:rPr>
      </w:pPr>
      <w:bookmarkStart w:id="51" w:name="_Toc29913961"/>
      <w:r>
        <w:rPr>
          <w:rFonts w:hint="eastAsia" w:ascii="方正小标宋简体" w:hAnsi="方正小标宋简体" w:eastAsia="方正小标宋简体" w:cs="方正小标宋简体"/>
          <w:sz w:val="32"/>
          <w:szCs w:val="32"/>
        </w:rPr>
        <w:t>五、投标函</w:t>
      </w:r>
      <w:bookmarkEnd w:id="51"/>
    </w:p>
    <w:p w14:paraId="41EDAA7E">
      <w:pPr>
        <w:adjustRightInd w:val="0"/>
        <w:snapToGrid w:val="0"/>
        <w:spacing w:beforeLines="50" w:line="360" w:lineRule="auto"/>
        <w:rPr>
          <w:rFonts w:asciiTheme="minorEastAsia" w:hAnsiTheme="minorEastAsia" w:eastAsiaTheme="minorEastAsia"/>
          <w:szCs w:val="21"/>
        </w:rPr>
      </w:pPr>
      <w:r>
        <w:rPr>
          <w:rFonts w:hint="eastAsia" w:asciiTheme="minorEastAsia" w:hAnsiTheme="minorEastAsia" w:eastAsiaTheme="minorEastAsia"/>
          <w:szCs w:val="21"/>
        </w:rPr>
        <w:t>致：（采购人、采购代理机构）：</w:t>
      </w:r>
    </w:p>
    <w:p w14:paraId="20957074">
      <w:pPr>
        <w:adjustRightInd w:val="0"/>
        <w:snapToGrid w:val="0"/>
        <w:spacing w:beforeLines="50" w:line="360" w:lineRule="auto"/>
        <w:ind w:firstLine="435"/>
        <w:rPr>
          <w:rFonts w:asciiTheme="minorEastAsia" w:hAnsiTheme="minorEastAsia" w:eastAsiaTheme="minorEastAsia"/>
          <w:szCs w:val="21"/>
        </w:rPr>
      </w:pPr>
      <w:r>
        <w:rPr>
          <w:rFonts w:hint="eastAsia" w:asciiTheme="minorEastAsia" w:hAnsiTheme="minorEastAsia" w:eastAsiaTheme="minorEastAsia"/>
          <w:szCs w:val="21"/>
        </w:rPr>
        <w:t>根据贵方为</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（项目名称）的投标邀请（</w:t>
      </w:r>
      <w:r>
        <w:rPr>
          <w:rFonts w:hint="eastAsia" w:asciiTheme="minorEastAsia" w:hAnsiTheme="minorEastAsia" w:eastAsiaTheme="minorEastAsia"/>
        </w:rPr>
        <w:t>政府</w:t>
      </w:r>
      <w:r>
        <w:rPr>
          <w:rFonts w:hint="eastAsia" w:asciiTheme="minorEastAsia" w:hAnsiTheme="minorEastAsia" w:eastAsiaTheme="minorEastAsia"/>
          <w:iCs/>
        </w:rPr>
        <w:t>采购编号：</w:t>
      </w:r>
      <w:r>
        <w:rPr>
          <w:rFonts w:hint="eastAsia" w:asciiTheme="minorEastAsia" w:hAnsiTheme="minorEastAsia" w:eastAsiaTheme="minorEastAsia"/>
          <w:iCs/>
          <w:u w:val="single"/>
          <w:lang w:val="en-US" w:eastAsia="zh-CN"/>
        </w:rPr>
        <w:t xml:space="preserve">      </w:t>
      </w:r>
      <w:r>
        <w:rPr>
          <w:rFonts w:hint="eastAsia" w:asciiTheme="minorEastAsia" w:hAnsiTheme="minorEastAsia" w:eastAsiaTheme="minorEastAsia"/>
          <w:iCs/>
        </w:rPr>
        <w:t>，</w:t>
      </w:r>
      <w:r>
        <w:rPr>
          <w:rFonts w:hint="eastAsia" w:asciiTheme="minorEastAsia" w:hAnsiTheme="minorEastAsia" w:eastAsiaTheme="minorEastAsia"/>
          <w:szCs w:val="21"/>
        </w:rPr>
        <w:t>采购代理编号：</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），签字代表</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（姓名、职务）经正式授权并代表投标人</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（投标人名称）提交包含下述内容的电子投标文件一份至交易平台，参加采购项目</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none"/>
          <w:lang w:val="en-US" w:eastAsia="zh-CN"/>
        </w:rPr>
        <w:t>的</w:t>
      </w:r>
      <w:r>
        <w:rPr>
          <w:rFonts w:hint="eastAsia" w:asciiTheme="minorEastAsia" w:hAnsiTheme="minorEastAsia" w:eastAsiaTheme="minorEastAsia"/>
          <w:szCs w:val="21"/>
        </w:rPr>
        <w:t>投标，并在此声明，所递交的投标文件内容合法、完整、真实。</w:t>
      </w:r>
    </w:p>
    <w:p w14:paraId="6786CC68">
      <w:pPr>
        <w:adjustRightInd w:val="0"/>
        <w:snapToGrid w:val="0"/>
        <w:spacing w:beforeLines="50" w:line="360" w:lineRule="auto"/>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第一部分 资格证明文件</w:t>
      </w:r>
    </w:p>
    <w:p w14:paraId="1969A26D">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一、开标一览表</w:t>
      </w:r>
    </w:p>
    <w:p w14:paraId="41322FF5">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二、投标保证金</w:t>
      </w:r>
    </w:p>
    <w:p w14:paraId="615E220B">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三、法定代表人（单位负责人）身份证明或授权委托书</w:t>
      </w:r>
    </w:p>
    <w:p w14:paraId="280CA300">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四、投标人提供的资格证明文件</w:t>
      </w:r>
    </w:p>
    <w:p w14:paraId="5173F4D4">
      <w:pPr>
        <w:adjustRightInd w:val="0"/>
        <w:snapToGrid w:val="0"/>
        <w:spacing w:beforeLines="50" w:line="360" w:lineRule="auto"/>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第二部分 商务技术文件</w:t>
      </w:r>
    </w:p>
    <w:p w14:paraId="315D2670">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五、投标函</w:t>
      </w:r>
    </w:p>
    <w:p w14:paraId="53DC1389">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六、分项报价</w:t>
      </w:r>
    </w:p>
    <w:p w14:paraId="2D0BA629">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七、采购需求响应</w:t>
      </w:r>
    </w:p>
    <w:p w14:paraId="323644B7">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八、合同条款偏离表</w:t>
      </w:r>
    </w:p>
    <w:p w14:paraId="313A5718">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九、采购需求偏离表</w:t>
      </w:r>
    </w:p>
    <w:p w14:paraId="501E9DA6">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十、享受政府采购政策优惠的证明资料</w:t>
      </w:r>
    </w:p>
    <w:p w14:paraId="040D051D">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十一、投标货物符合招标文件规定的证明文件</w:t>
      </w:r>
    </w:p>
    <w:p w14:paraId="294A2A6E">
      <w:pPr>
        <w:adjustRightInd w:val="0"/>
        <w:snapToGrid w:val="0"/>
        <w:spacing w:beforeLines="50" w:line="360" w:lineRule="auto"/>
        <w:ind w:firstLine="630" w:firstLineChars="300"/>
        <w:rPr>
          <w:rFonts w:asciiTheme="minorEastAsia" w:hAnsiTheme="minorEastAsia" w:eastAsiaTheme="minorEastAsia"/>
          <w:szCs w:val="21"/>
        </w:rPr>
      </w:pPr>
      <w:r>
        <w:rPr>
          <w:rFonts w:hint="eastAsia" w:asciiTheme="minorEastAsia" w:hAnsiTheme="minorEastAsia" w:eastAsiaTheme="minorEastAsia"/>
          <w:szCs w:val="21"/>
        </w:rPr>
        <w:t>十二、投标人认为需提供的其他资料</w:t>
      </w:r>
    </w:p>
    <w:p w14:paraId="1330074D">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在此，签字代表宣布同意如下：</w:t>
      </w:r>
    </w:p>
    <w:p w14:paraId="3482B7DC">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1、投标人严格按照招标文件的规定报价，见《开标一览表》。</w:t>
      </w:r>
    </w:p>
    <w:p w14:paraId="7DE08BAC">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2、投标人将按招标文件的规定履行合同责任和义务。</w:t>
      </w:r>
    </w:p>
    <w:p w14:paraId="27708E9F">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3、投标人已详细审查招标文件。我们完全理解并同意放弃对这方面有不明及误解的权力。</w:t>
      </w:r>
    </w:p>
    <w:p w14:paraId="7D7D956D">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eastAsiaTheme="minorEastAsia"/>
          <w:szCs w:val="21"/>
        </w:rPr>
        <w:t>4、本投标有效期为自招标文件规定的提交投标文件截止之日起</w:t>
      </w:r>
      <w:r>
        <w:rPr>
          <w:rFonts w:hint="eastAsia" w:asciiTheme="minorEastAsia" w:hAnsiTheme="minorEastAsia" w:eastAsiaTheme="minorEastAsia"/>
          <w:szCs w:val="21"/>
          <w:u w:val="single"/>
        </w:rPr>
        <w:t>60</w:t>
      </w:r>
      <w:r>
        <w:rPr>
          <w:rFonts w:hint="eastAsia" w:asciiTheme="minorEastAsia" w:hAnsiTheme="minorEastAsia" w:eastAsiaTheme="minorEastAsia"/>
          <w:szCs w:val="21"/>
        </w:rPr>
        <w:t>个日历日。在投标有效期内，</w:t>
      </w:r>
      <w:r>
        <w:rPr>
          <w:rFonts w:hint="eastAsia" w:asciiTheme="minorEastAsia" w:hAnsiTheme="minorEastAsia" w:eastAsiaTheme="minorEastAsia"/>
        </w:rPr>
        <w:t>投标人同意遵守本</w:t>
      </w:r>
      <w:r>
        <w:rPr>
          <w:rFonts w:hint="eastAsia" w:asciiTheme="minorEastAsia" w:hAnsiTheme="minorEastAsia" w:eastAsiaTheme="minorEastAsia"/>
          <w:szCs w:val="21"/>
        </w:rPr>
        <w:t>投标</w:t>
      </w:r>
      <w:r>
        <w:rPr>
          <w:rFonts w:hint="eastAsia" w:asciiTheme="minorEastAsia" w:hAnsiTheme="minorEastAsia" w:eastAsiaTheme="minorEastAsia"/>
        </w:rPr>
        <w:t>文件中的承诺且在此期限期满之前</w:t>
      </w:r>
      <w:r>
        <w:rPr>
          <w:rFonts w:hint="eastAsia" w:asciiTheme="minorEastAsia" w:hAnsiTheme="minorEastAsia" w:eastAsiaTheme="minorEastAsia"/>
          <w:szCs w:val="21"/>
        </w:rPr>
        <w:t>投标</w:t>
      </w:r>
      <w:r>
        <w:rPr>
          <w:rFonts w:hint="eastAsia" w:asciiTheme="minorEastAsia" w:hAnsiTheme="minorEastAsia" w:eastAsiaTheme="minorEastAsia"/>
        </w:rPr>
        <w:t>文件</w:t>
      </w:r>
      <w:r>
        <w:rPr>
          <w:rFonts w:hint="eastAsia" w:asciiTheme="minorEastAsia" w:hAnsiTheme="minorEastAsia" w:eastAsiaTheme="minorEastAsia"/>
          <w:szCs w:val="21"/>
        </w:rPr>
        <w:t>对我方具有法律约束力</w:t>
      </w:r>
      <w:r>
        <w:rPr>
          <w:rFonts w:hint="eastAsia" w:asciiTheme="minorEastAsia" w:hAnsiTheme="minorEastAsia" w:eastAsiaTheme="minorEastAsia"/>
        </w:rPr>
        <w:t>。</w:t>
      </w:r>
    </w:p>
    <w:p w14:paraId="3EEC815C">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eastAsiaTheme="minorEastAsia"/>
        </w:rPr>
        <w:t>5、</w:t>
      </w:r>
      <w:r>
        <w:rPr>
          <w:rFonts w:hint="eastAsia" w:asciiTheme="minorEastAsia" w:hAnsiTheme="minorEastAsia" w:eastAsiaTheme="minorEastAsia"/>
          <w:szCs w:val="21"/>
        </w:rPr>
        <w:t>同意提供贵方可能要求的与其投标有关的一切数据或资料。</w:t>
      </w:r>
    </w:p>
    <w:p w14:paraId="3F349A9E">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6、与本投标有关的一切正式往来信函请寄：</w:t>
      </w:r>
    </w:p>
    <w:p w14:paraId="6464C53C">
      <w:pPr>
        <w:adjustRightInd w:val="0"/>
        <w:snapToGrid w:val="0"/>
        <w:spacing w:beforeLines="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地址：；邮编： ；电话：；电子邮箱： 。</w:t>
      </w:r>
    </w:p>
    <w:p w14:paraId="0268DF3F">
      <w:pPr>
        <w:adjustRightInd w:val="0"/>
        <w:snapToGrid w:val="0"/>
        <w:spacing w:beforeLines="50" w:line="360" w:lineRule="auto"/>
        <w:ind w:firstLine="420" w:firstLineChars="200"/>
        <w:rPr>
          <w:rFonts w:asciiTheme="minorEastAsia" w:hAnsiTheme="minorEastAsia" w:eastAsiaTheme="minorEastAsia"/>
          <w:szCs w:val="21"/>
        </w:rPr>
      </w:pPr>
    </w:p>
    <w:p w14:paraId="68D8863C">
      <w:pPr>
        <w:pStyle w:val="21"/>
        <w:adjustRightInd w:val="0"/>
        <w:snapToGrid w:val="0"/>
        <w:spacing w:beforeLines="50" w:line="360" w:lineRule="auto"/>
        <w:rPr>
          <w:rFonts w:asciiTheme="minorEastAsia" w:hAnsiTheme="minorEastAsia" w:eastAsiaTheme="minorEastAsia"/>
        </w:rPr>
      </w:pPr>
    </w:p>
    <w:p w14:paraId="2839B565">
      <w:pPr>
        <w:pStyle w:val="21"/>
        <w:adjustRightInd w:val="0"/>
        <w:snapToGrid w:val="0"/>
        <w:spacing w:beforeLines="50" w:line="360" w:lineRule="auto"/>
        <w:rPr>
          <w:rFonts w:asciiTheme="minorEastAsia" w:hAnsiTheme="minorEastAsia" w:eastAsiaTheme="minorEastAsia"/>
        </w:rPr>
      </w:pPr>
      <w:r>
        <w:rPr>
          <w:rFonts w:hint="eastAsia" w:asciiTheme="minorEastAsia" w:hAnsiTheme="minorEastAsia" w:eastAsiaTheme="minorEastAsia"/>
        </w:rPr>
        <w:t xml:space="preserve">投标人名称（盖单位电子章）：                       </w:t>
      </w:r>
    </w:p>
    <w:p w14:paraId="7B705CEC">
      <w:pPr>
        <w:adjustRightInd w:val="0"/>
        <w:snapToGrid w:val="0"/>
        <w:spacing w:beforeLines="50" w:line="360" w:lineRule="auto"/>
        <w:rPr>
          <w:rFonts w:asciiTheme="minorEastAsia" w:hAnsiTheme="minorEastAsia" w:eastAsiaTheme="minorEastAsia"/>
          <w:szCs w:val="21"/>
          <w:u w:val="single"/>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或其授权的代理人（电子签字或电子印章）：</w:t>
      </w:r>
    </w:p>
    <w:p w14:paraId="00231F6C">
      <w:pPr>
        <w:adjustRightInd w:val="0"/>
        <w:snapToGrid w:val="0"/>
        <w:spacing w:beforeLines="50" w:line="360" w:lineRule="auto"/>
        <w:rPr>
          <w:rFonts w:ascii="黑体" w:hAnsi="宋体" w:eastAsia="黑体"/>
          <w:b/>
          <w:bCs/>
          <w:sz w:val="28"/>
          <w:szCs w:val="28"/>
        </w:rPr>
      </w:pPr>
      <w:r>
        <w:rPr>
          <w:rFonts w:hint="eastAsia" w:asciiTheme="minorEastAsia" w:hAnsiTheme="minorEastAsia" w:eastAsiaTheme="minorEastAsia"/>
          <w:szCs w:val="21"/>
        </w:rPr>
        <w:t>日期：   年  月  日</w:t>
      </w:r>
      <w:r>
        <w:rPr>
          <w:rFonts w:ascii="黑体" w:hAnsi="宋体" w:eastAsia="黑体"/>
          <w:b/>
          <w:bCs/>
          <w:sz w:val="28"/>
          <w:szCs w:val="28"/>
        </w:rPr>
        <w:br w:type="page"/>
      </w:r>
    </w:p>
    <w:p w14:paraId="19A52267">
      <w:pPr>
        <w:pStyle w:val="4"/>
        <w:adjustRightInd w:val="0"/>
        <w:snapToGrid w:val="0"/>
        <w:spacing w:before="0" w:after="0" w:line="360" w:lineRule="auto"/>
        <w:jc w:val="center"/>
        <w:rPr>
          <w:rFonts w:ascii="方正小标宋简体" w:hAnsi="方正小标宋简体" w:eastAsia="方正小标宋简体"/>
          <w:b/>
          <w:bCs/>
          <w:sz w:val="32"/>
          <w:szCs w:val="32"/>
        </w:rPr>
      </w:pPr>
      <w:bookmarkStart w:id="52" w:name="_Toc29913962"/>
      <w:r>
        <w:rPr>
          <w:rFonts w:hint="eastAsia" w:ascii="方正小标宋简体" w:hAnsi="方正小标宋简体" w:eastAsia="方正小标宋简体"/>
          <w:b/>
          <w:bCs/>
          <w:sz w:val="32"/>
          <w:szCs w:val="32"/>
        </w:rPr>
        <w:t>六、分项报价</w:t>
      </w:r>
      <w:bookmarkEnd w:id="52"/>
    </w:p>
    <w:p w14:paraId="4741EF8C">
      <w:pPr>
        <w:pStyle w:val="5"/>
        <w:jc w:val="left"/>
        <w:rPr>
          <w:rFonts w:ascii="黑体" w:cs="微软雅黑" w:hAnsiTheme="minorEastAsia"/>
          <w:b w:val="0"/>
          <w:kern w:val="0"/>
          <w:sz w:val="21"/>
          <w:szCs w:val="21"/>
        </w:rPr>
      </w:pPr>
      <w:bookmarkStart w:id="53" w:name="_Toc29913963"/>
      <w:r>
        <w:rPr>
          <w:rFonts w:hint="eastAsia" w:ascii="黑体" w:hAnsi="华文中宋" w:cs="宋体"/>
          <w:b w:val="0"/>
          <w:bCs w:val="0"/>
          <w:spacing w:val="6"/>
          <w:kern w:val="0"/>
          <w:sz w:val="21"/>
          <w:szCs w:val="21"/>
        </w:rPr>
        <w:t xml:space="preserve">附件6-1 </w:t>
      </w:r>
      <w:r>
        <w:rPr>
          <w:rFonts w:hint="eastAsia" w:ascii="黑体" w:cs="微软雅黑" w:hAnsiTheme="minorEastAsia"/>
          <w:b w:val="0"/>
          <w:spacing w:val="-2"/>
          <w:kern w:val="0"/>
          <w:sz w:val="21"/>
          <w:szCs w:val="21"/>
        </w:rPr>
        <w:t>分</w:t>
      </w:r>
      <w:r>
        <w:rPr>
          <w:rFonts w:hint="eastAsia" w:ascii="黑体" w:cs="微软雅黑" w:hAnsiTheme="minorEastAsia"/>
          <w:b w:val="0"/>
          <w:kern w:val="0"/>
          <w:sz w:val="21"/>
          <w:szCs w:val="21"/>
        </w:rPr>
        <w:t>项</w:t>
      </w:r>
      <w:r>
        <w:rPr>
          <w:rFonts w:hint="eastAsia" w:ascii="黑体" w:cs="微软雅黑" w:hAnsiTheme="minorEastAsia"/>
          <w:b w:val="0"/>
          <w:spacing w:val="-2"/>
          <w:kern w:val="0"/>
          <w:sz w:val="21"/>
          <w:szCs w:val="21"/>
        </w:rPr>
        <w:t>报</w:t>
      </w:r>
      <w:r>
        <w:rPr>
          <w:rFonts w:hint="eastAsia" w:ascii="黑体" w:cs="微软雅黑" w:hAnsiTheme="minorEastAsia"/>
          <w:b w:val="0"/>
          <w:kern w:val="0"/>
          <w:sz w:val="21"/>
          <w:szCs w:val="21"/>
        </w:rPr>
        <w:t>价说明</w:t>
      </w:r>
      <w:bookmarkEnd w:id="53"/>
    </w:p>
    <w:p w14:paraId="013D10AB">
      <w:pPr>
        <w:autoSpaceDE w:val="0"/>
        <w:autoSpaceDN w:val="0"/>
        <w:adjustRightInd w:val="0"/>
        <w:snapToGrid w:val="0"/>
        <w:spacing w:line="360" w:lineRule="auto"/>
        <w:jc w:val="center"/>
        <w:rPr>
          <w:rFonts w:ascii="方正小标宋简体" w:hAnsi="方正小标宋简体" w:eastAsia="方正小标宋简体" w:cs="微软雅黑"/>
          <w:b/>
          <w:kern w:val="0"/>
          <w:sz w:val="28"/>
          <w:szCs w:val="28"/>
        </w:rPr>
      </w:pPr>
      <w:r>
        <w:rPr>
          <w:rFonts w:hint="eastAsia" w:ascii="方正小标宋简体" w:hAnsi="方正小标宋简体" w:eastAsia="方正小标宋简体" w:cs="微软雅黑"/>
          <w:b/>
          <w:spacing w:val="-2"/>
          <w:kern w:val="0"/>
          <w:sz w:val="28"/>
          <w:szCs w:val="28"/>
        </w:rPr>
        <w:t>分</w:t>
      </w:r>
      <w:r>
        <w:rPr>
          <w:rFonts w:hint="eastAsia" w:ascii="方正小标宋简体" w:hAnsi="方正小标宋简体" w:eastAsia="方正小标宋简体" w:cs="微软雅黑"/>
          <w:b/>
          <w:kern w:val="0"/>
          <w:sz w:val="28"/>
          <w:szCs w:val="28"/>
        </w:rPr>
        <w:t>项</w:t>
      </w:r>
      <w:r>
        <w:rPr>
          <w:rFonts w:hint="eastAsia" w:ascii="方正小标宋简体" w:hAnsi="方正小标宋简体" w:eastAsia="方正小标宋简体" w:cs="微软雅黑"/>
          <w:b/>
          <w:spacing w:val="-2"/>
          <w:kern w:val="0"/>
          <w:sz w:val="28"/>
          <w:szCs w:val="28"/>
        </w:rPr>
        <w:t>报</w:t>
      </w:r>
      <w:r>
        <w:rPr>
          <w:rFonts w:hint="eastAsia" w:ascii="方正小标宋简体" w:hAnsi="方正小标宋简体" w:eastAsia="方正小标宋简体" w:cs="微软雅黑"/>
          <w:b/>
          <w:kern w:val="0"/>
          <w:sz w:val="28"/>
          <w:szCs w:val="28"/>
        </w:rPr>
        <w:t>价说明</w:t>
      </w:r>
    </w:p>
    <w:p w14:paraId="2991F166">
      <w:pPr>
        <w:autoSpaceDE w:val="0"/>
        <w:autoSpaceDN w:val="0"/>
        <w:adjustRightInd w:val="0"/>
        <w:snapToGrid w:val="0"/>
        <w:spacing w:line="360" w:lineRule="auto"/>
        <w:jc w:val="left"/>
        <w:rPr>
          <w:rFonts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备注：投标人应按招标文件第二章相关要求，对本节</w:t>
      </w:r>
      <w:r>
        <w:rPr>
          <w:rFonts w:hint="eastAsia" w:asciiTheme="minorEastAsia" w:hAnsiTheme="minorEastAsia" w:eastAsiaTheme="minorEastAsia"/>
          <w:bCs/>
          <w:szCs w:val="21"/>
        </w:rPr>
        <w:t>“</w:t>
      </w:r>
      <w:r>
        <w:rPr>
          <w:rFonts w:hint="eastAsia" w:cs="微软雅黑" w:asciiTheme="minorEastAsia" w:hAnsiTheme="minorEastAsia" w:eastAsiaTheme="minorEastAsia"/>
          <w:kern w:val="0"/>
          <w:szCs w:val="21"/>
        </w:rPr>
        <w:t>分项报价明细表</w:t>
      </w:r>
      <w:r>
        <w:rPr>
          <w:rFonts w:hint="eastAsia" w:asciiTheme="minorEastAsia" w:hAnsiTheme="minorEastAsia" w:eastAsiaTheme="minorEastAsia"/>
          <w:bCs/>
          <w:szCs w:val="21"/>
        </w:rPr>
        <w:t>”进行</w:t>
      </w:r>
      <w:r>
        <w:rPr>
          <w:rFonts w:hint="eastAsia" w:cs="微软雅黑" w:asciiTheme="minorEastAsia" w:hAnsiTheme="minorEastAsia" w:eastAsiaTheme="minorEastAsia"/>
          <w:kern w:val="0"/>
          <w:szCs w:val="21"/>
        </w:rPr>
        <w:t>编制，并说明。</w:t>
      </w:r>
    </w:p>
    <w:p w14:paraId="445A3D08"/>
    <w:p w14:paraId="7460ADC5">
      <w:pPr>
        <w:pStyle w:val="5"/>
        <w:jc w:val="left"/>
        <w:rPr>
          <w:rFonts w:ascii="黑体" w:cs="微软雅黑" w:hAnsiTheme="minorEastAsia"/>
          <w:b w:val="0"/>
          <w:kern w:val="0"/>
          <w:sz w:val="21"/>
          <w:szCs w:val="21"/>
        </w:rPr>
      </w:pPr>
      <w:bookmarkStart w:id="54" w:name="_Toc29913964"/>
      <w:r>
        <w:rPr>
          <w:rFonts w:hint="eastAsia" w:ascii="黑体" w:hAnsi="华文中宋" w:cs="宋体"/>
          <w:b w:val="0"/>
          <w:bCs w:val="0"/>
          <w:spacing w:val="6"/>
          <w:kern w:val="0"/>
          <w:sz w:val="21"/>
          <w:szCs w:val="21"/>
        </w:rPr>
        <w:t xml:space="preserve">附件6-2 </w:t>
      </w:r>
      <w:r>
        <w:rPr>
          <w:rFonts w:hint="eastAsia" w:ascii="黑体" w:cs="微软雅黑" w:hAnsiTheme="minorEastAsia"/>
          <w:b w:val="0"/>
          <w:spacing w:val="-2"/>
          <w:kern w:val="0"/>
          <w:position w:val="-3"/>
          <w:sz w:val="21"/>
          <w:szCs w:val="21"/>
        </w:rPr>
        <w:t>分</w:t>
      </w:r>
      <w:r>
        <w:rPr>
          <w:rFonts w:hint="eastAsia" w:ascii="黑体" w:cs="微软雅黑" w:hAnsiTheme="minorEastAsia"/>
          <w:b w:val="0"/>
          <w:kern w:val="0"/>
          <w:position w:val="-3"/>
          <w:sz w:val="21"/>
          <w:szCs w:val="21"/>
        </w:rPr>
        <w:t>项</w:t>
      </w:r>
      <w:r>
        <w:rPr>
          <w:rFonts w:hint="eastAsia" w:ascii="黑体" w:cs="微软雅黑" w:hAnsiTheme="minorEastAsia"/>
          <w:b w:val="0"/>
          <w:spacing w:val="-2"/>
          <w:kern w:val="0"/>
          <w:position w:val="-3"/>
          <w:sz w:val="21"/>
          <w:szCs w:val="21"/>
        </w:rPr>
        <w:t>报</w:t>
      </w:r>
      <w:r>
        <w:rPr>
          <w:rFonts w:hint="eastAsia" w:ascii="黑体" w:cs="微软雅黑" w:hAnsiTheme="minorEastAsia"/>
          <w:b w:val="0"/>
          <w:kern w:val="0"/>
          <w:position w:val="-3"/>
          <w:sz w:val="21"/>
          <w:szCs w:val="21"/>
        </w:rPr>
        <w:t>价明细表</w:t>
      </w:r>
      <w:bookmarkEnd w:id="54"/>
    </w:p>
    <w:p w14:paraId="63A21E7D">
      <w:pPr>
        <w:adjustRightInd w:val="0"/>
        <w:snapToGrid w:val="0"/>
        <w:spacing w:line="360" w:lineRule="auto"/>
        <w:jc w:val="center"/>
        <w:rPr>
          <w:rFonts w:ascii="方正小标宋简体" w:hAnsi="方正小标宋简体" w:eastAsia="方正小标宋简体" w:cs="微软雅黑"/>
          <w:b/>
          <w:kern w:val="0"/>
          <w:position w:val="-3"/>
          <w:sz w:val="28"/>
          <w:szCs w:val="28"/>
        </w:rPr>
      </w:pPr>
      <w:r>
        <w:rPr>
          <w:rFonts w:hint="eastAsia" w:ascii="方正小标宋简体" w:hAnsi="方正小标宋简体" w:eastAsia="方正小标宋简体" w:cs="微软雅黑"/>
          <w:b/>
          <w:spacing w:val="-2"/>
          <w:kern w:val="0"/>
          <w:position w:val="-3"/>
          <w:sz w:val="28"/>
          <w:szCs w:val="28"/>
        </w:rPr>
        <w:t>分</w:t>
      </w:r>
      <w:r>
        <w:rPr>
          <w:rFonts w:hint="eastAsia" w:ascii="方正小标宋简体" w:hAnsi="方正小标宋简体" w:eastAsia="方正小标宋简体" w:cs="微软雅黑"/>
          <w:b/>
          <w:kern w:val="0"/>
          <w:position w:val="-3"/>
          <w:sz w:val="28"/>
          <w:szCs w:val="28"/>
        </w:rPr>
        <w:t>项</w:t>
      </w:r>
      <w:r>
        <w:rPr>
          <w:rFonts w:hint="eastAsia" w:ascii="方正小标宋简体" w:hAnsi="方正小标宋简体" w:eastAsia="方正小标宋简体" w:cs="微软雅黑"/>
          <w:b/>
          <w:spacing w:val="-2"/>
          <w:kern w:val="0"/>
          <w:position w:val="-3"/>
          <w:sz w:val="28"/>
          <w:szCs w:val="28"/>
        </w:rPr>
        <w:t>报</w:t>
      </w:r>
      <w:r>
        <w:rPr>
          <w:rFonts w:hint="eastAsia" w:ascii="方正小标宋简体" w:hAnsi="方正小标宋简体" w:eastAsia="方正小标宋简体" w:cs="微软雅黑"/>
          <w:b/>
          <w:kern w:val="0"/>
          <w:position w:val="-3"/>
          <w:sz w:val="28"/>
          <w:szCs w:val="28"/>
        </w:rPr>
        <w:t>价明细表</w:t>
      </w:r>
    </w:p>
    <w:p w14:paraId="46AE5481">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采购代理编号：</w:t>
      </w:r>
      <w:r>
        <w:rPr>
          <w:rFonts w:hint="eastAsia" w:asciiTheme="minorEastAsia" w:hAnsiTheme="minorEastAsia" w:eastAsiaTheme="minorEastAsia"/>
          <w:szCs w:val="21"/>
          <w:u w:val="single"/>
        </w:rPr>
        <w:t>__    ________</w:t>
      </w:r>
      <w:r>
        <w:rPr>
          <w:rFonts w:hint="eastAsia" w:asciiTheme="minorEastAsia" w:hAnsiTheme="minorEastAsia" w:eastAsiaTheme="minorEastAsia"/>
          <w:szCs w:val="21"/>
        </w:rPr>
        <w:t xml:space="preserve">                       项目名称：</w:t>
      </w:r>
      <w:r>
        <w:rPr>
          <w:rFonts w:hint="eastAsia" w:asciiTheme="minorEastAsia" w:hAnsiTheme="minorEastAsia" w:eastAsiaTheme="minorEastAsia"/>
          <w:szCs w:val="21"/>
          <w:u w:val="single"/>
        </w:rPr>
        <w:t>____            ______</w:t>
      </w:r>
    </w:p>
    <w:p w14:paraId="46FE83D6">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包号：</w:t>
      </w:r>
      <w:r>
        <w:rPr>
          <w:rFonts w:hint="eastAsia" w:asciiTheme="minorEastAsia" w:hAnsiTheme="minorEastAsia" w:eastAsiaTheme="minorEastAsia"/>
          <w:szCs w:val="21"/>
          <w:u w:val="single"/>
        </w:rPr>
        <w:t xml:space="preserve">__    ________         </w:t>
      </w:r>
      <w:r>
        <w:rPr>
          <w:rFonts w:hint="eastAsia" w:asciiTheme="minorEastAsia" w:hAnsiTheme="minorEastAsia" w:eastAsiaTheme="minorEastAsia"/>
          <w:szCs w:val="21"/>
        </w:rPr>
        <w:t xml:space="preserve">                      包名称：</w:t>
      </w:r>
      <w:r>
        <w:rPr>
          <w:rFonts w:hint="eastAsia" w:asciiTheme="minorEastAsia" w:hAnsiTheme="minorEastAsia" w:eastAsiaTheme="minorEastAsia"/>
          <w:szCs w:val="21"/>
          <w:u w:val="single"/>
        </w:rPr>
        <w:t xml:space="preserve">__    ________  </w:t>
      </w:r>
    </w:p>
    <w:tbl>
      <w:tblPr>
        <w:tblStyle w:val="41"/>
        <w:tblW w:w="8874" w:type="dxa"/>
        <w:tblInd w:w="0"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14:paraId="54BF35D2">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vAlign w:val="center"/>
          </w:tcPr>
          <w:p w14:paraId="22CFC350">
            <w:pPr>
              <w:autoSpaceDE w:val="0"/>
              <w:autoSpaceDN w:val="0"/>
              <w:adjustRightInd w:val="0"/>
              <w:snapToGrid w:val="0"/>
              <w:spacing w:line="360" w:lineRule="auto"/>
              <w:ind w:right="-20"/>
              <w:jc w:val="center"/>
              <w:rPr>
                <w:rFonts w:cs="微软雅黑" w:asciiTheme="minorEastAsia" w:hAnsiTheme="minorEastAsia" w:eastAsiaTheme="minorEastAsia"/>
                <w:kern w:val="0"/>
                <w:position w:val="-1"/>
                <w:szCs w:val="21"/>
              </w:rPr>
            </w:pPr>
            <w:r>
              <w:rPr>
                <w:rFonts w:hint="eastAsia" w:cs="微软雅黑" w:asciiTheme="minorEastAsia" w:hAnsiTheme="minorEastAsia" w:eastAsiaTheme="minorEastAsia"/>
                <w:kern w:val="0"/>
                <w:position w:val="-1"/>
                <w:szCs w:val="21"/>
              </w:rPr>
              <w:t>分项项目名称</w:t>
            </w:r>
          </w:p>
        </w:tc>
        <w:tc>
          <w:tcPr>
            <w:tcW w:w="2126" w:type="dxa"/>
            <w:vMerge w:val="restart"/>
            <w:tcBorders>
              <w:top w:val="double" w:color="auto" w:sz="4" w:space="0"/>
              <w:left w:val="single" w:color="auto" w:sz="6" w:space="0"/>
              <w:bottom w:val="single" w:color="auto" w:sz="6" w:space="0"/>
              <w:right w:val="single" w:color="auto" w:sz="4" w:space="0"/>
            </w:tcBorders>
            <w:vAlign w:val="center"/>
          </w:tcPr>
          <w:p w14:paraId="129427DA">
            <w:pPr>
              <w:autoSpaceDE w:val="0"/>
              <w:autoSpaceDN w:val="0"/>
              <w:adjustRightInd w:val="0"/>
              <w:snapToGrid w:val="0"/>
              <w:spacing w:line="360" w:lineRule="auto"/>
              <w:ind w:right="-20"/>
              <w:jc w:val="center"/>
              <w:rPr>
                <w:rFonts w:ascii="宋体" w:hAnsi="宋体"/>
                <w:szCs w:val="21"/>
              </w:rPr>
            </w:pPr>
            <w:r>
              <w:rPr>
                <w:rFonts w:hint="eastAsia" w:ascii="宋体" w:hAnsi="宋体"/>
                <w:szCs w:val="21"/>
              </w:rPr>
              <w:t>规格型号</w:t>
            </w:r>
          </w:p>
          <w:p w14:paraId="65013D5B">
            <w:pPr>
              <w:autoSpaceDE w:val="0"/>
              <w:autoSpaceDN w:val="0"/>
              <w:adjustRightInd w:val="0"/>
              <w:snapToGrid w:val="0"/>
              <w:spacing w:line="360" w:lineRule="auto"/>
              <w:ind w:right="-20"/>
              <w:jc w:val="center"/>
              <w:rPr>
                <w:rFonts w:ascii="宋体" w:hAnsi="宋体"/>
                <w:szCs w:val="21"/>
              </w:rPr>
            </w:pPr>
            <w:r>
              <w:rPr>
                <w:rFonts w:hint="eastAsia" w:ascii="宋体" w:hAnsi="宋体"/>
                <w:szCs w:val="21"/>
              </w:rPr>
              <w:t>（或项目特征描述</w:t>
            </w:r>
            <w:r>
              <w:rPr>
                <w:rFonts w:ascii="宋体" w:hAnsi="宋体"/>
                <w:szCs w:val="21"/>
              </w:rPr>
              <w:t>）</w:t>
            </w:r>
          </w:p>
        </w:tc>
        <w:tc>
          <w:tcPr>
            <w:tcW w:w="1200" w:type="dxa"/>
            <w:vMerge w:val="restart"/>
            <w:tcBorders>
              <w:top w:val="double" w:color="auto" w:sz="4" w:space="0"/>
              <w:left w:val="single" w:color="auto" w:sz="4" w:space="0"/>
              <w:bottom w:val="single" w:color="auto" w:sz="6" w:space="0"/>
              <w:right w:val="single" w:color="auto" w:sz="6" w:space="0"/>
            </w:tcBorders>
            <w:vAlign w:val="center"/>
          </w:tcPr>
          <w:p w14:paraId="3BA1DE46">
            <w:pPr>
              <w:autoSpaceDE w:val="0"/>
              <w:autoSpaceDN w:val="0"/>
              <w:adjustRightInd w:val="0"/>
              <w:snapToGrid w:val="0"/>
              <w:spacing w:line="360" w:lineRule="auto"/>
              <w:ind w:right="-20"/>
              <w:jc w:val="center"/>
              <w:rPr>
                <w:rFonts w:ascii="宋体" w:hAnsi="宋体"/>
                <w:szCs w:val="21"/>
              </w:rPr>
            </w:pPr>
            <w:r>
              <w:rPr>
                <w:rFonts w:hint="eastAsia" w:ascii="宋体" w:hAnsi="宋体"/>
                <w:szCs w:val="21"/>
              </w:rPr>
              <w:t>品牌/产地</w:t>
            </w:r>
          </w:p>
        </w:tc>
        <w:tc>
          <w:tcPr>
            <w:tcW w:w="1092" w:type="dxa"/>
            <w:vMerge w:val="restart"/>
            <w:tcBorders>
              <w:top w:val="double" w:color="auto" w:sz="4" w:space="0"/>
              <w:left w:val="single" w:color="auto" w:sz="6" w:space="0"/>
              <w:right w:val="single" w:color="auto" w:sz="4" w:space="0"/>
            </w:tcBorders>
            <w:vAlign w:val="center"/>
          </w:tcPr>
          <w:p w14:paraId="0D289516">
            <w:pPr>
              <w:autoSpaceDE w:val="0"/>
              <w:autoSpaceDN w:val="0"/>
              <w:adjustRightInd w:val="0"/>
              <w:snapToGrid w:val="0"/>
              <w:spacing w:line="360" w:lineRule="auto"/>
              <w:ind w:right="-20"/>
              <w:jc w:val="center"/>
              <w:rPr>
                <w:rFonts w:cs="微软雅黑" w:asciiTheme="minorEastAsia" w:hAnsiTheme="minorEastAsia" w:eastAsiaTheme="minorEastAsia"/>
                <w:kern w:val="0"/>
                <w:position w:val="-1"/>
                <w:szCs w:val="21"/>
              </w:rPr>
            </w:pPr>
            <w:r>
              <w:rPr>
                <w:rFonts w:hint="eastAsia" w:asciiTheme="minorEastAsia" w:hAnsiTheme="minorEastAsia" w:eastAsiaTheme="minorEastAsia"/>
                <w:kern w:val="0"/>
                <w:szCs w:val="21"/>
              </w:rPr>
              <w:t>数量/单位</w:t>
            </w:r>
          </w:p>
        </w:tc>
        <w:tc>
          <w:tcPr>
            <w:tcW w:w="1826" w:type="dxa"/>
            <w:gridSpan w:val="2"/>
            <w:tcBorders>
              <w:top w:val="double" w:color="auto" w:sz="4" w:space="0"/>
              <w:left w:val="single" w:color="auto" w:sz="4" w:space="0"/>
              <w:bottom w:val="single" w:color="auto" w:sz="6" w:space="0"/>
              <w:right w:val="single" w:color="auto" w:sz="6" w:space="0"/>
            </w:tcBorders>
            <w:vAlign w:val="center"/>
          </w:tcPr>
          <w:p w14:paraId="56E13DA8">
            <w:pPr>
              <w:autoSpaceDE w:val="0"/>
              <w:autoSpaceDN w:val="0"/>
              <w:adjustRightInd w:val="0"/>
              <w:snapToGrid w:val="0"/>
              <w:spacing w:line="360" w:lineRule="auto"/>
              <w:ind w:right="-20"/>
              <w:jc w:val="center"/>
              <w:rPr>
                <w:rFonts w:cs="微软雅黑" w:asciiTheme="minorEastAsia" w:hAnsiTheme="minorEastAsia" w:eastAsiaTheme="minorEastAsia"/>
                <w:kern w:val="0"/>
                <w:position w:val="-1"/>
                <w:szCs w:val="21"/>
              </w:rPr>
            </w:pPr>
            <w:r>
              <w:rPr>
                <w:rFonts w:hint="eastAsia" w:cs="微软雅黑" w:asciiTheme="minorEastAsia" w:hAnsiTheme="minorEastAsia" w:eastAsiaTheme="minorEastAsia"/>
                <w:kern w:val="0"/>
                <w:position w:val="-1"/>
                <w:szCs w:val="21"/>
              </w:rPr>
              <w:t>金额（元）</w:t>
            </w:r>
          </w:p>
        </w:tc>
        <w:tc>
          <w:tcPr>
            <w:tcW w:w="914" w:type="dxa"/>
            <w:vMerge w:val="restart"/>
            <w:tcBorders>
              <w:top w:val="double" w:color="auto" w:sz="4" w:space="0"/>
              <w:left w:val="single" w:color="auto" w:sz="6" w:space="0"/>
              <w:bottom w:val="single" w:color="auto" w:sz="6" w:space="0"/>
              <w:right w:val="double" w:color="auto" w:sz="4" w:space="0"/>
            </w:tcBorders>
            <w:vAlign w:val="center"/>
          </w:tcPr>
          <w:p w14:paraId="57C35354">
            <w:pPr>
              <w:autoSpaceDE w:val="0"/>
              <w:autoSpaceDN w:val="0"/>
              <w:adjustRightInd w:val="0"/>
              <w:snapToGrid w:val="0"/>
              <w:spacing w:line="360" w:lineRule="auto"/>
              <w:ind w:right="-20"/>
              <w:jc w:val="center"/>
              <w:rPr>
                <w:rFonts w:cs="微软雅黑" w:asciiTheme="minorEastAsia" w:hAnsiTheme="minorEastAsia" w:eastAsiaTheme="minorEastAsia"/>
                <w:kern w:val="0"/>
                <w:position w:val="-1"/>
                <w:szCs w:val="21"/>
              </w:rPr>
            </w:pPr>
            <w:r>
              <w:rPr>
                <w:rFonts w:hint="eastAsia" w:cs="微软雅黑" w:asciiTheme="minorEastAsia" w:hAnsiTheme="minorEastAsia" w:eastAsiaTheme="minorEastAsia"/>
                <w:kern w:val="0"/>
                <w:position w:val="-1"/>
                <w:szCs w:val="21"/>
              </w:rPr>
              <w:t>备注</w:t>
            </w:r>
          </w:p>
        </w:tc>
      </w:tr>
      <w:tr w14:paraId="282C10AE">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tcPr>
          <w:p w14:paraId="5FAC3020">
            <w:pPr>
              <w:autoSpaceDE w:val="0"/>
              <w:autoSpaceDN w:val="0"/>
              <w:adjustRightInd w:val="0"/>
              <w:snapToGrid w:val="0"/>
              <w:spacing w:line="360" w:lineRule="auto"/>
              <w:ind w:left="352" w:right="-20"/>
              <w:jc w:val="left"/>
              <w:rPr>
                <w:rFonts w:asciiTheme="minorEastAsia" w:hAnsiTheme="minorEastAsia" w:eastAsiaTheme="minorEastAsia"/>
                <w:kern w:val="0"/>
                <w:szCs w:val="21"/>
              </w:rPr>
            </w:pPr>
          </w:p>
        </w:tc>
        <w:tc>
          <w:tcPr>
            <w:tcW w:w="2126" w:type="dxa"/>
            <w:vMerge w:val="continue"/>
            <w:tcBorders>
              <w:top w:val="single" w:color="auto" w:sz="6" w:space="0"/>
              <w:left w:val="single" w:color="auto" w:sz="6" w:space="0"/>
              <w:bottom w:val="single" w:color="auto" w:sz="6" w:space="0"/>
              <w:right w:val="single" w:color="auto" w:sz="4" w:space="0"/>
            </w:tcBorders>
            <w:vAlign w:val="center"/>
          </w:tcPr>
          <w:p w14:paraId="2F1AB315">
            <w:pPr>
              <w:autoSpaceDE w:val="0"/>
              <w:autoSpaceDN w:val="0"/>
              <w:adjustRightInd w:val="0"/>
              <w:snapToGrid w:val="0"/>
              <w:spacing w:line="360" w:lineRule="auto"/>
              <w:ind w:right="-20"/>
              <w:jc w:val="center"/>
              <w:rPr>
                <w:rFonts w:asciiTheme="minorEastAsia" w:hAnsiTheme="minorEastAsia" w:eastAsiaTheme="minorEastAsia"/>
                <w:kern w:val="0"/>
                <w:szCs w:val="21"/>
              </w:rPr>
            </w:pPr>
          </w:p>
        </w:tc>
        <w:tc>
          <w:tcPr>
            <w:tcW w:w="1200" w:type="dxa"/>
            <w:vMerge w:val="continue"/>
            <w:tcBorders>
              <w:top w:val="single" w:color="auto" w:sz="6" w:space="0"/>
              <w:left w:val="single" w:color="auto" w:sz="4" w:space="0"/>
              <w:bottom w:val="single" w:color="auto" w:sz="6" w:space="0"/>
              <w:right w:val="single" w:color="auto" w:sz="6" w:space="0"/>
            </w:tcBorders>
            <w:vAlign w:val="center"/>
          </w:tcPr>
          <w:p w14:paraId="6A1921A4">
            <w:pPr>
              <w:autoSpaceDE w:val="0"/>
              <w:autoSpaceDN w:val="0"/>
              <w:adjustRightInd w:val="0"/>
              <w:snapToGrid w:val="0"/>
              <w:spacing w:line="360" w:lineRule="auto"/>
              <w:ind w:right="-20"/>
              <w:jc w:val="center"/>
              <w:rPr>
                <w:rFonts w:asciiTheme="minorEastAsia" w:hAnsiTheme="minorEastAsia" w:eastAsiaTheme="minorEastAsia"/>
                <w:kern w:val="0"/>
                <w:szCs w:val="21"/>
              </w:rPr>
            </w:pPr>
          </w:p>
        </w:tc>
        <w:tc>
          <w:tcPr>
            <w:tcW w:w="1092" w:type="dxa"/>
            <w:vMerge w:val="continue"/>
            <w:tcBorders>
              <w:left w:val="single" w:color="auto" w:sz="6" w:space="0"/>
              <w:bottom w:val="single" w:color="auto" w:sz="6" w:space="0"/>
              <w:right w:val="single" w:color="auto" w:sz="4" w:space="0"/>
            </w:tcBorders>
            <w:vAlign w:val="center"/>
          </w:tcPr>
          <w:p w14:paraId="6604648C">
            <w:pPr>
              <w:autoSpaceDE w:val="0"/>
              <w:autoSpaceDN w:val="0"/>
              <w:adjustRightInd w:val="0"/>
              <w:snapToGrid w:val="0"/>
              <w:spacing w:line="360" w:lineRule="auto"/>
              <w:ind w:right="-20"/>
              <w:jc w:val="center"/>
              <w:rPr>
                <w:rFonts w:asciiTheme="minorEastAsia" w:hAnsiTheme="minorEastAsia" w:eastAsiaTheme="minorEastAsia"/>
                <w:kern w:val="0"/>
                <w:szCs w:val="21"/>
              </w:rPr>
            </w:pPr>
          </w:p>
        </w:tc>
        <w:tc>
          <w:tcPr>
            <w:tcW w:w="910" w:type="dxa"/>
            <w:tcBorders>
              <w:top w:val="single" w:color="auto" w:sz="6" w:space="0"/>
              <w:left w:val="single" w:color="auto" w:sz="4" w:space="0"/>
              <w:bottom w:val="single" w:color="auto" w:sz="6" w:space="0"/>
              <w:right w:val="single" w:color="auto" w:sz="4" w:space="0"/>
            </w:tcBorders>
            <w:vAlign w:val="center"/>
          </w:tcPr>
          <w:p w14:paraId="61980130">
            <w:pPr>
              <w:autoSpaceDE w:val="0"/>
              <w:autoSpaceDN w:val="0"/>
              <w:adjustRightInd w:val="0"/>
              <w:snapToGrid w:val="0"/>
              <w:spacing w:line="360" w:lineRule="auto"/>
              <w:ind w:right="-20"/>
              <w:jc w:val="center"/>
              <w:rPr>
                <w:rFonts w:asciiTheme="minorEastAsia" w:hAnsiTheme="minorEastAsia" w:eastAsiaTheme="minorEastAsia"/>
                <w:kern w:val="0"/>
                <w:szCs w:val="21"/>
              </w:rPr>
            </w:pPr>
            <w:r>
              <w:rPr>
                <w:rFonts w:hint="eastAsia" w:cs="微软雅黑" w:asciiTheme="minorEastAsia" w:hAnsiTheme="minorEastAsia" w:eastAsiaTheme="minorEastAsia"/>
                <w:kern w:val="0"/>
                <w:position w:val="-1"/>
                <w:szCs w:val="21"/>
              </w:rPr>
              <w:t>单价</w:t>
            </w:r>
          </w:p>
        </w:tc>
        <w:tc>
          <w:tcPr>
            <w:tcW w:w="916" w:type="dxa"/>
            <w:tcBorders>
              <w:top w:val="single" w:color="auto" w:sz="6" w:space="0"/>
              <w:left w:val="single" w:color="auto" w:sz="4" w:space="0"/>
              <w:bottom w:val="single" w:color="auto" w:sz="6" w:space="0"/>
              <w:right w:val="single" w:color="auto" w:sz="6" w:space="0"/>
            </w:tcBorders>
            <w:vAlign w:val="center"/>
          </w:tcPr>
          <w:p w14:paraId="67375141">
            <w:pPr>
              <w:autoSpaceDE w:val="0"/>
              <w:autoSpaceDN w:val="0"/>
              <w:adjustRightInd w:val="0"/>
              <w:snapToGrid w:val="0"/>
              <w:spacing w:line="360" w:lineRule="auto"/>
              <w:ind w:left="70" w:right="-2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小计</w:t>
            </w:r>
          </w:p>
        </w:tc>
        <w:tc>
          <w:tcPr>
            <w:tcW w:w="914" w:type="dxa"/>
            <w:vMerge w:val="continue"/>
            <w:tcBorders>
              <w:top w:val="single" w:color="auto" w:sz="6" w:space="0"/>
              <w:left w:val="single" w:color="auto" w:sz="6" w:space="0"/>
              <w:bottom w:val="single" w:color="auto" w:sz="6" w:space="0"/>
              <w:right w:val="double" w:color="auto" w:sz="4" w:space="0"/>
            </w:tcBorders>
          </w:tcPr>
          <w:p w14:paraId="794977FA">
            <w:pPr>
              <w:autoSpaceDE w:val="0"/>
              <w:autoSpaceDN w:val="0"/>
              <w:adjustRightInd w:val="0"/>
              <w:snapToGrid w:val="0"/>
              <w:spacing w:line="360" w:lineRule="auto"/>
              <w:ind w:left="422" w:right="-20"/>
              <w:jc w:val="left"/>
              <w:rPr>
                <w:rFonts w:asciiTheme="minorEastAsia" w:hAnsiTheme="minorEastAsia" w:eastAsiaTheme="minorEastAsia"/>
                <w:kern w:val="0"/>
                <w:szCs w:val="21"/>
              </w:rPr>
            </w:pPr>
          </w:p>
        </w:tc>
      </w:tr>
      <w:tr w14:paraId="6A1185E1">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14:paraId="71B753B6">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1</w:t>
            </w:r>
          </w:p>
        </w:tc>
        <w:tc>
          <w:tcPr>
            <w:tcW w:w="1383" w:type="dxa"/>
            <w:tcBorders>
              <w:top w:val="single" w:color="auto" w:sz="6" w:space="0"/>
              <w:left w:val="single" w:color="auto" w:sz="6" w:space="0"/>
              <w:bottom w:val="single" w:color="auto" w:sz="6" w:space="0"/>
              <w:right w:val="single" w:color="auto" w:sz="6" w:space="0"/>
            </w:tcBorders>
            <w:vAlign w:val="center"/>
          </w:tcPr>
          <w:p w14:paraId="1DA9232A">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2126" w:type="dxa"/>
            <w:tcBorders>
              <w:top w:val="single" w:color="auto" w:sz="6" w:space="0"/>
              <w:left w:val="single" w:color="auto" w:sz="6" w:space="0"/>
              <w:bottom w:val="single" w:color="auto" w:sz="6" w:space="0"/>
              <w:right w:val="single" w:color="auto" w:sz="4" w:space="0"/>
            </w:tcBorders>
          </w:tcPr>
          <w:p w14:paraId="082ACB23">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200" w:type="dxa"/>
            <w:tcBorders>
              <w:top w:val="single" w:color="auto" w:sz="6" w:space="0"/>
              <w:left w:val="single" w:color="auto" w:sz="4" w:space="0"/>
              <w:bottom w:val="single" w:color="auto" w:sz="6" w:space="0"/>
              <w:right w:val="single" w:color="auto" w:sz="6" w:space="0"/>
            </w:tcBorders>
          </w:tcPr>
          <w:p w14:paraId="0A84966E">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092" w:type="dxa"/>
            <w:tcBorders>
              <w:top w:val="single" w:color="auto" w:sz="6" w:space="0"/>
              <w:left w:val="single" w:color="auto" w:sz="6" w:space="0"/>
              <w:bottom w:val="single" w:color="auto" w:sz="6" w:space="0"/>
              <w:right w:val="single" w:color="auto" w:sz="4" w:space="0"/>
            </w:tcBorders>
          </w:tcPr>
          <w:p w14:paraId="56F4AF26">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0" w:type="dxa"/>
            <w:tcBorders>
              <w:top w:val="single" w:color="auto" w:sz="6" w:space="0"/>
              <w:left w:val="single" w:color="auto" w:sz="6" w:space="0"/>
              <w:bottom w:val="single" w:color="auto" w:sz="6" w:space="0"/>
              <w:right w:val="single" w:color="auto" w:sz="6" w:space="0"/>
            </w:tcBorders>
          </w:tcPr>
          <w:p w14:paraId="061C4356">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6" w:type="dxa"/>
            <w:tcBorders>
              <w:top w:val="single" w:color="auto" w:sz="6" w:space="0"/>
              <w:left w:val="single" w:color="auto" w:sz="6" w:space="0"/>
              <w:bottom w:val="single" w:color="auto" w:sz="6" w:space="0"/>
              <w:right w:val="single" w:color="auto" w:sz="6" w:space="0"/>
            </w:tcBorders>
          </w:tcPr>
          <w:p w14:paraId="1BB49EA7">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4" w:type="dxa"/>
            <w:tcBorders>
              <w:top w:val="single" w:color="auto" w:sz="6" w:space="0"/>
              <w:left w:val="single" w:color="auto" w:sz="6" w:space="0"/>
              <w:bottom w:val="single" w:color="auto" w:sz="6" w:space="0"/>
              <w:right w:val="double" w:color="auto" w:sz="4" w:space="0"/>
            </w:tcBorders>
          </w:tcPr>
          <w:p w14:paraId="0A983C6F">
            <w:pPr>
              <w:autoSpaceDE w:val="0"/>
              <w:autoSpaceDN w:val="0"/>
              <w:adjustRightInd w:val="0"/>
              <w:snapToGrid w:val="0"/>
              <w:spacing w:line="360" w:lineRule="auto"/>
              <w:jc w:val="left"/>
              <w:rPr>
                <w:rFonts w:asciiTheme="minorEastAsia" w:hAnsiTheme="minorEastAsia" w:eastAsiaTheme="minorEastAsia"/>
                <w:kern w:val="0"/>
                <w:szCs w:val="21"/>
              </w:rPr>
            </w:pPr>
          </w:p>
        </w:tc>
      </w:tr>
      <w:tr w14:paraId="42E374D6">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5F6E0BED">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1383" w:type="dxa"/>
            <w:tcBorders>
              <w:top w:val="single" w:color="auto" w:sz="6" w:space="0"/>
              <w:left w:val="single" w:color="auto" w:sz="6" w:space="0"/>
              <w:bottom w:val="single" w:color="auto" w:sz="6" w:space="0"/>
              <w:right w:val="single" w:color="auto" w:sz="6" w:space="0"/>
            </w:tcBorders>
            <w:vAlign w:val="center"/>
          </w:tcPr>
          <w:p w14:paraId="4C4C9C55">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2126" w:type="dxa"/>
            <w:tcBorders>
              <w:top w:val="single" w:color="auto" w:sz="6" w:space="0"/>
              <w:left w:val="single" w:color="auto" w:sz="6" w:space="0"/>
              <w:bottom w:val="single" w:color="auto" w:sz="6" w:space="0"/>
              <w:right w:val="single" w:color="auto" w:sz="4" w:space="0"/>
            </w:tcBorders>
          </w:tcPr>
          <w:p w14:paraId="46823B3B">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200" w:type="dxa"/>
            <w:tcBorders>
              <w:top w:val="single" w:color="auto" w:sz="6" w:space="0"/>
              <w:left w:val="single" w:color="auto" w:sz="4" w:space="0"/>
              <w:bottom w:val="single" w:color="auto" w:sz="6" w:space="0"/>
              <w:right w:val="single" w:color="auto" w:sz="6" w:space="0"/>
            </w:tcBorders>
          </w:tcPr>
          <w:p w14:paraId="4E9AF2FB">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092" w:type="dxa"/>
            <w:tcBorders>
              <w:top w:val="single" w:color="auto" w:sz="6" w:space="0"/>
              <w:left w:val="single" w:color="auto" w:sz="6" w:space="0"/>
              <w:bottom w:val="single" w:color="auto" w:sz="6" w:space="0"/>
              <w:right w:val="single" w:color="auto" w:sz="4" w:space="0"/>
            </w:tcBorders>
          </w:tcPr>
          <w:p w14:paraId="21C4EB57">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0" w:type="dxa"/>
            <w:tcBorders>
              <w:top w:val="single" w:color="auto" w:sz="6" w:space="0"/>
              <w:left w:val="single" w:color="auto" w:sz="6" w:space="0"/>
              <w:bottom w:val="single" w:color="auto" w:sz="6" w:space="0"/>
              <w:right w:val="single" w:color="auto" w:sz="6" w:space="0"/>
            </w:tcBorders>
          </w:tcPr>
          <w:p w14:paraId="48359930">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6" w:type="dxa"/>
            <w:tcBorders>
              <w:top w:val="single" w:color="auto" w:sz="6" w:space="0"/>
              <w:left w:val="single" w:color="auto" w:sz="6" w:space="0"/>
              <w:bottom w:val="single" w:color="auto" w:sz="6" w:space="0"/>
              <w:right w:val="single" w:color="auto" w:sz="6" w:space="0"/>
            </w:tcBorders>
          </w:tcPr>
          <w:p w14:paraId="0271E398">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4" w:type="dxa"/>
            <w:tcBorders>
              <w:top w:val="single" w:color="auto" w:sz="6" w:space="0"/>
              <w:left w:val="single" w:color="auto" w:sz="6" w:space="0"/>
              <w:bottom w:val="single" w:color="auto" w:sz="6" w:space="0"/>
              <w:right w:val="double" w:color="auto" w:sz="4" w:space="0"/>
            </w:tcBorders>
          </w:tcPr>
          <w:p w14:paraId="2797C46E">
            <w:pPr>
              <w:autoSpaceDE w:val="0"/>
              <w:autoSpaceDN w:val="0"/>
              <w:adjustRightInd w:val="0"/>
              <w:snapToGrid w:val="0"/>
              <w:spacing w:line="360" w:lineRule="auto"/>
              <w:jc w:val="left"/>
              <w:rPr>
                <w:rFonts w:asciiTheme="minorEastAsia" w:hAnsiTheme="minorEastAsia" w:eastAsiaTheme="minorEastAsia"/>
                <w:kern w:val="0"/>
                <w:szCs w:val="21"/>
              </w:rPr>
            </w:pPr>
          </w:p>
        </w:tc>
      </w:tr>
      <w:tr w14:paraId="62AB4BBA">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6EAA575E">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383" w:type="dxa"/>
            <w:tcBorders>
              <w:top w:val="single" w:color="auto" w:sz="6" w:space="0"/>
              <w:left w:val="single" w:color="auto" w:sz="6" w:space="0"/>
              <w:bottom w:val="single" w:color="auto" w:sz="6" w:space="0"/>
              <w:right w:val="single" w:color="auto" w:sz="6" w:space="0"/>
            </w:tcBorders>
            <w:vAlign w:val="center"/>
          </w:tcPr>
          <w:p w14:paraId="17694A20">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2126" w:type="dxa"/>
            <w:tcBorders>
              <w:top w:val="single" w:color="auto" w:sz="6" w:space="0"/>
              <w:left w:val="single" w:color="auto" w:sz="6" w:space="0"/>
              <w:bottom w:val="single" w:color="auto" w:sz="6" w:space="0"/>
              <w:right w:val="single" w:color="auto" w:sz="4" w:space="0"/>
            </w:tcBorders>
          </w:tcPr>
          <w:p w14:paraId="138F6002">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200" w:type="dxa"/>
            <w:tcBorders>
              <w:top w:val="single" w:color="auto" w:sz="6" w:space="0"/>
              <w:left w:val="single" w:color="auto" w:sz="4" w:space="0"/>
              <w:bottom w:val="single" w:color="auto" w:sz="6" w:space="0"/>
              <w:right w:val="single" w:color="auto" w:sz="6" w:space="0"/>
            </w:tcBorders>
          </w:tcPr>
          <w:p w14:paraId="583F7B52">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092" w:type="dxa"/>
            <w:tcBorders>
              <w:top w:val="single" w:color="auto" w:sz="6" w:space="0"/>
              <w:left w:val="single" w:color="auto" w:sz="6" w:space="0"/>
              <w:bottom w:val="single" w:color="auto" w:sz="6" w:space="0"/>
              <w:right w:val="single" w:color="auto" w:sz="4" w:space="0"/>
            </w:tcBorders>
          </w:tcPr>
          <w:p w14:paraId="6135929A">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0" w:type="dxa"/>
            <w:tcBorders>
              <w:top w:val="single" w:color="auto" w:sz="6" w:space="0"/>
              <w:left w:val="single" w:color="auto" w:sz="6" w:space="0"/>
              <w:bottom w:val="single" w:color="auto" w:sz="6" w:space="0"/>
              <w:right w:val="single" w:color="auto" w:sz="6" w:space="0"/>
            </w:tcBorders>
          </w:tcPr>
          <w:p w14:paraId="699A7034">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6" w:type="dxa"/>
            <w:tcBorders>
              <w:top w:val="single" w:color="auto" w:sz="6" w:space="0"/>
              <w:left w:val="single" w:color="auto" w:sz="6" w:space="0"/>
              <w:bottom w:val="single" w:color="auto" w:sz="6" w:space="0"/>
              <w:right w:val="single" w:color="auto" w:sz="6" w:space="0"/>
            </w:tcBorders>
          </w:tcPr>
          <w:p w14:paraId="2504D297">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4" w:type="dxa"/>
            <w:tcBorders>
              <w:top w:val="single" w:color="auto" w:sz="6" w:space="0"/>
              <w:left w:val="single" w:color="auto" w:sz="6" w:space="0"/>
              <w:bottom w:val="single" w:color="auto" w:sz="6" w:space="0"/>
              <w:right w:val="double" w:color="auto" w:sz="4" w:space="0"/>
            </w:tcBorders>
          </w:tcPr>
          <w:p w14:paraId="5B8EB432">
            <w:pPr>
              <w:autoSpaceDE w:val="0"/>
              <w:autoSpaceDN w:val="0"/>
              <w:adjustRightInd w:val="0"/>
              <w:snapToGrid w:val="0"/>
              <w:spacing w:line="360" w:lineRule="auto"/>
              <w:jc w:val="left"/>
              <w:rPr>
                <w:rFonts w:asciiTheme="minorEastAsia" w:hAnsiTheme="minorEastAsia" w:eastAsiaTheme="minorEastAsia"/>
                <w:kern w:val="0"/>
                <w:szCs w:val="21"/>
              </w:rPr>
            </w:pPr>
          </w:p>
        </w:tc>
      </w:tr>
      <w:tr w14:paraId="703649FC">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5D803483">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4</w:t>
            </w:r>
          </w:p>
        </w:tc>
        <w:tc>
          <w:tcPr>
            <w:tcW w:w="1383" w:type="dxa"/>
            <w:tcBorders>
              <w:top w:val="single" w:color="auto" w:sz="6" w:space="0"/>
              <w:left w:val="single" w:color="auto" w:sz="6" w:space="0"/>
              <w:bottom w:val="single" w:color="auto" w:sz="6" w:space="0"/>
              <w:right w:val="single" w:color="auto" w:sz="6" w:space="0"/>
            </w:tcBorders>
            <w:vAlign w:val="center"/>
          </w:tcPr>
          <w:p w14:paraId="0E0B8463">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2126" w:type="dxa"/>
            <w:tcBorders>
              <w:top w:val="single" w:color="auto" w:sz="6" w:space="0"/>
              <w:left w:val="single" w:color="auto" w:sz="6" w:space="0"/>
              <w:bottom w:val="single" w:color="auto" w:sz="6" w:space="0"/>
              <w:right w:val="single" w:color="auto" w:sz="4" w:space="0"/>
            </w:tcBorders>
          </w:tcPr>
          <w:p w14:paraId="043903CE">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200" w:type="dxa"/>
            <w:tcBorders>
              <w:top w:val="single" w:color="auto" w:sz="6" w:space="0"/>
              <w:left w:val="single" w:color="auto" w:sz="4" w:space="0"/>
              <w:bottom w:val="single" w:color="auto" w:sz="6" w:space="0"/>
              <w:right w:val="single" w:color="auto" w:sz="6" w:space="0"/>
            </w:tcBorders>
          </w:tcPr>
          <w:p w14:paraId="0B0DC309">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092" w:type="dxa"/>
            <w:tcBorders>
              <w:top w:val="single" w:color="auto" w:sz="6" w:space="0"/>
              <w:left w:val="single" w:color="auto" w:sz="6" w:space="0"/>
              <w:bottom w:val="single" w:color="auto" w:sz="6" w:space="0"/>
              <w:right w:val="single" w:color="auto" w:sz="4" w:space="0"/>
            </w:tcBorders>
          </w:tcPr>
          <w:p w14:paraId="02D12D99">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0" w:type="dxa"/>
            <w:tcBorders>
              <w:top w:val="single" w:color="auto" w:sz="6" w:space="0"/>
              <w:left w:val="single" w:color="auto" w:sz="4" w:space="0"/>
              <w:bottom w:val="single" w:color="auto" w:sz="6" w:space="0"/>
              <w:right w:val="single" w:color="auto" w:sz="6" w:space="0"/>
            </w:tcBorders>
          </w:tcPr>
          <w:p w14:paraId="019BFDB4">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6" w:type="dxa"/>
            <w:tcBorders>
              <w:top w:val="single" w:color="auto" w:sz="6" w:space="0"/>
              <w:left w:val="single" w:color="auto" w:sz="6" w:space="0"/>
              <w:bottom w:val="single" w:color="auto" w:sz="6" w:space="0"/>
              <w:right w:val="single" w:color="auto" w:sz="6" w:space="0"/>
            </w:tcBorders>
          </w:tcPr>
          <w:p w14:paraId="72217DFB">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4" w:type="dxa"/>
            <w:tcBorders>
              <w:top w:val="single" w:color="auto" w:sz="6" w:space="0"/>
              <w:left w:val="single" w:color="auto" w:sz="6" w:space="0"/>
              <w:bottom w:val="single" w:color="auto" w:sz="6" w:space="0"/>
              <w:right w:val="double" w:color="auto" w:sz="4" w:space="0"/>
            </w:tcBorders>
          </w:tcPr>
          <w:p w14:paraId="1CADD628">
            <w:pPr>
              <w:autoSpaceDE w:val="0"/>
              <w:autoSpaceDN w:val="0"/>
              <w:adjustRightInd w:val="0"/>
              <w:snapToGrid w:val="0"/>
              <w:spacing w:line="360" w:lineRule="auto"/>
              <w:jc w:val="left"/>
              <w:rPr>
                <w:rFonts w:asciiTheme="minorEastAsia" w:hAnsiTheme="minorEastAsia" w:eastAsiaTheme="minorEastAsia"/>
                <w:kern w:val="0"/>
                <w:szCs w:val="21"/>
              </w:rPr>
            </w:pPr>
          </w:p>
        </w:tc>
      </w:tr>
      <w:tr w14:paraId="1F5BBDFB">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1B9246C7">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5</w:t>
            </w:r>
          </w:p>
        </w:tc>
        <w:tc>
          <w:tcPr>
            <w:tcW w:w="1383" w:type="dxa"/>
            <w:tcBorders>
              <w:top w:val="single" w:color="auto" w:sz="6" w:space="0"/>
              <w:left w:val="single" w:color="auto" w:sz="6" w:space="0"/>
              <w:bottom w:val="single" w:color="auto" w:sz="6" w:space="0"/>
              <w:right w:val="single" w:color="auto" w:sz="6" w:space="0"/>
            </w:tcBorders>
            <w:vAlign w:val="center"/>
          </w:tcPr>
          <w:p w14:paraId="0FCC6D56">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2126" w:type="dxa"/>
            <w:tcBorders>
              <w:top w:val="single" w:color="auto" w:sz="6" w:space="0"/>
              <w:left w:val="single" w:color="auto" w:sz="6" w:space="0"/>
              <w:bottom w:val="single" w:color="auto" w:sz="6" w:space="0"/>
              <w:right w:val="single" w:color="auto" w:sz="4" w:space="0"/>
            </w:tcBorders>
          </w:tcPr>
          <w:p w14:paraId="53F32221">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200" w:type="dxa"/>
            <w:tcBorders>
              <w:top w:val="single" w:color="auto" w:sz="6" w:space="0"/>
              <w:left w:val="single" w:color="auto" w:sz="4" w:space="0"/>
              <w:bottom w:val="single" w:color="auto" w:sz="6" w:space="0"/>
              <w:right w:val="single" w:color="auto" w:sz="6" w:space="0"/>
            </w:tcBorders>
          </w:tcPr>
          <w:p w14:paraId="59E850E0">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092" w:type="dxa"/>
            <w:tcBorders>
              <w:top w:val="single" w:color="auto" w:sz="6" w:space="0"/>
              <w:left w:val="single" w:color="auto" w:sz="6" w:space="0"/>
              <w:bottom w:val="single" w:color="auto" w:sz="6" w:space="0"/>
              <w:right w:val="single" w:color="auto" w:sz="4" w:space="0"/>
            </w:tcBorders>
          </w:tcPr>
          <w:p w14:paraId="22C603BF">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0" w:type="dxa"/>
            <w:tcBorders>
              <w:top w:val="single" w:color="auto" w:sz="6" w:space="0"/>
              <w:left w:val="single" w:color="auto" w:sz="4" w:space="0"/>
              <w:bottom w:val="single" w:color="auto" w:sz="6" w:space="0"/>
              <w:right w:val="single" w:color="auto" w:sz="6" w:space="0"/>
            </w:tcBorders>
          </w:tcPr>
          <w:p w14:paraId="36E3D0CC">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6" w:type="dxa"/>
            <w:tcBorders>
              <w:top w:val="single" w:color="auto" w:sz="6" w:space="0"/>
              <w:left w:val="single" w:color="auto" w:sz="6" w:space="0"/>
              <w:bottom w:val="single" w:color="auto" w:sz="6" w:space="0"/>
              <w:right w:val="single" w:color="auto" w:sz="6" w:space="0"/>
            </w:tcBorders>
          </w:tcPr>
          <w:p w14:paraId="26D7947D">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4" w:type="dxa"/>
            <w:tcBorders>
              <w:top w:val="single" w:color="auto" w:sz="6" w:space="0"/>
              <w:left w:val="single" w:color="auto" w:sz="6" w:space="0"/>
              <w:bottom w:val="single" w:color="auto" w:sz="6" w:space="0"/>
              <w:right w:val="double" w:color="auto" w:sz="4" w:space="0"/>
            </w:tcBorders>
          </w:tcPr>
          <w:p w14:paraId="6C2CFAFB">
            <w:pPr>
              <w:autoSpaceDE w:val="0"/>
              <w:autoSpaceDN w:val="0"/>
              <w:adjustRightInd w:val="0"/>
              <w:snapToGrid w:val="0"/>
              <w:spacing w:line="360" w:lineRule="auto"/>
              <w:jc w:val="left"/>
              <w:rPr>
                <w:rFonts w:asciiTheme="minorEastAsia" w:hAnsiTheme="minorEastAsia" w:eastAsiaTheme="minorEastAsia"/>
                <w:kern w:val="0"/>
                <w:szCs w:val="21"/>
              </w:rPr>
            </w:pPr>
          </w:p>
        </w:tc>
      </w:tr>
      <w:tr w14:paraId="68AF1D06">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46A39242">
            <w:pPr>
              <w:jc w:val="center"/>
            </w:pPr>
            <w:r>
              <w:t>…</w:t>
            </w:r>
          </w:p>
        </w:tc>
        <w:tc>
          <w:tcPr>
            <w:tcW w:w="1383" w:type="dxa"/>
            <w:tcBorders>
              <w:top w:val="single" w:color="auto" w:sz="6" w:space="0"/>
              <w:left w:val="single" w:color="auto" w:sz="6" w:space="0"/>
              <w:bottom w:val="single" w:color="auto" w:sz="6" w:space="0"/>
              <w:right w:val="single" w:color="auto" w:sz="6" w:space="0"/>
            </w:tcBorders>
          </w:tcPr>
          <w:p w14:paraId="25D9BD87">
            <w:pPr>
              <w:autoSpaceDE w:val="0"/>
              <w:autoSpaceDN w:val="0"/>
              <w:adjustRightInd w:val="0"/>
              <w:snapToGrid w:val="0"/>
              <w:spacing w:line="360" w:lineRule="auto"/>
              <w:ind w:left="527" w:right="507"/>
              <w:jc w:val="center"/>
              <w:rPr>
                <w:rFonts w:asciiTheme="minorEastAsia" w:hAnsiTheme="minorEastAsia" w:eastAsiaTheme="minorEastAsia"/>
                <w:kern w:val="0"/>
                <w:szCs w:val="21"/>
              </w:rPr>
            </w:pPr>
          </w:p>
        </w:tc>
        <w:tc>
          <w:tcPr>
            <w:tcW w:w="2126" w:type="dxa"/>
            <w:tcBorders>
              <w:top w:val="single" w:color="auto" w:sz="6" w:space="0"/>
              <w:left w:val="single" w:color="auto" w:sz="6" w:space="0"/>
              <w:bottom w:val="single" w:color="auto" w:sz="6" w:space="0"/>
              <w:right w:val="single" w:color="auto" w:sz="4" w:space="0"/>
            </w:tcBorders>
          </w:tcPr>
          <w:p w14:paraId="5CFC7162">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200" w:type="dxa"/>
            <w:tcBorders>
              <w:top w:val="single" w:color="auto" w:sz="6" w:space="0"/>
              <w:left w:val="single" w:color="auto" w:sz="4" w:space="0"/>
              <w:bottom w:val="single" w:color="auto" w:sz="6" w:space="0"/>
              <w:right w:val="single" w:color="auto" w:sz="6" w:space="0"/>
            </w:tcBorders>
          </w:tcPr>
          <w:p w14:paraId="08F6A2C1">
            <w:pPr>
              <w:autoSpaceDE w:val="0"/>
              <w:autoSpaceDN w:val="0"/>
              <w:adjustRightInd w:val="0"/>
              <w:snapToGrid w:val="0"/>
              <w:spacing w:line="360" w:lineRule="auto"/>
              <w:jc w:val="left"/>
              <w:rPr>
                <w:rFonts w:asciiTheme="minorEastAsia" w:hAnsiTheme="minorEastAsia" w:eastAsiaTheme="minorEastAsia"/>
                <w:kern w:val="0"/>
                <w:szCs w:val="21"/>
              </w:rPr>
            </w:pPr>
          </w:p>
        </w:tc>
        <w:tc>
          <w:tcPr>
            <w:tcW w:w="1092" w:type="dxa"/>
            <w:tcBorders>
              <w:top w:val="single" w:color="auto" w:sz="6" w:space="0"/>
              <w:left w:val="single" w:color="auto" w:sz="6" w:space="0"/>
              <w:bottom w:val="single" w:color="auto" w:sz="6" w:space="0"/>
              <w:right w:val="single" w:color="auto" w:sz="4" w:space="0"/>
            </w:tcBorders>
          </w:tcPr>
          <w:p w14:paraId="4DD3BEDB">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0" w:type="dxa"/>
            <w:tcBorders>
              <w:top w:val="single" w:color="auto" w:sz="6" w:space="0"/>
              <w:left w:val="single" w:color="auto" w:sz="4" w:space="0"/>
              <w:bottom w:val="single" w:color="auto" w:sz="6" w:space="0"/>
              <w:right w:val="single" w:color="auto" w:sz="6" w:space="0"/>
            </w:tcBorders>
          </w:tcPr>
          <w:p w14:paraId="299E2C57">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6" w:type="dxa"/>
            <w:tcBorders>
              <w:top w:val="single" w:color="auto" w:sz="6" w:space="0"/>
              <w:left w:val="single" w:color="auto" w:sz="6" w:space="0"/>
              <w:bottom w:val="single" w:color="auto" w:sz="6" w:space="0"/>
              <w:right w:val="single" w:color="auto" w:sz="6" w:space="0"/>
            </w:tcBorders>
          </w:tcPr>
          <w:p w14:paraId="0E066D87">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4" w:type="dxa"/>
            <w:tcBorders>
              <w:top w:val="single" w:color="auto" w:sz="6" w:space="0"/>
              <w:left w:val="single" w:color="auto" w:sz="6" w:space="0"/>
              <w:bottom w:val="single" w:color="auto" w:sz="6" w:space="0"/>
              <w:right w:val="double" w:color="auto" w:sz="4" w:space="0"/>
            </w:tcBorders>
          </w:tcPr>
          <w:p w14:paraId="58D7CB1C">
            <w:pPr>
              <w:autoSpaceDE w:val="0"/>
              <w:autoSpaceDN w:val="0"/>
              <w:adjustRightInd w:val="0"/>
              <w:snapToGrid w:val="0"/>
              <w:spacing w:line="360" w:lineRule="auto"/>
              <w:jc w:val="left"/>
              <w:rPr>
                <w:rFonts w:asciiTheme="minorEastAsia" w:hAnsiTheme="minorEastAsia" w:eastAsiaTheme="minorEastAsia"/>
                <w:kern w:val="0"/>
                <w:szCs w:val="21"/>
              </w:rPr>
            </w:pPr>
          </w:p>
        </w:tc>
      </w:tr>
      <w:tr w14:paraId="36AC3EB6">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vAlign w:val="center"/>
          </w:tcPr>
          <w:p w14:paraId="709FD560">
            <w:pPr>
              <w:autoSpaceDE w:val="0"/>
              <w:autoSpaceDN w:val="0"/>
              <w:adjustRightInd w:val="0"/>
              <w:snapToGrid w:val="0"/>
              <w:spacing w:line="360" w:lineRule="auto"/>
              <w:jc w:val="center"/>
              <w:rPr>
                <w:rFonts w:asciiTheme="minorEastAsia" w:hAnsiTheme="minorEastAsia" w:eastAsiaTheme="minorEastAsia"/>
                <w:kern w:val="0"/>
                <w:szCs w:val="21"/>
              </w:rPr>
            </w:pPr>
            <w:r>
              <w:rPr>
                <w:rFonts w:hint="eastAsia" w:cs="微软雅黑" w:asciiTheme="minorEastAsia" w:hAnsiTheme="minorEastAsia" w:eastAsiaTheme="minorEastAsia"/>
                <w:kern w:val="0"/>
                <w:position w:val="-1"/>
                <w:szCs w:val="21"/>
              </w:rPr>
              <w:t>投标报价（元）：</w:t>
            </w:r>
          </w:p>
        </w:tc>
        <w:tc>
          <w:tcPr>
            <w:tcW w:w="916" w:type="dxa"/>
            <w:tcBorders>
              <w:top w:val="single" w:color="auto" w:sz="6" w:space="0"/>
              <w:left w:val="single" w:color="auto" w:sz="6" w:space="0"/>
              <w:bottom w:val="double" w:color="auto" w:sz="4" w:space="0"/>
              <w:right w:val="single" w:color="auto" w:sz="6" w:space="0"/>
            </w:tcBorders>
          </w:tcPr>
          <w:p w14:paraId="0A803C14">
            <w:pPr>
              <w:autoSpaceDE w:val="0"/>
              <w:autoSpaceDN w:val="0"/>
              <w:adjustRightInd w:val="0"/>
              <w:snapToGrid w:val="0"/>
              <w:spacing w:line="360" w:lineRule="auto"/>
              <w:jc w:val="left"/>
              <w:rPr>
                <w:rFonts w:asciiTheme="minorEastAsia" w:hAnsiTheme="minorEastAsia" w:eastAsiaTheme="minorEastAsia"/>
                <w:kern w:val="0"/>
                <w:szCs w:val="21"/>
              </w:rPr>
            </w:pPr>
          </w:p>
        </w:tc>
        <w:tc>
          <w:tcPr>
            <w:tcW w:w="914" w:type="dxa"/>
            <w:tcBorders>
              <w:top w:val="single" w:color="auto" w:sz="6" w:space="0"/>
              <w:left w:val="single" w:color="auto" w:sz="6" w:space="0"/>
              <w:bottom w:val="double" w:color="auto" w:sz="4" w:space="0"/>
              <w:right w:val="double" w:color="auto" w:sz="4" w:space="0"/>
            </w:tcBorders>
          </w:tcPr>
          <w:p w14:paraId="40FA0668">
            <w:pPr>
              <w:autoSpaceDE w:val="0"/>
              <w:autoSpaceDN w:val="0"/>
              <w:adjustRightInd w:val="0"/>
              <w:snapToGrid w:val="0"/>
              <w:spacing w:line="360" w:lineRule="auto"/>
              <w:jc w:val="left"/>
              <w:rPr>
                <w:rFonts w:asciiTheme="minorEastAsia" w:hAnsiTheme="minorEastAsia" w:eastAsiaTheme="minorEastAsia"/>
                <w:kern w:val="0"/>
                <w:szCs w:val="21"/>
              </w:rPr>
            </w:pPr>
          </w:p>
        </w:tc>
      </w:tr>
    </w:tbl>
    <w:p w14:paraId="67C50CBC">
      <w:pPr>
        <w:adjustRightInd w:val="0"/>
        <w:snapToGrid w:val="0"/>
        <w:spacing w:line="360" w:lineRule="auto"/>
        <w:rPr>
          <w:rFonts w:ascii="宋体" w:hAnsi="宋体"/>
          <w:szCs w:val="21"/>
        </w:rPr>
      </w:pPr>
      <w:r>
        <w:rPr>
          <w:rFonts w:hint="eastAsia" w:ascii="宋体" w:hAnsi="宋体"/>
          <w:szCs w:val="21"/>
        </w:rPr>
        <w:t>备注：</w:t>
      </w:r>
      <w:r>
        <w:rPr>
          <w:rFonts w:hint="eastAsia" w:asciiTheme="minorEastAsia" w:hAnsiTheme="minorEastAsia" w:eastAsiaTheme="minorEastAsia"/>
          <w:szCs w:val="21"/>
        </w:rPr>
        <w:t>（1）</w:t>
      </w:r>
      <w:r>
        <w:rPr>
          <w:rFonts w:hint="eastAsia" w:asciiTheme="minorEastAsia" w:hAnsiTheme="minorEastAsia" w:eastAsiaTheme="minorEastAsia"/>
          <w:b/>
          <w:szCs w:val="21"/>
        </w:rPr>
        <w:t>本表应对应</w:t>
      </w:r>
      <w:r>
        <w:rPr>
          <w:rFonts w:hint="eastAsia" w:ascii="宋体" w:hAnsi="宋体"/>
          <w:szCs w:val="21"/>
        </w:rPr>
        <w:t>“</w:t>
      </w:r>
      <w:r>
        <w:rPr>
          <w:rFonts w:hint="eastAsia" w:asciiTheme="minorEastAsia" w:hAnsiTheme="minorEastAsia" w:eastAsiaTheme="minorEastAsia"/>
          <w:b/>
          <w:szCs w:val="21"/>
        </w:rPr>
        <w:t>开标一览表</w:t>
      </w:r>
      <w:r>
        <w:rPr>
          <w:rFonts w:hint="eastAsia" w:ascii="宋体" w:hAnsi="宋体"/>
          <w:szCs w:val="21"/>
        </w:rPr>
        <w:t>”</w:t>
      </w:r>
      <w:r>
        <w:rPr>
          <w:rFonts w:hint="eastAsia" w:asciiTheme="minorEastAsia" w:hAnsiTheme="minorEastAsia" w:eastAsiaTheme="minorEastAsia"/>
          <w:b/>
          <w:szCs w:val="21"/>
        </w:rPr>
        <w:t>，按包填写</w:t>
      </w:r>
      <w:r>
        <w:rPr>
          <w:rFonts w:hint="eastAsia" w:asciiTheme="minorEastAsia" w:hAnsiTheme="minorEastAsia" w:eastAsiaTheme="minorEastAsia"/>
          <w:szCs w:val="21"/>
        </w:rPr>
        <w:t>。</w:t>
      </w:r>
      <w:r>
        <w:rPr>
          <w:rFonts w:hint="eastAsia" w:ascii="宋体" w:hAnsi="宋体"/>
          <w:szCs w:val="21"/>
        </w:rPr>
        <w:t>投标人如果不提供分项报价明细表，其</w:t>
      </w:r>
      <w:r>
        <w:rPr>
          <w:rFonts w:hint="eastAsia" w:ascii="宋体" w:hAnsi="宋体"/>
          <w:b/>
          <w:szCs w:val="21"/>
        </w:rPr>
        <w:t>投标无效</w:t>
      </w:r>
      <w:r>
        <w:rPr>
          <w:rFonts w:hint="eastAsia" w:ascii="宋体" w:hAnsi="宋体"/>
          <w:szCs w:val="21"/>
        </w:rPr>
        <w:t>。</w:t>
      </w:r>
    </w:p>
    <w:p w14:paraId="7381EB1B">
      <w:pPr>
        <w:adjustRightInd w:val="0"/>
        <w:snapToGrid w:val="0"/>
        <w:spacing w:line="360" w:lineRule="auto"/>
        <w:ind w:firstLine="420" w:firstLineChars="200"/>
        <w:rPr>
          <w:rFonts w:ascii="宋体" w:hAnsi="宋体"/>
          <w:szCs w:val="21"/>
        </w:rPr>
      </w:pPr>
      <w:r>
        <w:rPr>
          <w:rFonts w:hint="eastAsia" w:asciiTheme="minorEastAsia" w:hAnsiTheme="minorEastAsia" w:eastAsiaTheme="minorEastAsia"/>
          <w:szCs w:val="21"/>
        </w:rPr>
        <w:t>（2）</w:t>
      </w:r>
      <w:r>
        <w:rPr>
          <w:rFonts w:hint="eastAsia" w:ascii="宋体" w:hAnsi="宋体"/>
          <w:szCs w:val="21"/>
        </w:rPr>
        <w:t>不得填写“免费”或“赠与”，也不得进行“零”报价，否则</w:t>
      </w:r>
      <w:r>
        <w:rPr>
          <w:rFonts w:hint="eastAsia" w:ascii="宋体" w:hAnsi="宋体"/>
          <w:b/>
          <w:szCs w:val="21"/>
        </w:rPr>
        <w:t>投标无效</w:t>
      </w:r>
      <w:r>
        <w:rPr>
          <w:rFonts w:hint="eastAsia" w:ascii="宋体" w:hAnsi="宋体"/>
          <w:szCs w:val="21"/>
        </w:rPr>
        <w:t>。</w:t>
      </w:r>
    </w:p>
    <w:p w14:paraId="308D3735">
      <w:pPr>
        <w:adjustRightInd w:val="0"/>
        <w:snapToGrid w:val="0"/>
        <w:spacing w:line="360" w:lineRule="auto"/>
        <w:ind w:firstLine="420" w:firstLineChars="200"/>
        <w:rPr>
          <w:rFonts w:ascii="宋体" w:hAnsi="宋体"/>
          <w:szCs w:val="21"/>
        </w:rPr>
      </w:pPr>
      <w:r>
        <w:rPr>
          <w:rFonts w:hint="eastAsia" w:asciiTheme="minorEastAsia" w:hAnsiTheme="minorEastAsia" w:eastAsiaTheme="minorEastAsia"/>
          <w:szCs w:val="21"/>
        </w:rPr>
        <w:t>（3）</w:t>
      </w:r>
      <w:r>
        <w:rPr>
          <w:rFonts w:hint="eastAsia" w:ascii="宋体" w:hAnsi="宋体"/>
          <w:szCs w:val="21"/>
        </w:rPr>
        <w:t>如果开标一览表内容与本表内容不一致的，以开标一览表内容为准。</w:t>
      </w:r>
    </w:p>
    <w:p w14:paraId="0EEE4612">
      <w:pPr>
        <w:adjustRightInd w:val="0"/>
        <w:snapToGrid w:val="0"/>
        <w:spacing w:line="360" w:lineRule="auto"/>
        <w:ind w:firstLine="420" w:firstLineChars="200"/>
        <w:rPr>
          <w:rFonts w:ascii="宋体" w:hAnsi="宋体"/>
          <w:szCs w:val="21"/>
        </w:rPr>
      </w:pPr>
      <w:r>
        <w:rPr>
          <w:rFonts w:hint="eastAsia" w:asciiTheme="minorEastAsia" w:hAnsiTheme="minorEastAsia" w:eastAsiaTheme="minorEastAsia"/>
          <w:szCs w:val="21"/>
        </w:rPr>
        <w:t>（4）</w:t>
      </w:r>
      <w:r>
        <w:rPr>
          <w:rFonts w:hint="eastAsia" w:asciiTheme="minorEastAsia" w:hAnsiTheme="minorEastAsia" w:eastAsiaTheme="minorEastAsia"/>
          <w:bCs/>
          <w:szCs w:val="21"/>
        </w:rPr>
        <w:t>投标人在投标截止时间前修改“开标一览表”中的投标报价的，应按第二章第13.7款规定修改本表相应内容。否则，</w:t>
      </w:r>
      <w:r>
        <w:rPr>
          <w:rFonts w:hint="eastAsia" w:ascii="宋体" w:hAnsi="宋体"/>
          <w:szCs w:val="21"/>
        </w:rPr>
        <w:t>本表相应内容按投标报价修改的相同比例进行调整。</w:t>
      </w:r>
    </w:p>
    <w:p w14:paraId="549895F0">
      <w:pPr>
        <w:adjustRightInd w:val="0"/>
        <w:snapToGrid w:val="0"/>
        <w:spacing w:line="360" w:lineRule="auto"/>
        <w:rPr>
          <w:rFonts w:ascii="宋体" w:hAnsi="宋体"/>
          <w:szCs w:val="21"/>
        </w:rPr>
      </w:pPr>
    </w:p>
    <w:p w14:paraId="78854810">
      <w:pPr>
        <w:adjustRightInd w:val="0"/>
        <w:snapToGrid w:val="0"/>
        <w:spacing w:line="360" w:lineRule="auto"/>
        <w:rPr>
          <w:rFonts w:ascii="宋体" w:hAnsi="宋体"/>
          <w:szCs w:val="21"/>
        </w:rPr>
      </w:pPr>
      <w:r>
        <w:rPr>
          <w:rFonts w:hint="eastAsia" w:ascii="宋体" w:hAnsi="宋体"/>
          <w:szCs w:val="21"/>
        </w:rPr>
        <w:t>投标人名称（盖单位电子章）：</w:t>
      </w:r>
    </w:p>
    <w:p w14:paraId="42580744">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或其授权的代理人（电子签字或电子印章）：</w:t>
      </w:r>
    </w:p>
    <w:p w14:paraId="6A01840C">
      <w:pPr>
        <w:adjustRightInd w:val="0"/>
        <w:snapToGrid w:val="0"/>
        <w:spacing w:line="360" w:lineRule="auto"/>
        <w:rPr>
          <w:rFonts w:ascii="宋体" w:hAnsi="宋体"/>
          <w:szCs w:val="21"/>
        </w:rPr>
      </w:pPr>
      <w:r>
        <w:rPr>
          <w:rFonts w:hint="eastAsia" w:ascii="宋体" w:hAnsi="宋体"/>
          <w:szCs w:val="21"/>
        </w:rPr>
        <w:t>日期：   年  月  日</w:t>
      </w:r>
    </w:p>
    <w:p w14:paraId="0E85EEB4">
      <w:pPr>
        <w:adjustRightInd w:val="0"/>
        <w:snapToGrid w:val="0"/>
        <w:spacing w:line="360" w:lineRule="auto"/>
        <w:jc w:val="center"/>
        <w:rPr>
          <w:rFonts w:ascii="宋体" w:hAnsi="宋体"/>
          <w:szCs w:val="21"/>
        </w:rPr>
        <w:sectPr>
          <w:headerReference r:id="rId10" w:type="first"/>
          <w:footerReference r:id="rId13" w:type="first"/>
          <w:headerReference r:id="rId8" w:type="default"/>
          <w:footerReference r:id="rId11" w:type="default"/>
          <w:headerReference r:id="rId9" w:type="even"/>
          <w:footerReference r:id="rId12" w:type="even"/>
          <w:pgSz w:w="11906" w:h="16838"/>
          <w:pgMar w:top="1474" w:right="1474" w:bottom="1474" w:left="1588" w:header="851" w:footer="992" w:gutter="0"/>
          <w:pgNumType w:start="1"/>
          <w:cols w:space="720" w:num="1"/>
          <w:docGrid w:type="lines" w:linePitch="312" w:charSpace="0"/>
        </w:sectPr>
      </w:pPr>
    </w:p>
    <w:p w14:paraId="79CFF1E8">
      <w:pPr>
        <w:pStyle w:val="4"/>
        <w:adjustRightInd w:val="0"/>
        <w:snapToGrid w:val="0"/>
        <w:spacing w:before="0" w:after="0" w:line="360" w:lineRule="auto"/>
        <w:jc w:val="center"/>
        <w:rPr>
          <w:rFonts w:ascii="方正小标宋简体" w:hAnsi="方正小标宋简体" w:eastAsia="方正小标宋简体"/>
          <w:sz w:val="32"/>
          <w:szCs w:val="32"/>
        </w:rPr>
      </w:pPr>
      <w:bookmarkStart w:id="55" w:name="_Toc29913965"/>
      <w:r>
        <w:rPr>
          <w:rFonts w:hint="eastAsia" w:ascii="方正小标宋简体" w:hAnsi="方正小标宋简体" w:eastAsia="方正小标宋简体"/>
          <w:sz w:val="32"/>
          <w:szCs w:val="32"/>
        </w:rPr>
        <w:t>七、采购需求响应</w:t>
      </w:r>
      <w:bookmarkEnd w:id="55"/>
    </w:p>
    <w:p w14:paraId="056E5434">
      <w:pPr>
        <w:adjustRightInd w:val="0"/>
        <w:snapToGrid w:val="0"/>
        <w:spacing w:line="360" w:lineRule="auto"/>
        <w:rPr>
          <w:rFonts w:asciiTheme="minorEastAsia" w:hAnsiTheme="minorEastAsia" w:eastAsiaTheme="minorEastAsia"/>
          <w:b/>
          <w:szCs w:val="21"/>
        </w:rPr>
      </w:pPr>
    </w:p>
    <w:p w14:paraId="6704724A">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采购代理编号：                       项目名称：</w:t>
      </w:r>
    </w:p>
    <w:p w14:paraId="0655BA6D">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包号：                      包名称：</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6"/>
        <w:gridCol w:w="2410"/>
        <w:gridCol w:w="1985"/>
        <w:gridCol w:w="2127"/>
        <w:gridCol w:w="1756"/>
      </w:tblGrid>
      <w:tr w14:paraId="146E69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33383EB4">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D51C7B6">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szCs w:val="21"/>
              </w:rPr>
              <w:t>招标文件章节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436FB82F">
            <w:pPr>
              <w:adjustRightInd w:val="0"/>
              <w:snapToGrid w:val="0"/>
              <w:spacing w:before="50" w:line="360" w:lineRule="auto"/>
              <w:jc w:val="center"/>
            </w:pPr>
            <w:r>
              <w:rPr>
                <w:rFonts w:hint="eastAsia"/>
              </w:rPr>
              <w:t>招标文件要求</w:t>
            </w:r>
          </w:p>
        </w:tc>
        <w:tc>
          <w:tcPr>
            <w:tcW w:w="2126" w:type="dxa"/>
            <w:tcBorders>
              <w:left w:val="single" w:color="auto" w:sz="4" w:space="0"/>
            </w:tcBorders>
          </w:tcPr>
          <w:p w14:paraId="42203B17">
            <w:pPr>
              <w:adjustRightInd w:val="0"/>
              <w:snapToGrid w:val="0"/>
              <w:spacing w:before="50" w:line="360" w:lineRule="auto"/>
              <w:jc w:val="center"/>
            </w:pPr>
            <w:r>
              <w:rPr>
                <w:rFonts w:hint="eastAsia"/>
              </w:rPr>
              <w:t>投标文件应答</w:t>
            </w:r>
          </w:p>
        </w:tc>
        <w:tc>
          <w:tcPr>
            <w:tcW w:w="1756" w:type="dxa"/>
            <w:vAlign w:val="center"/>
          </w:tcPr>
          <w:p w14:paraId="2A826E15">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szCs w:val="21"/>
              </w:rPr>
              <w:t>响应说明</w:t>
            </w:r>
          </w:p>
        </w:tc>
      </w:tr>
      <w:tr w14:paraId="737EB4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7F7900D">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51750805">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5697AAA2">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3526592B">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392E3DC9">
            <w:pPr>
              <w:adjustRightInd w:val="0"/>
              <w:snapToGrid w:val="0"/>
              <w:spacing w:before="50" w:line="360" w:lineRule="auto"/>
              <w:ind w:left="-88" w:leftChars="-42"/>
              <w:jc w:val="center"/>
              <w:rPr>
                <w:rFonts w:asciiTheme="minorEastAsia" w:hAnsiTheme="minorEastAsia" w:eastAsiaTheme="minorEastAsia"/>
                <w:szCs w:val="21"/>
              </w:rPr>
            </w:pPr>
          </w:p>
        </w:tc>
      </w:tr>
      <w:tr w14:paraId="4E32C6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5C7DE1A">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1C2E9737">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2844A266">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47AE30D5">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356C3DF2">
            <w:pPr>
              <w:adjustRightInd w:val="0"/>
              <w:snapToGrid w:val="0"/>
              <w:spacing w:before="50" w:line="360" w:lineRule="auto"/>
              <w:ind w:left="-88" w:leftChars="-42"/>
              <w:jc w:val="center"/>
              <w:rPr>
                <w:rFonts w:asciiTheme="minorEastAsia" w:hAnsiTheme="minorEastAsia" w:eastAsiaTheme="minorEastAsia"/>
                <w:szCs w:val="21"/>
              </w:rPr>
            </w:pPr>
          </w:p>
        </w:tc>
      </w:tr>
      <w:tr w14:paraId="5DCBE5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8F60DBA">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2F2CE38E">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6C3F962A">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296389A2">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40038457">
            <w:pPr>
              <w:adjustRightInd w:val="0"/>
              <w:snapToGrid w:val="0"/>
              <w:spacing w:before="50" w:line="360" w:lineRule="auto"/>
              <w:ind w:left="-88" w:leftChars="-42"/>
              <w:jc w:val="center"/>
              <w:rPr>
                <w:rFonts w:asciiTheme="minorEastAsia" w:hAnsiTheme="minorEastAsia" w:eastAsiaTheme="minorEastAsia"/>
                <w:szCs w:val="21"/>
              </w:rPr>
            </w:pPr>
          </w:p>
        </w:tc>
      </w:tr>
      <w:tr w14:paraId="726A3B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6AE3AE9">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56AB078E">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62236464">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50FBCCD3">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59C1BC09">
            <w:pPr>
              <w:adjustRightInd w:val="0"/>
              <w:snapToGrid w:val="0"/>
              <w:spacing w:before="50" w:line="360" w:lineRule="auto"/>
              <w:ind w:left="-88" w:leftChars="-42"/>
              <w:jc w:val="center"/>
              <w:rPr>
                <w:rFonts w:asciiTheme="minorEastAsia" w:hAnsiTheme="minorEastAsia" w:eastAsiaTheme="minorEastAsia"/>
                <w:szCs w:val="21"/>
              </w:rPr>
            </w:pPr>
          </w:p>
        </w:tc>
      </w:tr>
      <w:tr w14:paraId="60F8F6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C41ACDB">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13142B23">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529AC2D9">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right w:val="single" w:color="auto" w:sz="4" w:space="0"/>
            </w:tcBorders>
            <w:vAlign w:val="center"/>
          </w:tcPr>
          <w:p w14:paraId="1192CA96">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tcBorders>
              <w:left w:val="single" w:color="auto" w:sz="4" w:space="0"/>
            </w:tcBorders>
            <w:vAlign w:val="center"/>
          </w:tcPr>
          <w:p w14:paraId="7C74674C">
            <w:pPr>
              <w:adjustRightInd w:val="0"/>
              <w:snapToGrid w:val="0"/>
              <w:spacing w:before="50" w:line="360" w:lineRule="auto"/>
              <w:ind w:left="-88" w:leftChars="-42"/>
              <w:jc w:val="center"/>
              <w:rPr>
                <w:rFonts w:asciiTheme="minorEastAsia" w:hAnsiTheme="minorEastAsia" w:eastAsiaTheme="minorEastAsia"/>
                <w:szCs w:val="21"/>
              </w:rPr>
            </w:pPr>
          </w:p>
        </w:tc>
      </w:tr>
      <w:tr w14:paraId="3A9ECA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3522AB0">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74AE7818">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259BE9E5">
            <w:pPr>
              <w:adjustRightInd w:val="0"/>
              <w:snapToGrid w:val="0"/>
              <w:spacing w:before="50" w:line="360" w:lineRule="auto"/>
              <w:ind w:left="-88" w:leftChars="-42"/>
              <w:jc w:val="center"/>
              <w:rPr>
                <w:rFonts w:asciiTheme="minorEastAsia" w:hAnsiTheme="minorEastAsia" w:eastAsiaTheme="minorEastAsia"/>
                <w:szCs w:val="21"/>
              </w:rPr>
            </w:pPr>
          </w:p>
        </w:tc>
        <w:tc>
          <w:tcPr>
            <w:tcW w:w="2127" w:type="dxa"/>
            <w:tcBorders>
              <w:left w:val="single" w:color="auto" w:sz="4" w:space="0"/>
              <w:right w:val="single" w:color="auto" w:sz="4" w:space="0"/>
            </w:tcBorders>
            <w:vAlign w:val="center"/>
          </w:tcPr>
          <w:p w14:paraId="0A4B050E">
            <w:pPr>
              <w:adjustRightInd w:val="0"/>
              <w:snapToGrid w:val="0"/>
              <w:spacing w:before="50" w:line="360" w:lineRule="auto"/>
              <w:ind w:firstLine="420" w:firstLineChars="200"/>
              <w:rPr>
                <w:rFonts w:asciiTheme="minorEastAsia" w:hAnsiTheme="minorEastAsia" w:eastAsiaTheme="minorEastAsia"/>
                <w:szCs w:val="21"/>
              </w:rPr>
            </w:pPr>
          </w:p>
        </w:tc>
        <w:tc>
          <w:tcPr>
            <w:tcW w:w="1755" w:type="dxa"/>
            <w:tcBorders>
              <w:left w:val="single" w:color="auto" w:sz="4" w:space="0"/>
            </w:tcBorders>
            <w:vAlign w:val="center"/>
          </w:tcPr>
          <w:p w14:paraId="2B1BEE54">
            <w:pPr>
              <w:adjustRightInd w:val="0"/>
              <w:snapToGrid w:val="0"/>
              <w:spacing w:before="50" w:line="360" w:lineRule="auto"/>
              <w:ind w:firstLine="420" w:firstLineChars="200"/>
              <w:rPr>
                <w:rFonts w:asciiTheme="minorEastAsia" w:hAnsiTheme="minorEastAsia" w:eastAsiaTheme="minorEastAsia"/>
                <w:szCs w:val="21"/>
              </w:rPr>
            </w:pPr>
          </w:p>
        </w:tc>
      </w:tr>
    </w:tbl>
    <w:p w14:paraId="277A286B"/>
    <w:p w14:paraId="5FCC9A69">
      <w:pPr>
        <w:adjustRightInd w:val="0"/>
        <w:snapToGrid w:val="0"/>
        <w:spacing w:line="360" w:lineRule="auto"/>
        <w:rPr>
          <w:b/>
        </w:rPr>
      </w:pPr>
      <w:r>
        <w:rPr>
          <w:rFonts w:hint="eastAsia" w:asciiTheme="minorEastAsia" w:hAnsiTheme="minorEastAsia" w:eastAsiaTheme="minorEastAsia"/>
          <w:b/>
          <w:szCs w:val="21"/>
        </w:rPr>
        <w:t>编制说明</w:t>
      </w:r>
      <w:r>
        <w:rPr>
          <w:rFonts w:hint="eastAsia" w:asciiTheme="minorEastAsia" w:hAnsiTheme="minorEastAsia" w:eastAsiaTheme="minorEastAsia"/>
          <w:bCs/>
          <w:szCs w:val="21"/>
        </w:rPr>
        <w:t>：</w:t>
      </w:r>
      <w:r>
        <w:rPr>
          <w:rFonts w:hint="eastAsia"/>
          <w:b/>
        </w:rPr>
        <w:t>投标人应按招标文件第五章采购需求自行编写采购需求响应文件（其内容可包括，且不限于详细的技术指标和性能、售后服务和技术服务的组织及保证措施等，格式自拟）。</w:t>
      </w:r>
    </w:p>
    <w:p w14:paraId="5773356A">
      <w:pPr>
        <w:pStyle w:val="23"/>
        <w:adjustRightInd w:val="0"/>
        <w:snapToGrid w:val="0"/>
        <w:spacing w:line="360" w:lineRule="auto"/>
        <w:ind w:left="-88" w:leftChars="-42"/>
        <w:rPr>
          <w:rFonts w:ascii="宋体" w:hAnsi="宋体"/>
          <w:bCs/>
          <w:sz w:val="21"/>
          <w:szCs w:val="21"/>
        </w:rPr>
      </w:pPr>
    </w:p>
    <w:p w14:paraId="3C9635A8">
      <w:pPr>
        <w:pStyle w:val="23"/>
        <w:tabs>
          <w:tab w:val="left" w:pos="6208"/>
        </w:tabs>
        <w:adjustRightInd w:val="0"/>
        <w:snapToGrid w:val="0"/>
        <w:spacing w:line="360" w:lineRule="auto"/>
        <w:ind w:left="-88" w:leftChars="-42"/>
        <w:rPr>
          <w:rFonts w:ascii="宋体" w:hAnsi="宋体"/>
          <w:bCs/>
          <w:sz w:val="21"/>
          <w:szCs w:val="21"/>
        </w:rPr>
      </w:pPr>
    </w:p>
    <w:p w14:paraId="79115312">
      <w:pPr>
        <w:adjustRightInd w:val="0"/>
        <w:snapToGrid w:val="0"/>
        <w:spacing w:line="360" w:lineRule="auto"/>
        <w:rPr>
          <w:rFonts w:ascii="宋体" w:hAnsi="宋体"/>
          <w:szCs w:val="21"/>
        </w:rPr>
      </w:pPr>
    </w:p>
    <w:p w14:paraId="18C300F6">
      <w:pPr>
        <w:adjustRightInd w:val="0"/>
        <w:snapToGrid w:val="0"/>
        <w:spacing w:line="360" w:lineRule="auto"/>
        <w:rPr>
          <w:rFonts w:ascii="宋体" w:hAnsi="宋体"/>
          <w:szCs w:val="21"/>
        </w:rPr>
      </w:pPr>
      <w:r>
        <w:rPr>
          <w:rFonts w:hint="eastAsia" w:ascii="宋体" w:hAnsi="宋体"/>
          <w:szCs w:val="21"/>
        </w:rPr>
        <w:t>投标人名称（盖单位电子章）：</w:t>
      </w:r>
    </w:p>
    <w:p w14:paraId="3F4F0957">
      <w:pPr>
        <w:adjustRightInd w:val="0"/>
        <w:snapToGrid w:val="0"/>
        <w:spacing w:line="360" w:lineRule="auto"/>
        <w:rPr>
          <w:rFonts w:ascii="宋体" w:hAnsi="宋体"/>
          <w:szCs w:val="21"/>
          <w:u w:val="single"/>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或其授权的代理人（电子签字或电子印章）：</w:t>
      </w:r>
    </w:p>
    <w:p w14:paraId="35EB65EA">
      <w:pPr>
        <w:adjustRightInd w:val="0"/>
        <w:snapToGrid w:val="0"/>
        <w:spacing w:line="360" w:lineRule="auto"/>
        <w:rPr>
          <w:rFonts w:ascii="宋体" w:hAnsi="宋体"/>
          <w:szCs w:val="21"/>
        </w:rPr>
      </w:pPr>
      <w:r>
        <w:rPr>
          <w:rFonts w:hint="eastAsia" w:ascii="宋体" w:hAnsi="宋体"/>
          <w:szCs w:val="21"/>
        </w:rPr>
        <w:t>日期：    年  月  日</w:t>
      </w:r>
    </w:p>
    <w:p w14:paraId="0344F34C">
      <w:pPr>
        <w:adjustRightInd w:val="0"/>
        <w:snapToGrid w:val="0"/>
        <w:spacing w:line="360" w:lineRule="auto"/>
        <w:rPr>
          <w:rFonts w:ascii="宋体" w:hAnsi="宋体"/>
          <w:szCs w:val="21"/>
        </w:rPr>
      </w:pPr>
    </w:p>
    <w:p w14:paraId="488C5230">
      <w:pPr>
        <w:adjustRightInd w:val="0"/>
        <w:snapToGrid w:val="0"/>
        <w:spacing w:line="360" w:lineRule="auto"/>
        <w:rPr>
          <w:rFonts w:ascii="宋体" w:hAnsi="宋体"/>
          <w:szCs w:val="21"/>
        </w:rPr>
      </w:pPr>
    </w:p>
    <w:p w14:paraId="2ABD6D46">
      <w:pPr>
        <w:adjustRightInd w:val="0"/>
        <w:snapToGrid w:val="0"/>
        <w:spacing w:line="360" w:lineRule="auto"/>
        <w:rPr>
          <w:rFonts w:ascii="宋体" w:hAnsi="宋体"/>
          <w:szCs w:val="21"/>
        </w:rPr>
      </w:pPr>
    </w:p>
    <w:p w14:paraId="57C14807"/>
    <w:p w14:paraId="44E4ED61"/>
    <w:p w14:paraId="60B01FE0"/>
    <w:p w14:paraId="27B2FB2E"/>
    <w:p w14:paraId="32B3DBC6"/>
    <w:p w14:paraId="2A2EB2F3"/>
    <w:p w14:paraId="3C9B0F2A"/>
    <w:p w14:paraId="3DE5DA65"/>
    <w:p w14:paraId="39AEFCD8"/>
    <w:p w14:paraId="7E3847D6">
      <w:pPr>
        <w:adjustRightInd w:val="0"/>
        <w:snapToGrid w:val="0"/>
        <w:spacing w:line="360" w:lineRule="auto"/>
        <w:rPr>
          <w:rFonts w:ascii="宋体" w:hAnsi="宋体"/>
          <w:szCs w:val="21"/>
        </w:rPr>
      </w:pPr>
    </w:p>
    <w:p w14:paraId="2745EB3B">
      <w:pPr>
        <w:adjustRightInd w:val="0"/>
        <w:snapToGrid w:val="0"/>
        <w:spacing w:line="360" w:lineRule="auto"/>
        <w:rPr>
          <w:rFonts w:ascii="黑体" w:hAnsi="宋体" w:eastAsia="黑体"/>
          <w:sz w:val="28"/>
          <w:szCs w:val="28"/>
        </w:rPr>
        <w:sectPr>
          <w:headerReference r:id="rId16" w:type="first"/>
          <w:headerReference r:id="rId14" w:type="default"/>
          <w:footerReference r:id="rId17" w:type="default"/>
          <w:headerReference r:id="rId15" w:type="even"/>
          <w:pgSz w:w="11906" w:h="16838"/>
          <w:pgMar w:top="1474" w:right="1474" w:bottom="1474" w:left="1588" w:header="851" w:footer="992" w:gutter="0"/>
          <w:cols w:space="720" w:num="1"/>
          <w:docGrid w:type="lines" w:linePitch="312" w:charSpace="0"/>
        </w:sectPr>
      </w:pPr>
    </w:p>
    <w:p w14:paraId="773E7ED7">
      <w:pPr>
        <w:pStyle w:val="4"/>
        <w:adjustRightInd w:val="0"/>
        <w:snapToGrid w:val="0"/>
        <w:spacing w:beforeLines="50" w:after="0" w:line="360" w:lineRule="auto"/>
        <w:jc w:val="center"/>
        <w:rPr>
          <w:rFonts w:ascii="方正小标宋简体" w:hAnsi="方正小标宋简体" w:eastAsia="方正小标宋简体"/>
          <w:sz w:val="32"/>
          <w:szCs w:val="32"/>
        </w:rPr>
      </w:pPr>
      <w:bookmarkStart w:id="56" w:name="_Toc29913967"/>
      <w:r>
        <w:rPr>
          <w:rFonts w:hint="eastAsia" w:ascii="方正小标宋简体" w:hAnsi="方正小标宋简体" w:eastAsia="方正小标宋简体"/>
          <w:sz w:val="32"/>
          <w:szCs w:val="32"/>
        </w:rPr>
        <w:t>八、合同条款偏离表</w:t>
      </w:r>
      <w:bookmarkEnd w:id="56"/>
    </w:p>
    <w:p w14:paraId="4B471E33">
      <w:pPr>
        <w:adjustRightInd w:val="0"/>
        <w:snapToGrid w:val="0"/>
        <w:spacing w:beforeLines="50" w:line="360" w:lineRule="auto"/>
        <w:rPr>
          <w:rFonts w:asciiTheme="minorEastAsia" w:hAnsiTheme="minorEastAsia" w:eastAsiaTheme="minorEastAsia"/>
          <w:szCs w:val="21"/>
          <w:u w:val="single"/>
        </w:rPr>
      </w:pPr>
      <w:r>
        <w:rPr>
          <w:rFonts w:hint="eastAsia"/>
        </w:rPr>
        <w:t>采购代理编号</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项目名称：</w:t>
      </w:r>
      <w:r>
        <w:rPr>
          <w:rFonts w:hint="eastAsia" w:asciiTheme="minorEastAsia" w:hAnsiTheme="minorEastAsia" w:eastAsiaTheme="minorEastAsia"/>
          <w:szCs w:val="21"/>
          <w:u w:val="single"/>
        </w:rPr>
        <w:t>____            ______</w:t>
      </w:r>
    </w:p>
    <w:p w14:paraId="52BE7033">
      <w:pPr>
        <w:adjustRightInd w:val="0"/>
        <w:snapToGrid w:val="0"/>
        <w:spacing w:before="50" w:line="360" w:lineRule="auto"/>
        <w:rPr>
          <w:rFonts w:ascii="宋体" w:hAnsi="宋体"/>
          <w:szCs w:val="21"/>
          <w:u w:val="single"/>
        </w:rPr>
      </w:pPr>
      <w:r>
        <w:rPr>
          <w:rFonts w:hint="eastAsia" w:asciiTheme="minorEastAsia" w:hAnsiTheme="minorEastAsia" w:eastAsiaTheme="minorEastAsia"/>
          <w:szCs w:val="21"/>
        </w:rPr>
        <w:t>包        号：</w:t>
      </w:r>
      <w:r>
        <w:rPr>
          <w:rFonts w:hint="eastAsia" w:asciiTheme="minorEastAsia" w:hAnsiTheme="minorEastAsia" w:eastAsiaTheme="minorEastAsia"/>
          <w:szCs w:val="21"/>
          <w:u w:val="single"/>
        </w:rPr>
        <w:t xml:space="preserve">__    ________          </w:t>
      </w:r>
      <w:r>
        <w:rPr>
          <w:rFonts w:hint="eastAsia" w:asciiTheme="minorEastAsia" w:hAnsiTheme="minorEastAsia" w:eastAsiaTheme="minorEastAsia"/>
          <w:szCs w:val="21"/>
        </w:rPr>
        <w:t xml:space="preserve">           包名称：</w:t>
      </w:r>
      <w:r>
        <w:rPr>
          <w:rFonts w:hint="eastAsia" w:asciiTheme="minorEastAsia" w:hAnsiTheme="minorEastAsia" w:eastAsiaTheme="minorEastAsia"/>
          <w:szCs w:val="21"/>
          <w:u w:val="single"/>
        </w:rPr>
        <w:t>___          _______</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49B5CC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0C5300ED">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F886066">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szCs w:val="21"/>
              </w:rPr>
              <w:t>招标文件章节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495C031A">
            <w:pPr>
              <w:adjustRightInd w:val="0"/>
              <w:snapToGrid w:val="0"/>
              <w:spacing w:before="50" w:line="360" w:lineRule="auto"/>
              <w:ind w:left="-88" w:leftChars="-42"/>
              <w:jc w:val="center"/>
              <w:rPr>
                <w:rFonts w:asciiTheme="minorEastAsia" w:hAnsiTheme="minorEastAsia" w:eastAsiaTheme="minorEastAsia"/>
                <w:szCs w:val="21"/>
              </w:rPr>
            </w:pPr>
            <w:r>
              <w:rPr>
                <w:rFonts w:hint="eastAsia"/>
              </w:rPr>
              <w:t>招标文件要求</w:t>
            </w:r>
          </w:p>
        </w:tc>
        <w:tc>
          <w:tcPr>
            <w:tcW w:w="2082" w:type="dxa"/>
            <w:tcBorders>
              <w:right w:val="single" w:color="auto" w:sz="4" w:space="0"/>
            </w:tcBorders>
            <w:vAlign w:val="center"/>
          </w:tcPr>
          <w:p w14:paraId="03090851">
            <w:pPr>
              <w:adjustRightInd w:val="0"/>
              <w:snapToGrid w:val="0"/>
              <w:spacing w:before="50" w:line="360" w:lineRule="auto"/>
              <w:jc w:val="center"/>
              <w:rPr>
                <w:rFonts w:asciiTheme="minorEastAsia" w:hAnsiTheme="minorEastAsia" w:eastAsiaTheme="minorEastAsia"/>
                <w:szCs w:val="21"/>
              </w:rPr>
            </w:pPr>
            <w:r>
              <w:rPr>
                <w:rFonts w:hint="eastAsia"/>
              </w:rPr>
              <w:t>投标文件的应答</w:t>
            </w:r>
          </w:p>
        </w:tc>
        <w:tc>
          <w:tcPr>
            <w:tcW w:w="1942" w:type="dxa"/>
            <w:tcBorders>
              <w:left w:val="single" w:color="auto" w:sz="4" w:space="0"/>
            </w:tcBorders>
            <w:vAlign w:val="center"/>
          </w:tcPr>
          <w:p w14:paraId="6D66181E">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szCs w:val="21"/>
              </w:rPr>
              <w:t>偏离说明</w:t>
            </w:r>
          </w:p>
        </w:tc>
      </w:tr>
      <w:tr w14:paraId="24C84B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CAA99DB">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667EDE52">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Pr>
          <w:p w14:paraId="30B7D438">
            <w:pPr>
              <w:adjustRightInd w:val="0"/>
              <w:snapToGrid w:val="0"/>
              <w:spacing w:before="50" w:line="360" w:lineRule="auto"/>
            </w:pPr>
          </w:p>
        </w:tc>
        <w:tc>
          <w:tcPr>
            <w:tcW w:w="2082" w:type="dxa"/>
            <w:tcBorders>
              <w:right w:val="single" w:color="auto" w:sz="4" w:space="0"/>
            </w:tcBorders>
          </w:tcPr>
          <w:p w14:paraId="26AD6195">
            <w:pPr>
              <w:adjustRightInd w:val="0"/>
              <w:snapToGrid w:val="0"/>
              <w:spacing w:before="50" w:line="360" w:lineRule="auto"/>
            </w:pPr>
          </w:p>
        </w:tc>
        <w:tc>
          <w:tcPr>
            <w:tcW w:w="1942" w:type="dxa"/>
            <w:tcBorders>
              <w:left w:val="single" w:color="auto" w:sz="4" w:space="0"/>
            </w:tcBorders>
          </w:tcPr>
          <w:p w14:paraId="1C497ED7">
            <w:pPr>
              <w:adjustRightInd w:val="0"/>
              <w:snapToGrid w:val="0"/>
              <w:spacing w:before="50" w:line="360" w:lineRule="auto"/>
              <w:ind w:left="-88" w:leftChars="-42"/>
              <w:jc w:val="center"/>
              <w:rPr>
                <w:rFonts w:asciiTheme="minorEastAsia" w:hAnsiTheme="minorEastAsia" w:eastAsiaTheme="minorEastAsia"/>
                <w:szCs w:val="21"/>
              </w:rPr>
            </w:pPr>
          </w:p>
        </w:tc>
      </w:tr>
      <w:tr w14:paraId="480D7A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1745A62">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580CE506">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2DEFAA50">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31C06CBD">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2938846C">
            <w:pPr>
              <w:adjustRightInd w:val="0"/>
              <w:snapToGrid w:val="0"/>
              <w:spacing w:before="50" w:line="360" w:lineRule="auto"/>
              <w:ind w:left="-88" w:leftChars="-42"/>
              <w:jc w:val="center"/>
              <w:rPr>
                <w:rFonts w:asciiTheme="minorEastAsia" w:hAnsiTheme="minorEastAsia" w:eastAsiaTheme="minorEastAsia"/>
                <w:szCs w:val="21"/>
              </w:rPr>
            </w:pPr>
          </w:p>
        </w:tc>
      </w:tr>
      <w:tr w14:paraId="06BFAC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0FF1C2C">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61968181">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10892E9F">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6A368886">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3F45D2BA">
            <w:pPr>
              <w:adjustRightInd w:val="0"/>
              <w:snapToGrid w:val="0"/>
              <w:spacing w:before="50" w:line="360" w:lineRule="auto"/>
              <w:ind w:left="-88" w:leftChars="-42"/>
              <w:jc w:val="center"/>
              <w:rPr>
                <w:rFonts w:asciiTheme="minorEastAsia" w:hAnsiTheme="minorEastAsia" w:eastAsiaTheme="minorEastAsia"/>
                <w:szCs w:val="21"/>
              </w:rPr>
            </w:pPr>
          </w:p>
        </w:tc>
      </w:tr>
      <w:tr w14:paraId="7EEFEA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4E4854D">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29BF3690">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072246FA">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12AAC9D0">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3372230B">
            <w:pPr>
              <w:adjustRightInd w:val="0"/>
              <w:snapToGrid w:val="0"/>
              <w:spacing w:before="50" w:line="360" w:lineRule="auto"/>
              <w:ind w:left="-88" w:leftChars="-42"/>
              <w:jc w:val="center"/>
              <w:rPr>
                <w:rFonts w:asciiTheme="minorEastAsia" w:hAnsiTheme="minorEastAsia" w:eastAsiaTheme="minorEastAsia"/>
                <w:szCs w:val="21"/>
              </w:rPr>
            </w:pPr>
          </w:p>
        </w:tc>
      </w:tr>
      <w:tr w14:paraId="665BE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48BB427">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25D089BB">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6C89F612">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27E8F161">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2A9B416E">
            <w:pPr>
              <w:adjustRightInd w:val="0"/>
              <w:snapToGrid w:val="0"/>
              <w:spacing w:before="50" w:line="360" w:lineRule="auto"/>
              <w:ind w:left="-88" w:leftChars="-42"/>
              <w:jc w:val="center"/>
              <w:rPr>
                <w:rFonts w:asciiTheme="minorEastAsia" w:hAnsiTheme="minorEastAsia" w:eastAsiaTheme="minorEastAsia"/>
                <w:szCs w:val="21"/>
              </w:rPr>
            </w:pPr>
          </w:p>
        </w:tc>
      </w:tr>
      <w:tr w14:paraId="4D7F6E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45286E4">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38D91AC4">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71B93EE2">
            <w:pPr>
              <w:adjustRightInd w:val="0"/>
              <w:snapToGrid w:val="0"/>
              <w:spacing w:before="50" w:line="360" w:lineRule="auto"/>
              <w:ind w:left="-88" w:leftChars="-42"/>
              <w:jc w:val="center"/>
              <w:rPr>
                <w:rFonts w:asciiTheme="minorEastAsia" w:hAnsiTheme="minorEastAsia" w:eastAsiaTheme="minorEastAsia"/>
                <w:szCs w:val="21"/>
              </w:rPr>
            </w:pPr>
          </w:p>
        </w:tc>
        <w:tc>
          <w:tcPr>
            <w:tcW w:w="2082" w:type="dxa"/>
            <w:tcBorders>
              <w:right w:val="single" w:color="auto" w:sz="4" w:space="0"/>
            </w:tcBorders>
            <w:vAlign w:val="center"/>
          </w:tcPr>
          <w:p w14:paraId="0690D555">
            <w:pPr>
              <w:adjustRightInd w:val="0"/>
              <w:snapToGrid w:val="0"/>
              <w:spacing w:before="50" w:line="360" w:lineRule="auto"/>
              <w:ind w:left="-88" w:leftChars="-42"/>
              <w:jc w:val="center"/>
              <w:rPr>
                <w:rFonts w:asciiTheme="minorEastAsia" w:hAnsiTheme="minorEastAsia" w:eastAsiaTheme="minorEastAsia"/>
                <w:szCs w:val="21"/>
              </w:rPr>
            </w:pPr>
          </w:p>
        </w:tc>
        <w:tc>
          <w:tcPr>
            <w:tcW w:w="1942" w:type="dxa"/>
            <w:tcBorders>
              <w:left w:val="single" w:color="auto" w:sz="4" w:space="0"/>
            </w:tcBorders>
            <w:vAlign w:val="center"/>
          </w:tcPr>
          <w:p w14:paraId="52B2B5E4">
            <w:pPr>
              <w:adjustRightInd w:val="0"/>
              <w:snapToGrid w:val="0"/>
              <w:spacing w:before="50" w:line="360" w:lineRule="auto"/>
              <w:ind w:left="-88" w:leftChars="-42"/>
              <w:jc w:val="center"/>
              <w:rPr>
                <w:rFonts w:asciiTheme="minorEastAsia" w:hAnsiTheme="minorEastAsia" w:eastAsiaTheme="minorEastAsia"/>
                <w:szCs w:val="21"/>
              </w:rPr>
            </w:pPr>
          </w:p>
        </w:tc>
      </w:tr>
      <w:tr w14:paraId="4E64A6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C2FA38C">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3988C022">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vAlign w:val="center"/>
          </w:tcPr>
          <w:p w14:paraId="0FF89730">
            <w:pPr>
              <w:adjustRightInd w:val="0"/>
              <w:snapToGrid w:val="0"/>
              <w:spacing w:before="50" w:line="360" w:lineRule="auto"/>
              <w:ind w:left="-88" w:leftChars="-42"/>
              <w:jc w:val="center"/>
              <w:rPr>
                <w:rFonts w:asciiTheme="minorEastAsia" w:hAnsiTheme="minorEastAsia" w:eastAsiaTheme="minorEastAsia"/>
                <w:szCs w:val="21"/>
              </w:rPr>
            </w:pPr>
          </w:p>
        </w:tc>
        <w:tc>
          <w:tcPr>
            <w:tcW w:w="4024" w:type="dxa"/>
            <w:gridSpan w:val="2"/>
            <w:vAlign w:val="center"/>
          </w:tcPr>
          <w:p w14:paraId="70B193F9">
            <w:pPr>
              <w:adjustRightInd w:val="0"/>
              <w:snapToGrid w:val="0"/>
              <w:spacing w:before="50" w:line="360" w:lineRule="auto"/>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投标人保证：除本合同条款偏离表列出的偏离外，我单位对招标文件的其他商务、合同条款完全响应，无偏离。</w:t>
            </w:r>
          </w:p>
        </w:tc>
      </w:tr>
    </w:tbl>
    <w:p w14:paraId="33C8C190">
      <w:pPr>
        <w:adjustRightInd w:val="0"/>
        <w:snapToGrid w:val="0"/>
        <w:spacing w:before="50" w:line="360" w:lineRule="auto"/>
        <w:ind w:left="-88" w:leftChars="-42"/>
        <w:rPr>
          <w:rFonts w:ascii="宋体" w:hAnsi="宋体"/>
          <w:szCs w:val="21"/>
        </w:rPr>
      </w:pPr>
      <w:r>
        <w:rPr>
          <w:rFonts w:hint="eastAsia" w:asciiTheme="minorEastAsia" w:hAnsiTheme="minorEastAsia" w:eastAsiaTheme="minorEastAsia"/>
          <w:b/>
          <w:szCs w:val="21"/>
        </w:rPr>
        <w:t>备注</w:t>
      </w:r>
      <w:r>
        <w:rPr>
          <w:rFonts w:hint="eastAsia" w:asciiTheme="minorEastAsia" w:hAnsiTheme="minorEastAsia" w:eastAsiaTheme="minorEastAsia"/>
          <w:szCs w:val="21"/>
        </w:rPr>
        <w:t>：（1）</w:t>
      </w:r>
      <w:r>
        <w:rPr>
          <w:rFonts w:hint="eastAsia" w:ascii="宋体" w:hAnsi="宋体"/>
          <w:szCs w:val="21"/>
        </w:rPr>
        <w:t>投标人应根据招标文件第六章</w:t>
      </w:r>
      <w:r>
        <w:rPr>
          <w:rFonts w:hint="eastAsia" w:ascii="华文宋体" w:hAnsi="华文宋体" w:eastAsia="华文宋体"/>
          <w:szCs w:val="21"/>
        </w:rPr>
        <w:t>“</w:t>
      </w:r>
      <w:r>
        <w:rPr>
          <w:rFonts w:hint="eastAsia" w:ascii="宋体" w:hAnsi="宋体"/>
          <w:szCs w:val="21"/>
        </w:rPr>
        <w:t>政府采购合同</w:t>
      </w:r>
      <w:r>
        <w:rPr>
          <w:rFonts w:hint="eastAsia" w:ascii="华文宋体" w:hAnsi="华文宋体" w:eastAsia="华文宋体"/>
          <w:szCs w:val="21"/>
        </w:rPr>
        <w:t>”</w:t>
      </w:r>
      <w:r>
        <w:rPr>
          <w:rFonts w:hint="eastAsia" w:ascii="宋体" w:hAnsi="宋体"/>
          <w:szCs w:val="21"/>
        </w:rPr>
        <w:t>填写本表；</w:t>
      </w:r>
    </w:p>
    <w:p w14:paraId="0253391D">
      <w:pPr>
        <w:adjustRightInd w:val="0"/>
        <w:snapToGrid w:val="0"/>
        <w:spacing w:before="50" w:line="360" w:lineRule="auto"/>
        <w:ind w:left="-88" w:leftChars="-42" w:firstLine="420" w:firstLineChars="200"/>
        <w:rPr>
          <w:rFonts w:ascii="宋体" w:hAnsi="宋体"/>
          <w:b/>
          <w:szCs w:val="21"/>
        </w:rPr>
      </w:pPr>
      <w:r>
        <w:rPr>
          <w:rFonts w:hint="eastAsia" w:asciiTheme="minorEastAsia" w:hAnsiTheme="minorEastAsia" w:eastAsiaTheme="minorEastAsia"/>
          <w:szCs w:val="21"/>
        </w:rPr>
        <w:t>（2）</w:t>
      </w:r>
      <w:r>
        <w:rPr>
          <w:rFonts w:hint="eastAsia" w:ascii="宋体" w:hAnsi="宋体"/>
          <w:b/>
          <w:szCs w:val="21"/>
        </w:rPr>
        <w:t>投标人如果对招标文件第六章“政府采购合同”的响应有偏离，应将偏离条款逐条如实应答，并作出说明；</w:t>
      </w:r>
    </w:p>
    <w:p w14:paraId="5D12CD06">
      <w:pPr>
        <w:adjustRightInd w:val="0"/>
        <w:snapToGrid w:val="0"/>
        <w:spacing w:before="50" w:line="360" w:lineRule="auto"/>
        <w:ind w:left="-88" w:leftChars="-42" w:firstLine="420" w:firstLineChars="200"/>
        <w:rPr>
          <w:rFonts w:ascii="宋体" w:hAnsi="宋体"/>
          <w:szCs w:val="21"/>
        </w:rPr>
      </w:pPr>
      <w:r>
        <w:rPr>
          <w:rFonts w:hint="eastAsia" w:asciiTheme="minorEastAsia" w:hAnsiTheme="minorEastAsia" w:eastAsiaTheme="minorEastAsia"/>
          <w:szCs w:val="21"/>
        </w:rPr>
        <w:t>（3）</w:t>
      </w:r>
      <w:r>
        <w:rPr>
          <w:rFonts w:hint="eastAsia" w:ascii="宋体" w:hAnsi="宋体"/>
          <w:szCs w:val="21"/>
        </w:rPr>
        <w:t>如不提供此表，则视为投标人不满足招标文件第六章的所有条款要求，</w:t>
      </w:r>
      <w:r>
        <w:rPr>
          <w:rFonts w:hint="eastAsia" w:asciiTheme="minorEastAsia" w:hAnsiTheme="minorEastAsia" w:eastAsiaTheme="minorEastAsia"/>
          <w:szCs w:val="21"/>
        </w:rPr>
        <w:t>其</w:t>
      </w:r>
      <w:r>
        <w:rPr>
          <w:rFonts w:hint="eastAsia" w:asciiTheme="minorEastAsia" w:hAnsiTheme="minorEastAsia" w:eastAsiaTheme="minorEastAsia"/>
          <w:b/>
          <w:szCs w:val="21"/>
        </w:rPr>
        <w:t>投标无效</w:t>
      </w:r>
      <w:r>
        <w:rPr>
          <w:rFonts w:hint="eastAsia" w:ascii="宋体" w:hAnsi="宋体"/>
          <w:szCs w:val="21"/>
        </w:rPr>
        <w:t>。</w:t>
      </w:r>
    </w:p>
    <w:p w14:paraId="00099F6D">
      <w:pPr>
        <w:adjustRightInd w:val="0"/>
        <w:snapToGrid w:val="0"/>
        <w:spacing w:before="50" w:line="360" w:lineRule="auto"/>
        <w:ind w:left="-88" w:leftChars="-42" w:firstLine="420" w:firstLineChars="200"/>
        <w:rPr>
          <w:rFonts w:ascii="宋体" w:hAnsi="宋体"/>
          <w:szCs w:val="21"/>
        </w:rPr>
      </w:pPr>
      <w:r>
        <w:rPr>
          <w:rFonts w:hint="eastAsia" w:asciiTheme="minorEastAsia" w:hAnsiTheme="minorEastAsia" w:eastAsiaTheme="minorEastAsia"/>
          <w:szCs w:val="21"/>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259CDDC6">
      <w:pPr>
        <w:adjustRightInd w:val="0"/>
        <w:snapToGrid w:val="0"/>
        <w:spacing w:before="50" w:line="360" w:lineRule="auto"/>
        <w:rPr>
          <w:rFonts w:asciiTheme="minorEastAsia" w:hAnsiTheme="minorEastAsia" w:eastAsiaTheme="minorEastAsia"/>
          <w:szCs w:val="21"/>
        </w:rPr>
      </w:pPr>
    </w:p>
    <w:p w14:paraId="480AE84F">
      <w:pPr>
        <w:adjustRightInd w:val="0"/>
        <w:snapToGrid w:val="0"/>
        <w:spacing w:before="50" w:line="360" w:lineRule="auto"/>
        <w:rPr>
          <w:rFonts w:ascii="宋体" w:hAnsi="宋体"/>
          <w:szCs w:val="21"/>
        </w:rPr>
      </w:pPr>
    </w:p>
    <w:p w14:paraId="51C91E69">
      <w:pPr>
        <w:adjustRightInd w:val="0"/>
        <w:snapToGrid w:val="0"/>
        <w:spacing w:before="50" w:line="360" w:lineRule="auto"/>
        <w:rPr>
          <w:rFonts w:ascii="宋体" w:hAnsi="宋体"/>
          <w:szCs w:val="21"/>
        </w:rPr>
      </w:pPr>
      <w:r>
        <w:rPr>
          <w:rFonts w:hint="eastAsia" w:ascii="宋体" w:hAnsi="宋体"/>
          <w:szCs w:val="21"/>
        </w:rPr>
        <w:t>投标人名称（盖单位电子章）：</w:t>
      </w:r>
    </w:p>
    <w:p w14:paraId="3CBEACB3">
      <w:pPr>
        <w:adjustRightInd w:val="0"/>
        <w:snapToGrid w:val="0"/>
        <w:spacing w:before="50"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或其授权的代理人（电子签字或电子印章）：</w:t>
      </w:r>
    </w:p>
    <w:p w14:paraId="02E226C2">
      <w:pPr>
        <w:adjustRightInd w:val="0"/>
        <w:snapToGrid w:val="0"/>
        <w:spacing w:before="50" w:line="360" w:lineRule="auto"/>
        <w:rPr>
          <w:rFonts w:ascii="黑体" w:hAnsi="宋体" w:eastAsia="黑体"/>
          <w:b/>
          <w:bCs/>
          <w:sz w:val="28"/>
          <w:szCs w:val="28"/>
        </w:rPr>
      </w:pPr>
      <w:r>
        <w:rPr>
          <w:rFonts w:hint="eastAsia" w:ascii="宋体" w:hAnsi="宋体"/>
          <w:szCs w:val="21"/>
        </w:rPr>
        <w:t>日       期：   年   月   日</w:t>
      </w:r>
      <w:r>
        <w:rPr>
          <w:rFonts w:ascii="黑体" w:hAnsi="宋体" w:eastAsia="黑体"/>
          <w:sz w:val="28"/>
          <w:szCs w:val="28"/>
        </w:rPr>
        <w:br w:type="page"/>
      </w:r>
    </w:p>
    <w:p w14:paraId="70C6EC15">
      <w:pPr>
        <w:pStyle w:val="4"/>
        <w:adjustRightInd w:val="0"/>
        <w:snapToGrid w:val="0"/>
        <w:spacing w:beforeLines="50" w:after="0" w:line="360" w:lineRule="auto"/>
        <w:jc w:val="center"/>
        <w:rPr>
          <w:rFonts w:ascii="方正小标宋简体" w:hAnsi="方正小标宋简体" w:eastAsia="方正小标宋简体"/>
          <w:sz w:val="32"/>
          <w:szCs w:val="32"/>
        </w:rPr>
      </w:pPr>
      <w:bookmarkStart w:id="57" w:name="_Toc29913968"/>
      <w:r>
        <w:rPr>
          <w:rFonts w:hint="eastAsia" w:ascii="方正小标宋简体" w:hAnsi="方正小标宋简体" w:eastAsia="方正小标宋简体"/>
          <w:sz w:val="32"/>
          <w:szCs w:val="32"/>
        </w:rPr>
        <w:t>九、采购需求偏离表</w:t>
      </w:r>
      <w:bookmarkEnd w:id="57"/>
    </w:p>
    <w:p w14:paraId="273AFF0C">
      <w:pPr>
        <w:adjustRightInd w:val="0"/>
        <w:snapToGrid w:val="0"/>
        <w:spacing w:beforeLines="50" w:line="360" w:lineRule="auto"/>
        <w:rPr>
          <w:rFonts w:asciiTheme="minorEastAsia" w:hAnsiTheme="minorEastAsia" w:eastAsiaTheme="minorEastAsia"/>
          <w:szCs w:val="21"/>
          <w:u w:val="single"/>
        </w:rPr>
      </w:pPr>
      <w:r>
        <w:rPr>
          <w:rFonts w:hint="eastAsia"/>
        </w:rPr>
        <w:t>采购代理编号：</w:t>
      </w:r>
      <w:r>
        <w:rPr>
          <w:rFonts w:hint="eastAsia"/>
          <w:u w:val="single"/>
        </w:rPr>
        <w:t xml:space="preserve">                         </w:t>
      </w:r>
      <w:r>
        <w:rPr>
          <w:rFonts w:hint="eastAsia"/>
        </w:rPr>
        <w:t xml:space="preserve">           </w:t>
      </w:r>
      <w:r>
        <w:rPr>
          <w:rFonts w:hint="eastAsia" w:asciiTheme="minorEastAsia" w:hAnsiTheme="minorEastAsia" w:eastAsiaTheme="minorEastAsia"/>
          <w:szCs w:val="21"/>
        </w:rPr>
        <w:t>项目名称：</w:t>
      </w:r>
      <w:r>
        <w:rPr>
          <w:rFonts w:hint="eastAsia" w:asciiTheme="minorEastAsia" w:hAnsiTheme="minorEastAsia" w:eastAsiaTheme="minorEastAsia"/>
          <w:szCs w:val="21"/>
          <w:u w:val="single"/>
        </w:rPr>
        <w:t>____            ______</w:t>
      </w:r>
    </w:p>
    <w:p w14:paraId="62D6373F">
      <w:pPr>
        <w:adjustRightInd w:val="0"/>
        <w:snapToGrid w:val="0"/>
        <w:spacing w:beforeLines="50" w:line="360" w:lineRule="auto"/>
        <w:rPr>
          <w:rFonts w:ascii="宋体" w:hAnsi="宋体"/>
          <w:szCs w:val="21"/>
          <w:u w:val="single"/>
        </w:rPr>
      </w:pPr>
      <w:r>
        <w:rPr>
          <w:rFonts w:hint="eastAsia" w:asciiTheme="minorEastAsia" w:hAnsiTheme="minorEastAsia" w:eastAsiaTheme="minorEastAsia"/>
          <w:szCs w:val="21"/>
        </w:rPr>
        <w:t>包        号：</w:t>
      </w:r>
      <w:r>
        <w:rPr>
          <w:rFonts w:hint="eastAsia" w:asciiTheme="minorEastAsia" w:hAnsiTheme="minorEastAsia" w:eastAsiaTheme="minorEastAsia"/>
          <w:szCs w:val="21"/>
          <w:u w:val="single"/>
        </w:rPr>
        <w:t xml:space="preserve">__    ________           </w:t>
      </w:r>
      <w:r>
        <w:rPr>
          <w:rFonts w:hint="eastAsia" w:asciiTheme="minorEastAsia" w:hAnsiTheme="minorEastAsia" w:eastAsiaTheme="minorEastAsia"/>
          <w:szCs w:val="21"/>
        </w:rPr>
        <w:t xml:space="preserve">           包名称：</w:t>
      </w:r>
      <w:r>
        <w:rPr>
          <w:rFonts w:hint="eastAsia" w:asciiTheme="minorEastAsia" w:hAnsiTheme="minorEastAsia" w:eastAsiaTheme="minorEastAsia"/>
          <w:szCs w:val="21"/>
          <w:u w:val="single"/>
        </w:rPr>
        <w:t>___          _______</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3914C4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4498EBA2">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67670802">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szCs w:val="21"/>
              </w:rPr>
              <w:t>招标文件章节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3EBDF219">
            <w:pPr>
              <w:adjustRightInd w:val="0"/>
              <w:snapToGrid w:val="0"/>
              <w:spacing w:before="50" w:line="360" w:lineRule="auto"/>
              <w:jc w:val="center"/>
            </w:pPr>
            <w:r>
              <w:rPr>
                <w:rFonts w:hint="eastAsia"/>
              </w:rPr>
              <w:t>招标文件要求</w:t>
            </w:r>
          </w:p>
        </w:tc>
        <w:tc>
          <w:tcPr>
            <w:tcW w:w="2126" w:type="dxa"/>
            <w:tcBorders>
              <w:left w:val="single" w:color="auto" w:sz="4" w:space="0"/>
            </w:tcBorders>
          </w:tcPr>
          <w:p w14:paraId="5490745C">
            <w:pPr>
              <w:adjustRightInd w:val="0"/>
              <w:snapToGrid w:val="0"/>
              <w:spacing w:before="50" w:line="360" w:lineRule="auto"/>
              <w:jc w:val="center"/>
            </w:pPr>
            <w:r>
              <w:rPr>
                <w:rFonts w:hint="eastAsia"/>
              </w:rPr>
              <w:t>投标文件应答</w:t>
            </w:r>
          </w:p>
        </w:tc>
        <w:tc>
          <w:tcPr>
            <w:tcW w:w="1756" w:type="dxa"/>
            <w:vAlign w:val="center"/>
          </w:tcPr>
          <w:p w14:paraId="089C206A">
            <w:pPr>
              <w:adjustRightInd w:val="0"/>
              <w:snapToGrid w:val="0"/>
              <w:spacing w:before="50" w:line="360" w:lineRule="auto"/>
              <w:ind w:left="-88" w:leftChars="-42"/>
              <w:jc w:val="center"/>
              <w:rPr>
                <w:rFonts w:asciiTheme="minorEastAsia" w:hAnsiTheme="minorEastAsia" w:eastAsiaTheme="minorEastAsia"/>
                <w:szCs w:val="21"/>
              </w:rPr>
            </w:pPr>
            <w:r>
              <w:rPr>
                <w:rFonts w:hint="eastAsia" w:asciiTheme="minorEastAsia" w:hAnsiTheme="minorEastAsia" w:eastAsiaTheme="minorEastAsia"/>
                <w:szCs w:val="21"/>
              </w:rPr>
              <w:t>偏离说明</w:t>
            </w:r>
          </w:p>
        </w:tc>
      </w:tr>
      <w:tr w14:paraId="1246EC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7F88B47">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7216A201">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6C32C60D">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2B3D4F45">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6DCBEC95">
            <w:pPr>
              <w:adjustRightInd w:val="0"/>
              <w:snapToGrid w:val="0"/>
              <w:spacing w:before="50" w:line="360" w:lineRule="auto"/>
              <w:ind w:left="-88" w:leftChars="-42"/>
              <w:jc w:val="center"/>
              <w:rPr>
                <w:rFonts w:asciiTheme="minorEastAsia" w:hAnsiTheme="minorEastAsia" w:eastAsiaTheme="minorEastAsia"/>
                <w:szCs w:val="21"/>
              </w:rPr>
            </w:pPr>
          </w:p>
        </w:tc>
      </w:tr>
      <w:tr w14:paraId="31F26E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C31A21B">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569FD04F">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6DD0EE82">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497B9588">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52FC3007">
            <w:pPr>
              <w:adjustRightInd w:val="0"/>
              <w:snapToGrid w:val="0"/>
              <w:spacing w:before="50" w:line="360" w:lineRule="auto"/>
              <w:ind w:left="-88" w:leftChars="-42"/>
              <w:jc w:val="center"/>
              <w:rPr>
                <w:rFonts w:asciiTheme="minorEastAsia" w:hAnsiTheme="minorEastAsia" w:eastAsiaTheme="minorEastAsia"/>
                <w:szCs w:val="21"/>
              </w:rPr>
            </w:pPr>
          </w:p>
        </w:tc>
      </w:tr>
      <w:tr w14:paraId="09B22D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9285D21">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2A935FD1">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206D2A88">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11D147F9">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59BA17A4">
            <w:pPr>
              <w:adjustRightInd w:val="0"/>
              <w:snapToGrid w:val="0"/>
              <w:spacing w:before="50" w:line="360" w:lineRule="auto"/>
              <w:ind w:left="-88" w:leftChars="-42"/>
              <w:jc w:val="center"/>
              <w:rPr>
                <w:rFonts w:asciiTheme="minorEastAsia" w:hAnsiTheme="minorEastAsia" w:eastAsiaTheme="minorEastAsia"/>
                <w:szCs w:val="21"/>
              </w:rPr>
            </w:pPr>
          </w:p>
        </w:tc>
      </w:tr>
      <w:tr w14:paraId="235BC5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8C879D4">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7C74C1CE">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6FDBBE61">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238D300F">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50704805">
            <w:pPr>
              <w:adjustRightInd w:val="0"/>
              <w:snapToGrid w:val="0"/>
              <w:spacing w:before="50" w:line="360" w:lineRule="auto"/>
              <w:ind w:left="-88" w:leftChars="-42"/>
              <w:jc w:val="center"/>
              <w:rPr>
                <w:rFonts w:asciiTheme="minorEastAsia" w:hAnsiTheme="minorEastAsia" w:eastAsiaTheme="minorEastAsia"/>
                <w:szCs w:val="21"/>
              </w:rPr>
            </w:pPr>
          </w:p>
        </w:tc>
      </w:tr>
      <w:tr w14:paraId="56670E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6144F7C">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59279C83">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25E44E25">
            <w:pPr>
              <w:adjustRightInd w:val="0"/>
              <w:snapToGrid w:val="0"/>
              <w:spacing w:before="50" w:line="360" w:lineRule="auto"/>
              <w:ind w:left="-88" w:leftChars="-42"/>
              <w:jc w:val="center"/>
              <w:rPr>
                <w:rFonts w:asciiTheme="minorEastAsia" w:hAnsiTheme="minorEastAsia" w:eastAsiaTheme="minorEastAsia"/>
                <w:szCs w:val="21"/>
              </w:rPr>
            </w:pPr>
          </w:p>
        </w:tc>
        <w:tc>
          <w:tcPr>
            <w:tcW w:w="2126" w:type="dxa"/>
            <w:tcBorders>
              <w:left w:val="single" w:color="auto" w:sz="4" w:space="0"/>
            </w:tcBorders>
            <w:vAlign w:val="center"/>
          </w:tcPr>
          <w:p w14:paraId="4F8BA865">
            <w:pPr>
              <w:adjustRightInd w:val="0"/>
              <w:snapToGrid w:val="0"/>
              <w:spacing w:before="50" w:line="360" w:lineRule="auto"/>
              <w:ind w:left="-88" w:leftChars="-42"/>
              <w:jc w:val="center"/>
              <w:rPr>
                <w:rFonts w:asciiTheme="minorEastAsia" w:hAnsiTheme="minorEastAsia" w:eastAsiaTheme="minorEastAsia"/>
                <w:szCs w:val="21"/>
              </w:rPr>
            </w:pPr>
          </w:p>
        </w:tc>
        <w:tc>
          <w:tcPr>
            <w:tcW w:w="1756" w:type="dxa"/>
            <w:vAlign w:val="center"/>
          </w:tcPr>
          <w:p w14:paraId="5CB12B08">
            <w:pPr>
              <w:adjustRightInd w:val="0"/>
              <w:snapToGrid w:val="0"/>
              <w:spacing w:before="50" w:line="360" w:lineRule="auto"/>
              <w:ind w:left="-88" w:leftChars="-42"/>
              <w:jc w:val="center"/>
              <w:rPr>
                <w:rFonts w:asciiTheme="minorEastAsia" w:hAnsiTheme="minorEastAsia" w:eastAsiaTheme="minorEastAsia"/>
                <w:szCs w:val="21"/>
              </w:rPr>
            </w:pPr>
          </w:p>
        </w:tc>
      </w:tr>
      <w:tr w14:paraId="7FF04C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C85A8F9">
            <w:pPr>
              <w:adjustRightInd w:val="0"/>
              <w:snapToGrid w:val="0"/>
              <w:spacing w:before="50" w:line="360" w:lineRule="auto"/>
              <w:ind w:left="-88" w:leftChars="-42"/>
              <w:jc w:val="center"/>
              <w:rPr>
                <w:rFonts w:asciiTheme="minorEastAsia" w:hAnsiTheme="minorEastAsia" w:eastAsiaTheme="minorEastAsia"/>
                <w:szCs w:val="21"/>
              </w:rPr>
            </w:pPr>
          </w:p>
        </w:tc>
        <w:tc>
          <w:tcPr>
            <w:tcW w:w="2410" w:type="dxa"/>
            <w:vAlign w:val="center"/>
          </w:tcPr>
          <w:p w14:paraId="40FE0E54">
            <w:pPr>
              <w:adjustRightInd w:val="0"/>
              <w:snapToGrid w:val="0"/>
              <w:spacing w:before="50" w:line="360" w:lineRule="auto"/>
              <w:ind w:left="-88" w:leftChars="-42"/>
              <w:jc w:val="center"/>
              <w:rPr>
                <w:rFonts w:asciiTheme="minorEastAsia" w:hAnsiTheme="minorEastAsia" w:eastAsiaTheme="minorEastAsia"/>
                <w:szCs w:val="21"/>
              </w:rPr>
            </w:pPr>
          </w:p>
        </w:tc>
        <w:tc>
          <w:tcPr>
            <w:tcW w:w="1985" w:type="dxa"/>
            <w:tcBorders>
              <w:right w:val="single" w:color="auto" w:sz="4" w:space="0"/>
            </w:tcBorders>
            <w:vAlign w:val="center"/>
          </w:tcPr>
          <w:p w14:paraId="7B26C74D">
            <w:pPr>
              <w:adjustRightInd w:val="0"/>
              <w:snapToGrid w:val="0"/>
              <w:spacing w:before="50" w:line="360" w:lineRule="auto"/>
              <w:ind w:left="-88" w:leftChars="-42"/>
              <w:jc w:val="center"/>
              <w:rPr>
                <w:rFonts w:asciiTheme="minorEastAsia" w:hAnsiTheme="minorEastAsia" w:eastAsiaTheme="minorEastAsia"/>
                <w:szCs w:val="21"/>
              </w:rPr>
            </w:pPr>
          </w:p>
        </w:tc>
        <w:tc>
          <w:tcPr>
            <w:tcW w:w="3882" w:type="dxa"/>
            <w:gridSpan w:val="2"/>
            <w:tcBorders>
              <w:left w:val="single" w:color="auto" w:sz="4" w:space="0"/>
            </w:tcBorders>
            <w:vAlign w:val="center"/>
          </w:tcPr>
          <w:p w14:paraId="173B8F76">
            <w:pPr>
              <w:adjustRightInd w:val="0"/>
              <w:snapToGrid w:val="0"/>
              <w:spacing w:before="50" w:line="360" w:lineRule="auto"/>
              <w:ind w:firstLine="422" w:firstLineChars="200"/>
              <w:rPr>
                <w:rFonts w:asciiTheme="minorEastAsia" w:hAnsiTheme="minorEastAsia" w:eastAsiaTheme="minorEastAsia"/>
                <w:szCs w:val="21"/>
              </w:rPr>
            </w:pPr>
            <w:r>
              <w:rPr>
                <w:rFonts w:hint="eastAsia" w:asciiTheme="minorEastAsia" w:hAnsiTheme="minorEastAsia" w:eastAsiaTheme="minorEastAsia"/>
                <w:b/>
                <w:szCs w:val="21"/>
              </w:rPr>
              <w:t>投标人保证：除本采购需求偏离表列出的偏离外，我单位对招标文件的其他采购需求条款完全响应，无偏离。</w:t>
            </w:r>
          </w:p>
        </w:tc>
      </w:tr>
    </w:tbl>
    <w:p w14:paraId="494E1A1E">
      <w:pPr>
        <w:adjustRightInd w:val="0"/>
        <w:snapToGrid w:val="0"/>
        <w:spacing w:before="50" w:line="360" w:lineRule="auto"/>
        <w:ind w:left="-88" w:leftChars="-42"/>
        <w:rPr>
          <w:rFonts w:asciiTheme="minorEastAsia" w:hAnsiTheme="minorEastAsia" w:eastAsiaTheme="minorEastAsia"/>
          <w:szCs w:val="21"/>
        </w:rPr>
      </w:pPr>
      <w:r>
        <w:rPr>
          <w:rFonts w:hint="eastAsia" w:asciiTheme="minorEastAsia" w:hAnsiTheme="minorEastAsia" w:eastAsiaTheme="minorEastAsia"/>
          <w:b/>
          <w:szCs w:val="21"/>
        </w:rPr>
        <w:t>备注</w:t>
      </w:r>
      <w:r>
        <w:rPr>
          <w:rFonts w:hint="eastAsia" w:asciiTheme="minorEastAsia" w:hAnsiTheme="minorEastAsia" w:eastAsiaTheme="minorEastAsia"/>
          <w:szCs w:val="21"/>
        </w:rPr>
        <w:t>：（1）投标人应根据招标文件第五章“采购需求”填写本表；</w:t>
      </w:r>
    </w:p>
    <w:p w14:paraId="72E6C915">
      <w:pPr>
        <w:adjustRightInd w:val="0"/>
        <w:snapToGrid w:val="0"/>
        <w:spacing w:before="50" w:line="360" w:lineRule="auto"/>
        <w:ind w:left="-88" w:leftChars="-42" w:firstLine="420" w:firstLineChars="200"/>
        <w:rPr>
          <w:rFonts w:asciiTheme="minorEastAsia" w:hAnsiTheme="minorEastAsia" w:eastAsiaTheme="minorEastAsia"/>
          <w:b/>
          <w:color w:val="FF0000"/>
          <w:szCs w:val="21"/>
        </w:rPr>
      </w:pPr>
      <w:r>
        <w:rPr>
          <w:rFonts w:hint="eastAsia" w:asciiTheme="minorEastAsia" w:hAnsiTheme="minorEastAsia" w:eastAsiaTheme="minorEastAsia"/>
          <w:szCs w:val="21"/>
        </w:rPr>
        <w:t>（2）</w:t>
      </w:r>
      <w:r>
        <w:rPr>
          <w:rFonts w:hint="eastAsia" w:asciiTheme="minorEastAsia" w:hAnsiTheme="minorEastAsia" w:eastAsiaTheme="minorEastAsia"/>
          <w:b/>
          <w:szCs w:val="21"/>
        </w:rPr>
        <w:t>投标人如果对招标文件第五章“采购需求”的响应有偏离，应将偏离条款逐条如实应答，并作出说明；</w:t>
      </w:r>
    </w:p>
    <w:p w14:paraId="6A37E4F1">
      <w:pPr>
        <w:adjustRightInd w:val="0"/>
        <w:snapToGrid w:val="0"/>
        <w:spacing w:before="50" w:line="360" w:lineRule="auto"/>
        <w:ind w:left="-88" w:leftChars="-42" w:firstLine="420" w:firstLineChars="200"/>
        <w:rPr>
          <w:rFonts w:asciiTheme="minorEastAsia" w:hAnsiTheme="minorEastAsia" w:eastAsiaTheme="minorEastAsia"/>
          <w:szCs w:val="21"/>
        </w:rPr>
      </w:pPr>
      <w:r>
        <w:rPr>
          <w:rFonts w:hint="eastAsia" w:asciiTheme="minorEastAsia" w:hAnsiTheme="minorEastAsia" w:eastAsiaTheme="minorEastAsia"/>
          <w:szCs w:val="21"/>
        </w:rPr>
        <w:t>（3）如不提供此表，则视为投标人不满足招标文件第五章的所有条款要求，其</w:t>
      </w:r>
      <w:r>
        <w:rPr>
          <w:rFonts w:hint="eastAsia" w:asciiTheme="minorEastAsia" w:hAnsiTheme="minorEastAsia" w:eastAsiaTheme="minorEastAsia"/>
          <w:b/>
          <w:szCs w:val="21"/>
        </w:rPr>
        <w:t>投标无效</w:t>
      </w:r>
      <w:r>
        <w:rPr>
          <w:rFonts w:hint="eastAsia" w:asciiTheme="minorEastAsia" w:hAnsiTheme="minorEastAsia" w:eastAsiaTheme="minorEastAsia"/>
          <w:szCs w:val="21"/>
        </w:rPr>
        <w:t>。</w:t>
      </w:r>
    </w:p>
    <w:p w14:paraId="3EC65918">
      <w:pPr>
        <w:adjustRightInd w:val="0"/>
        <w:snapToGrid w:val="0"/>
        <w:spacing w:before="50" w:line="360" w:lineRule="auto"/>
        <w:ind w:left="-88" w:leftChars="-42" w:firstLine="420" w:firstLineChars="200"/>
        <w:rPr>
          <w:rFonts w:asciiTheme="minorEastAsia" w:hAnsiTheme="minorEastAsia" w:eastAsiaTheme="minorEastAsia"/>
          <w:szCs w:val="21"/>
        </w:rPr>
      </w:pPr>
      <w:r>
        <w:rPr>
          <w:rFonts w:hint="eastAsia" w:asciiTheme="minorEastAsia" w:hAnsiTheme="minorEastAsia" w:eastAsiaTheme="minorEastAsia"/>
          <w:szCs w:val="21"/>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1FD9A7BB">
      <w:pPr>
        <w:adjustRightInd w:val="0"/>
        <w:snapToGrid w:val="0"/>
        <w:spacing w:before="50" w:line="360" w:lineRule="auto"/>
        <w:ind w:left="-88" w:leftChars="-42" w:firstLine="420" w:firstLineChars="200"/>
        <w:rPr>
          <w:rFonts w:asciiTheme="minorEastAsia" w:hAnsiTheme="minorEastAsia" w:eastAsiaTheme="minorEastAsia"/>
          <w:color w:val="FF0000"/>
          <w:szCs w:val="21"/>
        </w:rPr>
      </w:pPr>
      <w:r>
        <w:rPr>
          <w:rFonts w:hint="eastAsia" w:asciiTheme="minorEastAsia" w:hAnsiTheme="minorEastAsia" w:eastAsiaTheme="minorEastAsia"/>
          <w:szCs w:val="21"/>
        </w:rPr>
        <w:t>（5）本表偏离表与本章第七节“采购需求响应”不一致时，以“采购需求响应”为准。</w:t>
      </w:r>
    </w:p>
    <w:p w14:paraId="46D91192">
      <w:pPr>
        <w:adjustRightInd w:val="0"/>
        <w:snapToGrid w:val="0"/>
        <w:spacing w:before="50" w:line="360" w:lineRule="auto"/>
        <w:rPr>
          <w:rFonts w:asciiTheme="minorEastAsia" w:hAnsiTheme="minorEastAsia" w:eastAsiaTheme="minorEastAsia"/>
          <w:szCs w:val="21"/>
        </w:rPr>
      </w:pPr>
    </w:p>
    <w:p w14:paraId="0616ADF2">
      <w:pPr>
        <w:adjustRightInd w:val="0"/>
        <w:snapToGrid w:val="0"/>
        <w:spacing w:before="50" w:line="360" w:lineRule="auto"/>
        <w:rPr>
          <w:rFonts w:ascii="宋体" w:hAnsi="宋体"/>
          <w:szCs w:val="21"/>
        </w:rPr>
      </w:pPr>
    </w:p>
    <w:p w14:paraId="7BA9EC24">
      <w:pPr>
        <w:adjustRightInd w:val="0"/>
        <w:snapToGrid w:val="0"/>
        <w:spacing w:before="50" w:line="360" w:lineRule="auto"/>
        <w:rPr>
          <w:rFonts w:ascii="宋体" w:hAnsi="宋体"/>
          <w:szCs w:val="21"/>
        </w:rPr>
      </w:pPr>
      <w:r>
        <w:rPr>
          <w:rFonts w:hint="eastAsia" w:ascii="宋体" w:hAnsi="宋体"/>
          <w:szCs w:val="21"/>
        </w:rPr>
        <w:t>投标人名称（盖单位电子章）：</w:t>
      </w:r>
    </w:p>
    <w:p w14:paraId="0DC8AFE7">
      <w:pPr>
        <w:adjustRightInd w:val="0"/>
        <w:snapToGrid w:val="0"/>
        <w:spacing w:before="50"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或其授权的代理人（电子签字或电子印章）：</w:t>
      </w:r>
    </w:p>
    <w:p w14:paraId="22BB8EAF">
      <w:pPr>
        <w:adjustRightInd w:val="0"/>
        <w:snapToGrid w:val="0"/>
        <w:spacing w:before="50" w:line="360" w:lineRule="auto"/>
        <w:rPr>
          <w:rFonts w:ascii="宋体" w:hAnsi="宋体"/>
          <w:szCs w:val="21"/>
        </w:rPr>
      </w:pPr>
      <w:r>
        <w:rPr>
          <w:rFonts w:hint="eastAsia" w:ascii="宋体" w:hAnsi="宋体"/>
          <w:szCs w:val="21"/>
        </w:rPr>
        <w:t>日      期：   年   月   日</w:t>
      </w:r>
    </w:p>
    <w:p w14:paraId="56DD36BF">
      <w:pPr>
        <w:pStyle w:val="4"/>
        <w:adjustRightInd w:val="0"/>
        <w:snapToGrid w:val="0"/>
        <w:spacing w:before="0" w:after="0" w:line="360" w:lineRule="auto"/>
        <w:jc w:val="center"/>
        <w:rPr>
          <w:rFonts w:ascii="宋体" w:hAnsi="宋体"/>
          <w:szCs w:val="21"/>
        </w:rPr>
        <w:sectPr>
          <w:pgSz w:w="11906" w:h="16838"/>
          <w:pgMar w:top="1474" w:right="1474" w:bottom="1474" w:left="1474" w:header="851" w:footer="992" w:gutter="0"/>
          <w:cols w:space="720" w:num="1"/>
          <w:docGrid w:type="lines" w:linePitch="312" w:charSpace="0"/>
        </w:sectPr>
      </w:pPr>
      <w:r>
        <w:rPr>
          <w:rFonts w:ascii="宋体" w:hAnsi="宋体"/>
          <w:szCs w:val="21"/>
        </w:rPr>
        <w:br w:type="page"/>
      </w:r>
    </w:p>
    <w:p w14:paraId="09EC3BFA">
      <w:pPr>
        <w:pStyle w:val="4"/>
        <w:adjustRightInd w:val="0"/>
        <w:snapToGrid w:val="0"/>
        <w:spacing w:before="0" w:after="0" w:line="360" w:lineRule="auto"/>
        <w:jc w:val="center"/>
        <w:rPr>
          <w:rFonts w:hint="eastAsia" w:ascii="方正小标宋简体" w:hAnsi="方正小标宋简体" w:eastAsia="方正小标宋简体" w:cs="方正小标宋简体"/>
          <w:sz w:val="32"/>
          <w:szCs w:val="32"/>
        </w:rPr>
      </w:pPr>
      <w:bookmarkStart w:id="58" w:name="_Toc29913969"/>
      <w:r>
        <w:rPr>
          <w:rFonts w:hint="eastAsia" w:ascii="方正小标宋简体" w:hAnsi="方正小标宋简体" w:eastAsia="方正小标宋简体" w:cs="方正小标宋简体"/>
          <w:sz w:val="32"/>
          <w:szCs w:val="32"/>
        </w:rPr>
        <w:t>十、享受政府采购政策优惠的证明资料</w:t>
      </w:r>
      <w:bookmarkEnd w:id="58"/>
    </w:p>
    <w:p w14:paraId="79A842C2">
      <w:pPr>
        <w:adjustRightInd w:val="0"/>
        <w:snapToGrid w:val="0"/>
        <w:spacing w:line="360" w:lineRule="auto"/>
        <w:rPr>
          <w:rFonts w:ascii="黑体" w:hAnsi="华文中宋" w:eastAsia="黑体" w:cs="宋体"/>
          <w:bCs/>
          <w:spacing w:val="6"/>
          <w:kern w:val="0"/>
          <w:szCs w:val="21"/>
        </w:rPr>
      </w:pPr>
    </w:p>
    <w:p w14:paraId="1EAB3A1F">
      <w:pPr>
        <w:adjustRightInd w:val="0"/>
        <w:snapToGrid w:val="0"/>
        <w:spacing w:line="360" w:lineRule="auto"/>
        <w:ind w:firstLine="444" w:firstLineChars="200"/>
        <w:rPr>
          <w:rFonts w:cs="宋体" w:asciiTheme="minorEastAsia" w:hAnsiTheme="minorEastAsia" w:eastAsiaTheme="minorEastAsia"/>
          <w:bCs/>
          <w:spacing w:val="6"/>
          <w:kern w:val="0"/>
          <w:szCs w:val="21"/>
        </w:rPr>
      </w:pPr>
      <w:r>
        <w:rPr>
          <w:rFonts w:hint="eastAsia" w:cs="宋体" w:asciiTheme="minorEastAsia" w:hAnsiTheme="minorEastAsia" w:eastAsiaTheme="minorEastAsia"/>
          <w:bCs/>
          <w:spacing w:val="6"/>
          <w:kern w:val="0"/>
          <w:szCs w:val="21"/>
        </w:rPr>
        <w:t>投标人符合第二章第33.6款要求的，应提供下列证明资料，并填写相关数据。否则，评审时不予以考虑。</w:t>
      </w:r>
    </w:p>
    <w:p w14:paraId="6CF88B82">
      <w:pPr>
        <w:pStyle w:val="5"/>
        <w:rPr>
          <w:rFonts w:hint="eastAsia" w:ascii="黑体" w:hAnsi="宋体" w:cs="Times New Roman"/>
          <w:b w:val="0"/>
          <w:spacing w:val="6"/>
          <w:sz w:val="21"/>
          <w:szCs w:val="21"/>
        </w:rPr>
      </w:pPr>
      <w:bookmarkStart w:id="59" w:name="_Toc29913970"/>
      <w:bookmarkStart w:id="60" w:name="_Toc29913972"/>
      <w:r>
        <w:rPr>
          <w:rFonts w:hint="eastAsia" w:ascii="黑体" w:hAnsi="华文中宋" w:cs="宋体"/>
          <w:b w:val="0"/>
          <w:bCs w:val="0"/>
          <w:spacing w:val="6"/>
          <w:kern w:val="0"/>
          <w:sz w:val="21"/>
          <w:szCs w:val="21"/>
        </w:rPr>
        <w:t>附件10-1</w:t>
      </w:r>
      <w:bookmarkEnd w:id="59"/>
      <w:r>
        <w:rPr>
          <w:rFonts w:hint="eastAsia" w:ascii="黑体" w:hAnsi="宋体" w:cs="Times New Roman"/>
          <w:b w:val="0"/>
          <w:spacing w:val="6"/>
          <w:sz w:val="21"/>
          <w:szCs w:val="21"/>
        </w:rPr>
        <w:t>中小企业声明函</w:t>
      </w:r>
    </w:p>
    <w:p w14:paraId="4808DDF7">
      <w:pPr>
        <w:widowControl/>
        <w:adjustRightInd w:val="0"/>
        <w:snapToGrid w:val="0"/>
        <w:spacing w:line="360" w:lineRule="auto"/>
        <w:jc w:val="center"/>
        <w:rPr>
          <w:rFonts w:ascii="黑体" w:hAnsi="黑体" w:eastAsia="黑体" w:cs="黑体"/>
          <w:b/>
          <w:bCs/>
          <w:spacing w:val="6"/>
          <w:kern w:val="0"/>
          <w:sz w:val="28"/>
          <w:szCs w:val="28"/>
        </w:rPr>
      </w:pPr>
      <w:bookmarkStart w:id="61" w:name="_Toc29913971"/>
      <w:r>
        <w:rPr>
          <w:rFonts w:hint="eastAsia" w:ascii="黑体" w:hAnsi="黑体" w:eastAsia="黑体" w:cs="黑体"/>
          <w:b/>
          <w:bCs/>
          <w:spacing w:val="6"/>
          <w:kern w:val="0"/>
          <w:sz w:val="28"/>
          <w:szCs w:val="28"/>
        </w:rPr>
        <w:t>中小企业声明函(服务类)</w:t>
      </w:r>
    </w:p>
    <w:p w14:paraId="5EF47102">
      <w:pPr>
        <w:widowControl/>
        <w:adjustRightInd w:val="0"/>
        <w:snapToGrid w:val="0"/>
        <w:spacing w:line="360" w:lineRule="auto"/>
        <w:jc w:val="center"/>
        <w:rPr>
          <w:rFonts w:ascii="宋体" w:hAnsi="宋体" w:cs="宋体"/>
          <w:b/>
          <w:spacing w:val="6"/>
          <w:kern w:val="0"/>
          <w:szCs w:val="21"/>
        </w:rPr>
      </w:pPr>
      <w:r>
        <w:rPr>
          <w:rFonts w:hint="eastAsia" w:ascii="宋体" w:hAnsi="宋体" w:cs="宋体"/>
          <w:b/>
          <w:spacing w:val="6"/>
          <w:kern w:val="0"/>
          <w:szCs w:val="21"/>
        </w:rPr>
        <w:t>(不满足以下条件的无需填写)</w:t>
      </w:r>
    </w:p>
    <w:p w14:paraId="520B24C3"/>
    <w:p w14:paraId="74573683"/>
    <w:p w14:paraId="3189FA1F">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本公司(联合体)郑重声明，根据《政府采购促进中小企业发展管理办法》(财库(2020)46号)的规定，本公司 (联合体)参加</w:t>
      </w:r>
      <w:r>
        <w:rPr>
          <w:rFonts w:hint="eastAsia" w:ascii="宋体" w:hAnsi="宋体" w:cs="宋体"/>
          <w:kern w:val="0"/>
          <w:szCs w:val="21"/>
          <w:u w:val="single"/>
        </w:rPr>
        <w:t>(单位名称)</w:t>
      </w:r>
      <w:r>
        <w:rPr>
          <w:rFonts w:hint="eastAsia" w:ascii="宋体" w:hAnsi="宋体" w:cs="宋体"/>
          <w:kern w:val="0"/>
          <w:szCs w:val="21"/>
        </w:rPr>
        <w:t>的</w:t>
      </w:r>
      <w:r>
        <w:rPr>
          <w:rFonts w:hint="eastAsia" w:ascii="宋体" w:hAnsi="宋体" w:cs="宋体"/>
          <w:kern w:val="0"/>
          <w:szCs w:val="21"/>
          <w:u w:val="single"/>
        </w:rPr>
        <w:t>(项目名称)</w:t>
      </w:r>
      <w:r>
        <w:rPr>
          <w:rFonts w:hint="eastAsia" w:ascii="宋体" w:hAnsi="宋体" w:cs="宋体"/>
          <w:kern w:val="0"/>
          <w:szCs w:val="21"/>
        </w:rPr>
        <w:t>采购活动，服务</w:t>
      </w:r>
      <w:r>
        <w:rPr>
          <w:rFonts w:hint="eastAsia" w:ascii="宋体" w:hAnsi="宋体" w:cs="宋体"/>
          <w:kern w:val="0"/>
          <w:szCs w:val="21"/>
          <w:lang w:eastAsia="zh-CN"/>
        </w:rPr>
        <w:t>的企业</w:t>
      </w:r>
      <w:r>
        <w:rPr>
          <w:rFonts w:hint="eastAsia" w:ascii="宋体" w:hAnsi="宋体" w:cs="宋体"/>
          <w:kern w:val="0"/>
          <w:szCs w:val="21"/>
        </w:rPr>
        <w:t>全部由符合政策要求的中小企业承接。相关企业(含联合体中的中小企业、签订分包意向协议的中小企业)的具体情况如下：</w:t>
      </w:r>
    </w:p>
    <w:p w14:paraId="1B6D356C">
      <w:pPr>
        <w:widowControl/>
        <w:spacing w:line="360" w:lineRule="auto"/>
        <w:ind w:left="210" w:leftChars="100" w:firstLine="210" w:firstLineChars="100"/>
        <w:jc w:val="left"/>
        <w:rPr>
          <w:rFonts w:ascii="宋体" w:hAnsi="宋体" w:cs="宋体"/>
          <w:kern w:val="0"/>
          <w:szCs w:val="21"/>
        </w:rPr>
      </w:pPr>
      <w:r>
        <w:rPr>
          <w:rFonts w:hint="eastAsia" w:ascii="宋体" w:hAnsi="宋体" w:cs="宋体"/>
          <w:kern w:val="0"/>
          <w:szCs w:val="21"/>
        </w:rPr>
        <w:t>1.</w:t>
      </w:r>
      <w:r>
        <w:rPr>
          <w:rFonts w:hint="eastAsia" w:ascii="宋体" w:hAnsi="宋体" w:cs="宋体"/>
          <w:kern w:val="0"/>
          <w:szCs w:val="21"/>
          <w:u w:val="single"/>
        </w:rPr>
        <w:t>(标的名称)</w:t>
      </w:r>
      <w:r>
        <w:rPr>
          <w:rFonts w:hint="eastAsia" w:ascii="宋体" w:hAnsi="宋体" w:cs="宋体"/>
          <w:kern w:val="0"/>
          <w:szCs w:val="21"/>
        </w:rPr>
        <w:t>,属于(采购文件中明确的所属行业),承建(承接)企业为</w:t>
      </w:r>
      <w:r>
        <w:rPr>
          <w:rFonts w:hint="eastAsia" w:ascii="宋体" w:hAnsi="宋体" w:cs="宋体"/>
          <w:kern w:val="0"/>
          <w:szCs w:val="21"/>
          <w:u w:val="single"/>
        </w:rPr>
        <w:t>(企业名称)</w:t>
      </w:r>
      <w:r>
        <w:rPr>
          <w:rFonts w:hint="eastAsia" w:ascii="宋体" w:hAnsi="宋体" w:cs="宋体"/>
          <w:kern w:val="0"/>
          <w:szCs w:val="21"/>
        </w:rPr>
        <w:t>,从业人员</w:t>
      </w:r>
    </w:p>
    <w:p w14:paraId="134B658E">
      <w:pPr>
        <w:widowControl/>
        <w:spacing w:line="360" w:lineRule="auto"/>
        <w:ind w:left="210" w:leftChars="100" w:firstLine="210" w:firstLineChars="100"/>
        <w:jc w:val="left"/>
        <w:rPr>
          <w:rFonts w:ascii="宋体" w:hAnsi="宋体" w:cs="宋体"/>
          <w:kern w:val="0"/>
          <w:szCs w:val="21"/>
        </w:rPr>
      </w:pPr>
      <w:r>
        <w:rPr>
          <w:rFonts w:hint="eastAsia" w:ascii="宋体" w:hAnsi="宋体" w:cs="宋体"/>
          <w:kern w:val="0"/>
          <w:szCs w:val="21"/>
        </w:rPr>
        <w:t>人，营业收入为</w:t>
      </w:r>
      <w:r>
        <w:rPr>
          <w:rFonts w:hint="eastAsia" w:ascii="宋体" w:hAnsi="宋体" w:cs="宋体"/>
          <w:kern w:val="0"/>
          <w:szCs w:val="21"/>
          <w:u w:val="single"/>
        </w:rPr>
        <w:t xml:space="preserve">     </w:t>
      </w:r>
      <w:r>
        <w:rPr>
          <w:rFonts w:hint="eastAsia" w:ascii="宋体" w:hAnsi="宋体" w:cs="宋体"/>
          <w:kern w:val="0"/>
          <w:szCs w:val="21"/>
        </w:rPr>
        <w:t>万元，资产总额为</w:t>
      </w:r>
      <w:r>
        <w:rPr>
          <w:rFonts w:hint="eastAsia" w:ascii="宋体" w:hAnsi="宋体" w:cs="宋体"/>
          <w:kern w:val="0"/>
          <w:szCs w:val="21"/>
          <w:u w:val="single"/>
        </w:rPr>
        <w:t xml:space="preserve">     </w:t>
      </w:r>
      <w:r>
        <w:rPr>
          <w:rFonts w:hint="eastAsia" w:ascii="宋体" w:hAnsi="宋体" w:cs="宋体"/>
          <w:kern w:val="0"/>
          <w:szCs w:val="21"/>
        </w:rPr>
        <w:t>万元',属于(中型企业、型企业、微型企业)</w:t>
      </w:r>
    </w:p>
    <w:p w14:paraId="4FD569E0">
      <w:pPr>
        <w:widowControl/>
        <w:spacing w:line="360" w:lineRule="auto"/>
        <w:ind w:left="420" w:leftChars="200"/>
        <w:jc w:val="left"/>
        <w:rPr>
          <w:rFonts w:ascii="宋体" w:hAnsi="宋体" w:cs="宋体"/>
          <w:kern w:val="0"/>
          <w:szCs w:val="21"/>
        </w:rPr>
      </w:pPr>
      <w:r>
        <w:rPr>
          <w:rFonts w:hint="eastAsia" w:ascii="宋体" w:hAnsi="宋体" w:cs="宋体"/>
          <w:kern w:val="0"/>
          <w:szCs w:val="21"/>
        </w:rPr>
        <w:t>2.</w:t>
      </w:r>
      <w:r>
        <w:rPr>
          <w:rFonts w:hint="eastAsia" w:ascii="宋体" w:hAnsi="宋体" w:cs="宋体"/>
          <w:kern w:val="0"/>
          <w:szCs w:val="21"/>
          <w:u w:val="single"/>
        </w:rPr>
        <w:t>(标的名称)</w:t>
      </w:r>
      <w:r>
        <w:rPr>
          <w:rFonts w:hint="eastAsia" w:ascii="宋体" w:hAnsi="宋体" w:cs="宋体"/>
          <w:kern w:val="0"/>
          <w:szCs w:val="21"/>
        </w:rPr>
        <w:t>,属于(采购文件中明确的所属行业),承建(承接)企业为</w:t>
      </w:r>
      <w:r>
        <w:rPr>
          <w:rFonts w:hint="eastAsia" w:ascii="宋体" w:hAnsi="宋体" w:cs="宋体"/>
          <w:kern w:val="0"/>
          <w:szCs w:val="21"/>
          <w:u w:val="single"/>
        </w:rPr>
        <w:t>(企业名称)</w:t>
      </w:r>
      <w:r>
        <w:rPr>
          <w:rFonts w:hint="eastAsia" w:ascii="宋体" w:hAnsi="宋体" w:cs="宋体"/>
          <w:kern w:val="0"/>
          <w:szCs w:val="21"/>
        </w:rPr>
        <w:t>,从业人员      人，营业收入为</w:t>
      </w:r>
      <w:r>
        <w:rPr>
          <w:rFonts w:hint="eastAsia" w:ascii="宋体" w:hAnsi="宋体" w:cs="宋体"/>
          <w:kern w:val="0"/>
          <w:szCs w:val="21"/>
          <w:u w:val="single"/>
        </w:rPr>
        <w:t xml:space="preserve">    </w:t>
      </w:r>
      <w:r>
        <w:rPr>
          <w:rFonts w:hint="eastAsia" w:ascii="宋体" w:hAnsi="宋体" w:cs="宋体"/>
          <w:kern w:val="0"/>
          <w:szCs w:val="21"/>
        </w:rPr>
        <w:t>万元，资产总额为</w:t>
      </w:r>
      <w:r>
        <w:rPr>
          <w:rFonts w:hint="eastAsia" w:ascii="宋体" w:hAnsi="宋体" w:cs="宋体"/>
          <w:kern w:val="0"/>
          <w:szCs w:val="21"/>
          <w:u w:val="single"/>
        </w:rPr>
        <w:t xml:space="preserve">      </w:t>
      </w:r>
      <w:r>
        <w:rPr>
          <w:rFonts w:hint="eastAsia" w:ascii="宋体" w:hAnsi="宋体" w:cs="宋体"/>
          <w:kern w:val="0"/>
          <w:szCs w:val="21"/>
        </w:rPr>
        <w:t>万元，属于(中型企业、小型企业、微型企业)</w:t>
      </w:r>
    </w:p>
    <w:p w14:paraId="0B2D3239">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     ···</w:t>
      </w:r>
    </w:p>
    <w:p w14:paraId="44BB061D">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以上企业，不属于大企业的分支机构，不存在控股股东 为大企业的情形，也不存在与大企业的负责人为同一人的情形。</w:t>
      </w:r>
    </w:p>
    <w:p w14:paraId="101E6AFD">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本企业对上述声明内容的真实性负责。如有虚假，将依法承担相应责任。</w:t>
      </w:r>
    </w:p>
    <w:p w14:paraId="65A07CE5">
      <w:pPr>
        <w:widowControl/>
        <w:spacing w:line="360" w:lineRule="auto"/>
        <w:ind w:firstLine="420" w:firstLineChars="200"/>
        <w:jc w:val="left"/>
        <w:rPr>
          <w:rFonts w:ascii="宋体" w:hAnsi="宋体" w:cs="宋体"/>
          <w:kern w:val="0"/>
          <w:szCs w:val="21"/>
        </w:rPr>
      </w:pPr>
    </w:p>
    <w:p w14:paraId="32BBF9F7">
      <w:pPr>
        <w:widowControl/>
        <w:spacing w:line="360" w:lineRule="auto"/>
        <w:ind w:firstLine="420" w:firstLineChars="200"/>
        <w:jc w:val="left"/>
        <w:rPr>
          <w:rFonts w:ascii="宋体" w:hAnsi="宋体" w:cs="宋体"/>
          <w:kern w:val="0"/>
          <w:szCs w:val="21"/>
        </w:rPr>
      </w:pPr>
    </w:p>
    <w:p w14:paraId="6C471375">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企业名称(盖章):</w:t>
      </w:r>
    </w:p>
    <w:p w14:paraId="35E3DE33">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日期：</w:t>
      </w:r>
    </w:p>
    <w:p w14:paraId="1B09C359"/>
    <w:p w14:paraId="1A614940">
      <w:r>
        <w:tab/>
      </w:r>
    </w:p>
    <w:p w14:paraId="082BBA61">
      <w:r>
        <w:rPr>
          <w:rFonts w:hint="eastAsia"/>
        </w:rPr>
        <w:t>注：</w:t>
      </w:r>
      <w:r>
        <w:t>从业人员、营业收入、资产总额填报上一年度数据，无上一年度数据的新成立企业可不填报。</w:t>
      </w:r>
    </w:p>
    <w:bookmarkEnd w:id="61"/>
    <w:p w14:paraId="4B00CF0F">
      <w:pPr>
        <w:pStyle w:val="5"/>
        <w:rPr>
          <w:rFonts w:ascii="黑体" w:hAnsi="宋体"/>
          <w:b w:val="0"/>
          <w:spacing w:val="6"/>
          <w:sz w:val="21"/>
          <w:szCs w:val="21"/>
        </w:rPr>
      </w:pPr>
      <w:r>
        <w:rPr>
          <w:rFonts w:hint="eastAsia" w:ascii="黑体" w:hAnsi="华文中宋" w:cs="宋体"/>
          <w:b w:val="0"/>
          <w:bCs w:val="0"/>
          <w:spacing w:val="6"/>
          <w:kern w:val="0"/>
          <w:sz w:val="21"/>
          <w:szCs w:val="21"/>
        </w:rPr>
        <w:t xml:space="preserve">附件10-2 </w:t>
      </w:r>
      <w:r>
        <w:rPr>
          <w:rFonts w:hint="eastAsia" w:ascii="黑体" w:hAnsi="宋体"/>
          <w:b w:val="0"/>
          <w:spacing w:val="6"/>
          <w:sz w:val="21"/>
          <w:szCs w:val="21"/>
        </w:rPr>
        <w:t>残疾人福利性单位声明函</w:t>
      </w:r>
      <w:bookmarkEnd w:id="60"/>
    </w:p>
    <w:p w14:paraId="713AF61A">
      <w:pPr>
        <w:adjustRightInd w:val="0"/>
        <w:snapToGrid w:val="0"/>
        <w:spacing w:line="360" w:lineRule="auto"/>
        <w:jc w:val="center"/>
        <w:rPr>
          <w:rFonts w:hint="eastAsia" w:ascii="方正小标宋简体" w:hAnsi="方正小标宋简体" w:eastAsia="方正小标宋简体" w:cs="方正小标宋简体"/>
          <w:b/>
          <w:spacing w:val="6"/>
          <w:sz w:val="32"/>
          <w:szCs w:val="32"/>
        </w:rPr>
      </w:pPr>
      <w:r>
        <w:rPr>
          <w:rFonts w:hint="eastAsia" w:ascii="方正小标宋简体" w:hAnsi="方正小标宋简体" w:eastAsia="方正小标宋简体" w:cs="方正小标宋简体"/>
          <w:b/>
          <w:spacing w:val="6"/>
          <w:sz w:val="32"/>
          <w:szCs w:val="32"/>
        </w:rPr>
        <w:t>残疾人福利性单位声明函</w:t>
      </w:r>
    </w:p>
    <w:p w14:paraId="497A08BB">
      <w:pPr>
        <w:adjustRightInd w:val="0"/>
        <w:snapToGrid w:val="0"/>
        <w:spacing w:line="360" w:lineRule="auto"/>
        <w:jc w:val="center"/>
        <w:rPr>
          <w:rFonts w:ascii="宋体" w:hAnsi="宋体"/>
          <w:b/>
          <w:spacing w:val="6"/>
          <w:szCs w:val="21"/>
        </w:rPr>
      </w:pPr>
      <w:r>
        <w:rPr>
          <w:rFonts w:hint="eastAsia" w:ascii="宋体" w:hAnsi="宋体"/>
          <w:b/>
          <w:spacing w:val="6"/>
          <w:szCs w:val="21"/>
        </w:rPr>
        <w:t>(不属于残疾人福利性单位的无需填写)</w:t>
      </w:r>
    </w:p>
    <w:p w14:paraId="7F7121A1">
      <w:pPr>
        <w:adjustRightInd w:val="0"/>
        <w:snapToGrid w:val="0"/>
        <w:spacing w:line="360" w:lineRule="auto"/>
        <w:ind w:firstLine="444" w:firstLineChars="200"/>
        <w:rPr>
          <w:rFonts w:ascii="宋体" w:hAnsi="宋体"/>
          <w:spacing w:val="6"/>
          <w:szCs w:val="21"/>
        </w:rPr>
      </w:pPr>
    </w:p>
    <w:p w14:paraId="2479616E">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5757B55">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本单位对上述声明的真实性负责。如有虚假，将依法承担相应责任。</w:t>
      </w:r>
    </w:p>
    <w:p w14:paraId="19683F28">
      <w:pPr>
        <w:adjustRightInd w:val="0"/>
        <w:snapToGrid w:val="0"/>
        <w:spacing w:line="360" w:lineRule="auto"/>
        <w:ind w:firstLine="444" w:firstLineChars="200"/>
        <w:rPr>
          <w:rFonts w:ascii="宋体" w:hAnsi="宋体"/>
          <w:spacing w:val="6"/>
          <w:szCs w:val="21"/>
        </w:rPr>
      </w:pPr>
    </w:p>
    <w:p w14:paraId="3D696F86">
      <w:pPr>
        <w:adjustRightInd w:val="0"/>
        <w:snapToGrid w:val="0"/>
        <w:spacing w:line="360" w:lineRule="auto"/>
        <w:ind w:firstLine="444" w:firstLineChars="200"/>
        <w:rPr>
          <w:rFonts w:ascii="宋体" w:hAnsi="宋体"/>
          <w:spacing w:val="6"/>
          <w:szCs w:val="21"/>
        </w:rPr>
      </w:pPr>
    </w:p>
    <w:p w14:paraId="66E51F75">
      <w:pPr>
        <w:tabs>
          <w:tab w:val="left" w:pos="4860"/>
        </w:tabs>
        <w:adjustRightInd w:val="0"/>
        <w:snapToGrid w:val="0"/>
        <w:spacing w:line="360" w:lineRule="auto"/>
        <w:ind w:right="1560" w:firstLine="444" w:firstLineChars="200"/>
        <w:jc w:val="center"/>
        <w:rPr>
          <w:rFonts w:ascii="宋体" w:hAnsi="宋体"/>
          <w:spacing w:val="6"/>
          <w:szCs w:val="21"/>
        </w:rPr>
      </w:pPr>
      <w:r>
        <w:rPr>
          <w:rFonts w:hint="eastAsia" w:ascii="宋体" w:hAnsi="宋体"/>
          <w:spacing w:val="6"/>
          <w:szCs w:val="21"/>
        </w:rPr>
        <w:t xml:space="preserve">               单位名称（盖单位电子章）：</w:t>
      </w:r>
    </w:p>
    <w:p w14:paraId="589509FD">
      <w:pPr>
        <w:tabs>
          <w:tab w:val="left" w:pos="4860"/>
        </w:tabs>
        <w:adjustRightInd w:val="0"/>
        <w:snapToGrid w:val="0"/>
        <w:spacing w:line="360" w:lineRule="auto"/>
        <w:ind w:right="1560" w:firstLine="444" w:firstLineChars="200"/>
        <w:jc w:val="center"/>
        <w:rPr>
          <w:rFonts w:ascii="宋体" w:hAnsi="宋体"/>
          <w:spacing w:val="6"/>
          <w:szCs w:val="21"/>
        </w:rPr>
      </w:pPr>
      <w:r>
        <w:rPr>
          <w:rFonts w:hint="eastAsia" w:ascii="宋体" w:hAnsi="宋体"/>
          <w:spacing w:val="6"/>
          <w:szCs w:val="21"/>
        </w:rPr>
        <w:t xml:space="preserve">       日  期：</w:t>
      </w:r>
    </w:p>
    <w:p w14:paraId="2879DF58">
      <w:pPr>
        <w:widowControl/>
        <w:adjustRightInd w:val="0"/>
        <w:snapToGrid w:val="0"/>
        <w:spacing w:line="360" w:lineRule="auto"/>
        <w:jc w:val="left"/>
        <w:rPr>
          <w:rFonts w:ascii="宋体" w:hAnsi="宋体" w:cs="宋体"/>
          <w:kern w:val="0"/>
          <w:szCs w:val="21"/>
        </w:rPr>
      </w:pPr>
    </w:p>
    <w:p w14:paraId="0AD8AA72">
      <w:pPr>
        <w:widowControl/>
        <w:jc w:val="left"/>
        <w:rPr>
          <w:rFonts w:ascii="黑体" w:hAnsi="华文中宋" w:eastAsia="黑体" w:cs="宋体"/>
          <w:spacing w:val="6"/>
          <w:kern w:val="0"/>
          <w:szCs w:val="21"/>
        </w:rPr>
      </w:pPr>
      <w:r>
        <w:rPr>
          <w:rFonts w:ascii="黑体" w:hAnsi="华文中宋" w:cs="宋体"/>
          <w:b/>
          <w:bCs/>
          <w:spacing w:val="6"/>
          <w:kern w:val="0"/>
          <w:szCs w:val="21"/>
        </w:rPr>
        <w:br w:type="page"/>
      </w:r>
    </w:p>
    <w:p w14:paraId="22C14485">
      <w:pPr>
        <w:pStyle w:val="5"/>
        <w:rPr>
          <w:rFonts w:ascii="黑体" w:hAnsi="宋体"/>
          <w:b w:val="0"/>
          <w:sz w:val="21"/>
          <w:szCs w:val="21"/>
        </w:rPr>
      </w:pPr>
      <w:bookmarkStart w:id="62" w:name="_Toc29913973"/>
      <w:r>
        <w:rPr>
          <w:rFonts w:hint="eastAsia" w:ascii="黑体" w:hAnsi="宋体" w:cs="宋体"/>
          <w:b w:val="0"/>
          <w:kern w:val="0"/>
          <w:sz w:val="21"/>
          <w:szCs w:val="21"/>
        </w:rPr>
        <w:t xml:space="preserve">附件10-3 </w:t>
      </w:r>
      <w:r>
        <w:rPr>
          <w:rFonts w:hint="eastAsia" w:ascii="黑体" w:hAnsi="宋体"/>
          <w:b w:val="0"/>
          <w:sz w:val="21"/>
          <w:szCs w:val="21"/>
        </w:rPr>
        <w:t>监狱企业证明资料</w:t>
      </w:r>
      <w:bookmarkEnd w:id="62"/>
    </w:p>
    <w:p w14:paraId="3BB0DED1">
      <w:pPr>
        <w:adjustRightInd w:val="0"/>
        <w:snapToGrid w:val="0"/>
        <w:spacing w:line="360" w:lineRule="auto"/>
        <w:jc w:val="center"/>
        <w:rPr>
          <w:rFonts w:hint="eastAsia" w:ascii="方正小标宋简体" w:hAnsi="方正小标宋简体" w:eastAsia="方正小标宋简体" w:cs="方正小标宋简体"/>
          <w:b/>
          <w:sz w:val="32"/>
          <w:szCs w:val="32"/>
        </w:rPr>
      </w:pPr>
      <w:r>
        <w:rPr>
          <w:rFonts w:hint="eastAsia" w:ascii="方正小标宋简体" w:hAnsi="方正小标宋简体" w:eastAsia="方正小标宋简体" w:cs="方正小标宋简体"/>
          <w:b/>
          <w:sz w:val="32"/>
          <w:szCs w:val="32"/>
        </w:rPr>
        <w:t>监狱企业证明资料</w:t>
      </w:r>
    </w:p>
    <w:p w14:paraId="3D3585B7">
      <w:pPr>
        <w:adjustRightInd w:val="0"/>
        <w:snapToGrid w:val="0"/>
        <w:spacing w:line="360" w:lineRule="auto"/>
        <w:jc w:val="center"/>
        <w:rPr>
          <w:rFonts w:ascii="宋体" w:hAnsi="宋体"/>
          <w:b/>
          <w:spacing w:val="6"/>
          <w:szCs w:val="21"/>
        </w:rPr>
      </w:pPr>
      <w:r>
        <w:rPr>
          <w:rFonts w:hint="eastAsia" w:ascii="宋体" w:hAnsi="宋体"/>
          <w:b/>
          <w:spacing w:val="6"/>
          <w:szCs w:val="21"/>
        </w:rPr>
        <w:t>(不属于监狱企业的无需提供)</w:t>
      </w:r>
    </w:p>
    <w:p w14:paraId="017D9823">
      <w:pPr>
        <w:adjustRightInd w:val="0"/>
        <w:snapToGrid w:val="0"/>
        <w:spacing w:line="360" w:lineRule="auto"/>
        <w:rPr>
          <w:rFonts w:asciiTheme="minorEastAsia" w:hAnsiTheme="minorEastAsia" w:eastAsiaTheme="minorEastAsia"/>
          <w:szCs w:val="21"/>
        </w:rPr>
      </w:pPr>
    </w:p>
    <w:p w14:paraId="2D09141B">
      <w:pPr>
        <w:adjustRightInd w:val="0"/>
        <w:snapToGrid w:val="0"/>
        <w:spacing w:line="360" w:lineRule="auto"/>
        <w:ind w:firstLine="444" w:firstLineChars="200"/>
        <w:rPr>
          <w:rFonts w:asciiTheme="minorEastAsia" w:hAnsiTheme="minorEastAsia" w:eastAsiaTheme="minorEastAsia"/>
          <w:szCs w:val="21"/>
        </w:rPr>
      </w:pPr>
      <w:r>
        <w:rPr>
          <w:rFonts w:hint="eastAsia" w:cs="宋体" w:asciiTheme="minorEastAsia" w:hAnsiTheme="minorEastAsia" w:eastAsiaTheme="minorEastAsia"/>
          <w:bCs/>
          <w:spacing w:val="6"/>
          <w:kern w:val="0"/>
          <w:szCs w:val="21"/>
        </w:rPr>
        <w:t>备注：</w:t>
      </w:r>
      <w:r>
        <w:rPr>
          <w:rFonts w:hint="eastAsia" w:asciiTheme="minorEastAsia" w:hAnsiTheme="minorEastAsia" w:eastAsiaTheme="minorEastAsia"/>
          <w:szCs w:val="21"/>
        </w:rPr>
        <w:t>按</w:t>
      </w:r>
      <w:r>
        <w:rPr>
          <w:rFonts w:hint="eastAsia" w:ascii="宋体" w:hAnsi="宋体"/>
          <w:spacing w:val="6"/>
          <w:szCs w:val="21"/>
        </w:rPr>
        <w:t>《</w:t>
      </w:r>
      <w:r>
        <w:rPr>
          <w:rFonts w:hint="eastAsia" w:asciiTheme="minorEastAsia" w:hAnsiTheme="minorEastAsia" w:eastAsiaTheme="minorEastAsia"/>
          <w:szCs w:val="21"/>
        </w:rPr>
        <w:t>财政部 司法部关于政府采购支持监狱企业发展有关问题的通知</w:t>
      </w:r>
      <w:r>
        <w:rPr>
          <w:rFonts w:hint="eastAsia" w:ascii="宋体" w:hAnsi="宋体"/>
          <w:spacing w:val="6"/>
          <w:szCs w:val="21"/>
        </w:rPr>
        <w:t>》</w:t>
      </w:r>
      <w:r>
        <w:rPr>
          <w:rFonts w:hint="eastAsia" w:asciiTheme="minorEastAsia" w:hAnsiTheme="minorEastAsia" w:eastAsiaTheme="minorEastAsia"/>
          <w:szCs w:val="21"/>
        </w:rPr>
        <w:t>(财库〔2014〕68号)文件规定提供证明文件（复印件）。</w:t>
      </w:r>
    </w:p>
    <w:p w14:paraId="7D67088D">
      <w:pPr>
        <w:adjustRightInd w:val="0"/>
        <w:snapToGrid w:val="0"/>
        <w:spacing w:line="360" w:lineRule="auto"/>
        <w:rPr>
          <w:rFonts w:ascii="黑体" w:hAnsi="华文中宋" w:eastAsia="黑体" w:cs="宋体"/>
          <w:bCs/>
          <w:spacing w:val="6"/>
          <w:kern w:val="0"/>
          <w:szCs w:val="21"/>
        </w:rPr>
      </w:pPr>
      <w:r>
        <w:rPr>
          <w:rFonts w:ascii="黑体" w:hAnsi="华文中宋" w:eastAsia="黑体" w:cs="宋体"/>
          <w:bCs/>
          <w:spacing w:val="6"/>
          <w:kern w:val="0"/>
          <w:szCs w:val="21"/>
        </w:rPr>
        <w:br w:type="page"/>
      </w:r>
    </w:p>
    <w:p w14:paraId="1D20CC0C">
      <w:pPr>
        <w:pStyle w:val="5"/>
        <w:rPr>
          <w:rFonts w:ascii="黑体" w:hAnsi="宋体"/>
          <w:b w:val="0"/>
          <w:sz w:val="21"/>
          <w:szCs w:val="21"/>
        </w:rPr>
      </w:pPr>
      <w:bookmarkStart w:id="63" w:name="_Toc29913974"/>
      <w:r>
        <w:rPr>
          <w:rFonts w:hint="eastAsia" w:ascii="黑体" w:hAnsi="华文中宋" w:cs="宋体"/>
          <w:b w:val="0"/>
          <w:bCs w:val="0"/>
          <w:spacing w:val="6"/>
          <w:kern w:val="0"/>
          <w:sz w:val="21"/>
          <w:szCs w:val="21"/>
        </w:rPr>
        <w:t xml:space="preserve">附件10-4 </w:t>
      </w:r>
      <w:r>
        <w:rPr>
          <w:rFonts w:hint="eastAsia" w:ascii="黑体" w:hAnsi="宋体"/>
          <w:b w:val="0"/>
          <w:sz w:val="21"/>
          <w:szCs w:val="21"/>
        </w:rPr>
        <w:t>强制采购或者优先采购产品</w:t>
      </w:r>
      <w:r>
        <w:rPr>
          <w:rFonts w:hint="eastAsia" w:ascii="黑体" w:hAnsi="宋体"/>
          <w:b w:val="0"/>
          <w:bCs w:val="0"/>
          <w:sz w:val="21"/>
          <w:szCs w:val="21"/>
        </w:rPr>
        <w:t>的</w:t>
      </w:r>
      <w:r>
        <w:rPr>
          <w:rFonts w:hint="eastAsia" w:ascii="黑体" w:hAnsi="宋体"/>
          <w:b w:val="0"/>
          <w:sz w:val="21"/>
          <w:szCs w:val="21"/>
        </w:rPr>
        <w:t>证明材料</w:t>
      </w:r>
      <w:bookmarkEnd w:id="63"/>
    </w:p>
    <w:p w14:paraId="27A41DF9">
      <w:pPr>
        <w:adjustRightInd w:val="0"/>
        <w:snapToGrid w:val="0"/>
        <w:spacing w:line="360" w:lineRule="auto"/>
        <w:jc w:val="center"/>
        <w:rPr>
          <w:rFonts w:ascii="黑体" w:hAnsi="黑体" w:eastAsia="黑体"/>
          <w:b/>
          <w:sz w:val="28"/>
          <w:szCs w:val="28"/>
        </w:rPr>
      </w:pPr>
      <w:r>
        <w:rPr>
          <w:rFonts w:hint="eastAsia" w:ascii="黑体" w:hAnsi="黑体" w:eastAsia="黑体"/>
          <w:b/>
          <w:sz w:val="32"/>
          <w:szCs w:val="32"/>
        </w:rPr>
        <w:t>强制采购或者优先采购产品</w:t>
      </w:r>
      <w:r>
        <w:rPr>
          <w:rFonts w:hint="eastAsia" w:ascii="黑体" w:hAnsi="黑体" w:eastAsia="黑体"/>
          <w:b/>
          <w:bCs/>
          <w:sz w:val="32"/>
          <w:szCs w:val="32"/>
        </w:rPr>
        <w:t>的</w:t>
      </w:r>
      <w:r>
        <w:rPr>
          <w:rFonts w:hint="eastAsia" w:ascii="黑体" w:hAnsi="黑体" w:eastAsia="黑体"/>
          <w:b/>
          <w:sz w:val="32"/>
          <w:szCs w:val="32"/>
        </w:rPr>
        <w:t>证明材料</w:t>
      </w:r>
    </w:p>
    <w:p w14:paraId="400E7D52">
      <w:pPr>
        <w:adjustRightInd w:val="0"/>
        <w:snapToGrid w:val="0"/>
        <w:spacing w:line="360" w:lineRule="auto"/>
        <w:jc w:val="center"/>
        <w:rPr>
          <w:rFonts w:ascii="宋体" w:hAnsi="宋体"/>
          <w:b/>
          <w:spacing w:val="6"/>
          <w:szCs w:val="21"/>
        </w:rPr>
      </w:pPr>
      <w:r>
        <w:rPr>
          <w:rFonts w:hint="eastAsia" w:ascii="宋体" w:hAnsi="宋体"/>
          <w:b/>
          <w:spacing w:val="6"/>
          <w:szCs w:val="21"/>
        </w:rPr>
        <w:t>(不属于强制采购或者优先采购产品的无需提供)</w:t>
      </w:r>
    </w:p>
    <w:p w14:paraId="18BE35DA">
      <w:pPr>
        <w:adjustRightInd w:val="0"/>
        <w:snapToGrid w:val="0"/>
        <w:spacing w:line="360" w:lineRule="auto"/>
        <w:ind w:firstLine="420" w:firstLineChars="200"/>
        <w:jc w:val="left"/>
        <w:rPr>
          <w:rFonts w:asciiTheme="minorEastAsia" w:hAnsiTheme="minorEastAsia" w:eastAsiaTheme="minorEastAsia"/>
          <w:szCs w:val="21"/>
        </w:rPr>
      </w:pPr>
    </w:p>
    <w:p w14:paraId="37199B39">
      <w:pPr>
        <w:adjustRightInd w:val="0"/>
        <w:snapToGrid w:val="0"/>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说明：投标人提供的产品</w:t>
      </w:r>
      <w:r>
        <w:rPr>
          <w:rFonts w:hint="eastAsia" w:asciiTheme="minorEastAsia" w:hAnsiTheme="minorEastAsia" w:eastAsiaTheme="minorEastAsia"/>
          <w:bCs/>
          <w:szCs w:val="21"/>
        </w:rPr>
        <w:t>属于强制采购或者优先采购的</w:t>
      </w:r>
      <w:r>
        <w:rPr>
          <w:rFonts w:hint="eastAsia" w:asciiTheme="minorEastAsia" w:hAnsiTheme="minorEastAsia" w:eastAsiaTheme="minorEastAsia"/>
          <w:szCs w:val="21"/>
        </w:rPr>
        <w:t>，应按第二章第33.6款规定提供证明材料和本章本节附页2“优先采购产品清单”，并加盖投标人单位电子章。</w:t>
      </w:r>
    </w:p>
    <w:p w14:paraId="23E6F9D9">
      <w:pPr>
        <w:adjustRightInd w:val="0"/>
        <w:snapToGrid w:val="0"/>
        <w:spacing w:line="360" w:lineRule="auto"/>
        <w:ind w:firstLine="420" w:firstLineChars="200"/>
        <w:jc w:val="left"/>
        <w:rPr>
          <w:rFonts w:asciiTheme="minorEastAsia" w:hAnsiTheme="minorEastAsia" w:eastAsiaTheme="minorEastAsia"/>
          <w:szCs w:val="21"/>
        </w:rPr>
      </w:pPr>
    </w:p>
    <w:p w14:paraId="74EF30CF">
      <w:pPr>
        <w:adjustRightInd w:val="0"/>
        <w:snapToGrid w:val="0"/>
        <w:spacing w:line="360" w:lineRule="auto"/>
        <w:rPr>
          <w:rFonts w:ascii="黑体" w:hAnsi="宋体" w:eastAsia="黑体"/>
          <w:color w:val="000000"/>
          <w:szCs w:val="21"/>
        </w:rPr>
      </w:pPr>
      <w:r>
        <w:rPr>
          <w:rFonts w:ascii="黑体" w:hAnsi="宋体" w:eastAsia="黑体"/>
          <w:b/>
          <w:sz w:val="28"/>
          <w:szCs w:val="28"/>
        </w:rPr>
        <w:br w:type="page"/>
      </w:r>
    </w:p>
    <w:p w14:paraId="4C2E678D">
      <w:pPr>
        <w:pStyle w:val="5"/>
        <w:jc w:val="left"/>
        <w:rPr>
          <w:rFonts w:ascii="黑体" w:hAnsi="宋体"/>
          <w:b w:val="0"/>
          <w:sz w:val="21"/>
          <w:szCs w:val="21"/>
        </w:rPr>
      </w:pPr>
      <w:bookmarkStart w:id="64" w:name="_Toc29913975"/>
      <w:r>
        <w:rPr>
          <w:rFonts w:hint="eastAsia" w:ascii="黑体" w:hAnsi="华文中宋" w:cs="宋体"/>
          <w:b w:val="0"/>
          <w:bCs w:val="0"/>
          <w:spacing w:val="6"/>
          <w:kern w:val="0"/>
          <w:sz w:val="21"/>
          <w:szCs w:val="21"/>
        </w:rPr>
        <w:t xml:space="preserve">附页 2 </w:t>
      </w:r>
      <w:r>
        <w:rPr>
          <w:rFonts w:hint="eastAsia" w:ascii="黑体" w:hAnsi="宋体"/>
          <w:b w:val="0"/>
          <w:sz w:val="21"/>
          <w:szCs w:val="21"/>
        </w:rPr>
        <w:t>优先采购产品清单</w:t>
      </w:r>
      <w:bookmarkEnd w:id="64"/>
    </w:p>
    <w:p w14:paraId="2AD2816F">
      <w:pPr>
        <w:adjustRightInd w:val="0"/>
        <w:snapToGrid w:val="0"/>
        <w:spacing w:line="360" w:lineRule="auto"/>
        <w:jc w:val="center"/>
        <w:rPr>
          <w:rFonts w:hint="eastAsia" w:ascii="方正小标宋简体" w:hAnsi="方正小标宋简体" w:eastAsia="方正小标宋简体" w:cs="方正小标宋简体"/>
          <w:b/>
          <w:spacing w:val="6"/>
          <w:sz w:val="22"/>
          <w:szCs w:val="22"/>
        </w:rPr>
      </w:pPr>
      <w:r>
        <w:rPr>
          <w:rFonts w:hint="eastAsia" w:ascii="方正小标宋简体" w:hAnsi="方正小标宋简体" w:eastAsia="方正小标宋简体" w:cs="方正小标宋简体"/>
          <w:b/>
          <w:sz w:val="32"/>
          <w:szCs w:val="32"/>
        </w:rPr>
        <w:t>优先采购产品清单</w:t>
      </w:r>
    </w:p>
    <w:p w14:paraId="0A3A6307">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采购代理编号：</w:t>
      </w:r>
      <w:r>
        <w:rPr>
          <w:rFonts w:hint="eastAsia" w:asciiTheme="minorEastAsia" w:hAnsiTheme="minorEastAsia" w:eastAsiaTheme="minorEastAsia"/>
          <w:szCs w:val="21"/>
          <w:u w:val="single"/>
        </w:rPr>
        <w:t>__    ________</w:t>
      </w:r>
      <w:r>
        <w:rPr>
          <w:rFonts w:hint="eastAsia" w:asciiTheme="minorEastAsia" w:hAnsiTheme="minorEastAsia" w:eastAsiaTheme="minorEastAsia"/>
          <w:szCs w:val="21"/>
        </w:rPr>
        <w:t xml:space="preserve">                     项目名称：</w:t>
      </w:r>
      <w:r>
        <w:rPr>
          <w:rFonts w:hint="eastAsia" w:asciiTheme="minorEastAsia" w:hAnsiTheme="minorEastAsia" w:eastAsiaTheme="minorEastAsia"/>
          <w:szCs w:val="21"/>
          <w:u w:val="single"/>
        </w:rPr>
        <w:t>____            ______</w:t>
      </w:r>
    </w:p>
    <w:p w14:paraId="0B857F58">
      <w:pPr>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包       号：</w:t>
      </w:r>
      <w:r>
        <w:rPr>
          <w:rFonts w:hint="eastAsia" w:asciiTheme="minorEastAsia" w:hAnsiTheme="minorEastAsia" w:eastAsiaTheme="minorEastAsia"/>
          <w:szCs w:val="21"/>
          <w:u w:val="single"/>
        </w:rPr>
        <w:t>__    ________</w:t>
      </w:r>
      <w:r>
        <w:rPr>
          <w:rFonts w:hint="eastAsia" w:asciiTheme="minorEastAsia" w:hAnsiTheme="minorEastAsia" w:eastAsiaTheme="minorEastAsia"/>
          <w:szCs w:val="21"/>
        </w:rPr>
        <w:t xml:space="preserve">                      包名称：</w:t>
      </w:r>
      <w:r>
        <w:rPr>
          <w:rFonts w:hint="eastAsia" w:asciiTheme="minorEastAsia" w:hAnsiTheme="minorEastAsia" w:eastAsiaTheme="minorEastAsia"/>
          <w:szCs w:val="21"/>
          <w:u w:val="single"/>
        </w:rPr>
        <w:t>___          _______</w:t>
      </w:r>
    </w:p>
    <w:tbl>
      <w:tblPr>
        <w:tblStyle w:val="4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0E97E9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vAlign w:val="center"/>
          </w:tcPr>
          <w:p w14:paraId="124D999A">
            <w:pPr>
              <w:widowControl/>
              <w:adjustRightInd w:val="0"/>
              <w:snapToGrid w:val="0"/>
              <w:spacing w:line="360" w:lineRule="auto"/>
              <w:ind w:firstLine="480" w:firstLineChars="200"/>
              <w:jc w:val="left"/>
              <w:rPr>
                <w:rFonts w:ascii="黑体" w:hAnsi="黑体" w:eastAsia="黑体"/>
                <w:kern w:val="0"/>
                <w:sz w:val="24"/>
              </w:rPr>
            </w:pPr>
            <w:r>
              <w:rPr>
                <w:rFonts w:hint="eastAsia" w:ascii="黑体" w:hAnsi="宋体" w:eastAsia="黑体"/>
                <w:kern w:val="0"/>
                <w:sz w:val="24"/>
              </w:rPr>
              <w:t>以下为投标人提供的政府采购优先采购产品，投标人对本表的真实性负责。如有虚假，将依法承担相应责任。</w:t>
            </w:r>
          </w:p>
        </w:tc>
      </w:tr>
      <w:tr w14:paraId="75A0C4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14:paraId="6C321B1D">
            <w:pPr>
              <w:widowControl/>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1739" w:type="dxa"/>
            <w:vAlign w:val="center"/>
          </w:tcPr>
          <w:p w14:paraId="56B7BD88">
            <w:pPr>
              <w:widowControl/>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2</w:t>
            </w:r>
          </w:p>
        </w:tc>
        <w:tc>
          <w:tcPr>
            <w:tcW w:w="1134" w:type="dxa"/>
            <w:tcBorders>
              <w:right w:val="single" w:color="auto" w:sz="4" w:space="0"/>
            </w:tcBorders>
            <w:vAlign w:val="center"/>
          </w:tcPr>
          <w:p w14:paraId="3FF004ED">
            <w:pPr>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3</w:t>
            </w:r>
          </w:p>
        </w:tc>
        <w:tc>
          <w:tcPr>
            <w:tcW w:w="1418" w:type="dxa"/>
            <w:tcBorders>
              <w:left w:val="single" w:color="auto" w:sz="4" w:space="0"/>
            </w:tcBorders>
            <w:vAlign w:val="center"/>
          </w:tcPr>
          <w:p w14:paraId="07C7C958">
            <w:pPr>
              <w:widowControl/>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4</w:t>
            </w:r>
          </w:p>
        </w:tc>
        <w:tc>
          <w:tcPr>
            <w:tcW w:w="1984" w:type="dxa"/>
            <w:vAlign w:val="center"/>
          </w:tcPr>
          <w:p w14:paraId="4D364EAB">
            <w:pPr>
              <w:widowControl/>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5</w:t>
            </w:r>
          </w:p>
        </w:tc>
        <w:tc>
          <w:tcPr>
            <w:tcW w:w="1843" w:type="dxa"/>
            <w:vAlign w:val="center"/>
          </w:tcPr>
          <w:p w14:paraId="6530AA7C">
            <w:pPr>
              <w:widowControl/>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6</w:t>
            </w:r>
          </w:p>
        </w:tc>
      </w:tr>
      <w:tr w14:paraId="18ECF5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14:paraId="18E148CE">
            <w:pPr>
              <w:widowControl/>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1739" w:type="dxa"/>
            <w:vAlign w:val="center"/>
          </w:tcPr>
          <w:p w14:paraId="189413B9">
            <w:pPr>
              <w:widowControl/>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货物名称</w:t>
            </w:r>
          </w:p>
        </w:tc>
        <w:tc>
          <w:tcPr>
            <w:tcW w:w="1134" w:type="dxa"/>
            <w:tcBorders>
              <w:right w:val="single" w:color="auto" w:sz="4" w:space="0"/>
            </w:tcBorders>
            <w:vAlign w:val="center"/>
          </w:tcPr>
          <w:p w14:paraId="1416E7BC">
            <w:pPr>
              <w:widowControl/>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规格型号</w:t>
            </w:r>
          </w:p>
        </w:tc>
        <w:tc>
          <w:tcPr>
            <w:tcW w:w="1418" w:type="dxa"/>
            <w:tcBorders>
              <w:left w:val="single" w:color="auto" w:sz="4" w:space="0"/>
            </w:tcBorders>
            <w:vAlign w:val="center"/>
          </w:tcPr>
          <w:p w14:paraId="14A4FE30">
            <w:pPr>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价格（元）</w:t>
            </w:r>
          </w:p>
        </w:tc>
        <w:tc>
          <w:tcPr>
            <w:tcW w:w="1984" w:type="dxa"/>
            <w:vAlign w:val="center"/>
          </w:tcPr>
          <w:p w14:paraId="2123B1C1">
            <w:pPr>
              <w:widowControl/>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货物制造商名称</w:t>
            </w:r>
          </w:p>
        </w:tc>
        <w:tc>
          <w:tcPr>
            <w:tcW w:w="1843" w:type="dxa"/>
            <w:vAlign w:val="center"/>
          </w:tcPr>
          <w:p w14:paraId="51EF50F8">
            <w:pPr>
              <w:widowControl/>
              <w:adjustRightInd w:val="0"/>
              <w:snapToGrid w:val="0"/>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政策功能编码</w:t>
            </w:r>
          </w:p>
        </w:tc>
      </w:tr>
      <w:tr w14:paraId="1D769A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49D47C21">
            <w:pPr>
              <w:adjustRightInd w:val="0"/>
              <w:snapToGrid w:val="0"/>
              <w:spacing w:line="360" w:lineRule="auto"/>
              <w:jc w:val="left"/>
              <w:rPr>
                <w:rFonts w:asciiTheme="minorEastAsia" w:hAnsiTheme="minorEastAsia" w:eastAsiaTheme="minorEastAsia"/>
                <w:b/>
                <w:szCs w:val="21"/>
              </w:rPr>
            </w:pPr>
            <w:r>
              <w:rPr>
                <w:rFonts w:hint="eastAsia" w:asciiTheme="minorEastAsia" w:hAnsiTheme="minorEastAsia" w:eastAsiaTheme="minorEastAsia"/>
                <w:b/>
                <w:szCs w:val="21"/>
              </w:rPr>
              <w:t>节能产品</w:t>
            </w:r>
          </w:p>
        </w:tc>
      </w:tr>
      <w:tr w14:paraId="007F02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0641EEDE">
            <w:pPr>
              <w:adjustRightInd w:val="0"/>
              <w:snapToGrid w:val="0"/>
              <w:spacing w:line="360" w:lineRule="auto"/>
              <w:jc w:val="center"/>
              <w:rPr>
                <w:rFonts w:ascii="宋体" w:hAnsi="宋体"/>
                <w:b/>
                <w:szCs w:val="21"/>
              </w:rPr>
            </w:pPr>
          </w:p>
        </w:tc>
        <w:tc>
          <w:tcPr>
            <w:tcW w:w="1739" w:type="dxa"/>
            <w:vAlign w:val="center"/>
          </w:tcPr>
          <w:p w14:paraId="48932404">
            <w:pPr>
              <w:adjustRightInd w:val="0"/>
              <w:snapToGrid w:val="0"/>
              <w:spacing w:line="360" w:lineRule="auto"/>
              <w:jc w:val="center"/>
              <w:rPr>
                <w:rFonts w:asciiTheme="minorEastAsia" w:hAnsiTheme="minorEastAsia" w:eastAsiaTheme="minorEastAsia"/>
                <w:b/>
                <w:szCs w:val="21"/>
              </w:rPr>
            </w:pPr>
          </w:p>
        </w:tc>
        <w:tc>
          <w:tcPr>
            <w:tcW w:w="1134" w:type="dxa"/>
            <w:tcBorders>
              <w:right w:val="single" w:color="auto" w:sz="4" w:space="0"/>
            </w:tcBorders>
            <w:vAlign w:val="center"/>
          </w:tcPr>
          <w:p w14:paraId="2018F49A">
            <w:pPr>
              <w:adjustRightInd w:val="0"/>
              <w:snapToGrid w:val="0"/>
              <w:spacing w:line="360" w:lineRule="auto"/>
              <w:jc w:val="left"/>
              <w:rPr>
                <w:rFonts w:asciiTheme="minorEastAsia" w:hAnsiTheme="minorEastAsia" w:eastAsiaTheme="minorEastAsia"/>
                <w:b/>
                <w:szCs w:val="21"/>
              </w:rPr>
            </w:pPr>
          </w:p>
        </w:tc>
        <w:tc>
          <w:tcPr>
            <w:tcW w:w="1418" w:type="dxa"/>
            <w:tcBorders>
              <w:left w:val="single" w:color="auto" w:sz="4" w:space="0"/>
            </w:tcBorders>
            <w:vAlign w:val="center"/>
          </w:tcPr>
          <w:p w14:paraId="3961454A">
            <w:pPr>
              <w:adjustRightInd w:val="0"/>
              <w:snapToGrid w:val="0"/>
              <w:spacing w:line="360" w:lineRule="auto"/>
              <w:jc w:val="left"/>
              <w:rPr>
                <w:rFonts w:asciiTheme="minorEastAsia" w:hAnsiTheme="minorEastAsia" w:eastAsiaTheme="minorEastAsia"/>
                <w:b/>
                <w:szCs w:val="21"/>
              </w:rPr>
            </w:pPr>
          </w:p>
        </w:tc>
        <w:tc>
          <w:tcPr>
            <w:tcW w:w="1984" w:type="dxa"/>
            <w:vAlign w:val="center"/>
          </w:tcPr>
          <w:p w14:paraId="048881ED">
            <w:pPr>
              <w:adjustRightInd w:val="0"/>
              <w:snapToGrid w:val="0"/>
              <w:spacing w:line="360" w:lineRule="auto"/>
              <w:jc w:val="center"/>
              <w:rPr>
                <w:rFonts w:asciiTheme="minorEastAsia" w:hAnsiTheme="minorEastAsia" w:eastAsiaTheme="minorEastAsia"/>
                <w:b/>
                <w:szCs w:val="21"/>
              </w:rPr>
            </w:pPr>
          </w:p>
        </w:tc>
        <w:tc>
          <w:tcPr>
            <w:tcW w:w="1843" w:type="dxa"/>
          </w:tcPr>
          <w:p w14:paraId="2F870623">
            <w:pPr>
              <w:adjustRightInd w:val="0"/>
              <w:snapToGrid w:val="0"/>
              <w:spacing w:line="360" w:lineRule="auto"/>
              <w:jc w:val="center"/>
              <w:rPr>
                <w:rFonts w:asciiTheme="minorEastAsia" w:hAnsiTheme="minorEastAsia" w:eastAsiaTheme="minorEastAsia"/>
                <w:b/>
                <w:szCs w:val="21"/>
              </w:rPr>
            </w:pPr>
          </w:p>
        </w:tc>
      </w:tr>
      <w:tr w14:paraId="3FFEC0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1B2105D5">
            <w:pPr>
              <w:adjustRightInd w:val="0"/>
              <w:snapToGrid w:val="0"/>
              <w:spacing w:line="360" w:lineRule="auto"/>
              <w:jc w:val="center"/>
              <w:rPr>
                <w:rFonts w:ascii="宋体" w:hAnsi="宋体"/>
                <w:szCs w:val="21"/>
              </w:rPr>
            </w:pPr>
            <w:r>
              <w:rPr>
                <w:rFonts w:hint="eastAsia" w:ascii="宋体" w:hAnsi="宋体"/>
                <w:szCs w:val="21"/>
              </w:rPr>
              <w:t>小计</w:t>
            </w:r>
          </w:p>
        </w:tc>
        <w:tc>
          <w:tcPr>
            <w:tcW w:w="1739" w:type="dxa"/>
            <w:vAlign w:val="center"/>
          </w:tcPr>
          <w:p w14:paraId="1DDA0654">
            <w:pPr>
              <w:adjustRightInd w:val="0"/>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w:t>
            </w:r>
          </w:p>
        </w:tc>
        <w:tc>
          <w:tcPr>
            <w:tcW w:w="1134" w:type="dxa"/>
            <w:tcBorders>
              <w:right w:val="single" w:color="auto" w:sz="4" w:space="0"/>
            </w:tcBorders>
            <w:vAlign w:val="center"/>
          </w:tcPr>
          <w:p w14:paraId="6FB08A3A">
            <w:pPr>
              <w:adjustRightInd w:val="0"/>
              <w:snapToGrid w:val="0"/>
              <w:spacing w:line="360" w:lineRule="auto"/>
              <w:jc w:val="left"/>
              <w:rPr>
                <w:rFonts w:asciiTheme="minorEastAsia" w:hAnsiTheme="minorEastAsia" w:eastAsiaTheme="minorEastAsia"/>
                <w:b/>
                <w:szCs w:val="21"/>
              </w:rPr>
            </w:pPr>
          </w:p>
        </w:tc>
        <w:tc>
          <w:tcPr>
            <w:tcW w:w="1418" w:type="dxa"/>
            <w:tcBorders>
              <w:left w:val="single" w:color="auto" w:sz="4" w:space="0"/>
            </w:tcBorders>
            <w:vAlign w:val="center"/>
          </w:tcPr>
          <w:p w14:paraId="1D8B881A">
            <w:pPr>
              <w:adjustRightInd w:val="0"/>
              <w:snapToGrid w:val="0"/>
              <w:spacing w:line="360" w:lineRule="auto"/>
              <w:jc w:val="left"/>
              <w:rPr>
                <w:rFonts w:asciiTheme="minorEastAsia" w:hAnsiTheme="minorEastAsia" w:eastAsiaTheme="minorEastAsia"/>
                <w:b/>
                <w:szCs w:val="21"/>
              </w:rPr>
            </w:pPr>
          </w:p>
        </w:tc>
        <w:tc>
          <w:tcPr>
            <w:tcW w:w="1984" w:type="dxa"/>
            <w:vAlign w:val="center"/>
          </w:tcPr>
          <w:p w14:paraId="27BD72DF">
            <w:pPr>
              <w:adjustRightInd w:val="0"/>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w:t>
            </w:r>
          </w:p>
        </w:tc>
        <w:tc>
          <w:tcPr>
            <w:tcW w:w="1843" w:type="dxa"/>
          </w:tcPr>
          <w:p w14:paraId="01ADA599">
            <w:pPr>
              <w:adjustRightInd w:val="0"/>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w:t>
            </w:r>
          </w:p>
        </w:tc>
      </w:tr>
      <w:tr w14:paraId="7AD1FD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1014446E">
            <w:pPr>
              <w:adjustRightInd w:val="0"/>
              <w:snapToGrid w:val="0"/>
              <w:spacing w:line="360" w:lineRule="auto"/>
              <w:jc w:val="left"/>
              <w:rPr>
                <w:rFonts w:asciiTheme="minorEastAsia" w:hAnsiTheme="minorEastAsia" w:eastAsiaTheme="minorEastAsia"/>
                <w:b/>
                <w:szCs w:val="21"/>
              </w:rPr>
            </w:pPr>
            <w:r>
              <w:rPr>
                <w:rFonts w:hint="eastAsia" w:asciiTheme="minorEastAsia" w:hAnsiTheme="minorEastAsia" w:eastAsiaTheme="minorEastAsia"/>
                <w:b/>
                <w:szCs w:val="21"/>
              </w:rPr>
              <w:t>环境标志产品</w:t>
            </w:r>
          </w:p>
        </w:tc>
      </w:tr>
      <w:tr w14:paraId="18D8A6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1C94CF95">
            <w:pPr>
              <w:adjustRightInd w:val="0"/>
              <w:snapToGrid w:val="0"/>
              <w:spacing w:line="360" w:lineRule="auto"/>
              <w:jc w:val="center"/>
              <w:rPr>
                <w:rFonts w:ascii="宋体" w:hAnsi="宋体"/>
                <w:b/>
                <w:szCs w:val="21"/>
              </w:rPr>
            </w:pPr>
          </w:p>
        </w:tc>
        <w:tc>
          <w:tcPr>
            <w:tcW w:w="1739" w:type="dxa"/>
            <w:vAlign w:val="center"/>
          </w:tcPr>
          <w:p w14:paraId="09E730E4">
            <w:pPr>
              <w:adjustRightInd w:val="0"/>
              <w:snapToGrid w:val="0"/>
              <w:spacing w:line="360" w:lineRule="auto"/>
              <w:jc w:val="center"/>
              <w:rPr>
                <w:rFonts w:asciiTheme="minorEastAsia" w:hAnsiTheme="minorEastAsia" w:eastAsiaTheme="minorEastAsia"/>
                <w:b/>
                <w:szCs w:val="21"/>
              </w:rPr>
            </w:pPr>
          </w:p>
        </w:tc>
        <w:tc>
          <w:tcPr>
            <w:tcW w:w="1134" w:type="dxa"/>
            <w:tcBorders>
              <w:right w:val="single" w:color="auto" w:sz="4" w:space="0"/>
            </w:tcBorders>
            <w:vAlign w:val="center"/>
          </w:tcPr>
          <w:p w14:paraId="0ED8D5E6">
            <w:pPr>
              <w:adjustRightInd w:val="0"/>
              <w:snapToGrid w:val="0"/>
              <w:spacing w:line="360" w:lineRule="auto"/>
              <w:jc w:val="left"/>
              <w:rPr>
                <w:rFonts w:asciiTheme="minorEastAsia" w:hAnsiTheme="minorEastAsia" w:eastAsiaTheme="minorEastAsia"/>
                <w:b/>
                <w:szCs w:val="21"/>
              </w:rPr>
            </w:pPr>
          </w:p>
        </w:tc>
        <w:tc>
          <w:tcPr>
            <w:tcW w:w="1418" w:type="dxa"/>
            <w:tcBorders>
              <w:left w:val="single" w:color="auto" w:sz="4" w:space="0"/>
            </w:tcBorders>
            <w:vAlign w:val="center"/>
          </w:tcPr>
          <w:p w14:paraId="118B1578">
            <w:pPr>
              <w:adjustRightInd w:val="0"/>
              <w:snapToGrid w:val="0"/>
              <w:spacing w:line="360" w:lineRule="auto"/>
              <w:jc w:val="left"/>
              <w:rPr>
                <w:rFonts w:asciiTheme="minorEastAsia" w:hAnsiTheme="minorEastAsia" w:eastAsiaTheme="minorEastAsia"/>
                <w:b/>
                <w:szCs w:val="21"/>
              </w:rPr>
            </w:pPr>
          </w:p>
        </w:tc>
        <w:tc>
          <w:tcPr>
            <w:tcW w:w="1984" w:type="dxa"/>
            <w:vAlign w:val="center"/>
          </w:tcPr>
          <w:p w14:paraId="2A6E73EB">
            <w:pPr>
              <w:adjustRightInd w:val="0"/>
              <w:snapToGrid w:val="0"/>
              <w:spacing w:line="360" w:lineRule="auto"/>
              <w:jc w:val="center"/>
              <w:rPr>
                <w:rFonts w:asciiTheme="minorEastAsia" w:hAnsiTheme="minorEastAsia" w:eastAsiaTheme="minorEastAsia"/>
                <w:b/>
                <w:szCs w:val="21"/>
              </w:rPr>
            </w:pPr>
          </w:p>
        </w:tc>
        <w:tc>
          <w:tcPr>
            <w:tcW w:w="1843" w:type="dxa"/>
          </w:tcPr>
          <w:p w14:paraId="60E89797">
            <w:pPr>
              <w:adjustRightInd w:val="0"/>
              <w:snapToGrid w:val="0"/>
              <w:spacing w:line="360" w:lineRule="auto"/>
              <w:jc w:val="center"/>
              <w:rPr>
                <w:rFonts w:asciiTheme="minorEastAsia" w:hAnsiTheme="minorEastAsia" w:eastAsiaTheme="minorEastAsia"/>
                <w:b/>
                <w:szCs w:val="21"/>
              </w:rPr>
            </w:pPr>
          </w:p>
        </w:tc>
      </w:tr>
      <w:tr w14:paraId="2D666A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0DF41A87">
            <w:pPr>
              <w:adjustRightInd w:val="0"/>
              <w:snapToGrid w:val="0"/>
              <w:spacing w:line="360" w:lineRule="auto"/>
              <w:jc w:val="center"/>
              <w:rPr>
                <w:rFonts w:ascii="宋体" w:hAnsi="宋体"/>
                <w:szCs w:val="21"/>
              </w:rPr>
            </w:pPr>
            <w:r>
              <w:rPr>
                <w:rFonts w:hint="eastAsia" w:ascii="宋体" w:hAnsi="宋体"/>
                <w:szCs w:val="21"/>
              </w:rPr>
              <w:t>小计</w:t>
            </w:r>
          </w:p>
        </w:tc>
        <w:tc>
          <w:tcPr>
            <w:tcW w:w="1739" w:type="dxa"/>
            <w:vAlign w:val="center"/>
          </w:tcPr>
          <w:p w14:paraId="77F68BC6">
            <w:pPr>
              <w:adjustRightInd w:val="0"/>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w:t>
            </w:r>
          </w:p>
        </w:tc>
        <w:tc>
          <w:tcPr>
            <w:tcW w:w="1134" w:type="dxa"/>
            <w:tcBorders>
              <w:right w:val="single" w:color="auto" w:sz="4" w:space="0"/>
            </w:tcBorders>
            <w:vAlign w:val="center"/>
          </w:tcPr>
          <w:p w14:paraId="6D495BCB">
            <w:pPr>
              <w:adjustRightInd w:val="0"/>
              <w:snapToGrid w:val="0"/>
              <w:spacing w:line="360" w:lineRule="auto"/>
              <w:jc w:val="left"/>
              <w:rPr>
                <w:rFonts w:asciiTheme="minorEastAsia" w:hAnsiTheme="minorEastAsia" w:eastAsiaTheme="minorEastAsia"/>
                <w:b/>
                <w:szCs w:val="21"/>
              </w:rPr>
            </w:pPr>
          </w:p>
        </w:tc>
        <w:tc>
          <w:tcPr>
            <w:tcW w:w="1418" w:type="dxa"/>
            <w:tcBorders>
              <w:left w:val="single" w:color="auto" w:sz="4" w:space="0"/>
            </w:tcBorders>
            <w:vAlign w:val="center"/>
          </w:tcPr>
          <w:p w14:paraId="54F3F206">
            <w:pPr>
              <w:adjustRightInd w:val="0"/>
              <w:snapToGrid w:val="0"/>
              <w:spacing w:line="360" w:lineRule="auto"/>
              <w:jc w:val="left"/>
              <w:rPr>
                <w:rFonts w:asciiTheme="minorEastAsia" w:hAnsiTheme="minorEastAsia" w:eastAsiaTheme="minorEastAsia"/>
                <w:b/>
                <w:szCs w:val="21"/>
              </w:rPr>
            </w:pPr>
          </w:p>
        </w:tc>
        <w:tc>
          <w:tcPr>
            <w:tcW w:w="1984" w:type="dxa"/>
            <w:vAlign w:val="center"/>
          </w:tcPr>
          <w:p w14:paraId="4453EC00">
            <w:pPr>
              <w:adjustRightInd w:val="0"/>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w:t>
            </w:r>
          </w:p>
        </w:tc>
        <w:tc>
          <w:tcPr>
            <w:tcW w:w="1843" w:type="dxa"/>
          </w:tcPr>
          <w:p w14:paraId="3C61C06E">
            <w:pPr>
              <w:adjustRightInd w:val="0"/>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w:t>
            </w:r>
          </w:p>
        </w:tc>
      </w:tr>
    </w:tbl>
    <w:p w14:paraId="1A5A9A15">
      <w:pPr>
        <w:adjustRightInd w:val="0"/>
        <w:snapToGrid w:val="0"/>
        <w:spacing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说明：</w:t>
      </w:r>
      <w:r>
        <w:rPr>
          <w:rFonts w:hint="eastAsia" w:asciiTheme="minorEastAsia" w:hAnsiTheme="minorEastAsia" w:eastAsiaTheme="minorEastAsia"/>
          <w:bCs/>
          <w:szCs w:val="21"/>
        </w:rPr>
        <w:t>1、</w:t>
      </w:r>
      <w:r>
        <w:rPr>
          <w:rFonts w:hint="eastAsia" w:asciiTheme="minorEastAsia" w:hAnsiTheme="minorEastAsia" w:eastAsiaTheme="minorEastAsia"/>
          <w:szCs w:val="21"/>
        </w:rPr>
        <w:t>本表用于计算政府采购优先采购产品（节能产品或环境标志产品）的政府采购政策加分或者价格扣除。</w:t>
      </w:r>
    </w:p>
    <w:p w14:paraId="22779E90">
      <w:pPr>
        <w:adjustRightInd w:val="0"/>
        <w:snapToGrid w:val="0"/>
        <w:spacing w:line="360" w:lineRule="auto"/>
        <w:ind w:firstLine="630" w:firstLineChars="300"/>
        <w:jc w:val="left"/>
        <w:rPr>
          <w:rFonts w:asciiTheme="minorEastAsia" w:hAnsiTheme="minorEastAsia" w:eastAsiaTheme="minorEastAsia"/>
          <w:szCs w:val="21"/>
        </w:rPr>
      </w:pPr>
      <w:r>
        <w:rPr>
          <w:rFonts w:hint="eastAsia" w:asciiTheme="minorEastAsia" w:hAnsiTheme="minorEastAsia" w:eastAsiaTheme="minorEastAsia"/>
          <w:szCs w:val="21"/>
        </w:rPr>
        <w:t>2、栏目4“价格”为综合单价，包含货物所有隐含的内容，如运输费、保险费、管理费和利润等。</w:t>
      </w:r>
    </w:p>
    <w:p w14:paraId="1384FFF1">
      <w:pPr>
        <w:adjustRightInd w:val="0"/>
        <w:snapToGrid w:val="0"/>
        <w:spacing w:line="360" w:lineRule="auto"/>
        <w:ind w:firstLine="630" w:firstLineChars="300"/>
        <w:jc w:val="left"/>
        <w:rPr>
          <w:rFonts w:asciiTheme="minorEastAsia" w:hAnsiTheme="minorEastAsia" w:eastAsiaTheme="minorEastAsia"/>
          <w:szCs w:val="21"/>
        </w:rPr>
      </w:pPr>
      <w:r>
        <w:rPr>
          <w:rFonts w:hint="eastAsia" w:asciiTheme="minorEastAsia" w:hAnsiTheme="minorEastAsia" w:eastAsiaTheme="minorEastAsia"/>
          <w:szCs w:val="21"/>
        </w:rPr>
        <w:t>3、栏目6“政策功能编码”是指货物的中国环境标志认证证书编号、中国节能标志认证证书号（货物同时属于节能产品、环境标志产品的，只须填写一种）。</w:t>
      </w:r>
    </w:p>
    <w:p w14:paraId="44D4C3D4">
      <w:pPr>
        <w:adjustRightInd w:val="0"/>
        <w:snapToGrid w:val="0"/>
        <w:spacing w:line="360" w:lineRule="auto"/>
        <w:ind w:firstLine="630" w:firstLineChars="300"/>
        <w:rPr>
          <w:rFonts w:asciiTheme="minorEastAsia" w:hAnsiTheme="minorEastAsia" w:eastAsiaTheme="minorEastAsia"/>
          <w:bCs/>
          <w:szCs w:val="21"/>
        </w:rPr>
      </w:pPr>
      <w:r>
        <w:rPr>
          <w:rFonts w:hint="eastAsia" w:asciiTheme="minorEastAsia" w:hAnsiTheme="minorEastAsia" w:eastAsiaTheme="minorEastAsia"/>
          <w:bCs/>
          <w:szCs w:val="21"/>
        </w:rPr>
        <w:t>4、投标人在投标截止时间前修改“开标一览表”中的投标报价的，应按第二章第13.7款规定修改本表相应内容。否则，评审时涉及本表所有优惠不予以考虑。</w:t>
      </w:r>
    </w:p>
    <w:p w14:paraId="3752DCCD">
      <w:pPr>
        <w:adjustRightInd w:val="0"/>
        <w:snapToGrid w:val="0"/>
        <w:spacing w:line="360" w:lineRule="auto"/>
        <w:rPr>
          <w:rFonts w:ascii="宋体" w:hAnsi="宋体"/>
          <w:szCs w:val="21"/>
        </w:rPr>
      </w:pPr>
    </w:p>
    <w:p w14:paraId="5419AF72">
      <w:pPr>
        <w:adjustRightInd w:val="0"/>
        <w:snapToGrid w:val="0"/>
        <w:spacing w:line="360" w:lineRule="auto"/>
        <w:rPr>
          <w:rFonts w:ascii="宋体" w:hAnsi="宋体"/>
          <w:szCs w:val="21"/>
        </w:rPr>
      </w:pPr>
      <w:r>
        <w:rPr>
          <w:rFonts w:hint="eastAsia" w:ascii="宋体" w:hAnsi="宋体"/>
          <w:szCs w:val="21"/>
        </w:rPr>
        <w:t>投标人名称（盖单位电子章）：</w:t>
      </w:r>
    </w:p>
    <w:p w14:paraId="114FB4A0">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szCs w:val="21"/>
        </w:rPr>
        <w:t>或其委托代理人（电子签字或电子印章）：</w:t>
      </w:r>
    </w:p>
    <w:p w14:paraId="0AFFC385">
      <w:pPr>
        <w:rPr>
          <w:rFonts w:ascii="宋体" w:hAnsi="宋体"/>
          <w:b/>
          <w:bCs/>
          <w:sz w:val="32"/>
          <w:szCs w:val="21"/>
        </w:rPr>
      </w:pPr>
      <w:r>
        <w:rPr>
          <w:rFonts w:hint="eastAsia"/>
        </w:rPr>
        <w:t>日期：年月日</w:t>
      </w:r>
      <w:r>
        <w:rPr>
          <w:rFonts w:ascii="宋体" w:hAnsi="宋体"/>
          <w:szCs w:val="21"/>
        </w:rPr>
        <w:br w:type="page"/>
      </w:r>
    </w:p>
    <w:p w14:paraId="7A9A9442">
      <w:pPr>
        <w:pStyle w:val="4"/>
        <w:adjustRightInd w:val="0"/>
        <w:snapToGrid w:val="0"/>
        <w:spacing w:before="0" w:after="0" w:line="360" w:lineRule="auto"/>
        <w:jc w:val="center"/>
        <w:rPr>
          <w:rFonts w:hint="eastAsia" w:ascii="方正小标宋简体" w:hAnsi="方正小标宋简体" w:eastAsia="方正小标宋简体" w:cs="方正小标宋简体"/>
          <w:sz w:val="32"/>
          <w:szCs w:val="32"/>
        </w:rPr>
      </w:pPr>
      <w:bookmarkStart w:id="65" w:name="_Toc29913976"/>
      <w:r>
        <w:rPr>
          <w:rFonts w:hint="eastAsia" w:ascii="方正小标宋简体" w:hAnsi="方正小标宋简体" w:eastAsia="方正小标宋简体" w:cs="方正小标宋简体"/>
          <w:sz w:val="32"/>
          <w:szCs w:val="32"/>
        </w:rPr>
        <w:t>十一、</w:t>
      </w:r>
      <w:r>
        <w:rPr>
          <w:rFonts w:hint="eastAsia" w:ascii="方正小标宋简体" w:hAnsi="方正小标宋简体" w:eastAsia="方正小标宋简体" w:cs="方正小标宋简体"/>
          <w:sz w:val="32"/>
          <w:szCs w:val="32"/>
          <w:lang w:eastAsia="zh-CN"/>
        </w:rPr>
        <w:t>服务</w:t>
      </w:r>
      <w:r>
        <w:rPr>
          <w:rFonts w:hint="eastAsia" w:ascii="方正小标宋简体" w:hAnsi="方正小标宋简体" w:eastAsia="方正小标宋简体" w:cs="方正小标宋简体"/>
          <w:sz w:val="32"/>
          <w:szCs w:val="32"/>
        </w:rPr>
        <w:t>符合招标文件规定的证明文件</w:t>
      </w:r>
      <w:bookmarkEnd w:id="65"/>
    </w:p>
    <w:p w14:paraId="64BB7B78">
      <w:pPr>
        <w:adjustRightInd w:val="0"/>
        <w:snapToGrid w:val="0"/>
        <w:spacing w:line="360" w:lineRule="auto"/>
        <w:rPr>
          <w:rFonts w:asciiTheme="minorEastAsia" w:hAnsiTheme="minorEastAsia" w:eastAsiaTheme="minorEastAsia"/>
          <w:szCs w:val="21"/>
        </w:rPr>
      </w:pPr>
    </w:p>
    <w:p w14:paraId="018D78B0">
      <w:pPr>
        <w:adjustRightInd w:val="0"/>
        <w:snapToGrid w:val="0"/>
        <w:spacing w:line="360" w:lineRule="auto"/>
        <w:rPr>
          <w:rFonts w:asciiTheme="minorEastAsia" w:hAnsiTheme="minorEastAsia" w:eastAsiaTheme="minorEastAsia"/>
        </w:rPr>
      </w:pPr>
      <w:r>
        <w:rPr>
          <w:rFonts w:hint="eastAsia" w:asciiTheme="minorEastAsia" w:hAnsiTheme="minorEastAsia" w:eastAsiaTheme="minorEastAsia"/>
          <w:szCs w:val="21"/>
        </w:rPr>
        <w:t>备注：提供第五章规定的证明材料复印件。</w:t>
      </w:r>
    </w:p>
    <w:p w14:paraId="7354A17F">
      <w:pPr>
        <w:widowControl/>
        <w:jc w:val="left"/>
        <w:rPr>
          <w:rFonts w:ascii="黑体" w:eastAsia="黑体"/>
          <w:sz w:val="28"/>
          <w:szCs w:val="28"/>
        </w:rPr>
      </w:pPr>
      <w:r>
        <w:rPr>
          <w:rFonts w:ascii="黑体" w:eastAsia="黑体"/>
          <w:b/>
          <w:bCs/>
          <w:sz w:val="28"/>
          <w:szCs w:val="28"/>
        </w:rPr>
        <w:br w:type="page"/>
      </w:r>
    </w:p>
    <w:p w14:paraId="0C28B030">
      <w:pPr>
        <w:pStyle w:val="4"/>
        <w:adjustRightInd w:val="0"/>
        <w:snapToGrid w:val="0"/>
        <w:spacing w:before="0" w:after="0" w:line="360" w:lineRule="auto"/>
        <w:jc w:val="center"/>
        <w:rPr>
          <w:rFonts w:ascii="黑体" w:hAnsi="宋体" w:eastAsia="黑体"/>
          <w:sz w:val="28"/>
          <w:szCs w:val="28"/>
        </w:rPr>
      </w:pPr>
      <w:bookmarkStart w:id="66" w:name="_Toc29913977"/>
      <w:r>
        <w:rPr>
          <w:rFonts w:hint="eastAsia" w:ascii="方正小标宋简体" w:hAnsi="方正小标宋简体" w:eastAsia="方正小标宋简体" w:cs="方正小标宋简体"/>
          <w:sz w:val="32"/>
          <w:szCs w:val="32"/>
        </w:rPr>
        <w:t>十二、投标人认为需提供的其他资料</w:t>
      </w:r>
      <w:bookmarkEnd w:id="66"/>
    </w:p>
    <w:p w14:paraId="2B0594BE">
      <w:pPr>
        <w:adjustRightInd w:val="0"/>
        <w:snapToGrid w:val="0"/>
        <w:spacing w:beforeLines="50" w:line="360" w:lineRule="auto"/>
        <w:rPr>
          <w:rFonts w:asciiTheme="minorEastAsia" w:hAnsiTheme="minorEastAsia" w:eastAsiaTheme="minorEastAsia"/>
        </w:rPr>
      </w:pPr>
    </w:p>
    <w:p w14:paraId="5779FCBD">
      <w:pPr>
        <w:adjustRightInd w:val="0"/>
        <w:snapToGrid w:val="0"/>
        <w:spacing w:beforeLines="50" w:line="360" w:lineRule="auto"/>
        <w:rPr>
          <w:rFonts w:asciiTheme="minorEastAsia" w:hAnsiTheme="minorEastAsia" w:eastAsiaTheme="minorEastAsia"/>
        </w:rPr>
      </w:pPr>
      <w:r>
        <w:rPr>
          <w:rFonts w:hint="eastAsia" w:asciiTheme="minorEastAsia" w:hAnsiTheme="minorEastAsia" w:eastAsiaTheme="minorEastAsia"/>
        </w:rPr>
        <w:t>备注：投标人认为需提供的其他资料包括：</w:t>
      </w:r>
    </w:p>
    <w:p w14:paraId="42171352">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eastAsiaTheme="minorEastAsia"/>
        </w:rPr>
        <w:t>（1）招标文件第五章采购需求要求的其他资料；</w:t>
      </w:r>
    </w:p>
    <w:p w14:paraId="629434A6">
      <w:pPr>
        <w:adjustRightInd w:val="0"/>
        <w:snapToGrid w:val="0"/>
        <w:spacing w:beforeLines="50" w:line="360" w:lineRule="auto"/>
        <w:ind w:firstLine="420" w:firstLineChars="200"/>
        <w:rPr>
          <w:rFonts w:asciiTheme="minorEastAsia" w:hAnsiTheme="minorEastAsia" w:eastAsiaTheme="minorEastAsia"/>
        </w:rPr>
      </w:pPr>
      <w:r>
        <w:rPr>
          <w:rFonts w:hint="eastAsia" w:asciiTheme="minorEastAsia" w:hAnsiTheme="minorEastAsia" w:eastAsiaTheme="minorEastAsia"/>
        </w:rPr>
        <w:t>（2）招标文件第四章评标方法及标准要求的其他相关资料；</w:t>
      </w:r>
    </w:p>
    <w:p w14:paraId="00EB2E41">
      <w:pPr>
        <w:adjustRightInd w:val="0"/>
        <w:snapToGrid w:val="0"/>
        <w:spacing w:beforeLines="50" w:line="360" w:lineRule="auto"/>
        <w:ind w:firstLine="420" w:firstLineChars="200"/>
        <w:rPr>
          <w:rFonts w:asciiTheme="minorEastAsia" w:hAnsiTheme="minorEastAsia" w:eastAsiaTheme="minorEastAsia"/>
        </w:rPr>
      </w:pPr>
    </w:p>
    <w:p w14:paraId="254985D3">
      <w:pPr>
        <w:adjustRightInd w:val="0"/>
        <w:snapToGrid w:val="0"/>
        <w:spacing w:beforeLines="50" w:line="360" w:lineRule="auto"/>
        <w:rPr>
          <w:rFonts w:asciiTheme="minorEastAsia" w:hAnsiTheme="minorEastAsia" w:eastAsiaTheme="minorEastAsia"/>
        </w:rPr>
      </w:pPr>
    </w:p>
    <w:p w14:paraId="00A71318"/>
    <w:p w14:paraId="7F233740">
      <w:pPr>
        <w:widowControl/>
        <w:jc w:val="left"/>
        <w:rPr>
          <w:rFonts w:ascii="黑体" w:hAnsi="宋体" w:eastAsia="黑体"/>
          <w:b/>
          <w:bCs/>
          <w:sz w:val="28"/>
          <w:szCs w:val="28"/>
        </w:rPr>
      </w:pPr>
    </w:p>
    <w:sectPr>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00000000000000000"/>
    <w:charset w:val="86"/>
    <w:family w:val="auto"/>
    <w:pitch w:val="default"/>
    <w:sig w:usb0="00000000" w:usb1="00000000" w:usb2="00000012"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华文宋体">
    <w:altName w:val="宋体"/>
    <w:panose1 w:val="02010600040101010101"/>
    <w:charset w:val="86"/>
    <w:family w:val="auto"/>
    <w:pitch w:val="default"/>
    <w:sig w:usb0="00000000" w:usb1="00000000" w:usb2="00000000" w:usb3="00000000" w:csb0="0004009F" w:csb1="DFD7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6AC40">
    <w:pPr>
      <w:pStyle w:val="26"/>
      <w:ind w:left="300" w:right="359" w:rightChars="171" w:hanging="300" w:hangingChars="100"/>
      <w:jc w:val="right"/>
      <w:rPr>
        <w:rFonts w:eastAsia="楷体_GB2312"/>
      </w:rPr>
    </w:pPr>
    <w:r>
      <w:rPr>
        <w:rStyle w:val="45"/>
        <w:rFonts w:hint="eastAsia" w:ascii="仿宋_GB2312" w:eastAsia="仿宋_GB2312"/>
        <w:sz w:val="30"/>
        <w:szCs w:val="30"/>
      </w:rPr>
      <w:t>—</w:t>
    </w:r>
    <w:r>
      <w:rPr>
        <w:rStyle w:val="45"/>
        <w:rFonts w:hint="eastAsia" w:ascii="仿宋_GB2312" w:eastAsia="仿宋_GB2312"/>
        <w:sz w:val="30"/>
        <w:szCs w:val="30"/>
      </w:rPr>
      <w:fldChar w:fldCharType="begin"/>
    </w:r>
    <w:r>
      <w:rPr>
        <w:rStyle w:val="45"/>
        <w:rFonts w:hint="eastAsia" w:ascii="仿宋_GB2312" w:eastAsia="仿宋_GB2312"/>
        <w:sz w:val="30"/>
        <w:szCs w:val="30"/>
      </w:rPr>
      <w:instrText xml:space="preserve"> PAGE </w:instrText>
    </w:r>
    <w:r>
      <w:rPr>
        <w:rStyle w:val="45"/>
        <w:rFonts w:hint="eastAsia" w:ascii="仿宋_GB2312" w:eastAsia="仿宋_GB2312"/>
        <w:sz w:val="30"/>
        <w:szCs w:val="30"/>
      </w:rPr>
      <w:fldChar w:fldCharType="separate"/>
    </w:r>
    <w:r>
      <w:rPr>
        <w:rStyle w:val="45"/>
        <w:rFonts w:ascii="仿宋_GB2312" w:eastAsia="仿宋_GB2312"/>
        <w:sz w:val="30"/>
        <w:szCs w:val="30"/>
      </w:rPr>
      <w:t>1</w:t>
    </w:r>
    <w:r>
      <w:rPr>
        <w:rStyle w:val="45"/>
        <w:rFonts w:hint="eastAsia" w:ascii="仿宋_GB2312" w:eastAsia="仿宋_GB2312"/>
        <w:sz w:val="30"/>
        <w:szCs w:val="30"/>
      </w:rPr>
      <w:fldChar w:fldCharType="end"/>
    </w:r>
    <w:r>
      <w:rPr>
        <w:rStyle w:val="45"/>
        <w:rFonts w:hint="eastAsia" w:ascii="仿宋_GB2312" w:eastAsia="仿宋_GB2312"/>
        <w:sz w:val="30"/>
        <w:szCs w:val="3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73C16">
    <w:pPr>
      <w:pStyle w:val="26"/>
      <w:ind w:right="360"/>
    </w:pPr>
    <w: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line">
                <wp:align>top</wp:align>
              </wp:positionV>
              <wp:extent cx="7366635" cy="347345"/>
              <wp:effectExtent l="5080" t="4445" r="19685" b="10160"/>
              <wp:wrapTopAndBottom/>
              <wp:docPr id="4" name="组合 22"/>
              <wp:cNvGraphicFramePr/>
              <a:graphic xmlns:a="http://schemas.openxmlformats.org/drawingml/2006/main">
                <a:graphicData uri="http://schemas.microsoft.com/office/word/2010/wordprocessingGroup">
                  <wpg:wgp>
                    <wpg:cNvGrpSpPr/>
                    <wpg:grpSpPr>
                      <a:xfrm>
                        <a:off x="0" y="0"/>
                        <a:ext cx="7366635" cy="347345"/>
                        <a:chOff x="321" y="14850"/>
                        <a:chExt cx="11601" cy="547"/>
                      </a:xfrm>
                    </wpg:grpSpPr>
                    <wps:wsp>
                      <wps:cNvPr id="1" name="矩形 23"/>
                      <wps:cNvSpPr/>
                      <wps:spPr>
                        <a:xfrm>
                          <a:off x="374" y="14903"/>
                          <a:ext cx="9346" cy="432"/>
                        </a:xfrm>
                        <a:prstGeom prst="rect">
                          <a:avLst/>
                        </a:prstGeom>
                        <a:solidFill>
                          <a:srgbClr val="943634"/>
                        </a:solidFill>
                        <a:ln>
                          <a:noFill/>
                        </a:ln>
                      </wps:spPr>
                      <wps:txbx>
                        <w:txbxContent>
                          <w:sdt>
                            <w:sdtPr>
                              <w:rPr>
                                <w:rFonts w:ascii="楷体" w:hAnsi="楷体" w:eastAsia="楷体"/>
                                <w:color w:val="FFFFFF" w:themeColor="background1"/>
                                <w:spacing w:val="60"/>
                                <w14:textFill>
                                  <w14:solidFill>
                                    <w14:schemeClr w14:val="bg1"/>
                                  </w14:solidFill>
                                </w14:textFill>
                              </w:rPr>
                              <w:alias w:val="地址"/>
                              <w:id w:val="8516423"/>
                              <w:placeholder>
                                <w:docPart w:val="7497BD5CC585436782225E730CFA2B31"/>
                              </w:placeholder>
                              <w:dataBinding w:prefixMappings="xmlns:ns0='http://schemas.microsoft.com/office/2006/coverPageProps'" w:xpath="/ns0:CoverPageProperties[1]/ns0:CompanyAddress[1]" w:storeItemID="{55AF091B-3C7A-41E3-B477-F2FDAA23CFDA}"/>
                              <w:text w:multiLine="1"/>
                            </w:sdtPr>
                            <w:sdtEndPr>
                              <w:rPr>
                                <w:rFonts w:ascii="楷体" w:hAnsi="楷体" w:eastAsia="楷体"/>
                                <w:color w:val="FFFFFF" w:themeColor="background1"/>
                                <w:spacing w:val="60"/>
                                <w14:textFill>
                                  <w14:solidFill>
                                    <w14:schemeClr w14:val="bg1"/>
                                  </w14:solidFill>
                                </w14:textFill>
                              </w:rPr>
                            </w:sdtEndPr>
                            <w:sdtContent>
                              <w:p w14:paraId="372DBA83">
                                <w:pPr>
                                  <w:pStyle w:val="26"/>
                                  <w:rPr>
                                    <w:color w:val="FFFFFF" w:themeColor="background1"/>
                                    <w:spacing w:val="60"/>
                                    <w14:textFill>
                                      <w14:solidFill>
                                        <w14:schemeClr w14:val="bg1"/>
                                      </w14:solidFill>
                                    </w14:textFill>
                                  </w:rPr>
                                </w:pPr>
                                <w:r>
                                  <w:rPr>
                                    <w:rFonts w:hint="eastAsia" w:ascii="楷体" w:hAnsi="楷体" w:eastAsia="楷体"/>
                                    <w:color w:val="FFFFFF" w:themeColor="background1"/>
                                    <w:spacing w:val="60"/>
                                    <w14:textFill>
                                      <w14:solidFill>
                                        <w14:schemeClr w14:val="bg1"/>
                                      </w14:solidFill>
                                    </w14:textFill>
                                  </w:rPr>
                                  <w:t>湖南永晟电子商务有限公司湘西分公司</w:t>
                                </w:r>
                              </w:p>
                            </w:sdtContent>
                          </w:sdt>
                          <w:p w14:paraId="49C60231">
                            <w:pPr>
                              <w:pStyle w:val="27"/>
                              <w:rPr>
                                <w:color w:val="FFFFFF" w:themeColor="background1"/>
                                <w14:textFill>
                                  <w14:solidFill>
                                    <w14:schemeClr w14:val="bg1"/>
                                  </w14:solidFill>
                                </w14:textFill>
                              </w:rPr>
                            </w:pPr>
                          </w:p>
                        </w:txbxContent>
                      </wps:txbx>
                      <wps:bodyPr upright="1"/>
                    </wps:wsp>
                    <wps:wsp>
                      <wps:cNvPr id="2" name="矩形 24"/>
                      <wps:cNvSpPr/>
                      <wps:spPr>
                        <a:xfrm>
                          <a:off x="9763" y="14903"/>
                          <a:ext cx="2102" cy="432"/>
                        </a:xfrm>
                        <a:prstGeom prst="rect">
                          <a:avLst/>
                        </a:prstGeom>
                        <a:solidFill>
                          <a:srgbClr val="943634"/>
                        </a:solidFill>
                        <a:ln>
                          <a:noFill/>
                        </a:ln>
                      </wps:spPr>
                      <wps:txbx>
                        <w:txbxContent>
                          <w:p w14:paraId="53EC648D">
                            <w:pPr>
                              <w:pStyle w:val="26"/>
                              <w:jc w:val="center"/>
                              <w:rPr>
                                <w:color w:val="FFFFFF" w:themeColor="background1"/>
                                <w14:textFill>
                                  <w14:solidFill>
                                    <w14:schemeClr w14:val="bg1"/>
                                  </w14:solidFill>
                                </w14:textFill>
                              </w:rPr>
                            </w:pPr>
                            <w:r>
                              <w:fldChar w:fldCharType="begin"/>
                            </w:r>
                            <w:r>
                              <w:instrText xml:space="preserve"> PAGE   \* MERGEFORMAT </w:instrText>
                            </w:r>
                            <w:r>
                              <w:fldChar w:fldCharType="separate"/>
                            </w:r>
                            <w:r>
                              <w:rPr>
                                <w:color w:val="FFFFFF" w:themeColor="background1"/>
                                <w:lang w:val="zh-CN"/>
                                <w14:textFill>
                                  <w14:solidFill>
                                    <w14:schemeClr w14:val="bg1"/>
                                  </w14:solidFill>
                                </w14:textFill>
                              </w:rPr>
                              <w:t>1</w:t>
                            </w:r>
                            <w:r>
                              <w:rPr>
                                <w:color w:val="FFFFFF" w:themeColor="background1"/>
                                <w:lang w:val="zh-CN"/>
                                <w14:textFill>
                                  <w14:solidFill>
                                    <w14:schemeClr w14:val="bg1"/>
                                  </w14:solidFill>
                                </w14:textFill>
                              </w:rPr>
                              <w:fldChar w:fldCharType="end"/>
                            </w:r>
                          </w:p>
                        </w:txbxContent>
                      </wps:txbx>
                      <wps:bodyPr upright="1"/>
                    </wps:wsp>
                    <wps:wsp>
                      <wps:cNvPr id="3" name="矩形 25"/>
                      <wps:cNvSpPr/>
                      <wps:spPr>
                        <a:xfrm>
                          <a:off x="321" y="14850"/>
                          <a:ext cx="11601" cy="547"/>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22" o:spid="_x0000_s1026" o:spt="203" style="position:absolute;left:0pt;height:27.35pt;width:580.05pt;mso-position-horizontal:center;mso-position-horizontal-relative:page;mso-position-vertical:top;mso-position-vertical-relative:line;mso-wrap-distance-bottom:0pt;mso-wrap-distance-top:0pt;z-index:251659264;mso-width-relative:page;mso-height-relative:page;" coordorigin="321,14850" coordsize="11601,547" o:gfxdata="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Bk&#10;3RLR1gAAAAUBAAAPAAAAAAAAAAEAIAAAACIAAABkcnMvZG93bnJldi54bWxQSwECFAAUAAAACACH&#10;TuJAE5JjstECAABDCAAADgAAAAAAAAABACAAAAAlAQAAZHJzL2Uyb0RvYy54bWxQSwUGAAAAAAYA&#10;BgBZAQAAaAYAAAAA&#10;">
              <o:lock v:ext="edit" aspectratio="f"/>
              <v:rect id="矩形 23" o:spid="_x0000_s1026" o:spt="1" style="position:absolute;left:374;top:14903;height:432;width:9346;" fillcolor="#943634" filled="t" stroked="f" coordsize="21600,21600" o:gfxdata="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xxK2rgAAADaAAAA&#10;DwAAAAAAAAABACAAAAAiAAAAZHJzL2Rvd25yZXYueG1sUEsBAhQAFAAAAAgAh07iQDMvBZ47AAAA&#10;OQAAABAAAAAAAAAAAQAgAAAABwEAAGRycy9zaGFwZXhtbC54bWxQSwUGAAAAAAYABgBbAQAAsQMA&#10;AAAA&#10;">
                <v:fill on="t" focussize="0,0"/>
                <v:stroke on="f"/>
                <v:imagedata o:title=""/>
                <o:lock v:ext="edit" aspectratio="f"/>
                <v:textbox>
                  <w:txbxContent>
                    <w:sdt>
                      <w:sdtPr>
                        <w:rPr>
                          <w:rFonts w:ascii="楷体" w:hAnsi="楷体" w:eastAsia="楷体"/>
                          <w:color w:val="FFFFFF" w:themeColor="background1"/>
                          <w:spacing w:val="60"/>
                          <w14:textFill>
                            <w14:solidFill>
                              <w14:schemeClr w14:val="bg1"/>
                            </w14:solidFill>
                          </w14:textFill>
                        </w:rPr>
                        <w:alias w:val="地址"/>
                        <w:id w:val="8516423"/>
                        <w:placeholder>
                          <w:docPart w:val="7497BD5CC585436782225E730CFA2B31"/>
                        </w:placeholder>
                        <w:dataBinding w:prefixMappings="xmlns:ns0='http://schemas.microsoft.com/office/2006/coverPageProps'" w:xpath="/ns0:CoverPageProperties[1]/ns0:CompanyAddress[1]" w:storeItemID="{55AF091B-3C7A-41E3-B477-F2FDAA23CFDA}"/>
                        <w:text w:multiLine="1"/>
                      </w:sdtPr>
                      <w:sdtEndPr>
                        <w:rPr>
                          <w:rFonts w:ascii="楷体" w:hAnsi="楷体" w:eastAsia="楷体"/>
                          <w:color w:val="FFFFFF" w:themeColor="background1"/>
                          <w:spacing w:val="60"/>
                          <w14:textFill>
                            <w14:solidFill>
                              <w14:schemeClr w14:val="bg1"/>
                            </w14:solidFill>
                          </w14:textFill>
                        </w:rPr>
                      </w:sdtEndPr>
                      <w:sdtContent>
                        <w:p w14:paraId="372DBA83">
                          <w:pPr>
                            <w:pStyle w:val="26"/>
                            <w:rPr>
                              <w:color w:val="FFFFFF" w:themeColor="background1"/>
                              <w:spacing w:val="60"/>
                              <w14:textFill>
                                <w14:solidFill>
                                  <w14:schemeClr w14:val="bg1"/>
                                </w14:solidFill>
                              </w14:textFill>
                            </w:rPr>
                          </w:pPr>
                          <w:r>
                            <w:rPr>
                              <w:rFonts w:hint="eastAsia" w:ascii="楷体" w:hAnsi="楷体" w:eastAsia="楷体"/>
                              <w:color w:val="FFFFFF" w:themeColor="background1"/>
                              <w:spacing w:val="60"/>
                              <w14:textFill>
                                <w14:solidFill>
                                  <w14:schemeClr w14:val="bg1"/>
                                </w14:solidFill>
                              </w14:textFill>
                            </w:rPr>
                            <w:t>湖南永晟电子商务有限公司湘西分公司</w:t>
                          </w:r>
                        </w:p>
                      </w:sdtContent>
                    </w:sdt>
                    <w:p w14:paraId="49C60231">
                      <w:pPr>
                        <w:pStyle w:val="27"/>
                        <w:rPr>
                          <w:color w:val="FFFFFF" w:themeColor="background1"/>
                          <w14:textFill>
                            <w14:solidFill>
                              <w14:schemeClr w14:val="bg1"/>
                            </w14:solidFill>
                          </w14:textFill>
                        </w:rPr>
                      </w:pPr>
                    </w:p>
                  </w:txbxContent>
                </v:textbox>
              </v:rect>
              <v:rect id="矩形 24" o:spid="_x0000_s1026" o:spt="1" style="position:absolute;left:9763;top:14903;height:432;width:2102;" fillcolor="#943634" filled="t" stroked="f" coordsize="21600,21600" o:gfxdata="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ztStugAAANoA&#10;AAAPAAAAAAAAAAEAIAAAACIAAABkcnMvZG93bnJldi54bWxQSwECFAAUAAAACACHTuJAMy8FnjsA&#10;AAA5AAAAEAAAAAAAAAABACAAAAAJAQAAZHJzL3NoYXBleG1sLnhtbFBLBQYAAAAABgAGAFsBAACz&#10;AwAAAAA=&#10;">
                <v:fill on="t" focussize="0,0"/>
                <v:stroke on="f"/>
                <v:imagedata o:title=""/>
                <o:lock v:ext="edit" aspectratio="f"/>
                <v:textbox>
                  <w:txbxContent>
                    <w:p w14:paraId="53EC648D">
                      <w:pPr>
                        <w:pStyle w:val="26"/>
                        <w:jc w:val="center"/>
                        <w:rPr>
                          <w:color w:val="FFFFFF" w:themeColor="background1"/>
                          <w14:textFill>
                            <w14:solidFill>
                              <w14:schemeClr w14:val="bg1"/>
                            </w14:solidFill>
                          </w14:textFill>
                        </w:rPr>
                      </w:pPr>
                      <w:r>
                        <w:fldChar w:fldCharType="begin"/>
                      </w:r>
                      <w:r>
                        <w:instrText xml:space="preserve"> PAGE   \* MERGEFORMAT </w:instrText>
                      </w:r>
                      <w:r>
                        <w:fldChar w:fldCharType="separate"/>
                      </w:r>
                      <w:r>
                        <w:rPr>
                          <w:color w:val="FFFFFF" w:themeColor="background1"/>
                          <w:lang w:val="zh-CN"/>
                          <w14:textFill>
                            <w14:solidFill>
                              <w14:schemeClr w14:val="bg1"/>
                            </w14:solidFill>
                          </w14:textFill>
                        </w:rPr>
                        <w:t>1</w:t>
                      </w:r>
                      <w:r>
                        <w:rPr>
                          <w:color w:val="FFFFFF" w:themeColor="background1"/>
                          <w:lang w:val="zh-CN"/>
                          <w14:textFill>
                            <w14:solidFill>
                              <w14:schemeClr w14:val="bg1"/>
                            </w14:solidFill>
                          </w14:textFill>
                        </w:rPr>
                        <w:fldChar w:fldCharType="end"/>
                      </w:r>
                    </w:p>
                  </w:txbxContent>
                </v:textbox>
              </v:rect>
              <v:rect id="矩形 25" o:spid="_x0000_s1026" o:spt="1" style="position:absolute;left:321;top:14850;height:547;width:11601;" filled="f" stroked="t" coordsize="21600,21600" o:gfxdata="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6zHwugAAANoA&#10;AAAPAAAAAAAAAAEAIAAAACIAAABkcnMvZG93bnJldi54bWxQSwECFAAUAAAACACHTuJAMy8FnjsA&#10;AAA5AAAAEAAAAAAAAAABACAAAAAJAQAAZHJzL3NoYXBleG1sLnhtbFBLBQYAAAAABgAGAFsBAACz&#10;AwAAAAA=&#10;">
                <v:fill on="f" focussize="0,0"/>
                <v:stroke color="#000000" joinstyle="miter"/>
                <v:imagedata o:title=""/>
                <o:lock v:ext="edit" aspectratio="f"/>
              </v:rect>
              <w10:wrap type="topAndBottom"/>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AAD01">
    <w:pPr>
      <w:pStyle w:val="26"/>
      <w:framePr w:wrap="around" w:vAnchor="text" w:hAnchor="margin" w:xAlign="right" w:y="1"/>
      <w:rPr>
        <w:rStyle w:val="45"/>
      </w:rPr>
    </w:pPr>
    <w:r>
      <w:fldChar w:fldCharType="begin"/>
    </w:r>
    <w:r>
      <w:rPr>
        <w:rStyle w:val="45"/>
      </w:rPr>
      <w:instrText xml:space="preserve">PAGE  </w:instrText>
    </w:r>
    <w:r>
      <w:fldChar w:fldCharType="end"/>
    </w:r>
  </w:p>
  <w:p w14:paraId="37179BD8">
    <w:pPr>
      <w:pStyle w:val="2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5D33B">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B5681">
    <w:pPr>
      <w:pStyle w:val="26"/>
      <w:ind w:left="180" w:right="359" w:rightChars="171" w:hanging="180" w:hangingChars="100"/>
      <w:jc w:val="right"/>
      <w:rPr>
        <w:rFonts w:eastAsia="楷体_GB2312"/>
      </w:rPr>
    </w:pPr>
    <w:r>
      <w:rPr>
        <w:rFonts w:eastAsia="楷体_GB2312"/>
      </w:rPr>
      <mc:AlternateContent>
        <mc:Choice Requires="wpg">
          <w:drawing>
            <wp:anchor distT="0" distB="0" distL="114300" distR="114300" simplePos="0" relativeHeight="251660288" behindDoc="0" locked="0" layoutInCell="1" allowOverlap="1">
              <wp:simplePos x="0" y="0"/>
              <wp:positionH relativeFrom="page">
                <wp:align>center</wp:align>
              </wp:positionH>
              <wp:positionV relativeFrom="line">
                <wp:align>top</wp:align>
              </wp:positionV>
              <wp:extent cx="7366635" cy="347345"/>
              <wp:effectExtent l="5080" t="4445" r="19685" b="10160"/>
              <wp:wrapTopAndBottom/>
              <wp:docPr id="8" name="组合 28"/>
              <wp:cNvGraphicFramePr/>
              <a:graphic xmlns:a="http://schemas.openxmlformats.org/drawingml/2006/main">
                <a:graphicData uri="http://schemas.microsoft.com/office/word/2010/wordprocessingGroup">
                  <wpg:wgp>
                    <wpg:cNvGrpSpPr/>
                    <wpg:grpSpPr>
                      <a:xfrm>
                        <a:off x="0" y="0"/>
                        <a:ext cx="7366635" cy="347345"/>
                        <a:chOff x="321" y="14850"/>
                        <a:chExt cx="11601" cy="547"/>
                      </a:xfrm>
                    </wpg:grpSpPr>
                    <wps:wsp>
                      <wps:cNvPr id="5" name="矩形 29"/>
                      <wps:cNvSpPr/>
                      <wps:spPr>
                        <a:xfrm>
                          <a:off x="374" y="14903"/>
                          <a:ext cx="9346" cy="432"/>
                        </a:xfrm>
                        <a:prstGeom prst="rect">
                          <a:avLst/>
                        </a:prstGeom>
                        <a:solidFill>
                          <a:srgbClr val="943634"/>
                        </a:solidFill>
                        <a:ln>
                          <a:noFill/>
                        </a:ln>
                      </wps:spPr>
                      <wps:txbx>
                        <w:txbxContent>
                          <w:sdt>
                            <w:sdtPr>
                              <w:rPr>
                                <w:rFonts w:ascii="楷体" w:hAnsi="楷体" w:eastAsia="楷体"/>
                                <w:color w:val="FFFFFF" w:themeColor="background1"/>
                                <w:spacing w:val="60"/>
                                <w14:textFill>
                                  <w14:solidFill>
                                    <w14:schemeClr w14:val="bg1"/>
                                  </w14:solidFill>
                                </w14:textFill>
                              </w:rPr>
                              <w:alias w:val="地址"/>
                              <w:id w:val="79885540"/>
                              <w:placeholder>
                                <w:docPart w:val="06F5815915F74375AC8357568F1DCD2C"/>
                              </w:placeholder>
                              <w:dataBinding w:prefixMappings="xmlns:ns0='http://schemas.microsoft.com/office/2006/coverPageProps'" w:xpath="/ns0:CoverPageProperties[1]/ns0:CompanyAddress[1]" w:storeItemID="{55AF091B-3C7A-41E3-B477-F2FDAA23CFDA}"/>
                              <w:text w:multiLine="1"/>
                            </w:sdtPr>
                            <w:sdtEndPr>
                              <w:rPr>
                                <w:rFonts w:ascii="楷体" w:hAnsi="楷体" w:eastAsia="楷体"/>
                                <w:color w:val="FFFFFF" w:themeColor="background1"/>
                                <w:spacing w:val="60"/>
                                <w14:textFill>
                                  <w14:solidFill>
                                    <w14:schemeClr w14:val="bg1"/>
                                  </w14:solidFill>
                                </w14:textFill>
                              </w:rPr>
                            </w:sdtEndPr>
                            <w:sdtContent>
                              <w:p w14:paraId="443BAC4F">
                                <w:pPr>
                                  <w:pStyle w:val="26"/>
                                  <w:rPr>
                                    <w:color w:val="FFFFFF" w:themeColor="background1"/>
                                    <w:spacing w:val="60"/>
                                    <w14:textFill>
                                      <w14:solidFill>
                                        <w14:schemeClr w14:val="bg1"/>
                                      </w14:solidFill>
                                    </w14:textFill>
                                  </w:rPr>
                                </w:pPr>
                                <w:r>
                                  <w:rPr>
                                    <w:rFonts w:hint="eastAsia" w:ascii="楷体" w:hAnsi="楷体" w:eastAsia="楷体"/>
                                    <w:color w:val="FFFFFF" w:themeColor="background1"/>
                                    <w:spacing w:val="60"/>
                                    <w14:textFill>
                                      <w14:solidFill>
                                        <w14:schemeClr w14:val="bg1"/>
                                      </w14:solidFill>
                                    </w14:textFill>
                                  </w:rPr>
                                  <w:t>湖南永晟电子商务有限公司湘西分公司</w:t>
                                </w:r>
                              </w:p>
                            </w:sdtContent>
                          </w:sdt>
                          <w:p w14:paraId="50574713">
                            <w:pPr>
                              <w:pStyle w:val="27"/>
                              <w:rPr>
                                <w:color w:val="FFFFFF" w:themeColor="background1"/>
                                <w14:textFill>
                                  <w14:solidFill>
                                    <w14:schemeClr w14:val="bg1"/>
                                  </w14:solidFill>
                                </w14:textFill>
                              </w:rPr>
                            </w:pPr>
                          </w:p>
                        </w:txbxContent>
                      </wps:txbx>
                      <wps:bodyPr upright="1"/>
                    </wps:wsp>
                    <wps:wsp>
                      <wps:cNvPr id="6" name="矩形 30"/>
                      <wps:cNvSpPr/>
                      <wps:spPr>
                        <a:xfrm>
                          <a:off x="9763" y="14903"/>
                          <a:ext cx="2102" cy="432"/>
                        </a:xfrm>
                        <a:prstGeom prst="rect">
                          <a:avLst/>
                        </a:prstGeom>
                        <a:solidFill>
                          <a:srgbClr val="943634"/>
                        </a:solidFill>
                        <a:ln>
                          <a:noFill/>
                        </a:ln>
                      </wps:spPr>
                      <wps:txbx>
                        <w:txbxContent>
                          <w:p w14:paraId="49E290FF">
                            <w:pPr>
                              <w:pStyle w:val="26"/>
                              <w:jc w:val="center"/>
                              <w:rPr>
                                <w:color w:val="FFFFFF" w:themeColor="background1"/>
                                <w14:textFill>
                                  <w14:solidFill>
                                    <w14:schemeClr w14:val="bg1"/>
                                  </w14:solidFill>
                                </w14:textFill>
                              </w:rPr>
                            </w:pPr>
                            <w:r>
                              <w:fldChar w:fldCharType="begin"/>
                            </w:r>
                            <w:r>
                              <w:instrText xml:space="preserve"> PAGE   \* MERGEFORMAT </w:instrText>
                            </w:r>
                            <w:r>
                              <w:fldChar w:fldCharType="separate"/>
                            </w:r>
                            <w:r>
                              <w:rPr>
                                <w:color w:val="FFFFFF" w:themeColor="background1"/>
                                <w:lang w:val="zh-CN"/>
                                <w14:textFill>
                                  <w14:solidFill>
                                    <w14:schemeClr w14:val="bg1"/>
                                  </w14:solidFill>
                                </w14:textFill>
                              </w:rPr>
                              <w:t>72</w:t>
                            </w:r>
                            <w:r>
                              <w:rPr>
                                <w:color w:val="FFFFFF" w:themeColor="background1"/>
                                <w:lang w:val="zh-CN"/>
                                <w14:textFill>
                                  <w14:solidFill>
                                    <w14:schemeClr w14:val="bg1"/>
                                  </w14:solidFill>
                                </w14:textFill>
                              </w:rPr>
                              <w:fldChar w:fldCharType="end"/>
                            </w:r>
                          </w:p>
                        </w:txbxContent>
                      </wps:txbx>
                      <wps:bodyPr upright="1"/>
                    </wps:wsp>
                    <wps:wsp>
                      <wps:cNvPr id="7" name="矩形 31"/>
                      <wps:cNvSpPr/>
                      <wps:spPr>
                        <a:xfrm>
                          <a:off x="321" y="14850"/>
                          <a:ext cx="11601" cy="547"/>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28" o:spid="_x0000_s1026" o:spt="203" style="position:absolute;left:0pt;height:27.35pt;width:580.05pt;mso-position-horizontal:center;mso-position-horizontal-relative:page;mso-position-vertical:top;mso-position-vertical-relative:line;mso-wrap-distance-bottom:0pt;mso-wrap-distance-top:0pt;z-index:251660288;mso-width-relative:page;mso-height-relative:page;" coordorigin="321,14850" coordsize="11601,547" o:gfxdata="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ZN0S&#10;0dYAAAAFAQAADwAAAAAAAAABACAAAAAiAAAAZHJzL2Rvd25yZXYueG1sUEsBAhQAFAAAAAgAh07i&#10;QFKnm7vPAgAAQwgAAA4AAAAAAAAAAQAgAAAAJQEAAGRycy9lMm9Eb2MueG1sUEsFBgAAAAAGAAYA&#10;WQEAAGYGAAAAAA==&#10;">
              <o:lock v:ext="edit" aspectratio="f"/>
              <v:rect id="矩形 29" o:spid="_x0000_s1026" o:spt="1" style="position:absolute;left:374;top:14903;height:432;width:9346;" fillcolor="#943634" filled="t" stroked="f" coordsize="21600,21600" o:gfxdata="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J0zZugAAANoA&#10;AAAPAAAAAAAAAAEAIAAAACIAAABkcnMvZG93bnJldi54bWxQSwECFAAUAAAACACHTuJAMy8FnjsA&#10;AAA5AAAAEAAAAAAAAAABACAAAAAJAQAAZHJzL3NoYXBleG1sLnhtbFBLBQYAAAAABgAGAFsBAACz&#10;AwAAAAA=&#10;">
                <v:fill on="t" focussize="0,0"/>
                <v:stroke on="f"/>
                <v:imagedata o:title=""/>
                <o:lock v:ext="edit" aspectratio="f"/>
                <v:textbox>
                  <w:txbxContent>
                    <w:sdt>
                      <w:sdtPr>
                        <w:rPr>
                          <w:rFonts w:ascii="楷体" w:hAnsi="楷体" w:eastAsia="楷体"/>
                          <w:color w:val="FFFFFF" w:themeColor="background1"/>
                          <w:spacing w:val="60"/>
                          <w14:textFill>
                            <w14:solidFill>
                              <w14:schemeClr w14:val="bg1"/>
                            </w14:solidFill>
                          </w14:textFill>
                        </w:rPr>
                        <w:alias w:val="地址"/>
                        <w:id w:val="79885540"/>
                        <w:placeholder>
                          <w:docPart w:val="06F5815915F74375AC8357568F1DCD2C"/>
                        </w:placeholder>
                        <w:dataBinding w:prefixMappings="xmlns:ns0='http://schemas.microsoft.com/office/2006/coverPageProps'" w:xpath="/ns0:CoverPageProperties[1]/ns0:CompanyAddress[1]" w:storeItemID="{55AF091B-3C7A-41E3-B477-F2FDAA23CFDA}"/>
                        <w:text w:multiLine="1"/>
                      </w:sdtPr>
                      <w:sdtEndPr>
                        <w:rPr>
                          <w:rFonts w:ascii="楷体" w:hAnsi="楷体" w:eastAsia="楷体"/>
                          <w:color w:val="FFFFFF" w:themeColor="background1"/>
                          <w:spacing w:val="60"/>
                          <w14:textFill>
                            <w14:solidFill>
                              <w14:schemeClr w14:val="bg1"/>
                            </w14:solidFill>
                          </w14:textFill>
                        </w:rPr>
                      </w:sdtEndPr>
                      <w:sdtContent>
                        <w:p w14:paraId="443BAC4F">
                          <w:pPr>
                            <w:pStyle w:val="26"/>
                            <w:rPr>
                              <w:color w:val="FFFFFF" w:themeColor="background1"/>
                              <w:spacing w:val="60"/>
                              <w14:textFill>
                                <w14:solidFill>
                                  <w14:schemeClr w14:val="bg1"/>
                                </w14:solidFill>
                              </w14:textFill>
                            </w:rPr>
                          </w:pPr>
                          <w:r>
                            <w:rPr>
                              <w:rFonts w:hint="eastAsia" w:ascii="楷体" w:hAnsi="楷体" w:eastAsia="楷体"/>
                              <w:color w:val="FFFFFF" w:themeColor="background1"/>
                              <w:spacing w:val="60"/>
                              <w14:textFill>
                                <w14:solidFill>
                                  <w14:schemeClr w14:val="bg1"/>
                                </w14:solidFill>
                              </w14:textFill>
                            </w:rPr>
                            <w:t>湖南永晟电子商务有限公司湘西分公司</w:t>
                          </w:r>
                        </w:p>
                      </w:sdtContent>
                    </w:sdt>
                    <w:p w14:paraId="50574713">
                      <w:pPr>
                        <w:pStyle w:val="27"/>
                        <w:rPr>
                          <w:color w:val="FFFFFF" w:themeColor="background1"/>
                          <w14:textFill>
                            <w14:solidFill>
                              <w14:schemeClr w14:val="bg1"/>
                            </w14:solidFill>
                          </w14:textFill>
                        </w:rPr>
                      </w:pPr>
                    </w:p>
                  </w:txbxContent>
                </v:textbox>
              </v:rect>
              <v:rect id="矩形 30" o:spid="_x0000_s1026" o:spt="1" style="position:absolute;left:9763;top:14903;height:432;width:2102;" fillcolor="#943634" filled="t" stroked="f" coordsize="21600,21600" o:gfxdata="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z10q65AAAA2gAA&#10;AA8AAAAAAAAAAQAgAAAAIgAAAGRycy9kb3ducmV2LnhtbFBLAQIUABQAAAAIAIdO4kAzLwWeOwAA&#10;ADkAAAAQAAAAAAAAAAEAIAAAAAgBAABkcnMvc2hhcGV4bWwueG1sUEsFBgAAAAAGAAYAWwEAALID&#10;AAAAAA==&#10;">
                <v:fill on="t" focussize="0,0"/>
                <v:stroke on="f"/>
                <v:imagedata o:title=""/>
                <o:lock v:ext="edit" aspectratio="f"/>
                <v:textbox>
                  <w:txbxContent>
                    <w:p w14:paraId="49E290FF">
                      <w:pPr>
                        <w:pStyle w:val="26"/>
                        <w:jc w:val="center"/>
                        <w:rPr>
                          <w:color w:val="FFFFFF" w:themeColor="background1"/>
                          <w14:textFill>
                            <w14:solidFill>
                              <w14:schemeClr w14:val="bg1"/>
                            </w14:solidFill>
                          </w14:textFill>
                        </w:rPr>
                      </w:pPr>
                      <w:r>
                        <w:fldChar w:fldCharType="begin"/>
                      </w:r>
                      <w:r>
                        <w:instrText xml:space="preserve"> PAGE   \* MERGEFORMAT </w:instrText>
                      </w:r>
                      <w:r>
                        <w:fldChar w:fldCharType="separate"/>
                      </w:r>
                      <w:r>
                        <w:rPr>
                          <w:color w:val="FFFFFF" w:themeColor="background1"/>
                          <w:lang w:val="zh-CN"/>
                          <w14:textFill>
                            <w14:solidFill>
                              <w14:schemeClr w14:val="bg1"/>
                            </w14:solidFill>
                          </w14:textFill>
                        </w:rPr>
                        <w:t>72</w:t>
                      </w:r>
                      <w:r>
                        <w:rPr>
                          <w:color w:val="FFFFFF" w:themeColor="background1"/>
                          <w:lang w:val="zh-CN"/>
                          <w14:textFill>
                            <w14:solidFill>
                              <w14:schemeClr w14:val="bg1"/>
                            </w14:solidFill>
                          </w14:textFill>
                        </w:rPr>
                        <w:fldChar w:fldCharType="end"/>
                      </w:r>
                    </w:p>
                  </w:txbxContent>
                </v:textbox>
              </v:rect>
              <v:rect id="矩形 31" o:spid="_x0000_s1026" o:spt="1" style="position:absolute;left:321;top:14850;height:547;width:11601;" filled="f" stroked="t" coordsize="21600,21600" o:gfxdata="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0DfzugAAANoA&#10;AAAPAAAAAAAAAAEAIAAAACIAAABkcnMvZG93bnJldi54bWxQSwECFAAUAAAACACHTuJAMy8FnjsA&#10;AAA5AAAAEAAAAAAAAAABACAAAAAJAQAAZHJzL3NoYXBleG1sLnhtbFBLBQYAAAAABgAGAFsBAACz&#10;AwAAAAA=&#10;">
                <v:fill on="f" focussize="0,0"/>
                <v:stroke color="#000000" joinstyle="miter"/>
                <v:imagedata o:title=""/>
                <o:lock v:ext="edit" aspectratio="f"/>
              </v:rect>
              <w10:wrap type="topAndBottom"/>
            </v:group>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42891">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74A08">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B526F">
    <w:pPr>
      <w:pStyle w:val="2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B3B4">
    <w:pPr>
      <w:pStyle w:val="2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105A4">
    <w:pPr>
      <w:pStyle w:val="2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C0E11">
    <w:pPr>
      <w:pStyle w:val="2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7E3A7">
    <w:pPr>
      <w:pStyle w:val="2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A4470">
    <w:pPr>
      <w:pStyle w:val="2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19F77">
    <w:pPr>
      <w:pStyle w:val="2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84CA9">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E26028"/>
    <w:multiLevelType w:val="singleLevel"/>
    <w:tmpl w:val="24E2602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2MGJhYTU2Y2I5MjkxNmU0YWNmZWJjYWY1YjQxYWUifQ=="/>
  </w:docVars>
  <w:rsids>
    <w:rsidRoot w:val="007434B4"/>
    <w:rsid w:val="00000A61"/>
    <w:rsid w:val="00000A83"/>
    <w:rsid w:val="000013FE"/>
    <w:rsid w:val="00001580"/>
    <w:rsid w:val="0000186F"/>
    <w:rsid w:val="00001A03"/>
    <w:rsid w:val="00002568"/>
    <w:rsid w:val="00002840"/>
    <w:rsid w:val="000037DE"/>
    <w:rsid w:val="00003D23"/>
    <w:rsid w:val="00004EAF"/>
    <w:rsid w:val="0000638E"/>
    <w:rsid w:val="00006552"/>
    <w:rsid w:val="0001024D"/>
    <w:rsid w:val="00010382"/>
    <w:rsid w:val="00011A7B"/>
    <w:rsid w:val="00013365"/>
    <w:rsid w:val="00013466"/>
    <w:rsid w:val="00013574"/>
    <w:rsid w:val="000135B0"/>
    <w:rsid w:val="00013923"/>
    <w:rsid w:val="00014A82"/>
    <w:rsid w:val="00015858"/>
    <w:rsid w:val="00015A29"/>
    <w:rsid w:val="0001617A"/>
    <w:rsid w:val="00017581"/>
    <w:rsid w:val="000175E8"/>
    <w:rsid w:val="00017CF0"/>
    <w:rsid w:val="00017F9C"/>
    <w:rsid w:val="000252F0"/>
    <w:rsid w:val="00025EED"/>
    <w:rsid w:val="00027D0F"/>
    <w:rsid w:val="00030A53"/>
    <w:rsid w:val="00031705"/>
    <w:rsid w:val="00031BBE"/>
    <w:rsid w:val="00031C52"/>
    <w:rsid w:val="00032D53"/>
    <w:rsid w:val="000333AE"/>
    <w:rsid w:val="00033EFF"/>
    <w:rsid w:val="00035663"/>
    <w:rsid w:val="000358FA"/>
    <w:rsid w:val="00035B2B"/>
    <w:rsid w:val="00040247"/>
    <w:rsid w:val="00040313"/>
    <w:rsid w:val="00040E14"/>
    <w:rsid w:val="0004234C"/>
    <w:rsid w:val="0004444E"/>
    <w:rsid w:val="00045B4B"/>
    <w:rsid w:val="00046881"/>
    <w:rsid w:val="00047440"/>
    <w:rsid w:val="0004759C"/>
    <w:rsid w:val="0005019F"/>
    <w:rsid w:val="000508AD"/>
    <w:rsid w:val="0005168D"/>
    <w:rsid w:val="0005208E"/>
    <w:rsid w:val="00052DBD"/>
    <w:rsid w:val="00053BE1"/>
    <w:rsid w:val="00053C94"/>
    <w:rsid w:val="000566BD"/>
    <w:rsid w:val="0005701C"/>
    <w:rsid w:val="000606A2"/>
    <w:rsid w:val="00060C04"/>
    <w:rsid w:val="00061310"/>
    <w:rsid w:val="00061914"/>
    <w:rsid w:val="000620A1"/>
    <w:rsid w:val="000638C9"/>
    <w:rsid w:val="000662FC"/>
    <w:rsid w:val="000666F2"/>
    <w:rsid w:val="000675E6"/>
    <w:rsid w:val="000677C7"/>
    <w:rsid w:val="00067D0B"/>
    <w:rsid w:val="000709FB"/>
    <w:rsid w:val="00070B21"/>
    <w:rsid w:val="00070F95"/>
    <w:rsid w:val="00072573"/>
    <w:rsid w:val="0007343D"/>
    <w:rsid w:val="000745C1"/>
    <w:rsid w:val="0007473A"/>
    <w:rsid w:val="00074CB8"/>
    <w:rsid w:val="0007556B"/>
    <w:rsid w:val="00076502"/>
    <w:rsid w:val="000775DD"/>
    <w:rsid w:val="000777C0"/>
    <w:rsid w:val="00080E8E"/>
    <w:rsid w:val="000821AB"/>
    <w:rsid w:val="00082346"/>
    <w:rsid w:val="000841E5"/>
    <w:rsid w:val="00085204"/>
    <w:rsid w:val="00086E6A"/>
    <w:rsid w:val="00087CA6"/>
    <w:rsid w:val="000904BC"/>
    <w:rsid w:val="000909AB"/>
    <w:rsid w:val="00090D47"/>
    <w:rsid w:val="00091751"/>
    <w:rsid w:val="000917F5"/>
    <w:rsid w:val="000921D2"/>
    <w:rsid w:val="00092E61"/>
    <w:rsid w:val="00094343"/>
    <w:rsid w:val="0009455F"/>
    <w:rsid w:val="0009483A"/>
    <w:rsid w:val="0009530E"/>
    <w:rsid w:val="00095A0E"/>
    <w:rsid w:val="00096239"/>
    <w:rsid w:val="00096A68"/>
    <w:rsid w:val="00097FB9"/>
    <w:rsid w:val="000A0CD6"/>
    <w:rsid w:val="000A2575"/>
    <w:rsid w:val="000A25D2"/>
    <w:rsid w:val="000A2631"/>
    <w:rsid w:val="000A3313"/>
    <w:rsid w:val="000A3BB4"/>
    <w:rsid w:val="000A4283"/>
    <w:rsid w:val="000A4354"/>
    <w:rsid w:val="000A6658"/>
    <w:rsid w:val="000B0390"/>
    <w:rsid w:val="000B0439"/>
    <w:rsid w:val="000B0F6F"/>
    <w:rsid w:val="000B1637"/>
    <w:rsid w:val="000B1715"/>
    <w:rsid w:val="000B2722"/>
    <w:rsid w:val="000B2C01"/>
    <w:rsid w:val="000B320F"/>
    <w:rsid w:val="000B33DF"/>
    <w:rsid w:val="000B3A4F"/>
    <w:rsid w:val="000B3EF4"/>
    <w:rsid w:val="000B4504"/>
    <w:rsid w:val="000B48CB"/>
    <w:rsid w:val="000B5D7D"/>
    <w:rsid w:val="000B67D9"/>
    <w:rsid w:val="000B6A6A"/>
    <w:rsid w:val="000B7DF1"/>
    <w:rsid w:val="000C035B"/>
    <w:rsid w:val="000C0714"/>
    <w:rsid w:val="000C188C"/>
    <w:rsid w:val="000C245B"/>
    <w:rsid w:val="000C2AE6"/>
    <w:rsid w:val="000C354A"/>
    <w:rsid w:val="000C4FD9"/>
    <w:rsid w:val="000C52A0"/>
    <w:rsid w:val="000C6B2C"/>
    <w:rsid w:val="000C70C2"/>
    <w:rsid w:val="000C7812"/>
    <w:rsid w:val="000D04C8"/>
    <w:rsid w:val="000D0769"/>
    <w:rsid w:val="000D0E5E"/>
    <w:rsid w:val="000D1018"/>
    <w:rsid w:val="000D211B"/>
    <w:rsid w:val="000D2A3F"/>
    <w:rsid w:val="000D344B"/>
    <w:rsid w:val="000D5249"/>
    <w:rsid w:val="000D6185"/>
    <w:rsid w:val="000D6514"/>
    <w:rsid w:val="000E166F"/>
    <w:rsid w:val="000E3DCC"/>
    <w:rsid w:val="000E4525"/>
    <w:rsid w:val="000E46D9"/>
    <w:rsid w:val="000E4E95"/>
    <w:rsid w:val="000E50DD"/>
    <w:rsid w:val="000E640C"/>
    <w:rsid w:val="000E7308"/>
    <w:rsid w:val="000E7417"/>
    <w:rsid w:val="000E741F"/>
    <w:rsid w:val="000E7B7A"/>
    <w:rsid w:val="000F1A45"/>
    <w:rsid w:val="000F1AF9"/>
    <w:rsid w:val="000F21C8"/>
    <w:rsid w:val="000F3713"/>
    <w:rsid w:val="000F376A"/>
    <w:rsid w:val="000F37AB"/>
    <w:rsid w:val="000F4155"/>
    <w:rsid w:val="000F44CB"/>
    <w:rsid w:val="000F4F2F"/>
    <w:rsid w:val="000F5866"/>
    <w:rsid w:val="000F620C"/>
    <w:rsid w:val="000F7591"/>
    <w:rsid w:val="001000C3"/>
    <w:rsid w:val="0010071B"/>
    <w:rsid w:val="001047E3"/>
    <w:rsid w:val="00104908"/>
    <w:rsid w:val="001049E6"/>
    <w:rsid w:val="00104D5D"/>
    <w:rsid w:val="00105A9C"/>
    <w:rsid w:val="00105EC8"/>
    <w:rsid w:val="00106446"/>
    <w:rsid w:val="00107077"/>
    <w:rsid w:val="00107FD9"/>
    <w:rsid w:val="00110169"/>
    <w:rsid w:val="00110B4B"/>
    <w:rsid w:val="001113FC"/>
    <w:rsid w:val="00111596"/>
    <w:rsid w:val="00111CC9"/>
    <w:rsid w:val="00112A3D"/>
    <w:rsid w:val="001133AC"/>
    <w:rsid w:val="00113C61"/>
    <w:rsid w:val="00114B15"/>
    <w:rsid w:val="00117058"/>
    <w:rsid w:val="00117143"/>
    <w:rsid w:val="00117E7C"/>
    <w:rsid w:val="00120369"/>
    <w:rsid w:val="00121A30"/>
    <w:rsid w:val="001228FD"/>
    <w:rsid w:val="001232B6"/>
    <w:rsid w:val="00123E40"/>
    <w:rsid w:val="00124345"/>
    <w:rsid w:val="00125769"/>
    <w:rsid w:val="00125F48"/>
    <w:rsid w:val="00126231"/>
    <w:rsid w:val="001264B5"/>
    <w:rsid w:val="001264DC"/>
    <w:rsid w:val="00126691"/>
    <w:rsid w:val="00127083"/>
    <w:rsid w:val="0013172D"/>
    <w:rsid w:val="001322EF"/>
    <w:rsid w:val="001324B3"/>
    <w:rsid w:val="001345E9"/>
    <w:rsid w:val="00134894"/>
    <w:rsid w:val="001348D3"/>
    <w:rsid w:val="00135375"/>
    <w:rsid w:val="001370E3"/>
    <w:rsid w:val="00137DBD"/>
    <w:rsid w:val="00137DCD"/>
    <w:rsid w:val="00140DA3"/>
    <w:rsid w:val="001413DF"/>
    <w:rsid w:val="00141BEE"/>
    <w:rsid w:val="00143121"/>
    <w:rsid w:val="00144141"/>
    <w:rsid w:val="00144F97"/>
    <w:rsid w:val="00145791"/>
    <w:rsid w:val="0014699B"/>
    <w:rsid w:val="00146D14"/>
    <w:rsid w:val="00151BA6"/>
    <w:rsid w:val="0015269F"/>
    <w:rsid w:val="00152EEB"/>
    <w:rsid w:val="00153C89"/>
    <w:rsid w:val="00156049"/>
    <w:rsid w:val="001564DB"/>
    <w:rsid w:val="00156F75"/>
    <w:rsid w:val="00160E3C"/>
    <w:rsid w:val="001617E9"/>
    <w:rsid w:val="00162175"/>
    <w:rsid w:val="00162403"/>
    <w:rsid w:val="0016254E"/>
    <w:rsid w:val="00162F23"/>
    <w:rsid w:val="001637C1"/>
    <w:rsid w:val="00163ACE"/>
    <w:rsid w:val="0016451E"/>
    <w:rsid w:val="00164ABA"/>
    <w:rsid w:val="00164C0D"/>
    <w:rsid w:val="001655DB"/>
    <w:rsid w:val="0016583A"/>
    <w:rsid w:val="00166A7A"/>
    <w:rsid w:val="00166F38"/>
    <w:rsid w:val="00167313"/>
    <w:rsid w:val="00167763"/>
    <w:rsid w:val="001708E8"/>
    <w:rsid w:val="00171246"/>
    <w:rsid w:val="0017148D"/>
    <w:rsid w:val="0017284E"/>
    <w:rsid w:val="0017334A"/>
    <w:rsid w:val="00173713"/>
    <w:rsid w:val="00173A95"/>
    <w:rsid w:val="00173D83"/>
    <w:rsid w:val="0017404D"/>
    <w:rsid w:val="00174362"/>
    <w:rsid w:val="0017445E"/>
    <w:rsid w:val="00174614"/>
    <w:rsid w:val="00175C3F"/>
    <w:rsid w:val="00175FE2"/>
    <w:rsid w:val="0017633E"/>
    <w:rsid w:val="001773C6"/>
    <w:rsid w:val="0017741D"/>
    <w:rsid w:val="001810E9"/>
    <w:rsid w:val="00181D2E"/>
    <w:rsid w:val="001828D3"/>
    <w:rsid w:val="0018447E"/>
    <w:rsid w:val="001846F2"/>
    <w:rsid w:val="001850A4"/>
    <w:rsid w:val="00185B43"/>
    <w:rsid w:val="00186927"/>
    <w:rsid w:val="001870D2"/>
    <w:rsid w:val="00190053"/>
    <w:rsid w:val="00190101"/>
    <w:rsid w:val="00190C8F"/>
    <w:rsid w:val="00191A57"/>
    <w:rsid w:val="00192075"/>
    <w:rsid w:val="00193526"/>
    <w:rsid w:val="00195771"/>
    <w:rsid w:val="00197441"/>
    <w:rsid w:val="001A053D"/>
    <w:rsid w:val="001A101A"/>
    <w:rsid w:val="001A12A4"/>
    <w:rsid w:val="001A130A"/>
    <w:rsid w:val="001A2976"/>
    <w:rsid w:val="001A3AA5"/>
    <w:rsid w:val="001A3AFC"/>
    <w:rsid w:val="001A3BCB"/>
    <w:rsid w:val="001A4D9B"/>
    <w:rsid w:val="001A561A"/>
    <w:rsid w:val="001A58C6"/>
    <w:rsid w:val="001A59EB"/>
    <w:rsid w:val="001B0B82"/>
    <w:rsid w:val="001B2294"/>
    <w:rsid w:val="001B313B"/>
    <w:rsid w:val="001B383C"/>
    <w:rsid w:val="001B4531"/>
    <w:rsid w:val="001B4F01"/>
    <w:rsid w:val="001B555D"/>
    <w:rsid w:val="001B586F"/>
    <w:rsid w:val="001B5907"/>
    <w:rsid w:val="001B78EC"/>
    <w:rsid w:val="001C1AA1"/>
    <w:rsid w:val="001C2072"/>
    <w:rsid w:val="001C274B"/>
    <w:rsid w:val="001C3481"/>
    <w:rsid w:val="001C4E4C"/>
    <w:rsid w:val="001C5444"/>
    <w:rsid w:val="001C737E"/>
    <w:rsid w:val="001C7B25"/>
    <w:rsid w:val="001D0F5F"/>
    <w:rsid w:val="001D1A86"/>
    <w:rsid w:val="001D26DC"/>
    <w:rsid w:val="001D300D"/>
    <w:rsid w:val="001D302B"/>
    <w:rsid w:val="001D574C"/>
    <w:rsid w:val="001D5B75"/>
    <w:rsid w:val="001E1AC9"/>
    <w:rsid w:val="001E1D4A"/>
    <w:rsid w:val="001E3396"/>
    <w:rsid w:val="001E383C"/>
    <w:rsid w:val="001E3A6E"/>
    <w:rsid w:val="001E3AF6"/>
    <w:rsid w:val="001E3D6A"/>
    <w:rsid w:val="001E4458"/>
    <w:rsid w:val="001E59F7"/>
    <w:rsid w:val="001E6A66"/>
    <w:rsid w:val="001F075D"/>
    <w:rsid w:val="001F130D"/>
    <w:rsid w:val="001F1819"/>
    <w:rsid w:val="001F2BCD"/>
    <w:rsid w:val="001F3A23"/>
    <w:rsid w:val="001F4878"/>
    <w:rsid w:val="001F5321"/>
    <w:rsid w:val="001F534E"/>
    <w:rsid w:val="001F5B18"/>
    <w:rsid w:val="001F7AFA"/>
    <w:rsid w:val="00200789"/>
    <w:rsid w:val="002008A9"/>
    <w:rsid w:val="00200C39"/>
    <w:rsid w:val="00200D09"/>
    <w:rsid w:val="002018AB"/>
    <w:rsid w:val="00201F4F"/>
    <w:rsid w:val="0020228D"/>
    <w:rsid w:val="002023F0"/>
    <w:rsid w:val="0020308E"/>
    <w:rsid w:val="00203EA6"/>
    <w:rsid w:val="00205CF8"/>
    <w:rsid w:val="00206018"/>
    <w:rsid w:val="00207D02"/>
    <w:rsid w:val="00210EE8"/>
    <w:rsid w:val="00210F21"/>
    <w:rsid w:val="00211F38"/>
    <w:rsid w:val="0021548B"/>
    <w:rsid w:val="002157B6"/>
    <w:rsid w:val="00215C17"/>
    <w:rsid w:val="00215D98"/>
    <w:rsid w:val="002161C0"/>
    <w:rsid w:val="00216282"/>
    <w:rsid w:val="00216FA2"/>
    <w:rsid w:val="002203CE"/>
    <w:rsid w:val="00221240"/>
    <w:rsid w:val="00221600"/>
    <w:rsid w:val="00221BE4"/>
    <w:rsid w:val="00223541"/>
    <w:rsid w:val="00223B66"/>
    <w:rsid w:val="002240A4"/>
    <w:rsid w:val="0022478B"/>
    <w:rsid w:val="00224EE3"/>
    <w:rsid w:val="00225547"/>
    <w:rsid w:val="00226CCD"/>
    <w:rsid w:val="002303FF"/>
    <w:rsid w:val="00230B4C"/>
    <w:rsid w:val="00231C9E"/>
    <w:rsid w:val="0023235C"/>
    <w:rsid w:val="00232836"/>
    <w:rsid w:val="00232D80"/>
    <w:rsid w:val="0023339C"/>
    <w:rsid w:val="00234309"/>
    <w:rsid w:val="00235123"/>
    <w:rsid w:val="00235317"/>
    <w:rsid w:val="00241652"/>
    <w:rsid w:val="002416E2"/>
    <w:rsid w:val="002419D0"/>
    <w:rsid w:val="00242897"/>
    <w:rsid w:val="00242A62"/>
    <w:rsid w:val="002444EA"/>
    <w:rsid w:val="0024491D"/>
    <w:rsid w:val="00244B2A"/>
    <w:rsid w:val="00245EF6"/>
    <w:rsid w:val="00250A62"/>
    <w:rsid w:val="0025131F"/>
    <w:rsid w:val="00253669"/>
    <w:rsid w:val="0025550D"/>
    <w:rsid w:val="00255AC7"/>
    <w:rsid w:val="002569C5"/>
    <w:rsid w:val="00256A84"/>
    <w:rsid w:val="00257F4D"/>
    <w:rsid w:val="00260902"/>
    <w:rsid w:val="00260A71"/>
    <w:rsid w:val="0026198C"/>
    <w:rsid w:val="00261AC6"/>
    <w:rsid w:val="00262FCB"/>
    <w:rsid w:val="00263AB2"/>
    <w:rsid w:val="002643E5"/>
    <w:rsid w:val="00264503"/>
    <w:rsid w:val="00264EB2"/>
    <w:rsid w:val="00265009"/>
    <w:rsid w:val="002657F2"/>
    <w:rsid w:val="0026705D"/>
    <w:rsid w:val="00267BAA"/>
    <w:rsid w:val="00267C83"/>
    <w:rsid w:val="00267F9F"/>
    <w:rsid w:val="00270AE8"/>
    <w:rsid w:val="00270DBF"/>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59F4"/>
    <w:rsid w:val="00285A81"/>
    <w:rsid w:val="00285BDF"/>
    <w:rsid w:val="00285F61"/>
    <w:rsid w:val="002862E3"/>
    <w:rsid w:val="002868A8"/>
    <w:rsid w:val="0028701F"/>
    <w:rsid w:val="00287BB6"/>
    <w:rsid w:val="00287E12"/>
    <w:rsid w:val="00290DAB"/>
    <w:rsid w:val="00291042"/>
    <w:rsid w:val="00291C24"/>
    <w:rsid w:val="002922D9"/>
    <w:rsid w:val="00292441"/>
    <w:rsid w:val="00292F73"/>
    <w:rsid w:val="00293A07"/>
    <w:rsid w:val="002950BC"/>
    <w:rsid w:val="002958E2"/>
    <w:rsid w:val="00295CE8"/>
    <w:rsid w:val="002962B1"/>
    <w:rsid w:val="002965AD"/>
    <w:rsid w:val="00296704"/>
    <w:rsid w:val="00297B75"/>
    <w:rsid w:val="002A0C4E"/>
    <w:rsid w:val="002A15D6"/>
    <w:rsid w:val="002A1672"/>
    <w:rsid w:val="002A22D6"/>
    <w:rsid w:val="002A3505"/>
    <w:rsid w:val="002A3741"/>
    <w:rsid w:val="002A4AAB"/>
    <w:rsid w:val="002A5CB2"/>
    <w:rsid w:val="002A5E44"/>
    <w:rsid w:val="002A65E2"/>
    <w:rsid w:val="002A667E"/>
    <w:rsid w:val="002A7BBC"/>
    <w:rsid w:val="002B00AE"/>
    <w:rsid w:val="002B12E2"/>
    <w:rsid w:val="002B1662"/>
    <w:rsid w:val="002B3F03"/>
    <w:rsid w:val="002B4148"/>
    <w:rsid w:val="002B469A"/>
    <w:rsid w:val="002B51EA"/>
    <w:rsid w:val="002B5C26"/>
    <w:rsid w:val="002B7974"/>
    <w:rsid w:val="002C0753"/>
    <w:rsid w:val="002C0DD0"/>
    <w:rsid w:val="002C11C5"/>
    <w:rsid w:val="002C1AB9"/>
    <w:rsid w:val="002C2D6E"/>
    <w:rsid w:val="002C3042"/>
    <w:rsid w:val="002C33EB"/>
    <w:rsid w:val="002C363B"/>
    <w:rsid w:val="002C465A"/>
    <w:rsid w:val="002C666B"/>
    <w:rsid w:val="002C6C07"/>
    <w:rsid w:val="002C6E3F"/>
    <w:rsid w:val="002C7157"/>
    <w:rsid w:val="002D13DD"/>
    <w:rsid w:val="002D1777"/>
    <w:rsid w:val="002D2F30"/>
    <w:rsid w:val="002D47DE"/>
    <w:rsid w:val="002D54FF"/>
    <w:rsid w:val="002D5C40"/>
    <w:rsid w:val="002D61AB"/>
    <w:rsid w:val="002D7BB2"/>
    <w:rsid w:val="002E0970"/>
    <w:rsid w:val="002E1F2C"/>
    <w:rsid w:val="002E273F"/>
    <w:rsid w:val="002E28E9"/>
    <w:rsid w:val="002E348F"/>
    <w:rsid w:val="002E36ED"/>
    <w:rsid w:val="002E466F"/>
    <w:rsid w:val="002E6BFE"/>
    <w:rsid w:val="002E79E0"/>
    <w:rsid w:val="002E7C15"/>
    <w:rsid w:val="002E7E2C"/>
    <w:rsid w:val="002F1878"/>
    <w:rsid w:val="002F20AC"/>
    <w:rsid w:val="002F4310"/>
    <w:rsid w:val="002F4865"/>
    <w:rsid w:val="002F499D"/>
    <w:rsid w:val="002F654F"/>
    <w:rsid w:val="002F7B60"/>
    <w:rsid w:val="0030203A"/>
    <w:rsid w:val="00306A74"/>
    <w:rsid w:val="00311CEC"/>
    <w:rsid w:val="00313325"/>
    <w:rsid w:val="00313A4D"/>
    <w:rsid w:val="00313F34"/>
    <w:rsid w:val="00314DB9"/>
    <w:rsid w:val="0031707F"/>
    <w:rsid w:val="00321E2F"/>
    <w:rsid w:val="003246F2"/>
    <w:rsid w:val="00324865"/>
    <w:rsid w:val="00324B01"/>
    <w:rsid w:val="00324E36"/>
    <w:rsid w:val="0032557C"/>
    <w:rsid w:val="00326478"/>
    <w:rsid w:val="003266B9"/>
    <w:rsid w:val="0032788A"/>
    <w:rsid w:val="00331031"/>
    <w:rsid w:val="00331281"/>
    <w:rsid w:val="003333CF"/>
    <w:rsid w:val="003347D8"/>
    <w:rsid w:val="003347F8"/>
    <w:rsid w:val="003348AD"/>
    <w:rsid w:val="003350FF"/>
    <w:rsid w:val="0033575A"/>
    <w:rsid w:val="003359F2"/>
    <w:rsid w:val="00340374"/>
    <w:rsid w:val="003405B0"/>
    <w:rsid w:val="00340734"/>
    <w:rsid w:val="0034095A"/>
    <w:rsid w:val="00340B45"/>
    <w:rsid w:val="0034287E"/>
    <w:rsid w:val="00342E44"/>
    <w:rsid w:val="00343125"/>
    <w:rsid w:val="00343334"/>
    <w:rsid w:val="00346F10"/>
    <w:rsid w:val="00347DC8"/>
    <w:rsid w:val="00350107"/>
    <w:rsid w:val="00350642"/>
    <w:rsid w:val="0035087B"/>
    <w:rsid w:val="00352E5D"/>
    <w:rsid w:val="003538B4"/>
    <w:rsid w:val="00353D3F"/>
    <w:rsid w:val="003546A7"/>
    <w:rsid w:val="00354E41"/>
    <w:rsid w:val="00355F7D"/>
    <w:rsid w:val="00356C0C"/>
    <w:rsid w:val="00357A18"/>
    <w:rsid w:val="00357CAE"/>
    <w:rsid w:val="0036003D"/>
    <w:rsid w:val="003601EE"/>
    <w:rsid w:val="003606C2"/>
    <w:rsid w:val="0036092F"/>
    <w:rsid w:val="0036212C"/>
    <w:rsid w:val="00364709"/>
    <w:rsid w:val="00365849"/>
    <w:rsid w:val="00365CEB"/>
    <w:rsid w:val="0036608F"/>
    <w:rsid w:val="00367761"/>
    <w:rsid w:val="00371061"/>
    <w:rsid w:val="003723EC"/>
    <w:rsid w:val="003725C2"/>
    <w:rsid w:val="00373228"/>
    <w:rsid w:val="0037398C"/>
    <w:rsid w:val="00373BCB"/>
    <w:rsid w:val="00373DDA"/>
    <w:rsid w:val="003751D4"/>
    <w:rsid w:val="003765C9"/>
    <w:rsid w:val="0037765F"/>
    <w:rsid w:val="0037789B"/>
    <w:rsid w:val="003805C3"/>
    <w:rsid w:val="003808DC"/>
    <w:rsid w:val="003812EE"/>
    <w:rsid w:val="00381353"/>
    <w:rsid w:val="003817D3"/>
    <w:rsid w:val="00381AD3"/>
    <w:rsid w:val="00382023"/>
    <w:rsid w:val="00382317"/>
    <w:rsid w:val="00382748"/>
    <w:rsid w:val="0038366B"/>
    <w:rsid w:val="00383E27"/>
    <w:rsid w:val="00384A33"/>
    <w:rsid w:val="00384F53"/>
    <w:rsid w:val="00385BD2"/>
    <w:rsid w:val="0038718B"/>
    <w:rsid w:val="00390037"/>
    <w:rsid w:val="003908CB"/>
    <w:rsid w:val="00390F51"/>
    <w:rsid w:val="00391805"/>
    <w:rsid w:val="00392780"/>
    <w:rsid w:val="003965DB"/>
    <w:rsid w:val="003966A4"/>
    <w:rsid w:val="00397EA7"/>
    <w:rsid w:val="003A131A"/>
    <w:rsid w:val="003A1648"/>
    <w:rsid w:val="003A1873"/>
    <w:rsid w:val="003A3153"/>
    <w:rsid w:val="003A389D"/>
    <w:rsid w:val="003A4099"/>
    <w:rsid w:val="003A4572"/>
    <w:rsid w:val="003A48A3"/>
    <w:rsid w:val="003A4DEB"/>
    <w:rsid w:val="003A56B4"/>
    <w:rsid w:val="003A63A3"/>
    <w:rsid w:val="003A6DF2"/>
    <w:rsid w:val="003A7CE9"/>
    <w:rsid w:val="003A7D94"/>
    <w:rsid w:val="003B074C"/>
    <w:rsid w:val="003B304F"/>
    <w:rsid w:val="003B36FD"/>
    <w:rsid w:val="003B4AA3"/>
    <w:rsid w:val="003B52E3"/>
    <w:rsid w:val="003B6EB4"/>
    <w:rsid w:val="003C0A14"/>
    <w:rsid w:val="003C1256"/>
    <w:rsid w:val="003C1404"/>
    <w:rsid w:val="003C229B"/>
    <w:rsid w:val="003C2F63"/>
    <w:rsid w:val="003C458A"/>
    <w:rsid w:val="003C4815"/>
    <w:rsid w:val="003C5D94"/>
    <w:rsid w:val="003C7A73"/>
    <w:rsid w:val="003D061C"/>
    <w:rsid w:val="003D16A0"/>
    <w:rsid w:val="003D1765"/>
    <w:rsid w:val="003D188B"/>
    <w:rsid w:val="003D2993"/>
    <w:rsid w:val="003D3B9A"/>
    <w:rsid w:val="003D42BA"/>
    <w:rsid w:val="003D4669"/>
    <w:rsid w:val="003D5E2A"/>
    <w:rsid w:val="003D6B57"/>
    <w:rsid w:val="003D6F48"/>
    <w:rsid w:val="003D7094"/>
    <w:rsid w:val="003E0880"/>
    <w:rsid w:val="003E0893"/>
    <w:rsid w:val="003E0C00"/>
    <w:rsid w:val="003E3CBC"/>
    <w:rsid w:val="003E4724"/>
    <w:rsid w:val="003E5316"/>
    <w:rsid w:val="003E5B81"/>
    <w:rsid w:val="003E63DA"/>
    <w:rsid w:val="003E6E9A"/>
    <w:rsid w:val="003E7A91"/>
    <w:rsid w:val="003F0052"/>
    <w:rsid w:val="003F080A"/>
    <w:rsid w:val="003F2BA3"/>
    <w:rsid w:val="003F4609"/>
    <w:rsid w:val="003F47E7"/>
    <w:rsid w:val="003F4887"/>
    <w:rsid w:val="003F6718"/>
    <w:rsid w:val="003F7A91"/>
    <w:rsid w:val="00400ACB"/>
    <w:rsid w:val="00401333"/>
    <w:rsid w:val="004014AC"/>
    <w:rsid w:val="00401EA9"/>
    <w:rsid w:val="00402BA3"/>
    <w:rsid w:val="004041BB"/>
    <w:rsid w:val="0040556F"/>
    <w:rsid w:val="00405C57"/>
    <w:rsid w:val="0040634B"/>
    <w:rsid w:val="00406717"/>
    <w:rsid w:val="00406F15"/>
    <w:rsid w:val="00407DF5"/>
    <w:rsid w:val="004112B7"/>
    <w:rsid w:val="004113F2"/>
    <w:rsid w:val="0041189C"/>
    <w:rsid w:val="00412846"/>
    <w:rsid w:val="0041286B"/>
    <w:rsid w:val="00412E55"/>
    <w:rsid w:val="00412EDA"/>
    <w:rsid w:val="00413ED6"/>
    <w:rsid w:val="0041470D"/>
    <w:rsid w:val="00415306"/>
    <w:rsid w:val="004153E5"/>
    <w:rsid w:val="00416293"/>
    <w:rsid w:val="004165A5"/>
    <w:rsid w:val="004165E0"/>
    <w:rsid w:val="0042020F"/>
    <w:rsid w:val="004209AD"/>
    <w:rsid w:val="00420E26"/>
    <w:rsid w:val="00423265"/>
    <w:rsid w:val="00423AB0"/>
    <w:rsid w:val="004241CA"/>
    <w:rsid w:val="00424DB7"/>
    <w:rsid w:val="0042508B"/>
    <w:rsid w:val="004255AF"/>
    <w:rsid w:val="00425EF9"/>
    <w:rsid w:val="00426293"/>
    <w:rsid w:val="0043056E"/>
    <w:rsid w:val="004307C1"/>
    <w:rsid w:val="00430B4A"/>
    <w:rsid w:val="0043102C"/>
    <w:rsid w:val="00431770"/>
    <w:rsid w:val="00431D80"/>
    <w:rsid w:val="0043264C"/>
    <w:rsid w:val="00432EDE"/>
    <w:rsid w:val="00433361"/>
    <w:rsid w:val="00433970"/>
    <w:rsid w:val="004346A4"/>
    <w:rsid w:val="00434E74"/>
    <w:rsid w:val="00435970"/>
    <w:rsid w:val="004366AC"/>
    <w:rsid w:val="00436879"/>
    <w:rsid w:val="00437C0C"/>
    <w:rsid w:val="00437DC8"/>
    <w:rsid w:val="00440935"/>
    <w:rsid w:val="0044137D"/>
    <w:rsid w:val="00441DE0"/>
    <w:rsid w:val="004428F8"/>
    <w:rsid w:val="004438EC"/>
    <w:rsid w:val="00445686"/>
    <w:rsid w:val="00446471"/>
    <w:rsid w:val="004470BD"/>
    <w:rsid w:val="00447425"/>
    <w:rsid w:val="00447F68"/>
    <w:rsid w:val="004508EB"/>
    <w:rsid w:val="004515F1"/>
    <w:rsid w:val="00453947"/>
    <w:rsid w:val="00454B5A"/>
    <w:rsid w:val="00456A2C"/>
    <w:rsid w:val="00457B50"/>
    <w:rsid w:val="00460668"/>
    <w:rsid w:val="004611C1"/>
    <w:rsid w:val="00462B72"/>
    <w:rsid w:val="0046444A"/>
    <w:rsid w:val="00465AF5"/>
    <w:rsid w:val="004661B0"/>
    <w:rsid w:val="00466815"/>
    <w:rsid w:val="00466FEA"/>
    <w:rsid w:val="004702BD"/>
    <w:rsid w:val="00470775"/>
    <w:rsid w:val="0047091D"/>
    <w:rsid w:val="004717B5"/>
    <w:rsid w:val="00472D5C"/>
    <w:rsid w:val="00473A7F"/>
    <w:rsid w:val="0047596E"/>
    <w:rsid w:val="00476409"/>
    <w:rsid w:val="00477865"/>
    <w:rsid w:val="00480F9B"/>
    <w:rsid w:val="00482A44"/>
    <w:rsid w:val="004838AA"/>
    <w:rsid w:val="00484599"/>
    <w:rsid w:val="004851C5"/>
    <w:rsid w:val="00485335"/>
    <w:rsid w:val="00485F0D"/>
    <w:rsid w:val="00486155"/>
    <w:rsid w:val="00487EFD"/>
    <w:rsid w:val="00490973"/>
    <w:rsid w:val="004911DC"/>
    <w:rsid w:val="004920BD"/>
    <w:rsid w:val="004923A7"/>
    <w:rsid w:val="004944B6"/>
    <w:rsid w:val="00494A80"/>
    <w:rsid w:val="004A3B8B"/>
    <w:rsid w:val="004A4630"/>
    <w:rsid w:val="004A4CC2"/>
    <w:rsid w:val="004A5AEC"/>
    <w:rsid w:val="004A7952"/>
    <w:rsid w:val="004A7AFF"/>
    <w:rsid w:val="004B1465"/>
    <w:rsid w:val="004B268D"/>
    <w:rsid w:val="004B3363"/>
    <w:rsid w:val="004B5555"/>
    <w:rsid w:val="004B6A9B"/>
    <w:rsid w:val="004C0A57"/>
    <w:rsid w:val="004C159B"/>
    <w:rsid w:val="004C1CEC"/>
    <w:rsid w:val="004C4320"/>
    <w:rsid w:val="004C4904"/>
    <w:rsid w:val="004C5584"/>
    <w:rsid w:val="004C6B9E"/>
    <w:rsid w:val="004C6C6E"/>
    <w:rsid w:val="004C780E"/>
    <w:rsid w:val="004C7955"/>
    <w:rsid w:val="004D090D"/>
    <w:rsid w:val="004D0917"/>
    <w:rsid w:val="004D14D8"/>
    <w:rsid w:val="004D2C1C"/>
    <w:rsid w:val="004D3D91"/>
    <w:rsid w:val="004D4549"/>
    <w:rsid w:val="004D5ACE"/>
    <w:rsid w:val="004D5BB9"/>
    <w:rsid w:val="004D7834"/>
    <w:rsid w:val="004D7BF8"/>
    <w:rsid w:val="004E01E1"/>
    <w:rsid w:val="004E0B7A"/>
    <w:rsid w:val="004E0B8E"/>
    <w:rsid w:val="004E1894"/>
    <w:rsid w:val="004E28E8"/>
    <w:rsid w:val="004E2CF6"/>
    <w:rsid w:val="004E3BBF"/>
    <w:rsid w:val="004E3DE4"/>
    <w:rsid w:val="004E4CC2"/>
    <w:rsid w:val="004E518C"/>
    <w:rsid w:val="004E6F94"/>
    <w:rsid w:val="004E7578"/>
    <w:rsid w:val="004F0107"/>
    <w:rsid w:val="004F0609"/>
    <w:rsid w:val="004F1699"/>
    <w:rsid w:val="004F17FB"/>
    <w:rsid w:val="004F3090"/>
    <w:rsid w:val="004F4346"/>
    <w:rsid w:val="004F489A"/>
    <w:rsid w:val="004F4A39"/>
    <w:rsid w:val="004F4D75"/>
    <w:rsid w:val="004F5F21"/>
    <w:rsid w:val="004F66D0"/>
    <w:rsid w:val="004F6747"/>
    <w:rsid w:val="004F6D3C"/>
    <w:rsid w:val="00500332"/>
    <w:rsid w:val="00500F88"/>
    <w:rsid w:val="00504154"/>
    <w:rsid w:val="00504223"/>
    <w:rsid w:val="0050477B"/>
    <w:rsid w:val="005057CC"/>
    <w:rsid w:val="00505858"/>
    <w:rsid w:val="00505A9A"/>
    <w:rsid w:val="00505F80"/>
    <w:rsid w:val="00506735"/>
    <w:rsid w:val="005069A5"/>
    <w:rsid w:val="00507E86"/>
    <w:rsid w:val="0051089D"/>
    <w:rsid w:val="005115F3"/>
    <w:rsid w:val="00512BF2"/>
    <w:rsid w:val="00513834"/>
    <w:rsid w:val="00514908"/>
    <w:rsid w:val="00514A6D"/>
    <w:rsid w:val="00515EB7"/>
    <w:rsid w:val="00520518"/>
    <w:rsid w:val="005208EB"/>
    <w:rsid w:val="005209D7"/>
    <w:rsid w:val="00520CD4"/>
    <w:rsid w:val="0052205A"/>
    <w:rsid w:val="00523D1E"/>
    <w:rsid w:val="0052537E"/>
    <w:rsid w:val="00525C8D"/>
    <w:rsid w:val="00525F48"/>
    <w:rsid w:val="0052611C"/>
    <w:rsid w:val="005261F1"/>
    <w:rsid w:val="00526784"/>
    <w:rsid w:val="005267EE"/>
    <w:rsid w:val="00526E2C"/>
    <w:rsid w:val="00527268"/>
    <w:rsid w:val="00527CD2"/>
    <w:rsid w:val="00531527"/>
    <w:rsid w:val="005316B6"/>
    <w:rsid w:val="00533FFC"/>
    <w:rsid w:val="0053539D"/>
    <w:rsid w:val="005361E0"/>
    <w:rsid w:val="005378EF"/>
    <w:rsid w:val="00540570"/>
    <w:rsid w:val="005437CF"/>
    <w:rsid w:val="0054482C"/>
    <w:rsid w:val="00547B5A"/>
    <w:rsid w:val="00550282"/>
    <w:rsid w:val="0055130D"/>
    <w:rsid w:val="005550DD"/>
    <w:rsid w:val="00555359"/>
    <w:rsid w:val="005562B9"/>
    <w:rsid w:val="005575BA"/>
    <w:rsid w:val="00557DC5"/>
    <w:rsid w:val="00560C5B"/>
    <w:rsid w:val="00560F77"/>
    <w:rsid w:val="005617C5"/>
    <w:rsid w:val="00561EA3"/>
    <w:rsid w:val="005624A0"/>
    <w:rsid w:val="005634AE"/>
    <w:rsid w:val="005635C8"/>
    <w:rsid w:val="00564B12"/>
    <w:rsid w:val="0056550D"/>
    <w:rsid w:val="005659AC"/>
    <w:rsid w:val="00566122"/>
    <w:rsid w:val="005665E1"/>
    <w:rsid w:val="0056748E"/>
    <w:rsid w:val="00567592"/>
    <w:rsid w:val="00567730"/>
    <w:rsid w:val="00567B55"/>
    <w:rsid w:val="005701BB"/>
    <w:rsid w:val="005709B5"/>
    <w:rsid w:val="00570BB9"/>
    <w:rsid w:val="005712A8"/>
    <w:rsid w:val="00572418"/>
    <w:rsid w:val="00572A77"/>
    <w:rsid w:val="00573BE5"/>
    <w:rsid w:val="00574301"/>
    <w:rsid w:val="00574806"/>
    <w:rsid w:val="005752A3"/>
    <w:rsid w:val="00575CB7"/>
    <w:rsid w:val="005808F9"/>
    <w:rsid w:val="00580F55"/>
    <w:rsid w:val="0058146F"/>
    <w:rsid w:val="00583CE4"/>
    <w:rsid w:val="00583F70"/>
    <w:rsid w:val="00584D05"/>
    <w:rsid w:val="0058523D"/>
    <w:rsid w:val="00586934"/>
    <w:rsid w:val="00587C00"/>
    <w:rsid w:val="00587E4F"/>
    <w:rsid w:val="0059033F"/>
    <w:rsid w:val="00591754"/>
    <w:rsid w:val="00591BBD"/>
    <w:rsid w:val="0059449D"/>
    <w:rsid w:val="00597E4B"/>
    <w:rsid w:val="005A1260"/>
    <w:rsid w:val="005A2328"/>
    <w:rsid w:val="005A2FA1"/>
    <w:rsid w:val="005A3014"/>
    <w:rsid w:val="005A35B6"/>
    <w:rsid w:val="005A4232"/>
    <w:rsid w:val="005A50A0"/>
    <w:rsid w:val="005A57A2"/>
    <w:rsid w:val="005A6740"/>
    <w:rsid w:val="005A6767"/>
    <w:rsid w:val="005A77C9"/>
    <w:rsid w:val="005A7A37"/>
    <w:rsid w:val="005B016E"/>
    <w:rsid w:val="005B03C3"/>
    <w:rsid w:val="005B0807"/>
    <w:rsid w:val="005B09A5"/>
    <w:rsid w:val="005B0C96"/>
    <w:rsid w:val="005B1244"/>
    <w:rsid w:val="005B214B"/>
    <w:rsid w:val="005B2CA3"/>
    <w:rsid w:val="005B3314"/>
    <w:rsid w:val="005B3467"/>
    <w:rsid w:val="005B5AF6"/>
    <w:rsid w:val="005B61FE"/>
    <w:rsid w:val="005B6687"/>
    <w:rsid w:val="005B6F3F"/>
    <w:rsid w:val="005C09B3"/>
    <w:rsid w:val="005C0D7E"/>
    <w:rsid w:val="005C0DE7"/>
    <w:rsid w:val="005C0F07"/>
    <w:rsid w:val="005C177B"/>
    <w:rsid w:val="005C1CA1"/>
    <w:rsid w:val="005C2DE6"/>
    <w:rsid w:val="005C3E05"/>
    <w:rsid w:val="005C4EBF"/>
    <w:rsid w:val="005C5098"/>
    <w:rsid w:val="005C58EB"/>
    <w:rsid w:val="005C5977"/>
    <w:rsid w:val="005C7ED7"/>
    <w:rsid w:val="005D01A4"/>
    <w:rsid w:val="005D088D"/>
    <w:rsid w:val="005D0D39"/>
    <w:rsid w:val="005D1212"/>
    <w:rsid w:val="005D1A7D"/>
    <w:rsid w:val="005D1D9B"/>
    <w:rsid w:val="005D1F21"/>
    <w:rsid w:val="005D25D4"/>
    <w:rsid w:val="005D392F"/>
    <w:rsid w:val="005D57AA"/>
    <w:rsid w:val="005D59A6"/>
    <w:rsid w:val="005D5D39"/>
    <w:rsid w:val="005D78A2"/>
    <w:rsid w:val="005E1C52"/>
    <w:rsid w:val="005E2E68"/>
    <w:rsid w:val="005E33D2"/>
    <w:rsid w:val="005E41E1"/>
    <w:rsid w:val="005E4442"/>
    <w:rsid w:val="005E4989"/>
    <w:rsid w:val="005E4BD2"/>
    <w:rsid w:val="005E501E"/>
    <w:rsid w:val="005E50F3"/>
    <w:rsid w:val="005E5490"/>
    <w:rsid w:val="005E5F00"/>
    <w:rsid w:val="005F2D4C"/>
    <w:rsid w:val="005F31D5"/>
    <w:rsid w:val="005F37D4"/>
    <w:rsid w:val="005F3FC6"/>
    <w:rsid w:val="005F42D2"/>
    <w:rsid w:val="005F4DD9"/>
    <w:rsid w:val="005F51F9"/>
    <w:rsid w:val="005F554A"/>
    <w:rsid w:val="005F67E2"/>
    <w:rsid w:val="006000E7"/>
    <w:rsid w:val="006020D9"/>
    <w:rsid w:val="0060267A"/>
    <w:rsid w:val="006030D6"/>
    <w:rsid w:val="00603705"/>
    <w:rsid w:val="006043A4"/>
    <w:rsid w:val="00605007"/>
    <w:rsid w:val="0060594A"/>
    <w:rsid w:val="00605D98"/>
    <w:rsid w:val="0060711F"/>
    <w:rsid w:val="006105B3"/>
    <w:rsid w:val="006119B8"/>
    <w:rsid w:val="00613E21"/>
    <w:rsid w:val="00614CD3"/>
    <w:rsid w:val="0061627F"/>
    <w:rsid w:val="00616BF1"/>
    <w:rsid w:val="0062043A"/>
    <w:rsid w:val="00620808"/>
    <w:rsid w:val="006209D6"/>
    <w:rsid w:val="006217E3"/>
    <w:rsid w:val="00621A67"/>
    <w:rsid w:val="00621EDB"/>
    <w:rsid w:val="00622F37"/>
    <w:rsid w:val="006232A3"/>
    <w:rsid w:val="006240A6"/>
    <w:rsid w:val="006242DF"/>
    <w:rsid w:val="0062497C"/>
    <w:rsid w:val="00624EB7"/>
    <w:rsid w:val="0062600E"/>
    <w:rsid w:val="00626EC9"/>
    <w:rsid w:val="006365C2"/>
    <w:rsid w:val="00636643"/>
    <w:rsid w:val="006374CD"/>
    <w:rsid w:val="00637F16"/>
    <w:rsid w:val="00640570"/>
    <w:rsid w:val="00640CB0"/>
    <w:rsid w:val="00641143"/>
    <w:rsid w:val="0064267E"/>
    <w:rsid w:val="006430FF"/>
    <w:rsid w:val="0064347A"/>
    <w:rsid w:val="00643967"/>
    <w:rsid w:val="00643B61"/>
    <w:rsid w:val="0064616E"/>
    <w:rsid w:val="00646600"/>
    <w:rsid w:val="0064721C"/>
    <w:rsid w:val="00647882"/>
    <w:rsid w:val="00647DA8"/>
    <w:rsid w:val="00647F9D"/>
    <w:rsid w:val="006502AB"/>
    <w:rsid w:val="00650F32"/>
    <w:rsid w:val="00651177"/>
    <w:rsid w:val="0065343A"/>
    <w:rsid w:val="00653A2A"/>
    <w:rsid w:val="00653B74"/>
    <w:rsid w:val="006569FD"/>
    <w:rsid w:val="0066096D"/>
    <w:rsid w:val="0066100B"/>
    <w:rsid w:val="0066219C"/>
    <w:rsid w:val="00663D25"/>
    <w:rsid w:val="0066654B"/>
    <w:rsid w:val="00666B1D"/>
    <w:rsid w:val="006672FF"/>
    <w:rsid w:val="00667483"/>
    <w:rsid w:val="00671816"/>
    <w:rsid w:val="006724CA"/>
    <w:rsid w:val="006727E9"/>
    <w:rsid w:val="006746CD"/>
    <w:rsid w:val="00674DB1"/>
    <w:rsid w:val="00677156"/>
    <w:rsid w:val="006779A1"/>
    <w:rsid w:val="006807B3"/>
    <w:rsid w:val="006813A4"/>
    <w:rsid w:val="00681F77"/>
    <w:rsid w:val="006823B3"/>
    <w:rsid w:val="00682BA0"/>
    <w:rsid w:val="00682E7A"/>
    <w:rsid w:val="0068368F"/>
    <w:rsid w:val="0068390A"/>
    <w:rsid w:val="00684D30"/>
    <w:rsid w:val="0068528A"/>
    <w:rsid w:val="006853BD"/>
    <w:rsid w:val="006855D3"/>
    <w:rsid w:val="00685D06"/>
    <w:rsid w:val="00686202"/>
    <w:rsid w:val="00690243"/>
    <w:rsid w:val="00690709"/>
    <w:rsid w:val="0069139A"/>
    <w:rsid w:val="006917A7"/>
    <w:rsid w:val="00691862"/>
    <w:rsid w:val="0069219F"/>
    <w:rsid w:val="006944EB"/>
    <w:rsid w:val="00694C2D"/>
    <w:rsid w:val="006954C4"/>
    <w:rsid w:val="006A00B7"/>
    <w:rsid w:val="006A0563"/>
    <w:rsid w:val="006A134B"/>
    <w:rsid w:val="006A1B12"/>
    <w:rsid w:val="006A229F"/>
    <w:rsid w:val="006A34AC"/>
    <w:rsid w:val="006A46A7"/>
    <w:rsid w:val="006A4D18"/>
    <w:rsid w:val="006A4F09"/>
    <w:rsid w:val="006A50E4"/>
    <w:rsid w:val="006A5C66"/>
    <w:rsid w:val="006A6534"/>
    <w:rsid w:val="006A7371"/>
    <w:rsid w:val="006A7C77"/>
    <w:rsid w:val="006B2890"/>
    <w:rsid w:val="006B34C9"/>
    <w:rsid w:val="006B399A"/>
    <w:rsid w:val="006B4795"/>
    <w:rsid w:val="006B5791"/>
    <w:rsid w:val="006B60A2"/>
    <w:rsid w:val="006B6798"/>
    <w:rsid w:val="006B77BE"/>
    <w:rsid w:val="006B7B54"/>
    <w:rsid w:val="006C06AF"/>
    <w:rsid w:val="006C0F76"/>
    <w:rsid w:val="006C1340"/>
    <w:rsid w:val="006C23C2"/>
    <w:rsid w:val="006C29A0"/>
    <w:rsid w:val="006C2E37"/>
    <w:rsid w:val="006C33AC"/>
    <w:rsid w:val="006C4B1F"/>
    <w:rsid w:val="006C5C39"/>
    <w:rsid w:val="006C6FBB"/>
    <w:rsid w:val="006C723E"/>
    <w:rsid w:val="006C7B71"/>
    <w:rsid w:val="006D01E3"/>
    <w:rsid w:val="006D3A6D"/>
    <w:rsid w:val="006D46C6"/>
    <w:rsid w:val="006D4F91"/>
    <w:rsid w:val="006D5556"/>
    <w:rsid w:val="006D6DB3"/>
    <w:rsid w:val="006D7238"/>
    <w:rsid w:val="006E0419"/>
    <w:rsid w:val="006E0CF5"/>
    <w:rsid w:val="006E15B5"/>
    <w:rsid w:val="006E18EB"/>
    <w:rsid w:val="006E1C31"/>
    <w:rsid w:val="006E2C20"/>
    <w:rsid w:val="006E31A3"/>
    <w:rsid w:val="006E45CC"/>
    <w:rsid w:val="006E4F8E"/>
    <w:rsid w:val="006E52E1"/>
    <w:rsid w:val="006E5C6C"/>
    <w:rsid w:val="006E63DE"/>
    <w:rsid w:val="006E6A42"/>
    <w:rsid w:val="006E70D1"/>
    <w:rsid w:val="006F04D9"/>
    <w:rsid w:val="006F07FA"/>
    <w:rsid w:val="006F0FBF"/>
    <w:rsid w:val="006F137B"/>
    <w:rsid w:val="006F1B2E"/>
    <w:rsid w:val="006F1DC1"/>
    <w:rsid w:val="006F2292"/>
    <w:rsid w:val="006F31D7"/>
    <w:rsid w:val="006F3560"/>
    <w:rsid w:val="006F3670"/>
    <w:rsid w:val="006F3932"/>
    <w:rsid w:val="006F3B2C"/>
    <w:rsid w:val="006F48D3"/>
    <w:rsid w:val="006F4901"/>
    <w:rsid w:val="006F4D22"/>
    <w:rsid w:val="006F617A"/>
    <w:rsid w:val="006F6BD6"/>
    <w:rsid w:val="006F6D52"/>
    <w:rsid w:val="007001BB"/>
    <w:rsid w:val="0070184C"/>
    <w:rsid w:val="007028E7"/>
    <w:rsid w:val="007039B7"/>
    <w:rsid w:val="00703CAD"/>
    <w:rsid w:val="0070401B"/>
    <w:rsid w:val="00704082"/>
    <w:rsid w:val="00705371"/>
    <w:rsid w:val="007077DC"/>
    <w:rsid w:val="00707DAE"/>
    <w:rsid w:val="00710C2B"/>
    <w:rsid w:val="00712CFD"/>
    <w:rsid w:val="00712FDD"/>
    <w:rsid w:val="00713384"/>
    <w:rsid w:val="00713D73"/>
    <w:rsid w:val="007141E1"/>
    <w:rsid w:val="00714F31"/>
    <w:rsid w:val="0071593B"/>
    <w:rsid w:val="007219F6"/>
    <w:rsid w:val="00722046"/>
    <w:rsid w:val="00722CFC"/>
    <w:rsid w:val="0072440A"/>
    <w:rsid w:val="00724504"/>
    <w:rsid w:val="007247EB"/>
    <w:rsid w:val="007257D4"/>
    <w:rsid w:val="00725A64"/>
    <w:rsid w:val="00725BA5"/>
    <w:rsid w:val="00726485"/>
    <w:rsid w:val="00726F2B"/>
    <w:rsid w:val="00730959"/>
    <w:rsid w:val="00732340"/>
    <w:rsid w:val="00732ECD"/>
    <w:rsid w:val="00732F1A"/>
    <w:rsid w:val="00733151"/>
    <w:rsid w:val="00733AC8"/>
    <w:rsid w:val="00734A87"/>
    <w:rsid w:val="00734CF6"/>
    <w:rsid w:val="00735189"/>
    <w:rsid w:val="007360FB"/>
    <w:rsid w:val="007369A0"/>
    <w:rsid w:val="00740E6A"/>
    <w:rsid w:val="007413D9"/>
    <w:rsid w:val="0074150C"/>
    <w:rsid w:val="00741D97"/>
    <w:rsid w:val="00742024"/>
    <w:rsid w:val="007434B4"/>
    <w:rsid w:val="00744360"/>
    <w:rsid w:val="007455AC"/>
    <w:rsid w:val="00745685"/>
    <w:rsid w:val="0074593E"/>
    <w:rsid w:val="007460BC"/>
    <w:rsid w:val="00746586"/>
    <w:rsid w:val="00747190"/>
    <w:rsid w:val="00747779"/>
    <w:rsid w:val="00747DDA"/>
    <w:rsid w:val="00747F03"/>
    <w:rsid w:val="00750446"/>
    <w:rsid w:val="00751132"/>
    <w:rsid w:val="00751F7C"/>
    <w:rsid w:val="00753FAF"/>
    <w:rsid w:val="00755F77"/>
    <w:rsid w:val="007567BC"/>
    <w:rsid w:val="007568EE"/>
    <w:rsid w:val="007601F3"/>
    <w:rsid w:val="007606C3"/>
    <w:rsid w:val="00760E64"/>
    <w:rsid w:val="007611A9"/>
    <w:rsid w:val="00761C5D"/>
    <w:rsid w:val="00761F02"/>
    <w:rsid w:val="0076488F"/>
    <w:rsid w:val="00764EFA"/>
    <w:rsid w:val="00765AED"/>
    <w:rsid w:val="00765D7F"/>
    <w:rsid w:val="0076675E"/>
    <w:rsid w:val="0076684A"/>
    <w:rsid w:val="00767220"/>
    <w:rsid w:val="00771449"/>
    <w:rsid w:val="00771DE6"/>
    <w:rsid w:val="007723AB"/>
    <w:rsid w:val="0077273F"/>
    <w:rsid w:val="0077276B"/>
    <w:rsid w:val="007741AD"/>
    <w:rsid w:val="00774632"/>
    <w:rsid w:val="00775065"/>
    <w:rsid w:val="00777B6C"/>
    <w:rsid w:val="00780CB0"/>
    <w:rsid w:val="0078360B"/>
    <w:rsid w:val="007847B2"/>
    <w:rsid w:val="00785952"/>
    <w:rsid w:val="00785A05"/>
    <w:rsid w:val="00786755"/>
    <w:rsid w:val="00787111"/>
    <w:rsid w:val="00787136"/>
    <w:rsid w:val="0078751B"/>
    <w:rsid w:val="00787713"/>
    <w:rsid w:val="00787B90"/>
    <w:rsid w:val="007928E2"/>
    <w:rsid w:val="0079335E"/>
    <w:rsid w:val="007936B7"/>
    <w:rsid w:val="007938A2"/>
    <w:rsid w:val="00793C99"/>
    <w:rsid w:val="00794607"/>
    <w:rsid w:val="007946C7"/>
    <w:rsid w:val="007948EB"/>
    <w:rsid w:val="0079531F"/>
    <w:rsid w:val="00795D1A"/>
    <w:rsid w:val="007972B8"/>
    <w:rsid w:val="00797518"/>
    <w:rsid w:val="007975C6"/>
    <w:rsid w:val="007A32D4"/>
    <w:rsid w:val="007A33DB"/>
    <w:rsid w:val="007A3ABD"/>
    <w:rsid w:val="007A4B56"/>
    <w:rsid w:val="007A54CF"/>
    <w:rsid w:val="007A5DDD"/>
    <w:rsid w:val="007A69F1"/>
    <w:rsid w:val="007A6B90"/>
    <w:rsid w:val="007B00EC"/>
    <w:rsid w:val="007B0338"/>
    <w:rsid w:val="007B0520"/>
    <w:rsid w:val="007B2232"/>
    <w:rsid w:val="007B4A00"/>
    <w:rsid w:val="007B644C"/>
    <w:rsid w:val="007B65F8"/>
    <w:rsid w:val="007C0C56"/>
    <w:rsid w:val="007C2C9D"/>
    <w:rsid w:val="007C302F"/>
    <w:rsid w:val="007C5C1F"/>
    <w:rsid w:val="007C5F6A"/>
    <w:rsid w:val="007C697A"/>
    <w:rsid w:val="007C6ED7"/>
    <w:rsid w:val="007C76F3"/>
    <w:rsid w:val="007D071E"/>
    <w:rsid w:val="007D0885"/>
    <w:rsid w:val="007D1565"/>
    <w:rsid w:val="007D23C8"/>
    <w:rsid w:val="007D348B"/>
    <w:rsid w:val="007D3A8A"/>
    <w:rsid w:val="007D405F"/>
    <w:rsid w:val="007D460B"/>
    <w:rsid w:val="007D4EAE"/>
    <w:rsid w:val="007D57AF"/>
    <w:rsid w:val="007D5C23"/>
    <w:rsid w:val="007D6E84"/>
    <w:rsid w:val="007D71A8"/>
    <w:rsid w:val="007D7812"/>
    <w:rsid w:val="007E0993"/>
    <w:rsid w:val="007E1305"/>
    <w:rsid w:val="007E1DC0"/>
    <w:rsid w:val="007E256E"/>
    <w:rsid w:val="007E2C2B"/>
    <w:rsid w:val="007E2F36"/>
    <w:rsid w:val="007E3355"/>
    <w:rsid w:val="007E4784"/>
    <w:rsid w:val="007E484A"/>
    <w:rsid w:val="007E4969"/>
    <w:rsid w:val="007E5152"/>
    <w:rsid w:val="007E5BC4"/>
    <w:rsid w:val="007E678D"/>
    <w:rsid w:val="007F1AA9"/>
    <w:rsid w:val="007F425F"/>
    <w:rsid w:val="007F589A"/>
    <w:rsid w:val="007F5A41"/>
    <w:rsid w:val="007F5C7E"/>
    <w:rsid w:val="007F5C8A"/>
    <w:rsid w:val="007F6ECA"/>
    <w:rsid w:val="00801B24"/>
    <w:rsid w:val="008022FA"/>
    <w:rsid w:val="00802842"/>
    <w:rsid w:val="008029A3"/>
    <w:rsid w:val="00802D88"/>
    <w:rsid w:val="008041E9"/>
    <w:rsid w:val="00804342"/>
    <w:rsid w:val="0080530F"/>
    <w:rsid w:val="00805524"/>
    <w:rsid w:val="00805B8A"/>
    <w:rsid w:val="00805E68"/>
    <w:rsid w:val="00807280"/>
    <w:rsid w:val="00807527"/>
    <w:rsid w:val="008100B3"/>
    <w:rsid w:val="008111D7"/>
    <w:rsid w:val="00811559"/>
    <w:rsid w:val="0081187B"/>
    <w:rsid w:val="0081285E"/>
    <w:rsid w:val="008137E0"/>
    <w:rsid w:val="00814617"/>
    <w:rsid w:val="00814F1A"/>
    <w:rsid w:val="008168BB"/>
    <w:rsid w:val="008171F2"/>
    <w:rsid w:val="008205E0"/>
    <w:rsid w:val="00820C24"/>
    <w:rsid w:val="00821980"/>
    <w:rsid w:val="0082253F"/>
    <w:rsid w:val="00822DE2"/>
    <w:rsid w:val="00823B5F"/>
    <w:rsid w:val="00824B7E"/>
    <w:rsid w:val="00826848"/>
    <w:rsid w:val="00826A07"/>
    <w:rsid w:val="00826FDC"/>
    <w:rsid w:val="008327F1"/>
    <w:rsid w:val="0083358D"/>
    <w:rsid w:val="00833685"/>
    <w:rsid w:val="008348A7"/>
    <w:rsid w:val="00834DF7"/>
    <w:rsid w:val="008368A0"/>
    <w:rsid w:val="00837704"/>
    <w:rsid w:val="008400EE"/>
    <w:rsid w:val="00840AB2"/>
    <w:rsid w:val="008417A5"/>
    <w:rsid w:val="00842D56"/>
    <w:rsid w:val="00844573"/>
    <w:rsid w:val="00844C56"/>
    <w:rsid w:val="00845C17"/>
    <w:rsid w:val="00846C2C"/>
    <w:rsid w:val="0085129C"/>
    <w:rsid w:val="008512D3"/>
    <w:rsid w:val="00851D15"/>
    <w:rsid w:val="00852675"/>
    <w:rsid w:val="00852853"/>
    <w:rsid w:val="00853251"/>
    <w:rsid w:val="00854301"/>
    <w:rsid w:val="008546F8"/>
    <w:rsid w:val="008558C2"/>
    <w:rsid w:val="008570AA"/>
    <w:rsid w:val="00860E07"/>
    <w:rsid w:val="008613AD"/>
    <w:rsid w:val="0086223C"/>
    <w:rsid w:val="00862AC9"/>
    <w:rsid w:val="00862E2B"/>
    <w:rsid w:val="00863896"/>
    <w:rsid w:val="00863AFA"/>
    <w:rsid w:val="00865FC0"/>
    <w:rsid w:val="00865FEB"/>
    <w:rsid w:val="0086659F"/>
    <w:rsid w:val="00866B3B"/>
    <w:rsid w:val="008706F9"/>
    <w:rsid w:val="00870D35"/>
    <w:rsid w:val="00871BBB"/>
    <w:rsid w:val="00873CDE"/>
    <w:rsid w:val="00874C18"/>
    <w:rsid w:val="00875458"/>
    <w:rsid w:val="00875A3A"/>
    <w:rsid w:val="00876925"/>
    <w:rsid w:val="00877941"/>
    <w:rsid w:val="0088016F"/>
    <w:rsid w:val="00880359"/>
    <w:rsid w:val="0088062D"/>
    <w:rsid w:val="00880C22"/>
    <w:rsid w:val="00881194"/>
    <w:rsid w:val="00881408"/>
    <w:rsid w:val="0088206F"/>
    <w:rsid w:val="008821CE"/>
    <w:rsid w:val="00882419"/>
    <w:rsid w:val="008828A3"/>
    <w:rsid w:val="00882F88"/>
    <w:rsid w:val="008836B3"/>
    <w:rsid w:val="00883835"/>
    <w:rsid w:val="00884527"/>
    <w:rsid w:val="00885429"/>
    <w:rsid w:val="00886054"/>
    <w:rsid w:val="008862FF"/>
    <w:rsid w:val="00886FAE"/>
    <w:rsid w:val="00887570"/>
    <w:rsid w:val="0088767A"/>
    <w:rsid w:val="00892D2C"/>
    <w:rsid w:val="00893531"/>
    <w:rsid w:val="008952DA"/>
    <w:rsid w:val="00895D20"/>
    <w:rsid w:val="008961A9"/>
    <w:rsid w:val="00897720"/>
    <w:rsid w:val="008978AE"/>
    <w:rsid w:val="008A0865"/>
    <w:rsid w:val="008A1CC1"/>
    <w:rsid w:val="008A1E03"/>
    <w:rsid w:val="008A400C"/>
    <w:rsid w:val="008A4564"/>
    <w:rsid w:val="008A4BFC"/>
    <w:rsid w:val="008A58BE"/>
    <w:rsid w:val="008A64F6"/>
    <w:rsid w:val="008A664A"/>
    <w:rsid w:val="008A6C2A"/>
    <w:rsid w:val="008A75A2"/>
    <w:rsid w:val="008B064A"/>
    <w:rsid w:val="008B35FF"/>
    <w:rsid w:val="008B3914"/>
    <w:rsid w:val="008B3B34"/>
    <w:rsid w:val="008B4ECD"/>
    <w:rsid w:val="008B685F"/>
    <w:rsid w:val="008B7C50"/>
    <w:rsid w:val="008B7C74"/>
    <w:rsid w:val="008B7E9E"/>
    <w:rsid w:val="008C008E"/>
    <w:rsid w:val="008C2834"/>
    <w:rsid w:val="008C29DE"/>
    <w:rsid w:val="008C2DE1"/>
    <w:rsid w:val="008C3A07"/>
    <w:rsid w:val="008C41AF"/>
    <w:rsid w:val="008C47C2"/>
    <w:rsid w:val="008C59E1"/>
    <w:rsid w:val="008D0C02"/>
    <w:rsid w:val="008D201F"/>
    <w:rsid w:val="008D3FC4"/>
    <w:rsid w:val="008D499A"/>
    <w:rsid w:val="008D4A08"/>
    <w:rsid w:val="008D5A64"/>
    <w:rsid w:val="008D63C6"/>
    <w:rsid w:val="008D71E1"/>
    <w:rsid w:val="008E1B2E"/>
    <w:rsid w:val="008E2E02"/>
    <w:rsid w:val="008E3392"/>
    <w:rsid w:val="008E3C1A"/>
    <w:rsid w:val="008E4ED5"/>
    <w:rsid w:val="008E6DFB"/>
    <w:rsid w:val="008E7BCC"/>
    <w:rsid w:val="008F1C57"/>
    <w:rsid w:val="008F4781"/>
    <w:rsid w:val="008F587E"/>
    <w:rsid w:val="008F63FC"/>
    <w:rsid w:val="008F6500"/>
    <w:rsid w:val="008F73EE"/>
    <w:rsid w:val="00901406"/>
    <w:rsid w:val="00901880"/>
    <w:rsid w:val="00901F5B"/>
    <w:rsid w:val="0090312E"/>
    <w:rsid w:val="00903231"/>
    <w:rsid w:val="0090323D"/>
    <w:rsid w:val="0090365C"/>
    <w:rsid w:val="009040DE"/>
    <w:rsid w:val="00904101"/>
    <w:rsid w:val="00904162"/>
    <w:rsid w:val="00904FDD"/>
    <w:rsid w:val="009055CB"/>
    <w:rsid w:val="009069C0"/>
    <w:rsid w:val="0090766C"/>
    <w:rsid w:val="009104BE"/>
    <w:rsid w:val="00910FB9"/>
    <w:rsid w:val="0091102F"/>
    <w:rsid w:val="009130C4"/>
    <w:rsid w:val="009138A1"/>
    <w:rsid w:val="00913D07"/>
    <w:rsid w:val="00914055"/>
    <w:rsid w:val="00915C2A"/>
    <w:rsid w:val="00916580"/>
    <w:rsid w:val="00916A3F"/>
    <w:rsid w:val="0091715D"/>
    <w:rsid w:val="009179EE"/>
    <w:rsid w:val="00917B30"/>
    <w:rsid w:val="00921556"/>
    <w:rsid w:val="0092181D"/>
    <w:rsid w:val="009220E1"/>
    <w:rsid w:val="009226FF"/>
    <w:rsid w:val="00922BF1"/>
    <w:rsid w:val="00922DDF"/>
    <w:rsid w:val="0092412A"/>
    <w:rsid w:val="0092516A"/>
    <w:rsid w:val="009258D3"/>
    <w:rsid w:val="00926E98"/>
    <w:rsid w:val="0093049E"/>
    <w:rsid w:val="00930B48"/>
    <w:rsid w:val="00932D24"/>
    <w:rsid w:val="0093449D"/>
    <w:rsid w:val="0093744F"/>
    <w:rsid w:val="009413A9"/>
    <w:rsid w:val="009438E2"/>
    <w:rsid w:val="00943F2F"/>
    <w:rsid w:val="009440E8"/>
    <w:rsid w:val="0094476B"/>
    <w:rsid w:val="00944F45"/>
    <w:rsid w:val="00945FCD"/>
    <w:rsid w:val="00946551"/>
    <w:rsid w:val="00946DF6"/>
    <w:rsid w:val="009471C8"/>
    <w:rsid w:val="00947297"/>
    <w:rsid w:val="00950768"/>
    <w:rsid w:val="00950F7C"/>
    <w:rsid w:val="00951E05"/>
    <w:rsid w:val="009523BC"/>
    <w:rsid w:val="0095283A"/>
    <w:rsid w:val="009530CA"/>
    <w:rsid w:val="00953295"/>
    <w:rsid w:val="009533D4"/>
    <w:rsid w:val="009536C0"/>
    <w:rsid w:val="00955A0A"/>
    <w:rsid w:val="00956792"/>
    <w:rsid w:val="009575AE"/>
    <w:rsid w:val="00957733"/>
    <w:rsid w:val="0096037C"/>
    <w:rsid w:val="009605C3"/>
    <w:rsid w:val="00960AEF"/>
    <w:rsid w:val="009638C1"/>
    <w:rsid w:val="00964404"/>
    <w:rsid w:val="0096593E"/>
    <w:rsid w:val="009663CE"/>
    <w:rsid w:val="00966666"/>
    <w:rsid w:val="00966A87"/>
    <w:rsid w:val="00967B29"/>
    <w:rsid w:val="00967EB5"/>
    <w:rsid w:val="0097053B"/>
    <w:rsid w:val="00970885"/>
    <w:rsid w:val="009716E8"/>
    <w:rsid w:val="00974D37"/>
    <w:rsid w:val="00974E44"/>
    <w:rsid w:val="009764A4"/>
    <w:rsid w:val="009771AA"/>
    <w:rsid w:val="0098151F"/>
    <w:rsid w:val="009822D7"/>
    <w:rsid w:val="009822F0"/>
    <w:rsid w:val="00983A67"/>
    <w:rsid w:val="00983E55"/>
    <w:rsid w:val="00985A41"/>
    <w:rsid w:val="009864CF"/>
    <w:rsid w:val="009868D4"/>
    <w:rsid w:val="0099031D"/>
    <w:rsid w:val="00991EB4"/>
    <w:rsid w:val="009928A8"/>
    <w:rsid w:val="00992BAF"/>
    <w:rsid w:val="00992F43"/>
    <w:rsid w:val="00993871"/>
    <w:rsid w:val="00994C2B"/>
    <w:rsid w:val="00994DAF"/>
    <w:rsid w:val="00996896"/>
    <w:rsid w:val="00996B4D"/>
    <w:rsid w:val="00996D0D"/>
    <w:rsid w:val="009A0AA3"/>
    <w:rsid w:val="009A0EAF"/>
    <w:rsid w:val="009A2243"/>
    <w:rsid w:val="009A2CBF"/>
    <w:rsid w:val="009A30BF"/>
    <w:rsid w:val="009A3F9F"/>
    <w:rsid w:val="009A4C47"/>
    <w:rsid w:val="009A5E9C"/>
    <w:rsid w:val="009A7525"/>
    <w:rsid w:val="009A7664"/>
    <w:rsid w:val="009A7FB8"/>
    <w:rsid w:val="009B06BC"/>
    <w:rsid w:val="009B1169"/>
    <w:rsid w:val="009B1687"/>
    <w:rsid w:val="009B1717"/>
    <w:rsid w:val="009B1F47"/>
    <w:rsid w:val="009B2B6A"/>
    <w:rsid w:val="009B327E"/>
    <w:rsid w:val="009B339A"/>
    <w:rsid w:val="009B3680"/>
    <w:rsid w:val="009B4D71"/>
    <w:rsid w:val="009B56E8"/>
    <w:rsid w:val="009B5BE2"/>
    <w:rsid w:val="009C120F"/>
    <w:rsid w:val="009C29F4"/>
    <w:rsid w:val="009C2F1E"/>
    <w:rsid w:val="009C3487"/>
    <w:rsid w:val="009C39BD"/>
    <w:rsid w:val="009C4F0D"/>
    <w:rsid w:val="009C7F22"/>
    <w:rsid w:val="009D09B9"/>
    <w:rsid w:val="009D7095"/>
    <w:rsid w:val="009E04AF"/>
    <w:rsid w:val="009E4A6F"/>
    <w:rsid w:val="009E5BB5"/>
    <w:rsid w:val="009E6986"/>
    <w:rsid w:val="009E69CC"/>
    <w:rsid w:val="009F08F7"/>
    <w:rsid w:val="009F091E"/>
    <w:rsid w:val="009F09DD"/>
    <w:rsid w:val="009F3C62"/>
    <w:rsid w:val="009F4B7A"/>
    <w:rsid w:val="009F51BF"/>
    <w:rsid w:val="009F6612"/>
    <w:rsid w:val="009F7FB0"/>
    <w:rsid w:val="00A00FE5"/>
    <w:rsid w:val="00A025C8"/>
    <w:rsid w:val="00A0440E"/>
    <w:rsid w:val="00A055A2"/>
    <w:rsid w:val="00A05BDC"/>
    <w:rsid w:val="00A068BD"/>
    <w:rsid w:val="00A079C5"/>
    <w:rsid w:val="00A10993"/>
    <w:rsid w:val="00A10DF5"/>
    <w:rsid w:val="00A118FA"/>
    <w:rsid w:val="00A1238E"/>
    <w:rsid w:val="00A141C7"/>
    <w:rsid w:val="00A147BA"/>
    <w:rsid w:val="00A14F25"/>
    <w:rsid w:val="00A150CD"/>
    <w:rsid w:val="00A15333"/>
    <w:rsid w:val="00A20365"/>
    <w:rsid w:val="00A2099A"/>
    <w:rsid w:val="00A20DB6"/>
    <w:rsid w:val="00A21A8D"/>
    <w:rsid w:val="00A21F26"/>
    <w:rsid w:val="00A23123"/>
    <w:rsid w:val="00A248E2"/>
    <w:rsid w:val="00A251BE"/>
    <w:rsid w:val="00A27620"/>
    <w:rsid w:val="00A308A5"/>
    <w:rsid w:val="00A30C20"/>
    <w:rsid w:val="00A31C0C"/>
    <w:rsid w:val="00A32970"/>
    <w:rsid w:val="00A33BF9"/>
    <w:rsid w:val="00A33F77"/>
    <w:rsid w:val="00A340D8"/>
    <w:rsid w:val="00A35822"/>
    <w:rsid w:val="00A35F82"/>
    <w:rsid w:val="00A364E0"/>
    <w:rsid w:val="00A3740A"/>
    <w:rsid w:val="00A40786"/>
    <w:rsid w:val="00A410EA"/>
    <w:rsid w:val="00A4267E"/>
    <w:rsid w:val="00A42F8F"/>
    <w:rsid w:val="00A43F6D"/>
    <w:rsid w:val="00A44128"/>
    <w:rsid w:val="00A444A1"/>
    <w:rsid w:val="00A44AA1"/>
    <w:rsid w:val="00A45D07"/>
    <w:rsid w:val="00A47B85"/>
    <w:rsid w:val="00A513BE"/>
    <w:rsid w:val="00A51B00"/>
    <w:rsid w:val="00A53A4C"/>
    <w:rsid w:val="00A53AA9"/>
    <w:rsid w:val="00A543D4"/>
    <w:rsid w:val="00A54ADC"/>
    <w:rsid w:val="00A572BD"/>
    <w:rsid w:val="00A57B0B"/>
    <w:rsid w:val="00A60510"/>
    <w:rsid w:val="00A60836"/>
    <w:rsid w:val="00A611BB"/>
    <w:rsid w:val="00A64028"/>
    <w:rsid w:val="00A64425"/>
    <w:rsid w:val="00A668FB"/>
    <w:rsid w:val="00A6702B"/>
    <w:rsid w:val="00A71189"/>
    <w:rsid w:val="00A71D10"/>
    <w:rsid w:val="00A71D21"/>
    <w:rsid w:val="00A7220C"/>
    <w:rsid w:val="00A73A8A"/>
    <w:rsid w:val="00A73F66"/>
    <w:rsid w:val="00A7408E"/>
    <w:rsid w:val="00A74F07"/>
    <w:rsid w:val="00A74FCA"/>
    <w:rsid w:val="00A76084"/>
    <w:rsid w:val="00A806A9"/>
    <w:rsid w:val="00A807C8"/>
    <w:rsid w:val="00A80A87"/>
    <w:rsid w:val="00A812A3"/>
    <w:rsid w:val="00A81C21"/>
    <w:rsid w:val="00A83F45"/>
    <w:rsid w:val="00A8400E"/>
    <w:rsid w:val="00A867DB"/>
    <w:rsid w:val="00A869D6"/>
    <w:rsid w:val="00A86ECE"/>
    <w:rsid w:val="00A90B18"/>
    <w:rsid w:val="00A90F3C"/>
    <w:rsid w:val="00A92883"/>
    <w:rsid w:val="00A92E92"/>
    <w:rsid w:val="00A93038"/>
    <w:rsid w:val="00A93090"/>
    <w:rsid w:val="00A933B4"/>
    <w:rsid w:val="00A95AC6"/>
    <w:rsid w:val="00A95E01"/>
    <w:rsid w:val="00A96972"/>
    <w:rsid w:val="00A9710F"/>
    <w:rsid w:val="00A979CB"/>
    <w:rsid w:val="00AA4277"/>
    <w:rsid w:val="00AA4545"/>
    <w:rsid w:val="00AA6414"/>
    <w:rsid w:val="00AB03B3"/>
    <w:rsid w:val="00AB05A0"/>
    <w:rsid w:val="00AB0DD6"/>
    <w:rsid w:val="00AB126F"/>
    <w:rsid w:val="00AB1312"/>
    <w:rsid w:val="00AB179F"/>
    <w:rsid w:val="00AB210D"/>
    <w:rsid w:val="00AB4CFA"/>
    <w:rsid w:val="00AB5225"/>
    <w:rsid w:val="00AB621A"/>
    <w:rsid w:val="00AB65F6"/>
    <w:rsid w:val="00AB704D"/>
    <w:rsid w:val="00AB70A5"/>
    <w:rsid w:val="00AB77B3"/>
    <w:rsid w:val="00AB7A04"/>
    <w:rsid w:val="00AC14AF"/>
    <w:rsid w:val="00AC25B2"/>
    <w:rsid w:val="00AC47B6"/>
    <w:rsid w:val="00AC558B"/>
    <w:rsid w:val="00AC5FEB"/>
    <w:rsid w:val="00AC7AA9"/>
    <w:rsid w:val="00AC7D32"/>
    <w:rsid w:val="00AD0017"/>
    <w:rsid w:val="00AD0343"/>
    <w:rsid w:val="00AD0B8C"/>
    <w:rsid w:val="00AD3712"/>
    <w:rsid w:val="00AD3D71"/>
    <w:rsid w:val="00AD3EA2"/>
    <w:rsid w:val="00AD4070"/>
    <w:rsid w:val="00AD44DC"/>
    <w:rsid w:val="00AD4609"/>
    <w:rsid w:val="00AD5A5C"/>
    <w:rsid w:val="00AE0EF8"/>
    <w:rsid w:val="00AE1D43"/>
    <w:rsid w:val="00AE3218"/>
    <w:rsid w:val="00AE32D9"/>
    <w:rsid w:val="00AE3B1F"/>
    <w:rsid w:val="00AE43C4"/>
    <w:rsid w:val="00AE4454"/>
    <w:rsid w:val="00AE4958"/>
    <w:rsid w:val="00AE4D65"/>
    <w:rsid w:val="00AE4EF5"/>
    <w:rsid w:val="00AE52B3"/>
    <w:rsid w:val="00AE58AB"/>
    <w:rsid w:val="00AE7DF5"/>
    <w:rsid w:val="00AF0141"/>
    <w:rsid w:val="00AF18B3"/>
    <w:rsid w:val="00AF25D7"/>
    <w:rsid w:val="00AF3BA9"/>
    <w:rsid w:val="00AF4CCA"/>
    <w:rsid w:val="00AF5B9D"/>
    <w:rsid w:val="00AF76F3"/>
    <w:rsid w:val="00AF7B5E"/>
    <w:rsid w:val="00B00935"/>
    <w:rsid w:val="00B00CF6"/>
    <w:rsid w:val="00B012BD"/>
    <w:rsid w:val="00B014E7"/>
    <w:rsid w:val="00B01661"/>
    <w:rsid w:val="00B02A7E"/>
    <w:rsid w:val="00B02D50"/>
    <w:rsid w:val="00B036E5"/>
    <w:rsid w:val="00B06424"/>
    <w:rsid w:val="00B07C43"/>
    <w:rsid w:val="00B108D2"/>
    <w:rsid w:val="00B10B2A"/>
    <w:rsid w:val="00B115CA"/>
    <w:rsid w:val="00B122B7"/>
    <w:rsid w:val="00B137EA"/>
    <w:rsid w:val="00B13FED"/>
    <w:rsid w:val="00B14152"/>
    <w:rsid w:val="00B14513"/>
    <w:rsid w:val="00B147C9"/>
    <w:rsid w:val="00B15ACB"/>
    <w:rsid w:val="00B1686A"/>
    <w:rsid w:val="00B20FEC"/>
    <w:rsid w:val="00B216C6"/>
    <w:rsid w:val="00B218D2"/>
    <w:rsid w:val="00B21BCE"/>
    <w:rsid w:val="00B221AB"/>
    <w:rsid w:val="00B2223A"/>
    <w:rsid w:val="00B22735"/>
    <w:rsid w:val="00B22ABA"/>
    <w:rsid w:val="00B233A7"/>
    <w:rsid w:val="00B242AF"/>
    <w:rsid w:val="00B24A89"/>
    <w:rsid w:val="00B24DFF"/>
    <w:rsid w:val="00B2614F"/>
    <w:rsid w:val="00B26607"/>
    <w:rsid w:val="00B277C0"/>
    <w:rsid w:val="00B30004"/>
    <w:rsid w:val="00B302AC"/>
    <w:rsid w:val="00B307F5"/>
    <w:rsid w:val="00B318AA"/>
    <w:rsid w:val="00B31CB9"/>
    <w:rsid w:val="00B33C46"/>
    <w:rsid w:val="00B37CD6"/>
    <w:rsid w:val="00B416F4"/>
    <w:rsid w:val="00B41991"/>
    <w:rsid w:val="00B420B0"/>
    <w:rsid w:val="00B42258"/>
    <w:rsid w:val="00B42450"/>
    <w:rsid w:val="00B4378F"/>
    <w:rsid w:val="00B44107"/>
    <w:rsid w:val="00B45413"/>
    <w:rsid w:val="00B45891"/>
    <w:rsid w:val="00B46449"/>
    <w:rsid w:val="00B47A89"/>
    <w:rsid w:val="00B47F99"/>
    <w:rsid w:val="00B50B02"/>
    <w:rsid w:val="00B51CB4"/>
    <w:rsid w:val="00B52945"/>
    <w:rsid w:val="00B52B57"/>
    <w:rsid w:val="00B53341"/>
    <w:rsid w:val="00B533D2"/>
    <w:rsid w:val="00B53710"/>
    <w:rsid w:val="00B53D89"/>
    <w:rsid w:val="00B56CDE"/>
    <w:rsid w:val="00B5734F"/>
    <w:rsid w:val="00B575F0"/>
    <w:rsid w:val="00B578B5"/>
    <w:rsid w:val="00B6048A"/>
    <w:rsid w:val="00B61262"/>
    <w:rsid w:val="00B612F1"/>
    <w:rsid w:val="00B618A0"/>
    <w:rsid w:val="00B629EE"/>
    <w:rsid w:val="00B62F29"/>
    <w:rsid w:val="00B6426D"/>
    <w:rsid w:val="00B650CF"/>
    <w:rsid w:val="00B661D4"/>
    <w:rsid w:val="00B667F6"/>
    <w:rsid w:val="00B7097C"/>
    <w:rsid w:val="00B70D74"/>
    <w:rsid w:val="00B71032"/>
    <w:rsid w:val="00B716F8"/>
    <w:rsid w:val="00B71E34"/>
    <w:rsid w:val="00B7326F"/>
    <w:rsid w:val="00B762A9"/>
    <w:rsid w:val="00B76AA9"/>
    <w:rsid w:val="00B77BB6"/>
    <w:rsid w:val="00B80917"/>
    <w:rsid w:val="00B8118E"/>
    <w:rsid w:val="00B8164E"/>
    <w:rsid w:val="00B8187A"/>
    <w:rsid w:val="00B81B3B"/>
    <w:rsid w:val="00B8333A"/>
    <w:rsid w:val="00B83403"/>
    <w:rsid w:val="00B8357F"/>
    <w:rsid w:val="00B83B9B"/>
    <w:rsid w:val="00B8443F"/>
    <w:rsid w:val="00B87EE4"/>
    <w:rsid w:val="00B91352"/>
    <w:rsid w:val="00B917E2"/>
    <w:rsid w:val="00B924B7"/>
    <w:rsid w:val="00B924B9"/>
    <w:rsid w:val="00B92BEC"/>
    <w:rsid w:val="00B93D7E"/>
    <w:rsid w:val="00B948B3"/>
    <w:rsid w:val="00B95659"/>
    <w:rsid w:val="00B95BF4"/>
    <w:rsid w:val="00B962C7"/>
    <w:rsid w:val="00B96EA9"/>
    <w:rsid w:val="00B9759F"/>
    <w:rsid w:val="00BA1CF8"/>
    <w:rsid w:val="00BA27AD"/>
    <w:rsid w:val="00BA2A64"/>
    <w:rsid w:val="00BA2FAA"/>
    <w:rsid w:val="00BA307F"/>
    <w:rsid w:val="00BA3314"/>
    <w:rsid w:val="00BA3DEF"/>
    <w:rsid w:val="00BA499C"/>
    <w:rsid w:val="00BA5A6A"/>
    <w:rsid w:val="00BB014D"/>
    <w:rsid w:val="00BB1478"/>
    <w:rsid w:val="00BB1830"/>
    <w:rsid w:val="00BB220F"/>
    <w:rsid w:val="00BB4A09"/>
    <w:rsid w:val="00BB5B51"/>
    <w:rsid w:val="00BB7E13"/>
    <w:rsid w:val="00BC06E2"/>
    <w:rsid w:val="00BC0FDA"/>
    <w:rsid w:val="00BC1A1F"/>
    <w:rsid w:val="00BC23A2"/>
    <w:rsid w:val="00BC3538"/>
    <w:rsid w:val="00BC3C3D"/>
    <w:rsid w:val="00BC43EA"/>
    <w:rsid w:val="00BC4CC0"/>
    <w:rsid w:val="00BC509C"/>
    <w:rsid w:val="00BC51EA"/>
    <w:rsid w:val="00BC5F46"/>
    <w:rsid w:val="00BC60F6"/>
    <w:rsid w:val="00BC61E8"/>
    <w:rsid w:val="00BC62F1"/>
    <w:rsid w:val="00BC6F2C"/>
    <w:rsid w:val="00BD313F"/>
    <w:rsid w:val="00BD3615"/>
    <w:rsid w:val="00BD53DE"/>
    <w:rsid w:val="00BD5BEE"/>
    <w:rsid w:val="00BD62F2"/>
    <w:rsid w:val="00BE0B80"/>
    <w:rsid w:val="00BE0C22"/>
    <w:rsid w:val="00BE0DB2"/>
    <w:rsid w:val="00BE13E6"/>
    <w:rsid w:val="00BE2565"/>
    <w:rsid w:val="00BE286E"/>
    <w:rsid w:val="00BE2979"/>
    <w:rsid w:val="00BE2FF1"/>
    <w:rsid w:val="00BE3417"/>
    <w:rsid w:val="00BE37D6"/>
    <w:rsid w:val="00BE3967"/>
    <w:rsid w:val="00BE399F"/>
    <w:rsid w:val="00BE4053"/>
    <w:rsid w:val="00BE45B4"/>
    <w:rsid w:val="00BE4EF1"/>
    <w:rsid w:val="00BE623D"/>
    <w:rsid w:val="00BE66FC"/>
    <w:rsid w:val="00BE7139"/>
    <w:rsid w:val="00BE7826"/>
    <w:rsid w:val="00BF0581"/>
    <w:rsid w:val="00BF0D44"/>
    <w:rsid w:val="00BF19DA"/>
    <w:rsid w:val="00BF39FE"/>
    <w:rsid w:val="00BF3DF7"/>
    <w:rsid w:val="00BF4C07"/>
    <w:rsid w:val="00BF56F8"/>
    <w:rsid w:val="00BF59BE"/>
    <w:rsid w:val="00BF6097"/>
    <w:rsid w:val="00BF7233"/>
    <w:rsid w:val="00BF79D5"/>
    <w:rsid w:val="00C00EE7"/>
    <w:rsid w:val="00C02620"/>
    <w:rsid w:val="00C02977"/>
    <w:rsid w:val="00C02F22"/>
    <w:rsid w:val="00C0330A"/>
    <w:rsid w:val="00C0528C"/>
    <w:rsid w:val="00C05F7E"/>
    <w:rsid w:val="00C11D0C"/>
    <w:rsid w:val="00C12F2F"/>
    <w:rsid w:val="00C13EF7"/>
    <w:rsid w:val="00C17281"/>
    <w:rsid w:val="00C208F9"/>
    <w:rsid w:val="00C20B7F"/>
    <w:rsid w:val="00C23CC1"/>
    <w:rsid w:val="00C23D8A"/>
    <w:rsid w:val="00C23E80"/>
    <w:rsid w:val="00C2421B"/>
    <w:rsid w:val="00C2463D"/>
    <w:rsid w:val="00C251FE"/>
    <w:rsid w:val="00C26970"/>
    <w:rsid w:val="00C26DAF"/>
    <w:rsid w:val="00C2755A"/>
    <w:rsid w:val="00C278BE"/>
    <w:rsid w:val="00C3055B"/>
    <w:rsid w:val="00C3149C"/>
    <w:rsid w:val="00C315B1"/>
    <w:rsid w:val="00C3210C"/>
    <w:rsid w:val="00C3302E"/>
    <w:rsid w:val="00C33EC6"/>
    <w:rsid w:val="00C35288"/>
    <w:rsid w:val="00C40DA5"/>
    <w:rsid w:val="00C40E1A"/>
    <w:rsid w:val="00C4109D"/>
    <w:rsid w:val="00C4500C"/>
    <w:rsid w:val="00C469CD"/>
    <w:rsid w:val="00C475AC"/>
    <w:rsid w:val="00C518B0"/>
    <w:rsid w:val="00C5245A"/>
    <w:rsid w:val="00C53170"/>
    <w:rsid w:val="00C536AF"/>
    <w:rsid w:val="00C54135"/>
    <w:rsid w:val="00C54290"/>
    <w:rsid w:val="00C54739"/>
    <w:rsid w:val="00C54C6E"/>
    <w:rsid w:val="00C54E64"/>
    <w:rsid w:val="00C55250"/>
    <w:rsid w:val="00C55584"/>
    <w:rsid w:val="00C5666E"/>
    <w:rsid w:val="00C578FA"/>
    <w:rsid w:val="00C6021F"/>
    <w:rsid w:val="00C613C2"/>
    <w:rsid w:val="00C61777"/>
    <w:rsid w:val="00C62CE9"/>
    <w:rsid w:val="00C62FE6"/>
    <w:rsid w:val="00C63C78"/>
    <w:rsid w:val="00C63CB0"/>
    <w:rsid w:val="00C65169"/>
    <w:rsid w:val="00C659FC"/>
    <w:rsid w:val="00C6650A"/>
    <w:rsid w:val="00C66D00"/>
    <w:rsid w:val="00C67517"/>
    <w:rsid w:val="00C67AF0"/>
    <w:rsid w:val="00C67B05"/>
    <w:rsid w:val="00C704F9"/>
    <w:rsid w:val="00C71E43"/>
    <w:rsid w:val="00C72881"/>
    <w:rsid w:val="00C73AB3"/>
    <w:rsid w:val="00C75910"/>
    <w:rsid w:val="00C7696B"/>
    <w:rsid w:val="00C76B08"/>
    <w:rsid w:val="00C7722E"/>
    <w:rsid w:val="00C77DF9"/>
    <w:rsid w:val="00C80904"/>
    <w:rsid w:val="00C814BA"/>
    <w:rsid w:val="00C81682"/>
    <w:rsid w:val="00C849DC"/>
    <w:rsid w:val="00C84BEE"/>
    <w:rsid w:val="00C85093"/>
    <w:rsid w:val="00C867C3"/>
    <w:rsid w:val="00C903D2"/>
    <w:rsid w:val="00C9058B"/>
    <w:rsid w:val="00C91F5C"/>
    <w:rsid w:val="00C93B6F"/>
    <w:rsid w:val="00C94A69"/>
    <w:rsid w:val="00C9576D"/>
    <w:rsid w:val="00C957B6"/>
    <w:rsid w:val="00CA0823"/>
    <w:rsid w:val="00CA10A6"/>
    <w:rsid w:val="00CA467A"/>
    <w:rsid w:val="00CA46D9"/>
    <w:rsid w:val="00CA473C"/>
    <w:rsid w:val="00CA5C85"/>
    <w:rsid w:val="00CA6433"/>
    <w:rsid w:val="00CA6F49"/>
    <w:rsid w:val="00CA752A"/>
    <w:rsid w:val="00CB003D"/>
    <w:rsid w:val="00CB066D"/>
    <w:rsid w:val="00CB0E79"/>
    <w:rsid w:val="00CB110F"/>
    <w:rsid w:val="00CB2335"/>
    <w:rsid w:val="00CB28D1"/>
    <w:rsid w:val="00CB2C90"/>
    <w:rsid w:val="00CB3788"/>
    <w:rsid w:val="00CB3B66"/>
    <w:rsid w:val="00CB4902"/>
    <w:rsid w:val="00CB566F"/>
    <w:rsid w:val="00CB58B3"/>
    <w:rsid w:val="00CB64F9"/>
    <w:rsid w:val="00CB65B0"/>
    <w:rsid w:val="00CB67F0"/>
    <w:rsid w:val="00CB68B5"/>
    <w:rsid w:val="00CB6C72"/>
    <w:rsid w:val="00CC24D5"/>
    <w:rsid w:val="00CC25F6"/>
    <w:rsid w:val="00CC26CB"/>
    <w:rsid w:val="00CC385C"/>
    <w:rsid w:val="00CC44EE"/>
    <w:rsid w:val="00CC479D"/>
    <w:rsid w:val="00CC4990"/>
    <w:rsid w:val="00CC54FD"/>
    <w:rsid w:val="00CC60E8"/>
    <w:rsid w:val="00CC627D"/>
    <w:rsid w:val="00CC6CF9"/>
    <w:rsid w:val="00CC72C5"/>
    <w:rsid w:val="00CC78C4"/>
    <w:rsid w:val="00CD1183"/>
    <w:rsid w:val="00CD13E8"/>
    <w:rsid w:val="00CD20F0"/>
    <w:rsid w:val="00CD2906"/>
    <w:rsid w:val="00CD2E8F"/>
    <w:rsid w:val="00CD2FBC"/>
    <w:rsid w:val="00CD4432"/>
    <w:rsid w:val="00CD570C"/>
    <w:rsid w:val="00CD761E"/>
    <w:rsid w:val="00CD77FE"/>
    <w:rsid w:val="00CE4BA2"/>
    <w:rsid w:val="00CE5D57"/>
    <w:rsid w:val="00CE6BED"/>
    <w:rsid w:val="00CF0D0B"/>
    <w:rsid w:val="00CF2EFB"/>
    <w:rsid w:val="00CF42C0"/>
    <w:rsid w:val="00CF50E5"/>
    <w:rsid w:val="00CF5178"/>
    <w:rsid w:val="00CF565F"/>
    <w:rsid w:val="00CF5F28"/>
    <w:rsid w:val="00CF6927"/>
    <w:rsid w:val="00CF6BB0"/>
    <w:rsid w:val="00D038E2"/>
    <w:rsid w:val="00D045AB"/>
    <w:rsid w:val="00D045D2"/>
    <w:rsid w:val="00D05DA4"/>
    <w:rsid w:val="00D05E78"/>
    <w:rsid w:val="00D102D4"/>
    <w:rsid w:val="00D1130C"/>
    <w:rsid w:val="00D11C1D"/>
    <w:rsid w:val="00D12384"/>
    <w:rsid w:val="00D1256E"/>
    <w:rsid w:val="00D13355"/>
    <w:rsid w:val="00D142CB"/>
    <w:rsid w:val="00D149C8"/>
    <w:rsid w:val="00D14AE5"/>
    <w:rsid w:val="00D153C1"/>
    <w:rsid w:val="00D1657F"/>
    <w:rsid w:val="00D17CB4"/>
    <w:rsid w:val="00D202CE"/>
    <w:rsid w:val="00D20FE9"/>
    <w:rsid w:val="00D21663"/>
    <w:rsid w:val="00D22742"/>
    <w:rsid w:val="00D235C6"/>
    <w:rsid w:val="00D23FAD"/>
    <w:rsid w:val="00D24163"/>
    <w:rsid w:val="00D24BDB"/>
    <w:rsid w:val="00D25618"/>
    <w:rsid w:val="00D257BB"/>
    <w:rsid w:val="00D25B6D"/>
    <w:rsid w:val="00D25CB9"/>
    <w:rsid w:val="00D270CB"/>
    <w:rsid w:val="00D2732B"/>
    <w:rsid w:val="00D27741"/>
    <w:rsid w:val="00D27D30"/>
    <w:rsid w:val="00D305EC"/>
    <w:rsid w:val="00D30D81"/>
    <w:rsid w:val="00D30FDA"/>
    <w:rsid w:val="00D32A90"/>
    <w:rsid w:val="00D334FE"/>
    <w:rsid w:val="00D3360B"/>
    <w:rsid w:val="00D3479D"/>
    <w:rsid w:val="00D34B16"/>
    <w:rsid w:val="00D358A0"/>
    <w:rsid w:val="00D35B85"/>
    <w:rsid w:val="00D3722A"/>
    <w:rsid w:val="00D408EA"/>
    <w:rsid w:val="00D421F0"/>
    <w:rsid w:val="00D439F9"/>
    <w:rsid w:val="00D45E85"/>
    <w:rsid w:val="00D4671F"/>
    <w:rsid w:val="00D468AC"/>
    <w:rsid w:val="00D506A7"/>
    <w:rsid w:val="00D5329B"/>
    <w:rsid w:val="00D539C8"/>
    <w:rsid w:val="00D53E60"/>
    <w:rsid w:val="00D56DE3"/>
    <w:rsid w:val="00D570BC"/>
    <w:rsid w:val="00D573EA"/>
    <w:rsid w:val="00D579A6"/>
    <w:rsid w:val="00D60D2B"/>
    <w:rsid w:val="00D61D9E"/>
    <w:rsid w:val="00D6300D"/>
    <w:rsid w:val="00D631D2"/>
    <w:rsid w:val="00D63937"/>
    <w:rsid w:val="00D65255"/>
    <w:rsid w:val="00D65906"/>
    <w:rsid w:val="00D66DC1"/>
    <w:rsid w:val="00D66EF0"/>
    <w:rsid w:val="00D66F25"/>
    <w:rsid w:val="00D66F4A"/>
    <w:rsid w:val="00D66FC5"/>
    <w:rsid w:val="00D679C2"/>
    <w:rsid w:val="00D720BD"/>
    <w:rsid w:val="00D720F1"/>
    <w:rsid w:val="00D7252F"/>
    <w:rsid w:val="00D72B3F"/>
    <w:rsid w:val="00D74F3C"/>
    <w:rsid w:val="00D76F19"/>
    <w:rsid w:val="00D774C7"/>
    <w:rsid w:val="00D77EFF"/>
    <w:rsid w:val="00D8088C"/>
    <w:rsid w:val="00D8167D"/>
    <w:rsid w:val="00D81873"/>
    <w:rsid w:val="00D81B81"/>
    <w:rsid w:val="00D82C72"/>
    <w:rsid w:val="00D83589"/>
    <w:rsid w:val="00D83A2E"/>
    <w:rsid w:val="00D8453D"/>
    <w:rsid w:val="00D84D5F"/>
    <w:rsid w:val="00D854A2"/>
    <w:rsid w:val="00D85BA2"/>
    <w:rsid w:val="00D85DC3"/>
    <w:rsid w:val="00D86957"/>
    <w:rsid w:val="00D86A93"/>
    <w:rsid w:val="00D86AD5"/>
    <w:rsid w:val="00D86C5D"/>
    <w:rsid w:val="00D90A72"/>
    <w:rsid w:val="00D90D40"/>
    <w:rsid w:val="00D91111"/>
    <w:rsid w:val="00D917C7"/>
    <w:rsid w:val="00D91CA2"/>
    <w:rsid w:val="00D92719"/>
    <w:rsid w:val="00D92844"/>
    <w:rsid w:val="00D92CB8"/>
    <w:rsid w:val="00D92D7A"/>
    <w:rsid w:val="00D94248"/>
    <w:rsid w:val="00D95300"/>
    <w:rsid w:val="00D95C9B"/>
    <w:rsid w:val="00D95D9F"/>
    <w:rsid w:val="00D962ED"/>
    <w:rsid w:val="00D96631"/>
    <w:rsid w:val="00D96B28"/>
    <w:rsid w:val="00D96D87"/>
    <w:rsid w:val="00DA00FE"/>
    <w:rsid w:val="00DA0D97"/>
    <w:rsid w:val="00DA10B6"/>
    <w:rsid w:val="00DA12F4"/>
    <w:rsid w:val="00DA2B04"/>
    <w:rsid w:val="00DA2F07"/>
    <w:rsid w:val="00DA5DB6"/>
    <w:rsid w:val="00DA5DC0"/>
    <w:rsid w:val="00DA62C1"/>
    <w:rsid w:val="00DA7691"/>
    <w:rsid w:val="00DB0054"/>
    <w:rsid w:val="00DB0C12"/>
    <w:rsid w:val="00DB1D0E"/>
    <w:rsid w:val="00DB2595"/>
    <w:rsid w:val="00DB2F2C"/>
    <w:rsid w:val="00DB5E7D"/>
    <w:rsid w:val="00DB65C0"/>
    <w:rsid w:val="00DB74B1"/>
    <w:rsid w:val="00DC144A"/>
    <w:rsid w:val="00DC181C"/>
    <w:rsid w:val="00DC2440"/>
    <w:rsid w:val="00DC2A42"/>
    <w:rsid w:val="00DC30F3"/>
    <w:rsid w:val="00DC40C3"/>
    <w:rsid w:val="00DC4278"/>
    <w:rsid w:val="00DC4A83"/>
    <w:rsid w:val="00DC513B"/>
    <w:rsid w:val="00DC5C92"/>
    <w:rsid w:val="00DC6C22"/>
    <w:rsid w:val="00DD1F39"/>
    <w:rsid w:val="00DD2D6E"/>
    <w:rsid w:val="00DD33A0"/>
    <w:rsid w:val="00DD3AC2"/>
    <w:rsid w:val="00DD3C69"/>
    <w:rsid w:val="00DD5C09"/>
    <w:rsid w:val="00DD7653"/>
    <w:rsid w:val="00DD790D"/>
    <w:rsid w:val="00DE0A40"/>
    <w:rsid w:val="00DE1653"/>
    <w:rsid w:val="00DE2D8D"/>
    <w:rsid w:val="00DE6364"/>
    <w:rsid w:val="00DE6929"/>
    <w:rsid w:val="00DE7D7D"/>
    <w:rsid w:val="00DF0D25"/>
    <w:rsid w:val="00DF0E04"/>
    <w:rsid w:val="00DF210C"/>
    <w:rsid w:val="00DF4387"/>
    <w:rsid w:val="00DF4EB5"/>
    <w:rsid w:val="00DF53AF"/>
    <w:rsid w:val="00DF5957"/>
    <w:rsid w:val="00DF655F"/>
    <w:rsid w:val="00DF759D"/>
    <w:rsid w:val="00DF7BAE"/>
    <w:rsid w:val="00E00B9B"/>
    <w:rsid w:val="00E01802"/>
    <w:rsid w:val="00E03BC0"/>
    <w:rsid w:val="00E04F3F"/>
    <w:rsid w:val="00E0546F"/>
    <w:rsid w:val="00E05BA4"/>
    <w:rsid w:val="00E05EE8"/>
    <w:rsid w:val="00E06DA8"/>
    <w:rsid w:val="00E079C3"/>
    <w:rsid w:val="00E07EB2"/>
    <w:rsid w:val="00E10BC8"/>
    <w:rsid w:val="00E123B2"/>
    <w:rsid w:val="00E12D3B"/>
    <w:rsid w:val="00E13BD4"/>
    <w:rsid w:val="00E13EE0"/>
    <w:rsid w:val="00E15A39"/>
    <w:rsid w:val="00E15DAA"/>
    <w:rsid w:val="00E17FC4"/>
    <w:rsid w:val="00E22C20"/>
    <w:rsid w:val="00E23E08"/>
    <w:rsid w:val="00E23EBF"/>
    <w:rsid w:val="00E24459"/>
    <w:rsid w:val="00E246D4"/>
    <w:rsid w:val="00E25F5E"/>
    <w:rsid w:val="00E2648E"/>
    <w:rsid w:val="00E26F87"/>
    <w:rsid w:val="00E3015C"/>
    <w:rsid w:val="00E3127B"/>
    <w:rsid w:val="00E32B75"/>
    <w:rsid w:val="00E33154"/>
    <w:rsid w:val="00E33BEE"/>
    <w:rsid w:val="00E34719"/>
    <w:rsid w:val="00E34AC2"/>
    <w:rsid w:val="00E3530E"/>
    <w:rsid w:val="00E372AE"/>
    <w:rsid w:val="00E372F7"/>
    <w:rsid w:val="00E37331"/>
    <w:rsid w:val="00E40217"/>
    <w:rsid w:val="00E40A2D"/>
    <w:rsid w:val="00E42AE6"/>
    <w:rsid w:val="00E43872"/>
    <w:rsid w:val="00E44AE9"/>
    <w:rsid w:val="00E451F3"/>
    <w:rsid w:val="00E473F1"/>
    <w:rsid w:val="00E50005"/>
    <w:rsid w:val="00E5009F"/>
    <w:rsid w:val="00E50306"/>
    <w:rsid w:val="00E50972"/>
    <w:rsid w:val="00E52193"/>
    <w:rsid w:val="00E528E8"/>
    <w:rsid w:val="00E5449E"/>
    <w:rsid w:val="00E54D53"/>
    <w:rsid w:val="00E55397"/>
    <w:rsid w:val="00E554E8"/>
    <w:rsid w:val="00E57523"/>
    <w:rsid w:val="00E57B39"/>
    <w:rsid w:val="00E61894"/>
    <w:rsid w:val="00E62214"/>
    <w:rsid w:val="00E6245C"/>
    <w:rsid w:val="00E62C34"/>
    <w:rsid w:val="00E62C79"/>
    <w:rsid w:val="00E62D90"/>
    <w:rsid w:val="00E63140"/>
    <w:rsid w:val="00E633DC"/>
    <w:rsid w:val="00E64B82"/>
    <w:rsid w:val="00E64BA0"/>
    <w:rsid w:val="00E655E2"/>
    <w:rsid w:val="00E65CD8"/>
    <w:rsid w:val="00E66603"/>
    <w:rsid w:val="00E67E81"/>
    <w:rsid w:val="00E70139"/>
    <w:rsid w:val="00E711EA"/>
    <w:rsid w:val="00E715D0"/>
    <w:rsid w:val="00E735A9"/>
    <w:rsid w:val="00E735FE"/>
    <w:rsid w:val="00E73ACF"/>
    <w:rsid w:val="00E74ECC"/>
    <w:rsid w:val="00E7515A"/>
    <w:rsid w:val="00E7570C"/>
    <w:rsid w:val="00E776F0"/>
    <w:rsid w:val="00E80640"/>
    <w:rsid w:val="00E8157E"/>
    <w:rsid w:val="00E815FC"/>
    <w:rsid w:val="00E816FE"/>
    <w:rsid w:val="00E81736"/>
    <w:rsid w:val="00E81ED7"/>
    <w:rsid w:val="00E82586"/>
    <w:rsid w:val="00E826C4"/>
    <w:rsid w:val="00E82F1F"/>
    <w:rsid w:val="00E836D7"/>
    <w:rsid w:val="00E83A20"/>
    <w:rsid w:val="00E84C24"/>
    <w:rsid w:val="00E84D69"/>
    <w:rsid w:val="00E850C3"/>
    <w:rsid w:val="00E85C7C"/>
    <w:rsid w:val="00E86488"/>
    <w:rsid w:val="00E90228"/>
    <w:rsid w:val="00E907F4"/>
    <w:rsid w:val="00E9145C"/>
    <w:rsid w:val="00E924F2"/>
    <w:rsid w:val="00E95F4E"/>
    <w:rsid w:val="00E96E5D"/>
    <w:rsid w:val="00E9798A"/>
    <w:rsid w:val="00E979F7"/>
    <w:rsid w:val="00EA3000"/>
    <w:rsid w:val="00EA3725"/>
    <w:rsid w:val="00EA3936"/>
    <w:rsid w:val="00EA513F"/>
    <w:rsid w:val="00EA5961"/>
    <w:rsid w:val="00EA5CD1"/>
    <w:rsid w:val="00EA5E2A"/>
    <w:rsid w:val="00EA6D84"/>
    <w:rsid w:val="00EA7710"/>
    <w:rsid w:val="00EA7D38"/>
    <w:rsid w:val="00EB0731"/>
    <w:rsid w:val="00EB1015"/>
    <w:rsid w:val="00EB2020"/>
    <w:rsid w:val="00EB27D5"/>
    <w:rsid w:val="00EB28E9"/>
    <w:rsid w:val="00EB2E09"/>
    <w:rsid w:val="00EB3653"/>
    <w:rsid w:val="00EB39F0"/>
    <w:rsid w:val="00EB578A"/>
    <w:rsid w:val="00EB6AFD"/>
    <w:rsid w:val="00EB6C7D"/>
    <w:rsid w:val="00EB70E5"/>
    <w:rsid w:val="00EB7C8E"/>
    <w:rsid w:val="00EC02BE"/>
    <w:rsid w:val="00EC146E"/>
    <w:rsid w:val="00EC1B1A"/>
    <w:rsid w:val="00EC1E51"/>
    <w:rsid w:val="00EC35DE"/>
    <w:rsid w:val="00EC53E6"/>
    <w:rsid w:val="00EC543A"/>
    <w:rsid w:val="00EC5975"/>
    <w:rsid w:val="00EC6130"/>
    <w:rsid w:val="00EC6766"/>
    <w:rsid w:val="00EC6B27"/>
    <w:rsid w:val="00EC6BF6"/>
    <w:rsid w:val="00EC7AE3"/>
    <w:rsid w:val="00EC7E08"/>
    <w:rsid w:val="00ED0F4E"/>
    <w:rsid w:val="00ED2563"/>
    <w:rsid w:val="00ED2A4C"/>
    <w:rsid w:val="00ED6DFC"/>
    <w:rsid w:val="00ED762B"/>
    <w:rsid w:val="00EE067C"/>
    <w:rsid w:val="00EE1275"/>
    <w:rsid w:val="00EE1D7D"/>
    <w:rsid w:val="00EE2031"/>
    <w:rsid w:val="00EE2D3E"/>
    <w:rsid w:val="00EE35DE"/>
    <w:rsid w:val="00EE4924"/>
    <w:rsid w:val="00EE7A5E"/>
    <w:rsid w:val="00EF039F"/>
    <w:rsid w:val="00EF11CE"/>
    <w:rsid w:val="00EF13D7"/>
    <w:rsid w:val="00EF13FE"/>
    <w:rsid w:val="00EF2143"/>
    <w:rsid w:val="00EF3159"/>
    <w:rsid w:val="00EF384D"/>
    <w:rsid w:val="00EF4569"/>
    <w:rsid w:val="00EF4B37"/>
    <w:rsid w:val="00EF4D4B"/>
    <w:rsid w:val="00EF4F51"/>
    <w:rsid w:val="00EF6301"/>
    <w:rsid w:val="00EF6960"/>
    <w:rsid w:val="00EF74D6"/>
    <w:rsid w:val="00EF7D4C"/>
    <w:rsid w:val="00F03706"/>
    <w:rsid w:val="00F062AC"/>
    <w:rsid w:val="00F068A0"/>
    <w:rsid w:val="00F0745D"/>
    <w:rsid w:val="00F10C63"/>
    <w:rsid w:val="00F115CA"/>
    <w:rsid w:val="00F121CB"/>
    <w:rsid w:val="00F12787"/>
    <w:rsid w:val="00F148EF"/>
    <w:rsid w:val="00F152AB"/>
    <w:rsid w:val="00F15BE9"/>
    <w:rsid w:val="00F17101"/>
    <w:rsid w:val="00F175F6"/>
    <w:rsid w:val="00F177DC"/>
    <w:rsid w:val="00F17AC1"/>
    <w:rsid w:val="00F20A25"/>
    <w:rsid w:val="00F20D6E"/>
    <w:rsid w:val="00F21433"/>
    <w:rsid w:val="00F2209B"/>
    <w:rsid w:val="00F22810"/>
    <w:rsid w:val="00F23521"/>
    <w:rsid w:val="00F2359F"/>
    <w:rsid w:val="00F24AA4"/>
    <w:rsid w:val="00F25573"/>
    <w:rsid w:val="00F25733"/>
    <w:rsid w:val="00F25E05"/>
    <w:rsid w:val="00F2670F"/>
    <w:rsid w:val="00F26F08"/>
    <w:rsid w:val="00F2710C"/>
    <w:rsid w:val="00F274F9"/>
    <w:rsid w:val="00F314CA"/>
    <w:rsid w:val="00F31F31"/>
    <w:rsid w:val="00F34F34"/>
    <w:rsid w:val="00F35350"/>
    <w:rsid w:val="00F35805"/>
    <w:rsid w:val="00F35D14"/>
    <w:rsid w:val="00F35E37"/>
    <w:rsid w:val="00F36CF6"/>
    <w:rsid w:val="00F37737"/>
    <w:rsid w:val="00F4022D"/>
    <w:rsid w:val="00F40BDA"/>
    <w:rsid w:val="00F419C8"/>
    <w:rsid w:val="00F41C30"/>
    <w:rsid w:val="00F4352C"/>
    <w:rsid w:val="00F435DD"/>
    <w:rsid w:val="00F43806"/>
    <w:rsid w:val="00F44A54"/>
    <w:rsid w:val="00F46DC9"/>
    <w:rsid w:val="00F47051"/>
    <w:rsid w:val="00F47DFA"/>
    <w:rsid w:val="00F5078F"/>
    <w:rsid w:val="00F529FD"/>
    <w:rsid w:val="00F53051"/>
    <w:rsid w:val="00F56757"/>
    <w:rsid w:val="00F61830"/>
    <w:rsid w:val="00F61F2B"/>
    <w:rsid w:val="00F632F0"/>
    <w:rsid w:val="00F64F91"/>
    <w:rsid w:val="00F650C6"/>
    <w:rsid w:val="00F6654F"/>
    <w:rsid w:val="00F670C5"/>
    <w:rsid w:val="00F672F3"/>
    <w:rsid w:val="00F67E52"/>
    <w:rsid w:val="00F717A9"/>
    <w:rsid w:val="00F72510"/>
    <w:rsid w:val="00F72893"/>
    <w:rsid w:val="00F72F75"/>
    <w:rsid w:val="00F744CB"/>
    <w:rsid w:val="00F74885"/>
    <w:rsid w:val="00F75D7F"/>
    <w:rsid w:val="00F808C8"/>
    <w:rsid w:val="00F82F71"/>
    <w:rsid w:val="00F8319D"/>
    <w:rsid w:val="00F852AC"/>
    <w:rsid w:val="00F87873"/>
    <w:rsid w:val="00F8797F"/>
    <w:rsid w:val="00F90801"/>
    <w:rsid w:val="00F90CEE"/>
    <w:rsid w:val="00F90FD1"/>
    <w:rsid w:val="00F928A7"/>
    <w:rsid w:val="00F940F7"/>
    <w:rsid w:val="00F94832"/>
    <w:rsid w:val="00F951A8"/>
    <w:rsid w:val="00F973B8"/>
    <w:rsid w:val="00FA074C"/>
    <w:rsid w:val="00FA0BFA"/>
    <w:rsid w:val="00FA1715"/>
    <w:rsid w:val="00FA189F"/>
    <w:rsid w:val="00FA33EA"/>
    <w:rsid w:val="00FA3B31"/>
    <w:rsid w:val="00FA4E6A"/>
    <w:rsid w:val="00FA6021"/>
    <w:rsid w:val="00FA6E71"/>
    <w:rsid w:val="00FA7041"/>
    <w:rsid w:val="00FA7388"/>
    <w:rsid w:val="00FB1AF5"/>
    <w:rsid w:val="00FB1F32"/>
    <w:rsid w:val="00FB255E"/>
    <w:rsid w:val="00FB38C1"/>
    <w:rsid w:val="00FB496B"/>
    <w:rsid w:val="00FB4EEC"/>
    <w:rsid w:val="00FB5305"/>
    <w:rsid w:val="00FB5539"/>
    <w:rsid w:val="00FB580A"/>
    <w:rsid w:val="00FB5D0B"/>
    <w:rsid w:val="00FB6219"/>
    <w:rsid w:val="00FB6344"/>
    <w:rsid w:val="00FC0BB0"/>
    <w:rsid w:val="00FC18C6"/>
    <w:rsid w:val="00FC2AA2"/>
    <w:rsid w:val="00FC2BFC"/>
    <w:rsid w:val="00FC2FEF"/>
    <w:rsid w:val="00FC4E0A"/>
    <w:rsid w:val="00FC507A"/>
    <w:rsid w:val="00FC5721"/>
    <w:rsid w:val="00FC7057"/>
    <w:rsid w:val="00FC70C1"/>
    <w:rsid w:val="00FC7C5E"/>
    <w:rsid w:val="00FD0107"/>
    <w:rsid w:val="00FD0552"/>
    <w:rsid w:val="00FD11AE"/>
    <w:rsid w:val="00FD1F7B"/>
    <w:rsid w:val="00FD2A36"/>
    <w:rsid w:val="00FD45B6"/>
    <w:rsid w:val="00FD5B9A"/>
    <w:rsid w:val="00FD5BAB"/>
    <w:rsid w:val="00FD6621"/>
    <w:rsid w:val="00FE058D"/>
    <w:rsid w:val="00FE2FFD"/>
    <w:rsid w:val="00FE369C"/>
    <w:rsid w:val="00FE477F"/>
    <w:rsid w:val="00FE4CEE"/>
    <w:rsid w:val="00FE53AC"/>
    <w:rsid w:val="00FE6F80"/>
    <w:rsid w:val="00FE78F3"/>
    <w:rsid w:val="00FF0141"/>
    <w:rsid w:val="00FF1535"/>
    <w:rsid w:val="00FF309C"/>
    <w:rsid w:val="00FF5CDC"/>
    <w:rsid w:val="00FF6FAA"/>
    <w:rsid w:val="00FF771D"/>
    <w:rsid w:val="00FF77B0"/>
    <w:rsid w:val="012F2443"/>
    <w:rsid w:val="015B73CA"/>
    <w:rsid w:val="042A05DB"/>
    <w:rsid w:val="047D6D8F"/>
    <w:rsid w:val="050D65F7"/>
    <w:rsid w:val="05157BA2"/>
    <w:rsid w:val="05863456"/>
    <w:rsid w:val="06744454"/>
    <w:rsid w:val="06E45A7E"/>
    <w:rsid w:val="07830DF3"/>
    <w:rsid w:val="08BA0844"/>
    <w:rsid w:val="08BB636A"/>
    <w:rsid w:val="09137F54"/>
    <w:rsid w:val="0B291CB1"/>
    <w:rsid w:val="0B6A7FD5"/>
    <w:rsid w:val="0B7C6285"/>
    <w:rsid w:val="0E8E4B50"/>
    <w:rsid w:val="0E96246E"/>
    <w:rsid w:val="0F414CA4"/>
    <w:rsid w:val="10F92125"/>
    <w:rsid w:val="121A05A5"/>
    <w:rsid w:val="12CC5588"/>
    <w:rsid w:val="13001549"/>
    <w:rsid w:val="137361BF"/>
    <w:rsid w:val="13B33D27"/>
    <w:rsid w:val="148B12E6"/>
    <w:rsid w:val="151B6B0E"/>
    <w:rsid w:val="156009C5"/>
    <w:rsid w:val="16223ECC"/>
    <w:rsid w:val="169A1CB5"/>
    <w:rsid w:val="17E31439"/>
    <w:rsid w:val="19097ED1"/>
    <w:rsid w:val="19AE61A3"/>
    <w:rsid w:val="1AA41354"/>
    <w:rsid w:val="1CCC06EE"/>
    <w:rsid w:val="1D2B18B9"/>
    <w:rsid w:val="1DC63446"/>
    <w:rsid w:val="1DD3548B"/>
    <w:rsid w:val="1DED21D8"/>
    <w:rsid w:val="1E3B1FCF"/>
    <w:rsid w:val="1E5866DD"/>
    <w:rsid w:val="1F0E3DA5"/>
    <w:rsid w:val="1F30765A"/>
    <w:rsid w:val="20914128"/>
    <w:rsid w:val="20CE49AC"/>
    <w:rsid w:val="211E157B"/>
    <w:rsid w:val="22F75C0D"/>
    <w:rsid w:val="23735D67"/>
    <w:rsid w:val="237646A6"/>
    <w:rsid w:val="25114177"/>
    <w:rsid w:val="25590984"/>
    <w:rsid w:val="262B0B7B"/>
    <w:rsid w:val="269229A8"/>
    <w:rsid w:val="27295350"/>
    <w:rsid w:val="27CC5A46"/>
    <w:rsid w:val="28534939"/>
    <w:rsid w:val="290F7096"/>
    <w:rsid w:val="29F01EC0"/>
    <w:rsid w:val="2BFB7DF5"/>
    <w:rsid w:val="2CEB4BC0"/>
    <w:rsid w:val="2DA8241C"/>
    <w:rsid w:val="2E1168A9"/>
    <w:rsid w:val="2E1D524D"/>
    <w:rsid w:val="2E4C78E1"/>
    <w:rsid w:val="2EB21E3A"/>
    <w:rsid w:val="301E7939"/>
    <w:rsid w:val="31796C3F"/>
    <w:rsid w:val="32496611"/>
    <w:rsid w:val="347831DE"/>
    <w:rsid w:val="353773D9"/>
    <w:rsid w:val="35C81F43"/>
    <w:rsid w:val="35C91DF7"/>
    <w:rsid w:val="3627310D"/>
    <w:rsid w:val="36B83D65"/>
    <w:rsid w:val="372238D5"/>
    <w:rsid w:val="372F7072"/>
    <w:rsid w:val="3837340A"/>
    <w:rsid w:val="388C646C"/>
    <w:rsid w:val="38C26B8B"/>
    <w:rsid w:val="399565E0"/>
    <w:rsid w:val="3AFB06C4"/>
    <w:rsid w:val="3C432323"/>
    <w:rsid w:val="3D0F66A9"/>
    <w:rsid w:val="3D9E753D"/>
    <w:rsid w:val="3DB03FCF"/>
    <w:rsid w:val="3DD4310C"/>
    <w:rsid w:val="3E173A67"/>
    <w:rsid w:val="42024A2E"/>
    <w:rsid w:val="4229170E"/>
    <w:rsid w:val="437154EB"/>
    <w:rsid w:val="44D501D8"/>
    <w:rsid w:val="45C85647"/>
    <w:rsid w:val="463902F3"/>
    <w:rsid w:val="46462EC9"/>
    <w:rsid w:val="46F10A7D"/>
    <w:rsid w:val="47A82146"/>
    <w:rsid w:val="489A776F"/>
    <w:rsid w:val="48D83DF3"/>
    <w:rsid w:val="48E64762"/>
    <w:rsid w:val="494D6EBA"/>
    <w:rsid w:val="4D1675E0"/>
    <w:rsid w:val="4D172500"/>
    <w:rsid w:val="4E4A5793"/>
    <w:rsid w:val="4ECD1F20"/>
    <w:rsid w:val="51071526"/>
    <w:rsid w:val="518A6447"/>
    <w:rsid w:val="51F577C4"/>
    <w:rsid w:val="523E560F"/>
    <w:rsid w:val="54D44008"/>
    <w:rsid w:val="55120D38"/>
    <w:rsid w:val="5585016F"/>
    <w:rsid w:val="55E93AE3"/>
    <w:rsid w:val="58A91308"/>
    <w:rsid w:val="597D4C6F"/>
    <w:rsid w:val="5A6A759F"/>
    <w:rsid w:val="5BEB7F91"/>
    <w:rsid w:val="5C0D7E00"/>
    <w:rsid w:val="5C335AB8"/>
    <w:rsid w:val="5E421FE3"/>
    <w:rsid w:val="5ED209B4"/>
    <w:rsid w:val="5EE62519"/>
    <w:rsid w:val="60B277B3"/>
    <w:rsid w:val="61251748"/>
    <w:rsid w:val="61CA73E7"/>
    <w:rsid w:val="6235591B"/>
    <w:rsid w:val="62EF4283"/>
    <w:rsid w:val="644F0FB6"/>
    <w:rsid w:val="64647204"/>
    <w:rsid w:val="6549634D"/>
    <w:rsid w:val="6562503C"/>
    <w:rsid w:val="65953340"/>
    <w:rsid w:val="65EC0A86"/>
    <w:rsid w:val="65FF6A0B"/>
    <w:rsid w:val="69230C63"/>
    <w:rsid w:val="6A6D488B"/>
    <w:rsid w:val="6ACA3A8C"/>
    <w:rsid w:val="6B3717AA"/>
    <w:rsid w:val="6BB87D88"/>
    <w:rsid w:val="6C040369"/>
    <w:rsid w:val="6CA81BD5"/>
    <w:rsid w:val="6DEF55B7"/>
    <w:rsid w:val="6F1013DF"/>
    <w:rsid w:val="708741CD"/>
    <w:rsid w:val="72712A3F"/>
    <w:rsid w:val="740D5A10"/>
    <w:rsid w:val="74220A6E"/>
    <w:rsid w:val="758B3E18"/>
    <w:rsid w:val="75952EE8"/>
    <w:rsid w:val="76FB321F"/>
    <w:rsid w:val="77402ED8"/>
    <w:rsid w:val="79B25E17"/>
    <w:rsid w:val="7B7B048A"/>
    <w:rsid w:val="7C5424EB"/>
    <w:rsid w:val="7D457DBF"/>
    <w:rsid w:val="7E484F9C"/>
    <w:rsid w:val="7EF05F17"/>
    <w:rsid w:val="7F9F6E3D"/>
    <w:rsid w:val="7FC55F11"/>
    <w:rsid w:val="7FCA37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autoRedefine/>
    <w:qFormat/>
    <w:uiPriority w:val="0"/>
    <w:pPr>
      <w:keepNext/>
      <w:jc w:val="center"/>
      <w:outlineLvl w:val="0"/>
    </w:pPr>
    <w:rPr>
      <w:b/>
      <w:bCs/>
      <w:sz w:val="24"/>
      <w:szCs w:val="20"/>
    </w:rPr>
  </w:style>
  <w:style w:type="paragraph" w:styleId="3">
    <w:name w:val="heading 2"/>
    <w:basedOn w:val="1"/>
    <w:next w:val="1"/>
    <w:link w:val="58"/>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link w:val="59"/>
    <w:autoRedefine/>
    <w:qFormat/>
    <w:uiPriority w:val="9"/>
    <w:pPr>
      <w:keepNext/>
      <w:keepLines/>
      <w:spacing w:before="260" w:after="260" w:line="416" w:lineRule="auto"/>
      <w:outlineLvl w:val="2"/>
    </w:pPr>
    <w:rPr>
      <w:b/>
      <w:bCs/>
      <w:sz w:val="32"/>
      <w:szCs w:val="32"/>
    </w:rPr>
  </w:style>
  <w:style w:type="paragraph" w:styleId="5">
    <w:name w:val="heading 4"/>
    <w:basedOn w:val="1"/>
    <w:next w:val="1"/>
    <w:link w:val="60"/>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1"/>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2"/>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3"/>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64"/>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5"/>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3">
    <w:name w:val="Default Paragraph Font"/>
    <w:autoRedefine/>
    <w:unhideWhenUsed/>
    <w:qFormat/>
    <w:uiPriority w:val="1"/>
  </w:style>
  <w:style w:type="table" w:default="1" w:styleId="41">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12">
    <w:name w:val="Normal Indent"/>
    <w:basedOn w:val="1"/>
    <w:autoRedefine/>
    <w:qFormat/>
    <w:uiPriority w:val="0"/>
    <w:pPr>
      <w:widowControl/>
      <w:ind w:firstLine="420"/>
      <w:jc w:val="left"/>
    </w:pPr>
    <w:rPr>
      <w:kern w:val="0"/>
      <w:sz w:val="20"/>
      <w:szCs w:val="20"/>
    </w:rPr>
  </w:style>
  <w:style w:type="paragraph" w:styleId="13">
    <w:name w:val="Document Map"/>
    <w:basedOn w:val="1"/>
    <w:link w:val="66"/>
    <w:autoRedefine/>
    <w:semiHidden/>
    <w:qFormat/>
    <w:uiPriority w:val="0"/>
    <w:pPr>
      <w:shd w:val="clear" w:color="auto" w:fill="000080"/>
    </w:pPr>
  </w:style>
  <w:style w:type="paragraph" w:styleId="14">
    <w:name w:val="annotation text"/>
    <w:basedOn w:val="1"/>
    <w:link w:val="67"/>
    <w:autoRedefine/>
    <w:semiHidden/>
    <w:qFormat/>
    <w:uiPriority w:val="0"/>
    <w:pPr>
      <w:jc w:val="left"/>
    </w:pPr>
  </w:style>
  <w:style w:type="paragraph" w:styleId="15">
    <w:name w:val="Salutation"/>
    <w:basedOn w:val="1"/>
    <w:next w:val="1"/>
    <w:link w:val="68"/>
    <w:autoRedefine/>
    <w:qFormat/>
    <w:uiPriority w:val="0"/>
    <w:rPr>
      <w:rFonts w:ascii="仿宋_GB2312" w:eastAsia="仿宋_GB2312"/>
      <w:sz w:val="24"/>
    </w:rPr>
  </w:style>
  <w:style w:type="paragraph" w:styleId="16">
    <w:name w:val="Body Text"/>
    <w:basedOn w:val="1"/>
    <w:link w:val="69"/>
    <w:autoRedefine/>
    <w:qFormat/>
    <w:uiPriority w:val="0"/>
    <w:pPr>
      <w:spacing w:after="120"/>
    </w:pPr>
  </w:style>
  <w:style w:type="paragraph" w:styleId="17">
    <w:name w:val="Body Text Indent"/>
    <w:basedOn w:val="1"/>
    <w:link w:val="70"/>
    <w:autoRedefine/>
    <w:qFormat/>
    <w:uiPriority w:val="0"/>
    <w:pPr>
      <w:spacing w:after="120"/>
      <w:ind w:left="420" w:leftChars="200"/>
    </w:pPr>
  </w:style>
  <w:style w:type="paragraph" w:styleId="18">
    <w:name w:val="Block Text"/>
    <w:basedOn w:val="1"/>
    <w:autoRedefine/>
    <w:qFormat/>
    <w:uiPriority w:val="0"/>
    <w:pPr>
      <w:ind w:left="1171" w:right="91" w:hanging="1080"/>
    </w:pPr>
    <w:rPr>
      <w:rFonts w:eastAsia="楷体_GB2312"/>
      <w:szCs w:val="20"/>
    </w:rPr>
  </w:style>
  <w:style w:type="paragraph" w:styleId="19">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20">
    <w:name w:val="toc 3"/>
    <w:basedOn w:val="1"/>
    <w:next w:val="1"/>
    <w:autoRedefine/>
    <w:unhideWhenUsed/>
    <w:qFormat/>
    <w:uiPriority w:val="39"/>
    <w:pPr>
      <w:adjustRightInd w:val="0"/>
      <w:snapToGrid w:val="0"/>
      <w:spacing w:line="360" w:lineRule="auto"/>
      <w:ind w:left="400" w:leftChars="400"/>
    </w:pPr>
    <w:rPr>
      <w:rFonts w:eastAsiaTheme="minorEastAsia"/>
      <w:b/>
    </w:rPr>
  </w:style>
  <w:style w:type="paragraph" w:styleId="21">
    <w:name w:val="Plain Text"/>
    <w:basedOn w:val="1"/>
    <w:link w:val="71"/>
    <w:autoRedefine/>
    <w:qFormat/>
    <w:uiPriority w:val="0"/>
    <w:rPr>
      <w:rFonts w:ascii="宋体" w:hAnsi="Courier New" w:cs="Courier New"/>
      <w:szCs w:val="21"/>
    </w:rPr>
  </w:style>
  <w:style w:type="paragraph" w:styleId="22">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3">
    <w:name w:val="Date"/>
    <w:basedOn w:val="1"/>
    <w:next w:val="1"/>
    <w:link w:val="72"/>
    <w:autoRedefine/>
    <w:qFormat/>
    <w:uiPriority w:val="0"/>
    <w:rPr>
      <w:sz w:val="24"/>
      <w:szCs w:val="20"/>
    </w:rPr>
  </w:style>
  <w:style w:type="paragraph" w:styleId="24">
    <w:name w:val="Body Text Indent 2"/>
    <w:basedOn w:val="1"/>
    <w:link w:val="73"/>
    <w:autoRedefine/>
    <w:qFormat/>
    <w:uiPriority w:val="0"/>
    <w:pPr>
      <w:spacing w:after="120" w:line="480" w:lineRule="auto"/>
      <w:ind w:left="420" w:leftChars="200"/>
    </w:pPr>
  </w:style>
  <w:style w:type="paragraph" w:styleId="25">
    <w:name w:val="Balloon Text"/>
    <w:basedOn w:val="1"/>
    <w:link w:val="74"/>
    <w:autoRedefine/>
    <w:qFormat/>
    <w:uiPriority w:val="99"/>
    <w:rPr>
      <w:sz w:val="18"/>
      <w:szCs w:val="18"/>
    </w:rPr>
  </w:style>
  <w:style w:type="paragraph" w:styleId="26">
    <w:name w:val="footer"/>
    <w:basedOn w:val="1"/>
    <w:link w:val="75"/>
    <w:autoRedefine/>
    <w:qFormat/>
    <w:uiPriority w:val="99"/>
    <w:pPr>
      <w:tabs>
        <w:tab w:val="center" w:pos="4153"/>
        <w:tab w:val="right" w:pos="8306"/>
      </w:tabs>
      <w:snapToGrid w:val="0"/>
      <w:jc w:val="left"/>
    </w:pPr>
    <w:rPr>
      <w:sz w:val="18"/>
      <w:szCs w:val="18"/>
    </w:rPr>
  </w:style>
  <w:style w:type="paragraph" w:styleId="27">
    <w:name w:val="header"/>
    <w:basedOn w:val="1"/>
    <w:link w:val="76"/>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spacing w:line="360" w:lineRule="auto"/>
    </w:pPr>
    <w:rPr>
      <w:rFonts w:asciiTheme="minorEastAsia" w:hAnsiTheme="minorEastAsia" w:eastAsiaTheme="minorEastAsia"/>
      <w:b/>
      <w:sz w:val="24"/>
      <w:szCs w:val="21"/>
    </w:rPr>
  </w:style>
  <w:style w:type="paragraph" w:styleId="29">
    <w:name w:val="toc 4"/>
    <w:basedOn w:val="1"/>
    <w:next w:val="1"/>
    <w:autoRedefine/>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0">
    <w:name w:val="toc 6"/>
    <w:basedOn w:val="1"/>
    <w:next w:val="1"/>
    <w:autoRedefine/>
    <w:qFormat/>
    <w:uiPriority w:val="39"/>
    <w:pPr>
      <w:ind w:left="2100"/>
    </w:pPr>
    <w:rPr>
      <w:szCs w:val="20"/>
    </w:rPr>
  </w:style>
  <w:style w:type="paragraph" w:styleId="31">
    <w:name w:val="Body Text Indent 3"/>
    <w:basedOn w:val="1"/>
    <w:link w:val="77"/>
    <w:autoRedefine/>
    <w:qFormat/>
    <w:uiPriority w:val="0"/>
    <w:pPr>
      <w:spacing w:after="120"/>
      <w:ind w:left="420" w:leftChars="200"/>
    </w:pPr>
    <w:rPr>
      <w:sz w:val="16"/>
      <w:szCs w:val="16"/>
    </w:rPr>
  </w:style>
  <w:style w:type="paragraph" w:styleId="32">
    <w:name w:val="toc 2"/>
    <w:basedOn w:val="1"/>
    <w:next w:val="1"/>
    <w:autoRedefine/>
    <w:unhideWhenUsed/>
    <w:qFormat/>
    <w:uiPriority w:val="39"/>
    <w:pPr>
      <w:spacing w:line="360" w:lineRule="auto"/>
      <w:ind w:left="200" w:leftChars="200"/>
    </w:pPr>
    <w:rPr>
      <w:rFonts w:eastAsiaTheme="majorEastAsia"/>
      <w:b/>
    </w:rPr>
  </w:style>
  <w:style w:type="paragraph" w:styleId="33">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4">
    <w:name w:val="Body Text 2"/>
    <w:basedOn w:val="1"/>
    <w:link w:val="78"/>
    <w:autoRedefine/>
    <w:qFormat/>
    <w:uiPriority w:val="0"/>
    <w:pPr>
      <w:spacing w:after="120" w:line="480" w:lineRule="auto"/>
    </w:pPr>
  </w:style>
  <w:style w:type="paragraph" w:styleId="35">
    <w:name w:val="HTML Preformatted"/>
    <w:basedOn w:val="1"/>
    <w:link w:val="7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6">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7">
    <w:name w:val="index 1"/>
    <w:basedOn w:val="1"/>
    <w:next w:val="1"/>
    <w:autoRedefine/>
    <w:qFormat/>
    <w:uiPriority w:val="0"/>
    <w:pPr>
      <w:spacing w:line="220" w:lineRule="exact"/>
      <w:jc w:val="center"/>
    </w:pPr>
    <w:rPr>
      <w:rFonts w:ascii="仿宋_GB2312" w:eastAsia="仿宋_GB2312"/>
      <w:szCs w:val="20"/>
    </w:rPr>
  </w:style>
  <w:style w:type="paragraph" w:styleId="38">
    <w:name w:val="Title"/>
    <w:basedOn w:val="1"/>
    <w:link w:val="80"/>
    <w:autoRedefine/>
    <w:qFormat/>
    <w:uiPriority w:val="0"/>
    <w:pPr>
      <w:jc w:val="center"/>
      <w:outlineLvl w:val="0"/>
    </w:pPr>
    <w:rPr>
      <w:rFonts w:asciiTheme="minorHAnsi" w:hAnsiTheme="minorHAnsi" w:eastAsiaTheme="minorEastAsia" w:cstheme="minorBidi"/>
      <w:b/>
      <w:sz w:val="32"/>
      <w:szCs w:val="22"/>
    </w:rPr>
  </w:style>
  <w:style w:type="paragraph" w:styleId="39">
    <w:name w:val="annotation subject"/>
    <w:basedOn w:val="14"/>
    <w:next w:val="14"/>
    <w:link w:val="81"/>
    <w:autoRedefine/>
    <w:qFormat/>
    <w:uiPriority w:val="0"/>
    <w:rPr>
      <w:b/>
      <w:bCs/>
    </w:rPr>
  </w:style>
  <w:style w:type="paragraph" w:styleId="40">
    <w:name w:val="Body Text First Indent 2"/>
    <w:basedOn w:val="17"/>
    <w:link w:val="121"/>
    <w:autoRedefine/>
    <w:qFormat/>
    <w:uiPriority w:val="99"/>
    <w:pPr>
      <w:ind w:firstLine="420" w:firstLineChars="200"/>
    </w:pPr>
    <w:rPr>
      <w:rFonts w:ascii="仿宋_GB2312" w:hAnsi="宋体"/>
    </w:rPr>
  </w:style>
  <w:style w:type="table" w:styleId="42">
    <w:name w:val="Table Grid"/>
    <w:basedOn w:val="41"/>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autoRedefine/>
    <w:qFormat/>
    <w:uiPriority w:val="0"/>
    <w:rPr>
      <w:b/>
      <w:bCs/>
    </w:rPr>
  </w:style>
  <w:style w:type="character" w:styleId="45">
    <w:name w:val="page number"/>
    <w:basedOn w:val="43"/>
    <w:autoRedefine/>
    <w:qFormat/>
    <w:uiPriority w:val="0"/>
  </w:style>
  <w:style w:type="character" w:styleId="46">
    <w:name w:val="FollowedHyperlink"/>
    <w:autoRedefine/>
    <w:qFormat/>
    <w:uiPriority w:val="0"/>
    <w:rPr>
      <w:color w:val="800080"/>
      <w:u w:val="single"/>
    </w:rPr>
  </w:style>
  <w:style w:type="character" w:styleId="47">
    <w:name w:val="Hyperlink"/>
    <w:autoRedefine/>
    <w:qFormat/>
    <w:uiPriority w:val="99"/>
    <w:rPr>
      <w:color w:val="136EC2"/>
      <w:u w:val="single"/>
    </w:rPr>
  </w:style>
  <w:style w:type="character" w:styleId="48">
    <w:name w:val="annotation reference"/>
    <w:autoRedefine/>
    <w:qFormat/>
    <w:uiPriority w:val="0"/>
    <w:rPr>
      <w:sz w:val="21"/>
      <w:szCs w:val="21"/>
    </w:rPr>
  </w:style>
  <w:style w:type="paragraph" w:customStyle="1" w:styleId="49">
    <w:name w:val="BodyText1I2"/>
    <w:basedOn w:val="50"/>
    <w:next w:val="51"/>
    <w:autoRedefine/>
    <w:qFormat/>
    <w:uiPriority w:val="0"/>
    <w:pPr>
      <w:spacing w:after="120"/>
      <w:ind w:left="420" w:leftChars="200" w:firstLine="420" w:firstLineChars="200"/>
      <w:jc w:val="both"/>
      <w:textAlignment w:val="baseline"/>
    </w:pPr>
  </w:style>
  <w:style w:type="paragraph" w:customStyle="1" w:styleId="50">
    <w:name w:val="BodyTextIndent"/>
    <w:basedOn w:val="1"/>
    <w:autoRedefine/>
    <w:qFormat/>
    <w:uiPriority w:val="0"/>
    <w:pPr>
      <w:spacing w:after="120"/>
      <w:ind w:left="420" w:leftChars="200"/>
      <w:jc w:val="both"/>
      <w:textAlignment w:val="baseline"/>
    </w:pPr>
    <w:rPr>
      <w:kern w:val="0"/>
      <w:sz w:val="20"/>
      <w:szCs w:val="24"/>
      <w:lang w:val="en-US" w:eastAsia="zh-CN" w:bidi="ar-SA"/>
    </w:rPr>
  </w:style>
  <w:style w:type="paragraph" w:customStyle="1" w:styleId="51">
    <w:name w:val="NormalIndent"/>
    <w:basedOn w:val="1"/>
    <w:autoRedefine/>
    <w:qFormat/>
    <w:uiPriority w:val="0"/>
    <w:pPr>
      <w:widowControl/>
      <w:ind w:firstLine="420"/>
      <w:jc w:val="left"/>
      <w:textAlignment w:val="baseline"/>
    </w:pPr>
    <w:rPr>
      <w:kern w:val="0"/>
      <w:sz w:val="20"/>
      <w:szCs w:val="20"/>
      <w:lang w:val="en-US" w:eastAsia="zh-CN" w:bidi="ar-SA"/>
    </w:rPr>
  </w:style>
  <w:style w:type="paragraph" w:customStyle="1" w:styleId="52">
    <w:name w:val="列出段落1"/>
    <w:basedOn w:val="53"/>
    <w:next w:val="54"/>
    <w:autoRedefine/>
    <w:qFormat/>
    <w:uiPriority w:val="0"/>
    <w:pPr>
      <w:ind w:firstLine="420" w:firstLineChars="200"/>
    </w:pPr>
    <w:rPr>
      <w:sz w:val="24"/>
    </w:rPr>
  </w:style>
  <w:style w:type="paragraph" w:customStyle="1" w:styleId="53">
    <w:name w:val="正文_11_0"/>
    <w:next w:val="52"/>
    <w:autoRedefine/>
    <w:qFormat/>
    <w:uiPriority w:val="0"/>
    <w:pPr>
      <w:widowControl w:val="0"/>
      <w:jc w:val="both"/>
    </w:pPr>
    <w:rPr>
      <w:rFonts w:ascii="Times New Roman" w:hAnsi="Times New Roman" w:eastAsia="宋体" w:cs="Times New Roman"/>
      <w:kern w:val="2"/>
      <w:sz w:val="24"/>
      <w:szCs w:val="22"/>
      <w:lang w:val="en-US" w:eastAsia="zh-CN" w:bidi="ar-SA"/>
    </w:rPr>
  </w:style>
  <w:style w:type="paragraph" w:customStyle="1" w:styleId="54">
    <w:name w:val="标题 7_0"/>
    <w:basedOn w:val="55"/>
    <w:next w:val="55"/>
    <w:autoRedefine/>
    <w:unhideWhenUsed/>
    <w:qFormat/>
    <w:uiPriority w:val="9"/>
    <w:pPr>
      <w:keepNext/>
      <w:keepLines/>
      <w:adjustRightInd w:val="0"/>
      <w:spacing w:before="240" w:after="64" w:line="320" w:lineRule="atLeast"/>
      <w:jc w:val="left"/>
      <w:textAlignment w:val="baseline"/>
      <w:outlineLvl w:val="6"/>
    </w:pPr>
    <w:rPr>
      <w:b/>
      <w:bCs/>
      <w:kern w:val="0"/>
      <w:sz w:val="24"/>
    </w:rPr>
  </w:style>
  <w:style w:type="paragraph" w:customStyle="1" w:styleId="55">
    <w:name w:val="正文_37"/>
    <w:next w:val="5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
    <w:name w:val="标题 2_37"/>
    <w:basedOn w:val="55"/>
    <w:next w:val="55"/>
    <w:autoRedefine/>
    <w:unhideWhenUsed/>
    <w:qFormat/>
    <w:uiPriority w:val="9"/>
    <w:pPr>
      <w:keepNext/>
      <w:keepLines/>
      <w:spacing w:line="360" w:lineRule="auto"/>
      <w:outlineLvl w:val="1"/>
    </w:pPr>
    <w:rPr>
      <w:rFonts w:ascii="Arial" w:hAnsi="Arial"/>
      <w:b/>
      <w:bCs/>
      <w:sz w:val="24"/>
      <w:szCs w:val="32"/>
    </w:rPr>
  </w:style>
  <w:style w:type="character" w:customStyle="1" w:styleId="57">
    <w:name w:val="标题 1 Char"/>
    <w:basedOn w:val="43"/>
    <w:link w:val="2"/>
    <w:autoRedefine/>
    <w:qFormat/>
    <w:uiPriority w:val="0"/>
    <w:rPr>
      <w:rFonts w:ascii="Times New Roman" w:hAnsi="Times New Roman" w:eastAsia="宋体" w:cs="Times New Roman"/>
      <w:b/>
      <w:bCs/>
      <w:sz w:val="24"/>
      <w:szCs w:val="20"/>
    </w:rPr>
  </w:style>
  <w:style w:type="character" w:customStyle="1" w:styleId="58">
    <w:name w:val="标题 2 Char"/>
    <w:basedOn w:val="43"/>
    <w:link w:val="3"/>
    <w:autoRedefine/>
    <w:qFormat/>
    <w:uiPriority w:val="0"/>
    <w:rPr>
      <w:rFonts w:ascii="Arial" w:hAnsi="Arial" w:eastAsia="宋体" w:cs="Times New Roman"/>
      <w:b/>
      <w:bCs/>
      <w:sz w:val="24"/>
      <w:szCs w:val="32"/>
    </w:rPr>
  </w:style>
  <w:style w:type="character" w:customStyle="1" w:styleId="59">
    <w:name w:val="标题 3 Char"/>
    <w:basedOn w:val="43"/>
    <w:link w:val="4"/>
    <w:autoRedefine/>
    <w:qFormat/>
    <w:uiPriority w:val="9"/>
    <w:rPr>
      <w:rFonts w:ascii="Times New Roman" w:hAnsi="Times New Roman" w:eastAsia="宋体" w:cs="Times New Roman"/>
      <w:b/>
      <w:bCs/>
      <w:sz w:val="32"/>
      <w:szCs w:val="32"/>
    </w:rPr>
  </w:style>
  <w:style w:type="character" w:customStyle="1" w:styleId="60">
    <w:name w:val="标题 4 Char"/>
    <w:basedOn w:val="43"/>
    <w:link w:val="5"/>
    <w:autoRedefine/>
    <w:qFormat/>
    <w:uiPriority w:val="0"/>
    <w:rPr>
      <w:rFonts w:ascii="Arial" w:hAnsi="Arial" w:eastAsia="黑体" w:cs="Times New Roman"/>
      <w:b/>
      <w:bCs/>
      <w:sz w:val="28"/>
      <w:szCs w:val="28"/>
    </w:rPr>
  </w:style>
  <w:style w:type="character" w:customStyle="1" w:styleId="61">
    <w:name w:val="标题 5 Char"/>
    <w:basedOn w:val="43"/>
    <w:link w:val="6"/>
    <w:autoRedefine/>
    <w:qFormat/>
    <w:uiPriority w:val="0"/>
    <w:rPr>
      <w:rFonts w:ascii="Times New Roman" w:hAnsi="Times New Roman" w:eastAsia="宋体" w:cs="Times New Roman"/>
      <w:b/>
      <w:bCs/>
      <w:kern w:val="0"/>
      <w:sz w:val="28"/>
      <w:szCs w:val="28"/>
    </w:rPr>
  </w:style>
  <w:style w:type="character" w:customStyle="1" w:styleId="62">
    <w:name w:val="标题 6 Char"/>
    <w:basedOn w:val="43"/>
    <w:link w:val="7"/>
    <w:autoRedefine/>
    <w:qFormat/>
    <w:uiPriority w:val="0"/>
    <w:rPr>
      <w:rFonts w:ascii="Arial" w:hAnsi="Arial" w:eastAsia="黑体" w:cs="Times New Roman"/>
      <w:b/>
      <w:bCs/>
      <w:kern w:val="0"/>
      <w:sz w:val="24"/>
      <w:szCs w:val="24"/>
    </w:rPr>
  </w:style>
  <w:style w:type="character" w:customStyle="1" w:styleId="63">
    <w:name w:val="标题 7 Char"/>
    <w:basedOn w:val="43"/>
    <w:link w:val="8"/>
    <w:autoRedefine/>
    <w:qFormat/>
    <w:uiPriority w:val="0"/>
    <w:rPr>
      <w:rFonts w:ascii="Times New Roman" w:hAnsi="Times New Roman" w:eastAsia="宋体" w:cs="Times New Roman"/>
      <w:b/>
      <w:bCs/>
      <w:kern w:val="0"/>
      <w:sz w:val="24"/>
      <w:szCs w:val="24"/>
    </w:rPr>
  </w:style>
  <w:style w:type="character" w:customStyle="1" w:styleId="64">
    <w:name w:val="标题 8 Char"/>
    <w:basedOn w:val="43"/>
    <w:link w:val="9"/>
    <w:autoRedefine/>
    <w:qFormat/>
    <w:uiPriority w:val="0"/>
    <w:rPr>
      <w:rFonts w:ascii="Arial" w:hAnsi="Arial" w:eastAsia="黑体" w:cs="Times New Roman"/>
      <w:kern w:val="0"/>
      <w:sz w:val="24"/>
      <w:szCs w:val="24"/>
    </w:rPr>
  </w:style>
  <w:style w:type="character" w:customStyle="1" w:styleId="65">
    <w:name w:val="标题 9 Char"/>
    <w:basedOn w:val="43"/>
    <w:link w:val="10"/>
    <w:autoRedefine/>
    <w:qFormat/>
    <w:uiPriority w:val="0"/>
    <w:rPr>
      <w:rFonts w:ascii="Arial" w:hAnsi="Arial" w:eastAsia="黑体" w:cs="Times New Roman"/>
      <w:kern w:val="0"/>
      <w:szCs w:val="21"/>
    </w:rPr>
  </w:style>
  <w:style w:type="character" w:customStyle="1" w:styleId="66">
    <w:name w:val="文档结构图 Char"/>
    <w:basedOn w:val="43"/>
    <w:link w:val="13"/>
    <w:autoRedefine/>
    <w:semiHidden/>
    <w:qFormat/>
    <w:uiPriority w:val="0"/>
    <w:rPr>
      <w:rFonts w:ascii="Times New Roman" w:hAnsi="Times New Roman" w:eastAsia="宋体" w:cs="Times New Roman"/>
      <w:szCs w:val="24"/>
      <w:shd w:val="clear" w:color="auto" w:fill="000080"/>
    </w:rPr>
  </w:style>
  <w:style w:type="character" w:customStyle="1" w:styleId="67">
    <w:name w:val="批注文字 Char"/>
    <w:basedOn w:val="43"/>
    <w:link w:val="14"/>
    <w:autoRedefine/>
    <w:semiHidden/>
    <w:qFormat/>
    <w:uiPriority w:val="0"/>
    <w:rPr>
      <w:rFonts w:ascii="Times New Roman" w:hAnsi="Times New Roman" w:eastAsia="宋体" w:cs="Times New Roman"/>
      <w:szCs w:val="24"/>
    </w:rPr>
  </w:style>
  <w:style w:type="character" w:customStyle="1" w:styleId="68">
    <w:name w:val="称呼 Char"/>
    <w:basedOn w:val="43"/>
    <w:link w:val="15"/>
    <w:autoRedefine/>
    <w:qFormat/>
    <w:uiPriority w:val="0"/>
    <w:rPr>
      <w:rFonts w:ascii="仿宋_GB2312" w:hAnsi="Times New Roman" w:eastAsia="仿宋_GB2312" w:cs="Times New Roman"/>
      <w:sz w:val="24"/>
      <w:szCs w:val="24"/>
    </w:rPr>
  </w:style>
  <w:style w:type="character" w:customStyle="1" w:styleId="69">
    <w:name w:val="正文文本 Char"/>
    <w:basedOn w:val="43"/>
    <w:link w:val="16"/>
    <w:autoRedefine/>
    <w:qFormat/>
    <w:uiPriority w:val="0"/>
    <w:rPr>
      <w:rFonts w:ascii="Times New Roman" w:hAnsi="Times New Roman" w:eastAsia="宋体" w:cs="Times New Roman"/>
      <w:szCs w:val="24"/>
    </w:rPr>
  </w:style>
  <w:style w:type="character" w:customStyle="1" w:styleId="70">
    <w:name w:val="正文文本缩进 Char"/>
    <w:basedOn w:val="43"/>
    <w:link w:val="17"/>
    <w:autoRedefine/>
    <w:qFormat/>
    <w:uiPriority w:val="0"/>
    <w:rPr>
      <w:rFonts w:ascii="Times New Roman" w:hAnsi="Times New Roman" w:eastAsia="宋体" w:cs="Times New Roman"/>
      <w:szCs w:val="24"/>
    </w:rPr>
  </w:style>
  <w:style w:type="character" w:customStyle="1" w:styleId="71">
    <w:name w:val="纯文本 Char"/>
    <w:basedOn w:val="43"/>
    <w:link w:val="21"/>
    <w:autoRedefine/>
    <w:qFormat/>
    <w:uiPriority w:val="0"/>
    <w:rPr>
      <w:rFonts w:ascii="宋体" w:hAnsi="Courier New" w:eastAsia="宋体" w:cs="Courier New"/>
      <w:szCs w:val="21"/>
    </w:rPr>
  </w:style>
  <w:style w:type="character" w:customStyle="1" w:styleId="72">
    <w:name w:val="日期 Char"/>
    <w:basedOn w:val="43"/>
    <w:link w:val="23"/>
    <w:autoRedefine/>
    <w:qFormat/>
    <w:uiPriority w:val="0"/>
    <w:rPr>
      <w:rFonts w:ascii="Times New Roman" w:hAnsi="Times New Roman" w:eastAsia="宋体" w:cs="Times New Roman"/>
      <w:sz w:val="24"/>
      <w:szCs w:val="20"/>
    </w:rPr>
  </w:style>
  <w:style w:type="character" w:customStyle="1" w:styleId="73">
    <w:name w:val="正文文本缩进 2 Char"/>
    <w:basedOn w:val="43"/>
    <w:link w:val="24"/>
    <w:autoRedefine/>
    <w:qFormat/>
    <w:uiPriority w:val="0"/>
    <w:rPr>
      <w:rFonts w:ascii="Times New Roman" w:hAnsi="Times New Roman" w:eastAsia="宋体" w:cs="Times New Roman"/>
      <w:szCs w:val="24"/>
    </w:rPr>
  </w:style>
  <w:style w:type="character" w:customStyle="1" w:styleId="74">
    <w:name w:val="批注框文本 Char"/>
    <w:basedOn w:val="43"/>
    <w:link w:val="25"/>
    <w:autoRedefine/>
    <w:qFormat/>
    <w:uiPriority w:val="99"/>
    <w:rPr>
      <w:rFonts w:ascii="Times New Roman" w:hAnsi="Times New Roman" w:eastAsia="宋体" w:cs="Times New Roman"/>
      <w:sz w:val="18"/>
      <w:szCs w:val="18"/>
    </w:rPr>
  </w:style>
  <w:style w:type="character" w:customStyle="1" w:styleId="75">
    <w:name w:val="页脚 Char"/>
    <w:basedOn w:val="43"/>
    <w:link w:val="26"/>
    <w:autoRedefine/>
    <w:qFormat/>
    <w:uiPriority w:val="99"/>
    <w:rPr>
      <w:rFonts w:ascii="Times New Roman" w:hAnsi="Times New Roman" w:eastAsia="宋体" w:cs="Times New Roman"/>
      <w:sz w:val="18"/>
      <w:szCs w:val="18"/>
    </w:rPr>
  </w:style>
  <w:style w:type="character" w:customStyle="1" w:styleId="76">
    <w:name w:val="页眉 Char"/>
    <w:basedOn w:val="43"/>
    <w:link w:val="27"/>
    <w:autoRedefine/>
    <w:qFormat/>
    <w:uiPriority w:val="99"/>
    <w:rPr>
      <w:rFonts w:ascii="Times New Roman" w:hAnsi="Times New Roman" w:eastAsia="宋体" w:cs="Times New Roman"/>
      <w:sz w:val="18"/>
      <w:szCs w:val="18"/>
    </w:rPr>
  </w:style>
  <w:style w:type="character" w:customStyle="1" w:styleId="77">
    <w:name w:val="正文文本缩进 3 Char"/>
    <w:basedOn w:val="43"/>
    <w:link w:val="31"/>
    <w:autoRedefine/>
    <w:qFormat/>
    <w:uiPriority w:val="0"/>
    <w:rPr>
      <w:rFonts w:ascii="Times New Roman" w:hAnsi="Times New Roman" w:eastAsia="宋体" w:cs="Times New Roman"/>
      <w:sz w:val="16"/>
      <w:szCs w:val="16"/>
    </w:rPr>
  </w:style>
  <w:style w:type="character" w:customStyle="1" w:styleId="78">
    <w:name w:val="正文文本 2 Char"/>
    <w:basedOn w:val="43"/>
    <w:link w:val="34"/>
    <w:autoRedefine/>
    <w:qFormat/>
    <w:uiPriority w:val="0"/>
    <w:rPr>
      <w:rFonts w:ascii="Times New Roman" w:hAnsi="Times New Roman" w:eastAsia="宋体" w:cs="Times New Roman"/>
      <w:szCs w:val="24"/>
    </w:rPr>
  </w:style>
  <w:style w:type="character" w:customStyle="1" w:styleId="79">
    <w:name w:val="HTML 预设格式 Char"/>
    <w:basedOn w:val="43"/>
    <w:link w:val="35"/>
    <w:autoRedefine/>
    <w:qFormat/>
    <w:uiPriority w:val="0"/>
    <w:rPr>
      <w:rFonts w:ascii="Arial" w:hAnsi="Arial" w:eastAsia="宋体" w:cs="Arial"/>
      <w:kern w:val="0"/>
      <w:sz w:val="24"/>
      <w:szCs w:val="24"/>
    </w:rPr>
  </w:style>
  <w:style w:type="character" w:customStyle="1" w:styleId="80">
    <w:name w:val="标题 Char"/>
    <w:link w:val="38"/>
    <w:autoRedefine/>
    <w:qFormat/>
    <w:uiPriority w:val="0"/>
    <w:rPr>
      <w:b/>
      <w:sz w:val="32"/>
    </w:rPr>
  </w:style>
  <w:style w:type="character" w:customStyle="1" w:styleId="81">
    <w:name w:val="批注主题 Char"/>
    <w:basedOn w:val="67"/>
    <w:link w:val="39"/>
    <w:autoRedefine/>
    <w:qFormat/>
    <w:uiPriority w:val="0"/>
    <w:rPr>
      <w:rFonts w:ascii="Times New Roman" w:hAnsi="Times New Roman" w:eastAsia="宋体" w:cs="Times New Roman"/>
      <w:b/>
      <w:bCs/>
      <w:szCs w:val="24"/>
    </w:rPr>
  </w:style>
  <w:style w:type="paragraph" w:customStyle="1" w:styleId="82">
    <w:name w:val="表格内容"/>
    <w:basedOn w:val="16"/>
    <w:autoRedefine/>
    <w:qFormat/>
    <w:uiPriority w:val="0"/>
    <w:pPr>
      <w:suppressLineNumbers/>
      <w:suppressAutoHyphens/>
      <w:jc w:val="left"/>
    </w:pPr>
    <w:rPr>
      <w:rFonts w:cs="Tahoma"/>
      <w:kern w:val="0"/>
      <w:sz w:val="24"/>
    </w:rPr>
  </w:style>
  <w:style w:type="paragraph" w:customStyle="1" w:styleId="8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84">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85">
    <w:name w:val="Char Char Char"/>
    <w:basedOn w:val="1"/>
    <w:autoRedefine/>
    <w:qFormat/>
    <w:uiPriority w:val="0"/>
    <w:rPr>
      <w:rFonts w:ascii="宋体" w:hAnsi="宋体"/>
      <w:b/>
      <w:sz w:val="28"/>
      <w:szCs w:val="28"/>
    </w:rPr>
  </w:style>
  <w:style w:type="paragraph" w:customStyle="1" w:styleId="86">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7">
    <w:name w:val="Char"/>
    <w:basedOn w:val="1"/>
    <w:autoRedefine/>
    <w:qFormat/>
    <w:uiPriority w:val="0"/>
    <w:pPr>
      <w:tabs>
        <w:tab w:val="left" w:pos="360"/>
      </w:tabs>
      <w:ind w:left="360" w:hanging="360" w:hangingChars="200"/>
    </w:pPr>
    <w:rPr>
      <w:sz w:val="24"/>
    </w:rPr>
  </w:style>
  <w:style w:type="paragraph" w:customStyle="1" w:styleId="88">
    <w:name w:val="样式1"/>
    <w:basedOn w:val="1"/>
    <w:link w:val="89"/>
    <w:autoRedefine/>
    <w:qFormat/>
    <w:uiPriority w:val="0"/>
    <w:pPr>
      <w:tabs>
        <w:tab w:val="left" w:pos="360"/>
      </w:tabs>
      <w:adjustRightInd w:val="0"/>
      <w:ind w:left="360" w:hanging="360"/>
      <w:textAlignment w:val="baseline"/>
    </w:pPr>
    <w:rPr>
      <w:rFonts w:ascii="宋体" w:hAnsi="宋体"/>
      <w:kern w:val="0"/>
      <w:szCs w:val="21"/>
    </w:rPr>
  </w:style>
  <w:style w:type="character" w:customStyle="1" w:styleId="89">
    <w:name w:val="样式1 Char Char"/>
    <w:link w:val="88"/>
    <w:autoRedefine/>
    <w:qFormat/>
    <w:uiPriority w:val="0"/>
    <w:rPr>
      <w:rFonts w:ascii="宋体" w:hAnsi="宋体" w:eastAsia="宋体" w:cs="Times New Roman"/>
      <w:kern w:val="0"/>
      <w:szCs w:val="21"/>
    </w:rPr>
  </w:style>
  <w:style w:type="character" w:customStyle="1" w:styleId="90">
    <w:name w:val="p0 Char"/>
    <w:link w:val="91"/>
    <w:autoRedefine/>
    <w:qFormat/>
    <w:uiPriority w:val="0"/>
    <w:rPr>
      <w:rFonts w:eastAsia="宋体"/>
      <w:szCs w:val="21"/>
    </w:rPr>
  </w:style>
  <w:style w:type="paragraph" w:customStyle="1" w:styleId="91">
    <w:name w:val="p0"/>
    <w:basedOn w:val="1"/>
    <w:link w:val="90"/>
    <w:autoRedefine/>
    <w:qFormat/>
    <w:uiPriority w:val="0"/>
    <w:pPr>
      <w:widowControl/>
    </w:pPr>
    <w:rPr>
      <w:rFonts w:asciiTheme="minorHAnsi" w:hAnsiTheme="minorHAnsi" w:cstheme="minorBidi"/>
      <w:szCs w:val="21"/>
    </w:rPr>
  </w:style>
  <w:style w:type="paragraph" w:customStyle="1" w:styleId="92">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93">
    <w:name w:val="Char Char1 Char Char Char Char Char1 Char Char Char Char"/>
    <w:basedOn w:val="13"/>
    <w:autoRedefine/>
    <w:qFormat/>
    <w:uiPriority w:val="0"/>
    <w:rPr>
      <w:rFonts w:ascii="Tahoma" w:hAnsi="Tahoma"/>
    </w:rPr>
  </w:style>
  <w:style w:type="paragraph" w:customStyle="1" w:styleId="94">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5">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96">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97">
    <w:name w:val="1"/>
    <w:basedOn w:val="1"/>
    <w:autoRedefine/>
    <w:qFormat/>
    <w:uiPriority w:val="0"/>
    <w:pPr>
      <w:spacing w:afterLines="50" w:line="360" w:lineRule="auto"/>
    </w:pPr>
    <w:rPr>
      <w:rFonts w:ascii="宋体" w:hAnsi="宋体"/>
      <w:b/>
      <w:sz w:val="30"/>
      <w:szCs w:val="21"/>
    </w:rPr>
  </w:style>
  <w:style w:type="paragraph" w:customStyle="1" w:styleId="98">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9">
    <w:name w:val="标题 1 +"/>
    <w:basedOn w:val="2"/>
    <w:next w:val="1"/>
    <w:autoRedefine/>
    <w:qFormat/>
    <w:uiPriority w:val="0"/>
    <w:pPr>
      <w:keepLines/>
      <w:spacing w:line="600" w:lineRule="auto"/>
    </w:pPr>
    <w:rPr>
      <w:rFonts w:eastAsia="黑体"/>
      <w:kern w:val="0"/>
      <w:sz w:val="32"/>
      <w:szCs w:val="32"/>
    </w:rPr>
  </w:style>
  <w:style w:type="paragraph" w:customStyle="1" w:styleId="100">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101">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02">
    <w:name w:val="Char1 Char Char Char 字元 Char Char 字元 Char 字元 Char1 Char Char Char"/>
    <w:basedOn w:val="1"/>
    <w:autoRedefine/>
    <w:qFormat/>
    <w:uiPriority w:val="0"/>
    <w:rPr>
      <w:szCs w:val="20"/>
    </w:rPr>
  </w:style>
  <w:style w:type="paragraph" w:customStyle="1" w:styleId="103">
    <w:name w:val="p16"/>
    <w:basedOn w:val="1"/>
    <w:autoRedefine/>
    <w:qFormat/>
    <w:uiPriority w:val="0"/>
    <w:pPr>
      <w:widowControl/>
      <w:jc w:val="left"/>
    </w:pPr>
    <w:rPr>
      <w:kern w:val="0"/>
      <w:szCs w:val="21"/>
    </w:rPr>
  </w:style>
  <w:style w:type="paragraph" w:customStyle="1" w:styleId="104">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05">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06">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7">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8">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09">
    <w:name w:val="List Paragraph"/>
    <w:basedOn w:val="1"/>
    <w:link w:val="110"/>
    <w:autoRedefine/>
    <w:qFormat/>
    <w:uiPriority w:val="34"/>
    <w:pPr>
      <w:ind w:firstLine="420" w:firstLineChars="200"/>
    </w:pPr>
  </w:style>
  <w:style w:type="character" w:customStyle="1" w:styleId="110">
    <w:name w:val="列出段落 Char"/>
    <w:link w:val="109"/>
    <w:autoRedefine/>
    <w:qFormat/>
    <w:uiPriority w:val="34"/>
    <w:rPr>
      <w:rFonts w:ascii="Times New Roman" w:hAnsi="Times New Roman" w:eastAsia="宋体" w:cs="Times New Roman"/>
      <w:szCs w:val="24"/>
    </w:rPr>
  </w:style>
  <w:style w:type="character" w:customStyle="1" w:styleId="111">
    <w:name w:val="fontstyle01"/>
    <w:basedOn w:val="43"/>
    <w:autoRedefine/>
    <w:qFormat/>
    <w:uiPriority w:val="0"/>
    <w:rPr>
      <w:rFonts w:hint="eastAsia" w:ascii="宋体" w:hAnsi="宋体" w:eastAsia="宋体"/>
      <w:color w:val="000000"/>
      <w:sz w:val="24"/>
      <w:szCs w:val="24"/>
    </w:rPr>
  </w:style>
  <w:style w:type="character" w:customStyle="1" w:styleId="112">
    <w:name w:val="fontstyle11"/>
    <w:basedOn w:val="43"/>
    <w:autoRedefine/>
    <w:qFormat/>
    <w:uiPriority w:val="0"/>
    <w:rPr>
      <w:rFonts w:hint="default" w:ascii="TimesNewRomanPSMT" w:hAnsi="TimesNewRomanPSMT"/>
      <w:color w:val="000000"/>
      <w:sz w:val="24"/>
      <w:szCs w:val="24"/>
    </w:rPr>
  </w:style>
  <w:style w:type="paragraph" w:customStyle="1" w:styleId="113">
    <w:name w:val="TOC 标题1"/>
    <w:basedOn w:val="2"/>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4">
    <w:name w:val="fontstyle21"/>
    <w:basedOn w:val="43"/>
    <w:autoRedefine/>
    <w:qFormat/>
    <w:uiPriority w:val="0"/>
    <w:rPr>
      <w:rFonts w:hint="eastAsia" w:ascii="宋体" w:hAnsi="宋体" w:eastAsia="宋体"/>
      <w:color w:val="993300"/>
      <w:sz w:val="24"/>
      <w:szCs w:val="24"/>
    </w:rPr>
  </w:style>
  <w:style w:type="character" w:customStyle="1" w:styleId="115">
    <w:name w:val="fontstyle31"/>
    <w:basedOn w:val="43"/>
    <w:autoRedefine/>
    <w:qFormat/>
    <w:uiPriority w:val="0"/>
    <w:rPr>
      <w:rFonts w:hint="default" w:ascii="Arial" w:hAnsi="Arial" w:cs="Arial"/>
      <w:color w:val="993300"/>
      <w:sz w:val="24"/>
      <w:szCs w:val="24"/>
    </w:rPr>
  </w:style>
  <w:style w:type="character" w:customStyle="1" w:styleId="116">
    <w:name w:val="标题 Char1"/>
    <w:basedOn w:val="43"/>
    <w:autoRedefine/>
    <w:qFormat/>
    <w:uiPriority w:val="10"/>
    <w:rPr>
      <w:rFonts w:eastAsia="宋体" w:asciiTheme="majorHAnsi" w:hAnsiTheme="majorHAnsi" w:cstheme="majorBidi"/>
      <w:b/>
      <w:bCs/>
      <w:sz w:val="32"/>
      <w:szCs w:val="32"/>
    </w:rPr>
  </w:style>
  <w:style w:type="character" w:customStyle="1" w:styleId="117">
    <w:name w:val="纯文本 Char1"/>
    <w:autoRedefine/>
    <w:semiHidden/>
    <w:qFormat/>
    <w:locked/>
    <w:uiPriority w:val="0"/>
    <w:rPr>
      <w:rFonts w:ascii="宋体" w:hAnsi="Courier New" w:eastAsia="宋体" w:cs="Courier New"/>
      <w:kern w:val="2"/>
      <w:sz w:val="21"/>
      <w:szCs w:val="21"/>
      <w:lang w:val="en-US" w:eastAsia="zh-CN" w:bidi="ar-SA"/>
    </w:rPr>
  </w:style>
  <w:style w:type="character" w:customStyle="1" w:styleId="118">
    <w:name w:val="NormalCharacter"/>
    <w:autoRedefine/>
    <w:qFormat/>
    <w:uiPriority w:val="0"/>
  </w:style>
  <w:style w:type="paragraph" w:customStyle="1" w:styleId="119">
    <w:name w:val="UserStyle_10"/>
    <w:basedOn w:val="1"/>
    <w:autoRedefine/>
    <w:qFormat/>
    <w:uiPriority w:val="0"/>
    <w:pPr>
      <w:widowControl/>
      <w:ind w:firstLine="420" w:firstLineChars="200"/>
      <w:textAlignment w:val="baseline"/>
    </w:pPr>
    <w:rPr>
      <w:rFonts w:ascii="Calibri" w:hAnsi="Calibri"/>
      <w:szCs w:val="22"/>
    </w:rPr>
  </w:style>
  <w:style w:type="paragraph" w:customStyle="1" w:styleId="120">
    <w:name w:val="_Style 110"/>
    <w:basedOn w:val="1"/>
    <w:next w:val="109"/>
    <w:autoRedefine/>
    <w:qFormat/>
    <w:uiPriority w:val="34"/>
    <w:pPr>
      <w:ind w:firstLine="420" w:firstLineChars="200"/>
    </w:pPr>
    <w:rPr>
      <w:rFonts w:ascii="Calibri" w:hAnsi="Calibri"/>
      <w:szCs w:val="22"/>
    </w:rPr>
  </w:style>
  <w:style w:type="character" w:customStyle="1" w:styleId="121">
    <w:name w:val="正文首行缩进 2 Char"/>
    <w:basedOn w:val="70"/>
    <w:link w:val="40"/>
    <w:autoRedefine/>
    <w:qFormat/>
    <w:uiPriority w:val="99"/>
    <w:rPr>
      <w:rFonts w:ascii="仿宋_GB2312" w:hAnsi="宋体"/>
      <w:kern w:val="2"/>
      <w:sz w:val="21"/>
    </w:rPr>
  </w:style>
  <w:style w:type="paragraph" w:customStyle="1" w:styleId="122">
    <w:name w:val="_Style 113"/>
    <w:basedOn w:val="1"/>
    <w:next w:val="109"/>
    <w:autoRedefine/>
    <w:qFormat/>
    <w:uiPriority w:val="34"/>
    <w:pPr>
      <w:ind w:firstLine="420" w:firstLineChars="200"/>
    </w:pPr>
    <w:rPr>
      <w:rFonts w:ascii="Calibri" w:hAnsi="Calibri"/>
      <w:szCs w:val="22"/>
    </w:rPr>
  </w:style>
  <w:style w:type="paragraph" w:customStyle="1" w:styleId="123">
    <w:name w:val="_Style 114"/>
    <w:basedOn w:val="1"/>
    <w:next w:val="109"/>
    <w:autoRedefine/>
    <w:qFormat/>
    <w:uiPriority w:val="34"/>
    <w:pPr>
      <w:ind w:firstLine="420" w:firstLineChars="200"/>
    </w:pPr>
    <w:rPr>
      <w:rFonts w:ascii="Calibri" w:hAnsi="Calibri"/>
      <w:szCs w:val="22"/>
    </w:rPr>
  </w:style>
  <w:style w:type="paragraph" w:styleId="124">
    <w:name w:val="No Spacing"/>
    <w:autoRedefine/>
    <w:qFormat/>
    <w:uiPriority w:val="1"/>
    <w:rPr>
      <w:rFonts w:ascii="Calibri" w:hAnsi="Calibri" w:eastAsia="等线" w:cs="等线"/>
      <w:sz w:val="22"/>
      <w:szCs w:val="22"/>
      <w:lang w:val="en-US" w:eastAsia="zh-CN" w:bidi="ar-SA"/>
    </w:rPr>
  </w:style>
  <w:style w:type="character" w:customStyle="1" w:styleId="125">
    <w:name w:val="font112"/>
    <w:basedOn w:val="43"/>
    <w:autoRedefine/>
    <w:qFormat/>
    <w:uiPriority w:val="0"/>
    <w:rPr>
      <w:rFonts w:ascii="Arial" w:hAnsi="Arial" w:cs="Arial"/>
      <w:color w:val="000000"/>
      <w:sz w:val="44"/>
      <w:szCs w:val="44"/>
      <w:u w:val="none"/>
    </w:rPr>
  </w:style>
  <w:style w:type="paragraph" w:customStyle="1" w:styleId="126">
    <w:name w:val="_Style 1101"/>
    <w:basedOn w:val="1"/>
    <w:next w:val="109"/>
    <w:autoRedefine/>
    <w:qFormat/>
    <w:uiPriority w:val="34"/>
    <w:pPr>
      <w:ind w:firstLine="420" w:firstLineChars="200"/>
    </w:pPr>
    <w:rPr>
      <w:rFonts w:ascii="Calibri" w:hAnsi="Calibri"/>
      <w:szCs w:val="22"/>
    </w:rPr>
  </w:style>
  <w:style w:type="paragraph" w:customStyle="1" w:styleId="127">
    <w:name w:val="_Style 1131"/>
    <w:basedOn w:val="1"/>
    <w:next w:val="109"/>
    <w:autoRedefine/>
    <w:qFormat/>
    <w:uiPriority w:val="34"/>
    <w:pPr>
      <w:ind w:firstLine="420" w:firstLineChars="200"/>
    </w:pPr>
    <w:rPr>
      <w:rFonts w:ascii="Calibri" w:hAnsi="Calibri"/>
      <w:szCs w:val="22"/>
    </w:rPr>
  </w:style>
  <w:style w:type="paragraph" w:customStyle="1" w:styleId="128">
    <w:name w:val="_Style 1141"/>
    <w:basedOn w:val="1"/>
    <w:next w:val="109"/>
    <w:autoRedefine/>
    <w:qFormat/>
    <w:uiPriority w:val="34"/>
    <w:pPr>
      <w:ind w:firstLine="420" w:firstLineChars="200"/>
    </w:pPr>
    <w:rPr>
      <w:rFonts w:ascii="Calibri" w:hAnsi="Calibri"/>
      <w:szCs w:val="22"/>
    </w:rPr>
  </w:style>
  <w:style w:type="paragraph" w:customStyle="1" w:styleId="129">
    <w:name w:val="Table Paragraph"/>
    <w:basedOn w:val="1"/>
    <w:qFormat/>
    <w:uiPriority w:val="1"/>
    <w:pPr>
      <w:spacing w:after="0" w:line="240" w:lineRule="auto"/>
    </w:pPr>
    <w:rPr>
      <w:rFonts w:ascii="微软雅黑" w:hAnsi="微软雅黑" w:eastAsia="微软雅黑" w:cs="微软雅黑"/>
      <w:lang w:val="zh-CN" w:bidi="zh-CN"/>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glossaryDocument" Target="glossary/document.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5.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footer" Target="footer2.xml"/><Relationship Id="rId10" Type="http://schemas.openxmlformats.org/officeDocument/2006/relationships/header" Target="header7.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497BD5CC585436782225E730CFA2B31"/>
        <w:style w:val=""/>
        <w:category>
          <w:name w:val="常规"/>
          <w:gallery w:val="placeholder"/>
        </w:category>
        <w:types>
          <w:type w:val="bbPlcHdr"/>
        </w:types>
        <w:behaviors>
          <w:behavior w:val="content"/>
        </w:behaviors>
        <w:description w:val=""/>
        <w:guid w:val="{71E958E2-0FC9-435C-8FE9-C2DA900A0FDB}"/>
      </w:docPartPr>
      <w:docPartBody>
        <w:p w14:paraId="0B261A1C">
          <w:pPr>
            <w:pStyle w:val="8"/>
          </w:pPr>
          <w:r>
            <w:rPr>
              <w:color w:val="FFFFFF" w:themeColor="background1"/>
              <w:spacing w:val="60"/>
              <w:lang w:val="zh-CN"/>
              <w14:textFill>
                <w14:solidFill>
                  <w14:schemeClr w14:val="bg1"/>
                </w14:solidFill>
              </w14:textFill>
            </w:rPr>
            <w:t>[键入公司地址]</w:t>
          </w:r>
        </w:p>
      </w:docPartBody>
    </w:docPart>
    <w:docPart>
      <w:docPartPr>
        <w:name w:val="06F5815915F74375AC8357568F1DCD2C"/>
        <w:style w:val=""/>
        <w:category>
          <w:name w:val="常规"/>
          <w:gallery w:val="placeholder"/>
        </w:category>
        <w:types>
          <w:type w:val="bbPlcHdr"/>
        </w:types>
        <w:behaviors>
          <w:behavior w:val="content"/>
        </w:behaviors>
        <w:description w:val=""/>
        <w:guid w:val="{35ED667D-D47C-4E74-A512-2ED0C57D4CF0}"/>
      </w:docPartPr>
      <w:docPartBody>
        <w:p w14:paraId="6985489C">
          <w:pPr>
            <w:pStyle w:val="9"/>
          </w:pPr>
          <w:r>
            <w:rPr>
              <w:color w:val="FFFFFF" w:themeColor="background1"/>
              <w:spacing w:val="60"/>
              <w:lang w:val="zh-CN"/>
              <w14:textFill>
                <w14:solidFill>
                  <w14:schemeClr w14:val="bg1"/>
                </w14:solidFill>
              </w14:textFill>
            </w:rPr>
            <w:t>[键入公司地址]</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B108C9"/>
    <w:rsid w:val="0004602B"/>
    <w:rsid w:val="000550F2"/>
    <w:rsid w:val="001442D7"/>
    <w:rsid w:val="00160501"/>
    <w:rsid w:val="0018464D"/>
    <w:rsid w:val="001D09ED"/>
    <w:rsid w:val="00246076"/>
    <w:rsid w:val="00312DF1"/>
    <w:rsid w:val="00363661"/>
    <w:rsid w:val="003846AB"/>
    <w:rsid w:val="00384769"/>
    <w:rsid w:val="00412838"/>
    <w:rsid w:val="004648FB"/>
    <w:rsid w:val="005B47B7"/>
    <w:rsid w:val="005E64B8"/>
    <w:rsid w:val="00642A2F"/>
    <w:rsid w:val="0065059E"/>
    <w:rsid w:val="00695396"/>
    <w:rsid w:val="00726DA2"/>
    <w:rsid w:val="00790CB8"/>
    <w:rsid w:val="0079798B"/>
    <w:rsid w:val="008007F1"/>
    <w:rsid w:val="008B23E3"/>
    <w:rsid w:val="008B6B93"/>
    <w:rsid w:val="008D135C"/>
    <w:rsid w:val="00912D7B"/>
    <w:rsid w:val="00917810"/>
    <w:rsid w:val="00917908"/>
    <w:rsid w:val="009232E4"/>
    <w:rsid w:val="00983724"/>
    <w:rsid w:val="00AA59A4"/>
    <w:rsid w:val="00B108C9"/>
    <w:rsid w:val="00B644EC"/>
    <w:rsid w:val="00BE3ED4"/>
    <w:rsid w:val="00C1751F"/>
    <w:rsid w:val="00C84519"/>
    <w:rsid w:val="00DE0824"/>
    <w:rsid w:val="00E41B5E"/>
    <w:rsid w:val="00E85833"/>
    <w:rsid w:val="00E91A8D"/>
    <w:rsid w:val="00ED7302"/>
    <w:rsid w:val="00F458D7"/>
    <w:rsid w:val="00F53FBA"/>
    <w:rsid w:val="00FD1E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paragraph" w:customStyle="1" w:styleId="4">
    <w:name w:val="0DDD95103A414328AFF3E2FFE20BC1CC"/>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48C1AC341C3446FDAE2A73CDD9D2825B"/>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549D3DB1FCB046928B051961E05AB197"/>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34B862C375B841598DE25756E670344B"/>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7497BD5CC585436782225E730CFA2B31"/>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6F5815915F74375AC8357568F1DCD2C"/>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CoverPageProperties xmlns="http://schemas.microsoft.com/office/2006/coverPageProps">
  <PublishDate/>
  <Abstract/>
  <CompanyAddress>湖南永晟电子商务有限公司湘西分公司</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A385C0B3-457D-49F4-85BD-56710EEC49ED}">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80</Pages>
  <Words>934</Words>
  <Characters>1046</Characters>
  <Lines>332</Lines>
  <Paragraphs>93</Paragraphs>
  <TotalTime>12</TotalTime>
  <ScaleCrop>false</ScaleCrop>
  <LinksUpToDate>false</LinksUpToDate>
  <CharactersWithSpaces>1138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2022-12-06T02:19:00Z</dcterms:created>
  <dc:creator>admin</dc:creator>
  <cp:lastModifiedBy>青海湖</cp:lastModifiedBy>
  <cp:lastPrinted>2025-07-03T08:00:00Z</cp:lastPrinted>
  <dcterms:modified xsi:type="dcterms:W3CDTF">2025-07-15T03:51:11Z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3C9F1D0D3A3B46BBB2E81114620ECAC9_13</vt:lpwstr>
  </property>
  <property fmtid="{D5CDD505-2E9C-101B-9397-08002B2CF9AE}" pid="4" name="KSOTemplateDocerSaveRecord">
    <vt:lpwstr>eyJoZGlkIjoiY2Y1Yzg0MjUyZmRlNzhmOTEzYTcxMjUzNWYyNmY0Y2IiLCJ1c2VySWQiOiIzNjU0NzM4NTgifQ==</vt:lpwstr>
  </property>
</Properties>
</file>