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outlineLvl w:val="9"/>
        <w:rPr>
          <w:rFonts w:hint="eastAsia" w:ascii="方正小标宋简体" w:hAnsi="方正小标宋简体" w:eastAsia="方正小标宋简体" w:cs="方正小标宋简体"/>
          <w:b/>
          <w:sz w:val="48"/>
          <w:szCs w:val="48"/>
          <w:highlight w:val="none"/>
          <w:lang w:eastAsia="zh-CN"/>
        </w:rPr>
      </w:pPr>
      <w:bookmarkStart w:id="0" w:name="_Toc213908413"/>
      <w:bookmarkEnd w:id="0"/>
      <w:bookmarkStart w:id="1" w:name="_Toc205357517"/>
      <w:bookmarkEnd w:id="1"/>
      <w:bookmarkStart w:id="2" w:name="_Toc29379736"/>
      <w:bookmarkEnd w:id="2"/>
      <w:bookmarkStart w:id="3" w:name="_Toc205357510"/>
      <w:bookmarkEnd w:id="3"/>
      <w:bookmarkStart w:id="4" w:name="_Toc29379747"/>
      <w:bookmarkEnd w:id="4"/>
      <w:bookmarkStart w:id="5" w:name="_Toc213908424"/>
      <w:bookmarkEnd w:id="5"/>
      <w:bookmarkStart w:id="6" w:name="_Toc213908417"/>
      <w:bookmarkEnd w:id="6"/>
      <w:bookmarkStart w:id="7" w:name="_Toc29379740"/>
      <w:bookmarkEnd w:id="7"/>
      <w:bookmarkStart w:id="8" w:name="_Toc213908421"/>
      <w:bookmarkEnd w:id="8"/>
      <w:bookmarkStart w:id="9" w:name="_Toc205357508"/>
      <w:bookmarkEnd w:id="9"/>
      <w:bookmarkStart w:id="10" w:name="_Toc213908426"/>
      <w:bookmarkEnd w:id="10"/>
      <w:bookmarkStart w:id="11" w:name="_Toc205357514"/>
      <w:bookmarkEnd w:id="11"/>
      <w:bookmarkStart w:id="12" w:name="_Toc29379734"/>
      <w:bookmarkEnd w:id="12"/>
      <w:bookmarkStart w:id="13" w:name="_Toc29379744"/>
      <w:bookmarkEnd w:id="13"/>
      <w:bookmarkStart w:id="14" w:name="_Toc213908420"/>
      <w:bookmarkEnd w:id="14"/>
      <w:bookmarkStart w:id="15" w:name="_Hlt68343481"/>
      <w:bookmarkEnd w:id="15"/>
      <w:bookmarkStart w:id="16" w:name="_Toc35084002"/>
      <w:bookmarkEnd w:id="16"/>
      <w:bookmarkStart w:id="17" w:name="_Toc205357512"/>
      <w:bookmarkEnd w:id="17"/>
      <w:bookmarkStart w:id="18" w:name="_Hlt357716285"/>
      <w:bookmarkEnd w:id="18"/>
      <w:bookmarkStart w:id="19" w:name="_Toc213908425"/>
      <w:bookmarkEnd w:id="19"/>
      <w:bookmarkStart w:id="20" w:name="_Toc213908419"/>
      <w:bookmarkEnd w:id="20"/>
      <w:bookmarkStart w:id="21" w:name="_Toc29379743"/>
      <w:bookmarkEnd w:id="21"/>
      <w:bookmarkStart w:id="22" w:name="_Toc23846276"/>
      <w:bookmarkEnd w:id="22"/>
      <w:bookmarkStart w:id="23" w:name="_Toc29379746"/>
      <w:bookmarkEnd w:id="23"/>
      <w:bookmarkStart w:id="24" w:name="_Toc29379742"/>
      <w:bookmarkEnd w:id="24"/>
      <w:bookmarkStart w:id="25" w:name="_Toc29379733"/>
      <w:bookmarkEnd w:id="25"/>
      <w:bookmarkStart w:id="26" w:name="_Toc205357516"/>
      <w:bookmarkEnd w:id="26"/>
      <w:bookmarkStart w:id="27" w:name="_Hlt357716269"/>
      <w:bookmarkEnd w:id="27"/>
      <w:bookmarkStart w:id="28" w:name="_Toc29379739"/>
      <w:bookmarkEnd w:id="28"/>
      <w:bookmarkStart w:id="29" w:name="_Toc213908423"/>
      <w:bookmarkEnd w:id="29"/>
      <w:bookmarkStart w:id="30" w:name="_Toc29379741"/>
      <w:bookmarkEnd w:id="30"/>
      <w:bookmarkStart w:id="31" w:name="_Toc205357504"/>
      <w:bookmarkEnd w:id="31"/>
      <w:bookmarkStart w:id="32" w:name="_Toc205357506"/>
      <w:bookmarkEnd w:id="32"/>
      <w:bookmarkStart w:id="33" w:name="_Toc213908418"/>
      <w:bookmarkEnd w:id="33"/>
      <w:bookmarkStart w:id="34" w:name="_Toc29379732"/>
      <w:bookmarkEnd w:id="34"/>
      <w:bookmarkStart w:id="35" w:name="_Toc29379735"/>
      <w:bookmarkEnd w:id="35"/>
      <w:bookmarkStart w:id="36" w:name="_Toc213908412"/>
      <w:bookmarkEnd w:id="36"/>
      <w:bookmarkStart w:id="37" w:name="_Toc29379745"/>
      <w:bookmarkEnd w:id="37"/>
      <w:bookmarkStart w:id="38" w:name="_Toc35860346"/>
      <w:bookmarkEnd w:id="38"/>
      <w:bookmarkStart w:id="39" w:name="_Toc205357509"/>
      <w:bookmarkEnd w:id="39"/>
      <w:bookmarkStart w:id="40" w:name="_Hlt357716254"/>
      <w:bookmarkEnd w:id="40"/>
      <w:bookmarkStart w:id="41" w:name="_Toc205357513"/>
      <w:bookmarkEnd w:id="41"/>
      <w:bookmarkStart w:id="42" w:name="_Toc213908416"/>
      <w:bookmarkEnd w:id="42"/>
      <w:bookmarkStart w:id="43" w:name="_Toc213908422"/>
      <w:bookmarkEnd w:id="43"/>
      <w:bookmarkStart w:id="44" w:name="_Toc213908415"/>
      <w:bookmarkEnd w:id="44"/>
      <w:bookmarkStart w:id="45" w:name="_Toc205357515"/>
      <w:bookmarkEnd w:id="45"/>
      <w:bookmarkStart w:id="46" w:name="_Toc29379738"/>
      <w:bookmarkEnd w:id="46"/>
      <w:bookmarkStart w:id="47" w:name="_Toc205357503"/>
      <w:bookmarkEnd w:id="47"/>
      <w:bookmarkStart w:id="48" w:name="_Toc205357511"/>
      <w:bookmarkEnd w:id="48"/>
      <w:bookmarkStart w:id="49" w:name="_Toc205357507"/>
      <w:bookmarkEnd w:id="49"/>
      <w:bookmarkStart w:id="50" w:name="_Toc29379737"/>
      <w:bookmarkEnd w:id="50"/>
      <w:bookmarkStart w:id="51" w:name="_Toc29379731"/>
      <w:bookmarkEnd w:id="51"/>
      <w:r>
        <w:rPr>
          <w:rFonts w:hint="eastAsia" w:ascii="方正小标宋简体" w:hAnsi="方正小标宋简体" w:eastAsia="方正小标宋简体" w:cs="方正小标宋简体"/>
          <w:b/>
          <w:sz w:val="48"/>
          <w:szCs w:val="48"/>
          <w:highlight w:val="none"/>
          <w:lang w:eastAsia="zh-CN"/>
        </w:rPr>
        <w:t>昆明市呈贡区第四中学设施设备（设备及家具）</w:t>
      </w:r>
      <w:r>
        <w:rPr>
          <w:rFonts w:hint="eastAsia" w:ascii="方正小标宋简体" w:hAnsi="方正小标宋简体" w:eastAsia="方正小标宋简体" w:cs="方正小标宋简体"/>
          <w:b/>
          <w:sz w:val="48"/>
          <w:szCs w:val="48"/>
          <w:highlight w:val="none"/>
          <w:lang w:val="en-US" w:eastAsia="zh-CN"/>
        </w:rPr>
        <w:t>二期</w:t>
      </w:r>
      <w:r>
        <w:rPr>
          <w:rFonts w:hint="eastAsia" w:ascii="方正小标宋简体" w:hAnsi="方正小标宋简体" w:eastAsia="方正小标宋简体" w:cs="方正小标宋简体"/>
          <w:b/>
          <w:sz w:val="48"/>
          <w:szCs w:val="48"/>
          <w:highlight w:val="none"/>
          <w:lang w:eastAsia="zh-CN"/>
        </w:rPr>
        <w:t>采购项目（一标段）</w:t>
      </w:r>
    </w:p>
    <w:p>
      <w:pPr>
        <w:spacing w:line="360" w:lineRule="auto"/>
        <w:outlineLvl w:val="9"/>
        <w:rPr>
          <w:rFonts w:hint="eastAsia" w:ascii="方正小标宋简体" w:hAnsi="方正小标宋简体" w:eastAsia="方正小标宋简体" w:cs="方正小标宋简体"/>
          <w:highlight w:val="none"/>
        </w:rPr>
      </w:pPr>
    </w:p>
    <w:p>
      <w:pPr>
        <w:spacing w:line="360" w:lineRule="auto"/>
        <w:outlineLvl w:val="9"/>
        <w:rPr>
          <w:rFonts w:hint="eastAsia" w:ascii="方正小标宋简体" w:hAnsi="方正小标宋简体" w:eastAsia="方正小标宋简体" w:cs="方正小标宋简体"/>
          <w:highlight w:val="none"/>
        </w:rPr>
      </w:pPr>
    </w:p>
    <w:p>
      <w:pPr>
        <w:spacing w:line="360" w:lineRule="auto"/>
        <w:outlineLvl w:val="9"/>
        <w:rPr>
          <w:rFonts w:hint="eastAsia" w:ascii="方正小标宋简体" w:hAnsi="方正小标宋简体" w:eastAsia="方正小标宋简体" w:cs="方正小标宋简体"/>
          <w:highlight w:val="none"/>
        </w:rPr>
      </w:pPr>
    </w:p>
    <w:p>
      <w:pPr>
        <w:spacing w:line="360" w:lineRule="auto"/>
        <w:outlineLvl w:val="9"/>
        <w:rPr>
          <w:rFonts w:hint="eastAsia" w:ascii="方正小标宋简体" w:hAnsi="方正小标宋简体" w:eastAsia="方正小标宋简体" w:cs="方正小标宋简体"/>
          <w:highlight w:val="none"/>
        </w:rPr>
      </w:pPr>
    </w:p>
    <w:p>
      <w:pPr>
        <w:spacing w:line="360" w:lineRule="auto"/>
        <w:outlineLvl w:val="9"/>
        <w:rPr>
          <w:rFonts w:hint="eastAsia" w:ascii="方正小标宋简体" w:hAnsi="方正小标宋简体" w:eastAsia="方正小标宋简体" w:cs="方正小标宋简体"/>
          <w:highlight w:val="none"/>
        </w:rPr>
      </w:pPr>
    </w:p>
    <w:p>
      <w:pPr>
        <w:tabs>
          <w:tab w:val="left" w:pos="525"/>
        </w:tabs>
        <w:spacing w:line="360" w:lineRule="auto"/>
        <w:jc w:val="center"/>
        <w:outlineLvl w:val="9"/>
        <w:rPr>
          <w:rFonts w:hint="eastAsia" w:ascii="方正小标宋简体" w:hAnsi="方正小标宋简体" w:eastAsia="方正小标宋简体" w:cs="方正小标宋简体"/>
          <w:sz w:val="84"/>
          <w:szCs w:val="84"/>
          <w:highlight w:val="none"/>
        </w:rPr>
      </w:pPr>
      <w:bookmarkStart w:id="52" w:name="_Toc28914"/>
      <w:bookmarkStart w:id="53" w:name="_Toc5902"/>
      <w:bookmarkStart w:id="54" w:name="_Toc29191"/>
      <w:bookmarkStart w:id="55" w:name="_Toc17196"/>
      <w:bookmarkStart w:id="56" w:name="_Toc2149"/>
      <w:bookmarkStart w:id="57" w:name="_Toc20156"/>
      <w:bookmarkStart w:id="58" w:name="_Toc23098"/>
      <w:bookmarkStart w:id="59" w:name="_Toc26503"/>
      <w:r>
        <w:rPr>
          <w:rFonts w:hint="eastAsia" w:ascii="方正小标宋简体" w:hAnsi="方正小标宋简体" w:eastAsia="方正小标宋简体" w:cs="方正小标宋简体"/>
          <w:b/>
          <w:bCs/>
          <w:position w:val="20"/>
          <w:sz w:val="84"/>
          <w:szCs w:val="84"/>
          <w:highlight w:val="none"/>
        </w:rPr>
        <w:t>招标文件</w:t>
      </w:r>
      <w:bookmarkEnd w:id="52"/>
      <w:bookmarkEnd w:id="53"/>
      <w:bookmarkEnd w:id="54"/>
      <w:bookmarkEnd w:id="55"/>
      <w:bookmarkEnd w:id="56"/>
      <w:bookmarkEnd w:id="57"/>
      <w:bookmarkEnd w:id="58"/>
      <w:bookmarkEnd w:id="59"/>
    </w:p>
    <w:p>
      <w:pPr>
        <w:spacing w:line="360" w:lineRule="auto"/>
        <w:jc w:val="center"/>
        <w:outlineLvl w:val="9"/>
        <w:rPr>
          <w:rFonts w:hint="eastAsia" w:ascii="方正小标宋简体" w:hAnsi="方正小标宋简体" w:eastAsia="方正小标宋简体" w:cs="方正小标宋简体"/>
          <w:bCs/>
          <w:sz w:val="28"/>
          <w:szCs w:val="28"/>
          <w:highlight w:val="none"/>
          <w:u w:val="single"/>
          <w:lang w:eastAsia="zh-CN"/>
        </w:rPr>
      </w:pPr>
      <w:bookmarkStart w:id="60" w:name="_Toc21060"/>
      <w:bookmarkStart w:id="61" w:name="_Toc12474"/>
      <w:bookmarkStart w:id="62" w:name="_Toc17584"/>
      <w:bookmarkStart w:id="63" w:name="_Toc2916"/>
      <w:bookmarkStart w:id="64" w:name="_Toc2388"/>
      <w:bookmarkStart w:id="65" w:name="_Toc904"/>
      <w:bookmarkStart w:id="66" w:name="_Toc26694"/>
      <w:bookmarkStart w:id="67" w:name="_Toc16354"/>
      <w:r>
        <w:rPr>
          <w:rFonts w:hint="eastAsia" w:ascii="方正小标宋简体" w:hAnsi="方正小标宋简体" w:eastAsia="方正小标宋简体" w:cs="方正小标宋简体"/>
          <w:bCs/>
          <w:sz w:val="28"/>
          <w:szCs w:val="28"/>
          <w:highlight w:val="none"/>
        </w:rPr>
        <w:t>项目编号：</w:t>
      </w:r>
      <w:bookmarkEnd w:id="60"/>
      <w:bookmarkEnd w:id="61"/>
      <w:bookmarkEnd w:id="62"/>
      <w:bookmarkEnd w:id="63"/>
      <w:r>
        <w:rPr>
          <w:rFonts w:hint="eastAsia" w:ascii="方正小标宋简体" w:hAnsi="方正小标宋简体" w:eastAsia="方正小标宋简体" w:cs="方正小标宋简体"/>
          <w:bCs/>
          <w:sz w:val="28"/>
          <w:szCs w:val="28"/>
          <w:highlight w:val="none"/>
          <w:u w:val="single"/>
          <w:lang w:eastAsia="zh-CN"/>
        </w:rPr>
        <w:t>530121202502</w:t>
      </w:r>
      <w:r>
        <w:rPr>
          <w:rFonts w:hint="eastAsia" w:ascii="方正小标宋简体" w:hAnsi="方正小标宋简体" w:eastAsia="方正小标宋简体" w:cs="方正小标宋简体"/>
          <w:bCs/>
          <w:sz w:val="28"/>
          <w:szCs w:val="28"/>
          <w:highlight w:val="none"/>
          <w:u w:val="single"/>
          <w:lang w:val="en-US" w:eastAsia="zh-CN"/>
        </w:rPr>
        <w:t>3</w:t>
      </w:r>
    </w:p>
    <w:p>
      <w:pPr>
        <w:spacing w:line="360" w:lineRule="auto"/>
        <w:jc w:val="left"/>
        <w:outlineLvl w:val="9"/>
        <w:rPr>
          <w:rFonts w:hint="eastAsia" w:ascii="方正小标宋简体" w:hAnsi="方正小标宋简体" w:eastAsia="方正小标宋简体" w:cs="方正小标宋简体"/>
          <w:bCs/>
          <w:sz w:val="28"/>
          <w:szCs w:val="28"/>
          <w:highlight w:val="none"/>
        </w:rPr>
      </w:pPr>
      <w:bookmarkStart w:id="68" w:name="_Toc3641"/>
      <w:bookmarkStart w:id="69" w:name="_Toc14146"/>
      <w:bookmarkStart w:id="70" w:name="_Toc29824"/>
      <w:bookmarkStart w:id="71" w:name="_Toc1821"/>
    </w:p>
    <w:p>
      <w:pPr>
        <w:spacing w:line="360" w:lineRule="auto"/>
        <w:jc w:val="left"/>
        <w:outlineLvl w:val="9"/>
        <w:rPr>
          <w:rFonts w:hint="eastAsia" w:ascii="方正小标宋简体" w:hAnsi="方正小标宋简体" w:eastAsia="方正小标宋简体" w:cs="方正小标宋简体"/>
          <w:bCs/>
          <w:sz w:val="28"/>
          <w:szCs w:val="28"/>
          <w:highlight w:val="none"/>
        </w:rPr>
      </w:pPr>
    </w:p>
    <w:p>
      <w:pPr>
        <w:spacing w:line="360" w:lineRule="auto"/>
        <w:jc w:val="left"/>
        <w:outlineLvl w:val="9"/>
        <w:rPr>
          <w:rFonts w:hint="eastAsia" w:ascii="方正小标宋简体" w:hAnsi="方正小标宋简体" w:eastAsia="方正小标宋简体" w:cs="方正小标宋简体"/>
          <w:bCs/>
          <w:sz w:val="28"/>
          <w:szCs w:val="28"/>
          <w:highlight w:val="none"/>
        </w:rPr>
      </w:pPr>
    </w:p>
    <w:p>
      <w:pPr>
        <w:spacing w:line="360" w:lineRule="auto"/>
        <w:jc w:val="left"/>
        <w:outlineLvl w:val="9"/>
        <w:rPr>
          <w:rFonts w:hint="eastAsia" w:ascii="方正小标宋简体" w:hAnsi="方正小标宋简体" w:eastAsia="方正小标宋简体" w:cs="方正小标宋简体"/>
          <w:bCs/>
          <w:sz w:val="28"/>
          <w:szCs w:val="28"/>
          <w:highlight w:val="none"/>
        </w:rPr>
      </w:pPr>
    </w:p>
    <w:p>
      <w:pPr>
        <w:spacing w:line="360" w:lineRule="auto"/>
        <w:jc w:val="left"/>
        <w:outlineLvl w:val="9"/>
        <w:rPr>
          <w:rFonts w:hint="eastAsia" w:ascii="方正小标宋简体" w:hAnsi="方正小标宋简体" w:eastAsia="方正小标宋简体" w:cs="方正小标宋简体"/>
          <w:bCs/>
          <w:sz w:val="28"/>
          <w:szCs w:val="28"/>
          <w:highlight w:val="none"/>
        </w:rPr>
      </w:pPr>
    </w:p>
    <w:p>
      <w:pPr>
        <w:spacing w:line="360" w:lineRule="auto"/>
        <w:jc w:val="center"/>
        <w:outlineLvl w:val="9"/>
        <w:rPr>
          <w:rFonts w:hint="eastAsia" w:ascii="方正小标宋简体" w:hAnsi="方正小标宋简体" w:eastAsia="方正小标宋简体" w:cs="方正小标宋简体"/>
          <w:bCs/>
          <w:sz w:val="28"/>
          <w:szCs w:val="28"/>
          <w:highlight w:val="none"/>
          <w:u w:val="single"/>
          <w:lang w:eastAsia="zh-CN"/>
        </w:rPr>
      </w:pPr>
      <w:r>
        <w:rPr>
          <w:rFonts w:hint="eastAsia" w:ascii="方正小标宋简体" w:hAnsi="方正小标宋简体" w:eastAsia="方正小标宋简体" w:cs="方正小标宋简体"/>
          <w:bCs/>
          <w:sz w:val="28"/>
          <w:szCs w:val="28"/>
          <w:highlight w:val="none"/>
        </w:rPr>
        <w:t>采购人：</w:t>
      </w:r>
      <w:bookmarkEnd w:id="64"/>
      <w:bookmarkEnd w:id="65"/>
      <w:bookmarkEnd w:id="66"/>
      <w:bookmarkEnd w:id="67"/>
      <w:bookmarkEnd w:id="68"/>
      <w:bookmarkEnd w:id="69"/>
      <w:bookmarkEnd w:id="70"/>
      <w:bookmarkEnd w:id="71"/>
      <w:r>
        <w:rPr>
          <w:rFonts w:hint="eastAsia" w:ascii="方正小标宋简体" w:hAnsi="方正小标宋简体" w:eastAsia="方正小标宋简体" w:cs="方正小标宋简体"/>
          <w:bCs/>
          <w:sz w:val="28"/>
          <w:szCs w:val="28"/>
          <w:highlight w:val="none"/>
          <w:u w:val="single"/>
          <w:lang w:eastAsia="zh-CN"/>
        </w:rPr>
        <w:t>昆明市呈贡区第四中学</w:t>
      </w:r>
    </w:p>
    <w:p>
      <w:pPr>
        <w:spacing w:line="360" w:lineRule="auto"/>
        <w:jc w:val="center"/>
        <w:outlineLvl w:val="9"/>
        <w:rPr>
          <w:rFonts w:hint="eastAsia" w:ascii="方正小标宋简体" w:hAnsi="方正小标宋简体" w:eastAsia="方正小标宋简体" w:cs="方正小标宋简体"/>
          <w:bCs/>
          <w:sz w:val="28"/>
          <w:szCs w:val="28"/>
          <w:highlight w:val="none"/>
          <w:u w:val="single"/>
          <w:lang w:eastAsia="zh-CN"/>
        </w:rPr>
      </w:pPr>
      <w:bookmarkStart w:id="72" w:name="_Toc12883"/>
      <w:bookmarkStart w:id="73" w:name="_Toc18201"/>
      <w:bookmarkStart w:id="74" w:name="_Toc19759"/>
      <w:bookmarkStart w:id="75" w:name="_Toc5674"/>
      <w:bookmarkStart w:id="76" w:name="_Toc28358"/>
      <w:bookmarkStart w:id="77" w:name="_Toc5618"/>
      <w:bookmarkStart w:id="78" w:name="_Toc2013"/>
      <w:bookmarkStart w:id="79" w:name="_Toc27591"/>
      <w:r>
        <w:rPr>
          <w:rFonts w:hint="eastAsia" w:ascii="方正小标宋简体" w:hAnsi="方正小标宋简体" w:eastAsia="方正小标宋简体" w:cs="方正小标宋简体"/>
          <w:bCs/>
          <w:sz w:val="28"/>
          <w:szCs w:val="28"/>
          <w:highlight w:val="none"/>
        </w:rPr>
        <w:t>集中采购机构：</w:t>
      </w:r>
      <w:bookmarkEnd w:id="72"/>
      <w:bookmarkEnd w:id="73"/>
      <w:bookmarkEnd w:id="74"/>
      <w:bookmarkEnd w:id="75"/>
      <w:bookmarkEnd w:id="76"/>
      <w:bookmarkEnd w:id="77"/>
      <w:bookmarkEnd w:id="78"/>
      <w:r>
        <w:rPr>
          <w:rFonts w:hint="eastAsia" w:ascii="方正小标宋简体" w:hAnsi="方正小标宋简体" w:eastAsia="方正小标宋简体" w:cs="方正小标宋简体"/>
          <w:bCs/>
          <w:sz w:val="28"/>
          <w:szCs w:val="28"/>
          <w:highlight w:val="none"/>
          <w:u w:val="single"/>
          <w:lang w:eastAsia="zh-CN"/>
        </w:rPr>
        <w:t>昆明市呈贡区人民政府办公室（昆明市呈贡区机关事务管理中心）</w:t>
      </w:r>
    </w:p>
    <w:p>
      <w:pPr>
        <w:spacing w:line="360" w:lineRule="auto"/>
        <w:jc w:val="center"/>
        <w:outlineLvl w:val="9"/>
        <w:rPr>
          <w:rFonts w:hint="eastAsia" w:ascii="方正小标宋简体" w:hAnsi="方正小标宋简体" w:eastAsia="方正小标宋简体" w:cs="方正小标宋简体"/>
          <w:bCs/>
          <w:sz w:val="28"/>
          <w:szCs w:val="28"/>
          <w:highlight w:val="none"/>
          <w:u w:val="single"/>
        </w:rPr>
      </w:pPr>
      <w:bookmarkStart w:id="80" w:name="_Toc18900"/>
      <w:bookmarkStart w:id="81" w:name="_Toc13343"/>
      <w:r>
        <w:rPr>
          <w:rFonts w:hint="eastAsia" w:ascii="方正小标宋简体" w:hAnsi="方正小标宋简体" w:eastAsia="方正小标宋简体" w:cs="方正小标宋简体"/>
          <w:bCs/>
          <w:sz w:val="28"/>
          <w:szCs w:val="28"/>
          <w:highlight w:val="none"/>
        </w:rPr>
        <w:t>202</w:t>
      </w:r>
      <w:r>
        <w:rPr>
          <w:rFonts w:hint="eastAsia" w:ascii="方正小标宋简体" w:hAnsi="方正小标宋简体" w:eastAsia="方正小标宋简体" w:cs="方正小标宋简体"/>
          <w:bCs/>
          <w:sz w:val="28"/>
          <w:szCs w:val="28"/>
          <w:highlight w:val="none"/>
          <w:lang w:val="en-US" w:eastAsia="zh-CN"/>
        </w:rPr>
        <w:t>5</w:t>
      </w:r>
      <w:r>
        <w:rPr>
          <w:rFonts w:hint="eastAsia" w:ascii="方正小标宋简体" w:hAnsi="方正小标宋简体" w:eastAsia="方正小标宋简体" w:cs="方正小标宋简体"/>
          <w:bCs/>
          <w:sz w:val="28"/>
          <w:szCs w:val="28"/>
          <w:highlight w:val="none"/>
        </w:rPr>
        <w:t>年</w:t>
      </w:r>
      <w:r>
        <w:rPr>
          <w:rFonts w:hint="eastAsia" w:ascii="方正小标宋简体" w:hAnsi="方正小标宋简体" w:eastAsia="方正小标宋简体" w:cs="方正小标宋简体"/>
          <w:bCs/>
          <w:sz w:val="28"/>
          <w:szCs w:val="28"/>
          <w:highlight w:val="none"/>
          <w:lang w:val="en-US" w:eastAsia="zh-CN"/>
        </w:rPr>
        <w:t>07</w:t>
      </w:r>
      <w:r>
        <w:rPr>
          <w:rFonts w:hint="eastAsia" w:ascii="方正小标宋简体" w:hAnsi="方正小标宋简体" w:eastAsia="方正小标宋简体" w:cs="方正小标宋简体"/>
          <w:bCs/>
          <w:sz w:val="28"/>
          <w:szCs w:val="28"/>
          <w:highlight w:val="none"/>
        </w:rPr>
        <w:t>月</w:t>
      </w:r>
      <w:bookmarkEnd w:id="79"/>
      <w:bookmarkEnd w:id="80"/>
      <w:bookmarkEnd w:id="81"/>
    </w:p>
    <w:p>
      <w:pPr>
        <w:spacing w:line="360" w:lineRule="auto"/>
        <w:rPr>
          <w:rFonts w:cs="宋体"/>
          <w:b/>
          <w:sz w:val="38"/>
          <w:szCs w:val="24"/>
          <w:highlight w:val="none"/>
        </w:rPr>
      </w:pPr>
      <w:r>
        <w:rPr>
          <w:rFonts w:hint="eastAsia" w:cs="宋体"/>
          <w:b/>
          <w:sz w:val="38"/>
          <w:szCs w:val="24"/>
          <w:highlight w:val="none"/>
        </w:rPr>
        <w:br w:type="page"/>
      </w:r>
    </w:p>
    <w:p>
      <w:pPr>
        <w:rPr>
          <w:rFonts w:ascii="仿宋" w:hAnsi="仿宋" w:eastAsia="仿宋" w:cs="仿宋"/>
          <w:highlight w:val="none"/>
        </w:rPr>
        <w:sectPr>
          <w:headerReference r:id="rId3" w:type="default"/>
          <w:footerReference r:id="rId4" w:type="default"/>
          <w:pgSz w:w="11906" w:h="16838"/>
          <w:pgMar w:top="1440" w:right="1803" w:bottom="1440" w:left="1803" w:header="851" w:footer="851" w:gutter="0"/>
          <w:cols w:space="720" w:num="1"/>
          <w:docGrid w:type="lines" w:linePitch="312" w:charSpace="0"/>
        </w:sectPr>
      </w:pPr>
      <w:bookmarkStart w:id="82" w:name="_Toc15989"/>
      <w:bookmarkStart w:id="83" w:name="_Toc19368"/>
      <w:bookmarkStart w:id="84" w:name="_Toc18230"/>
      <w:bookmarkStart w:id="85" w:name="_Toc26875"/>
      <w:bookmarkStart w:id="86" w:name="_Toc18401"/>
      <w:bookmarkStart w:id="87" w:name="_Toc22996"/>
      <w:bookmarkStart w:id="88" w:name="_Toc46474205"/>
      <w:bookmarkStart w:id="89" w:name="_Toc30024"/>
      <w:bookmarkStart w:id="90" w:name="_Toc32039"/>
      <w:bookmarkStart w:id="91" w:name="_Toc1681"/>
    </w:p>
    <w:p>
      <w:pPr>
        <w:jc w:val="center"/>
        <w:rPr>
          <w:rFonts w:hint="eastAsia" w:ascii="方正小标宋简体" w:hAnsi="方正小标宋简体" w:eastAsia="方正小标宋简体" w:cs="方正小标宋简体"/>
          <w:b/>
          <w:bCs/>
          <w:sz w:val="44"/>
          <w:szCs w:val="44"/>
          <w:highlight w:val="none"/>
          <w:lang w:val="en-US" w:eastAsia="zh-CN"/>
        </w:rPr>
      </w:pPr>
      <w:bookmarkStart w:id="92" w:name="_Toc26887"/>
      <w:bookmarkStart w:id="93" w:name="_Toc26479"/>
      <w:bookmarkStart w:id="94" w:name="_Toc4754"/>
      <w:bookmarkStart w:id="95" w:name="_Toc8019"/>
      <w:bookmarkStart w:id="96" w:name="_Toc16991"/>
      <w:bookmarkStart w:id="97" w:name="_Toc20866"/>
      <w:bookmarkStart w:id="98" w:name="_Toc2992"/>
      <w:bookmarkStart w:id="99" w:name="_Toc27348"/>
      <w:bookmarkStart w:id="100" w:name="_Toc22711"/>
      <w:bookmarkStart w:id="101" w:name="_Toc19207"/>
      <w:bookmarkStart w:id="102" w:name="_Toc1125"/>
      <w:r>
        <w:rPr>
          <w:rFonts w:hint="eastAsia" w:ascii="方正小标宋简体" w:hAnsi="方正小标宋简体" w:eastAsia="方正小标宋简体" w:cs="方正小标宋简体"/>
          <w:b/>
          <w:bCs/>
          <w:sz w:val="44"/>
          <w:szCs w:val="44"/>
          <w:highlight w:val="none"/>
          <w:lang w:val="en-US" w:eastAsia="zh-CN"/>
        </w:rPr>
        <w:t>目 录</w:t>
      </w:r>
    </w:p>
    <w:p>
      <w:pPr>
        <w:pStyle w:val="12"/>
        <w:tabs>
          <w:tab w:val="right" w:leader="dot" w:pos="8306"/>
        </w:tabs>
        <w:rPr>
          <w:rFonts w:hint="eastAsia" w:ascii="方正小标宋简体" w:hAnsi="方正小标宋简体" w:eastAsia="方正小标宋简体" w:cs="方正小标宋简体"/>
          <w:b/>
          <w:bCs/>
          <w:sz w:val="44"/>
          <w:szCs w:val="44"/>
          <w:highlight w:val="none"/>
        </w:rPr>
      </w:pPr>
    </w:p>
    <w:p>
      <w:pPr>
        <w:pStyle w:val="12"/>
        <w:tabs>
          <w:tab w:val="right" w:leader="dot" w:pos="8306"/>
        </w:tabs>
        <w:rPr>
          <w:rFonts w:hint="eastAsia" w:ascii="方正仿宋_GB2312" w:hAnsi="方正仿宋_GB2312" w:eastAsia="方正仿宋_GB2312" w:cs="方正仿宋_GB2312"/>
          <w:sz w:val="28"/>
          <w:szCs w:val="28"/>
          <w:highlight w:val="none"/>
        </w:rPr>
      </w:pPr>
      <w:r>
        <w:rPr>
          <w:rFonts w:hint="eastAsia" w:ascii="方正小标宋简体" w:hAnsi="方正小标宋简体" w:eastAsia="方正小标宋简体" w:cs="方正小标宋简体"/>
          <w:b/>
          <w:bCs/>
          <w:sz w:val="44"/>
          <w:szCs w:val="44"/>
          <w:highlight w:val="none"/>
        </w:rPr>
        <w:fldChar w:fldCharType="begin"/>
      </w:r>
      <w:r>
        <w:rPr>
          <w:rFonts w:hint="eastAsia" w:ascii="方正小标宋简体" w:hAnsi="方正小标宋简体" w:eastAsia="方正小标宋简体" w:cs="方正小标宋简体"/>
          <w:b/>
          <w:bCs/>
          <w:sz w:val="44"/>
          <w:szCs w:val="44"/>
          <w:highlight w:val="none"/>
        </w:rPr>
        <w:instrText xml:space="preserve">TOC \o "1-2" \h \u </w:instrText>
      </w:r>
      <w:r>
        <w:rPr>
          <w:rFonts w:hint="eastAsia" w:ascii="方正小标宋简体" w:hAnsi="方正小标宋简体" w:eastAsia="方正小标宋简体" w:cs="方正小标宋简体"/>
          <w:b/>
          <w:bCs/>
          <w:sz w:val="44"/>
          <w:szCs w:val="44"/>
          <w:highlight w:val="none"/>
        </w:rPr>
        <w:fldChar w:fldCharType="separate"/>
      </w:r>
      <w:r>
        <w:rPr>
          <w:rFonts w:hint="eastAsia" w:ascii="方正仿宋_GB2312" w:hAnsi="方正仿宋_GB2312" w:eastAsia="方正仿宋_GB2312" w:cs="方正仿宋_GB2312"/>
          <w:bCs/>
          <w:sz w:val="28"/>
          <w:szCs w:val="28"/>
          <w:highlight w:val="none"/>
        </w:rPr>
        <w:fldChar w:fldCharType="begin"/>
      </w:r>
      <w:r>
        <w:rPr>
          <w:rFonts w:hint="eastAsia" w:ascii="方正仿宋_GB2312" w:hAnsi="方正仿宋_GB2312" w:eastAsia="方正仿宋_GB2312" w:cs="方正仿宋_GB2312"/>
          <w:bCs/>
          <w:sz w:val="28"/>
          <w:szCs w:val="28"/>
          <w:highlight w:val="none"/>
        </w:rPr>
        <w:instrText xml:space="preserve"> HYPERLINK \l _Toc11856 </w:instrText>
      </w:r>
      <w:r>
        <w:rPr>
          <w:rFonts w:hint="eastAsia" w:ascii="方正仿宋_GB2312" w:hAnsi="方正仿宋_GB2312" w:eastAsia="方正仿宋_GB2312" w:cs="方正仿宋_GB2312"/>
          <w:bCs/>
          <w:sz w:val="28"/>
          <w:szCs w:val="28"/>
          <w:highlight w:val="none"/>
        </w:rPr>
        <w:fldChar w:fldCharType="separate"/>
      </w:r>
      <w:r>
        <w:rPr>
          <w:rFonts w:hint="eastAsia" w:ascii="方正仿宋_GB2312" w:hAnsi="方正仿宋_GB2312" w:eastAsia="方正仿宋_GB2312" w:cs="方正仿宋_GB2312"/>
          <w:bCs/>
          <w:sz w:val="28"/>
          <w:szCs w:val="28"/>
          <w:highlight w:val="none"/>
        </w:rPr>
        <w:t>第一章 招标公告</w:t>
      </w:r>
      <w:r>
        <w:rPr>
          <w:rFonts w:hint="eastAsia" w:ascii="方正仿宋_GB2312" w:hAnsi="方正仿宋_GB2312" w:eastAsia="方正仿宋_GB2312" w:cs="方正仿宋_GB2312"/>
          <w:sz w:val="28"/>
          <w:szCs w:val="28"/>
          <w:highlight w:val="none"/>
        </w:rPr>
        <w:tab/>
      </w:r>
      <w:r>
        <w:rPr>
          <w:rFonts w:hint="eastAsia" w:ascii="方正仿宋_GB2312" w:hAnsi="方正仿宋_GB2312" w:eastAsia="方正仿宋_GB2312" w:cs="方正仿宋_GB2312"/>
          <w:sz w:val="28"/>
          <w:szCs w:val="28"/>
          <w:highlight w:val="none"/>
        </w:rPr>
        <w:fldChar w:fldCharType="begin"/>
      </w:r>
      <w:r>
        <w:rPr>
          <w:rFonts w:hint="eastAsia" w:ascii="方正仿宋_GB2312" w:hAnsi="方正仿宋_GB2312" w:eastAsia="方正仿宋_GB2312" w:cs="方正仿宋_GB2312"/>
          <w:sz w:val="28"/>
          <w:szCs w:val="28"/>
          <w:highlight w:val="none"/>
        </w:rPr>
        <w:instrText xml:space="preserve"> PAGEREF _Toc11856 \h </w:instrText>
      </w:r>
      <w:r>
        <w:rPr>
          <w:rFonts w:hint="eastAsia" w:ascii="方正仿宋_GB2312" w:hAnsi="方正仿宋_GB2312" w:eastAsia="方正仿宋_GB2312" w:cs="方正仿宋_GB2312"/>
          <w:sz w:val="28"/>
          <w:szCs w:val="28"/>
          <w:highlight w:val="none"/>
        </w:rPr>
        <w:fldChar w:fldCharType="separate"/>
      </w:r>
      <w:r>
        <w:rPr>
          <w:rFonts w:hint="eastAsia" w:ascii="方正仿宋_GB2312" w:hAnsi="方正仿宋_GB2312" w:eastAsia="方正仿宋_GB2312" w:cs="方正仿宋_GB2312"/>
          <w:sz w:val="28"/>
          <w:szCs w:val="28"/>
          <w:highlight w:val="none"/>
        </w:rPr>
        <w:t>1</w:t>
      </w:r>
      <w:r>
        <w:rPr>
          <w:rFonts w:hint="eastAsia" w:ascii="方正仿宋_GB2312" w:hAnsi="方正仿宋_GB2312" w:eastAsia="方正仿宋_GB2312" w:cs="方正仿宋_GB2312"/>
          <w:sz w:val="28"/>
          <w:szCs w:val="28"/>
          <w:highlight w:val="none"/>
        </w:rPr>
        <w:fldChar w:fldCharType="end"/>
      </w:r>
      <w:r>
        <w:rPr>
          <w:rFonts w:hint="eastAsia" w:ascii="方正仿宋_GB2312" w:hAnsi="方正仿宋_GB2312" w:eastAsia="方正仿宋_GB2312" w:cs="方正仿宋_GB2312"/>
          <w:bCs/>
          <w:sz w:val="28"/>
          <w:szCs w:val="28"/>
          <w:highlight w:val="none"/>
        </w:rPr>
        <w:fldChar w:fldCharType="end"/>
      </w:r>
    </w:p>
    <w:p>
      <w:pPr>
        <w:pStyle w:val="12"/>
        <w:tabs>
          <w:tab w:val="right" w:leader="dot" w:pos="8306"/>
        </w:tabs>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bCs/>
          <w:sz w:val="28"/>
          <w:szCs w:val="28"/>
          <w:highlight w:val="none"/>
        </w:rPr>
        <w:fldChar w:fldCharType="begin"/>
      </w:r>
      <w:r>
        <w:rPr>
          <w:rFonts w:hint="eastAsia" w:ascii="方正仿宋_GB2312" w:hAnsi="方正仿宋_GB2312" w:eastAsia="方正仿宋_GB2312" w:cs="方正仿宋_GB2312"/>
          <w:bCs/>
          <w:sz w:val="28"/>
          <w:szCs w:val="28"/>
          <w:highlight w:val="none"/>
        </w:rPr>
        <w:instrText xml:space="preserve"> HYPERLINK \l _Toc27029 </w:instrText>
      </w:r>
      <w:r>
        <w:rPr>
          <w:rFonts w:hint="eastAsia" w:ascii="方正仿宋_GB2312" w:hAnsi="方正仿宋_GB2312" w:eastAsia="方正仿宋_GB2312" w:cs="方正仿宋_GB2312"/>
          <w:bCs/>
          <w:sz w:val="28"/>
          <w:szCs w:val="28"/>
          <w:highlight w:val="none"/>
        </w:rPr>
        <w:fldChar w:fldCharType="separate"/>
      </w:r>
      <w:r>
        <w:rPr>
          <w:rFonts w:hint="eastAsia" w:ascii="方正仿宋_GB2312" w:hAnsi="方正仿宋_GB2312" w:eastAsia="方正仿宋_GB2312" w:cs="方正仿宋_GB2312"/>
          <w:spacing w:val="20"/>
          <w:kern w:val="44"/>
          <w:sz w:val="28"/>
          <w:szCs w:val="28"/>
          <w:highlight w:val="none"/>
        </w:rPr>
        <w:t>第二章 供应商须知</w:t>
      </w:r>
      <w:r>
        <w:rPr>
          <w:rFonts w:hint="eastAsia" w:ascii="方正仿宋_GB2312" w:hAnsi="方正仿宋_GB2312" w:eastAsia="方正仿宋_GB2312" w:cs="方正仿宋_GB2312"/>
          <w:sz w:val="28"/>
          <w:szCs w:val="28"/>
          <w:highlight w:val="none"/>
        </w:rPr>
        <w:tab/>
      </w:r>
      <w:r>
        <w:rPr>
          <w:rFonts w:hint="eastAsia" w:ascii="方正仿宋_GB2312" w:hAnsi="方正仿宋_GB2312" w:eastAsia="方正仿宋_GB2312" w:cs="方正仿宋_GB2312"/>
          <w:sz w:val="28"/>
          <w:szCs w:val="28"/>
          <w:highlight w:val="none"/>
        </w:rPr>
        <w:fldChar w:fldCharType="begin"/>
      </w:r>
      <w:r>
        <w:rPr>
          <w:rFonts w:hint="eastAsia" w:ascii="方正仿宋_GB2312" w:hAnsi="方正仿宋_GB2312" w:eastAsia="方正仿宋_GB2312" w:cs="方正仿宋_GB2312"/>
          <w:sz w:val="28"/>
          <w:szCs w:val="28"/>
          <w:highlight w:val="none"/>
        </w:rPr>
        <w:instrText xml:space="preserve"> PAGEREF _Toc27029 \h </w:instrText>
      </w:r>
      <w:r>
        <w:rPr>
          <w:rFonts w:hint="eastAsia" w:ascii="方正仿宋_GB2312" w:hAnsi="方正仿宋_GB2312" w:eastAsia="方正仿宋_GB2312" w:cs="方正仿宋_GB2312"/>
          <w:sz w:val="28"/>
          <w:szCs w:val="28"/>
          <w:highlight w:val="none"/>
        </w:rPr>
        <w:fldChar w:fldCharType="separate"/>
      </w:r>
      <w:r>
        <w:rPr>
          <w:rFonts w:hint="eastAsia" w:ascii="方正仿宋_GB2312" w:hAnsi="方正仿宋_GB2312" w:eastAsia="方正仿宋_GB2312" w:cs="方正仿宋_GB2312"/>
          <w:sz w:val="28"/>
          <w:szCs w:val="28"/>
          <w:highlight w:val="none"/>
        </w:rPr>
        <w:t>8</w:t>
      </w:r>
      <w:r>
        <w:rPr>
          <w:rFonts w:hint="eastAsia" w:ascii="方正仿宋_GB2312" w:hAnsi="方正仿宋_GB2312" w:eastAsia="方正仿宋_GB2312" w:cs="方正仿宋_GB2312"/>
          <w:sz w:val="28"/>
          <w:szCs w:val="28"/>
          <w:highlight w:val="none"/>
        </w:rPr>
        <w:fldChar w:fldCharType="end"/>
      </w:r>
      <w:r>
        <w:rPr>
          <w:rFonts w:hint="eastAsia" w:ascii="方正仿宋_GB2312" w:hAnsi="方正仿宋_GB2312" w:eastAsia="方正仿宋_GB2312" w:cs="方正仿宋_GB2312"/>
          <w:bCs/>
          <w:sz w:val="28"/>
          <w:szCs w:val="28"/>
          <w:highlight w:val="none"/>
        </w:rPr>
        <w:fldChar w:fldCharType="end"/>
      </w:r>
    </w:p>
    <w:p>
      <w:pPr>
        <w:pStyle w:val="12"/>
        <w:tabs>
          <w:tab w:val="right" w:leader="dot" w:pos="8306"/>
        </w:tabs>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bCs/>
          <w:sz w:val="28"/>
          <w:szCs w:val="28"/>
          <w:highlight w:val="none"/>
        </w:rPr>
        <w:fldChar w:fldCharType="begin"/>
      </w:r>
      <w:r>
        <w:rPr>
          <w:rFonts w:hint="eastAsia" w:ascii="方正仿宋_GB2312" w:hAnsi="方正仿宋_GB2312" w:eastAsia="方正仿宋_GB2312" w:cs="方正仿宋_GB2312"/>
          <w:bCs/>
          <w:sz w:val="28"/>
          <w:szCs w:val="28"/>
          <w:highlight w:val="none"/>
        </w:rPr>
        <w:instrText xml:space="preserve"> HYPERLINK \l _Toc20601 </w:instrText>
      </w:r>
      <w:r>
        <w:rPr>
          <w:rFonts w:hint="eastAsia" w:ascii="方正仿宋_GB2312" w:hAnsi="方正仿宋_GB2312" w:eastAsia="方正仿宋_GB2312" w:cs="方正仿宋_GB2312"/>
          <w:bCs/>
          <w:sz w:val="28"/>
          <w:szCs w:val="28"/>
          <w:highlight w:val="none"/>
        </w:rPr>
        <w:fldChar w:fldCharType="separate"/>
      </w:r>
      <w:r>
        <w:rPr>
          <w:rFonts w:hint="eastAsia" w:ascii="方正仿宋_GB2312" w:hAnsi="方正仿宋_GB2312" w:eastAsia="方正仿宋_GB2312" w:cs="方正仿宋_GB2312"/>
          <w:bCs/>
          <w:sz w:val="28"/>
          <w:szCs w:val="28"/>
          <w:highlight w:val="none"/>
        </w:rPr>
        <w:t>第三章 评标办法（综合评分法）</w:t>
      </w:r>
      <w:r>
        <w:rPr>
          <w:rFonts w:hint="eastAsia" w:ascii="方正仿宋_GB2312" w:hAnsi="方正仿宋_GB2312" w:eastAsia="方正仿宋_GB2312" w:cs="方正仿宋_GB2312"/>
          <w:sz w:val="28"/>
          <w:szCs w:val="28"/>
          <w:highlight w:val="none"/>
        </w:rPr>
        <w:tab/>
      </w:r>
      <w:r>
        <w:rPr>
          <w:rFonts w:hint="eastAsia" w:ascii="方正仿宋_GB2312" w:hAnsi="方正仿宋_GB2312" w:eastAsia="方正仿宋_GB2312" w:cs="方正仿宋_GB2312"/>
          <w:sz w:val="28"/>
          <w:szCs w:val="28"/>
          <w:highlight w:val="none"/>
        </w:rPr>
        <w:fldChar w:fldCharType="begin"/>
      </w:r>
      <w:r>
        <w:rPr>
          <w:rFonts w:hint="eastAsia" w:ascii="方正仿宋_GB2312" w:hAnsi="方正仿宋_GB2312" w:eastAsia="方正仿宋_GB2312" w:cs="方正仿宋_GB2312"/>
          <w:sz w:val="28"/>
          <w:szCs w:val="28"/>
          <w:highlight w:val="none"/>
        </w:rPr>
        <w:instrText xml:space="preserve"> PAGEREF _Toc20601 \h </w:instrText>
      </w:r>
      <w:r>
        <w:rPr>
          <w:rFonts w:hint="eastAsia" w:ascii="方正仿宋_GB2312" w:hAnsi="方正仿宋_GB2312" w:eastAsia="方正仿宋_GB2312" w:cs="方正仿宋_GB2312"/>
          <w:sz w:val="28"/>
          <w:szCs w:val="28"/>
          <w:highlight w:val="none"/>
        </w:rPr>
        <w:fldChar w:fldCharType="separate"/>
      </w:r>
      <w:r>
        <w:rPr>
          <w:rFonts w:hint="eastAsia" w:ascii="方正仿宋_GB2312" w:hAnsi="方正仿宋_GB2312" w:eastAsia="方正仿宋_GB2312" w:cs="方正仿宋_GB2312"/>
          <w:sz w:val="28"/>
          <w:szCs w:val="28"/>
          <w:highlight w:val="none"/>
        </w:rPr>
        <w:t>30</w:t>
      </w:r>
      <w:r>
        <w:rPr>
          <w:rFonts w:hint="eastAsia" w:ascii="方正仿宋_GB2312" w:hAnsi="方正仿宋_GB2312" w:eastAsia="方正仿宋_GB2312" w:cs="方正仿宋_GB2312"/>
          <w:sz w:val="28"/>
          <w:szCs w:val="28"/>
          <w:highlight w:val="none"/>
        </w:rPr>
        <w:fldChar w:fldCharType="end"/>
      </w:r>
      <w:r>
        <w:rPr>
          <w:rFonts w:hint="eastAsia" w:ascii="方正仿宋_GB2312" w:hAnsi="方正仿宋_GB2312" w:eastAsia="方正仿宋_GB2312" w:cs="方正仿宋_GB2312"/>
          <w:bCs/>
          <w:sz w:val="28"/>
          <w:szCs w:val="28"/>
          <w:highlight w:val="none"/>
        </w:rPr>
        <w:fldChar w:fldCharType="end"/>
      </w:r>
    </w:p>
    <w:p>
      <w:pPr>
        <w:pStyle w:val="12"/>
        <w:tabs>
          <w:tab w:val="right" w:leader="dot" w:pos="8306"/>
        </w:tabs>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bCs/>
          <w:sz w:val="28"/>
          <w:szCs w:val="28"/>
          <w:highlight w:val="none"/>
        </w:rPr>
        <w:fldChar w:fldCharType="begin"/>
      </w:r>
      <w:r>
        <w:rPr>
          <w:rFonts w:hint="eastAsia" w:ascii="方正仿宋_GB2312" w:hAnsi="方正仿宋_GB2312" w:eastAsia="方正仿宋_GB2312" w:cs="方正仿宋_GB2312"/>
          <w:bCs/>
          <w:sz w:val="28"/>
          <w:szCs w:val="28"/>
          <w:highlight w:val="none"/>
        </w:rPr>
        <w:instrText xml:space="preserve"> HYPERLINK \l _Toc3294 </w:instrText>
      </w:r>
      <w:r>
        <w:rPr>
          <w:rFonts w:hint="eastAsia" w:ascii="方正仿宋_GB2312" w:hAnsi="方正仿宋_GB2312" w:eastAsia="方正仿宋_GB2312" w:cs="方正仿宋_GB2312"/>
          <w:bCs/>
          <w:sz w:val="28"/>
          <w:szCs w:val="28"/>
          <w:highlight w:val="none"/>
        </w:rPr>
        <w:fldChar w:fldCharType="separate"/>
      </w:r>
      <w:r>
        <w:rPr>
          <w:rFonts w:hint="eastAsia" w:ascii="方正仿宋_GB2312" w:hAnsi="方正仿宋_GB2312" w:eastAsia="方正仿宋_GB2312" w:cs="方正仿宋_GB2312"/>
          <w:spacing w:val="20"/>
          <w:kern w:val="44"/>
          <w:sz w:val="28"/>
          <w:szCs w:val="28"/>
          <w:highlight w:val="none"/>
        </w:rPr>
        <w:t>第四章 采购需求和要求</w:t>
      </w:r>
      <w:r>
        <w:rPr>
          <w:rFonts w:hint="eastAsia" w:ascii="方正仿宋_GB2312" w:hAnsi="方正仿宋_GB2312" w:eastAsia="方正仿宋_GB2312" w:cs="方正仿宋_GB2312"/>
          <w:sz w:val="28"/>
          <w:szCs w:val="28"/>
          <w:highlight w:val="none"/>
        </w:rPr>
        <w:tab/>
      </w:r>
      <w:r>
        <w:rPr>
          <w:rFonts w:hint="eastAsia" w:ascii="方正仿宋_GB2312" w:hAnsi="方正仿宋_GB2312" w:eastAsia="方正仿宋_GB2312" w:cs="方正仿宋_GB2312"/>
          <w:sz w:val="28"/>
          <w:szCs w:val="28"/>
          <w:highlight w:val="none"/>
        </w:rPr>
        <w:fldChar w:fldCharType="begin"/>
      </w:r>
      <w:r>
        <w:rPr>
          <w:rFonts w:hint="eastAsia" w:ascii="方正仿宋_GB2312" w:hAnsi="方正仿宋_GB2312" w:eastAsia="方正仿宋_GB2312" w:cs="方正仿宋_GB2312"/>
          <w:sz w:val="28"/>
          <w:szCs w:val="28"/>
          <w:highlight w:val="none"/>
        </w:rPr>
        <w:instrText xml:space="preserve"> PAGEREF _Toc3294 \h </w:instrText>
      </w:r>
      <w:r>
        <w:rPr>
          <w:rFonts w:hint="eastAsia" w:ascii="方正仿宋_GB2312" w:hAnsi="方正仿宋_GB2312" w:eastAsia="方正仿宋_GB2312" w:cs="方正仿宋_GB2312"/>
          <w:sz w:val="28"/>
          <w:szCs w:val="28"/>
          <w:highlight w:val="none"/>
        </w:rPr>
        <w:fldChar w:fldCharType="separate"/>
      </w:r>
      <w:r>
        <w:rPr>
          <w:rFonts w:hint="eastAsia" w:ascii="方正仿宋_GB2312" w:hAnsi="方正仿宋_GB2312" w:eastAsia="方正仿宋_GB2312" w:cs="方正仿宋_GB2312"/>
          <w:sz w:val="28"/>
          <w:szCs w:val="28"/>
          <w:highlight w:val="none"/>
        </w:rPr>
        <w:t>39</w:t>
      </w:r>
      <w:r>
        <w:rPr>
          <w:rFonts w:hint="eastAsia" w:ascii="方正仿宋_GB2312" w:hAnsi="方正仿宋_GB2312" w:eastAsia="方正仿宋_GB2312" w:cs="方正仿宋_GB2312"/>
          <w:sz w:val="28"/>
          <w:szCs w:val="28"/>
          <w:highlight w:val="none"/>
        </w:rPr>
        <w:fldChar w:fldCharType="end"/>
      </w:r>
      <w:r>
        <w:rPr>
          <w:rFonts w:hint="eastAsia" w:ascii="方正仿宋_GB2312" w:hAnsi="方正仿宋_GB2312" w:eastAsia="方正仿宋_GB2312" w:cs="方正仿宋_GB2312"/>
          <w:bCs/>
          <w:sz w:val="28"/>
          <w:szCs w:val="28"/>
          <w:highlight w:val="none"/>
        </w:rPr>
        <w:fldChar w:fldCharType="end"/>
      </w:r>
    </w:p>
    <w:p>
      <w:pPr>
        <w:pStyle w:val="12"/>
        <w:tabs>
          <w:tab w:val="right" w:leader="dot" w:pos="8306"/>
        </w:tabs>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bCs/>
          <w:sz w:val="28"/>
          <w:szCs w:val="28"/>
          <w:highlight w:val="none"/>
        </w:rPr>
        <w:fldChar w:fldCharType="begin"/>
      </w:r>
      <w:r>
        <w:rPr>
          <w:rFonts w:hint="eastAsia" w:ascii="方正仿宋_GB2312" w:hAnsi="方正仿宋_GB2312" w:eastAsia="方正仿宋_GB2312" w:cs="方正仿宋_GB2312"/>
          <w:bCs/>
          <w:sz w:val="28"/>
          <w:szCs w:val="28"/>
          <w:highlight w:val="none"/>
        </w:rPr>
        <w:instrText xml:space="preserve"> HYPERLINK \l _Toc4845 </w:instrText>
      </w:r>
      <w:r>
        <w:rPr>
          <w:rFonts w:hint="eastAsia" w:ascii="方正仿宋_GB2312" w:hAnsi="方正仿宋_GB2312" w:eastAsia="方正仿宋_GB2312" w:cs="方正仿宋_GB2312"/>
          <w:bCs/>
          <w:sz w:val="28"/>
          <w:szCs w:val="28"/>
          <w:highlight w:val="none"/>
        </w:rPr>
        <w:fldChar w:fldCharType="separate"/>
      </w:r>
      <w:r>
        <w:rPr>
          <w:rFonts w:hint="eastAsia" w:ascii="方正仿宋_GB2312" w:hAnsi="方正仿宋_GB2312" w:eastAsia="方正仿宋_GB2312" w:cs="方正仿宋_GB2312"/>
          <w:spacing w:val="20"/>
          <w:kern w:val="44"/>
          <w:sz w:val="28"/>
          <w:szCs w:val="28"/>
          <w:highlight w:val="none"/>
        </w:rPr>
        <w:t>第五章 合同条款格式</w:t>
      </w:r>
      <w:r>
        <w:rPr>
          <w:rFonts w:hint="eastAsia" w:ascii="方正仿宋_GB2312" w:hAnsi="方正仿宋_GB2312" w:eastAsia="方正仿宋_GB2312" w:cs="方正仿宋_GB2312"/>
          <w:sz w:val="28"/>
          <w:szCs w:val="28"/>
          <w:highlight w:val="none"/>
        </w:rPr>
        <w:tab/>
      </w:r>
      <w:r>
        <w:rPr>
          <w:rFonts w:hint="eastAsia" w:ascii="方正仿宋_GB2312" w:hAnsi="方正仿宋_GB2312" w:eastAsia="方正仿宋_GB2312" w:cs="方正仿宋_GB2312"/>
          <w:sz w:val="28"/>
          <w:szCs w:val="28"/>
          <w:highlight w:val="none"/>
        </w:rPr>
        <w:fldChar w:fldCharType="begin"/>
      </w:r>
      <w:r>
        <w:rPr>
          <w:rFonts w:hint="eastAsia" w:ascii="方正仿宋_GB2312" w:hAnsi="方正仿宋_GB2312" w:eastAsia="方正仿宋_GB2312" w:cs="方正仿宋_GB2312"/>
          <w:sz w:val="28"/>
          <w:szCs w:val="28"/>
          <w:highlight w:val="none"/>
        </w:rPr>
        <w:instrText xml:space="preserve"> PAGEREF _Toc4845 \h </w:instrText>
      </w:r>
      <w:r>
        <w:rPr>
          <w:rFonts w:hint="eastAsia" w:ascii="方正仿宋_GB2312" w:hAnsi="方正仿宋_GB2312" w:eastAsia="方正仿宋_GB2312" w:cs="方正仿宋_GB2312"/>
          <w:sz w:val="28"/>
          <w:szCs w:val="28"/>
          <w:highlight w:val="none"/>
        </w:rPr>
        <w:fldChar w:fldCharType="separate"/>
      </w:r>
      <w:r>
        <w:rPr>
          <w:rFonts w:hint="eastAsia" w:ascii="方正仿宋_GB2312" w:hAnsi="方正仿宋_GB2312" w:eastAsia="方正仿宋_GB2312" w:cs="方正仿宋_GB2312"/>
          <w:sz w:val="28"/>
          <w:szCs w:val="28"/>
          <w:highlight w:val="none"/>
        </w:rPr>
        <w:t>59</w:t>
      </w:r>
      <w:r>
        <w:rPr>
          <w:rFonts w:hint="eastAsia" w:ascii="方正仿宋_GB2312" w:hAnsi="方正仿宋_GB2312" w:eastAsia="方正仿宋_GB2312" w:cs="方正仿宋_GB2312"/>
          <w:sz w:val="28"/>
          <w:szCs w:val="28"/>
          <w:highlight w:val="none"/>
        </w:rPr>
        <w:fldChar w:fldCharType="end"/>
      </w:r>
      <w:r>
        <w:rPr>
          <w:rFonts w:hint="eastAsia" w:ascii="方正仿宋_GB2312" w:hAnsi="方正仿宋_GB2312" w:eastAsia="方正仿宋_GB2312" w:cs="方正仿宋_GB2312"/>
          <w:bCs/>
          <w:sz w:val="28"/>
          <w:szCs w:val="28"/>
          <w:highlight w:val="none"/>
        </w:rPr>
        <w:fldChar w:fldCharType="end"/>
      </w:r>
    </w:p>
    <w:p>
      <w:pPr>
        <w:pStyle w:val="12"/>
        <w:tabs>
          <w:tab w:val="right" w:leader="dot" w:pos="8306"/>
        </w:tabs>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bCs/>
          <w:sz w:val="28"/>
          <w:szCs w:val="28"/>
          <w:highlight w:val="none"/>
        </w:rPr>
        <w:fldChar w:fldCharType="begin"/>
      </w:r>
      <w:r>
        <w:rPr>
          <w:rFonts w:hint="eastAsia" w:ascii="方正仿宋_GB2312" w:hAnsi="方正仿宋_GB2312" w:eastAsia="方正仿宋_GB2312" w:cs="方正仿宋_GB2312"/>
          <w:bCs/>
          <w:sz w:val="28"/>
          <w:szCs w:val="28"/>
          <w:highlight w:val="none"/>
        </w:rPr>
        <w:instrText xml:space="preserve"> HYPERLINK \l _Toc25529 </w:instrText>
      </w:r>
      <w:r>
        <w:rPr>
          <w:rFonts w:hint="eastAsia" w:ascii="方正仿宋_GB2312" w:hAnsi="方正仿宋_GB2312" w:eastAsia="方正仿宋_GB2312" w:cs="方正仿宋_GB2312"/>
          <w:bCs/>
          <w:sz w:val="28"/>
          <w:szCs w:val="28"/>
          <w:highlight w:val="none"/>
        </w:rPr>
        <w:fldChar w:fldCharType="separate"/>
      </w:r>
      <w:r>
        <w:rPr>
          <w:rFonts w:hint="eastAsia" w:ascii="方正仿宋_GB2312" w:hAnsi="方正仿宋_GB2312" w:eastAsia="方正仿宋_GB2312" w:cs="方正仿宋_GB2312"/>
          <w:sz w:val="28"/>
          <w:szCs w:val="28"/>
          <w:highlight w:val="none"/>
        </w:rPr>
        <w:t>第六章  投标文件格式</w:t>
      </w:r>
      <w:r>
        <w:rPr>
          <w:rFonts w:hint="eastAsia" w:ascii="方正仿宋_GB2312" w:hAnsi="方正仿宋_GB2312" w:eastAsia="方正仿宋_GB2312" w:cs="方正仿宋_GB2312"/>
          <w:sz w:val="28"/>
          <w:szCs w:val="28"/>
          <w:highlight w:val="none"/>
        </w:rPr>
        <w:tab/>
      </w:r>
      <w:r>
        <w:rPr>
          <w:rFonts w:hint="eastAsia" w:ascii="方正仿宋_GB2312" w:hAnsi="方正仿宋_GB2312" w:eastAsia="方正仿宋_GB2312" w:cs="方正仿宋_GB2312"/>
          <w:sz w:val="28"/>
          <w:szCs w:val="28"/>
          <w:highlight w:val="none"/>
        </w:rPr>
        <w:fldChar w:fldCharType="begin"/>
      </w:r>
      <w:r>
        <w:rPr>
          <w:rFonts w:hint="eastAsia" w:ascii="方正仿宋_GB2312" w:hAnsi="方正仿宋_GB2312" w:eastAsia="方正仿宋_GB2312" w:cs="方正仿宋_GB2312"/>
          <w:sz w:val="28"/>
          <w:szCs w:val="28"/>
          <w:highlight w:val="none"/>
        </w:rPr>
        <w:instrText xml:space="preserve"> PAGEREF _Toc25529 \h </w:instrText>
      </w:r>
      <w:r>
        <w:rPr>
          <w:rFonts w:hint="eastAsia" w:ascii="方正仿宋_GB2312" w:hAnsi="方正仿宋_GB2312" w:eastAsia="方正仿宋_GB2312" w:cs="方正仿宋_GB2312"/>
          <w:sz w:val="28"/>
          <w:szCs w:val="28"/>
          <w:highlight w:val="none"/>
        </w:rPr>
        <w:fldChar w:fldCharType="separate"/>
      </w:r>
      <w:r>
        <w:rPr>
          <w:rFonts w:hint="eastAsia" w:ascii="方正仿宋_GB2312" w:hAnsi="方正仿宋_GB2312" w:eastAsia="方正仿宋_GB2312" w:cs="方正仿宋_GB2312"/>
          <w:sz w:val="28"/>
          <w:szCs w:val="28"/>
          <w:highlight w:val="none"/>
        </w:rPr>
        <w:t>64</w:t>
      </w:r>
      <w:r>
        <w:rPr>
          <w:rFonts w:hint="eastAsia" w:ascii="方正仿宋_GB2312" w:hAnsi="方正仿宋_GB2312" w:eastAsia="方正仿宋_GB2312" w:cs="方正仿宋_GB2312"/>
          <w:sz w:val="28"/>
          <w:szCs w:val="28"/>
          <w:highlight w:val="none"/>
        </w:rPr>
        <w:fldChar w:fldCharType="end"/>
      </w:r>
      <w:r>
        <w:rPr>
          <w:rFonts w:hint="eastAsia" w:ascii="方正仿宋_GB2312" w:hAnsi="方正仿宋_GB2312" w:eastAsia="方正仿宋_GB2312" w:cs="方正仿宋_GB2312"/>
          <w:bCs/>
          <w:sz w:val="28"/>
          <w:szCs w:val="28"/>
          <w:highlight w:val="none"/>
        </w:rPr>
        <w:fldChar w:fldCharType="end"/>
      </w:r>
    </w:p>
    <w:p>
      <w:pPr>
        <w:pStyle w:val="13"/>
        <w:tabs>
          <w:tab w:val="right" w:leader="dot" w:pos="8306"/>
        </w:tabs>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bCs/>
          <w:sz w:val="28"/>
          <w:szCs w:val="28"/>
          <w:highlight w:val="none"/>
        </w:rPr>
        <w:fldChar w:fldCharType="begin"/>
      </w:r>
      <w:r>
        <w:rPr>
          <w:rFonts w:hint="eastAsia" w:ascii="方正仿宋_GB2312" w:hAnsi="方正仿宋_GB2312" w:eastAsia="方正仿宋_GB2312" w:cs="方正仿宋_GB2312"/>
          <w:bCs/>
          <w:sz w:val="28"/>
          <w:szCs w:val="28"/>
          <w:highlight w:val="none"/>
        </w:rPr>
        <w:instrText xml:space="preserve"> HYPERLINK \l _Toc19037 </w:instrText>
      </w:r>
      <w:r>
        <w:rPr>
          <w:rFonts w:hint="eastAsia" w:ascii="方正仿宋_GB2312" w:hAnsi="方正仿宋_GB2312" w:eastAsia="方正仿宋_GB2312" w:cs="方正仿宋_GB2312"/>
          <w:bCs/>
          <w:sz w:val="28"/>
          <w:szCs w:val="28"/>
          <w:highlight w:val="none"/>
        </w:rPr>
        <w:fldChar w:fldCharType="separate"/>
      </w:r>
      <w:r>
        <w:rPr>
          <w:rFonts w:hint="eastAsia" w:ascii="方正仿宋_GB2312" w:hAnsi="方正仿宋_GB2312" w:eastAsia="方正仿宋_GB2312" w:cs="方正仿宋_GB2312"/>
          <w:sz w:val="28"/>
          <w:szCs w:val="28"/>
          <w:highlight w:val="none"/>
        </w:rPr>
        <w:t>（一）资格审查（87号令）部分格式：</w:t>
      </w:r>
      <w:r>
        <w:rPr>
          <w:rFonts w:hint="eastAsia" w:ascii="方正仿宋_GB2312" w:hAnsi="方正仿宋_GB2312" w:eastAsia="方正仿宋_GB2312" w:cs="方正仿宋_GB2312"/>
          <w:sz w:val="28"/>
          <w:szCs w:val="28"/>
          <w:highlight w:val="none"/>
        </w:rPr>
        <w:tab/>
      </w:r>
      <w:r>
        <w:rPr>
          <w:rFonts w:hint="eastAsia" w:ascii="方正仿宋_GB2312" w:hAnsi="方正仿宋_GB2312" w:eastAsia="方正仿宋_GB2312" w:cs="方正仿宋_GB2312"/>
          <w:sz w:val="28"/>
          <w:szCs w:val="28"/>
          <w:highlight w:val="none"/>
        </w:rPr>
        <w:fldChar w:fldCharType="begin"/>
      </w:r>
      <w:r>
        <w:rPr>
          <w:rFonts w:hint="eastAsia" w:ascii="方正仿宋_GB2312" w:hAnsi="方正仿宋_GB2312" w:eastAsia="方正仿宋_GB2312" w:cs="方正仿宋_GB2312"/>
          <w:sz w:val="28"/>
          <w:szCs w:val="28"/>
          <w:highlight w:val="none"/>
        </w:rPr>
        <w:instrText xml:space="preserve"> PAGEREF _Toc19037 \h </w:instrText>
      </w:r>
      <w:r>
        <w:rPr>
          <w:rFonts w:hint="eastAsia" w:ascii="方正仿宋_GB2312" w:hAnsi="方正仿宋_GB2312" w:eastAsia="方正仿宋_GB2312" w:cs="方正仿宋_GB2312"/>
          <w:sz w:val="28"/>
          <w:szCs w:val="28"/>
          <w:highlight w:val="none"/>
        </w:rPr>
        <w:fldChar w:fldCharType="separate"/>
      </w:r>
      <w:r>
        <w:rPr>
          <w:rFonts w:hint="eastAsia" w:ascii="方正仿宋_GB2312" w:hAnsi="方正仿宋_GB2312" w:eastAsia="方正仿宋_GB2312" w:cs="方正仿宋_GB2312"/>
          <w:sz w:val="28"/>
          <w:szCs w:val="28"/>
          <w:highlight w:val="none"/>
        </w:rPr>
        <w:t>65</w:t>
      </w:r>
      <w:r>
        <w:rPr>
          <w:rFonts w:hint="eastAsia" w:ascii="方正仿宋_GB2312" w:hAnsi="方正仿宋_GB2312" w:eastAsia="方正仿宋_GB2312" w:cs="方正仿宋_GB2312"/>
          <w:sz w:val="28"/>
          <w:szCs w:val="28"/>
          <w:highlight w:val="none"/>
        </w:rPr>
        <w:fldChar w:fldCharType="end"/>
      </w:r>
      <w:r>
        <w:rPr>
          <w:rFonts w:hint="eastAsia" w:ascii="方正仿宋_GB2312" w:hAnsi="方正仿宋_GB2312" w:eastAsia="方正仿宋_GB2312" w:cs="方正仿宋_GB2312"/>
          <w:bCs/>
          <w:sz w:val="28"/>
          <w:szCs w:val="28"/>
          <w:highlight w:val="none"/>
        </w:rPr>
        <w:fldChar w:fldCharType="end"/>
      </w:r>
    </w:p>
    <w:p>
      <w:pPr>
        <w:pStyle w:val="13"/>
        <w:tabs>
          <w:tab w:val="right" w:leader="dot" w:pos="8306"/>
        </w:tabs>
        <w:rPr>
          <w:rFonts w:hint="eastAsia" w:ascii="方正仿宋_GB2312" w:hAnsi="方正仿宋_GB2312" w:eastAsia="方正仿宋_GB2312" w:cs="方正仿宋_GB2312"/>
          <w:sz w:val="28"/>
          <w:szCs w:val="28"/>
          <w:highlight w:val="none"/>
        </w:rPr>
      </w:pPr>
      <w:r>
        <w:rPr>
          <w:rFonts w:hint="eastAsia" w:ascii="方正仿宋_GB2312" w:hAnsi="方正仿宋_GB2312" w:eastAsia="方正仿宋_GB2312" w:cs="方正仿宋_GB2312"/>
          <w:bCs/>
          <w:sz w:val="28"/>
          <w:szCs w:val="28"/>
          <w:highlight w:val="none"/>
        </w:rPr>
        <w:fldChar w:fldCharType="begin"/>
      </w:r>
      <w:r>
        <w:rPr>
          <w:rFonts w:hint="eastAsia" w:ascii="方正仿宋_GB2312" w:hAnsi="方正仿宋_GB2312" w:eastAsia="方正仿宋_GB2312" w:cs="方正仿宋_GB2312"/>
          <w:bCs/>
          <w:sz w:val="28"/>
          <w:szCs w:val="28"/>
          <w:highlight w:val="none"/>
        </w:rPr>
        <w:instrText xml:space="preserve"> HYPERLINK \l _Toc17798 </w:instrText>
      </w:r>
      <w:r>
        <w:rPr>
          <w:rFonts w:hint="eastAsia" w:ascii="方正仿宋_GB2312" w:hAnsi="方正仿宋_GB2312" w:eastAsia="方正仿宋_GB2312" w:cs="方正仿宋_GB2312"/>
          <w:bCs/>
          <w:sz w:val="28"/>
          <w:szCs w:val="28"/>
          <w:highlight w:val="none"/>
        </w:rPr>
        <w:fldChar w:fldCharType="separate"/>
      </w:r>
      <w:r>
        <w:rPr>
          <w:rFonts w:hint="eastAsia" w:ascii="方正仿宋_GB2312" w:hAnsi="方正仿宋_GB2312" w:eastAsia="方正仿宋_GB2312" w:cs="方正仿宋_GB2312"/>
          <w:sz w:val="28"/>
          <w:szCs w:val="28"/>
          <w:highlight w:val="none"/>
        </w:rPr>
        <w:t>（二）报价部分</w:t>
      </w:r>
      <w:r>
        <w:rPr>
          <w:rFonts w:hint="eastAsia" w:ascii="方正仿宋_GB2312" w:hAnsi="方正仿宋_GB2312" w:eastAsia="方正仿宋_GB2312" w:cs="方正仿宋_GB2312"/>
          <w:sz w:val="28"/>
          <w:szCs w:val="28"/>
          <w:highlight w:val="none"/>
          <w:lang w:eastAsia="zh-CN"/>
        </w:rPr>
        <w:t>：</w:t>
      </w:r>
      <w:r>
        <w:rPr>
          <w:rFonts w:hint="eastAsia" w:ascii="方正仿宋_GB2312" w:hAnsi="方正仿宋_GB2312" w:eastAsia="方正仿宋_GB2312" w:cs="方正仿宋_GB2312"/>
          <w:sz w:val="28"/>
          <w:szCs w:val="28"/>
          <w:highlight w:val="none"/>
        </w:rPr>
        <w:tab/>
      </w:r>
      <w:r>
        <w:rPr>
          <w:rFonts w:hint="eastAsia" w:ascii="方正仿宋_GB2312" w:hAnsi="方正仿宋_GB2312" w:eastAsia="方正仿宋_GB2312" w:cs="方正仿宋_GB2312"/>
          <w:sz w:val="28"/>
          <w:szCs w:val="28"/>
          <w:highlight w:val="none"/>
        </w:rPr>
        <w:fldChar w:fldCharType="begin"/>
      </w:r>
      <w:r>
        <w:rPr>
          <w:rFonts w:hint="eastAsia" w:ascii="方正仿宋_GB2312" w:hAnsi="方正仿宋_GB2312" w:eastAsia="方正仿宋_GB2312" w:cs="方正仿宋_GB2312"/>
          <w:sz w:val="28"/>
          <w:szCs w:val="28"/>
          <w:highlight w:val="none"/>
        </w:rPr>
        <w:instrText xml:space="preserve"> PAGEREF _Toc17798 \h </w:instrText>
      </w:r>
      <w:r>
        <w:rPr>
          <w:rFonts w:hint="eastAsia" w:ascii="方正仿宋_GB2312" w:hAnsi="方正仿宋_GB2312" w:eastAsia="方正仿宋_GB2312" w:cs="方正仿宋_GB2312"/>
          <w:sz w:val="28"/>
          <w:szCs w:val="28"/>
          <w:highlight w:val="none"/>
        </w:rPr>
        <w:fldChar w:fldCharType="separate"/>
      </w:r>
      <w:r>
        <w:rPr>
          <w:rFonts w:hint="eastAsia" w:ascii="方正仿宋_GB2312" w:hAnsi="方正仿宋_GB2312" w:eastAsia="方正仿宋_GB2312" w:cs="方正仿宋_GB2312"/>
          <w:sz w:val="28"/>
          <w:szCs w:val="28"/>
          <w:highlight w:val="none"/>
        </w:rPr>
        <w:t>70</w:t>
      </w:r>
      <w:r>
        <w:rPr>
          <w:rFonts w:hint="eastAsia" w:ascii="方正仿宋_GB2312" w:hAnsi="方正仿宋_GB2312" w:eastAsia="方正仿宋_GB2312" w:cs="方正仿宋_GB2312"/>
          <w:sz w:val="28"/>
          <w:szCs w:val="28"/>
          <w:highlight w:val="none"/>
        </w:rPr>
        <w:fldChar w:fldCharType="end"/>
      </w:r>
      <w:r>
        <w:rPr>
          <w:rFonts w:hint="eastAsia" w:ascii="方正仿宋_GB2312" w:hAnsi="方正仿宋_GB2312" w:eastAsia="方正仿宋_GB2312" w:cs="方正仿宋_GB2312"/>
          <w:bCs/>
          <w:sz w:val="28"/>
          <w:szCs w:val="28"/>
          <w:highlight w:val="none"/>
        </w:rPr>
        <w:fldChar w:fldCharType="end"/>
      </w:r>
    </w:p>
    <w:p>
      <w:pPr>
        <w:pStyle w:val="13"/>
        <w:tabs>
          <w:tab w:val="right" w:leader="dot" w:pos="8306"/>
        </w:tabs>
        <w:rPr>
          <w:rFonts w:hint="eastAsia" w:ascii="方正小标宋简体" w:hAnsi="方正小标宋简体" w:eastAsia="方正小标宋简体" w:cs="方正小标宋简体"/>
          <w:highlight w:val="none"/>
        </w:rPr>
      </w:pPr>
      <w:r>
        <w:rPr>
          <w:rFonts w:hint="eastAsia" w:ascii="方正仿宋_GB2312" w:hAnsi="方正仿宋_GB2312" w:eastAsia="方正仿宋_GB2312" w:cs="方正仿宋_GB2312"/>
          <w:bCs/>
          <w:sz w:val="28"/>
          <w:szCs w:val="28"/>
          <w:highlight w:val="none"/>
        </w:rPr>
        <w:fldChar w:fldCharType="begin"/>
      </w:r>
      <w:r>
        <w:rPr>
          <w:rFonts w:hint="eastAsia" w:ascii="方正仿宋_GB2312" w:hAnsi="方正仿宋_GB2312" w:eastAsia="方正仿宋_GB2312" w:cs="方正仿宋_GB2312"/>
          <w:bCs/>
          <w:sz w:val="28"/>
          <w:szCs w:val="28"/>
          <w:highlight w:val="none"/>
        </w:rPr>
        <w:instrText xml:space="preserve"> HYPERLINK \l _Toc22586 </w:instrText>
      </w:r>
      <w:r>
        <w:rPr>
          <w:rFonts w:hint="eastAsia" w:ascii="方正仿宋_GB2312" w:hAnsi="方正仿宋_GB2312" w:eastAsia="方正仿宋_GB2312" w:cs="方正仿宋_GB2312"/>
          <w:bCs/>
          <w:sz w:val="28"/>
          <w:szCs w:val="28"/>
          <w:highlight w:val="none"/>
        </w:rPr>
        <w:fldChar w:fldCharType="separate"/>
      </w:r>
      <w:r>
        <w:rPr>
          <w:rFonts w:hint="eastAsia" w:ascii="方正仿宋_GB2312" w:hAnsi="方正仿宋_GB2312" w:eastAsia="方正仿宋_GB2312" w:cs="方正仿宋_GB2312"/>
          <w:bCs/>
          <w:sz w:val="28"/>
          <w:szCs w:val="28"/>
          <w:highlight w:val="none"/>
        </w:rPr>
        <w:t>（三）商务技术部分格式：</w:t>
      </w:r>
      <w:r>
        <w:rPr>
          <w:rFonts w:hint="eastAsia" w:ascii="方正仿宋_GB2312" w:hAnsi="方正仿宋_GB2312" w:eastAsia="方正仿宋_GB2312" w:cs="方正仿宋_GB2312"/>
          <w:sz w:val="28"/>
          <w:szCs w:val="28"/>
          <w:highlight w:val="none"/>
        </w:rPr>
        <w:tab/>
      </w:r>
      <w:r>
        <w:rPr>
          <w:rFonts w:hint="eastAsia" w:ascii="方正仿宋_GB2312" w:hAnsi="方正仿宋_GB2312" w:eastAsia="方正仿宋_GB2312" w:cs="方正仿宋_GB2312"/>
          <w:sz w:val="28"/>
          <w:szCs w:val="28"/>
          <w:highlight w:val="none"/>
        </w:rPr>
        <w:fldChar w:fldCharType="begin"/>
      </w:r>
      <w:r>
        <w:rPr>
          <w:rFonts w:hint="eastAsia" w:ascii="方正仿宋_GB2312" w:hAnsi="方正仿宋_GB2312" w:eastAsia="方正仿宋_GB2312" w:cs="方正仿宋_GB2312"/>
          <w:sz w:val="28"/>
          <w:szCs w:val="28"/>
          <w:highlight w:val="none"/>
        </w:rPr>
        <w:instrText xml:space="preserve"> PAGEREF _Toc22586 \h </w:instrText>
      </w:r>
      <w:r>
        <w:rPr>
          <w:rFonts w:hint="eastAsia" w:ascii="方正仿宋_GB2312" w:hAnsi="方正仿宋_GB2312" w:eastAsia="方正仿宋_GB2312" w:cs="方正仿宋_GB2312"/>
          <w:sz w:val="28"/>
          <w:szCs w:val="28"/>
          <w:highlight w:val="none"/>
        </w:rPr>
        <w:fldChar w:fldCharType="separate"/>
      </w:r>
      <w:r>
        <w:rPr>
          <w:rFonts w:hint="eastAsia" w:ascii="方正仿宋_GB2312" w:hAnsi="方正仿宋_GB2312" w:eastAsia="方正仿宋_GB2312" w:cs="方正仿宋_GB2312"/>
          <w:sz w:val="28"/>
          <w:szCs w:val="28"/>
          <w:highlight w:val="none"/>
        </w:rPr>
        <w:t>79</w:t>
      </w:r>
      <w:r>
        <w:rPr>
          <w:rFonts w:hint="eastAsia" w:ascii="方正仿宋_GB2312" w:hAnsi="方正仿宋_GB2312" w:eastAsia="方正仿宋_GB2312" w:cs="方正仿宋_GB2312"/>
          <w:sz w:val="28"/>
          <w:szCs w:val="28"/>
          <w:highlight w:val="none"/>
        </w:rPr>
        <w:fldChar w:fldCharType="end"/>
      </w:r>
      <w:r>
        <w:rPr>
          <w:rFonts w:hint="eastAsia" w:ascii="方正仿宋_GB2312" w:hAnsi="方正仿宋_GB2312" w:eastAsia="方正仿宋_GB2312" w:cs="方正仿宋_GB2312"/>
          <w:bCs/>
          <w:sz w:val="28"/>
          <w:szCs w:val="28"/>
          <w:highlight w:val="none"/>
        </w:rPr>
        <w:fldChar w:fldCharType="end"/>
      </w:r>
    </w:p>
    <w:p>
      <w:pPr>
        <w:rPr>
          <w:rFonts w:hint="eastAsia" w:ascii="方正小标宋简体" w:hAnsi="方正小标宋简体" w:eastAsia="方正小标宋简体" w:cs="方正小标宋简体"/>
          <w:b/>
          <w:bCs/>
          <w:sz w:val="44"/>
          <w:szCs w:val="44"/>
          <w:highlight w:val="none"/>
        </w:rPr>
      </w:pPr>
      <w:r>
        <w:rPr>
          <w:rFonts w:hint="eastAsia" w:ascii="方正小标宋简体" w:hAnsi="方正小标宋简体" w:eastAsia="方正小标宋简体" w:cs="方正小标宋简体"/>
          <w:bCs/>
          <w:szCs w:val="44"/>
          <w:highlight w:val="none"/>
        </w:rPr>
        <w:fldChar w:fldCharType="end"/>
      </w:r>
    </w:p>
    <w:p>
      <w:pPr>
        <w:spacing w:line="360" w:lineRule="auto"/>
        <w:jc w:val="center"/>
        <w:outlineLvl w:val="0"/>
        <w:rPr>
          <w:rFonts w:hint="eastAsia" w:ascii="方正小标宋简体" w:hAnsi="方正小标宋简体" w:eastAsia="方正小标宋简体" w:cs="方正小标宋简体"/>
          <w:b/>
          <w:bCs/>
          <w:sz w:val="44"/>
          <w:szCs w:val="44"/>
          <w:highlight w:val="none"/>
        </w:rPr>
        <w:sectPr>
          <w:footerReference r:id="rId5" w:type="default"/>
          <w:pgSz w:w="11906" w:h="16838"/>
          <w:pgMar w:top="1440" w:right="1800" w:bottom="1440" w:left="1800" w:header="720" w:footer="720" w:gutter="0"/>
          <w:pgNumType w:start="1"/>
          <w:cols w:space="720" w:num="1"/>
          <w:docGrid w:type="lines" w:linePitch="312" w:charSpace="0"/>
        </w:sectPr>
      </w:pPr>
      <w:bookmarkStart w:id="103" w:name="_Toc11856"/>
    </w:p>
    <w:p>
      <w:pPr>
        <w:spacing w:line="360" w:lineRule="auto"/>
        <w:jc w:val="center"/>
        <w:outlineLvl w:val="0"/>
        <w:rPr>
          <w:rFonts w:ascii="方正小标宋简体" w:hAnsi="方正小标宋简体" w:eastAsia="方正小标宋简体" w:cs="方正小标宋简体"/>
          <w:b/>
          <w:bCs/>
          <w:sz w:val="44"/>
          <w:szCs w:val="44"/>
          <w:highlight w:val="none"/>
        </w:rPr>
      </w:pPr>
      <w:r>
        <w:rPr>
          <w:rFonts w:hint="eastAsia" w:ascii="方正小标宋简体" w:hAnsi="方正小标宋简体" w:eastAsia="方正小标宋简体" w:cs="方正小标宋简体"/>
          <w:b/>
          <w:bCs/>
          <w:sz w:val="44"/>
          <w:szCs w:val="44"/>
          <w:highlight w:val="none"/>
        </w:rPr>
        <w:t>第一章 招标公告</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rPr>
          <w:highlight w:val="none"/>
        </w:rPr>
      </w:pPr>
    </w:p>
    <w:p>
      <w:pPr>
        <w:pBdr>
          <w:top w:val="single" w:color="auto" w:sz="4" w:space="1"/>
          <w:left w:val="single" w:color="auto" w:sz="4" w:space="4"/>
          <w:bottom w:val="single" w:color="auto" w:sz="4" w:space="1"/>
          <w:right w:val="single" w:color="auto" w:sz="4" w:space="4"/>
        </w:pBd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sz w:val="24"/>
          <w:szCs w:val="24"/>
          <w:highlight w:val="none"/>
        </w:rPr>
        <w:t>根据《中华人民共和国政府采购法》、《中华人民共和国政府采购法实施条例》、《政府采购货物和服务招标投标管理办法》（财政部令第87号）等有关法律、法规规定，</w:t>
      </w:r>
      <w:r>
        <w:rPr>
          <w:rFonts w:hint="eastAsia" w:ascii="方正仿宋_GB2312" w:hAnsi="方正仿宋_GB2312" w:eastAsia="方正仿宋_GB2312" w:cs="方正仿宋_GB2312"/>
          <w:sz w:val="24"/>
          <w:szCs w:val="24"/>
          <w:highlight w:val="none"/>
          <w:u w:val="single"/>
          <w:lang w:eastAsia="zh-CN"/>
        </w:rPr>
        <w:t>昆明市呈贡区第四中学设施设备（设备及家具）二期采购项目</w:t>
      </w:r>
      <w:r>
        <w:rPr>
          <w:rFonts w:hint="eastAsia" w:ascii="方正仿宋_GB2312" w:hAnsi="方正仿宋_GB2312" w:eastAsia="方正仿宋_GB2312" w:cs="方正仿宋_GB2312"/>
          <w:sz w:val="24"/>
          <w:szCs w:val="24"/>
          <w:highlight w:val="none"/>
        </w:rPr>
        <w:t>的潜在供应商应在</w:t>
      </w:r>
      <w:r>
        <w:rPr>
          <w:rFonts w:hint="eastAsia" w:ascii="方正仿宋_GB2312" w:hAnsi="方正仿宋_GB2312" w:eastAsia="方正仿宋_GB2312" w:cs="方正仿宋_GB2312"/>
          <w:sz w:val="24"/>
          <w:szCs w:val="24"/>
          <w:highlight w:val="none"/>
          <w:u w:val="single"/>
        </w:rPr>
        <w:t>政采云平台（http：//www.zcygov.cn）</w:t>
      </w:r>
      <w:r>
        <w:rPr>
          <w:rFonts w:hint="eastAsia" w:ascii="方正仿宋_GB2312" w:hAnsi="方正仿宋_GB2312" w:eastAsia="方正仿宋_GB2312" w:cs="方正仿宋_GB2312"/>
          <w:sz w:val="24"/>
          <w:szCs w:val="24"/>
          <w:highlight w:val="none"/>
        </w:rPr>
        <w:t>获取招标文件，并于</w:t>
      </w:r>
      <w:r>
        <w:rPr>
          <w:rFonts w:hint="eastAsia" w:ascii="方正仿宋_GB2312" w:hAnsi="方正仿宋_GB2312" w:eastAsia="方正仿宋_GB2312" w:cs="方正仿宋_GB2312"/>
          <w:sz w:val="24"/>
          <w:szCs w:val="24"/>
          <w:highlight w:val="none"/>
          <w:lang w:eastAsia="zh-CN"/>
        </w:rPr>
        <w:t>2025-07-</w:t>
      </w:r>
      <w:r>
        <w:rPr>
          <w:rFonts w:hint="eastAsia" w:ascii="方正仿宋_GB2312" w:hAnsi="方正仿宋_GB2312" w:eastAsia="方正仿宋_GB2312" w:cs="方正仿宋_GB2312"/>
          <w:sz w:val="24"/>
          <w:szCs w:val="24"/>
          <w:highlight w:val="none"/>
          <w:lang w:val="en-US" w:eastAsia="zh-CN"/>
        </w:rPr>
        <w:t xml:space="preserve">31 </w:t>
      </w:r>
      <w:r>
        <w:rPr>
          <w:rFonts w:hint="eastAsia" w:ascii="方正仿宋_GB2312" w:hAnsi="方正仿宋_GB2312" w:eastAsia="方正仿宋_GB2312" w:cs="方正仿宋_GB2312"/>
          <w:sz w:val="24"/>
          <w:szCs w:val="24"/>
          <w:highlight w:val="none"/>
        </w:rPr>
        <w:t xml:space="preserve"> 09:30（北京时间）前递交投标文件。</w:t>
      </w:r>
    </w:p>
    <w:p>
      <w:pPr>
        <w:spacing w:line="360" w:lineRule="auto"/>
        <w:outlineLvl w:val="9"/>
        <w:rPr>
          <w:rFonts w:ascii="方正仿宋_GB2312" w:hAnsi="方正仿宋_GB2312" w:eastAsia="方正仿宋_GB2312" w:cs="方正仿宋_GB2312"/>
          <w:sz w:val="24"/>
          <w:szCs w:val="24"/>
          <w:highlight w:val="none"/>
          <w:u w:val="none"/>
        </w:rPr>
      </w:pPr>
      <w:bookmarkStart w:id="104" w:name="_Toc2189"/>
      <w:bookmarkStart w:id="105" w:name="_Toc28359012"/>
      <w:bookmarkStart w:id="106" w:name="_Toc29977"/>
      <w:bookmarkStart w:id="107" w:name="_Toc16224"/>
      <w:bookmarkStart w:id="108" w:name="_Toc25853"/>
      <w:bookmarkStart w:id="109" w:name="_Toc35393629"/>
      <w:bookmarkStart w:id="110" w:name="_Toc7454"/>
      <w:bookmarkStart w:id="111" w:name="_Toc27100"/>
      <w:bookmarkStart w:id="112" w:name="_Toc2764"/>
      <w:bookmarkStart w:id="113" w:name="_Toc11661"/>
      <w:bookmarkStart w:id="114" w:name="_Toc35393798"/>
      <w:bookmarkStart w:id="115" w:name="_Toc21121"/>
      <w:bookmarkStart w:id="116" w:name="_Toc17125"/>
      <w:bookmarkStart w:id="117" w:name="_Toc7202"/>
      <w:bookmarkStart w:id="118" w:name="_Toc28359089"/>
      <w:bookmarkStart w:id="119" w:name="_Toc25076"/>
      <w:r>
        <w:rPr>
          <w:rFonts w:hint="eastAsia" w:ascii="方正仿宋_GB2312" w:hAnsi="方正仿宋_GB2312" w:eastAsia="方正仿宋_GB2312" w:cs="方正仿宋_GB2312"/>
          <w:sz w:val="24"/>
          <w:szCs w:val="24"/>
          <w:highlight w:val="none"/>
          <w:u w:val="none"/>
        </w:rPr>
        <w:t>一、项目基本情况</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1.1项目名称：</w:t>
      </w:r>
      <w:r>
        <w:rPr>
          <w:rFonts w:hint="eastAsia" w:ascii="方正仿宋_GB2312" w:hAnsi="方正仿宋_GB2312" w:eastAsia="方正仿宋_GB2312" w:cs="方正仿宋_GB2312"/>
          <w:sz w:val="24"/>
          <w:szCs w:val="24"/>
          <w:highlight w:val="none"/>
          <w:u w:val="none"/>
          <w:lang w:eastAsia="zh-CN"/>
        </w:rPr>
        <w:t>昆明市呈贡区第四中学设施设备（设备及家具）二期采购项目；</w:t>
      </w:r>
      <w:r>
        <w:rPr>
          <w:rFonts w:hint="eastAsia" w:ascii="方正仿宋_GB2312" w:hAnsi="方正仿宋_GB2312" w:eastAsia="方正仿宋_GB2312" w:cs="方正仿宋_GB2312"/>
          <w:sz w:val="24"/>
          <w:szCs w:val="24"/>
          <w:highlight w:val="none"/>
          <w:u w:val="none"/>
          <w:lang w:eastAsia="zh-CN"/>
        </w:rPr>
        <w:br w:type="textWrapping"/>
      </w:r>
      <w:r>
        <w:rPr>
          <w:rFonts w:hint="eastAsia" w:ascii="方正仿宋_GB2312" w:hAnsi="方正仿宋_GB2312" w:eastAsia="方正仿宋_GB2312" w:cs="方正仿宋_GB2312"/>
          <w:sz w:val="24"/>
          <w:szCs w:val="24"/>
          <w:highlight w:val="none"/>
          <w:u w:val="none"/>
        </w:rPr>
        <w:t>1.2项目编号：</w:t>
      </w:r>
      <w:r>
        <w:rPr>
          <w:rFonts w:hint="eastAsia" w:ascii="方正仿宋_GB2312" w:hAnsi="方正仿宋_GB2312" w:eastAsia="方正仿宋_GB2312" w:cs="方正仿宋_GB2312"/>
          <w:sz w:val="24"/>
          <w:szCs w:val="24"/>
          <w:highlight w:val="none"/>
          <w:u w:val="none"/>
          <w:lang w:eastAsia="zh-CN"/>
        </w:rPr>
        <w:t>530121202502</w:t>
      </w:r>
      <w:r>
        <w:rPr>
          <w:rFonts w:hint="eastAsia" w:ascii="方正仿宋_GB2312" w:hAnsi="方正仿宋_GB2312" w:eastAsia="方正仿宋_GB2312" w:cs="方正仿宋_GB2312"/>
          <w:sz w:val="24"/>
          <w:szCs w:val="24"/>
          <w:highlight w:val="none"/>
          <w:u w:val="none"/>
          <w:lang w:val="en-US" w:eastAsia="zh-CN"/>
        </w:rPr>
        <w:t>3</w:t>
      </w:r>
      <w:r>
        <w:rPr>
          <w:rFonts w:hint="eastAsia" w:ascii="方正仿宋_GB2312" w:hAnsi="方正仿宋_GB2312" w:eastAsia="方正仿宋_GB2312" w:cs="方正仿宋_GB2312"/>
          <w:sz w:val="24"/>
          <w:szCs w:val="24"/>
          <w:highlight w:val="none"/>
          <w:u w:val="none"/>
        </w:rPr>
        <w:t>；</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1.3采购方式：公开招标；</w:t>
      </w:r>
    </w:p>
    <w:p>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1.4预算金额：</w:t>
      </w:r>
      <w:r>
        <w:rPr>
          <w:rFonts w:hint="eastAsia" w:ascii="方正仿宋_GB2312" w:hAnsi="方正仿宋_GB2312" w:eastAsia="方正仿宋_GB2312" w:cs="方正仿宋_GB2312"/>
          <w:color w:val="auto"/>
          <w:sz w:val="24"/>
          <w:szCs w:val="24"/>
          <w:highlight w:val="none"/>
          <w:u w:val="none"/>
          <w:lang w:val="en-US" w:eastAsia="zh-CN"/>
        </w:rPr>
        <w:t>231.2238</w:t>
      </w:r>
      <w:r>
        <w:rPr>
          <w:rFonts w:hint="eastAsia" w:ascii="方正仿宋_GB2312" w:hAnsi="方正仿宋_GB2312" w:eastAsia="方正仿宋_GB2312" w:cs="方正仿宋_GB2312"/>
          <w:color w:val="auto"/>
          <w:sz w:val="24"/>
          <w:szCs w:val="24"/>
          <w:highlight w:val="none"/>
          <w:u w:val="none"/>
        </w:rPr>
        <w:t>万元</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u w:val="single"/>
          <w:lang w:val="en-US" w:eastAsia="zh-CN"/>
        </w:rPr>
        <w:t>大写：贰佰叁拾壹万贰仟贰佰叁拾捌元整）</w:t>
      </w:r>
      <w:r>
        <w:rPr>
          <w:rFonts w:hint="eastAsia" w:ascii="方正仿宋_GB2312" w:hAnsi="方正仿宋_GB2312" w:eastAsia="方正仿宋_GB2312" w:cs="方正仿宋_GB2312"/>
          <w:color w:val="auto"/>
          <w:sz w:val="24"/>
          <w:szCs w:val="24"/>
          <w:highlight w:val="none"/>
          <w:u w:val="none"/>
          <w:lang w:eastAsia="zh-CN"/>
        </w:rPr>
        <w:t>，</w:t>
      </w:r>
      <w:r>
        <w:rPr>
          <w:rFonts w:hint="eastAsia" w:ascii="方正仿宋_GB2312" w:hAnsi="方正仿宋_GB2312" w:eastAsia="方正仿宋_GB2312" w:cs="方正仿宋_GB2312"/>
          <w:color w:val="auto"/>
          <w:sz w:val="24"/>
          <w:szCs w:val="24"/>
          <w:highlight w:val="none"/>
          <w:u w:val="none"/>
          <w:lang w:val="en-US" w:eastAsia="zh-CN"/>
        </w:rPr>
        <w:t>一标段为64.8078万元</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u w:val="single"/>
          <w:lang w:val="en-US" w:eastAsia="zh-CN"/>
        </w:rPr>
        <w:t>大写：陆拾肆万捌仟零柒拾捌元整）</w:t>
      </w:r>
      <w:r>
        <w:rPr>
          <w:rFonts w:hint="eastAsia" w:ascii="方正仿宋_GB2312" w:hAnsi="方正仿宋_GB2312" w:eastAsia="方正仿宋_GB2312" w:cs="方正仿宋_GB2312"/>
          <w:color w:val="auto"/>
          <w:sz w:val="24"/>
          <w:szCs w:val="24"/>
          <w:highlight w:val="none"/>
          <w:u w:val="none"/>
          <w:lang w:val="en-US" w:eastAsia="zh-CN"/>
        </w:rPr>
        <w:t>，二标段为166.416万元</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u w:val="single"/>
          <w:lang w:val="en-US" w:eastAsia="zh-CN"/>
        </w:rPr>
        <w:t>大写：壹佰陆拾陆万肆仟壹佰陆拾元整）</w:t>
      </w:r>
      <w:r>
        <w:rPr>
          <w:rFonts w:hint="eastAsia" w:ascii="方正仿宋_GB2312" w:hAnsi="方正仿宋_GB2312" w:eastAsia="方正仿宋_GB2312" w:cs="方正仿宋_GB2312"/>
          <w:color w:val="auto"/>
          <w:sz w:val="24"/>
          <w:szCs w:val="24"/>
          <w:highlight w:val="none"/>
          <w:u w:val="none"/>
        </w:rPr>
        <w:t>；</w:t>
      </w:r>
    </w:p>
    <w:p>
      <w:pPr>
        <w:spacing w:line="360" w:lineRule="auto"/>
        <w:outlineLvl w:val="9"/>
        <w:rPr>
          <w:rFonts w:ascii="方正仿宋_GB2312" w:hAnsi="方正仿宋_GB2312" w:eastAsia="方正仿宋_GB2312" w:cs="方正仿宋_GB2312"/>
          <w:color w:val="auto"/>
          <w:sz w:val="24"/>
          <w:szCs w:val="24"/>
          <w:highlight w:val="none"/>
          <w:u w:val="none"/>
        </w:rPr>
      </w:pPr>
      <w:r>
        <w:rPr>
          <w:rFonts w:hint="eastAsia" w:ascii="方正仿宋_GB2312" w:hAnsi="方正仿宋_GB2312" w:eastAsia="方正仿宋_GB2312" w:cs="方正仿宋_GB2312"/>
          <w:color w:val="auto"/>
          <w:sz w:val="24"/>
          <w:szCs w:val="24"/>
          <w:highlight w:val="none"/>
          <w:u w:val="none"/>
        </w:rPr>
        <w:t>1.5最高限价：</w:t>
      </w:r>
      <w:r>
        <w:rPr>
          <w:rFonts w:hint="eastAsia" w:ascii="方正仿宋_GB2312" w:hAnsi="方正仿宋_GB2312" w:eastAsia="方正仿宋_GB2312" w:cs="方正仿宋_GB2312"/>
          <w:color w:val="auto"/>
          <w:sz w:val="24"/>
          <w:szCs w:val="24"/>
          <w:highlight w:val="none"/>
          <w:u w:val="none"/>
          <w:lang w:val="en-US" w:eastAsia="zh-CN"/>
        </w:rPr>
        <w:t>231.2238</w:t>
      </w:r>
      <w:r>
        <w:rPr>
          <w:rFonts w:hint="eastAsia" w:ascii="方正仿宋_GB2312" w:hAnsi="方正仿宋_GB2312" w:eastAsia="方正仿宋_GB2312" w:cs="方正仿宋_GB2312"/>
          <w:color w:val="auto"/>
          <w:sz w:val="24"/>
          <w:szCs w:val="24"/>
          <w:highlight w:val="none"/>
          <w:u w:val="none"/>
        </w:rPr>
        <w:t>万元</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u w:val="single"/>
          <w:lang w:val="en-US" w:eastAsia="zh-CN"/>
        </w:rPr>
        <w:t>大写：贰佰叁拾壹万贰仟贰佰叁拾捌元整）</w:t>
      </w:r>
      <w:r>
        <w:rPr>
          <w:rFonts w:hint="eastAsia" w:ascii="方正仿宋_GB2312" w:hAnsi="方正仿宋_GB2312" w:eastAsia="方正仿宋_GB2312" w:cs="方正仿宋_GB2312"/>
          <w:color w:val="auto"/>
          <w:sz w:val="24"/>
          <w:szCs w:val="24"/>
          <w:highlight w:val="none"/>
          <w:u w:val="none"/>
          <w:lang w:eastAsia="zh-CN"/>
        </w:rPr>
        <w:t>，</w:t>
      </w:r>
      <w:r>
        <w:rPr>
          <w:rFonts w:hint="eastAsia" w:ascii="方正仿宋_GB2312" w:hAnsi="方正仿宋_GB2312" w:eastAsia="方正仿宋_GB2312" w:cs="方正仿宋_GB2312"/>
          <w:color w:val="auto"/>
          <w:sz w:val="24"/>
          <w:szCs w:val="24"/>
          <w:highlight w:val="none"/>
          <w:u w:val="none"/>
          <w:lang w:val="en-US" w:eastAsia="zh-CN"/>
        </w:rPr>
        <w:t>一标段为64.8078万元</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u w:val="single"/>
          <w:lang w:val="en-US" w:eastAsia="zh-CN"/>
        </w:rPr>
        <w:t>大写：陆拾肆万捌仟零柒拾捌元整）</w:t>
      </w:r>
      <w:r>
        <w:rPr>
          <w:rFonts w:hint="eastAsia" w:ascii="方正仿宋_GB2312" w:hAnsi="方正仿宋_GB2312" w:eastAsia="方正仿宋_GB2312" w:cs="方正仿宋_GB2312"/>
          <w:color w:val="auto"/>
          <w:sz w:val="24"/>
          <w:szCs w:val="24"/>
          <w:highlight w:val="none"/>
          <w:u w:val="none"/>
          <w:lang w:val="en-US" w:eastAsia="zh-CN"/>
        </w:rPr>
        <w:t>，二标段为166.416万元</w:t>
      </w:r>
      <w:r>
        <w:rPr>
          <w:rFonts w:hint="eastAsia" w:ascii="方正仿宋_GB2312" w:hAnsi="方正仿宋_GB2312" w:eastAsia="方正仿宋_GB2312" w:cs="方正仿宋_GB2312"/>
          <w:color w:val="auto"/>
          <w:sz w:val="24"/>
          <w:szCs w:val="24"/>
          <w:highlight w:val="none"/>
          <w:u w:val="single"/>
          <w:lang w:eastAsia="zh-CN"/>
        </w:rPr>
        <w:t>（</w:t>
      </w:r>
      <w:r>
        <w:rPr>
          <w:rFonts w:hint="eastAsia" w:ascii="方正仿宋_GB2312" w:hAnsi="方正仿宋_GB2312" w:eastAsia="方正仿宋_GB2312" w:cs="方正仿宋_GB2312"/>
          <w:color w:val="auto"/>
          <w:sz w:val="24"/>
          <w:szCs w:val="24"/>
          <w:highlight w:val="none"/>
          <w:u w:val="single"/>
          <w:lang w:val="en-US" w:eastAsia="zh-CN"/>
        </w:rPr>
        <w:t>大写：壹佰陆拾陆万肆仟壹佰陆拾元整）</w:t>
      </w:r>
      <w:r>
        <w:rPr>
          <w:rFonts w:hint="eastAsia" w:ascii="方正仿宋_GB2312" w:hAnsi="方正仿宋_GB2312" w:eastAsia="方正仿宋_GB2312" w:cs="方正仿宋_GB2312"/>
          <w:color w:val="auto"/>
          <w:sz w:val="24"/>
          <w:szCs w:val="24"/>
          <w:highlight w:val="none"/>
          <w:u w:val="none"/>
        </w:rPr>
        <w:t>；</w:t>
      </w:r>
    </w:p>
    <w:p>
      <w:pPr>
        <w:spacing w:line="360" w:lineRule="auto"/>
        <w:jc w:val="left"/>
        <w:outlineLvl w:val="9"/>
        <w:rPr>
          <w:rFonts w:hint="eastAsia" w:ascii="方正仿宋_GB2312" w:hAnsi="方正仿宋_GB2312" w:eastAsia="方正仿宋_GB2312" w:cs="方正仿宋_GB2312"/>
          <w:sz w:val="24"/>
          <w:szCs w:val="24"/>
          <w:highlight w:val="none"/>
          <w:u w:val="none"/>
          <w:lang w:val="en-US" w:eastAsia="zh-CN"/>
        </w:rPr>
      </w:pPr>
      <w:r>
        <w:rPr>
          <w:rFonts w:hint="eastAsia" w:ascii="方正仿宋_GB2312" w:hAnsi="方正仿宋_GB2312" w:eastAsia="方正仿宋_GB2312" w:cs="方正仿宋_GB2312"/>
          <w:sz w:val="24"/>
          <w:szCs w:val="24"/>
          <w:highlight w:val="none"/>
          <w:u w:val="none"/>
        </w:rPr>
        <w:t>1.6采购需求：</w:t>
      </w:r>
      <w:r>
        <w:rPr>
          <w:rFonts w:hint="eastAsia" w:ascii="方正仿宋_GB2312" w:hAnsi="方正仿宋_GB2312" w:eastAsia="方正仿宋_GB2312" w:cs="方正仿宋_GB2312"/>
          <w:sz w:val="24"/>
          <w:szCs w:val="24"/>
          <w:highlight w:val="none"/>
          <w:u w:val="none"/>
          <w:lang w:val="en-US" w:eastAsia="zh-CN"/>
        </w:rPr>
        <w:t>①一标段为为</w:t>
      </w:r>
      <w:r>
        <w:rPr>
          <w:rFonts w:hint="eastAsia" w:ascii="方正仿宋_GB2312" w:hAnsi="方正仿宋_GB2312" w:eastAsia="方正仿宋_GB2312" w:cs="方正仿宋_GB2312"/>
          <w:sz w:val="24"/>
          <w:szCs w:val="24"/>
          <w:highlight w:val="none"/>
          <w:u w:val="none"/>
        </w:rPr>
        <w:t>采购一批</w:t>
      </w:r>
      <w:r>
        <w:rPr>
          <w:rFonts w:hint="eastAsia" w:ascii="方正仿宋_GB2312" w:hAnsi="方正仿宋_GB2312" w:eastAsia="方正仿宋_GB2312" w:cs="方正仿宋_GB2312"/>
          <w:sz w:val="24"/>
          <w:szCs w:val="24"/>
          <w:highlight w:val="none"/>
          <w:u w:val="none"/>
          <w:lang w:val="en-US" w:eastAsia="zh-CN"/>
        </w:rPr>
        <w:t>办公家具，包括：实验室家具、计算机房桌椅、办公桌椅等；②二标段为</w:t>
      </w:r>
      <w:r>
        <w:rPr>
          <w:rFonts w:hint="eastAsia" w:ascii="方正仿宋_GB2312" w:hAnsi="方正仿宋_GB2312" w:eastAsia="方正仿宋_GB2312" w:cs="方正仿宋_GB2312"/>
          <w:sz w:val="24"/>
          <w:szCs w:val="24"/>
          <w:highlight w:val="none"/>
          <w:u w:val="none"/>
        </w:rPr>
        <w:t>采购一批设备</w:t>
      </w:r>
      <w:r>
        <w:rPr>
          <w:rFonts w:hint="eastAsia" w:ascii="方正仿宋_GB2312" w:hAnsi="方正仿宋_GB2312" w:eastAsia="方正仿宋_GB2312" w:cs="方正仿宋_GB2312"/>
          <w:sz w:val="24"/>
          <w:szCs w:val="24"/>
          <w:highlight w:val="none"/>
          <w:u w:val="none"/>
          <w:lang w:eastAsia="zh-CN"/>
        </w:rPr>
        <w:t>，</w:t>
      </w:r>
      <w:r>
        <w:rPr>
          <w:rFonts w:hint="eastAsia" w:ascii="方正仿宋_GB2312" w:hAnsi="方正仿宋_GB2312" w:eastAsia="方正仿宋_GB2312" w:cs="方正仿宋_GB2312"/>
          <w:sz w:val="24"/>
          <w:szCs w:val="24"/>
          <w:highlight w:val="none"/>
          <w:u w:val="none"/>
        </w:rPr>
        <w:t>包括：</w:t>
      </w:r>
      <w:r>
        <w:rPr>
          <w:rFonts w:hint="eastAsia" w:ascii="方正仿宋_GB2312" w:hAnsi="方正仿宋_GB2312" w:eastAsia="方正仿宋_GB2312" w:cs="方正仿宋_GB2312"/>
          <w:sz w:val="24"/>
          <w:szCs w:val="24"/>
          <w:highlight w:val="none"/>
          <w:u w:val="none"/>
          <w:lang w:val="en-US" w:eastAsia="zh-CN"/>
        </w:rPr>
        <w:t>计算机房电脑</w:t>
      </w:r>
      <w:r>
        <w:rPr>
          <w:rFonts w:hint="eastAsia" w:ascii="方正仿宋_GB2312" w:hAnsi="方正仿宋_GB2312" w:eastAsia="方正仿宋_GB2312" w:cs="方正仿宋_GB2312"/>
          <w:sz w:val="24"/>
          <w:szCs w:val="24"/>
          <w:highlight w:val="none"/>
          <w:u w:val="none"/>
          <w:lang w:eastAsia="zh-CN"/>
        </w:rPr>
        <w:t>、</w:t>
      </w:r>
      <w:r>
        <w:rPr>
          <w:rFonts w:hint="eastAsia" w:ascii="方正仿宋_GB2312" w:hAnsi="方正仿宋_GB2312" w:eastAsia="方正仿宋_GB2312" w:cs="方正仿宋_GB2312"/>
          <w:sz w:val="24"/>
          <w:szCs w:val="24"/>
          <w:highlight w:val="none"/>
          <w:u w:val="none"/>
          <w:lang w:val="en-US" w:eastAsia="zh-CN"/>
        </w:rPr>
        <w:t>智慧黑板等</w:t>
      </w:r>
      <w:r>
        <w:rPr>
          <w:rFonts w:hint="eastAsia" w:ascii="方正仿宋_GB2312" w:hAnsi="方正仿宋_GB2312" w:eastAsia="方正仿宋_GB2312" w:cs="方正仿宋_GB2312"/>
          <w:sz w:val="24"/>
          <w:szCs w:val="24"/>
          <w:highlight w:val="none"/>
          <w:u w:val="none"/>
        </w:rPr>
        <w:t>具体技术参数要求详见招标文件第四章采购需求和要求</w:t>
      </w:r>
      <w:r>
        <w:rPr>
          <w:rFonts w:hint="eastAsia" w:ascii="方正仿宋_GB2312" w:hAnsi="方正仿宋_GB2312" w:eastAsia="方正仿宋_GB2312" w:cs="方正仿宋_GB2312"/>
          <w:sz w:val="24"/>
          <w:szCs w:val="24"/>
          <w:highlight w:val="none"/>
          <w:u w:val="none"/>
          <w:lang w:val="en-US" w:eastAsia="zh-CN"/>
        </w:rPr>
        <w:t>；</w:t>
      </w:r>
    </w:p>
    <w:tbl>
      <w:tblPr>
        <w:tblStyle w:val="16"/>
        <w:tblW w:w="830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0"/>
        <w:gridCol w:w="957"/>
        <w:gridCol w:w="1789"/>
        <w:gridCol w:w="1153"/>
        <w:gridCol w:w="1004"/>
        <w:gridCol w:w="1050"/>
        <w:gridCol w:w="166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方正仿宋_GB2312" w:hAnsi="方正仿宋_GB2312" w:eastAsia="方正仿宋_GB2312" w:cs="方正仿宋_GB2312"/>
                <w:b/>
                <w:bCs/>
                <w:i w:val="0"/>
                <w:iCs w:val="0"/>
                <w:color w:val="000000"/>
                <w:sz w:val="21"/>
                <w:szCs w:val="21"/>
                <w:highlight w:val="none"/>
                <w:u w:val="none"/>
              </w:rPr>
            </w:pPr>
            <w:r>
              <w:rPr>
                <w:rFonts w:hint="eastAsia" w:ascii="方正仿宋_GB2312" w:hAnsi="方正仿宋_GB2312" w:eastAsia="方正仿宋_GB2312" w:cs="方正仿宋_GB2312"/>
                <w:b/>
                <w:bCs/>
                <w:i w:val="0"/>
                <w:iCs w:val="0"/>
                <w:color w:val="000000"/>
                <w:kern w:val="0"/>
                <w:sz w:val="21"/>
                <w:szCs w:val="21"/>
                <w:highlight w:val="none"/>
                <w:u w:val="none"/>
                <w:lang w:val="en-US" w:eastAsia="zh-CN" w:bidi="ar"/>
              </w:rPr>
              <w:t>序号</w:t>
            </w:r>
          </w:p>
        </w:tc>
        <w:tc>
          <w:tcPr>
            <w:tcW w:w="95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1"/>
                <w:szCs w:val="21"/>
                <w:highlight w:val="none"/>
                <w:u w:val="none"/>
              </w:rPr>
            </w:pPr>
            <w:r>
              <w:rPr>
                <w:rFonts w:hint="eastAsia" w:ascii="方正仿宋_GB2312" w:hAnsi="方正仿宋_GB2312" w:eastAsia="方正仿宋_GB2312" w:cs="方正仿宋_GB2312"/>
                <w:b/>
                <w:bCs/>
                <w:i w:val="0"/>
                <w:iCs w:val="0"/>
                <w:color w:val="000000"/>
                <w:kern w:val="0"/>
                <w:sz w:val="21"/>
                <w:szCs w:val="21"/>
                <w:highlight w:val="none"/>
                <w:u w:val="none"/>
                <w:lang w:val="en-US" w:eastAsia="zh-CN" w:bidi="ar"/>
              </w:rPr>
              <w:t>标段代码</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1"/>
                <w:szCs w:val="21"/>
                <w:highlight w:val="none"/>
                <w:u w:val="none"/>
              </w:rPr>
            </w:pPr>
            <w:r>
              <w:rPr>
                <w:rFonts w:hint="eastAsia" w:ascii="方正仿宋_GB2312" w:hAnsi="方正仿宋_GB2312" w:eastAsia="方正仿宋_GB2312" w:cs="方正仿宋_GB2312"/>
                <w:b/>
                <w:bCs/>
                <w:i w:val="0"/>
                <w:iCs w:val="0"/>
                <w:color w:val="000000"/>
                <w:kern w:val="0"/>
                <w:sz w:val="21"/>
                <w:szCs w:val="21"/>
                <w:highlight w:val="none"/>
                <w:u w:val="none"/>
                <w:lang w:val="en-US" w:eastAsia="zh-CN" w:bidi="ar"/>
              </w:rPr>
              <w:t>产品（项目）名称</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1"/>
                <w:szCs w:val="21"/>
                <w:highlight w:val="none"/>
                <w:u w:val="none"/>
              </w:rPr>
            </w:pPr>
            <w:r>
              <w:rPr>
                <w:rFonts w:hint="eastAsia" w:ascii="方正仿宋_GB2312" w:hAnsi="方正仿宋_GB2312" w:eastAsia="方正仿宋_GB2312" w:cs="方正仿宋_GB2312"/>
                <w:b/>
                <w:bCs/>
                <w:i w:val="0"/>
                <w:iCs w:val="0"/>
                <w:color w:val="000000"/>
                <w:kern w:val="0"/>
                <w:sz w:val="21"/>
                <w:szCs w:val="21"/>
                <w:highlight w:val="none"/>
                <w:u w:val="none"/>
                <w:lang w:val="en-US" w:eastAsia="zh-CN" w:bidi="ar"/>
              </w:rPr>
              <w:t>是否允许进口</w:t>
            </w:r>
          </w:p>
        </w:tc>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1"/>
                <w:szCs w:val="21"/>
                <w:highlight w:val="none"/>
                <w:u w:val="none"/>
              </w:rPr>
            </w:pPr>
            <w:r>
              <w:rPr>
                <w:rFonts w:hint="eastAsia" w:ascii="方正仿宋_GB2312" w:hAnsi="方正仿宋_GB2312" w:eastAsia="方正仿宋_GB2312" w:cs="方正仿宋_GB2312"/>
                <w:b/>
                <w:bCs/>
                <w:i w:val="0"/>
                <w:iCs w:val="0"/>
                <w:color w:val="000000"/>
                <w:kern w:val="0"/>
                <w:sz w:val="21"/>
                <w:szCs w:val="21"/>
                <w:highlight w:val="none"/>
                <w:u w:val="none"/>
                <w:lang w:val="en-US" w:eastAsia="zh-CN" w:bidi="ar"/>
              </w:rPr>
              <w:t>数量</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1"/>
                <w:szCs w:val="21"/>
                <w:highlight w:val="none"/>
                <w:u w:val="none"/>
              </w:rPr>
            </w:pPr>
            <w:r>
              <w:rPr>
                <w:rFonts w:hint="eastAsia" w:ascii="方正仿宋_GB2312" w:hAnsi="方正仿宋_GB2312" w:eastAsia="方正仿宋_GB2312" w:cs="方正仿宋_GB2312"/>
                <w:b/>
                <w:bCs/>
                <w:i w:val="0"/>
                <w:iCs w:val="0"/>
                <w:color w:val="000000"/>
                <w:kern w:val="0"/>
                <w:sz w:val="21"/>
                <w:szCs w:val="21"/>
                <w:highlight w:val="none"/>
                <w:u w:val="none"/>
                <w:lang w:val="en-US" w:eastAsia="zh-CN" w:bidi="ar"/>
              </w:rPr>
              <w:t>计量单位</w:t>
            </w:r>
          </w:p>
        </w:tc>
        <w:tc>
          <w:tcPr>
            <w:tcW w:w="16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b/>
                <w:bCs/>
                <w:i w:val="0"/>
                <w:iCs w:val="0"/>
                <w:color w:val="000000"/>
                <w:sz w:val="21"/>
                <w:szCs w:val="21"/>
                <w:highlight w:val="none"/>
                <w:u w:val="none"/>
              </w:rPr>
            </w:pPr>
            <w:r>
              <w:rPr>
                <w:rFonts w:hint="eastAsia" w:ascii="方正仿宋_GB2312" w:hAnsi="方正仿宋_GB2312" w:eastAsia="方正仿宋_GB2312" w:cs="方正仿宋_GB2312"/>
                <w:b/>
                <w:bCs/>
                <w:i w:val="0"/>
                <w:iCs w:val="0"/>
                <w:color w:val="000000"/>
                <w:kern w:val="0"/>
                <w:sz w:val="21"/>
                <w:szCs w:val="21"/>
                <w:highlight w:val="none"/>
                <w:u w:val="none"/>
                <w:lang w:val="en-US" w:eastAsia="zh-CN" w:bidi="ar"/>
              </w:rPr>
              <w:t>预算单价（元）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双人计算机桌</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台</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单人计算机桌</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208</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计算机教室凳子</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212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个</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办公桌</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760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5</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办公椅</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把</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6</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文件柜</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个</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7</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办公室沙发</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15</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组</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8</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办公室茶几</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9</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bottom"/>
          </w:tcPr>
          <w:p>
            <w:pPr>
              <w:jc w:val="center"/>
              <w:rPr>
                <w:rFonts w:hint="eastAsia" w:ascii="方正仿宋_GB2312" w:hAnsi="方正仿宋_GB2312" w:eastAsia="方正仿宋_GB2312" w:cs="方正仿宋_GB2312"/>
                <w:i w:val="0"/>
                <w:iCs w:val="0"/>
                <w:color w:val="000000"/>
                <w:sz w:val="22"/>
                <w:szCs w:val="22"/>
                <w:highlight w:val="none"/>
                <w:u w:val="none"/>
                <w:lang w:val="en-US" w:eastAsia="zh-CN"/>
              </w:rPr>
            </w:pPr>
            <w:r>
              <w:rPr>
                <w:rFonts w:hint="eastAsia" w:ascii="方正仿宋_GB2312" w:hAnsi="方正仿宋_GB2312" w:eastAsia="方正仿宋_GB2312" w:cs="方正仿宋_GB2312"/>
                <w:i w:val="0"/>
                <w:iCs w:val="0"/>
                <w:color w:val="000000"/>
                <w:sz w:val="22"/>
                <w:szCs w:val="22"/>
                <w:highlight w:val="none"/>
                <w:u w:val="none"/>
                <w:lang w:val="en-US" w:eastAsia="zh-CN"/>
              </w:rPr>
              <w:t>个</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9</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弧形计算机桌</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680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10</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异形桌</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11</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书桌</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12</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茶水吧茶桌</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13</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会议椅</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8</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把</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580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14</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书桌椅</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把</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15</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茶桌椅</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14</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把</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16</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备课室茶几</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900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17</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茶几圆凳</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个</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18</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高座椅</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把</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19</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柜子1</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7.2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20</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柜子2</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10.92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21</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柜子3</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6</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22</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柜子4</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34.56</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23</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展示柜</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个</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9600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24</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后黑板</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11</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块</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25</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讲桌</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1670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26</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化学实验讲台</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台　</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5460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27</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化学探究实验台1</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28</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化学探究实验台2</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5200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29</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化学实验圆凳</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112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个</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30</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化学实验室边台</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18.7</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米</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31</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生物实验讲台</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5460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32</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生物探究实验台1</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33</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生物探究实验台2</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5200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34</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生物实验圆凳</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112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个</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35</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生物实验边台</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19</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米</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36</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物理实验室讲台</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台　</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5460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37</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物理实验桌</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10</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套</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1350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38</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物理实验圆凳</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104</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39</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六边形实验桌</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8</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张</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1450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40</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w:t>
            </w:r>
          </w:p>
        </w:tc>
        <w:tc>
          <w:tcPr>
            <w:tcW w:w="178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物理实验边台</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18.7</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米</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1600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41</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7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86寸电容互联黑板</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22</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套</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20300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42</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7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展台</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22</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套</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43</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7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AI教学软件</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22</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套</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1000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44</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7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集控平台</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22</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套</w:t>
            </w:r>
          </w:p>
        </w:tc>
        <w:tc>
          <w:tcPr>
            <w:tcW w:w="166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700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45</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7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台式计算机（学生机）</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208</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套</w:t>
            </w:r>
          </w:p>
        </w:tc>
        <w:tc>
          <w:tcPr>
            <w:tcW w:w="16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4800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46</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7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台式计算机（教师上课机）</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4</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套</w:t>
            </w:r>
          </w:p>
        </w:tc>
        <w:tc>
          <w:tcPr>
            <w:tcW w:w="16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5600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47</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7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不间断电源（UPS电源）</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4</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套</w:t>
            </w:r>
          </w:p>
        </w:tc>
        <w:tc>
          <w:tcPr>
            <w:tcW w:w="16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3300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48</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7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交换设备（网络交换机）</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12</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台</w:t>
            </w:r>
          </w:p>
        </w:tc>
        <w:tc>
          <w:tcPr>
            <w:tcW w:w="16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1680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49</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7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教学管理系统</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4</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套</w:t>
            </w:r>
          </w:p>
        </w:tc>
        <w:tc>
          <w:tcPr>
            <w:tcW w:w="16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8000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50</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7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台式计算机（监考机）</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8</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套</w:t>
            </w:r>
          </w:p>
        </w:tc>
        <w:tc>
          <w:tcPr>
            <w:tcW w:w="16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6000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51</w:t>
            </w:r>
          </w:p>
        </w:tc>
        <w:tc>
          <w:tcPr>
            <w:tcW w:w="9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2</w:t>
            </w:r>
          </w:p>
        </w:tc>
        <w:tc>
          <w:tcPr>
            <w:tcW w:w="1789"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音频设备（教室音响）</w:t>
            </w:r>
          </w:p>
        </w:tc>
        <w:tc>
          <w:tcPr>
            <w:tcW w:w="115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2"/>
                <w:szCs w:val="22"/>
                <w:highlight w:val="none"/>
                <w:u w:val="none"/>
              </w:rPr>
            </w:pPr>
            <w:r>
              <w:rPr>
                <w:rFonts w:hint="eastAsia" w:ascii="方正仿宋_GB2312" w:hAnsi="方正仿宋_GB2312" w:eastAsia="方正仿宋_GB2312" w:cs="方正仿宋_GB2312"/>
                <w:i w:val="0"/>
                <w:iCs w:val="0"/>
                <w:color w:val="000000"/>
                <w:kern w:val="0"/>
                <w:sz w:val="22"/>
                <w:szCs w:val="22"/>
                <w:highlight w:val="none"/>
                <w:u w:val="none"/>
                <w:lang w:val="en-US" w:eastAsia="zh-CN" w:bidi="ar"/>
              </w:rPr>
              <w:t>否</w:t>
            </w:r>
          </w:p>
        </w:tc>
        <w:tc>
          <w:tcPr>
            <w:tcW w:w="1004"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8</w:t>
            </w:r>
          </w:p>
        </w:tc>
        <w:tc>
          <w:tcPr>
            <w:tcW w:w="1050"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套</w:t>
            </w:r>
          </w:p>
        </w:tc>
        <w:tc>
          <w:tcPr>
            <w:tcW w:w="1662" w:type="dxa"/>
            <w:tcBorders>
              <w:top w:val="single" w:color="000000" w:sz="4" w:space="0"/>
              <w:left w:val="single" w:color="000000" w:sz="4" w:space="0"/>
              <w:bottom w:val="single" w:color="000000" w:sz="4" w:space="0"/>
              <w:right w:val="single" w:color="000000" w:sz="4" w:space="0"/>
            </w:tcBorders>
            <w:shd w:val="clear" w:color="auto" w:fill="FFFFFF"/>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0"/>
                <w:szCs w:val="20"/>
                <w:highlight w:val="none"/>
                <w:u w:val="none"/>
              </w:rPr>
            </w:pPr>
            <w:r>
              <w:rPr>
                <w:rFonts w:hint="eastAsia" w:ascii="方正仿宋_GB2312" w:hAnsi="方正仿宋_GB2312" w:eastAsia="方正仿宋_GB2312" w:cs="方正仿宋_GB2312"/>
                <w:i w:val="0"/>
                <w:iCs w:val="0"/>
                <w:color w:val="000000"/>
                <w:kern w:val="0"/>
                <w:sz w:val="20"/>
                <w:szCs w:val="20"/>
                <w:highlight w:val="none"/>
                <w:u w:val="none"/>
                <w:lang w:val="en-US" w:eastAsia="zh-CN" w:bidi="ar"/>
              </w:rPr>
              <w:t>3000</w:t>
            </w:r>
          </w:p>
        </w:tc>
      </w:tr>
    </w:tbl>
    <w:p>
      <w:pPr>
        <w:spacing w:line="360" w:lineRule="auto"/>
        <w:jc w:val="left"/>
        <w:outlineLvl w:val="9"/>
        <w:rPr>
          <w:rFonts w:hint="eastAsia" w:ascii="方正仿宋_GB2312" w:hAnsi="方正仿宋_GB2312" w:eastAsia="方正仿宋_GB2312" w:cs="方正仿宋_GB2312"/>
          <w:sz w:val="24"/>
          <w:szCs w:val="24"/>
          <w:highlight w:val="none"/>
          <w:u w:val="none"/>
          <w:lang w:val="en-US" w:eastAsia="zh-CN"/>
        </w:rPr>
      </w:pP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1.7供货期：</w:t>
      </w:r>
      <w:r>
        <w:rPr>
          <w:rFonts w:hint="eastAsia" w:ascii="方正仿宋_GB2312" w:hAnsi="方正仿宋_GB2312" w:eastAsia="方正仿宋_GB2312" w:cs="方正仿宋_GB2312"/>
          <w:sz w:val="24"/>
          <w:szCs w:val="24"/>
          <w:highlight w:val="none"/>
          <w:u w:val="none"/>
          <w:lang w:val="en-US" w:eastAsia="zh-CN"/>
        </w:rPr>
        <w:t>一标段为合同签订28日内完成供货并验收通过，二标段为合同签订后28日内完成供货并验收通过</w:t>
      </w:r>
      <w:r>
        <w:rPr>
          <w:rFonts w:hint="eastAsia" w:ascii="方正仿宋_GB2312" w:hAnsi="方正仿宋_GB2312" w:eastAsia="方正仿宋_GB2312" w:cs="方正仿宋_GB2312"/>
          <w:sz w:val="24"/>
          <w:szCs w:val="24"/>
          <w:highlight w:val="none"/>
          <w:u w:val="none"/>
        </w:rPr>
        <w:t>；</w:t>
      </w:r>
    </w:p>
    <w:p>
      <w:pPr>
        <w:spacing w:line="360" w:lineRule="auto"/>
        <w:outlineLvl w:val="9"/>
        <w:rPr>
          <w:rFonts w:hint="eastAsia" w:ascii="方正仿宋_GB2312" w:hAnsi="方正仿宋_GB2312" w:eastAsia="方正仿宋_GB2312" w:cs="方正仿宋_GB2312"/>
          <w:sz w:val="24"/>
          <w:szCs w:val="24"/>
          <w:highlight w:val="none"/>
          <w:u w:val="none"/>
          <w:lang w:eastAsia="zh-CN"/>
        </w:rPr>
      </w:pPr>
      <w:r>
        <w:rPr>
          <w:rFonts w:hint="eastAsia" w:ascii="方正仿宋_GB2312" w:hAnsi="方正仿宋_GB2312" w:eastAsia="方正仿宋_GB2312" w:cs="方正仿宋_GB2312"/>
          <w:color w:val="333333"/>
          <w:sz w:val="24"/>
          <w:szCs w:val="24"/>
          <w:highlight w:val="none"/>
          <w:u w:val="none"/>
          <w:shd w:val="clear" w:color="auto" w:fill="FFFFFF"/>
        </w:rPr>
        <w:t>1.8质量要求：货物必须为全新产品，质量必须达到国家相关标准且一次性验收合格，并满足本招标文件要求</w:t>
      </w:r>
      <w:r>
        <w:rPr>
          <w:rFonts w:hint="eastAsia" w:ascii="方正仿宋_GB2312" w:hAnsi="方正仿宋_GB2312" w:eastAsia="方正仿宋_GB2312" w:cs="方正仿宋_GB2312"/>
          <w:bCs/>
          <w:color w:val="000000"/>
          <w:sz w:val="24"/>
          <w:szCs w:val="24"/>
          <w:highlight w:val="none"/>
          <w:u w:val="none"/>
          <w:lang w:eastAsia="zh-CN"/>
        </w:rPr>
        <w:t>；</w:t>
      </w:r>
    </w:p>
    <w:p>
      <w:pPr>
        <w:spacing w:line="360" w:lineRule="auto"/>
        <w:jc w:val="left"/>
        <w:outlineLvl w:val="9"/>
        <w:rPr>
          <w:highlight w:val="none"/>
          <w:u w:val="none"/>
        </w:rPr>
      </w:pPr>
      <w:r>
        <w:rPr>
          <w:rFonts w:hint="eastAsia" w:ascii="方正仿宋_GB2312" w:hAnsi="方正仿宋_GB2312" w:eastAsia="方正仿宋_GB2312" w:cs="方正仿宋_GB2312"/>
          <w:sz w:val="24"/>
          <w:szCs w:val="24"/>
          <w:highlight w:val="none"/>
          <w:u w:val="none"/>
        </w:rPr>
        <w:t>1.9 质保期：</w:t>
      </w:r>
      <w:r>
        <w:rPr>
          <w:rFonts w:hint="eastAsia" w:ascii="方正仿宋_GB2312" w:hAnsi="方正仿宋_GB2312" w:eastAsia="方正仿宋_GB2312" w:cs="方正仿宋_GB2312"/>
          <w:sz w:val="24"/>
          <w:szCs w:val="24"/>
          <w:highlight w:val="none"/>
          <w:u w:val="single"/>
          <w:lang w:val="en-US" w:eastAsia="zh-CN"/>
        </w:rPr>
        <w:t xml:space="preserve"> 3 </w:t>
      </w:r>
      <w:r>
        <w:rPr>
          <w:rFonts w:hint="eastAsia" w:ascii="方正仿宋_GB2312" w:hAnsi="方正仿宋_GB2312" w:eastAsia="方正仿宋_GB2312" w:cs="方正仿宋_GB2312"/>
          <w:sz w:val="24"/>
          <w:szCs w:val="24"/>
          <w:highlight w:val="none"/>
          <w:u w:val="none"/>
        </w:rPr>
        <w:t>年</w:t>
      </w:r>
      <w:r>
        <w:rPr>
          <w:rFonts w:hint="eastAsia" w:ascii="方正仿宋_GB2312" w:hAnsi="方正仿宋_GB2312" w:eastAsia="方正仿宋_GB2312" w:cs="方正仿宋_GB2312"/>
          <w:sz w:val="24"/>
          <w:szCs w:val="24"/>
          <w:highlight w:val="none"/>
          <w:u w:val="none"/>
          <w:lang w:eastAsia="zh-CN"/>
        </w:rPr>
        <w:t>（</w:t>
      </w:r>
      <w:r>
        <w:rPr>
          <w:rFonts w:hint="eastAsia" w:ascii="方正仿宋_GB2312" w:hAnsi="方正仿宋_GB2312" w:eastAsia="方正仿宋_GB2312" w:cs="方正仿宋_GB2312"/>
          <w:sz w:val="24"/>
          <w:szCs w:val="24"/>
          <w:highlight w:val="none"/>
          <w:u w:val="none"/>
          <w:lang w:val="en-US" w:eastAsia="zh-CN"/>
        </w:rPr>
        <w:t>自验收通过之日起算</w:t>
      </w:r>
      <w:r>
        <w:rPr>
          <w:rFonts w:hint="eastAsia" w:ascii="方正仿宋_GB2312" w:hAnsi="方正仿宋_GB2312" w:eastAsia="方正仿宋_GB2312" w:cs="方正仿宋_GB2312"/>
          <w:sz w:val="24"/>
          <w:szCs w:val="24"/>
          <w:highlight w:val="none"/>
          <w:u w:val="none"/>
          <w:lang w:eastAsia="zh-CN"/>
        </w:rPr>
        <w:t>）</w:t>
      </w:r>
      <w:r>
        <w:rPr>
          <w:rFonts w:hint="eastAsia" w:ascii="方正仿宋_GB2312" w:hAnsi="方正仿宋_GB2312" w:eastAsia="方正仿宋_GB2312" w:cs="方正仿宋_GB2312"/>
          <w:sz w:val="24"/>
          <w:szCs w:val="24"/>
          <w:highlight w:val="none"/>
          <w:u w:val="none"/>
        </w:rPr>
        <w:t>；</w:t>
      </w:r>
    </w:p>
    <w:p>
      <w:pPr>
        <w:spacing w:line="360" w:lineRule="auto"/>
        <w:jc w:val="left"/>
        <w:outlineLvl w:val="9"/>
        <w:rPr>
          <w:rFonts w:hint="eastAsia" w:ascii="方正仿宋_GB2312" w:hAnsi="方正仿宋_GB2312" w:eastAsia="方正仿宋_GB2312" w:cs="方正仿宋_GB2312"/>
          <w:sz w:val="24"/>
          <w:szCs w:val="24"/>
          <w:highlight w:val="none"/>
          <w:u w:val="none"/>
          <w:lang w:eastAsia="zh-CN"/>
        </w:rPr>
      </w:pPr>
      <w:r>
        <w:rPr>
          <w:rFonts w:hint="eastAsia" w:ascii="方正仿宋_GB2312" w:hAnsi="方正仿宋_GB2312" w:eastAsia="方正仿宋_GB2312" w:cs="方正仿宋_GB2312"/>
          <w:sz w:val="24"/>
          <w:szCs w:val="24"/>
          <w:highlight w:val="none"/>
          <w:u w:val="none"/>
        </w:rPr>
        <w:t>1.10本项目（是/否）接受联合体：否</w:t>
      </w:r>
      <w:bookmarkStart w:id="120" w:name="_Toc35393630"/>
      <w:bookmarkStart w:id="121" w:name="_Toc35393799"/>
      <w:bookmarkStart w:id="122" w:name="_Toc28359090"/>
      <w:bookmarkStart w:id="123" w:name="_Toc13187"/>
      <w:bookmarkStart w:id="124" w:name="_Toc28359013"/>
      <w:bookmarkStart w:id="125" w:name="_Toc13504"/>
      <w:r>
        <w:rPr>
          <w:rFonts w:hint="eastAsia" w:ascii="方正仿宋_GB2312" w:hAnsi="方正仿宋_GB2312" w:eastAsia="方正仿宋_GB2312" w:cs="方正仿宋_GB2312"/>
          <w:sz w:val="24"/>
          <w:szCs w:val="24"/>
          <w:highlight w:val="none"/>
          <w:u w:val="none"/>
          <w:lang w:eastAsia="zh-CN"/>
        </w:rPr>
        <w:t>。</w:t>
      </w:r>
    </w:p>
    <w:p>
      <w:pPr>
        <w:spacing w:line="360" w:lineRule="auto"/>
        <w:jc w:val="left"/>
        <w:outlineLvl w:val="9"/>
        <w:rPr>
          <w:rFonts w:ascii="方正仿宋_GB2312" w:hAnsi="方正仿宋_GB2312" w:eastAsia="方正仿宋_GB2312" w:cs="方正仿宋_GB2312"/>
          <w:b/>
          <w:sz w:val="24"/>
          <w:szCs w:val="24"/>
          <w:highlight w:val="none"/>
          <w:u w:val="none"/>
        </w:rPr>
      </w:pPr>
      <w:bookmarkStart w:id="126" w:name="_Toc21015"/>
      <w:bookmarkStart w:id="127" w:name="_Toc9447"/>
      <w:bookmarkStart w:id="128" w:name="_Toc18146"/>
      <w:bookmarkStart w:id="129" w:name="_Toc10762"/>
      <w:bookmarkStart w:id="130" w:name="_Toc25108"/>
      <w:bookmarkStart w:id="131" w:name="_Toc19700"/>
      <w:bookmarkStart w:id="132" w:name="_Toc11712"/>
      <w:bookmarkStart w:id="133" w:name="_Toc17872"/>
      <w:r>
        <w:rPr>
          <w:rFonts w:hint="eastAsia" w:ascii="方正仿宋_GB2312" w:hAnsi="方正仿宋_GB2312" w:eastAsia="方正仿宋_GB2312" w:cs="方正仿宋_GB2312"/>
          <w:b/>
          <w:sz w:val="24"/>
          <w:szCs w:val="24"/>
          <w:highlight w:val="none"/>
          <w:u w:val="none"/>
        </w:rPr>
        <w:t>二、供应商资格要求：</w:t>
      </w:r>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p>
    <w:p>
      <w:pPr>
        <w:spacing w:line="360" w:lineRule="auto"/>
        <w:outlineLvl w:val="9"/>
        <w:rPr>
          <w:rFonts w:ascii="方正仿宋_GB2312" w:hAnsi="方正仿宋_GB2312" w:eastAsia="方正仿宋_GB2312" w:cs="方正仿宋_GB2312"/>
          <w:sz w:val="24"/>
          <w:szCs w:val="24"/>
          <w:highlight w:val="none"/>
          <w:u w:val="none"/>
        </w:rPr>
      </w:pPr>
      <w:bookmarkStart w:id="134" w:name="_Hlk46514650"/>
      <w:r>
        <w:rPr>
          <w:rFonts w:hint="eastAsia" w:ascii="方正仿宋_GB2312" w:hAnsi="方正仿宋_GB2312" w:eastAsia="方正仿宋_GB2312" w:cs="方正仿宋_GB2312"/>
          <w:sz w:val="24"/>
          <w:szCs w:val="24"/>
          <w:highlight w:val="none"/>
          <w:u w:val="none"/>
        </w:rPr>
        <w:t>2.1供应商应满足《中华人民共和国政府采购法》第二十二条规定：</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2.1.1在中华人民共和国境内依法成立，具有独立承担民事责任的能力，提供法人或者非法人组织的营业执照或其他法定凭证等证明文件；</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2.1.2具有良好健全的财务会计制度，提供经有资质的第三方审计机构出具的近</w:t>
      </w:r>
      <w:r>
        <w:rPr>
          <w:rFonts w:hint="eastAsia" w:ascii="方正仿宋_GB2312" w:hAnsi="方正仿宋_GB2312" w:eastAsia="方正仿宋_GB2312" w:cs="方正仿宋_GB2312"/>
          <w:sz w:val="24"/>
          <w:szCs w:val="24"/>
          <w:highlight w:val="none"/>
          <w:u w:val="none"/>
          <w:lang w:val="en-US" w:eastAsia="zh-CN"/>
        </w:rPr>
        <w:t>一</w:t>
      </w:r>
      <w:r>
        <w:rPr>
          <w:rFonts w:hint="eastAsia" w:ascii="方正仿宋_GB2312" w:hAnsi="方正仿宋_GB2312" w:eastAsia="方正仿宋_GB2312" w:cs="方正仿宋_GB2312"/>
          <w:sz w:val="24"/>
          <w:szCs w:val="24"/>
          <w:highlight w:val="none"/>
          <w:u w:val="none"/>
        </w:rPr>
        <w:t>年（202</w:t>
      </w:r>
      <w:r>
        <w:rPr>
          <w:rFonts w:hint="eastAsia" w:ascii="方正仿宋_GB2312" w:hAnsi="方正仿宋_GB2312" w:eastAsia="方正仿宋_GB2312" w:cs="方正仿宋_GB2312"/>
          <w:sz w:val="24"/>
          <w:szCs w:val="24"/>
          <w:highlight w:val="none"/>
          <w:u w:val="none"/>
          <w:lang w:val="en-US" w:eastAsia="zh-CN"/>
        </w:rPr>
        <w:t>3或</w:t>
      </w:r>
      <w:r>
        <w:rPr>
          <w:rFonts w:hint="eastAsia" w:ascii="方正仿宋_GB2312" w:hAnsi="方正仿宋_GB2312" w:eastAsia="方正仿宋_GB2312" w:cs="方正仿宋_GB2312"/>
          <w:sz w:val="24"/>
          <w:szCs w:val="24"/>
          <w:highlight w:val="none"/>
          <w:u w:val="none"/>
        </w:rPr>
        <w:t>至202</w:t>
      </w:r>
      <w:r>
        <w:rPr>
          <w:rFonts w:hint="eastAsia" w:ascii="方正仿宋_GB2312" w:hAnsi="方正仿宋_GB2312" w:eastAsia="方正仿宋_GB2312" w:cs="方正仿宋_GB2312"/>
          <w:sz w:val="24"/>
          <w:szCs w:val="24"/>
          <w:highlight w:val="none"/>
          <w:u w:val="none"/>
          <w:lang w:val="en-US" w:eastAsia="zh-CN"/>
        </w:rPr>
        <w:t>4</w:t>
      </w:r>
      <w:r>
        <w:rPr>
          <w:rFonts w:hint="eastAsia" w:ascii="方正仿宋_GB2312" w:hAnsi="方正仿宋_GB2312" w:eastAsia="方正仿宋_GB2312" w:cs="方正仿宋_GB2312"/>
          <w:sz w:val="24"/>
          <w:szCs w:val="24"/>
          <w:highlight w:val="none"/>
          <w:u w:val="none"/>
        </w:rPr>
        <w:t>年）的年度财务报表及审计报告,若为新成立不满一年公司，提供银行开具的资信证明文件或资金证明文件；</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2.1.3具有良好的商业信誉，在政府采购经营活动中无骗取中标、严重违约及安全、质量问题等不良记录；提供供应商及法定代表人参加本次政府采购活动前3年内在经营活动中没有重大违法记录的书面声明；</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2.1.4具有履行合同所必需的设备和专业技术能力，提供承诺书；</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2.1.5有依法缴纳税收和社会保障资金的良好记录，提供相关证明材料（202</w:t>
      </w:r>
      <w:r>
        <w:rPr>
          <w:rFonts w:hint="eastAsia" w:ascii="方正仿宋_GB2312" w:hAnsi="方正仿宋_GB2312" w:eastAsia="方正仿宋_GB2312" w:cs="方正仿宋_GB2312"/>
          <w:sz w:val="24"/>
          <w:szCs w:val="24"/>
          <w:highlight w:val="none"/>
          <w:u w:val="none"/>
          <w:lang w:val="en-US" w:eastAsia="zh-CN"/>
        </w:rPr>
        <w:t>5</w:t>
      </w:r>
      <w:r>
        <w:rPr>
          <w:rFonts w:hint="eastAsia" w:ascii="方正仿宋_GB2312" w:hAnsi="方正仿宋_GB2312" w:eastAsia="方正仿宋_GB2312" w:cs="方正仿宋_GB2312"/>
          <w:sz w:val="24"/>
          <w:szCs w:val="24"/>
          <w:highlight w:val="none"/>
          <w:u w:val="none"/>
        </w:rPr>
        <w:t>年1月至今任意</w:t>
      </w:r>
      <w:r>
        <w:rPr>
          <w:rFonts w:hint="eastAsia" w:ascii="方正仿宋_GB2312" w:hAnsi="方正仿宋_GB2312" w:eastAsia="方正仿宋_GB2312" w:cs="方正仿宋_GB2312"/>
          <w:sz w:val="24"/>
          <w:szCs w:val="24"/>
          <w:highlight w:val="none"/>
          <w:u w:val="none"/>
          <w:lang w:val="en-US" w:eastAsia="zh-CN"/>
        </w:rPr>
        <w:t>1</w:t>
      </w:r>
      <w:r>
        <w:rPr>
          <w:rFonts w:hint="eastAsia" w:ascii="方正仿宋_GB2312" w:hAnsi="方正仿宋_GB2312" w:eastAsia="方正仿宋_GB2312" w:cs="方正仿宋_GB2312"/>
          <w:sz w:val="24"/>
          <w:szCs w:val="24"/>
          <w:highlight w:val="none"/>
          <w:u w:val="none"/>
        </w:rPr>
        <w:t>个月缴纳税收证明和社保证明,依法免缴的，应提供依法免缴的相关证明材料；若为新成立的供应商提供成立以来税收和社会保障资金缴纳凭证或相关情况说明，依法不需要缴纳税收和社保的应提供相应的证明材料或合理可信的情况说明；</w:t>
      </w:r>
    </w:p>
    <w:p>
      <w:pPr>
        <w:spacing w:line="360" w:lineRule="auto"/>
        <w:outlineLvl w:val="9"/>
        <w:rPr>
          <w:rFonts w:hint="eastAsia"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2.1.6信用状况：根据《关于在政府采购活动中查询及使用信用记录有关问题的通知》(财库[2016]125号)的规定，对列入失信被执行人、重大税收违法案件当事人名单、政府采购严重违法失信行为记录名单的供应商，拒绝参与本项目政府采购活动。供应商自行查询并截图证明不得为“信用中国”网站（www.creditchina.gov.cn）中列入失信被执行人和重大税收违法案件当事人名单的供应商，不得为中国政府采购网（www.ccgp.gov.cn）政府采购严重违法失信行为记录名单中被财政部门禁止参加政府采购活动的供应商，不得为“国家企业信用信息公示系统”网站 （www.gsxt.gov.cn,）中列入严重违法失信企业名单（处罚决定规定的时间和地域范围内），参与本项目的供应商信用查询截止时点为本项目招标公告发布之日起至递交投标文件截止时间的任意一天，信用状况最终以采购人或采购代理机构查询为准；</w:t>
      </w:r>
      <w:bookmarkEnd w:id="134"/>
      <w:bookmarkStart w:id="135" w:name="_Toc28359014"/>
      <w:bookmarkStart w:id="136" w:name="_Toc28359091"/>
      <w:bookmarkStart w:id="137" w:name="_Toc19510"/>
      <w:bookmarkStart w:id="138" w:name="_Toc35393800"/>
      <w:bookmarkStart w:id="139" w:name="_Toc1555"/>
      <w:bookmarkStart w:id="140" w:name="_Toc35393631"/>
    </w:p>
    <w:p>
      <w:pPr>
        <w:spacing w:line="360" w:lineRule="auto"/>
        <w:outlineLvl w:val="9"/>
        <w:rPr>
          <w:rFonts w:hint="eastAsia" w:ascii="方正仿宋_GB2312" w:hAnsi="方正仿宋_GB2312" w:eastAsia="方正仿宋_GB2312" w:cs="方正仿宋_GB2312"/>
          <w:color w:val="C00000"/>
          <w:sz w:val="24"/>
          <w:szCs w:val="24"/>
          <w:highlight w:val="none"/>
          <w:u w:val="none"/>
          <w:lang w:val="en-US" w:eastAsia="zh-CN"/>
        </w:rPr>
      </w:pPr>
      <w:r>
        <w:rPr>
          <w:rFonts w:hint="eastAsia" w:ascii="方正仿宋_GB2312" w:hAnsi="方正仿宋_GB2312" w:eastAsia="方正仿宋_GB2312" w:cs="方正仿宋_GB2312"/>
          <w:sz w:val="24"/>
          <w:szCs w:val="24"/>
          <w:highlight w:val="none"/>
          <w:u w:val="none"/>
        </w:rPr>
        <w:t>2.1.7特定资格要求：无</w:t>
      </w:r>
      <w:r>
        <w:rPr>
          <w:rFonts w:hint="eastAsia" w:ascii="方正仿宋_GB2312" w:hAnsi="方正仿宋_GB2312" w:eastAsia="方正仿宋_GB2312" w:cs="方正仿宋_GB2312"/>
          <w:sz w:val="24"/>
          <w:szCs w:val="24"/>
          <w:highlight w:val="none"/>
          <w:u w:val="none"/>
          <w:lang w:eastAsia="zh-CN"/>
        </w:rPr>
        <w:t>；</w:t>
      </w:r>
      <w:r>
        <w:rPr>
          <w:rFonts w:hint="eastAsia" w:ascii="方正仿宋_GB2312" w:hAnsi="方正仿宋_GB2312" w:eastAsia="方正仿宋_GB2312" w:cs="方正仿宋_GB2312"/>
          <w:sz w:val="24"/>
          <w:szCs w:val="24"/>
          <w:highlight w:val="none"/>
          <w:u w:val="none"/>
        </w:rPr>
        <w:br w:type="textWrapping"/>
      </w:r>
      <w:r>
        <w:rPr>
          <w:rFonts w:hint="eastAsia" w:ascii="方正仿宋_GB2312" w:hAnsi="方正仿宋_GB2312" w:eastAsia="方正仿宋_GB2312" w:cs="方正仿宋_GB2312"/>
          <w:sz w:val="24"/>
          <w:szCs w:val="24"/>
          <w:highlight w:val="none"/>
          <w:u w:val="none"/>
          <w:lang w:val="en-US" w:eastAsia="zh-CN"/>
        </w:rPr>
        <w:t xml:space="preserve">2.1.8 </w:t>
      </w:r>
      <w:r>
        <w:rPr>
          <w:rFonts w:hint="eastAsia" w:ascii="方正仿宋_GB2312" w:hAnsi="方正仿宋_GB2312" w:eastAsia="方正仿宋_GB2312" w:cs="方正仿宋_GB2312"/>
          <w:spacing w:val="-5"/>
          <w:sz w:val="24"/>
          <w:szCs w:val="24"/>
          <w:highlight w:val="none"/>
          <w:u w:val="none"/>
        </w:rPr>
        <w:t>落实政府采购政策需满足的资格要求：</w:t>
      </w:r>
      <w:r>
        <w:rPr>
          <w:rFonts w:hint="eastAsia" w:ascii="方正仿宋_GB2312" w:hAnsi="方正仿宋_GB2312" w:eastAsia="方正仿宋_GB2312" w:cs="方正仿宋_GB2312"/>
          <w:sz w:val="24"/>
          <w:szCs w:val="24"/>
          <w:highlight w:val="none"/>
          <w:u w:val="none"/>
          <w:lang w:val="en-US" w:eastAsia="zh-CN"/>
        </w:rPr>
        <w:t>一标段</w:t>
      </w:r>
      <w:r>
        <w:rPr>
          <w:rFonts w:hint="eastAsia" w:ascii="方正仿宋_GB2312" w:hAnsi="方正仿宋_GB2312" w:eastAsia="方正仿宋_GB2312" w:cs="方正仿宋_GB2312"/>
          <w:sz w:val="24"/>
          <w:szCs w:val="24"/>
          <w:highlight w:val="none"/>
          <w:lang w:val="en-US" w:eastAsia="zh-CN"/>
        </w:rPr>
        <w:t>专门面向中小企业采购；</w:t>
      </w:r>
      <w:r>
        <w:rPr>
          <w:rFonts w:hint="eastAsia" w:ascii="方正仿宋_GB2312" w:hAnsi="方正仿宋_GB2312" w:eastAsia="方正仿宋_GB2312" w:cs="方正仿宋_GB2312"/>
          <w:sz w:val="24"/>
          <w:szCs w:val="24"/>
          <w:highlight w:val="none"/>
          <w:u w:val="none"/>
          <w:lang w:val="en-US" w:eastAsia="zh-CN"/>
        </w:rPr>
        <w:t>二标段不</w:t>
      </w:r>
      <w:r>
        <w:rPr>
          <w:rFonts w:hint="eastAsia" w:ascii="方正仿宋_GB2312" w:hAnsi="方正仿宋_GB2312" w:eastAsia="方正仿宋_GB2312" w:cs="方正仿宋_GB2312"/>
          <w:sz w:val="24"/>
          <w:szCs w:val="24"/>
          <w:highlight w:val="none"/>
          <w:lang w:val="en-US" w:eastAsia="zh-CN"/>
        </w:rPr>
        <w:t>专门面向中小企业采购</w:t>
      </w:r>
      <w:r>
        <w:rPr>
          <w:rFonts w:hint="eastAsia" w:ascii="方正仿宋_GB2312" w:hAnsi="方正仿宋_GB2312" w:eastAsia="方正仿宋_GB2312" w:cs="方正仿宋_GB2312"/>
          <w:spacing w:val="-5"/>
          <w:sz w:val="24"/>
          <w:szCs w:val="24"/>
          <w:highlight w:val="none"/>
          <w:u w:val="none"/>
          <w:lang w:eastAsia="zh-CN"/>
        </w:rPr>
        <w:t>。</w:t>
      </w:r>
    </w:p>
    <w:bookmarkEnd w:id="135"/>
    <w:bookmarkEnd w:id="136"/>
    <w:bookmarkEnd w:id="137"/>
    <w:bookmarkEnd w:id="138"/>
    <w:bookmarkEnd w:id="139"/>
    <w:bookmarkEnd w:id="140"/>
    <w:p>
      <w:pPr>
        <w:spacing w:line="360" w:lineRule="auto"/>
        <w:outlineLvl w:val="9"/>
        <w:rPr>
          <w:rFonts w:ascii="方正仿宋_GB2312" w:hAnsi="方正仿宋_GB2312" w:eastAsia="方正仿宋_GB2312" w:cs="方正仿宋_GB2312"/>
          <w:b/>
          <w:sz w:val="24"/>
          <w:szCs w:val="24"/>
          <w:highlight w:val="none"/>
          <w:u w:val="none"/>
        </w:rPr>
      </w:pPr>
      <w:bookmarkStart w:id="141" w:name="_Toc18642"/>
      <w:bookmarkStart w:id="142" w:name="_Toc17558"/>
      <w:bookmarkStart w:id="143" w:name="_Toc15627"/>
      <w:bookmarkStart w:id="144" w:name="_Toc25389"/>
      <w:bookmarkStart w:id="145" w:name="_Toc13908"/>
      <w:bookmarkStart w:id="146" w:name="_Toc8735"/>
      <w:bookmarkStart w:id="147" w:name="_Toc5662"/>
      <w:bookmarkStart w:id="148" w:name="_Toc9104"/>
      <w:r>
        <w:rPr>
          <w:rFonts w:hint="eastAsia" w:ascii="方正仿宋_GB2312" w:hAnsi="方正仿宋_GB2312" w:eastAsia="方正仿宋_GB2312" w:cs="方正仿宋_GB2312"/>
          <w:b/>
          <w:sz w:val="24"/>
          <w:szCs w:val="24"/>
          <w:highlight w:val="none"/>
          <w:u w:val="none"/>
          <w:lang w:val="en-US" w:eastAsia="zh-CN"/>
        </w:rPr>
        <w:t>三、</w:t>
      </w:r>
      <w:r>
        <w:rPr>
          <w:rFonts w:hint="eastAsia" w:ascii="方正仿宋_GB2312" w:hAnsi="方正仿宋_GB2312" w:eastAsia="方正仿宋_GB2312" w:cs="方正仿宋_GB2312"/>
          <w:b/>
          <w:sz w:val="24"/>
          <w:szCs w:val="24"/>
          <w:highlight w:val="none"/>
          <w:u w:val="none"/>
        </w:rPr>
        <w:t>获取</w:t>
      </w:r>
      <w:bookmarkEnd w:id="141"/>
      <w:bookmarkEnd w:id="142"/>
      <w:bookmarkEnd w:id="143"/>
      <w:bookmarkStart w:id="149" w:name="_Toc28359092"/>
      <w:bookmarkStart w:id="150" w:name="_Toc6781"/>
      <w:bookmarkStart w:id="151" w:name="_Toc35393632"/>
      <w:bookmarkStart w:id="152" w:name="_Toc28359015"/>
      <w:bookmarkStart w:id="153" w:name="_Toc35393801"/>
      <w:bookmarkStart w:id="154" w:name="_Toc14469"/>
      <w:r>
        <w:rPr>
          <w:rFonts w:hint="eastAsia" w:ascii="方正仿宋_GB2312" w:hAnsi="方正仿宋_GB2312" w:eastAsia="方正仿宋_GB2312" w:cs="方正仿宋_GB2312"/>
          <w:b/>
          <w:sz w:val="24"/>
          <w:szCs w:val="24"/>
          <w:highlight w:val="none"/>
          <w:u w:val="none"/>
        </w:rPr>
        <w:t>招标文件</w:t>
      </w:r>
      <w:bookmarkEnd w:id="144"/>
      <w:bookmarkEnd w:id="145"/>
      <w:bookmarkEnd w:id="146"/>
      <w:bookmarkEnd w:id="147"/>
      <w:bookmarkEnd w:id="148"/>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3.1获取招标文件时间：202</w:t>
      </w:r>
      <w:r>
        <w:rPr>
          <w:rFonts w:hint="eastAsia" w:ascii="方正仿宋_GB2312" w:hAnsi="方正仿宋_GB2312" w:eastAsia="方正仿宋_GB2312" w:cs="方正仿宋_GB2312"/>
          <w:sz w:val="24"/>
          <w:szCs w:val="24"/>
          <w:highlight w:val="none"/>
          <w:u w:val="none"/>
          <w:lang w:val="en-US" w:eastAsia="zh-CN"/>
        </w:rPr>
        <w:t>5</w:t>
      </w:r>
      <w:r>
        <w:rPr>
          <w:rFonts w:hint="eastAsia" w:ascii="方正仿宋_GB2312" w:hAnsi="方正仿宋_GB2312" w:eastAsia="方正仿宋_GB2312" w:cs="方正仿宋_GB2312"/>
          <w:sz w:val="24"/>
          <w:szCs w:val="24"/>
          <w:highlight w:val="none"/>
          <w:u w:val="none"/>
        </w:rPr>
        <w:t>-</w:t>
      </w:r>
      <w:r>
        <w:rPr>
          <w:rFonts w:hint="eastAsia" w:ascii="方正仿宋_GB2312" w:hAnsi="方正仿宋_GB2312" w:eastAsia="方正仿宋_GB2312" w:cs="方正仿宋_GB2312"/>
          <w:sz w:val="24"/>
          <w:szCs w:val="24"/>
          <w:highlight w:val="none"/>
          <w:u w:val="none"/>
          <w:lang w:val="en-US" w:eastAsia="zh-CN"/>
        </w:rPr>
        <w:t>07</w:t>
      </w:r>
      <w:r>
        <w:rPr>
          <w:rFonts w:hint="eastAsia" w:ascii="方正仿宋_GB2312" w:hAnsi="方正仿宋_GB2312" w:eastAsia="方正仿宋_GB2312" w:cs="方正仿宋_GB2312"/>
          <w:sz w:val="24"/>
          <w:szCs w:val="24"/>
          <w:highlight w:val="none"/>
          <w:u w:val="none"/>
        </w:rPr>
        <w:t>-</w:t>
      </w:r>
      <w:r>
        <w:rPr>
          <w:rFonts w:hint="eastAsia" w:ascii="方正仿宋_GB2312" w:hAnsi="方正仿宋_GB2312" w:eastAsia="方正仿宋_GB2312" w:cs="方正仿宋_GB2312"/>
          <w:sz w:val="24"/>
          <w:szCs w:val="24"/>
          <w:highlight w:val="none"/>
          <w:u w:val="none"/>
          <w:lang w:val="en-US" w:eastAsia="zh-CN"/>
        </w:rPr>
        <w:t xml:space="preserve">10 </w:t>
      </w:r>
      <w:r>
        <w:rPr>
          <w:rFonts w:hint="eastAsia" w:ascii="方正仿宋_GB2312" w:hAnsi="方正仿宋_GB2312" w:eastAsia="方正仿宋_GB2312" w:cs="方正仿宋_GB2312"/>
          <w:sz w:val="24"/>
          <w:szCs w:val="24"/>
          <w:highlight w:val="none"/>
          <w:u w:val="none"/>
        </w:rPr>
        <w:t>至202</w:t>
      </w:r>
      <w:r>
        <w:rPr>
          <w:rFonts w:hint="eastAsia" w:ascii="方正仿宋_GB2312" w:hAnsi="方正仿宋_GB2312" w:eastAsia="方正仿宋_GB2312" w:cs="方正仿宋_GB2312"/>
          <w:sz w:val="24"/>
          <w:szCs w:val="24"/>
          <w:highlight w:val="none"/>
          <w:u w:val="none"/>
          <w:lang w:val="en-US" w:eastAsia="zh-CN"/>
        </w:rPr>
        <w:t>5</w:t>
      </w:r>
      <w:r>
        <w:rPr>
          <w:rFonts w:hint="eastAsia" w:ascii="方正仿宋_GB2312" w:hAnsi="方正仿宋_GB2312" w:eastAsia="方正仿宋_GB2312" w:cs="方正仿宋_GB2312"/>
          <w:sz w:val="24"/>
          <w:szCs w:val="24"/>
          <w:highlight w:val="none"/>
          <w:u w:val="none"/>
        </w:rPr>
        <w:t>-</w:t>
      </w:r>
      <w:r>
        <w:rPr>
          <w:rFonts w:hint="eastAsia" w:ascii="方正仿宋_GB2312" w:hAnsi="方正仿宋_GB2312" w:eastAsia="方正仿宋_GB2312" w:cs="方正仿宋_GB2312"/>
          <w:sz w:val="24"/>
          <w:szCs w:val="24"/>
          <w:highlight w:val="none"/>
          <w:u w:val="none"/>
          <w:lang w:val="en-US" w:eastAsia="zh-CN"/>
        </w:rPr>
        <w:t>07</w:t>
      </w:r>
      <w:r>
        <w:rPr>
          <w:rFonts w:hint="eastAsia" w:ascii="方正仿宋_GB2312" w:hAnsi="方正仿宋_GB2312" w:eastAsia="方正仿宋_GB2312" w:cs="方正仿宋_GB2312"/>
          <w:sz w:val="24"/>
          <w:szCs w:val="24"/>
          <w:highlight w:val="none"/>
          <w:u w:val="none"/>
        </w:rPr>
        <w:t>-</w:t>
      </w:r>
      <w:r>
        <w:rPr>
          <w:rFonts w:hint="eastAsia" w:ascii="方正仿宋_GB2312" w:hAnsi="方正仿宋_GB2312" w:eastAsia="方正仿宋_GB2312" w:cs="方正仿宋_GB2312"/>
          <w:sz w:val="24"/>
          <w:szCs w:val="24"/>
          <w:highlight w:val="none"/>
          <w:u w:val="none"/>
          <w:lang w:val="en-US" w:eastAsia="zh-CN"/>
        </w:rPr>
        <w:t>17</w:t>
      </w:r>
      <w:r>
        <w:rPr>
          <w:rFonts w:hint="eastAsia" w:ascii="方正仿宋_GB2312" w:hAnsi="方正仿宋_GB2312" w:eastAsia="方正仿宋_GB2312" w:cs="方正仿宋_GB2312"/>
          <w:sz w:val="24"/>
          <w:szCs w:val="24"/>
          <w:highlight w:val="none"/>
          <w:u w:val="none"/>
        </w:rPr>
        <w:t>，每天上午0</w:t>
      </w:r>
      <w:r>
        <w:rPr>
          <w:rFonts w:hint="eastAsia" w:ascii="方正仿宋_GB2312" w:hAnsi="方正仿宋_GB2312" w:eastAsia="方正仿宋_GB2312" w:cs="方正仿宋_GB2312"/>
          <w:sz w:val="24"/>
          <w:szCs w:val="24"/>
          <w:highlight w:val="none"/>
          <w:u w:val="none"/>
          <w:lang w:val="en-US" w:eastAsia="zh-CN"/>
        </w:rPr>
        <w:t>6</w:t>
      </w:r>
      <w:r>
        <w:rPr>
          <w:rFonts w:hint="eastAsia" w:ascii="方正仿宋_GB2312" w:hAnsi="方正仿宋_GB2312" w:eastAsia="方正仿宋_GB2312" w:cs="方正仿宋_GB2312"/>
          <w:sz w:val="24"/>
          <w:szCs w:val="24"/>
          <w:highlight w:val="none"/>
          <w:u w:val="none"/>
        </w:rPr>
        <w:t>:00至12:00，下午</w:t>
      </w:r>
      <w:r>
        <w:rPr>
          <w:rFonts w:hint="eastAsia" w:ascii="方正仿宋_GB2312" w:hAnsi="方正仿宋_GB2312" w:eastAsia="方正仿宋_GB2312" w:cs="方正仿宋_GB2312"/>
          <w:sz w:val="24"/>
          <w:szCs w:val="24"/>
          <w:highlight w:val="none"/>
          <w:u w:val="none"/>
          <w:lang w:val="en-US" w:eastAsia="zh-CN"/>
        </w:rPr>
        <w:t>12</w:t>
      </w:r>
      <w:r>
        <w:rPr>
          <w:rFonts w:hint="eastAsia" w:ascii="方正仿宋_GB2312" w:hAnsi="方正仿宋_GB2312" w:eastAsia="方正仿宋_GB2312" w:cs="方正仿宋_GB2312"/>
          <w:sz w:val="24"/>
          <w:szCs w:val="24"/>
          <w:highlight w:val="none"/>
          <w:u w:val="none"/>
        </w:rPr>
        <w:t>:</w:t>
      </w:r>
      <w:r>
        <w:rPr>
          <w:rFonts w:hint="eastAsia" w:ascii="方正仿宋_GB2312" w:hAnsi="方正仿宋_GB2312" w:eastAsia="方正仿宋_GB2312" w:cs="方正仿宋_GB2312"/>
          <w:sz w:val="24"/>
          <w:szCs w:val="24"/>
          <w:highlight w:val="none"/>
          <w:u w:val="none"/>
          <w:lang w:val="en-US" w:eastAsia="zh-CN"/>
        </w:rPr>
        <w:t>00</w:t>
      </w:r>
      <w:r>
        <w:rPr>
          <w:rFonts w:hint="eastAsia" w:ascii="方正仿宋_GB2312" w:hAnsi="方正仿宋_GB2312" w:eastAsia="方正仿宋_GB2312" w:cs="方正仿宋_GB2312"/>
          <w:sz w:val="24"/>
          <w:szCs w:val="24"/>
          <w:highlight w:val="none"/>
          <w:u w:val="none"/>
        </w:rPr>
        <w:t>至</w:t>
      </w:r>
      <w:r>
        <w:rPr>
          <w:rFonts w:hint="eastAsia" w:ascii="方正仿宋_GB2312" w:hAnsi="方正仿宋_GB2312" w:eastAsia="方正仿宋_GB2312" w:cs="方正仿宋_GB2312"/>
          <w:sz w:val="24"/>
          <w:szCs w:val="24"/>
          <w:highlight w:val="none"/>
          <w:u w:val="none"/>
          <w:lang w:val="en-US" w:eastAsia="zh-CN"/>
        </w:rPr>
        <w:t>23</w:t>
      </w:r>
      <w:r>
        <w:rPr>
          <w:rFonts w:hint="eastAsia" w:ascii="方正仿宋_GB2312" w:hAnsi="方正仿宋_GB2312" w:eastAsia="方正仿宋_GB2312" w:cs="方正仿宋_GB2312"/>
          <w:sz w:val="24"/>
          <w:szCs w:val="24"/>
          <w:highlight w:val="none"/>
          <w:u w:val="none"/>
        </w:rPr>
        <w:t>:</w:t>
      </w:r>
      <w:r>
        <w:rPr>
          <w:rFonts w:hint="eastAsia" w:ascii="方正仿宋_GB2312" w:hAnsi="方正仿宋_GB2312" w:eastAsia="方正仿宋_GB2312" w:cs="方正仿宋_GB2312"/>
          <w:sz w:val="24"/>
          <w:szCs w:val="24"/>
          <w:highlight w:val="none"/>
          <w:u w:val="none"/>
          <w:lang w:val="en-US" w:eastAsia="zh-CN"/>
        </w:rPr>
        <w:t>59</w:t>
      </w:r>
      <w:r>
        <w:rPr>
          <w:rFonts w:hint="eastAsia" w:ascii="方正仿宋_GB2312" w:hAnsi="方正仿宋_GB2312" w:eastAsia="方正仿宋_GB2312" w:cs="方正仿宋_GB2312"/>
          <w:sz w:val="24"/>
          <w:szCs w:val="24"/>
          <w:highlight w:val="none"/>
          <w:u w:val="none"/>
        </w:rPr>
        <w:t>（北京时间，法定节假日除外）；</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3.2获取招标文件方式：（1）有意参加的供应商，须在政采云平台办理数字证书（CA），CA申领链接：https://middle.zcygov.cn/ca/apply/list?_app_=zcy.sys，并在政采云绑定数字证书（CA）后在网上获取招标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2）按上述要求获取招标文件的供应商视为合法获取了本项目招标文件，具备本项目的投标资格。</w:t>
      </w:r>
    </w:p>
    <w:p>
      <w:pPr>
        <w:spacing w:line="360" w:lineRule="auto"/>
        <w:outlineLvl w:val="9"/>
        <w:rPr>
          <w:rFonts w:ascii="方正仿宋_GB2312" w:hAnsi="方正仿宋_GB2312" w:eastAsia="方正仿宋_GB2312" w:cs="方正仿宋_GB2312"/>
          <w:b/>
          <w:sz w:val="24"/>
          <w:szCs w:val="24"/>
          <w:highlight w:val="none"/>
          <w:u w:val="none"/>
        </w:rPr>
      </w:pPr>
      <w:bookmarkStart w:id="155" w:name="_Toc14929"/>
      <w:bookmarkStart w:id="156" w:name="_Toc23282"/>
      <w:bookmarkStart w:id="157" w:name="_Toc19300"/>
      <w:bookmarkStart w:id="158" w:name="_Toc12653"/>
      <w:bookmarkStart w:id="159" w:name="_Toc9539"/>
      <w:bookmarkStart w:id="160" w:name="_Toc10361"/>
      <w:bookmarkStart w:id="161" w:name="_Toc23335"/>
      <w:bookmarkStart w:id="162" w:name="_Toc29420"/>
      <w:r>
        <w:rPr>
          <w:rFonts w:hint="eastAsia" w:ascii="方正仿宋_GB2312" w:hAnsi="方正仿宋_GB2312" w:eastAsia="方正仿宋_GB2312" w:cs="方正仿宋_GB2312"/>
          <w:b/>
          <w:sz w:val="24"/>
          <w:szCs w:val="24"/>
          <w:highlight w:val="none"/>
          <w:u w:val="none"/>
        </w:rPr>
        <w:t>四、</w:t>
      </w:r>
      <w:bookmarkEnd w:id="149"/>
      <w:bookmarkEnd w:id="150"/>
      <w:bookmarkEnd w:id="151"/>
      <w:bookmarkEnd w:id="152"/>
      <w:bookmarkEnd w:id="153"/>
      <w:bookmarkEnd w:id="154"/>
      <w:r>
        <w:rPr>
          <w:rFonts w:hint="eastAsia" w:ascii="方正仿宋_GB2312" w:hAnsi="方正仿宋_GB2312" w:eastAsia="方正仿宋_GB2312" w:cs="方正仿宋_GB2312"/>
          <w:b/>
          <w:sz w:val="24"/>
          <w:szCs w:val="24"/>
          <w:highlight w:val="none"/>
          <w:u w:val="none"/>
        </w:rPr>
        <w:t>投标文件递交截止时间、开标时间和地点</w:t>
      </w:r>
      <w:bookmarkEnd w:id="155"/>
      <w:bookmarkEnd w:id="156"/>
      <w:bookmarkEnd w:id="157"/>
      <w:bookmarkEnd w:id="158"/>
      <w:bookmarkEnd w:id="159"/>
      <w:bookmarkEnd w:id="160"/>
      <w:bookmarkEnd w:id="161"/>
      <w:bookmarkEnd w:id="162"/>
    </w:p>
    <w:p>
      <w:pPr>
        <w:spacing w:line="360" w:lineRule="auto"/>
        <w:outlineLvl w:val="9"/>
        <w:rPr>
          <w:rFonts w:ascii="方正仿宋_GB2312" w:hAnsi="方正仿宋_GB2312" w:eastAsia="方正仿宋_GB2312" w:cs="方正仿宋_GB2312"/>
          <w:sz w:val="24"/>
          <w:szCs w:val="24"/>
          <w:highlight w:val="none"/>
          <w:u w:val="none"/>
        </w:rPr>
      </w:pPr>
      <w:bookmarkStart w:id="163" w:name="_Toc35393802"/>
      <w:bookmarkStart w:id="164" w:name="_Toc28359016"/>
      <w:bookmarkStart w:id="165" w:name="_Toc16242"/>
      <w:bookmarkStart w:id="166" w:name="_Toc35393633"/>
      <w:bookmarkStart w:id="167" w:name="_Toc28359093"/>
      <w:bookmarkStart w:id="168" w:name="_Toc30046"/>
      <w:r>
        <w:rPr>
          <w:rFonts w:hint="eastAsia" w:ascii="方正仿宋_GB2312" w:hAnsi="方正仿宋_GB2312" w:eastAsia="方正仿宋_GB2312" w:cs="方正仿宋_GB2312"/>
          <w:sz w:val="24"/>
          <w:szCs w:val="24"/>
          <w:highlight w:val="none"/>
          <w:u w:val="none"/>
        </w:rPr>
        <w:t>4.1递交截止时间：</w:t>
      </w:r>
      <w:r>
        <w:rPr>
          <w:rFonts w:hint="eastAsia" w:ascii="方正仿宋_GB2312" w:hAnsi="方正仿宋_GB2312" w:eastAsia="方正仿宋_GB2312" w:cs="方正仿宋_GB2312"/>
          <w:sz w:val="24"/>
          <w:szCs w:val="24"/>
          <w:highlight w:val="none"/>
          <w:u w:val="none"/>
          <w:lang w:eastAsia="zh-CN"/>
        </w:rPr>
        <w:t>2025-07-</w:t>
      </w:r>
      <w:r>
        <w:rPr>
          <w:rFonts w:hint="eastAsia" w:ascii="方正仿宋_GB2312" w:hAnsi="方正仿宋_GB2312" w:eastAsia="方正仿宋_GB2312" w:cs="方正仿宋_GB2312"/>
          <w:sz w:val="24"/>
          <w:szCs w:val="24"/>
          <w:highlight w:val="none"/>
          <w:u w:val="none"/>
          <w:lang w:val="en-US" w:eastAsia="zh-CN"/>
        </w:rPr>
        <w:t>31</w:t>
      </w:r>
      <w:r>
        <w:rPr>
          <w:rFonts w:hint="eastAsia" w:ascii="方正仿宋_GB2312" w:hAnsi="方正仿宋_GB2312" w:eastAsia="方正仿宋_GB2312" w:cs="方正仿宋_GB2312"/>
          <w:sz w:val="24"/>
          <w:szCs w:val="24"/>
          <w:highlight w:val="none"/>
          <w:u w:val="none"/>
        </w:rPr>
        <w:t xml:space="preserve">  09:30（北京时间）；</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4.2递交地点：政采云平台（http：//www.zcygov.cn）；</w:t>
      </w:r>
      <w:bookmarkEnd w:id="163"/>
      <w:bookmarkEnd w:id="164"/>
      <w:bookmarkEnd w:id="165"/>
      <w:bookmarkEnd w:id="166"/>
      <w:bookmarkEnd w:id="167"/>
      <w:bookmarkEnd w:id="168"/>
      <w:bookmarkStart w:id="169" w:name="_Toc35393634"/>
      <w:bookmarkStart w:id="170" w:name="_Toc28359094"/>
      <w:bookmarkStart w:id="171" w:name="_Toc28359017"/>
      <w:bookmarkStart w:id="172" w:name="_Toc11256"/>
      <w:bookmarkStart w:id="173" w:name="_Toc22113"/>
      <w:bookmarkStart w:id="174" w:name="_Toc35393803"/>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4.3开标时间：提交投标文件截止时间的同一时间进行开标；</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4.4开启地点：昆明市呈贡区机关事务管理中心开标室（昆明市呈贡区政务服务中心旁惠景园D8栋二楼）；</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4.5开标方式：网上开标远程解密。</w:t>
      </w:r>
    </w:p>
    <w:p>
      <w:pPr>
        <w:spacing w:line="360" w:lineRule="auto"/>
        <w:outlineLvl w:val="9"/>
        <w:rPr>
          <w:rFonts w:ascii="方正仿宋_GB2312" w:hAnsi="方正仿宋_GB2312" w:eastAsia="方正仿宋_GB2312" w:cs="方正仿宋_GB2312"/>
          <w:color w:val="000000"/>
          <w:sz w:val="24"/>
          <w:szCs w:val="24"/>
          <w:highlight w:val="none"/>
          <w:u w:val="none"/>
        </w:rPr>
      </w:pPr>
      <w:bookmarkStart w:id="175" w:name="_Toc1568"/>
      <w:bookmarkStart w:id="176" w:name="_Toc31620"/>
      <w:bookmarkStart w:id="177" w:name="_Toc13360"/>
      <w:bookmarkStart w:id="178" w:name="_Toc11916"/>
      <w:bookmarkStart w:id="179" w:name="_Toc5419"/>
      <w:bookmarkStart w:id="180" w:name="_Toc27524"/>
      <w:bookmarkStart w:id="181" w:name="_Toc26378"/>
      <w:r>
        <w:rPr>
          <w:rFonts w:hint="eastAsia" w:ascii="方正仿宋_GB2312" w:hAnsi="方正仿宋_GB2312" w:eastAsia="方正仿宋_GB2312" w:cs="方正仿宋_GB2312"/>
          <w:b/>
          <w:sz w:val="24"/>
          <w:szCs w:val="24"/>
          <w:highlight w:val="none"/>
          <w:u w:val="none"/>
        </w:rPr>
        <w:t>五、</w:t>
      </w:r>
      <w:bookmarkEnd w:id="169"/>
      <w:bookmarkEnd w:id="170"/>
      <w:bookmarkEnd w:id="171"/>
      <w:bookmarkEnd w:id="172"/>
      <w:bookmarkEnd w:id="173"/>
      <w:bookmarkEnd w:id="174"/>
      <w:r>
        <w:rPr>
          <w:rFonts w:hint="eastAsia" w:ascii="方正仿宋_GB2312" w:hAnsi="方正仿宋_GB2312" w:eastAsia="方正仿宋_GB2312" w:cs="方正仿宋_GB2312"/>
          <w:b/>
          <w:sz w:val="24"/>
          <w:szCs w:val="24"/>
          <w:highlight w:val="none"/>
          <w:u w:val="none"/>
        </w:rPr>
        <w:t>其他补充事宜</w:t>
      </w:r>
      <w:bookmarkEnd w:id="175"/>
      <w:bookmarkEnd w:id="176"/>
      <w:bookmarkEnd w:id="177"/>
      <w:bookmarkEnd w:id="178"/>
      <w:bookmarkEnd w:id="179"/>
    </w:p>
    <w:p>
      <w:pPr>
        <w:spacing w:line="360" w:lineRule="auto"/>
        <w:jc w:val="left"/>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5.1自本公告发布之日起5个工作日。</w:t>
      </w:r>
    </w:p>
    <w:p>
      <w:pPr>
        <w:shd w:val="clear" w:color="auto" w:fill="FFFFFF"/>
        <w:spacing w:line="360" w:lineRule="auto"/>
        <w:outlineLvl w:val="9"/>
        <w:rPr>
          <w:rFonts w:ascii="方正仿宋_GB2312" w:hAnsi="方正仿宋_GB2312" w:eastAsia="方正仿宋_GB2312" w:cs="方正仿宋_GB2312"/>
          <w:b/>
          <w:highlight w:val="none"/>
          <w:u w:val="none"/>
        </w:rPr>
      </w:pPr>
      <w:bookmarkStart w:id="182" w:name="_Toc11591"/>
      <w:bookmarkStart w:id="183" w:name="_Toc26619"/>
      <w:bookmarkStart w:id="184" w:name="_Toc54"/>
      <w:bookmarkStart w:id="185" w:name="_Toc15806"/>
      <w:r>
        <w:rPr>
          <w:rFonts w:hint="eastAsia" w:ascii="方正仿宋_GB2312" w:hAnsi="方正仿宋_GB2312" w:eastAsia="方正仿宋_GB2312" w:cs="方正仿宋_GB2312"/>
          <w:b/>
          <w:highlight w:val="none"/>
          <w:u w:val="none"/>
        </w:rPr>
        <w:t>六、发布公告的媒介</w:t>
      </w:r>
      <w:bookmarkEnd w:id="180"/>
      <w:bookmarkEnd w:id="181"/>
      <w:bookmarkEnd w:id="182"/>
      <w:bookmarkEnd w:id="183"/>
      <w:bookmarkEnd w:id="184"/>
      <w:bookmarkEnd w:id="185"/>
      <w:bookmarkStart w:id="186" w:name="_Toc28359095"/>
      <w:bookmarkStart w:id="187" w:name="_Toc29568"/>
      <w:bookmarkStart w:id="188" w:name="_Toc304"/>
      <w:bookmarkStart w:id="189" w:name="_Toc28359018"/>
      <w:bookmarkStart w:id="190" w:name="_Toc35393805"/>
      <w:bookmarkStart w:id="191" w:name="_Toc35393636"/>
    </w:p>
    <w:p>
      <w:pPr>
        <w:spacing w:line="360" w:lineRule="auto"/>
        <w:outlineLvl w:val="9"/>
        <w:rPr>
          <w:rFonts w:ascii="方正仿宋_GB2312" w:hAnsi="方正仿宋_GB2312" w:eastAsia="方正仿宋_GB2312" w:cs="方正仿宋_GB2312"/>
          <w:bCs/>
          <w:sz w:val="24"/>
          <w:szCs w:val="24"/>
          <w:highlight w:val="none"/>
          <w:u w:val="none"/>
        </w:rPr>
      </w:pPr>
      <w:r>
        <w:rPr>
          <w:rFonts w:hint="eastAsia" w:ascii="方正仿宋_GB2312" w:hAnsi="方正仿宋_GB2312" w:eastAsia="方正仿宋_GB2312" w:cs="方正仿宋_GB2312"/>
          <w:bCs/>
          <w:sz w:val="24"/>
          <w:szCs w:val="24"/>
          <w:highlight w:val="none"/>
          <w:u w:val="none"/>
        </w:rPr>
        <w:t>6.1本项目公告在云南省政府采购网（https://www.yngp.com/）,我单位对其他网站或媒体转载的公告及公告内容不承担任何责任。</w:t>
      </w:r>
    </w:p>
    <w:p>
      <w:pPr>
        <w:spacing w:line="360" w:lineRule="auto"/>
        <w:outlineLvl w:val="9"/>
        <w:rPr>
          <w:rFonts w:ascii="方正仿宋_GB2312" w:hAnsi="方正仿宋_GB2312" w:eastAsia="方正仿宋_GB2312" w:cs="方正仿宋_GB2312"/>
          <w:sz w:val="24"/>
          <w:szCs w:val="24"/>
          <w:highlight w:val="none"/>
          <w:u w:val="none"/>
        </w:rPr>
      </w:pPr>
      <w:bookmarkStart w:id="192" w:name="_Toc7860"/>
      <w:bookmarkStart w:id="193" w:name="_Toc4374"/>
      <w:bookmarkStart w:id="194" w:name="_Toc20106"/>
      <w:bookmarkStart w:id="195" w:name="_Toc19862"/>
      <w:r>
        <w:rPr>
          <w:rFonts w:hint="eastAsia" w:ascii="方正仿宋_GB2312" w:hAnsi="方正仿宋_GB2312" w:eastAsia="方正仿宋_GB2312" w:cs="方正仿宋_GB2312"/>
          <w:b/>
          <w:sz w:val="24"/>
          <w:szCs w:val="24"/>
          <w:highlight w:val="none"/>
          <w:u w:val="none"/>
        </w:rPr>
        <w:t>七、联系方式</w:t>
      </w:r>
      <w:bookmarkEnd w:id="186"/>
      <w:bookmarkEnd w:id="187"/>
      <w:bookmarkEnd w:id="188"/>
      <w:bookmarkEnd w:id="189"/>
      <w:bookmarkEnd w:id="190"/>
      <w:bookmarkEnd w:id="191"/>
      <w:bookmarkEnd w:id="192"/>
      <w:bookmarkEnd w:id="193"/>
      <w:bookmarkEnd w:id="194"/>
      <w:bookmarkEnd w:id="195"/>
      <w:bookmarkStart w:id="196" w:name="_Toc28359096"/>
      <w:bookmarkStart w:id="197" w:name="_Toc35393806"/>
      <w:bookmarkStart w:id="198" w:name="_Toc2560"/>
      <w:bookmarkStart w:id="199" w:name="_Toc21805"/>
      <w:bookmarkStart w:id="200" w:name="_Toc28359019"/>
      <w:bookmarkStart w:id="201" w:name="_Toc35393637"/>
    </w:p>
    <w:bookmarkEnd w:id="196"/>
    <w:bookmarkEnd w:id="197"/>
    <w:bookmarkEnd w:id="198"/>
    <w:bookmarkEnd w:id="199"/>
    <w:bookmarkEnd w:id="200"/>
    <w:bookmarkEnd w:id="201"/>
    <w:p>
      <w:pPr>
        <w:spacing w:line="360" w:lineRule="auto"/>
        <w:outlineLvl w:val="9"/>
        <w:rPr>
          <w:rFonts w:hint="eastAsia" w:ascii="方正仿宋_GB2312" w:hAnsi="方正仿宋_GB2312" w:eastAsia="方正仿宋_GB2312" w:cs="方正仿宋_GB2312"/>
          <w:sz w:val="24"/>
          <w:szCs w:val="24"/>
          <w:highlight w:val="none"/>
          <w:u w:val="none"/>
          <w:lang w:eastAsia="zh-CN"/>
        </w:rPr>
      </w:pPr>
      <w:r>
        <w:rPr>
          <w:rFonts w:hint="eastAsia" w:ascii="方正仿宋_GB2312" w:hAnsi="方正仿宋_GB2312" w:eastAsia="方正仿宋_GB2312" w:cs="方正仿宋_GB2312"/>
          <w:sz w:val="24"/>
          <w:szCs w:val="24"/>
          <w:highlight w:val="none"/>
          <w:u w:val="none"/>
          <w:lang w:val="en-US" w:eastAsia="zh-CN"/>
        </w:rPr>
        <w:t>7.1</w:t>
      </w:r>
      <w:r>
        <w:rPr>
          <w:rFonts w:hint="eastAsia" w:ascii="方正仿宋_GB2312" w:hAnsi="方正仿宋_GB2312" w:eastAsia="方正仿宋_GB2312" w:cs="方正仿宋_GB2312"/>
          <w:sz w:val="24"/>
          <w:szCs w:val="24"/>
          <w:highlight w:val="none"/>
          <w:u w:val="none"/>
        </w:rPr>
        <w:t>采购人：</w:t>
      </w:r>
      <w:r>
        <w:rPr>
          <w:rFonts w:hint="eastAsia" w:ascii="方正仿宋_GB2312" w:hAnsi="方正仿宋_GB2312" w:eastAsia="方正仿宋_GB2312" w:cs="方正仿宋_GB2312"/>
          <w:sz w:val="24"/>
          <w:szCs w:val="24"/>
          <w:highlight w:val="none"/>
          <w:u w:val="none"/>
          <w:lang w:eastAsia="zh-CN"/>
        </w:rPr>
        <w:t>昆明市呈贡区第四中学</w:t>
      </w:r>
    </w:p>
    <w:p>
      <w:pPr>
        <w:spacing w:line="360" w:lineRule="auto"/>
        <w:outlineLvl w:val="9"/>
        <w:rPr>
          <w:highlight w:val="none"/>
          <w:u w:val="none"/>
        </w:rPr>
      </w:pPr>
      <w:r>
        <w:rPr>
          <w:rFonts w:hint="eastAsia" w:ascii="方正仿宋_GB2312" w:hAnsi="方正仿宋_GB2312" w:eastAsia="方正仿宋_GB2312" w:cs="方正仿宋_GB2312"/>
          <w:sz w:val="24"/>
          <w:szCs w:val="24"/>
          <w:highlight w:val="none"/>
          <w:u w:val="none"/>
        </w:rPr>
        <w:t>单位地址：云南省昆明市呈贡区驼峰街与北路29号交汇处西南侧</w:t>
      </w:r>
      <w:r>
        <w:rPr>
          <w:rFonts w:hint="eastAsia" w:ascii="方正仿宋_GB2312" w:hAnsi="方正仿宋_GB2312" w:eastAsia="方正仿宋_GB2312" w:cs="方正仿宋_GB2312"/>
          <w:sz w:val="24"/>
          <w:szCs w:val="24"/>
          <w:highlight w:val="none"/>
          <w:u w:val="none"/>
        </w:rPr>
        <w:br w:type="textWrapping"/>
      </w:r>
      <w:r>
        <w:rPr>
          <w:rFonts w:hint="eastAsia" w:ascii="方正仿宋_GB2312" w:hAnsi="方正仿宋_GB2312" w:eastAsia="方正仿宋_GB2312" w:cs="方正仿宋_GB2312"/>
          <w:color w:val="000000"/>
          <w:sz w:val="24"/>
          <w:szCs w:val="24"/>
          <w:highlight w:val="none"/>
          <w:u w:val="none"/>
        </w:rPr>
        <w:t>联系方式：</w:t>
      </w:r>
      <w:bookmarkStart w:id="202" w:name="_Toc9306"/>
      <w:bookmarkStart w:id="203" w:name="_Toc27960"/>
      <w:bookmarkStart w:id="204" w:name="_Toc35393807"/>
      <w:bookmarkStart w:id="205" w:name="_Toc35393638"/>
      <w:bookmarkStart w:id="206" w:name="_Toc28359097"/>
      <w:bookmarkStart w:id="207" w:name="_Toc28359020"/>
      <w:r>
        <w:rPr>
          <w:rFonts w:hint="eastAsia" w:ascii="方正仿宋_GB2312" w:hAnsi="方正仿宋_GB2312" w:eastAsia="方正仿宋_GB2312" w:cs="方正仿宋_GB2312"/>
          <w:sz w:val="24"/>
          <w:szCs w:val="24"/>
          <w:highlight w:val="none"/>
          <w:u w:val="none"/>
          <w:lang w:val="en-US" w:eastAsia="zh-CN"/>
        </w:rPr>
        <w:t xml:space="preserve">0871-65840314 </w:t>
      </w:r>
      <w:r>
        <w:rPr>
          <w:rFonts w:hint="eastAsia" w:ascii="方正仿宋_GB2312" w:hAnsi="方正仿宋_GB2312" w:eastAsia="方正仿宋_GB2312" w:cs="方正仿宋_GB2312"/>
          <w:sz w:val="24"/>
          <w:szCs w:val="24"/>
          <w:highlight w:val="none"/>
          <w:u w:val="none"/>
        </w:rPr>
        <w:t xml:space="preserve">  </w:t>
      </w:r>
    </w:p>
    <w:p>
      <w:pPr>
        <w:spacing w:line="360" w:lineRule="auto"/>
        <w:outlineLvl w:val="9"/>
        <w:rPr>
          <w:rFonts w:ascii="方正仿宋_GB2312" w:hAnsi="方正仿宋_GB2312" w:eastAsia="方正仿宋_GB2312" w:cs="方正仿宋_GB2312"/>
          <w:bCs/>
          <w:sz w:val="24"/>
          <w:szCs w:val="24"/>
          <w:highlight w:val="none"/>
          <w:u w:val="none"/>
        </w:rPr>
      </w:pPr>
      <w:r>
        <w:rPr>
          <w:rFonts w:hint="eastAsia" w:ascii="方正仿宋_GB2312" w:hAnsi="方正仿宋_GB2312" w:eastAsia="方正仿宋_GB2312" w:cs="方正仿宋_GB2312"/>
          <w:bCs/>
          <w:sz w:val="24"/>
          <w:szCs w:val="24"/>
          <w:highlight w:val="none"/>
          <w:u w:val="none"/>
          <w:lang w:val="en-US" w:eastAsia="zh-CN"/>
        </w:rPr>
        <w:t>7.2</w:t>
      </w:r>
      <w:r>
        <w:rPr>
          <w:rFonts w:hint="eastAsia" w:ascii="方正仿宋_GB2312" w:hAnsi="方正仿宋_GB2312" w:eastAsia="方正仿宋_GB2312" w:cs="方正仿宋_GB2312"/>
          <w:bCs/>
          <w:sz w:val="24"/>
          <w:szCs w:val="24"/>
          <w:highlight w:val="none"/>
          <w:u w:val="none"/>
        </w:rPr>
        <w:t>集中采购机构信息</w:t>
      </w:r>
      <w:bookmarkEnd w:id="202"/>
      <w:bookmarkEnd w:id="203"/>
      <w:bookmarkEnd w:id="204"/>
      <w:bookmarkEnd w:id="205"/>
      <w:bookmarkEnd w:id="206"/>
      <w:bookmarkEnd w:id="207"/>
    </w:p>
    <w:p>
      <w:pPr>
        <w:spacing w:line="360" w:lineRule="auto"/>
        <w:outlineLvl w:val="9"/>
        <w:rPr>
          <w:rFonts w:hint="eastAsia" w:ascii="方正仿宋_GB2312" w:hAnsi="方正仿宋_GB2312" w:eastAsia="方正仿宋_GB2312" w:cs="方正仿宋_GB2312"/>
          <w:sz w:val="24"/>
          <w:szCs w:val="24"/>
          <w:highlight w:val="none"/>
          <w:u w:val="none"/>
          <w:lang w:eastAsia="zh-CN"/>
        </w:rPr>
      </w:pPr>
      <w:r>
        <w:rPr>
          <w:rFonts w:hint="eastAsia" w:ascii="方正仿宋_GB2312" w:hAnsi="方正仿宋_GB2312" w:eastAsia="方正仿宋_GB2312" w:cs="方正仿宋_GB2312"/>
          <w:bCs/>
          <w:sz w:val="24"/>
          <w:szCs w:val="24"/>
          <w:highlight w:val="none"/>
          <w:u w:val="none"/>
        </w:rPr>
        <w:t>集中采购机构</w:t>
      </w:r>
      <w:r>
        <w:rPr>
          <w:rFonts w:hint="eastAsia" w:ascii="方正仿宋_GB2312" w:hAnsi="方正仿宋_GB2312" w:eastAsia="方正仿宋_GB2312" w:cs="方正仿宋_GB2312"/>
          <w:sz w:val="24"/>
          <w:szCs w:val="24"/>
          <w:highlight w:val="none"/>
          <w:u w:val="none"/>
        </w:rPr>
        <w:t>：</w:t>
      </w:r>
      <w:r>
        <w:rPr>
          <w:rFonts w:hint="eastAsia" w:ascii="方正仿宋_GB2312" w:hAnsi="方正仿宋_GB2312" w:eastAsia="方正仿宋_GB2312" w:cs="方正仿宋_GB2312"/>
          <w:sz w:val="24"/>
          <w:szCs w:val="24"/>
          <w:highlight w:val="none"/>
          <w:u w:val="none"/>
          <w:lang w:eastAsia="zh-CN"/>
        </w:rPr>
        <w:t>昆明市呈贡区人民政府办公室（昆明市呈贡区机关事务管理中心）</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地址：昆明市呈贡区惠景园D8栋</w:t>
      </w:r>
      <w:r>
        <w:rPr>
          <w:rFonts w:hint="eastAsia" w:ascii="方正仿宋_GB2312" w:hAnsi="方正仿宋_GB2312" w:eastAsia="方正仿宋_GB2312" w:cs="方正仿宋_GB2312"/>
          <w:sz w:val="24"/>
          <w:szCs w:val="24"/>
          <w:highlight w:val="none"/>
          <w:u w:val="none"/>
          <w:lang w:val="en-US" w:eastAsia="zh-CN"/>
        </w:rPr>
        <w:t>十</w:t>
      </w:r>
      <w:r>
        <w:rPr>
          <w:rFonts w:hint="eastAsia" w:ascii="方正仿宋_GB2312" w:hAnsi="方正仿宋_GB2312" w:eastAsia="方正仿宋_GB2312" w:cs="方正仿宋_GB2312"/>
          <w:sz w:val="24"/>
          <w:szCs w:val="24"/>
          <w:highlight w:val="none"/>
          <w:u w:val="none"/>
        </w:rPr>
        <w:t>二楼</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联系人：杨老师、</w:t>
      </w:r>
      <w:r>
        <w:rPr>
          <w:rFonts w:hint="eastAsia" w:ascii="方正仿宋_GB2312" w:hAnsi="方正仿宋_GB2312" w:eastAsia="方正仿宋_GB2312" w:cs="方正仿宋_GB2312"/>
          <w:sz w:val="24"/>
          <w:szCs w:val="24"/>
          <w:highlight w:val="none"/>
          <w:u w:val="none"/>
          <w:lang w:val="en-US" w:eastAsia="zh-CN"/>
        </w:rPr>
        <w:t>柏</w:t>
      </w:r>
      <w:r>
        <w:rPr>
          <w:rFonts w:hint="eastAsia" w:ascii="方正仿宋_GB2312" w:hAnsi="方正仿宋_GB2312" w:eastAsia="方正仿宋_GB2312" w:cs="方正仿宋_GB2312"/>
          <w:sz w:val="24"/>
          <w:szCs w:val="24"/>
          <w:highlight w:val="none"/>
          <w:u w:val="none"/>
        </w:rPr>
        <w:t>老师</w:t>
      </w:r>
    </w:p>
    <w:p>
      <w:pPr>
        <w:spacing w:line="360" w:lineRule="auto"/>
        <w:outlineLvl w:val="9"/>
        <w:rPr>
          <w:highlight w:val="none"/>
          <w:u w:val="none"/>
        </w:rPr>
      </w:pPr>
      <w:r>
        <w:rPr>
          <w:rFonts w:hint="eastAsia" w:ascii="方正仿宋_GB2312" w:hAnsi="方正仿宋_GB2312" w:eastAsia="方正仿宋_GB2312" w:cs="方正仿宋_GB2312"/>
          <w:sz w:val="24"/>
          <w:szCs w:val="24"/>
          <w:highlight w:val="none"/>
          <w:u w:val="none"/>
        </w:rPr>
        <w:t xml:space="preserve">联系方式： </w:t>
      </w:r>
      <w:bookmarkStart w:id="208" w:name="_Toc35393808"/>
      <w:bookmarkStart w:id="209" w:name="_Toc4819"/>
      <w:bookmarkStart w:id="210" w:name="_Toc28359098"/>
      <w:bookmarkStart w:id="211" w:name="_Toc28359021"/>
      <w:bookmarkStart w:id="212" w:name="_Toc17242"/>
      <w:bookmarkStart w:id="213" w:name="_Toc35393639"/>
      <w:r>
        <w:rPr>
          <w:rFonts w:hint="eastAsia" w:ascii="方正仿宋_GB2312" w:hAnsi="方正仿宋_GB2312" w:eastAsia="方正仿宋_GB2312" w:cs="方正仿宋_GB2312"/>
          <w:sz w:val="24"/>
          <w:szCs w:val="24"/>
          <w:highlight w:val="none"/>
          <w:u w:val="none"/>
        </w:rPr>
        <w:t>0871-67471698</w:t>
      </w:r>
    </w:p>
    <w:p>
      <w:pPr>
        <w:spacing w:line="360" w:lineRule="auto"/>
        <w:outlineLvl w:val="9"/>
        <w:rPr>
          <w:rFonts w:ascii="方正仿宋_GB2312" w:hAnsi="方正仿宋_GB2312" w:eastAsia="方正仿宋_GB2312" w:cs="方正仿宋_GB2312"/>
          <w:bCs/>
          <w:sz w:val="24"/>
          <w:szCs w:val="24"/>
          <w:highlight w:val="none"/>
          <w:u w:val="none"/>
        </w:rPr>
      </w:pPr>
      <w:bookmarkStart w:id="214" w:name="_Toc15756"/>
      <w:bookmarkStart w:id="215" w:name="_Toc10642"/>
      <w:bookmarkStart w:id="216" w:name="_Toc3634"/>
      <w:bookmarkStart w:id="217" w:name="_Toc24943"/>
      <w:r>
        <w:rPr>
          <w:rFonts w:hint="eastAsia" w:ascii="方正仿宋_GB2312" w:hAnsi="方正仿宋_GB2312" w:eastAsia="方正仿宋_GB2312" w:cs="方正仿宋_GB2312"/>
          <w:bCs/>
          <w:sz w:val="24"/>
          <w:szCs w:val="24"/>
          <w:highlight w:val="none"/>
          <w:u w:val="none"/>
          <w:lang w:val="en-US" w:eastAsia="zh-CN"/>
        </w:rPr>
        <w:t>7.3</w:t>
      </w:r>
      <w:r>
        <w:rPr>
          <w:rFonts w:hint="eastAsia" w:ascii="方正仿宋_GB2312" w:hAnsi="方正仿宋_GB2312" w:eastAsia="方正仿宋_GB2312" w:cs="方正仿宋_GB2312"/>
          <w:bCs/>
          <w:sz w:val="24"/>
          <w:szCs w:val="24"/>
          <w:highlight w:val="none"/>
          <w:u w:val="none"/>
        </w:rPr>
        <w:t>行业主管部门联系方式</w:t>
      </w:r>
      <w:bookmarkEnd w:id="208"/>
      <w:bookmarkEnd w:id="209"/>
      <w:bookmarkEnd w:id="210"/>
      <w:bookmarkEnd w:id="211"/>
      <w:bookmarkEnd w:id="212"/>
      <w:bookmarkEnd w:id="213"/>
      <w:bookmarkEnd w:id="214"/>
      <w:bookmarkEnd w:id="215"/>
      <w:bookmarkEnd w:id="216"/>
      <w:bookmarkEnd w:id="217"/>
    </w:p>
    <w:p>
      <w:pPr>
        <w:spacing w:line="360" w:lineRule="auto"/>
        <w:outlineLvl w:val="9"/>
        <w:rPr>
          <w:rFonts w:hint="default" w:ascii="方正仿宋_GB2312" w:hAnsi="方正仿宋_GB2312" w:eastAsia="方正仿宋_GB2312" w:cs="方正仿宋_GB2312"/>
          <w:sz w:val="24"/>
          <w:szCs w:val="24"/>
          <w:highlight w:val="none"/>
          <w:u w:val="none"/>
          <w:lang w:val="en-US" w:eastAsia="zh-CN"/>
        </w:rPr>
      </w:pPr>
      <w:bookmarkStart w:id="218" w:name="_Toc27237"/>
      <w:bookmarkStart w:id="219" w:name="_Toc6038"/>
      <w:bookmarkStart w:id="220" w:name="_Toc14065"/>
      <w:bookmarkStart w:id="221" w:name="_Toc22253"/>
      <w:bookmarkStart w:id="222" w:name="_Toc13327"/>
      <w:bookmarkStart w:id="223" w:name="_Toc6692"/>
      <w:bookmarkStart w:id="224" w:name="_Toc20077"/>
      <w:bookmarkStart w:id="225" w:name="_Toc21436683"/>
      <w:bookmarkStart w:id="226" w:name="_Toc10734"/>
      <w:bookmarkStart w:id="227" w:name="_Toc31480"/>
      <w:r>
        <w:rPr>
          <w:rFonts w:hint="eastAsia" w:ascii="方正仿宋_GB2312" w:hAnsi="方正仿宋_GB2312" w:eastAsia="方正仿宋_GB2312" w:cs="方正仿宋_GB2312"/>
          <w:bCs/>
          <w:sz w:val="24"/>
          <w:szCs w:val="24"/>
          <w:highlight w:val="none"/>
          <w:u w:val="none"/>
        </w:rPr>
        <w:t>监督单位</w:t>
      </w:r>
      <w:r>
        <w:rPr>
          <w:rFonts w:hint="eastAsia" w:ascii="方正仿宋_GB2312" w:hAnsi="方正仿宋_GB2312" w:eastAsia="方正仿宋_GB2312" w:cs="方正仿宋_GB2312"/>
          <w:sz w:val="24"/>
          <w:szCs w:val="24"/>
          <w:highlight w:val="none"/>
          <w:u w:val="none"/>
        </w:rPr>
        <w:t>：</w:t>
      </w:r>
      <w:r>
        <w:rPr>
          <w:rFonts w:hint="eastAsia" w:ascii="方正仿宋_GB2312" w:hAnsi="方正仿宋_GB2312" w:eastAsia="方正仿宋_GB2312" w:cs="方正仿宋_GB2312"/>
          <w:sz w:val="24"/>
          <w:szCs w:val="24"/>
          <w:highlight w:val="none"/>
          <w:u w:val="none"/>
          <w:lang w:val="en-US" w:eastAsia="zh-CN"/>
        </w:rPr>
        <w:t>呈贡区财政局</w:t>
      </w:r>
    </w:p>
    <w:p>
      <w:pPr>
        <w:outlineLvl w:val="9"/>
        <w:rPr>
          <w:rFonts w:hint="eastAsia"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u w:val="none"/>
        </w:rPr>
        <w:t>电话：</w:t>
      </w:r>
      <w:r>
        <w:rPr>
          <w:rFonts w:hint="eastAsia" w:ascii="方正仿宋_GB2312" w:hAnsi="方正仿宋_GB2312" w:eastAsia="方正仿宋_GB2312" w:cs="方正仿宋_GB2312"/>
          <w:sz w:val="24"/>
          <w:szCs w:val="24"/>
          <w:highlight w:val="none"/>
          <w:u w:val="none"/>
          <w:lang w:val="en-US" w:eastAsia="zh-CN"/>
        </w:rPr>
        <w:t>0871-67479945</w:t>
      </w:r>
    </w:p>
    <w:p>
      <w:pPr>
        <w:rPr>
          <w:rFonts w:ascii="方正小标宋简体" w:hAnsi="方正小标宋简体" w:eastAsia="方正小标宋简体" w:cs="方正小标宋简体"/>
          <w:b/>
          <w:spacing w:val="20"/>
          <w:kern w:val="44"/>
          <w:sz w:val="44"/>
          <w:szCs w:val="44"/>
          <w:highlight w:val="none"/>
        </w:rPr>
      </w:pPr>
      <w:r>
        <w:rPr>
          <w:rFonts w:hint="eastAsia" w:ascii="方正小标宋简体" w:hAnsi="方正小标宋简体" w:eastAsia="方正小标宋简体" w:cs="方正小标宋简体"/>
          <w:b/>
          <w:spacing w:val="20"/>
          <w:kern w:val="44"/>
          <w:sz w:val="44"/>
          <w:szCs w:val="44"/>
          <w:highlight w:val="none"/>
        </w:rPr>
        <w:br w:type="page"/>
      </w:r>
    </w:p>
    <w:p>
      <w:pPr>
        <w:spacing w:line="360" w:lineRule="auto"/>
        <w:jc w:val="center"/>
        <w:outlineLvl w:val="0"/>
        <w:rPr>
          <w:rFonts w:ascii="方正小标宋简体" w:hAnsi="方正小标宋简体" w:eastAsia="方正小标宋简体" w:cs="方正小标宋简体"/>
          <w:b/>
          <w:spacing w:val="20"/>
          <w:kern w:val="44"/>
          <w:sz w:val="44"/>
          <w:szCs w:val="44"/>
          <w:highlight w:val="none"/>
        </w:rPr>
      </w:pPr>
      <w:bookmarkStart w:id="228" w:name="_Toc27029"/>
      <w:r>
        <w:rPr>
          <w:rFonts w:hint="eastAsia" w:ascii="方正小标宋简体" w:hAnsi="方正小标宋简体" w:eastAsia="方正小标宋简体" w:cs="方正小标宋简体"/>
          <w:b/>
          <w:spacing w:val="20"/>
          <w:kern w:val="44"/>
          <w:sz w:val="44"/>
          <w:szCs w:val="44"/>
          <w:highlight w:val="none"/>
        </w:rPr>
        <w:t>第二章 供应商须知</w:t>
      </w:r>
      <w:bookmarkEnd w:id="218"/>
      <w:bookmarkEnd w:id="228"/>
    </w:p>
    <w:p>
      <w:pPr>
        <w:spacing w:line="360" w:lineRule="auto"/>
        <w:ind w:firstLine="540"/>
        <w:jc w:val="center"/>
        <w:outlineLvl w:val="9"/>
        <w:rPr>
          <w:rFonts w:ascii="方正仿宋_GB2312" w:hAnsi="方正仿宋_GB2312" w:eastAsia="方正仿宋_GB2312" w:cs="方正仿宋_GB2312"/>
          <w:highlight w:val="none"/>
        </w:rPr>
      </w:pPr>
      <w:bookmarkStart w:id="229" w:name="_Toc18392"/>
      <w:bookmarkStart w:id="230" w:name="_Toc8641"/>
      <w:bookmarkStart w:id="231" w:name="_Toc22912"/>
      <w:bookmarkStart w:id="232" w:name="_Toc28708"/>
      <w:r>
        <w:rPr>
          <w:rFonts w:hint="eastAsia" w:ascii="方正仿宋_GB2312" w:hAnsi="方正仿宋_GB2312" w:eastAsia="方正仿宋_GB2312" w:cs="方正仿宋_GB2312"/>
          <w:b/>
          <w:spacing w:val="20"/>
          <w:kern w:val="44"/>
          <w:sz w:val="24"/>
          <w:szCs w:val="24"/>
          <w:highlight w:val="none"/>
        </w:rPr>
        <w:t>供应商须知前附表</w:t>
      </w:r>
      <w:bookmarkEnd w:id="219"/>
      <w:bookmarkEnd w:id="220"/>
      <w:bookmarkEnd w:id="221"/>
      <w:bookmarkEnd w:id="222"/>
      <w:bookmarkEnd w:id="223"/>
      <w:bookmarkEnd w:id="224"/>
      <w:bookmarkEnd w:id="225"/>
      <w:bookmarkEnd w:id="226"/>
      <w:bookmarkEnd w:id="227"/>
      <w:bookmarkEnd w:id="229"/>
      <w:bookmarkEnd w:id="230"/>
      <w:bookmarkEnd w:id="231"/>
      <w:bookmarkEnd w:id="232"/>
    </w:p>
    <w:tbl>
      <w:tblPr>
        <w:tblStyle w:val="16"/>
        <w:tblpPr w:leftFromText="180" w:rightFromText="180" w:vertAnchor="text" w:horzAnchor="page" w:tblpX="1056" w:tblpY="63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8"/>
        <w:gridCol w:w="1080"/>
        <w:gridCol w:w="80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5"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序号</w:t>
            </w: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条款号</w:t>
            </w:r>
          </w:p>
        </w:tc>
        <w:tc>
          <w:tcPr>
            <w:tcW w:w="8013" w:type="dxa"/>
            <w:vAlign w:val="center"/>
          </w:tcPr>
          <w:p>
            <w:pPr>
              <w:spacing w:before="40" w:after="40" w:line="360" w:lineRule="auto"/>
              <w:ind w:left="57" w:right="57" w:firstLine="57"/>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7"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w:t>
            </w: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1.1</w:t>
            </w:r>
          </w:p>
        </w:tc>
        <w:tc>
          <w:tcPr>
            <w:tcW w:w="8013" w:type="dxa"/>
            <w:vAlign w:val="center"/>
          </w:tcPr>
          <w:p>
            <w:pPr>
              <w:spacing w:before="40" w:after="40" w:line="360" w:lineRule="auto"/>
              <w:ind w:right="57"/>
              <w:jc w:val="left"/>
              <w:outlineLvl w:val="9"/>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rPr>
              <w:t>项目名称：</w:t>
            </w:r>
            <w:r>
              <w:rPr>
                <w:rFonts w:hint="eastAsia" w:ascii="方正仿宋_GB2312" w:hAnsi="方正仿宋_GB2312" w:eastAsia="方正仿宋_GB2312" w:cs="方正仿宋_GB2312"/>
                <w:sz w:val="24"/>
                <w:szCs w:val="24"/>
                <w:highlight w:val="none"/>
                <w:lang w:eastAsia="zh-CN"/>
              </w:rPr>
              <w:t>昆明市呈贡区第四中学设施设备（设备及家具）二期采购项目（一标段）</w:t>
            </w:r>
          </w:p>
          <w:p>
            <w:pPr>
              <w:spacing w:before="40" w:after="40" w:line="360" w:lineRule="auto"/>
              <w:ind w:right="57"/>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项目编号：</w:t>
            </w:r>
            <w:r>
              <w:rPr>
                <w:rFonts w:hint="eastAsia" w:ascii="方正仿宋_GB2312" w:hAnsi="方正仿宋_GB2312" w:eastAsia="方正仿宋_GB2312" w:cs="方正仿宋_GB2312"/>
                <w:sz w:val="24"/>
                <w:szCs w:val="24"/>
                <w:highlight w:val="none"/>
                <w:lang w:eastAsia="zh-CN"/>
              </w:rPr>
              <w:t>530121202502</w:t>
            </w:r>
            <w:r>
              <w:rPr>
                <w:rFonts w:hint="eastAsia" w:ascii="方正仿宋_GB2312" w:hAnsi="方正仿宋_GB2312" w:eastAsia="方正仿宋_GB2312" w:cs="方正仿宋_GB2312"/>
                <w:sz w:val="24"/>
                <w:szCs w:val="24"/>
                <w:highlight w:val="none"/>
                <w:lang w:val="en-US" w:eastAsia="zh-CN"/>
              </w:rPr>
              <w:t>3</w:t>
            </w:r>
            <w:r>
              <w:rPr>
                <w:rFonts w:hint="eastAsia" w:ascii="方正仿宋_GB2312" w:hAnsi="方正仿宋_GB2312" w:eastAsia="方正仿宋_GB2312" w:cs="方正仿宋_GB2312"/>
                <w:sz w:val="24"/>
                <w:szCs w:val="24"/>
                <w:highlight w:val="none"/>
              </w:rPr>
              <w:t xml:space="preserve">     </w:t>
            </w:r>
          </w:p>
          <w:p>
            <w:pPr>
              <w:spacing w:before="40" w:after="40" w:line="360" w:lineRule="auto"/>
              <w:ind w:right="57"/>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预算金额：</w:t>
            </w:r>
            <w:r>
              <w:rPr>
                <w:rFonts w:hint="eastAsia" w:ascii="方正仿宋_GB2312" w:hAnsi="方正仿宋_GB2312" w:eastAsia="方正仿宋_GB2312" w:cs="方正仿宋_GB2312"/>
                <w:sz w:val="24"/>
                <w:szCs w:val="24"/>
                <w:highlight w:val="none"/>
                <w:u w:val="none"/>
                <w:lang w:eastAsia="zh-CN"/>
              </w:rPr>
              <w:t>231.2238万元，</w:t>
            </w:r>
            <w:r>
              <w:rPr>
                <w:rFonts w:hint="eastAsia" w:ascii="方正仿宋_GB2312" w:hAnsi="方正仿宋_GB2312" w:eastAsia="方正仿宋_GB2312" w:cs="方正仿宋_GB2312"/>
                <w:sz w:val="24"/>
                <w:szCs w:val="24"/>
                <w:highlight w:val="none"/>
                <w:u w:val="none"/>
                <w:lang w:val="en-US" w:eastAsia="zh-CN"/>
              </w:rPr>
              <w:t>一标段为</w:t>
            </w:r>
            <w:r>
              <w:rPr>
                <w:rFonts w:hint="eastAsia" w:ascii="方正仿宋_GB2312" w:hAnsi="方正仿宋_GB2312" w:eastAsia="方正仿宋_GB2312" w:cs="方正仿宋_GB2312"/>
                <w:color w:val="auto"/>
                <w:sz w:val="24"/>
                <w:szCs w:val="24"/>
                <w:highlight w:val="none"/>
                <w:u w:val="none"/>
                <w:lang w:val="en-US" w:eastAsia="zh-CN"/>
              </w:rPr>
              <w:t>64.8078万元</w:t>
            </w:r>
            <w:r>
              <w:rPr>
                <w:rFonts w:hint="eastAsia" w:ascii="方正仿宋_GB2312" w:hAnsi="方正仿宋_GB2312" w:eastAsia="方正仿宋_GB2312" w:cs="方正仿宋_GB2312"/>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7"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w:t>
            </w: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w:t>
            </w:r>
          </w:p>
        </w:tc>
        <w:tc>
          <w:tcPr>
            <w:tcW w:w="8013" w:type="dxa"/>
            <w:vAlign w:val="center"/>
          </w:tcPr>
          <w:p>
            <w:pPr>
              <w:spacing w:line="360" w:lineRule="auto"/>
              <w:outlineLvl w:val="9"/>
              <w:rPr>
                <w:rFonts w:hint="eastAsia" w:ascii="方正仿宋_GB2312" w:hAnsi="方正仿宋_GB2312" w:eastAsia="方正仿宋_GB2312" w:cs="方正仿宋_GB2312"/>
                <w:sz w:val="24"/>
                <w:szCs w:val="24"/>
                <w:highlight w:val="none"/>
                <w:u w:val="none"/>
                <w:lang w:eastAsia="zh-CN"/>
              </w:rPr>
            </w:pPr>
            <w:r>
              <w:rPr>
                <w:rFonts w:hint="eastAsia" w:ascii="方正仿宋_GB2312" w:hAnsi="方正仿宋_GB2312" w:eastAsia="方正仿宋_GB2312" w:cs="方正仿宋_GB2312"/>
                <w:sz w:val="24"/>
                <w:szCs w:val="24"/>
                <w:highlight w:val="none"/>
                <w:u w:val="none"/>
              </w:rPr>
              <w:t>采购人：</w:t>
            </w:r>
            <w:r>
              <w:rPr>
                <w:rFonts w:hint="eastAsia" w:ascii="方正仿宋_GB2312" w:hAnsi="方正仿宋_GB2312" w:eastAsia="方正仿宋_GB2312" w:cs="方正仿宋_GB2312"/>
                <w:sz w:val="24"/>
                <w:szCs w:val="24"/>
                <w:highlight w:val="none"/>
                <w:u w:val="none"/>
                <w:lang w:eastAsia="zh-CN"/>
              </w:rPr>
              <w:t>昆明市呈贡区第四中学</w:t>
            </w:r>
          </w:p>
          <w:p>
            <w:pPr>
              <w:spacing w:before="40" w:after="40" w:line="360" w:lineRule="auto"/>
              <w:ind w:right="57"/>
              <w:jc w:val="left"/>
              <w:outlineLvl w:val="9"/>
              <w:rPr>
                <w:rFonts w:ascii="方正仿宋_GB2312" w:hAnsi="方正仿宋_GB2312" w:eastAsia="方正仿宋_GB2312" w:cs="方正仿宋_GB2312"/>
                <w:color w:val="C00000"/>
                <w:sz w:val="24"/>
                <w:szCs w:val="24"/>
                <w:highlight w:val="none"/>
              </w:rPr>
            </w:pPr>
            <w:r>
              <w:rPr>
                <w:rFonts w:hint="eastAsia" w:ascii="方正仿宋_GB2312" w:hAnsi="方正仿宋_GB2312" w:eastAsia="方正仿宋_GB2312" w:cs="方正仿宋_GB2312"/>
                <w:sz w:val="24"/>
                <w:szCs w:val="24"/>
                <w:highlight w:val="none"/>
                <w:u w:val="none"/>
              </w:rPr>
              <w:t>单位地址：云南省昆明市呈贡区驼峰街与北路29号交汇处西南侧</w:t>
            </w:r>
            <w:r>
              <w:rPr>
                <w:rFonts w:hint="eastAsia" w:ascii="方正仿宋_GB2312" w:hAnsi="方正仿宋_GB2312" w:eastAsia="方正仿宋_GB2312" w:cs="方正仿宋_GB2312"/>
                <w:sz w:val="24"/>
                <w:szCs w:val="24"/>
                <w:highlight w:val="none"/>
                <w:u w:val="none"/>
              </w:rPr>
              <w:br w:type="textWrapping"/>
            </w:r>
            <w:r>
              <w:rPr>
                <w:rFonts w:hint="eastAsia" w:ascii="方正仿宋_GB2312" w:hAnsi="方正仿宋_GB2312" w:eastAsia="方正仿宋_GB2312" w:cs="方正仿宋_GB2312"/>
                <w:color w:val="000000"/>
                <w:sz w:val="24"/>
                <w:szCs w:val="24"/>
                <w:highlight w:val="none"/>
                <w:u w:val="none"/>
              </w:rPr>
              <w:t>联系方式：</w:t>
            </w:r>
            <w:r>
              <w:rPr>
                <w:rFonts w:hint="eastAsia" w:ascii="方正仿宋_GB2312" w:hAnsi="方正仿宋_GB2312" w:eastAsia="方正仿宋_GB2312" w:cs="方正仿宋_GB2312"/>
                <w:sz w:val="24"/>
                <w:szCs w:val="24"/>
                <w:highlight w:val="none"/>
                <w:u w:val="none"/>
                <w:lang w:val="en-US" w:eastAsia="zh-CN"/>
              </w:rPr>
              <w:t xml:space="preserve">0871-65840314 </w:t>
            </w:r>
            <w:r>
              <w:rPr>
                <w:rFonts w:hint="eastAsia" w:ascii="方正仿宋_GB2312" w:hAnsi="方正仿宋_GB2312" w:eastAsia="方正仿宋_GB2312" w:cs="方正仿宋_GB2312"/>
                <w:sz w:val="24"/>
                <w:szCs w:val="24"/>
                <w:highlight w:val="none"/>
                <w:u w:val="none"/>
              </w:rPr>
              <w:t xml:space="preserve"> </w:t>
            </w:r>
            <w:r>
              <w:rPr>
                <w:rFonts w:hint="eastAsia" w:ascii="方正仿宋_GB2312" w:hAnsi="方正仿宋_GB2312" w:eastAsia="方正仿宋_GB2312" w:cs="方正仿宋_GB2312"/>
                <w:color w:val="C00000"/>
                <w:sz w:val="24"/>
                <w:szCs w:val="24"/>
                <w:highlight w:val="none"/>
              </w:rPr>
              <w:t xml:space="preserve"> </w:t>
            </w:r>
          </w:p>
          <w:p>
            <w:pPr>
              <w:spacing w:before="40" w:after="40" w:line="360" w:lineRule="auto"/>
              <w:ind w:right="57"/>
              <w:jc w:val="left"/>
              <w:outlineLvl w:val="9"/>
              <w:rPr>
                <w:rFonts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bCs/>
                <w:sz w:val="24"/>
                <w:szCs w:val="24"/>
                <w:highlight w:val="none"/>
              </w:rPr>
              <w:t>采购集中采购机构信息</w:t>
            </w:r>
          </w:p>
          <w:p>
            <w:pPr>
              <w:spacing w:line="360" w:lineRule="auto"/>
              <w:outlineLvl w:val="9"/>
              <w:rPr>
                <w:rFonts w:hint="eastAsia" w:ascii="方正仿宋_GB2312" w:hAnsi="方正仿宋_GB2312" w:eastAsia="方正仿宋_GB2312" w:cs="方正仿宋_GB2312"/>
                <w:sz w:val="24"/>
                <w:szCs w:val="24"/>
                <w:highlight w:val="none"/>
                <w:u w:val="none"/>
                <w:lang w:eastAsia="zh-CN"/>
              </w:rPr>
            </w:pPr>
            <w:r>
              <w:rPr>
                <w:rFonts w:hint="eastAsia" w:ascii="方正仿宋_GB2312" w:hAnsi="方正仿宋_GB2312" w:eastAsia="方正仿宋_GB2312" w:cs="方正仿宋_GB2312"/>
                <w:bCs/>
                <w:sz w:val="24"/>
                <w:szCs w:val="24"/>
                <w:highlight w:val="none"/>
                <w:u w:val="none"/>
              </w:rPr>
              <w:t>集中采购机构</w:t>
            </w:r>
            <w:r>
              <w:rPr>
                <w:rFonts w:hint="eastAsia" w:ascii="方正仿宋_GB2312" w:hAnsi="方正仿宋_GB2312" w:eastAsia="方正仿宋_GB2312" w:cs="方正仿宋_GB2312"/>
                <w:sz w:val="24"/>
                <w:szCs w:val="24"/>
                <w:highlight w:val="none"/>
                <w:u w:val="none"/>
              </w:rPr>
              <w:t>：</w:t>
            </w:r>
            <w:r>
              <w:rPr>
                <w:rFonts w:hint="eastAsia" w:ascii="方正仿宋_GB2312" w:hAnsi="方正仿宋_GB2312" w:eastAsia="方正仿宋_GB2312" w:cs="方正仿宋_GB2312"/>
                <w:sz w:val="24"/>
                <w:szCs w:val="24"/>
                <w:highlight w:val="none"/>
                <w:u w:val="none"/>
                <w:lang w:eastAsia="zh-CN"/>
              </w:rPr>
              <w:t>昆明市呈贡区人民政府办公室（昆明市呈贡区机关事务管理中心）</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地址：昆明市呈贡区惠景园D8栋</w:t>
            </w:r>
            <w:r>
              <w:rPr>
                <w:rFonts w:hint="eastAsia" w:ascii="方正仿宋_GB2312" w:hAnsi="方正仿宋_GB2312" w:eastAsia="方正仿宋_GB2312" w:cs="方正仿宋_GB2312"/>
                <w:sz w:val="24"/>
                <w:szCs w:val="24"/>
                <w:highlight w:val="none"/>
                <w:u w:val="none"/>
                <w:lang w:val="en-US" w:eastAsia="zh-CN"/>
              </w:rPr>
              <w:t>十</w:t>
            </w:r>
            <w:r>
              <w:rPr>
                <w:rFonts w:hint="eastAsia" w:ascii="方正仿宋_GB2312" w:hAnsi="方正仿宋_GB2312" w:eastAsia="方正仿宋_GB2312" w:cs="方正仿宋_GB2312"/>
                <w:sz w:val="24"/>
                <w:szCs w:val="24"/>
                <w:highlight w:val="none"/>
                <w:u w:val="none"/>
              </w:rPr>
              <w:t>二楼</w:t>
            </w:r>
          </w:p>
          <w:p>
            <w:pPr>
              <w:spacing w:line="360" w:lineRule="auto"/>
              <w:outlineLvl w:val="9"/>
              <w:rPr>
                <w:rFonts w:ascii="方正仿宋_GB2312" w:hAnsi="方正仿宋_GB2312" w:eastAsia="方正仿宋_GB2312" w:cs="方正仿宋_GB2312"/>
                <w:sz w:val="24"/>
                <w:szCs w:val="24"/>
                <w:highlight w:val="none"/>
                <w:u w:val="none"/>
              </w:rPr>
            </w:pPr>
            <w:r>
              <w:rPr>
                <w:rFonts w:hint="eastAsia" w:ascii="方正仿宋_GB2312" w:hAnsi="方正仿宋_GB2312" w:eastAsia="方正仿宋_GB2312" w:cs="方正仿宋_GB2312"/>
                <w:sz w:val="24"/>
                <w:szCs w:val="24"/>
                <w:highlight w:val="none"/>
                <w:u w:val="none"/>
              </w:rPr>
              <w:t>联系人：杨老师、</w:t>
            </w:r>
            <w:r>
              <w:rPr>
                <w:rFonts w:hint="eastAsia" w:ascii="方正仿宋_GB2312" w:hAnsi="方正仿宋_GB2312" w:eastAsia="方正仿宋_GB2312" w:cs="方正仿宋_GB2312"/>
                <w:sz w:val="24"/>
                <w:szCs w:val="24"/>
                <w:highlight w:val="none"/>
                <w:u w:val="none"/>
                <w:lang w:val="en-US" w:eastAsia="zh-CN"/>
              </w:rPr>
              <w:t>柏</w:t>
            </w:r>
            <w:r>
              <w:rPr>
                <w:rFonts w:hint="eastAsia" w:ascii="方正仿宋_GB2312" w:hAnsi="方正仿宋_GB2312" w:eastAsia="方正仿宋_GB2312" w:cs="方正仿宋_GB2312"/>
                <w:sz w:val="24"/>
                <w:szCs w:val="24"/>
                <w:highlight w:val="none"/>
                <w:u w:val="none"/>
              </w:rPr>
              <w:t>老师</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u w:val="none"/>
              </w:rPr>
              <w:t>联系方式： 0871-67471698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4"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w:t>
            </w: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采购需求和要求：详见招标文件第四章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8"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w:t>
            </w: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pacing w:val="6"/>
                <w:sz w:val="24"/>
                <w:szCs w:val="24"/>
                <w:highlight w:val="none"/>
              </w:rPr>
              <w:t>4.1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本项目</w:t>
            </w:r>
            <w:r>
              <w:rPr>
                <w:rFonts w:hint="eastAsia" w:ascii="方正仿宋_GB2312" w:hAnsi="方正仿宋_GB2312" w:eastAsia="方正仿宋_GB2312" w:cs="方正仿宋_GB2312"/>
                <w:sz w:val="24"/>
                <w:szCs w:val="24"/>
                <w:highlight w:val="none"/>
                <w:lang w:val="en-US" w:eastAsia="zh-CN"/>
              </w:rPr>
              <w:t>划分为两个标段，</w:t>
            </w:r>
            <w:r>
              <w:rPr>
                <w:rFonts w:hint="eastAsia" w:ascii="方正仿宋_GB2312" w:hAnsi="方正仿宋_GB2312" w:eastAsia="方正仿宋_GB2312" w:cs="方正仿宋_GB2312"/>
                <w:kern w:val="0"/>
                <w:sz w:val="24"/>
                <w:szCs w:val="24"/>
                <w:highlight w:val="none"/>
              </w:rPr>
              <w:t>各投标人需对项目各标段进行整体投标，不得缺项漏项，否则作否决投标处理。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3"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w:t>
            </w: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
                <w:bCs/>
                <w:sz w:val="24"/>
                <w:szCs w:val="24"/>
                <w:highlight w:val="none"/>
              </w:rPr>
              <w:t>供应商应资格要求：详见招标公告“二、供应商资格要求”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7"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6</w:t>
            </w: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pacing w:val="6"/>
                <w:sz w:val="24"/>
                <w:szCs w:val="24"/>
                <w:highlight w:val="none"/>
              </w:rPr>
              <w:t>6.1</w:t>
            </w:r>
          </w:p>
        </w:tc>
        <w:tc>
          <w:tcPr>
            <w:tcW w:w="8013" w:type="dxa"/>
            <w:vAlign w:val="center"/>
          </w:tcPr>
          <w:p>
            <w:pPr>
              <w:spacing w:line="360" w:lineRule="auto"/>
              <w:jc w:val="left"/>
              <w:outlineLvl w:val="9"/>
              <w:rPr>
                <w:rFonts w:ascii="方正仿宋_GB2312" w:hAnsi="方正仿宋_GB2312" w:eastAsia="方正仿宋_GB2312" w:cs="方正仿宋_GB2312"/>
                <w:sz w:val="28"/>
                <w:szCs w:val="28"/>
                <w:highlight w:val="none"/>
                <w:u w:val="single"/>
              </w:rPr>
            </w:pPr>
            <w:r>
              <w:rPr>
                <w:rFonts w:hint="eastAsia" w:ascii="方正仿宋_GB2312" w:hAnsi="方正仿宋_GB2312" w:eastAsia="方正仿宋_GB2312" w:cs="方正仿宋_GB2312"/>
                <w:sz w:val="24"/>
                <w:szCs w:val="24"/>
                <w:highlight w:val="none"/>
              </w:rPr>
              <w:t>供货期：详见第一章《招标公告》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7</w:t>
            </w: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pacing w:val="6"/>
                <w:sz w:val="24"/>
                <w:szCs w:val="24"/>
                <w:highlight w:val="none"/>
              </w:rPr>
              <w:t>7.1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供货地点：采购人指定地点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restart"/>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8</w:t>
            </w: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8.1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投标有效期：有效期为90日历天</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lang w:val="en-US" w:eastAsia="zh-CN"/>
              </w:rPr>
              <w:t>自投标文件递交截止日期之日起算。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continue"/>
            <w:vAlign w:val="center"/>
          </w:tcPr>
          <w:p>
            <w:pPr>
              <w:spacing w:before="40" w:after="40" w:line="360" w:lineRule="auto"/>
              <w:jc w:val="center"/>
              <w:outlineLvl w:val="9"/>
              <w:rPr>
                <w:rFonts w:ascii="方正仿宋_GB2312" w:hAnsi="方正仿宋_GB2312" w:eastAsia="方正仿宋_GB2312" w:cs="方正仿宋_GB2312"/>
                <w:highlight w:val="none"/>
              </w:rPr>
            </w:pP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8.2</w:t>
            </w:r>
          </w:p>
        </w:tc>
        <w:tc>
          <w:tcPr>
            <w:tcW w:w="8013" w:type="dxa"/>
            <w:vAlign w:val="center"/>
          </w:tcPr>
          <w:p>
            <w:pPr>
              <w:spacing w:before="40" w:after="40"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本项目（是/否）接受联合体：否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continue"/>
            <w:vAlign w:val="center"/>
          </w:tcPr>
          <w:p>
            <w:pPr>
              <w:spacing w:before="40" w:after="40" w:line="360" w:lineRule="auto"/>
              <w:jc w:val="center"/>
              <w:outlineLvl w:val="9"/>
              <w:rPr>
                <w:rFonts w:ascii="方正仿宋_GB2312" w:hAnsi="方正仿宋_GB2312" w:eastAsia="方正仿宋_GB2312" w:cs="方正仿宋_GB2312"/>
                <w:highlight w:val="none"/>
              </w:rPr>
            </w:pP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8.3</w:t>
            </w:r>
          </w:p>
        </w:tc>
        <w:tc>
          <w:tcPr>
            <w:tcW w:w="8013" w:type="dxa"/>
            <w:vAlign w:val="center"/>
          </w:tcPr>
          <w:p>
            <w:pPr>
              <w:spacing w:before="40" w:after="40"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color w:val="333333"/>
                <w:sz w:val="24"/>
                <w:szCs w:val="24"/>
                <w:highlight w:val="none"/>
                <w:shd w:val="clear" w:color="auto" w:fill="FFFFFF"/>
              </w:rPr>
              <w:t>质量要求：</w:t>
            </w:r>
            <w:r>
              <w:rPr>
                <w:rFonts w:hint="eastAsia" w:ascii="方正仿宋_GB2312" w:hAnsi="方正仿宋_GB2312" w:eastAsia="方正仿宋_GB2312" w:cs="方正仿宋_GB2312"/>
                <w:sz w:val="24"/>
                <w:szCs w:val="24"/>
                <w:highlight w:val="none"/>
              </w:rPr>
              <w:t>详见第一章《招标公告》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continue"/>
            <w:vAlign w:val="center"/>
          </w:tcPr>
          <w:p>
            <w:pPr>
              <w:spacing w:before="40" w:after="40" w:line="360" w:lineRule="auto"/>
              <w:jc w:val="center"/>
              <w:outlineLvl w:val="9"/>
              <w:rPr>
                <w:rFonts w:ascii="方正仿宋_GB2312" w:hAnsi="方正仿宋_GB2312" w:eastAsia="方正仿宋_GB2312" w:cs="方正仿宋_GB2312"/>
                <w:highlight w:val="none"/>
              </w:rPr>
            </w:pP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8.4</w:t>
            </w:r>
          </w:p>
        </w:tc>
        <w:tc>
          <w:tcPr>
            <w:tcW w:w="8013" w:type="dxa"/>
            <w:vAlign w:val="center"/>
          </w:tcPr>
          <w:p>
            <w:pPr>
              <w:spacing w:before="40" w:after="40" w:line="360" w:lineRule="auto"/>
              <w:jc w:val="left"/>
              <w:outlineLvl w:val="9"/>
              <w:rPr>
                <w:rFonts w:ascii="方正仿宋_GB2312" w:hAnsi="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分包：不允许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4" w:hRule="atLeast"/>
        </w:trPr>
        <w:tc>
          <w:tcPr>
            <w:tcW w:w="698" w:type="dxa"/>
            <w:vMerge w:val="continue"/>
            <w:vAlign w:val="center"/>
          </w:tcPr>
          <w:p>
            <w:pPr>
              <w:spacing w:before="40" w:after="40" w:line="360" w:lineRule="auto"/>
              <w:jc w:val="center"/>
              <w:outlineLvl w:val="9"/>
              <w:rPr>
                <w:rFonts w:ascii="方正仿宋_GB2312" w:hAnsi="方正仿宋_GB2312" w:eastAsia="方正仿宋_GB2312" w:cs="方正仿宋_GB2312"/>
                <w:highlight w:val="none"/>
              </w:rPr>
            </w:pP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8.5</w:t>
            </w:r>
          </w:p>
        </w:tc>
        <w:tc>
          <w:tcPr>
            <w:tcW w:w="8013" w:type="dxa"/>
            <w:vAlign w:val="center"/>
          </w:tcPr>
          <w:p>
            <w:pPr>
              <w:spacing w:before="40" w:after="40"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偏离：允许。</w:t>
            </w:r>
          </w:p>
          <w:p>
            <w:pPr>
              <w:spacing w:before="40" w:after="40"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供应商的投标文件中可以提供优于或低于第四章“采购需求和要求”中技术参数要求的产品（即正偏离和负偏离），并将其逐项列入“技术参数偏离说明”；若供应商提供的产品技术参数</w:t>
            </w:r>
            <w:r>
              <w:rPr>
                <w:rFonts w:hint="eastAsia" w:ascii="方正仿宋_GB2312" w:hAnsi="方正仿宋_GB2312" w:eastAsia="方正仿宋_GB2312" w:cs="方正仿宋_GB2312"/>
                <w:sz w:val="24"/>
                <w:szCs w:val="24"/>
                <w:highlight w:val="none"/>
                <w:lang w:val="en-US" w:eastAsia="zh-CN"/>
              </w:rPr>
              <w:t>等于</w:t>
            </w:r>
            <w:r>
              <w:rPr>
                <w:rFonts w:hint="eastAsia" w:ascii="方正仿宋_GB2312" w:hAnsi="方正仿宋_GB2312" w:eastAsia="方正仿宋_GB2312" w:cs="方正仿宋_GB2312"/>
                <w:sz w:val="24"/>
                <w:szCs w:val="24"/>
                <w:highlight w:val="none"/>
              </w:rPr>
              <w:t>第四章“采购需求和要求”中的技术参数要求（即</w:t>
            </w:r>
            <w:r>
              <w:rPr>
                <w:rFonts w:hint="eastAsia" w:ascii="方正仿宋_GB2312" w:hAnsi="方正仿宋_GB2312" w:eastAsia="方正仿宋_GB2312" w:cs="方正仿宋_GB2312"/>
                <w:sz w:val="24"/>
                <w:szCs w:val="24"/>
                <w:highlight w:val="none"/>
                <w:lang w:val="en-US" w:eastAsia="zh-CN"/>
              </w:rPr>
              <w:t>无</w:t>
            </w:r>
            <w:r>
              <w:rPr>
                <w:rFonts w:hint="eastAsia" w:ascii="方正仿宋_GB2312" w:hAnsi="方正仿宋_GB2312" w:eastAsia="方正仿宋_GB2312" w:cs="方正仿宋_GB2312"/>
                <w:sz w:val="24"/>
                <w:szCs w:val="24"/>
                <w:highlight w:val="none"/>
              </w:rPr>
              <w:t>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8"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9</w:t>
            </w:r>
          </w:p>
        </w:tc>
        <w:tc>
          <w:tcPr>
            <w:tcW w:w="1080" w:type="dxa"/>
            <w:vAlign w:val="center"/>
          </w:tcPr>
          <w:p>
            <w:pPr>
              <w:spacing w:before="40" w:after="40" w:line="360" w:lineRule="auto"/>
              <w:ind w:right="57"/>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9.1</w:t>
            </w:r>
          </w:p>
        </w:tc>
        <w:tc>
          <w:tcPr>
            <w:tcW w:w="8013" w:type="dxa"/>
            <w:vAlign w:val="center"/>
          </w:tcPr>
          <w:p>
            <w:pPr>
              <w:spacing w:before="40" w:after="40"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投标</w:t>
            </w:r>
            <w:r>
              <w:rPr>
                <w:rFonts w:hint="eastAsia" w:ascii="方正仿宋_GB2312" w:hAnsi="方正仿宋_GB2312" w:eastAsia="方正仿宋_GB2312" w:cs="方正仿宋_GB2312"/>
                <w:sz w:val="24"/>
                <w:szCs w:val="24"/>
                <w:highlight w:val="none"/>
              </w:rPr>
              <w:t>保证金：不要求递交投标保证金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17"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10</w:t>
            </w:r>
          </w:p>
        </w:tc>
        <w:tc>
          <w:tcPr>
            <w:tcW w:w="1080"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10.1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电子投标文件份数：一份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11</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pacing w:val="6"/>
                <w:sz w:val="24"/>
                <w:szCs w:val="24"/>
                <w:highlight w:val="none"/>
              </w:rPr>
              <w:t>11.1</w:t>
            </w:r>
          </w:p>
        </w:tc>
        <w:tc>
          <w:tcPr>
            <w:tcW w:w="8013" w:type="dxa"/>
            <w:vAlign w:val="center"/>
          </w:tcPr>
          <w:p>
            <w:pPr>
              <w:spacing w:before="40" w:after="40" w:line="360" w:lineRule="auto"/>
              <w:ind w:right="57"/>
              <w:outlineLvl w:val="9"/>
              <w:rPr>
                <w:rFonts w:ascii="方正仿宋_GB2312" w:hAnsi="方正仿宋_GB2312" w:eastAsia="方正仿宋_GB2312" w:cs="方正仿宋_GB2312"/>
                <w:b/>
                <w:bCs/>
                <w:spacing w:val="6"/>
                <w:sz w:val="24"/>
                <w:szCs w:val="24"/>
                <w:highlight w:val="none"/>
              </w:rPr>
            </w:pPr>
            <w:r>
              <w:rPr>
                <w:rFonts w:hint="eastAsia" w:ascii="方正仿宋_GB2312" w:hAnsi="方正仿宋_GB2312" w:eastAsia="方正仿宋_GB2312" w:cs="方正仿宋_GB2312"/>
                <w:b/>
                <w:bCs/>
                <w:sz w:val="24"/>
                <w:szCs w:val="24"/>
                <w:highlight w:val="none"/>
              </w:rPr>
              <w:t>供应商提出问题的截止时间和方法：</w:t>
            </w:r>
            <w:r>
              <w:rPr>
                <w:rFonts w:hint="eastAsia" w:ascii="方正仿宋_GB2312" w:hAnsi="方正仿宋_GB2312" w:eastAsia="方正仿宋_GB2312" w:cs="方正仿宋_GB2312"/>
                <w:sz w:val="24"/>
                <w:szCs w:val="24"/>
                <w:highlight w:val="none"/>
              </w:rPr>
              <w:t>在上传投标文件截止时间10天前。所有获取了招标文件的潜在供应商以书面形式或传真（下同）向集中采购机构提出。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12</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12.1</w:t>
            </w:r>
          </w:p>
        </w:tc>
        <w:tc>
          <w:tcPr>
            <w:tcW w:w="8013" w:type="dxa"/>
            <w:vAlign w:val="center"/>
          </w:tcPr>
          <w:p>
            <w:pPr>
              <w:adjustRightInd w:val="0"/>
              <w:spacing w:line="360" w:lineRule="auto"/>
              <w:jc w:val="left"/>
              <w:textAlignment w:val="baseline"/>
              <w:outlineLvl w:val="9"/>
              <w:rPr>
                <w:rFonts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
                <w:bCs/>
                <w:sz w:val="24"/>
                <w:szCs w:val="24"/>
                <w:highlight w:val="none"/>
              </w:rPr>
              <w:t>招标文件澄清、修改时间：</w:t>
            </w:r>
            <w:r>
              <w:rPr>
                <w:rFonts w:hint="eastAsia" w:ascii="方正仿宋_GB2312" w:hAnsi="方正仿宋_GB2312" w:eastAsia="方正仿宋_GB2312" w:cs="方正仿宋_GB2312"/>
                <w:color w:val="000000"/>
                <w:sz w:val="24"/>
                <w:highlight w:val="none"/>
              </w:rPr>
              <w:t>采购人或者集中采购机构可以对已发出的招标文件进行必要的澄清或者修改。澄清或者修改在原公告发布媒体上发布，所有获取了招标文件的潜在供应商登录原公告发布媒体上下载和查看，供应商无须回函确认。澄清或者修改的内容为招标文件的组成部分。</w:t>
            </w:r>
          </w:p>
          <w:p>
            <w:pPr>
              <w:spacing w:before="40" w:after="40" w:line="360" w:lineRule="auto"/>
              <w:ind w:right="57"/>
              <w:outlineLvl w:val="9"/>
              <w:rPr>
                <w:rFonts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color w:val="000000"/>
                <w:sz w:val="24"/>
                <w:highlight w:val="none"/>
              </w:rPr>
              <w:t>澄清或者修改的内容可能影响投标文件编制的，采购人或者集中采购机构在投标截止时间至少15日前，以书面形式通知所有获取招标文件的潜在供应商；不足15日的，采购人或者集中采购机构顺延提交投标文件的截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13</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13.1</w:t>
            </w:r>
          </w:p>
        </w:tc>
        <w:tc>
          <w:tcPr>
            <w:tcW w:w="8013" w:type="dxa"/>
            <w:vAlign w:val="center"/>
          </w:tcPr>
          <w:p>
            <w:pPr>
              <w:spacing w:before="40" w:after="40" w:line="360" w:lineRule="auto"/>
              <w:ind w:right="57"/>
              <w:outlineLvl w:val="9"/>
              <w:rPr>
                <w:rFonts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sz w:val="24"/>
                <w:szCs w:val="24"/>
                <w:highlight w:val="none"/>
              </w:rPr>
              <w:t>构成招标文件的其他材料：答疑书、补遗书或通知等。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14</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14.1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投标文件的格式:具体详见第六章《投标文件格式》</w:t>
            </w:r>
          </w:p>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color w:val="000000"/>
                <w:sz w:val="24"/>
                <w:highlight w:val="none"/>
              </w:rPr>
              <w:t>投标文件的签署:按照投标文件格式，采用单位数字证书电子签章和个人数字证书电子签章（或电子签名）。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15</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15.1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供应商确认收到招标文件澄清或修改的时间：24小时内；</w:t>
            </w:r>
          </w:p>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形式：盖章确认后，以电子邮件形式向集中采购机构发送扫描件；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16</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16.1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报价货币：人民币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17</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17.1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电子投标文件递交截止时间：</w:t>
            </w:r>
            <w:r>
              <w:rPr>
                <w:rFonts w:hint="eastAsia" w:ascii="方正仿宋_GB2312" w:hAnsi="方正仿宋_GB2312" w:eastAsia="方正仿宋_GB2312" w:cs="方正仿宋_GB2312"/>
                <w:sz w:val="24"/>
                <w:szCs w:val="24"/>
                <w:highlight w:val="none"/>
                <w:u w:val="single"/>
                <w:lang w:eastAsia="zh-CN"/>
              </w:rPr>
              <w:t>2025-07-</w:t>
            </w:r>
            <w:r>
              <w:rPr>
                <w:rFonts w:hint="eastAsia" w:ascii="方正仿宋_GB2312" w:hAnsi="方正仿宋_GB2312" w:eastAsia="方正仿宋_GB2312" w:cs="方正仿宋_GB2312"/>
                <w:sz w:val="24"/>
                <w:szCs w:val="24"/>
                <w:highlight w:val="none"/>
                <w:u w:val="single"/>
                <w:lang w:val="en-US" w:eastAsia="zh-CN"/>
              </w:rPr>
              <w:t xml:space="preserve">31 </w:t>
            </w:r>
            <w:r>
              <w:rPr>
                <w:rFonts w:hint="eastAsia" w:ascii="方正仿宋_GB2312" w:hAnsi="方正仿宋_GB2312" w:eastAsia="方正仿宋_GB2312" w:cs="方正仿宋_GB2312"/>
                <w:sz w:val="24"/>
                <w:szCs w:val="24"/>
                <w:highlight w:val="none"/>
                <w:u w:val="single"/>
              </w:rPr>
              <w:t xml:space="preserve"> 09:30</w:t>
            </w:r>
            <w:r>
              <w:rPr>
                <w:rFonts w:hint="eastAsia" w:ascii="方正仿宋_GB2312" w:hAnsi="方正仿宋_GB2312" w:eastAsia="方正仿宋_GB2312" w:cs="方正仿宋_GB2312"/>
                <w:sz w:val="24"/>
                <w:szCs w:val="24"/>
                <w:highlight w:val="none"/>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18</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18.1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递交电子投标文件的地点：</w:t>
            </w:r>
            <w:r>
              <w:rPr>
                <w:rFonts w:hint="eastAsia" w:ascii="方正仿宋_GB2312" w:hAnsi="方正仿宋_GB2312" w:eastAsia="方正仿宋_GB2312" w:cs="方正仿宋_GB2312"/>
                <w:sz w:val="24"/>
                <w:szCs w:val="24"/>
                <w:highlight w:val="none"/>
                <w:u w:val="single"/>
              </w:rPr>
              <w:t>政采云平台（http：//www.zcygov.cn）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22</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22.1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开标时间：详见第一章《招标公告》；</w:t>
            </w:r>
          </w:p>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开启地点：详见第一章《招标公告》；</w:t>
            </w:r>
          </w:p>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开启方式：详见第一章《招标公告》；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23</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23.1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评标委员会：本项目评标委员会由采购人代表和评审专家组成，成员人数为5人及以上单数，由4 名专家和 1名采购人代表组成</w:t>
            </w:r>
            <w:r>
              <w:rPr>
                <w:rFonts w:hint="eastAsia" w:ascii="方正仿宋_GB2312" w:hAnsi="方正仿宋_GB2312" w:eastAsia="方正仿宋_GB2312" w:cs="方正仿宋_GB2312"/>
                <w:sz w:val="24"/>
                <w:szCs w:val="24"/>
                <w:highlight w:val="none"/>
                <w:lang w:eastAsia="zh-CN"/>
              </w:rPr>
              <w:t>，评审专家不得少于成员总数的三分之二</w:t>
            </w:r>
            <w:r>
              <w:rPr>
                <w:rFonts w:hint="eastAsia" w:ascii="方正仿宋_GB2312" w:hAnsi="方正仿宋_GB2312" w:eastAsia="方正仿宋_GB2312" w:cs="方正仿宋_GB2312"/>
                <w:sz w:val="24"/>
                <w:szCs w:val="24"/>
                <w:highlight w:val="none"/>
              </w:rPr>
              <w:t>，采购人按规定在相关专家库</w:t>
            </w:r>
            <w:r>
              <w:rPr>
                <w:rFonts w:hint="eastAsia" w:ascii="方正仿宋_GB2312" w:hAnsi="方正仿宋_GB2312" w:eastAsia="方正仿宋_GB2312" w:cs="方正仿宋_GB2312"/>
                <w:sz w:val="24"/>
                <w:szCs w:val="24"/>
                <w:highlight w:val="none"/>
                <w:lang w:eastAsia="zh-CN"/>
              </w:rPr>
              <w:t>（云南省政府</w:t>
            </w:r>
            <w:r>
              <w:rPr>
                <w:rFonts w:hint="eastAsia" w:ascii="方正仿宋_GB2312" w:hAnsi="方正仿宋_GB2312" w:eastAsia="方正仿宋_GB2312" w:cs="方正仿宋_GB2312"/>
                <w:sz w:val="24"/>
                <w:szCs w:val="24"/>
                <w:highlight w:val="none"/>
                <w:lang w:val="en-US" w:eastAsia="zh-CN"/>
              </w:rPr>
              <w:t>网-云南省政府采购专家库</w:t>
            </w:r>
            <w:r>
              <w:rPr>
                <w:rFonts w:hint="eastAsia" w:ascii="方正仿宋_GB2312" w:hAnsi="方正仿宋_GB2312" w:eastAsia="方正仿宋_GB2312" w:cs="方正仿宋_GB2312"/>
                <w:sz w:val="24"/>
                <w:szCs w:val="24"/>
                <w:highlight w:val="none"/>
                <w:lang w:eastAsia="zh-CN"/>
              </w:rPr>
              <w:t>）</w:t>
            </w:r>
            <w:r>
              <w:rPr>
                <w:rFonts w:hint="eastAsia" w:ascii="方正仿宋_GB2312" w:hAnsi="方正仿宋_GB2312" w:eastAsia="方正仿宋_GB2312" w:cs="方正仿宋_GB2312"/>
                <w:sz w:val="24"/>
                <w:szCs w:val="24"/>
                <w:highlight w:val="none"/>
                <w:lang w:val="en-US" w:eastAsia="zh-CN"/>
              </w:rPr>
              <w:t>中</w:t>
            </w:r>
            <w:r>
              <w:rPr>
                <w:rFonts w:hint="eastAsia" w:ascii="方正仿宋_GB2312" w:hAnsi="方正仿宋_GB2312" w:eastAsia="方正仿宋_GB2312" w:cs="方正仿宋_GB2312"/>
                <w:sz w:val="24"/>
                <w:szCs w:val="24"/>
                <w:highlight w:val="none"/>
              </w:rPr>
              <w:t>随机抽取专家。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24.1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25</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25.1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最高限价：本项目最高限价为</w:t>
            </w:r>
            <w:r>
              <w:rPr>
                <w:rFonts w:hint="eastAsia" w:ascii="方正仿宋_GB2312" w:hAnsi="方正仿宋_GB2312" w:eastAsia="方正仿宋_GB2312" w:cs="方正仿宋_GB2312"/>
                <w:sz w:val="24"/>
                <w:szCs w:val="24"/>
                <w:highlight w:val="none"/>
                <w:lang w:eastAsia="zh-CN"/>
              </w:rPr>
              <w:t>231.2238万元</w:t>
            </w:r>
            <w:r>
              <w:rPr>
                <w:rFonts w:hint="eastAsia" w:ascii="方正仿宋_GB2312" w:hAnsi="方正仿宋_GB2312" w:eastAsia="方正仿宋_GB2312" w:cs="方正仿宋_GB2312"/>
                <w:sz w:val="24"/>
                <w:szCs w:val="24"/>
                <w:highlight w:val="none"/>
                <w:u w:val="none"/>
                <w:lang w:eastAsia="zh-CN"/>
              </w:rPr>
              <w:t>，</w:t>
            </w:r>
            <w:r>
              <w:rPr>
                <w:rFonts w:hint="eastAsia" w:ascii="方正仿宋_GB2312" w:hAnsi="方正仿宋_GB2312" w:eastAsia="方正仿宋_GB2312" w:cs="方正仿宋_GB2312"/>
                <w:sz w:val="24"/>
                <w:szCs w:val="24"/>
                <w:highlight w:val="none"/>
                <w:u w:val="none"/>
                <w:lang w:val="en-US" w:eastAsia="zh-CN"/>
              </w:rPr>
              <w:t>一标段为</w:t>
            </w:r>
            <w:r>
              <w:rPr>
                <w:rFonts w:hint="eastAsia" w:ascii="方正仿宋_GB2312" w:hAnsi="方正仿宋_GB2312" w:eastAsia="方正仿宋_GB2312" w:cs="方正仿宋_GB2312"/>
                <w:color w:val="auto"/>
                <w:sz w:val="24"/>
                <w:szCs w:val="24"/>
                <w:highlight w:val="none"/>
                <w:u w:val="none"/>
                <w:lang w:val="en-US" w:eastAsia="zh-CN"/>
              </w:rPr>
              <w:t>64.8078万元</w:t>
            </w:r>
            <w:r>
              <w:rPr>
                <w:rFonts w:hint="eastAsia" w:ascii="方正仿宋_GB2312" w:hAnsi="方正仿宋_GB2312" w:eastAsia="方正仿宋_GB2312" w:cs="方正仿宋_GB2312"/>
                <w:sz w:val="24"/>
                <w:szCs w:val="24"/>
                <w:highlight w:val="none"/>
                <w:u w:val="none"/>
                <w:lang w:val="en-US" w:eastAsia="zh-CN"/>
              </w:rPr>
              <w:t>，单价限价</w:t>
            </w:r>
            <w:r>
              <w:rPr>
                <w:rFonts w:hint="eastAsia" w:ascii="方正仿宋_GB2312" w:hAnsi="方正仿宋_GB2312" w:eastAsia="方正仿宋_GB2312" w:cs="方正仿宋_GB2312"/>
                <w:sz w:val="24"/>
                <w:szCs w:val="24"/>
                <w:highlight w:val="none"/>
              </w:rPr>
              <w:t>详见第一章《招标公告》</w:t>
            </w:r>
            <w:r>
              <w:rPr>
                <w:rFonts w:hint="eastAsia" w:ascii="方正仿宋_GB2312" w:hAnsi="方正仿宋_GB2312" w:eastAsia="方正仿宋_GB2312" w:cs="方正仿宋_GB2312"/>
                <w:sz w:val="24"/>
                <w:szCs w:val="24"/>
                <w:highlight w:val="none"/>
                <w:u w:val="none"/>
                <w:lang w:val="en-US" w:eastAsia="zh-CN"/>
              </w:rPr>
              <w:t>；</w:t>
            </w:r>
          </w:p>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注：供应商的投标报价</w:t>
            </w:r>
            <w:r>
              <w:rPr>
                <w:rFonts w:hint="eastAsia" w:ascii="方正仿宋_GB2312" w:hAnsi="方正仿宋_GB2312" w:eastAsia="方正仿宋_GB2312" w:cs="方正仿宋_GB2312"/>
                <w:sz w:val="24"/>
                <w:szCs w:val="24"/>
                <w:highlight w:val="none"/>
                <w:lang w:val="en-US" w:eastAsia="zh-CN"/>
              </w:rPr>
              <w:t>和单价报价</w:t>
            </w:r>
            <w:r>
              <w:rPr>
                <w:rFonts w:hint="eastAsia" w:ascii="方正仿宋_GB2312" w:hAnsi="方正仿宋_GB2312" w:eastAsia="方正仿宋_GB2312" w:cs="方正仿宋_GB2312"/>
                <w:sz w:val="24"/>
                <w:szCs w:val="24"/>
                <w:highlight w:val="none"/>
              </w:rPr>
              <w:t>不得高于以上的最高限价，否则按否决投标处理。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26</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26.1</w:t>
            </w:r>
          </w:p>
        </w:tc>
        <w:tc>
          <w:tcPr>
            <w:tcW w:w="8013" w:type="dxa"/>
            <w:vAlign w:val="center"/>
          </w:tcPr>
          <w:p>
            <w:pPr>
              <w:spacing w:before="40" w:after="40" w:line="360" w:lineRule="auto"/>
              <w:ind w:right="57"/>
              <w:outlineLvl w:val="9"/>
              <w:rPr>
                <w:rFonts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rPr>
              <w:t>其它需要补充的内容:</w:t>
            </w:r>
          </w:p>
          <w:p>
            <w:pPr>
              <w:adjustRightInd w:val="0"/>
              <w:spacing w:line="360" w:lineRule="auto"/>
              <w:outlineLvl w:val="9"/>
              <w:rPr>
                <w:rFonts w:ascii="仿宋" w:hAnsi="仿宋" w:eastAsia="仿宋" w:cs="仿宋"/>
                <w:b/>
                <w:bCs/>
                <w:spacing w:val="6"/>
                <w:sz w:val="24"/>
                <w:szCs w:val="24"/>
                <w:highlight w:val="none"/>
              </w:rPr>
            </w:pPr>
            <w:r>
              <w:rPr>
                <w:rFonts w:hint="eastAsia" w:ascii="仿宋" w:hAnsi="仿宋" w:eastAsia="仿宋" w:cs="仿宋"/>
                <w:b/>
                <w:bCs/>
                <w:spacing w:val="6"/>
                <w:sz w:val="24"/>
                <w:szCs w:val="24"/>
                <w:highlight w:val="none"/>
              </w:rPr>
              <w:t>政府采购政策要求：</w:t>
            </w:r>
          </w:p>
          <w:p>
            <w:pPr>
              <w:adjustRightInd w:val="0"/>
              <w:spacing w:line="360" w:lineRule="auto"/>
              <w:outlineLvl w:val="9"/>
              <w:rPr>
                <w:rFonts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rPr>
              <w:t>1.小型和微型企业优惠政策</w:t>
            </w:r>
          </w:p>
          <w:p>
            <w:pPr>
              <w:adjustRightInd w:val="0"/>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根据《关于进一步加大政府采购支持中小企业力度的通知》（财库〔2022〕19号）等相关文件规定，对满足价格扣除条件且在报价文件中提交了《中小企业声明函》，并满足相关规定的小型、微型企业报价供应商，其报价扣除10%后参与评审。</w:t>
            </w:r>
          </w:p>
          <w:p>
            <w:pPr>
              <w:adjustRightInd w:val="0"/>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根据《政府采购促进中小企业发展管理办法》第二条规定，本办法所称中小企业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符合中小企业划分标准的个体工商户，在政府采购活动中视同中小企业。</w:t>
            </w:r>
          </w:p>
          <w:p>
            <w:pPr>
              <w:adjustRightInd w:val="0"/>
              <w:spacing w:line="360" w:lineRule="auto"/>
              <w:outlineLvl w:val="9"/>
              <w:rPr>
                <w:rFonts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rPr>
              <w:t>2.监狱企业优惠政策</w:t>
            </w:r>
          </w:p>
          <w:p>
            <w:pPr>
              <w:adjustRightInd w:val="0"/>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根据《关于政府采购支持监狱企业发展有关问题的通知》(财库[2014]68号)的规定，监狱企业优惠政策，监狱企业参与本项目投标时视同小型、微型企业，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p>
          <w:p>
            <w:pPr>
              <w:adjustRightInd w:val="0"/>
              <w:spacing w:line="360" w:lineRule="auto"/>
              <w:outlineLvl w:val="9"/>
              <w:rPr>
                <w:rFonts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rPr>
              <w:t>3.残疾人福利性单位优惠政策</w:t>
            </w:r>
          </w:p>
          <w:p>
            <w:pPr>
              <w:spacing w:before="40" w:after="40" w:line="360" w:lineRule="auto"/>
              <w:ind w:right="57"/>
              <w:outlineLvl w:val="9"/>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根据《关于促进残疾人就业政府采购政策的通知》(财库[2017]141号)的规定，残疾人福利性单位优惠政策，残疾人福利性单位参与本项目投标时，提供《残疾人福利性单位声明函》并对声明的真实性负责，视同小型、微型企业享受价格扣除等优惠政策。</w:t>
            </w:r>
          </w:p>
          <w:p>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4.节能产品及环境标志产品</w:t>
            </w:r>
          </w:p>
          <w:p>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4.1根据《财政部</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发展改革委</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生态环境部</w:t>
            </w:r>
            <w:r>
              <w:rPr>
                <w:rFonts w:hint="eastAsia" w:ascii="方正仿宋_GB2312" w:hAnsi="方正仿宋_GB2312" w:eastAsia="方正仿宋_GB2312" w:cs="方正仿宋_GB2312"/>
                <w:color w:val="auto"/>
                <w:sz w:val="24"/>
                <w:szCs w:val="24"/>
                <w:highlight w:val="none"/>
                <w:lang w:eastAsia="zh-CN"/>
              </w:rPr>
              <w:t>、</w:t>
            </w:r>
            <w:r>
              <w:rPr>
                <w:rFonts w:hint="eastAsia" w:ascii="方正仿宋_GB2312" w:hAnsi="方正仿宋_GB2312" w:eastAsia="方正仿宋_GB2312" w:cs="方正仿宋_GB2312"/>
                <w:color w:val="auto"/>
                <w:sz w:val="24"/>
                <w:szCs w:val="24"/>
                <w:highlight w:val="none"/>
              </w:rPr>
              <w:t>市场监管总局关于调整优化节能产品、环境标志产品政府采购执行机制的通知》（财库〔2019〕9 号），对政府采购节能产品、环境标志产品实施品目清单管理。</w:t>
            </w:r>
          </w:p>
          <w:p>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4.2节能产品是指列入财政部和发展改革委公布的《关于印发节能产品政府采购品目清单的通知》（财库〔2019〕19号）《节能产品政府采购品目清单》中的产品；</w:t>
            </w:r>
          </w:p>
          <w:p>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4.3环境标志产品是指列入财政部和生态环境部公布的《关于印发环境标志产品政府采购品目清单的通知》（财库〔2019〕18号）《环境标志产品政府采购品目清单》中的产品。</w:t>
            </w:r>
          </w:p>
          <w:p>
            <w:pPr>
              <w:spacing w:before="40" w:after="40" w:line="360" w:lineRule="auto"/>
              <w:ind w:right="57"/>
              <w:outlineLvl w:val="9"/>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4.4产品属于节能产品或环境标志产品的，</w:t>
            </w:r>
            <w:r>
              <w:rPr>
                <w:rFonts w:hint="eastAsia" w:ascii="方正仿宋_GB2312" w:hAnsi="方正仿宋_GB2312" w:eastAsia="方正仿宋_GB2312" w:cs="方正仿宋_GB2312"/>
                <w:color w:val="auto"/>
                <w:sz w:val="24"/>
                <w:szCs w:val="24"/>
                <w:highlight w:val="none"/>
                <w:lang w:eastAsia="zh-CN"/>
              </w:rPr>
              <w:t>供应商</w:t>
            </w:r>
            <w:r>
              <w:rPr>
                <w:rFonts w:hint="eastAsia" w:ascii="方正仿宋_GB2312" w:hAnsi="方正仿宋_GB2312" w:eastAsia="方正仿宋_GB2312" w:cs="方正仿宋_GB2312"/>
                <w:color w:val="auto"/>
                <w:sz w:val="24"/>
                <w:szCs w:val="24"/>
                <w:highlight w:val="none"/>
              </w:rPr>
              <w:t>需在投标文件中提供产品经国家确定的参与实施政府采购节能产品认证机构或参与实施政府采购环境标志产品认证机构出具的、处于有效期之内的节能产品、环境标志产品认证证书；对获得证书的节能产品实施政府优先采购或强制采购，对获得证书的环境标志产品实施政府优先采购。</w:t>
            </w:r>
          </w:p>
          <w:p>
            <w:pPr>
              <w:spacing w:before="40" w:after="40" w:line="360" w:lineRule="auto"/>
              <w:ind w:right="57"/>
              <w:outlineLvl w:val="9"/>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color w:val="auto"/>
                <w:sz w:val="24"/>
                <w:szCs w:val="24"/>
                <w:highlight w:val="none"/>
              </w:rPr>
              <w:t>4.5若</w:t>
            </w:r>
            <w:r>
              <w:rPr>
                <w:rFonts w:hint="eastAsia" w:ascii="方正仿宋_GB2312" w:hAnsi="方正仿宋_GB2312" w:eastAsia="方正仿宋_GB2312" w:cs="方正仿宋_GB2312"/>
                <w:color w:val="auto"/>
                <w:sz w:val="24"/>
                <w:szCs w:val="24"/>
                <w:highlight w:val="none"/>
                <w:lang w:eastAsia="zh-CN"/>
              </w:rPr>
              <w:t>供应商</w:t>
            </w:r>
            <w:r>
              <w:rPr>
                <w:rFonts w:hint="eastAsia" w:ascii="方正仿宋_GB2312" w:hAnsi="方正仿宋_GB2312" w:eastAsia="方正仿宋_GB2312" w:cs="方正仿宋_GB2312"/>
                <w:color w:val="auto"/>
                <w:sz w:val="24"/>
                <w:szCs w:val="24"/>
                <w:highlight w:val="none"/>
              </w:rPr>
              <w:t>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w:t>
            </w:r>
            <w:r>
              <w:rPr>
                <w:rFonts w:hint="eastAsia" w:ascii="方正仿宋_GB2312" w:hAnsi="方正仿宋_GB2312" w:eastAsia="方正仿宋_GB2312" w:cs="方正仿宋_GB2312"/>
                <w:color w:val="auto"/>
                <w:sz w:val="24"/>
                <w:szCs w:val="24"/>
                <w:highlight w:val="none"/>
                <w:lang w:eastAsia="zh-CN"/>
              </w:rPr>
              <w:t>供应商</w:t>
            </w:r>
            <w:r>
              <w:rPr>
                <w:rFonts w:hint="eastAsia" w:ascii="方正仿宋_GB2312" w:hAnsi="方正仿宋_GB2312" w:eastAsia="方正仿宋_GB2312" w:cs="方正仿宋_GB2312"/>
                <w:color w:val="auto"/>
                <w:sz w:val="24"/>
                <w:szCs w:val="24"/>
                <w:highlight w:val="none"/>
              </w:rPr>
              <w:t>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27</w:t>
            </w:r>
          </w:p>
        </w:tc>
        <w:tc>
          <w:tcPr>
            <w:tcW w:w="1080" w:type="dxa"/>
            <w:vAlign w:val="center"/>
          </w:tcPr>
          <w:p>
            <w:pPr>
              <w:spacing w:before="40" w:after="40" w:line="360" w:lineRule="auto"/>
              <w:ind w:right="57" w:firstLine="126" w:firstLineChars="50"/>
              <w:jc w:val="center"/>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27.1</w:t>
            </w:r>
          </w:p>
        </w:tc>
        <w:tc>
          <w:tcPr>
            <w:tcW w:w="8013" w:type="dxa"/>
            <w:vAlign w:val="center"/>
          </w:tcPr>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（1）投标报价：本项目采用总价</w:t>
            </w:r>
            <w:r>
              <w:rPr>
                <w:rFonts w:hint="eastAsia" w:ascii="方正仿宋_GB2312" w:hAnsi="方正仿宋_GB2312" w:eastAsia="方正仿宋_GB2312" w:cs="方正仿宋_GB2312"/>
                <w:sz w:val="24"/>
                <w:szCs w:val="24"/>
                <w:highlight w:val="none"/>
                <w:lang w:val="en-US" w:eastAsia="zh-CN"/>
              </w:rPr>
              <w:t>报价和单价报价</w:t>
            </w:r>
            <w:r>
              <w:rPr>
                <w:rFonts w:hint="eastAsia" w:ascii="方正仿宋_GB2312" w:hAnsi="方正仿宋_GB2312" w:eastAsia="方正仿宋_GB2312" w:cs="方正仿宋_GB2312"/>
                <w:sz w:val="24"/>
                <w:szCs w:val="24"/>
                <w:highlight w:val="none"/>
              </w:rPr>
              <w:t>的方式进行报价。</w:t>
            </w:r>
          </w:p>
          <w:p>
            <w:pPr>
              <w:spacing w:before="40" w:after="40" w:line="360" w:lineRule="auto"/>
              <w:ind w:right="57"/>
              <w:outlineLvl w:val="9"/>
              <w:rPr>
                <w:rFonts w:ascii="仿宋" w:hAnsi="仿宋" w:eastAsia="仿宋" w:cs="仿宋"/>
                <w:sz w:val="24"/>
                <w:highlight w:val="none"/>
              </w:rPr>
            </w:pPr>
            <w:r>
              <w:rPr>
                <w:rFonts w:hint="eastAsia" w:ascii="方正仿宋_GB2312" w:hAnsi="方正仿宋_GB2312" w:eastAsia="方正仿宋_GB2312" w:cs="方正仿宋_GB2312"/>
                <w:sz w:val="24"/>
                <w:szCs w:val="24"/>
                <w:highlight w:val="none"/>
              </w:rPr>
              <w:t>注：</w:t>
            </w:r>
            <w:r>
              <w:rPr>
                <w:rFonts w:hint="eastAsia" w:ascii="仿宋" w:hAnsi="仿宋" w:eastAsia="仿宋" w:cs="仿宋"/>
                <w:sz w:val="24"/>
                <w:highlight w:val="none"/>
              </w:rPr>
              <w:t>供应商须承诺所报的报价为全费用包干价，应包括完成本项目所需的设备、运输、安装、质保期内维修、售后服务、利润、税金，以及后续服务等所产生的一切生费用。</w:t>
            </w:r>
          </w:p>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仿宋" w:hAnsi="仿宋" w:eastAsia="仿宋" w:cs="仿宋"/>
                <w:sz w:val="24"/>
                <w:highlight w:val="none"/>
              </w:rPr>
              <w:t>（2）</w:t>
            </w:r>
            <w:r>
              <w:rPr>
                <w:rFonts w:hint="eastAsia" w:ascii="方正仿宋_GB2312" w:hAnsi="方正仿宋_GB2312" w:eastAsia="方正仿宋_GB2312" w:cs="方正仿宋_GB2312"/>
                <w:sz w:val="24"/>
                <w:szCs w:val="24"/>
                <w:highlight w:val="none"/>
              </w:rPr>
              <w:t>投标文件</w:t>
            </w:r>
            <w:r>
              <w:rPr>
                <w:rFonts w:hint="eastAsia" w:ascii="方正仿宋_GB2312" w:hAnsi="方正仿宋_GB2312" w:eastAsia="方正仿宋_GB2312" w:cs="方正仿宋_GB2312"/>
                <w:spacing w:val="6"/>
                <w:sz w:val="24"/>
                <w:szCs w:val="24"/>
                <w:highlight w:val="none"/>
              </w:rPr>
              <w:t>签署、盖章：</w:t>
            </w:r>
            <w:r>
              <w:rPr>
                <w:rFonts w:hint="eastAsia" w:ascii="方正仿宋_GB2312" w:hAnsi="方正仿宋_GB2312" w:eastAsia="方正仿宋_GB2312" w:cs="方正仿宋_GB2312"/>
                <w:sz w:val="24"/>
                <w:szCs w:val="24"/>
                <w:highlight w:val="none"/>
              </w:rPr>
              <w:t>按“政采云”要求，上传电子投标文件壹份。投标文件编制完成后须用云南CA按格式进行电子签章，在所要求的位置有法定代表人(单位负责人)或其委托代理人电子签名或电子签章，均使用云南CA按格式进行电子签章，联合体参加采购的除格式要求外，可由联合体牵头单位签署。</w:t>
            </w:r>
          </w:p>
          <w:p>
            <w:pPr>
              <w:spacing w:before="99" w:line="360" w:lineRule="auto"/>
              <w:ind w:left="39" w:right="21"/>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pacing w:val="6"/>
                <w:sz w:val="24"/>
                <w:szCs w:val="24"/>
                <w:highlight w:val="none"/>
              </w:rPr>
              <w:t>（3）</w:t>
            </w:r>
            <w:r>
              <w:rPr>
                <w:rFonts w:hint="eastAsia" w:ascii="方正仿宋_GB2312" w:hAnsi="方正仿宋_GB2312" w:eastAsia="方正仿宋_GB2312" w:cs="方正仿宋_GB2312"/>
                <w:sz w:val="24"/>
                <w:szCs w:val="24"/>
                <w:highlight w:val="none"/>
              </w:rPr>
              <w:t>投标文件的加密要求：CA锁加密。</w:t>
            </w:r>
          </w:p>
          <w:p>
            <w:pPr>
              <w:spacing w:before="99" w:line="360" w:lineRule="auto"/>
              <w:ind w:left="39" w:right="21"/>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z w:val="24"/>
                <w:szCs w:val="24"/>
                <w:highlight w:val="none"/>
              </w:rPr>
              <w:t>（4）</w:t>
            </w:r>
            <w:r>
              <w:rPr>
                <w:rFonts w:hint="eastAsia" w:ascii="方正仿宋_GB2312" w:hAnsi="方正仿宋_GB2312" w:eastAsia="方正仿宋_GB2312" w:cs="方正仿宋_GB2312"/>
                <w:spacing w:val="-6"/>
                <w:sz w:val="24"/>
                <w:szCs w:val="24"/>
                <w:highlight w:val="none"/>
              </w:rPr>
              <w:t>其它要求：</w:t>
            </w:r>
          </w:p>
          <w:p>
            <w:pPr>
              <w:spacing w:before="99" w:line="360" w:lineRule="auto"/>
              <w:ind w:left="39" w:right="21"/>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1、供应商应提供详细的供货清单，并且清单中依次说明设备型号、数量、产地、生产厂家等内容。对于属于整套设备运行和施工所必需的部件，即使招标文件中未列出或数量不足的，供应商仍需在执行合同时予以补足</w:t>
            </w:r>
            <w:r>
              <w:rPr>
                <w:rFonts w:hint="eastAsia" w:ascii="方正仿宋_GB2312" w:hAnsi="方正仿宋_GB2312" w:eastAsia="方正仿宋_GB2312" w:cs="方正仿宋_GB2312"/>
                <w:spacing w:val="-6"/>
                <w:sz w:val="24"/>
                <w:szCs w:val="24"/>
                <w:highlight w:val="none"/>
                <w:lang w:eastAsia="zh-CN"/>
              </w:rPr>
              <w:t>，且该部分不再额外支付费用</w:t>
            </w:r>
            <w:r>
              <w:rPr>
                <w:rFonts w:hint="eastAsia" w:ascii="方正仿宋_GB2312" w:hAnsi="方正仿宋_GB2312" w:eastAsia="方正仿宋_GB2312" w:cs="方正仿宋_GB2312"/>
                <w:spacing w:val="-6"/>
                <w:sz w:val="24"/>
                <w:szCs w:val="24"/>
                <w:highlight w:val="none"/>
              </w:rPr>
              <w:t>。</w:t>
            </w:r>
          </w:p>
          <w:p>
            <w:pPr>
              <w:spacing w:before="99" w:line="360" w:lineRule="auto"/>
              <w:ind w:left="39" w:right="21"/>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2、供应商的投标文件必须是在接受采购人的招标文件（含合同条款等）的基础上作出的承诺，若成交供应商对招标文件（含合同条款等）提出修改要求，采购人可视为其不响应招标文件的实质性条款，取消其成交候选人资格。</w:t>
            </w:r>
          </w:p>
          <w:p>
            <w:pPr>
              <w:spacing w:before="99" w:line="360" w:lineRule="auto"/>
              <w:ind w:left="39" w:right="21"/>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3、供应商若因报价过低致使不与采购人签订合同或在合同签订中无故要求变更投标承诺和变更报价的，采购人可通报监管部门取消其成交候选人资格；给采购人造成的损失供应商应予以赔偿，采购监督管理部门给予不良市场行为记录。</w:t>
            </w:r>
          </w:p>
          <w:p>
            <w:pPr>
              <w:spacing w:before="99" w:line="360" w:lineRule="auto"/>
              <w:ind w:left="39" w:right="21"/>
              <w:outlineLvl w:val="9"/>
              <w:rPr>
                <w:rFonts w:ascii="仿宋" w:hAnsi="仿宋" w:eastAsia="仿宋" w:cs="仿宋"/>
                <w:spacing w:val="-6"/>
                <w:sz w:val="24"/>
                <w:szCs w:val="24"/>
                <w:highlight w:val="none"/>
              </w:rPr>
            </w:pPr>
            <w:r>
              <w:rPr>
                <w:rFonts w:hint="eastAsia" w:ascii="仿宋" w:hAnsi="仿宋" w:eastAsia="仿宋" w:cs="仿宋"/>
                <w:spacing w:val="-6"/>
                <w:sz w:val="24"/>
                <w:szCs w:val="24"/>
                <w:highlight w:val="none"/>
              </w:rPr>
              <w:t>二、验收标准</w:t>
            </w:r>
          </w:p>
          <w:p>
            <w:pPr>
              <w:spacing w:before="99" w:line="360" w:lineRule="auto"/>
              <w:ind w:left="39" w:right="21"/>
              <w:outlineLvl w:val="9"/>
              <w:rPr>
                <w:rFonts w:ascii="仿宋" w:hAnsi="仿宋" w:eastAsia="仿宋" w:cs="仿宋"/>
                <w:spacing w:val="-6"/>
                <w:sz w:val="24"/>
                <w:szCs w:val="24"/>
                <w:highlight w:val="none"/>
              </w:rPr>
            </w:pPr>
            <w:r>
              <w:rPr>
                <w:rFonts w:hint="eastAsia" w:ascii="仿宋" w:hAnsi="仿宋" w:eastAsia="仿宋" w:cs="仿宋"/>
                <w:spacing w:val="-6"/>
                <w:sz w:val="24"/>
                <w:szCs w:val="24"/>
                <w:highlight w:val="none"/>
              </w:rPr>
              <w:t>1、验收包括：材质、款式、规格、数量、外观、质量、性能、备品备件、装箱单、说明资料及包装。供应商应保证向采购人提供的商品为全新、未使用的原装正品，并且所有商品均应具备该类商品的功能要求，质量为合格产品，同时有具体的规格型号、明确的生产厂商和原产地。</w:t>
            </w:r>
          </w:p>
          <w:p>
            <w:pPr>
              <w:spacing w:before="99" w:line="360" w:lineRule="auto"/>
              <w:ind w:left="39" w:right="21"/>
              <w:outlineLvl w:val="9"/>
              <w:rPr>
                <w:rFonts w:ascii="仿宋" w:hAnsi="仿宋" w:eastAsia="仿宋" w:cs="仿宋"/>
                <w:spacing w:val="-6"/>
                <w:sz w:val="24"/>
                <w:szCs w:val="24"/>
                <w:highlight w:val="none"/>
              </w:rPr>
            </w:pPr>
            <w:r>
              <w:rPr>
                <w:rFonts w:hint="eastAsia" w:ascii="仿宋" w:hAnsi="仿宋" w:eastAsia="仿宋" w:cs="仿宋"/>
                <w:spacing w:val="-6"/>
                <w:sz w:val="24"/>
                <w:szCs w:val="24"/>
                <w:highlight w:val="none"/>
              </w:rPr>
              <w:t>2、供应商交货前应对产品作出全面检查和对验收文件进行整理，并列出清单，作为采购人收货验收和使用技术条件的依据，同时安装到位，可用后验收。</w:t>
            </w:r>
          </w:p>
          <w:p>
            <w:pPr>
              <w:spacing w:before="99" w:line="360" w:lineRule="auto"/>
              <w:ind w:left="39" w:right="21"/>
              <w:outlineLvl w:val="9"/>
              <w:rPr>
                <w:rFonts w:ascii="仿宋" w:hAnsi="仿宋" w:eastAsia="仿宋" w:cs="仿宋"/>
                <w:spacing w:val="-6"/>
                <w:sz w:val="24"/>
                <w:szCs w:val="24"/>
                <w:highlight w:val="none"/>
              </w:rPr>
            </w:pPr>
            <w:r>
              <w:rPr>
                <w:rFonts w:hint="eastAsia" w:ascii="仿宋" w:hAnsi="仿宋" w:eastAsia="仿宋" w:cs="仿宋"/>
                <w:spacing w:val="-6"/>
                <w:sz w:val="24"/>
                <w:szCs w:val="24"/>
                <w:highlight w:val="none"/>
              </w:rPr>
              <w:t>3、验收时对产品进行上述功能要求的逐一测试，全部通过后才能执行合同验收工作，否则将作无条件退货处理，并保留对该厂商追究相关责任的权利。</w:t>
            </w:r>
          </w:p>
          <w:p>
            <w:pPr>
              <w:spacing w:before="40" w:after="40" w:line="360" w:lineRule="auto"/>
              <w:ind w:right="57"/>
              <w:outlineLvl w:val="9"/>
              <w:rPr>
                <w:rFonts w:ascii="方正仿宋_GB2312" w:hAnsi="方正仿宋_GB2312" w:eastAsia="方正仿宋_GB2312" w:cs="方正仿宋_GB2312"/>
                <w:sz w:val="24"/>
                <w:szCs w:val="24"/>
                <w:highlight w:val="none"/>
              </w:rPr>
            </w:pPr>
            <w:r>
              <w:rPr>
                <w:rFonts w:hint="eastAsia" w:ascii="仿宋" w:hAnsi="仿宋" w:eastAsia="仿宋" w:cs="仿宋"/>
                <w:spacing w:val="-6"/>
                <w:sz w:val="24"/>
                <w:szCs w:val="24"/>
                <w:highlight w:val="none"/>
              </w:rPr>
              <w:t>4、以上条款内容投标文件中需附承诺书，若不提供视为无效投标；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6" w:hRule="atLeast"/>
        </w:trPr>
        <w:tc>
          <w:tcPr>
            <w:tcW w:w="698" w:type="dxa"/>
            <w:vAlign w:val="center"/>
          </w:tcPr>
          <w:p>
            <w:pPr>
              <w:spacing w:before="40" w:after="40"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28</w:t>
            </w:r>
          </w:p>
        </w:tc>
        <w:tc>
          <w:tcPr>
            <w:tcW w:w="1080" w:type="dxa"/>
            <w:vAlign w:val="center"/>
          </w:tcPr>
          <w:p>
            <w:pPr>
              <w:spacing w:before="40" w:after="40" w:line="360" w:lineRule="auto"/>
              <w:ind w:right="57"/>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28.1</w:t>
            </w:r>
          </w:p>
        </w:tc>
        <w:tc>
          <w:tcPr>
            <w:tcW w:w="8013" w:type="dxa"/>
            <w:vAlign w:val="center"/>
          </w:tcPr>
          <w:p>
            <w:pPr>
              <w:spacing w:before="40" w:after="40" w:line="360" w:lineRule="auto"/>
              <w:ind w:right="57"/>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评标方法:综合评分法</w:t>
            </w:r>
          </w:p>
        </w:tc>
      </w:tr>
    </w:tbl>
    <w:p>
      <w:pPr>
        <w:spacing w:line="480" w:lineRule="auto"/>
        <w:jc w:val="center"/>
        <w:outlineLvl w:val="9"/>
        <w:rPr>
          <w:rFonts w:ascii="方正仿宋_GB2312" w:hAnsi="方正仿宋_GB2312" w:eastAsia="方正仿宋_GB2312" w:cs="方正仿宋_GB2312"/>
          <w:highlight w:val="none"/>
        </w:rPr>
      </w:pPr>
      <w:bookmarkStart w:id="233" w:name="_Toc32353"/>
      <w:bookmarkStart w:id="234" w:name="_Toc21436684"/>
      <w:bookmarkStart w:id="235" w:name="_Toc15353"/>
      <w:bookmarkStart w:id="236" w:name="_Toc11212"/>
      <w:bookmarkStart w:id="237" w:name="_Toc719"/>
      <w:r>
        <w:rPr>
          <w:rFonts w:hint="eastAsia" w:ascii="方正仿宋_GB2312" w:hAnsi="方正仿宋_GB2312" w:eastAsia="方正仿宋_GB2312" w:cs="方正仿宋_GB2312"/>
          <w:szCs w:val="32"/>
          <w:highlight w:val="none"/>
        </w:rPr>
        <w:br w:type="page"/>
      </w:r>
      <w:bookmarkStart w:id="238" w:name="_Toc10718"/>
      <w:bookmarkStart w:id="239" w:name="_Toc21915"/>
      <w:bookmarkStart w:id="240" w:name="_Toc13080"/>
      <w:bookmarkStart w:id="241" w:name="_Toc23757"/>
      <w:bookmarkStart w:id="242" w:name="_Toc107"/>
      <w:bookmarkStart w:id="243" w:name="_Toc27016"/>
      <w:bookmarkStart w:id="244" w:name="_Toc16749"/>
      <w:bookmarkStart w:id="245" w:name="_Toc1215"/>
      <w:r>
        <w:rPr>
          <w:rFonts w:hint="eastAsia" w:ascii="方正小标宋简体" w:hAnsi="方正小标宋简体" w:eastAsia="方正小标宋简体" w:cs="方正小标宋简体"/>
          <w:sz w:val="36"/>
          <w:szCs w:val="36"/>
          <w:highlight w:val="none"/>
        </w:rPr>
        <w:t xml:space="preserve">一、 </w:t>
      </w:r>
      <w:bookmarkEnd w:id="233"/>
      <w:bookmarkEnd w:id="234"/>
      <w:r>
        <w:rPr>
          <w:rFonts w:hint="eastAsia" w:ascii="方正小标宋简体" w:hAnsi="方正小标宋简体" w:eastAsia="方正小标宋简体" w:cs="方正小标宋简体"/>
          <w:sz w:val="36"/>
          <w:szCs w:val="36"/>
          <w:highlight w:val="none"/>
        </w:rPr>
        <w:t>总 则</w:t>
      </w:r>
      <w:bookmarkEnd w:id="235"/>
      <w:bookmarkEnd w:id="236"/>
      <w:bookmarkEnd w:id="237"/>
      <w:bookmarkEnd w:id="238"/>
      <w:bookmarkEnd w:id="239"/>
      <w:bookmarkEnd w:id="240"/>
      <w:bookmarkEnd w:id="241"/>
      <w:bookmarkEnd w:id="242"/>
      <w:bookmarkEnd w:id="243"/>
      <w:bookmarkEnd w:id="244"/>
      <w:bookmarkEnd w:id="245"/>
    </w:p>
    <w:p>
      <w:pPr>
        <w:spacing w:line="360" w:lineRule="auto"/>
        <w:outlineLvl w:val="9"/>
        <w:rPr>
          <w:rFonts w:ascii="方正仿宋_GB2312" w:hAnsi="方正仿宋_GB2312" w:eastAsia="方正仿宋_GB2312" w:cs="方正仿宋_GB2312"/>
          <w:bCs/>
          <w:sz w:val="24"/>
          <w:szCs w:val="24"/>
          <w:highlight w:val="none"/>
        </w:rPr>
      </w:pPr>
      <w:bookmarkStart w:id="246" w:name="_Toc28319"/>
      <w:bookmarkStart w:id="247" w:name="_Toc8241"/>
      <w:bookmarkStart w:id="248" w:name="_Toc1964"/>
      <w:bookmarkStart w:id="249" w:name="_Toc21436685"/>
      <w:r>
        <w:rPr>
          <w:rFonts w:hint="eastAsia" w:ascii="方正仿宋_GB2312" w:hAnsi="方正仿宋_GB2312" w:eastAsia="方正仿宋_GB2312" w:cs="方正仿宋_GB2312"/>
          <w:bCs/>
          <w:sz w:val="24"/>
          <w:szCs w:val="24"/>
          <w:highlight w:val="none"/>
        </w:rPr>
        <w:t>一．项目概况</w:t>
      </w:r>
      <w:bookmarkEnd w:id="246"/>
      <w:bookmarkEnd w:id="247"/>
      <w:bookmarkEnd w:id="248"/>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 1本次招标采用公开招标方式。</w:t>
      </w:r>
    </w:p>
    <w:p>
      <w:pPr>
        <w:spacing w:line="360" w:lineRule="auto"/>
        <w:outlineLvl w:val="9"/>
        <w:rPr>
          <w:rFonts w:ascii="方正仿宋_GB2312" w:hAnsi="方正仿宋_GB2312" w:eastAsia="方正仿宋_GB2312" w:cs="方正仿宋_GB2312"/>
          <w:sz w:val="24"/>
          <w:szCs w:val="24"/>
          <w:highlight w:val="none"/>
        </w:rPr>
      </w:pPr>
      <w:bookmarkStart w:id="250" w:name="_Toc514058454"/>
      <w:bookmarkStart w:id="251" w:name="_Toc41389795"/>
      <w:bookmarkStart w:id="252" w:name="_Toc43103130"/>
      <w:bookmarkStart w:id="253" w:name="_Toc42876193"/>
      <w:bookmarkStart w:id="254" w:name="_Toc42781843"/>
      <w:bookmarkStart w:id="255" w:name="_Toc416335922"/>
      <w:bookmarkStart w:id="256" w:name="_Toc42876108"/>
      <w:bookmarkStart w:id="257" w:name="_Toc42941198"/>
      <w:bookmarkStart w:id="258" w:name="_Toc42941292"/>
      <w:bookmarkStart w:id="259" w:name="_Toc42782792"/>
      <w:bookmarkStart w:id="260" w:name="_Toc42782878"/>
      <w:bookmarkStart w:id="261" w:name="_Toc43110953"/>
      <w:bookmarkStart w:id="262" w:name="_Toc42796906"/>
      <w:bookmarkStart w:id="263" w:name="_Toc43008877"/>
      <w:bookmarkStart w:id="264" w:name="_Toc42965662"/>
      <w:bookmarkStart w:id="265" w:name="_Toc42782580"/>
      <w:bookmarkStart w:id="266" w:name="_Toc43103047"/>
      <w:r>
        <w:rPr>
          <w:rFonts w:hint="eastAsia" w:ascii="方正仿宋_GB2312" w:hAnsi="方正仿宋_GB2312" w:eastAsia="方正仿宋_GB2312" w:cs="方正仿宋_GB2312"/>
          <w:sz w:val="24"/>
          <w:szCs w:val="24"/>
          <w:highlight w:val="none"/>
        </w:rPr>
        <w:t>2.适用范围</w:t>
      </w:r>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2.1本招标文件仅适用于本招标项目中所述的内容。</w:t>
      </w:r>
    </w:p>
    <w:p>
      <w:pPr>
        <w:spacing w:line="360" w:lineRule="auto"/>
        <w:outlineLvl w:val="9"/>
        <w:rPr>
          <w:rFonts w:ascii="方正仿宋_GB2312" w:hAnsi="方正仿宋_GB2312" w:eastAsia="方正仿宋_GB2312" w:cs="方正仿宋_GB2312"/>
          <w:sz w:val="24"/>
          <w:szCs w:val="24"/>
          <w:highlight w:val="none"/>
        </w:rPr>
      </w:pPr>
      <w:bookmarkStart w:id="267" w:name="_Toc43110954"/>
      <w:bookmarkStart w:id="268" w:name="_Toc514058455"/>
      <w:bookmarkStart w:id="269" w:name="_Toc42876109"/>
      <w:bookmarkStart w:id="270" w:name="_Toc42782581"/>
      <w:bookmarkStart w:id="271" w:name="_Toc43008878"/>
      <w:bookmarkStart w:id="272" w:name="_Toc42941293"/>
      <w:bookmarkStart w:id="273" w:name="_Toc43103131"/>
      <w:bookmarkStart w:id="274" w:name="_Toc42796907"/>
      <w:bookmarkStart w:id="275" w:name="_Toc43103048"/>
      <w:bookmarkStart w:id="276" w:name="_Toc41389796"/>
      <w:bookmarkStart w:id="277" w:name="_Toc42781844"/>
      <w:bookmarkStart w:id="278" w:name="_Toc42782793"/>
      <w:bookmarkStart w:id="279" w:name="_Toc42876194"/>
      <w:bookmarkStart w:id="280" w:name="_Toc42965663"/>
      <w:bookmarkStart w:id="281" w:name="_Toc42941199"/>
      <w:bookmarkStart w:id="282" w:name="_Toc42782879"/>
      <w:bookmarkStart w:id="283" w:name="_Toc416335923"/>
      <w:bookmarkStart w:id="284" w:name="_Toc507903166"/>
      <w:r>
        <w:rPr>
          <w:rFonts w:hint="eastAsia" w:ascii="方正仿宋_GB2312" w:hAnsi="方正仿宋_GB2312" w:eastAsia="方正仿宋_GB2312" w:cs="方正仿宋_GB2312"/>
          <w:sz w:val="24"/>
          <w:szCs w:val="24"/>
          <w:highlight w:val="none"/>
        </w:rPr>
        <w:t>3.定义</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3.1“采购人”系指本次依法进行政府采购的单位即</w:t>
      </w:r>
      <w:r>
        <w:rPr>
          <w:rFonts w:hint="eastAsia" w:ascii="方正仿宋_GB2312" w:hAnsi="方正仿宋_GB2312" w:eastAsia="方正仿宋_GB2312" w:cs="方正仿宋_GB2312"/>
          <w:sz w:val="24"/>
          <w:szCs w:val="24"/>
          <w:highlight w:val="none"/>
          <w:u w:val="single"/>
          <w:lang w:eastAsia="zh-CN"/>
        </w:rPr>
        <w:t>昆明市呈贡区第四中学</w:t>
      </w:r>
      <w:r>
        <w:rPr>
          <w:rFonts w:hint="eastAsia" w:ascii="方正仿宋_GB2312" w:hAnsi="方正仿宋_GB2312" w:eastAsia="方正仿宋_GB2312" w:cs="方正仿宋_GB2312"/>
          <w:sz w:val="24"/>
          <w:szCs w:val="24"/>
          <w:highlight w:val="none"/>
        </w:rPr>
        <w:t>。</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3.2“集中采购机构”系指组织本次招标、投标的政府集中采购机构。即</w:t>
      </w:r>
      <w:r>
        <w:rPr>
          <w:rFonts w:hint="eastAsia" w:ascii="方正仿宋_GB2312" w:hAnsi="方正仿宋_GB2312" w:eastAsia="方正仿宋_GB2312" w:cs="方正仿宋_GB2312"/>
          <w:sz w:val="24"/>
          <w:szCs w:val="24"/>
          <w:highlight w:val="none"/>
          <w:u w:val="single"/>
          <w:lang w:eastAsia="zh-CN"/>
        </w:rPr>
        <w:t>昆明市呈贡区人民政府办公室（昆明市呈贡区机关事务管理中心）</w:t>
      </w:r>
      <w:r>
        <w:rPr>
          <w:rFonts w:hint="eastAsia" w:ascii="方正仿宋_GB2312" w:hAnsi="方正仿宋_GB2312" w:eastAsia="方正仿宋_GB2312" w:cs="方正仿宋_GB2312"/>
          <w:sz w:val="24"/>
          <w:szCs w:val="24"/>
          <w:highlight w:val="none"/>
        </w:rPr>
        <w:t>。</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3.3“供应商”系指无条件接受招标文件的各项要求，具备符合资格条件规定的服务能力，向政府集中采购机构提交投标文件的供应商或供应人。</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3.4“设备”系指合格的供应商或供应人按招标文件规定，向采购单位提供招标文件中所列明的教育教学设备</w:t>
      </w:r>
      <w:r>
        <w:rPr>
          <w:rFonts w:hint="eastAsia" w:ascii="方正仿宋_GB2312" w:hAnsi="方正仿宋_GB2312" w:eastAsia="方正仿宋_GB2312" w:cs="方正仿宋_GB2312"/>
          <w:sz w:val="24"/>
          <w:szCs w:val="24"/>
          <w:highlight w:val="none"/>
          <w:lang w:eastAsia="zh-CN"/>
        </w:rPr>
        <w:t>、</w:t>
      </w:r>
      <w:r>
        <w:rPr>
          <w:rFonts w:hint="eastAsia" w:ascii="方正仿宋_GB2312" w:hAnsi="方正仿宋_GB2312" w:eastAsia="方正仿宋_GB2312" w:cs="方正仿宋_GB2312"/>
          <w:sz w:val="24"/>
          <w:szCs w:val="24"/>
          <w:highlight w:val="none"/>
          <w:lang w:val="en-US" w:eastAsia="zh-CN"/>
        </w:rPr>
        <w:t>家具</w:t>
      </w:r>
      <w:r>
        <w:rPr>
          <w:rFonts w:hint="eastAsia" w:ascii="方正仿宋_GB2312" w:hAnsi="方正仿宋_GB2312" w:eastAsia="方正仿宋_GB2312" w:cs="方正仿宋_GB2312"/>
          <w:sz w:val="24"/>
          <w:szCs w:val="24"/>
          <w:highlight w:val="none"/>
        </w:rPr>
        <w:t>及其它有关技术资料和材料。</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3.5“服务”系指招标文件规定合格的供应商或供应人须承担的售后服务、设备安装调试、培训服务和其它类似的义务。</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3.6“项目”系指合格的供应商或供应人按招标文件规定，须向采购人提供的产品和服务的总称。</w:t>
      </w:r>
    </w:p>
    <w:p>
      <w:pPr>
        <w:spacing w:line="360" w:lineRule="auto"/>
        <w:outlineLvl w:val="9"/>
        <w:rPr>
          <w:rFonts w:ascii="方正仿宋_GB2312" w:hAnsi="方正仿宋_GB2312" w:eastAsia="方正仿宋_GB2312" w:cs="方正仿宋_GB2312"/>
          <w:sz w:val="24"/>
          <w:szCs w:val="24"/>
          <w:highlight w:val="none"/>
        </w:rPr>
      </w:pPr>
      <w:bookmarkStart w:id="285" w:name="_Toc42782582"/>
      <w:bookmarkStart w:id="286" w:name="_Toc42941200"/>
      <w:bookmarkStart w:id="287" w:name="_Toc42782880"/>
      <w:bookmarkStart w:id="288" w:name="_Toc416335924"/>
      <w:bookmarkStart w:id="289" w:name="_Toc42781845"/>
      <w:bookmarkStart w:id="290" w:name="_Toc42876110"/>
      <w:bookmarkStart w:id="291" w:name="_Toc514058456"/>
      <w:bookmarkStart w:id="292" w:name="_Toc42941294"/>
      <w:bookmarkStart w:id="293" w:name="_Toc43008879"/>
      <w:bookmarkStart w:id="294" w:name="_Toc42796908"/>
      <w:bookmarkStart w:id="295" w:name="_Toc43103049"/>
      <w:bookmarkStart w:id="296" w:name="_Toc42782794"/>
      <w:bookmarkStart w:id="297" w:name="_Toc43110955"/>
      <w:bookmarkStart w:id="298" w:name="_Toc42876195"/>
      <w:bookmarkStart w:id="299" w:name="_Toc43103132"/>
      <w:bookmarkStart w:id="300" w:name="_Toc42965664"/>
      <w:bookmarkStart w:id="301" w:name="_Toc41389797"/>
      <w:r>
        <w:rPr>
          <w:rFonts w:hint="eastAsia" w:ascii="方正仿宋_GB2312" w:hAnsi="方正仿宋_GB2312" w:eastAsia="方正仿宋_GB2312" w:cs="方正仿宋_GB2312"/>
          <w:sz w:val="24"/>
          <w:szCs w:val="24"/>
          <w:highlight w:val="none"/>
        </w:rPr>
        <w:t>4.参加政府采购的合格</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r>
        <w:rPr>
          <w:rFonts w:hint="eastAsia" w:ascii="方正仿宋_GB2312" w:hAnsi="方正仿宋_GB2312" w:eastAsia="方正仿宋_GB2312" w:cs="方正仿宋_GB2312"/>
          <w:sz w:val="24"/>
          <w:szCs w:val="24"/>
          <w:highlight w:val="none"/>
        </w:rPr>
        <w:t>供应商</w:t>
      </w:r>
    </w:p>
    <w:p>
      <w:pPr>
        <w:spacing w:line="360" w:lineRule="auto"/>
        <w:outlineLvl w:val="9"/>
        <w:rPr>
          <w:rFonts w:ascii="方正仿宋_GB2312" w:hAnsi="方正仿宋_GB2312" w:eastAsia="方正仿宋_GB2312" w:cs="方正仿宋_GB2312"/>
          <w:sz w:val="24"/>
          <w:szCs w:val="24"/>
          <w:highlight w:val="none"/>
        </w:rPr>
      </w:pPr>
      <w:bookmarkStart w:id="302" w:name="_Toc43103050"/>
      <w:bookmarkStart w:id="303" w:name="_Toc42876111"/>
      <w:bookmarkStart w:id="304" w:name="_Toc42782583"/>
      <w:bookmarkStart w:id="305" w:name="_Toc43103133"/>
      <w:bookmarkStart w:id="306" w:name="_Toc42941295"/>
      <w:bookmarkStart w:id="307" w:name="_Toc43008880"/>
      <w:bookmarkStart w:id="308" w:name="_Toc42941201"/>
      <w:bookmarkStart w:id="309" w:name="_Toc42782881"/>
      <w:bookmarkStart w:id="310" w:name="_Toc507903167"/>
      <w:bookmarkStart w:id="311" w:name="_Toc42876196"/>
      <w:bookmarkStart w:id="312" w:name="_Toc42796909"/>
      <w:bookmarkStart w:id="313" w:name="_Toc41389798"/>
      <w:bookmarkStart w:id="314" w:name="_Toc42965665"/>
      <w:bookmarkStart w:id="315" w:name="_Toc42782795"/>
      <w:bookmarkStart w:id="316" w:name="_Toc42781846"/>
      <w:bookmarkStart w:id="317" w:name="_Toc43110956"/>
      <w:r>
        <w:rPr>
          <w:rFonts w:hint="eastAsia" w:ascii="方正仿宋_GB2312" w:hAnsi="方正仿宋_GB2312" w:eastAsia="方正仿宋_GB2312" w:cs="方正仿宋_GB2312"/>
          <w:sz w:val="24"/>
          <w:szCs w:val="24"/>
          <w:highlight w:val="none"/>
        </w:rPr>
        <w:t>4.1供应商应遵守有关的中国法律和规章条例等。</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4.2获取招标文件，完全满足招标文件的实质性要求。</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4.3供应商应具备《中华人民共和国政府采购法》第二十二条规定的条件：具体详见第一章招标公告。</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4.4本项目不接受联合体投标。</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4.5资格审查方式：资格后审。</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4.6供应商不得存在下列情形之一：</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（1）为本项目的采购人；</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（2）为本项目提供集中采购服务的；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（3）与本项目的采购人或集中采购机构或供应商同为一个法定代表人的；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（4）与本项目的采购人或集中采购机构或供应商相互控股或参股的；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（5）与本项目的采购人或集中采购机构或供应商相互任职或工作的；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（6）被责令停业的；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（7）被暂停或取消投标资格的；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（8）财产被接管或取消投标资格的；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（9）在最近三年内有骗取中标或严重违约的。</w:t>
      </w:r>
    </w:p>
    <w:p>
      <w:pPr>
        <w:spacing w:line="360" w:lineRule="auto"/>
        <w:outlineLvl w:val="9"/>
        <w:rPr>
          <w:rFonts w:ascii="方正仿宋_GB2312" w:hAnsi="方正仿宋_GB2312" w:eastAsia="方正仿宋_GB2312" w:cs="方正仿宋_GB2312"/>
          <w:sz w:val="24"/>
          <w:szCs w:val="24"/>
          <w:highlight w:val="none"/>
        </w:rPr>
      </w:pPr>
      <w:bookmarkStart w:id="318" w:name="_Toc416335925"/>
      <w:bookmarkStart w:id="319" w:name="_Toc514058457"/>
      <w:r>
        <w:rPr>
          <w:rFonts w:hint="eastAsia" w:ascii="方正仿宋_GB2312" w:hAnsi="方正仿宋_GB2312" w:eastAsia="方正仿宋_GB2312" w:cs="方正仿宋_GB2312"/>
          <w:sz w:val="24"/>
          <w:szCs w:val="24"/>
          <w:highlight w:val="none"/>
        </w:rPr>
        <w:t>5.适用法律</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5.1本次招标及由本次招标产生的合同适用中华人民共和国法律。</w:t>
      </w:r>
    </w:p>
    <w:p>
      <w:pPr>
        <w:spacing w:line="360" w:lineRule="auto"/>
        <w:outlineLvl w:val="9"/>
        <w:rPr>
          <w:rFonts w:ascii="方正仿宋_GB2312" w:hAnsi="方正仿宋_GB2312" w:eastAsia="方正仿宋_GB2312" w:cs="方正仿宋_GB2312"/>
          <w:sz w:val="24"/>
          <w:szCs w:val="24"/>
          <w:highlight w:val="none"/>
        </w:rPr>
      </w:pPr>
      <w:bookmarkStart w:id="320" w:name="_Toc43103134"/>
      <w:bookmarkStart w:id="321" w:name="_Toc416335926"/>
      <w:bookmarkStart w:id="322" w:name="_Toc43008881"/>
      <w:bookmarkStart w:id="323" w:name="_Toc42796910"/>
      <w:bookmarkStart w:id="324" w:name="_Toc43103051"/>
      <w:bookmarkStart w:id="325" w:name="_Toc42941296"/>
      <w:bookmarkStart w:id="326" w:name="_Toc42876197"/>
      <w:bookmarkStart w:id="327" w:name="_Toc42781847"/>
      <w:bookmarkStart w:id="328" w:name="_Toc42965666"/>
      <w:bookmarkStart w:id="329" w:name="_Toc42782882"/>
      <w:bookmarkStart w:id="330" w:name="_Toc43110957"/>
      <w:bookmarkStart w:id="331" w:name="_Toc42782796"/>
      <w:bookmarkStart w:id="332" w:name="_Toc41389799"/>
      <w:bookmarkStart w:id="333" w:name="_Toc514058458"/>
      <w:bookmarkStart w:id="334" w:name="_Toc42876112"/>
      <w:bookmarkStart w:id="335" w:name="_Toc42941202"/>
      <w:bookmarkStart w:id="336" w:name="_Toc42782584"/>
      <w:bookmarkStart w:id="337" w:name="_Toc507903168"/>
      <w:r>
        <w:rPr>
          <w:rFonts w:hint="eastAsia" w:ascii="方正仿宋_GB2312" w:hAnsi="方正仿宋_GB2312" w:eastAsia="方正仿宋_GB2312" w:cs="方正仿宋_GB2312"/>
          <w:sz w:val="24"/>
          <w:szCs w:val="24"/>
          <w:highlight w:val="none"/>
        </w:rPr>
        <w:t>6.投标委托</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r>
        <w:rPr>
          <w:rFonts w:hint="eastAsia" w:ascii="方正仿宋_GB2312" w:hAnsi="方正仿宋_GB2312" w:eastAsia="方正仿宋_GB2312" w:cs="方正仿宋_GB2312"/>
          <w:sz w:val="24"/>
          <w:szCs w:val="24"/>
          <w:highlight w:val="none"/>
        </w:rPr>
        <w:t>6.1如参加投标的供应商代表不是法定代表人，须持有《法定代表人授权委托书》。</w:t>
      </w:r>
    </w:p>
    <w:p>
      <w:pPr>
        <w:spacing w:line="360" w:lineRule="auto"/>
        <w:outlineLvl w:val="9"/>
        <w:rPr>
          <w:rFonts w:ascii="方正仿宋_GB2312" w:hAnsi="方正仿宋_GB2312" w:eastAsia="方正仿宋_GB2312" w:cs="方正仿宋_GB2312"/>
          <w:sz w:val="24"/>
          <w:szCs w:val="24"/>
          <w:highlight w:val="none"/>
        </w:rPr>
      </w:pPr>
      <w:bookmarkStart w:id="338" w:name="_Toc42876113"/>
      <w:bookmarkStart w:id="339" w:name="_Toc42782797"/>
      <w:bookmarkStart w:id="340" w:name="_Toc42782883"/>
      <w:bookmarkStart w:id="341" w:name="_Toc41389800"/>
      <w:bookmarkStart w:id="342" w:name="_Toc42876198"/>
      <w:bookmarkStart w:id="343" w:name="_Toc42782585"/>
      <w:bookmarkStart w:id="344" w:name="_Toc416335927"/>
      <w:bookmarkStart w:id="345" w:name="_Toc42941203"/>
      <w:bookmarkStart w:id="346" w:name="_Toc42796911"/>
      <w:bookmarkStart w:id="347" w:name="_Toc514058459"/>
      <w:bookmarkStart w:id="348" w:name="_Toc43103052"/>
      <w:bookmarkStart w:id="349" w:name="_Toc42781848"/>
      <w:bookmarkStart w:id="350" w:name="_Toc42965667"/>
      <w:bookmarkStart w:id="351" w:name="_Toc43110958"/>
      <w:bookmarkStart w:id="352" w:name="_Toc43008882"/>
      <w:bookmarkStart w:id="353" w:name="_Toc43103135"/>
      <w:bookmarkStart w:id="354" w:name="_Toc42941297"/>
      <w:r>
        <w:rPr>
          <w:rFonts w:hint="eastAsia" w:ascii="方正仿宋_GB2312" w:hAnsi="方正仿宋_GB2312" w:eastAsia="方正仿宋_GB2312" w:cs="方正仿宋_GB2312"/>
          <w:sz w:val="24"/>
          <w:szCs w:val="24"/>
          <w:highlight w:val="none"/>
        </w:rPr>
        <w:t>7.投标费用</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7.1供应商应自行承担所有与参加投标有关的费用。无论投标过程中的作法和结果如何，采购人及集中采购机构在任何情况下均无义务和责任承担这些费用。</w:t>
      </w:r>
    </w:p>
    <w:p>
      <w:pPr>
        <w:spacing w:line="360" w:lineRule="auto"/>
        <w:outlineLvl w:val="9"/>
        <w:rPr>
          <w:rFonts w:ascii="方正仿宋_GB2312" w:hAnsi="方正仿宋_GB2312" w:eastAsia="方正仿宋_GB2312" w:cs="方正仿宋_GB2312"/>
          <w:sz w:val="24"/>
          <w:szCs w:val="24"/>
          <w:highlight w:val="none"/>
        </w:rPr>
      </w:pPr>
      <w:bookmarkStart w:id="355" w:name="_Toc43110959"/>
      <w:bookmarkStart w:id="356" w:name="_Toc43008883"/>
      <w:bookmarkStart w:id="357" w:name="_Toc42782586"/>
      <w:bookmarkStart w:id="358" w:name="_Toc42782798"/>
      <w:bookmarkStart w:id="359" w:name="_Toc43103053"/>
      <w:bookmarkStart w:id="360" w:name="_Toc507903169"/>
      <w:bookmarkStart w:id="361" w:name="_Toc514058460"/>
      <w:bookmarkStart w:id="362" w:name="_Toc416335928"/>
      <w:bookmarkStart w:id="363" w:name="_Toc42965668"/>
      <w:bookmarkStart w:id="364" w:name="_Toc42876114"/>
      <w:bookmarkStart w:id="365" w:name="_Toc42876199"/>
      <w:bookmarkStart w:id="366" w:name="_Toc42796912"/>
      <w:bookmarkStart w:id="367" w:name="_Toc42941298"/>
      <w:bookmarkStart w:id="368" w:name="_Toc43103136"/>
      <w:bookmarkStart w:id="369" w:name="_Toc42941204"/>
      <w:bookmarkStart w:id="370" w:name="_Toc41389801"/>
      <w:bookmarkStart w:id="371" w:name="_Toc42781849"/>
      <w:bookmarkStart w:id="372" w:name="_Toc42782884"/>
      <w:r>
        <w:rPr>
          <w:rFonts w:hint="eastAsia" w:ascii="方正仿宋_GB2312" w:hAnsi="方正仿宋_GB2312" w:eastAsia="方正仿宋_GB2312" w:cs="方正仿宋_GB2312"/>
          <w:sz w:val="24"/>
          <w:szCs w:val="24"/>
          <w:highlight w:val="none"/>
        </w:rPr>
        <w:t>8.招标文件的约束力</w:t>
      </w:r>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8.1 供应商一旦参加投标，即被认为接受了本招标文件中的所有条件和规定。</w:t>
      </w:r>
    </w:p>
    <w:p>
      <w:pPr>
        <w:numPr>
          <w:ilvl w:val="1"/>
          <w:numId w:val="0"/>
        </w:numPr>
        <w:spacing w:line="360" w:lineRule="auto"/>
        <w:ind w:left="7" w:hanging="7" w:hangingChars="3"/>
        <w:outlineLvl w:val="9"/>
        <w:rPr>
          <w:rFonts w:ascii="方正仿宋_GB2312" w:hAnsi="方正仿宋_GB2312" w:eastAsia="方正仿宋_GB2312" w:cs="方正仿宋_GB2312"/>
          <w:bCs/>
          <w:sz w:val="24"/>
          <w:szCs w:val="24"/>
          <w:highlight w:val="none"/>
        </w:rPr>
      </w:pPr>
      <w:bookmarkStart w:id="373" w:name="_Toc42796913"/>
      <w:bookmarkStart w:id="374" w:name="_Toc43110960"/>
      <w:bookmarkStart w:id="375" w:name="_Toc32642"/>
      <w:bookmarkStart w:id="376" w:name="_Toc13907"/>
      <w:bookmarkStart w:id="377" w:name="_Toc4330"/>
      <w:bookmarkStart w:id="378" w:name="_Toc42781850"/>
      <w:bookmarkStart w:id="379" w:name="_Toc42782799"/>
      <w:bookmarkStart w:id="380" w:name="_Toc514058461"/>
      <w:bookmarkStart w:id="381" w:name="_Toc416335929"/>
      <w:bookmarkStart w:id="382" w:name="_Toc22810"/>
      <w:bookmarkStart w:id="383" w:name="_Toc42965669"/>
      <w:bookmarkStart w:id="384" w:name="_Toc42941205"/>
      <w:bookmarkStart w:id="385" w:name="_Toc43008884"/>
      <w:bookmarkStart w:id="386" w:name="_Toc42782587"/>
      <w:bookmarkStart w:id="387" w:name="_Toc12911"/>
      <w:bookmarkStart w:id="388" w:name="_Toc43103137"/>
      <w:bookmarkStart w:id="389" w:name="_Toc42876200"/>
      <w:bookmarkStart w:id="390" w:name="_Toc42782885"/>
      <w:bookmarkStart w:id="391" w:name="_Toc41389802"/>
      <w:bookmarkStart w:id="392" w:name="_Toc43103054"/>
      <w:bookmarkStart w:id="393" w:name="_Toc42941299"/>
      <w:bookmarkStart w:id="394" w:name="_Toc42876115"/>
      <w:bookmarkStart w:id="395" w:name="_Toc12377"/>
      <w:bookmarkStart w:id="396" w:name="_Toc24282"/>
      <w:bookmarkStart w:id="397" w:name="_Toc28064"/>
      <w:bookmarkStart w:id="398" w:name="_Toc14616"/>
      <w:bookmarkStart w:id="399" w:name="_Toc18651"/>
      <w:r>
        <w:rPr>
          <w:rFonts w:hint="eastAsia" w:ascii="方正仿宋_GB2312" w:hAnsi="方正仿宋_GB2312" w:eastAsia="方正仿宋_GB2312" w:cs="方正仿宋_GB2312"/>
          <w:bCs/>
          <w:sz w:val="24"/>
          <w:szCs w:val="24"/>
          <w:highlight w:val="none"/>
        </w:rPr>
        <w:t>二.</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rFonts w:hint="eastAsia" w:ascii="方正仿宋_GB2312" w:hAnsi="方正仿宋_GB2312" w:eastAsia="方正仿宋_GB2312" w:cs="方正仿宋_GB2312"/>
          <w:bCs/>
          <w:sz w:val="24"/>
          <w:szCs w:val="24"/>
          <w:highlight w:val="none"/>
        </w:rPr>
        <w:t>招标文件</w:t>
      </w:r>
      <w:bookmarkEnd w:id="395"/>
      <w:bookmarkEnd w:id="396"/>
      <w:bookmarkEnd w:id="397"/>
      <w:bookmarkEnd w:id="398"/>
      <w:bookmarkEnd w:id="399"/>
    </w:p>
    <w:p>
      <w:pPr>
        <w:spacing w:line="360" w:lineRule="auto"/>
        <w:outlineLvl w:val="9"/>
        <w:rPr>
          <w:rFonts w:ascii="方正仿宋_GB2312" w:hAnsi="方正仿宋_GB2312" w:eastAsia="方正仿宋_GB2312" w:cs="方正仿宋_GB2312"/>
          <w:sz w:val="24"/>
          <w:szCs w:val="24"/>
          <w:highlight w:val="none"/>
        </w:rPr>
      </w:pPr>
      <w:bookmarkStart w:id="400" w:name="_Toc41389803"/>
      <w:bookmarkStart w:id="401" w:name="_Toc42796914"/>
      <w:bookmarkStart w:id="402" w:name="_Toc42782886"/>
      <w:bookmarkStart w:id="403" w:name="_Toc43110961"/>
      <w:bookmarkStart w:id="404" w:name="_Toc42782588"/>
      <w:bookmarkStart w:id="405" w:name="_Toc43103055"/>
      <w:bookmarkStart w:id="406" w:name="_Toc42781851"/>
      <w:bookmarkStart w:id="407" w:name="_Toc42876116"/>
      <w:bookmarkStart w:id="408" w:name="_Toc42965670"/>
      <w:bookmarkStart w:id="409" w:name="_Toc43008885"/>
      <w:bookmarkStart w:id="410" w:name="_Toc416335930"/>
      <w:bookmarkStart w:id="411" w:name="_Toc514058462"/>
      <w:bookmarkStart w:id="412" w:name="_Toc43103138"/>
      <w:bookmarkStart w:id="413" w:name="_Toc42941206"/>
      <w:bookmarkStart w:id="414" w:name="_Toc42782800"/>
      <w:bookmarkStart w:id="415" w:name="_Toc42876201"/>
      <w:bookmarkStart w:id="416" w:name="_Toc42941300"/>
      <w:r>
        <w:rPr>
          <w:rFonts w:hint="eastAsia" w:ascii="方正仿宋_GB2312" w:hAnsi="方正仿宋_GB2312" w:eastAsia="方正仿宋_GB2312" w:cs="方正仿宋_GB2312"/>
          <w:sz w:val="24"/>
          <w:szCs w:val="24"/>
          <w:highlight w:val="none"/>
        </w:rPr>
        <w:t>9.招标文件构成</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9.1招标文件用以阐明采购所需的产品或服务，以及招标投标程序和合同条款。招标文件由下述部分组成：</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（1）招标公告；</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（2）供应商须知；</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（3）评标办法；</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（4）采购需求和要求</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（5）合同条款及参考格式；</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（6）投标文件格式。</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9.2招标文件以中文文字编印。</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9.3供应商被视为熟悉上述与履行合同有关的一切情况。</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9.4请仔细检查招标文件是否齐全，如有缺漏请立即与集中采购机构联系解决。</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9.5供应商应认真阅读招标文件中所有的事项、格式、条款和规范等要求。如果没有按照招标文件要求和规定编制投标文件及提交全部资料，或者投标文件没有对招标文件做出实质性响应，其风险应由供应商自行承担。根据有关条款规定，其投标将被拒绝。</w:t>
      </w:r>
    </w:p>
    <w:p>
      <w:pPr>
        <w:spacing w:line="360" w:lineRule="auto"/>
        <w:outlineLvl w:val="9"/>
        <w:rPr>
          <w:rFonts w:ascii="方正仿宋_GB2312" w:hAnsi="方正仿宋_GB2312" w:eastAsia="方正仿宋_GB2312" w:cs="方正仿宋_GB2312"/>
          <w:sz w:val="24"/>
          <w:szCs w:val="24"/>
          <w:highlight w:val="none"/>
        </w:rPr>
      </w:pPr>
      <w:bookmarkStart w:id="417" w:name="_Toc416335931"/>
      <w:bookmarkStart w:id="418" w:name="_Toc42876117"/>
      <w:bookmarkStart w:id="419" w:name="_Toc43103139"/>
      <w:bookmarkStart w:id="420" w:name="_Toc42796915"/>
      <w:bookmarkStart w:id="421" w:name="_Toc42876202"/>
      <w:bookmarkStart w:id="422" w:name="_Toc42941301"/>
      <w:bookmarkStart w:id="423" w:name="_Toc43110962"/>
      <w:bookmarkStart w:id="424" w:name="_Toc42965671"/>
      <w:bookmarkStart w:id="425" w:name="_Toc43103056"/>
      <w:bookmarkStart w:id="426" w:name="_Toc42941207"/>
      <w:bookmarkStart w:id="427" w:name="_Toc42781852"/>
      <w:bookmarkStart w:id="428" w:name="_Toc41389804"/>
      <w:bookmarkStart w:id="429" w:name="_Toc42782589"/>
      <w:bookmarkStart w:id="430" w:name="_Toc42782887"/>
      <w:bookmarkStart w:id="431" w:name="_Toc42782801"/>
      <w:bookmarkStart w:id="432" w:name="_Toc43008886"/>
      <w:bookmarkStart w:id="433" w:name="_Toc514058463"/>
      <w:r>
        <w:rPr>
          <w:rFonts w:hint="eastAsia" w:ascii="方正仿宋_GB2312" w:hAnsi="方正仿宋_GB2312" w:eastAsia="方正仿宋_GB2312" w:cs="方正仿宋_GB2312"/>
          <w:sz w:val="24"/>
          <w:szCs w:val="24"/>
          <w:highlight w:val="none"/>
        </w:rPr>
        <w:t>10.</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r>
        <w:rPr>
          <w:rFonts w:hint="eastAsia" w:ascii="方正仿宋_GB2312" w:hAnsi="方正仿宋_GB2312" w:eastAsia="方正仿宋_GB2312" w:cs="方正仿宋_GB2312"/>
          <w:sz w:val="24"/>
          <w:szCs w:val="24"/>
          <w:highlight w:val="none"/>
        </w:rPr>
        <w:t>招标文件的询问和质疑</w:t>
      </w:r>
      <w:bookmarkEnd w:id="433"/>
    </w:p>
    <w:p>
      <w:pPr>
        <w:tabs>
          <w:tab w:val="left" w:pos="1155"/>
        </w:tabs>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10.1供应商获取招标文件后应仔细检查招标文件的所有内容，如有残缺等问题应及时向集中采购机构提出，否则，由此引起的损失由供应商自己承担。</w:t>
      </w:r>
    </w:p>
    <w:p>
      <w:pPr>
        <w:tabs>
          <w:tab w:val="left" w:pos="1155"/>
        </w:tabs>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10.2供应商对政府采购活动事项有疑问的，可以向采购人或者集中采购机构提出询问，采购人或集中采购机构将在规定时间内做出答复，但答复的内容不得涉及商业秘密。</w:t>
      </w:r>
    </w:p>
    <w:p>
      <w:pPr>
        <w:tabs>
          <w:tab w:val="left" w:pos="1155"/>
        </w:tabs>
        <w:spacing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10.3供应商对政府采购活动事项有质疑事项时，应以书面形式送达集中采购机构，须按照“关于启用昆明市市级政府采购《质疑函》范本的公告”发布的范本格式提交质疑函</w:t>
      </w:r>
      <w:r>
        <w:rPr>
          <w:rFonts w:hint="eastAsia" w:ascii="方正仿宋_GB2312" w:hAnsi="方正仿宋_GB2312" w:eastAsia="方正仿宋_GB2312" w:cs="方正仿宋_GB2312"/>
          <w:sz w:val="24"/>
          <w:szCs w:val="24"/>
          <w:highlight w:val="none"/>
          <w:lang w:eastAsia="zh-CN"/>
        </w:rPr>
        <w:t>，昆明市呈贡区人民政府办公室（昆明市呈贡区机关事务管理中心）</w:t>
      </w:r>
      <w:r>
        <w:rPr>
          <w:rFonts w:hint="eastAsia" w:ascii="方正仿宋_GB2312" w:hAnsi="方正仿宋_GB2312" w:eastAsia="方正仿宋_GB2312" w:cs="方正仿宋_GB2312"/>
          <w:sz w:val="24"/>
          <w:szCs w:val="24"/>
          <w:highlight w:val="none"/>
        </w:rPr>
        <w:t>对收到的澄清要求通过书面形式答疑。</w:t>
      </w:r>
    </w:p>
    <w:p>
      <w:pPr>
        <w:tabs>
          <w:tab w:val="left" w:pos="1155"/>
        </w:tabs>
        <w:spacing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10.4供应商提出的询问或者质疑超出采购人对集中采购机构委托授权范围的，集中采购机构将告知供应商向采购人提出。</w:t>
      </w:r>
    </w:p>
    <w:p>
      <w:pPr>
        <w:tabs>
          <w:tab w:val="left" w:pos="1155"/>
        </w:tabs>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10.5询问或答疑的内容若涉及到招标文件实质性内容的以补遗公告方式按程序报有关主管部门备案后，提交</w:t>
      </w:r>
      <w:r>
        <w:rPr>
          <w:rFonts w:hint="eastAsia" w:ascii="方正仿宋_GB2312" w:hAnsi="方正仿宋_GB2312" w:eastAsia="方正仿宋_GB2312" w:cs="方正仿宋_GB2312"/>
          <w:bCs/>
          <w:sz w:val="24"/>
          <w:szCs w:val="24"/>
          <w:highlight w:val="none"/>
        </w:rPr>
        <w:t>云南省政府采购网（https://www.yngp.com/）</w:t>
      </w:r>
      <w:r>
        <w:rPr>
          <w:rFonts w:hint="eastAsia" w:ascii="方正仿宋_GB2312" w:hAnsi="方正仿宋_GB2312" w:eastAsia="方正仿宋_GB2312" w:cs="方正仿宋_GB2312"/>
          <w:sz w:val="24"/>
          <w:szCs w:val="24"/>
          <w:highlight w:val="none"/>
        </w:rPr>
        <w:t>统一通过网络向潜在供应商发布。</w:t>
      </w:r>
    </w:p>
    <w:p>
      <w:pPr>
        <w:spacing w:line="360" w:lineRule="auto"/>
        <w:outlineLvl w:val="9"/>
        <w:rPr>
          <w:rFonts w:ascii="方正仿宋_GB2312" w:hAnsi="方正仿宋_GB2312" w:eastAsia="方正仿宋_GB2312" w:cs="方正仿宋_GB2312"/>
          <w:sz w:val="24"/>
          <w:szCs w:val="24"/>
          <w:highlight w:val="none"/>
        </w:rPr>
      </w:pPr>
      <w:bookmarkStart w:id="434" w:name="_Toc416335932"/>
      <w:bookmarkStart w:id="435" w:name="_Toc41389805"/>
      <w:bookmarkStart w:id="436" w:name="_Toc43103140"/>
      <w:bookmarkStart w:id="437" w:name="_Toc42782802"/>
      <w:bookmarkStart w:id="438" w:name="_Toc42941208"/>
      <w:bookmarkStart w:id="439" w:name="_Toc43103057"/>
      <w:bookmarkStart w:id="440" w:name="_Toc42796916"/>
      <w:bookmarkStart w:id="441" w:name="_Toc42781853"/>
      <w:bookmarkStart w:id="442" w:name="_Toc42965672"/>
      <w:bookmarkStart w:id="443" w:name="_Toc42941302"/>
      <w:bookmarkStart w:id="444" w:name="_Toc42876118"/>
      <w:bookmarkStart w:id="445" w:name="_Toc43110963"/>
      <w:bookmarkStart w:id="446" w:name="_Toc514058464"/>
      <w:bookmarkStart w:id="447" w:name="_Toc42782888"/>
      <w:bookmarkStart w:id="448" w:name="_Toc43008887"/>
      <w:bookmarkStart w:id="449" w:name="_Toc42782590"/>
      <w:bookmarkStart w:id="450" w:name="_Toc42876203"/>
      <w:r>
        <w:rPr>
          <w:rFonts w:hint="eastAsia" w:ascii="方正仿宋_GB2312" w:hAnsi="方正仿宋_GB2312" w:eastAsia="方正仿宋_GB2312" w:cs="方正仿宋_GB2312"/>
          <w:sz w:val="24"/>
          <w:szCs w:val="24"/>
          <w:highlight w:val="none"/>
        </w:rPr>
        <w:t>11.招标文件的修改</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11.1集中采购机构对已发出的招标文件进行必要澄清或者修改的，应当在招标文件要求提交投标文件截止时间15日前。如果澄清或修改的内容可能影响投标文件编制的，时间距投标截止时间不足15日的，则相应延长投标截止时间，采购人无论对评审办法、评审项目等重要评审内容作何种变更，都要重新制作电子招标文件，同时发布补遗文件进行说明以保证各供应商都能重新下载最新的电子招标文件用于编制电子投标文件。招标文件的修改将</w:t>
      </w:r>
      <w:r>
        <w:rPr>
          <w:rFonts w:hint="eastAsia" w:ascii="方正仿宋_GB2312" w:hAnsi="方正仿宋_GB2312" w:eastAsia="方正仿宋_GB2312" w:cs="方正仿宋_GB2312"/>
          <w:bCs/>
          <w:sz w:val="24"/>
          <w:szCs w:val="24"/>
          <w:highlight w:val="none"/>
        </w:rPr>
        <w:t>云南省政府采购网（https://www.yngp.com/）</w:t>
      </w:r>
      <w:r>
        <w:rPr>
          <w:rFonts w:hint="eastAsia" w:ascii="方正仿宋_GB2312" w:hAnsi="方正仿宋_GB2312" w:eastAsia="方正仿宋_GB2312" w:cs="方正仿宋_GB2312"/>
          <w:sz w:val="24"/>
          <w:szCs w:val="24"/>
          <w:highlight w:val="none"/>
        </w:rPr>
        <w:t>”发布，招标文件的修改作为招标文件的组成部分，并具有约束力。</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11.2招标文件的修改主要以“</w:t>
      </w:r>
      <w:r>
        <w:rPr>
          <w:rFonts w:hint="eastAsia" w:ascii="方正仿宋_GB2312" w:hAnsi="方正仿宋_GB2312" w:eastAsia="方正仿宋_GB2312" w:cs="方正仿宋_GB2312"/>
          <w:bCs/>
          <w:sz w:val="24"/>
          <w:szCs w:val="24"/>
          <w:highlight w:val="none"/>
        </w:rPr>
        <w:t>云南省政府采购网（https://www.yngp.com/）</w:t>
      </w:r>
      <w:r>
        <w:rPr>
          <w:rFonts w:hint="eastAsia" w:ascii="方正仿宋_GB2312" w:hAnsi="方正仿宋_GB2312" w:eastAsia="方正仿宋_GB2312" w:cs="方正仿宋_GB2312"/>
          <w:sz w:val="24"/>
          <w:szCs w:val="24"/>
          <w:highlight w:val="none"/>
        </w:rPr>
        <w:t>” 发布公告的形式告知，敬请所有获得招标文件的供应商密切关注，澄清或者修改的内容为招标文件的组成部分。</w:t>
      </w:r>
    </w:p>
    <w:p>
      <w:pPr>
        <w:numPr>
          <w:ilvl w:val="1"/>
          <w:numId w:val="0"/>
        </w:numPr>
        <w:spacing w:line="360" w:lineRule="auto"/>
        <w:ind w:left="7" w:hanging="7" w:hangingChars="3"/>
        <w:outlineLvl w:val="9"/>
        <w:rPr>
          <w:rFonts w:ascii="方正仿宋_GB2312" w:hAnsi="方正仿宋_GB2312" w:eastAsia="方正仿宋_GB2312" w:cs="方正仿宋_GB2312"/>
          <w:bCs/>
          <w:sz w:val="24"/>
          <w:szCs w:val="24"/>
          <w:highlight w:val="none"/>
        </w:rPr>
      </w:pPr>
      <w:bookmarkStart w:id="451" w:name="_Toc6481"/>
      <w:bookmarkStart w:id="452" w:name="_Toc42782889"/>
      <w:bookmarkStart w:id="453" w:name="_Toc42876204"/>
      <w:bookmarkStart w:id="454" w:name="_Toc24380"/>
      <w:bookmarkStart w:id="455" w:name="_Toc12417"/>
      <w:bookmarkStart w:id="456" w:name="_Toc43103058"/>
      <w:bookmarkStart w:id="457" w:name="_Toc23596"/>
      <w:bookmarkStart w:id="458" w:name="_Toc416335933"/>
      <w:bookmarkStart w:id="459" w:name="_Toc42965673"/>
      <w:bookmarkStart w:id="460" w:name="_Toc42941303"/>
      <w:bookmarkStart w:id="461" w:name="_Toc30111"/>
      <w:bookmarkStart w:id="462" w:name="_Toc41389806"/>
      <w:bookmarkStart w:id="463" w:name="_Toc42781854"/>
      <w:bookmarkStart w:id="464" w:name="_Toc42796917"/>
      <w:bookmarkStart w:id="465" w:name="_Toc42782803"/>
      <w:bookmarkStart w:id="466" w:name="_Toc42876119"/>
      <w:bookmarkStart w:id="467" w:name="_Toc1828"/>
      <w:bookmarkStart w:id="468" w:name="_Toc514058465"/>
      <w:bookmarkStart w:id="469" w:name="_Toc22236"/>
      <w:bookmarkStart w:id="470" w:name="_Toc43110964"/>
      <w:bookmarkStart w:id="471" w:name="_Toc43008888"/>
      <w:bookmarkStart w:id="472" w:name="_Toc43103141"/>
      <w:bookmarkStart w:id="473" w:name="_Toc42782591"/>
      <w:bookmarkStart w:id="474" w:name="_Toc42941209"/>
      <w:bookmarkStart w:id="475" w:name="_Toc28989"/>
      <w:bookmarkStart w:id="476" w:name="_Toc27123"/>
      <w:bookmarkStart w:id="477" w:name="_Toc5389"/>
      <w:r>
        <w:rPr>
          <w:rFonts w:hint="eastAsia" w:ascii="方正仿宋_GB2312" w:hAnsi="方正仿宋_GB2312" w:eastAsia="方正仿宋_GB2312" w:cs="方正仿宋_GB2312"/>
          <w:bCs/>
          <w:sz w:val="24"/>
          <w:szCs w:val="24"/>
          <w:highlight w:val="none"/>
        </w:rPr>
        <w:t>三.投标文件的编制</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pPr>
        <w:spacing w:line="360" w:lineRule="auto"/>
        <w:outlineLvl w:val="9"/>
        <w:rPr>
          <w:rFonts w:ascii="方正仿宋_GB2312" w:hAnsi="方正仿宋_GB2312" w:eastAsia="方正仿宋_GB2312" w:cs="方正仿宋_GB2312"/>
          <w:sz w:val="24"/>
          <w:szCs w:val="24"/>
          <w:highlight w:val="none"/>
        </w:rPr>
      </w:pPr>
      <w:bookmarkStart w:id="478" w:name="_Toc42782804"/>
      <w:bookmarkStart w:id="479" w:name="_Toc43103142"/>
      <w:bookmarkStart w:id="480" w:name="_Toc43110965"/>
      <w:bookmarkStart w:id="481" w:name="_Toc514058466"/>
      <w:bookmarkStart w:id="482" w:name="_Toc42782890"/>
      <w:bookmarkStart w:id="483" w:name="_Toc42941304"/>
      <w:bookmarkStart w:id="484" w:name="_Toc42941210"/>
      <w:bookmarkStart w:id="485" w:name="_Toc42876205"/>
      <w:bookmarkStart w:id="486" w:name="_Toc416335934"/>
      <w:bookmarkStart w:id="487" w:name="_Toc42965674"/>
      <w:bookmarkStart w:id="488" w:name="_Toc42876120"/>
      <w:bookmarkStart w:id="489" w:name="_Toc41389807"/>
      <w:bookmarkStart w:id="490" w:name="_Toc43008889"/>
      <w:bookmarkStart w:id="491" w:name="_Toc42782592"/>
      <w:bookmarkStart w:id="492" w:name="_Toc42781855"/>
      <w:bookmarkStart w:id="493" w:name="_Toc43103059"/>
      <w:bookmarkStart w:id="494" w:name="_Toc42796918"/>
      <w:r>
        <w:rPr>
          <w:rFonts w:hint="eastAsia" w:ascii="方正仿宋_GB2312" w:hAnsi="方正仿宋_GB2312" w:eastAsia="方正仿宋_GB2312" w:cs="方正仿宋_GB2312"/>
          <w:sz w:val="24"/>
          <w:szCs w:val="24"/>
          <w:highlight w:val="none"/>
        </w:rPr>
        <w:t>12.投标语言及度量衡单位</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12.1供应商提交的投标文件以及供应商与集中采购机构就有关投标的所有来往函电均应使用中文。</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12.2 除技术性能另有规定外，投标文件所使用的度量衡单位，均须采用公制。</w:t>
      </w:r>
      <w:bookmarkStart w:id="495" w:name="_Toc43103143"/>
      <w:bookmarkStart w:id="496" w:name="_Toc514058467"/>
      <w:bookmarkStart w:id="497" w:name="_Toc42782891"/>
      <w:bookmarkStart w:id="498" w:name="_Toc43110966"/>
      <w:bookmarkStart w:id="499" w:name="_Toc43103060"/>
      <w:bookmarkStart w:id="500" w:name="_Toc42782593"/>
      <w:bookmarkStart w:id="501" w:name="_Toc41389808"/>
      <w:bookmarkStart w:id="502" w:name="_Toc42876121"/>
      <w:bookmarkStart w:id="503" w:name="_Toc42965675"/>
      <w:bookmarkStart w:id="504" w:name="_Toc42941211"/>
      <w:bookmarkStart w:id="505" w:name="_Toc42941305"/>
      <w:bookmarkStart w:id="506" w:name="_Toc42782805"/>
      <w:bookmarkStart w:id="507" w:name="_Toc42796919"/>
      <w:bookmarkStart w:id="508" w:name="_Toc43008890"/>
      <w:bookmarkStart w:id="509" w:name="_Toc42781856"/>
      <w:bookmarkStart w:id="510" w:name="_Toc42876206"/>
      <w:bookmarkStart w:id="511" w:name="_Toc416335935"/>
    </w:p>
    <w:p>
      <w:pPr>
        <w:spacing w:line="360" w:lineRule="auto"/>
        <w:outlineLvl w:val="9"/>
        <w:rPr>
          <w:rFonts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bCs/>
          <w:sz w:val="24"/>
          <w:szCs w:val="24"/>
          <w:highlight w:val="none"/>
        </w:rPr>
        <w:t>13.投标文件构成</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13.1供应商应按照招标文件要求对所提供的货物或服务作详细介绍并提供相应的彩页资料，对招标文件做出完整响应。</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13.2供应商应说明所提供货物或服务的技术方案及价格。</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13.3供应商编写的投标文件应包括下列部分:</w:t>
      </w:r>
    </w:p>
    <w:p>
      <w:pPr>
        <w:spacing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（1）资格审查部分（87号令）；</w:t>
      </w:r>
    </w:p>
    <w:p>
      <w:pPr>
        <w:spacing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（2）报价部分；</w:t>
      </w:r>
    </w:p>
    <w:p>
      <w:pPr>
        <w:spacing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（3）商务技术部分；</w:t>
      </w:r>
    </w:p>
    <w:p>
      <w:pPr>
        <w:spacing w:line="360" w:lineRule="auto"/>
        <w:outlineLvl w:val="9"/>
        <w:rPr>
          <w:rFonts w:ascii="方正仿宋_GB2312" w:hAnsi="方正仿宋_GB2312" w:eastAsia="方正仿宋_GB2312" w:cs="方正仿宋_GB2312"/>
          <w:sz w:val="24"/>
          <w:szCs w:val="24"/>
          <w:highlight w:val="none"/>
        </w:rPr>
      </w:pPr>
      <w:bookmarkStart w:id="512" w:name="_Toc42782806"/>
      <w:bookmarkStart w:id="513" w:name="_Toc43008891"/>
      <w:bookmarkStart w:id="514" w:name="_Toc42796920"/>
      <w:bookmarkStart w:id="515" w:name="_Toc42781857"/>
      <w:bookmarkStart w:id="516" w:name="_Toc43110967"/>
      <w:bookmarkStart w:id="517" w:name="_Toc42941306"/>
      <w:bookmarkStart w:id="518" w:name="_Toc514058468"/>
      <w:bookmarkStart w:id="519" w:name="_Toc42941212"/>
      <w:bookmarkStart w:id="520" w:name="_Toc43103061"/>
      <w:bookmarkStart w:id="521" w:name="_Toc43103144"/>
      <w:bookmarkStart w:id="522" w:name="_Toc42876207"/>
      <w:bookmarkStart w:id="523" w:name="_Toc41389809"/>
      <w:bookmarkStart w:id="524" w:name="_Toc416335936"/>
      <w:bookmarkStart w:id="525" w:name="_Toc42965676"/>
      <w:bookmarkStart w:id="526" w:name="_Toc42782892"/>
      <w:bookmarkStart w:id="527" w:name="_Toc42876122"/>
      <w:bookmarkStart w:id="528" w:name="_Toc42782594"/>
      <w:r>
        <w:rPr>
          <w:rFonts w:hint="eastAsia" w:ascii="方正仿宋_GB2312" w:hAnsi="方正仿宋_GB2312" w:eastAsia="方正仿宋_GB2312" w:cs="方正仿宋_GB2312"/>
          <w:sz w:val="24"/>
          <w:szCs w:val="24"/>
          <w:highlight w:val="none"/>
        </w:rPr>
        <w:t>14.投标文件格式</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14.1投标文件包括本须知中规定的内容，供应商提交的投标文件应当使用招标文件所提供的投标文件全部格式（表格可以按同样格式扩展）。应完整地填写招（投）标一览表，说明所提供服务的详细内容及价格，否则拒绝接受。</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14.2投标文件一经递交并超过投标截止时间，供应商不得再对投标文件作任何修改、补充或者更正，除去评标委员会需要供应商提供澄清疑问的文件以外，任何迟交或补交的文件均不予接受。</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14.3电子投标文件全部采用电子文档，按照投标文件格式，采用单位和个人电子签章及电子签名，包括企业和法定代表人或负责人。</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14.4投标文件中的原件彩色扫描件应至少与原件大小保持一致，不小于A4幅面（纵向或横向），扫描内容应保证清晰可辨。</w:t>
      </w:r>
    </w:p>
    <w:p>
      <w:pPr>
        <w:spacing w:line="360" w:lineRule="auto"/>
        <w:outlineLvl w:val="9"/>
        <w:rPr>
          <w:rFonts w:ascii="方正仿宋_GB2312" w:hAnsi="方正仿宋_GB2312" w:eastAsia="方正仿宋_GB2312" w:cs="方正仿宋_GB2312"/>
          <w:sz w:val="24"/>
          <w:szCs w:val="24"/>
          <w:highlight w:val="none"/>
        </w:rPr>
      </w:pPr>
      <w:bookmarkStart w:id="529" w:name="_Toc416335937"/>
      <w:bookmarkStart w:id="530" w:name="_Toc42782595"/>
      <w:bookmarkStart w:id="531" w:name="_Toc42941307"/>
      <w:bookmarkStart w:id="532" w:name="_Toc42941213"/>
      <w:bookmarkStart w:id="533" w:name="_Toc42965677"/>
      <w:bookmarkStart w:id="534" w:name="_Toc43008892"/>
      <w:bookmarkStart w:id="535" w:name="_Toc43103145"/>
      <w:bookmarkStart w:id="536" w:name="_Toc42781858"/>
      <w:bookmarkStart w:id="537" w:name="_Toc42796921"/>
      <w:bookmarkStart w:id="538" w:name="_Toc41389810"/>
      <w:bookmarkStart w:id="539" w:name="_Toc43110968"/>
      <w:bookmarkStart w:id="540" w:name="_Toc42876208"/>
      <w:bookmarkStart w:id="541" w:name="_Toc514058469"/>
      <w:bookmarkStart w:id="542" w:name="_Toc42782807"/>
      <w:bookmarkStart w:id="543" w:name="_Toc42782893"/>
      <w:bookmarkStart w:id="544" w:name="_Toc43103062"/>
      <w:bookmarkStart w:id="545" w:name="_Toc42876123"/>
      <w:r>
        <w:rPr>
          <w:rFonts w:hint="eastAsia" w:ascii="方正仿宋_GB2312" w:hAnsi="方正仿宋_GB2312" w:eastAsia="方正仿宋_GB2312" w:cs="方正仿宋_GB2312"/>
          <w:sz w:val="24"/>
          <w:szCs w:val="24"/>
          <w:highlight w:val="none"/>
        </w:rPr>
        <w:t>15</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r>
        <w:rPr>
          <w:rFonts w:hint="eastAsia" w:ascii="方正仿宋_GB2312" w:hAnsi="方正仿宋_GB2312" w:eastAsia="方正仿宋_GB2312" w:cs="方正仿宋_GB2312"/>
          <w:sz w:val="24"/>
          <w:szCs w:val="24"/>
          <w:highlight w:val="none"/>
        </w:rPr>
        <w:t xml:space="preserve"> 供应商有两个(含两个)以上报价且未书面声明以哪个为准时，报价无效按无效投标处理。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15.1供应商若有其他说明，应在开标一览表显著位置予以注明。否则，集中采购机构对此不承担任何责任。</w:t>
      </w:r>
    </w:p>
    <w:p>
      <w:pPr>
        <w:spacing w:line="360" w:lineRule="auto"/>
        <w:outlineLvl w:val="9"/>
        <w:rPr>
          <w:rFonts w:ascii="方正仿宋_GB2312" w:hAnsi="方正仿宋_GB2312" w:eastAsia="方正仿宋_GB2312" w:cs="方正仿宋_GB2312"/>
          <w:sz w:val="24"/>
          <w:szCs w:val="24"/>
          <w:highlight w:val="none"/>
        </w:rPr>
      </w:pPr>
      <w:bookmarkStart w:id="546" w:name="_Toc42782596"/>
      <w:bookmarkStart w:id="547" w:name="_Toc43008893"/>
      <w:bookmarkStart w:id="548" w:name="_Toc42782894"/>
      <w:bookmarkStart w:id="549" w:name="_Toc42796922"/>
      <w:bookmarkStart w:id="550" w:name="_Toc42941308"/>
      <w:bookmarkStart w:id="551" w:name="_Toc43103146"/>
      <w:bookmarkStart w:id="552" w:name="_Toc42876209"/>
      <w:bookmarkStart w:id="553" w:name="_Toc43103063"/>
      <w:bookmarkStart w:id="554" w:name="_Toc42941214"/>
      <w:bookmarkStart w:id="555" w:name="_Toc43110969"/>
      <w:bookmarkStart w:id="556" w:name="_Toc42782808"/>
      <w:bookmarkStart w:id="557" w:name="_Toc416335938"/>
      <w:bookmarkStart w:id="558" w:name="_Toc42781859"/>
      <w:bookmarkStart w:id="559" w:name="_Toc514058470"/>
      <w:bookmarkStart w:id="560" w:name="_Toc42876124"/>
      <w:bookmarkStart w:id="561" w:name="_Toc42965678"/>
      <w:bookmarkStart w:id="562" w:name="_Toc41389811"/>
      <w:r>
        <w:rPr>
          <w:rFonts w:hint="eastAsia" w:ascii="方正仿宋_GB2312" w:hAnsi="方正仿宋_GB2312" w:eastAsia="方正仿宋_GB2312" w:cs="方正仿宋_GB2312"/>
          <w:sz w:val="24"/>
          <w:szCs w:val="24"/>
          <w:highlight w:val="none"/>
        </w:rPr>
        <w:t>16.技术规格及服务要求的响应</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16.1供应商应对招标文件中的技术规格和服务要求逐项做出实质性响应。</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16.2供应商的服务承诺应不低于招标文件中要求的标准。</w:t>
      </w:r>
    </w:p>
    <w:p>
      <w:pPr>
        <w:spacing w:line="360" w:lineRule="auto"/>
        <w:outlineLvl w:val="9"/>
        <w:rPr>
          <w:rFonts w:ascii="方正仿宋_GB2312" w:hAnsi="方正仿宋_GB2312" w:eastAsia="方正仿宋_GB2312" w:cs="方正仿宋_GB2312"/>
          <w:sz w:val="24"/>
          <w:szCs w:val="24"/>
          <w:highlight w:val="none"/>
        </w:rPr>
      </w:pPr>
      <w:bookmarkStart w:id="563" w:name="_Toc42781861"/>
      <w:bookmarkStart w:id="564" w:name="_Toc43103148"/>
      <w:bookmarkStart w:id="565" w:name="_Toc42782896"/>
      <w:bookmarkStart w:id="566" w:name="_Toc416335940"/>
      <w:bookmarkStart w:id="567" w:name="_Toc42876126"/>
      <w:bookmarkStart w:id="568" w:name="_Toc42782810"/>
      <w:bookmarkStart w:id="569" w:name="_Toc42965680"/>
      <w:bookmarkStart w:id="570" w:name="_Toc43103065"/>
      <w:bookmarkStart w:id="571" w:name="_Toc42941310"/>
      <w:bookmarkStart w:id="572" w:name="_Toc43110971"/>
      <w:bookmarkStart w:id="573" w:name="_Toc42782598"/>
      <w:bookmarkStart w:id="574" w:name="_Toc43008895"/>
      <w:bookmarkStart w:id="575" w:name="_Toc42796924"/>
      <w:bookmarkStart w:id="576" w:name="_Toc42876211"/>
      <w:bookmarkStart w:id="577" w:name="_Toc41389813"/>
      <w:bookmarkStart w:id="578" w:name="_Toc42941216"/>
      <w:bookmarkStart w:id="579" w:name="_Toc514058472"/>
      <w:r>
        <w:rPr>
          <w:rFonts w:hint="eastAsia" w:ascii="方正仿宋_GB2312" w:hAnsi="方正仿宋_GB2312" w:eastAsia="方正仿宋_GB2312" w:cs="方正仿宋_GB2312"/>
          <w:sz w:val="24"/>
          <w:szCs w:val="24"/>
          <w:highlight w:val="none"/>
        </w:rPr>
        <w:t>17.证明服务的合格性和符合招标文件规定的文件</w:t>
      </w:r>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17.1供应商应提交根据招标文件要求提供的证明服务方案合格性以及符合招标文件规定的证明文件，并作为其投标的一部分。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17.2证明投标文件与招标文件的要求相一致的文件可以是手册、图片、文字资料和数据，供应商应提供：</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（1）服务主要技术指标和性能特点的说明；</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（2）逐条对招标文件要求的技术规格进行评议，指出自己提供的服务是否做出实质性的响应；逐条填报投报货物或服务技术参数说明。</w:t>
      </w:r>
    </w:p>
    <w:p>
      <w:pPr>
        <w:spacing w:line="360" w:lineRule="auto"/>
        <w:outlineLvl w:val="9"/>
        <w:rPr>
          <w:rFonts w:ascii="方正仿宋_GB2312" w:hAnsi="方正仿宋_GB2312" w:eastAsia="方正仿宋_GB2312" w:cs="方正仿宋_GB2312"/>
          <w:sz w:val="24"/>
          <w:szCs w:val="24"/>
          <w:highlight w:val="none"/>
        </w:rPr>
      </w:pPr>
      <w:bookmarkStart w:id="580" w:name="_Toc42782897"/>
      <w:bookmarkStart w:id="581" w:name="_Toc42941217"/>
      <w:bookmarkStart w:id="582" w:name="_Toc42876212"/>
      <w:bookmarkStart w:id="583" w:name="_Toc43110972"/>
      <w:bookmarkStart w:id="584" w:name="_Toc42965681"/>
      <w:bookmarkStart w:id="585" w:name="_Toc43103066"/>
      <w:bookmarkStart w:id="586" w:name="_Toc43103149"/>
      <w:bookmarkStart w:id="587" w:name="_Toc42782811"/>
      <w:bookmarkStart w:id="588" w:name="_Toc42796925"/>
      <w:bookmarkStart w:id="589" w:name="_Toc43008896"/>
      <w:bookmarkStart w:id="590" w:name="_Toc41389814"/>
      <w:bookmarkStart w:id="591" w:name="_Toc42782599"/>
      <w:bookmarkStart w:id="592" w:name="_Toc42876127"/>
      <w:bookmarkStart w:id="593" w:name="_Toc42781862"/>
      <w:bookmarkStart w:id="594" w:name="_Toc42941311"/>
      <w:bookmarkStart w:id="595" w:name="_Toc416335941"/>
      <w:bookmarkStart w:id="596" w:name="_Toc514058473"/>
      <w:r>
        <w:rPr>
          <w:rFonts w:hint="eastAsia" w:ascii="方正仿宋_GB2312" w:hAnsi="方正仿宋_GB2312" w:eastAsia="方正仿宋_GB2312" w:cs="方正仿宋_GB2312"/>
          <w:sz w:val="24"/>
          <w:szCs w:val="24"/>
          <w:highlight w:val="none"/>
        </w:rPr>
        <w:t>18.</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r>
        <w:rPr>
          <w:rFonts w:hint="eastAsia" w:ascii="方正仿宋_GB2312" w:hAnsi="方正仿宋_GB2312" w:eastAsia="方正仿宋_GB2312" w:cs="方正仿宋_GB2312"/>
          <w:sz w:val="24"/>
          <w:szCs w:val="24"/>
          <w:highlight w:val="none"/>
        </w:rPr>
        <w:t>投标保证金</w:t>
      </w:r>
      <w:bookmarkEnd w:id="595"/>
      <w:bookmarkEnd w:id="596"/>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18.1供应商在递交投标文件的同时，应按供应商须知前附表的规定递交投标保证金。</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18.2供应商不按本章要求提交投标保证金的，其投标文件作废标处理。</w:t>
      </w:r>
    </w:p>
    <w:p>
      <w:pPr>
        <w:spacing w:line="360" w:lineRule="auto"/>
        <w:outlineLvl w:val="9"/>
        <w:rPr>
          <w:rFonts w:ascii="方正仿宋_GB2312" w:hAnsi="方正仿宋_GB2312" w:eastAsia="方正仿宋_GB2312" w:cs="方正仿宋_GB2312"/>
          <w:sz w:val="24"/>
          <w:szCs w:val="24"/>
          <w:highlight w:val="none"/>
        </w:rPr>
      </w:pPr>
      <w:bookmarkStart w:id="597" w:name="_Toc42782898"/>
      <w:bookmarkStart w:id="598" w:name="_Toc42876213"/>
      <w:bookmarkStart w:id="599" w:name="_Toc42941312"/>
      <w:bookmarkStart w:id="600" w:name="_Toc43110973"/>
      <w:bookmarkStart w:id="601" w:name="_Toc42796926"/>
      <w:bookmarkStart w:id="602" w:name="_Toc42941218"/>
      <w:bookmarkStart w:id="603" w:name="_Toc42965682"/>
      <w:bookmarkStart w:id="604" w:name="_Toc514058474"/>
      <w:bookmarkStart w:id="605" w:name="_Toc41389815"/>
      <w:bookmarkStart w:id="606" w:name="_Toc416335942"/>
      <w:bookmarkStart w:id="607" w:name="_Toc42782812"/>
      <w:bookmarkStart w:id="608" w:name="_Toc42781863"/>
      <w:bookmarkStart w:id="609" w:name="_Toc43008897"/>
      <w:bookmarkStart w:id="610" w:name="_Toc42876128"/>
      <w:bookmarkStart w:id="611" w:name="_Toc43103150"/>
      <w:bookmarkStart w:id="612" w:name="_Toc42782600"/>
      <w:bookmarkStart w:id="613" w:name="_Toc43103067"/>
      <w:r>
        <w:rPr>
          <w:rFonts w:hint="eastAsia" w:ascii="方正仿宋_GB2312" w:hAnsi="方正仿宋_GB2312" w:eastAsia="方正仿宋_GB2312" w:cs="方正仿宋_GB2312"/>
          <w:sz w:val="24"/>
          <w:szCs w:val="24"/>
          <w:highlight w:val="none"/>
        </w:rPr>
        <w:t>19.投标有效期</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19.1 投标有效期为集中采购机构规定的</w:t>
      </w:r>
      <w:r>
        <w:rPr>
          <w:rFonts w:hint="eastAsia" w:ascii="方正仿宋_GB2312" w:hAnsi="方正仿宋_GB2312" w:eastAsia="方正仿宋_GB2312" w:cs="方正仿宋_GB2312"/>
          <w:b w:val="0"/>
          <w:bCs w:val="0"/>
          <w:color w:val="auto"/>
          <w:kern w:val="0"/>
          <w:sz w:val="24"/>
          <w:szCs w:val="24"/>
          <w:highlight w:val="none"/>
          <w:lang w:val="en-US" w:eastAsia="zh-CN" w:bidi="ar-SA"/>
        </w:rPr>
        <w:t>投标文件提交截止之日</w:t>
      </w:r>
      <w:r>
        <w:rPr>
          <w:rFonts w:hint="eastAsia" w:ascii="方正仿宋_GB2312" w:hAnsi="方正仿宋_GB2312" w:eastAsia="方正仿宋_GB2312" w:cs="方正仿宋_GB2312"/>
          <w:sz w:val="24"/>
          <w:szCs w:val="24"/>
          <w:highlight w:val="none"/>
        </w:rPr>
        <w:t>后九十（90）日历天。</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19.2 在特殊情况下，集中采购机构于原投标有效期满之前，可向供应商提出延长投标有效期的要求。这种要求与答复均主要以“</w:t>
      </w:r>
      <w:r>
        <w:rPr>
          <w:rFonts w:hint="eastAsia" w:ascii="方正仿宋_GB2312" w:hAnsi="方正仿宋_GB2312" w:eastAsia="方正仿宋_GB2312" w:cs="方正仿宋_GB2312"/>
          <w:bCs/>
          <w:sz w:val="24"/>
          <w:szCs w:val="24"/>
          <w:highlight w:val="none"/>
        </w:rPr>
        <w:t>云南省政府采购网</w:t>
      </w:r>
      <w:r>
        <w:rPr>
          <w:rFonts w:hint="eastAsia" w:ascii="方正仿宋_GB2312" w:hAnsi="方正仿宋_GB2312" w:eastAsia="方正仿宋_GB2312" w:cs="方正仿宋_GB2312"/>
          <w:sz w:val="24"/>
          <w:szCs w:val="24"/>
          <w:highlight w:val="none"/>
        </w:rPr>
        <w:t>”网上公告形式通知供应商。供应商可以拒绝集中采购机构的这一要求而放弃投标，投标保证金将尽快退回。同意延长的供应商既不能要求也不允许修改其投标文件。有关投标保证金的没收和退还的规定在延长期内继续有效。</w:t>
      </w:r>
    </w:p>
    <w:p>
      <w:pPr>
        <w:numPr>
          <w:ilvl w:val="1"/>
          <w:numId w:val="0"/>
        </w:numPr>
        <w:spacing w:line="360" w:lineRule="auto"/>
        <w:ind w:left="7" w:hanging="7" w:hangingChars="3"/>
        <w:outlineLvl w:val="9"/>
        <w:rPr>
          <w:rFonts w:ascii="方正仿宋_GB2312" w:hAnsi="方正仿宋_GB2312" w:eastAsia="方正仿宋_GB2312" w:cs="方正仿宋_GB2312"/>
          <w:bCs/>
          <w:sz w:val="24"/>
          <w:szCs w:val="24"/>
          <w:highlight w:val="none"/>
        </w:rPr>
      </w:pPr>
      <w:bookmarkStart w:id="614" w:name="_Toc42941220"/>
      <w:bookmarkStart w:id="615" w:name="_Toc26848"/>
      <w:bookmarkStart w:id="616" w:name="_Toc17378"/>
      <w:bookmarkStart w:id="617" w:name="_Toc514058476"/>
      <w:bookmarkStart w:id="618" w:name="_Toc42941314"/>
      <w:bookmarkStart w:id="619" w:name="_Toc42782900"/>
      <w:bookmarkStart w:id="620" w:name="_Toc1440"/>
      <w:bookmarkStart w:id="621" w:name="_Toc43103069"/>
      <w:bookmarkStart w:id="622" w:name="_Toc989"/>
      <w:bookmarkStart w:id="623" w:name="_Toc43110975"/>
      <w:bookmarkStart w:id="624" w:name="_Toc22163"/>
      <w:bookmarkStart w:id="625" w:name="_Toc416335944"/>
      <w:bookmarkStart w:id="626" w:name="_Toc41389817"/>
      <w:bookmarkStart w:id="627" w:name="_Toc42796928"/>
      <w:bookmarkStart w:id="628" w:name="_Toc42876130"/>
      <w:bookmarkStart w:id="629" w:name="_Toc23171"/>
      <w:bookmarkStart w:id="630" w:name="_Toc43103152"/>
      <w:bookmarkStart w:id="631" w:name="_Toc42782814"/>
      <w:bookmarkStart w:id="632" w:name="_Toc43008899"/>
      <w:bookmarkStart w:id="633" w:name="_Toc27937"/>
      <w:bookmarkStart w:id="634" w:name="_Toc42965684"/>
      <w:bookmarkStart w:id="635" w:name="_Toc42782602"/>
      <w:bookmarkStart w:id="636" w:name="_Toc42876215"/>
      <w:bookmarkStart w:id="637" w:name="_Toc22790"/>
      <w:bookmarkStart w:id="638" w:name="_Toc14318"/>
      <w:bookmarkStart w:id="639" w:name="_Toc14986"/>
      <w:bookmarkStart w:id="640" w:name="_Toc42781865"/>
      <w:r>
        <w:rPr>
          <w:rFonts w:hint="eastAsia" w:ascii="方正仿宋_GB2312" w:hAnsi="方正仿宋_GB2312" w:eastAsia="方正仿宋_GB2312" w:cs="方正仿宋_GB2312"/>
          <w:bCs/>
          <w:sz w:val="24"/>
          <w:szCs w:val="24"/>
          <w:highlight w:val="none"/>
        </w:rPr>
        <w:t>四.投标文件的递交</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pPr>
        <w:spacing w:line="360" w:lineRule="auto"/>
        <w:outlineLvl w:val="9"/>
        <w:rPr>
          <w:rFonts w:ascii="方正仿宋_GB2312" w:hAnsi="方正仿宋_GB2312" w:eastAsia="方正仿宋_GB2312" w:cs="方正仿宋_GB2312"/>
          <w:sz w:val="24"/>
          <w:szCs w:val="24"/>
          <w:highlight w:val="none"/>
        </w:rPr>
      </w:pPr>
      <w:bookmarkStart w:id="641" w:name="_Toc43008900"/>
      <w:bookmarkStart w:id="642" w:name="_Toc42781866"/>
      <w:bookmarkStart w:id="643" w:name="_Toc42782815"/>
      <w:bookmarkStart w:id="644" w:name="_Toc42876216"/>
      <w:bookmarkStart w:id="645" w:name="_Toc42796929"/>
      <w:bookmarkStart w:id="646" w:name="_Toc43103070"/>
      <w:bookmarkStart w:id="647" w:name="_Toc42941221"/>
      <w:bookmarkStart w:id="648" w:name="_Toc41389818"/>
      <w:bookmarkStart w:id="649" w:name="_Toc43103153"/>
      <w:bookmarkStart w:id="650" w:name="_Toc42782603"/>
      <w:bookmarkStart w:id="651" w:name="_Toc42965685"/>
      <w:bookmarkStart w:id="652" w:name="_Toc42876131"/>
      <w:bookmarkStart w:id="653" w:name="_Toc42782901"/>
      <w:bookmarkStart w:id="654" w:name="_Toc42941315"/>
      <w:bookmarkStart w:id="655" w:name="_Toc43110976"/>
      <w:bookmarkStart w:id="656" w:name="_Toc416335945"/>
      <w:bookmarkStart w:id="657" w:name="_Toc514058477"/>
      <w:r>
        <w:rPr>
          <w:rFonts w:hint="eastAsia" w:ascii="方正仿宋_GB2312" w:hAnsi="方正仿宋_GB2312" w:eastAsia="方正仿宋_GB2312" w:cs="方正仿宋_GB2312"/>
          <w:sz w:val="24"/>
          <w:szCs w:val="24"/>
          <w:highlight w:val="none"/>
        </w:rPr>
        <w:t>20.投标文件的</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r>
        <w:rPr>
          <w:rFonts w:hint="eastAsia" w:ascii="方正仿宋_GB2312" w:hAnsi="方正仿宋_GB2312" w:eastAsia="方正仿宋_GB2312" w:cs="方正仿宋_GB2312"/>
          <w:sz w:val="24"/>
          <w:szCs w:val="24"/>
          <w:highlight w:val="none"/>
        </w:rPr>
        <w:t>递交</w:t>
      </w:r>
      <w:bookmarkEnd w:id="656"/>
      <w:bookmarkEnd w:id="657"/>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20.1网上递交投标文件应根据招标文件要求，在投标截止时间前通过“</w:t>
      </w:r>
      <w:r>
        <w:rPr>
          <w:rFonts w:hint="eastAsia" w:ascii="方正仿宋_GB2312" w:hAnsi="方正仿宋_GB2312" w:eastAsia="方正仿宋_GB2312" w:cs="方正仿宋_GB2312"/>
          <w:sz w:val="24"/>
          <w:szCs w:val="24"/>
          <w:highlight w:val="none"/>
          <w:u w:val="single"/>
        </w:rPr>
        <w:t>政采云平台（http：//www.zcygov.cn）</w:t>
      </w:r>
      <w:r>
        <w:rPr>
          <w:rFonts w:hint="eastAsia" w:ascii="方正仿宋_GB2312" w:hAnsi="方正仿宋_GB2312" w:eastAsia="方正仿宋_GB2312" w:cs="方正仿宋_GB2312"/>
          <w:sz w:val="24"/>
          <w:szCs w:val="24"/>
          <w:highlight w:val="none"/>
        </w:rPr>
        <w:t>”上传相应开标项目的投标文件。</w:t>
      </w:r>
    </w:p>
    <w:p>
      <w:pPr>
        <w:spacing w:line="360" w:lineRule="auto"/>
        <w:outlineLvl w:val="9"/>
        <w:rPr>
          <w:rFonts w:ascii="方正仿宋_GB2312" w:hAnsi="方正仿宋_GB2312" w:eastAsia="方正仿宋_GB2312" w:cs="方正仿宋_GB2312"/>
          <w:sz w:val="24"/>
          <w:szCs w:val="24"/>
          <w:highlight w:val="none"/>
        </w:rPr>
      </w:pPr>
      <w:bookmarkStart w:id="658" w:name="_Toc43103154"/>
      <w:bookmarkStart w:id="659" w:name="_Toc42941316"/>
      <w:bookmarkStart w:id="660" w:name="_Toc42781867"/>
      <w:bookmarkStart w:id="661" w:name="_Toc42782816"/>
      <w:bookmarkStart w:id="662" w:name="_Toc42876132"/>
      <w:bookmarkStart w:id="663" w:name="_Toc514058478"/>
      <w:bookmarkStart w:id="664" w:name="_Toc416335946"/>
      <w:bookmarkStart w:id="665" w:name="_Toc42965686"/>
      <w:bookmarkStart w:id="666" w:name="_Toc42782902"/>
      <w:bookmarkStart w:id="667" w:name="_Toc43103071"/>
      <w:bookmarkStart w:id="668" w:name="_Toc42782604"/>
      <w:bookmarkStart w:id="669" w:name="_Toc43008901"/>
      <w:bookmarkStart w:id="670" w:name="_Toc41389819"/>
      <w:bookmarkStart w:id="671" w:name="_Toc43110977"/>
      <w:bookmarkStart w:id="672" w:name="_Toc42876217"/>
      <w:bookmarkStart w:id="673" w:name="_Toc42796930"/>
      <w:bookmarkStart w:id="674" w:name="_Toc42941222"/>
      <w:r>
        <w:rPr>
          <w:rFonts w:hint="eastAsia" w:ascii="方正仿宋_GB2312" w:hAnsi="方正仿宋_GB2312" w:eastAsia="方正仿宋_GB2312" w:cs="方正仿宋_GB2312"/>
          <w:sz w:val="24"/>
          <w:szCs w:val="24"/>
          <w:highlight w:val="none"/>
        </w:rPr>
        <w:t>21.投标截止日期</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21.1集中采购机构收到投标文件的时间不得迟于规定的投标截止时间。</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21.2集中采购机构可以按第11条规定，通过修改招标文件自行酌情延长投标截止日期，在此情况下，招标文件领取者和供应商的所有权利和义务以及供应商受制的截止日期均应以延长后新的截止日期为准。</w:t>
      </w:r>
    </w:p>
    <w:p>
      <w:pPr>
        <w:spacing w:line="360" w:lineRule="auto"/>
        <w:outlineLvl w:val="9"/>
        <w:rPr>
          <w:rFonts w:ascii="方正仿宋_GB2312" w:hAnsi="方正仿宋_GB2312" w:eastAsia="方正仿宋_GB2312" w:cs="方正仿宋_GB2312"/>
          <w:sz w:val="24"/>
          <w:szCs w:val="24"/>
          <w:highlight w:val="none"/>
        </w:rPr>
      </w:pPr>
      <w:bookmarkStart w:id="675" w:name="_Toc514058479"/>
      <w:bookmarkStart w:id="676" w:name="_Toc42782605"/>
      <w:bookmarkStart w:id="677" w:name="_Toc42941223"/>
      <w:bookmarkStart w:id="678" w:name="_Toc42782903"/>
      <w:bookmarkStart w:id="679" w:name="_Toc42781868"/>
      <w:bookmarkStart w:id="680" w:name="_Toc43008902"/>
      <w:bookmarkStart w:id="681" w:name="_Toc42876218"/>
      <w:bookmarkStart w:id="682" w:name="_Toc42876133"/>
      <w:bookmarkStart w:id="683" w:name="_Toc42941317"/>
      <w:bookmarkStart w:id="684" w:name="_Toc43103155"/>
      <w:bookmarkStart w:id="685" w:name="_Toc42796931"/>
      <w:bookmarkStart w:id="686" w:name="_Toc42782817"/>
      <w:bookmarkStart w:id="687" w:name="_Toc42965687"/>
      <w:bookmarkStart w:id="688" w:name="_Toc43110978"/>
      <w:bookmarkStart w:id="689" w:name="_Toc416335947"/>
      <w:bookmarkStart w:id="690" w:name="_Toc43103072"/>
      <w:bookmarkStart w:id="691" w:name="_Toc41389820"/>
      <w:r>
        <w:rPr>
          <w:rFonts w:hint="eastAsia" w:ascii="方正仿宋_GB2312" w:hAnsi="方正仿宋_GB2312" w:eastAsia="方正仿宋_GB2312" w:cs="方正仿宋_GB2312"/>
          <w:sz w:val="24"/>
          <w:szCs w:val="24"/>
          <w:highlight w:val="none"/>
        </w:rPr>
        <w:t>22.迟交的投标文件</w:t>
      </w:r>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22.1集中采购机构将拒绝在规定的递交投标文件截止时间后递交的任何投标文件。</w:t>
      </w:r>
    </w:p>
    <w:p>
      <w:pPr>
        <w:spacing w:line="360" w:lineRule="auto"/>
        <w:outlineLvl w:val="9"/>
        <w:rPr>
          <w:rFonts w:ascii="方正仿宋_GB2312" w:hAnsi="方正仿宋_GB2312" w:eastAsia="方正仿宋_GB2312" w:cs="方正仿宋_GB2312"/>
          <w:sz w:val="24"/>
          <w:szCs w:val="24"/>
          <w:highlight w:val="none"/>
        </w:rPr>
      </w:pPr>
      <w:bookmarkStart w:id="692" w:name="_Toc42941224"/>
      <w:bookmarkStart w:id="693" w:name="_Toc42965688"/>
      <w:bookmarkStart w:id="694" w:name="_Toc42782606"/>
      <w:bookmarkStart w:id="695" w:name="_Toc43110979"/>
      <w:bookmarkStart w:id="696" w:name="_Toc43008903"/>
      <w:bookmarkStart w:id="697" w:name="_Toc42941318"/>
      <w:bookmarkStart w:id="698" w:name="_Toc416335948"/>
      <w:bookmarkStart w:id="699" w:name="_Toc42876134"/>
      <w:bookmarkStart w:id="700" w:name="_Toc43103073"/>
      <w:bookmarkStart w:id="701" w:name="_Toc42876219"/>
      <w:bookmarkStart w:id="702" w:name="_Toc41389821"/>
      <w:bookmarkStart w:id="703" w:name="_Toc42781869"/>
      <w:bookmarkStart w:id="704" w:name="_Toc42782818"/>
      <w:bookmarkStart w:id="705" w:name="_Toc42796932"/>
      <w:bookmarkStart w:id="706" w:name="_Toc43103156"/>
      <w:bookmarkStart w:id="707" w:name="_Toc42782904"/>
      <w:bookmarkStart w:id="708" w:name="_Toc514058480"/>
      <w:r>
        <w:rPr>
          <w:rFonts w:hint="eastAsia" w:ascii="方正仿宋_GB2312" w:hAnsi="方正仿宋_GB2312" w:eastAsia="方正仿宋_GB2312" w:cs="方正仿宋_GB2312"/>
          <w:sz w:val="24"/>
          <w:szCs w:val="24"/>
          <w:highlight w:val="none"/>
        </w:rPr>
        <w:t>2</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r>
        <w:rPr>
          <w:rFonts w:hint="eastAsia" w:ascii="方正仿宋_GB2312" w:hAnsi="方正仿宋_GB2312" w:eastAsia="方正仿宋_GB2312" w:cs="方正仿宋_GB2312"/>
          <w:sz w:val="24"/>
          <w:szCs w:val="24"/>
          <w:highlight w:val="none"/>
        </w:rPr>
        <w:t>3.投标文件的修改和撤销</w:t>
      </w:r>
      <w:bookmarkEnd w:id="708"/>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23.1供应商在递交投标文件后，可以修改或撤回其投标文件，但这种修改和撤回，必须在规定的投标截止时间前，无须以书面形式通知集中采购机构。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23.2 在投标截止时间之后，供应商不得对其投标文件作任何修改。</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23.3 在投标截止时间至集中采购机构在招标文件中规定的投标有效期满之间的这段时间内，供应商不得撤销其投标，否则其投标保证金将被没收。</w:t>
      </w:r>
    </w:p>
    <w:p>
      <w:pPr>
        <w:numPr>
          <w:ilvl w:val="1"/>
          <w:numId w:val="0"/>
        </w:numPr>
        <w:spacing w:line="360" w:lineRule="auto"/>
        <w:ind w:left="7" w:hanging="7" w:hangingChars="3"/>
        <w:outlineLvl w:val="9"/>
        <w:rPr>
          <w:rFonts w:ascii="方正仿宋_GB2312" w:hAnsi="方正仿宋_GB2312" w:eastAsia="方正仿宋_GB2312" w:cs="方正仿宋_GB2312"/>
          <w:bCs/>
          <w:sz w:val="24"/>
          <w:szCs w:val="24"/>
          <w:highlight w:val="none"/>
        </w:rPr>
      </w:pPr>
      <w:bookmarkStart w:id="709" w:name="_Toc31076"/>
      <w:bookmarkStart w:id="710" w:name="_Toc41389822"/>
      <w:bookmarkStart w:id="711" w:name="_Toc514058481"/>
      <w:bookmarkStart w:id="712" w:name="_Toc42782905"/>
      <w:bookmarkStart w:id="713" w:name="_Toc416335949"/>
      <w:bookmarkStart w:id="714" w:name="_Toc42941225"/>
      <w:bookmarkStart w:id="715" w:name="_Toc9698"/>
      <w:bookmarkStart w:id="716" w:name="_Toc42796933"/>
      <w:bookmarkStart w:id="717" w:name="_Toc6093"/>
      <w:bookmarkStart w:id="718" w:name="_Toc42876220"/>
      <w:bookmarkStart w:id="719" w:name="_Toc42941319"/>
      <w:bookmarkStart w:id="720" w:name="_Toc25705"/>
      <w:bookmarkStart w:id="721" w:name="_Toc2620"/>
      <w:bookmarkStart w:id="722" w:name="_Toc43103074"/>
      <w:bookmarkStart w:id="723" w:name="_Toc20897"/>
      <w:bookmarkStart w:id="724" w:name="_Toc23705"/>
      <w:bookmarkStart w:id="725" w:name="_Toc42965689"/>
      <w:bookmarkStart w:id="726" w:name="_Toc18307"/>
      <w:bookmarkStart w:id="727" w:name="_Toc42781870"/>
      <w:bookmarkStart w:id="728" w:name="_Toc43103157"/>
      <w:bookmarkStart w:id="729" w:name="_Toc43008904"/>
      <w:bookmarkStart w:id="730" w:name="_Toc9508"/>
      <w:bookmarkStart w:id="731" w:name="_Toc42782607"/>
      <w:bookmarkStart w:id="732" w:name="_Toc42782819"/>
      <w:bookmarkStart w:id="733" w:name="_Toc7423"/>
      <w:bookmarkStart w:id="734" w:name="_Toc43110980"/>
      <w:bookmarkStart w:id="735" w:name="_Toc42876135"/>
      <w:r>
        <w:rPr>
          <w:rFonts w:hint="eastAsia" w:ascii="方正仿宋_GB2312" w:hAnsi="方正仿宋_GB2312" w:eastAsia="方正仿宋_GB2312" w:cs="方正仿宋_GB2312"/>
          <w:bCs/>
          <w:sz w:val="24"/>
          <w:szCs w:val="24"/>
          <w:highlight w:val="none"/>
        </w:rPr>
        <w:t>五.开标与评标</w:t>
      </w:r>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p>
      <w:pPr>
        <w:spacing w:line="360" w:lineRule="auto"/>
        <w:outlineLvl w:val="9"/>
        <w:rPr>
          <w:rFonts w:ascii="方正仿宋_GB2312" w:hAnsi="方正仿宋_GB2312" w:eastAsia="方正仿宋_GB2312" w:cs="方正仿宋_GB2312"/>
          <w:sz w:val="24"/>
          <w:szCs w:val="24"/>
          <w:highlight w:val="none"/>
        </w:rPr>
      </w:pPr>
      <w:bookmarkStart w:id="736" w:name="_Toc42781871"/>
      <w:bookmarkStart w:id="737" w:name="_Toc42796934"/>
      <w:bookmarkStart w:id="738" w:name="_Toc42876136"/>
      <w:bookmarkStart w:id="739" w:name="_Toc43103158"/>
      <w:bookmarkStart w:id="740" w:name="_Toc43103075"/>
      <w:bookmarkStart w:id="741" w:name="_Toc42941226"/>
      <w:bookmarkStart w:id="742" w:name="_Toc42782820"/>
      <w:bookmarkStart w:id="743" w:name="_Toc42876221"/>
      <w:bookmarkStart w:id="744" w:name="_Toc42965690"/>
      <w:bookmarkStart w:id="745" w:name="_Toc514058482"/>
      <w:bookmarkStart w:id="746" w:name="_Toc43110981"/>
      <w:bookmarkStart w:id="747" w:name="_Toc43008905"/>
      <w:bookmarkStart w:id="748" w:name="_Toc42782906"/>
      <w:bookmarkStart w:id="749" w:name="_Toc42782608"/>
      <w:bookmarkStart w:id="750" w:name="_Toc416335950"/>
      <w:bookmarkStart w:id="751" w:name="_Toc41389823"/>
      <w:bookmarkStart w:id="752" w:name="_Toc42941320"/>
      <w:r>
        <w:rPr>
          <w:rFonts w:hint="eastAsia" w:ascii="方正仿宋_GB2312" w:hAnsi="方正仿宋_GB2312" w:eastAsia="方正仿宋_GB2312" w:cs="方正仿宋_GB2312"/>
          <w:sz w:val="24"/>
          <w:szCs w:val="24"/>
          <w:highlight w:val="none"/>
        </w:rPr>
        <w:t>24.开标</w:t>
      </w:r>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24.1集中采购机构和</w:t>
      </w:r>
      <w:r>
        <w:rPr>
          <w:rFonts w:hint="eastAsia" w:ascii="方正仿宋_GB2312" w:hAnsi="方正仿宋_GB2312" w:eastAsia="方正仿宋_GB2312" w:cs="方正仿宋_GB2312"/>
          <w:bCs/>
          <w:spacing w:val="6"/>
          <w:sz w:val="24"/>
          <w:szCs w:val="24"/>
          <w:highlight w:val="none"/>
        </w:rPr>
        <w:t>采购人在规定的投标文件提交截止时间（开启时间）和投标须知前附表规定的地点开启</w:t>
      </w:r>
      <w:r>
        <w:rPr>
          <w:rFonts w:hint="eastAsia" w:ascii="方正仿宋_GB2312" w:hAnsi="方正仿宋_GB2312" w:eastAsia="方正仿宋_GB2312" w:cs="方正仿宋_GB2312"/>
          <w:sz w:val="24"/>
          <w:szCs w:val="24"/>
          <w:highlight w:val="none"/>
        </w:rPr>
        <w:t>。</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24.2 开启顺序：按“政采云”系统的编号顺序。</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24.3供应商对开启过程和开启记录有疑义，以及认为采购人、集中采购机构相关工作人员有需要回避的情形的，应当场提出询问或者回避申请。采购人、集中采购机构对供应商代表提出的询问或者回避申请应当及时处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24.3开标时，投标文件中开标一览表内容与投标文件中明细表内容不一致的，以开标一览表为准。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24.4集中采购机构将记录开标的有关内容，并由供应商代表签字确认，存档备查。</w:t>
      </w:r>
    </w:p>
    <w:p>
      <w:pPr>
        <w:spacing w:line="360" w:lineRule="auto"/>
        <w:outlineLvl w:val="9"/>
        <w:rPr>
          <w:rFonts w:ascii="方正仿宋_GB2312" w:hAnsi="方正仿宋_GB2312" w:eastAsia="方正仿宋_GB2312" w:cs="方正仿宋_GB2312"/>
          <w:sz w:val="24"/>
          <w:szCs w:val="24"/>
          <w:highlight w:val="none"/>
        </w:rPr>
      </w:pPr>
      <w:bookmarkStart w:id="753" w:name="_Toc42941321"/>
      <w:bookmarkStart w:id="754" w:name="_Toc42876224"/>
      <w:bookmarkStart w:id="755" w:name="_Toc42941227"/>
      <w:bookmarkStart w:id="756" w:name="_Toc43103159"/>
      <w:bookmarkStart w:id="757" w:name="_Toc42796937"/>
      <w:bookmarkStart w:id="758" w:name="_Toc416335951"/>
      <w:bookmarkStart w:id="759" w:name="_Toc42781874"/>
      <w:bookmarkStart w:id="760" w:name="_Toc42782909"/>
      <w:bookmarkStart w:id="761" w:name="_Toc42965691"/>
      <w:bookmarkStart w:id="762" w:name="_Toc42782823"/>
      <w:bookmarkStart w:id="763" w:name="_Toc42782611"/>
      <w:bookmarkStart w:id="764" w:name="_Toc43103076"/>
      <w:bookmarkStart w:id="765" w:name="_Toc42876139"/>
      <w:bookmarkStart w:id="766" w:name="_Toc43008906"/>
      <w:bookmarkStart w:id="767" w:name="_Toc41389825"/>
      <w:bookmarkStart w:id="768" w:name="_Toc43110982"/>
      <w:bookmarkStart w:id="769" w:name="_Toc42796935"/>
      <w:bookmarkStart w:id="770" w:name="_Toc41389824"/>
      <w:bookmarkStart w:id="771" w:name="_Toc42876137"/>
      <w:bookmarkStart w:id="772" w:name="_Toc42782609"/>
      <w:bookmarkStart w:id="773" w:name="_Toc42782907"/>
      <w:bookmarkStart w:id="774" w:name="_Toc42782821"/>
      <w:bookmarkStart w:id="775" w:name="_Toc42876222"/>
      <w:bookmarkStart w:id="776" w:name="_Toc42781872"/>
      <w:r>
        <w:rPr>
          <w:rFonts w:hint="eastAsia" w:ascii="方正仿宋_GB2312" w:hAnsi="方正仿宋_GB2312" w:eastAsia="方正仿宋_GB2312" w:cs="方正仿宋_GB2312"/>
          <w:sz w:val="24"/>
          <w:szCs w:val="24"/>
          <w:highlight w:val="none"/>
        </w:rPr>
        <w:t>25.对投标文件的初审</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25.1 公开招标采购项目开标结束后，采购人或者集中采购机构应当依据法律法规和招标文件对供应商的资格进行审查，以确定供应商是否具备投标资格。采购人或者集中采购机构将依据供应商提供的资格证明文件审查供应商的投标资格的合格性、是否足额提供投标保证金等。投标文件只有全部满足资格审查标准才能通过资格审查。合格供应商不足3家的，不得评标。合格供应商数量满足法规要求后，采购人应依法在相关专家库随机抽取评标专家，集中采购机构在规定时间内依法组建评标委员会，同时立即组织评标委员会进行评标，并独立开展评标工作。</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25.2为有助于对投标文件的审查、评价和比较，评标委员会有权要求供应商对投标文件中含义不明确的内容作必要的澄清或说明，有关澄清或说明的内容应以书面形式提交，但投标价格和实质性的内容不得更改。</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25.3符合性审查。依据招标文件的规定，从投标文件的有效性、完整性、对招标文件的响应程度进行审查，以确定是否对招标文件的实质性要求做出响应。评委会将审查投标文件是否完整、清晰，有无计算上的错误，文件签署是否合格，投标文件是否编排有序且符合招标文件要求。通过资格性和符合性审查的为有效投标，有资格进入评审阶段。</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25.5在详细评标之前，评标委员会将依据供应商提供的资格证明文件审查供应商的财务、技术和服务能力。如果确定供应商无资格履行合同，其投标将被拒绝。评委会将首先审查每份投标文件是否实质响应了招标文件的要求。实质上响应的投标应该是与招标文件要求的全部条款、条件和规格相符，没有重大偏离或保留的投标。所谓重大偏离或保留是指影响合同的服务范围、质量等，这些偏离或保留将会对其他实质上响应要求的供应商的竞争地位产生不公正的影响。评标委员会决定投标文件的响应性只根据投标文件本身的内容，而不寻求外部的证据。</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25.6投标文件属下列情况之一的，应当在资格性、符合性检查时按照无效投标处理： </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（一）应交未交投标保证金的； </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（二）未按照招标文件规定签署、盖章的； </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（三）不具备招标文件中规定资格要求的； </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（四）不符合法律、法规和招标文件中规定的其他实质性要求的。 </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25.7如果投标文件实质上没有响应招标文件的要求，评标委员会将予以拒绝，供应商不得通过修改或撤销不合要求的偏离或保留而使其投标成为实质上响应的投标。</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25.8评标委员会将对确定为实质上响应的投标进行进一步审核，看其是否有计算上或累加上的算术错误，修正错误的原则如下：</w:t>
      </w:r>
    </w:p>
    <w:p>
      <w:pPr>
        <w:spacing w:line="360" w:lineRule="auto"/>
        <w:outlineLvl w:val="9"/>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（一）投标文件中开标一览表（报价表）内容与投标文件中相应内容不一致的，以开标一览表（报价表）为准；</w:t>
      </w:r>
    </w:p>
    <w:p>
      <w:pPr>
        <w:spacing w:line="360" w:lineRule="auto"/>
        <w:outlineLvl w:val="9"/>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（二）大写金额和小写金额不一致的，以大写金额为准；</w:t>
      </w:r>
    </w:p>
    <w:p>
      <w:pPr>
        <w:spacing w:line="360" w:lineRule="auto"/>
        <w:outlineLvl w:val="9"/>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（三）单价金额小数点或者百分比有明显错位的，以开标一览表的总价为准，并修改单价；</w:t>
      </w:r>
    </w:p>
    <w:p>
      <w:pPr>
        <w:spacing w:line="360" w:lineRule="auto"/>
        <w:outlineLvl w:val="9"/>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（四）总价金额与按单价汇总金额不一致的，以单价金额计算结果为准。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同时出现两种以上不一致的，按照前款规定的顺序修正。修正后的报价按照</w:t>
      </w:r>
      <w:r>
        <w:rPr>
          <w:rFonts w:hint="eastAsia" w:ascii="方正仿宋_GB2312" w:hAnsi="方正仿宋_GB2312" w:eastAsia="方正仿宋_GB2312" w:cs="方正仿宋_GB2312"/>
          <w:sz w:val="24"/>
          <w:szCs w:val="24"/>
          <w:highlight w:val="none"/>
          <w:lang w:val="en-US" w:eastAsia="zh-CN"/>
        </w:rPr>
        <w:t>87号令规定</w:t>
      </w:r>
      <w:r>
        <w:rPr>
          <w:rFonts w:hint="eastAsia" w:ascii="方正仿宋_GB2312" w:hAnsi="方正仿宋_GB2312" w:eastAsia="方正仿宋_GB2312" w:cs="方正仿宋_GB2312"/>
          <w:sz w:val="24"/>
          <w:szCs w:val="24"/>
          <w:highlight w:val="none"/>
        </w:rPr>
        <w:t>第五十一条第二款的规定经投标人确认后产生约束力，投标人不确认的，其投标无效。</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25.9评标委员会将按上述修正错误的方法调整投标文件中的投标报价，调整后的价格应对供应商具有约束力。如果供应商不接受修正后的价格，则其投标将被拒绝，其投标保证金将被没收。</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25.10评标委员会将允许修正投标文件中不构成重大偏离的、微小的、非正规的、不一致的或不规则的地方，但这些修改不能影响任何供应商相应的名次排列。</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25.11 评标中若遇特殊问题，由评标委员会根据有关法律、法规、规定研究决定。</w:t>
      </w:r>
    </w:p>
    <w:p>
      <w:pPr>
        <w:spacing w:line="360" w:lineRule="auto"/>
        <w:outlineLvl w:val="9"/>
        <w:rPr>
          <w:rFonts w:ascii="方正仿宋_GB2312" w:hAnsi="方正仿宋_GB2312" w:eastAsia="方正仿宋_GB2312" w:cs="方正仿宋_GB2312"/>
          <w:sz w:val="24"/>
          <w:szCs w:val="24"/>
          <w:highlight w:val="none"/>
        </w:rPr>
      </w:pPr>
      <w:bookmarkStart w:id="777" w:name="_Toc514058484"/>
      <w:bookmarkStart w:id="778" w:name="_Toc497834316"/>
      <w:r>
        <w:rPr>
          <w:rFonts w:hint="eastAsia" w:ascii="方正仿宋_GB2312" w:hAnsi="方正仿宋_GB2312" w:eastAsia="方正仿宋_GB2312" w:cs="方正仿宋_GB2312"/>
          <w:sz w:val="24"/>
          <w:szCs w:val="24"/>
          <w:highlight w:val="none"/>
        </w:rPr>
        <w:t>26、评标委员会</w:t>
      </w:r>
      <w:bookmarkEnd w:id="777"/>
      <w:bookmarkEnd w:id="778"/>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26.1集中采购机构将根据项目的性质和特点组建评标委员会。 </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26.2本项目评标委员会由采购人代表和评审专家组成，成员人数为5人及以上单数，由4 名专家和 1名采购人代表组成，采购人于开标结束后按规定在相关专家库抽取专家。</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26.3评标委员会成员应当在评审报告上签字，对自己的评审意见承担法律责任。</w:t>
      </w:r>
    </w:p>
    <w:p>
      <w:pPr>
        <w:spacing w:line="360" w:lineRule="auto"/>
        <w:outlineLvl w:val="9"/>
        <w:rPr>
          <w:rFonts w:ascii="方正仿宋_GB2312" w:hAnsi="方正仿宋_GB2312" w:eastAsia="方正仿宋_GB2312" w:cs="方正仿宋_GB2312"/>
          <w:sz w:val="24"/>
          <w:szCs w:val="24"/>
          <w:highlight w:val="none"/>
        </w:rPr>
      </w:pPr>
      <w:bookmarkStart w:id="779" w:name="_Toc497834317"/>
      <w:bookmarkStart w:id="780" w:name="_Toc514058485"/>
      <w:r>
        <w:rPr>
          <w:rFonts w:hint="eastAsia" w:ascii="方正仿宋_GB2312" w:hAnsi="方正仿宋_GB2312" w:eastAsia="方正仿宋_GB2312" w:cs="方正仿宋_GB2312"/>
          <w:sz w:val="24"/>
          <w:szCs w:val="24"/>
          <w:highlight w:val="none"/>
        </w:rPr>
        <w:t>27、对投标文件的审查</w:t>
      </w:r>
      <w:bookmarkEnd w:id="779"/>
      <w:bookmarkEnd w:id="780"/>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27.1 评标委员会在规定时间到达评标室后，集中采购机构立即组织评标委员会进行评标，并独立开展评标工作。</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27.2评标委员会对符合资格的供应商的投标文件进行符合性审查，以确定其是否满足招标文件的实质性要求。</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27.3对于投标文件中含义不明确、同类问题表述不一致或者有明显文字和计算错误的内容，评标委员会应当以书面形式要求供应商做出必要的澄清、说明或者补正。供应商的澄清、说明或者补正应当采用书面形式，并加盖公章，或者由法定代表人或负责人或其授权的代表签字。供应商的澄清、说明或者补正不得超出投标文件的范围或者改变投标文件的实质性内容。</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27.4符合性审查。依据招标文件的规定，从投标文件的有效性、完整性、对招标文件的响应程度进行审查，以确定是否对招标文件的实质性要求做出响应。评标委员会将审查投标文件是否完整，有无计算上的重大错误，文件签署是否合格，投标文件是否大体编排有序且基本符合招标文件要求，报价是否唯一。</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27.5评标委员会将审查每份投标文件是否实质响应了招标文件的要求。实质上响应的投标应该是与招标文件要求的全部条款、条件和规格相符，没有重大偏离或保留的投标。所谓重大偏离或保留是指影响合同的供货范围、质量和性能；或者在实质上与招标文件不一致，而且限制了合同中买方与使用方的权利或供应商的义务，这些偏离或保留将会对其他实质上响应要求的供应商的竞争地位产生不公正的影响。评委决定投标文件的响应性只根据投标文件本身的内容，而不寻求外部的证据。</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27.6如果投标文件实质上没有响应招标文件的要求，评标委员会将予以拒绝，供应商不得通过修改或撤销不符合要求的偏离或保留而使其投标成为实质上响应的投标。</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27.7、投标报价</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27.7.1投标报价指供应商依据招标文件的要求及有关资料，执行国家或行业现行技术、经济标准及规范，根据现行市场价格自行报价。</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27.7.2投标报价应符合市场行情并能保证供应商完成履行合同所需的一切工作。合同一旦签订，在供货期间，中标人的中标价不随国家政策、市场行情的变化而调整，并在投标文件中附承诺书，未提供承诺书的评标委员会按无效投标文件处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27.7.3 供应商不得哄抬报价，也不应低于成本价（或进价）报价。评标委员会认为供应商的投标报价明显不合理或者低于成本，有可能影响供货质量和不能诚信履约的，将要求其在规定的期限内提供书面文件予以解释说明，并提交相关证明材料；供应商不能证明其报价合理性的，评标委员会将认定供应商投标文件无效。</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27.8供应商存在下列情况之一的，投标无效:</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（1）未按照招标文件的规定提交投标保证金的；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（2）投标文件未按招标文件要求签署、盖章的；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（3）不具备招标文件中规定的资格要求的；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（4）报价超过招标文件中规定的预算金额或者最高限价的；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（5）投标文件含有采购人不能接受的附加条件的;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（6）法律、法规和招标文件规定的其他无效情形。</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27.9评标中若遇特殊问题，由评标委员会根据有关法律、法规、规定研究决定。</w:t>
      </w:r>
    </w:p>
    <w:bookmarkEnd w:id="769"/>
    <w:bookmarkEnd w:id="770"/>
    <w:bookmarkEnd w:id="771"/>
    <w:bookmarkEnd w:id="772"/>
    <w:bookmarkEnd w:id="773"/>
    <w:bookmarkEnd w:id="774"/>
    <w:bookmarkEnd w:id="775"/>
    <w:bookmarkEnd w:id="776"/>
    <w:p>
      <w:pPr>
        <w:spacing w:line="360" w:lineRule="auto"/>
        <w:outlineLvl w:val="9"/>
        <w:rPr>
          <w:rFonts w:ascii="方正仿宋_GB2312" w:hAnsi="方正仿宋_GB2312" w:eastAsia="方正仿宋_GB2312" w:cs="方正仿宋_GB2312"/>
          <w:sz w:val="24"/>
          <w:szCs w:val="24"/>
          <w:highlight w:val="none"/>
        </w:rPr>
      </w:pPr>
      <w:bookmarkStart w:id="781" w:name="_Toc43110985"/>
      <w:bookmarkStart w:id="782" w:name="_Toc42965694"/>
      <w:bookmarkStart w:id="783" w:name="_Toc41389826"/>
      <w:bookmarkStart w:id="784" w:name="_Toc42876140"/>
      <w:bookmarkStart w:id="785" w:name="_Toc42941230"/>
      <w:bookmarkStart w:id="786" w:name="_Toc42782910"/>
      <w:bookmarkStart w:id="787" w:name="_Toc42781875"/>
      <w:bookmarkStart w:id="788" w:name="_Toc42796938"/>
      <w:bookmarkStart w:id="789" w:name="_Toc42876225"/>
      <w:bookmarkStart w:id="790" w:name="_Toc42941324"/>
      <w:bookmarkStart w:id="791" w:name="_Toc42782612"/>
      <w:bookmarkStart w:id="792" w:name="_Toc42782824"/>
      <w:bookmarkStart w:id="793" w:name="_Toc43103079"/>
      <w:bookmarkStart w:id="794" w:name="_Toc43008909"/>
      <w:bookmarkStart w:id="795" w:name="_Toc43103162"/>
      <w:bookmarkStart w:id="796" w:name="_Toc497834318"/>
      <w:bookmarkStart w:id="797" w:name="_Toc514058486"/>
      <w:r>
        <w:rPr>
          <w:rFonts w:hint="eastAsia" w:ascii="方正仿宋_GB2312" w:hAnsi="方正仿宋_GB2312" w:eastAsia="方正仿宋_GB2312" w:cs="方正仿宋_GB2312"/>
          <w:sz w:val="24"/>
          <w:szCs w:val="24"/>
          <w:highlight w:val="none"/>
        </w:rPr>
        <w:t>28、对投标文件的</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r>
        <w:rPr>
          <w:rFonts w:hint="eastAsia" w:ascii="方正仿宋_GB2312" w:hAnsi="方正仿宋_GB2312" w:eastAsia="方正仿宋_GB2312" w:cs="方正仿宋_GB2312"/>
          <w:sz w:val="24"/>
          <w:szCs w:val="24"/>
          <w:highlight w:val="none"/>
        </w:rPr>
        <w:t>评审和比较</w:t>
      </w:r>
      <w:bookmarkEnd w:id="796"/>
      <w:bookmarkEnd w:id="797"/>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28.1评标活动遵循公平、公正、科学、择优的原则。</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28.2评标委员会应当按照招标文件中规定的评标方法和标准，对符合性审查合格的投标文件进行商务和技术评估，综合比较与评价。</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28.3评标委员会只对实质上响应招标文件要求的投标文件进行综合评价和比较。</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28.4 评标委员会在评标时主要根据投标报价,同时根据各项技术和服务因素对供应商和投标服务进行综合评价。</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28.5评标委员会成员对需要共同认定的事项存在争议的，应当按照少数服从多数的原则作出结论。持不同意见的评标委员会成员应当在评标报告上签署不同意见及理由，否则视为同意评标报告。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28.6评标方法和标准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本项目根据《中华人民共和国政府采购法》、《中华人民共和国政府采购法实施条例》、《政府采购货物和服务招标投标管理办法》（财政部令第87号）等有关法律、法规的规定采用综合评分法。</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28.7标准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具体详见第三章评标办法</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28.8 评标过程中，出现下列情况之一，应予废标：</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（1）出现影响采购公正的违法、违规行为的；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（2）供应商的报价均超过了采购预算，采购人不能支付的；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（3）因重大变故，采购任务取消的；</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（4）法律、法规规定的其它情形。</w:t>
      </w:r>
    </w:p>
    <w:p>
      <w:pPr>
        <w:keepNext/>
        <w:keepLines/>
        <w:spacing w:line="360" w:lineRule="auto"/>
        <w:jc w:val="left"/>
        <w:outlineLvl w:val="9"/>
        <w:rPr>
          <w:rFonts w:ascii="方正仿宋_GB2312" w:hAnsi="方正仿宋_GB2312" w:eastAsia="方正仿宋_GB2312" w:cs="方正仿宋_GB2312"/>
          <w:sz w:val="24"/>
          <w:szCs w:val="24"/>
          <w:highlight w:val="none"/>
        </w:rPr>
      </w:pPr>
      <w:bookmarkStart w:id="798" w:name="_Toc514058487"/>
      <w:r>
        <w:rPr>
          <w:rFonts w:hint="eastAsia" w:ascii="方正仿宋_GB2312" w:hAnsi="方正仿宋_GB2312" w:eastAsia="方正仿宋_GB2312" w:cs="方正仿宋_GB2312"/>
          <w:sz w:val="24"/>
          <w:szCs w:val="24"/>
          <w:highlight w:val="none"/>
        </w:rPr>
        <w:t>29与评标活动有关的纪律要求</w:t>
      </w:r>
      <w:bookmarkEnd w:id="798"/>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29.1公开开标后，直至与中标供应商授予合同时止，凡是与审查、澄清、评价和比较投标的有关资料以及授标建议等，均不得向供应商或与评标无关的其他人员透露。</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29.2有关人员对评标情况以及在评标过程中获悉的国家秘密、商业秘密负有保密责任。</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29.3供应商不得干扰集中采购机构的评标活动，否则将废除其投标。</w:t>
      </w:r>
    </w:p>
    <w:p>
      <w:pPr>
        <w:numPr>
          <w:ilvl w:val="1"/>
          <w:numId w:val="0"/>
        </w:numPr>
        <w:spacing w:line="360" w:lineRule="auto"/>
        <w:ind w:left="7" w:hanging="7" w:hangingChars="3"/>
        <w:outlineLvl w:val="9"/>
        <w:rPr>
          <w:rFonts w:ascii="方正仿宋_GB2312" w:hAnsi="方正仿宋_GB2312" w:eastAsia="方正仿宋_GB2312" w:cs="方正仿宋_GB2312"/>
          <w:bCs/>
          <w:sz w:val="24"/>
          <w:szCs w:val="24"/>
          <w:highlight w:val="none"/>
        </w:rPr>
      </w:pPr>
      <w:bookmarkStart w:id="799" w:name="_Toc42941232"/>
      <w:bookmarkStart w:id="800" w:name="_Toc26994"/>
      <w:bookmarkStart w:id="801" w:name="_Toc43103081"/>
      <w:bookmarkStart w:id="802" w:name="_Toc42876227"/>
      <w:bookmarkStart w:id="803" w:name="_Toc42781877"/>
      <w:bookmarkStart w:id="804" w:name="_Toc42782826"/>
      <w:bookmarkStart w:id="805" w:name="_Toc42941326"/>
      <w:bookmarkStart w:id="806" w:name="_Toc285"/>
      <w:bookmarkStart w:id="807" w:name="_Toc42782912"/>
      <w:bookmarkStart w:id="808" w:name="_Toc416335956"/>
      <w:bookmarkStart w:id="809" w:name="_Toc25941"/>
      <w:bookmarkStart w:id="810" w:name="_Toc22099"/>
      <w:bookmarkStart w:id="811" w:name="_Toc42796940"/>
      <w:bookmarkStart w:id="812" w:name="_Toc42965696"/>
      <w:bookmarkStart w:id="813" w:name="_Toc8388"/>
      <w:bookmarkStart w:id="814" w:name="_Toc17320"/>
      <w:bookmarkStart w:id="815" w:name="_Toc21041"/>
      <w:bookmarkStart w:id="816" w:name="_Toc43008911"/>
      <w:bookmarkStart w:id="817" w:name="_Toc26017"/>
      <w:bookmarkStart w:id="818" w:name="_Toc17589"/>
      <w:bookmarkStart w:id="819" w:name="_Toc42782614"/>
      <w:bookmarkStart w:id="820" w:name="_Toc22883"/>
      <w:bookmarkStart w:id="821" w:name="_Toc42876142"/>
      <w:bookmarkStart w:id="822" w:name="_Toc514058488"/>
      <w:bookmarkStart w:id="823" w:name="_Toc43110987"/>
      <w:bookmarkStart w:id="824" w:name="_Toc41389827"/>
      <w:bookmarkStart w:id="825" w:name="_Toc43103164"/>
      <w:r>
        <w:rPr>
          <w:rFonts w:hint="eastAsia" w:ascii="方正仿宋_GB2312" w:hAnsi="方正仿宋_GB2312" w:eastAsia="方正仿宋_GB2312" w:cs="方正仿宋_GB2312"/>
          <w:bCs/>
          <w:sz w:val="24"/>
          <w:szCs w:val="24"/>
          <w:highlight w:val="none"/>
        </w:rPr>
        <w:t>六.授予合同</w:t>
      </w:r>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p>
    <w:p>
      <w:pPr>
        <w:spacing w:line="360" w:lineRule="auto"/>
        <w:outlineLvl w:val="9"/>
        <w:rPr>
          <w:rFonts w:ascii="方正仿宋_GB2312" w:hAnsi="方正仿宋_GB2312" w:eastAsia="方正仿宋_GB2312" w:cs="方正仿宋_GB2312"/>
          <w:sz w:val="24"/>
          <w:szCs w:val="24"/>
          <w:highlight w:val="none"/>
        </w:rPr>
      </w:pPr>
      <w:bookmarkStart w:id="826" w:name="_Toc42782913"/>
      <w:bookmarkStart w:id="827" w:name="_Toc43110988"/>
      <w:bookmarkStart w:id="828" w:name="_Toc43008912"/>
      <w:bookmarkStart w:id="829" w:name="_Toc42941327"/>
      <w:bookmarkStart w:id="830" w:name="_Toc514058489"/>
      <w:bookmarkStart w:id="831" w:name="_Toc42965697"/>
      <w:bookmarkStart w:id="832" w:name="_Toc416335957"/>
      <w:bookmarkStart w:id="833" w:name="_Toc42781878"/>
      <w:bookmarkStart w:id="834" w:name="_Toc43103165"/>
      <w:bookmarkStart w:id="835" w:name="_Toc42876143"/>
      <w:bookmarkStart w:id="836" w:name="_Toc42782615"/>
      <w:bookmarkStart w:id="837" w:name="_Toc42796941"/>
      <w:bookmarkStart w:id="838" w:name="_Toc42941233"/>
      <w:bookmarkStart w:id="839" w:name="_Toc41389828"/>
      <w:bookmarkStart w:id="840" w:name="_Toc43103082"/>
      <w:bookmarkStart w:id="841" w:name="_Toc42876228"/>
      <w:bookmarkStart w:id="842" w:name="_Toc42782827"/>
      <w:r>
        <w:rPr>
          <w:rFonts w:hint="eastAsia" w:ascii="方正仿宋_GB2312" w:hAnsi="方正仿宋_GB2312" w:eastAsia="方正仿宋_GB2312" w:cs="方正仿宋_GB2312"/>
          <w:sz w:val="24"/>
          <w:szCs w:val="24"/>
          <w:highlight w:val="none"/>
        </w:rPr>
        <w:t>30.合同授予标准</w:t>
      </w:r>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p>
    <w:p>
      <w:pPr>
        <w:spacing w:line="360" w:lineRule="auto"/>
        <w:outlineLvl w:val="9"/>
        <w:rPr>
          <w:rFonts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bCs/>
          <w:sz w:val="24"/>
          <w:szCs w:val="24"/>
          <w:highlight w:val="none"/>
        </w:rPr>
        <w:t>30.1采购人根据评标委员会评标报告推荐的第一中标候选人签署合同。</w:t>
      </w:r>
    </w:p>
    <w:p>
      <w:pPr>
        <w:spacing w:line="360" w:lineRule="auto"/>
        <w:outlineLvl w:val="9"/>
        <w:rPr>
          <w:rFonts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bCs/>
          <w:sz w:val="24"/>
          <w:szCs w:val="24"/>
          <w:highlight w:val="none"/>
        </w:rPr>
        <w:t>30.2合同将授予投标符合招标文件要求、并能圆满地履行合同的、对采购人最为有利的且得分最高的供应商。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Cs/>
          <w:sz w:val="24"/>
          <w:szCs w:val="24"/>
          <w:highlight w:val="none"/>
        </w:rPr>
        <w:t>30</w:t>
      </w:r>
      <w:r>
        <w:rPr>
          <w:rFonts w:hint="eastAsia" w:ascii="方正仿宋_GB2312" w:hAnsi="方正仿宋_GB2312" w:eastAsia="方正仿宋_GB2312" w:cs="方正仿宋_GB2312"/>
          <w:sz w:val="24"/>
          <w:szCs w:val="24"/>
          <w:highlight w:val="none"/>
        </w:rPr>
        <w:t>.3所有投标不符合要求，集中采购机构可否决所有投标并不作任何解释。</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Cs/>
          <w:sz w:val="24"/>
          <w:szCs w:val="24"/>
          <w:highlight w:val="none"/>
        </w:rPr>
        <w:t>30</w:t>
      </w:r>
      <w:r>
        <w:rPr>
          <w:rFonts w:hint="eastAsia" w:ascii="方正仿宋_GB2312" w:hAnsi="方正仿宋_GB2312" w:eastAsia="方正仿宋_GB2312" w:cs="方正仿宋_GB2312"/>
          <w:sz w:val="24"/>
          <w:szCs w:val="24"/>
          <w:highlight w:val="none"/>
        </w:rPr>
        <w:t>.4最低报价不是中标及被授予合同的保证，采购人及集中采购机构不承诺将合同授予报价最低的供应商。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Cs/>
          <w:sz w:val="24"/>
          <w:szCs w:val="24"/>
          <w:highlight w:val="none"/>
        </w:rPr>
        <w:t>30</w:t>
      </w:r>
      <w:r>
        <w:rPr>
          <w:rFonts w:hint="eastAsia" w:ascii="方正仿宋_GB2312" w:hAnsi="方正仿宋_GB2312" w:eastAsia="方正仿宋_GB2312" w:cs="方正仿宋_GB2312"/>
          <w:sz w:val="24"/>
          <w:szCs w:val="24"/>
          <w:highlight w:val="none"/>
        </w:rPr>
        <w:t>.5供应商中标后不得转包合同内容和肢解合同。</w:t>
      </w:r>
    </w:p>
    <w:p>
      <w:pPr>
        <w:keepNext/>
        <w:keepLines/>
        <w:spacing w:line="360" w:lineRule="auto"/>
        <w:jc w:val="left"/>
        <w:outlineLvl w:val="9"/>
        <w:rPr>
          <w:rFonts w:ascii="方正仿宋_GB2312" w:hAnsi="方正仿宋_GB2312" w:eastAsia="方正仿宋_GB2312" w:cs="方正仿宋_GB2312"/>
          <w:sz w:val="24"/>
          <w:szCs w:val="24"/>
          <w:highlight w:val="none"/>
        </w:rPr>
      </w:pPr>
      <w:bookmarkStart w:id="843" w:name="_Toc42781880"/>
      <w:bookmarkStart w:id="844" w:name="_Toc43103084"/>
      <w:bookmarkStart w:id="845" w:name="_Toc42941329"/>
      <w:bookmarkStart w:id="846" w:name="_Toc41389830"/>
      <w:bookmarkStart w:id="847" w:name="_Toc42782915"/>
      <w:bookmarkStart w:id="848" w:name="_Toc42941235"/>
      <w:bookmarkStart w:id="849" w:name="_Toc42782829"/>
      <w:bookmarkStart w:id="850" w:name="_Toc43008914"/>
      <w:bookmarkStart w:id="851" w:name="_Toc514058490"/>
      <w:bookmarkStart w:id="852" w:name="_Toc42965699"/>
      <w:bookmarkStart w:id="853" w:name="_Toc42876230"/>
      <w:bookmarkStart w:id="854" w:name="_Toc43110990"/>
      <w:bookmarkStart w:id="855" w:name="_Toc42796943"/>
      <w:bookmarkStart w:id="856" w:name="_Toc42782617"/>
      <w:bookmarkStart w:id="857" w:name="_Toc43103167"/>
      <w:bookmarkStart w:id="858" w:name="_Toc42876145"/>
      <w:r>
        <w:rPr>
          <w:rFonts w:hint="eastAsia" w:ascii="方正仿宋_GB2312" w:hAnsi="方正仿宋_GB2312" w:eastAsia="方正仿宋_GB2312" w:cs="方正仿宋_GB2312"/>
          <w:sz w:val="24"/>
          <w:szCs w:val="24"/>
          <w:highlight w:val="none"/>
        </w:rPr>
        <w:t>31中标通知书</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31.1集中采购机构在中标供应商确定后2个工作日内，在“</w:t>
      </w:r>
      <w:r>
        <w:rPr>
          <w:rFonts w:hint="eastAsia" w:ascii="方正仿宋_GB2312" w:hAnsi="方正仿宋_GB2312" w:eastAsia="方正仿宋_GB2312" w:cs="方正仿宋_GB2312"/>
          <w:bCs/>
          <w:sz w:val="24"/>
          <w:szCs w:val="24"/>
          <w:highlight w:val="none"/>
        </w:rPr>
        <w:t>云南省政府采购网（https://www.yngp.com/）</w:t>
      </w:r>
      <w:r>
        <w:rPr>
          <w:rFonts w:hint="eastAsia" w:ascii="方正仿宋_GB2312" w:hAnsi="方正仿宋_GB2312" w:eastAsia="方正仿宋_GB2312" w:cs="方正仿宋_GB2312"/>
          <w:sz w:val="24"/>
          <w:szCs w:val="24"/>
          <w:highlight w:val="none"/>
        </w:rPr>
        <w:t>”公告中标结果，中标公告期限为1个工作日。</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31.2</w:t>
      </w:r>
      <w:r>
        <w:rPr>
          <w:rFonts w:hint="eastAsia" w:ascii="方正仿宋_GB2312" w:hAnsi="方正仿宋_GB2312" w:eastAsia="方正仿宋_GB2312" w:cs="方正仿宋_GB2312"/>
          <w:color w:val="auto"/>
          <w:sz w:val="24"/>
          <w:szCs w:val="24"/>
          <w:highlight w:val="none"/>
          <w:lang w:val="en-US" w:eastAsia="zh-CN"/>
        </w:rPr>
        <w:t>中标公告期届满</w:t>
      </w:r>
      <w:r>
        <w:rPr>
          <w:rFonts w:hint="eastAsia" w:ascii="方正仿宋_GB2312" w:hAnsi="方正仿宋_GB2312" w:eastAsia="方正仿宋_GB2312" w:cs="方正仿宋_GB2312"/>
          <w:sz w:val="24"/>
          <w:szCs w:val="24"/>
          <w:highlight w:val="none"/>
        </w:rPr>
        <w:t>后中标供应商到</w:t>
      </w:r>
      <w:r>
        <w:rPr>
          <w:rFonts w:hint="eastAsia" w:ascii="方正仿宋_GB2312" w:hAnsi="方正仿宋_GB2312" w:eastAsia="方正仿宋_GB2312" w:cs="方正仿宋_GB2312"/>
          <w:sz w:val="24"/>
          <w:szCs w:val="24"/>
          <w:highlight w:val="none"/>
          <w:u w:val="single"/>
          <w:lang w:eastAsia="zh-CN"/>
        </w:rPr>
        <w:t>昆明市呈贡区第四中学</w:t>
      </w:r>
      <w:r>
        <w:rPr>
          <w:rFonts w:hint="eastAsia" w:ascii="方正仿宋_GB2312" w:hAnsi="方正仿宋_GB2312" w:eastAsia="方正仿宋_GB2312" w:cs="方正仿宋_GB2312"/>
          <w:sz w:val="24"/>
          <w:szCs w:val="24"/>
          <w:highlight w:val="none"/>
          <w:u w:val="single"/>
        </w:rPr>
        <w:t>（</w:t>
      </w:r>
      <w:r>
        <w:rPr>
          <w:rFonts w:hint="eastAsia" w:ascii="方正仿宋_GB2312" w:hAnsi="方正仿宋_GB2312" w:eastAsia="方正仿宋_GB2312" w:cs="方正仿宋_GB2312"/>
          <w:sz w:val="24"/>
          <w:szCs w:val="24"/>
          <w:highlight w:val="none"/>
          <w:u w:val="single"/>
          <w:lang w:eastAsia="zh-CN"/>
        </w:rPr>
        <w:t>昆明市呈贡区人民政府办公室（昆明市呈贡区机关事务管理中心）</w:t>
      </w:r>
      <w:r>
        <w:rPr>
          <w:rFonts w:hint="eastAsia" w:ascii="方正仿宋_GB2312" w:hAnsi="方正仿宋_GB2312" w:eastAsia="方正仿宋_GB2312" w:cs="方正仿宋_GB2312"/>
          <w:sz w:val="24"/>
          <w:szCs w:val="24"/>
          <w:highlight w:val="none"/>
          <w:u w:val="single"/>
        </w:rPr>
        <w:t>）</w:t>
      </w:r>
      <w:r>
        <w:rPr>
          <w:rFonts w:hint="eastAsia" w:ascii="方正仿宋_GB2312" w:hAnsi="方正仿宋_GB2312" w:eastAsia="方正仿宋_GB2312" w:cs="方正仿宋_GB2312"/>
          <w:sz w:val="24"/>
          <w:szCs w:val="24"/>
          <w:highlight w:val="none"/>
        </w:rPr>
        <w:t>领取中标通知书。领取中标通知书时须携带法定代表人或负责人授权委托书。</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31.3中标通知书将是合同的一个组成部分，对采购人和中标供应商具有同等法律效力。</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31.4中标通知书发出后，采购人代理不得违法改变中标结果，中标供应商无正当理由不得放弃中标。</w:t>
      </w:r>
    </w:p>
    <w:p>
      <w:pPr>
        <w:keepNext/>
        <w:keepLines/>
        <w:spacing w:line="360" w:lineRule="auto"/>
        <w:jc w:val="left"/>
        <w:outlineLvl w:val="9"/>
        <w:rPr>
          <w:rFonts w:ascii="方正仿宋_GB2312" w:hAnsi="方正仿宋_GB2312" w:eastAsia="方正仿宋_GB2312" w:cs="方正仿宋_GB2312"/>
          <w:sz w:val="24"/>
          <w:szCs w:val="24"/>
          <w:highlight w:val="none"/>
        </w:rPr>
      </w:pPr>
      <w:bookmarkStart w:id="859" w:name="_Toc42941331"/>
      <w:bookmarkStart w:id="860" w:name="_Toc42965701"/>
      <w:bookmarkStart w:id="861" w:name="_Toc43103169"/>
      <w:bookmarkStart w:id="862" w:name="_Toc43008916"/>
      <w:bookmarkStart w:id="863" w:name="_Toc42782619"/>
      <w:bookmarkStart w:id="864" w:name="_Toc43110992"/>
      <w:bookmarkStart w:id="865" w:name="_Toc42782917"/>
      <w:bookmarkStart w:id="866" w:name="_Toc42941237"/>
      <w:bookmarkStart w:id="867" w:name="_Toc42781882"/>
      <w:bookmarkStart w:id="868" w:name="_Toc42796945"/>
      <w:bookmarkStart w:id="869" w:name="_Toc43103086"/>
      <w:bookmarkStart w:id="870" w:name="_Toc42782831"/>
      <w:bookmarkStart w:id="871" w:name="_Toc514058491"/>
      <w:bookmarkStart w:id="872" w:name="_Toc70905509"/>
      <w:bookmarkStart w:id="873" w:name="_Toc42876147"/>
      <w:bookmarkStart w:id="874" w:name="_Toc42876232"/>
      <w:bookmarkStart w:id="875" w:name="_Toc41389832"/>
      <w:r>
        <w:rPr>
          <w:rFonts w:hint="eastAsia" w:ascii="方正仿宋_GB2312" w:hAnsi="方正仿宋_GB2312" w:eastAsia="方正仿宋_GB2312" w:cs="方正仿宋_GB2312"/>
          <w:sz w:val="24"/>
          <w:szCs w:val="24"/>
          <w:highlight w:val="none"/>
        </w:rPr>
        <w:t>32签订合同</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32.1采购人应当自中标通知书发出之日起30日内，按照招标文件与中标供应商签订书面合同。所签订的合同不得对招标文件确定的事项和中标供应商投标文件作实质性修改。招标文件、中标供应商的投标文件及澄清文件和中标通知书等，均为签订合同的依据。</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32.2政府采购合同应当包括采购人与中标供应商的名称和住所、标的、数量、质量、价款或者报酬、履行期限及地点和方式、验收要求、违约责任、解决争议的方法等内容。</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32.3采购人与中标供应商应当根据合同的约定依法履行合同义务。政府采购合同的履行、违约责任和解决争议的方法等适用《中华人民共和国民法典》。</w:t>
      </w:r>
    </w:p>
    <w:p>
      <w:pPr>
        <w:keepNext/>
        <w:keepLines/>
        <w:spacing w:line="360" w:lineRule="auto"/>
        <w:jc w:val="left"/>
        <w:outlineLvl w:val="9"/>
        <w:rPr>
          <w:rFonts w:ascii="方正仿宋_GB2312" w:hAnsi="方正仿宋_GB2312" w:eastAsia="方正仿宋_GB2312" w:cs="方正仿宋_GB2312"/>
          <w:sz w:val="24"/>
          <w:szCs w:val="24"/>
          <w:highlight w:val="none"/>
        </w:rPr>
      </w:pPr>
      <w:bookmarkStart w:id="876" w:name="_Toc514058492"/>
      <w:r>
        <w:rPr>
          <w:rFonts w:hint="eastAsia" w:ascii="方正仿宋_GB2312" w:hAnsi="方正仿宋_GB2312" w:eastAsia="方正仿宋_GB2312" w:cs="方正仿宋_GB2312"/>
          <w:sz w:val="24"/>
          <w:szCs w:val="24"/>
          <w:highlight w:val="none"/>
        </w:rPr>
        <w:t>33验收</w:t>
      </w:r>
      <w:bookmarkEnd w:id="876"/>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采购人应当及时对采购项目进行验收。采购人可以邀请参加本项目的其他供应商或者第三方机构参与验收。参与验收的供应商或者第三方机构的意见作为验收书的参考资料一并存档。</w:t>
      </w:r>
    </w:p>
    <w:p>
      <w:pPr>
        <w:keepNext/>
        <w:keepLines/>
        <w:spacing w:line="360" w:lineRule="auto"/>
        <w:jc w:val="left"/>
        <w:outlineLvl w:val="9"/>
        <w:rPr>
          <w:rFonts w:ascii="方正仿宋_GB2312" w:hAnsi="方正仿宋_GB2312" w:eastAsia="方正仿宋_GB2312" w:cs="方正仿宋_GB2312"/>
          <w:sz w:val="24"/>
          <w:szCs w:val="24"/>
          <w:highlight w:val="none"/>
        </w:rPr>
      </w:pPr>
      <w:bookmarkStart w:id="877" w:name="_Toc43008918"/>
      <w:bookmarkStart w:id="878" w:name="_Toc43103088"/>
      <w:bookmarkStart w:id="879" w:name="_Toc42965703"/>
      <w:bookmarkStart w:id="880" w:name="_Toc42941239"/>
      <w:bookmarkStart w:id="881" w:name="_Toc43103171"/>
      <w:bookmarkStart w:id="882" w:name="_Toc43110994"/>
      <w:bookmarkStart w:id="883" w:name="_Toc42941333"/>
      <w:bookmarkStart w:id="884" w:name="_Toc514058493"/>
      <w:r>
        <w:rPr>
          <w:rFonts w:hint="eastAsia" w:ascii="方正仿宋_GB2312" w:hAnsi="方正仿宋_GB2312" w:eastAsia="方正仿宋_GB2312" w:cs="方正仿宋_GB2312"/>
          <w:sz w:val="24"/>
          <w:szCs w:val="24"/>
          <w:highlight w:val="none"/>
        </w:rPr>
        <w:t>3</w:t>
      </w:r>
      <w:bookmarkEnd w:id="877"/>
      <w:bookmarkEnd w:id="878"/>
      <w:bookmarkEnd w:id="879"/>
      <w:bookmarkEnd w:id="880"/>
      <w:bookmarkEnd w:id="881"/>
      <w:bookmarkEnd w:id="882"/>
      <w:bookmarkEnd w:id="883"/>
      <w:r>
        <w:rPr>
          <w:rFonts w:hint="eastAsia" w:ascii="方正仿宋_GB2312" w:hAnsi="方正仿宋_GB2312" w:eastAsia="方正仿宋_GB2312" w:cs="方正仿宋_GB2312"/>
          <w:sz w:val="24"/>
          <w:szCs w:val="24"/>
          <w:highlight w:val="none"/>
        </w:rPr>
        <w:t>4与政府采购活动相关的费用</w:t>
      </w:r>
      <w:bookmarkEnd w:id="884"/>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34.1集中采购机构不收取任何与政府采购活动相关的费用，包括招标文件工本费及中标服务费。</w:t>
      </w:r>
    </w:p>
    <w:p>
      <w:pPr>
        <w:keepNext/>
        <w:keepLines/>
        <w:spacing w:line="360" w:lineRule="auto"/>
        <w:jc w:val="left"/>
        <w:outlineLvl w:val="9"/>
        <w:rPr>
          <w:rFonts w:ascii="方正仿宋_GB2312" w:hAnsi="方正仿宋_GB2312" w:eastAsia="方正仿宋_GB2312" w:cs="方正仿宋_GB2312"/>
          <w:sz w:val="24"/>
          <w:szCs w:val="24"/>
          <w:highlight w:val="none"/>
        </w:rPr>
      </w:pPr>
      <w:bookmarkStart w:id="885" w:name="_Toc514058494"/>
      <w:r>
        <w:rPr>
          <w:rFonts w:hint="eastAsia" w:ascii="方正仿宋_GB2312" w:hAnsi="方正仿宋_GB2312" w:eastAsia="方正仿宋_GB2312" w:cs="方正仿宋_GB2312"/>
          <w:sz w:val="24"/>
          <w:szCs w:val="24"/>
          <w:highlight w:val="none"/>
        </w:rPr>
        <w:t>35法律责任</w:t>
      </w:r>
      <w:bookmarkEnd w:id="885"/>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35.1中标供应商在</w:t>
      </w:r>
      <w:r>
        <w:rPr>
          <w:rFonts w:hint="eastAsia" w:ascii="方正仿宋_GB2312" w:hAnsi="方正仿宋_GB2312" w:eastAsia="方正仿宋_GB2312" w:cs="方正仿宋_GB2312"/>
          <w:sz w:val="24"/>
          <w:szCs w:val="24"/>
          <w:highlight w:val="none"/>
          <w:lang w:val="en-US" w:eastAsia="zh-CN"/>
        </w:rPr>
        <w:t>发出</w:t>
      </w:r>
      <w:r>
        <w:rPr>
          <w:rFonts w:hint="eastAsia" w:ascii="方正仿宋_GB2312" w:hAnsi="方正仿宋_GB2312" w:eastAsia="方正仿宋_GB2312" w:cs="方正仿宋_GB2312"/>
          <w:sz w:val="24"/>
          <w:szCs w:val="24"/>
          <w:highlight w:val="none"/>
        </w:rPr>
        <w:t>中标通知书</w:t>
      </w:r>
      <w:r>
        <w:rPr>
          <w:rFonts w:hint="eastAsia" w:ascii="方正仿宋_GB2312" w:hAnsi="方正仿宋_GB2312" w:eastAsia="方正仿宋_GB2312" w:cs="方正仿宋_GB2312"/>
          <w:sz w:val="24"/>
          <w:szCs w:val="24"/>
          <w:highlight w:val="none"/>
          <w:lang w:val="en-US" w:eastAsia="zh-CN"/>
        </w:rPr>
        <w:t>之日起</w:t>
      </w:r>
      <w:r>
        <w:rPr>
          <w:rFonts w:hint="eastAsia" w:ascii="方正仿宋_GB2312" w:hAnsi="方正仿宋_GB2312" w:eastAsia="方正仿宋_GB2312" w:cs="方正仿宋_GB2312"/>
          <w:sz w:val="24"/>
          <w:szCs w:val="24"/>
          <w:highlight w:val="none"/>
        </w:rPr>
        <w:t>后三十（30）天内，在采购人的配合下签订合同，除不可抗力的因素外，没有正当理由不与采购单位签订合同的，将视为自动放弃，并按照相关法律法规进行相应的处罚。</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35.2 政府采购当事人有违反相关规定的，按照《中华人民共和国政府采购法》《中华人民共和国政府采购法实施条例》《政府采购货物和服务招投标管理办法[财政部令87号]》的规定追究法律责任。</w:t>
      </w:r>
    </w:p>
    <w:p>
      <w:pPr>
        <w:keepNext/>
        <w:keepLines/>
        <w:spacing w:line="360" w:lineRule="auto"/>
        <w:jc w:val="left"/>
        <w:outlineLvl w:val="9"/>
        <w:rPr>
          <w:rFonts w:ascii="方正仿宋_GB2312" w:hAnsi="方正仿宋_GB2312" w:eastAsia="方正仿宋_GB2312" w:cs="方正仿宋_GB2312"/>
          <w:sz w:val="24"/>
          <w:szCs w:val="24"/>
          <w:highlight w:val="none"/>
        </w:rPr>
      </w:pPr>
      <w:bookmarkStart w:id="886" w:name="_Toc514058495"/>
      <w:r>
        <w:rPr>
          <w:rFonts w:hint="eastAsia" w:ascii="方正仿宋_GB2312" w:hAnsi="方正仿宋_GB2312" w:eastAsia="方正仿宋_GB2312" w:cs="方正仿宋_GB2312"/>
          <w:sz w:val="24"/>
          <w:szCs w:val="24"/>
          <w:highlight w:val="none"/>
        </w:rPr>
        <w:t>36招标文件的解释权</w:t>
      </w:r>
      <w:bookmarkEnd w:id="886"/>
    </w:p>
    <w:p>
      <w:pPr>
        <w:spacing w:line="360" w:lineRule="auto"/>
        <w:outlineLvl w:val="9"/>
        <w:rPr>
          <w:rFonts w:ascii="方正仿宋_GB2312" w:hAnsi="方正仿宋_GB2312" w:eastAsia="方正仿宋_GB2312" w:cs="方正仿宋_GB2312"/>
          <w:color w:val="C00000"/>
          <w:sz w:val="24"/>
          <w:szCs w:val="24"/>
          <w:highlight w:val="none"/>
        </w:rPr>
      </w:pPr>
      <w:r>
        <w:rPr>
          <w:rFonts w:hint="eastAsia" w:ascii="方正仿宋_GB2312" w:hAnsi="方正仿宋_GB2312" w:eastAsia="方正仿宋_GB2312" w:cs="方正仿宋_GB2312"/>
          <w:sz w:val="24"/>
          <w:szCs w:val="24"/>
          <w:highlight w:val="none"/>
        </w:rPr>
        <w:t>36.1本招标文件的解释权归</w:t>
      </w:r>
      <w:r>
        <w:rPr>
          <w:rFonts w:hint="eastAsia" w:ascii="方正仿宋_GB2312" w:hAnsi="方正仿宋_GB2312" w:eastAsia="方正仿宋_GB2312" w:cs="方正仿宋_GB2312"/>
          <w:sz w:val="24"/>
          <w:szCs w:val="24"/>
          <w:highlight w:val="none"/>
          <w:u w:val="single"/>
          <w:lang w:eastAsia="zh-CN"/>
        </w:rPr>
        <w:t>昆明市呈贡区第四中学</w:t>
      </w:r>
      <w:r>
        <w:rPr>
          <w:rFonts w:hint="eastAsia" w:ascii="方正仿宋_GB2312" w:hAnsi="方正仿宋_GB2312" w:eastAsia="方正仿宋_GB2312" w:cs="方正仿宋_GB2312"/>
          <w:sz w:val="24"/>
          <w:szCs w:val="24"/>
          <w:highlight w:val="none"/>
          <w:u w:val="single"/>
        </w:rPr>
        <w:t>（</w:t>
      </w:r>
      <w:r>
        <w:rPr>
          <w:rFonts w:hint="eastAsia" w:ascii="方正仿宋_GB2312" w:hAnsi="方正仿宋_GB2312" w:eastAsia="方正仿宋_GB2312" w:cs="方正仿宋_GB2312"/>
          <w:sz w:val="24"/>
          <w:szCs w:val="24"/>
          <w:highlight w:val="none"/>
          <w:u w:val="single"/>
          <w:lang w:eastAsia="zh-CN"/>
        </w:rPr>
        <w:t>昆明市呈贡区人民政府办公室（昆明市呈贡区机关事务管理中心）</w:t>
      </w:r>
      <w:r>
        <w:rPr>
          <w:rFonts w:hint="eastAsia" w:ascii="方正仿宋_GB2312" w:hAnsi="方正仿宋_GB2312" w:eastAsia="方正仿宋_GB2312" w:cs="方正仿宋_GB2312"/>
          <w:sz w:val="24"/>
          <w:szCs w:val="24"/>
          <w:highlight w:val="none"/>
          <w:u w:val="single"/>
        </w:rPr>
        <w:t>）</w:t>
      </w:r>
      <w:r>
        <w:rPr>
          <w:rFonts w:hint="eastAsia" w:ascii="方正仿宋_GB2312" w:hAnsi="方正仿宋_GB2312" w:eastAsia="方正仿宋_GB2312" w:cs="方正仿宋_GB2312"/>
          <w:sz w:val="24"/>
          <w:szCs w:val="24"/>
          <w:highlight w:val="none"/>
        </w:rPr>
        <w:t>、采购人所有。</w:t>
      </w:r>
    </w:p>
    <w:p>
      <w:pPr>
        <w:spacing w:line="480" w:lineRule="auto"/>
        <w:jc w:val="center"/>
        <w:outlineLvl w:val="0"/>
        <w:rPr>
          <w:rFonts w:ascii="方正小标宋简体" w:hAnsi="方正小标宋简体" w:eastAsia="方正小标宋简体" w:cs="方正小标宋简体"/>
          <w:sz w:val="44"/>
          <w:szCs w:val="44"/>
          <w:highlight w:val="none"/>
        </w:rPr>
      </w:pPr>
      <w:bookmarkStart w:id="887" w:name="_Toc12721"/>
      <w:bookmarkStart w:id="888" w:name="_Toc6351"/>
      <w:bookmarkStart w:id="889" w:name="_Toc26230"/>
      <w:bookmarkStart w:id="890" w:name="_Toc24347"/>
      <w:bookmarkStart w:id="891" w:name="_Toc22607"/>
      <w:r>
        <w:rPr>
          <w:rFonts w:hint="eastAsia" w:ascii="方正小标宋简体" w:hAnsi="方正小标宋简体" w:eastAsia="方正小标宋简体" w:cs="方正小标宋简体"/>
          <w:sz w:val="44"/>
          <w:szCs w:val="44"/>
          <w:highlight w:val="none"/>
        </w:rPr>
        <w:br w:type="page"/>
      </w:r>
      <w:bookmarkStart w:id="892" w:name="_Toc30164"/>
      <w:bookmarkStart w:id="893" w:name="_Toc8002"/>
      <w:bookmarkStart w:id="894" w:name="_Toc14006"/>
      <w:bookmarkStart w:id="895" w:name="_Toc4686"/>
      <w:bookmarkStart w:id="896" w:name="_Toc8516"/>
      <w:bookmarkStart w:id="897" w:name="_Toc20601"/>
      <w:r>
        <w:rPr>
          <w:rFonts w:hint="eastAsia" w:ascii="方正小标宋简体" w:hAnsi="方正小标宋简体" w:eastAsia="方正小标宋简体" w:cs="方正小标宋简体"/>
          <w:b/>
          <w:bCs/>
          <w:sz w:val="44"/>
          <w:szCs w:val="44"/>
          <w:highlight w:val="none"/>
        </w:rPr>
        <w:t>第三章 评标办法（综合评分法）</w:t>
      </w:r>
      <w:bookmarkEnd w:id="249"/>
      <w:bookmarkEnd w:id="887"/>
      <w:bookmarkEnd w:id="888"/>
      <w:bookmarkEnd w:id="889"/>
      <w:bookmarkEnd w:id="890"/>
      <w:bookmarkEnd w:id="891"/>
      <w:bookmarkEnd w:id="892"/>
      <w:bookmarkEnd w:id="893"/>
      <w:bookmarkEnd w:id="894"/>
      <w:bookmarkEnd w:id="895"/>
      <w:bookmarkEnd w:id="896"/>
      <w:bookmarkEnd w:id="897"/>
      <w:bookmarkStart w:id="898" w:name="_Toc13911"/>
      <w:bookmarkStart w:id="899" w:name="_Toc7309"/>
      <w:bookmarkStart w:id="900" w:name="_Toc21436686"/>
    </w:p>
    <w:p>
      <w:pPr>
        <w:jc w:val="center"/>
        <w:outlineLvl w:val="9"/>
        <w:rPr>
          <w:rFonts w:ascii="方正仿宋_GB2312" w:hAnsi="方正仿宋_GB2312" w:eastAsia="方正仿宋_GB2312" w:cs="方正仿宋_GB2312"/>
          <w:sz w:val="24"/>
          <w:szCs w:val="24"/>
          <w:highlight w:val="none"/>
        </w:rPr>
      </w:pPr>
      <w:bookmarkStart w:id="901" w:name="_Toc2075"/>
      <w:bookmarkStart w:id="902" w:name="_Toc7220"/>
      <w:bookmarkStart w:id="903" w:name="_Toc24719"/>
      <w:bookmarkStart w:id="904" w:name="_Toc31501"/>
      <w:bookmarkStart w:id="905" w:name="_Toc21484"/>
      <w:bookmarkStart w:id="906" w:name="_Toc12762"/>
      <w:bookmarkStart w:id="907" w:name="_Toc5659"/>
      <w:bookmarkStart w:id="908" w:name="_Toc1013"/>
      <w:bookmarkStart w:id="909" w:name="_Toc2745"/>
      <w:bookmarkStart w:id="910" w:name="_Toc6538"/>
      <w:r>
        <w:rPr>
          <w:rFonts w:hint="eastAsia" w:ascii="方正仿宋_GB2312" w:hAnsi="方正仿宋_GB2312" w:eastAsia="方正仿宋_GB2312" w:cs="方正仿宋_GB2312"/>
          <w:b/>
          <w:sz w:val="24"/>
          <w:szCs w:val="24"/>
          <w:highlight w:val="none"/>
        </w:rPr>
        <w:t>评标办法前附表</w:t>
      </w:r>
      <w:bookmarkEnd w:id="901"/>
      <w:bookmarkEnd w:id="902"/>
      <w:bookmarkEnd w:id="903"/>
      <w:bookmarkEnd w:id="904"/>
      <w:bookmarkEnd w:id="905"/>
      <w:bookmarkEnd w:id="906"/>
      <w:bookmarkEnd w:id="907"/>
      <w:bookmarkEnd w:id="908"/>
      <w:bookmarkEnd w:id="909"/>
      <w:bookmarkEnd w:id="910"/>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790"/>
        <w:gridCol w:w="1407"/>
        <w:gridCol w:w="5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606" w:type="dxa"/>
            <w:gridSpan w:val="2"/>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条款号</w:t>
            </w:r>
          </w:p>
        </w:tc>
        <w:tc>
          <w:tcPr>
            <w:tcW w:w="1407" w:type="dxa"/>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评审内容</w:t>
            </w:r>
          </w:p>
        </w:tc>
        <w:tc>
          <w:tcPr>
            <w:tcW w:w="5509" w:type="dxa"/>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restart"/>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2.2.1</w:t>
            </w:r>
          </w:p>
        </w:tc>
        <w:tc>
          <w:tcPr>
            <w:tcW w:w="790" w:type="dxa"/>
            <w:vMerge w:val="restart"/>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87号令资格审查标准</w:t>
            </w:r>
          </w:p>
        </w:tc>
        <w:tc>
          <w:tcPr>
            <w:tcW w:w="1407" w:type="dxa"/>
            <w:vMerge w:val="restart"/>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供应商资格要求</w:t>
            </w:r>
          </w:p>
        </w:tc>
        <w:tc>
          <w:tcPr>
            <w:tcW w:w="5509" w:type="dxa"/>
            <w:vAlign w:val="center"/>
          </w:tcPr>
          <w:p>
            <w:pPr>
              <w:spacing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在中华人民共和国境内依法成立，具有独立承担民事责任的能力，提供法人或者非法人组织的营业执照或其他法定凭证等证明文件；（审查彩色扫描件）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1407"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5509"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具有良好健全的财务会计制度，提供经有资质的第三方审计机构出具的近</w:t>
            </w:r>
            <w:r>
              <w:rPr>
                <w:rFonts w:hint="eastAsia" w:ascii="方正仿宋_GB2312" w:hAnsi="方正仿宋_GB2312" w:eastAsia="方正仿宋_GB2312" w:cs="方正仿宋_GB2312"/>
                <w:sz w:val="24"/>
                <w:szCs w:val="24"/>
                <w:highlight w:val="none"/>
                <w:lang w:val="en-US" w:eastAsia="zh-CN"/>
              </w:rPr>
              <w:t>一</w:t>
            </w:r>
            <w:r>
              <w:rPr>
                <w:rFonts w:hint="eastAsia" w:ascii="方正仿宋_GB2312" w:hAnsi="方正仿宋_GB2312" w:eastAsia="方正仿宋_GB2312" w:cs="方正仿宋_GB2312"/>
                <w:sz w:val="24"/>
                <w:szCs w:val="24"/>
                <w:highlight w:val="none"/>
              </w:rPr>
              <w:t>年（202</w:t>
            </w:r>
            <w:r>
              <w:rPr>
                <w:rFonts w:hint="eastAsia" w:ascii="方正仿宋_GB2312" w:hAnsi="方正仿宋_GB2312" w:eastAsia="方正仿宋_GB2312" w:cs="方正仿宋_GB2312"/>
                <w:sz w:val="24"/>
                <w:szCs w:val="24"/>
                <w:highlight w:val="none"/>
                <w:lang w:val="en-US" w:eastAsia="zh-CN"/>
              </w:rPr>
              <w:t>3</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lang w:val="en-US" w:eastAsia="zh-CN"/>
              </w:rPr>
              <w:t>或</w:t>
            </w:r>
            <w:r>
              <w:rPr>
                <w:rFonts w:hint="eastAsia" w:ascii="方正仿宋_GB2312" w:hAnsi="方正仿宋_GB2312" w:eastAsia="方正仿宋_GB2312" w:cs="方正仿宋_GB2312"/>
                <w:sz w:val="24"/>
                <w:szCs w:val="24"/>
                <w:highlight w:val="none"/>
              </w:rPr>
              <w:t>202</w:t>
            </w:r>
            <w:r>
              <w:rPr>
                <w:rFonts w:hint="eastAsia" w:ascii="方正仿宋_GB2312" w:hAnsi="方正仿宋_GB2312" w:eastAsia="方正仿宋_GB2312" w:cs="方正仿宋_GB2312"/>
                <w:sz w:val="24"/>
                <w:szCs w:val="24"/>
                <w:highlight w:val="none"/>
                <w:lang w:val="en-US" w:eastAsia="zh-CN"/>
              </w:rPr>
              <w:t>4</w:t>
            </w:r>
            <w:r>
              <w:rPr>
                <w:rFonts w:hint="eastAsia" w:ascii="方正仿宋_GB2312" w:hAnsi="方正仿宋_GB2312" w:eastAsia="方正仿宋_GB2312" w:cs="方正仿宋_GB2312"/>
                <w:sz w:val="24"/>
                <w:szCs w:val="24"/>
                <w:highlight w:val="none"/>
              </w:rPr>
              <w:t>年）的年度财务报表及审计报告,若为新成立不满一年公司，提供银行开具的资信证明文件或资金证明文件；（审查彩色扫描件）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1407"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5509"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具有良好的商业信誉，在政府采购经营活动中无骗取中标、严重违约及安全、质量问题等不良记录；提供供应商及法定代表人参加本次政府采购活动前3年内在经营活动中没有重大违法记录的书面声明；（审查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1407"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5509"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具有履行合同所必需的设备和专业技术能力，提供承诺书；（审查彩色扫描件）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1407"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5509"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有依法缴纳税收和社会保障资金的良好记录，提供相关证明材料（202</w:t>
            </w:r>
            <w:r>
              <w:rPr>
                <w:rFonts w:hint="eastAsia" w:ascii="方正仿宋_GB2312" w:hAnsi="方正仿宋_GB2312" w:eastAsia="方正仿宋_GB2312" w:cs="方正仿宋_GB2312"/>
                <w:sz w:val="24"/>
                <w:szCs w:val="24"/>
                <w:highlight w:val="none"/>
                <w:lang w:val="en-US" w:eastAsia="zh-CN"/>
              </w:rPr>
              <w:t>5</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lang w:val="en-US" w:eastAsia="zh-CN"/>
              </w:rPr>
              <w:t>0</w:t>
            </w:r>
            <w:r>
              <w:rPr>
                <w:rFonts w:hint="eastAsia" w:ascii="方正仿宋_GB2312" w:hAnsi="方正仿宋_GB2312" w:eastAsia="方正仿宋_GB2312" w:cs="方正仿宋_GB2312"/>
                <w:sz w:val="24"/>
                <w:szCs w:val="24"/>
                <w:highlight w:val="none"/>
              </w:rPr>
              <w:t>1月至今任意</w:t>
            </w:r>
            <w:r>
              <w:rPr>
                <w:rFonts w:hint="eastAsia" w:ascii="方正仿宋_GB2312" w:hAnsi="方正仿宋_GB2312" w:eastAsia="方正仿宋_GB2312" w:cs="方正仿宋_GB2312"/>
                <w:sz w:val="24"/>
                <w:szCs w:val="24"/>
                <w:highlight w:val="none"/>
                <w:lang w:val="en-US" w:eastAsia="zh-CN"/>
              </w:rPr>
              <w:t>1</w:t>
            </w:r>
            <w:r>
              <w:rPr>
                <w:rFonts w:hint="eastAsia" w:ascii="方正仿宋_GB2312" w:hAnsi="方正仿宋_GB2312" w:eastAsia="方正仿宋_GB2312" w:cs="方正仿宋_GB2312"/>
                <w:sz w:val="24"/>
                <w:szCs w:val="24"/>
                <w:highlight w:val="none"/>
              </w:rPr>
              <w:t>个月缴纳税收证明和社保证明,依法免缴的，应提供依法免缴的相关证明材料；若为新成立的供应商提供成立以来税收和社会保障资金缴纳凭证或相关情况说明，依法不需要缴纳税收和社保的应提供相应的证明材料或合理可信的情况说明；（审查彩色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1407" w:type="dxa"/>
            <w:vMerge w:val="continue"/>
          </w:tcPr>
          <w:p>
            <w:pPr>
              <w:spacing w:line="360" w:lineRule="auto"/>
              <w:outlineLvl w:val="9"/>
              <w:rPr>
                <w:rFonts w:ascii="方正仿宋_GB2312" w:hAnsi="方正仿宋_GB2312" w:eastAsia="方正仿宋_GB2312" w:cs="方正仿宋_GB2312"/>
                <w:sz w:val="24"/>
                <w:szCs w:val="24"/>
                <w:highlight w:val="none"/>
              </w:rPr>
            </w:pPr>
          </w:p>
        </w:tc>
        <w:tc>
          <w:tcPr>
            <w:tcW w:w="5509"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信用状况：</w:t>
            </w:r>
            <w:r>
              <w:rPr>
                <w:rFonts w:hint="eastAsia" w:ascii="方正仿宋_GB2312" w:hAnsi="方正仿宋_GB2312" w:eastAsia="方正仿宋_GB2312" w:cs="方正仿宋_GB2312"/>
                <w:spacing w:val="-8"/>
                <w:sz w:val="24"/>
                <w:szCs w:val="24"/>
                <w:highlight w:val="none"/>
              </w:rPr>
              <w:t>根据《关于在政府采购活动中查询及使用信用记录有关问题的通知》(财库[2016]125号)的规定，对列入失信被执行人、重大税收违法案件当事人名单、政府采购严重违法失信行为记录名单的供应商，拒绝参与本项目政府采购活动。供应商自行查询并截图证明不得为“信用中国”网站（www.creditchina.gov.cn）中列入失信被执行人和重大税收违法案件当事人名单的供应商，不得为中国政府采购网（www.ccgp.gov.cn）政府采购严重违法失信行为记录名单中被财政部门禁止参加政府采购活动的供应商，不得为“国家企业信用信息公示系统”网站 （www.gsxt.gov.cn,）中列入严重违法失信企业名单（处罚决定规定的时间和地域范围内），参与本项目的供应商信用查询截止时点为本项目招标公告发布之日起至递交投标文件截止时间的任意一天，</w:t>
            </w:r>
            <w:r>
              <w:rPr>
                <w:rFonts w:hint="eastAsia" w:ascii="方正仿宋_GB2312" w:hAnsi="方正仿宋_GB2312" w:eastAsia="方正仿宋_GB2312" w:cs="方正仿宋_GB2312"/>
                <w:sz w:val="24"/>
                <w:szCs w:val="24"/>
                <w:highlight w:val="none"/>
              </w:rPr>
              <w:t>信用状况</w:t>
            </w:r>
            <w:r>
              <w:rPr>
                <w:rFonts w:hint="eastAsia" w:ascii="方正仿宋_GB2312" w:hAnsi="方正仿宋_GB2312" w:eastAsia="方正仿宋_GB2312" w:cs="方正仿宋_GB2312"/>
                <w:spacing w:val="-8"/>
                <w:sz w:val="24"/>
                <w:szCs w:val="24"/>
                <w:highlight w:val="none"/>
              </w:rPr>
              <w:t>最终以采购人或采购代理机构查询为准</w:t>
            </w:r>
            <w:r>
              <w:rPr>
                <w:rFonts w:hint="eastAsia" w:ascii="方正仿宋_GB2312" w:hAnsi="方正仿宋_GB2312" w:eastAsia="方正仿宋_GB2312" w:cs="方正仿宋_GB2312"/>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restart"/>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2.1.2</w:t>
            </w:r>
          </w:p>
        </w:tc>
        <w:tc>
          <w:tcPr>
            <w:tcW w:w="790" w:type="dxa"/>
            <w:vMerge w:val="restart"/>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符合性审查</w:t>
            </w:r>
          </w:p>
        </w:tc>
        <w:tc>
          <w:tcPr>
            <w:tcW w:w="1407"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投标文件格式</w:t>
            </w:r>
          </w:p>
        </w:tc>
        <w:tc>
          <w:tcPr>
            <w:tcW w:w="5509"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投标文件按招标文件格式及内容要求签署、盖章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1407"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法定代表人资格证明书</w:t>
            </w:r>
          </w:p>
        </w:tc>
        <w:tc>
          <w:tcPr>
            <w:tcW w:w="5509"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符合招标文件格式及内容；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1407"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法定代表人授权委托书</w:t>
            </w:r>
          </w:p>
        </w:tc>
        <w:tc>
          <w:tcPr>
            <w:tcW w:w="5509"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符合招标文件格式及内容；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1407"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投标报价</w:t>
            </w:r>
          </w:p>
        </w:tc>
        <w:tc>
          <w:tcPr>
            <w:tcW w:w="5509"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完整，只有一个有效报价且未超过招标文件中规定的预算金额或者最高限价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816"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1407"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实质性条件</w:t>
            </w:r>
          </w:p>
        </w:tc>
        <w:tc>
          <w:tcPr>
            <w:tcW w:w="5509"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实质性响应招标文件中所有要求和条款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restart"/>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2.2</w:t>
            </w:r>
          </w:p>
        </w:tc>
        <w:tc>
          <w:tcPr>
            <w:tcW w:w="790" w:type="dxa"/>
            <w:vMerge w:val="restart"/>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详细评审标准</w:t>
            </w:r>
          </w:p>
        </w:tc>
        <w:tc>
          <w:tcPr>
            <w:tcW w:w="1407"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1）评标总得分计算公式</w:t>
            </w:r>
          </w:p>
        </w:tc>
        <w:tc>
          <w:tcPr>
            <w:tcW w:w="5509"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供应商的评标总得分＝F1＋F2</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其中：</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①F1、F2分别为投标报价、技术部分2项评分因素的汇总得分；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1407"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2）评分因素权重</w:t>
            </w:r>
          </w:p>
        </w:tc>
        <w:tc>
          <w:tcPr>
            <w:tcW w:w="5509"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投标报价F1：30分；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技术部分F2：70分；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2.2.1</w:t>
            </w:r>
          </w:p>
        </w:tc>
        <w:tc>
          <w:tcPr>
            <w:tcW w:w="790"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投标报价得分F1评分标准</w:t>
            </w:r>
          </w:p>
        </w:tc>
        <w:tc>
          <w:tcPr>
            <w:tcW w:w="1407"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
                <w:bCs/>
                <w:sz w:val="24"/>
                <w:szCs w:val="24"/>
                <w:highlight w:val="none"/>
              </w:rPr>
              <w:t>投标报价评分（满分30分）</w:t>
            </w:r>
          </w:p>
        </w:tc>
        <w:tc>
          <w:tcPr>
            <w:tcW w:w="5509" w:type="dxa"/>
            <w:vAlign w:val="center"/>
          </w:tcPr>
          <w:p>
            <w:pPr>
              <w:spacing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投标报价得分统一采用低价优先法计算，即满足招标文件报价最低的供应商的价格为基准价，其价格分为满分。其他供应商的价格分统一按照下列公式计算：</w:t>
            </w:r>
          </w:p>
          <w:p>
            <w:pPr>
              <w:spacing w:line="360" w:lineRule="auto"/>
              <w:jc w:val="left"/>
              <w:outlineLvl w:val="9"/>
              <w:rPr>
                <w:rFonts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rPr>
              <w:t>投标报价得分=（基准价/投标报价）×30</w:t>
            </w:r>
          </w:p>
          <w:p>
            <w:pPr>
              <w:spacing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项目评审过程中，不得去掉最后报价中的最高报价和最低报价。</w:t>
            </w:r>
          </w:p>
          <w:p>
            <w:pPr>
              <w:spacing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注：1.在计算</w:t>
            </w:r>
            <w:r>
              <w:rPr>
                <w:rFonts w:hint="eastAsia" w:ascii="方正仿宋_GB2312" w:hAnsi="方正仿宋_GB2312" w:eastAsia="方正仿宋_GB2312" w:cs="方正仿宋_GB2312"/>
                <w:sz w:val="24"/>
                <w:szCs w:val="24"/>
                <w:highlight w:val="none"/>
                <w:lang w:val="en-US" w:eastAsia="zh-CN"/>
              </w:rPr>
              <w:t>投标</w:t>
            </w:r>
            <w:r>
              <w:rPr>
                <w:rFonts w:hint="eastAsia" w:ascii="方正仿宋_GB2312" w:hAnsi="方正仿宋_GB2312" w:eastAsia="方正仿宋_GB2312" w:cs="方正仿宋_GB2312"/>
                <w:sz w:val="24"/>
                <w:szCs w:val="24"/>
                <w:highlight w:val="none"/>
              </w:rPr>
              <w:t>报价得分时，对小型或微型企业</w:t>
            </w:r>
            <w:r>
              <w:rPr>
                <w:rFonts w:hint="eastAsia" w:ascii="方正仿宋_GB2312" w:hAnsi="方正仿宋_GB2312" w:eastAsia="方正仿宋_GB2312" w:cs="方正仿宋_GB2312"/>
                <w:color w:val="auto"/>
                <w:sz w:val="24"/>
                <w:szCs w:val="24"/>
                <w:highlight w:val="none"/>
              </w:rPr>
              <w:t>的价格给予10%的扣除; 须提供《中小企业声明函》及相关证明材料，因所提供</w:t>
            </w:r>
            <w:r>
              <w:rPr>
                <w:rFonts w:hint="eastAsia" w:ascii="方正仿宋_GB2312" w:hAnsi="方正仿宋_GB2312" w:eastAsia="方正仿宋_GB2312" w:cs="方正仿宋_GB2312"/>
                <w:sz w:val="24"/>
                <w:szCs w:val="24"/>
                <w:highlight w:val="none"/>
              </w:rPr>
              <w:t>材料不全导致评标委员会无法评定时，评标价格不予扣除。</w:t>
            </w:r>
          </w:p>
          <w:p>
            <w:pPr>
              <w:spacing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2.监狱企业、残疾人福利性单位均视同小型或微型企业;</w:t>
            </w:r>
          </w:p>
          <w:p>
            <w:pPr>
              <w:spacing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3.监狱企业或残疾人福利性单位属于小型、微型企业的，不重复享受政策，只进行一次价格扣除。</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注：评标委员会认为供应商的报价明显低于其他通过符合性审查供应商的报价，有可能影响供货质量或者不能诚信履约的，应当要求其在评标现场合理的时间内提供书面说明，必要时提交相关证明材料；供应商不能证明其报价合理性的，评标委员会应当将其作为无效投标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restart"/>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2.2.2</w:t>
            </w:r>
          </w:p>
        </w:tc>
        <w:tc>
          <w:tcPr>
            <w:tcW w:w="790" w:type="dxa"/>
            <w:vMerge w:val="restart"/>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技术部分F2评分标准</w:t>
            </w:r>
          </w:p>
        </w:tc>
        <w:tc>
          <w:tcPr>
            <w:tcW w:w="1407"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
                <w:bCs/>
                <w:sz w:val="24"/>
                <w:szCs w:val="24"/>
                <w:highlight w:val="none"/>
              </w:rPr>
              <w:t>货物技术参数（满分</w:t>
            </w:r>
            <w:r>
              <w:rPr>
                <w:rFonts w:hint="eastAsia" w:ascii="方正仿宋_GB2312" w:hAnsi="方正仿宋_GB2312" w:eastAsia="方正仿宋_GB2312" w:cs="方正仿宋_GB2312"/>
                <w:b/>
                <w:bCs/>
                <w:sz w:val="24"/>
                <w:szCs w:val="24"/>
                <w:highlight w:val="none"/>
                <w:lang w:val="en-US" w:eastAsia="zh-CN"/>
              </w:rPr>
              <w:t>34</w:t>
            </w:r>
            <w:r>
              <w:rPr>
                <w:rFonts w:hint="eastAsia" w:ascii="方正仿宋_GB2312" w:hAnsi="方正仿宋_GB2312" w:eastAsia="方正仿宋_GB2312" w:cs="方正仿宋_GB2312"/>
                <w:b/>
                <w:bCs/>
                <w:sz w:val="24"/>
                <w:szCs w:val="24"/>
                <w:highlight w:val="none"/>
              </w:rPr>
              <w:t>分）</w:t>
            </w:r>
          </w:p>
        </w:tc>
        <w:tc>
          <w:tcPr>
            <w:tcW w:w="5509" w:type="dxa"/>
            <w:vAlign w:val="center"/>
          </w:tcPr>
          <w:p>
            <w:pPr>
              <w:spacing w:line="360" w:lineRule="auto"/>
              <w:jc w:val="left"/>
              <w:outlineLvl w:val="9"/>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1、供应商投标文件中所提供产品的技术参数及性能完全满足或优于招标文件第四章采购需求和要求的得满分</w:t>
            </w:r>
            <w:r>
              <w:rPr>
                <w:rFonts w:hint="eastAsia" w:ascii="方正仿宋_GB2312" w:hAnsi="方正仿宋_GB2312" w:eastAsia="方正仿宋_GB2312" w:cs="方正仿宋_GB2312"/>
                <w:sz w:val="24"/>
                <w:szCs w:val="24"/>
                <w:highlight w:val="none"/>
                <w:lang w:val="en-US" w:eastAsia="zh-CN"/>
              </w:rPr>
              <w:t>34</w:t>
            </w:r>
            <w:r>
              <w:rPr>
                <w:rFonts w:hint="eastAsia" w:ascii="方正仿宋_GB2312" w:hAnsi="方正仿宋_GB2312" w:eastAsia="方正仿宋_GB2312" w:cs="方正仿宋_GB2312"/>
                <w:sz w:val="24"/>
                <w:szCs w:val="24"/>
                <w:highlight w:val="none"/>
              </w:rPr>
              <w:t>分。</w:t>
            </w:r>
          </w:p>
          <w:p>
            <w:pPr>
              <w:spacing w:line="360" w:lineRule="auto"/>
              <w:jc w:val="left"/>
              <w:outlineLvl w:val="9"/>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2、</w:t>
            </w:r>
            <w:r>
              <w:rPr>
                <w:rFonts w:hint="eastAsia" w:ascii="方正仿宋_GB2312" w:hAnsi="方正仿宋_GB2312" w:eastAsia="方正仿宋_GB2312" w:cs="方正仿宋_GB2312"/>
                <w:sz w:val="24"/>
                <w:szCs w:val="24"/>
                <w:highlight w:val="none"/>
              </w:rPr>
              <w:t>重要技术参数（满分</w:t>
            </w:r>
            <w:r>
              <w:rPr>
                <w:rFonts w:hint="eastAsia" w:ascii="方正仿宋_GB2312" w:hAnsi="方正仿宋_GB2312" w:eastAsia="方正仿宋_GB2312" w:cs="方正仿宋_GB2312"/>
                <w:sz w:val="24"/>
                <w:szCs w:val="24"/>
                <w:highlight w:val="none"/>
                <w:lang w:val="en-US" w:eastAsia="zh-CN"/>
              </w:rPr>
              <w:t>24</w:t>
            </w:r>
            <w:r>
              <w:rPr>
                <w:rFonts w:hint="eastAsia" w:ascii="方正仿宋_GB2312" w:hAnsi="方正仿宋_GB2312" w:eastAsia="方正仿宋_GB2312" w:cs="方正仿宋_GB2312"/>
                <w:sz w:val="24"/>
                <w:szCs w:val="24"/>
                <w:highlight w:val="none"/>
              </w:rPr>
              <w:t>分）</w:t>
            </w:r>
          </w:p>
          <w:p>
            <w:pPr>
              <w:spacing w:line="360" w:lineRule="auto"/>
              <w:jc w:val="left"/>
              <w:outlineLvl w:val="9"/>
              <w:rPr>
                <w:rFonts w:hint="eastAsia" w:ascii="方正仿宋_GB2312" w:hAnsi="方正仿宋_GB2312" w:eastAsia="方正仿宋_GB2312" w:cs="方正仿宋_GB2312"/>
                <w:color w:val="auto"/>
                <w:kern w:val="0"/>
                <w:sz w:val="24"/>
                <w:szCs w:val="24"/>
                <w:highlight w:val="none"/>
              </w:rPr>
            </w:pPr>
            <w:r>
              <w:rPr>
                <w:rFonts w:hint="eastAsia" w:ascii="方正仿宋_GB2312" w:hAnsi="方正仿宋_GB2312" w:eastAsia="方正仿宋_GB2312" w:cs="方正仿宋_GB2312"/>
                <w:color w:val="auto"/>
                <w:kern w:val="0"/>
                <w:sz w:val="24"/>
                <w:szCs w:val="24"/>
                <w:highlight w:val="none"/>
              </w:rPr>
              <w:t>招标文件“第</w:t>
            </w:r>
            <w:r>
              <w:rPr>
                <w:rFonts w:hint="eastAsia" w:ascii="方正仿宋_GB2312" w:hAnsi="方正仿宋_GB2312" w:eastAsia="方正仿宋_GB2312" w:cs="方正仿宋_GB2312"/>
                <w:color w:val="auto"/>
                <w:kern w:val="0"/>
                <w:sz w:val="24"/>
                <w:szCs w:val="24"/>
                <w:highlight w:val="none"/>
                <w:lang w:val="en-US" w:eastAsia="zh-CN"/>
              </w:rPr>
              <w:t>四</w:t>
            </w:r>
            <w:r>
              <w:rPr>
                <w:rFonts w:hint="eastAsia" w:ascii="方正仿宋_GB2312" w:hAnsi="方正仿宋_GB2312" w:eastAsia="方正仿宋_GB2312" w:cs="方正仿宋_GB2312"/>
                <w:color w:val="auto"/>
                <w:kern w:val="0"/>
                <w:sz w:val="24"/>
                <w:szCs w:val="24"/>
                <w:highlight w:val="none"/>
              </w:rPr>
              <w:t>章  采购需求”中标注“</w:t>
            </w:r>
            <w:r>
              <w:rPr>
                <w:rFonts w:hint="eastAsia" w:ascii="方正仿宋_GB2312" w:hAnsi="方正仿宋_GB2312" w:eastAsia="方正仿宋_GB2312" w:cs="方正仿宋_GB2312"/>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rPr>
              <w:t>”号的为重要技术参数（共计</w:t>
            </w:r>
            <w:r>
              <w:rPr>
                <w:rFonts w:hint="eastAsia" w:ascii="方正仿宋_GB2312" w:hAnsi="方正仿宋_GB2312" w:eastAsia="方正仿宋_GB2312" w:cs="方正仿宋_GB2312"/>
                <w:color w:val="auto"/>
                <w:kern w:val="0"/>
                <w:sz w:val="24"/>
                <w:szCs w:val="24"/>
                <w:highlight w:val="none"/>
                <w:u w:val="none"/>
                <w:lang w:val="en-US" w:eastAsia="zh-CN"/>
              </w:rPr>
              <w:t>24</w:t>
            </w:r>
            <w:r>
              <w:rPr>
                <w:rFonts w:hint="eastAsia" w:ascii="方正仿宋_GB2312" w:hAnsi="方正仿宋_GB2312" w:eastAsia="方正仿宋_GB2312" w:cs="方正仿宋_GB2312"/>
                <w:color w:val="auto"/>
                <w:kern w:val="0"/>
                <w:sz w:val="24"/>
                <w:szCs w:val="24"/>
                <w:highlight w:val="none"/>
              </w:rPr>
              <w:t>条），若投标人未对重要技术参数内容作出响应或未按要求提供技术支持资料或响应为负偏离的，每条扣</w:t>
            </w:r>
            <w:r>
              <w:rPr>
                <w:rFonts w:hint="eastAsia" w:ascii="方正仿宋_GB2312" w:hAnsi="方正仿宋_GB2312" w:eastAsia="方正仿宋_GB2312" w:cs="方正仿宋_GB2312"/>
                <w:color w:val="auto"/>
                <w:kern w:val="0"/>
                <w:sz w:val="24"/>
                <w:szCs w:val="24"/>
                <w:highlight w:val="none"/>
                <w:u w:val="none"/>
                <w:lang w:val="en-US" w:eastAsia="zh-CN"/>
              </w:rPr>
              <w:t>1</w:t>
            </w:r>
            <w:r>
              <w:rPr>
                <w:rFonts w:hint="eastAsia" w:ascii="方正仿宋_GB2312" w:hAnsi="方正仿宋_GB2312" w:eastAsia="方正仿宋_GB2312" w:cs="方正仿宋_GB2312"/>
                <w:color w:val="auto"/>
                <w:kern w:val="0"/>
                <w:sz w:val="24"/>
                <w:szCs w:val="24"/>
                <w:highlight w:val="none"/>
              </w:rPr>
              <w:t>分。</w:t>
            </w:r>
          </w:p>
          <w:p>
            <w:pPr>
              <w:spacing w:line="360" w:lineRule="auto"/>
              <w:jc w:val="left"/>
              <w:outlineLvl w:val="9"/>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eastAsia="zh-CN"/>
              </w:rPr>
              <w:t>（</w:t>
            </w:r>
            <w:r>
              <w:rPr>
                <w:rFonts w:hint="eastAsia" w:ascii="方正仿宋_GB2312" w:hAnsi="方正仿宋_GB2312" w:eastAsia="方正仿宋_GB2312" w:cs="方正仿宋_GB2312"/>
                <w:sz w:val="24"/>
                <w:szCs w:val="24"/>
                <w:highlight w:val="none"/>
                <w:lang w:val="en-US" w:eastAsia="zh-CN"/>
              </w:rPr>
              <w:t>注：标注</w:t>
            </w:r>
            <w:r>
              <w:rPr>
                <w:rFonts w:hint="eastAsia" w:ascii="方正仿宋_GB2312" w:hAnsi="方正仿宋_GB2312" w:eastAsia="方正仿宋_GB2312" w:cs="方正仿宋_GB2312"/>
                <w:sz w:val="24"/>
                <w:szCs w:val="24"/>
                <w:highlight w:val="none"/>
                <w:lang w:eastAsia="zh-CN"/>
              </w:rPr>
              <w:t>▲</w:t>
            </w:r>
            <w:r>
              <w:rPr>
                <w:rFonts w:hint="eastAsia" w:ascii="方正仿宋_GB2312" w:hAnsi="方正仿宋_GB2312" w:eastAsia="方正仿宋_GB2312" w:cs="方正仿宋_GB2312"/>
                <w:sz w:val="24"/>
                <w:szCs w:val="24"/>
                <w:highlight w:val="none"/>
                <w:lang w:val="en-US" w:eastAsia="zh-CN"/>
              </w:rPr>
              <w:t>的技术参数为重要技术参数</w:t>
            </w:r>
            <w:r>
              <w:rPr>
                <w:rFonts w:hint="eastAsia" w:ascii="方正仿宋_GB2312" w:hAnsi="方正仿宋_GB2312" w:eastAsia="方正仿宋_GB2312" w:cs="方正仿宋_GB2312"/>
                <w:sz w:val="24"/>
                <w:szCs w:val="24"/>
                <w:highlight w:val="none"/>
                <w:lang w:eastAsia="zh-CN"/>
              </w:rPr>
              <w:t>）</w:t>
            </w:r>
          </w:p>
          <w:p>
            <w:pPr>
              <w:spacing w:line="360" w:lineRule="auto"/>
              <w:jc w:val="left"/>
              <w:outlineLvl w:val="9"/>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lang w:val="en-US" w:eastAsia="zh-CN"/>
              </w:rPr>
              <w:t>3、</w:t>
            </w:r>
            <w:r>
              <w:rPr>
                <w:rFonts w:hint="eastAsia" w:ascii="方正仿宋_GB2312" w:hAnsi="方正仿宋_GB2312" w:eastAsia="方正仿宋_GB2312" w:cs="方正仿宋_GB2312"/>
                <w:sz w:val="24"/>
                <w:szCs w:val="24"/>
                <w:highlight w:val="none"/>
              </w:rPr>
              <w:t>一般技术参数（满分10分）</w:t>
            </w:r>
          </w:p>
          <w:p>
            <w:pPr>
              <w:spacing w:line="360" w:lineRule="auto"/>
              <w:jc w:val="left"/>
              <w:outlineLvl w:val="9"/>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color w:val="auto"/>
                <w:kern w:val="0"/>
                <w:sz w:val="24"/>
                <w:szCs w:val="24"/>
                <w:highlight w:val="none"/>
              </w:rPr>
              <w:t>招标文件“第</w:t>
            </w:r>
            <w:r>
              <w:rPr>
                <w:rFonts w:hint="eastAsia" w:ascii="方正仿宋_GB2312" w:hAnsi="方正仿宋_GB2312" w:eastAsia="方正仿宋_GB2312" w:cs="方正仿宋_GB2312"/>
                <w:color w:val="auto"/>
                <w:kern w:val="0"/>
                <w:sz w:val="24"/>
                <w:szCs w:val="24"/>
                <w:highlight w:val="none"/>
                <w:lang w:val="en-US" w:eastAsia="zh-CN"/>
              </w:rPr>
              <w:t>四</w:t>
            </w:r>
            <w:r>
              <w:rPr>
                <w:rFonts w:hint="eastAsia" w:ascii="方正仿宋_GB2312" w:hAnsi="方正仿宋_GB2312" w:eastAsia="方正仿宋_GB2312" w:cs="方正仿宋_GB2312"/>
                <w:color w:val="auto"/>
                <w:kern w:val="0"/>
                <w:sz w:val="24"/>
                <w:szCs w:val="24"/>
                <w:highlight w:val="none"/>
              </w:rPr>
              <w:t>章  采购需求”中未标注“</w:t>
            </w:r>
            <w:r>
              <w:rPr>
                <w:rFonts w:hint="eastAsia" w:ascii="方正仿宋_GB2312" w:hAnsi="方正仿宋_GB2312" w:eastAsia="方正仿宋_GB2312" w:cs="方正仿宋_GB2312"/>
                <w:color w:val="auto"/>
                <w:sz w:val="24"/>
                <w:szCs w:val="24"/>
                <w:highlight w:val="none"/>
              </w:rPr>
              <w:t>★</w:t>
            </w:r>
            <w:r>
              <w:rPr>
                <w:rFonts w:hint="eastAsia" w:ascii="方正仿宋_GB2312" w:hAnsi="方正仿宋_GB2312" w:eastAsia="方正仿宋_GB2312" w:cs="方正仿宋_GB2312"/>
                <w:color w:val="auto"/>
                <w:kern w:val="0"/>
                <w:sz w:val="24"/>
                <w:szCs w:val="24"/>
                <w:highlight w:val="none"/>
              </w:rPr>
              <w:t>”号的为一般技术参数（共计</w:t>
            </w:r>
            <w:r>
              <w:rPr>
                <w:rFonts w:hint="eastAsia" w:ascii="方正仿宋_GB2312" w:hAnsi="方正仿宋_GB2312" w:eastAsia="方正仿宋_GB2312" w:cs="方正仿宋_GB2312"/>
                <w:color w:val="auto"/>
                <w:kern w:val="0"/>
                <w:sz w:val="24"/>
                <w:szCs w:val="24"/>
                <w:highlight w:val="none"/>
                <w:u w:val="none"/>
                <w:lang w:val="en-US" w:eastAsia="zh-CN"/>
              </w:rPr>
              <w:t>172</w:t>
            </w:r>
            <w:r>
              <w:rPr>
                <w:rFonts w:hint="eastAsia" w:ascii="方正仿宋_GB2312" w:hAnsi="方正仿宋_GB2312" w:eastAsia="方正仿宋_GB2312" w:cs="方正仿宋_GB2312"/>
                <w:color w:val="auto"/>
                <w:kern w:val="0"/>
                <w:sz w:val="24"/>
                <w:szCs w:val="24"/>
                <w:highlight w:val="none"/>
              </w:rPr>
              <w:t>条），若投标人未对一般技术参数内容作出响应或未按要求提供技术支持资料或响应为负偏离的，每条扣</w:t>
            </w:r>
            <w:r>
              <w:rPr>
                <w:rFonts w:hint="eastAsia" w:ascii="方正仿宋_GB2312" w:hAnsi="方正仿宋_GB2312" w:eastAsia="方正仿宋_GB2312" w:cs="方正仿宋_GB2312"/>
                <w:color w:val="auto"/>
                <w:kern w:val="0"/>
                <w:sz w:val="24"/>
                <w:szCs w:val="24"/>
                <w:highlight w:val="none"/>
                <w:u w:val="none"/>
                <w:lang w:val="en-US" w:eastAsia="zh-CN"/>
              </w:rPr>
              <w:t>0.06</w:t>
            </w:r>
            <w:r>
              <w:rPr>
                <w:rFonts w:hint="eastAsia" w:ascii="方正仿宋_GB2312" w:hAnsi="方正仿宋_GB2312" w:eastAsia="方正仿宋_GB2312" w:cs="方正仿宋_GB2312"/>
                <w:color w:val="auto"/>
                <w:kern w:val="0"/>
                <w:sz w:val="24"/>
                <w:szCs w:val="24"/>
                <w:highlight w:val="none"/>
              </w:rPr>
              <w:t>分</w:t>
            </w:r>
            <w:r>
              <w:rPr>
                <w:rFonts w:hint="eastAsia" w:ascii="方正仿宋_GB2312" w:hAnsi="方正仿宋_GB2312" w:eastAsia="方正仿宋_GB2312" w:cs="方正仿宋_GB2312"/>
                <w:color w:val="auto"/>
                <w:kern w:val="0"/>
                <w:sz w:val="24"/>
                <w:szCs w:val="24"/>
                <w:highlight w:val="none"/>
                <w:lang w:eastAsia="zh-CN"/>
              </w:rPr>
              <w:t>（</w:t>
            </w:r>
            <w:r>
              <w:rPr>
                <w:rFonts w:hint="eastAsia" w:ascii="方正仿宋_GB2312" w:hAnsi="方正仿宋_GB2312" w:eastAsia="方正仿宋_GB2312" w:cs="方正仿宋_GB2312"/>
                <w:color w:val="auto"/>
                <w:kern w:val="0"/>
                <w:sz w:val="24"/>
                <w:szCs w:val="24"/>
                <w:highlight w:val="none"/>
                <w:lang w:val="en-US" w:eastAsia="zh-CN"/>
              </w:rPr>
              <w:t>扣完为止）</w:t>
            </w:r>
            <w:r>
              <w:rPr>
                <w:rFonts w:hint="eastAsia" w:ascii="方正仿宋_GB2312" w:hAnsi="方正仿宋_GB2312" w:eastAsia="方正仿宋_GB2312" w:cs="方正仿宋_GB2312"/>
                <w:sz w:val="24"/>
                <w:szCs w:val="24"/>
                <w:highlight w:val="none"/>
                <w:lang w:eastAsia="zh-CN"/>
              </w:rPr>
              <w:t>（</w:t>
            </w:r>
            <w:r>
              <w:rPr>
                <w:rFonts w:hint="eastAsia" w:ascii="方正仿宋_GB2312" w:hAnsi="方正仿宋_GB2312" w:eastAsia="方正仿宋_GB2312" w:cs="方正仿宋_GB2312"/>
                <w:sz w:val="24"/>
                <w:szCs w:val="24"/>
                <w:highlight w:val="none"/>
                <w:lang w:val="en-US" w:eastAsia="zh-CN"/>
              </w:rPr>
              <w:t>注：未标注</w:t>
            </w:r>
            <w:r>
              <w:rPr>
                <w:rFonts w:hint="eastAsia" w:ascii="方正仿宋_GB2312" w:hAnsi="方正仿宋_GB2312" w:eastAsia="方正仿宋_GB2312" w:cs="方正仿宋_GB2312"/>
                <w:sz w:val="24"/>
                <w:szCs w:val="24"/>
                <w:highlight w:val="none"/>
                <w:lang w:eastAsia="zh-CN"/>
              </w:rPr>
              <w:t>▲</w:t>
            </w:r>
            <w:r>
              <w:rPr>
                <w:rFonts w:hint="eastAsia" w:ascii="方正仿宋_GB2312" w:hAnsi="方正仿宋_GB2312" w:eastAsia="方正仿宋_GB2312" w:cs="方正仿宋_GB2312"/>
                <w:sz w:val="24"/>
                <w:szCs w:val="24"/>
                <w:highlight w:val="none"/>
                <w:lang w:val="en-US" w:eastAsia="zh-CN"/>
              </w:rPr>
              <w:t>的技术参数为一般技术参数</w:t>
            </w:r>
            <w:r>
              <w:rPr>
                <w:rFonts w:hint="eastAsia" w:ascii="方正仿宋_GB2312" w:hAnsi="方正仿宋_GB2312" w:eastAsia="方正仿宋_GB2312" w:cs="方正仿宋_GB2312"/>
                <w:sz w:val="24"/>
                <w:szCs w:val="24"/>
                <w:highlight w:val="none"/>
                <w:lang w:eastAsia="zh-CN"/>
              </w:rPr>
              <w:t>）</w:t>
            </w:r>
          </w:p>
          <w:p>
            <w:pPr>
              <w:spacing w:line="360" w:lineRule="auto"/>
              <w:jc w:val="left"/>
              <w:outlineLvl w:val="9"/>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注：①依据技术偏离表进行评审。投标人除如实填写《技术偏离表》外，投标文件中必须提供最新技术支持资料支持技术偏离表应答（包括投标产品技术白皮书或检测报告或印刷宣传彩页等，不接受非生产制造商自行印刷、打印或者手写的技术支持资料，凡不符合上述要求的，视为无效技术支持资料），若投标文件中最新技术支持资料与技术偏离表应答不符或无技术支持资料应答，而投标人又未在投标文件中作出说明和解释的，视为不响应该条技术要求，作扣分处理。</w:t>
            </w:r>
          </w:p>
          <w:p>
            <w:pPr>
              <w:spacing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②以上标</w:t>
            </w:r>
            <w:r>
              <w:rPr>
                <w:rFonts w:hint="eastAsia" w:ascii="方正仿宋_GB2312" w:hAnsi="方正仿宋_GB2312" w:eastAsia="方正仿宋_GB2312" w:cs="方正仿宋_GB2312"/>
                <w:sz w:val="24"/>
                <w:szCs w:val="24"/>
                <w:highlight w:val="none"/>
                <w:lang w:eastAsia="zh-CN"/>
              </w:rPr>
              <w:t>▲</w:t>
            </w:r>
            <w:r>
              <w:rPr>
                <w:rFonts w:hint="eastAsia" w:ascii="方正仿宋_GB2312" w:hAnsi="方正仿宋_GB2312" w:eastAsia="方正仿宋_GB2312" w:cs="方正仿宋_GB2312"/>
                <w:sz w:val="24"/>
                <w:szCs w:val="24"/>
                <w:highlight w:val="none"/>
              </w:rPr>
              <w:t>技术指标需提供截图等支撑性文件，如后续验收过程中发现所投产品实际参数与所提供的支撑性文件不一致的，取消中标资格且3年内不得参与我方组织的招标项目。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1407"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仿宋" w:hAnsi="仿宋" w:eastAsia="仿宋" w:cs="仿宋"/>
                <w:b/>
                <w:bCs/>
                <w:sz w:val="24"/>
                <w:szCs w:val="24"/>
                <w:highlight w:val="none"/>
              </w:rPr>
              <w:t>实施方案（满分1</w:t>
            </w:r>
            <w:r>
              <w:rPr>
                <w:rFonts w:hint="eastAsia" w:ascii="仿宋" w:hAnsi="仿宋" w:eastAsia="仿宋" w:cs="仿宋"/>
                <w:b/>
                <w:bCs/>
                <w:sz w:val="24"/>
                <w:szCs w:val="24"/>
                <w:highlight w:val="none"/>
                <w:lang w:val="en-US" w:eastAsia="zh-CN"/>
              </w:rPr>
              <w:t>5</w:t>
            </w:r>
            <w:r>
              <w:rPr>
                <w:rFonts w:hint="eastAsia" w:ascii="仿宋" w:hAnsi="仿宋" w:eastAsia="仿宋" w:cs="仿宋"/>
                <w:b/>
                <w:bCs/>
                <w:sz w:val="24"/>
                <w:szCs w:val="24"/>
                <w:highlight w:val="none"/>
              </w:rPr>
              <w:t>分）</w:t>
            </w:r>
          </w:p>
        </w:tc>
        <w:tc>
          <w:tcPr>
            <w:tcW w:w="5509" w:type="dxa"/>
            <w:vAlign w:val="center"/>
          </w:tcPr>
          <w:p>
            <w:pPr>
              <w:numPr>
                <w:ilvl w:val="255"/>
                <w:numId w:val="0"/>
              </w:numPr>
              <w:spacing w:line="360" w:lineRule="auto"/>
              <w:jc w:val="left"/>
              <w:outlineLvl w:val="9"/>
              <w:rPr>
                <w:rFonts w:eastAsia="方正仿宋_GB2312"/>
                <w:highlight w:val="none"/>
              </w:rPr>
            </w:pPr>
            <w:r>
              <w:rPr>
                <w:rFonts w:hint="eastAsia" w:eastAsia="方正仿宋_GB2312"/>
                <w:sz w:val="24"/>
                <w:szCs w:val="24"/>
                <w:highlight w:val="none"/>
                <w:lang w:val="en-US" w:eastAsia="zh-CN"/>
              </w:rPr>
              <w:t>根据供应商的实施</w:t>
            </w:r>
            <w:r>
              <w:rPr>
                <w:rFonts w:hint="eastAsia" w:eastAsia="方正仿宋_GB2312"/>
                <w:sz w:val="24"/>
                <w:szCs w:val="24"/>
                <w:highlight w:val="none"/>
              </w:rPr>
              <w:t>方案</w:t>
            </w:r>
            <w:r>
              <w:rPr>
                <w:rFonts w:hint="eastAsia" w:eastAsia="方正仿宋_GB2312"/>
                <w:sz w:val="24"/>
                <w:szCs w:val="24"/>
                <w:highlight w:val="none"/>
                <w:lang w:val="en-US" w:eastAsia="zh-CN"/>
              </w:rPr>
              <w:t>进行评审，包括不限于：①</w:t>
            </w:r>
            <w:r>
              <w:rPr>
                <w:rFonts w:hint="eastAsia" w:eastAsia="方正仿宋_GB2312"/>
                <w:sz w:val="24"/>
                <w:szCs w:val="24"/>
                <w:highlight w:val="none"/>
              </w:rPr>
              <w:t>生产、</w:t>
            </w:r>
            <w:r>
              <w:rPr>
                <w:rFonts w:hint="eastAsia" w:eastAsia="方正仿宋_GB2312"/>
                <w:sz w:val="24"/>
                <w:szCs w:val="24"/>
                <w:highlight w:val="none"/>
                <w:lang w:val="en-US" w:eastAsia="zh-CN"/>
              </w:rPr>
              <w:t>②</w:t>
            </w:r>
            <w:r>
              <w:rPr>
                <w:rFonts w:hint="eastAsia" w:eastAsia="方正仿宋_GB2312"/>
                <w:sz w:val="24"/>
                <w:szCs w:val="24"/>
                <w:highlight w:val="none"/>
              </w:rPr>
              <w:t>运输、</w:t>
            </w:r>
            <w:r>
              <w:rPr>
                <w:rFonts w:hint="eastAsia" w:eastAsia="方正仿宋_GB2312"/>
                <w:sz w:val="24"/>
                <w:szCs w:val="24"/>
                <w:highlight w:val="none"/>
                <w:lang w:val="en-US" w:eastAsia="zh-CN"/>
              </w:rPr>
              <w:t>③</w:t>
            </w:r>
            <w:r>
              <w:rPr>
                <w:rFonts w:hint="eastAsia" w:eastAsia="方正仿宋_GB2312"/>
                <w:sz w:val="24"/>
                <w:szCs w:val="24"/>
                <w:highlight w:val="none"/>
              </w:rPr>
              <w:t>安装、</w:t>
            </w:r>
            <w:r>
              <w:rPr>
                <w:rFonts w:hint="eastAsia" w:eastAsia="方正仿宋_GB2312"/>
                <w:sz w:val="24"/>
                <w:szCs w:val="24"/>
                <w:highlight w:val="none"/>
                <w:lang w:val="en-US" w:eastAsia="zh-CN"/>
              </w:rPr>
              <w:t>④</w:t>
            </w:r>
            <w:r>
              <w:rPr>
                <w:rFonts w:hint="eastAsia" w:eastAsia="方正仿宋_GB2312"/>
                <w:sz w:val="24"/>
                <w:szCs w:val="24"/>
                <w:highlight w:val="none"/>
              </w:rPr>
              <w:t>调试、</w:t>
            </w:r>
            <w:r>
              <w:rPr>
                <w:rFonts w:hint="eastAsia" w:eastAsia="方正仿宋_GB2312"/>
                <w:sz w:val="24"/>
                <w:szCs w:val="24"/>
                <w:highlight w:val="none"/>
                <w:lang w:val="en-US" w:eastAsia="zh-CN"/>
              </w:rPr>
              <w:t>⑤</w:t>
            </w:r>
            <w:r>
              <w:rPr>
                <w:rFonts w:hint="eastAsia" w:eastAsia="方正仿宋_GB2312"/>
                <w:sz w:val="24"/>
                <w:szCs w:val="24"/>
                <w:highlight w:val="none"/>
              </w:rPr>
              <w:t>风险控制</w:t>
            </w:r>
            <w:r>
              <w:rPr>
                <w:rFonts w:hint="eastAsia" w:eastAsia="方正仿宋_GB2312"/>
                <w:sz w:val="24"/>
                <w:szCs w:val="24"/>
                <w:highlight w:val="none"/>
                <w:lang w:val="en-US" w:eastAsia="zh-CN"/>
              </w:rPr>
              <w:t>等，</w:t>
            </w:r>
            <w:r>
              <w:rPr>
                <w:rFonts w:hint="eastAsia" w:ascii="方正仿宋_GB2312" w:hAnsi="方正仿宋_GB2312" w:eastAsia="方正仿宋_GB2312" w:cs="方正仿宋_GB2312"/>
                <w:color w:val="000000"/>
                <w:kern w:val="0"/>
                <w:sz w:val="24"/>
                <w:highlight w:val="none"/>
                <w:lang w:val="en-US" w:eastAsia="zh-CN" w:bidi="ar"/>
              </w:rPr>
              <w:t>内容详尽、明确没有缺陷的得15分，</w:t>
            </w:r>
            <w:r>
              <w:rPr>
                <w:rFonts w:hint="eastAsia" w:ascii="方正仿宋_GB2312" w:hAnsi="方正仿宋_GB2312" w:eastAsia="方正仿宋_GB2312" w:cs="方正仿宋_GB2312"/>
                <w:color w:val="auto"/>
                <w:sz w:val="24"/>
                <w:szCs w:val="24"/>
                <w:highlight w:val="none"/>
                <w:lang w:val="en-US" w:eastAsia="zh-CN"/>
              </w:rPr>
              <w:t>每缺少一项评审内容扣3分，每有一处内容存在缺漏或不符合项目实际的，扣1.5分，分数扣完为止。</w:t>
            </w:r>
            <w:r>
              <w:rPr>
                <w:rFonts w:hint="eastAsia" w:eastAsia="方正仿宋_GB2312"/>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1407"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仿宋" w:hAnsi="仿宋" w:eastAsia="仿宋" w:cs="仿宋"/>
                <w:b/>
                <w:bCs/>
                <w:sz w:val="24"/>
                <w:szCs w:val="24"/>
                <w:highlight w:val="none"/>
              </w:rPr>
              <w:t>质量保证措施及违约责任承诺（满分10分）</w:t>
            </w:r>
          </w:p>
        </w:tc>
        <w:tc>
          <w:tcPr>
            <w:tcW w:w="5509" w:type="dxa"/>
            <w:vAlign w:val="center"/>
          </w:tcPr>
          <w:p>
            <w:pPr>
              <w:widowControl/>
              <w:spacing w:line="360" w:lineRule="auto"/>
              <w:jc w:val="left"/>
              <w:textAlignment w:val="center"/>
              <w:rPr>
                <w:rFonts w:hint="eastAsia" w:ascii="方正仿宋_GB2312" w:hAnsi="方正仿宋_GB2312" w:eastAsia="方正仿宋_GB2312" w:cs="方正仿宋_GB2312"/>
                <w:color w:val="000000"/>
                <w:kern w:val="0"/>
                <w:sz w:val="24"/>
                <w:highlight w:val="none"/>
                <w:lang w:val="en-US" w:eastAsia="zh-CN" w:bidi="ar"/>
              </w:rPr>
            </w:pPr>
            <w:r>
              <w:rPr>
                <w:rFonts w:hint="eastAsia" w:ascii="方正仿宋_GB2312" w:hAnsi="方正仿宋_GB2312" w:eastAsia="方正仿宋_GB2312" w:cs="方正仿宋_GB2312"/>
                <w:color w:val="000000"/>
                <w:kern w:val="0"/>
                <w:sz w:val="24"/>
                <w:highlight w:val="none"/>
                <w:lang w:val="en-US" w:eastAsia="zh-CN" w:bidi="ar"/>
              </w:rPr>
              <w:t>根据供应商提供的质量保证措施及违约责任承诺</w:t>
            </w:r>
            <w:r>
              <w:rPr>
                <w:rFonts w:hint="eastAsia" w:ascii="方正仿宋_GB2312" w:hAnsi="方正仿宋_GB2312" w:eastAsia="方正仿宋_GB2312" w:cs="方正仿宋_GB2312"/>
                <w:color w:val="000000"/>
                <w:sz w:val="24"/>
                <w:highlight w:val="none"/>
                <w:lang w:val="en-US" w:eastAsia="zh-CN"/>
              </w:rPr>
              <w:t>评审</w:t>
            </w:r>
            <w:r>
              <w:rPr>
                <w:rFonts w:hint="eastAsia" w:ascii="方正仿宋_GB2312" w:hAnsi="方正仿宋_GB2312" w:eastAsia="方正仿宋_GB2312" w:cs="方正仿宋_GB2312"/>
                <w:color w:val="000000"/>
                <w:kern w:val="0"/>
                <w:sz w:val="24"/>
                <w:highlight w:val="none"/>
                <w:lang w:val="en-US" w:eastAsia="zh-CN" w:bidi="ar"/>
              </w:rPr>
              <w:t>，包括但不限于：①针对本项目提出的质量承诺、人员服务承诺；②针对本项目提出的质量保证措施；③服务质量问题解决方案；④违约</w:t>
            </w:r>
            <w:r>
              <w:rPr>
                <w:rFonts w:hint="eastAsia" w:ascii="方正仿宋_GB2312" w:hAnsi="方正仿宋_GB2312" w:eastAsia="方正仿宋_GB2312" w:cs="方正仿宋_GB2312"/>
                <w:sz w:val="24"/>
                <w:szCs w:val="24"/>
                <w:highlight w:val="none"/>
              </w:rPr>
              <w:t>责任划分</w:t>
            </w:r>
            <w:r>
              <w:rPr>
                <w:rFonts w:hint="eastAsia" w:ascii="方正仿宋_GB2312" w:hAnsi="方正仿宋_GB2312" w:eastAsia="方正仿宋_GB2312" w:cs="方正仿宋_GB2312"/>
                <w:sz w:val="24"/>
                <w:szCs w:val="24"/>
                <w:highlight w:val="none"/>
                <w:lang w:eastAsia="zh-CN"/>
              </w:rPr>
              <w:t>；</w:t>
            </w:r>
            <w:r>
              <w:rPr>
                <w:rFonts w:hint="eastAsia" w:ascii="方正仿宋_GB2312" w:hAnsi="方正仿宋_GB2312" w:eastAsia="方正仿宋_GB2312" w:cs="方正仿宋_GB2312"/>
                <w:color w:val="000000"/>
                <w:kern w:val="0"/>
                <w:sz w:val="24"/>
                <w:highlight w:val="none"/>
                <w:lang w:val="en-US" w:eastAsia="zh-CN" w:bidi="ar"/>
              </w:rPr>
              <w:t>⑤违约处罚措施等内容进行综合评审。</w:t>
            </w:r>
          </w:p>
          <w:p>
            <w:pPr>
              <w:numPr>
                <w:ilvl w:val="255"/>
                <w:numId w:val="0"/>
              </w:numPr>
              <w:spacing w:line="360" w:lineRule="auto"/>
              <w:jc w:val="left"/>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color w:val="000000"/>
                <w:kern w:val="0"/>
                <w:sz w:val="24"/>
                <w:highlight w:val="none"/>
                <w:lang w:val="en-US" w:eastAsia="zh-CN" w:bidi="ar"/>
              </w:rPr>
              <w:t>以上5个方面，经评定相关方案及措施内容详尽、明确、清晰，阐述细致、没有缺陷的得10分，每缺少一项内容扣2分，每有一处内容存在缺陷的扣1分，分数扣完为止。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816"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1407" w:type="dxa"/>
            <w:vAlign w:val="center"/>
          </w:tcPr>
          <w:p>
            <w:pPr>
              <w:spacing w:line="360" w:lineRule="auto"/>
              <w:outlineLvl w:val="9"/>
              <w:rPr>
                <w:rFonts w:ascii="方正仿宋_GB2312" w:hAnsi="方正仿宋_GB2312" w:eastAsia="方正仿宋_GB2312" w:cs="方正仿宋_GB2312"/>
                <w:b/>
                <w:bCs/>
                <w:sz w:val="24"/>
                <w:szCs w:val="24"/>
                <w:highlight w:val="none"/>
              </w:rPr>
            </w:pPr>
            <w:r>
              <w:rPr>
                <w:rFonts w:hint="eastAsia" w:ascii="仿宋" w:hAnsi="仿宋" w:eastAsia="仿宋" w:cs="仿宋"/>
                <w:b/>
                <w:bCs/>
                <w:sz w:val="24"/>
                <w:szCs w:val="24"/>
                <w:highlight w:val="none"/>
              </w:rPr>
              <w:t>售后服务方案及承诺（满分</w:t>
            </w:r>
            <w:r>
              <w:rPr>
                <w:rFonts w:hint="eastAsia" w:ascii="仿宋" w:hAnsi="仿宋" w:eastAsia="仿宋" w:cs="仿宋"/>
                <w:b/>
                <w:bCs/>
                <w:sz w:val="24"/>
                <w:szCs w:val="24"/>
                <w:highlight w:val="none"/>
                <w:lang w:val="en-US" w:eastAsia="zh-CN"/>
              </w:rPr>
              <w:t>9</w:t>
            </w:r>
            <w:r>
              <w:rPr>
                <w:rFonts w:hint="eastAsia" w:ascii="仿宋" w:hAnsi="仿宋" w:eastAsia="仿宋" w:cs="仿宋"/>
                <w:b/>
                <w:bCs/>
                <w:sz w:val="24"/>
                <w:szCs w:val="24"/>
                <w:highlight w:val="none"/>
              </w:rPr>
              <w:t>分）</w:t>
            </w:r>
          </w:p>
        </w:tc>
        <w:tc>
          <w:tcPr>
            <w:tcW w:w="5509" w:type="dxa"/>
            <w:vAlign w:val="center"/>
          </w:tcPr>
          <w:p>
            <w:pPr>
              <w:spacing w:line="360" w:lineRule="auto"/>
              <w:jc w:val="left"/>
              <w:outlineLvl w:val="9"/>
              <w:rPr>
                <w:rFonts w:hint="eastAsia"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bCs/>
                <w:sz w:val="24"/>
                <w:szCs w:val="24"/>
                <w:highlight w:val="none"/>
                <w:lang w:eastAsia="zh-CN"/>
              </w:rPr>
              <w:t>（</w:t>
            </w:r>
            <w:r>
              <w:rPr>
                <w:rFonts w:hint="eastAsia" w:ascii="方正仿宋_GB2312" w:hAnsi="方正仿宋_GB2312" w:eastAsia="方正仿宋_GB2312" w:cs="方正仿宋_GB2312"/>
                <w:bCs/>
                <w:sz w:val="24"/>
                <w:szCs w:val="24"/>
                <w:highlight w:val="none"/>
                <w:lang w:val="en-US" w:eastAsia="zh-CN"/>
              </w:rPr>
              <w:t>1</w:t>
            </w:r>
            <w:r>
              <w:rPr>
                <w:rFonts w:hint="eastAsia" w:ascii="方正仿宋_GB2312" w:hAnsi="方正仿宋_GB2312" w:eastAsia="方正仿宋_GB2312" w:cs="方正仿宋_GB2312"/>
                <w:bCs/>
                <w:sz w:val="24"/>
                <w:szCs w:val="24"/>
                <w:highlight w:val="none"/>
                <w:lang w:eastAsia="zh-CN"/>
              </w:rPr>
              <w:t>）</w:t>
            </w:r>
            <w:r>
              <w:rPr>
                <w:rFonts w:hint="eastAsia" w:ascii="方正仿宋_GB2312" w:hAnsi="方正仿宋_GB2312" w:eastAsia="方正仿宋_GB2312" w:cs="方正仿宋_GB2312"/>
                <w:bCs/>
                <w:sz w:val="24"/>
                <w:szCs w:val="24"/>
                <w:highlight w:val="none"/>
              </w:rPr>
              <w:t>售后服务方案及承诺</w:t>
            </w:r>
            <w:r>
              <w:rPr>
                <w:rFonts w:hint="eastAsia" w:ascii="方正仿宋_GB2312" w:hAnsi="方正仿宋_GB2312" w:eastAsia="方正仿宋_GB2312" w:cs="方正仿宋_GB2312"/>
                <w:bCs/>
                <w:sz w:val="24"/>
                <w:szCs w:val="24"/>
                <w:highlight w:val="none"/>
                <w:lang w:val="en-US" w:eastAsia="zh-CN"/>
              </w:rPr>
              <w:t>3</w:t>
            </w:r>
            <w:r>
              <w:rPr>
                <w:rFonts w:hint="eastAsia" w:ascii="方正仿宋_GB2312" w:hAnsi="方正仿宋_GB2312" w:eastAsia="方正仿宋_GB2312" w:cs="方正仿宋_GB2312"/>
                <w:bCs/>
                <w:sz w:val="24"/>
                <w:szCs w:val="24"/>
                <w:highlight w:val="none"/>
              </w:rPr>
              <w:t>分；</w:t>
            </w:r>
          </w:p>
          <w:p>
            <w:pPr>
              <w:spacing w:line="360" w:lineRule="auto"/>
              <w:jc w:val="left"/>
              <w:outlineLvl w:val="9"/>
              <w:rPr>
                <w:rFonts w:ascii="方正仿宋_GB2312" w:hAnsi="方正仿宋_GB2312" w:eastAsia="方正仿宋_GB2312" w:cs="方正仿宋_GB2312"/>
                <w:bCs/>
                <w:sz w:val="24"/>
                <w:szCs w:val="24"/>
                <w:highlight w:val="none"/>
              </w:rPr>
            </w:pPr>
            <w:r>
              <w:rPr>
                <w:rFonts w:hint="eastAsia" w:ascii="方正仿宋_GB2312" w:hAnsi="方正仿宋_GB2312" w:eastAsia="方正仿宋_GB2312" w:cs="方正仿宋_GB2312"/>
                <w:bCs/>
                <w:sz w:val="24"/>
                <w:szCs w:val="24"/>
                <w:highlight w:val="none"/>
              </w:rPr>
              <w:t>（2）</w:t>
            </w:r>
            <w:r>
              <w:rPr>
                <w:rFonts w:hint="eastAsia" w:ascii="方正仿宋_GB2312" w:hAnsi="方正仿宋_GB2312" w:eastAsia="方正仿宋_GB2312" w:cs="方正仿宋_GB2312"/>
                <w:color w:val="000000"/>
                <w:kern w:val="0"/>
                <w:sz w:val="24"/>
                <w:highlight w:val="none"/>
                <w:lang w:val="en-US" w:eastAsia="zh-CN" w:bidi="ar"/>
              </w:rPr>
              <w:t>根据供应商提供的</w:t>
            </w:r>
            <w:r>
              <w:rPr>
                <w:rFonts w:hint="eastAsia" w:ascii="方正仿宋_GB2312" w:hAnsi="方正仿宋_GB2312" w:eastAsia="方正仿宋_GB2312" w:cs="方正仿宋_GB2312"/>
                <w:bCs/>
                <w:sz w:val="24"/>
                <w:szCs w:val="24"/>
                <w:highlight w:val="none"/>
              </w:rPr>
              <w:t>售后服务方案及承诺</w:t>
            </w:r>
            <w:r>
              <w:rPr>
                <w:rFonts w:hint="eastAsia" w:ascii="方正仿宋_GB2312" w:hAnsi="方正仿宋_GB2312" w:eastAsia="方正仿宋_GB2312" w:cs="方正仿宋_GB2312"/>
                <w:bCs/>
                <w:sz w:val="24"/>
                <w:szCs w:val="24"/>
                <w:highlight w:val="none"/>
                <w:lang w:val="en-US" w:eastAsia="zh-CN"/>
              </w:rPr>
              <w:t>评审，</w:t>
            </w:r>
            <w:r>
              <w:rPr>
                <w:rFonts w:hint="eastAsia" w:ascii="方正仿宋_GB2312" w:hAnsi="方正仿宋_GB2312" w:eastAsia="方正仿宋_GB2312" w:cs="方正仿宋_GB2312"/>
                <w:color w:val="000000"/>
                <w:kern w:val="0"/>
                <w:sz w:val="24"/>
                <w:highlight w:val="none"/>
                <w:lang w:val="en-US" w:eastAsia="zh-CN" w:bidi="ar"/>
              </w:rPr>
              <w:t>包括但不限于：①售后服务方案的时效性评审（包括：响应机制、解决周期的服务方案及承诺）</w:t>
            </w:r>
            <w:r>
              <w:rPr>
                <w:rFonts w:hint="eastAsia" w:ascii="方正仿宋_GB2312" w:hAnsi="方正仿宋_GB2312" w:eastAsia="方正仿宋_GB2312" w:cs="方正仿宋_GB2312"/>
                <w:bCs/>
                <w:sz w:val="24"/>
                <w:szCs w:val="24"/>
                <w:highlight w:val="none"/>
                <w:lang w:eastAsia="zh-CN"/>
              </w:rPr>
              <w:t>；</w:t>
            </w:r>
            <w:r>
              <w:rPr>
                <w:rFonts w:hint="eastAsia" w:ascii="方正仿宋_GB2312" w:hAnsi="方正仿宋_GB2312" w:eastAsia="方正仿宋_GB2312" w:cs="方正仿宋_GB2312"/>
                <w:bCs/>
                <w:sz w:val="24"/>
                <w:szCs w:val="24"/>
                <w:highlight w:val="none"/>
                <w:lang w:val="en-US" w:eastAsia="zh-CN"/>
              </w:rPr>
              <w:t>②服务范围与专业性服务方案评审（包括：全周期服务覆盖、售后技术支持和售后专业人员能力的服务方案及承诺）</w:t>
            </w:r>
            <w:r>
              <w:rPr>
                <w:rFonts w:hint="eastAsia" w:ascii="方正仿宋_GB2312" w:hAnsi="方正仿宋_GB2312" w:eastAsia="方正仿宋_GB2312" w:cs="方正仿宋_GB2312"/>
                <w:bCs/>
                <w:sz w:val="24"/>
                <w:szCs w:val="24"/>
                <w:highlight w:val="none"/>
                <w:lang w:eastAsia="zh-CN"/>
              </w:rPr>
              <w:t>；</w:t>
            </w:r>
            <w:r>
              <w:rPr>
                <w:rFonts w:hint="eastAsia" w:ascii="方正仿宋_GB2312" w:hAnsi="方正仿宋_GB2312" w:eastAsia="方正仿宋_GB2312" w:cs="方正仿宋_GB2312"/>
                <w:color w:val="000000"/>
                <w:kern w:val="0"/>
                <w:sz w:val="24"/>
                <w:highlight w:val="none"/>
                <w:lang w:val="en-US" w:eastAsia="zh-CN" w:bidi="ar"/>
              </w:rPr>
              <w:t>以上2个方面，经评定相关方案及措施内容详尽、明确、清晰，阐述细致、没有缺陷的得6分，每缺少一项内容扣3分，每有一处内容存在缺陷的扣1分，分数扣完为止。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trPr>
        <w:tc>
          <w:tcPr>
            <w:tcW w:w="816"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790" w:type="dxa"/>
            <w:vMerge w:val="continue"/>
            <w:vAlign w:val="center"/>
          </w:tcPr>
          <w:p>
            <w:pPr>
              <w:spacing w:line="360" w:lineRule="auto"/>
              <w:outlineLvl w:val="9"/>
              <w:rPr>
                <w:rFonts w:ascii="方正仿宋_GB2312" w:hAnsi="方正仿宋_GB2312" w:eastAsia="方正仿宋_GB2312" w:cs="方正仿宋_GB2312"/>
                <w:sz w:val="24"/>
                <w:szCs w:val="24"/>
                <w:highlight w:val="none"/>
              </w:rPr>
            </w:pPr>
          </w:p>
        </w:tc>
        <w:tc>
          <w:tcPr>
            <w:tcW w:w="1407" w:type="dxa"/>
            <w:vAlign w:val="center"/>
          </w:tcPr>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b/>
                <w:bCs/>
                <w:sz w:val="24"/>
                <w:szCs w:val="24"/>
                <w:highlight w:val="none"/>
              </w:rPr>
              <w:t>类似业绩（满分</w:t>
            </w:r>
            <w:r>
              <w:rPr>
                <w:rFonts w:hint="eastAsia" w:ascii="方正仿宋_GB2312" w:hAnsi="方正仿宋_GB2312" w:eastAsia="方正仿宋_GB2312" w:cs="方正仿宋_GB2312"/>
                <w:b/>
                <w:bCs/>
                <w:sz w:val="24"/>
                <w:szCs w:val="24"/>
                <w:highlight w:val="none"/>
                <w:lang w:val="en-US" w:eastAsia="zh-CN"/>
              </w:rPr>
              <w:t>2</w:t>
            </w:r>
            <w:r>
              <w:rPr>
                <w:rFonts w:hint="eastAsia" w:ascii="方正仿宋_GB2312" w:hAnsi="方正仿宋_GB2312" w:eastAsia="方正仿宋_GB2312" w:cs="方正仿宋_GB2312"/>
                <w:b/>
                <w:bCs/>
                <w:sz w:val="24"/>
                <w:szCs w:val="24"/>
                <w:highlight w:val="none"/>
              </w:rPr>
              <w:t>分）</w:t>
            </w:r>
          </w:p>
        </w:tc>
        <w:tc>
          <w:tcPr>
            <w:tcW w:w="5509" w:type="dxa"/>
            <w:vAlign w:val="center"/>
          </w:tcPr>
          <w:p>
            <w:pPr>
              <w:spacing w:line="360" w:lineRule="auto"/>
              <w:outlineLvl w:val="9"/>
              <w:rPr>
                <w:rFonts w:ascii="方正仿宋_GB2312" w:hAnsi="方正仿宋_GB2312" w:eastAsia="方正仿宋_GB2312" w:cs="方正仿宋_GB2312"/>
                <w:b w:val="0"/>
                <w:bCs w:val="0"/>
                <w:sz w:val="24"/>
                <w:szCs w:val="24"/>
                <w:highlight w:val="none"/>
              </w:rPr>
            </w:pPr>
            <w:r>
              <w:rPr>
                <w:rFonts w:hint="eastAsia" w:ascii="方正仿宋_GB2312" w:hAnsi="方正仿宋_GB2312" w:eastAsia="方正仿宋_GB2312" w:cs="方正仿宋_GB2312"/>
                <w:b w:val="0"/>
                <w:bCs w:val="0"/>
                <w:sz w:val="24"/>
                <w:szCs w:val="24"/>
                <w:highlight w:val="none"/>
              </w:rPr>
              <w:t>提供近三年（202</w:t>
            </w:r>
            <w:r>
              <w:rPr>
                <w:rFonts w:hint="eastAsia" w:ascii="方正仿宋_GB2312" w:hAnsi="方正仿宋_GB2312" w:eastAsia="方正仿宋_GB2312" w:cs="方正仿宋_GB2312"/>
                <w:b w:val="0"/>
                <w:bCs w:val="0"/>
                <w:sz w:val="24"/>
                <w:szCs w:val="24"/>
                <w:highlight w:val="none"/>
                <w:lang w:val="en-US" w:eastAsia="zh-CN"/>
              </w:rPr>
              <w:t>2</w:t>
            </w:r>
            <w:r>
              <w:rPr>
                <w:rFonts w:hint="eastAsia" w:ascii="方正仿宋_GB2312" w:hAnsi="方正仿宋_GB2312" w:eastAsia="方正仿宋_GB2312" w:cs="方正仿宋_GB2312"/>
                <w:b w:val="0"/>
                <w:bCs w:val="0"/>
                <w:sz w:val="24"/>
                <w:szCs w:val="24"/>
                <w:highlight w:val="none"/>
              </w:rPr>
              <w:t>年1月1日至今）完成的类似项目业绩证明材料，每提供1个类似业绩得1分，最多可得</w:t>
            </w:r>
            <w:r>
              <w:rPr>
                <w:rFonts w:hint="eastAsia" w:ascii="方正仿宋_GB2312" w:hAnsi="方正仿宋_GB2312" w:eastAsia="方正仿宋_GB2312" w:cs="方正仿宋_GB2312"/>
                <w:b w:val="0"/>
                <w:bCs w:val="0"/>
                <w:sz w:val="24"/>
                <w:szCs w:val="24"/>
                <w:highlight w:val="none"/>
                <w:lang w:val="en-US" w:eastAsia="zh-CN"/>
              </w:rPr>
              <w:t>2</w:t>
            </w:r>
            <w:r>
              <w:rPr>
                <w:rFonts w:hint="eastAsia" w:ascii="方正仿宋_GB2312" w:hAnsi="方正仿宋_GB2312" w:eastAsia="方正仿宋_GB2312" w:cs="方正仿宋_GB2312"/>
                <w:b w:val="0"/>
                <w:bCs w:val="0"/>
                <w:sz w:val="24"/>
                <w:szCs w:val="24"/>
                <w:highlight w:val="none"/>
              </w:rPr>
              <w:t>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注：须提供业绩证明材料（业绩证明提供中标通知书或合同协议书或业主证明</w:t>
            </w:r>
            <w:r>
              <w:rPr>
                <w:rFonts w:hint="eastAsia" w:ascii="方正仿宋_GB2312" w:hAnsi="方正仿宋_GB2312" w:eastAsia="方正仿宋_GB2312" w:cs="方正仿宋_GB2312"/>
                <w:sz w:val="24"/>
                <w:szCs w:val="24"/>
                <w:highlight w:val="none"/>
                <w:lang w:val="en-US" w:eastAsia="zh-CN"/>
              </w:rPr>
              <w:t>材料</w:t>
            </w:r>
            <w:r>
              <w:rPr>
                <w:rFonts w:hint="eastAsia" w:ascii="方正仿宋_GB2312" w:hAnsi="方正仿宋_GB2312" w:eastAsia="方正仿宋_GB2312" w:cs="方正仿宋_GB2312"/>
                <w:sz w:val="24"/>
                <w:szCs w:val="24"/>
                <w:highlight w:val="none"/>
              </w:rPr>
              <w:t>等有效的证明材料原件彩色扫描件，上述证明材料须证明类似业绩内容，否则不予认可）。</w:t>
            </w:r>
          </w:p>
        </w:tc>
      </w:tr>
    </w:tbl>
    <w:p>
      <w:pPr>
        <w:outlineLvl w:val="9"/>
        <w:rPr>
          <w:highlight w:val="none"/>
        </w:rPr>
      </w:pPr>
    </w:p>
    <w:p>
      <w:pPr>
        <w:spacing w:line="360" w:lineRule="auto"/>
        <w:jc w:val="left"/>
        <w:outlineLvl w:val="9"/>
        <w:rPr>
          <w:rFonts w:ascii="仿宋" w:hAnsi="仿宋" w:eastAsia="仿宋" w:cs="仿宋"/>
          <w:bCs/>
          <w:sz w:val="24"/>
          <w:szCs w:val="24"/>
          <w:highlight w:val="none"/>
        </w:rPr>
      </w:pPr>
      <w:bookmarkStart w:id="911" w:name="_Toc8089"/>
      <w:bookmarkStart w:id="912" w:name="_Toc521"/>
      <w:bookmarkStart w:id="913" w:name="_Toc15729"/>
      <w:bookmarkStart w:id="914" w:name="_Toc27897"/>
      <w:bookmarkStart w:id="915" w:name="_Toc17670"/>
      <w:bookmarkStart w:id="916" w:name="_Toc27162"/>
      <w:bookmarkStart w:id="917" w:name="_Toc529795844"/>
      <w:bookmarkStart w:id="918" w:name="_Toc21706"/>
      <w:bookmarkStart w:id="919" w:name="_Toc24594"/>
      <w:bookmarkStart w:id="920" w:name="_Toc26266"/>
      <w:bookmarkStart w:id="921" w:name="_Toc6526"/>
      <w:r>
        <w:rPr>
          <w:rFonts w:hint="eastAsia" w:ascii="方正仿宋_GB2312" w:hAnsi="方正仿宋_GB2312" w:eastAsia="方正仿宋_GB2312" w:cs="方正仿宋_GB2312"/>
          <w:bCs/>
          <w:sz w:val="24"/>
          <w:szCs w:val="24"/>
          <w:highlight w:val="none"/>
        </w:rPr>
        <w:t>1.</w:t>
      </w:r>
      <w:r>
        <w:rPr>
          <w:rFonts w:hint="eastAsia" w:ascii="仿宋" w:hAnsi="仿宋" w:eastAsia="仿宋" w:cs="仿宋"/>
          <w:bCs/>
          <w:sz w:val="24"/>
          <w:szCs w:val="24"/>
          <w:highlight w:val="none"/>
        </w:rPr>
        <w:t>评标方法：</w:t>
      </w:r>
      <w:bookmarkEnd w:id="911"/>
      <w:bookmarkEnd w:id="912"/>
      <w:bookmarkEnd w:id="913"/>
      <w:bookmarkEnd w:id="914"/>
      <w:bookmarkEnd w:id="915"/>
      <w:bookmarkEnd w:id="916"/>
      <w:bookmarkEnd w:id="917"/>
      <w:bookmarkEnd w:id="918"/>
      <w:bookmarkEnd w:id="919"/>
      <w:bookmarkEnd w:id="920"/>
      <w:bookmarkEnd w:id="921"/>
    </w:p>
    <w:p>
      <w:pPr>
        <w:spacing w:line="360" w:lineRule="auto"/>
        <w:outlineLvl w:val="9"/>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1.1根据《中华人民共和国政府采购法》、《中华人民共和国政府采购法实施条例》、《政府采购货物和服务招标投标管理办法》（财政部令第87号）等有关法律、法规的规定，本次评标采用综合评分法。评标委员会对满足招标文件实质性要求的投标文件，按照本章前附表规定的评分标准进行打分，并按上述评标总得分计算公式计算评标总得分，按总得分由高到低的顺序推荐三名中标候选人名单；评标总得分相等时，按报价得分由高到低顺序排序；评标总得分相等且投标报价相同时，若存在节能环保产品参与投标，根据《中华人民共和国政府采购法》《中华人民共和国政府采购法实施条例》《政府采购货物和服务招标投标管理办法》(财政部令第87号)的规定，优先采购节能环保产品。</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若不存在节能环保产品参与投标，按技术部分得分由高到低的顺序排列，依次类推。</w:t>
      </w:r>
    </w:p>
    <w:p>
      <w:pPr>
        <w:spacing w:line="360" w:lineRule="auto"/>
        <w:outlineLvl w:val="9"/>
        <w:rPr>
          <w:rFonts w:ascii="方正仿宋_GB2312" w:hAnsi="方正仿宋_GB2312" w:eastAsia="方正仿宋_GB2312" w:cs="方正仿宋_GB2312"/>
          <w:sz w:val="24"/>
          <w:szCs w:val="24"/>
          <w:highlight w:val="none"/>
        </w:rPr>
      </w:pPr>
      <w:bookmarkStart w:id="922" w:name="_Toc31948"/>
      <w:bookmarkStart w:id="923" w:name="_Toc1976"/>
      <w:bookmarkStart w:id="924" w:name="_Toc8436"/>
      <w:bookmarkStart w:id="925" w:name="_Toc23861"/>
      <w:bookmarkStart w:id="926" w:name="_Toc20175"/>
      <w:bookmarkStart w:id="927" w:name="_Toc5743"/>
      <w:bookmarkStart w:id="928" w:name="_Toc14916"/>
      <w:bookmarkStart w:id="929" w:name="_Toc23888"/>
      <w:bookmarkStart w:id="930" w:name="_Toc17308"/>
      <w:bookmarkStart w:id="931" w:name="_Toc28089"/>
      <w:bookmarkStart w:id="932" w:name="_Toc529795845"/>
      <w:r>
        <w:rPr>
          <w:rFonts w:hint="eastAsia" w:ascii="方正仿宋_GB2312" w:hAnsi="方正仿宋_GB2312" w:eastAsia="方正仿宋_GB2312" w:cs="方正仿宋_GB2312"/>
          <w:sz w:val="24"/>
          <w:szCs w:val="24"/>
          <w:highlight w:val="none"/>
        </w:rPr>
        <w:t>2. 评审程序和标准</w:t>
      </w:r>
      <w:bookmarkEnd w:id="922"/>
      <w:bookmarkEnd w:id="923"/>
      <w:bookmarkEnd w:id="924"/>
      <w:bookmarkEnd w:id="925"/>
      <w:bookmarkEnd w:id="926"/>
      <w:bookmarkEnd w:id="927"/>
      <w:bookmarkEnd w:id="928"/>
      <w:bookmarkEnd w:id="929"/>
      <w:bookmarkEnd w:id="930"/>
      <w:bookmarkEnd w:id="931"/>
      <w:bookmarkEnd w:id="932"/>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2.1资格审查、符合性审查</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2.1.1资格审查：采购人或者采购集中采购机构依据法律法规和招标文件的规定，对投标文件中的资格证明文件进行审查（具体详见《评标方法前附表》），有一项不符合的，该投标文件按无效投标处理。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2.1.2符合性审查：评标委员会依据招标文件的规定，对符合资格的供应商的投标文件进行符合性审查（具体详见《评标方法前附表》），有一项不符合的，该投标文件按无效投标处理。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2.1.3符合本章第2.1.1、2.1.2项规定的投标文件视为符合招标文件的商务、技术等实质性要求评审，可以进行技术和商务评估，综合比较与评价。</w:t>
      </w:r>
    </w:p>
    <w:p>
      <w:pPr>
        <w:spacing w:line="360" w:lineRule="auto"/>
        <w:outlineLvl w:val="9"/>
        <w:rPr>
          <w:rFonts w:ascii="方正仿宋_GB2312" w:hAnsi="方正仿宋_GB2312" w:eastAsia="方正仿宋_GB2312" w:cs="方正仿宋_GB2312"/>
          <w:sz w:val="24"/>
          <w:szCs w:val="24"/>
          <w:highlight w:val="none"/>
        </w:rPr>
      </w:pPr>
      <w:bookmarkStart w:id="933" w:name="_Toc321836408"/>
      <w:bookmarkStart w:id="934" w:name="_Toc489197879"/>
      <w:bookmarkStart w:id="935" w:name="_Toc489145775"/>
      <w:r>
        <w:rPr>
          <w:rFonts w:hint="eastAsia" w:ascii="方正仿宋_GB2312" w:hAnsi="方正仿宋_GB2312" w:eastAsia="方正仿宋_GB2312" w:cs="方正仿宋_GB2312"/>
          <w:sz w:val="24"/>
          <w:szCs w:val="24"/>
          <w:highlight w:val="none"/>
        </w:rPr>
        <w:t>2.2 分值构成与评分标准</w:t>
      </w:r>
      <w:bookmarkEnd w:id="933"/>
      <w:bookmarkEnd w:id="934"/>
      <w:bookmarkEnd w:id="935"/>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2.2.1 分值构成</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（1）投标报价：详见《评标方法前附表》；</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（2）技术部分：详见《评标方法前附表》；</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2.2.2 评标基准价计算方法：详见《评标方法前附表》。</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2.2.3 评分标准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按招标文件中规定的评标方法和标准，对满足招标文件实质性要求评审的投标文件进行技术和商务评估，综合比较与评价。</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（1）投标报价和资格审查部分评分标准：详见《评标方法前附表》；</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（2）技术部分评分标准：详见《评标方法前附表》；</w:t>
      </w:r>
    </w:p>
    <w:p>
      <w:pPr>
        <w:spacing w:line="360" w:lineRule="auto"/>
        <w:outlineLvl w:val="9"/>
        <w:rPr>
          <w:rFonts w:ascii="方正仿宋_GB2312" w:hAnsi="方正仿宋_GB2312" w:eastAsia="方正仿宋_GB2312" w:cs="方正仿宋_GB2312"/>
          <w:sz w:val="24"/>
          <w:szCs w:val="24"/>
          <w:highlight w:val="none"/>
        </w:rPr>
      </w:pPr>
      <w:bookmarkStart w:id="936" w:name="_Toc321836409"/>
      <w:bookmarkStart w:id="937" w:name="_Toc489145776"/>
      <w:bookmarkStart w:id="938" w:name="_Toc489197880"/>
      <w:r>
        <w:rPr>
          <w:rFonts w:hint="eastAsia" w:ascii="方正仿宋_GB2312" w:hAnsi="方正仿宋_GB2312" w:eastAsia="方正仿宋_GB2312" w:cs="方正仿宋_GB2312"/>
          <w:sz w:val="24"/>
          <w:szCs w:val="24"/>
          <w:highlight w:val="none"/>
        </w:rPr>
        <w:t>2.3</w:t>
      </w:r>
      <w:bookmarkEnd w:id="936"/>
      <w:bookmarkEnd w:id="937"/>
      <w:bookmarkEnd w:id="938"/>
      <w:r>
        <w:rPr>
          <w:rFonts w:hint="eastAsia" w:ascii="方正仿宋_GB2312" w:hAnsi="方正仿宋_GB2312" w:eastAsia="方正仿宋_GB2312" w:cs="方正仿宋_GB2312"/>
          <w:sz w:val="24"/>
          <w:szCs w:val="24"/>
          <w:highlight w:val="none"/>
        </w:rPr>
        <w:t>综合比较与评价</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2.3.1 评标委员会按本章2.2.1规定的评分标准进行打分，并计算出供应商的评标总得分。对供应商的价格分等客观评分项的评分应当一致，对其他需要借助专业知识评判的主观评分项，应当严格按照评分细则公正评分。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（1）按本章《评标方法前附表》的规定对投标报价计算出得分F1；</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（2）按本章《评标方法前附表》的规定对技术部分评分，得分F2；</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（3）按本章《评标方法前附表》的规定计算评标总得分。</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2.3.2投标报价部分（F1）、技术部分（F2）得分由评标委员会成员独立评分，供应商各项评分因素得分为该项因素各评委评分的算术平均值（保留小数点后两位），小数点后第三位“四舍五入”。</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2.3.3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pPr>
        <w:spacing w:line="360" w:lineRule="auto"/>
        <w:outlineLvl w:val="9"/>
        <w:rPr>
          <w:rFonts w:ascii="方正仿宋_GB2312" w:hAnsi="方正仿宋_GB2312" w:eastAsia="方正仿宋_GB2312" w:cs="方正仿宋_GB2312"/>
          <w:sz w:val="24"/>
          <w:szCs w:val="24"/>
          <w:highlight w:val="none"/>
        </w:rPr>
      </w:pPr>
      <w:bookmarkStart w:id="939" w:name="_Toc489145777"/>
      <w:bookmarkStart w:id="940" w:name="_Toc489197881"/>
      <w:bookmarkStart w:id="941" w:name="_Toc321836412"/>
      <w:r>
        <w:rPr>
          <w:rFonts w:hint="eastAsia" w:ascii="方正仿宋_GB2312" w:hAnsi="方正仿宋_GB2312" w:eastAsia="方正仿宋_GB2312" w:cs="方正仿宋_GB2312"/>
          <w:sz w:val="24"/>
          <w:szCs w:val="24"/>
          <w:highlight w:val="none"/>
        </w:rPr>
        <w:t>2.4投标文件的澄清</w:t>
      </w:r>
      <w:bookmarkEnd w:id="939"/>
      <w:bookmarkEnd w:id="940"/>
      <w:bookmarkEnd w:id="941"/>
      <w:r>
        <w:rPr>
          <w:rFonts w:hint="eastAsia" w:ascii="方正仿宋_GB2312" w:hAnsi="方正仿宋_GB2312" w:eastAsia="方正仿宋_GB2312" w:cs="方正仿宋_GB2312"/>
          <w:sz w:val="24"/>
          <w:szCs w:val="24"/>
          <w:highlight w:val="none"/>
        </w:rPr>
        <w:t xml:space="preserve"> </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2.4.1投标文件中出现含义不明确、同类问题表述不一致或者有明显文字和计算错误的内容，评标委员会将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2.4.2评标委员会不接受供应商主动提出的澄清、说明或者补正。</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2.4.3 评标委员会对供应商提交的澄清、说明或者补正有疑问的，可以要求供应商进一步澄清、说明或者补正。</w:t>
      </w:r>
    </w:p>
    <w:p>
      <w:pPr>
        <w:spacing w:line="360" w:lineRule="auto"/>
        <w:outlineLvl w:val="9"/>
        <w:rPr>
          <w:rFonts w:ascii="方正仿宋_GB2312" w:hAnsi="方正仿宋_GB2312" w:eastAsia="方正仿宋_GB2312" w:cs="方正仿宋_GB2312"/>
          <w:sz w:val="24"/>
          <w:szCs w:val="24"/>
          <w:highlight w:val="none"/>
        </w:rPr>
      </w:pPr>
      <w:bookmarkStart w:id="942" w:name="_Toc489145778"/>
      <w:bookmarkStart w:id="943" w:name="_Toc489197882"/>
      <w:bookmarkStart w:id="944" w:name="_Toc321836413"/>
      <w:r>
        <w:rPr>
          <w:rFonts w:hint="eastAsia" w:ascii="方正仿宋_GB2312" w:hAnsi="方正仿宋_GB2312" w:eastAsia="方正仿宋_GB2312" w:cs="方正仿宋_GB2312"/>
          <w:sz w:val="24"/>
          <w:szCs w:val="24"/>
          <w:highlight w:val="none"/>
        </w:rPr>
        <w:t>2.5评标结果</w:t>
      </w:r>
      <w:bookmarkEnd w:id="942"/>
      <w:bookmarkEnd w:id="943"/>
      <w:bookmarkEnd w:id="944"/>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2.5.1评标委员会按按总得分由高到低的顺序推荐三名中标候选人名单，评标总得分相等时，按报价得分由高到低顺序排序；评标总得分相等且投标报价相同时，按技术部分得分由高到低顺序排序。并提出书面评标报告。</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2.5.2 采购人根据评标委员会提出的书面评标报告和推荐的中标候选人名单，确定中标人。</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2.5.3评标委员会发现招标文件存在歧义、重大缺陷导致评标工作无法进行，或者招标文件内容违反国家有关强制性规定的，应当停止评标工作，与采购人或者采购集中采购机构沟通并作书面记录。采购人或者采购集中采购机构确认后，应当修改招标文件，重新组织采购活动；发现供应商提供虚假材料、串通等违法违规行为的，要及时向采购人或采购集中采购机构报告。</w:t>
      </w:r>
      <w:bookmarkStart w:id="945" w:name="_Toc5768"/>
    </w:p>
    <w:p>
      <w:pPr>
        <w:numPr>
          <w:ilvl w:val="0"/>
          <w:numId w:val="1"/>
        </w:numPr>
        <w:spacing w:line="360" w:lineRule="auto"/>
        <w:jc w:val="center"/>
        <w:outlineLvl w:val="0"/>
        <w:rPr>
          <w:rFonts w:hint="eastAsia" w:ascii="方正小标宋简体" w:hAnsi="方正小标宋简体" w:eastAsia="方正小标宋简体" w:cs="方正小标宋简体"/>
          <w:b/>
          <w:spacing w:val="20"/>
          <w:kern w:val="44"/>
          <w:sz w:val="44"/>
          <w:szCs w:val="44"/>
          <w:highlight w:val="none"/>
        </w:rPr>
      </w:pPr>
      <w:bookmarkStart w:id="946" w:name="_Toc10877"/>
      <w:r>
        <w:rPr>
          <w:rFonts w:hint="eastAsia" w:ascii="仿宋" w:hAnsi="仿宋" w:eastAsia="仿宋" w:cs="仿宋"/>
          <w:b/>
          <w:spacing w:val="20"/>
          <w:kern w:val="44"/>
          <w:sz w:val="32"/>
          <w:highlight w:val="none"/>
        </w:rPr>
        <w:br w:type="page"/>
      </w:r>
      <w:bookmarkStart w:id="947" w:name="_Toc32173"/>
      <w:bookmarkStart w:id="948" w:name="_Toc10497"/>
      <w:bookmarkStart w:id="949" w:name="_Toc18620"/>
      <w:bookmarkStart w:id="950" w:name="_Toc22942"/>
      <w:bookmarkStart w:id="951" w:name="_Toc9038"/>
      <w:bookmarkStart w:id="952" w:name="_Toc3294"/>
      <w:bookmarkStart w:id="953" w:name="_Toc23432"/>
      <w:bookmarkStart w:id="954" w:name="_Toc31694"/>
      <w:bookmarkStart w:id="955" w:name="_Toc4321"/>
      <w:r>
        <w:rPr>
          <w:rFonts w:hint="eastAsia" w:ascii="方正小标宋简体" w:hAnsi="方正小标宋简体" w:eastAsia="方正小标宋简体" w:cs="方正小标宋简体"/>
          <w:b/>
          <w:spacing w:val="20"/>
          <w:kern w:val="44"/>
          <w:sz w:val="44"/>
          <w:szCs w:val="44"/>
          <w:highlight w:val="none"/>
        </w:rPr>
        <w:t>采购需求和要求</w:t>
      </w:r>
      <w:bookmarkEnd w:id="898"/>
      <w:bookmarkEnd w:id="899"/>
      <w:bookmarkEnd w:id="900"/>
      <w:bookmarkEnd w:id="945"/>
      <w:bookmarkEnd w:id="946"/>
      <w:bookmarkEnd w:id="947"/>
      <w:bookmarkEnd w:id="948"/>
      <w:bookmarkEnd w:id="949"/>
      <w:bookmarkEnd w:id="950"/>
      <w:bookmarkEnd w:id="951"/>
      <w:bookmarkEnd w:id="952"/>
      <w:bookmarkEnd w:id="953"/>
      <w:bookmarkEnd w:id="954"/>
      <w:bookmarkEnd w:id="955"/>
    </w:p>
    <w:tbl>
      <w:tblPr>
        <w:tblStyle w:val="16"/>
        <w:tblW w:w="9616"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596"/>
        <w:gridCol w:w="921"/>
        <w:gridCol w:w="6048"/>
        <w:gridCol w:w="731"/>
        <w:gridCol w:w="718"/>
        <w:gridCol w:w="6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widowControl/>
              <w:spacing w:line="360" w:lineRule="auto"/>
              <w:jc w:val="center"/>
              <w:outlineLvl w:val="9"/>
              <w:rPr>
                <w:rFonts w:hint="eastAsia" w:ascii="方正仿宋_GB2312" w:hAnsi="方正仿宋_GB2312" w:eastAsia="方正仿宋_GB2312" w:cs="方正仿宋_GB2312"/>
                <w:color w:val="auto"/>
                <w:sz w:val="21"/>
                <w:szCs w:val="21"/>
                <w:highlight w:val="none"/>
                <w:lang w:bidi="ar"/>
              </w:rPr>
            </w:pPr>
            <w:bookmarkStart w:id="956" w:name="_Toc10736"/>
            <w:bookmarkStart w:id="957" w:name="_Toc25283"/>
            <w:bookmarkStart w:id="958" w:name="_Toc28594"/>
            <w:bookmarkStart w:id="959" w:name="_Toc18269"/>
            <w:r>
              <w:rPr>
                <w:rFonts w:hint="eastAsia" w:ascii="方正仿宋_GB2312" w:hAnsi="方正仿宋_GB2312" w:eastAsia="方正仿宋_GB2312" w:cs="方正仿宋_GB2312"/>
                <w:b/>
                <w:bCs/>
                <w:color w:val="auto"/>
                <w:sz w:val="21"/>
                <w:szCs w:val="21"/>
                <w:highlight w:val="none"/>
              </w:rPr>
              <w:t>序号</w:t>
            </w:r>
          </w:p>
        </w:tc>
        <w:tc>
          <w:tcPr>
            <w:tcW w:w="921" w:type="dxa"/>
            <w:shd w:val="clear" w:color="auto" w:fill="FFFFFF"/>
            <w:tcMar>
              <w:top w:w="0" w:type="dxa"/>
              <w:left w:w="108" w:type="dxa"/>
              <w:bottom w:w="0" w:type="dxa"/>
              <w:right w:w="108" w:type="dxa"/>
            </w:tcMar>
            <w:vAlign w:val="center"/>
          </w:tcPr>
          <w:p>
            <w:pPr>
              <w:widowControl/>
              <w:spacing w:line="360" w:lineRule="auto"/>
              <w:jc w:val="center"/>
              <w:outlineLvl w:val="9"/>
              <w:rPr>
                <w:rFonts w:hint="eastAsia" w:ascii="方正仿宋_GB2312" w:hAnsi="方正仿宋_GB2312" w:eastAsia="方正仿宋_GB2312" w:cs="方正仿宋_GB2312"/>
                <w:b/>
                <w:bCs/>
                <w:color w:val="auto"/>
                <w:sz w:val="21"/>
                <w:szCs w:val="21"/>
                <w:highlight w:val="none"/>
                <w:lang w:bidi="ar"/>
              </w:rPr>
            </w:pPr>
            <w:r>
              <w:rPr>
                <w:rFonts w:hint="eastAsia" w:ascii="方正仿宋_GB2312" w:hAnsi="方正仿宋_GB2312" w:eastAsia="方正仿宋_GB2312" w:cs="方正仿宋_GB2312"/>
                <w:b/>
                <w:bCs/>
                <w:color w:val="auto"/>
                <w:sz w:val="21"/>
                <w:szCs w:val="21"/>
                <w:highlight w:val="none"/>
              </w:rPr>
              <w:t>设备名称</w:t>
            </w:r>
          </w:p>
        </w:tc>
        <w:tc>
          <w:tcPr>
            <w:tcW w:w="6048" w:type="dxa"/>
            <w:shd w:val="clear" w:color="auto" w:fill="FFFFFF"/>
            <w:tcMar>
              <w:top w:w="0" w:type="dxa"/>
              <w:left w:w="108" w:type="dxa"/>
              <w:bottom w:w="0" w:type="dxa"/>
              <w:right w:w="108" w:type="dxa"/>
            </w:tcMar>
            <w:vAlign w:val="center"/>
          </w:tcPr>
          <w:p>
            <w:pPr>
              <w:widowControl/>
              <w:spacing w:line="360" w:lineRule="auto"/>
              <w:jc w:val="center"/>
              <w:outlineLvl w:val="9"/>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b/>
                <w:bCs/>
                <w:color w:val="auto"/>
                <w:sz w:val="21"/>
                <w:szCs w:val="21"/>
                <w:highlight w:val="none"/>
              </w:rPr>
              <w:t>规格尺寸和技术参数</w:t>
            </w:r>
          </w:p>
        </w:tc>
        <w:tc>
          <w:tcPr>
            <w:tcW w:w="731" w:type="dxa"/>
            <w:shd w:val="clear" w:color="auto" w:fill="FFFFFF"/>
            <w:tcMar>
              <w:top w:w="0" w:type="dxa"/>
              <w:left w:w="108" w:type="dxa"/>
              <w:bottom w:w="0" w:type="dxa"/>
              <w:right w:w="108" w:type="dxa"/>
            </w:tcMar>
            <w:vAlign w:val="center"/>
          </w:tcPr>
          <w:p>
            <w:pPr>
              <w:widowControl/>
              <w:spacing w:line="360" w:lineRule="auto"/>
              <w:jc w:val="center"/>
              <w:outlineLvl w:val="9"/>
              <w:rPr>
                <w:rFonts w:hint="eastAsia" w:ascii="方正仿宋_GB2312" w:hAnsi="方正仿宋_GB2312" w:eastAsia="方正仿宋_GB2312" w:cs="方正仿宋_GB2312"/>
                <w:b/>
                <w:bCs/>
                <w:color w:val="auto"/>
                <w:sz w:val="21"/>
                <w:szCs w:val="21"/>
                <w:highlight w:val="none"/>
              </w:rPr>
            </w:pPr>
            <w:r>
              <w:rPr>
                <w:rFonts w:hint="eastAsia" w:ascii="方正仿宋_GB2312" w:hAnsi="方正仿宋_GB2312" w:eastAsia="方正仿宋_GB2312" w:cs="方正仿宋_GB2312"/>
                <w:b/>
                <w:bCs/>
                <w:color w:val="auto"/>
                <w:sz w:val="21"/>
                <w:szCs w:val="21"/>
                <w:highlight w:val="none"/>
              </w:rPr>
              <w:t>数量</w:t>
            </w:r>
          </w:p>
        </w:tc>
        <w:tc>
          <w:tcPr>
            <w:tcW w:w="718" w:type="dxa"/>
            <w:shd w:val="clear" w:color="auto" w:fill="FFFFFF"/>
            <w:tcMar>
              <w:top w:w="0" w:type="dxa"/>
              <w:left w:w="108" w:type="dxa"/>
              <w:bottom w:w="0" w:type="dxa"/>
              <w:right w:w="108" w:type="dxa"/>
            </w:tcMar>
            <w:vAlign w:val="center"/>
          </w:tcPr>
          <w:p>
            <w:pPr>
              <w:widowControl/>
              <w:spacing w:line="360" w:lineRule="auto"/>
              <w:jc w:val="center"/>
              <w:outlineLvl w:val="9"/>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b/>
                <w:bCs/>
                <w:color w:val="auto"/>
                <w:sz w:val="21"/>
                <w:szCs w:val="21"/>
                <w:highlight w:val="none"/>
              </w:rPr>
              <w:t>单位</w:t>
            </w:r>
          </w:p>
        </w:tc>
        <w:tc>
          <w:tcPr>
            <w:tcW w:w="602" w:type="dxa"/>
            <w:shd w:val="clear" w:color="auto" w:fill="FFFFFF"/>
            <w:tcMar>
              <w:top w:w="0" w:type="dxa"/>
              <w:left w:w="108" w:type="dxa"/>
              <w:bottom w:w="0" w:type="dxa"/>
              <w:right w:w="108" w:type="dxa"/>
            </w:tcMar>
            <w:vAlign w:val="center"/>
          </w:tcPr>
          <w:p>
            <w:pPr>
              <w:widowControl/>
              <w:spacing w:line="360" w:lineRule="auto"/>
              <w:jc w:val="center"/>
              <w:outlineLvl w:val="9"/>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 xml:space="preserve">1 </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双人计算机桌</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1、双人桌子，规格：≥长1200mm*宽600mm*高760mm（2人位）。</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2、台面材料：采用可弯曲防火板经封边机精加工而成，造型美观、经久耐用。</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3、台面板材厚度≥25mm。台体衬板：用厚度≥16mm双面美耐板（即双饰面板）作为台体衬板，外漏截面采用≥1.2mm厚塑制封边条机械封边；▲甲醛释放量≤0.050mg/m³，符合GB 18580-2017《室内装饰装修材料 人造板及其制品中甲醛释放量限量》规定（提供国家认可的第三方检测机构出具的检测报告）。                                                                                                      4、品牌优质五金配件。</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台</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2</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单人计算机桌</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val="en-US"/>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1、单人桌子规格：≥长600mm*宽500mm*高760mm（1人位）。                                                                                                      2、桌面板材：≥25mm优质三聚氰胺板 ,甲醛释放限量≤0.05mg/L。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3、▲基材：≥15mm采用优质E0级刨花板,优质绿色环保产品,含水率10.8%，甲醛释放量≤0.5mg/L，符合GB 18580-2017《室内装饰装修材料 人造板及其制品中甲醛释放量限量》（提供国家认可的第三方检测机构出具的检测报告）。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4、粘合剂：优质乳胶,游离甲醛含量≤0.1mg/kg，符合GB/T 23357-2021《热熔胶粘合剂》。</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5、封边用材：1mm厚PVC胶边，进口热熔胶。</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6、品牌优质五金配件。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208</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3</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计算机教室凳子</w:t>
            </w:r>
          </w:p>
        </w:tc>
        <w:tc>
          <w:tcPr>
            <w:tcW w:w="6048" w:type="dxa"/>
            <w:shd w:val="clear" w:color="auto" w:fill="FFFFFF"/>
            <w:tcMar>
              <w:top w:w="0" w:type="dxa"/>
              <w:left w:w="108" w:type="dxa"/>
              <w:bottom w:w="0" w:type="dxa"/>
              <w:right w:w="108" w:type="dxa"/>
            </w:tcMar>
            <w:vAlign w:val="top"/>
          </w:tcPr>
          <w:p>
            <w:pPr>
              <w:keepNext w:val="0"/>
              <w:keepLines w:val="0"/>
              <w:widowControl/>
              <w:suppressLineNumbers w:val="0"/>
              <w:jc w:val="left"/>
              <w:textAlignment w:val="top"/>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1、尺寸规格:≥360mm*240mm*430mm(长*宽*高) 。                                                                             2、椅面板尺寸：360mm*240mm(长*宽) 厚度≥25mm。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3、材质：凳面厚度≥25mm双贴面三聚氰胺板凳面，绿色环保，甲醛释放量≤0.5mg/L，具有耐火、耐磨、防污、硬度高等特点。                                                                                                                  4、▲凳架：≥25mm*25mm*1.2mm镀锌方管焊接制成，化学除锈，静电粉末喷涂烤漆。设计原理符合人体工程学设计（提供国家认可的第三方检测机构出具的检测报告）。</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eastAsia="zh-CN"/>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212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eastAsia="zh-CN"/>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个</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4</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办公桌</w:t>
            </w:r>
          </w:p>
        </w:tc>
        <w:tc>
          <w:tcPr>
            <w:tcW w:w="6048" w:type="dxa"/>
            <w:shd w:val="clear" w:color="auto" w:fill="FFFFFF"/>
            <w:tcMar>
              <w:top w:w="0" w:type="dxa"/>
              <w:left w:w="108" w:type="dxa"/>
              <w:bottom w:w="0" w:type="dxa"/>
              <w:right w:w="108" w:type="dxa"/>
            </w:tcMar>
            <w:vAlign w:val="top"/>
          </w:tcPr>
          <w:p>
            <w:pPr>
              <w:keepNext w:val="0"/>
              <w:keepLines w:val="0"/>
              <w:widowControl/>
              <w:suppressLineNumbers w:val="0"/>
              <w:jc w:val="left"/>
              <w:textAlignment w:val="top"/>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规格：≥长1400mm*宽700mm*高750mm。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1、三聚氰胺板饰面，硬度高，不易磨花，台面板厚度为≥25mm，其它板材≥16mm厚。</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2、基材：选用E0级实木颗粒板，具有环保、质地均匀恒定的特点。</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3、封边:≥ 2.0mm同色PVC封边，甲醛释放量符合国家标准。</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4、五金件：采用螺丝、三合一连接件、缓冲铰链五金配件。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▲5、办公桌提供符合GB/T3324-2024&amp;GB</w:t>
            </w:r>
            <w:bookmarkStart w:id="1245" w:name="_GoBack"/>
            <w:bookmarkEnd w:id="1245"/>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18584-2024甲醛释放量≤0.5mg/L；8大重金属检测（钡、铅、镉、锑、硒、铬、汞、砷）参照GB6675.4-2014标准；中性盐雾检测合格的由国家认可的第三方检测机构出具的检测报告。</w:t>
            </w:r>
          </w:p>
        </w:tc>
        <w:tc>
          <w:tcPr>
            <w:tcW w:w="731" w:type="dxa"/>
            <w:shd w:val="clear" w:color="auto" w:fill="FFFFFF"/>
            <w:tcMar>
              <w:top w:w="0" w:type="dxa"/>
              <w:left w:w="108" w:type="dxa"/>
              <w:bottom w:w="0" w:type="dxa"/>
              <w:right w:w="108" w:type="dxa"/>
            </w:tcMar>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color w:val="auto"/>
                <w:sz w:val="21"/>
                <w:szCs w:val="21"/>
                <w:highlight w:val="none"/>
                <w:lang w:val="en-US" w:eastAsia="zh-CN"/>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40</w:t>
            </w:r>
          </w:p>
        </w:tc>
        <w:tc>
          <w:tcPr>
            <w:tcW w:w="718" w:type="dxa"/>
            <w:shd w:val="clear" w:color="auto" w:fill="FFFFFF"/>
            <w:tcMar>
              <w:top w:w="0" w:type="dxa"/>
              <w:left w:w="108" w:type="dxa"/>
              <w:bottom w:w="0" w:type="dxa"/>
              <w:right w:w="108" w:type="dxa"/>
            </w:tcMar>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color w:val="auto"/>
                <w:sz w:val="21"/>
                <w:szCs w:val="21"/>
                <w:highlight w:val="none"/>
                <w:lang w:eastAsia="zh-CN"/>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5</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办公椅</w:t>
            </w:r>
          </w:p>
        </w:tc>
        <w:tc>
          <w:tcPr>
            <w:tcW w:w="6048" w:type="dxa"/>
            <w:shd w:val="clear" w:color="auto" w:fill="FFFFFF"/>
            <w:tcMar>
              <w:top w:w="0" w:type="dxa"/>
              <w:left w:w="108" w:type="dxa"/>
              <w:bottom w:w="0" w:type="dxa"/>
              <w:right w:w="108" w:type="dxa"/>
            </w:tcMar>
            <w:vAlign w:val="top"/>
          </w:tcPr>
          <w:p>
            <w:pPr>
              <w:keepNext w:val="0"/>
              <w:keepLines w:val="0"/>
              <w:widowControl/>
              <w:suppressLineNumbers w:val="0"/>
              <w:jc w:val="left"/>
              <w:textAlignment w:val="top"/>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规格：≥长650mm*宽630mm*高(930-1030)mm。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1、细纹西皮弧面定型海绵头枕（升降）。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2、尼龙+24%玻璃纤维背架 。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3、固定扶手，升降腰靠，高回弹海绵，原位锁定底盘。</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4、沉口≥40mm黑色汽杆。</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5、φ≥340mm 尼龙高脚。</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6、φ≥60mm PU轮黑色脚轮。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7、办公椅提供符合GB/T3324-2024&amp;GB18584-2024甲醛释放量≤1.5mg/L；8大重金属检测（钡、铅、镉、锑、硒、铬、汞、砷）参照GB6675.4-2014标准，锑Sb≤60mg/kg，砷As≤25mg/kg，钡Ba≤1000mg/kg，镉Cd≤50mg/kg，铬Cr≤25mg/kg，铅Pb≤90mg/kg，汞Hg≤25mg/kg，硒Se≤500mg/kg；中性盐雾检测合格的由国家认可的第三方检测机构出具的检测报告。</w:t>
            </w:r>
          </w:p>
        </w:tc>
        <w:tc>
          <w:tcPr>
            <w:tcW w:w="731" w:type="dxa"/>
            <w:shd w:val="clear" w:color="auto" w:fill="FFFFFF"/>
            <w:tcMar>
              <w:top w:w="0" w:type="dxa"/>
              <w:left w:w="108" w:type="dxa"/>
              <w:bottom w:w="0" w:type="dxa"/>
              <w:right w:w="108" w:type="dxa"/>
            </w:tcMar>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40</w:t>
            </w:r>
          </w:p>
        </w:tc>
        <w:tc>
          <w:tcPr>
            <w:tcW w:w="718" w:type="dxa"/>
            <w:shd w:val="clear" w:color="auto" w:fill="FFFFFF"/>
            <w:tcMar>
              <w:top w:w="0" w:type="dxa"/>
              <w:left w:w="108" w:type="dxa"/>
              <w:bottom w:w="0" w:type="dxa"/>
              <w:right w:w="108" w:type="dxa"/>
            </w:tcMar>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把</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6</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文件柜</w:t>
            </w:r>
          </w:p>
        </w:tc>
        <w:tc>
          <w:tcPr>
            <w:tcW w:w="6048" w:type="dxa"/>
            <w:shd w:val="clear" w:color="auto" w:fill="FFFFFF"/>
            <w:tcMar>
              <w:top w:w="0" w:type="dxa"/>
              <w:left w:w="108" w:type="dxa"/>
              <w:bottom w:w="0" w:type="dxa"/>
              <w:right w:w="108" w:type="dxa"/>
            </w:tcMar>
            <w:vAlign w:val="bottom"/>
          </w:tcPr>
          <w:p>
            <w:pPr>
              <w:keepNext w:val="0"/>
              <w:keepLines w:val="0"/>
              <w:widowControl/>
              <w:suppressLineNumbers w:val="0"/>
              <w:jc w:val="left"/>
              <w:textAlignment w:val="bottom"/>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1、规格：≥长900mm*宽400mm*高1850mm。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2、产品采用冷轧钢板制作而成，厚度≥0.6mm.耐压，强度大，抗冲击不易变形；采用静电粉末喷塑，无有机溶剂，无污染：开启灵活，焊接部表面光滑。</w:t>
            </w:r>
          </w:p>
        </w:tc>
        <w:tc>
          <w:tcPr>
            <w:tcW w:w="731" w:type="dxa"/>
            <w:shd w:val="clear" w:color="auto" w:fill="FFFFFF"/>
            <w:tcMar>
              <w:top w:w="0" w:type="dxa"/>
              <w:left w:w="108" w:type="dxa"/>
              <w:bottom w:w="0" w:type="dxa"/>
              <w:right w:w="108" w:type="dxa"/>
            </w:tcMar>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40</w:t>
            </w:r>
          </w:p>
        </w:tc>
        <w:tc>
          <w:tcPr>
            <w:tcW w:w="718" w:type="dxa"/>
            <w:shd w:val="clear" w:color="auto" w:fill="FFFFFF"/>
            <w:tcMar>
              <w:top w:w="0" w:type="dxa"/>
              <w:left w:w="108" w:type="dxa"/>
              <w:bottom w:w="0" w:type="dxa"/>
              <w:right w:w="108" w:type="dxa"/>
            </w:tcMar>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个</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7</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办公室沙发</w:t>
            </w:r>
          </w:p>
        </w:tc>
        <w:tc>
          <w:tcPr>
            <w:tcW w:w="6048" w:type="dxa"/>
            <w:shd w:val="clear" w:color="auto" w:fill="FFFFFF"/>
            <w:tcMar>
              <w:top w:w="0" w:type="dxa"/>
              <w:left w:w="108" w:type="dxa"/>
              <w:bottom w:w="0" w:type="dxa"/>
              <w:right w:w="108" w:type="dxa"/>
            </w:tcMar>
            <w:vAlign w:val="bottom"/>
          </w:tcPr>
          <w:p>
            <w:pPr>
              <w:keepNext w:val="0"/>
              <w:keepLines w:val="0"/>
              <w:widowControl/>
              <w:suppressLineNumbers w:val="0"/>
              <w:jc w:val="left"/>
              <w:textAlignment w:val="bottom"/>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三人沙发≥长1760mm*宽510mm*高400mm-500mm。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1、西皮饰面；西皮符合GB 17927-2024标准中要求公共场所家具阻燃等级≥B1级。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2、内部实木框架，四面抛光、烘干、除虫处理。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3、回填高回弹海绵符合GB 17927-2024标准中要求公共场所家具阻燃等级≥B1级。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4、锰钢蛇簧加平衡线处理。</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5、五金脚。</w:t>
            </w:r>
          </w:p>
        </w:tc>
        <w:tc>
          <w:tcPr>
            <w:tcW w:w="731" w:type="dxa"/>
            <w:shd w:val="clear" w:color="auto" w:fill="FFFFFF"/>
            <w:tcMar>
              <w:top w:w="0" w:type="dxa"/>
              <w:left w:w="108" w:type="dxa"/>
              <w:bottom w:w="0" w:type="dxa"/>
              <w:right w:w="108" w:type="dxa"/>
            </w:tcMar>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15</w:t>
            </w:r>
          </w:p>
        </w:tc>
        <w:tc>
          <w:tcPr>
            <w:tcW w:w="718" w:type="dxa"/>
            <w:shd w:val="clear" w:color="auto" w:fill="FFFFFF"/>
            <w:tcMar>
              <w:top w:w="0" w:type="dxa"/>
              <w:left w:w="108" w:type="dxa"/>
              <w:bottom w:w="0" w:type="dxa"/>
              <w:right w:w="108" w:type="dxa"/>
            </w:tcMar>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组</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8</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办公室茶几</w:t>
            </w:r>
          </w:p>
        </w:tc>
        <w:tc>
          <w:tcPr>
            <w:tcW w:w="6048" w:type="dxa"/>
            <w:shd w:val="clear" w:color="auto" w:fill="FFFFFF"/>
            <w:tcMar>
              <w:top w:w="0" w:type="dxa"/>
              <w:left w:w="108" w:type="dxa"/>
              <w:bottom w:w="0" w:type="dxa"/>
              <w:right w:w="108" w:type="dxa"/>
            </w:tcMar>
            <w:vAlign w:val="bottom"/>
          </w:tcPr>
          <w:p>
            <w:pPr>
              <w:keepNext w:val="0"/>
              <w:keepLines w:val="0"/>
              <w:widowControl/>
              <w:suppressLineNumbers w:val="0"/>
              <w:jc w:val="left"/>
              <w:textAlignment w:val="bottom"/>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茶几：≥长1200mm*宽600mm*高450mm一个。</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1、岩板：双层≥12mm厚灰岩板。</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2、架子：太空灰喷涂钢架。</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颜色可选</w:t>
            </w:r>
          </w:p>
        </w:tc>
        <w:tc>
          <w:tcPr>
            <w:tcW w:w="731" w:type="dxa"/>
            <w:shd w:val="clear" w:color="auto" w:fill="FFFFFF"/>
            <w:tcMar>
              <w:top w:w="0" w:type="dxa"/>
              <w:left w:w="108" w:type="dxa"/>
              <w:bottom w:w="0" w:type="dxa"/>
              <w:right w:w="108" w:type="dxa"/>
            </w:tcMar>
            <w:vAlign w:val="bottom"/>
          </w:tcPr>
          <w:p>
            <w:pPr>
              <w:keepNext w:val="0"/>
              <w:keepLines w:val="0"/>
              <w:widowControl/>
              <w:suppressLineNumbers w:val="0"/>
              <w:jc w:val="center"/>
              <w:textAlignment w:val="bottom"/>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9</w:t>
            </w:r>
          </w:p>
        </w:tc>
        <w:tc>
          <w:tcPr>
            <w:tcW w:w="718" w:type="dxa"/>
            <w:shd w:val="clear" w:color="auto" w:fill="FFFFFF"/>
            <w:tcMar>
              <w:top w:w="0" w:type="dxa"/>
              <w:left w:w="108" w:type="dxa"/>
              <w:bottom w:w="0" w:type="dxa"/>
              <w:right w:w="108" w:type="dxa"/>
            </w:tcMar>
            <w:vAlign w:val="bottom"/>
          </w:tcPr>
          <w:p>
            <w:pPr>
              <w:jc w:val="center"/>
              <w:rPr>
                <w:rFonts w:hint="eastAsia" w:ascii="方正仿宋_GB2312" w:hAnsi="方正仿宋_GB2312" w:eastAsia="方正仿宋_GB2312" w:cs="方正仿宋_GB2312"/>
                <w:color w:val="auto"/>
                <w:sz w:val="21"/>
                <w:szCs w:val="21"/>
                <w:highlight w:val="none"/>
              </w:rPr>
            </w:pP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9</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弧形计算机桌</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弧形计算机桌</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1、尺寸：≥1500mm*800mm*750mm（长*宽*高，±20mm）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2.▲基材：不低于E1级实木颗粒板，基材厚度≥25mm，按GB/T 4897-2015《刨花板》、GB 18580-2017《室内装饰装修材料 人造板及其制品中甲醛释放限量》、GB/T 39600-2021《人造板及其制品甲醛释放量分级》检验，GB/T 35601-2024《绿色产品评价  人造板和木质地板》、HJ571-2010《环境标志产品技术要求 人造板及其制品》检测结果均符合标准；甲醛释放量≤0.05mg/m³标准（提供国家认可的第三方检测机构出具的检测报告）。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3.▲五金配件：采用优质三合一连接件：乙酸盐雾试验（ASS）连续喷雾200h，镀（涂）层本身耐腐蚀等级10级，镀（涂）层对基体的保护等级10级，符合QB/T3827-1999‌ 等盐雾耐腐蚀标准。</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（提供国家认可的第三方检测机构出具的检测报告）。</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10</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异形桌</w:t>
            </w:r>
          </w:p>
        </w:tc>
        <w:tc>
          <w:tcPr>
            <w:tcW w:w="6048" w:type="dxa"/>
            <w:shd w:val="clear" w:color="auto" w:fill="FFFFFF"/>
            <w:tcMar>
              <w:top w:w="0" w:type="dxa"/>
              <w:left w:w="108" w:type="dxa"/>
              <w:bottom w:w="0" w:type="dxa"/>
              <w:right w:w="108" w:type="dxa"/>
            </w:tcMar>
            <w:vAlign w:val="center"/>
          </w:tcPr>
          <w:p>
            <w:pPr>
              <w:keepNext w:val="0"/>
              <w:keepLines w:val="0"/>
              <w:widowControl/>
              <w:numPr>
                <w:ilvl w:val="0"/>
                <w:numId w:val="2"/>
              </w:numPr>
              <w:suppressLineNumbers w:val="0"/>
              <w:jc w:val="left"/>
              <w:textAlignment w:val="cente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尺寸：≥2450mm*1450mm*750mm（长*宽*高，±20mm）。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2、▲基材：不低于E1级实木颗粒板，基材厚度≥25mm，按GB/T 4897-2015《刨花板》、GB 18580-2017《室内装饰装修材料 人造板及其制品中甲醛释放限量》、GB/T 39600-2021《人造板及其制品甲醛释放量分级》检验，GB/T 35601-2024《绿色产品评价  人造板和木质地板》、HJ571-2010《环境标志产品技术要求 人造板及其制品》检测结果均符合标准；甲醛释放量≤0.05mg/m³标准。</w:t>
            </w:r>
          </w:p>
          <w:p>
            <w:pPr>
              <w:keepNext w:val="0"/>
              <w:keepLines w:val="0"/>
              <w:widowControl/>
              <w:numPr>
                <w:ilvl w:val="-1"/>
                <w:numId w:val="0"/>
              </w:numPr>
              <w:suppressLineNumbers w:val="0"/>
              <w:jc w:val="left"/>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3、桌子整体造型呈三形，桌边角圆角，圆角弧形半径≥300mm-500mm，桌子颜色整体为白色。</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4、五金配件：采用优质三合一连接件：乙酸盐雾试验（ASS）连续喷雾200h，镀（涂）层本身耐腐蚀等级10级，镀（涂）层对基体的保护等级10级，符合QB/T3827-1999‌ 等盐雾耐腐蚀标准</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11</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书桌</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1.尺寸：1800mm*800mm*750mm（长*宽*高，±20mm）。                                                                                                 2、桌脚材质：钢架结构，钢制喷塑桌架，塑粉采用热固性粉末涂料，杯突≥4mm，耐碱、耐酸、耐湿热、耐老化、耐腐蚀，可溶性铅、镉、铬、汞等重金属含量检测合格，金属喷漆（塑）涂层硬度≥H，附着力不低于2级，符合HG/T 2006-2022标准要求。</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3、桌面材质：全实木白蜡木，实木面板30mm厚，纹理清晰，密度高；经防潮、防虫、防腐处理。                                                                        4、五金件：优质五金配件。                                                                                              5.桌边角圆角工艺精细打磨。</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12</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茶水吧茶桌</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1.尺寸：4500mm*1000mm*750-800mm（长*宽*高，±20mm）。                                                                     2.面材：全实木白蜡木，厚≥35mm，桌脚：整体为箱柜，可以做收纳空间。</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3.基材：全实木白蜡木，经过防虫、防腐等化学处理，木材干燥至低于10%的含水量，各项技术指标均达级国家标准。</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4.配件：优质五金配件紧密拼接，间隙小且均，连接件严密、平整、端正、牢固。                                                5.桌边角圆角工艺精细打磨。</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13</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会议椅</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1、尺寸：≥470mm*450mm*860mm（长*宽*总高，±20mm）。                                                                   2、材质：PP加纤塑料一体成型内塑料背筐，无扶手。                                                                                                                                                                                  3、靠背：背座相连，高密度回弹海绵，回弹率≧50%，绒布/西皮外饰面。                                                                                                                                                                            4、椅脚：直径≥660mm白色四星尼龙脚 。                                                                                                                                                                                     5、椅轮：≥50mm白色尼龙PU轮。                                                                                                         ▲6、会议椅提供符合GB/T3324-2024&amp;GB18584-2024甲醛释放量≤1.5mg/L；8大重金属检测（钡、铅、镉、锑、硒、铬、汞、砷）参照GB6675.4-2014标准，锑Sb≤60mg/kg，砷As≤25mg/kg，钡Ba≤1000mg/kg，镉Cd≤50mg/kg，铬Cr≤25mg/kg，铅Pb≤90mg/kg，汞Hg≤25mg/kg，硒Se≤500mg/kg；提供中性盐雾检测合格的由国家认可的第三方检测机构出具的检测报告。</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8</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把</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14</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书桌椅</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1、尺寸：≥580mm*500mm*450mm（长*宽*高，±20mm）。                                                                              2、框架材质：碳塑钢承重脚，钢材壁厚≥2.0mm。                                                                             3、高密度海绵，海绵颜色均匀、无污染、无刺激性气味，甲醛释放量≤0.08mg/m³和TVOC≤0.50mg/m³，回弹率≧50%，拉伸强度≧100kPa，伸长率≧100%，撕裂强度≧3.5N/cm，干热老化后拉伸强度55kPa，恒定负荷反复压陷疲劳性能≦35%。</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4、饰面材质：耐磨抗撕拉科技皮。</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把</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15</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茶桌椅</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1、尺寸：≥500mm*450mm*750mm（长*宽*高，±20mm）。                                                                           2、实木框架，木材采用全实木白蜡木，木材经干燥、防虫、防腐处理，木材全干密度≧0.50g/cm³，含水率低于16%。</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高密度海绵垫，海绵颜色均匀、无污染、无刺激性气味，甲醛释放量≤0.08mg/m³和TVOC≤0.50mg/m³，回弹率≧50%，拉伸强度≧100kPa，伸长率≧100%，撕裂强度≧3.5N/cm，干热老化后拉伸强度≧55kPa，恒定负荷反复压陷疲劳性能≦35%（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4、合格面料，不含C类甲醛，C类染色牢度≧3级，无异味，纺织面料可分解芳香胺染料检测合格，符合《GB 18401-2010 国家纺织产品基本安全技术规范》标准要求。</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14</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把</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16</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备课室茶几</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1、规格：≥1200mm*1000mm*750-800mm（长*宽*高）。</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2、岩板：双层≥12mm厚灰岩板。</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3、架子：太空灰喷涂钢架，符合 ‌GB 18584-2024有害物质限量‌（铅≤90mg/kg、铬≤60mg/kg），承重能力≥120kg。</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rPr>
            </w:pPr>
            <w:r>
              <w:rPr>
                <w:rFonts w:hint="eastAsia" w:ascii="方正仿宋_GB2312" w:hAnsi="方正仿宋_GB2312" w:eastAsia="方正仿宋_GB2312" w:cs="方正仿宋_GB2312"/>
                <w:color w:val="auto"/>
                <w:sz w:val="21"/>
                <w:szCs w:val="21"/>
                <w:highlight w:val="none"/>
                <w:lang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17</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茶几圆凳</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1、规格：直径≥350mm*高（400-450）mm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2、凳面材质：面料采用优质猫抓皮，阻燃面料(阻燃布)GB 18401-2010《国家纺织产品基本安全技术规范》:GB17927.1-2011《软体家具床垫和沙发抗引燃特性的评定第1部分：阴燃的香烟》，耐磨耐抓，柔软舒适。</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3、实木框架，木材采用全实木，木材经干燥、防虫、防腐处理，木材全干密度≥0.50g/cm³，含水率低于12%；                                                    4、高密度海绵垫，海绵颜色均匀、无污染、无刺激性气味，甲醛释放量≤0.08mg/m³和TVOC≤0.50mg/m³，回弹率≧50%，拉伸强度≧100kPa，伸长率≧100%，撕裂强度≧3.5N/cm，干热老化后拉伸强度≧55kPa，恒定负荷反复压陷疲劳性能≦35%。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个</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18</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高座椅</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1.尺寸：520mm*480mm*750mm（长*宽*高）。                                                                                  2. 优质西皮面层，实木框架，承重大于150KG.面层安装高弹阻燃海绵。</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把</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19</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柜子1</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1、尺寸规格:≥3000mm*300mm*2400mm(长*宽*高)。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2、柜体板材采用符合或优于E0级，甲醛释放量≤0.5mg/L，环保优质浸渍胶膜纸饰面刨花板（三聚氰胺板），厚度≥18mm。浸渍胶膜纸饰面刨花板（三聚氰胺板） 符合GB/T15102-2017、 GB/T39600-2021、 GB/T17657-2022、GB18580-2017。</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2、封边：采用优质PUR激光封边条，封边严密、平整，与整块板材严丝合缝，不脱胶、表面无胶渍。热熔封边。PUR激光封边条符合QB/T4463-2013标准。厚度≥1.5mm。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3、热熔胶：采用优质热熔胶，热熔胶符合GB18583-2008、GB/T21604-2022标准。</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4、五金配件：优质五金配件采用优质三合一连接件：乙酸盐雾试验（ASS）连续喷雾200h，镀（涂）层本身耐腐蚀等级10级，镀（涂）层对基体的保护等级10级；符合QB/T3827-1999‌ 等盐雾耐腐蚀标准。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7.2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20</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柜子2</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1、尺寸规格:≥2275mm*300mm*2400mm(长*宽*高)2组;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2、柜体板材采用符合或优于E0级，甲醛释放量≤0.5mg/L，环保优质浸渍胶膜纸饰面刨花板（三聚氰胺板），厚度≥18mm。浸渍胶膜纸饰面刨花板（三聚氰胺板） 符合GB/T15102-2017、 GB/T39600-2021、 GB/T17657-2022、GB18580-2017。</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2、封边：采用优质PUR激光封边条，封边严密、平整，与整块板材严丝合缝，不脱胶、表面无胶渍。热熔封边。PUR激光封边条符合QB/T4463-2013标准。厚度≥1.5mm,。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3、热熔胶：采用优质热熔胶，热熔胶符合GB18583-2008、GB/T21604-2022标准。</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4、五金配件：优质五金配件采用优质三合一连接件：乙酸盐雾试验（ASS）连续喷雾200h，镀（涂）层本身耐腐蚀等级10级，镀（涂）层对基体的保护等级10级；符合QB/T3827-1999‌ 等盐雾耐腐蚀标准。</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10.92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21</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柜子3</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1、尺寸规格:≥2500mm*300mm*2400mm(长*宽*高);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2、柜体板材采用符合或优于E0级，甲醛释放量≤0.5mg/L，环保优质浸渍胶膜纸饰面刨花板（三聚氰胺板），厚度≥18mm。浸渍胶膜纸饰面刨花板（三聚氰胺板） 符合GB/T15102-2017、 GB/T39600-2021、 GB/T17657-2022、GB18580-2017。</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2、封边：采用优质PUR激光封边条，封边严密、平整，与整块板材严丝合缝，不脱胶、表面无胶渍。热熔封边。PUR激光封边条符合QB/T4463-2013标准。厚度≥1.5mm,。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3、热熔胶：采用优质热熔胶，热熔胶符合GB18583-2008、GB/T21604-2022标准。</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4、五金配件：优质五金配件采用优质三合一连接件：乙酸盐雾试验（ASS）连续喷雾200h，镀（涂）层本身耐腐蚀等级10级，镀（涂）层对基体的保护等级10级；符合QB/T3827-1999‌ 等盐雾耐腐蚀标准。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6</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22</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柜子4</w:t>
            </w:r>
          </w:p>
        </w:tc>
        <w:tc>
          <w:tcPr>
            <w:tcW w:w="6048" w:type="dxa"/>
            <w:shd w:val="clear" w:color="auto" w:fill="FFFFFF"/>
            <w:tcMar>
              <w:top w:w="0" w:type="dxa"/>
              <w:left w:w="108" w:type="dxa"/>
              <w:bottom w:w="0" w:type="dxa"/>
              <w:right w:w="108" w:type="dxa"/>
            </w:tcMar>
            <w:vAlign w:val="top"/>
          </w:tcPr>
          <w:p>
            <w:pPr>
              <w:keepNext w:val="0"/>
              <w:keepLines w:val="0"/>
              <w:widowControl/>
              <w:suppressLineNumbers w:val="0"/>
              <w:jc w:val="left"/>
              <w:textAlignment w:val="top"/>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1、尺寸规格:≥7200mm*300mm*2400mm(长*宽*高)2组;                                                                       2、柜体板材采用符合或优于E0级，甲醛释放量≤0.5mg/L，环保优质浸渍胶膜纸饰面刨花板（三聚氰胺板），厚度≥18mm。浸渍胶膜纸饰面刨花板（三聚氰胺板） 符合GB/T15102-2017、 GB/T39600-2021、 GB/T17657-2022、GB18580-2017。</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2、封边：采用优质PUR激光封边条，封边严密、平整，与整块板材严丝合缝，不脱胶、表面无胶渍。热熔封边。PUR激光封边条符合QB/T4463-2013标准。厚度≥1.5mm,。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3、热熔胶：采用优质热熔胶，热熔胶符合GB18583-2008、GB/T21604-2022标准。</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4、五金配件：优质五金配件采用优质三合一连接件：乙酸盐雾试验（ASS）连续喷雾200h，镀（涂）层本身耐腐蚀等级10级，镀（涂）层对基体的保护等级10级；符合QB/T3827-1999‌ 等盐雾耐腐蚀标准。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34.56</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23</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展示柜</w:t>
            </w:r>
          </w:p>
        </w:tc>
        <w:tc>
          <w:tcPr>
            <w:tcW w:w="6048" w:type="dxa"/>
            <w:shd w:val="clear" w:color="auto" w:fill="FFFFFF"/>
            <w:tcMar>
              <w:top w:w="0" w:type="dxa"/>
              <w:left w:w="108" w:type="dxa"/>
              <w:bottom w:w="0" w:type="dxa"/>
              <w:right w:w="108" w:type="dxa"/>
            </w:tcMar>
            <w:vAlign w:val="top"/>
          </w:tcPr>
          <w:p>
            <w:pPr>
              <w:keepNext w:val="0"/>
              <w:keepLines w:val="0"/>
              <w:widowControl/>
              <w:suppressLineNumbers w:val="0"/>
              <w:jc w:val="left"/>
              <w:textAlignment w:val="top"/>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定制陈列展示柜</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1、尺寸：≥3800mm*3300mm*800-850mm(长*宽*高);台面板材厚度≥30mm,定制外形，外形整体呈不闭合圆形，具体详设计图纸</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▲2、贴面材料：采用优质实木皮贴面：符合GB 18584-2024、GB/T13010-2020标准，厚度≥0.6mm,其中甲醛释放量≤0.05mg/L,含水率≤8%,检测合格（提供国家认可的第三方检测机构出具的检测报告）。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▲3、基材：采用中密度纤维板（MDF板），符合GB/T39600-2021、GB18580-2017、GB/T11718-2021、GB/T35601-2024、GBT17657-2022标准，静曲强度检测结果≥24MPa,弹性模量检测结果≥2300 MPa,内胶合强度检测结果≥0.45MPa,表面胶合强度检测结果≥0.9MPa,,板边握螺钉力检测结果≥900N,板面握螺钉力检测结果≥900N,;甲醛释放量检测结果未检出，苯、甲苯、二甲苯、总挥发性有机化合物检测结果均未检出，抗细菌性能：金黄色葡萄球菌、肺炎链球菌、检测结果≥99.92%，防霉菌性能等级≤1级（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4、底座：金属钢架结构，金属壁厚≥2.0mm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5、封边用材：采用贴面相同的实木木皮封边。</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6、胶水：采用环保水溶性胶黏剂（白乳胶），符合GB18583-2008、GB/T21604-2022标准，游离甲醛≤0.05g/kg,苯、甲苯+二甲苯含量≤0.02g/kg,总挥发性有机物≤110g/L。</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▲7、油漆：采用环保水性面漆、水性底漆，表面烤漆工艺，符合GB/T23999-2009、GB/T23991-2009、GB18581-2020、GB/T23986-2009、GB/T23990-2009 、GB/T21604-2022标准， VOC含量检测结果≤20g/L，可溶性重金属含量（镉铬汞）检测结果均未检出，未检出总铅含量，甲醛含量检测结果≤0.01mg/kg,未检出苯系物总和含量[限苯、甲苯、二甲苯(含乙苯)，工业涂料中有害物质限量未检出（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8、五金件：优质五金配件采用优质三合一连接件：乙酸盐雾试验（AASS）连续喷雾200h，镀（涂）层本身耐腐蚀等级10级，镀（涂）层对基体的保护等级10级；符合QB/T3826-1999‌ 等盐雾耐腐蚀标准。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个</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24</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后黑板</w:t>
            </w:r>
          </w:p>
        </w:tc>
        <w:tc>
          <w:tcPr>
            <w:tcW w:w="6048" w:type="dxa"/>
            <w:shd w:val="clear" w:color="auto" w:fill="FFFFFF"/>
            <w:tcMar>
              <w:top w:w="0" w:type="dxa"/>
              <w:left w:w="108" w:type="dxa"/>
              <w:bottom w:w="0" w:type="dxa"/>
              <w:right w:w="108" w:type="dxa"/>
            </w:tcMar>
            <w:vAlign w:val="top"/>
          </w:tcPr>
          <w:p>
            <w:pPr>
              <w:keepNext w:val="0"/>
              <w:keepLines w:val="0"/>
              <w:widowControl/>
              <w:suppressLineNumbers w:val="0"/>
              <w:jc w:val="left"/>
              <w:textAlignment w:val="top"/>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1、基本尺寸：≥3600mm×1200mm。（长*宽）</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2、书写板面：采用280℃高温烤漆板面，墨绿色、亚光，厚度≥0.20mm，漆膜硬度6H，粗糙度Ra1.6-3.2um，光泽度≤6﹪，没有明显眩光，板面表面附有一层透明保护膜。</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3、内芯材料：高强度、吸音、聚乙烯板。</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4、背板：采用优质防锈热镀锌钢板，厚度≥0.20mm，流水线一次成型，确保均布承压不低于635N，更加耐用。</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5、板面与衬板粘贴：采用环保型双组份聚氨酯胶水，符合 ‌GB/T 35607-2024《绿色产品评价家具》‌ 或 ‌GB 18584-2024《室内装饰装修材料木家具中有害物质限量》‌，1:1配置，使用自动化覆板流水线作业，喷胶、压固、切割下料一次成型，确保粘接牢固板面平整。</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6、边框：采用高强度铝合金型材，电泳香槟色；规格≥20㎜×37㎜</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7、包角材料：采用抗老化高强度ABS工程塑料注塑成型。R≥12mm的圆角，无尖角毛刺。</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11</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块</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25</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讲桌</w:t>
            </w:r>
          </w:p>
        </w:tc>
        <w:tc>
          <w:tcPr>
            <w:tcW w:w="6048" w:type="dxa"/>
            <w:shd w:val="clear" w:color="auto" w:fill="FFFFFF"/>
            <w:tcMar>
              <w:top w:w="0" w:type="dxa"/>
              <w:left w:w="108" w:type="dxa"/>
              <w:bottom w:w="0" w:type="dxa"/>
              <w:right w:w="108" w:type="dxa"/>
            </w:tcMar>
            <w:vAlign w:val="top"/>
          </w:tcPr>
          <w:p>
            <w:pPr>
              <w:keepNext w:val="0"/>
              <w:keepLines w:val="0"/>
              <w:widowControl/>
              <w:suppressLineNumbers w:val="0"/>
              <w:jc w:val="left"/>
              <w:textAlignment w:val="top"/>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1、讲台尺寸：长1050mm*宽730mm*高1000mm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2、19英寸机架。</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3、钢木结合材料一体成型；实木橡木扶手，含水率低于12%；桌面木质耐划台面；全封闭式结构，保障了多媒体设备的安全性。</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4、台面平面设计，可放笔记本电脑。</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5、正前方两个储物抽屉，单层承重≥15kg/U）可放杂物。</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6、整体采用分体式结构，上下两部分采用分体组装。</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10</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26</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化学实验讲台</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1、规格：≥2400mm×1200mm×850mm（长*宽*高）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2、▲台面：采用≥13mm厚优抗板台面，为了确保实验人员的健康安全，产品各项性能需满足如下要求：</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1)化学性能要求：参照 GB/T 17657-2022“人造板及饰面人造板理化性能试验方法”进行检验：对硫酸（98%）、盐酸（37%）、磷酸（85%）、铬酸、乙酸（99%）、苯酚（90%）、硝酸银（1%）、氨水（28%）、硫化钠饱和液、氯化镁（10%）、氯仿、高锰酸钾（10%）、苯、甲酚、二甲基甲酰胺、碘酒、煤油、品红（1%）、苏丹红、四氢呋喃、甲基橙、氧化锌饱和液、萘、红茶、红药水、铬酸钾溶液（1g/L）、乙醇胺、液体石蜡、甲酸（80%）、柠檬酸、氢氧化钾（65%）、氯乙烯基镁、丁酮、甲苯、丙三醇、乙醚、无水甲醇、乙酰丙酮、乙腈、环丙甲酮、己二酸二乙酯、1,2-二氯乙烷、溴丙烷、异丁醇、二丙二醇甲醚、丙二醇、正十六烷、邻二甲苯、间二甲苯、正丙醇、三乙胺等136 种化学试剂进行检测，板材检验结果无明显变化，分级结果为 5 级（提供国家认可的第三方检测机构出具的检测报告）。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2)台面物理性能及甲醛性能：物理性能需提供符合GB/T17657-2022标准及其他相关检测标准的报告，其中：弯曲强度≥137 MPa，弯曲弹性模量≥8700MPa,表面耐磨性能：≥1450r，未出现磨损，耐光色牢度：＞4级，耐水蒸气性能、耐龟裂性、耐湿热性能、耐干热性能等级均为5级，抗冲击性能（1m）表面压痕直径＜5.0mm，板面握钉力≥4050N，浸渍剥离性能结果为0，体积电阻、表面电阻≤4.7*1012，耐臭氧（72h）外观无明显变化，静曲强度≥137 MPa，弹性模量≥9880MPa，尺寸稳定性纵向不大于0.04%、横向不大于0.05%，漆膜附着力达六级：切割边缘完全平滑，网格内无脱落。甲醛性能需符合GB/T 39600-2021标准检验，甲醛释放量≤0.007 mg/m³。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3)燃烧性能项目检测符合GB 8624-2012标准，达到B1（C-s1,d0,t1）级，烟气毒性等级为ZA3级；检测依据GB/T 2408-2021标准水平燃烧符合HB级、垂直燃符合V-0级。</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柜体：采用0.8-1.0mm优质冷轧钢板，采用二氧化碳保护焊焊接，边缘打磨处理，表面经酸洗、磷化及环氧树脂户外粉静电喷涂，具备较强的耐酸碱防护能力；整体讲台由多个独立的柜体组合而成，柜体中预留教师主控电源、电脑键盘、水槽安装等位置；中间三个柜体为正面单开门，两侧柜子为侧面双开门，优化物品摆放空间。</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4、拉手：在柜门或抽屉正面上方处一体折弯而成；</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5、防撞胶垫：装于抽屉及门板内侧，减缓碰撞，保护柜体；</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6、门板及抽面：采用双层钢板，必须两层组装式设计，保证两层双面都经过喷涂处理，保证门板和抽面具备较强硬度，不轻易出现凹陷；</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7、铰链：采用名牌优质缓冲耐腐蚀铰链，开合十万次不变形。</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8、滑轨：三节重型滚珠滑轨，承重性强，滑动性能良好，无噪音；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9、固定桌脚：采用柜体内置可调PP塑料调整脚，保证调整脚前后都可以调节高低，调节幅度‌:0-20mm。</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台　</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27</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化学探究实验台1</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1、规格：≥1700mm*1200mm*780mm（长*宽*高）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2、▲台面：采用≥12.7mm厚实芯（双面）理化板台面，台面边缘用同质材料板双层加厚至25.4mm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1)化学性能要求：参照 GB/T 17657-2022“人造板及饰面人造板理化性能试验方法”进行检验：对硫酸（98%）、盐酸（37%）、氢氧化钠（40%）、四氯化碳、苯、苯酚饱和液、氯化镁(10%)、红茶、汽油、王水、二氯乙烷、对甲酚、草酸、亚甲基蓝（5%）、丙酮、乙醚、甲酸（88%）、无水甲醇、乙酸正戊酯、5%氯化钠溶液、三氯乙烯、异丙醇、异辛烷、3%双氧水、硫酸钠饱和液、石脑油等138 种化学试剂进行检测，板材检验结果无明显变化，分级结果为 5 级；</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物理性能及甲醛性能：物理性能需提供符合GB/T17657-2022标准及其他相关检测标准的报告，其中：静曲强度≥145Mpa；弹性模量≥10400Mpa；抗拉强度≥68Mpa；拉伸强度≥68Mpa；含水率：≤1.3%；24h吸水率≤0.2%；密度≥1.43g/cm3；表面耐龟裂性性能、表面耐湿热性能、表面耐干热性能等级均为5级，耐沸水性能：质量增加百分率≤0.01%、厚度增加百分率≤0.06%，表面质量等级：5级：无变化，边缘质量等级：5级：无明显变化，抗冲击性能（1m）表面压痕直径＜5.2mm，表面耐磨性能≥1120r，未出现磨损，耐臭氧（72h）外观无明显变化，尺寸稳定性纵向横向均不大于0.03%，漆膜附着力达六级：切割边缘完全平滑，网格内无脱落。甲醛性能需符合经GB/T 39600-2021标准检验，甲醛释放量≤0.005 mg/m³；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3)检测依据《室内空气净化产品净化效果测定方法》，提供甲醛去除率、甲苯去除率的检测报告,结果能达到甲醛去除率≥60%，甲苯去除率≥16%；（提供国家认可的第三方检测机构出具的检测报告）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钢架：≥60*40*2.0mm灰白色优质钢型材制成，壁厚为≥2.0mm，采用无缝焊接技术一体成型，可配合悬吊式木柜及落地式滚轮柜。钢架表面经过酸洗、磷化、电咏除锈处理，喷涂75um环氧树酯高压静电粉沫，并高温固化。中央台钢架为“#”字型钢架，相当于两个“C-Frame”钢架对接而成，钢架承重能力强，两个支撑钢架间距离可达1.8m，负重≥250kg/m2。防腐、美观、稳定强固。带两个水平调节脚。高度可上下调节≥50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4、地脚：采用的地脚为不锈钢与高强尼龙组合地脚。该种地脚摩擦系数高，可有效防止各类实验台及高柜出现不必要的滑动，并可减轻各种因素带来的震动。地脚上的螺母设计使其具有高低可调功能，以方便调节实验台以达到实验台平衡的目的，它的可调高度为0-50mm。                                                                                                                                         5、实验台整体带有水槽、三联水嘴及电源。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28</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化学探究实验台2</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1、规格：≥2900mm*1200mm*780mm（长*宽*高）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2、▲台面：采用≥12.7mm厚实芯（双面）理化板台面，台面边缘用同质材料板双层加厚至25.4mm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1)化学性能要求：参照 GB/T 17657-2022“人造板及饰面人造板理化性能试验方法”进行检验：对硫酸（98%）、盐酸（37%）、氢氧化钠（40%）、四氯化碳、苯、苯酚饱和液、氯化镁(10%)、红茶、汽油、王水、二氯乙烷、对甲酚、草酸、亚甲基蓝（5%）、丙酮、乙醚、甲酸（88%）、无水甲醇、乙酸正戊酯、5%氯化钠溶液、三氯乙烯、异丙醇、异辛烷、3%双氧水、硫酸钠饱和液、石脑油等138 种化学试剂进行检测，板材检验结果无明显变化，分级结果为 5 级；</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物理性能及甲醛性能：物理性能需提供符合GB/T17657-2022标准及其他相关检测标准的报告，其中：静曲强度≥145Mpa；弹性模量≥10400Mpa；抗拉强度≥68Mpa；拉伸强度≥68Mpa；含水率：≤1.3%；24h吸水率≤0.2%；密度≥1.43g/cm3；表面耐龟裂性性能、表面耐湿热性能、表面耐干热性能等级均为5级，耐沸水性能：质量增加百分率≤0.01%、厚度增加百分率≤0.06%，表面质量等级：5级：无变化，边缘质量等级：5级：无明显变化，抗冲击性能（1m）表面压痕直径＜5.2mm，表面耐磨性能≥1120r，未出现磨损，耐臭氧（72h）外观无明显变化，尺寸稳定性纵向横向均不大于0.03%，漆膜附着力达六级：切割边缘完全平滑，网格内无脱落。甲醛性能需符合经GB/T 39600-2021标准检验，甲醛释放量≤0.005 mg/m³；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3)检测依据《室内空气净化产品净化效果测定方法》，提供甲醛去除率、甲苯去除率的检测报告,结果能达到甲醛去除率≥60%，甲苯去除率≥16%；（提供国家认可的第三方检测机构出具的检测报告）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钢架：≥60*40*2.0mm灰白色优质钢型材制成，壁厚为≥2.0mm，采用无缝焊接技术一体成型，可配合悬吊式木柜及落地式滚轮柜。钢架表面经过酸洗、磷化、电咏除锈处理，喷涂75um环氧树酯高压静电粉沫，并高温固化。中央台钢架为“#”字型钢架，相当于两个“C-Frame”钢架对接而成，钢架承重能力强，两个支撑钢架间距离可达1.8m，负重≥250kg/m2。防腐、美观、稳定强固。带两个水平调节脚。高度可上下调节≥50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4、地脚：采用的地脚为不锈钢与高强尼龙组合地脚。该种地脚摩擦系数高，可有效防止各类实验台及高柜出现不必要的滑动，并可减轻各种因素带来的震动。地脚上的螺母设计使其具有高低可调功能，以方便调节实验台以达到实验台平衡的目的，它的可调高度为0-50mm。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 5、实验台整体带有水槽、三联水嘴及电源。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29</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化学实验圆凳</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1、规格：直径≥300mm*高（410-460）mm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2、凳面材质：采用环保型ABS改性塑料一次性注塑成型(Sb≤60mg/kg，As≤25mg/kg，Ba≤1000mg/kg，Cd≤75mg/kg，Cr≤60mg/kg，Pb≤90mg/kg，Hg≤60mg/kg，Se≤500mg/kg)。</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3、凳面尺寸：面外径≥300mm，表面细纹咬花，防滑不发光；并配有165mm*165mm*2mm钢板加固，采用全周满焊焊接。</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支撑杆：采用直径≥50mm圆钢管，结构牢固，长期使用也不会出现摇晃松散现象；凳子高度410-460mm连续可调,升降循环次数‌≥5000次,锁定强度‌承受100kg冲击不变形,凳杆采用内置螺纹升降,升高后看不见螺纹可防止衣物缠绕在螺杆上.下端五星脚采用一次性铝压铸成型，五星脚壁厚≥2.5mm,中间加强条和中管连接孔处壁厚不小于4mm,确保凳子牢固耐用</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5、金属部分表面经过防腐氧化处理和纯环氧树脂塑粉高温固化处理，具有较强的耐蚀性及承重性。</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112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个</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30</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化学实验室边台</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1、尺寸：≥600mm*850mm（宽*高）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2、▲台面：采用≥12.7mm厚实芯（双面）理化板台面，台面边缘用同质材料板双层加厚至25.4mm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1)化学性能要求：参照 GB/T 17657-2022“人造板及饰面人造板理化性能试验方法”进行检验：对硫酸（98%）、盐酸（37%）、氢氧化钠（40%）、四氯化碳、苯、苯酚饱和液、氯化镁(10%)、红茶、汽油、王水、二氯乙烷、对甲酚、草酸、亚甲基蓝（5%）、丙酮、乙醚、甲酸（88%）、无水甲醇、乙酸正戊酯、5%氯化钠溶液、三氯乙烯、异丙醇、异辛烷、3%双氧水、硫酸钠饱和液、石脑油等138 种化学试剂进行检测，板材检验结果无明显变化，分级结果为 5 级；</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物理性能及甲醛性能：物理性能需提供符合GB/T17657-2022标准及其他相关检测标准的报告，其中：静曲强度≥145Mpa；弹性模量≥10400Mpa；抗拉强度≥68Mpa；拉伸强度≥68Mpa；含水率：≤1.3%；24h吸水率≤0.2%；密度≥1.43g/cm3；表面耐龟裂性性能、表面耐湿热性能、表面耐干热性能等级均为5级，耐沸水性能：质量增加百分率≤0.01%、厚度增加百分率≤0.06%，表面质量等级：5级：无变化，边缘质量等级：5级：无明显变化，抗冲击性能（1m）表面压痕直径＜5.2mm，表面耐磨性能≥1120r，未出现磨损，耐臭氧（72h）外观无明显变化，尺寸稳定性纵向横向均不大于0.03%，漆膜附着力达六级：切割边缘完全平滑，网格内无脱落。甲醛性能需符合经GB/T 39600-2021标准检验，甲醛释放量≤0.005 mg/m³；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3)检测依据《室内空气净化产品净化效果测定方法》，提供甲醛去除率、甲苯去除率的检测报告,结果能达到甲醛去除率≥60%，甲苯去除率≥16%；（提供国家认可的第三方检测机构出具的检测报告）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钢架：≥60*40*2.0mm灰白色优质钢型材制成，采用无缝焊接技术一体成型，可配合悬吊式木柜及落地式滚轮柜。钢架表面经过酸洗、磷化、电咏除锈处理，喷涂75um环氧树酯高压静电粉沫，并高温固化。中央台钢架为“#”字型钢架，相当于两个“C-Frame”钢架对接而成，钢架承重能力强，两个支撑钢架间距离可达1.8m，负重≥250kg/㎡。防腐、美观、稳定强固。带两个水平调节脚。高度可上下调节≥50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4、地脚：采用的地脚为不锈钢与高强尼龙组合地脚。该种地脚摩擦系数高，可有效防止各类实验台及高柜出现不必要的滑动，并可减轻各种因素带来的震动。地脚上的螺母设计使其具有高低可调功能，以方便调节实验台以达到实验台平衡的目的，它的可调高度为0-50mm。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18.7</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米</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31</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生物实验讲台</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1、规格：≥2400mm×1200mm×850mm（长*宽*高）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2、▲台面：采用≥13mm厚优抗板台面，为了确保实验人员的健康安全，产品各项性能需满足如下要求：</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1)化学性能要求：参照 GB/T 17657-2022“人造板及饰面人造板理化性能试验方法”进行检验：对硫酸（98%）、盐酸（37%）、磷酸（85%）、铬酸、乙酸（99%）、苯酚（90%）、硝酸银（1%）、氨水（28%）、硫化钠饱和液、氯化镁（10%）、氯仿、高锰酸钾（10%）、苯、甲酚、二甲基甲酰胺、碘酒、煤油、品红（1%）、苏丹红、四氢呋喃、甲基橙、氧化锌饱和液、萘、红茶、红药水、铬酸钾溶液（1g/L）、乙醇胺、液体石蜡、甲酸（80%）、柠檬酸、氢氧化钾（65%）、氯乙烯基镁、丁酮、甲苯、丙三醇、乙醚、无水甲醇、乙酰丙酮、乙腈、环丙甲酮、己二酸二乙酯、1,2-二氯乙烷、溴丙烷、异丁醇、二丙二醇甲醚、丙二醇、正十六烷、邻二甲苯、间二甲苯、正丙醇、三乙胺等136 种化学试剂进行检测，板材检验结果无明显变化，分级结果为 5 级。</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2)台面物理性能及甲醛性能：物理性能需提供符合GB/T17657-2022标准及其他相关检测标准的报告，其中：弯曲强度≥137 MPa，弯曲弹性模量≥8700MPa,表面耐磨性能：≥1450r，未出现磨损，耐光色牢度：＞4级，耐水蒸气性能、耐龟裂性、耐湿热性能、耐干热性能等级均为5级，抗冲击性能（1m）表面压痕直径＜5.0mm，板面握钉力≥4050N，浸渍剥离性能结果为0，体积电阻、表面电阻≤4.7*1012，耐臭氧（72h）外观无明显变化，静曲强度≥137 MPa，弹性模量≥9880MPa，尺寸稳定性纵向不大于0.04%、横向不大于0.05%，漆膜附着力达六级：切割边缘完全平滑，网格内无脱落。甲醛性能需符合GB/T 39600-2021标准检验，甲醛释放量≤0.007 mg/m³。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3)燃烧性能项目检测符合GB 8624-2012标准，达到B1（C-s1,d0,t1）级，烟气毒性等级为ZA3级；检测依据GB/T 2408-2021标准水平燃烧符合HB级、垂直燃符合V-0级。（提供国家认可的第三方检测机构出具的检测报告）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柜体：采用0.8-1.0mm优质冷轧钢板，采用二氧化碳保护焊焊接，边缘打磨处理，表面经酸洗、磷化及环氧树脂户外粉静电喷涂，具备较强的耐酸碱防护能力；整体讲台由多个独立的柜体组合而成，柜体中预留教师主控电源、电脑键盘、水槽安装等位置；中间三个柜体为正面单开门，两侧柜子为侧面双开门，优化物品摆放空间。</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4、拉手：在柜门或抽屉正面上方处一体折弯而成，外观整体流畅，造型独特美观；</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5、防撞胶垫：装于抽屉及门板内侧，减缓碰撞，保护柜体；</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6、门板及抽面：采用双层钢板，必须两层组装式设计，保证两层双面都经过喷涂处理，保证门板和抽面具备较强硬度，不轻易出现凹陷；</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7、铰链：采用名牌优质缓冲耐腐蚀铰链，开合十万次不变形。</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8、滑轨：三节重型滚珠滑轨，承重性强，滑动性能良好，无噪音；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9、固定桌脚：采用柜体内置可调PP塑料调整脚，保证调整脚前后都可以调节高低。</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32</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生物探究实验台1</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1、规格：≥1700mm*1200mm*780mm（长*宽*高）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2、▲台面：采用≥12.7mm厚实芯（双面）理化板台面，台面边缘用同质材料板双层加厚至25.4mm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1)化学性能要求：参照 GB/T 17657-2022“人造板及饰面人造板理化性能试验方法”进行检验：对硫酸（98%）、盐酸（37%）、氢氧化钠（40%）、四氯化碳、苯、苯酚饱和液、氯化镁(10%)、红茶、汽油、王水、二氯乙烷、对甲酚、草酸、亚甲基蓝（5%）、丙酮、乙醚、甲酸（88%）、无水甲醇、乙酸正戊酯、5%氯化钠溶液、三氯乙烯、异丙醇、异辛烷、3%双氧水、硫酸钠饱和液、石脑油等138 种化学试剂进行检测，板材检验结果无明显变化，分级结果为 5 级；</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物理性能及甲醛性能：物理性能需提供符合GB/T17657-2022标准及其他相关检测标准的报告，其中：静曲强度≥145Mpa；弹性模量≥10400Mpa；抗拉强度≥68Mpa；拉伸强度≥68Mpa；含水率：≤1.3%；24h吸水率≤0.2%；密度≥1.43g/cm3；表面耐龟裂性性能、表面耐湿热性能、表面耐干热性能等级均为5级，耐沸水性能：质量增加百分率≤0.01%、厚度增加百分率≤0.06%，表面质量等级：5级：无变化，边缘质量等级：5级：无明显变化，抗冲击性能（1m）表面压痕直径＜5.2mm，表面耐磨性能≥1120r，未出现磨损，耐臭氧（72h）外观无明显变化，尺寸稳定性纵向横向均不大于0.03%，漆膜附着力达六级：切割边缘完全平滑，网格内无脱落。甲醛性能需符合经GB/T 39600-2021标准检验，甲醛释放量≤0.005 mg/m³；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3)检测依据《室内空气净化产品净化效果测定方法》，提供甲醛去除率、甲苯去除率的检测报告,结果能达到甲醛去除率≥60%，甲苯去除率≥16%；（提供国家认可的第三方检测机构出具的检测报告）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钢架：≥60*40*2.0mm灰白色优质钢型材制成，壁厚为≥2.0mm，采用无缝焊接技术一体成型，可配合悬吊式木柜及落地式滚轮柜。钢架表面经过酸洗、磷化、电咏除锈处理，喷涂75um环氧树酯高压静电粉沫，并高温固化。中央台钢架为“#”字型钢架，相当于两个“C-Frame”钢架对接而成，钢架承重能力强，两个支撑钢架间距离可达1.8m，负重≥250kg/m2。防腐、美观、稳定强固。带两个水平调节脚。高度可上下调节≥50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4、地脚：采用的地脚为不锈钢与高强尼龙组合地脚。该种地脚摩擦系数高，可有效防止各类实验台及高柜出现不必要的滑动，并可减轻各种因素带来的震动。地脚上的螺母设计使其具有高低可调功能，以方便调节实验台以达到实验台平衡的目的，它的可调高度为0-50mm。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5、实验台整体带有水槽、三联水嘴及电源。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33</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生物探究实验台2</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1、规格：≥2900mm*1200mm*780mm（长*宽*高）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2、▲台面：采用≥12.7mm厚实芯（双面）理化板台面，台面边缘用同质材料板双层加厚至25.4mm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1)化学性能要求：参照 GB/T 17657-2022“人造板及饰面人造板理化性能试验方法”进行检验：对硫酸（98%）、盐酸（37%）、氢氧化钠（40%）、四氯化碳、苯、苯酚饱和液、氯化镁(10%)、红茶、汽油、王水、二氯乙烷、对甲酚、草酸、亚甲基蓝（5%）、丙酮、乙醚、甲酸（88%）、无水甲醇、乙酸正戊酯、5%氯化钠溶液、三氯乙烯、异丙醇、异辛烷、3%双氧水、硫酸钠饱和液、石脑油等138 种化学试剂进行检测，板材检验结果无明显变化，分级结果为 5 级；</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物理性能及甲醛性能：物理性能需提供符合GB/T17657-2022标准及其他相关检测标准的报告，其中：静曲强度≥145Mpa；弹性模量≥10400Mpa；抗拉强度≥68Mpa；拉伸强度≥68Mpa；含水率：≤1.3%；24h吸水率≤0.2%；密度≥1.43g/cm3；表面耐龟裂性性能、表面耐湿热性能、表面耐干热性能等级均为5级，耐沸水性能：质量增加百分率≤0.01%、厚度增加百分率≤0.06%，表面质量等级：5级：无变化，边缘质量等级：5级：无明显变化，抗冲击性能（1m）表面压痕直径＜5.2mm，表面耐磨性能≥1120r，未出现磨损，耐臭氧（72h）外观无明显变化，尺寸稳定性纵向横向均不大于0.03%，漆膜附着力达六级：切割边缘完全平滑，网格内无脱落。甲醛性能需符合经GB/T 39600-2021标准检验，甲醛释放量≤0.005 mg/m³；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3)检测依据《室内空气净化产品净化效果测定方法》，提供甲醛去除率、甲苯去除率的检测报告,结果能达到甲醛去除率≥60%，甲苯去除率≥16%；（提供国家认可的第三方检测机构出具的检测报告）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钢架：≥60*40*2.0mm灰白色优质钢型材制成，壁厚为≥2.0mm，采用无缝焊接技术一体成型，可配合悬吊式木柜及落地式滚轮柜。钢架表面经过酸洗、磷化、电咏除锈处理，喷涂75um环氧树酯高压静电粉沫，并高温固化。中央台钢架为“#”字型钢架，相当于两个“C-Frame”钢架对接而成，钢架承重能力强，两个支撑钢架间距离可达1.8m，负重≥250kg/m2。防腐、美观、稳定强固。带两个水平调节脚。高度可上下调节≥50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4、地脚：采用的地脚为不锈钢与高强尼龙组合地脚。该种地脚摩擦系数高，可有效防止各类实验台及高柜出现不必要的滑动，并可减轻各种因素带来的震动。地脚上的螺母设计使其具有高低可调功能，以方便调节实验台以达到实验台平衡的目的，它的可调高度为0-50mm。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5、实验台整体带有水槽、三联水嘴及电源。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34</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生物实验圆凳</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1、规格：直径≥300mm*高（410-460）mm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2、凳面材质：采用环保型ABS改性塑料一次性注塑成型(Sb≤60mg/kg，As≤25mg/kg，Ba≤1000mg/kg，Cd≤75mg/kg，Cr≤60mg/kg，Pb≤90mg/kg，Hg≤60mg/kg，Se≤500mg/kg)。</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3、凳面尺寸：面外径≥300mm，表面细纹咬花，防滑不发光；并配有165mm*165mm*2mm钢板加固，采用全周满焊焊接。</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支撑杆：采用直径≥50mm圆钢管，结构牢固，长期使用也不会出现摇晃松散现象；凳子高度410-460mm连续可调,升降循环次数‌≥5000次,锁定强度‌承受100kg冲击不变形,凳杆采用内置螺纹升降,升高后看不见螺纹可防止衣物缠绕在螺杆上.下端五星脚采用一次性铝压铸成型，五星脚壁厚≥2.5mm,中间加强条和中管连接孔处壁厚不小于4mm,确保凳子牢固耐用</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5、金属部分表面经过防腐氧化处理和纯环氧树脂塑粉高温固化处理，具有较强的耐蚀性及承重性。</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112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个</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35</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生物实验边台</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1、尺寸：≥600mm*850mm（宽*高）                                                                                                           2、▲台面：采用≥12.7mm厚实芯（双面）理化板台面，台面边缘用同质材料板双层加厚至25.4mm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1)化学性能要求：参照 GB/T 17657-2022“人造板及饰面人造板理化性能试验方法”进行检验：对硫酸（98%）、盐酸（37%）、氢氧化钠（40%）、四氯化碳、苯、苯酚饱和液、氯化镁(10%)、红茶、汽油、王水、二氯乙烷、对甲酚、草酸、亚甲基蓝（5%）、丙酮、乙醚、甲酸（88%）、无水甲醇、乙酸正戊酯、5%氯化钠溶液、三氯乙烯、异丙醇、异辛烷、3%双氧水、硫酸钠饱和液、石脑油等138 种化学试剂进行检测，板材检验结果无明显变化，分级结果为 5 级；</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物理性能及甲醛性能：物理性能需提供符合GB/T17657-2022标准及其他相关检测标准的报告，其中：静曲强度≥145Mpa；弹性模量≥10400Mpa；抗拉强度≥68Mpa；拉伸强度≥68Mpa；含水率：≤1.3%；24h吸水率≤0.2%；密度≥1.43g/cm3；表面耐龟裂性性能、表面耐湿热性能、表面耐干热性能等级均为5级，耐沸水性能：质量增加百分率≤0.01%、厚度增加百分率≤0.06%，表面质量等级：5级：无变化，边缘质量等级：5级：无明显变化，抗冲击性能（1m）表面压痕直径＜5.2mm，表面耐磨性能≥1120r，未出现磨损，耐臭氧（72h）外观无明显变化，尺寸稳定性纵向横向均不大于0.03%，漆膜附着力达六级：切割边缘完全平滑，网格内无脱落。甲醛性能需符合经GB/T 39600-2021标准检验，甲醛释放量≤0.005 mg/m³；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3)检测依据《室内空气净化产品净化效果测定方法》，提供甲醛去除率、甲苯去除率的检测报告,结果能达到甲醛去除率≥60%，甲苯去除率≥16%；（提供国家认可的第三方检测机构出具的检测报告）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钢架：≥60*40*2.0mm灰白色优质钢型材制成，采用无缝焊接技术一体成型，可配合悬吊式木柜及落地式滚轮柜。钢架表面经过酸洗、磷化、电咏除锈处理，喷涂75um环氧树酯高压静电粉沫，并高温固化。中央台钢架为“#”字型钢架，相当于两个“C-Frame”钢架对接而成，钢架承重能力强，两个支撑钢架间距离可达1.8m，负重≥250kg/m2。防腐、美观、稳定强固。带两个水平调节脚。高度可上下调节≥50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4、地脚：采用的地脚为不锈钢与高强尼龙组合地脚。该种地脚摩擦系数高，可有效防止各类实验台及高柜出现不必要的滑动，并可减轻各种因素带来的震动。地脚上的螺母设计使其具有高低可调功能，以方便调节实验台以达到实验台平衡的目的，它的可调高度为0-50mm。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19</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米</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36</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物理实验室讲台</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1、规格：≥2400mm×1200mm×850mm（长*宽*高）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2、▲台面：采用≥13mm厚优抗板台面，为了确保实验人员的健康安全，产品各项性能需满足如下要求：</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1)化学性能要求：参照 GB/T 17657-2022“人造板及饰面人造板理化性能试验方法”进行检验：对硫酸（98%）、盐酸（37%）、磷酸（85%）、铬酸、乙酸（99%）、苯酚（90%）、硝酸银（1%）、氨水（28%）、硫化钠饱和液、氯化镁（10%）、氯仿、高锰酸钾（10%）、苯、甲酚、二甲基甲酰胺、碘酒、煤油、品红（1%）、苏丹红、四氢呋喃、甲基橙、氧化锌饱和液、萘、红茶、红药水、铬酸钾溶液（1g/L）、乙醇胺、液体石蜡、甲酸（80%）、柠檬酸、氢氧化钾（65%）、氯乙烯基镁、丁酮、甲苯、丙三醇、乙醚、无水甲醇、乙酰丙酮、乙腈、环丙甲酮、己二酸二乙酯、1,2-二氯乙烷、溴丙烷、异丁醇、二丙二醇甲醚、丙二醇、正十六烷、邻二甲苯、间二甲苯、正丙醇、三乙胺等136 种化学试剂进行检测，板材检验结果无明显变化，分级结果为 5 级。</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2)台面物理性能及甲醛性能：物理性能需提供符合GB/T17657-2022标准及其他相关检测标准的报告，其中：弯曲强度≥137 MPa，弯曲弹性模量≥8700MPa,表面耐磨性能：≥1450r，未出现磨损，耐光色牢度：＞4级，耐水蒸气性能、耐龟裂性、耐湿热性能、耐干热性能等级均为5级，抗冲击性能（1m）表面压痕直径＜5.0mm，板面握钉力≥4050N，浸渍剥离性能结果为0，体积电阻、表面电阻≤4.7*1012，耐臭氧（72h）外观无明显变化，静曲强度≥137 MPa，弹性模量≥9880MPa，尺寸稳定性纵向不大于0.04%、横向不大于0.05%，漆膜附着力达六级：切割边缘完全平滑，网格内无脱落。甲醛性能需符合GB/T 39600-2021标准检验，甲醛释放量≤0.007 mg/m³。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3)燃烧性能项目检测符合GB 8624-2012标准，达到B1（C-s1,d0,t1）级，烟气毒性等级为ZA3级；检测依据GB/T 2408-2021标准水平燃烧符合HB级、垂直燃符合V-0级。（提供国家认可的第三方检测机构出具的检测报告）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柜体：采用0.8-1.0mm优质冷轧钢板，采用二氧化碳保护焊焊接，边缘打磨处理，表面经酸洗、磷化及环氧树脂户外粉静电喷涂，具备较强的耐酸碱防护能力；整体讲台由多个独立的柜体组合而成，柜体中预留教师主控电源、电脑键盘、水槽安装等位置；中间三个柜体为正面单开门，两侧柜子为侧面双开门，优化物品摆放空间。</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4、拉手：在柜门或抽屉正面上方处一体折弯而成，外观整体流畅，造型独特美观；</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5、防撞胶垫：装于抽屉及门板内侧，减缓碰撞，保护柜体；</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6、门板及抽面：采用双层钢板，必须两层组装式设计，保证两层双面都经过喷涂处理，保证门板和抽面具备较强硬度，不轻易出现凹陷；</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7、铰链：采用名牌优质缓冲耐腐蚀铰链，开合十万次不变形。</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8、滑轨：三节重型滚珠滑轨，承重性强，滑动性能良好，无噪音；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9、固定桌脚：采用柜体内置可调PP塑料调整脚，保证调整脚前后都可以调节高低。</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台　</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37</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物理实验桌</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规格：≥1200mm*600mm*780mm (长*宽*高)  </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▲1、台面：采用国内12.7mm厚实芯（双面）理化板台面，台面边缘用同质材料板双层加厚至25.4mm，由专业生产厂家使用加工中心加工而成。前端安装铝合金挡水条</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1)化学性能要求：参照 GB/T 17657-2022“人造板及饰面人造板理化性能试验方法”进行检验：对硫酸（98%）、盐酸（37%）、氢氧化钠（40%）、四氯化碳、苯、苯酚饱和液、氯化镁(10%)、红茶、汽油、王水、二氯乙烷、对甲酚、草酸、亚甲基蓝（5%）、丙酮、乙醚、甲酸（88%）、无水甲醇、乙酸正戊酯、5%氯化钠溶液、三氯乙烯、异丙醇、异辛烷、3%双氧水、硫酸钠饱和液、石脑油等138 种化学试剂进行检测，板材检验结果无明显变化，分级结果为 5 级；</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物理性能及甲醛性能：物理性能需提供符合GB/T17657-2022标准及其他相关检测标准的报告，其中：静曲强度≥145Mpa；弹性模量≥10400Mpa；抗拉强度≥68Mpa；拉伸强度≥68Mpa；含水率：≤1.3%；24h吸水率≤0.2%；密度≥1.43g/cm3；表面耐龟裂性性能、表面耐湿热性能、表面耐干热性能等级均为5级，耐沸水性能：质量增加百分率≤0.01%、厚度增加百分率≤0.06%，表面质量等级：5级：无变化，边缘质量等级：5级：无明显变化，抗冲击性能（1m）表面压痕直径＜5.2mm，表面耐磨性能≥1120r，未出现磨损，耐臭氧（72h）外观无明显变化，尺寸稳定性纵向横向均不大于0.03%，漆膜附着力达六级：切割边缘完全平滑，网格内无脱落。甲醛性能需符合经GB/T 39600-2021标准检验，甲醛释放量≤0.005 mg/m³；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3)检测依据《室内空气净化产品净化效果测定方法》，提供甲醛去除率、甲苯去除率的检测报告,结果能达到甲醛去除率≥60%，甲苯去除率≥16%；（提供国家认可的第三方检测机构出具的检测报告）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结构：新型塑铝结构，整体桌脚呈Z字造型。学生位镂空式，符合人体工程学设计，美观大方。书包斗采用整体ABS工程塑料一次性注塑成型，规格≥420*255*165，中间设挂凳卡；两个书包斗中间设有一个翻盖式电源盒，采用ABS工程塑料注塑成型，耐老化不导电。</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桌脚采用三段式高强度铝合金结构，整体规格≥570*760，左右两边配有装饰彩带，上脚两侧可选配电源插座和RJ45网络接口，电源插座给考试系统或其他非实验仪器供电，应与实验电源系统分开供电，以免影响实验操作。中立柱采用≥96mm*46*1.5mm厚承重型铝合金型材，采用倾斜式设计。上下脚采用铝合金一次压铸成型，上脚规格：≥长570*宽51*高116mm，下脚规格：≥长556mm*宽67mm*高112mm，上下脚的壁厚≥2.5mm，连接处壁厚加强至4mm;采用4个高强度螺丝连接；上脚后部装有支撑杆，支撑杆采用铝合金压铸成型，规格≥25*25*240mm，一头嵌入上桌架，另一头固定在立柱上，呈三角形结构，使整体结构更稳固。下桌架设有专用孔位与地面固定，可以安装调整脚，并配有跟台面同色ABS脚套装饰盖。外观流线形设计，易碰撞处全部采用倒圆角。金属表面经环氧树脂粉末喷涂高温固化处理。要做到承重性能强和耐酸碱、耐腐蚀。</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4、桌脚间通过4条专用铝合金型材连接，上方三条铝合金型材中前后两条横梁为40*40mm1/4圆形铝合金型材用高强度螺丝连接，中间一条为45*20mm方形铝合金型材；桌子下部一条横梁为89*14mm铝合金型材，用高强度螺丝固定在两侧桌脚的立柱上，外观流线形设计，易碰撞处全部采用倒圆角，金属表面经环氧树脂粉末喷涂高温固化处理。承重性能强和耐酸碱、耐腐蚀。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10</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套</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38</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物理实验圆凳</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1、规格：直径≥300mm*高（410-460）mm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2、凳面材质：采用环保型ABS改性塑料一次性注塑成型(Sb≤60mg/kg，As≤25mg/kg，Ba≤1000mg/kg，Cd≤75mg/kg，Cr≤60mg/kg，Pb≤90mg/kg，Hg≤60mg/kg，Se≤500mg/kg)。</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3、凳面尺寸：面外径≥300mm，表面细纹咬花，防滑不发光；并配有165mm*165mm*2mm钢板加固，采用全周满焊焊接。</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支撑杆：采用直径≥50mm圆钢管，结构牢固，长期使用也不会出现摇晃松散现象；凳子高度410-460mm连续可调,升降循环次数‌≥5000次,锁定强度‌承受100kg冲击不变形,凳杆采用内置螺纹升降,升高后看不见螺纹可防止衣物缠绕在螺杆上.下端五星脚采用一次性铝压铸成型，五星脚壁厚≥2.5mm,中间加强条和中管连接孔处壁厚不小于4mm,确保凳子牢固耐用</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5、金属部分表面经过防腐氧化处理和纯环氧树脂塑粉高温固化处理，具有较强的耐蚀性及承重性。</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104</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39</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六边形实验桌</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1、规格：≥1400*1200*760mm（长*宽*高），六边形，700mm等边形                                                                                 2、台面材料：台面采用≥25㎜三聚氰胺浸渍饰面板外贴防火板，经后成型机一次性加工成型，表面光滑、不变形、平整、耐用。</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台身框架：框架结构有一条中立柱加六条边立柱通过横梁连接将桌身平均分成六个等分座位，桌身采用模具成型的专用铝合金型材制作，框架的中立柱型材采用边到边距离≥105mm的正六边形型材，壁厚≥1.5mm。边立柱采用双层承重型立柱，外层造型新颖，设计科学合理，坚固耐用，安全人性化，外形美观大方,尺寸50*30mm，壁厚≥1.5mm，内层采用四方造型，尺寸20*20mm，壁厚≥1.5mm。；框架横梁为方形铝合金，尺寸35*28mm，壁厚≥1.5mm，铝合金型材的板槽宽度、深度应与所采用的柜体板材相匹配，接缝严密，牢固耐用。型材通过活动扣件连接；通过调节卡头松紧使安装快速简易，可反复拆装不损坏，重复使用。铝合金型材表面需经静电粉沫喷涂处理，整体耐腐蚀、防火、防潮、稳固耐用。</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4、台身材质：采用16mm厚优质环保密度纤维板，所有板材外露端面采用高质量PVC封边条，利用封边机配以热溶胶高温封边，高密封性不吸水、不膨胀，经久耐用。</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5、台身结构：桌面上装有学生实验电源</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6、脚垫：采用特制模具ABS注塑脚垫，高度可调。</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8</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张</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750" w:hRule="atLeast"/>
        </w:trPr>
        <w:tc>
          <w:tcPr>
            <w:tcW w:w="596"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pPr>
            <w:r>
              <w:rPr>
                <w:rFonts w:hint="eastAsia" w:ascii="方正仿宋_GB2312" w:hAnsi="方正仿宋_GB2312" w:eastAsia="方正仿宋_GB2312" w:cs="方正仿宋_GB2312"/>
                <w:i w:val="0"/>
                <w:iCs w:val="0"/>
                <w:color w:val="auto"/>
                <w:kern w:val="0"/>
                <w:sz w:val="21"/>
                <w:szCs w:val="21"/>
                <w:highlight w:val="none"/>
                <w:u w:val="none"/>
                <w:lang w:val="en-US" w:eastAsia="zh-CN" w:bidi="ar"/>
              </w:rPr>
              <w:t>40</w:t>
            </w:r>
          </w:p>
        </w:tc>
        <w:tc>
          <w:tcPr>
            <w:tcW w:w="92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物理实验边台</w:t>
            </w:r>
          </w:p>
        </w:tc>
        <w:tc>
          <w:tcPr>
            <w:tcW w:w="6048" w:type="dxa"/>
            <w:shd w:val="clear" w:color="auto" w:fill="FFFFFF"/>
            <w:tcMar>
              <w:top w:w="0" w:type="dxa"/>
              <w:left w:w="108" w:type="dxa"/>
              <w:bottom w:w="0" w:type="dxa"/>
              <w:right w:w="108" w:type="dxa"/>
            </w:tcMar>
            <w:vAlign w:val="center"/>
          </w:tcPr>
          <w:p>
            <w:pPr>
              <w:keepNext w:val="0"/>
              <w:keepLines w:val="0"/>
              <w:widowControl/>
              <w:suppressLineNumbers w:val="0"/>
              <w:jc w:val="left"/>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1、尺寸：≥600mm*850mm（宽*高）                                                                                     2、▲台面：采用≥12.7mm厚实芯（双面）理化板台面，台面边缘用同质材料板双层加厚至25.4mm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1)化学性能要求：参照 GB/T 17657-2022“人造板及饰面人造板理化性能试验方法”进行检验：对硫酸（98%）、盐酸（37%）、氢氧化钠（40%）、四氯化碳、苯、苯酚饱和液、氯化镁(10%)、红茶、汽油、王水、二氯乙烷、对甲酚、草酸、亚甲基蓝（5%）、丙酮、乙醚、甲酸（88%）、无水甲醇、乙酸正戊酯、5%氯化钠溶液、三氯乙烯、异丙醇、异辛烷、3%双氧水、硫酸钠饱和液、石脑油等138 种化学试剂进行检测，板材检验结果无明显变化，分级结果为 5 级；</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2)台面物理性能及甲醛性能：物理性能需提供符合GB/T17657-2022标准及其他相关检测标准的报告，其中：静曲强度≥145Mpa；弹性模量≥10400Mpa；抗拉强度≥68Mpa；拉伸强度≥68Mpa；含水率：≤1.3%；24h吸水率≤0.2%；密度≥1.43g/cm3；表面耐龟裂性性能、表面耐湿热性能、表面耐干热性能等级均为5级，耐沸水性能：质量增加百分率≤0.01%、厚度增加百分率≤0.06%，表面质量等级：5级：无变化，边缘质量等级：5级：无明显变化，抗冲击性能（1m）表面压痕直径＜5.2mm，表面耐磨性能≥1120r，未出现磨损，耐臭氧（72h）外观无明显变化，尺寸稳定性纵向横向均不大于0.03%，漆膜附着力达六级：切割边缘完全平滑，网格内无脱落。甲醛性能需符合经GB/T 39600-2021标准检验，甲醛释放量≤0.005 mg/m³；</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3)检测依据《室内空气净化产品净化效果测定方法》，提供甲醛去除率、甲苯去除率的检测报告,结果能达到甲醛去除率≥60%，甲苯去除率≥16%；（提供国家认可的第三方检测机构出具的检测报告）</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3、钢架：≥60*40*2.0mm灰白色优质钢型材制成，采用无缝焊接技术一体成型，可配合悬吊式木柜及落地式滚轮柜。钢架表面经过酸洗、磷化、电咏除锈处理，喷涂75um环氧树酯高压静电粉沫，并高温固化。中央台钢架为“#”字型钢架，相当于两个“C-Frame”钢架对接而成，钢架承重能力强，两个支撑钢架间距离可达1.8m，负重≥250kg/m2。防腐、美观、稳定强固。带两个水平调节脚。高度可上下调节≥50mm。</w:t>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br w:type="textWrapping"/>
            </w: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 xml:space="preserve">4、地脚：采用的地脚为不锈钢与高强尼龙组合地脚。该种地脚摩擦系数高，可有效防止各类实验台及高柜出现不必要的滑动，并可减轻各种因素带来的震动。地脚上的螺母设计使其具有高低可调功能，以方便调节实验台以达到实验台平衡的目的，它的可调高度为0-50mm。                                                                                 </w:t>
            </w:r>
          </w:p>
        </w:tc>
        <w:tc>
          <w:tcPr>
            <w:tcW w:w="731"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18.7</w:t>
            </w:r>
          </w:p>
        </w:tc>
        <w:tc>
          <w:tcPr>
            <w:tcW w:w="718" w:type="dxa"/>
            <w:shd w:val="clear" w:color="auto" w:fill="FFFFFF"/>
            <w:tcMar>
              <w:top w:w="0" w:type="dxa"/>
              <w:left w:w="108" w:type="dxa"/>
              <w:bottom w:w="0" w:type="dxa"/>
              <w:right w:w="108" w:type="dxa"/>
            </w:tcMar>
            <w:vAlign w:val="center"/>
          </w:tcPr>
          <w:p>
            <w:pPr>
              <w:keepNext w:val="0"/>
              <w:keepLines w:val="0"/>
              <w:widowControl/>
              <w:suppressLineNumbers w:val="0"/>
              <w:jc w:val="center"/>
              <w:textAlignment w:val="center"/>
              <w:rPr>
                <w:rFonts w:hint="eastAsia" w:ascii="方正仿宋_GB2312" w:hAnsi="方正仿宋_GB2312" w:eastAsia="方正仿宋_GB2312" w:cs="方正仿宋_GB2312"/>
                <w:color w:val="auto"/>
                <w:sz w:val="21"/>
                <w:szCs w:val="21"/>
                <w:highlight w:val="none"/>
                <w:lang w:bidi="ar"/>
              </w:rPr>
            </w:pPr>
            <w:r>
              <w:rPr>
                <w:rFonts w:hint="eastAsia" w:ascii="方正仿宋_GB2312" w:hAnsi="方正仿宋_GB2312" w:eastAsia="方正仿宋_GB2312" w:cs="方正仿宋_GB2312"/>
                <w:i w:val="0"/>
                <w:iCs w:val="0"/>
                <w:color w:val="000000"/>
                <w:kern w:val="0"/>
                <w:sz w:val="21"/>
                <w:szCs w:val="21"/>
                <w:highlight w:val="none"/>
                <w:u w:val="none"/>
                <w:lang w:val="en-US" w:eastAsia="zh-CN" w:bidi="ar"/>
              </w:rPr>
              <w:t>米</w:t>
            </w:r>
          </w:p>
        </w:tc>
        <w:tc>
          <w:tcPr>
            <w:tcW w:w="602" w:type="dxa"/>
            <w:shd w:val="clear" w:color="auto" w:fill="FFFFFF"/>
            <w:tcMar>
              <w:top w:w="0" w:type="dxa"/>
              <w:left w:w="108" w:type="dxa"/>
              <w:bottom w:w="0" w:type="dxa"/>
              <w:right w:w="108" w:type="dxa"/>
            </w:tcMar>
            <w:vAlign w:val="center"/>
          </w:tcPr>
          <w:p>
            <w:pPr>
              <w:widowControl/>
              <w:spacing w:after="128" w:line="360" w:lineRule="auto"/>
              <w:jc w:val="left"/>
              <w:outlineLvl w:val="9"/>
              <w:rPr>
                <w:rFonts w:hint="eastAsia" w:ascii="方正仿宋_GB2312" w:hAnsi="方正仿宋_GB2312" w:eastAsia="方正仿宋_GB2312" w:cs="方正仿宋_GB2312"/>
                <w:color w:val="auto"/>
                <w:sz w:val="21"/>
                <w:szCs w:val="21"/>
                <w:highlight w:val="none"/>
                <w:lang w:bidi="ar"/>
              </w:rPr>
            </w:pPr>
          </w:p>
        </w:tc>
      </w:tr>
    </w:tbl>
    <w:p>
      <w:pPr>
        <w:spacing w:line="360" w:lineRule="auto"/>
        <w:outlineLvl w:val="9"/>
        <w:rPr>
          <w:rFonts w:ascii="方正仿宋_GB2312" w:hAnsi="方正仿宋_GB2312" w:eastAsia="方正仿宋_GB2312" w:cs="方正仿宋_GB2312"/>
          <w:sz w:val="24"/>
          <w:szCs w:val="24"/>
          <w:highlight w:val="none"/>
        </w:rPr>
      </w:pPr>
      <w:r>
        <w:rPr>
          <w:rFonts w:hint="eastAsia" w:ascii="仿宋" w:hAnsi="仿宋" w:eastAsia="仿宋" w:cs="仿宋"/>
          <w:i w:val="0"/>
          <w:iCs w:val="0"/>
          <w:color w:val="auto"/>
          <w:sz w:val="24"/>
          <w:szCs w:val="24"/>
          <w:highlight w:val="none"/>
          <w:u w:val="none"/>
          <w:lang w:val="en-US" w:eastAsia="zh-CN"/>
        </w:rPr>
        <w:t>化学探究实验台2为本标段核心产品，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其他同品牌供应商不作为中标候选人。</w:t>
      </w:r>
    </w:p>
    <w:p>
      <w:pPr>
        <w:spacing w:line="360" w:lineRule="auto"/>
        <w:ind w:firstLine="480"/>
        <w:outlineLvl w:val="9"/>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b/>
          <w:spacing w:val="20"/>
          <w:kern w:val="44"/>
          <w:sz w:val="24"/>
          <w:szCs w:val="24"/>
          <w:highlight w:val="none"/>
          <w:lang w:val="en-US" w:eastAsia="zh-CN"/>
        </w:rPr>
        <w:t>二、其他要求及说明：</w:t>
      </w:r>
      <w:r>
        <w:rPr>
          <w:rFonts w:hint="eastAsia" w:ascii="方正仿宋_GB2312" w:hAnsi="方正仿宋_GB2312" w:eastAsia="方正仿宋_GB2312" w:cs="方正仿宋_GB2312"/>
          <w:b/>
          <w:spacing w:val="20"/>
          <w:kern w:val="44"/>
          <w:sz w:val="24"/>
          <w:szCs w:val="24"/>
          <w:highlight w:val="none"/>
          <w:lang w:val="en-US" w:eastAsia="zh-CN"/>
        </w:rPr>
        <w:br w:type="textWrapping"/>
      </w:r>
      <w:r>
        <w:rPr>
          <w:rFonts w:hint="eastAsia" w:ascii="方正仿宋_GB2312" w:hAnsi="方正仿宋_GB2312" w:eastAsia="方正仿宋_GB2312" w:cs="方正仿宋_GB2312"/>
          <w:sz w:val="24"/>
          <w:szCs w:val="24"/>
          <w:highlight w:val="none"/>
          <w:lang w:val="en-US" w:eastAsia="zh-CN"/>
        </w:rPr>
        <w:t>一、商务要求</w:t>
      </w:r>
    </w:p>
    <w:p>
      <w:pPr>
        <w:spacing w:line="360" w:lineRule="auto"/>
        <w:ind w:firstLine="480"/>
        <w:outlineLvl w:val="9"/>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1.为防止虚假应标，成交供应商（公示后三日内）提供投标小样由采购人所认可的第三方具备检测资质的检测机构对招标参数的功能逐一测试验证，全部满足后才能执行合同流程，若不满足或虚假应标供应商承担国家相关法律法规的法律责任。</w:t>
      </w:r>
    </w:p>
    <w:p>
      <w:pPr>
        <w:spacing w:line="360" w:lineRule="auto"/>
        <w:ind w:firstLine="480"/>
        <w:outlineLvl w:val="9"/>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2. 交货时提供货物方应派专业的技术人员配合采购方验收货物，现场解决一切技术、质量问题，并对用户进行及时、快捷的跟踪服务。</w:t>
      </w:r>
    </w:p>
    <w:p>
      <w:pPr>
        <w:spacing w:line="360" w:lineRule="auto"/>
        <w:ind w:firstLine="480"/>
        <w:outlineLvl w:val="9"/>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3.售后服务要求：</w:t>
      </w:r>
    </w:p>
    <w:p>
      <w:pPr>
        <w:spacing w:line="360" w:lineRule="auto"/>
        <w:ind w:firstLine="480"/>
        <w:outlineLvl w:val="9"/>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1）提供7*24小时服务，如产品发生故障或损坏时投标人在接收到采购人通知内5分钟内之内须作出反应，采购人遇到使用及技术问题，电话咨询不能解决的，投标人应在1小时内提供上门服务，并在6小时内维修工程师到达维修现场，如无法按时处理、解决的，需提供解决方案。投标人拖延或拒绝履行售后服务或履行售后服务不符合合同约定要求的，采购人有权另行委托第三方进行维修、维护、更换，所产生的费用由投标人承担。</w:t>
      </w:r>
    </w:p>
    <w:p>
      <w:pPr>
        <w:spacing w:line="360" w:lineRule="auto"/>
        <w:ind w:firstLine="480"/>
        <w:outlineLvl w:val="9"/>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（2）所投产品质保期内免费上门保修，终身维修，保修期内免费更换零配件。保修期自验收合格之日起计算。</w:t>
      </w:r>
    </w:p>
    <w:p>
      <w:pPr>
        <w:spacing w:line="360" w:lineRule="auto"/>
        <w:ind w:firstLine="480"/>
        <w:outlineLvl w:val="9"/>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3）在家具交货时，投标人派专业技术人员对操作人员进行现场安装及技术（使用）培训。投标人须负责对采购人的技术人员、操作人员、维修人员进行产品操作、管理维护、常用技术知识进行免费技术培训，使培训的操作人员按操作规程能够独立操作，培训人数按照用户需求而定。提供产品的正常使用和安全运行培训，以及必要的技术支持。</w:t>
      </w:r>
    </w:p>
    <w:p>
      <w:pPr>
        <w:spacing w:line="360" w:lineRule="auto"/>
        <w:ind w:firstLine="480"/>
        <w:outlineLvl w:val="9"/>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4.交货时提供原厂质保服务，终身提供维护服务。</w:t>
      </w:r>
    </w:p>
    <w:p>
      <w:pPr>
        <w:spacing w:line="360" w:lineRule="auto"/>
        <w:ind w:firstLine="480"/>
        <w:outlineLvl w:val="9"/>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5.提供本地服务网点联系方式和售后地址；</w:t>
      </w:r>
    </w:p>
    <w:p>
      <w:pPr>
        <w:spacing w:line="360" w:lineRule="auto"/>
        <w:ind w:firstLine="480"/>
        <w:outlineLvl w:val="9"/>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6.上述要求投标时提供书面承诺，未提供书面承诺视为无效投标。</w:t>
      </w:r>
    </w:p>
    <w:p>
      <w:pPr>
        <w:spacing w:line="360" w:lineRule="auto"/>
        <w:ind w:firstLine="480"/>
        <w:outlineLvl w:val="9"/>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lang w:val="en-US" w:eastAsia="zh-CN"/>
        </w:rPr>
        <w:t>三、采购标的验收标准</w:t>
      </w:r>
      <w:r>
        <w:rPr>
          <w:rFonts w:hint="eastAsia" w:ascii="方正仿宋_GB2312" w:hAnsi="方正仿宋_GB2312" w:eastAsia="方正仿宋_GB2312" w:cs="方正仿宋_GB2312"/>
          <w:sz w:val="24"/>
          <w:szCs w:val="24"/>
          <w:highlight w:val="none"/>
          <w:lang w:val="en-US" w:eastAsia="zh-CN"/>
        </w:rPr>
        <w:br w:type="textWrapping"/>
      </w:r>
      <w:r>
        <w:rPr>
          <w:rFonts w:hint="eastAsia" w:ascii="方正仿宋_GB2312" w:hAnsi="方正仿宋_GB2312" w:eastAsia="方正仿宋_GB2312" w:cs="方正仿宋_GB2312"/>
          <w:sz w:val="24"/>
          <w:szCs w:val="24"/>
          <w:highlight w:val="none"/>
          <w:lang w:val="en-US" w:eastAsia="zh-CN"/>
        </w:rPr>
        <w:t>（1）验收：到达采购人指定地点后采购人统一初验是否符合合同要求；</w:t>
      </w:r>
    </w:p>
    <w:p>
      <w:pPr>
        <w:spacing w:line="360" w:lineRule="auto"/>
        <w:outlineLvl w:val="9"/>
        <w:rPr>
          <w:rFonts w:ascii="方正小标宋简体" w:hAnsi="方正小标宋简体" w:eastAsia="方正小标宋简体" w:cs="方正小标宋简体"/>
          <w:b/>
          <w:spacing w:val="20"/>
          <w:kern w:val="44"/>
          <w:sz w:val="44"/>
          <w:szCs w:val="44"/>
          <w:highlight w:val="none"/>
        </w:rPr>
      </w:pPr>
      <w:r>
        <w:rPr>
          <w:rFonts w:hint="eastAsia" w:ascii="方正仿宋_GB2312" w:hAnsi="方正仿宋_GB2312" w:eastAsia="方正仿宋_GB2312" w:cs="方正仿宋_GB2312"/>
          <w:sz w:val="24"/>
          <w:szCs w:val="24"/>
          <w:highlight w:val="none"/>
          <w:lang w:val="en-US" w:eastAsia="zh-CN"/>
        </w:rPr>
        <w:t>（2）项目验收：投标人负责家具安装和调试，完工后，采购人测试是否合格并满足技术要求；</w:t>
      </w:r>
      <w:bookmarkStart w:id="960" w:name="_Toc13464"/>
      <w:bookmarkStart w:id="961" w:name="_Toc32342"/>
      <w:bookmarkStart w:id="962" w:name="_Toc27742"/>
      <w:bookmarkStart w:id="963" w:name="_Toc19997"/>
    </w:p>
    <w:p>
      <w:pPr>
        <w:rPr>
          <w:rFonts w:hint="eastAsia" w:ascii="方正小标宋简体" w:hAnsi="方正小标宋简体" w:eastAsia="方正小标宋简体" w:cs="方正小标宋简体"/>
          <w:b/>
          <w:spacing w:val="20"/>
          <w:kern w:val="44"/>
          <w:sz w:val="44"/>
          <w:szCs w:val="44"/>
          <w:highlight w:val="none"/>
        </w:rPr>
      </w:pPr>
      <w:bookmarkStart w:id="964" w:name="_Toc12225"/>
      <w:bookmarkStart w:id="965" w:name="_Toc17745"/>
      <w:bookmarkStart w:id="966" w:name="_Toc11840"/>
      <w:bookmarkStart w:id="967" w:name="_Toc3056"/>
      <w:bookmarkStart w:id="968" w:name="_Toc4845"/>
      <w:r>
        <w:rPr>
          <w:rFonts w:hint="eastAsia" w:ascii="方正小标宋简体" w:hAnsi="方正小标宋简体" w:eastAsia="方正小标宋简体" w:cs="方正小标宋简体"/>
          <w:b/>
          <w:spacing w:val="20"/>
          <w:kern w:val="44"/>
          <w:sz w:val="44"/>
          <w:szCs w:val="44"/>
          <w:highlight w:val="none"/>
        </w:rPr>
        <w:br w:type="page"/>
      </w:r>
    </w:p>
    <w:p>
      <w:pPr>
        <w:tabs>
          <w:tab w:val="left" w:pos="1133"/>
          <w:tab w:val="left" w:pos="3905"/>
          <w:tab w:val="left" w:pos="5255"/>
          <w:tab w:val="left" w:pos="7107"/>
          <w:tab w:val="left" w:pos="8269"/>
        </w:tabs>
        <w:spacing w:line="480" w:lineRule="auto"/>
        <w:jc w:val="center"/>
        <w:outlineLvl w:val="0"/>
        <w:rPr>
          <w:rFonts w:ascii="仿宋" w:hAnsi="仿宋" w:eastAsia="仿宋" w:cs="仿宋"/>
          <w:b/>
          <w:spacing w:val="20"/>
          <w:kern w:val="44"/>
          <w:sz w:val="24"/>
          <w:szCs w:val="24"/>
          <w:highlight w:val="none"/>
        </w:rPr>
      </w:pPr>
      <w:r>
        <w:rPr>
          <w:rFonts w:hint="eastAsia" w:ascii="方正小标宋简体" w:hAnsi="方正小标宋简体" w:eastAsia="方正小标宋简体" w:cs="方正小标宋简体"/>
          <w:b/>
          <w:spacing w:val="20"/>
          <w:kern w:val="44"/>
          <w:sz w:val="44"/>
          <w:szCs w:val="44"/>
          <w:highlight w:val="none"/>
        </w:rPr>
        <w:t>第五章 合同条款格式</w:t>
      </w:r>
      <w:bookmarkEnd w:id="956"/>
      <w:bookmarkEnd w:id="957"/>
      <w:bookmarkEnd w:id="958"/>
      <w:bookmarkEnd w:id="959"/>
      <w:bookmarkEnd w:id="960"/>
      <w:bookmarkEnd w:id="961"/>
      <w:bookmarkEnd w:id="962"/>
      <w:bookmarkEnd w:id="963"/>
      <w:bookmarkEnd w:id="964"/>
      <w:bookmarkEnd w:id="965"/>
      <w:bookmarkEnd w:id="966"/>
      <w:bookmarkEnd w:id="967"/>
      <w:bookmarkEnd w:id="968"/>
    </w:p>
    <w:p>
      <w:pPr>
        <w:tabs>
          <w:tab w:val="left" w:pos="1133"/>
          <w:tab w:val="left" w:pos="3905"/>
          <w:tab w:val="left" w:pos="5255"/>
          <w:tab w:val="left" w:pos="7107"/>
          <w:tab w:val="left" w:pos="8269"/>
        </w:tabs>
        <w:spacing w:line="480" w:lineRule="auto"/>
        <w:jc w:val="center"/>
        <w:outlineLvl w:val="9"/>
        <w:rPr>
          <w:rFonts w:ascii="方正仿宋_GB2312" w:hAnsi="方正仿宋_GB2312" w:eastAsia="方正仿宋_GB2312" w:cs="方正仿宋_GB2312"/>
          <w:sz w:val="24"/>
          <w:szCs w:val="24"/>
          <w:highlight w:val="none"/>
        </w:rPr>
      </w:pPr>
      <w:bookmarkStart w:id="969" w:name="_Toc30280"/>
      <w:bookmarkStart w:id="970" w:name="_Toc7101"/>
      <w:r>
        <w:rPr>
          <w:rFonts w:hint="eastAsia" w:ascii="方正仿宋_GB2312" w:hAnsi="方正仿宋_GB2312" w:eastAsia="方正仿宋_GB2312" w:cs="方正仿宋_GB2312"/>
          <w:sz w:val="24"/>
          <w:szCs w:val="24"/>
          <w:highlight w:val="none"/>
        </w:rPr>
        <w:t>（此合同仅供参考</w:t>
      </w:r>
      <w:r>
        <w:rPr>
          <w:rFonts w:hint="eastAsia" w:ascii="方正仿宋_GB2312" w:hAnsi="方正仿宋_GB2312" w:eastAsia="方正仿宋_GB2312" w:cs="方正仿宋_GB2312"/>
          <w:sz w:val="24"/>
          <w:szCs w:val="24"/>
          <w:highlight w:val="none"/>
          <w:lang w:eastAsia="zh-CN"/>
        </w:rPr>
        <w:t>，甲乙双方可根据国家相关法律法规及本项目的情况另行约定</w:t>
      </w:r>
      <w:r>
        <w:rPr>
          <w:rFonts w:hint="eastAsia" w:ascii="方正仿宋_GB2312" w:hAnsi="方正仿宋_GB2312" w:eastAsia="方正仿宋_GB2312" w:cs="方正仿宋_GB2312"/>
          <w:sz w:val="24"/>
          <w:szCs w:val="24"/>
          <w:highlight w:val="none"/>
        </w:rPr>
        <w:t>）</w:t>
      </w:r>
      <w:bookmarkEnd w:id="969"/>
      <w:bookmarkEnd w:id="970"/>
    </w:p>
    <w:p>
      <w:pPr>
        <w:ind w:left="722"/>
        <w:outlineLvl w:val="9"/>
        <w:rPr>
          <w:rFonts w:ascii="方正仿宋_GB2312" w:hAnsi="方正仿宋_GB2312" w:eastAsia="方正仿宋_GB2312" w:cs="方正仿宋_GB2312"/>
          <w:sz w:val="24"/>
          <w:szCs w:val="24"/>
          <w:highlight w:val="none"/>
        </w:rPr>
      </w:pPr>
    </w:p>
    <w:tbl>
      <w:tblPr>
        <w:tblStyle w:val="16"/>
        <w:tblW w:w="0" w:type="auto"/>
        <w:jc w:val="center"/>
        <w:tblLayout w:type="fixed"/>
        <w:tblCellMar>
          <w:top w:w="0" w:type="dxa"/>
          <w:left w:w="0" w:type="dxa"/>
          <w:bottom w:w="0" w:type="dxa"/>
          <w:right w:w="0" w:type="dxa"/>
        </w:tblCellMar>
      </w:tblPr>
      <w:tblGrid>
        <w:gridCol w:w="9790"/>
      </w:tblGrid>
      <w:tr>
        <w:tblPrEx>
          <w:tblCellMar>
            <w:top w:w="0" w:type="dxa"/>
            <w:left w:w="0" w:type="dxa"/>
            <w:bottom w:w="0" w:type="dxa"/>
            <w:right w:w="0" w:type="dxa"/>
          </w:tblCellMar>
        </w:tblPrEx>
        <w:trPr>
          <w:trHeight w:val="1032" w:hRule="atLeast"/>
          <w:jc w:val="center"/>
        </w:trPr>
        <w:tc>
          <w:tcPr>
            <w:tcW w:w="9790" w:type="dxa"/>
            <w:vAlign w:val="center"/>
          </w:tcPr>
          <w:p>
            <w:pPr>
              <w:outlineLvl w:val="9"/>
              <w:rPr>
                <w:rFonts w:ascii="方正仿宋_GB2312" w:hAnsi="方正仿宋_GB2312" w:eastAsia="方正仿宋_GB2312" w:cs="方正仿宋_GB2312"/>
                <w:highlight w:val="none"/>
              </w:rPr>
            </w:pPr>
            <w:bookmarkStart w:id="971" w:name="_Toc25110"/>
            <w:bookmarkStart w:id="972" w:name="_Toc29005"/>
            <w:bookmarkStart w:id="973" w:name="_Toc24147"/>
            <w:bookmarkStart w:id="974" w:name="_Toc6796"/>
            <w:bookmarkStart w:id="975" w:name="_Toc21436689"/>
            <w:bookmarkStart w:id="976" w:name="_Toc24267"/>
            <w:bookmarkStart w:id="977" w:name="_Toc31426"/>
            <w:bookmarkStart w:id="978" w:name="_Toc30715"/>
          </w:p>
          <w:tbl>
            <w:tblPr>
              <w:tblStyle w:val="16"/>
              <w:tblW w:w="0" w:type="auto"/>
              <w:tblInd w:w="0" w:type="dxa"/>
              <w:tblLayout w:type="fixed"/>
              <w:tblCellMar>
                <w:top w:w="0" w:type="dxa"/>
                <w:left w:w="0" w:type="dxa"/>
                <w:bottom w:w="0" w:type="dxa"/>
                <w:right w:w="0" w:type="dxa"/>
              </w:tblCellMar>
            </w:tblPr>
            <w:tblGrid>
              <w:gridCol w:w="1133"/>
              <w:gridCol w:w="2772"/>
              <w:gridCol w:w="1350"/>
              <w:gridCol w:w="1852"/>
              <w:gridCol w:w="1162"/>
              <w:gridCol w:w="1521"/>
            </w:tblGrid>
            <w:tr>
              <w:tblPrEx>
                <w:tblCellMar>
                  <w:top w:w="0" w:type="dxa"/>
                  <w:left w:w="0" w:type="dxa"/>
                  <w:bottom w:w="0" w:type="dxa"/>
                  <w:right w:w="0" w:type="dxa"/>
                </w:tblCellMar>
              </w:tblPrEx>
              <w:tc>
                <w:tcPr>
                  <w:tcW w:w="1133" w:type="dxa"/>
                  <w:vAlign w:val="center"/>
                </w:tcPr>
                <w:p>
                  <w:pPr>
                    <w:spacing w:line="360"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合同编号：</w:t>
                  </w:r>
                </w:p>
              </w:tc>
              <w:tc>
                <w:tcPr>
                  <w:tcW w:w="2772" w:type="dxa"/>
                  <w:vAlign w:val="center"/>
                </w:tcPr>
                <w:p>
                  <w:pPr>
                    <w:spacing w:line="360"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        </w:t>
                  </w:r>
                </w:p>
              </w:tc>
              <w:tc>
                <w:tcPr>
                  <w:tcW w:w="1350" w:type="dxa"/>
                  <w:vAlign w:val="center"/>
                </w:tcPr>
                <w:p>
                  <w:pPr>
                    <w:spacing w:line="360"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合同自编号： </w:t>
                  </w:r>
                </w:p>
              </w:tc>
              <w:tc>
                <w:tcPr>
                  <w:tcW w:w="1852" w:type="dxa"/>
                  <w:vAlign w:val="center"/>
                </w:tcPr>
                <w:p>
                  <w:pPr>
                    <w:spacing w:line="360" w:lineRule="auto"/>
                    <w:outlineLvl w:val="9"/>
                    <w:rPr>
                      <w:rFonts w:ascii="方正仿宋_GB2312" w:hAnsi="方正仿宋_GB2312" w:eastAsia="方正仿宋_GB2312" w:cs="方正仿宋_GB2312"/>
                      <w:bCs/>
                      <w:sz w:val="24"/>
                      <w:highlight w:val="none"/>
                    </w:rPr>
                  </w:pPr>
                </w:p>
              </w:tc>
              <w:tc>
                <w:tcPr>
                  <w:tcW w:w="1162" w:type="dxa"/>
                  <w:vAlign w:val="center"/>
                </w:tcPr>
                <w:p>
                  <w:pPr>
                    <w:spacing w:line="360"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招标编号：</w:t>
                  </w:r>
                </w:p>
              </w:tc>
              <w:tc>
                <w:tcPr>
                  <w:tcW w:w="1521" w:type="dxa"/>
                  <w:vAlign w:val="center"/>
                </w:tcPr>
                <w:p>
                  <w:pPr>
                    <w:spacing w:line="360"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  </w:t>
                  </w:r>
                </w:p>
              </w:tc>
            </w:tr>
          </w:tbl>
          <w:p>
            <w:pPr>
              <w:spacing w:line="360" w:lineRule="auto"/>
              <w:outlineLvl w:val="9"/>
              <w:rPr>
                <w:rFonts w:ascii="方正仿宋_GB2312" w:hAnsi="方正仿宋_GB2312" w:eastAsia="方正仿宋_GB2312" w:cs="方正仿宋_GB2312"/>
                <w:bCs/>
                <w:sz w:val="24"/>
                <w:highlight w:val="none"/>
              </w:rPr>
            </w:pPr>
          </w:p>
        </w:tc>
      </w:tr>
      <w:tr>
        <w:tblPrEx>
          <w:tblCellMar>
            <w:top w:w="0" w:type="dxa"/>
            <w:left w:w="0" w:type="dxa"/>
            <w:bottom w:w="0" w:type="dxa"/>
            <w:right w:w="0" w:type="dxa"/>
          </w:tblCellMar>
        </w:tblPrEx>
        <w:trPr>
          <w:jc w:val="center"/>
        </w:trPr>
        <w:tc>
          <w:tcPr>
            <w:tcW w:w="9790" w:type="dxa"/>
            <w:vAlign w:val="center"/>
          </w:tcPr>
          <w:p>
            <w:pPr>
              <w:spacing w:line="360"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●本合同须加盖甲乙双方骑缝章有效</w:t>
            </w:r>
          </w:p>
        </w:tc>
      </w:tr>
      <w:tr>
        <w:tblPrEx>
          <w:tblCellMar>
            <w:top w:w="0" w:type="dxa"/>
            <w:left w:w="0" w:type="dxa"/>
            <w:bottom w:w="0" w:type="dxa"/>
            <w:right w:w="0" w:type="dxa"/>
          </w:tblCellMar>
        </w:tblPrEx>
        <w:trPr>
          <w:jc w:val="center"/>
        </w:trPr>
        <w:tc>
          <w:tcPr>
            <w:tcW w:w="9790" w:type="dxa"/>
            <w:vAlign w:val="center"/>
          </w:tcPr>
          <w:p>
            <w:pPr>
              <w:spacing w:line="360" w:lineRule="auto"/>
              <w:jc w:val="center"/>
              <w:outlineLvl w:val="9"/>
              <w:rPr>
                <w:rFonts w:ascii="方正仿宋_GB2312" w:hAnsi="方正仿宋_GB2312" w:eastAsia="方正仿宋_GB2312" w:cs="方正仿宋_GB2312"/>
                <w:bCs/>
                <w:sz w:val="32"/>
                <w:highlight w:val="none"/>
              </w:rPr>
            </w:pPr>
            <w:r>
              <w:rPr>
                <w:rFonts w:hint="eastAsia" w:ascii="方正仿宋_GB2312" w:hAnsi="方正仿宋_GB2312" w:eastAsia="方正仿宋_GB2312" w:cs="方正仿宋_GB2312"/>
                <w:bCs/>
                <w:sz w:val="32"/>
                <w:highlight w:val="none"/>
              </w:rPr>
              <w:t>云南省省级政府采购</w:t>
            </w:r>
          </w:p>
          <w:p>
            <w:pPr>
              <w:spacing w:line="360" w:lineRule="auto"/>
              <w:jc w:val="center"/>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（此合同仅供参考，以实际签订内容为准）</w:t>
            </w:r>
          </w:p>
          <w:p>
            <w:pPr>
              <w:spacing w:line="360" w:lineRule="auto"/>
              <w:jc w:val="center"/>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（委托采购）</w:t>
            </w:r>
          </w:p>
          <w:p>
            <w:pPr>
              <w:spacing w:line="360" w:lineRule="auto"/>
              <w:jc w:val="center"/>
              <w:outlineLvl w:val="9"/>
              <w:rPr>
                <w:rFonts w:ascii="方正仿宋_GB2312" w:hAnsi="方正仿宋_GB2312" w:eastAsia="方正仿宋_GB2312" w:cs="方正仿宋_GB2312"/>
                <w:bCs/>
                <w:sz w:val="24"/>
                <w:highlight w:val="none"/>
              </w:rPr>
            </w:pPr>
          </w:p>
          <w:p>
            <w:pPr>
              <w:spacing w:line="360" w:lineRule="auto"/>
              <w:jc w:val="center"/>
              <w:outlineLvl w:val="9"/>
              <w:rPr>
                <w:rFonts w:ascii="方正仿宋_GB2312" w:hAnsi="方正仿宋_GB2312" w:eastAsia="方正仿宋_GB2312" w:cs="方正仿宋_GB2312"/>
                <w:bCs/>
                <w:sz w:val="24"/>
                <w:highlight w:val="none"/>
              </w:rPr>
            </w:pPr>
          </w:p>
        </w:tc>
      </w:tr>
      <w:tr>
        <w:tblPrEx>
          <w:tblCellMar>
            <w:top w:w="0" w:type="dxa"/>
            <w:left w:w="0" w:type="dxa"/>
            <w:bottom w:w="0" w:type="dxa"/>
            <w:right w:w="0" w:type="dxa"/>
          </w:tblCellMar>
        </w:tblPrEx>
        <w:trPr>
          <w:trHeight w:val="582" w:hRule="atLeast"/>
          <w:jc w:val="center"/>
        </w:trPr>
        <w:tc>
          <w:tcPr>
            <w:tcW w:w="9790" w:type="dxa"/>
            <w:vAlign w:val="center"/>
          </w:tcPr>
          <w:p>
            <w:pPr>
              <w:spacing w:line="360" w:lineRule="auto"/>
              <w:outlineLvl w:val="9"/>
              <w:rPr>
                <w:rFonts w:ascii="方正仿宋_GB2312" w:hAnsi="方正仿宋_GB2312" w:eastAsia="方正仿宋_GB2312" w:cs="方正仿宋_GB2312"/>
                <w:bCs/>
                <w:sz w:val="24"/>
                <w:highlight w:val="none"/>
              </w:rPr>
            </w:pPr>
          </w:p>
        </w:tc>
      </w:tr>
      <w:tr>
        <w:tblPrEx>
          <w:tblCellMar>
            <w:top w:w="0" w:type="dxa"/>
            <w:left w:w="0" w:type="dxa"/>
            <w:bottom w:w="0" w:type="dxa"/>
            <w:right w:w="0" w:type="dxa"/>
          </w:tblCellMar>
        </w:tblPrEx>
        <w:trPr>
          <w:trHeight w:val="862" w:hRule="atLeast"/>
          <w:jc w:val="center"/>
        </w:trPr>
        <w:tc>
          <w:tcPr>
            <w:tcW w:w="9790" w:type="dxa"/>
            <w:vAlign w:val="center"/>
          </w:tcPr>
          <w:p>
            <w:pPr>
              <w:spacing w:line="360" w:lineRule="auto"/>
              <w:jc w:val="center"/>
              <w:outlineLvl w:val="9"/>
              <w:rPr>
                <w:rFonts w:ascii="方正仿宋_GB2312" w:hAnsi="方正仿宋_GB2312" w:eastAsia="方正仿宋_GB2312" w:cs="方正仿宋_GB2312"/>
                <w:bCs/>
                <w:sz w:val="44"/>
                <w:highlight w:val="none"/>
              </w:rPr>
            </w:pPr>
            <w:r>
              <w:rPr>
                <w:rFonts w:hint="eastAsia" w:ascii="方正仿宋_GB2312" w:hAnsi="方正仿宋_GB2312" w:eastAsia="方正仿宋_GB2312" w:cs="方正仿宋_GB2312"/>
                <w:bCs/>
                <w:sz w:val="44"/>
                <w:highlight w:val="none"/>
              </w:rPr>
              <w:t>合</w:t>
            </w:r>
          </w:p>
          <w:p>
            <w:pPr>
              <w:spacing w:line="360" w:lineRule="auto"/>
              <w:jc w:val="center"/>
              <w:outlineLvl w:val="9"/>
              <w:rPr>
                <w:rFonts w:ascii="方正仿宋_GB2312" w:hAnsi="方正仿宋_GB2312" w:eastAsia="方正仿宋_GB2312" w:cs="方正仿宋_GB2312"/>
                <w:bCs/>
                <w:sz w:val="44"/>
                <w:highlight w:val="none"/>
              </w:rPr>
            </w:pPr>
            <w:r>
              <w:rPr>
                <w:rFonts w:hint="eastAsia" w:ascii="方正仿宋_GB2312" w:hAnsi="方正仿宋_GB2312" w:eastAsia="方正仿宋_GB2312" w:cs="方正仿宋_GB2312"/>
                <w:bCs/>
                <w:sz w:val="44"/>
                <w:highlight w:val="none"/>
              </w:rPr>
              <w:t>同</w:t>
            </w:r>
          </w:p>
          <w:p>
            <w:pPr>
              <w:spacing w:line="360" w:lineRule="auto"/>
              <w:jc w:val="center"/>
              <w:outlineLvl w:val="9"/>
              <w:rPr>
                <w:rFonts w:ascii="方正仿宋_GB2312" w:hAnsi="方正仿宋_GB2312" w:eastAsia="方正仿宋_GB2312" w:cs="方正仿宋_GB2312"/>
                <w:bCs/>
                <w:sz w:val="44"/>
                <w:highlight w:val="none"/>
              </w:rPr>
            </w:pPr>
            <w:r>
              <w:rPr>
                <w:rFonts w:hint="eastAsia" w:ascii="方正仿宋_GB2312" w:hAnsi="方正仿宋_GB2312" w:eastAsia="方正仿宋_GB2312" w:cs="方正仿宋_GB2312"/>
                <w:bCs/>
                <w:sz w:val="44"/>
                <w:highlight w:val="none"/>
              </w:rPr>
              <w:t>书</w:t>
            </w:r>
          </w:p>
          <w:p>
            <w:pPr>
              <w:outlineLvl w:val="9"/>
              <w:rPr>
                <w:highlight w:val="none"/>
              </w:rPr>
            </w:pPr>
          </w:p>
          <w:p>
            <w:pPr>
              <w:outlineLvl w:val="9"/>
              <w:rPr>
                <w:highlight w:val="none"/>
              </w:rPr>
            </w:pPr>
          </w:p>
        </w:tc>
      </w:tr>
      <w:tr>
        <w:tblPrEx>
          <w:tblCellMar>
            <w:top w:w="0" w:type="dxa"/>
            <w:left w:w="0" w:type="dxa"/>
            <w:bottom w:w="0" w:type="dxa"/>
            <w:right w:w="0" w:type="dxa"/>
          </w:tblCellMar>
        </w:tblPrEx>
        <w:trPr>
          <w:trHeight w:val="143" w:hRule="atLeast"/>
          <w:jc w:val="center"/>
        </w:trPr>
        <w:tc>
          <w:tcPr>
            <w:tcW w:w="9790" w:type="dxa"/>
            <w:vAlign w:val="center"/>
          </w:tcPr>
          <w:p>
            <w:pPr>
              <w:jc w:val="center"/>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签订地点:云南省昆明市</w:t>
            </w:r>
          </w:p>
        </w:tc>
      </w:tr>
      <w:tr>
        <w:tblPrEx>
          <w:tblCellMar>
            <w:top w:w="0" w:type="dxa"/>
            <w:left w:w="0" w:type="dxa"/>
            <w:bottom w:w="0" w:type="dxa"/>
            <w:right w:w="0" w:type="dxa"/>
          </w:tblCellMar>
        </w:tblPrEx>
        <w:trPr>
          <w:jc w:val="center"/>
        </w:trPr>
        <w:tc>
          <w:tcPr>
            <w:tcW w:w="9790" w:type="dxa"/>
            <w:vAlign w:val="center"/>
          </w:tcPr>
          <w:p>
            <w:pPr>
              <w:spacing w:line="360" w:lineRule="auto"/>
              <w:jc w:val="center"/>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签订日期:202</w:t>
            </w:r>
            <w:r>
              <w:rPr>
                <w:rFonts w:hint="eastAsia" w:ascii="方正仿宋_GB2312" w:hAnsi="方正仿宋_GB2312" w:eastAsia="方正仿宋_GB2312" w:cs="方正仿宋_GB2312"/>
                <w:bCs/>
                <w:sz w:val="24"/>
                <w:highlight w:val="none"/>
                <w:lang w:val="en-US" w:eastAsia="zh-CN"/>
              </w:rPr>
              <w:t>5</w:t>
            </w:r>
            <w:r>
              <w:rPr>
                <w:rFonts w:hint="eastAsia" w:ascii="方正仿宋_GB2312" w:hAnsi="方正仿宋_GB2312" w:eastAsia="方正仿宋_GB2312" w:cs="方正仿宋_GB2312"/>
                <w:bCs/>
                <w:sz w:val="24"/>
                <w:highlight w:val="none"/>
              </w:rPr>
              <w:t>年   月    日</w:t>
            </w:r>
          </w:p>
        </w:tc>
      </w:tr>
      <w:tr>
        <w:tblPrEx>
          <w:tblCellMar>
            <w:top w:w="0" w:type="dxa"/>
            <w:left w:w="0" w:type="dxa"/>
            <w:bottom w:w="0" w:type="dxa"/>
            <w:right w:w="0" w:type="dxa"/>
          </w:tblCellMar>
        </w:tblPrEx>
        <w:trPr>
          <w:jc w:val="center"/>
        </w:trPr>
        <w:tc>
          <w:tcPr>
            <w:tcW w:w="9790" w:type="dxa"/>
            <w:vAlign w:val="center"/>
          </w:tcPr>
          <w:p>
            <w:pPr>
              <w:spacing w:line="360" w:lineRule="auto"/>
              <w:jc w:val="center"/>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云南省财政厅　制</w:t>
            </w:r>
          </w:p>
          <w:p>
            <w:pPr>
              <w:spacing w:line="360" w:lineRule="auto"/>
              <w:outlineLvl w:val="9"/>
              <w:rPr>
                <w:rFonts w:ascii="方正仿宋_GB2312" w:hAnsi="方正仿宋_GB2312" w:eastAsia="方正仿宋_GB2312" w:cs="方正仿宋_GB2312"/>
                <w:bCs/>
                <w:sz w:val="24"/>
                <w:highlight w:val="none"/>
              </w:rPr>
            </w:pPr>
          </w:p>
        </w:tc>
      </w:tr>
    </w:tbl>
    <w:p>
      <w:pP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br w:type="page"/>
      </w:r>
    </w:p>
    <w:tbl>
      <w:tblPr>
        <w:tblStyle w:val="16"/>
        <w:tblW w:w="9823" w:type="dxa"/>
        <w:jc w:val="center"/>
        <w:tblLayout w:type="fixed"/>
        <w:tblCellMar>
          <w:top w:w="0" w:type="dxa"/>
          <w:left w:w="0" w:type="dxa"/>
          <w:bottom w:w="0" w:type="dxa"/>
          <w:right w:w="0" w:type="dxa"/>
        </w:tblCellMar>
      </w:tblPr>
      <w:tblGrid>
        <w:gridCol w:w="9823"/>
      </w:tblGrid>
      <w:tr>
        <w:tblPrEx>
          <w:tblCellMar>
            <w:top w:w="0" w:type="dxa"/>
            <w:left w:w="0" w:type="dxa"/>
            <w:bottom w:w="0" w:type="dxa"/>
            <w:right w:w="0" w:type="dxa"/>
          </w:tblCellMar>
        </w:tblPrEx>
        <w:trPr>
          <w:jc w:val="center"/>
        </w:trPr>
        <w:tc>
          <w:tcPr>
            <w:tcW w:w="9823" w:type="dxa"/>
            <w:vAlign w:val="center"/>
          </w:tcPr>
          <w:tbl>
            <w:tblPr>
              <w:tblStyle w:val="16"/>
              <w:tblW w:w="0" w:type="auto"/>
              <w:jc w:val="center"/>
              <w:tblLayout w:type="fixed"/>
              <w:tblCellMar>
                <w:top w:w="0" w:type="dxa"/>
                <w:left w:w="0" w:type="dxa"/>
                <w:bottom w:w="0" w:type="dxa"/>
                <w:right w:w="0" w:type="dxa"/>
              </w:tblCellMar>
            </w:tblPr>
            <w:tblGrid>
              <w:gridCol w:w="1664"/>
              <w:gridCol w:w="8126"/>
            </w:tblGrid>
            <w:tr>
              <w:tblPrEx>
                <w:tblCellMar>
                  <w:top w:w="0" w:type="dxa"/>
                  <w:left w:w="0" w:type="dxa"/>
                  <w:bottom w:w="0" w:type="dxa"/>
                  <w:right w:w="0" w:type="dxa"/>
                </w:tblCellMar>
              </w:tblPrEx>
              <w:trPr>
                <w:jc w:val="center"/>
              </w:trPr>
              <w:tc>
                <w:tcPr>
                  <w:tcW w:w="9790" w:type="dxa"/>
                  <w:gridSpan w:val="2"/>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 甲方（采购人公章）    名    称：   </w:t>
                  </w:r>
                </w:p>
              </w:tc>
            </w:tr>
            <w:tr>
              <w:tblPrEx>
                <w:tblCellMar>
                  <w:top w:w="0" w:type="dxa"/>
                  <w:left w:w="0" w:type="dxa"/>
                  <w:bottom w:w="0" w:type="dxa"/>
                  <w:right w:w="0" w:type="dxa"/>
                </w:tblCellMar>
              </w:tblPrEx>
              <w:trPr>
                <w:jc w:val="center"/>
              </w:trPr>
              <w:tc>
                <w:tcPr>
                  <w:tcW w:w="1664"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w:t>
                  </w:r>
                </w:p>
              </w:tc>
              <w:tc>
                <w:tcPr>
                  <w:tcW w:w="8126"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     地    址： </w:t>
                  </w:r>
                </w:p>
              </w:tc>
            </w:tr>
            <w:tr>
              <w:tblPrEx>
                <w:tblCellMar>
                  <w:top w:w="0" w:type="dxa"/>
                  <w:left w:w="0" w:type="dxa"/>
                  <w:bottom w:w="0" w:type="dxa"/>
                  <w:right w:w="0" w:type="dxa"/>
                </w:tblCellMar>
              </w:tblPrEx>
              <w:trPr>
                <w:jc w:val="center"/>
              </w:trPr>
              <w:tc>
                <w:tcPr>
                  <w:tcW w:w="1664"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w:t>
                  </w:r>
                </w:p>
              </w:tc>
              <w:tc>
                <w:tcPr>
                  <w:tcW w:w="8126"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     邮    编： </w:t>
                  </w:r>
                </w:p>
              </w:tc>
            </w:tr>
            <w:tr>
              <w:tblPrEx>
                <w:tblCellMar>
                  <w:top w:w="0" w:type="dxa"/>
                  <w:left w:w="0" w:type="dxa"/>
                  <w:bottom w:w="0" w:type="dxa"/>
                  <w:right w:w="0" w:type="dxa"/>
                </w:tblCellMar>
              </w:tblPrEx>
              <w:trPr>
                <w:jc w:val="center"/>
              </w:trPr>
              <w:tc>
                <w:tcPr>
                  <w:tcW w:w="1664"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w:t>
                  </w:r>
                </w:p>
              </w:tc>
              <w:tc>
                <w:tcPr>
                  <w:tcW w:w="8126"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法定代表人或委托代理人：</w:t>
                  </w:r>
                </w:p>
              </w:tc>
            </w:tr>
            <w:tr>
              <w:tblPrEx>
                <w:tblCellMar>
                  <w:top w:w="0" w:type="dxa"/>
                  <w:left w:w="0" w:type="dxa"/>
                  <w:bottom w:w="0" w:type="dxa"/>
                  <w:right w:w="0" w:type="dxa"/>
                </w:tblCellMar>
              </w:tblPrEx>
              <w:trPr>
                <w:jc w:val="center"/>
              </w:trPr>
              <w:tc>
                <w:tcPr>
                  <w:tcW w:w="1664"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w:t>
                  </w:r>
                </w:p>
              </w:tc>
              <w:tc>
                <w:tcPr>
                  <w:tcW w:w="8126"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项目（技术）负责人：</w:t>
                  </w:r>
                </w:p>
              </w:tc>
            </w:tr>
            <w:tr>
              <w:tblPrEx>
                <w:tblCellMar>
                  <w:top w:w="0" w:type="dxa"/>
                  <w:left w:w="0" w:type="dxa"/>
                  <w:bottom w:w="0" w:type="dxa"/>
                  <w:right w:w="0" w:type="dxa"/>
                </w:tblCellMar>
              </w:tblPrEx>
              <w:trPr>
                <w:jc w:val="center"/>
              </w:trPr>
              <w:tc>
                <w:tcPr>
                  <w:tcW w:w="1664"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w:t>
                  </w:r>
                </w:p>
              </w:tc>
              <w:tc>
                <w:tcPr>
                  <w:tcW w:w="8126"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电    话：</w:t>
                  </w:r>
                </w:p>
              </w:tc>
            </w:tr>
            <w:tr>
              <w:tblPrEx>
                <w:tblCellMar>
                  <w:top w:w="0" w:type="dxa"/>
                  <w:left w:w="0" w:type="dxa"/>
                  <w:bottom w:w="0" w:type="dxa"/>
                  <w:right w:w="0" w:type="dxa"/>
                </w:tblCellMar>
              </w:tblPrEx>
              <w:trPr>
                <w:jc w:val="center"/>
              </w:trPr>
              <w:tc>
                <w:tcPr>
                  <w:tcW w:w="1664"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w:t>
                  </w:r>
                </w:p>
              </w:tc>
              <w:tc>
                <w:tcPr>
                  <w:tcW w:w="8126"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开 户 银行：</w:t>
                  </w:r>
                </w:p>
              </w:tc>
            </w:tr>
            <w:tr>
              <w:tblPrEx>
                <w:tblCellMar>
                  <w:top w:w="0" w:type="dxa"/>
                  <w:left w:w="0" w:type="dxa"/>
                  <w:bottom w:w="0" w:type="dxa"/>
                  <w:right w:w="0" w:type="dxa"/>
                </w:tblCellMar>
              </w:tblPrEx>
              <w:trPr>
                <w:jc w:val="center"/>
              </w:trPr>
              <w:tc>
                <w:tcPr>
                  <w:tcW w:w="1664"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w:t>
                  </w:r>
                </w:p>
              </w:tc>
              <w:tc>
                <w:tcPr>
                  <w:tcW w:w="8126"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账    号：</w:t>
                  </w:r>
                </w:p>
              </w:tc>
            </w:tr>
            <w:tr>
              <w:tblPrEx>
                <w:tblCellMar>
                  <w:top w:w="0" w:type="dxa"/>
                  <w:left w:w="0" w:type="dxa"/>
                  <w:bottom w:w="0" w:type="dxa"/>
                  <w:right w:w="0" w:type="dxa"/>
                </w:tblCellMar>
              </w:tblPrEx>
              <w:trPr>
                <w:jc w:val="center"/>
              </w:trPr>
              <w:tc>
                <w:tcPr>
                  <w:tcW w:w="9790" w:type="dxa"/>
                  <w:gridSpan w:val="2"/>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 乙方（投标供应商公章）      名    称：   </w:t>
                  </w:r>
                </w:p>
              </w:tc>
            </w:tr>
            <w:tr>
              <w:tblPrEx>
                <w:tblCellMar>
                  <w:top w:w="0" w:type="dxa"/>
                  <w:left w:w="0" w:type="dxa"/>
                  <w:bottom w:w="0" w:type="dxa"/>
                  <w:right w:w="0" w:type="dxa"/>
                </w:tblCellMar>
              </w:tblPrEx>
              <w:trPr>
                <w:jc w:val="center"/>
              </w:trPr>
              <w:tc>
                <w:tcPr>
                  <w:tcW w:w="1664"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w:t>
                  </w:r>
                </w:p>
              </w:tc>
              <w:tc>
                <w:tcPr>
                  <w:tcW w:w="8126"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     地    址： </w:t>
                  </w:r>
                </w:p>
              </w:tc>
            </w:tr>
            <w:tr>
              <w:tblPrEx>
                <w:tblCellMar>
                  <w:top w:w="0" w:type="dxa"/>
                  <w:left w:w="0" w:type="dxa"/>
                  <w:bottom w:w="0" w:type="dxa"/>
                  <w:right w:w="0" w:type="dxa"/>
                </w:tblCellMar>
              </w:tblPrEx>
              <w:trPr>
                <w:jc w:val="center"/>
              </w:trPr>
              <w:tc>
                <w:tcPr>
                  <w:tcW w:w="1664"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w:t>
                  </w:r>
                </w:p>
              </w:tc>
              <w:tc>
                <w:tcPr>
                  <w:tcW w:w="8126"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     邮    编： </w:t>
                  </w:r>
                </w:p>
              </w:tc>
            </w:tr>
            <w:tr>
              <w:tblPrEx>
                <w:tblCellMar>
                  <w:top w:w="0" w:type="dxa"/>
                  <w:left w:w="0" w:type="dxa"/>
                  <w:bottom w:w="0" w:type="dxa"/>
                  <w:right w:w="0" w:type="dxa"/>
                </w:tblCellMar>
              </w:tblPrEx>
              <w:trPr>
                <w:jc w:val="center"/>
              </w:trPr>
              <w:tc>
                <w:tcPr>
                  <w:tcW w:w="1664"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w:t>
                  </w:r>
                </w:p>
              </w:tc>
              <w:tc>
                <w:tcPr>
                  <w:tcW w:w="8126"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法定代表人：</w:t>
                  </w:r>
                </w:p>
              </w:tc>
            </w:tr>
            <w:tr>
              <w:tblPrEx>
                <w:tblCellMar>
                  <w:top w:w="0" w:type="dxa"/>
                  <w:left w:w="0" w:type="dxa"/>
                  <w:bottom w:w="0" w:type="dxa"/>
                  <w:right w:w="0" w:type="dxa"/>
                </w:tblCellMar>
              </w:tblPrEx>
              <w:trPr>
                <w:jc w:val="center"/>
              </w:trPr>
              <w:tc>
                <w:tcPr>
                  <w:tcW w:w="1664"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w:t>
                  </w:r>
                </w:p>
              </w:tc>
              <w:tc>
                <w:tcPr>
                  <w:tcW w:w="8126"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     委托代理人：             电话： </w:t>
                  </w:r>
                </w:p>
              </w:tc>
            </w:tr>
            <w:tr>
              <w:tblPrEx>
                <w:tblCellMar>
                  <w:top w:w="0" w:type="dxa"/>
                  <w:left w:w="0" w:type="dxa"/>
                  <w:bottom w:w="0" w:type="dxa"/>
                  <w:right w:w="0" w:type="dxa"/>
                </w:tblCellMar>
              </w:tblPrEx>
              <w:trPr>
                <w:jc w:val="center"/>
              </w:trPr>
              <w:tc>
                <w:tcPr>
                  <w:tcW w:w="1664"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w:t>
                  </w:r>
                </w:p>
              </w:tc>
              <w:tc>
                <w:tcPr>
                  <w:tcW w:w="8126"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     开 户 银行： </w:t>
                  </w:r>
                </w:p>
              </w:tc>
            </w:tr>
            <w:tr>
              <w:tblPrEx>
                <w:tblCellMar>
                  <w:top w:w="0" w:type="dxa"/>
                  <w:left w:w="0" w:type="dxa"/>
                  <w:bottom w:w="0" w:type="dxa"/>
                  <w:right w:w="0" w:type="dxa"/>
                </w:tblCellMar>
              </w:tblPrEx>
              <w:trPr>
                <w:jc w:val="center"/>
              </w:trPr>
              <w:tc>
                <w:tcPr>
                  <w:tcW w:w="1664"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w:t>
                  </w:r>
                </w:p>
              </w:tc>
              <w:tc>
                <w:tcPr>
                  <w:tcW w:w="8126" w:type="dxa"/>
                  <w:vAlign w:val="center"/>
                </w:tcPr>
                <w:p>
                  <w:pPr>
                    <w:spacing w:line="276" w:lineRule="auto"/>
                    <w:outlineLvl w:val="9"/>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 xml:space="preserve">   账    号： </w:t>
                  </w:r>
                </w:p>
              </w:tc>
            </w:tr>
          </w:tbl>
          <w:p>
            <w:pPr>
              <w:spacing w:line="360" w:lineRule="auto"/>
              <w:outlineLvl w:val="9"/>
              <w:rPr>
                <w:rFonts w:ascii="方正仿宋_GB2312" w:hAnsi="方正仿宋_GB2312" w:eastAsia="方正仿宋_GB2312" w:cs="方正仿宋_GB2312"/>
                <w:bCs/>
                <w:sz w:val="24"/>
                <w:highlight w:val="none"/>
              </w:rPr>
            </w:pPr>
          </w:p>
        </w:tc>
      </w:tr>
    </w:tbl>
    <w:p>
      <w:pPr>
        <w:spacing w:line="360" w:lineRule="auto"/>
        <w:ind w:firstLine="480"/>
        <w:outlineLvl w:val="9"/>
        <w:rPr>
          <w:rFonts w:ascii="方正仿宋_GB2312" w:hAnsi="方正仿宋_GB2312" w:eastAsia="方正仿宋_GB2312" w:cs="方正仿宋_GB2312"/>
          <w:sz w:val="24"/>
          <w:szCs w:val="32"/>
          <w:highlight w:val="none"/>
        </w:rPr>
      </w:pPr>
      <w:r>
        <w:rPr>
          <w:rFonts w:hint="eastAsia" w:ascii="方正仿宋_GB2312" w:hAnsi="方正仿宋_GB2312" w:eastAsia="方正仿宋_GB2312" w:cs="方正仿宋_GB2312"/>
          <w:sz w:val="24"/>
          <w:szCs w:val="32"/>
          <w:highlight w:val="none"/>
        </w:rPr>
        <w:t>甲乙双方根据《中华人民共和国政府采购法》和有关制度规定采购的项目编号为</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szCs w:val="32"/>
          <w:highlight w:val="none"/>
        </w:rPr>
        <w:t>的“</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32"/>
          <w:highlight w:val="none"/>
        </w:rPr>
        <w:t>”的公开招标项目结果，经双方协定达成一致，签订以下内容：</w:t>
      </w:r>
    </w:p>
    <w:p>
      <w:pPr>
        <w:autoSpaceDE w:val="0"/>
        <w:autoSpaceDN w:val="0"/>
        <w:adjustRightInd w:val="0"/>
        <w:spacing w:line="360" w:lineRule="auto"/>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 xml:space="preserve">    </w:t>
      </w:r>
      <w:bookmarkStart w:id="979" w:name="_Toc8894"/>
      <w:bookmarkStart w:id="980" w:name="_Toc23145"/>
      <w:bookmarkStart w:id="981" w:name="_Toc29492"/>
      <w:bookmarkStart w:id="982" w:name="_Toc22747"/>
      <w:bookmarkStart w:id="983" w:name="_Toc26020"/>
      <w:bookmarkStart w:id="984" w:name="_Toc10153"/>
      <w:r>
        <w:rPr>
          <w:rFonts w:hint="eastAsia" w:ascii="方正仿宋_GB2312" w:hAnsi="方正仿宋_GB2312" w:eastAsia="方正仿宋_GB2312" w:cs="方正仿宋_GB2312"/>
          <w:sz w:val="24"/>
          <w:highlight w:val="none"/>
          <w:lang w:val="zh-CN"/>
        </w:rPr>
        <w:t>一、</w:t>
      </w:r>
      <w:r>
        <w:rPr>
          <w:rFonts w:hint="eastAsia" w:ascii="方正仿宋_GB2312" w:hAnsi="方正仿宋_GB2312" w:eastAsia="方正仿宋_GB2312" w:cs="方正仿宋_GB2312"/>
          <w:b/>
          <w:sz w:val="24"/>
          <w:highlight w:val="none"/>
          <w:lang w:val="zh-CN"/>
        </w:rPr>
        <w:t>项目名称：</w:t>
      </w:r>
      <w:bookmarkEnd w:id="979"/>
      <w:bookmarkEnd w:id="980"/>
      <w:bookmarkEnd w:id="981"/>
      <w:bookmarkEnd w:id="982"/>
      <w:bookmarkEnd w:id="983"/>
      <w:bookmarkEnd w:id="984"/>
    </w:p>
    <w:p>
      <w:pPr>
        <w:autoSpaceDE w:val="0"/>
        <w:autoSpaceDN w:val="0"/>
        <w:adjustRightInd w:val="0"/>
        <w:spacing w:line="360" w:lineRule="auto"/>
        <w:ind w:firstLine="480"/>
        <w:jc w:val="left"/>
        <w:outlineLvl w:val="9"/>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val="zh-CN"/>
        </w:rPr>
        <w:t>二、</w:t>
      </w:r>
      <w:r>
        <w:rPr>
          <w:rFonts w:hint="eastAsia" w:ascii="方正仿宋_GB2312" w:hAnsi="方正仿宋_GB2312" w:eastAsia="方正仿宋_GB2312" w:cs="方正仿宋_GB2312"/>
          <w:b/>
          <w:sz w:val="24"/>
          <w:highlight w:val="none"/>
          <w:lang w:val="zh-CN"/>
        </w:rPr>
        <w:t>合同总价：</w:t>
      </w:r>
      <w:r>
        <w:rPr>
          <w:rFonts w:hint="eastAsia" w:ascii="方正仿宋_GB2312" w:hAnsi="方正仿宋_GB2312" w:eastAsia="方正仿宋_GB2312" w:cs="方正仿宋_GB2312"/>
          <w:sz w:val="24"/>
          <w:highlight w:val="none"/>
          <w:lang w:val="zh-CN"/>
        </w:rPr>
        <w:t xml:space="preserve">人民币（大写）：         </w:t>
      </w:r>
      <w:r>
        <w:rPr>
          <w:rFonts w:hint="eastAsia" w:ascii="方正仿宋_GB2312" w:hAnsi="方正仿宋_GB2312" w:eastAsia="方正仿宋_GB2312" w:cs="方正仿宋_GB2312"/>
          <w:b/>
          <w:bCs/>
          <w:sz w:val="24"/>
          <w:highlight w:val="none"/>
          <w:lang w:val="zh-CN"/>
        </w:rPr>
        <w:t>元整</w:t>
      </w:r>
      <w:r>
        <w:rPr>
          <w:rFonts w:hint="eastAsia" w:ascii="方正仿宋_GB2312" w:hAnsi="方正仿宋_GB2312" w:eastAsia="方正仿宋_GB2312" w:cs="方正仿宋_GB2312"/>
          <w:b/>
          <w:sz w:val="24"/>
          <w:highlight w:val="none"/>
          <w:lang w:val="zh-CN"/>
        </w:rPr>
        <w:t>（￥        ）</w:t>
      </w:r>
      <w:r>
        <w:rPr>
          <w:rFonts w:hint="eastAsia" w:ascii="方正仿宋_GB2312" w:hAnsi="方正仿宋_GB2312" w:eastAsia="方正仿宋_GB2312" w:cs="方正仿宋_GB2312"/>
          <w:sz w:val="24"/>
          <w:highlight w:val="none"/>
          <w:lang w:val="zh-CN"/>
        </w:rPr>
        <w:t>。合同总价中包括</w:t>
      </w:r>
      <w:r>
        <w:rPr>
          <w:rFonts w:hint="eastAsia" w:ascii="方正仿宋_GB2312" w:hAnsi="方正仿宋_GB2312" w:eastAsia="方正仿宋_GB2312" w:cs="方正仿宋_GB2312"/>
          <w:sz w:val="24"/>
          <w:highlight w:val="none"/>
        </w:rPr>
        <w:t>产品价、</w:t>
      </w:r>
      <w:r>
        <w:rPr>
          <w:rFonts w:hint="eastAsia" w:ascii="方正仿宋_GB2312" w:hAnsi="方正仿宋_GB2312" w:eastAsia="方正仿宋_GB2312" w:cs="方正仿宋_GB2312"/>
          <w:bCs/>
          <w:sz w:val="24"/>
          <w:szCs w:val="24"/>
          <w:highlight w:val="none"/>
        </w:rPr>
        <w:t>人员费用、管理费、</w:t>
      </w:r>
      <w:r>
        <w:rPr>
          <w:rFonts w:hint="eastAsia" w:ascii="方正仿宋_GB2312" w:hAnsi="方正仿宋_GB2312" w:eastAsia="方正仿宋_GB2312" w:cs="方正仿宋_GB2312"/>
          <w:sz w:val="24"/>
          <w:highlight w:val="none"/>
        </w:rPr>
        <w:t>利润、保险、税收、</w:t>
      </w:r>
      <w:r>
        <w:rPr>
          <w:rFonts w:hint="eastAsia" w:ascii="方正仿宋_GB2312" w:hAnsi="方正仿宋_GB2312" w:eastAsia="方正仿宋_GB2312" w:cs="方正仿宋_GB2312"/>
          <w:bCs/>
          <w:sz w:val="24"/>
          <w:szCs w:val="24"/>
          <w:highlight w:val="none"/>
        </w:rPr>
        <w:t>售后服务费、培训费、成交服务费、</w:t>
      </w:r>
      <w:r>
        <w:rPr>
          <w:rFonts w:hint="eastAsia" w:ascii="方正仿宋_GB2312" w:hAnsi="方正仿宋_GB2312" w:eastAsia="方正仿宋_GB2312" w:cs="方正仿宋_GB2312"/>
          <w:sz w:val="24"/>
          <w:highlight w:val="none"/>
        </w:rPr>
        <w:t>安装调试及服务等所有一切其他费用。</w:t>
      </w:r>
    </w:p>
    <w:p>
      <w:pPr>
        <w:autoSpaceDE w:val="0"/>
        <w:autoSpaceDN w:val="0"/>
        <w:adjustRightInd w:val="0"/>
        <w:spacing w:line="360" w:lineRule="auto"/>
        <w:ind w:firstLine="480"/>
        <w:jc w:val="left"/>
        <w:outlineLvl w:val="9"/>
        <w:rPr>
          <w:rFonts w:hint="eastAsia"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rPr>
        <w:t>付款</w:t>
      </w:r>
      <w:r>
        <w:rPr>
          <w:rFonts w:hint="eastAsia" w:ascii="方正仿宋_GB2312" w:hAnsi="方正仿宋_GB2312" w:eastAsia="方正仿宋_GB2312" w:cs="方正仿宋_GB2312"/>
          <w:sz w:val="24"/>
          <w:highlight w:val="none"/>
          <w:lang w:val="en-US" w:eastAsia="zh-CN"/>
        </w:rPr>
        <w:t>方式</w:t>
      </w:r>
      <w:r>
        <w:rPr>
          <w:rFonts w:hint="eastAsia" w:ascii="方正仿宋_GB2312" w:hAnsi="方正仿宋_GB2312" w:eastAsia="方正仿宋_GB2312" w:cs="方正仿宋_GB2312"/>
          <w:sz w:val="24"/>
          <w:highlight w:val="none"/>
        </w:rPr>
        <w:t>：项目实施完成验收合格，甲方出具验收合格通知后，甲方在</w:t>
      </w:r>
      <w:r>
        <w:rPr>
          <w:rFonts w:hint="eastAsia" w:ascii="方正仿宋_GB2312" w:hAnsi="方正仿宋_GB2312" w:eastAsia="方正仿宋_GB2312" w:cs="方正仿宋_GB2312"/>
          <w:sz w:val="24"/>
          <w:highlight w:val="none"/>
          <w:lang w:val="en-US" w:eastAsia="zh-CN"/>
        </w:rPr>
        <w:t>30</w:t>
      </w:r>
      <w:r>
        <w:rPr>
          <w:rFonts w:hint="eastAsia" w:ascii="方正仿宋_GB2312" w:hAnsi="方正仿宋_GB2312" w:eastAsia="方正仿宋_GB2312" w:cs="方正仿宋_GB2312"/>
          <w:sz w:val="24"/>
          <w:highlight w:val="none"/>
        </w:rPr>
        <w:t>日内支付合同</w:t>
      </w:r>
      <w:r>
        <w:rPr>
          <w:rFonts w:hint="eastAsia" w:ascii="方正仿宋_GB2312" w:hAnsi="方正仿宋_GB2312" w:eastAsia="方正仿宋_GB2312" w:cs="方正仿宋_GB2312"/>
          <w:sz w:val="24"/>
          <w:highlight w:val="none"/>
          <w:lang w:eastAsia="zh-CN"/>
        </w:rPr>
        <w:t>总价</w:t>
      </w:r>
      <w:r>
        <w:rPr>
          <w:rFonts w:hint="eastAsia" w:ascii="方正仿宋_GB2312" w:hAnsi="方正仿宋_GB2312" w:eastAsia="方正仿宋_GB2312" w:cs="方正仿宋_GB2312"/>
          <w:sz w:val="24"/>
          <w:highlight w:val="none"/>
          <w:lang w:val="en-US" w:eastAsia="zh-CN"/>
        </w:rPr>
        <w:t>100</w:t>
      </w:r>
      <w:r>
        <w:rPr>
          <w:rFonts w:hint="eastAsia" w:ascii="方正仿宋_GB2312" w:hAnsi="方正仿宋_GB2312" w:eastAsia="方正仿宋_GB2312" w:cs="方正仿宋_GB2312"/>
          <w:sz w:val="24"/>
          <w:highlight w:val="none"/>
        </w:rPr>
        <w:t>%。付款时乙方需提供符合甲方要求的合法、正式、等额增值税普通发票，乙方未开具符合甲方要求的发票的，甲方有权拒绝付款，并不承担迟延付款的违约责任。</w:t>
      </w:r>
    </w:p>
    <w:p>
      <w:pPr>
        <w:autoSpaceDE w:val="0"/>
        <w:autoSpaceDN w:val="0"/>
        <w:adjustRightInd w:val="0"/>
        <w:spacing w:line="360" w:lineRule="auto"/>
        <w:ind w:firstLine="480"/>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b/>
          <w:sz w:val="24"/>
          <w:highlight w:val="none"/>
          <w:lang w:val="zh-CN"/>
        </w:rPr>
        <w:t>三、合同主要内容：</w:t>
      </w:r>
      <w:r>
        <w:rPr>
          <w:rFonts w:hint="eastAsia" w:ascii="方正仿宋_GB2312" w:hAnsi="方正仿宋_GB2312" w:eastAsia="方正仿宋_GB2312" w:cs="方正仿宋_GB2312"/>
          <w:sz w:val="24"/>
          <w:highlight w:val="none"/>
          <w:lang w:val="zh-CN"/>
        </w:rPr>
        <w:t>详见招标文件、投标文件和承诺书全部内容及所附采购清单。</w:t>
      </w:r>
    </w:p>
    <w:p>
      <w:pPr>
        <w:autoSpaceDE w:val="0"/>
        <w:autoSpaceDN w:val="0"/>
        <w:adjustRightInd w:val="0"/>
        <w:spacing w:line="360" w:lineRule="auto"/>
        <w:ind w:firstLine="480"/>
        <w:jc w:val="left"/>
        <w:outlineLvl w:val="9"/>
        <w:rPr>
          <w:rFonts w:ascii="方正仿宋_GB2312" w:hAnsi="方正仿宋_GB2312" w:eastAsia="方正仿宋_GB2312" w:cs="方正仿宋_GB2312"/>
          <w:bCs/>
          <w:spacing w:val="10"/>
          <w:sz w:val="24"/>
          <w:highlight w:val="none"/>
        </w:rPr>
      </w:pPr>
      <w:bookmarkStart w:id="985" w:name="_Toc26464"/>
      <w:bookmarkStart w:id="986" w:name="_Toc8972"/>
      <w:bookmarkStart w:id="987" w:name="_Toc7705"/>
      <w:bookmarkStart w:id="988" w:name="_Toc23934"/>
      <w:r>
        <w:rPr>
          <w:rFonts w:hint="eastAsia" w:ascii="方正仿宋_GB2312" w:hAnsi="方正仿宋_GB2312" w:eastAsia="方正仿宋_GB2312" w:cs="方正仿宋_GB2312"/>
          <w:b/>
          <w:sz w:val="24"/>
          <w:highlight w:val="none"/>
          <w:lang w:val="zh-CN"/>
        </w:rPr>
        <w:t>四、</w:t>
      </w:r>
      <w:r>
        <w:rPr>
          <w:rFonts w:hint="eastAsia" w:ascii="方正仿宋_GB2312" w:hAnsi="方正仿宋_GB2312" w:eastAsia="方正仿宋_GB2312" w:cs="方正仿宋_GB2312"/>
          <w:b/>
          <w:sz w:val="24"/>
          <w:highlight w:val="none"/>
        </w:rPr>
        <w:t>合同履行期限及交货地点</w:t>
      </w:r>
      <w:r>
        <w:rPr>
          <w:rFonts w:hint="eastAsia" w:ascii="方正仿宋_GB2312" w:hAnsi="方正仿宋_GB2312" w:eastAsia="方正仿宋_GB2312" w:cs="方正仿宋_GB2312"/>
          <w:b/>
          <w:sz w:val="24"/>
          <w:highlight w:val="none"/>
          <w:lang w:val="zh-CN"/>
        </w:rPr>
        <w:t>：</w:t>
      </w:r>
      <w:r>
        <w:rPr>
          <w:rFonts w:hint="eastAsia" w:ascii="方正仿宋_GB2312" w:hAnsi="方正仿宋_GB2312" w:eastAsia="方正仿宋_GB2312" w:cs="方正仿宋_GB2312"/>
          <w:bCs/>
          <w:spacing w:val="10"/>
          <w:sz w:val="24"/>
          <w:highlight w:val="none"/>
        </w:rPr>
        <w:t>。</w:t>
      </w:r>
      <w:bookmarkEnd w:id="985"/>
      <w:bookmarkEnd w:id="986"/>
      <w:bookmarkEnd w:id="987"/>
      <w:bookmarkEnd w:id="988"/>
    </w:p>
    <w:p>
      <w:pPr>
        <w:outlineLvl w:val="9"/>
        <w:rPr>
          <w:rFonts w:eastAsia="方正仿宋_GB2312"/>
          <w:highlight w:val="none"/>
        </w:rPr>
      </w:pPr>
      <w:r>
        <w:rPr>
          <w:rFonts w:hint="eastAsia" w:ascii="方正仿宋_GB2312" w:hAnsi="方正仿宋_GB2312" w:eastAsia="方正仿宋_GB2312" w:cs="方正仿宋_GB2312"/>
          <w:bCs/>
          <w:spacing w:val="10"/>
          <w:highlight w:val="none"/>
        </w:rPr>
        <w:t>　　　　交货方式：</w:t>
      </w:r>
      <w:r>
        <w:rPr>
          <w:rFonts w:hint="eastAsia" w:ascii="方正仿宋_GB2312" w:hAnsi="方正仿宋_GB2312" w:eastAsia="方正仿宋_GB2312" w:cs="方正仿宋_GB2312"/>
          <w:bCs/>
          <w:spacing w:val="10"/>
          <w:highlight w:val="none"/>
          <w:u w:val="single"/>
        </w:rPr>
        <w:t xml:space="preserve">                   。</w:t>
      </w:r>
    </w:p>
    <w:p>
      <w:pPr>
        <w:autoSpaceDE w:val="0"/>
        <w:autoSpaceDN w:val="0"/>
        <w:adjustRightInd w:val="0"/>
        <w:spacing w:line="360" w:lineRule="auto"/>
        <w:ind w:firstLine="480"/>
        <w:jc w:val="left"/>
        <w:outlineLvl w:val="9"/>
        <w:rPr>
          <w:rFonts w:ascii="方正仿宋_GB2312" w:hAnsi="方正仿宋_GB2312" w:eastAsia="方正仿宋_GB2312" w:cs="方正仿宋_GB2312"/>
          <w:b/>
          <w:sz w:val="24"/>
          <w:highlight w:val="none"/>
          <w:lang w:val="zh-CN"/>
        </w:rPr>
      </w:pPr>
      <w:bookmarkStart w:id="989" w:name="_Toc24947"/>
      <w:bookmarkStart w:id="990" w:name="_Toc30591"/>
      <w:bookmarkStart w:id="991" w:name="_Toc8769"/>
      <w:bookmarkStart w:id="992" w:name="_Toc29779"/>
      <w:bookmarkStart w:id="993" w:name="_Toc22493"/>
      <w:bookmarkStart w:id="994" w:name="_Toc19850"/>
      <w:r>
        <w:rPr>
          <w:rFonts w:hint="eastAsia" w:ascii="方正仿宋_GB2312" w:hAnsi="方正仿宋_GB2312" w:eastAsia="方正仿宋_GB2312" w:cs="方正仿宋_GB2312"/>
          <w:b/>
          <w:sz w:val="24"/>
          <w:highlight w:val="none"/>
          <w:lang w:val="zh-CN"/>
        </w:rPr>
        <w:t>五、甲乙双方的权利和义务：</w:t>
      </w:r>
      <w:bookmarkEnd w:id="989"/>
      <w:bookmarkEnd w:id="990"/>
      <w:bookmarkEnd w:id="991"/>
      <w:bookmarkEnd w:id="992"/>
      <w:bookmarkEnd w:id="993"/>
      <w:bookmarkEnd w:id="994"/>
    </w:p>
    <w:p>
      <w:pPr>
        <w:autoSpaceDE w:val="0"/>
        <w:autoSpaceDN w:val="0"/>
        <w:adjustRightInd w:val="0"/>
        <w:spacing w:line="360" w:lineRule="auto"/>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 xml:space="preserve">    （一）甲方的权利和义务</w:t>
      </w:r>
    </w:p>
    <w:p>
      <w:pPr>
        <w:autoSpaceDE w:val="0"/>
        <w:autoSpaceDN w:val="0"/>
        <w:adjustRightInd w:val="0"/>
        <w:spacing w:line="360" w:lineRule="auto"/>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 xml:space="preserve">    1、负责合同签订后的项目实施过程中的联系及监管等工作（包括与乙方的协调沟通，对乙方提供的方案进行审核并提出修改要求，配备人员对现场安装调试进行监管控制，对不符合招标文件、投标文件以及承诺书要求的内容，有权提出修改和完善）。</w:t>
      </w:r>
    </w:p>
    <w:p>
      <w:pPr>
        <w:autoSpaceDE w:val="0"/>
        <w:autoSpaceDN w:val="0"/>
        <w:adjustRightInd w:val="0"/>
        <w:spacing w:line="360" w:lineRule="auto"/>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 xml:space="preserve">    2、负责提供项目建设的施工及产品(产品)、安装调试所必须的场地和环境（包括水电的供给），协助乙方做好安全生产工作。</w:t>
      </w:r>
    </w:p>
    <w:p>
      <w:pPr>
        <w:autoSpaceDE w:val="0"/>
        <w:autoSpaceDN w:val="0"/>
        <w:adjustRightInd w:val="0"/>
        <w:spacing w:line="360" w:lineRule="auto"/>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 xml:space="preserve">    3、负责组织成立验收小组，对该项目进行验收并签署验收报告。</w:t>
      </w:r>
    </w:p>
    <w:p>
      <w:pPr>
        <w:autoSpaceDE w:val="0"/>
        <w:autoSpaceDN w:val="0"/>
        <w:adjustRightInd w:val="0"/>
        <w:spacing w:line="360" w:lineRule="auto"/>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 xml:space="preserve">    4、享有乙方提供的该项目有关服务及咨询权利。</w:t>
      </w:r>
    </w:p>
    <w:p>
      <w:pPr>
        <w:autoSpaceDE w:val="0"/>
        <w:autoSpaceDN w:val="0"/>
        <w:adjustRightInd w:val="0"/>
        <w:spacing w:line="360" w:lineRule="auto"/>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 xml:space="preserve">    （二）乙方的权利和义务</w:t>
      </w:r>
    </w:p>
    <w:p>
      <w:pPr>
        <w:autoSpaceDE w:val="0"/>
        <w:autoSpaceDN w:val="0"/>
        <w:adjustRightInd w:val="0"/>
        <w:spacing w:line="360" w:lineRule="auto"/>
        <w:ind w:firstLine="480"/>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1、</w:t>
      </w:r>
      <w:r>
        <w:rPr>
          <w:rFonts w:hint="eastAsia" w:ascii="方正仿宋_GB2312" w:hAnsi="方正仿宋_GB2312" w:eastAsia="方正仿宋_GB2312" w:cs="方正仿宋_GB2312"/>
          <w:bCs/>
          <w:sz w:val="24"/>
          <w:szCs w:val="24"/>
          <w:highlight w:val="none"/>
        </w:rPr>
        <w:t>乙方应当配备具有按照约定开展服务项目的工作人员、设备、技术等工作条件，能解决本合同约定内容以及技术问题或其他事项，保证工作质量，并完整提供和传授解决技术问题、技术成果的背景资料、知识和技能</w:t>
      </w:r>
      <w:r>
        <w:rPr>
          <w:rFonts w:hint="eastAsia" w:ascii="方正仿宋_GB2312" w:hAnsi="方正仿宋_GB2312" w:eastAsia="方正仿宋_GB2312" w:cs="方正仿宋_GB2312"/>
          <w:sz w:val="24"/>
          <w:highlight w:val="none"/>
          <w:lang w:val="zh-CN"/>
        </w:rPr>
        <w:t>。</w:t>
      </w:r>
    </w:p>
    <w:p>
      <w:pPr>
        <w:autoSpaceDE w:val="0"/>
        <w:autoSpaceDN w:val="0"/>
        <w:adjustRightInd w:val="0"/>
        <w:spacing w:line="360" w:lineRule="auto"/>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 xml:space="preserve">    2、</w:t>
      </w:r>
      <w:r>
        <w:rPr>
          <w:rFonts w:hint="eastAsia" w:ascii="方正仿宋_GB2312" w:hAnsi="方正仿宋_GB2312" w:eastAsia="方正仿宋_GB2312" w:cs="方正仿宋_GB2312"/>
          <w:bCs/>
          <w:sz w:val="24"/>
          <w:szCs w:val="24"/>
          <w:highlight w:val="none"/>
        </w:rPr>
        <w:t>未经甲方书面同意，不得擅自更改合同及附件中注明的技术指标和要求</w:t>
      </w:r>
      <w:r>
        <w:rPr>
          <w:rFonts w:hint="eastAsia" w:ascii="方正仿宋_GB2312" w:hAnsi="方正仿宋_GB2312" w:eastAsia="方正仿宋_GB2312" w:cs="方正仿宋_GB2312"/>
          <w:sz w:val="24"/>
          <w:highlight w:val="none"/>
          <w:lang w:val="zh-CN"/>
        </w:rPr>
        <w:t>。</w:t>
      </w:r>
    </w:p>
    <w:p>
      <w:pPr>
        <w:autoSpaceDE w:val="0"/>
        <w:autoSpaceDN w:val="0"/>
        <w:adjustRightInd w:val="0"/>
        <w:spacing w:line="360" w:lineRule="auto"/>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 xml:space="preserve">    3、</w:t>
      </w:r>
      <w:r>
        <w:rPr>
          <w:rFonts w:hint="eastAsia" w:ascii="方正仿宋_GB2312" w:hAnsi="方正仿宋_GB2312" w:eastAsia="方正仿宋_GB2312" w:cs="方正仿宋_GB2312"/>
          <w:bCs/>
          <w:sz w:val="24"/>
          <w:szCs w:val="24"/>
          <w:highlight w:val="none"/>
        </w:rPr>
        <w:t>不得将甲方提供给乙方的技术资料、数据、样品以及本合同产生的成果擅自引用、发表或提供给第三方</w:t>
      </w:r>
      <w:r>
        <w:rPr>
          <w:rFonts w:hint="eastAsia" w:ascii="方正仿宋_GB2312" w:hAnsi="方正仿宋_GB2312" w:eastAsia="方正仿宋_GB2312" w:cs="方正仿宋_GB2312"/>
          <w:sz w:val="24"/>
          <w:highlight w:val="none"/>
          <w:lang w:val="zh-CN"/>
        </w:rPr>
        <w:t>。</w:t>
      </w:r>
    </w:p>
    <w:p>
      <w:pPr>
        <w:autoSpaceDE w:val="0"/>
        <w:autoSpaceDN w:val="0"/>
        <w:adjustRightInd w:val="0"/>
        <w:spacing w:line="360" w:lineRule="auto"/>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 xml:space="preserve">    4、</w:t>
      </w:r>
      <w:r>
        <w:rPr>
          <w:rFonts w:hint="eastAsia" w:ascii="方正仿宋_GB2312" w:hAnsi="方正仿宋_GB2312" w:eastAsia="方正仿宋_GB2312" w:cs="方正仿宋_GB2312"/>
          <w:bCs/>
          <w:sz w:val="24"/>
          <w:szCs w:val="24"/>
          <w:highlight w:val="none"/>
        </w:rPr>
        <w:t>在合同履行期间及工作成果提交后，对甲方提出的有关本合同项目的任何问题，乙方有义务提供后续售后服务</w:t>
      </w:r>
      <w:r>
        <w:rPr>
          <w:rFonts w:hint="eastAsia" w:ascii="方正仿宋_GB2312" w:hAnsi="方正仿宋_GB2312" w:eastAsia="方正仿宋_GB2312" w:cs="方正仿宋_GB2312"/>
          <w:sz w:val="24"/>
          <w:highlight w:val="none"/>
          <w:lang w:val="zh-CN"/>
        </w:rPr>
        <w:t>。</w:t>
      </w:r>
    </w:p>
    <w:p>
      <w:pPr>
        <w:autoSpaceDE w:val="0"/>
        <w:autoSpaceDN w:val="0"/>
        <w:adjustRightInd w:val="0"/>
        <w:spacing w:line="360" w:lineRule="auto"/>
        <w:ind w:firstLine="482"/>
        <w:jc w:val="left"/>
        <w:outlineLvl w:val="9"/>
        <w:rPr>
          <w:rFonts w:ascii="方正仿宋_GB2312" w:hAnsi="方正仿宋_GB2312" w:eastAsia="方正仿宋_GB2312" w:cs="方正仿宋_GB2312"/>
          <w:b/>
          <w:sz w:val="24"/>
          <w:highlight w:val="none"/>
          <w:lang w:val="zh-CN"/>
        </w:rPr>
      </w:pPr>
      <w:bookmarkStart w:id="995" w:name="_Toc26166"/>
      <w:bookmarkStart w:id="996" w:name="_Toc23924"/>
      <w:bookmarkStart w:id="997" w:name="_Toc8277"/>
      <w:bookmarkStart w:id="998" w:name="_Toc22170"/>
      <w:bookmarkStart w:id="999" w:name="_Toc5760"/>
      <w:bookmarkStart w:id="1000" w:name="_Toc14696"/>
      <w:r>
        <w:rPr>
          <w:rFonts w:hint="eastAsia" w:ascii="方正仿宋_GB2312" w:hAnsi="方正仿宋_GB2312" w:eastAsia="方正仿宋_GB2312" w:cs="方正仿宋_GB2312"/>
          <w:b/>
          <w:sz w:val="24"/>
          <w:highlight w:val="none"/>
          <w:lang w:val="zh-CN"/>
        </w:rPr>
        <w:t>六、验收及验收标准</w:t>
      </w:r>
      <w:bookmarkEnd w:id="995"/>
      <w:bookmarkEnd w:id="996"/>
      <w:bookmarkEnd w:id="997"/>
      <w:bookmarkEnd w:id="998"/>
      <w:bookmarkEnd w:id="999"/>
      <w:bookmarkEnd w:id="1000"/>
    </w:p>
    <w:p>
      <w:pPr>
        <w:autoSpaceDE w:val="0"/>
        <w:autoSpaceDN w:val="0"/>
        <w:adjustRightInd w:val="0"/>
        <w:spacing w:line="360" w:lineRule="auto"/>
        <w:ind w:firstLine="720" w:firstLineChars="300"/>
        <w:jc w:val="left"/>
        <w:outlineLvl w:val="9"/>
        <w:rPr>
          <w:rFonts w:ascii="方正仿宋_GB2312" w:hAnsi="方正仿宋_GB2312" w:eastAsia="方正仿宋_GB2312" w:cs="方正仿宋_GB2312"/>
          <w:b/>
          <w:sz w:val="24"/>
          <w:highlight w:val="none"/>
          <w:lang w:val="zh-CN"/>
        </w:rPr>
      </w:pPr>
      <w:r>
        <w:rPr>
          <w:rFonts w:hint="eastAsia" w:ascii="方正仿宋_GB2312" w:hAnsi="方正仿宋_GB2312" w:eastAsia="方正仿宋_GB2312" w:cs="方正仿宋_GB2312"/>
          <w:sz w:val="24"/>
          <w:highlight w:val="none"/>
          <w:lang w:val="zh-CN"/>
        </w:rPr>
        <w:t xml:space="preserve"> </w:t>
      </w:r>
      <w:r>
        <w:rPr>
          <w:rFonts w:hint="eastAsia" w:ascii="方正仿宋_GB2312" w:hAnsi="方正仿宋_GB2312" w:eastAsia="方正仿宋_GB2312" w:cs="方正仿宋_GB2312"/>
          <w:sz w:val="24"/>
          <w:szCs w:val="24"/>
          <w:highlight w:val="none"/>
        </w:rPr>
        <w:t>质量必须符合国家标准或行业的相关标准及要求，在确保交货期的前提下，货物必须符合本次合同清单中的质量、规格、性能指标等要求。如达不到合格标准，采购人有权拒收产品，直到货品按相关要求达到合格为止，因此造成的验收推迟，由供应商负责。</w:t>
      </w:r>
    </w:p>
    <w:p>
      <w:pPr>
        <w:autoSpaceDE w:val="0"/>
        <w:autoSpaceDN w:val="0"/>
        <w:adjustRightInd w:val="0"/>
        <w:spacing w:line="360" w:lineRule="auto"/>
        <w:ind w:firstLine="420"/>
        <w:jc w:val="left"/>
        <w:outlineLvl w:val="9"/>
        <w:rPr>
          <w:rFonts w:hint="default" w:ascii="方正仿宋_GB2312" w:hAnsi="方正仿宋_GB2312" w:eastAsia="方正仿宋_GB2312" w:cs="方正仿宋_GB2312"/>
          <w:b/>
          <w:sz w:val="24"/>
          <w:highlight w:val="none"/>
          <w:u w:val="single"/>
          <w:lang w:val="en-US" w:eastAsia="zh-CN"/>
        </w:rPr>
      </w:pPr>
      <w:r>
        <w:rPr>
          <w:rFonts w:hint="eastAsia" w:ascii="方正仿宋_GB2312" w:hAnsi="方正仿宋_GB2312" w:eastAsia="方正仿宋_GB2312" w:cs="方正仿宋_GB2312"/>
          <w:sz w:val="24"/>
          <w:highlight w:val="none"/>
          <w:lang w:val="zh-CN"/>
        </w:rPr>
        <w:t xml:space="preserve"> </w:t>
      </w:r>
      <w:bookmarkStart w:id="1001" w:name="_Toc23209"/>
      <w:bookmarkStart w:id="1002" w:name="_Toc13983"/>
      <w:bookmarkStart w:id="1003" w:name="_Toc30160"/>
      <w:bookmarkStart w:id="1004" w:name="_Toc20255"/>
      <w:bookmarkStart w:id="1005" w:name="_Toc19842"/>
      <w:bookmarkStart w:id="1006" w:name="_Toc9235"/>
      <w:r>
        <w:rPr>
          <w:rFonts w:hint="eastAsia" w:ascii="方正仿宋_GB2312" w:hAnsi="方正仿宋_GB2312" w:eastAsia="方正仿宋_GB2312" w:cs="方正仿宋_GB2312"/>
          <w:b/>
          <w:sz w:val="24"/>
          <w:highlight w:val="none"/>
          <w:lang w:val="zh-CN"/>
        </w:rPr>
        <w:t>七、合同价款结算</w:t>
      </w:r>
      <w:bookmarkEnd w:id="1001"/>
      <w:bookmarkEnd w:id="1002"/>
      <w:bookmarkEnd w:id="1003"/>
      <w:bookmarkEnd w:id="1004"/>
      <w:bookmarkEnd w:id="1005"/>
      <w:bookmarkEnd w:id="1006"/>
      <w:r>
        <w:rPr>
          <w:rFonts w:hint="eastAsia" w:ascii="方正仿宋_GB2312" w:hAnsi="方正仿宋_GB2312" w:eastAsia="方正仿宋_GB2312" w:cs="方正仿宋_GB2312"/>
          <w:b/>
          <w:sz w:val="24"/>
          <w:highlight w:val="none"/>
          <w:lang w:val="zh-CN"/>
        </w:rPr>
        <w:t>：</w:t>
      </w:r>
      <w:r>
        <w:rPr>
          <w:rFonts w:hint="eastAsia" w:ascii="方正仿宋_GB2312" w:hAnsi="方正仿宋_GB2312" w:eastAsia="方正仿宋_GB2312" w:cs="方正仿宋_GB2312"/>
          <w:b/>
          <w:sz w:val="24"/>
          <w:highlight w:val="none"/>
          <w:u w:val="single"/>
          <w:lang w:val="en-US" w:eastAsia="zh-CN"/>
        </w:rPr>
        <w:t xml:space="preserve">       </w:t>
      </w:r>
      <w:r>
        <w:rPr>
          <w:rFonts w:hint="eastAsia" w:ascii="方正仿宋_GB2312" w:hAnsi="方正仿宋_GB2312" w:eastAsia="方正仿宋_GB2312" w:cs="方正仿宋_GB2312"/>
          <w:b/>
          <w:sz w:val="24"/>
          <w:highlight w:val="none"/>
          <w:u w:val="none"/>
          <w:lang w:val="en-US" w:eastAsia="zh-CN"/>
        </w:rPr>
        <w:t>；</w:t>
      </w:r>
    </w:p>
    <w:p>
      <w:pPr>
        <w:autoSpaceDE w:val="0"/>
        <w:autoSpaceDN w:val="0"/>
        <w:adjustRightInd w:val="0"/>
        <w:spacing w:line="360" w:lineRule="auto"/>
        <w:ind w:firstLine="480"/>
        <w:jc w:val="left"/>
        <w:outlineLvl w:val="9"/>
        <w:rPr>
          <w:rFonts w:ascii="方正仿宋_GB2312" w:hAnsi="方正仿宋_GB2312" w:eastAsia="方正仿宋_GB2312" w:cs="方正仿宋_GB2312"/>
          <w:b/>
          <w:sz w:val="24"/>
          <w:highlight w:val="none"/>
          <w:lang w:val="zh-CN"/>
        </w:rPr>
      </w:pPr>
      <w:bookmarkStart w:id="1007" w:name="_Toc26514"/>
      <w:bookmarkStart w:id="1008" w:name="_Toc28494"/>
      <w:bookmarkStart w:id="1009" w:name="_Toc27006"/>
      <w:bookmarkStart w:id="1010" w:name="_Toc17951"/>
      <w:bookmarkStart w:id="1011" w:name="_Toc9262"/>
      <w:bookmarkStart w:id="1012" w:name="_Toc25684"/>
      <w:r>
        <w:rPr>
          <w:rFonts w:hint="eastAsia" w:ascii="方正仿宋_GB2312" w:hAnsi="方正仿宋_GB2312" w:eastAsia="方正仿宋_GB2312" w:cs="方正仿宋_GB2312"/>
          <w:b/>
          <w:sz w:val="24"/>
          <w:highlight w:val="none"/>
          <w:lang w:val="zh-CN"/>
        </w:rPr>
        <w:t>八、违约责任</w:t>
      </w:r>
      <w:bookmarkEnd w:id="1007"/>
      <w:bookmarkEnd w:id="1008"/>
      <w:bookmarkEnd w:id="1009"/>
      <w:bookmarkEnd w:id="1010"/>
      <w:bookmarkEnd w:id="1011"/>
      <w:bookmarkEnd w:id="1012"/>
    </w:p>
    <w:p>
      <w:pPr>
        <w:autoSpaceDE w:val="0"/>
        <w:autoSpaceDN w:val="0"/>
        <w:adjustRightInd w:val="0"/>
        <w:spacing w:line="360" w:lineRule="auto"/>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 xml:space="preserve">    除发生不可抗力事实外，乙方所交产品和安装调试与招标文件、投标文件和承诺书不相符合的，甲方有权拒收，乙方则应向甲方偿付合同款总价百分之五的违约金。给甲方造成其他损失的，乙方应赔偿全部损失。乙方逾期交付时将向甲方每日偿付合同总额万分之五的违约金。乙方不能按期交付和完成安装调试及所交产品和安装调试与招标文件、投标文件和承诺书不符，致使甲方造成经济损失的应依法赔偿。</w:t>
      </w:r>
    </w:p>
    <w:p>
      <w:pPr>
        <w:autoSpaceDE w:val="0"/>
        <w:autoSpaceDN w:val="0"/>
        <w:adjustRightInd w:val="0"/>
        <w:spacing w:line="360" w:lineRule="auto"/>
        <w:outlineLvl w:val="9"/>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val="zh-CN"/>
        </w:rPr>
        <w:t xml:space="preserve">    甲方如无正当理由拒收的，则应向乙方偿付合同款总价百分之五的违约金。逾期支付合同价款的，甲方将向乙方每日偿付欠款总额万分之五的违约金。</w:t>
      </w:r>
    </w:p>
    <w:p>
      <w:pPr>
        <w:autoSpaceDE w:val="0"/>
        <w:autoSpaceDN w:val="0"/>
        <w:adjustRightInd w:val="0"/>
        <w:spacing w:line="360" w:lineRule="auto"/>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 xml:space="preserve">    甲方有权拒付合同价以外的任何费用，乙方有权拒绝合同整体范围以外的条件。任何一方若发生违约金，不再计算银行利息。</w:t>
      </w:r>
    </w:p>
    <w:p>
      <w:pPr>
        <w:autoSpaceDE w:val="0"/>
        <w:autoSpaceDN w:val="0"/>
        <w:adjustRightInd w:val="0"/>
        <w:spacing w:line="360" w:lineRule="auto"/>
        <w:ind w:firstLine="480"/>
        <w:jc w:val="left"/>
        <w:outlineLvl w:val="9"/>
        <w:rPr>
          <w:rFonts w:ascii="方正仿宋_GB2312" w:hAnsi="方正仿宋_GB2312" w:eastAsia="方正仿宋_GB2312" w:cs="方正仿宋_GB2312"/>
          <w:b/>
          <w:sz w:val="24"/>
          <w:highlight w:val="none"/>
          <w:lang w:val="zh-CN"/>
        </w:rPr>
      </w:pPr>
      <w:bookmarkStart w:id="1013" w:name="_Toc1939"/>
      <w:bookmarkStart w:id="1014" w:name="_Toc24630"/>
      <w:bookmarkStart w:id="1015" w:name="_Toc16801"/>
      <w:bookmarkStart w:id="1016" w:name="_Toc29937"/>
      <w:bookmarkStart w:id="1017" w:name="_Toc10158"/>
      <w:bookmarkStart w:id="1018" w:name="_Toc27326"/>
      <w:r>
        <w:rPr>
          <w:rFonts w:hint="eastAsia" w:ascii="方正仿宋_GB2312" w:hAnsi="方正仿宋_GB2312" w:eastAsia="方正仿宋_GB2312" w:cs="方正仿宋_GB2312"/>
          <w:b/>
          <w:sz w:val="24"/>
          <w:highlight w:val="none"/>
          <w:lang w:val="zh-CN"/>
        </w:rPr>
        <w:t>九、纠纷解决</w:t>
      </w:r>
      <w:bookmarkEnd w:id="1013"/>
      <w:bookmarkEnd w:id="1014"/>
      <w:bookmarkEnd w:id="1015"/>
      <w:bookmarkEnd w:id="1016"/>
      <w:bookmarkEnd w:id="1017"/>
      <w:bookmarkEnd w:id="1018"/>
    </w:p>
    <w:p>
      <w:pPr>
        <w:autoSpaceDE w:val="0"/>
        <w:autoSpaceDN w:val="0"/>
        <w:adjustRightInd w:val="0"/>
        <w:spacing w:line="360" w:lineRule="auto"/>
        <w:ind w:firstLine="480" w:firstLineChars="200"/>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sz w:val="24"/>
          <w:highlight w:val="none"/>
          <w:lang w:val="zh-CN"/>
        </w:rPr>
        <w:t>甲乙双方如在履行合同过程中发生纠纷，由双方协商解决。协商不成或一方反悔的，任何一方均可向甲方所在地人民法院提起诉讼。</w:t>
      </w:r>
    </w:p>
    <w:p>
      <w:pPr>
        <w:autoSpaceDE w:val="0"/>
        <w:autoSpaceDN w:val="0"/>
        <w:adjustRightInd w:val="0"/>
        <w:spacing w:line="360" w:lineRule="auto"/>
        <w:jc w:val="left"/>
        <w:outlineLvl w:val="9"/>
        <w:rPr>
          <w:rFonts w:ascii="方正仿宋_GB2312" w:hAnsi="方正仿宋_GB2312" w:eastAsia="方正仿宋_GB2312" w:cs="方正仿宋_GB2312"/>
          <w:b/>
          <w:sz w:val="24"/>
          <w:highlight w:val="none"/>
          <w:lang w:val="zh-CN"/>
        </w:rPr>
      </w:pPr>
      <w:r>
        <w:rPr>
          <w:rFonts w:hint="eastAsia" w:ascii="方正仿宋_GB2312" w:hAnsi="方正仿宋_GB2312" w:eastAsia="方正仿宋_GB2312" w:cs="方正仿宋_GB2312"/>
          <w:sz w:val="24"/>
          <w:highlight w:val="none"/>
          <w:lang w:val="zh-CN"/>
        </w:rPr>
        <w:t xml:space="preserve">    </w:t>
      </w:r>
      <w:r>
        <w:rPr>
          <w:rFonts w:hint="eastAsia" w:ascii="方正仿宋_GB2312" w:hAnsi="方正仿宋_GB2312" w:eastAsia="方正仿宋_GB2312" w:cs="方正仿宋_GB2312"/>
          <w:b/>
          <w:sz w:val="24"/>
          <w:highlight w:val="none"/>
          <w:lang w:val="zh-CN"/>
        </w:rPr>
        <w:t>十、本合同其他未尽事宜，按国家《中华人民共和国民法典》有关规定处理。</w:t>
      </w:r>
    </w:p>
    <w:p>
      <w:pPr>
        <w:autoSpaceDE w:val="0"/>
        <w:autoSpaceDN w:val="0"/>
        <w:adjustRightInd w:val="0"/>
        <w:spacing w:line="360" w:lineRule="auto"/>
        <w:ind w:left="713" w:hanging="236"/>
        <w:jc w:val="left"/>
        <w:outlineLvl w:val="9"/>
        <w:rPr>
          <w:rFonts w:ascii="方正仿宋_GB2312" w:hAnsi="方正仿宋_GB2312" w:eastAsia="方正仿宋_GB2312" w:cs="方正仿宋_GB2312"/>
          <w:sz w:val="24"/>
          <w:highlight w:val="none"/>
          <w:lang w:val="zh-CN"/>
        </w:rPr>
      </w:pPr>
      <w:r>
        <w:rPr>
          <w:rFonts w:hint="eastAsia" w:ascii="方正仿宋_GB2312" w:hAnsi="方正仿宋_GB2312" w:eastAsia="方正仿宋_GB2312" w:cs="方正仿宋_GB2312"/>
          <w:b/>
          <w:sz w:val="24"/>
          <w:highlight w:val="none"/>
          <w:lang w:val="zh-CN"/>
        </w:rPr>
        <w:t>十一、合同份数：</w:t>
      </w:r>
      <w:r>
        <w:rPr>
          <w:rFonts w:hint="eastAsia" w:ascii="方正仿宋_GB2312" w:hAnsi="方正仿宋_GB2312" w:eastAsia="方正仿宋_GB2312" w:cs="方正仿宋_GB2312"/>
          <w:sz w:val="24"/>
          <w:highlight w:val="none"/>
          <w:lang w:val="zh-CN"/>
        </w:rPr>
        <w:t>本合同一式</w:t>
      </w:r>
      <w:r>
        <w:rPr>
          <w:rFonts w:hint="eastAsia" w:ascii="方正仿宋_GB2312" w:hAnsi="方正仿宋_GB2312" w:eastAsia="方正仿宋_GB2312" w:cs="方正仿宋_GB2312"/>
          <w:sz w:val="24"/>
          <w:highlight w:val="none"/>
          <w:u w:val="single"/>
          <w:lang w:val="zh-CN"/>
        </w:rPr>
        <w:t xml:space="preserve">    </w:t>
      </w:r>
      <w:r>
        <w:rPr>
          <w:rFonts w:hint="eastAsia" w:ascii="方正仿宋_GB2312" w:hAnsi="方正仿宋_GB2312" w:eastAsia="方正仿宋_GB2312" w:cs="方正仿宋_GB2312"/>
          <w:sz w:val="24"/>
          <w:highlight w:val="none"/>
          <w:lang w:val="zh-CN"/>
        </w:rPr>
        <w:t>份，具有同等效力。乙方</w:t>
      </w:r>
      <w:r>
        <w:rPr>
          <w:rFonts w:hint="eastAsia" w:ascii="方正仿宋_GB2312" w:hAnsi="方正仿宋_GB2312" w:eastAsia="方正仿宋_GB2312" w:cs="方正仿宋_GB2312"/>
          <w:sz w:val="24"/>
          <w:highlight w:val="none"/>
          <w:u w:val="single"/>
          <w:lang w:val="zh-CN"/>
        </w:rPr>
        <w:t xml:space="preserve">    </w:t>
      </w:r>
      <w:r>
        <w:rPr>
          <w:rFonts w:hint="eastAsia" w:ascii="方正仿宋_GB2312" w:hAnsi="方正仿宋_GB2312" w:eastAsia="方正仿宋_GB2312" w:cs="方正仿宋_GB2312"/>
          <w:sz w:val="24"/>
          <w:highlight w:val="none"/>
          <w:lang w:val="zh-CN"/>
        </w:rPr>
        <w:t>份，甲方</w:t>
      </w:r>
      <w:r>
        <w:rPr>
          <w:rFonts w:hint="eastAsia" w:ascii="方正仿宋_GB2312" w:hAnsi="方正仿宋_GB2312" w:eastAsia="方正仿宋_GB2312" w:cs="方正仿宋_GB2312"/>
          <w:sz w:val="24"/>
          <w:highlight w:val="none"/>
          <w:u w:val="single"/>
          <w:lang w:val="zh-CN"/>
        </w:rPr>
        <w:t xml:space="preserve">   </w:t>
      </w:r>
      <w:r>
        <w:rPr>
          <w:rFonts w:hint="eastAsia" w:ascii="方正仿宋_GB2312" w:hAnsi="方正仿宋_GB2312" w:eastAsia="方正仿宋_GB2312" w:cs="方正仿宋_GB2312"/>
          <w:sz w:val="24"/>
          <w:highlight w:val="none"/>
          <w:lang w:val="zh-CN"/>
        </w:rPr>
        <w:t>份。</w:t>
      </w:r>
    </w:p>
    <w:p>
      <w:pPr>
        <w:autoSpaceDE w:val="0"/>
        <w:autoSpaceDN w:val="0"/>
        <w:adjustRightInd w:val="0"/>
        <w:spacing w:line="360" w:lineRule="auto"/>
        <w:ind w:firstLine="482"/>
        <w:jc w:val="left"/>
        <w:outlineLvl w:val="9"/>
        <w:rPr>
          <w:rFonts w:ascii="方正仿宋_GB2312" w:hAnsi="方正仿宋_GB2312" w:eastAsia="方正仿宋_GB2312" w:cs="方正仿宋_GB2312"/>
          <w:b/>
          <w:sz w:val="24"/>
          <w:highlight w:val="none"/>
          <w:lang w:val="zh-CN"/>
        </w:rPr>
      </w:pPr>
      <w:r>
        <w:rPr>
          <w:rFonts w:hint="eastAsia" w:ascii="方正仿宋_GB2312" w:hAnsi="方正仿宋_GB2312" w:eastAsia="方正仿宋_GB2312" w:cs="方正仿宋_GB2312"/>
          <w:b/>
          <w:sz w:val="24"/>
          <w:highlight w:val="none"/>
          <w:lang w:val="zh-CN"/>
        </w:rPr>
        <w:t>十二、本合同自双方</w:t>
      </w:r>
      <w:r>
        <w:rPr>
          <w:rFonts w:hint="eastAsia" w:ascii="方正仿宋_GB2312" w:hAnsi="方正仿宋_GB2312" w:eastAsia="方正仿宋_GB2312" w:cs="方正仿宋_GB2312"/>
          <w:b/>
          <w:sz w:val="24"/>
          <w:highlight w:val="none"/>
        </w:rPr>
        <w:t>法定代表人或授权代表</w:t>
      </w:r>
      <w:r>
        <w:rPr>
          <w:rFonts w:hint="eastAsia" w:ascii="方正仿宋_GB2312" w:hAnsi="方正仿宋_GB2312" w:eastAsia="方正仿宋_GB2312" w:cs="方正仿宋_GB2312"/>
          <w:b/>
          <w:sz w:val="24"/>
          <w:highlight w:val="none"/>
          <w:lang w:val="zh-CN"/>
        </w:rPr>
        <w:t>签订（签字并盖章）之日起生效。</w:t>
      </w:r>
    </w:p>
    <w:p>
      <w:pPr>
        <w:autoSpaceDE w:val="0"/>
        <w:autoSpaceDN w:val="0"/>
        <w:adjustRightInd w:val="0"/>
        <w:spacing w:line="360" w:lineRule="auto"/>
        <w:ind w:firstLine="482"/>
        <w:jc w:val="left"/>
        <w:outlineLvl w:val="9"/>
        <w:rPr>
          <w:rFonts w:ascii="方正仿宋_GB2312" w:hAnsi="方正仿宋_GB2312" w:eastAsia="方正仿宋_GB2312" w:cs="方正仿宋_GB2312"/>
          <w:b/>
          <w:sz w:val="24"/>
          <w:highlight w:val="none"/>
          <w:lang w:val="zh-CN"/>
        </w:rPr>
      </w:pPr>
      <w:bookmarkStart w:id="1019" w:name="_Toc29636"/>
      <w:bookmarkStart w:id="1020" w:name="_Toc26992"/>
      <w:bookmarkStart w:id="1021" w:name="_Toc21539"/>
      <w:bookmarkStart w:id="1022" w:name="_Toc28014"/>
      <w:bookmarkStart w:id="1023" w:name="_Toc30282"/>
      <w:r>
        <w:rPr>
          <w:rFonts w:hint="eastAsia" w:ascii="方正仿宋_GB2312" w:hAnsi="方正仿宋_GB2312" w:eastAsia="方正仿宋_GB2312" w:cs="方正仿宋_GB2312"/>
          <w:b/>
          <w:sz w:val="24"/>
          <w:highlight w:val="none"/>
          <w:lang w:val="zh-CN"/>
        </w:rPr>
        <w:t>十三、下列文件是本合同组成部分</w:t>
      </w:r>
      <w:bookmarkEnd w:id="1019"/>
      <w:bookmarkEnd w:id="1020"/>
      <w:bookmarkEnd w:id="1021"/>
      <w:bookmarkEnd w:id="1022"/>
      <w:bookmarkEnd w:id="1023"/>
    </w:p>
    <w:p>
      <w:pPr>
        <w:spacing w:line="360" w:lineRule="auto"/>
        <w:ind w:firstLine="960" w:firstLineChars="4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一）招标文件及补遗通知；</w:t>
      </w:r>
    </w:p>
    <w:p>
      <w:pPr>
        <w:spacing w:line="360" w:lineRule="auto"/>
        <w:ind w:firstLine="960" w:firstLineChars="4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二）中标人的投标文件及澄清；</w:t>
      </w:r>
    </w:p>
    <w:p>
      <w:pPr>
        <w:spacing w:line="360" w:lineRule="auto"/>
        <w:ind w:firstLine="960" w:firstLineChars="4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三）中标通知书。</w:t>
      </w:r>
    </w:p>
    <w:p>
      <w:pPr>
        <w:spacing w:line="480" w:lineRule="auto"/>
        <w:jc w:val="center"/>
        <w:outlineLvl w:val="0"/>
        <w:rPr>
          <w:rFonts w:ascii="方正小标宋简体" w:hAnsi="方正小标宋简体" w:eastAsia="方正小标宋简体" w:cs="方正小标宋简体"/>
          <w:sz w:val="44"/>
          <w:szCs w:val="44"/>
          <w:highlight w:val="none"/>
        </w:rPr>
      </w:pPr>
      <w:r>
        <w:rPr>
          <w:rFonts w:hint="eastAsia" w:ascii="方正小标宋简体" w:hAnsi="方正小标宋简体" w:eastAsia="方正小标宋简体" w:cs="方正小标宋简体"/>
          <w:sz w:val="44"/>
          <w:szCs w:val="44"/>
          <w:highlight w:val="none"/>
        </w:rPr>
        <w:br w:type="page"/>
      </w:r>
      <w:bookmarkStart w:id="1024" w:name="_Toc6023"/>
      <w:bookmarkStart w:id="1025" w:name="_Toc11495"/>
      <w:bookmarkStart w:id="1026" w:name="_Toc26515"/>
      <w:bookmarkStart w:id="1027" w:name="_Toc25529"/>
      <w:bookmarkStart w:id="1028" w:name="_Toc746"/>
      <w:bookmarkStart w:id="1029" w:name="_Toc9253"/>
      <w:r>
        <w:rPr>
          <w:rFonts w:hint="eastAsia" w:ascii="方正小标宋简体" w:hAnsi="方正小标宋简体" w:eastAsia="方正小标宋简体" w:cs="方正小标宋简体"/>
          <w:sz w:val="44"/>
          <w:szCs w:val="44"/>
          <w:highlight w:val="none"/>
        </w:rPr>
        <w:t>第六章  投标文件格式</w:t>
      </w:r>
      <w:bookmarkEnd w:id="971"/>
      <w:bookmarkEnd w:id="972"/>
      <w:bookmarkEnd w:id="973"/>
      <w:bookmarkEnd w:id="974"/>
      <w:bookmarkEnd w:id="975"/>
      <w:bookmarkEnd w:id="976"/>
      <w:bookmarkEnd w:id="977"/>
      <w:bookmarkEnd w:id="978"/>
      <w:bookmarkEnd w:id="1024"/>
      <w:bookmarkEnd w:id="1025"/>
      <w:bookmarkEnd w:id="1026"/>
      <w:bookmarkEnd w:id="1027"/>
      <w:bookmarkEnd w:id="1028"/>
      <w:bookmarkEnd w:id="1029"/>
    </w:p>
    <w:p>
      <w:pPr>
        <w:spacing w:line="480" w:lineRule="auto"/>
        <w:jc w:val="center"/>
        <w:rPr>
          <w:rFonts w:ascii="方正仿宋_GB2312" w:hAnsi="方正仿宋_GB2312" w:eastAsia="方正仿宋_GB2312" w:cs="方正仿宋_GB2312"/>
          <w:sz w:val="24"/>
          <w:szCs w:val="24"/>
          <w:highlight w:val="none"/>
        </w:rPr>
      </w:pPr>
      <w:bookmarkStart w:id="1030" w:name="_Toc6295"/>
      <w:bookmarkStart w:id="1031" w:name="_Toc26049"/>
      <w:bookmarkStart w:id="1032" w:name="_Toc17522"/>
      <w:bookmarkStart w:id="1033" w:name="_Toc867"/>
      <w:bookmarkStart w:id="1034" w:name="_Toc7421"/>
      <w:bookmarkStart w:id="1035" w:name="_Toc21025"/>
      <w:bookmarkStart w:id="1036" w:name="_Toc376"/>
      <w:bookmarkStart w:id="1037" w:name="_Toc8504"/>
      <w:r>
        <w:rPr>
          <w:rFonts w:hint="eastAsia" w:ascii="方正仿宋_GB2312" w:hAnsi="方正仿宋_GB2312" w:eastAsia="方正仿宋_GB2312" w:cs="方正仿宋_GB2312"/>
          <w:sz w:val="24"/>
          <w:szCs w:val="24"/>
          <w:highlight w:val="none"/>
        </w:rPr>
        <w:t>投标文件封面格式</w:t>
      </w:r>
      <w:bookmarkEnd w:id="1030"/>
      <w:bookmarkEnd w:id="1031"/>
      <w:bookmarkEnd w:id="1032"/>
      <w:bookmarkEnd w:id="1033"/>
      <w:bookmarkEnd w:id="1034"/>
      <w:bookmarkEnd w:id="1035"/>
      <w:bookmarkEnd w:id="1036"/>
      <w:bookmarkEnd w:id="1037"/>
    </w:p>
    <w:p>
      <w:pPr>
        <w:spacing w:line="480" w:lineRule="auto"/>
        <w:rPr>
          <w:rFonts w:ascii="仿宋" w:hAnsi="仿宋" w:eastAsia="仿宋" w:cs="仿宋"/>
          <w:highlight w:val="none"/>
        </w:rPr>
      </w:pPr>
    </w:p>
    <w:p>
      <w:pPr>
        <w:spacing w:line="480" w:lineRule="auto"/>
        <w:jc w:val="center"/>
        <w:outlineLvl w:val="9"/>
        <w:rPr>
          <w:rFonts w:ascii="仿宋" w:hAnsi="仿宋" w:eastAsia="仿宋" w:cs="仿宋"/>
          <w:b/>
          <w:spacing w:val="40"/>
          <w:sz w:val="40"/>
          <w:szCs w:val="40"/>
          <w:highlight w:val="none"/>
        </w:rPr>
      </w:pPr>
      <w:r>
        <w:rPr>
          <w:rFonts w:hint="eastAsia" w:ascii="仿宋" w:hAnsi="仿宋" w:eastAsia="仿宋" w:cs="仿宋"/>
          <w:b/>
          <w:spacing w:val="40"/>
          <w:sz w:val="40"/>
          <w:szCs w:val="40"/>
          <w:highlight w:val="none"/>
          <w:lang w:eastAsia="zh-CN"/>
        </w:rPr>
        <w:t>昆明市呈贡区第四中学设施设备（设备及家具）二期采购项目</w:t>
      </w:r>
      <w:r>
        <w:rPr>
          <w:rFonts w:hint="eastAsia" w:ascii="仿宋" w:hAnsi="仿宋" w:eastAsia="仿宋" w:cs="仿宋"/>
          <w:b/>
          <w:spacing w:val="40"/>
          <w:sz w:val="40"/>
          <w:szCs w:val="40"/>
          <w:highlight w:val="none"/>
          <w:u w:val="none"/>
          <w:lang w:eastAsia="zh-CN"/>
        </w:rPr>
        <w:t>（</w:t>
      </w:r>
      <w:r>
        <w:rPr>
          <w:rFonts w:hint="eastAsia" w:ascii="仿宋" w:hAnsi="仿宋" w:eastAsia="仿宋" w:cs="仿宋"/>
          <w:b/>
          <w:spacing w:val="40"/>
          <w:sz w:val="40"/>
          <w:szCs w:val="40"/>
          <w:highlight w:val="none"/>
          <w:u w:val="none"/>
          <w:lang w:val="en-US" w:eastAsia="zh-CN"/>
        </w:rPr>
        <w:t xml:space="preserve">  标段</w:t>
      </w:r>
      <w:r>
        <w:rPr>
          <w:rFonts w:hint="eastAsia" w:ascii="仿宋" w:hAnsi="仿宋" w:eastAsia="仿宋" w:cs="仿宋"/>
          <w:b/>
          <w:spacing w:val="40"/>
          <w:sz w:val="40"/>
          <w:szCs w:val="40"/>
          <w:highlight w:val="none"/>
          <w:u w:val="none"/>
          <w:lang w:eastAsia="zh-CN"/>
        </w:rPr>
        <w:t>）</w:t>
      </w:r>
      <w:r>
        <w:rPr>
          <w:rFonts w:hint="eastAsia" w:ascii="仿宋" w:hAnsi="仿宋" w:eastAsia="仿宋" w:cs="仿宋"/>
          <w:b/>
          <w:spacing w:val="40"/>
          <w:sz w:val="40"/>
          <w:szCs w:val="40"/>
          <w:highlight w:val="none"/>
          <w:u w:val="single"/>
        </w:rPr>
        <w:t xml:space="preserve"> </w:t>
      </w:r>
      <w:r>
        <w:rPr>
          <w:rFonts w:hint="eastAsia" w:ascii="仿宋" w:hAnsi="仿宋" w:eastAsia="仿宋" w:cs="仿宋"/>
          <w:b/>
          <w:spacing w:val="40"/>
          <w:sz w:val="40"/>
          <w:szCs w:val="40"/>
          <w:highlight w:val="none"/>
        </w:rPr>
        <w:t xml:space="preserve">  </w:t>
      </w:r>
    </w:p>
    <w:p>
      <w:pPr>
        <w:spacing w:line="480" w:lineRule="auto"/>
        <w:jc w:val="center"/>
        <w:outlineLvl w:val="9"/>
        <w:rPr>
          <w:rFonts w:ascii="仿宋" w:hAnsi="仿宋" w:eastAsia="仿宋" w:cs="仿宋"/>
          <w:b/>
          <w:spacing w:val="40"/>
          <w:sz w:val="40"/>
          <w:szCs w:val="40"/>
          <w:highlight w:val="none"/>
        </w:rPr>
      </w:pPr>
    </w:p>
    <w:p>
      <w:pPr>
        <w:spacing w:line="480" w:lineRule="auto"/>
        <w:outlineLvl w:val="9"/>
        <w:rPr>
          <w:rFonts w:ascii="仿宋" w:hAnsi="仿宋" w:eastAsia="仿宋" w:cs="仿宋"/>
          <w:b/>
          <w:sz w:val="30"/>
          <w:szCs w:val="30"/>
          <w:highlight w:val="none"/>
        </w:rPr>
      </w:pPr>
    </w:p>
    <w:p>
      <w:pPr>
        <w:outlineLvl w:val="9"/>
        <w:rPr>
          <w:rFonts w:ascii="仿宋" w:hAnsi="仿宋" w:eastAsia="仿宋" w:cs="仿宋"/>
          <w:highlight w:val="none"/>
        </w:rPr>
      </w:pPr>
    </w:p>
    <w:p>
      <w:pPr>
        <w:outlineLvl w:val="9"/>
        <w:rPr>
          <w:rFonts w:ascii="仿宋" w:hAnsi="仿宋" w:eastAsia="仿宋" w:cs="仿宋"/>
          <w:highlight w:val="none"/>
        </w:rPr>
      </w:pPr>
    </w:p>
    <w:p>
      <w:pPr>
        <w:spacing w:line="480" w:lineRule="auto"/>
        <w:jc w:val="center"/>
        <w:outlineLvl w:val="9"/>
        <w:rPr>
          <w:rFonts w:ascii="仿宋" w:hAnsi="仿宋" w:eastAsia="仿宋" w:cs="仿宋"/>
          <w:b/>
          <w:sz w:val="120"/>
          <w:szCs w:val="120"/>
          <w:highlight w:val="none"/>
        </w:rPr>
      </w:pPr>
      <w:bookmarkStart w:id="1038" w:name="_Toc26304"/>
      <w:bookmarkStart w:id="1039" w:name="_Toc2128"/>
      <w:bookmarkStart w:id="1040" w:name="_Toc24446"/>
      <w:bookmarkStart w:id="1041" w:name="_Toc21686"/>
      <w:bookmarkStart w:id="1042" w:name="_Toc6886"/>
      <w:bookmarkStart w:id="1043" w:name="_Toc27104"/>
      <w:bookmarkStart w:id="1044" w:name="_Toc26162"/>
      <w:r>
        <w:rPr>
          <w:rFonts w:hint="eastAsia" w:ascii="仿宋" w:hAnsi="仿宋" w:eastAsia="仿宋" w:cs="仿宋"/>
          <w:b/>
          <w:sz w:val="120"/>
          <w:szCs w:val="120"/>
          <w:highlight w:val="none"/>
        </w:rPr>
        <w:t>投标文件</w:t>
      </w:r>
    </w:p>
    <w:p>
      <w:pPr>
        <w:spacing w:line="480" w:lineRule="auto"/>
        <w:jc w:val="center"/>
        <w:outlineLvl w:val="9"/>
        <w:rPr>
          <w:rFonts w:ascii="仿宋" w:hAnsi="仿宋" w:eastAsia="仿宋" w:cs="仿宋"/>
          <w:b/>
          <w:sz w:val="28"/>
          <w:szCs w:val="28"/>
          <w:highlight w:val="none"/>
        </w:rPr>
      </w:pPr>
      <w:r>
        <w:rPr>
          <w:rFonts w:hint="eastAsia" w:ascii="仿宋" w:hAnsi="仿宋" w:eastAsia="仿宋" w:cs="仿宋"/>
          <w:b/>
          <w:sz w:val="28"/>
          <w:szCs w:val="28"/>
          <w:highlight w:val="none"/>
        </w:rPr>
        <w:t>（项目编号：</w:t>
      </w:r>
      <w:r>
        <w:rPr>
          <w:rFonts w:hint="eastAsia" w:ascii="仿宋" w:hAnsi="仿宋" w:eastAsia="仿宋" w:cs="仿宋"/>
          <w:b/>
          <w:sz w:val="28"/>
          <w:szCs w:val="28"/>
          <w:highlight w:val="none"/>
          <w:u w:val="single"/>
        </w:rPr>
        <w:t xml:space="preserve">      </w:t>
      </w:r>
      <w:r>
        <w:rPr>
          <w:rFonts w:hint="eastAsia" w:ascii="仿宋" w:hAnsi="仿宋" w:eastAsia="仿宋" w:cs="仿宋"/>
          <w:b/>
          <w:sz w:val="28"/>
          <w:szCs w:val="28"/>
          <w:highlight w:val="none"/>
        </w:rPr>
        <w:t>）</w:t>
      </w:r>
      <w:bookmarkEnd w:id="1038"/>
      <w:bookmarkEnd w:id="1039"/>
      <w:bookmarkEnd w:id="1040"/>
      <w:bookmarkEnd w:id="1041"/>
      <w:bookmarkEnd w:id="1042"/>
      <w:bookmarkEnd w:id="1043"/>
      <w:bookmarkEnd w:id="1044"/>
    </w:p>
    <w:p>
      <w:pPr>
        <w:spacing w:line="480" w:lineRule="auto"/>
        <w:outlineLvl w:val="9"/>
        <w:rPr>
          <w:rFonts w:ascii="仿宋" w:hAnsi="仿宋" w:eastAsia="仿宋" w:cs="仿宋"/>
          <w:bCs/>
          <w:highlight w:val="none"/>
        </w:rPr>
      </w:pPr>
    </w:p>
    <w:p>
      <w:pPr>
        <w:outlineLvl w:val="9"/>
        <w:rPr>
          <w:rFonts w:ascii="仿宋" w:hAnsi="仿宋" w:eastAsia="仿宋" w:cs="仿宋"/>
          <w:highlight w:val="none"/>
        </w:rPr>
      </w:pPr>
    </w:p>
    <w:p>
      <w:pPr>
        <w:outlineLvl w:val="9"/>
        <w:rPr>
          <w:rFonts w:ascii="仿宋" w:hAnsi="仿宋" w:eastAsia="仿宋" w:cs="仿宋"/>
          <w:highlight w:val="none"/>
        </w:rPr>
      </w:pPr>
    </w:p>
    <w:p>
      <w:pPr>
        <w:outlineLvl w:val="9"/>
        <w:rPr>
          <w:rFonts w:ascii="仿宋" w:hAnsi="仿宋" w:eastAsia="仿宋" w:cs="仿宋"/>
          <w:highlight w:val="none"/>
        </w:rPr>
      </w:pPr>
    </w:p>
    <w:p>
      <w:pPr>
        <w:outlineLvl w:val="9"/>
        <w:rPr>
          <w:rFonts w:ascii="仿宋" w:hAnsi="仿宋" w:eastAsia="仿宋" w:cs="仿宋"/>
          <w:highlight w:val="none"/>
        </w:rPr>
      </w:pPr>
    </w:p>
    <w:p>
      <w:pPr>
        <w:outlineLvl w:val="9"/>
        <w:rPr>
          <w:rFonts w:ascii="仿宋" w:hAnsi="仿宋" w:eastAsia="仿宋" w:cs="仿宋"/>
          <w:highlight w:val="none"/>
        </w:rPr>
      </w:pPr>
    </w:p>
    <w:p>
      <w:pPr>
        <w:outlineLvl w:val="9"/>
        <w:rPr>
          <w:rFonts w:ascii="仿宋" w:hAnsi="仿宋" w:eastAsia="仿宋" w:cs="仿宋"/>
          <w:highlight w:val="none"/>
        </w:rPr>
      </w:pPr>
    </w:p>
    <w:p>
      <w:pPr>
        <w:outlineLvl w:val="9"/>
        <w:rPr>
          <w:rFonts w:ascii="仿宋" w:hAnsi="仿宋" w:eastAsia="仿宋" w:cs="仿宋"/>
          <w:highlight w:val="none"/>
        </w:rPr>
      </w:pPr>
    </w:p>
    <w:p>
      <w:pPr>
        <w:spacing w:line="480" w:lineRule="auto"/>
        <w:outlineLvl w:val="9"/>
        <w:rPr>
          <w:rFonts w:ascii="仿宋" w:hAnsi="仿宋" w:eastAsia="仿宋" w:cs="仿宋"/>
          <w:b/>
          <w:bCs/>
          <w:sz w:val="28"/>
          <w:szCs w:val="28"/>
          <w:highlight w:val="none"/>
          <w:u w:val="single"/>
        </w:rPr>
      </w:pPr>
      <w:bookmarkStart w:id="1045" w:name="_Toc31708"/>
      <w:bookmarkStart w:id="1046" w:name="_Toc28556"/>
      <w:bookmarkStart w:id="1047" w:name="_Toc13224"/>
      <w:bookmarkStart w:id="1048" w:name="_Toc16480"/>
      <w:bookmarkStart w:id="1049" w:name="_Toc11752"/>
      <w:bookmarkStart w:id="1050" w:name="_Toc24631"/>
      <w:bookmarkStart w:id="1051" w:name="_Toc13788"/>
      <w:bookmarkStart w:id="1052" w:name="_Toc3317"/>
      <w:r>
        <w:rPr>
          <w:rFonts w:hint="eastAsia" w:ascii="仿宋" w:hAnsi="仿宋" w:eastAsia="仿宋" w:cs="仿宋"/>
          <w:b/>
          <w:bCs/>
          <w:sz w:val="28"/>
          <w:szCs w:val="28"/>
          <w:highlight w:val="none"/>
        </w:rPr>
        <w:t>供应商名称：</w:t>
      </w:r>
      <w:r>
        <w:rPr>
          <w:rFonts w:hint="eastAsia" w:ascii="仿宋" w:hAnsi="仿宋" w:eastAsia="仿宋" w:cs="仿宋"/>
          <w:b/>
          <w:bCs/>
          <w:sz w:val="28"/>
          <w:szCs w:val="28"/>
          <w:highlight w:val="none"/>
          <w:u w:val="single"/>
        </w:rPr>
        <w:t>（电子签章）</w:t>
      </w:r>
      <w:bookmarkEnd w:id="1045"/>
      <w:bookmarkEnd w:id="1046"/>
      <w:bookmarkEnd w:id="1047"/>
      <w:bookmarkEnd w:id="1048"/>
      <w:bookmarkEnd w:id="1049"/>
      <w:bookmarkEnd w:id="1050"/>
      <w:bookmarkEnd w:id="1051"/>
      <w:r>
        <w:rPr>
          <w:rFonts w:hint="eastAsia" w:ascii="仿宋" w:hAnsi="仿宋" w:eastAsia="仿宋" w:cs="仿宋"/>
          <w:b/>
          <w:bCs/>
          <w:sz w:val="28"/>
          <w:szCs w:val="28"/>
          <w:highlight w:val="none"/>
          <w:u w:val="single"/>
        </w:rPr>
        <w:t>　　</w:t>
      </w:r>
    </w:p>
    <w:p>
      <w:pPr>
        <w:spacing w:line="480" w:lineRule="auto"/>
        <w:outlineLvl w:val="9"/>
        <w:rPr>
          <w:rFonts w:ascii="仿宋" w:hAnsi="仿宋" w:eastAsia="仿宋" w:cs="仿宋"/>
          <w:b/>
          <w:bCs/>
          <w:sz w:val="28"/>
          <w:szCs w:val="28"/>
          <w:highlight w:val="none"/>
          <w:u w:val="single"/>
        </w:rPr>
      </w:pPr>
      <w:bookmarkStart w:id="1053" w:name="_Toc19839"/>
      <w:bookmarkStart w:id="1054" w:name="_Toc13302"/>
      <w:bookmarkStart w:id="1055" w:name="_Toc17903"/>
      <w:bookmarkStart w:id="1056" w:name="_Toc5648"/>
      <w:bookmarkStart w:id="1057" w:name="_Toc50"/>
      <w:bookmarkStart w:id="1058" w:name="_Toc17593"/>
      <w:bookmarkStart w:id="1059" w:name="_Toc2361"/>
      <w:r>
        <w:rPr>
          <w:rFonts w:hint="eastAsia" w:ascii="仿宋" w:hAnsi="仿宋" w:eastAsia="仿宋" w:cs="仿宋"/>
          <w:b/>
          <w:bCs/>
          <w:sz w:val="28"/>
          <w:szCs w:val="28"/>
          <w:highlight w:val="none"/>
        </w:rPr>
        <w:t>供应商地址：</w:t>
      </w:r>
      <w:bookmarkEnd w:id="1053"/>
      <w:bookmarkEnd w:id="1054"/>
      <w:bookmarkEnd w:id="1055"/>
      <w:bookmarkEnd w:id="1056"/>
      <w:bookmarkEnd w:id="1057"/>
      <w:bookmarkEnd w:id="1058"/>
      <w:bookmarkEnd w:id="1059"/>
      <w:r>
        <w:rPr>
          <w:rFonts w:hint="eastAsia" w:ascii="仿宋" w:hAnsi="仿宋" w:eastAsia="仿宋" w:cs="仿宋"/>
          <w:b/>
          <w:bCs/>
          <w:sz w:val="28"/>
          <w:szCs w:val="28"/>
          <w:highlight w:val="none"/>
          <w:u w:val="single"/>
        </w:rPr>
        <w:t xml:space="preserve">     　　　　　　　　</w:t>
      </w:r>
    </w:p>
    <w:p>
      <w:pPr>
        <w:spacing w:line="480" w:lineRule="auto"/>
        <w:outlineLvl w:val="9"/>
        <w:rPr>
          <w:rFonts w:ascii="仿宋" w:hAnsi="仿宋" w:eastAsia="仿宋" w:cs="仿宋"/>
          <w:b/>
          <w:bCs/>
          <w:sz w:val="28"/>
          <w:szCs w:val="28"/>
          <w:highlight w:val="none"/>
          <w:u w:val="single"/>
        </w:rPr>
      </w:pPr>
      <w:bookmarkStart w:id="1060" w:name="_Toc13017"/>
      <w:bookmarkStart w:id="1061" w:name="_Toc28727"/>
      <w:bookmarkStart w:id="1062" w:name="_Toc19636"/>
      <w:bookmarkStart w:id="1063" w:name="_Toc7621"/>
      <w:bookmarkStart w:id="1064" w:name="_Toc27453"/>
      <w:bookmarkStart w:id="1065" w:name="_Toc12799"/>
      <w:bookmarkStart w:id="1066" w:name="_Toc23661"/>
      <w:r>
        <w:rPr>
          <w:rFonts w:hint="eastAsia" w:ascii="仿宋" w:hAnsi="仿宋" w:eastAsia="仿宋" w:cs="仿宋"/>
          <w:b/>
          <w:bCs/>
          <w:sz w:val="28"/>
          <w:szCs w:val="28"/>
          <w:highlight w:val="none"/>
        </w:rPr>
        <w:t>法定代表人或委托代理人：</w:t>
      </w:r>
      <w:r>
        <w:rPr>
          <w:rFonts w:hint="eastAsia" w:ascii="仿宋" w:hAnsi="仿宋" w:eastAsia="仿宋" w:cs="仿宋"/>
          <w:b/>
          <w:bCs/>
          <w:sz w:val="28"/>
          <w:szCs w:val="28"/>
          <w:highlight w:val="none"/>
          <w:u w:val="single"/>
        </w:rPr>
        <w:t>（电子签章）</w:t>
      </w:r>
      <w:bookmarkEnd w:id="1060"/>
      <w:bookmarkEnd w:id="1061"/>
      <w:bookmarkEnd w:id="1062"/>
      <w:bookmarkEnd w:id="1063"/>
      <w:bookmarkEnd w:id="1064"/>
      <w:bookmarkEnd w:id="1065"/>
      <w:bookmarkEnd w:id="1066"/>
      <w:r>
        <w:rPr>
          <w:rFonts w:hint="eastAsia" w:ascii="仿宋" w:hAnsi="仿宋" w:eastAsia="仿宋" w:cs="仿宋"/>
          <w:b/>
          <w:bCs/>
          <w:sz w:val="28"/>
          <w:szCs w:val="28"/>
          <w:highlight w:val="none"/>
          <w:u w:val="single"/>
        </w:rPr>
        <w:t>　</w:t>
      </w:r>
    </w:p>
    <w:p>
      <w:pPr>
        <w:spacing w:line="480" w:lineRule="auto"/>
        <w:outlineLvl w:val="9"/>
        <w:rPr>
          <w:rFonts w:ascii="仿宋" w:hAnsi="仿宋" w:eastAsia="仿宋" w:cs="仿宋"/>
          <w:sz w:val="36"/>
          <w:szCs w:val="36"/>
          <w:highlight w:val="none"/>
        </w:rPr>
      </w:pPr>
      <w:bookmarkStart w:id="1067" w:name="_Toc31018"/>
      <w:bookmarkStart w:id="1068" w:name="_Toc20488"/>
      <w:bookmarkStart w:id="1069" w:name="_Toc10871"/>
      <w:bookmarkStart w:id="1070" w:name="_Toc29480"/>
      <w:bookmarkStart w:id="1071" w:name="_Toc10547"/>
      <w:bookmarkStart w:id="1072" w:name="_Toc5185"/>
      <w:bookmarkStart w:id="1073" w:name="_Toc20939"/>
      <w:r>
        <w:rPr>
          <w:rFonts w:hint="eastAsia" w:ascii="仿宋" w:hAnsi="仿宋" w:eastAsia="仿宋" w:cs="仿宋"/>
          <w:b/>
          <w:bCs/>
          <w:sz w:val="28"/>
          <w:szCs w:val="28"/>
          <w:highlight w:val="none"/>
        </w:rPr>
        <w:t xml:space="preserve">日期：  </w:t>
      </w:r>
      <w:r>
        <w:rPr>
          <w:rFonts w:hint="eastAsia" w:ascii="仿宋" w:hAnsi="仿宋" w:eastAsia="仿宋" w:cs="仿宋"/>
          <w:b/>
          <w:bCs/>
          <w:sz w:val="28"/>
          <w:szCs w:val="28"/>
          <w:highlight w:val="none"/>
          <w:u w:val="single"/>
        </w:rPr>
        <w:t xml:space="preserve">      </w:t>
      </w:r>
      <w:r>
        <w:rPr>
          <w:rFonts w:hint="eastAsia" w:ascii="仿宋" w:hAnsi="仿宋" w:eastAsia="仿宋" w:cs="仿宋"/>
          <w:b/>
          <w:bCs/>
          <w:sz w:val="28"/>
          <w:szCs w:val="28"/>
          <w:highlight w:val="none"/>
        </w:rPr>
        <w:t>年</w:t>
      </w:r>
      <w:r>
        <w:rPr>
          <w:rFonts w:hint="eastAsia" w:ascii="仿宋" w:hAnsi="仿宋" w:eastAsia="仿宋" w:cs="仿宋"/>
          <w:b/>
          <w:bCs/>
          <w:sz w:val="28"/>
          <w:szCs w:val="28"/>
          <w:highlight w:val="none"/>
          <w:u w:val="single"/>
        </w:rPr>
        <w:t xml:space="preserve">     </w:t>
      </w:r>
      <w:r>
        <w:rPr>
          <w:rFonts w:hint="eastAsia" w:ascii="仿宋" w:hAnsi="仿宋" w:eastAsia="仿宋" w:cs="仿宋"/>
          <w:b/>
          <w:bCs/>
          <w:sz w:val="28"/>
          <w:szCs w:val="28"/>
          <w:highlight w:val="none"/>
        </w:rPr>
        <w:t>月</w:t>
      </w:r>
      <w:r>
        <w:rPr>
          <w:rFonts w:hint="eastAsia" w:ascii="仿宋" w:hAnsi="仿宋" w:eastAsia="仿宋" w:cs="仿宋"/>
          <w:b/>
          <w:bCs/>
          <w:sz w:val="28"/>
          <w:szCs w:val="28"/>
          <w:highlight w:val="none"/>
          <w:u w:val="single"/>
        </w:rPr>
        <w:t xml:space="preserve">     </w:t>
      </w:r>
      <w:r>
        <w:rPr>
          <w:rFonts w:hint="eastAsia" w:ascii="仿宋" w:hAnsi="仿宋" w:eastAsia="仿宋" w:cs="仿宋"/>
          <w:b/>
          <w:bCs/>
          <w:sz w:val="28"/>
          <w:szCs w:val="28"/>
          <w:highlight w:val="none"/>
        </w:rPr>
        <w:t>日</w:t>
      </w:r>
      <w:bookmarkEnd w:id="1067"/>
      <w:bookmarkEnd w:id="1068"/>
      <w:bookmarkEnd w:id="1069"/>
      <w:bookmarkEnd w:id="1070"/>
      <w:bookmarkEnd w:id="1071"/>
      <w:bookmarkEnd w:id="1072"/>
      <w:bookmarkEnd w:id="1073"/>
    </w:p>
    <w:p>
      <w:pPr>
        <w:spacing w:line="360" w:lineRule="auto"/>
        <w:jc w:val="left"/>
        <w:outlineLvl w:val="1"/>
        <w:rPr>
          <w:rFonts w:ascii="方正仿宋_GB2312" w:hAnsi="方正仿宋_GB2312" w:eastAsia="方正仿宋_GB2312" w:cs="方正仿宋_GB2312"/>
          <w:sz w:val="36"/>
          <w:szCs w:val="36"/>
          <w:highlight w:val="none"/>
        </w:rPr>
      </w:pPr>
      <w:r>
        <w:rPr>
          <w:rFonts w:hint="eastAsia" w:ascii="宋体" w:cs="宋体"/>
          <w:sz w:val="36"/>
          <w:szCs w:val="36"/>
          <w:highlight w:val="none"/>
        </w:rPr>
        <w:br w:type="page"/>
      </w:r>
      <w:bookmarkEnd w:id="1052"/>
      <w:bookmarkStart w:id="1074" w:name="_Toc18996"/>
      <w:bookmarkStart w:id="1075" w:name="_Toc19411"/>
      <w:bookmarkStart w:id="1076" w:name="_Toc20150"/>
      <w:bookmarkStart w:id="1077" w:name="_Toc17582"/>
      <w:bookmarkStart w:id="1078" w:name="_Toc11770"/>
      <w:bookmarkStart w:id="1079" w:name="_Toc29056"/>
      <w:bookmarkStart w:id="1080" w:name="_Toc17432"/>
      <w:bookmarkStart w:id="1081" w:name="_Toc15643"/>
      <w:bookmarkStart w:id="1082" w:name="_Toc29602"/>
      <w:bookmarkStart w:id="1083" w:name="_Toc19037"/>
      <w:bookmarkStart w:id="1084" w:name="_Toc8901"/>
      <w:bookmarkStart w:id="1085" w:name="_Toc49273732"/>
      <w:bookmarkStart w:id="1086" w:name="_Toc8880"/>
      <w:bookmarkStart w:id="1087" w:name="_Toc7888"/>
      <w:bookmarkStart w:id="1088" w:name="_Toc552"/>
      <w:bookmarkStart w:id="1089" w:name="_Toc450312001"/>
      <w:bookmarkStart w:id="1090" w:name="_Toc317067871"/>
      <w:bookmarkStart w:id="1091" w:name="_Toc373135643"/>
      <w:bookmarkStart w:id="1092" w:name="_Toc432873691"/>
      <w:r>
        <w:rPr>
          <w:rFonts w:hint="eastAsia" w:ascii="方正小标宋简体" w:hAnsi="方正小标宋简体" w:eastAsia="方正小标宋简体" w:cs="方正小标宋简体"/>
          <w:b/>
          <w:sz w:val="36"/>
          <w:szCs w:val="36"/>
          <w:highlight w:val="none"/>
        </w:rPr>
        <w:t>（一）资格审查（87号令）部分格式：</w:t>
      </w:r>
      <w:bookmarkEnd w:id="1074"/>
      <w:bookmarkEnd w:id="1075"/>
      <w:bookmarkEnd w:id="1076"/>
      <w:bookmarkEnd w:id="1077"/>
      <w:bookmarkEnd w:id="1078"/>
      <w:bookmarkEnd w:id="1079"/>
      <w:bookmarkEnd w:id="1080"/>
      <w:bookmarkEnd w:id="1081"/>
      <w:bookmarkEnd w:id="1082"/>
      <w:bookmarkEnd w:id="1083"/>
    </w:p>
    <w:bookmarkEnd w:id="1084"/>
    <w:bookmarkEnd w:id="1085"/>
    <w:bookmarkEnd w:id="1086"/>
    <w:bookmarkEnd w:id="1087"/>
    <w:p>
      <w:pPr>
        <w:spacing w:line="360" w:lineRule="auto"/>
        <w:jc w:val="center"/>
        <w:rPr>
          <w:rFonts w:ascii="方正仿宋_GB2312" w:hAnsi="方正仿宋_GB2312" w:eastAsia="方正仿宋_GB2312" w:cs="方正仿宋_GB2312"/>
          <w:b/>
          <w:sz w:val="24"/>
          <w:szCs w:val="24"/>
          <w:highlight w:val="none"/>
        </w:rPr>
      </w:pPr>
      <w:bookmarkStart w:id="1093" w:name="_Toc19681"/>
      <w:bookmarkStart w:id="1094" w:name="_Toc25457"/>
      <w:bookmarkStart w:id="1095" w:name="_Toc15654"/>
      <w:bookmarkStart w:id="1096" w:name="_Toc14178"/>
      <w:bookmarkStart w:id="1097" w:name="_Toc24336"/>
      <w:bookmarkStart w:id="1098" w:name="_Toc16343"/>
      <w:bookmarkStart w:id="1099" w:name="_Toc11310"/>
      <w:bookmarkStart w:id="1100" w:name="_Toc49273733"/>
    </w:p>
    <w:p>
      <w:pPr>
        <w:spacing w:line="360" w:lineRule="auto"/>
        <w:jc w:val="center"/>
        <w:outlineLvl w:val="9"/>
        <w:rPr>
          <w:rFonts w:ascii="方正仿宋_GB2312" w:hAnsi="方正仿宋_GB2312" w:eastAsia="方正仿宋_GB2312" w:cs="方正仿宋_GB2312"/>
          <w:sz w:val="24"/>
          <w:szCs w:val="24"/>
          <w:highlight w:val="none"/>
        </w:rPr>
      </w:pPr>
      <w:bookmarkStart w:id="1101" w:name="_Toc9354"/>
      <w:r>
        <w:rPr>
          <w:rFonts w:hint="eastAsia" w:ascii="方正仿宋_GB2312" w:hAnsi="方正仿宋_GB2312" w:eastAsia="方正仿宋_GB2312" w:cs="方正仿宋_GB2312"/>
          <w:b/>
          <w:sz w:val="24"/>
          <w:szCs w:val="24"/>
          <w:highlight w:val="none"/>
        </w:rPr>
        <w:t>一、供应商一般情况表</w:t>
      </w:r>
      <w:bookmarkEnd w:id="1093"/>
      <w:bookmarkEnd w:id="1094"/>
      <w:bookmarkEnd w:id="1095"/>
      <w:bookmarkEnd w:id="1096"/>
      <w:bookmarkEnd w:id="1097"/>
      <w:bookmarkEnd w:id="1101"/>
    </w:p>
    <w:tbl>
      <w:tblPr>
        <w:tblStyle w:val="1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644"/>
        <w:gridCol w:w="3957"/>
        <w:gridCol w:w="486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w:t>
            </w:r>
          </w:p>
        </w:tc>
        <w:tc>
          <w:tcPr>
            <w:tcW w:w="8817" w:type="dxa"/>
            <w:gridSpan w:val="2"/>
            <w:vAlign w:val="center"/>
          </w:tcPr>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企业名称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w:t>
            </w:r>
          </w:p>
        </w:tc>
        <w:tc>
          <w:tcPr>
            <w:tcW w:w="8817" w:type="dxa"/>
            <w:gridSpan w:val="2"/>
            <w:vAlign w:val="center"/>
          </w:tcPr>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总部地址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w:t>
            </w:r>
          </w:p>
        </w:tc>
        <w:tc>
          <w:tcPr>
            <w:tcW w:w="8817" w:type="dxa"/>
            <w:gridSpan w:val="2"/>
            <w:vAlign w:val="center"/>
          </w:tcPr>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当地代表处地址</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w:t>
            </w:r>
          </w:p>
        </w:tc>
        <w:tc>
          <w:tcPr>
            <w:tcW w:w="3957" w:type="dxa"/>
            <w:vAlign w:val="center"/>
          </w:tcPr>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电话</w:t>
            </w:r>
          </w:p>
        </w:tc>
        <w:tc>
          <w:tcPr>
            <w:tcW w:w="4860" w:type="dxa"/>
            <w:vAlign w:val="center"/>
          </w:tcPr>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联系人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w:t>
            </w:r>
          </w:p>
        </w:tc>
        <w:tc>
          <w:tcPr>
            <w:tcW w:w="3957" w:type="dxa"/>
            <w:vAlign w:val="center"/>
          </w:tcPr>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传真</w:t>
            </w:r>
          </w:p>
        </w:tc>
        <w:tc>
          <w:tcPr>
            <w:tcW w:w="4860" w:type="dxa"/>
            <w:vAlign w:val="center"/>
          </w:tcPr>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电子邮箱</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6</w:t>
            </w:r>
          </w:p>
        </w:tc>
        <w:tc>
          <w:tcPr>
            <w:tcW w:w="3957" w:type="dxa"/>
            <w:vAlign w:val="center"/>
          </w:tcPr>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注册地</w:t>
            </w:r>
          </w:p>
        </w:tc>
        <w:tc>
          <w:tcPr>
            <w:tcW w:w="4860" w:type="dxa"/>
            <w:vAlign w:val="center"/>
          </w:tcPr>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注册年份</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644"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7</w:t>
            </w:r>
          </w:p>
        </w:tc>
        <w:tc>
          <w:tcPr>
            <w:tcW w:w="8817" w:type="dxa"/>
            <w:gridSpan w:val="2"/>
            <w:vAlign w:val="center"/>
          </w:tcPr>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社会统一信用代码：             </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464" w:hRule="atLeast"/>
          <w:jc w:val="center"/>
        </w:trPr>
        <w:tc>
          <w:tcPr>
            <w:tcW w:w="644"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8</w:t>
            </w:r>
          </w:p>
        </w:tc>
        <w:tc>
          <w:tcPr>
            <w:tcW w:w="8817" w:type="dxa"/>
            <w:gridSpan w:val="2"/>
            <w:vAlign w:val="center"/>
          </w:tcPr>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主营范围</w:t>
            </w:r>
          </w:p>
          <w:p>
            <w:pPr>
              <w:spacing w:line="360" w:lineRule="auto"/>
              <w:ind w:firstLine="100"/>
              <w:outlineLvl w:val="9"/>
              <w:rPr>
                <w:rFonts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1、</w:t>
            </w:r>
          </w:p>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w:t>
            </w:r>
          </w:p>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w:t>
            </w:r>
          </w:p>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w:t>
            </w:r>
          </w:p>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w:t>
            </w:r>
          </w:p>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8" w:hRule="atLeast"/>
          <w:jc w:val="center"/>
        </w:trPr>
        <w:tc>
          <w:tcPr>
            <w:tcW w:w="644"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9</w:t>
            </w:r>
          </w:p>
        </w:tc>
        <w:tc>
          <w:tcPr>
            <w:tcW w:w="8817" w:type="dxa"/>
            <w:gridSpan w:val="2"/>
            <w:vAlign w:val="center"/>
          </w:tcPr>
          <w:p>
            <w:pPr>
              <w:spacing w:line="360" w:lineRule="auto"/>
              <w:ind w:firstLine="1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其他需要说明的情况</w:t>
            </w:r>
          </w:p>
        </w:tc>
      </w:tr>
    </w:tbl>
    <w:p>
      <w:pPr>
        <w:spacing w:line="360" w:lineRule="auto"/>
        <w:ind w:firstLine="480" w:firstLineChars="200"/>
        <w:outlineLvl w:val="9"/>
        <w:rPr>
          <w:rFonts w:ascii="方正仿宋_GB2312" w:hAnsi="方正仿宋_GB2312" w:eastAsia="方正仿宋_GB2312" w:cs="方正仿宋_GB2312"/>
          <w:sz w:val="24"/>
          <w:szCs w:val="24"/>
          <w:highlight w:val="none"/>
        </w:rPr>
      </w:pPr>
    </w:p>
    <w:p>
      <w:pPr>
        <w:spacing w:line="360" w:lineRule="auto"/>
        <w:outlineLvl w:val="9"/>
        <w:rPr>
          <w:rFonts w:ascii="方正仿宋_GB2312" w:hAnsi="方正仿宋_GB2312" w:eastAsia="方正仿宋_GB2312" w:cs="方正仿宋_GB2312"/>
          <w:sz w:val="24"/>
          <w:szCs w:val="24"/>
          <w:highlight w:val="none"/>
        </w:rPr>
      </w:pP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法定代表人或其委托代理人：</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bookmarkEnd w:id="1088"/>
    <w:bookmarkEnd w:id="1089"/>
    <w:bookmarkEnd w:id="1090"/>
    <w:bookmarkEnd w:id="1091"/>
    <w:bookmarkEnd w:id="1098"/>
    <w:bookmarkEnd w:id="1099"/>
    <w:bookmarkEnd w:id="1100"/>
    <w:p>
      <w:pPr>
        <w:spacing w:line="360" w:lineRule="auto"/>
        <w:ind w:firstLine="480" w:firstLineChars="200"/>
        <w:outlineLvl w:val="9"/>
        <w:rPr>
          <w:rFonts w:ascii="方正仿宋_GB2312" w:hAnsi="方正仿宋_GB2312" w:eastAsia="方正仿宋_GB2312" w:cs="方正仿宋_GB2312"/>
          <w:sz w:val="24"/>
          <w:szCs w:val="24"/>
          <w:highlight w:val="none"/>
        </w:rPr>
      </w:pPr>
      <w:bookmarkStart w:id="1102" w:name="_Hlt98835920"/>
      <w:bookmarkEnd w:id="1102"/>
      <w:bookmarkStart w:id="1103" w:name="_Toc465241841"/>
      <w:bookmarkStart w:id="1104" w:name="_Toc496878446"/>
      <w:bookmarkStart w:id="1105" w:name="_Toc485296081"/>
      <w:bookmarkStart w:id="1106" w:name="_Toc474747238"/>
      <w:bookmarkStart w:id="1107" w:name="_Toc474746314"/>
      <w:bookmarkStart w:id="1108" w:name="_Toc28973"/>
      <w:bookmarkStart w:id="1109" w:name="_Toc25872"/>
      <w:bookmarkStart w:id="1110" w:name="_Toc974"/>
      <w:bookmarkStart w:id="1111" w:name="_Toc7318"/>
      <w:bookmarkStart w:id="1112" w:name="_Toc15716"/>
      <w:bookmarkStart w:id="1113" w:name="_Toc49273734"/>
      <w:bookmarkStart w:id="1114" w:name="_Toc24353"/>
      <w:bookmarkStart w:id="1115" w:name="_Toc30838"/>
      <w:bookmarkStart w:id="1116" w:name="_Toc23774"/>
      <w:bookmarkStart w:id="1117" w:name="_Toc373135645"/>
      <w:r>
        <w:rPr>
          <w:rFonts w:hint="eastAsia" w:ascii="方正仿宋_GB2312" w:hAnsi="方正仿宋_GB2312" w:eastAsia="方正仿宋_GB2312" w:cs="方正仿宋_GB2312"/>
          <w:sz w:val="24"/>
          <w:szCs w:val="24"/>
          <w:highlight w:val="none"/>
        </w:rPr>
        <w:t>日期：</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日</w:t>
      </w:r>
    </w:p>
    <w:p>
      <w:pPr>
        <w:spacing w:line="360" w:lineRule="auto"/>
        <w:jc w:val="center"/>
        <w:outlineLvl w:val="9"/>
        <w:rPr>
          <w:rFonts w:ascii="方正仿宋_GB2312" w:hAnsi="方正仿宋_GB2312" w:eastAsia="方正仿宋_GB2312" w:cs="方正仿宋_GB2312"/>
          <w:b/>
          <w:sz w:val="24"/>
          <w:szCs w:val="24"/>
          <w:highlight w:val="none"/>
        </w:rPr>
      </w:pPr>
      <w:bookmarkStart w:id="1118" w:name="_Toc9138"/>
      <w:r>
        <w:rPr>
          <w:rFonts w:hint="eastAsia" w:ascii="方正仿宋_GB2312" w:hAnsi="方正仿宋_GB2312" w:eastAsia="方正仿宋_GB2312" w:cs="方正仿宋_GB2312"/>
          <w:b/>
          <w:sz w:val="24"/>
          <w:szCs w:val="24"/>
          <w:highlight w:val="none"/>
        </w:rPr>
        <w:t>二、</w:t>
      </w:r>
      <w:bookmarkEnd w:id="1103"/>
      <w:bookmarkEnd w:id="1104"/>
      <w:bookmarkEnd w:id="1105"/>
      <w:bookmarkEnd w:id="1106"/>
      <w:bookmarkEnd w:id="1107"/>
      <w:r>
        <w:rPr>
          <w:rFonts w:hint="eastAsia" w:ascii="方正仿宋_GB2312" w:hAnsi="方正仿宋_GB2312" w:eastAsia="方正仿宋_GB2312" w:cs="方正仿宋_GB2312"/>
          <w:b/>
          <w:sz w:val="24"/>
          <w:szCs w:val="24"/>
          <w:highlight w:val="none"/>
        </w:rPr>
        <w:t>法定代表人身份证明书</w:t>
      </w:r>
      <w:bookmarkEnd w:id="1108"/>
      <w:bookmarkEnd w:id="1109"/>
      <w:bookmarkEnd w:id="1110"/>
      <w:bookmarkEnd w:id="1111"/>
      <w:bookmarkEnd w:id="1112"/>
      <w:bookmarkEnd w:id="1113"/>
      <w:bookmarkEnd w:id="1114"/>
      <w:bookmarkEnd w:id="1115"/>
      <w:bookmarkEnd w:id="1116"/>
      <w:bookmarkEnd w:id="1118"/>
    </w:p>
    <w:p>
      <w:pPr>
        <w:spacing w:line="360" w:lineRule="auto"/>
        <w:outlineLvl w:val="9"/>
        <w:rPr>
          <w:rFonts w:ascii="方正仿宋_GB2312" w:hAnsi="方正仿宋_GB2312" w:eastAsia="方正仿宋_GB2312" w:cs="方正仿宋_GB2312"/>
          <w:sz w:val="24"/>
          <w:szCs w:val="24"/>
          <w:highlight w:val="none"/>
        </w:rPr>
      </w:pPr>
    </w:p>
    <w:p>
      <w:pPr>
        <w:spacing w:line="360" w:lineRule="auto"/>
        <w:ind w:firstLine="612"/>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单位名称：</w:t>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p>
    <w:p>
      <w:pPr>
        <w:spacing w:line="360" w:lineRule="auto"/>
        <w:ind w:firstLine="610"/>
        <w:outlineLvl w:val="9"/>
        <w:rPr>
          <w:rFonts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单位性质：</w:t>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p>
    <w:p>
      <w:pPr>
        <w:spacing w:line="360" w:lineRule="auto"/>
        <w:ind w:firstLine="610"/>
        <w:outlineLvl w:val="9"/>
        <w:rPr>
          <w:rFonts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地    址：</w:t>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p>
    <w:p>
      <w:pPr>
        <w:spacing w:line="360" w:lineRule="auto"/>
        <w:ind w:firstLine="61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成立时间：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日</w:t>
      </w:r>
    </w:p>
    <w:p>
      <w:pPr>
        <w:spacing w:line="360" w:lineRule="auto"/>
        <w:ind w:firstLine="610"/>
        <w:outlineLvl w:val="9"/>
        <w:rPr>
          <w:rFonts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经营期限：</w:t>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 xml:space="preserve"> </w:t>
      </w:r>
    </w:p>
    <w:p>
      <w:pPr>
        <w:spacing w:line="360" w:lineRule="auto"/>
        <w:ind w:firstLine="610"/>
        <w:outlineLvl w:val="9"/>
        <w:rPr>
          <w:rFonts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姓    名：</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 性别：</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年龄：</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职务：</w:t>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ab/>
      </w:r>
      <w:r>
        <w:rPr>
          <w:rFonts w:hint="eastAsia" w:ascii="方正仿宋_GB2312" w:hAnsi="方正仿宋_GB2312" w:eastAsia="方正仿宋_GB2312" w:cs="方正仿宋_GB2312"/>
          <w:sz w:val="24"/>
          <w:szCs w:val="24"/>
          <w:highlight w:val="none"/>
          <w:u w:val="single"/>
        </w:rPr>
        <w:t xml:space="preserve"> </w:t>
      </w: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 系</w:t>
      </w:r>
      <w:r>
        <w:rPr>
          <w:rFonts w:hint="eastAsia" w:ascii="方正仿宋_GB2312" w:hAnsi="方正仿宋_GB2312" w:eastAsia="方正仿宋_GB2312" w:cs="方正仿宋_GB2312"/>
          <w:sz w:val="24"/>
          <w:szCs w:val="24"/>
          <w:highlight w:val="none"/>
          <w:u w:val="single"/>
        </w:rPr>
        <w:t xml:space="preserve">          （供应商单位名称）         </w:t>
      </w:r>
      <w:r>
        <w:rPr>
          <w:rFonts w:hint="eastAsia" w:ascii="方正仿宋_GB2312" w:hAnsi="方正仿宋_GB2312" w:eastAsia="方正仿宋_GB2312" w:cs="方正仿宋_GB2312"/>
          <w:sz w:val="24"/>
          <w:szCs w:val="24"/>
          <w:highlight w:val="none"/>
        </w:rPr>
        <w:t>的法定代表人。</w:t>
      </w:r>
    </w:p>
    <w:p>
      <w:pPr>
        <w:spacing w:line="360" w:lineRule="auto"/>
        <w:ind w:firstLine="610"/>
        <w:outlineLvl w:val="9"/>
        <w:rPr>
          <w:rFonts w:ascii="方正仿宋_GB2312" w:hAnsi="方正仿宋_GB2312" w:eastAsia="方正仿宋_GB2312" w:cs="方正仿宋_GB2312"/>
          <w:sz w:val="24"/>
          <w:szCs w:val="24"/>
          <w:highlight w:val="none"/>
        </w:rPr>
      </w:pPr>
    </w:p>
    <w:p>
      <w:pPr>
        <w:spacing w:line="360" w:lineRule="auto"/>
        <w:ind w:firstLine="849" w:firstLineChars="354"/>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特此证明。</w:t>
      </w:r>
    </w:p>
    <w:p>
      <w:pPr>
        <w:spacing w:line="360" w:lineRule="auto"/>
        <w:outlineLvl w:val="9"/>
        <w:rPr>
          <w:rFonts w:ascii="方正仿宋_GB2312" w:hAnsi="方正仿宋_GB2312" w:eastAsia="方正仿宋_GB2312" w:cs="方正仿宋_GB2312"/>
          <w:b/>
          <w:sz w:val="24"/>
          <w:szCs w:val="24"/>
          <w:highlight w:val="none"/>
        </w:rPr>
      </w:pPr>
    </w:p>
    <w:p>
      <w:pPr>
        <w:spacing w:line="360" w:lineRule="auto"/>
        <w:ind w:firstLine="236" w:firstLineChars="98"/>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注：附法定代表人身份证复印件。</w:t>
      </w:r>
    </w:p>
    <w:p>
      <w:pPr>
        <w:spacing w:line="360" w:lineRule="auto"/>
        <w:outlineLvl w:val="9"/>
        <w:rPr>
          <w:rFonts w:ascii="方正仿宋_GB2312" w:hAnsi="方正仿宋_GB2312" w:eastAsia="方正仿宋_GB2312" w:cs="方正仿宋_GB2312"/>
          <w:sz w:val="24"/>
          <w:szCs w:val="24"/>
          <w:highlight w:val="none"/>
        </w:rPr>
      </w:pPr>
    </w:p>
    <w:p>
      <w:pPr>
        <w:spacing w:line="360" w:lineRule="auto"/>
        <w:ind w:left="5508" w:leftChars="2280" w:hanging="720" w:hangingChars="300"/>
        <w:outlineLvl w:val="9"/>
        <w:rPr>
          <w:rFonts w:ascii="方正仿宋_GB2312" w:hAnsi="方正仿宋_GB2312" w:eastAsia="方正仿宋_GB2312" w:cs="方正仿宋_GB2312"/>
          <w:sz w:val="24"/>
          <w:szCs w:val="24"/>
          <w:highlight w:val="none"/>
        </w:rPr>
      </w:pPr>
    </w:p>
    <w:p>
      <w:pPr>
        <w:spacing w:line="360" w:lineRule="auto"/>
        <w:ind w:left="5508" w:leftChars="2280" w:hanging="720" w:hangingChars="300"/>
        <w:outlineLvl w:val="9"/>
        <w:rPr>
          <w:rFonts w:ascii="方正仿宋_GB2312" w:hAnsi="方正仿宋_GB2312" w:eastAsia="方正仿宋_GB2312" w:cs="方正仿宋_GB2312"/>
          <w:sz w:val="24"/>
          <w:szCs w:val="24"/>
          <w:highlight w:val="none"/>
        </w:rPr>
      </w:pP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法定代表人或其委托代理人：</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日期：</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日</w:t>
      </w:r>
    </w:p>
    <w:p>
      <w:pPr>
        <w:spacing w:line="360" w:lineRule="auto"/>
        <w:jc w:val="center"/>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sz w:val="24"/>
          <w:szCs w:val="24"/>
          <w:highlight w:val="none"/>
        </w:rPr>
        <w:br w:type="page"/>
      </w:r>
      <w:bookmarkEnd w:id="1117"/>
      <w:bookmarkStart w:id="1119" w:name="_Toc30866"/>
      <w:bookmarkStart w:id="1120" w:name="_Toc3322"/>
      <w:bookmarkStart w:id="1121" w:name="_Toc14963"/>
      <w:bookmarkStart w:id="1122" w:name="_Toc15148"/>
      <w:bookmarkStart w:id="1123" w:name="_Toc18593"/>
      <w:bookmarkStart w:id="1124" w:name="_Toc6499"/>
      <w:bookmarkStart w:id="1125" w:name="_Toc49273735"/>
      <w:bookmarkStart w:id="1126" w:name="_Toc2887"/>
      <w:bookmarkStart w:id="1127" w:name="_Toc4675"/>
      <w:bookmarkStart w:id="1128" w:name="_Toc14997"/>
      <w:r>
        <w:rPr>
          <w:rFonts w:hint="eastAsia" w:ascii="方正仿宋_GB2312" w:hAnsi="方正仿宋_GB2312" w:eastAsia="方正仿宋_GB2312" w:cs="方正仿宋_GB2312"/>
          <w:b/>
          <w:sz w:val="24"/>
          <w:szCs w:val="24"/>
          <w:highlight w:val="none"/>
        </w:rPr>
        <w:t>三、法定代表人授权委托书</w:t>
      </w:r>
      <w:bookmarkEnd w:id="1119"/>
      <w:bookmarkEnd w:id="1120"/>
      <w:bookmarkEnd w:id="1121"/>
      <w:bookmarkEnd w:id="1122"/>
      <w:bookmarkEnd w:id="1123"/>
      <w:bookmarkEnd w:id="1124"/>
      <w:bookmarkEnd w:id="1125"/>
      <w:bookmarkEnd w:id="1126"/>
      <w:bookmarkEnd w:id="1127"/>
      <w:bookmarkEnd w:id="1128"/>
    </w:p>
    <w:p>
      <w:pPr>
        <w:spacing w:line="360" w:lineRule="auto"/>
        <w:outlineLvl w:val="9"/>
        <w:rPr>
          <w:rFonts w:ascii="方正仿宋_GB2312" w:hAnsi="方正仿宋_GB2312" w:eastAsia="方正仿宋_GB2312" w:cs="方正仿宋_GB2312"/>
          <w:sz w:val="24"/>
          <w:szCs w:val="24"/>
          <w:highlight w:val="none"/>
        </w:rPr>
      </w:pPr>
    </w:p>
    <w:p>
      <w:pPr>
        <w:spacing w:line="360" w:lineRule="auto"/>
        <w:ind w:firstLine="720" w:firstLineChars="3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本人</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（姓名）系</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（供应商名称）的法定代表人，现委托</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（姓名）为我方代理人。代理人根据授权，以我方名义签署、澄清、说明、补正、递交、撤回、修改</w:t>
      </w:r>
      <w:r>
        <w:rPr>
          <w:rFonts w:hint="eastAsia" w:ascii="方正仿宋_GB2312" w:hAnsi="方正仿宋_GB2312" w:eastAsia="方正仿宋_GB2312" w:cs="方正仿宋_GB2312"/>
          <w:sz w:val="24"/>
          <w:szCs w:val="24"/>
          <w:highlight w:val="none"/>
          <w:u w:val="single"/>
        </w:rPr>
        <w:t xml:space="preserve">                     （项目名称）</w:t>
      </w:r>
      <w:r>
        <w:rPr>
          <w:rFonts w:hint="eastAsia" w:ascii="方正仿宋_GB2312" w:hAnsi="方正仿宋_GB2312" w:eastAsia="方正仿宋_GB2312" w:cs="方正仿宋_GB2312"/>
          <w:sz w:val="24"/>
          <w:szCs w:val="24"/>
          <w:highlight w:val="none"/>
        </w:rPr>
        <w:t>投标文件、签订合同和处理有关事宜，其法律后果由我方承担。</w:t>
      </w:r>
    </w:p>
    <w:p>
      <w:pPr>
        <w:spacing w:line="360" w:lineRule="auto"/>
        <w:ind w:firstLine="480" w:firstLineChars="200"/>
        <w:outlineLvl w:val="9"/>
        <w:rPr>
          <w:rFonts w:ascii="方正仿宋_GB2312" w:hAnsi="方正仿宋_GB2312" w:eastAsia="方正仿宋_GB2312" w:cs="方正仿宋_GB2312"/>
          <w:sz w:val="24"/>
          <w:szCs w:val="24"/>
          <w:highlight w:val="none"/>
        </w:rPr>
      </w:pP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委托期限：</w:t>
      </w:r>
      <w:r>
        <w:rPr>
          <w:rFonts w:hint="eastAsia" w:ascii="方正仿宋_GB2312" w:hAnsi="方正仿宋_GB2312" w:eastAsia="方正仿宋_GB2312" w:cs="方正仿宋_GB2312"/>
          <w:sz w:val="24"/>
          <w:szCs w:val="24"/>
          <w:highlight w:val="none"/>
          <w:u w:val="single"/>
        </w:rPr>
        <w:t xml:space="preserve">   </w:t>
      </w: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代理人无转委托权。</w:t>
      </w:r>
    </w:p>
    <w:p>
      <w:pPr>
        <w:spacing w:line="360" w:lineRule="auto"/>
        <w:ind w:firstLine="480" w:firstLineChars="200"/>
        <w:outlineLvl w:val="9"/>
        <w:rPr>
          <w:rFonts w:ascii="方正仿宋_GB2312" w:hAnsi="方正仿宋_GB2312" w:eastAsia="方正仿宋_GB2312" w:cs="方正仿宋_GB2312"/>
          <w:sz w:val="24"/>
          <w:szCs w:val="24"/>
          <w:highlight w:val="none"/>
        </w:rPr>
      </w:pP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附：授权委托代理人身份证复印件。</w:t>
      </w:r>
    </w:p>
    <w:p>
      <w:pPr>
        <w:spacing w:line="360" w:lineRule="auto"/>
        <w:outlineLvl w:val="9"/>
        <w:rPr>
          <w:rFonts w:ascii="方正仿宋_GB2312" w:hAnsi="方正仿宋_GB2312" w:eastAsia="方正仿宋_GB2312" w:cs="方正仿宋_GB2312"/>
          <w:sz w:val="24"/>
          <w:szCs w:val="24"/>
          <w:highlight w:val="none"/>
        </w:rPr>
      </w:pPr>
    </w:p>
    <w:p>
      <w:pPr>
        <w:spacing w:line="360" w:lineRule="auto"/>
        <w:ind w:left="420" w:firstLine="42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left="420" w:firstLine="42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法定代表人：</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left="420" w:firstLine="42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身份证号码：</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w:t>
      </w:r>
    </w:p>
    <w:p>
      <w:pPr>
        <w:spacing w:line="360" w:lineRule="auto"/>
        <w:ind w:left="420" w:firstLine="42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委托代理人：</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left="420" w:firstLine="42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身份证号码：</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w:t>
      </w:r>
    </w:p>
    <w:p>
      <w:pPr>
        <w:spacing w:line="360" w:lineRule="auto"/>
        <w:ind w:firstLine="720" w:firstLineChars="3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 日期：</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日</w:t>
      </w:r>
    </w:p>
    <w:bookmarkEnd w:id="1092"/>
    <w:p>
      <w:pPr>
        <w:spacing w:line="360" w:lineRule="auto"/>
        <w:outlineLvl w:val="9"/>
        <w:rPr>
          <w:rFonts w:ascii="方正仿宋_GB2312" w:hAnsi="方正仿宋_GB2312" w:eastAsia="方正仿宋_GB2312" w:cs="方正仿宋_GB2312"/>
          <w:sz w:val="24"/>
          <w:szCs w:val="24"/>
          <w:highlight w:val="none"/>
        </w:rPr>
      </w:pPr>
    </w:p>
    <w:p>
      <w:pPr>
        <w:ind w:firstLine="480" w:firstLineChars="200"/>
        <w:jc w:val="center"/>
        <w:outlineLvl w:val="9"/>
        <w:rPr>
          <w:rFonts w:ascii="方正仿宋_GB2312" w:hAnsi="方正仿宋_GB2312" w:eastAsia="方正仿宋_GB2312" w:cs="方正仿宋_GB2312"/>
          <w:b/>
          <w:sz w:val="28"/>
          <w:szCs w:val="28"/>
          <w:highlight w:val="none"/>
        </w:rPr>
      </w:pPr>
      <w:r>
        <w:rPr>
          <w:rFonts w:hint="eastAsia" w:ascii="方正仿宋_GB2312" w:hAnsi="方正仿宋_GB2312" w:eastAsia="方正仿宋_GB2312" w:cs="方正仿宋_GB2312"/>
          <w:sz w:val="24"/>
          <w:szCs w:val="24"/>
          <w:highlight w:val="none"/>
        </w:rPr>
        <w:br w:type="page"/>
      </w:r>
      <w:bookmarkStart w:id="1129" w:name="_Toc14319"/>
      <w:bookmarkStart w:id="1130" w:name="_Toc26351"/>
      <w:bookmarkStart w:id="1131" w:name="_Toc49273736"/>
      <w:bookmarkStart w:id="1132" w:name="_Toc8535"/>
      <w:bookmarkStart w:id="1133" w:name="_Toc31877"/>
      <w:bookmarkStart w:id="1134" w:name="_Toc26185"/>
      <w:bookmarkStart w:id="1135" w:name="_Toc25229"/>
      <w:bookmarkStart w:id="1136" w:name="_Toc22633"/>
      <w:bookmarkStart w:id="1137" w:name="_Toc24339"/>
      <w:r>
        <w:rPr>
          <w:rFonts w:hint="eastAsia" w:ascii="方正仿宋_GB2312" w:hAnsi="方正仿宋_GB2312" w:eastAsia="方正仿宋_GB2312" w:cs="方正仿宋_GB2312"/>
          <w:b/>
          <w:sz w:val="24"/>
          <w:szCs w:val="24"/>
          <w:highlight w:val="none"/>
        </w:rPr>
        <w:t>四、</w:t>
      </w:r>
      <w:bookmarkEnd w:id="1129"/>
      <w:bookmarkEnd w:id="1130"/>
      <w:bookmarkEnd w:id="1131"/>
      <w:r>
        <w:rPr>
          <w:rFonts w:hint="eastAsia" w:ascii="方正仿宋_GB2312" w:hAnsi="方正仿宋_GB2312" w:eastAsia="方正仿宋_GB2312" w:cs="方正仿宋_GB2312"/>
          <w:b/>
          <w:kern w:val="2"/>
          <w:sz w:val="24"/>
          <w:szCs w:val="24"/>
          <w:highlight w:val="none"/>
        </w:rPr>
        <w:t>供应商资格声明函</w:t>
      </w:r>
      <w:bookmarkEnd w:id="1132"/>
      <w:bookmarkEnd w:id="1133"/>
      <w:bookmarkEnd w:id="1134"/>
      <w:bookmarkEnd w:id="1135"/>
      <w:bookmarkEnd w:id="1136"/>
      <w:bookmarkEnd w:id="1137"/>
    </w:p>
    <w:p>
      <w:pPr>
        <w:ind w:firstLine="482" w:firstLineChars="200"/>
        <w:jc w:val="center"/>
        <w:outlineLvl w:val="9"/>
        <w:rPr>
          <w:rFonts w:ascii="方正仿宋_GB2312" w:hAnsi="方正仿宋_GB2312" w:eastAsia="方正仿宋_GB2312" w:cs="方正仿宋_GB2312"/>
          <w:b/>
          <w:sz w:val="24"/>
          <w:szCs w:val="24"/>
          <w:highlight w:val="none"/>
        </w:rPr>
      </w:pPr>
    </w:p>
    <w:p>
      <w:pPr>
        <w:spacing w:line="336" w:lineRule="auto"/>
        <w:ind w:right="84" w:rightChars="40"/>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u w:val="single"/>
          <w:lang w:eastAsia="zh-CN"/>
        </w:rPr>
        <w:t>昆明市呈贡区第四中学</w:t>
      </w:r>
      <w:r>
        <w:rPr>
          <w:rFonts w:hint="eastAsia" w:ascii="方正仿宋_GB2312" w:hAnsi="方正仿宋_GB2312" w:eastAsia="方正仿宋_GB2312" w:cs="方正仿宋_GB2312"/>
          <w:spacing w:val="6"/>
          <w:sz w:val="24"/>
          <w:szCs w:val="24"/>
          <w:highlight w:val="none"/>
        </w:rPr>
        <w:t>：</w:t>
      </w:r>
    </w:p>
    <w:p>
      <w:pPr>
        <w:spacing w:line="336" w:lineRule="auto"/>
        <w:ind w:right="84" w:rightChars="40" w:firstLine="504" w:firstLineChars="200"/>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关于贵方</w:t>
      </w:r>
      <w:r>
        <w:rPr>
          <w:rFonts w:hint="eastAsia" w:ascii="方正仿宋_GB2312" w:hAnsi="方正仿宋_GB2312" w:eastAsia="方正仿宋_GB2312" w:cs="方正仿宋_GB2312"/>
          <w:spacing w:val="6"/>
          <w:sz w:val="24"/>
          <w:szCs w:val="24"/>
          <w:highlight w:val="none"/>
          <w:u w:val="single"/>
        </w:rPr>
        <w:t>　 　</w:t>
      </w:r>
      <w:r>
        <w:rPr>
          <w:rFonts w:hint="eastAsia" w:ascii="方正仿宋_GB2312" w:hAnsi="方正仿宋_GB2312" w:eastAsia="方正仿宋_GB2312" w:cs="方正仿宋_GB2312"/>
          <w:spacing w:val="6"/>
          <w:sz w:val="24"/>
          <w:szCs w:val="24"/>
          <w:highlight w:val="none"/>
        </w:rPr>
        <w:t>年</w:t>
      </w:r>
      <w:r>
        <w:rPr>
          <w:rFonts w:hint="eastAsia" w:ascii="方正仿宋_GB2312" w:hAnsi="方正仿宋_GB2312" w:eastAsia="方正仿宋_GB2312" w:cs="方正仿宋_GB2312"/>
          <w:spacing w:val="6"/>
          <w:sz w:val="24"/>
          <w:szCs w:val="24"/>
          <w:highlight w:val="none"/>
          <w:u w:val="single"/>
        </w:rPr>
        <w:t>　　</w:t>
      </w:r>
      <w:r>
        <w:rPr>
          <w:rFonts w:hint="eastAsia" w:ascii="方正仿宋_GB2312" w:hAnsi="方正仿宋_GB2312" w:eastAsia="方正仿宋_GB2312" w:cs="方正仿宋_GB2312"/>
          <w:spacing w:val="6"/>
          <w:sz w:val="24"/>
          <w:szCs w:val="24"/>
          <w:highlight w:val="none"/>
        </w:rPr>
        <w:t>月</w:t>
      </w:r>
      <w:r>
        <w:rPr>
          <w:rFonts w:hint="eastAsia" w:ascii="方正仿宋_GB2312" w:hAnsi="方正仿宋_GB2312" w:eastAsia="方正仿宋_GB2312" w:cs="方正仿宋_GB2312"/>
          <w:spacing w:val="6"/>
          <w:sz w:val="24"/>
          <w:szCs w:val="24"/>
          <w:highlight w:val="none"/>
          <w:u w:val="single"/>
        </w:rPr>
        <w:t>　　</w:t>
      </w:r>
      <w:r>
        <w:rPr>
          <w:rFonts w:hint="eastAsia" w:ascii="方正仿宋_GB2312" w:hAnsi="方正仿宋_GB2312" w:eastAsia="方正仿宋_GB2312" w:cs="方正仿宋_GB2312"/>
          <w:spacing w:val="6"/>
          <w:sz w:val="24"/>
          <w:szCs w:val="24"/>
          <w:highlight w:val="none"/>
        </w:rPr>
        <w:t>日发布关于“</w:t>
      </w:r>
      <w:r>
        <w:rPr>
          <w:rFonts w:hint="eastAsia" w:ascii="方正仿宋_GB2312" w:hAnsi="方正仿宋_GB2312" w:eastAsia="方正仿宋_GB2312" w:cs="方正仿宋_GB2312"/>
          <w:spacing w:val="6"/>
          <w:sz w:val="24"/>
          <w:szCs w:val="24"/>
          <w:highlight w:val="none"/>
          <w:u w:val="single"/>
        </w:rPr>
        <w:t>（项目名称     ）</w:t>
      </w:r>
      <w:r>
        <w:rPr>
          <w:rFonts w:hint="eastAsia" w:ascii="方正仿宋_GB2312" w:hAnsi="方正仿宋_GB2312" w:eastAsia="方正仿宋_GB2312" w:cs="方正仿宋_GB2312"/>
          <w:spacing w:val="6"/>
          <w:sz w:val="24"/>
          <w:szCs w:val="24"/>
          <w:highlight w:val="none"/>
        </w:rPr>
        <w:t>的采购公告，我方愿意参加投标，并已清楚招标文件的要求及有关文件规定：</w:t>
      </w:r>
      <w:r>
        <w:rPr>
          <w:rFonts w:hint="eastAsia" w:ascii="方正仿宋_GB2312" w:hAnsi="方正仿宋_GB2312" w:eastAsia="方正仿宋_GB2312" w:cs="方正仿宋_GB2312"/>
          <w:spacing w:val="6"/>
          <w:sz w:val="24"/>
          <w:szCs w:val="24"/>
          <w:highlight w:val="none"/>
        </w:rPr>
        <w:br w:type="textWrapping"/>
      </w:r>
      <w:r>
        <w:rPr>
          <w:rFonts w:hint="eastAsia" w:ascii="方正仿宋_GB2312" w:hAnsi="方正仿宋_GB2312" w:eastAsia="方正仿宋_GB2312" w:cs="方正仿宋_GB2312"/>
          <w:spacing w:val="6"/>
          <w:sz w:val="24"/>
          <w:szCs w:val="24"/>
          <w:highlight w:val="none"/>
        </w:rPr>
        <w:t>我方具备《中华人民共和国政府采购法》第二十二条所规定的条件。</w:t>
      </w:r>
    </w:p>
    <w:p>
      <w:pPr>
        <w:spacing w:line="336" w:lineRule="auto"/>
        <w:ind w:right="84" w:rightChars="40" w:firstLine="504" w:firstLineChars="200"/>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（一）具有独立承担民事责任的能力；</w:t>
      </w:r>
    </w:p>
    <w:p>
      <w:pPr>
        <w:spacing w:line="336" w:lineRule="auto"/>
        <w:ind w:right="84" w:rightChars="40" w:firstLine="504" w:firstLineChars="200"/>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（二）具有良好的商业信誉和健全的财务会计制度；</w:t>
      </w:r>
    </w:p>
    <w:p>
      <w:pPr>
        <w:spacing w:line="336" w:lineRule="auto"/>
        <w:ind w:right="84" w:rightChars="40" w:firstLine="504" w:firstLineChars="200"/>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（三）具有履行合同所必需的设备和专业技术能力；</w:t>
      </w:r>
    </w:p>
    <w:p>
      <w:pPr>
        <w:spacing w:line="336" w:lineRule="auto"/>
        <w:ind w:right="84" w:rightChars="40" w:firstLine="504" w:firstLineChars="200"/>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（四）有依法缴纳税收和社会保障资金的良好记录；</w:t>
      </w:r>
    </w:p>
    <w:p>
      <w:pPr>
        <w:spacing w:line="336" w:lineRule="auto"/>
        <w:ind w:right="84" w:rightChars="40" w:firstLine="504" w:firstLineChars="200"/>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（五）参加政府采购活动前三年内，在经营活动中没有重大违法记录；</w:t>
      </w:r>
    </w:p>
    <w:p>
      <w:pPr>
        <w:spacing w:line="336" w:lineRule="auto"/>
        <w:ind w:right="84" w:rightChars="40" w:firstLine="504" w:firstLineChars="200"/>
        <w:outlineLvl w:val="9"/>
        <w:rPr>
          <w:rFonts w:ascii="方正仿宋_GB2312" w:hAnsi="方正仿宋_GB2312" w:eastAsia="方正仿宋_GB2312" w:cs="方正仿宋_GB2312"/>
          <w:spacing w:val="6"/>
          <w:sz w:val="24"/>
          <w:szCs w:val="24"/>
          <w:highlight w:val="none"/>
        </w:rPr>
      </w:pPr>
      <w:bookmarkStart w:id="1138" w:name="_Toc14343"/>
      <w:bookmarkStart w:id="1139" w:name="_Toc15125"/>
      <w:bookmarkStart w:id="1140" w:name="_Toc26631"/>
      <w:bookmarkStart w:id="1141" w:name="_Toc20833"/>
      <w:bookmarkStart w:id="1142" w:name="_Toc23280"/>
      <w:bookmarkStart w:id="1143" w:name="_Toc14144"/>
      <w:bookmarkStart w:id="1144" w:name="_Toc21941"/>
      <w:bookmarkStart w:id="1145" w:name="_Toc30519"/>
      <w:r>
        <w:rPr>
          <w:rFonts w:hint="eastAsia" w:ascii="方正仿宋_GB2312" w:hAnsi="方正仿宋_GB2312" w:eastAsia="方正仿宋_GB2312" w:cs="方正仿宋_GB2312"/>
          <w:spacing w:val="6"/>
          <w:sz w:val="24"/>
          <w:szCs w:val="24"/>
          <w:highlight w:val="none"/>
        </w:rPr>
        <w:t>（六）法律、行政法规规定的其他条件。</w:t>
      </w:r>
      <w:bookmarkEnd w:id="1138"/>
      <w:bookmarkEnd w:id="1139"/>
      <w:bookmarkEnd w:id="1140"/>
      <w:bookmarkEnd w:id="1141"/>
      <w:bookmarkEnd w:id="1142"/>
      <w:bookmarkEnd w:id="1143"/>
      <w:bookmarkEnd w:id="1144"/>
      <w:bookmarkEnd w:id="1145"/>
    </w:p>
    <w:p>
      <w:pPr>
        <w:spacing w:line="336" w:lineRule="auto"/>
        <w:ind w:right="84" w:rightChars="40" w:firstLine="504" w:firstLineChars="200"/>
        <w:outlineLvl w:val="9"/>
        <w:rPr>
          <w:rFonts w:ascii="方正仿宋_GB2312" w:hAnsi="方正仿宋_GB2312" w:eastAsia="方正仿宋_GB2312" w:cs="方正仿宋_GB2312"/>
          <w:spacing w:val="6"/>
          <w:sz w:val="24"/>
          <w:szCs w:val="24"/>
          <w:highlight w:val="none"/>
        </w:rPr>
      </w:pPr>
      <w:r>
        <w:rPr>
          <w:rFonts w:hint="eastAsia" w:ascii="方正仿宋_GB2312" w:hAnsi="方正仿宋_GB2312" w:eastAsia="方正仿宋_GB2312" w:cs="方正仿宋_GB2312"/>
          <w:spacing w:val="6"/>
          <w:sz w:val="24"/>
          <w:szCs w:val="24"/>
          <w:highlight w:val="none"/>
        </w:rPr>
        <w:t>本次招标采购活动中，如有违法、违规、弄虚作假行为，所造成的损失、不良后果及法律责任，一律由我方承担。</w:t>
      </w:r>
    </w:p>
    <w:p>
      <w:pPr>
        <w:spacing w:line="336" w:lineRule="auto"/>
        <w:ind w:right="84" w:rightChars="40" w:firstLine="504"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pacing w:val="6"/>
          <w:sz w:val="24"/>
          <w:szCs w:val="24"/>
          <w:highlight w:val="none"/>
        </w:rPr>
        <w:t>特此声明！</w:t>
      </w:r>
    </w:p>
    <w:p>
      <w:pPr>
        <w:spacing w:line="360" w:lineRule="auto"/>
        <w:ind w:firstLine="2" w:firstLineChars="1"/>
        <w:outlineLvl w:val="9"/>
        <w:rPr>
          <w:rFonts w:ascii="方正仿宋_GB2312" w:hAnsi="方正仿宋_GB2312" w:eastAsia="方正仿宋_GB2312" w:cs="方正仿宋_GB2312"/>
          <w:sz w:val="24"/>
          <w:szCs w:val="24"/>
          <w:highlight w:val="none"/>
        </w:rPr>
      </w:pP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法定代表人或其委托代理人：</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firstLine="480" w:firstLineChars="200"/>
        <w:outlineLvl w:val="9"/>
        <w:rPr>
          <w:rFonts w:ascii="方正仿宋_GB2312" w:hAnsi="方正仿宋_GB2312" w:eastAsia="方正仿宋_GB2312" w:cs="方正仿宋_GB2312"/>
          <w:sz w:val="24"/>
          <w:szCs w:val="24"/>
          <w:highlight w:val="none"/>
        </w:rPr>
      </w:pPr>
      <w:bookmarkStart w:id="1146" w:name="_Toc21330"/>
      <w:bookmarkStart w:id="1147" w:name="_Toc49273740"/>
      <w:bookmarkStart w:id="1148" w:name="_Toc14580"/>
      <w:r>
        <w:rPr>
          <w:rFonts w:hint="eastAsia" w:ascii="方正仿宋_GB2312" w:hAnsi="方正仿宋_GB2312" w:eastAsia="方正仿宋_GB2312" w:cs="方正仿宋_GB2312"/>
          <w:sz w:val="24"/>
          <w:szCs w:val="24"/>
          <w:highlight w:val="none"/>
        </w:rPr>
        <w:t>日期：</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日</w:t>
      </w:r>
    </w:p>
    <w:p>
      <w:pPr>
        <w:spacing w:line="360" w:lineRule="auto"/>
        <w:jc w:val="center"/>
        <w:outlineLvl w:val="9"/>
        <w:rPr>
          <w:rFonts w:ascii="方正仿宋_GB2312" w:hAnsi="方正仿宋_GB2312" w:eastAsia="方正仿宋_GB2312" w:cs="方正仿宋_GB2312"/>
          <w:b/>
          <w:sz w:val="24"/>
          <w:szCs w:val="24"/>
          <w:highlight w:val="none"/>
        </w:rPr>
      </w:pPr>
    </w:p>
    <w:p>
      <w:pPr>
        <w:spacing w:line="360" w:lineRule="auto"/>
        <w:jc w:val="center"/>
        <w:outlineLvl w:val="9"/>
        <w:rPr>
          <w:rFonts w:ascii="方正仿宋_GB2312" w:hAnsi="方正仿宋_GB2312" w:eastAsia="方正仿宋_GB2312" w:cs="方正仿宋_GB2312"/>
          <w:b/>
          <w:sz w:val="24"/>
          <w:szCs w:val="24"/>
          <w:highlight w:val="none"/>
        </w:rPr>
      </w:pPr>
      <w:bookmarkStart w:id="1149" w:name="_Toc26483"/>
      <w:bookmarkStart w:id="1150" w:name="_Toc11886"/>
      <w:bookmarkStart w:id="1151" w:name="_Toc30543"/>
      <w:bookmarkStart w:id="1152" w:name="_Toc24183"/>
      <w:bookmarkStart w:id="1153" w:name="_Toc16893"/>
    </w:p>
    <w:p>
      <w:pPr>
        <w:spacing w:line="360" w:lineRule="auto"/>
        <w:jc w:val="center"/>
        <w:outlineLvl w:val="9"/>
        <w:rPr>
          <w:rFonts w:ascii="方正仿宋_GB2312" w:hAnsi="方正仿宋_GB2312" w:eastAsia="方正仿宋_GB2312" w:cs="方正仿宋_GB2312"/>
          <w:b/>
          <w:sz w:val="24"/>
          <w:szCs w:val="24"/>
          <w:highlight w:val="none"/>
        </w:rPr>
      </w:pPr>
    </w:p>
    <w:p>
      <w:pPr>
        <w:spacing w:line="360" w:lineRule="auto"/>
        <w:jc w:val="center"/>
        <w:outlineLvl w:val="9"/>
        <w:rPr>
          <w:rFonts w:ascii="方正仿宋_GB2312" w:hAnsi="方正仿宋_GB2312" w:eastAsia="方正仿宋_GB2312" w:cs="方正仿宋_GB2312"/>
          <w:sz w:val="24"/>
          <w:szCs w:val="24"/>
          <w:highlight w:val="none"/>
        </w:rPr>
      </w:pPr>
      <w:bookmarkStart w:id="1154" w:name="_Toc15648"/>
      <w:r>
        <w:rPr>
          <w:rFonts w:hint="eastAsia" w:ascii="方正仿宋_GB2312" w:hAnsi="方正仿宋_GB2312" w:eastAsia="方正仿宋_GB2312" w:cs="方正仿宋_GB2312"/>
          <w:b/>
          <w:sz w:val="24"/>
          <w:szCs w:val="24"/>
          <w:highlight w:val="none"/>
        </w:rPr>
        <w:t>五、营业执照</w:t>
      </w:r>
      <w:bookmarkEnd w:id="1146"/>
      <w:bookmarkEnd w:id="1147"/>
      <w:bookmarkEnd w:id="1148"/>
      <w:bookmarkEnd w:id="1149"/>
      <w:bookmarkEnd w:id="1150"/>
      <w:bookmarkEnd w:id="1151"/>
      <w:bookmarkEnd w:id="1152"/>
      <w:bookmarkEnd w:id="1153"/>
      <w:bookmarkEnd w:id="1154"/>
    </w:p>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格式自拟，附彩色扫描件，具体详见供应商须知前附表和总则</w:t>
      </w:r>
    </w:p>
    <w:p>
      <w:pPr>
        <w:outlineLvl w:val="9"/>
        <w:rPr>
          <w:rFonts w:ascii="方正仿宋_GB2312" w:hAnsi="方正仿宋_GB2312" w:eastAsia="方正仿宋_GB2312" w:cs="方正仿宋_GB2312"/>
          <w:sz w:val="24"/>
          <w:szCs w:val="24"/>
          <w:highlight w:val="none"/>
        </w:rPr>
      </w:pPr>
      <w:bookmarkStart w:id="1155" w:name="_Toc49273742"/>
    </w:p>
    <w:p>
      <w:pPr>
        <w:spacing w:line="360" w:lineRule="auto"/>
        <w:jc w:val="center"/>
        <w:outlineLvl w:val="9"/>
        <w:rPr>
          <w:rFonts w:ascii="方正仿宋_GB2312" w:hAnsi="方正仿宋_GB2312" w:eastAsia="方正仿宋_GB2312" w:cs="方正仿宋_GB2312"/>
          <w:sz w:val="24"/>
          <w:szCs w:val="24"/>
          <w:highlight w:val="none"/>
        </w:rPr>
      </w:pPr>
      <w:bookmarkStart w:id="1156" w:name="_Toc541"/>
      <w:bookmarkStart w:id="1157" w:name="_Toc2205"/>
      <w:bookmarkStart w:id="1158" w:name="_Toc29533"/>
      <w:bookmarkStart w:id="1159" w:name="_Toc24584"/>
      <w:r>
        <w:rPr>
          <w:rFonts w:hint="eastAsia" w:ascii="方正仿宋_GB2312" w:hAnsi="方正仿宋_GB2312" w:eastAsia="方正仿宋_GB2312" w:cs="方正仿宋_GB2312"/>
          <w:b/>
          <w:sz w:val="24"/>
          <w:szCs w:val="24"/>
          <w:highlight w:val="none"/>
        </w:rPr>
        <w:t>六、</w:t>
      </w:r>
      <w:bookmarkEnd w:id="1156"/>
      <w:bookmarkEnd w:id="1157"/>
      <w:bookmarkEnd w:id="1158"/>
      <w:r>
        <w:rPr>
          <w:rFonts w:hint="eastAsia" w:ascii="方正仿宋_GB2312" w:hAnsi="方正仿宋_GB2312" w:eastAsia="方正仿宋_GB2312" w:cs="方正仿宋_GB2312"/>
          <w:b/>
          <w:sz w:val="24"/>
          <w:szCs w:val="24"/>
          <w:highlight w:val="none"/>
        </w:rPr>
        <w:t>良好健全的财务会计制度</w:t>
      </w:r>
      <w:bookmarkEnd w:id="1159"/>
    </w:p>
    <w:p>
      <w:pPr>
        <w:snapToGrid w:val="0"/>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格式自拟，附彩色扫描件，具体详见供应商须知前附表和总则</w:t>
      </w:r>
    </w:p>
    <w:p>
      <w:pPr>
        <w:outlineLvl w:val="9"/>
        <w:rPr>
          <w:rFonts w:ascii="方正仿宋_GB2312" w:hAnsi="方正仿宋_GB2312" w:eastAsia="方正仿宋_GB2312" w:cs="方正仿宋_GB2312"/>
          <w:b/>
          <w:sz w:val="24"/>
          <w:szCs w:val="24"/>
          <w:highlight w:val="none"/>
        </w:rPr>
      </w:pPr>
    </w:p>
    <w:p>
      <w:pPr>
        <w:spacing w:line="360" w:lineRule="auto"/>
        <w:jc w:val="center"/>
        <w:outlineLvl w:val="9"/>
        <w:rPr>
          <w:rFonts w:ascii="方正仿宋_GB2312" w:hAnsi="方正仿宋_GB2312" w:eastAsia="方正仿宋_GB2312" w:cs="方正仿宋_GB2312"/>
          <w:sz w:val="24"/>
          <w:szCs w:val="24"/>
          <w:highlight w:val="none"/>
        </w:rPr>
      </w:pPr>
      <w:bookmarkStart w:id="1160" w:name="_Toc5427"/>
      <w:bookmarkStart w:id="1161" w:name="_Toc10852"/>
      <w:bookmarkStart w:id="1162" w:name="_Toc26735"/>
      <w:bookmarkStart w:id="1163" w:name="_Toc22629"/>
      <w:r>
        <w:rPr>
          <w:rFonts w:hint="eastAsia" w:ascii="方正仿宋_GB2312" w:hAnsi="方正仿宋_GB2312" w:eastAsia="方正仿宋_GB2312" w:cs="方正仿宋_GB2312"/>
          <w:b/>
          <w:sz w:val="24"/>
          <w:szCs w:val="24"/>
          <w:highlight w:val="none"/>
        </w:rPr>
        <w:t>七、</w:t>
      </w:r>
      <w:bookmarkEnd w:id="1160"/>
      <w:bookmarkEnd w:id="1161"/>
      <w:bookmarkEnd w:id="1162"/>
      <w:r>
        <w:rPr>
          <w:rFonts w:hint="eastAsia" w:ascii="方正仿宋_GB2312" w:hAnsi="方正仿宋_GB2312" w:eastAsia="方正仿宋_GB2312" w:cs="方正仿宋_GB2312"/>
          <w:b/>
          <w:sz w:val="24"/>
          <w:szCs w:val="24"/>
          <w:highlight w:val="none"/>
        </w:rPr>
        <w:t>良好的商业信誉</w:t>
      </w:r>
      <w:bookmarkEnd w:id="1163"/>
    </w:p>
    <w:p>
      <w:pPr>
        <w:snapToGrid w:val="0"/>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格式自拟，附彩色扫描件，具体详见供应商须知前附表和总则</w:t>
      </w:r>
    </w:p>
    <w:p>
      <w:pPr>
        <w:outlineLvl w:val="9"/>
        <w:rPr>
          <w:rFonts w:ascii="方正仿宋_GB2312" w:hAnsi="方正仿宋_GB2312" w:eastAsia="方正仿宋_GB2312" w:cs="方正仿宋_GB2312"/>
          <w:b/>
          <w:sz w:val="24"/>
          <w:szCs w:val="24"/>
          <w:highlight w:val="none"/>
        </w:rPr>
      </w:pPr>
    </w:p>
    <w:p>
      <w:pPr>
        <w:spacing w:line="360" w:lineRule="auto"/>
        <w:jc w:val="center"/>
        <w:outlineLvl w:val="9"/>
        <w:rPr>
          <w:rFonts w:ascii="方正仿宋_GB2312" w:hAnsi="方正仿宋_GB2312" w:eastAsia="方正仿宋_GB2312" w:cs="方正仿宋_GB2312"/>
          <w:sz w:val="24"/>
          <w:szCs w:val="24"/>
          <w:highlight w:val="none"/>
        </w:rPr>
      </w:pPr>
      <w:bookmarkStart w:id="1164" w:name="_Toc19084"/>
      <w:bookmarkStart w:id="1165" w:name="_Toc22811"/>
      <w:bookmarkStart w:id="1166" w:name="_Toc27144"/>
      <w:bookmarkStart w:id="1167" w:name="_Toc30593"/>
      <w:r>
        <w:rPr>
          <w:rFonts w:hint="eastAsia" w:ascii="方正仿宋_GB2312" w:hAnsi="方正仿宋_GB2312" w:eastAsia="方正仿宋_GB2312" w:cs="方正仿宋_GB2312"/>
          <w:b/>
          <w:sz w:val="24"/>
          <w:szCs w:val="24"/>
          <w:highlight w:val="none"/>
        </w:rPr>
        <w:t>八、</w:t>
      </w:r>
      <w:bookmarkEnd w:id="1164"/>
      <w:bookmarkEnd w:id="1165"/>
      <w:bookmarkEnd w:id="1166"/>
      <w:r>
        <w:rPr>
          <w:rFonts w:hint="eastAsia" w:ascii="方正仿宋_GB2312" w:hAnsi="方正仿宋_GB2312" w:eastAsia="方正仿宋_GB2312" w:cs="方正仿宋_GB2312"/>
          <w:b/>
          <w:sz w:val="24"/>
          <w:szCs w:val="24"/>
          <w:highlight w:val="none"/>
        </w:rPr>
        <w:t>履行合同所必需的设备和专业技术能力</w:t>
      </w:r>
      <w:bookmarkEnd w:id="1167"/>
    </w:p>
    <w:p>
      <w:pPr>
        <w:snapToGrid w:val="0"/>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格式自拟，附彩色扫描件，具体详见供应商须知前附表和总则</w:t>
      </w:r>
    </w:p>
    <w:p>
      <w:pPr>
        <w:outlineLvl w:val="9"/>
        <w:rPr>
          <w:rFonts w:ascii="方正仿宋_GB2312" w:hAnsi="方正仿宋_GB2312" w:eastAsia="方正仿宋_GB2312" w:cs="方正仿宋_GB2312"/>
          <w:b/>
          <w:sz w:val="24"/>
          <w:szCs w:val="24"/>
          <w:highlight w:val="none"/>
        </w:rPr>
      </w:pPr>
    </w:p>
    <w:p>
      <w:pPr>
        <w:spacing w:line="360" w:lineRule="auto"/>
        <w:jc w:val="center"/>
        <w:outlineLvl w:val="9"/>
        <w:rPr>
          <w:rFonts w:ascii="方正仿宋_GB2312" w:hAnsi="方正仿宋_GB2312" w:eastAsia="方正仿宋_GB2312" w:cs="方正仿宋_GB2312"/>
          <w:sz w:val="24"/>
          <w:szCs w:val="24"/>
          <w:highlight w:val="none"/>
        </w:rPr>
      </w:pPr>
      <w:bookmarkStart w:id="1168" w:name="_Toc32130"/>
      <w:bookmarkStart w:id="1169" w:name="_Toc3799"/>
      <w:bookmarkStart w:id="1170" w:name="_Toc26193"/>
      <w:bookmarkStart w:id="1171" w:name="_Toc16194"/>
      <w:r>
        <w:rPr>
          <w:rFonts w:hint="eastAsia" w:ascii="方正仿宋_GB2312" w:hAnsi="方正仿宋_GB2312" w:eastAsia="方正仿宋_GB2312" w:cs="方正仿宋_GB2312"/>
          <w:b/>
          <w:sz w:val="24"/>
          <w:szCs w:val="24"/>
          <w:highlight w:val="none"/>
        </w:rPr>
        <w:t>九、</w:t>
      </w:r>
      <w:bookmarkEnd w:id="1168"/>
      <w:bookmarkEnd w:id="1169"/>
      <w:bookmarkEnd w:id="1170"/>
      <w:r>
        <w:rPr>
          <w:rFonts w:hint="eastAsia" w:ascii="方正仿宋_GB2312" w:hAnsi="方正仿宋_GB2312" w:eastAsia="方正仿宋_GB2312" w:cs="方正仿宋_GB2312"/>
          <w:b/>
          <w:sz w:val="24"/>
          <w:szCs w:val="24"/>
          <w:highlight w:val="none"/>
        </w:rPr>
        <w:t>依法缴纳税收和社会保障资金的良好记录</w:t>
      </w:r>
      <w:bookmarkEnd w:id="1171"/>
    </w:p>
    <w:p>
      <w:pPr>
        <w:snapToGrid w:val="0"/>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格式自拟，附彩色扫描件，具体详见供应商须知前附表和总则</w:t>
      </w:r>
    </w:p>
    <w:p>
      <w:pPr>
        <w:outlineLvl w:val="9"/>
        <w:rPr>
          <w:rFonts w:ascii="方正仿宋_GB2312" w:hAnsi="方正仿宋_GB2312" w:eastAsia="方正仿宋_GB2312" w:cs="方正仿宋_GB2312"/>
          <w:highlight w:val="none"/>
        </w:rPr>
      </w:pPr>
    </w:p>
    <w:p>
      <w:pPr>
        <w:spacing w:line="360" w:lineRule="auto"/>
        <w:jc w:val="center"/>
        <w:outlineLvl w:val="9"/>
        <w:rPr>
          <w:rFonts w:ascii="方正仿宋_GB2312" w:hAnsi="方正仿宋_GB2312" w:eastAsia="方正仿宋_GB2312" w:cs="方正仿宋_GB2312"/>
          <w:sz w:val="24"/>
          <w:szCs w:val="24"/>
          <w:highlight w:val="none"/>
        </w:rPr>
      </w:pPr>
      <w:bookmarkStart w:id="1172" w:name="_Toc15992"/>
      <w:bookmarkStart w:id="1173" w:name="_Toc2618"/>
      <w:bookmarkStart w:id="1174" w:name="_Toc14392"/>
      <w:bookmarkStart w:id="1175" w:name="_Toc32688"/>
      <w:r>
        <w:rPr>
          <w:rFonts w:hint="eastAsia" w:ascii="方正仿宋_GB2312" w:hAnsi="方正仿宋_GB2312" w:eastAsia="方正仿宋_GB2312" w:cs="方正仿宋_GB2312"/>
          <w:b/>
          <w:sz w:val="24"/>
          <w:szCs w:val="24"/>
          <w:highlight w:val="none"/>
        </w:rPr>
        <w:t>十、</w:t>
      </w:r>
      <w:bookmarkEnd w:id="1172"/>
      <w:bookmarkEnd w:id="1173"/>
      <w:bookmarkEnd w:id="1174"/>
      <w:r>
        <w:rPr>
          <w:rFonts w:hint="eastAsia" w:ascii="方正仿宋_GB2312" w:hAnsi="方正仿宋_GB2312" w:eastAsia="方正仿宋_GB2312" w:cs="方正仿宋_GB2312"/>
          <w:b/>
          <w:sz w:val="24"/>
          <w:szCs w:val="24"/>
          <w:highlight w:val="none"/>
        </w:rPr>
        <w:t>信用状况</w:t>
      </w:r>
      <w:bookmarkEnd w:id="1175"/>
    </w:p>
    <w:p>
      <w:pPr>
        <w:snapToGrid w:val="0"/>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格式自拟，附彩色扫描件，具体详见供应商须知前附表和总则</w:t>
      </w:r>
    </w:p>
    <w:p>
      <w:pPr>
        <w:spacing w:line="360" w:lineRule="auto"/>
        <w:jc w:val="center"/>
        <w:outlineLvl w:val="9"/>
        <w:rPr>
          <w:rFonts w:ascii="方正仿宋_GB2312" w:hAnsi="方正仿宋_GB2312" w:eastAsia="方正仿宋_GB2312" w:cs="方正仿宋_GB2312"/>
          <w:sz w:val="24"/>
          <w:szCs w:val="24"/>
          <w:highlight w:val="none"/>
        </w:rPr>
      </w:pPr>
      <w:bookmarkStart w:id="1176" w:name="_Toc5844"/>
      <w:bookmarkStart w:id="1177" w:name="_Toc21685"/>
    </w:p>
    <w:p>
      <w:pPr>
        <w:spacing w:line="360" w:lineRule="auto"/>
        <w:jc w:val="center"/>
        <w:outlineLvl w:val="9"/>
        <w:rPr>
          <w:rFonts w:ascii="方正仿宋_GB2312" w:hAnsi="方正仿宋_GB2312" w:eastAsia="方正仿宋_GB2312" w:cs="方正仿宋_GB2312"/>
          <w:b/>
          <w:bCs/>
          <w:sz w:val="24"/>
          <w:szCs w:val="24"/>
          <w:highlight w:val="none"/>
        </w:rPr>
      </w:pPr>
      <w:bookmarkStart w:id="1178" w:name="_Toc8837"/>
      <w:r>
        <w:rPr>
          <w:rFonts w:hint="eastAsia" w:ascii="方正仿宋_GB2312" w:hAnsi="方正仿宋_GB2312" w:eastAsia="方正仿宋_GB2312" w:cs="方正仿宋_GB2312"/>
          <w:b/>
          <w:bCs/>
          <w:sz w:val="24"/>
          <w:szCs w:val="24"/>
          <w:highlight w:val="none"/>
        </w:rPr>
        <w:t>十一、招标文件要求提交的其他资料及供应商认为有必要提供的其他资料</w:t>
      </w:r>
      <w:bookmarkEnd w:id="1178"/>
    </w:p>
    <w:p>
      <w:pPr>
        <w:snapToGrid w:val="0"/>
        <w:spacing w:line="360" w:lineRule="auto"/>
        <w:jc w:val="center"/>
        <w:outlineLvl w:val="9"/>
        <w:rPr>
          <w:rFonts w:ascii="方正仿宋_GB2312" w:hAnsi="方正仿宋_GB2312" w:eastAsia="方正仿宋_GB2312" w:cs="方正仿宋_GB2312"/>
          <w:b/>
          <w:bCs/>
          <w:sz w:val="24"/>
          <w:szCs w:val="24"/>
          <w:highlight w:val="none"/>
        </w:rPr>
      </w:pPr>
      <w:bookmarkStart w:id="1179" w:name="_Toc12193"/>
      <w:bookmarkStart w:id="1180" w:name="_Toc13125"/>
      <w:bookmarkStart w:id="1181" w:name="_Toc1793"/>
      <w:bookmarkStart w:id="1182" w:name="_Toc19762"/>
      <w:r>
        <w:rPr>
          <w:rFonts w:hint="eastAsia" w:ascii="方正仿宋_GB2312" w:hAnsi="方正仿宋_GB2312" w:eastAsia="方正仿宋_GB2312" w:cs="方正仿宋_GB2312"/>
          <w:b/>
          <w:bCs/>
          <w:sz w:val="24"/>
          <w:szCs w:val="24"/>
          <w:highlight w:val="none"/>
        </w:rPr>
        <w:t>格式自拟，附彩色扫描件，具体详见供应商须知前附表和总则</w:t>
      </w:r>
      <w:bookmarkEnd w:id="1179"/>
      <w:bookmarkEnd w:id="1180"/>
      <w:bookmarkEnd w:id="1181"/>
      <w:bookmarkEnd w:id="1182"/>
    </w:p>
    <w:p>
      <w:pPr>
        <w:spacing w:line="360" w:lineRule="auto"/>
        <w:jc w:val="center"/>
        <w:rPr>
          <w:rFonts w:ascii="方正仿宋_GB2312" w:hAnsi="方正仿宋_GB2312" w:eastAsia="方正仿宋_GB2312" w:cs="方正仿宋_GB2312"/>
          <w:b/>
          <w:sz w:val="24"/>
          <w:szCs w:val="24"/>
          <w:highlight w:val="none"/>
        </w:rPr>
      </w:pPr>
    </w:p>
    <w:bookmarkEnd w:id="1155"/>
    <w:bookmarkEnd w:id="1176"/>
    <w:bookmarkEnd w:id="1177"/>
    <w:p>
      <w:pPr>
        <w:spacing w:line="360" w:lineRule="auto"/>
        <w:rPr>
          <w:rFonts w:ascii="仿宋" w:hAnsi="仿宋" w:eastAsia="仿宋" w:cs="仿宋"/>
          <w:b/>
          <w:sz w:val="24"/>
          <w:szCs w:val="24"/>
          <w:highlight w:val="none"/>
        </w:rPr>
      </w:pPr>
      <w:bookmarkStart w:id="1183" w:name="_Toc10411"/>
      <w:bookmarkStart w:id="1184" w:name="_Toc21717"/>
      <w:bookmarkStart w:id="1185" w:name="_Toc49273743"/>
    </w:p>
    <w:p>
      <w:pPr>
        <w:spacing w:line="360" w:lineRule="auto"/>
        <w:jc w:val="center"/>
        <w:rPr>
          <w:rFonts w:ascii="仿宋" w:hAnsi="仿宋" w:eastAsia="仿宋" w:cs="仿宋"/>
          <w:b/>
          <w:sz w:val="24"/>
          <w:szCs w:val="24"/>
          <w:highlight w:val="none"/>
        </w:rPr>
      </w:pPr>
      <w:bookmarkStart w:id="1186" w:name="_Toc31405"/>
      <w:bookmarkStart w:id="1187" w:name="_Toc24757"/>
    </w:p>
    <w:bookmarkEnd w:id="1183"/>
    <w:bookmarkEnd w:id="1184"/>
    <w:bookmarkEnd w:id="1185"/>
    <w:bookmarkEnd w:id="1186"/>
    <w:bookmarkEnd w:id="1187"/>
    <w:p>
      <w:pPr>
        <w:spacing w:line="360" w:lineRule="auto"/>
        <w:rPr>
          <w:rFonts w:ascii="仿宋" w:hAnsi="仿宋" w:eastAsia="仿宋" w:cs="仿宋"/>
          <w:sz w:val="24"/>
          <w:szCs w:val="24"/>
          <w:highlight w:val="none"/>
        </w:rPr>
      </w:pPr>
    </w:p>
    <w:p>
      <w:pPr>
        <w:spacing w:line="360" w:lineRule="auto"/>
        <w:jc w:val="left"/>
        <w:outlineLvl w:val="1"/>
        <w:rPr>
          <w:rFonts w:hint="eastAsia" w:ascii="方正小标宋简体" w:hAnsi="方正小标宋简体" w:eastAsia="方正小标宋简体" w:cs="方正小标宋简体"/>
          <w:b/>
          <w:sz w:val="36"/>
          <w:szCs w:val="36"/>
          <w:highlight w:val="none"/>
          <w:lang w:eastAsia="zh-CN"/>
        </w:rPr>
      </w:pPr>
      <w:bookmarkStart w:id="1188" w:name="_Toc21256"/>
      <w:bookmarkStart w:id="1189" w:name="_Toc31506"/>
      <w:bookmarkStart w:id="1190" w:name="_Toc21791"/>
      <w:bookmarkStart w:id="1191" w:name="_Toc19487"/>
      <w:bookmarkStart w:id="1192" w:name="_Toc7154"/>
      <w:bookmarkStart w:id="1193" w:name="_Toc17798"/>
      <w:bookmarkStart w:id="1194" w:name="_Toc49273744"/>
      <w:r>
        <w:rPr>
          <w:rFonts w:hint="eastAsia" w:ascii="方正小标宋简体" w:hAnsi="方正小标宋简体" w:eastAsia="方正小标宋简体" w:cs="方正小标宋简体"/>
          <w:b/>
          <w:sz w:val="36"/>
          <w:szCs w:val="36"/>
          <w:highlight w:val="none"/>
        </w:rPr>
        <w:t>（二）报价部分</w:t>
      </w:r>
      <w:bookmarkEnd w:id="1188"/>
      <w:bookmarkEnd w:id="1189"/>
      <w:bookmarkEnd w:id="1190"/>
      <w:bookmarkEnd w:id="1191"/>
      <w:bookmarkEnd w:id="1192"/>
      <w:r>
        <w:rPr>
          <w:rFonts w:hint="eastAsia" w:ascii="方正小标宋简体" w:hAnsi="方正小标宋简体" w:eastAsia="方正小标宋简体" w:cs="方正小标宋简体"/>
          <w:b/>
          <w:sz w:val="36"/>
          <w:szCs w:val="36"/>
          <w:highlight w:val="none"/>
          <w:lang w:eastAsia="zh-CN"/>
        </w:rPr>
        <w:t>：</w:t>
      </w:r>
      <w:bookmarkEnd w:id="1193"/>
    </w:p>
    <w:p>
      <w:pPr>
        <w:spacing w:line="360" w:lineRule="auto"/>
        <w:jc w:val="center"/>
        <w:rPr>
          <w:rFonts w:ascii="仿宋" w:hAnsi="仿宋" w:eastAsia="仿宋" w:cs="仿宋"/>
          <w:b/>
          <w:sz w:val="24"/>
          <w:szCs w:val="24"/>
          <w:highlight w:val="none"/>
        </w:rPr>
      </w:pPr>
      <w:bookmarkStart w:id="1195" w:name="_Toc7603"/>
    </w:p>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仿宋" w:hAnsi="仿宋" w:eastAsia="仿宋" w:cs="仿宋"/>
          <w:b/>
          <w:sz w:val="24"/>
          <w:szCs w:val="24"/>
          <w:highlight w:val="none"/>
        </w:rPr>
        <w:t>一、</w:t>
      </w:r>
      <w:r>
        <w:rPr>
          <w:rFonts w:hint="eastAsia" w:ascii="方正仿宋_GB2312" w:hAnsi="方正仿宋_GB2312" w:eastAsia="方正仿宋_GB2312" w:cs="方正仿宋_GB2312"/>
          <w:b/>
          <w:sz w:val="24"/>
          <w:szCs w:val="24"/>
          <w:highlight w:val="none"/>
        </w:rPr>
        <w:t>报价一览表</w:t>
      </w:r>
      <w:bookmarkEnd w:id="1195"/>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项目名称：               </w:t>
      </w:r>
    </w:p>
    <w:p>
      <w:pPr>
        <w:spacing w:line="360" w:lineRule="auto"/>
        <w:outlineLvl w:val="9"/>
        <w:rPr>
          <w:rFonts w:ascii="方正仿宋_GB2312" w:hAnsi="方正仿宋_GB2312" w:eastAsia="方正仿宋_GB2312" w:cs="方正仿宋_GB2312"/>
          <w:sz w:val="24"/>
          <w:szCs w:val="24"/>
          <w:highlight w:val="none"/>
          <w:u w:val="single"/>
        </w:rPr>
      </w:pPr>
      <w:r>
        <w:rPr>
          <w:rFonts w:hint="eastAsia" w:ascii="方正仿宋_GB2312" w:hAnsi="方正仿宋_GB2312" w:eastAsia="方正仿宋_GB2312" w:cs="方正仿宋_GB2312"/>
          <w:sz w:val="24"/>
          <w:szCs w:val="24"/>
          <w:highlight w:val="none"/>
        </w:rPr>
        <w:t>项目编号：</w:t>
      </w:r>
      <w:r>
        <w:rPr>
          <w:rFonts w:hint="eastAsia" w:ascii="方正仿宋_GB2312" w:hAnsi="方正仿宋_GB2312" w:eastAsia="方正仿宋_GB2312" w:cs="方正仿宋_GB2312"/>
          <w:sz w:val="24"/>
          <w:szCs w:val="24"/>
          <w:highlight w:val="none"/>
          <w:u w:val="single"/>
        </w:rPr>
        <w:t xml:space="preserve"> </w:t>
      </w:r>
    </w:p>
    <w:tbl>
      <w:tblPr>
        <w:tblStyle w:val="16"/>
        <w:tblW w:w="9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842"/>
        <w:gridCol w:w="65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jc w:val="center"/>
        </w:trPr>
        <w:tc>
          <w:tcPr>
            <w:tcW w:w="752"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序号</w:t>
            </w:r>
          </w:p>
        </w:tc>
        <w:tc>
          <w:tcPr>
            <w:tcW w:w="1842" w:type="dxa"/>
            <w:vAlign w:val="center"/>
          </w:tcPr>
          <w:p>
            <w:pPr>
              <w:spacing w:line="360" w:lineRule="auto"/>
              <w:ind w:firstLine="2" w:firstLineChars="1"/>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项目</w:t>
            </w:r>
          </w:p>
        </w:tc>
        <w:tc>
          <w:tcPr>
            <w:tcW w:w="6561" w:type="dxa"/>
            <w:vAlign w:val="center"/>
          </w:tcPr>
          <w:p>
            <w:pPr>
              <w:spacing w:line="360" w:lineRule="auto"/>
              <w:ind w:firstLine="2" w:firstLineChars="1"/>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3" w:hRule="atLeast"/>
          <w:jc w:val="center"/>
        </w:trPr>
        <w:tc>
          <w:tcPr>
            <w:tcW w:w="752"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w:t>
            </w:r>
          </w:p>
        </w:tc>
        <w:tc>
          <w:tcPr>
            <w:tcW w:w="1842" w:type="dxa"/>
            <w:vAlign w:val="center"/>
          </w:tcPr>
          <w:p>
            <w:pPr>
              <w:spacing w:line="360" w:lineRule="auto"/>
              <w:ind w:firstLine="2" w:firstLineChars="1"/>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报价</w:t>
            </w:r>
          </w:p>
        </w:tc>
        <w:tc>
          <w:tcPr>
            <w:tcW w:w="6561" w:type="dxa"/>
            <w:vAlign w:val="center"/>
          </w:tcPr>
          <w:p>
            <w:pPr>
              <w:spacing w:line="360" w:lineRule="auto"/>
              <w:ind w:firstLine="2" w:firstLineChars="1"/>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小写：</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元</w:t>
            </w:r>
          </w:p>
          <w:p>
            <w:pPr>
              <w:spacing w:line="360" w:lineRule="auto"/>
              <w:ind w:firstLine="2" w:firstLineChars="1"/>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大写：</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 xml:space="preserve">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 w:hRule="atLeast"/>
          <w:jc w:val="center"/>
        </w:trPr>
        <w:tc>
          <w:tcPr>
            <w:tcW w:w="752"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w:t>
            </w:r>
          </w:p>
        </w:tc>
        <w:tc>
          <w:tcPr>
            <w:tcW w:w="1842" w:type="dxa"/>
            <w:vAlign w:val="center"/>
          </w:tcPr>
          <w:p>
            <w:pPr>
              <w:spacing w:line="360" w:lineRule="auto"/>
              <w:ind w:firstLine="2" w:firstLineChars="1"/>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供货期</w:t>
            </w:r>
          </w:p>
        </w:tc>
        <w:tc>
          <w:tcPr>
            <w:tcW w:w="6561" w:type="dxa"/>
            <w:vAlign w:val="center"/>
          </w:tcPr>
          <w:p>
            <w:pPr>
              <w:spacing w:line="360" w:lineRule="auto"/>
              <w:ind w:firstLine="2" w:firstLineChars="1"/>
              <w:jc w:val="center"/>
              <w:outlineLvl w:val="9"/>
              <w:rPr>
                <w:rFonts w:ascii="方正仿宋_GB2312" w:hAnsi="方正仿宋_GB2312" w:eastAsia="方正仿宋_GB2312" w:cs="方正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3" w:hRule="atLeast"/>
          <w:jc w:val="center"/>
        </w:trPr>
        <w:tc>
          <w:tcPr>
            <w:tcW w:w="752"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w:t>
            </w:r>
          </w:p>
        </w:tc>
        <w:tc>
          <w:tcPr>
            <w:tcW w:w="1842" w:type="dxa"/>
            <w:vAlign w:val="center"/>
          </w:tcPr>
          <w:p>
            <w:pPr>
              <w:spacing w:line="360" w:lineRule="auto"/>
              <w:ind w:firstLine="2" w:firstLineChars="1"/>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质量承诺</w:t>
            </w:r>
          </w:p>
        </w:tc>
        <w:tc>
          <w:tcPr>
            <w:tcW w:w="6561" w:type="dxa"/>
            <w:vAlign w:val="center"/>
          </w:tcPr>
          <w:p>
            <w:pPr>
              <w:spacing w:line="360" w:lineRule="auto"/>
              <w:ind w:firstLine="2" w:firstLineChars="1"/>
              <w:jc w:val="center"/>
              <w:outlineLvl w:val="9"/>
              <w:rPr>
                <w:rFonts w:ascii="方正仿宋_GB2312" w:hAnsi="方正仿宋_GB2312" w:eastAsia="方正仿宋_GB2312" w:cs="方正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3" w:hRule="atLeast"/>
          <w:jc w:val="center"/>
        </w:trPr>
        <w:tc>
          <w:tcPr>
            <w:tcW w:w="752"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w:t>
            </w:r>
          </w:p>
        </w:tc>
        <w:tc>
          <w:tcPr>
            <w:tcW w:w="1842" w:type="dxa"/>
            <w:vAlign w:val="center"/>
          </w:tcPr>
          <w:p>
            <w:pPr>
              <w:spacing w:line="360" w:lineRule="auto"/>
              <w:ind w:firstLine="2" w:firstLineChars="1"/>
              <w:jc w:val="center"/>
              <w:outlineLvl w:val="9"/>
              <w:rPr>
                <w:rFonts w:hint="eastAsia" w:ascii="方正仿宋_GB2312" w:hAnsi="方正仿宋_GB2312" w:eastAsia="方正仿宋_GB2312" w:cs="方正仿宋_GB2312"/>
                <w:sz w:val="24"/>
                <w:szCs w:val="24"/>
                <w:highlight w:val="none"/>
                <w:lang w:eastAsia="zh-CN"/>
              </w:rPr>
            </w:pPr>
            <w:r>
              <w:rPr>
                <w:rFonts w:hint="eastAsia" w:ascii="方正仿宋_GB2312" w:hAnsi="方正仿宋_GB2312" w:eastAsia="方正仿宋_GB2312" w:cs="方正仿宋_GB2312"/>
                <w:sz w:val="24"/>
                <w:szCs w:val="24"/>
                <w:highlight w:val="none"/>
                <w:lang w:val="en-US" w:eastAsia="zh-CN"/>
              </w:rPr>
              <w:t>质保期</w:t>
            </w:r>
          </w:p>
        </w:tc>
        <w:tc>
          <w:tcPr>
            <w:tcW w:w="6561" w:type="dxa"/>
            <w:vAlign w:val="center"/>
          </w:tcPr>
          <w:p>
            <w:pPr>
              <w:spacing w:line="360" w:lineRule="auto"/>
              <w:ind w:firstLine="2" w:firstLineChars="1"/>
              <w:jc w:val="center"/>
              <w:outlineLvl w:val="9"/>
              <w:rPr>
                <w:rFonts w:ascii="方正仿宋_GB2312" w:hAnsi="方正仿宋_GB2312" w:eastAsia="方正仿宋_GB2312" w:cs="方正仿宋_GB2312"/>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752" w:type="dxa"/>
            <w:vAlign w:val="center"/>
          </w:tcPr>
          <w:p>
            <w:pPr>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w:t>
            </w:r>
          </w:p>
        </w:tc>
        <w:tc>
          <w:tcPr>
            <w:tcW w:w="1842" w:type="dxa"/>
            <w:vAlign w:val="center"/>
          </w:tcPr>
          <w:p>
            <w:pPr>
              <w:spacing w:line="360" w:lineRule="auto"/>
              <w:ind w:firstLine="2" w:firstLineChars="1"/>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备注</w:t>
            </w:r>
          </w:p>
        </w:tc>
        <w:tc>
          <w:tcPr>
            <w:tcW w:w="6561" w:type="dxa"/>
            <w:vAlign w:val="center"/>
          </w:tcPr>
          <w:p>
            <w:pPr>
              <w:spacing w:line="360" w:lineRule="auto"/>
              <w:ind w:firstLine="2" w:firstLineChars="1"/>
              <w:jc w:val="center"/>
              <w:outlineLvl w:val="9"/>
              <w:rPr>
                <w:rFonts w:ascii="方正仿宋_GB2312" w:hAnsi="方正仿宋_GB2312" w:eastAsia="方正仿宋_GB2312" w:cs="方正仿宋_GB2312"/>
                <w:sz w:val="24"/>
                <w:szCs w:val="24"/>
                <w:highlight w:val="none"/>
              </w:rPr>
            </w:pPr>
          </w:p>
        </w:tc>
      </w:tr>
    </w:tbl>
    <w:p>
      <w:pPr>
        <w:spacing w:line="360" w:lineRule="auto"/>
        <w:outlineLvl w:val="9"/>
        <w:rPr>
          <w:rFonts w:ascii="方正仿宋_GB2312" w:hAnsi="方正仿宋_GB2312" w:eastAsia="方正仿宋_GB2312" w:cs="方正仿宋_GB2312"/>
          <w:b/>
          <w:sz w:val="24"/>
          <w:szCs w:val="24"/>
          <w:highlight w:val="none"/>
        </w:rPr>
      </w:pPr>
    </w:p>
    <w:p>
      <w:pPr>
        <w:spacing w:line="360" w:lineRule="auto"/>
        <w:outlineLvl w:val="9"/>
        <w:rPr>
          <w:rFonts w:ascii="方正仿宋_GB2312" w:hAnsi="方正仿宋_GB2312" w:eastAsia="方正仿宋_GB2312" w:cs="方正仿宋_GB2312"/>
          <w:b/>
          <w:sz w:val="24"/>
          <w:szCs w:val="24"/>
          <w:highlight w:val="none"/>
        </w:rPr>
      </w:pP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法定代表人或其委托代理人：</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日期 ：</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日</w:t>
      </w:r>
    </w:p>
    <w:p>
      <w:pPr>
        <w:ind w:firstLine="420" w:firstLineChars="200"/>
        <w:jc w:val="center"/>
        <w:outlineLvl w:val="9"/>
        <w:rPr>
          <w:rFonts w:ascii="方正仿宋_GB2312" w:hAnsi="方正仿宋_GB2312" w:eastAsia="方正仿宋_GB2312" w:cs="方正仿宋_GB2312"/>
          <w:szCs w:val="24"/>
          <w:highlight w:val="none"/>
        </w:rPr>
      </w:pPr>
      <w:r>
        <w:rPr>
          <w:rFonts w:hint="eastAsia" w:ascii="仿宋" w:hAnsi="仿宋" w:eastAsia="仿宋" w:cs="仿宋"/>
          <w:szCs w:val="24"/>
          <w:highlight w:val="none"/>
        </w:rPr>
        <w:br w:type="page"/>
      </w:r>
      <w:bookmarkEnd w:id="1194"/>
      <w:bookmarkStart w:id="1196" w:name="_Toc5461"/>
      <w:bookmarkStart w:id="1197" w:name="_Toc3683"/>
      <w:bookmarkStart w:id="1198" w:name="_Toc25591"/>
      <w:r>
        <w:rPr>
          <w:rFonts w:hint="eastAsia" w:ascii="方正仿宋_GB2312" w:hAnsi="方正仿宋_GB2312" w:eastAsia="方正仿宋_GB2312" w:cs="方正仿宋_GB2312"/>
          <w:b/>
          <w:bCs/>
          <w:sz w:val="24"/>
          <w:szCs w:val="24"/>
          <w:highlight w:val="none"/>
        </w:rPr>
        <w:t>二、已标价采购清单</w:t>
      </w:r>
    </w:p>
    <w:p>
      <w:pPr>
        <w:spacing w:before="4"/>
        <w:outlineLvl w:val="9"/>
        <w:rPr>
          <w:rFonts w:ascii="方正仿宋_GB2312" w:hAnsi="方正仿宋_GB2312" w:eastAsia="方正仿宋_GB2312" w:cs="方正仿宋_GB2312"/>
          <w:b/>
          <w:sz w:val="9"/>
          <w:highlight w:val="none"/>
        </w:rPr>
      </w:pPr>
    </w:p>
    <w:tbl>
      <w:tblPr>
        <w:tblStyle w:val="16"/>
        <w:tblW w:w="8893" w:type="dxa"/>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1303"/>
        <w:gridCol w:w="937"/>
        <w:gridCol w:w="788"/>
        <w:gridCol w:w="675"/>
        <w:gridCol w:w="1358"/>
        <w:gridCol w:w="949"/>
        <w:gridCol w:w="641"/>
        <w:gridCol w:w="680"/>
        <w:gridCol w:w="10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0" w:hRule="atLeast"/>
        </w:trPr>
        <w:tc>
          <w:tcPr>
            <w:tcW w:w="562" w:type="dxa"/>
          </w:tcPr>
          <w:p>
            <w:pPr>
              <w:spacing w:before="97" w:line="278" w:lineRule="auto"/>
              <w:ind w:left="175" w:right="163"/>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序号</w:t>
            </w:r>
          </w:p>
        </w:tc>
        <w:tc>
          <w:tcPr>
            <w:tcW w:w="1303" w:type="dxa"/>
          </w:tcPr>
          <w:p>
            <w:pPr>
              <w:spacing w:before="9"/>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产品类别和名称</w:t>
            </w:r>
          </w:p>
        </w:tc>
        <w:tc>
          <w:tcPr>
            <w:tcW w:w="937" w:type="dxa"/>
          </w:tcPr>
          <w:p>
            <w:pPr>
              <w:spacing w:before="9"/>
              <w:outlineLvl w:val="9"/>
              <w:rPr>
                <w:rFonts w:ascii="方正仿宋_GB2312" w:hAnsi="方正仿宋_GB2312" w:eastAsia="方正仿宋_GB2312" w:cs="方正仿宋_GB2312"/>
                <w:sz w:val="24"/>
                <w:szCs w:val="24"/>
                <w:highlight w:val="none"/>
              </w:rPr>
            </w:pPr>
          </w:p>
          <w:p>
            <w:pPr>
              <w:ind w:left="141"/>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规格</w:t>
            </w:r>
          </w:p>
        </w:tc>
        <w:tc>
          <w:tcPr>
            <w:tcW w:w="788" w:type="dxa"/>
          </w:tcPr>
          <w:p>
            <w:pPr>
              <w:spacing w:before="9"/>
              <w:outlineLvl w:val="9"/>
              <w:rPr>
                <w:rFonts w:ascii="方正仿宋_GB2312" w:hAnsi="方正仿宋_GB2312" w:eastAsia="方正仿宋_GB2312" w:cs="方正仿宋_GB2312"/>
                <w:sz w:val="24"/>
                <w:szCs w:val="24"/>
                <w:highlight w:val="none"/>
              </w:rPr>
            </w:pPr>
          </w:p>
          <w:p>
            <w:pPr>
              <w:ind w:left="141"/>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品牌</w:t>
            </w:r>
          </w:p>
        </w:tc>
        <w:tc>
          <w:tcPr>
            <w:tcW w:w="675" w:type="dxa"/>
          </w:tcPr>
          <w:p>
            <w:pPr>
              <w:spacing w:before="9"/>
              <w:outlineLvl w:val="9"/>
              <w:rPr>
                <w:rFonts w:ascii="方正仿宋_GB2312" w:hAnsi="方正仿宋_GB2312" w:eastAsia="方正仿宋_GB2312" w:cs="方正仿宋_GB2312"/>
                <w:sz w:val="24"/>
                <w:szCs w:val="24"/>
                <w:highlight w:val="none"/>
              </w:rPr>
            </w:pPr>
          </w:p>
          <w:p>
            <w:pPr>
              <w:ind w:left="142"/>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型号</w:t>
            </w:r>
          </w:p>
        </w:tc>
        <w:tc>
          <w:tcPr>
            <w:tcW w:w="1358" w:type="dxa"/>
          </w:tcPr>
          <w:p>
            <w:pPr>
              <w:spacing w:before="9"/>
              <w:jc w:val="center"/>
              <w:outlineLvl w:val="9"/>
              <w:rPr>
                <w:rFonts w:ascii="方正仿宋_GB2312" w:hAnsi="方正仿宋_GB2312" w:eastAsia="方正仿宋_GB2312" w:cs="方正仿宋_GB2312"/>
                <w:sz w:val="24"/>
                <w:szCs w:val="24"/>
                <w:highlight w:val="none"/>
              </w:rPr>
            </w:pPr>
          </w:p>
          <w:p>
            <w:pPr>
              <w:spacing w:before="9"/>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产品技术参数</w:t>
            </w:r>
          </w:p>
        </w:tc>
        <w:tc>
          <w:tcPr>
            <w:tcW w:w="949" w:type="dxa"/>
          </w:tcPr>
          <w:p>
            <w:pPr>
              <w:spacing w:before="9"/>
              <w:jc w:val="center"/>
              <w:outlineLvl w:val="9"/>
              <w:rPr>
                <w:rFonts w:ascii="方正仿宋_GB2312" w:hAnsi="方正仿宋_GB2312" w:eastAsia="方正仿宋_GB2312" w:cs="方正仿宋_GB2312"/>
                <w:sz w:val="24"/>
                <w:szCs w:val="24"/>
                <w:highlight w:val="none"/>
              </w:rPr>
            </w:pPr>
          </w:p>
          <w:p>
            <w:pPr>
              <w:spacing w:before="9"/>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数量</w:t>
            </w:r>
          </w:p>
        </w:tc>
        <w:tc>
          <w:tcPr>
            <w:tcW w:w="641" w:type="dxa"/>
          </w:tcPr>
          <w:p>
            <w:pPr>
              <w:spacing w:before="9"/>
              <w:outlineLvl w:val="9"/>
              <w:rPr>
                <w:rFonts w:ascii="方正仿宋_GB2312" w:hAnsi="方正仿宋_GB2312" w:eastAsia="方正仿宋_GB2312" w:cs="方正仿宋_GB2312"/>
                <w:sz w:val="24"/>
                <w:szCs w:val="24"/>
                <w:highlight w:val="none"/>
              </w:rPr>
            </w:pPr>
          </w:p>
          <w:p>
            <w:pPr>
              <w:ind w:left="142"/>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单位</w:t>
            </w:r>
          </w:p>
        </w:tc>
        <w:tc>
          <w:tcPr>
            <w:tcW w:w="680" w:type="dxa"/>
          </w:tcPr>
          <w:p>
            <w:pPr>
              <w:spacing w:before="9"/>
              <w:outlineLvl w:val="9"/>
              <w:rPr>
                <w:rFonts w:ascii="方正仿宋_GB2312" w:hAnsi="方正仿宋_GB2312" w:eastAsia="方正仿宋_GB2312" w:cs="方正仿宋_GB2312"/>
                <w:sz w:val="24"/>
                <w:szCs w:val="24"/>
                <w:highlight w:val="none"/>
              </w:rPr>
            </w:pPr>
          </w:p>
          <w:p>
            <w:pPr>
              <w:ind w:left="143"/>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单价</w:t>
            </w:r>
          </w:p>
        </w:tc>
        <w:tc>
          <w:tcPr>
            <w:tcW w:w="1000" w:type="dxa"/>
          </w:tcPr>
          <w:p>
            <w:pPr>
              <w:spacing w:before="22" w:line="278" w:lineRule="auto"/>
              <w:ind w:left="146" w:right="130" w:firstLine="52"/>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制造商/ 生产厂家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3" w:hRule="atLeast"/>
        </w:trPr>
        <w:tc>
          <w:tcPr>
            <w:tcW w:w="562" w:type="dxa"/>
          </w:tcPr>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spacing w:before="8"/>
              <w:outlineLvl w:val="9"/>
              <w:rPr>
                <w:rFonts w:ascii="方正仿宋_GB2312" w:hAnsi="方正仿宋_GB2312" w:eastAsia="方正仿宋_GB2312" w:cs="方正仿宋_GB2312"/>
                <w:sz w:val="24"/>
                <w:szCs w:val="24"/>
                <w:highlight w:val="none"/>
              </w:rPr>
            </w:pPr>
          </w:p>
          <w:p>
            <w:pPr>
              <w:ind w:left="228"/>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w:t>
            </w:r>
          </w:p>
        </w:tc>
        <w:tc>
          <w:tcPr>
            <w:tcW w:w="1303" w:type="dxa"/>
          </w:tcPr>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spacing w:line="269" w:lineRule="exact"/>
              <w:ind w:left="177"/>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outlineLvl w:val="9"/>
              <w:rPr>
                <w:rFonts w:ascii="方正仿宋_GB2312" w:hAnsi="方正仿宋_GB2312" w:eastAsia="方正仿宋_GB2312" w:cs="方正仿宋_GB2312"/>
                <w:sz w:val="24"/>
                <w:szCs w:val="24"/>
                <w:highlight w:val="none"/>
              </w:rPr>
            </w:pPr>
          </w:p>
          <w:p>
            <w:pPr>
              <w:spacing w:before="8"/>
              <w:outlineLvl w:val="9"/>
              <w:rPr>
                <w:rFonts w:ascii="方正仿宋_GB2312" w:hAnsi="方正仿宋_GB2312" w:eastAsia="方正仿宋_GB2312" w:cs="方正仿宋_GB2312"/>
                <w:sz w:val="24"/>
                <w:szCs w:val="24"/>
                <w:highlight w:val="none"/>
              </w:rPr>
            </w:pPr>
          </w:p>
          <w:p>
            <w:pPr>
              <w:ind w:left="43" w:right="31"/>
              <w:jc w:val="center"/>
              <w:outlineLvl w:val="9"/>
              <w:rPr>
                <w:rFonts w:ascii="方正仿宋_GB2312" w:hAnsi="方正仿宋_GB2312" w:eastAsia="方正仿宋_GB2312" w:cs="方正仿宋_GB2312"/>
                <w:sz w:val="24"/>
                <w:szCs w:val="24"/>
                <w:highlight w:val="none"/>
              </w:rPr>
            </w:pPr>
          </w:p>
        </w:tc>
        <w:tc>
          <w:tcPr>
            <w:tcW w:w="937" w:type="dxa"/>
          </w:tcPr>
          <w:p>
            <w:pPr>
              <w:outlineLvl w:val="9"/>
              <w:rPr>
                <w:rFonts w:ascii="方正仿宋_GB2312" w:hAnsi="方正仿宋_GB2312" w:eastAsia="方正仿宋_GB2312" w:cs="方正仿宋_GB2312"/>
                <w:sz w:val="24"/>
                <w:szCs w:val="24"/>
                <w:highlight w:val="none"/>
              </w:rPr>
            </w:pPr>
          </w:p>
        </w:tc>
        <w:tc>
          <w:tcPr>
            <w:tcW w:w="788" w:type="dxa"/>
          </w:tcPr>
          <w:p>
            <w:pPr>
              <w:outlineLvl w:val="9"/>
              <w:rPr>
                <w:rFonts w:ascii="方正仿宋_GB2312" w:hAnsi="方正仿宋_GB2312" w:eastAsia="方正仿宋_GB2312" w:cs="方正仿宋_GB2312"/>
                <w:sz w:val="24"/>
                <w:szCs w:val="24"/>
                <w:highlight w:val="none"/>
              </w:rPr>
            </w:pPr>
          </w:p>
        </w:tc>
        <w:tc>
          <w:tcPr>
            <w:tcW w:w="675" w:type="dxa"/>
          </w:tcPr>
          <w:p>
            <w:pPr>
              <w:outlineLvl w:val="9"/>
              <w:rPr>
                <w:rFonts w:ascii="方正仿宋_GB2312" w:hAnsi="方正仿宋_GB2312" w:eastAsia="方正仿宋_GB2312" w:cs="方正仿宋_GB2312"/>
                <w:sz w:val="24"/>
                <w:szCs w:val="24"/>
                <w:highlight w:val="none"/>
              </w:rPr>
            </w:pPr>
          </w:p>
        </w:tc>
        <w:tc>
          <w:tcPr>
            <w:tcW w:w="1358" w:type="dxa"/>
          </w:tcPr>
          <w:p>
            <w:pPr>
              <w:outlineLvl w:val="9"/>
              <w:rPr>
                <w:rFonts w:ascii="方正仿宋_GB2312" w:hAnsi="方正仿宋_GB2312" w:eastAsia="方正仿宋_GB2312" w:cs="方正仿宋_GB2312"/>
                <w:sz w:val="24"/>
                <w:szCs w:val="24"/>
                <w:highlight w:val="none"/>
              </w:rPr>
            </w:pPr>
          </w:p>
        </w:tc>
        <w:tc>
          <w:tcPr>
            <w:tcW w:w="949" w:type="dxa"/>
          </w:tcPr>
          <w:p>
            <w:pPr>
              <w:outlineLvl w:val="9"/>
              <w:rPr>
                <w:rFonts w:ascii="方正仿宋_GB2312" w:hAnsi="方正仿宋_GB2312" w:eastAsia="方正仿宋_GB2312" w:cs="方正仿宋_GB2312"/>
                <w:sz w:val="24"/>
                <w:szCs w:val="24"/>
                <w:highlight w:val="none"/>
              </w:rPr>
            </w:pPr>
          </w:p>
        </w:tc>
        <w:tc>
          <w:tcPr>
            <w:tcW w:w="641" w:type="dxa"/>
          </w:tcPr>
          <w:p>
            <w:pPr>
              <w:outlineLvl w:val="9"/>
              <w:rPr>
                <w:rFonts w:ascii="方正仿宋_GB2312" w:hAnsi="方正仿宋_GB2312" w:eastAsia="方正仿宋_GB2312" w:cs="方正仿宋_GB2312"/>
                <w:sz w:val="24"/>
                <w:szCs w:val="24"/>
                <w:highlight w:val="none"/>
              </w:rPr>
            </w:pPr>
          </w:p>
        </w:tc>
        <w:tc>
          <w:tcPr>
            <w:tcW w:w="680" w:type="dxa"/>
          </w:tcPr>
          <w:p>
            <w:pPr>
              <w:outlineLvl w:val="9"/>
              <w:rPr>
                <w:rFonts w:ascii="方正仿宋_GB2312" w:hAnsi="方正仿宋_GB2312" w:eastAsia="方正仿宋_GB2312" w:cs="方正仿宋_GB2312"/>
                <w:sz w:val="24"/>
                <w:szCs w:val="24"/>
                <w:highlight w:val="none"/>
              </w:rPr>
            </w:pPr>
          </w:p>
        </w:tc>
        <w:tc>
          <w:tcPr>
            <w:tcW w:w="1000" w:type="dxa"/>
          </w:tcPr>
          <w:p>
            <w:pPr>
              <w:outlineLvl w:val="9"/>
              <w:rPr>
                <w:rFonts w:ascii="方正仿宋_GB2312" w:hAnsi="方正仿宋_GB2312" w:eastAsia="方正仿宋_GB2312" w:cs="方正仿宋_GB2312"/>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4265" w:type="dxa"/>
            <w:gridSpan w:val="5"/>
          </w:tcPr>
          <w:p>
            <w:pPr>
              <w:spacing w:before="138"/>
              <w:ind w:right="1919"/>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合计（元）</w:t>
            </w:r>
          </w:p>
        </w:tc>
        <w:tc>
          <w:tcPr>
            <w:tcW w:w="4628" w:type="dxa"/>
            <w:gridSpan w:val="5"/>
          </w:tcPr>
          <w:p>
            <w:pPr>
              <w:outlineLvl w:val="9"/>
              <w:rPr>
                <w:rFonts w:ascii="方正仿宋_GB2312" w:hAnsi="方正仿宋_GB2312" w:eastAsia="方正仿宋_GB2312" w:cs="方正仿宋_GB2312"/>
                <w:sz w:val="24"/>
                <w:szCs w:val="24"/>
                <w:highlight w:val="none"/>
              </w:rPr>
            </w:pPr>
          </w:p>
        </w:tc>
      </w:tr>
    </w:tbl>
    <w:p>
      <w:pPr>
        <w:spacing w:before="8"/>
        <w:outlineLvl w:val="9"/>
        <w:rPr>
          <w:rFonts w:ascii="方正仿宋_GB2312" w:hAnsi="方正仿宋_GB2312" w:eastAsia="方正仿宋_GB2312" w:cs="方正仿宋_GB2312"/>
          <w:bCs/>
          <w:szCs w:val="24"/>
          <w:highlight w:val="none"/>
        </w:rPr>
      </w:pPr>
    </w:p>
    <w:p>
      <w:pPr>
        <w:spacing w:before="72"/>
        <w:ind w:left="193"/>
        <w:outlineLvl w:val="9"/>
        <w:rPr>
          <w:rFonts w:hint="eastAsia"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注：</w:t>
      </w:r>
      <w:r>
        <w:rPr>
          <w:rFonts w:hint="eastAsia" w:ascii="方正仿宋_GB2312" w:hAnsi="方正仿宋_GB2312" w:eastAsia="方正仿宋_GB2312" w:cs="方正仿宋_GB2312"/>
          <w:highlight w:val="none"/>
          <w:lang w:val="en-US" w:eastAsia="zh-CN"/>
        </w:rPr>
        <w:t>1.</w:t>
      </w:r>
      <w:r>
        <w:rPr>
          <w:rFonts w:hint="eastAsia" w:ascii="方正仿宋_GB2312" w:hAnsi="方正仿宋_GB2312" w:eastAsia="方正仿宋_GB2312" w:cs="方正仿宋_GB2312"/>
          <w:highlight w:val="none"/>
        </w:rPr>
        <w:t>此表格式，供应商可以根据实际情况进行填写，比如可以使用横版格式。</w:t>
      </w:r>
    </w:p>
    <w:p>
      <w:pPr>
        <w:spacing w:before="72"/>
        <w:ind w:left="193"/>
        <w:outlineLvl w:val="9"/>
        <w:rPr>
          <w:rFonts w:hint="default" w:ascii="方正仿宋_GB2312" w:hAnsi="方正仿宋_GB2312" w:eastAsia="方正仿宋_GB2312" w:cs="方正仿宋_GB2312"/>
          <w:highlight w:val="none"/>
          <w:lang w:val="en-US" w:eastAsia="zh-CN"/>
        </w:rPr>
      </w:pPr>
      <w:r>
        <w:rPr>
          <w:rFonts w:hint="eastAsia" w:ascii="方正仿宋_GB2312" w:hAnsi="方正仿宋_GB2312" w:eastAsia="方正仿宋_GB2312" w:cs="方正仿宋_GB2312"/>
          <w:highlight w:val="none"/>
          <w:lang w:val="en-US" w:eastAsia="zh-CN"/>
        </w:rPr>
        <w:t>2.投标人的报价（单价及总价）均不得超过预算金额、预算单价及最高限价！</w:t>
      </w:r>
    </w:p>
    <w:p>
      <w:pPr>
        <w:spacing w:line="360" w:lineRule="auto"/>
        <w:ind w:firstLine="2" w:firstLineChars="1"/>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firstLine="2" w:firstLineChars="1"/>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法定代表人或其委托代理人：</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日期 ：</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日</w:t>
      </w:r>
    </w:p>
    <w:p>
      <w:pPr>
        <w:spacing w:line="360" w:lineRule="auto"/>
        <w:jc w:val="center"/>
        <w:outlineLvl w:val="9"/>
        <w:rPr>
          <w:rFonts w:ascii="方正仿宋_GB2312" w:hAnsi="方正仿宋_GB2312" w:eastAsia="方正仿宋_GB2312" w:cs="方正仿宋_GB2312"/>
          <w:b/>
          <w:bCs/>
          <w:sz w:val="24"/>
          <w:szCs w:val="24"/>
          <w:highlight w:val="none"/>
        </w:rPr>
      </w:pPr>
      <w:r>
        <w:rPr>
          <w:rFonts w:hint="eastAsia" w:ascii="仿宋" w:hAnsi="仿宋" w:eastAsia="仿宋" w:cs="仿宋"/>
          <w:b/>
          <w:sz w:val="24"/>
          <w:szCs w:val="24"/>
          <w:highlight w:val="none"/>
        </w:rPr>
        <w:br w:type="page"/>
      </w:r>
      <w:r>
        <w:rPr>
          <w:rFonts w:hint="eastAsia" w:ascii="方正仿宋_GB2312" w:hAnsi="方正仿宋_GB2312" w:eastAsia="方正仿宋_GB2312" w:cs="方正仿宋_GB2312"/>
          <w:b/>
          <w:bCs/>
          <w:spacing w:val="6"/>
          <w:sz w:val="24"/>
          <w:szCs w:val="24"/>
          <w:highlight w:val="none"/>
        </w:rPr>
        <w:t>三</w:t>
      </w:r>
      <w:r>
        <w:rPr>
          <w:rFonts w:hint="eastAsia" w:ascii="方正仿宋_GB2312" w:hAnsi="方正仿宋_GB2312" w:eastAsia="方正仿宋_GB2312" w:cs="方正仿宋_GB2312"/>
          <w:b/>
          <w:bCs/>
          <w:sz w:val="24"/>
          <w:szCs w:val="24"/>
          <w:highlight w:val="none"/>
        </w:rPr>
        <w:t>、中小企业声明函</w:t>
      </w:r>
      <w:bookmarkEnd w:id="1196"/>
      <w:bookmarkEnd w:id="1197"/>
      <w:bookmarkEnd w:id="1198"/>
      <w:r>
        <w:rPr>
          <w:rFonts w:hint="eastAsia" w:ascii="方正仿宋_GB2312" w:hAnsi="方正仿宋_GB2312" w:eastAsia="方正仿宋_GB2312" w:cs="方正仿宋_GB2312"/>
          <w:b/>
          <w:bCs/>
          <w:sz w:val="24"/>
          <w:szCs w:val="24"/>
          <w:highlight w:val="none"/>
        </w:rPr>
        <w:t>（供应商和生产厂商）</w:t>
      </w:r>
    </w:p>
    <w:p>
      <w:pPr>
        <w:spacing w:line="360" w:lineRule="auto"/>
        <w:outlineLvl w:val="9"/>
        <w:rPr>
          <w:rFonts w:ascii="方正仿宋_GB2312" w:hAnsi="方正仿宋_GB2312" w:eastAsia="方正仿宋_GB2312" w:cs="方正仿宋_GB2312"/>
          <w:spacing w:val="6"/>
          <w:sz w:val="24"/>
          <w:szCs w:val="24"/>
          <w:highlight w:val="none"/>
        </w:rPr>
      </w:pPr>
      <w:bookmarkStart w:id="1199" w:name="_Hlk18855365"/>
    </w:p>
    <w:bookmarkEnd w:id="1199"/>
    <w:p>
      <w:pPr>
        <w:spacing w:line="360" w:lineRule="auto"/>
        <w:ind w:firstLine="420" w:firstLineChars="200"/>
        <w:outlineLvl w:val="9"/>
        <w:rPr>
          <w:rFonts w:ascii="仿宋" w:hAnsi="仿宋" w:eastAsia="仿宋" w:cs="仿宋"/>
          <w:szCs w:val="21"/>
          <w:highlight w:val="none"/>
        </w:rPr>
      </w:pPr>
      <w:r>
        <w:rPr>
          <w:rFonts w:hint="eastAsia" w:ascii="仿宋" w:hAnsi="仿宋" w:eastAsia="仿宋" w:cs="仿宋"/>
          <w:szCs w:val="21"/>
          <w:highlight w:val="none"/>
        </w:rPr>
        <w:t>本公司（联合体）郑重声明，根据《政府采购促进中小企业发展管理办法》（财库[2020]46 号）的规定，本公司（联合体）参加</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（单位名称）的</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（项目名称）采购活动，提供的货物全部由符合政策要求的中小企业制造。相关企业（含联合体中的中小企业、签订分包意向协议的中小企业）的具体情况如下：</w:t>
      </w:r>
    </w:p>
    <w:p>
      <w:pPr>
        <w:spacing w:line="360" w:lineRule="auto"/>
        <w:ind w:firstLine="420" w:firstLineChars="200"/>
        <w:outlineLvl w:val="9"/>
        <w:rPr>
          <w:rFonts w:ascii="仿宋" w:hAnsi="仿宋" w:eastAsia="仿宋" w:cs="仿宋"/>
          <w:szCs w:val="21"/>
          <w:highlight w:val="none"/>
        </w:rPr>
      </w:pPr>
      <w:r>
        <w:rPr>
          <w:rFonts w:hint="eastAsia" w:ascii="仿宋" w:hAnsi="仿宋" w:eastAsia="仿宋" w:cs="仿宋"/>
          <w:szCs w:val="21"/>
          <w:highlight w:val="none"/>
        </w:rPr>
        <w:t>1.</w:t>
      </w:r>
      <w:r>
        <w:rPr>
          <w:rFonts w:hint="eastAsia" w:ascii="仿宋" w:hAnsi="仿宋" w:eastAsia="仿宋" w:cs="仿宋"/>
          <w:szCs w:val="21"/>
          <w:highlight w:val="none"/>
          <w:u w:val="single"/>
        </w:rPr>
        <w:t xml:space="preserve">       （标的名称）</w:t>
      </w:r>
      <w:r>
        <w:rPr>
          <w:rFonts w:hint="eastAsia" w:ascii="仿宋" w:hAnsi="仿宋" w:eastAsia="仿宋" w:cs="仿宋"/>
          <w:szCs w:val="21"/>
          <w:highlight w:val="none"/>
        </w:rPr>
        <w:t>，属于</w:t>
      </w:r>
      <w:r>
        <w:rPr>
          <w:rFonts w:hint="eastAsia" w:ascii="仿宋" w:hAnsi="仿宋" w:eastAsia="仿宋" w:cs="仿宋"/>
          <w:bCs/>
          <w:szCs w:val="21"/>
          <w:highlight w:val="none"/>
          <w:u w:val="single"/>
        </w:rPr>
        <w:t xml:space="preserve">    </w:t>
      </w:r>
      <w:r>
        <w:rPr>
          <w:rFonts w:hint="eastAsia" w:ascii="仿宋" w:hAnsi="仿宋" w:eastAsia="仿宋" w:cs="仿宋"/>
          <w:color w:val="auto"/>
          <w:szCs w:val="21"/>
          <w:highlight w:val="none"/>
          <w:u w:val="single"/>
        </w:rPr>
        <w:t>（工业）</w:t>
      </w:r>
      <w:r>
        <w:rPr>
          <w:rFonts w:hint="eastAsia" w:ascii="仿宋" w:hAnsi="仿宋" w:eastAsia="仿宋" w:cs="仿宋"/>
          <w:szCs w:val="21"/>
          <w:highlight w:val="none"/>
        </w:rPr>
        <w:t>行业；制造商为</w:t>
      </w:r>
      <w:r>
        <w:rPr>
          <w:rFonts w:hint="eastAsia" w:ascii="仿宋" w:hAnsi="仿宋" w:eastAsia="仿宋" w:cs="仿宋"/>
          <w:szCs w:val="21"/>
          <w:highlight w:val="none"/>
          <w:u w:val="single"/>
        </w:rPr>
        <w:t xml:space="preserve">    （企业名称）</w:t>
      </w:r>
      <w:r>
        <w:rPr>
          <w:rFonts w:hint="eastAsia" w:ascii="仿宋" w:hAnsi="仿宋" w:eastAsia="仿宋" w:cs="仿宋"/>
          <w:szCs w:val="21"/>
          <w:highlight w:val="none"/>
        </w:rPr>
        <w:t>，从业人员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万元，属于</w:t>
      </w:r>
      <w:r>
        <w:rPr>
          <w:rFonts w:hint="eastAsia" w:ascii="仿宋" w:hAnsi="仿宋" w:eastAsia="仿宋" w:cs="仿宋"/>
          <w:szCs w:val="21"/>
          <w:highlight w:val="none"/>
          <w:u w:val="single"/>
        </w:rPr>
        <w:t xml:space="preserve">     （中型企业、小型企业、微型企业）</w:t>
      </w:r>
      <w:r>
        <w:rPr>
          <w:rFonts w:hint="eastAsia" w:ascii="仿宋" w:hAnsi="仿宋" w:eastAsia="仿宋" w:cs="仿宋"/>
          <w:szCs w:val="21"/>
          <w:highlight w:val="none"/>
        </w:rPr>
        <w:t>；</w:t>
      </w:r>
    </w:p>
    <w:p>
      <w:pPr>
        <w:spacing w:line="360" w:lineRule="auto"/>
        <w:ind w:firstLine="420" w:firstLineChars="200"/>
        <w:outlineLvl w:val="9"/>
        <w:rPr>
          <w:rFonts w:ascii="仿宋" w:hAnsi="仿宋" w:eastAsia="仿宋" w:cs="仿宋"/>
          <w:szCs w:val="21"/>
          <w:highlight w:val="none"/>
        </w:rPr>
      </w:pPr>
      <w:r>
        <w:rPr>
          <w:rFonts w:hint="eastAsia" w:ascii="仿宋" w:hAnsi="仿宋" w:eastAsia="仿宋" w:cs="仿宋"/>
          <w:szCs w:val="21"/>
          <w:highlight w:val="none"/>
        </w:rPr>
        <w:t>2.</w:t>
      </w:r>
      <w:r>
        <w:rPr>
          <w:rFonts w:hint="eastAsia" w:ascii="仿宋" w:hAnsi="仿宋" w:eastAsia="仿宋" w:cs="仿宋"/>
          <w:szCs w:val="21"/>
          <w:highlight w:val="none"/>
          <w:u w:val="single"/>
        </w:rPr>
        <w:t xml:space="preserve">       （标的名称）</w:t>
      </w:r>
      <w:r>
        <w:rPr>
          <w:rFonts w:hint="eastAsia" w:ascii="仿宋" w:hAnsi="仿宋" w:eastAsia="仿宋" w:cs="仿宋"/>
          <w:szCs w:val="21"/>
          <w:highlight w:val="none"/>
        </w:rPr>
        <w:t>，属于</w:t>
      </w:r>
      <w:r>
        <w:rPr>
          <w:rFonts w:hint="eastAsia" w:ascii="仿宋" w:hAnsi="仿宋" w:eastAsia="仿宋" w:cs="仿宋"/>
          <w:szCs w:val="21"/>
          <w:highlight w:val="none"/>
          <w:u w:val="single"/>
        </w:rPr>
        <w:t xml:space="preserve">       （工业）</w:t>
      </w:r>
      <w:r>
        <w:rPr>
          <w:rFonts w:hint="eastAsia" w:ascii="仿宋" w:hAnsi="仿宋" w:eastAsia="仿宋" w:cs="仿宋"/>
          <w:szCs w:val="21"/>
          <w:highlight w:val="none"/>
        </w:rPr>
        <w:t>行业；制造商为</w:t>
      </w:r>
      <w:r>
        <w:rPr>
          <w:rFonts w:hint="eastAsia" w:ascii="仿宋" w:hAnsi="仿宋" w:eastAsia="仿宋" w:cs="仿宋"/>
          <w:szCs w:val="21"/>
          <w:highlight w:val="none"/>
          <w:u w:val="single"/>
        </w:rPr>
        <w:t xml:space="preserve">    （企业名称）</w:t>
      </w:r>
      <w:r>
        <w:rPr>
          <w:rFonts w:hint="eastAsia" w:ascii="仿宋" w:hAnsi="仿宋" w:eastAsia="仿宋" w:cs="仿宋"/>
          <w:szCs w:val="21"/>
          <w:highlight w:val="none"/>
        </w:rPr>
        <w:t>，从业人员</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人，营业收入为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万元，资产总额为</w:t>
      </w:r>
      <w:r>
        <w:rPr>
          <w:rFonts w:hint="eastAsia" w:ascii="仿宋" w:hAnsi="仿宋" w:eastAsia="仿宋" w:cs="仿宋"/>
          <w:szCs w:val="21"/>
          <w:highlight w:val="none"/>
          <w:u w:val="single"/>
        </w:rPr>
        <w:t xml:space="preserve">    </w:t>
      </w:r>
      <w:r>
        <w:rPr>
          <w:rFonts w:hint="eastAsia" w:ascii="仿宋" w:hAnsi="仿宋" w:eastAsia="仿宋" w:cs="仿宋"/>
          <w:szCs w:val="21"/>
          <w:highlight w:val="none"/>
        </w:rPr>
        <w:t>万元，属于</w:t>
      </w:r>
      <w:r>
        <w:rPr>
          <w:rFonts w:hint="eastAsia" w:ascii="仿宋" w:hAnsi="仿宋" w:eastAsia="仿宋" w:cs="仿宋"/>
          <w:szCs w:val="21"/>
          <w:highlight w:val="none"/>
          <w:u w:val="single"/>
        </w:rPr>
        <w:t xml:space="preserve">     （中型企业、小型企业、微型企业）</w:t>
      </w:r>
      <w:r>
        <w:rPr>
          <w:rFonts w:hint="eastAsia" w:ascii="仿宋" w:hAnsi="仿宋" w:eastAsia="仿宋" w:cs="仿宋"/>
          <w:szCs w:val="21"/>
          <w:highlight w:val="none"/>
        </w:rPr>
        <w:t>；</w:t>
      </w:r>
    </w:p>
    <w:p>
      <w:pPr>
        <w:widowControl/>
        <w:spacing w:line="360" w:lineRule="auto"/>
        <w:ind w:firstLine="630" w:firstLineChars="300"/>
        <w:jc w:val="left"/>
        <w:outlineLvl w:val="9"/>
        <w:rPr>
          <w:rFonts w:ascii="仿宋" w:hAnsi="仿宋" w:eastAsia="仿宋" w:cs="仿宋"/>
          <w:szCs w:val="21"/>
          <w:highlight w:val="none"/>
        </w:rPr>
      </w:pPr>
      <w:r>
        <w:rPr>
          <w:rFonts w:hint="eastAsia" w:ascii="仿宋" w:hAnsi="仿宋" w:eastAsia="仿宋" w:cs="仿宋"/>
          <w:szCs w:val="21"/>
          <w:highlight w:val="none"/>
        </w:rPr>
        <w:t>……</w:t>
      </w:r>
    </w:p>
    <w:p>
      <w:pPr>
        <w:widowControl/>
        <w:spacing w:line="360" w:lineRule="auto"/>
        <w:ind w:firstLine="420" w:firstLineChars="200"/>
        <w:jc w:val="left"/>
        <w:outlineLvl w:val="9"/>
        <w:rPr>
          <w:rFonts w:ascii="仿宋" w:hAnsi="仿宋" w:eastAsia="仿宋" w:cs="仿宋"/>
          <w:szCs w:val="21"/>
          <w:highlight w:val="none"/>
        </w:rPr>
      </w:pPr>
      <w:r>
        <w:rPr>
          <w:rFonts w:hint="eastAsia" w:ascii="仿宋" w:hAnsi="仿宋" w:eastAsia="仿宋" w:cs="仿宋"/>
          <w:szCs w:val="21"/>
          <w:highlight w:val="none"/>
        </w:rPr>
        <w:t>以上企业，不属于大企业的分支机构，不存在控股股东为大企业的情形，也不存在与大企业的负责人为同一人的情形。</w:t>
      </w:r>
    </w:p>
    <w:p>
      <w:pPr>
        <w:widowControl/>
        <w:spacing w:line="360" w:lineRule="auto"/>
        <w:ind w:firstLine="420" w:firstLineChars="200"/>
        <w:jc w:val="left"/>
        <w:outlineLvl w:val="9"/>
        <w:rPr>
          <w:rFonts w:ascii="仿宋" w:hAnsi="仿宋" w:eastAsia="仿宋" w:cs="仿宋"/>
          <w:szCs w:val="21"/>
          <w:highlight w:val="none"/>
        </w:rPr>
      </w:pPr>
      <w:r>
        <w:rPr>
          <w:rFonts w:hint="eastAsia" w:ascii="仿宋" w:hAnsi="仿宋" w:eastAsia="仿宋" w:cs="仿宋"/>
          <w:szCs w:val="21"/>
          <w:highlight w:val="none"/>
        </w:rPr>
        <w:t>本企业对上述声明内容的真实性负责。如有虚假，将依法承担相应责任。</w:t>
      </w:r>
    </w:p>
    <w:p>
      <w:pPr>
        <w:widowControl/>
        <w:spacing w:line="360" w:lineRule="auto"/>
        <w:jc w:val="left"/>
        <w:outlineLvl w:val="9"/>
        <w:rPr>
          <w:rFonts w:ascii="仿宋" w:hAnsi="仿宋" w:eastAsia="仿宋" w:cs="仿宋"/>
          <w:szCs w:val="21"/>
          <w:highlight w:val="none"/>
        </w:rPr>
      </w:pPr>
    </w:p>
    <w:p>
      <w:pPr>
        <w:widowControl/>
        <w:spacing w:line="360" w:lineRule="auto"/>
        <w:jc w:val="left"/>
        <w:outlineLvl w:val="9"/>
        <w:rPr>
          <w:rFonts w:ascii="仿宋" w:hAnsi="仿宋" w:eastAsia="仿宋" w:cs="仿宋"/>
          <w:szCs w:val="21"/>
          <w:highlight w:val="none"/>
        </w:rPr>
      </w:pP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法定代表人或其委托代理人：</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日期 ：</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日</w:t>
      </w: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仿宋" w:hAnsi="仿宋" w:eastAsia="仿宋" w:cs="仿宋"/>
          <w:bCs/>
          <w:sz w:val="24"/>
          <w:highlight w:val="none"/>
          <w:u w:val="single"/>
        </w:rPr>
        <w:t xml:space="preserve">              </w:t>
      </w:r>
    </w:p>
    <w:p>
      <w:pPr>
        <w:spacing w:line="360" w:lineRule="auto"/>
        <w:ind w:firstLine="2" w:firstLineChars="1"/>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spacing w:val="6"/>
          <w:sz w:val="24"/>
          <w:szCs w:val="24"/>
          <w:highlight w:val="none"/>
        </w:rPr>
        <w:t xml:space="preserve"> </w:t>
      </w:r>
      <w:r>
        <w:rPr>
          <w:rFonts w:hint="eastAsia" w:ascii="方正仿宋_GB2312" w:hAnsi="方正仿宋_GB2312" w:eastAsia="方正仿宋_GB2312" w:cs="方正仿宋_GB2312"/>
          <w:b/>
          <w:sz w:val="24"/>
          <w:szCs w:val="24"/>
          <w:highlight w:val="none"/>
        </w:rPr>
        <w:t>注：（1）如不是中小企业请自行说明或划/，不用填写本表，但不能删除格式。</w:t>
      </w:r>
    </w:p>
    <w:p>
      <w:pPr>
        <w:spacing w:line="360" w:lineRule="auto"/>
        <w:ind w:firstLine="2" w:firstLineChars="1"/>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（2）从业人员、营业收入、资产总额填报上一年度数据，无上一年度数据的新成立企业可不填报。</w:t>
      </w:r>
    </w:p>
    <w:p>
      <w:pPr>
        <w:spacing w:line="360" w:lineRule="auto"/>
        <w:ind w:firstLine="2" w:firstLineChars="1"/>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3）中小企业应当按照《政府采购促进中小企业发展管理办法》（财库〔2020〕46号）规定和《中小企业划型标准规定》（工信部联企业〔2011〕300号），如实填写并提交《中小企业声明函》。供应商对企业类型判断有困难的，可通过工业化和信息化部网站自测小程序，识别企业规模类型。（http://202.106.120.146/baosong/appweb/orgScale.html）。</w:t>
      </w:r>
    </w:p>
    <w:p>
      <w:pPr>
        <w:spacing w:before="240" w:line="360" w:lineRule="auto"/>
        <w:outlineLvl w:val="9"/>
        <w:rPr>
          <w:rFonts w:hint="eastAsia"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（4）供应商填写本表时，对企业类型填写应准确、唯一，不允许跨越式填写（如中小企业、小微企业等），因供应商原因导致无法准确判断企业规模类型的，不予享受价格评审优惠政策。</w:t>
      </w:r>
    </w:p>
    <w:p>
      <w:pPr>
        <w:spacing w:before="181"/>
        <w:ind w:right="2"/>
        <w:outlineLvl w:val="9"/>
        <w:rPr>
          <w:rFonts w:ascii="方正仿宋_GB2312" w:hAnsi="方正仿宋_GB2312" w:eastAsia="方正仿宋_GB2312" w:cs="方正仿宋_GB2312"/>
          <w:b/>
          <w:highlight w:val="none"/>
        </w:rPr>
      </w:pPr>
      <w:r>
        <w:rPr>
          <w:rFonts w:hint="eastAsia" w:ascii="方正仿宋_GB2312" w:hAnsi="方正仿宋_GB2312" w:eastAsia="方正仿宋_GB2312" w:cs="方正仿宋_GB2312"/>
          <w:b/>
          <w:color w:val="auto"/>
          <w:sz w:val="24"/>
          <w:szCs w:val="24"/>
          <w:highlight w:val="none"/>
          <w:lang w:eastAsia="zh-CN"/>
        </w:rPr>
        <w:t>（</w:t>
      </w:r>
      <w:r>
        <w:rPr>
          <w:rFonts w:hint="eastAsia" w:ascii="方正仿宋_GB2312" w:hAnsi="方正仿宋_GB2312" w:eastAsia="方正仿宋_GB2312" w:cs="方正仿宋_GB2312"/>
          <w:b/>
          <w:color w:val="auto"/>
          <w:sz w:val="24"/>
          <w:szCs w:val="24"/>
          <w:highlight w:val="none"/>
          <w:lang w:val="en-US" w:eastAsia="zh-CN"/>
        </w:rPr>
        <w:t>5</w:t>
      </w:r>
      <w:r>
        <w:rPr>
          <w:rFonts w:hint="eastAsia" w:ascii="方正仿宋_GB2312" w:hAnsi="方正仿宋_GB2312" w:eastAsia="方正仿宋_GB2312" w:cs="方正仿宋_GB2312"/>
          <w:b/>
          <w:color w:val="auto"/>
          <w:sz w:val="24"/>
          <w:szCs w:val="24"/>
          <w:highlight w:val="none"/>
          <w:lang w:eastAsia="zh-CN"/>
        </w:rPr>
        <w:t>）</w:t>
      </w:r>
      <w:r>
        <w:rPr>
          <w:rFonts w:hint="eastAsia" w:ascii="方正仿宋_GB2312" w:hAnsi="方正仿宋_GB2312" w:eastAsia="方正仿宋_GB2312" w:cs="方正仿宋_GB2312"/>
          <w:b/>
          <w:highlight w:val="none"/>
        </w:rPr>
        <w:t>统计大中小微型企业划分标准</w:t>
      </w:r>
    </w:p>
    <w:tbl>
      <w:tblPr>
        <w:tblStyle w:val="16"/>
        <w:tblW w:w="8621" w:type="dxa"/>
        <w:tblInd w:w="1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88"/>
        <w:gridCol w:w="1551"/>
        <w:gridCol w:w="1077"/>
        <w:gridCol w:w="949"/>
        <w:gridCol w:w="1526"/>
        <w:gridCol w:w="1346"/>
        <w:gridCol w:w="8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5" w:hRule="atLeast"/>
        </w:trPr>
        <w:tc>
          <w:tcPr>
            <w:tcW w:w="1288" w:type="dxa"/>
          </w:tcPr>
          <w:p>
            <w:pPr>
              <w:spacing w:before="3"/>
              <w:outlineLvl w:val="9"/>
              <w:rPr>
                <w:rFonts w:ascii="方正仿宋_GB2312" w:hAnsi="方正仿宋_GB2312" w:eastAsia="方正仿宋_GB2312" w:cs="方正仿宋_GB2312"/>
                <w:b/>
                <w:highlight w:val="none"/>
              </w:rPr>
            </w:pPr>
          </w:p>
          <w:p>
            <w:pPr>
              <w:spacing w:before="1"/>
              <w:ind w:left="56" w:right="44"/>
              <w:jc w:val="center"/>
              <w:outlineLvl w:val="9"/>
              <w:rPr>
                <w:rFonts w:ascii="方正仿宋_GB2312" w:hAnsi="方正仿宋_GB2312" w:eastAsia="方正仿宋_GB2312" w:cs="方正仿宋_GB2312"/>
                <w:b/>
                <w:highlight w:val="none"/>
              </w:rPr>
            </w:pPr>
            <w:r>
              <w:rPr>
                <w:rFonts w:hint="eastAsia" w:ascii="方正仿宋_GB2312" w:hAnsi="方正仿宋_GB2312" w:eastAsia="方正仿宋_GB2312" w:cs="方正仿宋_GB2312"/>
                <w:b/>
                <w:highlight w:val="none"/>
              </w:rPr>
              <w:t>行业名称</w:t>
            </w:r>
          </w:p>
        </w:tc>
        <w:tc>
          <w:tcPr>
            <w:tcW w:w="1551" w:type="dxa"/>
          </w:tcPr>
          <w:p>
            <w:pPr>
              <w:spacing w:before="3"/>
              <w:outlineLvl w:val="9"/>
              <w:rPr>
                <w:rFonts w:ascii="方正仿宋_GB2312" w:hAnsi="方正仿宋_GB2312" w:eastAsia="方正仿宋_GB2312" w:cs="方正仿宋_GB2312"/>
                <w:b/>
                <w:highlight w:val="none"/>
              </w:rPr>
            </w:pPr>
          </w:p>
          <w:p>
            <w:pPr>
              <w:spacing w:before="1"/>
              <w:ind w:left="252" w:right="243"/>
              <w:jc w:val="center"/>
              <w:outlineLvl w:val="9"/>
              <w:rPr>
                <w:rFonts w:ascii="方正仿宋_GB2312" w:hAnsi="方正仿宋_GB2312" w:eastAsia="方正仿宋_GB2312" w:cs="方正仿宋_GB2312"/>
                <w:b/>
                <w:highlight w:val="none"/>
              </w:rPr>
            </w:pPr>
            <w:r>
              <w:rPr>
                <w:rFonts w:hint="eastAsia" w:ascii="方正仿宋_GB2312" w:hAnsi="方正仿宋_GB2312" w:eastAsia="方正仿宋_GB2312" w:cs="方正仿宋_GB2312"/>
                <w:b/>
                <w:highlight w:val="none"/>
              </w:rPr>
              <w:t>指标名称</w:t>
            </w:r>
          </w:p>
        </w:tc>
        <w:tc>
          <w:tcPr>
            <w:tcW w:w="1077" w:type="dxa"/>
          </w:tcPr>
          <w:p>
            <w:pPr>
              <w:spacing w:before="104"/>
              <w:ind w:left="339"/>
              <w:outlineLvl w:val="9"/>
              <w:rPr>
                <w:rFonts w:ascii="方正仿宋_GB2312" w:hAnsi="方正仿宋_GB2312" w:eastAsia="方正仿宋_GB2312" w:cs="方正仿宋_GB2312"/>
                <w:b/>
                <w:highlight w:val="none"/>
              </w:rPr>
            </w:pPr>
            <w:r>
              <w:rPr>
                <w:rFonts w:hint="eastAsia" w:ascii="方正仿宋_GB2312" w:hAnsi="方正仿宋_GB2312" w:eastAsia="方正仿宋_GB2312" w:cs="方正仿宋_GB2312"/>
                <w:b/>
                <w:highlight w:val="none"/>
              </w:rPr>
              <w:t>计量</w:t>
            </w:r>
          </w:p>
          <w:p>
            <w:pPr>
              <w:spacing w:before="6"/>
              <w:outlineLvl w:val="9"/>
              <w:rPr>
                <w:rFonts w:ascii="方正仿宋_GB2312" w:hAnsi="方正仿宋_GB2312" w:eastAsia="方正仿宋_GB2312" w:cs="方正仿宋_GB2312"/>
                <w:b/>
                <w:highlight w:val="none"/>
              </w:rPr>
            </w:pPr>
          </w:p>
          <w:p>
            <w:pPr>
              <w:spacing w:before="1"/>
              <w:ind w:left="339"/>
              <w:outlineLvl w:val="9"/>
              <w:rPr>
                <w:rFonts w:ascii="方正仿宋_GB2312" w:hAnsi="方正仿宋_GB2312" w:eastAsia="方正仿宋_GB2312" w:cs="方正仿宋_GB2312"/>
                <w:b/>
                <w:highlight w:val="none"/>
              </w:rPr>
            </w:pPr>
            <w:r>
              <w:rPr>
                <w:rFonts w:hint="eastAsia" w:ascii="方正仿宋_GB2312" w:hAnsi="方正仿宋_GB2312" w:eastAsia="方正仿宋_GB2312" w:cs="方正仿宋_GB2312"/>
                <w:b/>
                <w:highlight w:val="none"/>
              </w:rPr>
              <w:t>单位</w:t>
            </w:r>
          </w:p>
        </w:tc>
        <w:tc>
          <w:tcPr>
            <w:tcW w:w="949" w:type="dxa"/>
          </w:tcPr>
          <w:p>
            <w:pPr>
              <w:spacing w:before="3"/>
              <w:outlineLvl w:val="9"/>
              <w:rPr>
                <w:rFonts w:ascii="方正仿宋_GB2312" w:hAnsi="方正仿宋_GB2312" w:eastAsia="方正仿宋_GB2312" w:cs="方正仿宋_GB2312"/>
                <w:b/>
                <w:highlight w:val="none"/>
              </w:rPr>
            </w:pPr>
          </w:p>
          <w:p>
            <w:pPr>
              <w:spacing w:before="1"/>
              <w:ind w:left="350"/>
              <w:outlineLvl w:val="9"/>
              <w:rPr>
                <w:rFonts w:ascii="方正仿宋_GB2312" w:hAnsi="方正仿宋_GB2312" w:eastAsia="方正仿宋_GB2312" w:cs="方正仿宋_GB2312"/>
                <w:b/>
                <w:highlight w:val="none"/>
              </w:rPr>
            </w:pPr>
            <w:r>
              <w:rPr>
                <w:rFonts w:hint="eastAsia" w:ascii="方正仿宋_GB2312" w:hAnsi="方正仿宋_GB2312" w:eastAsia="方正仿宋_GB2312" w:cs="方正仿宋_GB2312"/>
                <w:b/>
                <w:highlight w:val="none"/>
              </w:rPr>
              <w:t>大型</w:t>
            </w:r>
          </w:p>
        </w:tc>
        <w:tc>
          <w:tcPr>
            <w:tcW w:w="1526" w:type="dxa"/>
          </w:tcPr>
          <w:p>
            <w:pPr>
              <w:spacing w:before="3"/>
              <w:outlineLvl w:val="9"/>
              <w:rPr>
                <w:rFonts w:ascii="方正仿宋_GB2312" w:hAnsi="方正仿宋_GB2312" w:eastAsia="方正仿宋_GB2312" w:cs="方正仿宋_GB2312"/>
                <w:b/>
                <w:highlight w:val="none"/>
              </w:rPr>
            </w:pPr>
          </w:p>
          <w:p>
            <w:pPr>
              <w:spacing w:before="1"/>
              <w:ind w:left="617" w:right="618"/>
              <w:jc w:val="center"/>
              <w:outlineLvl w:val="9"/>
              <w:rPr>
                <w:rFonts w:ascii="方正仿宋_GB2312" w:hAnsi="方正仿宋_GB2312" w:eastAsia="方正仿宋_GB2312" w:cs="方正仿宋_GB2312"/>
                <w:b/>
                <w:highlight w:val="none"/>
              </w:rPr>
            </w:pPr>
            <w:r>
              <w:rPr>
                <w:rFonts w:hint="eastAsia" w:ascii="方正仿宋_GB2312" w:hAnsi="方正仿宋_GB2312" w:eastAsia="方正仿宋_GB2312" w:cs="方正仿宋_GB2312"/>
                <w:b/>
                <w:highlight w:val="none"/>
              </w:rPr>
              <w:t>中型</w:t>
            </w:r>
          </w:p>
        </w:tc>
        <w:tc>
          <w:tcPr>
            <w:tcW w:w="1346" w:type="dxa"/>
          </w:tcPr>
          <w:p>
            <w:pPr>
              <w:spacing w:before="3"/>
              <w:outlineLvl w:val="9"/>
              <w:rPr>
                <w:rFonts w:ascii="方正仿宋_GB2312" w:hAnsi="方正仿宋_GB2312" w:eastAsia="方正仿宋_GB2312" w:cs="方正仿宋_GB2312"/>
                <w:b/>
                <w:highlight w:val="none"/>
              </w:rPr>
            </w:pPr>
          </w:p>
          <w:p>
            <w:pPr>
              <w:spacing w:before="1"/>
              <w:ind w:left="218" w:right="219"/>
              <w:jc w:val="center"/>
              <w:outlineLvl w:val="9"/>
              <w:rPr>
                <w:rFonts w:ascii="方正仿宋_GB2312" w:hAnsi="方正仿宋_GB2312" w:eastAsia="方正仿宋_GB2312" w:cs="方正仿宋_GB2312"/>
                <w:b/>
                <w:highlight w:val="none"/>
              </w:rPr>
            </w:pPr>
            <w:r>
              <w:rPr>
                <w:rFonts w:hint="eastAsia" w:ascii="方正仿宋_GB2312" w:hAnsi="方正仿宋_GB2312" w:eastAsia="方正仿宋_GB2312" w:cs="方正仿宋_GB2312"/>
                <w:b/>
                <w:highlight w:val="none"/>
              </w:rPr>
              <w:t>小型</w:t>
            </w:r>
          </w:p>
        </w:tc>
        <w:tc>
          <w:tcPr>
            <w:tcW w:w="884" w:type="dxa"/>
          </w:tcPr>
          <w:p>
            <w:pPr>
              <w:spacing w:before="3"/>
              <w:outlineLvl w:val="9"/>
              <w:rPr>
                <w:rFonts w:ascii="方正仿宋_GB2312" w:hAnsi="方正仿宋_GB2312" w:eastAsia="方正仿宋_GB2312" w:cs="方正仿宋_GB2312"/>
                <w:b/>
                <w:highlight w:val="none"/>
              </w:rPr>
            </w:pPr>
          </w:p>
          <w:p>
            <w:pPr>
              <w:spacing w:before="1"/>
              <w:ind w:left="278"/>
              <w:outlineLvl w:val="9"/>
              <w:rPr>
                <w:rFonts w:ascii="方正仿宋_GB2312" w:hAnsi="方正仿宋_GB2312" w:eastAsia="方正仿宋_GB2312" w:cs="方正仿宋_GB2312"/>
                <w:b/>
                <w:highlight w:val="none"/>
              </w:rPr>
            </w:pPr>
            <w:r>
              <w:rPr>
                <w:rFonts w:hint="eastAsia" w:ascii="方正仿宋_GB2312" w:hAnsi="方正仿宋_GB2312" w:eastAsia="方正仿宋_GB2312" w:cs="方正仿宋_GB2312"/>
                <w:b/>
                <w:highlight w:val="none"/>
              </w:rPr>
              <w:t>微型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tcPr>
          <w:p>
            <w:pPr>
              <w:spacing w:before="56"/>
              <w:ind w:left="57" w:right="4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农、林、牧、渔业</w:t>
            </w:r>
          </w:p>
        </w:tc>
        <w:tc>
          <w:tcPr>
            <w:tcW w:w="1551" w:type="dxa"/>
          </w:tcPr>
          <w:p>
            <w:pPr>
              <w:spacing w:before="56"/>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Pr>
          <w:p>
            <w:pPr>
              <w:spacing w:before="56"/>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56"/>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Y≥20000</w:t>
            </w:r>
          </w:p>
        </w:tc>
        <w:tc>
          <w:tcPr>
            <w:tcW w:w="1526" w:type="dxa"/>
          </w:tcPr>
          <w:p>
            <w:pPr>
              <w:spacing w:before="56"/>
              <w:ind w:right="106"/>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500≤Y＜20000</w:t>
            </w:r>
          </w:p>
        </w:tc>
        <w:tc>
          <w:tcPr>
            <w:tcW w:w="1346" w:type="dxa"/>
          </w:tcPr>
          <w:p>
            <w:pPr>
              <w:spacing w:before="56"/>
              <w:ind w:right="129"/>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50≤Y＜500</w:t>
            </w:r>
          </w:p>
        </w:tc>
        <w:tc>
          <w:tcPr>
            <w:tcW w:w="884" w:type="dxa"/>
          </w:tcPr>
          <w:p>
            <w:pPr>
              <w:spacing w:before="56"/>
              <w:ind w:left="2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288" w:type="dxa"/>
            <w:vMerge w:val="restart"/>
          </w:tcPr>
          <w:p>
            <w:pPr>
              <w:spacing w:before="11"/>
              <w:outlineLvl w:val="9"/>
              <w:rPr>
                <w:rFonts w:ascii="方正仿宋_GB2312" w:hAnsi="方正仿宋_GB2312" w:eastAsia="方正仿宋_GB2312" w:cs="方正仿宋_GB2312"/>
                <w:b/>
                <w:highlight w:val="none"/>
              </w:rPr>
            </w:pPr>
          </w:p>
          <w:p>
            <w:pPr>
              <w:spacing w:before="1"/>
              <w:ind w:left="10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工业 *</w:t>
            </w:r>
          </w:p>
        </w:tc>
        <w:tc>
          <w:tcPr>
            <w:tcW w:w="1551" w:type="dxa"/>
          </w:tcPr>
          <w:p>
            <w:pPr>
              <w:spacing w:before="56"/>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从业人员(X)</w:t>
            </w:r>
          </w:p>
        </w:tc>
        <w:tc>
          <w:tcPr>
            <w:tcW w:w="1077" w:type="dxa"/>
          </w:tcPr>
          <w:p>
            <w:pPr>
              <w:spacing w:before="56"/>
              <w:ind w:left="6"/>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人</w:t>
            </w:r>
          </w:p>
        </w:tc>
        <w:tc>
          <w:tcPr>
            <w:tcW w:w="949" w:type="dxa"/>
          </w:tcPr>
          <w:p>
            <w:pPr>
              <w:spacing w:before="56"/>
              <w:ind w:right="186"/>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X≥1000</w:t>
            </w:r>
          </w:p>
        </w:tc>
        <w:tc>
          <w:tcPr>
            <w:tcW w:w="1526" w:type="dxa"/>
          </w:tcPr>
          <w:p>
            <w:pPr>
              <w:spacing w:before="56"/>
              <w:ind w:left="219"/>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300≤X＜1000</w:t>
            </w:r>
          </w:p>
        </w:tc>
        <w:tc>
          <w:tcPr>
            <w:tcW w:w="1346" w:type="dxa"/>
          </w:tcPr>
          <w:p>
            <w:pPr>
              <w:spacing w:before="56"/>
              <w:ind w:right="129"/>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20≤X＜300</w:t>
            </w:r>
          </w:p>
        </w:tc>
        <w:tc>
          <w:tcPr>
            <w:tcW w:w="884" w:type="dxa"/>
          </w:tcPr>
          <w:p>
            <w:pPr>
              <w:spacing w:before="56"/>
              <w:ind w:left="2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1288" w:type="dxa"/>
            <w:vMerge w:val="continue"/>
            <w:tcBorders>
              <w:top w:val="nil"/>
            </w:tcBorders>
          </w:tcPr>
          <w:p>
            <w:pPr>
              <w:outlineLvl w:val="9"/>
              <w:rPr>
                <w:rFonts w:ascii="方正仿宋_GB2312" w:hAnsi="方正仿宋_GB2312" w:eastAsia="方正仿宋_GB2312" w:cs="方正仿宋_GB2312"/>
                <w:highlight w:val="none"/>
              </w:rPr>
            </w:pPr>
          </w:p>
        </w:tc>
        <w:tc>
          <w:tcPr>
            <w:tcW w:w="1551" w:type="dxa"/>
          </w:tcPr>
          <w:p>
            <w:pPr>
              <w:spacing w:before="176"/>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Pr>
          <w:p>
            <w:pPr>
              <w:spacing w:before="176"/>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176"/>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Y≥40000</w:t>
            </w:r>
          </w:p>
        </w:tc>
        <w:tc>
          <w:tcPr>
            <w:tcW w:w="1526" w:type="dxa"/>
          </w:tcPr>
          <w:p>
            <w:pPr>
              <w:spacing w:before="176"/>
              <w:ind w:right="106"/>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2000≤Y＜40000</w:t>
            </w:r>
          </w:p>
        </w:tc>
        <w:tc>
          <w:tcPr>
            <w:tcW w:w="1346" w:type="dxa"/>
          </w:tcPr>
          <w:p>
            <w:pPr>
              <w:spacing w:before="22"/>
              <w:ind w:left="218" w:right="11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300≤Y＜</w:t>
            </w:r>
          </w:p>
          <w:p>
            <w:pPr>
              <w:spacing w:before="43" w:line="264" w:lineRule="exact"/>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2000</w:t>
            </w:r>
          </w:p>
        </w:tc>
        <w:tc>
          <w:tcPr>
            <w:tcW w:w="884" w:type="dxa"/>
          </w:tcPr>
          <w:p>
            <w:pPr>
              <w:spacing w:before="176"/>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288" w:type="dxa"/>
            <w:vMerge w:val="restart"/>
          </w:tcPr>
          <w:p>
            <w:pPr>
              <w:outlineLvl w:val="9"/>
              <w:rPr>
                <w:rFonts w:ascii="方正仿宋_GB2312" w:hAnsi="方正仿宋_GB2312" w:eastAsia="方正仿宋_GB2312" w:cs="方正仿宋_GB2312"/>
                <w:b/>
                <w:highlight w:val="none"/>
              </w:rPr>
            </w:pPr>
          </w:p>
          <w:p>
            <w:pPr>
              <w:spacing w:before="1"/>
              <w:outlineLvl w:val="9"/>
              <w:rPr>
                <w:rFonts w:ascii="方正仿宋_GB2312" w:hAnsi="方正仿宋_GB2312" w:eastAsia="方正仿宋_GB2312" w:cs="方正仿宋_GB2312"/>
                <w:b/>
                <w:highlight w:val="none"/>
              </w:rPr>
            </w:pPr>
          </w:p>
          <w:p>
            <w:pPr>
              <w:ind w:left="10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建筑业</w:t>
            </w:r>
          </w:p>
        </w:tc>
        <w:tc>
          <w:tcPr>
            <w:tcW w:w="1551" w:type="dxa"/>
          </w:tcPr>
          <w:p>
            <w:pPr>
              <w:spacing w:before="161"/>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Pr>
          <w:p>
            <w:pPr>
              <w:spacing w:before="161"/>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161"/>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Y≥80000</w:t>
            </w:r>
          </w:p>
        </w:tc>
        <w:tc>
          <w:tcPr>
            <w:tcW w:w="1526" w:type="dxa"/>
          </w:tcPr>
          <w:p>
            <w:pPr>
              <w:spacing w:before="161"/>
              <w:ind w:right="106"/>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6000≤Y＜80000</w:t>
            </w:r>
          </w:p>
        </w:tc>
        <w:tc>
          <w:tcPr>
            <w:tcW w:w="1346" w:type="dxa"/>
          </w:tcPr>
          <w:p>
            <w:pPr>
              <w:spacing w:before="25"/>
              <w:ind w:left="218" w:right="218"/>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300≤Y＜</w:t>
            </w:r>
          </w:p>
          <w:p>
            <w:pPr>
              <w:spacing w:before="43" w:line="233" w:lineRule="exact"/>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6000</w:t>
            </w:r>
          </w:p>
        </w:tc>
        <w:tc>
          <w:tcPr>
            <w:tcW w:w="884" w:type="dxa"/>
          </w:tcPr>
          <w:p>
            <w:pPr>
              <w:spacing w:before="161"/>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1288" w:type="dxa"/>
            <w:vMerge w:val="continue"/>
            <w:tcBorders>
              <w:top w:val="nil"/>
              <w:bottom w:val="single" w:color="auto" w:sz="4" w:space="0"/>
            </w:tcBorders>
          </w:tcPr>
          <w:p>
            <w:pPr>
              <w:outlineLvl w:val="9"/>
              <w:rPr>
                <w:rFonts w:ascii="方正仿宋_GB2312" w:hAnsi="方正仿宋_GB2312" w:eastAsia="方正仿宋_GB2312" w:cs="方正仿宋_GB2312"/>
                <w:highlight w:val="none"/>
              </w:rPr>
            </w:pPr>
          </w:p>
        </w:tc>
        <w:tc>
          <w:tcPr>
            <w:tcW w:w="1551" w:type="dxa"/>
            <w:tcBorders>
              <w:bottom w:val="single" w:color="auto" w:sz="4" w:space="0"/>
            </w:tcBorders>
          </w:tcPr>
          <w:p>
            <w:pPr>
              <w:spacing w:before="200"/>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资产总额(Z)</w:t>
            </w:r>
          </w:p>
        </w:tc>
        <w:tc>
          <w:tcPr>
            <w:tcW w:w="1077" w:type="dxa"/>
          </w:tcPr>
          <w:p>
            <w:pPr>
              <w:spacing w:before="8"/>
              <w:outlineLvl w:val="9"/>
              <w:rPr>
                <w:rFonts w:ascii="方正仿宋_GB2312" w:hAnsi="方正仿宋_GB2312" w:eastAsia="方正仿宋_GB2312" w:cs="方正仿宋_GB2312"/>
                <w:b/>
                <w:highlight w:val="none"/>
              </w:rPr>
            </w:pPr>
          </w:p>
          <w:p>
            <w:pPr>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200"/>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Z≥80000</w:t>
            </w:r>
          </w:p>
        </w:tc>
        <w:tc>
          <w:tcPr>
            <w:tcW w:w="1526" w:type="dxa"/>
          </w:tcPr>
          <w:p>
            <w:pPr>
              <w:spacing w:before="200"/>
              <w:ind w:right="106"/>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5000≤Z＜80000</w:t>
            </w:r>
          </w:p>
        </w:tc>
        <w:tc>
          <w:tcPr>
            <w:tcW w:w="1346" w:type="dxa"/>
          </w:tcPr>
          <w:p>
            <w:pPr>
              <w:spacing w:before="44"/>
              <w:ind w:left="218" w:right="11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300≤Z＜</w:t>
            </w:r>
          </w:p>
          <w:p>
            <w:pPr>
              <w:spacing w:before="43"/>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5000</w:t>
            </w:r>
          </w:p>
        </w:tc>
        <w:tc>
          <w:tcPr>
            <w:tcW w:w="884" w:type="dxa"/>
          </w:tcPr>
          <w:p>
            <w:pPr>
              <w:spacing w:before="200"/>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Z＜300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Borders>
              <w:top w:val="single" w:color="auto" w:sz="4" w:space="0"/>
              <w:left w:val="single" w:color="auto" w:sz="4" w:space="0"/>
            </w:tcBorders>
          </w:tcPr>
          <w:p>
            <w:pPr>
              <w:outlineLvl w:val="9"/>
              <w:rPr>
                <w:rFonts w:ascii="方正仿宋_GB2312" w:hAnsi="方正仿宋_GB2312" w:eastAsia="方正仿宋_GB2312" w:cs="方正仿宋_GB2312"/>
                <w:b/>
                <w:highlight w:val="none"/>
              </w:rPr>
            </w:pPr>
          </w:p>
          <w:p>
            <w:pPr>
              <w:spacing w:before="172"/>
              <w:ind w:left="10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批发业</w:t>
            </w:r>
          </w:p>
        </w:tc>
        <w:tc>
          <w:tcPr>
            <w:tcW w:w="1551" w:type="dxa"/>
            <w:tcBorders>
              <w:top w:val="single" w:color="auto" w:sz="4" w:space="0"/>
              <w:right w:val="single" w:color="auto" w:sz="4" w:space="0"/>
            </w:tcBorders>
          </w:tcPr>
          <w:p>
            <w:pPr>
              <w:spacing w:before="53"/>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从业人员(X)</w:t>
            </w:r>
          </w:p>
        </w:tc>
        <w:tc>
          <w:tcPr>
            <w:tcW w:w="1077" w:type="dxa"/>
            <w:tcBorders>
              <w:left w:val="single" w:color="auto" w:sz="4" w:space="0"/>
            </w:tcBorders>
          </w:tcPr>
          <w:p>
            <w:pPr>
              <w:spacing w:before="53"/>
              <w:ind w:left="6"/>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人</w:t>
            </w:r>
          </w:p>
        </w:tc>
        <w:tc>
          <w:tcPr>
            <w:tcW w:w="949" w:type="dxa"/>
          </w:tcPr>
          <w:p>
            <w:pPr>
              <w:spacing w:before="53"/>
              <w:ind w:right="241"/>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X≥200</w:t>
            </w:r>
          </w:p>
        </w:tc>
        <w:tc>
          <w:tcPr>
            <w:tcW w:w="1526" w:type="dxa"/>
          </w:tcPr>
          <w:p>
            <w:pPr>
              <w:spacing w:before="53"/>
              <w:ind w:left="322"/>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20≤X＜200</w:t>
            </w:r>
          </w:p>
        </w:tc>
        <w:tc>
          <w:tcPr>
            <w:tcW w:w="1346" w:type="dxa"/>
          </w:tcPr>
          <w:p>
            <w:pPr>
              <w:spacing w:before="53"/>
              <w:ind w:left="342"/>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5≤X＜20</w:t>
            </w:r>
          </w:p>
        </w:tc>
        <w:tc>
          <w:tcPr>
            <w:tcW w:w="884" w:type="dxa"/>
          </w:tcPr>
          <w:p>
            <w:pPr>
              <w:spacing w:before="53"/>
              <w:ind w:left="280"/>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1288" w:type="dxa"/>
            <w:vMerge w:val="continue"/>
            <w:tcBorders>
              <w:top w:val="nil"/>
              <w:left w:val="single" w:color="auto" w:sz="4" w:space="0"/>
              <w:bottom w:val="single" w:color="auto" w:sz="4" w:space="0"/>
            </w:tcBorders>
          </w:tcPr>
          <w:p>
            <w:pPr>
              <w:outlineLvl w:val="9"/>
              <w:rPr>
                <w:rFonts w:ascii="方正仿宋_GB2312" w:hAnsi="方正仿宋_GB2312" w:eastAsia="方正仿宋_GB2312" w:cs="方正仿宋_GB2312"/>
                <w:highlight w:val="none"/>
              </w:rPr>
            </w:pPr>
          </w:p>
        </w:tc>
        <w:tc>
          <w:tcPr>
            <w:tcW w:w="1551" w:type="dxa"/>
            <w:tcBorders>
              <w:bottom w:val="single" w:color="auto" w:sz="4" w:space="0"/>
              <w:right w:val="single" w:color="auto" w:sz="4" w:space="0"/>
            </w:tcBorders>
          </w:tcPr>
          <w:p>
            <w:pPr>
              <w:spacing w:before="5"/>
              <w:outlineLvl w:val="9"/>
              <w:rPr>
                <w:rFonts w:ascii="方正仿宋_GB2312" w:hAnsi="方正仿宋_GB2312" w:eastAsia="方正仿宋_GB2312" w:cs="方正仿宋_GB2312"/>
                <w:b/>
                <w:highlight w:val="none"/>
              </w:rPr>
            </w:pPr>
          </w:p>
          <w:p>
            <w:pPr>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Borders>
              <w:left w:val="single" w:color="auto" w:sz="4" w:space="0"/>
            </w:tcBorders>
          </w:tcPr>
          <w:p>
            <w:pPr>
              <w:spacing w:before="5"/>
              <w:outlineLvl w:val="9"/>
              <w:rPr>
                <w:rFonts w:ascii="方正仿宋_GB2312" w:hAnsi="方正仿宋_GB2312" w:eastAsia="方正仿宋_GB2312" w:cs="方正仿宋_GB2312"/>
                <w:b/>
                <w:highlight w:val="none"/>
              </w:rPr>
            </w:pPr>
          </w:p>
          <w:p>
            <w:pPr>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5"/>
              <w:outlineLvl w:val="9"/>
              <w:rPr>
                <w:rFonts w:ascii="方正仿宋_GB2312" w:hAnsi="方正仿宋_GB2312" w:eastAsia="方正仿宋_GB2312" w:cs="方正仿宋_GB2312"/>
                <w:b/>
                <w:highlight w:val="none"/>
              </w:rPr>
            </w:pPr>
          </w:p>
          <w:p>
            <w:pPr>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Y≥40000</w:t>
            </w:r>
          </w:p>
        </w:tc>
        <w:tc>
          <w:tcPr>
            <w:tcW w:w="1526" w:type="dxa"/>
          </w:tcPr>
          <w:p>
            <w:pPr>
              <w:spacing w:before="5"/>
              <w:outlineLvl w:val="9"/>
              <w:rPr>
                <w:rFonts w:ascii="方正仿宋_GB2312" w:hAnsi="方正仿宋_GB2312" w:eastAsia="方正仿宋_GB2312" w:cs="方正仿宋_GB2312"/>
                <w:b/>
                <w:highlight w:val="none"/>
              </w:rPr>
            </w:pPr>
          </w:p>
          <w:p>
            <w:pPr>
              <w:ind w:right="106"/>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5000≤Y＜40000</w:t>
            </w:r>
          </w:p>
        </w:tc>
        <w:tc>
          <w:tcPr>
            <w:tcW w:w="1346" w:type="dxa"/>
          </w:tcPr>
          <w:p>
            <w:pPr>
              <w:spacing w:before="80"/>
              <w:ind w:left="217"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1000≤Y＜</w:t>
            </w:r>
          </w:p>
          <w:p>
            <w:pPr>
              <w:spacing w:before="43"/>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5000</w:t>
            </w:r>
          </w:p>
        </w:tc>
        <w:tc>
          <w:tcPr>
            <w:tcW w:w="884" w:type="dxa"/>
          </w:tcPr>
          <w:p>
            <w:pPr>
              <w:spacing w:before="5"/>
              <w:outlineLvl w:val="9"/>
              <w:rPr>
                <w:rFonts w:ascii="方正仿宋_GB2312" w:hAnsi="方正仿宋_GB2312" w:eastAsia="方正仿宋_GB2312" w:cs="方正仿宋_GB2312"/>
                <w:b/>
                <w:highlight w:val="none"/>
              </w:rPr>
            </w:pPr>
          </w:p>
          <w:p>
            <w:pPr>
              <w:ind w:right="122"/>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Y＜1000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Borders>
              <w:top w:val="single" w:color="auto" w:sz="4" w:space="0"/>
            </w:tcBorders>
          </w:tcPr>
          <w:p>
            <w:pPr>
              <w:spacing w:before="4"/>
              <w:outlineLvl w:val="9"/>
              <w:rPr>
                <w:rFonts w:ascii="方正仿宋_GB2312" w:hAnsi="方正仿宋_GB2312" w:eastAsia="方正仿宋_GB2312" w:cs="方正仿宋_GB2312"/>
                <w:b/>
                <w:highlight w:val="none"/>
              </w:rPr>
            </w:pPr>
          </w:p>
          <w:p>
            <w:pPr>
              <w:ind w:left="10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零售业</w:t>
            </w:r>
          </w:p>
        </w:tc>
        <w:tc>
          <w:tcPr>
            <w:tcW w:w="1551" w:type="dxa"/>
            <w:tcBorders>
              <w:top w:val="single" w:color="auto" w:sz="4" w:space="0"/>
            </w:tcBorders>
          </w:tcPr>
          <w:p>
            <w:pPr>
              <w:spacing w:before="53"/>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从业人员(X)</w:t>
            </w:r>
          </w:p>
        </w:tc>
        <w:tc>
          <w:tcPr>
            <w:tcW w:w="1077" w:type="dxa"/>
          </w:tcPr>
          <w:p>
            <w:pPr>
              <w:spacing w:before="53"/>
              <w:ind w:left="6"/>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人</w:t>
            </w:r>
          </w:p>
        </w:tc>
        <w:tc>
          <w:tcPr>
            <w:tcW w:w="949" w:type="dxa"/>
          </w:tcPr>
          <w:p>
            <w:pPr>
              <w:spacing w:before="53"/>
              <w:ind w:right="241"/>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X≥300</w:t>
            </w:r>
          </w:p>
        </w:tc>
        <w:tc>
          <w:tcPr>
            <w:tcW w:w="1526" w:type="dxa"/>
          </w:tcPr>
          <w:p>
            <w:pPr>
              <w:spacing w:before="53"/>
              <w:ind w:left="322"/>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50≤X＜300</w:t>
            </w:r>
          </w:p>
        </w:tc>
        <w:tc>
          <w:tcPr>
            <w:tcW w:w="1346" w:type="dxa"/>
          </w:tcPr>
          <w:p>
            <w:pPr>
              <w:spacing w:before="53"/>
              <w:ind w:left="234"/>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10≤X＜50</w:t>
            </w:r>
          </w:p>
        </w:tc>
        <w:tc>
          <w:tcPr>
            <w:tcW w:w="884" w:type="dxa"/>
          </w:tcPr>
          <w:p>
            <w:pPr>
              <w:spacing w:before="53"/>
              <w:ind w:left="2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continue"/>
            <w:tcBorders>
              <w:top w:val="nil"/>
            </w:tcBorders>
          </w:tcPr>
          <w:p>
            <w:pPr>
              <w:outlineLvl w:val="9"/>
              <w:rPr>
                <w:rFonts w:ascii="方正仿宋_GB2312" w:hAnsi="方正仿宋_GB2312" w:eastAsia="方正仿宋_GB2312" w:cs="方正仿宋_GB2312"/>
                <w:highlight w:val="none"/>
              </w:rPr>
            </w:pPr>
          </w:p>
        </w:tc>
        <w:tc>
          <w:tcPr>
            <w:tcW w:w="1551" w:type="dxa"/>
          </w:tcPr>
          <w:p>
            <w:pPr>
              <w:spacing w:before="56"/>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Pr>
          <w:p>
            <w:pPr>
              <w:spacing w:before="56"/>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56"/>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Y≥20000</w:t>
            </w:r>
          </w:p>
        </w:tc>
        <w:tc>
          <w:tcPr>
            <w:tcW w:w="1526" w:type="dxa"/>
          </w:tcPr>
          <w:p>
            <w:pPr>
              <w:spacing w:before="56"/>
              <w:ind w:left="219"/>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500≤Y＜20000</w:t>
            </w:r>
          </w:p>
        </w:tc>
        <w:tc>
          <w:tcPr>
            <w:tcW w:w="1346" w:type="dxa"/>
          </w:tcPr>
          <w:p>
            <w:pPr>
              <w:spacing w:before="56"/>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100≤Y＜500</w:t>
            </w:r>
          </w:p>
        </w:tc>
        <w:tc>
          <w:tcPr>
            <w:tcW w:w="884" w:type="dxa"/>
          </w:tcPr>
          <w:p>
            <w:pPr>
              <w:spacing w:before="56"/>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1288" w:type="dxa"/>
            <w:vMerge w:val="restart"/>
          </w:tcPr>
          <w:p>
            <w:pPr>
              <w:spacing w:before="10"/>
              <w:outlineLvl w:val="9"/>
              <w:rPr>
                <w:rFonts w:ascii="方正仿宋_GB2312" w:hAnsi="方正仿宋_GB2312" w:eastAsia="方正仿宋_GB2312" w:cs="方正仿宋_GB2312"/>
                <w:b/>
                <w:highlight w:val="none"/>
              </w:rPr>
            </w:pPr>
          </w:p>
          <w:p>
            <w:pPr>
              <w:ind w:left="10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 xml:space="preserve">交通运输业 </w:t>
            </w:r>
          </w:p>
        </w:tc>
        <w:tc>
          <w:tcPr>
            <w:tcW w:w="1551" w:type="dxa"/>
          </w:tcPr>
          <w:p>
            <w:pPr>
              <w:spacing w:before="56"/>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从业人员(X)</w:t>
            </w:r>
          </w:p>
        </w:tc>
        <w:tc>
          <w:tcPr>
            <w:tcW w:w="1077" w:type="dxa"/>
          </w:tcPr>
          <w:p>
            <w:pPr>
              <w:spacing w:before="56"/>
              <w:ind w:left="6"/>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人</w:t>
            </w:r>
          </w:p>
        </w:tc>
        <w:tc>
          <w:tcPr>
            <w:tcW w:w="949" w:type="dxa"/>
          </w:tcPr>
          <w:p>
            <w:pPr>
              <w:spacing w:before="56"/>
              <w:ind w:right="186"/>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X≥1000</w:t>
            </w:r>
          </w:p>
        </w:tc>
        <w:tc>
          <w:tcPr>
            <w:tcW w:w="1526" w:type="dxa"/>
          </w:tcPr>
          <w:p>
            <w:pPr>
              <w:spacing w:before="56"/>
              <w:ind w:left="219"/>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300≤X＜1000</w:t>
            </w:r>
          </w:p>
        </w:tc>
        <w:tc>
          <w:tcPr>
            <w:tcW w:w="1346" w:type="dxa"/>
          </w:tcPr>
          <w:p>
            <w:pPr>
              <w:spacing w:before="56"/>
              <w:ind w:right="129"/>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20≤X＜300</w:t>
            </w:r>
          </w:p>
        </w:tc>
        <w:tc>
          <w:tcPr>
            <w:tcW w:w="884" w:type="dxa"/>
          </w:tcPr>
          <w:p>
            <w:pPr>
              <w:spacing w:before="56"/>
              <w:ind w:left="2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1288" w:type="dxa"/>
            <w:vMerge w:val="continue"/>
            <w:tcBorders>
              <w:top w:val="nil"/>
            </w:tcBorders>
          </w:tcPr>
          <w:p>
            <w:pPr>
              <w:outlineLvl w:val="9"/>
              <w:rPr>
                <w:rFonts w:ascii="方正仿宋_GB2312" w:hAnsi="方正仿宋_GB2312" w:eastAsia="方正仿宋_GB2312" w:cs="方正仿宋_GB2312"/>
                <w:highlight w:val="none"/>
              </w:rPr>
            </w:pPr>
          </w:p>
        </w:tc>
        <w:tc>
          <w:tcPr>
            <w:tcW w:w="1551" w:type="dxa"/>
          </w:tcPr>
          <w:p>
            <w:pPr>
              <w:spacing w:before="198"/>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Pr>
          <w:p>
            <w:pPr>
              <w:spacing w:before="5"/>
              <w:outlineLvl w:val="9"/>
              <w:rPr>
                <w:rFonts w:ascii="方正仿宋_GB2312" w:hAnsi="方正仿宋_GB2312" w:eastAsia="方正仿宋_GB2312" w:cs="方正仿宋_GB2312"/>
                <w:b/>
                <w:highlight w:val="none"/>
              </w:rPr>
            </w:pPr>
          </w:p>
          <w:p>
            <w:pPr>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198"/>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Y≥30000</w:t>
            </w:r>
          </w:p>
        </w:tc>
        <w:tc>
          <w:tcPr>
            <w:tcW w:w="1526" w:type="dxa"/>
          </w:tcPr>
          <w:p>
            <w:pPr>
              <w:spacing w:before="198"/>
              <w:ind w:left="114"/>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3000≤Y＜30000</w:t>
            </w:r>
          </w:p>
        </w:tc>
        <w:tc>
          <w:tcPr>
            <w:tcW w:w="1346" w:type="dxa"/>
          </w:tcPr>
          <w:p>
            <w:pPr>
              <w:spacing w:before="41"/>
              <w:ind w:left="218" w:right="11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200≤Y＜</w:t>
            </w:r>
          </w:p>
          <w:p>
            <w:pPr>
              <w:spacing w:before="43"/>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3000</w:t>
            </w:r>
          </w:p>
        </w:tc>
        <w:tc>
          <w:tcPr>
            <w:tcW w:w="884" w:type="dxa"/>
          </w:tcPr>
          <w:p>
            <w:pPr>
              <w:spacing w:before="198"/>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Y＜200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pPr>
              <w:outlineLvl w:val="9"/>
              <w:rPr>
                <w:rFonts w:ascii="方正仿宋_GB2312" w:hAnsi="方正仿宋_GB2312" w:eastAsia="方正仿宋_GB2312" w:cs="方正仿宋_GB2312"/>
                <w:b/>
                <w:highlight w:val="none"/>
              </w:rPr>
            </w:pPr>
          </w:p>
          <w:p>
            <w:pPr>
              <w:spacing w:before="174"/>
              <w:ind w:left="10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仓储业</w:t>
            </w:r>
          </w:p>
        </w:tc>
        <w:tc>
          <w:tcPr>
            <w:tcW w:w="1551" w:type="dxa"/>
          </w:tcPr>
          <w:p>
            <w:pPr>
              <w:spacing w:before="56"/>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从业人员(X)</w:t>
            </w:r>
          </w:p>
        </w:tc>
        <w:tc>
          <w:tcPr>
            <w:tcW w:w="1077" w:type="dxa"/>
          </w:tcPr>
          <w:p>
            <w:pPr>
              <w:spacing w:before="56"/>
              <w:ind w:left="6"/>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人</w:t>
            </w:r>
          </w:p>
        </w:tc>
        <w:tc>
          <w:tcPr>
            <w:tcW w:w="949" w:type="dxa"/>
          </w:tcPr>
          <w:p>
            <w:pPr>
              <w:spacing w:before="56"/>
              <w:ind w:right="241"/>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X≥200</w:t>
            </w:r>
          </w:p>
        </w:tc>
        <w:tc>
          <w:tcPr>
            <w:tcW w:w="1526" w:type="dxa"/>
          </w:tcPr>
          <w:p>
            <w:pPr>
              <w:spacing w:before="56"/>
              <w:ind w:left="21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100≤X＜200</w:t>
            </w:r>
          </w:p>
        </w:tc>
        <w:tc>
          <w:tcPr>
            <w:tcW w:w="1346" w:type="dxa"/>
          </w:tcPr>
          <w:p>
            <w:pPr>
              <w:spacing w:before="56"/>
              <w:ind w:right="129"/>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20≤X＜100</w:t>
            </w:r>
          </w:p>
        </w:tc>
        <w:tc>
          <w:tcPr>
            <w:tcW w:w="884" w:type="dxa"/>
          </w:tcPr>
          <w:p>
            <w:pPr>
              <w:spacing w:before="56"/>
              <w:ind w:left="2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8" w:hRule="atLeast"/>
        </w:trPr>
        <w:tc>
          <w:tcPr>
            <w:tcW w:w="1288" w:type="dxa"/>
            <w:vMerge w:val="continue"/>
            <w:tcBorders>
              <w:top w:val="nil"/>
            </w:tcBorders>
          </w:tcPr>
          <w:p>
            <w:pPr>
              <w:outlineLvl w:val="9"/>
              <w:rPr>
                <w:rFonts w:ascii="方正仿宋_GB2312" w:hAnsi="方正仿宋_GB2312" w:eastAsia="方正仿宋_GB2312" w:cs="方正仿宋_GB2312"/>
                <w:highlight w:val="none"/>
              </w:rPr>
            </w:pPr>
          </w:p>
        </w:tc>
        <w:tc>
          <w:tcPr>
            <w:tcW w:w="1551" w:type="dxa"/>
          </w:tcPr>
          <w:p>
            <w:pPr>
              <w:spacing w:before="5"/>
              <w:outlineLvl w:val="9"/>
              <w:rPr>
                <w:rFonts w:ascii="方正仿宋_GB2312" w:hAnsi="方正仿宋_GB2312" w:eastAsia="方正仿宋_GB2312" w:cs="方正仿宋_GB2312"/>
                <w:b/>
                <w:highlight w:val="none"/>
              </w:rPr>
            </w:pPr>
          </w:p>
          <w:p>
            <w:pPr>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Pr>
          <w:p>
            <w:pPr>
              <w:spacing w:before="5"/>
              <w:outlineLvl w:val="9"/>
              <w:rPr>
                <w:rFonts w:ascii="方正仿宋_GB2312" w:hAnsi="方正仿宋_GB2312" w:eastAsia="方正仿宋_GB2312" w:cs="方正仿宋_GB2312"/>
                <w:b/>
                <w:highlight w:val="none"/>
              </w:rPr>
            </w:pPr>
          </w:p>
          <w:p>
            <w:pPr>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5"/>
              <w:outlineLvl w:val="9"/>
              <w:rPr>
                <w:rFonts w:ascii="方正仿宋_GB2312" w:hAnsi="方正仿宋_GB2312" w:eastAsia="方正仿宋_GB2312" w:cs="方正仿宋_GB2312"/>
                <w:b/>
                <w:highlight w:val="none"/>
              </w:rPr>
            </w:pPr>
          </w:p>
          <w:p>
            <w:pPr>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Y≥30000</w:t>
            </w:r>
          </w:p>
        </w:tc>
        <w:tc>
          <w:tcPr>
            <w:tcW w:w="1526" w:type="dxa"/>
          </w:tcPr>
          <w:p>
            <w:pPr>
              <w:spacing w:before="5"/>
              <w:outlineLvl w:val="9"/>
              <w:rPr>
                <w:rFonts w:ascii="方正仿宋_GB2312" w:hAnsi="方正仿宋_GB2312" w:eastAsia="方正仿宋_GB2312" w:cs="方正仿宋_GB2312"/>
                <w:b/>
                <w:highlight w:val="none"/>
              </w:rPr>
            </w:pPr>
          </w:p>
          <w:p>
            <w:pPr>
              <w:ind w:left="114"/>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1000≤Y＜30000</w:t>
            </w:r>
          </w:p>
        </w:tc>
        <w:tc>
          <w:tcPr>
            <w:tcW w:w="1346" w:type="dxa"/>
          </w:tcPr>
          <w:p>
            <w:pPr>
              <w:spacing w:before="80"/>
              <w:ind w:left="218" w:right="11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100≤Y＜</w:t>
            </w:r>
          </w:p>
          <w:p>
            <w:pPr>
              <w:spacing w:before="43"/>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1000</w:t>
            </w:r>
          </w:p>
        </w:tc>
        <w:tc>
          <w:tcPr>
            <w:tcW w:w="884" w:type="dxa"/>
          </w:tcPr>
          <w:p>
            <w:pPr>
              <w:spacing w:before="5"/>
              <w:outlineLvl w:val="9"/>
              <w:rPr>
                <w:rFonts w:ascii="方正仿宋_GB2312" w:hAnsi="方正仿宋_GB2312" w:eastAsia="方正仿宋_GB2312" w:cs="方正仿宋_GB2312"/>
                <w:b/>
                <w:highlight w:val="none"/>
              </w:rPr>
            </w:pPr>
          </w:p>
          <w:p>
            <w:pPr>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pPr>
              <w:spacing w:before="7"/>
              <w:outlineLvl w:val="9"/>
              <w:rPr>
                <w:rFonts w:ascii="方正仿宋_GB2312" w:hAnsi="方正仿宋_GB2312" w:eastAsia="方正仿宋_GB2312" w:cs="方正仿宋_GB2312"/>
                <w:b/>
                <w:highlight w:val="none"/>
              </w:rPr>
            </w:pPr>
          </w:p>
          <w:p>
            <w:pPr>
              <w:ind w:left="10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邮政业</w:t>
            </w:r>
          </w:p>
        </w:tc>
        <w:tc>
          <w:tcPr>
            <w:tcW w:w="1551" w:type="dxa"/>
          </w:tcPr>
          <w:p>
            <w:pPr>
              <w:spacing w:before="56"/>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从业人员(X)</w:t>
            </w:r>
          </w:p>
        </w:tc>
        <w:tc>
          <w:tcPr>
            <w:tcW w:w="1077" w:type="dxa"/>
          </w:tcPr>
          <w:p>
            <w:pPr>
              <w:spacing w:before="56"/>
              <w:ind w:left="6"/>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人</w:t>
            </w:r>
          </w:p>
        </w:tc>
        <w:tc>
          <w:tcPr>
            <w:tcW w:w="949" w:type="dxa"/>
          </w:tcPr>
          <w:p>
            <w:pPr>
              <w:spacing w:before="56"/>
              <w:ind w:right="186"/>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X≥1000</w:t>
            </w:r>
          </w:p>
        </w:tc>
        <w:tc>
          <w:tcPr>
            <w:tcW w:w="1526" w:type="dxa"/>
          </w:tcPr>
          <w:p>
            <w:pPr>
              <w:spacing w:before="56"/>
              <w:ind w:left="219"/>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300≤X＜1000</w:t>
            </w:r>
          </w:p>
        </w:tc>
        <w:tc>
          <w:tcPr>
            <w:tcW w:w="1346" w:type="dxa"/>
          </w:tcPr>
          <w:p>
            <w:pPr>
              <w:spacing w:before="56"/>
              <w:ind w:right="129"/>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20≤X＜300</w:t>
            </w:r>
          </w:p>
        </w:tc>
        <w:tc>
          <w:tcPr>
            <w:tcW w:w="884" w:type="dxa"/>
          </w:tcPr>
          <w:p>
            <w:pPr>
              <w:spacing w:before="56"/>
              <w:ind w:left="2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X＜20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1288" w:type="dxa"/>
            <w:vMerge w:val="continue"/>
            <w:tcBorders>
              <w:top w:val="nil"/>
            </w:tcBorders>
          </w:tcPr>
          <w:p>
            <w:pPr>
              <w:outlineLvl w:val="9"/>
              <w:rPr>
                <w:rFonts w:ascii="方正仿宋_GB2312" w:hAnsi="方正仿宋_GB2312" w:eastAsia="方正仿宋_GB2312" w:cs="方正仿宋_GB2312"/>
                <w:highlight w:val="none"/>
              </w:rPr>
            </w:pPr>
          </w:p>
        </w:tc>
        <w:tc>
          <w:tcPr>
            <w:tcW w:w="1551" w:type="dxa"/>
          </w:tcPr>
          <w:p>
            <w:pPr>
              <w:spacing w:before="173"/>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Pr>
          <w:p>
            <w:pPr>
              <w:spacing w:before="173"/>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173"/>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Y≥30000</w:t>
            </w:r>
          </w:p>
        </w:tc>
        <w:tc>
          <w:tcPr>
            <w:tcW w:w="1526" w:type="dxa"/>
          </w:tcPr>
          <w:p>
            <w:pPr>
              <w:spacing w:before="173"/>
              <w:ind w:left="114"/>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2000≤Y＜30000</w:t>
            </w:r>
          </w:p>
        </w:tc>
        <w:tc>
          <w:tcPr>
            <w:tcW w:w="1346" w:type="dxa"/>
          </w:tcPr>
          <w:p>
            <w:pPr>
              <w:spacing w:before="25"/>
              <w:ind w:left="218" w:right="11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100≤Y＜</w:t>
            </w:r>
          </w:p>
          <w:p>
            <w:pPr>
              <w:spacing w:before="43" w:line="255" w:lineRule="exact"/>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2000</w:t>
            </w:r>
          </w:p>
        </w:tc>
        <w:tc>
          <w:tcPr>
            <w:tcW w:w="884" w:type="dxa"/>
          </w:tcPr>
          <w:p>
            <w:pPr>
              <w:spacing w:before="173"/>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pPr>
              <w:spacing w:before="6"/>
              <w:outlineLvl w:val="9"/>
              <w:rPr>
                <w:rFonts w:ascii="方正仿宋_GB2312" w:hAnsi="方正仿宋_GB2312" w:eastAsia="方正仿宋_GB2312" w:cs="方正仿宋_GB2312"/>
                <w:b/>
                <w:highlight w:val="none"/>
              </w:rPr>
            </w:pPr>
          </w:p>
          <w:p>
            <w:pPr>
              <w:ind w:left="10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住宿业</w:t>
            </w:r>
          </w:p>
        </w:tc>
        <w:tc>
          <w:tcPr>
            <w:tcW w:w="1551" w:type="dxa"/>
          </w:tcPr>
          <w:p>
            <w:pPr>
              <w:spacing w:before="54"/>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从业人员(X)</w:t>
            </w:r>
          </w:p>
        </w:tc>
        <w:tc>
          <w:tcPr>
            <w:tcW w:w="1077" w:type="dxa"/>
          </w:tcPr>
          <w:p>
            <w:pPr>
              <w:spacing w:before="54"/>
              <w:ind w:left="6"/>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人</w:t>
            </w:r>
          </w:p>
        </w:tc>
        <w:tc>
          <w:tcPr>
            <w:tcW w:w="949" w:type="dxa"/>
          </w:tcPr>
          <w:p>
            <w:pPr>
              <w:spacing w:before="54"/>
              <w:ind w:right="241"/>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X≥300</w:t>
            </w:r>
          </w:p>
        </w:tc>
        <w:tc>
          <w:tcPr>
            <w:tcW w:w="1526" w:type="dxa"/>
          </w:tcPr>
          <w:p>
            <w:pPr>
              <w:spacing w:before="54"/>
              <w:ind w:left="21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100≤X＜300</w:t>
            </w:r>
          </w:p>
        </w:tc>
        <w:tc>
          <w:tcPr>
            <w:tcW w:w="1346" w:type="dxa"/>
          </w:tcPr>
          <w:p>
            <w:pPr>
              <w:spacing w:before="54"/>
              <w:ind w:right="129"/>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10≤X＜100</w:t>
            </w:r>
          </w:p>
        </w:tc>
        <w:tc>
          <w:tcPr>
            <w:tcW w:w="884" w:type="dxa"/>
          </w:tcPr>
          <w:p>
            <w:pPr>
              <w:spacing w:before="54"/>
              <w:ind w:left="2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288" w:type="dxa"/>
            <w:vMerge w:val="continue"/>
            <w:tcBorders>
              <w:top w:val="nil"/>
            </w:tcBorders>
          </w:tcPr>
          <w:p>
            <w:pPr>
              <w:outlineLvl w:val="9"/>
              <w:rPr>
                <w:rFonts w:ascii="方正仿宋_GB2312" w:hAnsi="方正仿宋_GB2312" w:eastAsia="方正仿宋_GB2312" w:cs="方正仿宋_GB2312"/>
                <w:highlight w:val="none"/>
              </w:rPr>
            </w:pPr>
          </w:p>
        </w:tc>
        <w:tc>
          <w:tcPr>
            <w:tcW w:w="1551" w:type="dxa"/>
          </w:tcPr>
          <w:p>
            <w:pPr>
              <w:spacing w:before="157"/>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Pr>
          <w:p>
            <w:pPr>
              <w:spacing w:before="157"/>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157"/>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Y≥10000</w:t>
            </w:r>
          </w:p>
        </w:tc>
        <w:tc>
          <w:tcPr>
            <w:tcW w:w="1526" w:type="dxa"/>
          </w:tcPr>
          <w:p>
            <w:pPr>
              <w:spacing w:before="157"/>
              <w:ind w:left="114"/>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2000≤Y＜10000</w:t>
            </w:r>
          </w:p>
        </w:tc>
        <w:tc>
          <w:tcPr>
            <w:tcW w:w="1346" w:type="dxa"/>
          </w:tcPr>
          <w:p>
            <w:pPr>
              <w:spacing w:before="22"/>
              <w:ind w:left="218" w:right="11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100≤Y＜</w:t>
            </w:r>
          </w:p>
          <w:p>
            <w:pPr>
              <w:spacing w:before="43" w:line="228" w:lineRule="exact"/>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2000</w:t>
            </w:r>
          </w:p>
        </w:tc>
        <w:tc>
          <w:tcPr>
            <w:tcW w:w="884" w:type="dxa"/>
          </w:tcPr>
          <w:p>
            <w:pPr>
              <w:spacing w:before="157"/>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pPr>
              <w:spacing w:before="5"/>
              <w:outlineLvl w:val="9"/>
              <w:rPr>
                <w:rFonts w:ascii="方正仿宋_GB2312" w:hAnsi="方正仿宋_GB2312" w:eastAsia="方正仿宋_GB2312" w:cs="方正仿宋_GB2312"/>
                <w:b/>
                <w:highlight w:val="none"/>
              </w:rPr>
            </w:pPr>
          </w:p>
          <w:p>
            <w:pPr>
              <w:ind w:left="10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餐饮业</w:t>
            </w:r>
          </w:p>
        </w:tc>
        <w:tc>
          <w:tcPr>
            <w:tcW w:w="1551" w:type="dxa"/>
          </w:tcPr>
          <w:p>
            <w:pPr>
              <w:spacing w:before="54"/>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从业人员(X)</w:t>
            </w:r>
          </w:p>
        </w:tc>
        <w:tc>
          <w:tcPr>
            <w:tcW w:w="1077" w:type="dxa"/>
          </w:tcPr>
          <w:p>
            <w:pPr>
              <w:spacing w:before="54"/>
              <w:ind w:left="6"/>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人</w:t>
            </w:r>
          </w:p>
        </w:tc>
        <w:tc>
          <w:tcPr>
            <w:tcW w:w="949" w:type="dxa"/>
          </w:tcPr>
          <w:p>
            <w:pPr>
              <w:spacing w:before="54"/>
              <w:ind w:right="241"/>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X≥300</w:t>
            </w:r>
          </w:p>
        </w:tc>
        <w:tc>
          <w:tcPr>
            <w:tcW w:w="1526" w:type="dxa"/>
          </w:tcPr>
          <w:p>
            <w:pPr>
              <w:spacing w:before="54"/>
              <w:ind w:left="21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100≤X＜300</w:t>
            </w:r>
          </w:p>
        </w:tc>
        <w:tc>
          <w:tcPr>
            <w:tcW w:w="1346" w:type="dxa"/>
          </w:tcPr>
          <w:p>
            <w:pPr>
              <w:spacing w:before="54"/>
              <w:ind w:right="129"/>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10≤X＜100</w:t>
            </w:r>
          </w:p>
        </w:tc>
        <w:tc>
          <w:tcPr>
            <w:tcW w:w="884" w:type="dxa"/>
          </w:tcPr>
          <w:p>
            <w:pPr>
              <w:spacing w:before="54"/>
              <w:ind w:left="2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288" w:type="dxa"/>
            <w:vMerge w:val="continue"/>
            <w:tcBorders>
              <w:top w:val="nil"/>
            </w:tcBorders>
          </w:tcPr>
          <w:p>
            <w:pPr>
              <w:outlineLvl w:val="9"/>
              <w:rPr>
                <w:rFonts w:ascii="方正仿宋_GB2312" w:hAnsi="方正仿宋_GB2312" w:eastAsia="方正仿宋_GB2312" w:cs="方正仿宋_GB2312"/>
                <w:highlight w:val="none"/>
              </w:rPr>
            </w:pPr>
          </w:p>
        </w:tc>
        <w:tc>
          <w:tcPr>
            <w:tcW w:w="1551" w:type="dxa"/>
          </w:tcPr>
          <w:p>
            <w:pPr>
              <w:spacing w:before="157"/>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Pr>
          <w:p>
            <w:pPr>
              <w:spacing w:before="157"/>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157"/>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Y≥10000</w:t>
            </w:r>
          </w:p>
        </w:tc>
        <w:tc>
          <w:tcPr>
            <w:tcW w:w="1526" w:type="dxa"/>
          </w:tcPr>
          <w:p>
            <w:pPr>
              <w:spacing w:before="157"/>
              <w:ind w:left="114"/>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2000≤Y＜10000</w:t>
            </w:r>
          </w:p>
        </w:tc>
        <w:tc>
          <w:tcPr>
            <w:tcW w:w="1346" w:type="dxa"/>
          </w:tcPr>
          <w:p>
            <w:pPr>
              <w:spacing w:before="22"/>
              <w:ind w:left="218" w:right="11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100≤Y＜</w:t>
            </w:r>
          </w:p>
          <w:p>
            <w:pPr>
              <w:spacing w:before="43" w:line="228" w:lineRule="exact"/>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2000</w:t>
            </w:r>
          </w:p>
        </w:tc>
        <w:tc>
          <w:tcPr>
            <w:tcW w:w="884" w:type="dxa"/>
          </w:tcPr>
          <w:p>
            <w:pPr>
              <w:spacing w:before="157"/>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vMerge w:val="restart"/>
          </w:tcPr>
          <w:p>
            <w:pPr>
              <w:spacing w:before="2"/>
              <w:outlineLvl w:val="9"/>
              <w:rPr>
                <w:rFonts w:ascii="方正仿宋_GB2312" w:hAnsi="方正仿宋_GB2312" w:eastAsia="方正仿宋_GB2312" w:cs="方正仿宋_GB2312"/>
                <w:b/>
                <w:highlight w:val="none"/>
              </w:rPr>
            </w:pPr>
          </w:p>
          <w:p>
            <w:pPr>
              <w:ind w:left="10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信息传输业 *</w:t>
            </w:r>
          </w:p>
        </w:tc>
        <w:tc>
          <w:tcPr>
            <w:tcW w:w="1551" w:type="dxa"/>
          </w:tcPr>
          <w:p>
            <w:pPr>
              <w:spacing w:before="56"/>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从业人员(X)</w:t>
            </w:r>
          </w:p>
        </w:tc>
        <w:tc>
          <w:tcPr>
            <w:tcW w:w="1077" w:type="dxa"/>
          </w:tcPr>
          <w:p>
            <w:pPr>
              <w:spacing w:before="56"/>
              <w:ind w:left="6"/>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人</w:t>
            </w:r>
          </w:p>
        </w:tc>
        <w:tc>
          <w:tcPr>
            <w:tcW w:w="949" w:type="dxa"/>
          </w:tcPr>
          <w:p>
            <w:pPr>
              <w:spacing w:before="56"/>
              <w:ind w:right="186"/>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X≥2000</w:t>
            </w:r>
          </w:p>
        </w:tc>
        <w:tc>
          <w:tcPr>
            <w:tcW w:w="1526" w:type="dxa"/>
          </w:tcPr>
          <w:p>
            <w:pPr>
              <w:spacing w:before="56"/>
              <w:ind w:left="219"/>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100≤X＜2000</w:t>
            </w:r>
          </w:p>
        </w:tc>
        <w:tc>
          <w:tcPr>
            <w:tcW w:w="1346" w:type="dxa"/>
          </w:tcPr>
          <w:p>
            <w:pPr>
              <w:spacing w:before="56"/>
              <w:ind w:right="129"/>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10≤X＜100</w:t>
            </w:r>
          </w:p>
        </w:tc>
        <w:tc>
          <w:tcPr>
            <w:tcW w:w="884" w:type="dxa"/>
          </w:tcPr>
          <w:p>
            <w:pPr>
              <w:spacing w:before="56"/>
              <w:ind w:left="2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9" w:hRule="atLeast"/>
        </w:trPr>
        <w:tc>
          <w:tcPr>
            <w:tcW w:w="1288" w:type="dxa"/>
            <w:vMerge w:val="continue"/>
            <w:tcBorders>
              <w:top w:val="nil"/>
            </w:tcBorders>
          </w:tcPr>
          <w:p>
            <w:pPr>
              <w:outlineLvl w:val="9"/>
              <w:rPr>
                <w:rFonts w:ascii="方正仿宋_GB2312" w:hAnsi="方正仿宋_GB2312" w:eastAsia="方正仿宋_GB2312" w:cs="方正仿宋_GB2312"/>
                <w:highlight w:val="none"/>
              </w:rPr>
            </w:pPr>
          </w:p>
        </w:tc>
        <w:tc>
          <w:tcPr>
            <w:tcW w:w="1551" w:type="dxa"/>
          </w:tcPr>
          <w:p>
            <w:pPr>
              <w:spacing w:before="166"/>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Pr>
          <w:p>
            <w:pPr>
              <w:spacing w:before="166"/>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22"/>
              <w:ind w:left="226" w:right="225"/>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w:t>
            </w:r>
          </w:p>
          <w:p>
            <w:pPr>
              <w:spacing w:before="43" w:line="245" w:lineRule="exact"/>
              <w:ind w:left="226" w:right="225"/>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100000</w:t>
            </w:r>
          </w:p>
        </w:tc>
        <w:tc>
          <w:tcPr>
            <w:tcW w:w="1526" w:type="dxa"/>
          </w:tcPr>
          <w:p>
            <w:pPr>
              <w:spacing w:before="22"/>
              <w:ind w:left="4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1000≤Y＜</w:t>
            </w:r>
          </w:p>
          <w:p>
            <w:pPr>
              <w:spacing w:before="43" w:line="245" w:lineRule="exact"/>
              <w:ind w:left="534"/>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100000</w:t>
            </w:r>
          </w:p>
        </w:tc>
        <w:tc>
          <w:tcPr>
            <w:tcW w:w="1346" w:type="dxa"/>
          </w:tcPr>
          <w:p>
            <w:pPr>
              <w:spacing w:before="22"/>
              <w:ind w:left="218" w:right="11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100≤Y＜</w:t>
            </w:r>
          </w:p>
          <w:p>
            <w:pPr>
              <w:spacing w:before="43" w:line="245" w:lineRule="exact"/>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1000</w:t>
            </w:r>
          </w:p>
        </w:tc>
        <w:tc>
          <w:tcPr>
            <w:tcW w:w="884" w:type="dxa"/>
          </w:tcPr>
          <w:p>
            <w:pPr>
              <w:spacing w:before="166"/>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88" w:type="dxa"/>
            <w:vMerge w:val="restart"/>
          </w:tcPr>
          <w:p>
            <w:pPr>
              <w:spacing w:before="10"/>
              <w:outlineLvl w:val="9"/>
              <w:rPr>
                <w:rFonts w:ascii="方正仿宋_GB2312" w:hAnsi="方正仿宋_GB2312" w:eastAsia="方正仿宋_GB2312" w:cs="方正仿宋_GB2312"/>
                <w:b/>
                <w:highlight w:val="none"/>
              </w:rPr>
            </w:pPr>
          </w:p>
          <w:p>
            <w:pPr>
              <w:spacing w:line="278" w:lineRule="auto"/>
              <w:ind w:left="107" w:right="23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软件和信息技术服务业</w:t>
            </w:r>
          </w:p>
        </w:tc>
        <w:tc>
          <w:tcPr>
            <w:tcW w:w="1551" w:type="dxa"/>
          </w:tcPr>
          <w:p>
            <w:pPr>
              <w:spacing w:before="27"/>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从业人员(X)</w:t>
            </w:r>
          </w:p>
        </w:tc>
        <w:tc>
          <w:tcPr>
            <w:tcW w:w="1077" w:type="dxa"/>
          </w:tcPr>
          <w:p>
            <w:pPr>
              <w:spacing w:before="27"/>
              <w:ind w:left="6"/>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人</w:t>
            </w:r>
          </w:p>
        </w:tc>
        <w:tc>
          <w:tcPr>
            <w:tcW w:w="949" w:type="dxa"/>
          </w:tcPr>
          <w:p>
            <w:pPr>
              <w:spacing w:before="27"/>
              <w:ind w:right="241"/>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X≥300</w:t>
            </w:r>
          </w:p>
        </w:tc>
        <w:tc>
          <w:tcPr>
            <w:tcW w:w="1526" w:type="dxa"/>
          </w:tcPr>
          <w:p>
            <w:pPr>
              <w:spacing w:before="27"/>
              <w:ind w:left="21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100≤X＜300</w:t>
            </w:r>
          </w:p>
        </w:tc>
        <w:tc>
          <w:tcPr>
            <w:tcW w:w="1346" w:type="dxa"/>
          </w:tcPr>
          <w:p>
            <w:pPr>
              <w:spacing w:before="27"/>
              <w:ind w:right="129"/>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10≤X＜100</w:t>
            </w:r>
          </w:p>
        </w:tc>
        <w:tc>
          <w:tcPr>
            <w:tcW w:w="884" w:type="dxa"/>
          </w:tcPr>
          <w:p>
            <w:pPr>
              <w:spacing w:before="27"/>
              <w:ind w:left="2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1288" w:type="dxa"/>
            <w:vMerge w:val="continue"/>
            <w:tcBorders>
              <w:top w:val="nil"/>
            </w:tcBorders>
          </w:tcPr>
          <w:p>
            <w:pPr>
              <w:outlineLvl w:val="9"/>
              <w:rPr>
                <w:rFonts w:ascii="方正仿宋_GB2312" w:hAnsi="方正仿宋_GB2312" w:eastAsia="方正仿宋_GB2312" w:cs="方正仿宋_GB2312"/>
                <w:highlight w:val="none"/>
              </w:rPr>
            </w:pPr>
          </w:p>
        </w:tc>
        <w:tc>
          <w:tcPr>
            <w:tcW w:w="1551" w:type="dxa"/>
          </w:tcPr>
          <w:p>
            <w:pPr>
              <w:spacing w:before="193"/>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Pr>
          <w:p>
            <w:pPr>
              <w:outlineLvl w:val="9"/>
              <w:rPr>
                <w:rFonts w:ascii="方正仿宋_GB2312" w:hAnsi="方正仿宋_GB2312" w:eastAsia="方正仿宋_GB2312" w:cs="方正仿宋_GB2312"/>
                <w:b/>
                <w:highlight w:val="none"/>
              </w:rPr>
            </w:pPr>
          </w:p>
          <w:p>
            <w:pPr>
              <w:spacing w:before="1"/>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193"/>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Y≥10000</w:t>
            </w:r>
          </w:p>
        </w:tc>
        <w:tc>
          <w:tcPr>
            <w:tcW w:w="1526" w:type="dxa"/>
          </w:tcPr>
          <w:p>
            <w:pPr>
              <w:spacing w:before="193"/>
              <w:ind w:left="114"/>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1000≤Y＜10000</w:t>
            </w:r>
          </w:p>
        </w:tc>
        <w:tc>
          <w:tcPr>
            <w:tcW w:w="1346" w:type="dxa"/>
          </w:tcPr>
          <w:p>
            <w:pPr>
              <w:spacing w:before="37"/>
              <w:ind w:left="44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50≤Y＜</w:t>
            </w:r>
          </w:p>
          <w:p>
            <w:pPr>
              <w:spacing w:before="43"/>
              <w:ind w:left="499"/>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1000</w:t>
            </w:r>
          </w:p>
        </w:tc>
        <w:tc>
          <w:tcPr>
            <w:tcW w:w="884" w:type="dxa"/>
          </w:tcPr>
          <w:p>
            <w:pPr>
              <w:spacing w:before="193"/>
              <w:ind w:left="2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trPr>
        <w:tc>
          <w:tcPr>
            <w:tcW w:w="1288" w:type="dxa"/>
            <w:vMerge w:val="restart"/>
          </w:tcPr>
          <w:p>
            <w:pPr>
              <w:outlineLvl w:val="9"/>
              <w:rPr>
                <w:rFonts w:ascii="方正仿宋_GB2312" w:hAnsi="方正仿宋_GB2312" w:eastAsia="方正仿宋_GB2312" w:cs="方正仿宋_GB2312"/>
                <w:b/>
                <w:highlight w:val="none"/>
              </w:rPr>
            </w:pPr>
          </w:p>
          <w:p>
            <w:pPr>
              <w:spacing w:before="9"/>
              <w:outlineLvl w:val="9"/>
              <w:rPr>
                <w:rFonts w:ascii="方正仿宋_GB2312" w:hAnsi="方正仿宋_GB2312" w:eastAsia="方正仿宋_GB2312" w:cs="方正仿宋_GB2312"/>
                <w:b/>
                <w:highlight w:val="none"/>
              </w:rPr>
            </w:pPr>
          </w:p>
          <w:p>
            <w:pPr>
              <w:ind w:left="10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房地产开发经营</w:t>
            </w:r>
          </w:p>
        </w:tc>
        <w:tc>
          <w:tcPr>
            <w:tcW w:w="1551" w:type="dxa"/>
          </w:tcPr>
          <w:p>
            <w:pPr>
              <w:spacing w:before="1"/>
              <w:outlineLvl w:val="9"/>
              <w:rPr>
                <w:rFonts w:ascii="方正仿宋_GB2312" w:hAnsi="方正仿宋_GB2312" w:eastAsia="方正仿宋_GB2312" w:cs="方正仿宋_GB2312"/>
                <w:b/>
                <w:highlight w:val="none"/>
              </w:rPr>
            </w:pPr>
          </w:p>
          <w:p>
            <w:pPr>
              <w:spacing w:before="1"/>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Pr>
          <w:p>
            <w:pPr>
              <w:spacing w:before="1"/>
              <w:outlineLvl w:val="9"/>
              <w:rPr>
                <w:rFonts w:ascii="方正仿宋_GB2312" w:hAnsi="方正仿宋_GB2312" w:eastAsia="方正仿宋_GB2312" w:cs="方正仿宋_GB2312"/>
                <w:b/>
                <w:highlight w:val="none"/>
              </w:rPr>
            </w:pPr>
          </w:p>
          <w:p>
            <w:pPr>
              <w:spacing w:before="1"/>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23" w:line="310" w:lineRule="atLeast"/>
              <w:ind w:left="244" w:right="228" w:firstLine="15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 200000</w:t>
            </w:r>
          </w:p>
        </w:tc>
        <w:tc>
          <w:tcPr>
            <w:tcW w:w="1526" w:type="dxa"/>
          </w:tcPr>
          <w:p>
            <w:pPr>
              <w:spacing w:before="64"/>
              <w:ind w:left="4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1000≤Y＜</w:t>
            </w:r>
          </w:p>
          <w:p>
            <w:pPr>
              <w:spacing w:before="42"/>
              <w:ind w:left="534"/>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200000</w:t>
            </w:r>
          </w:p>
        </w:tc>
        <w:tc>
          <w:tcPr>
            <w:tcW w:w="1346" w:type="dxa"/>
          </w:tcPr>
          <w:p>
            <w:pPr>
              <w:spacing w:before="64"/>
              <w:ind w:left="218" w:right="11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100≤Y＜</w:t>
            </w:r>
          </w:p>
          <w:p>
            <w:pPr>
              <w:spacing w:before="42"/>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1000</w:t>
            </w:r>
          </w:p>
        </w:tc>
        <w:tc>
          <w:tcPr>
            <w:tcW w:w="884" w:type="dxa"/>
          </w:tcPr>
          <w:p>
            <w:pPr>
              <w:spacing w:before="1"/>
              <w:outlineLvl w:val="9"/>
              <w:rPr>
                <w:rFonts w:ascii="方正仿宋_GB2312" w:hAnsi="方正仿宋_GB2312" w:eastAsia="方正仿宋_GB2312" w:cs="方正仿宋_GB2312"/>
                <w:b/>
                <w:highlight w:val="none"/>
              </w:rPr>
            </w:pPr>
          </w:p>
          <w:p>
            <w:pPr>
              <w:spacing w:before="1"/>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6" w:hRule="atLeast"/>
        </w:trPr>
        <w:tc>
          <w:tcPr>
            <w:tcW w:w="1288" w:type="dxa"/>
            <w:vMerge w:val="continue"/>
            <w:tcBorders>
              <w:top w:val="nil"/>
            </w:tcBorders>
          </w:tcPr>
          <w:p>
            <w:pPr>
              <w:outlineLvl w:val="9"/>
              <w:rPr>
                <w:rFonts w:ascii="方正仿宋_GB2312" w:hAnsi="方正仿宋_GB2312" w:eastAsia="方正仿宋_GB2312" w:cs="方正仿宋_GB2312"/>
                <w:highlight w:val="none"/>
              </w:rPr>
            </w:pPr>
          </w:p>
        </w:tc>
        <w:tc>
          <w:tcPr>
            <w:tcW w:w="1551" w:type="dxa"/>
          </w:tcPr>
          <w:p>
            <w:pPr>
              <w:spacing w:before="205"/>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资产总额(Z)</w:t>
            </w:r>
          </w:p>
        </w:tc>
        <w:tc>
          <w:tcPr>
            <w:tcW w:w="1077" w:type="dxa"/>
          </w:tcPr>
          <w:p>
            <w:pPr>
              <w:outlineLvl w:val="9"/>
              <w:rPr>
                <w:rFonts w:ascii="方正仿宋_GB2312" w:hAnsi="方正仿宋_GB2312" w:eastAsia="方正仿宋_GB2312" w:cs="方正仿宋_GB2312"/>
                <w:b/>
                <w:highlight w:val="none"/>
              </w:rPr>
            </w:pPr>
          </w:p>
          <w:p>
            <w:pPr>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205"/>
              <w:ind w:right="133"/>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Z≥10000</w:t>
            </w:r>
          </w:p>
        </w:tc>
        <w:tc>
          <w:tcPr>
            <w:tcW w:w="1526" w:type="dxa"/>
          </w:tcPr>
          <w:p>
            <w:pPr>
              <w:spacing w:before="205"/>
              <w:ind w:left="114"/>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5000≤Z＜10000</w:t>
            </w:r>
          </w:p>
        </w:tc>
        <w:tc>
          <w:tcPr>
            <w:tcW w:w="1346" w:type="dxa"/>
          </w:tcPr>
          <w:p>
            <w:pPr>
              <w:spacing w:before="49"/>
              <w:ind w:left="218" w:right="218"/>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2000≤Z＜</w:t>
            </w:r>
          </w:p>
          <w:p>
            <w:pPr>
              <w:spacing w:before="43"/>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5000</w:t>
            </w:r>
          </w:p>
        </w:tc>
        <w:tc>
          <w:tcPr>
            <w:tcW w:w="884" w:type="dxa"/>
          </w:tcPr>
          <w:p>
            <w:pPr>
              <w:spacing w:before="205"/>
              <w:ind w:right="122"/>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Z＜2000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88" w:type="dxa"/>
            <w:vMerge w:val="restart"/>
          </w:tcPr>
          <w:p>
            <w:pPr>
              <w:spacing w:before="3"/>
              <w:outlineLvl w:val="9"/>
              <w:rPr>
                <w:rFonts w:ascii="方正仿宋_GB2312" w:hAnsi="方正仿宋_GB2312" w:eastAsia="方正仿宋_GB2312" w:cs="方正仿宋_GB2312"/>
                <w:b/>
                <w:highlight w:val="none"/>
              </w:rPr>
            </w:pPr>
          </w:p>
          <w:p>
            <w:pPr>
              <w:ind w:left="10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物业管理</w:t>
            </w:r>
          </w:p>
        </w:tc>
        <w:tc>
          <w:tcPr>
            <w:tcW w:w="1551" w:type="dxa"/>
          </w:tcPr>
          <w:p>
            <w:pPr>
              <w:spacing w:before="27"/>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从业人员(X)</w:t>
            </w:r>
          </w:p>
        </w:tc>
        <w:tc>
          <w:tcPr>
            <w:tcW w:w="1077" w:type="dxa"/>
          </w:tcPr>
          <w:p>
            <w:pPr>
              <w:spacing w:before="27"/>
              <w:ind w:left="6"/>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人</w:t>
            </w:r>
          </w:p>
        </w:tc>
        <w:tc>
          <w:tcPr>
            <w:tcW w:w="949" w:type="dxa"/>
          </w:tcPr>
          <w:p>
            <w:pPr>
              <w:spacing w:before="27"/>
              <w:ind w:right="186"/>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X≥1000</w:t>
            </w:r>
          </w:p>
        </w:tc>
        <w:tc>
          <w:tcPr>
            <w:tcW w:w="1526" w:type="dxa"/>
          </w:tcPr>
          <w:p>
            <w:pPr>
              <w:spacing w:before="27"/>
              <w:ind w:left="219"/>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300≤X＜1000</w:t>
            </w:r>
          </w:p>
        </w:tc>
        <w:tc>
          <w:tcPr>
            <w:tcW w:w="1346" w:type="dxa"/>
          </w:tcPr>
          <w:p>
            <w:pPr>
              <w:spacing w:before="27"/>
              <w:ind w:right="129"/>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100≤X＜300</w:t>
            </w:r>
          </w:p>
        </w:tc>
        <w:tc>
          <w:tcPr>
            <w:tcW w:w="884" w:type="dxa"/>
          </w:tcPr>
          <w:p>
            <w:pPr>
              <w:spacing w:before="27"/>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3" w:hRule="atLeast"/>
        </w:trPr>
        <w:tc>
          <w:tcPr>
            <w:tcW w:w="1288" w:type="dxa"/>
            <w:vMerge w:val="continue"/>
            <w:tcBorders>
              <w:top w:val="nil"/>
            </w:tcBorders>
          </w:tcPr>
          <w:p>
            <w:pPr>
              <w:outlineLvl w:val="9"/>
              <w:rPr>
                <w:rFonts w:ascii="方正仿宋_GB2312" w:hAnsi="方正仿宋_GB2312" w:eastAsia="方正仿宋_GB2312" w:cs="方正仿宋_GB2312"/>
                <w:highlight w:val="none"/>
              </w:rPr>
            </w:pPr>
          </w:p>
        </w:tc>
        <w:tc>
          <w:tcPr>
            <w:tcW w:w="1551" w:type="dxa"/>
          </w:tcPr>
          <w:p>
            <w:pPr>
              <w:spacing w:before="183"/>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营业收入(Y)</w:t>
            </w:r>
          </w:p>
        </w:tc>
        <w:tc>
          <w:tcPr>
            <w:tcW w:w="1077" w:type="dxa"/>
          </w:tcPr>
          <w:p>
            <w:pPr>
              <w:spacing w:before="4"/>
              <w:outlineLvl w:val="9"/>
              <w:rPr>
                <w:rFonts w:ascii="方正仿宋_GB2312" w:hAnsi="方正仿宋_GB2312" w:eastAsia="方正仿宋_GB2312" w:cs="方正仿宋_GB2312"/>
                <w:b/>
                <w:highlight w:val="none"/>
              </w:rPr>
            </w:pPr>
          </w:p>
          <w:p>
            <w:pPr>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183"/>
              <w:ind w:right="186"/>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Y≥5000</w:t>
            </w:r>
          </w:p>
        </w:tc>
        <w:tc>
          <w:tcPr>
            <w:tcW w:w="1526" w:type="dxa"/>
          </w:tcPr>
          <w:p>
            <w:pPr>
              <w:spacing w:before="183"/>
              <w:ind w:left="111"/>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1000≤Y＜5000</w:t>
            </w:r>
          </w:p>
        </w:tc>
        <w:tc>
          <w:tcPr>
            <w:tcW w:w="1346" w:type="dxa"/>
          </w:tcPr>
          <w:p>
            <w:pPr>
              <w:spacing w:before="27"/>
              <w:ind w:left="218" w:right="11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500≤Y＜</w:t>
            </w:r>
          </w:p>
          <w:p>
            <w:pPr>
              <w:spacing w:before="43"/>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1000</w:t>
            </w:r>
          </w:p>
        </w:tc>
        <w:tc>
          <w:tcPr>
            <w:tcW w:w="884" w:type="dxa"/>
          </w:tcPr>
          <w:p>
            <w:pPr>
              <w:spacing w:before="183"/>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Y＜500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288" w:type="dxa"/>
            <w:vMerge w:val="restart"/>
          </w:tcPr>
          <w:p>
            <w:pPr>
              <w:spacing w:before="166" w:line="278" w:lineRule="auto"/>
              <w:ind w:left="107" w:right="23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租赁和商务服务业</w:t>
            </w:r>
          </w:p>
        </w:tc>
        <w:tc>
          <w:tcPr>
            <w:tcW w:w="1551" w:type="dxa"/>
          </w:tcPr>
          <w:p>
            <w:pPr>
              <w:spacing w:before="27"/>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从业人员(X)</w:t>
            </w:r>
          </w:p>
        </w:tc>
        <w:tc>
          <w:tcPr>
            <w:tcW w:w="1077" w:type="dxa"/>
          </w:tcPr>
          <w:p>
            <w:pPr>
              <w:spacing w:before="27"/>
              <w:ind w:left="6"/>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人</w:t>
            </w:r>
          </w:p>
        </w:tc>
        <w:tc>
          <w:tcPr>
            <w:tcW w:w="949" w:type="dxa"/>
          </w:tcPr>
          <w:p>
            <w:pPr>
              <w:spacing w:before="27"/>
              <w:ind w:right="241"/>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X≥300</w:t>
            </w:r>
          </w:p>
        </w:tc>
        <w:tc>
          <w:tcPr>
            <w:tcW w:w="1526" w:type="dxa"/>
          </w:tcPr>
          <w:p>
            <w:pPr>
              <w:spacing w:before="27"/>
              <w:ind w:left="21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100≤X＜300</w:t>
            </w:r>
          </w:p>
        </w:tc>
        <w:tc>
          <w:tcPr>
            <w:tcW w:w="1346" w:type="dxa"/>
          </w:tcPr>
          <w:p>
            <w:pPr>
              <w:spacing w:before="27"/>
              <w:ind w:right="129"/>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10≤X＜100</w:t>
            </w:r>
          </w:p>
        </w:tc>
        <w:tc>
          <w:tcPr>
            <w:tcW w:w="884" w:type="dxa"/>
          </w:tcPr>
          <w:p>
            <w:pPr>
              <w:spacing w:before="27"/>
              <w:ind w:left="2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2" w:hRule="atLeast"/>
        </w:trPr>
        <w:tc>
          <w:tcPr>
            <w:tcW w:w="1288" w:type="dxa"/>
            <w:vMerge w:val="continue"/>
            <w:tcBorders>
              <w:top w:val="nil"/>
            </w:tcBorders>
          </w:tcPr>
          <w:p>
            <w:pPr>
              <w:outlineLvl w:val="9"/>
              <w:rPr>
                <w:rFonts w:ascii="方正仿宋_GB2312" w:hAnsi="方正仿宋_GB2312" w:eastAsia="方正仿宋_GB2312" w:cs="方正仿宋_GB2312"/>
                <w:highlight w:val="none"/>
              </w:rPr>
            </w:pPr>
          </w:p>
        </w:tc>
        <w:tc>
          <w:tcPr>
            <w:tcW w:w="1551" w:type="dxa"/>
          </w:tcPr>
          <w:p>
            <w:pPr>
              <w:spacing w:before="157"/>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资产总额(Z)</w:t>
            </w:r>
          </w:p>
        </w:tc>
        <w:tc>
          <w:tcPr>
            <w:tcW w:w="1077" w:type="dxa"/>
          </w:tcPr>
          <w:p>
            <w:pPr>
              <w:spacing w:before="157"/>
              <w:ind w:left="320" w:right="31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万元</w:t>
            </w:r>
          </w:p>
        </w:tc>
        <w:tc>
          <w:tcPr>
            <w:tcW w:w="949" w:type="dxa"/>
          </w:tcPr>
          <w:p>
            <w:pPr>
              <w:spacing w:before="22"/>
              <w:ind w:left="226" w:right="225"/>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Z≥</w:t>
            </w:r>
          </w:p>
          <w:p>
            <w:pPr>
              <w:spacing w:before="43" w:line="228" w:lineRule="exact"/>
              <w:ind w:left="226" w:right="225"/>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120000</w:t>
            </w:r>
          </w:p>
        </w:tc>
        <w:tc>
          <w:tcPr>
            <w:tcW w:w="1526" w:type="dxa"/>
          </w:tcPr>
          <w:p>
            <w:pPr>
              <w:spacing w:before="22"/>
              <w:ind w:left="4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8000≤Z＜</w:t>
            </w:r>
          </w:p>
          <w:p>
            <w:pPr>
              <w:spacing w:before="43" w:line="228" w:lineRule="exact"/>
              <w:ind w:left="534"/>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120000</w:t>
            </w:r>
          </w:p>
        </w:tc>
        <w:tc>
          <w:tcPr>
            <w:tcW w:w="1346" w:type="dxa"/>
          </w:tcPr>
          <w:p>
            <w:pPr>
              <w:spacing w:before="22"/>
              <w:ind w:left="218" w:right="11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100≤Z＜</w:t>
            </w:r>
          </w:p>
          <w:p>
            <w:pPr>
              <w:spacing w:before="43" w:line="228" w:lineRule="exact"/>
              <w:ind w:left="218" w:right="219"/>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8000</w:t>
            </w:r>
          </w:p>
        </w:tc>
        <w:tc>
          <w:tcPr>
            <w:tcW w:w="884" w:type="dxa"/>
          </w:tcPr>
          <w:p>
            <w:pPr>
              <w:spacing w:before="157"/>
              <w:ind w:right="175"/>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Z＜100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6" w:hRule="atLeast"/>
        </w:trPr>
        <w:tc>
          <w:tcPr>
            <w:tcW w:w="1288" w:type="dxa"/>
          </w:tcPr>
          <w:p>
            <w:pPr>
              <w:spacing w:before="22"/>
              <w:ind w:left="10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其他未列明行业</w:t>
            </w:r>
          </w:p>
        </w:tc>
        <w:tc>
          <w:tcPr>
            <w:tcW w:w="1551" w:type="dxa"/>
          </w:tcPr>
          <w:p>
            <w:pPr>
              <w:spacing w:before="56"/>
              <w:ind w:left="255" w:right="243"/>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从业人员(X)</w:t>
            </w:r>
          </w:p>
        </w:tc>
        <w:tc>
          <w:tcPr>
            <w:tcW w:w="1077" w:type="dxa"/>
          </w:tcPr>
          <w:p>
            <w:pPr>
              <w:spacing w:before="56"/>
              <w:ind w:left="6"/>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人</w:t>
            </w:r>
          </w:p>
        </w:tc>
        <w:tc>
          <w:tcPr>
            <w:tcW w:w="949" w:type="dxa"/>
          </w:tcPr>
          <w:p>
            <w:pPr>
              <w:spacing w:before="56"/>
              <w:ind w:right="241"/>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X≥300</w:t>
            </w:r>
          </w:p>
        </w:tc>
        <w:tc>
          <w:tcPr>
            <w:tcW w:w="1526" w:type="dxa"/>
          </w:tcPr>
          <w:p>
            <w:pPr>
              <w:spacing w:before="56"/>
              <w:ind w:left="217"/>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100≤X＜300</w:t>
            </w:r>
          </w:p>
        </w:tc>
        <w:tc>
          <w:tcPr>
            <w:tcW w:w="1346" w:type="dxa"/>
          </w:tcPr>
          <w:p>
            <w:pPr>
              <w:spacing w:before="56"/>
              <w:ind w:right="129"/>
              <w:jc w:val="right"/>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10≤X＜100</w:t>
            </w:r>
          </w:p>
        </w:tc>
        <w:tc>
          <w:tcPr>
            <w:tcW w:w="884" w:type="dxa"/>
          </w:tcPr>
          <w:p>
            <w:pPr>
              <w:spacing w:before="56"/>
              <w:ind w:left="228"/>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highlight w:val="none"/>
              </w:rPr>
              <w:t>X＜10</w:t>
            </w:r>
          </w:p>
        </w:tc>
      </w:tr>
    </w:tbl>
    <w:p>
      <w:pPr>
        <w:spacing w:before="240" w:line="360" w:lineRule="auto"/>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说明：</w:t>
      </w:r>
    </w:p>
    <w:p>
      <w:pPr>
        <w:spacing w:before="240" w:line="360" w:lineRule="auto"/>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1.大型、中型和小型企业须同时满足所列指标的下限，否则下划一档；微型企业只须满足所列指标中的一项即可。</w:t>
      </w:r>
    </w:p>
    <w:p>
      <w:pPr>
        <w:spacing w:before="240" w:line="360" w:lineRule="auto"/>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2.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widowControl/>
        <w:spacing w:before="240" w:line="360" w:lineRule="auto"/>
        <w:jc w:val="left"/>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spacing w:line="360" w:lineRule="auto"/>
        <w:jc w:val="center"/>
        <w:outlineLvl w:val="9"/>
        <w:rPr>
          <w:rFonts w:ascii="方正仿宋_GB2312" w:hAnsi="方正仿宋_GB2312" w:eastAsia="方正仿宋_GB2312" w:cs="方正仿宋_GB2312"/>
          <w:b/>
          <w:sz w:val="24"/>
          <w:szCs w:val="24"/>
          <w:highlight w:val="none"/>
        </w:rPr>
      </w:pPr>
      <w:bookmarkStart w:id="1200" w:name="_Toc530490773"/>
      <w:bookmarkStart w:id="1201" w:name="_Toc26957"/>
      <w:bookmarkStart w:id="1202" w:name="_Toc49273738"/>
      <w:bookmarkStart w:id="1203" w:name="_Toc521684021"/>
      <w:bookmarkStart w:id="1204" w:name="_Toc8449"/>
      <w:bookmarkStart w:id="1205" w:name="_Toc24838"/>
      <w:bookmarkStart w:id="1206" w:name="_Toc28603"/>
      <w:r>
        <w:rPr>
          <w:rFonts w:hint="eastAsia" w:ascii="方正仿宋_GB2312" w:hAnsi="方正仿宋_GB2312" w:eastAsia="方正仿宋_GB2312" w:cs="方正仿宋_GB2312"/>
          <w:b/>
          <w:sz w:val="24"/>
          <w:szCs w:val="24"/>
          <w:highlight w:val="none"/>
        </w:rPr>
        <w:t>四、残疾人福利性单位声明函</w:t>
      </w:r>
      <w:bookmarkEnd w:id="1200"/>
      <w:bookmarkEnd w:id="1201"/>
      <w:bookmarkEnd w:id="1202"/>
      <w:bookmarkEnd w:id="1203"/>
      <w:bookmarkEnd w:id="1204"/>
      <w:bookmarkEnd w:id="1205"/>
      <w:bookmarkEnd w:id="1206"/>
    </w:p>
    <w:p>
      <w:pPr>
        <w:spacing w:line="360" w:lineRule="auto"/>
        <w:ind w:firstLine="600" w:firstLineChars="250"/>
        <w:outlineLvl w:val="9"/>
        <w:rPr>
          <w:rFonts w:ascii="方正仿宋_GB2312" w:hAnsi="方正仿宋_GB2312" w:eastAsia="方正仿宋_GB2312" w:cs="方正仿宋_GB2312"/>
          <w:sz w:val="24"/>
          <w:szCs w:val="24"/>
          <w:highlight w:val="none"/>
        </w:rPr>
      </w:pPr>
    </w:p>
    <w:p>
      <w:pPr>
        <w:spacing w:line="360" w:lineRule="auto"/>
        <w:ind w:firstLine="600" w:firstLineChars="25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本单位郑重声明，根据《财政部、民政部、中国残疾人联合会关于促进残疾人就业政府采购政策的通知》（财库〔2017〕 141号）的规定，本单位为</w:t>
      </w:r>
      <w:r>
        <w:rPr>
          <w:rFonts w:hint="eastAsia" w:ascii="方正仿宋_GB2312" w:hAnsi="方正仿宋_GB2312" w:eastAsia="方正仿宋_GB2312" w:cs="方正仿宋_GB2312"/>
          <w:spacing w:val="6"/>
          <w:sz w:val="24"/>
          <w:szCs w:val="24"/>
          <w:highlight w:val="none"/>
        </w:rPr>
        <w:t>______（请填写：符合、不符合）</w:t>
      </w:r>
      <w:r>
        <w:rPr>
          <w:rFonts w:hint="eastAsia" w:ascii="方正仿宋_GB2312" w:hAnsi="方正仿宋_GB2312" w:eastAsia="方正仿宋_GB2312" w:cs="方正仿宋_GB2312"/>
          <w:sz w:val="24"/>
          <w:szCs w:val="24"/>
          <w:highlight w:val="none"/>
        </w:rPr>
        <w:t>条件的残疾人福利性单位，且本单位参加______单位的______项目采购活动由本单位提供服务。</w:t>
      </w: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本单位对上述声明的真实性负责。如有虚假，将依法承担相应责任。</w:t>
      </w:r>
    </w:p>
    <w:p>
      <w:pPr>
        <w:spacing w:line="360" w:lineRule="auto"/>
        <w:ind w:firstLine="480" w:firstLineChars="200"/>
        <w:outlineLvl w:val="9"/>
        <w:rPr>
          <w:rFonts w:ascii="方正仿宋_GB2312" w:hAnsi="方正仿宋_GB2312" w:eastAsia="方正仿宋_GB2312" w:cs="方正仿宋_GB2312"/>
          <w:sz w:val="24"/>
          <w:szCs w:val="24"/>
          <w:highlight w:val="none"/>
        </w:rPr>
      </w:pPr>
    </w:p>
    <w:p>
      <w:pPr>
        <w:spacing w:line="360" w:lineRule="auto"/>
        <w:ind w:firstLine="480" w:firstLineChars="200"/>
        <w:outlineLvl w:val="9"/>
        <w:rPr>
          <w:rFonts w:ascii="方正仿宋_GB2312" w:hAnsi="方正仿宋_GB2312" w:eastAsia="方正仿宋_GB2312" w:cs="方正仿宋_GB2312"/>
          <w:sz w:val="24"/>
          <w:szCs w:val="24"/>
          <w:highlight w:val="none"/>
        </w:rPr>
      </w:pPr>
    </w:p>
    <w:p>
      <w:pPr>
        <w:spacing w:line="360" w:lineRule="auto"/>
        <w:ind w:firstLine="2" w:firstLineChars="1"/>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firstLine="2" w:firstLineChars="1"/>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法定代表人和其委托代理人：</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日期 ：</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日</w:t>
      </w:r>
    </w:p>
    <w:p>
      <w:pPr>
        <w:spacing w:line="360" w:lineRule="auto"/>
        <w:outlineLvl w:val="9"/>
        <w:rPr>
          <w:rFonts w:ascii="方正仿宋_GB2312" w:hAnsi="方正仿宋_GB2312" w:eastAsia="方正仿宋_GB2312" w:cs="方正仿宋_GB2312"/>
          <w:sz w:val="24"/>
          <w:szCs w:val="24"/>
          <w:highlight w:val="none"/>
        </w:rPr>
      </w:pPr>
    </w:p>
    <w:p>
      <w:pPr>
        <w:spacing w:line="360" w:lineRule="auto"/>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注：（1）如不是残疾人福利性单位请自行说明或划/，不用填写本表，但不能删除格式。</w:t>
      </w:r>
    </w:p>
    <w:p>
      <w:pPr>
        <w:spacing w:line="360" w:lineRule="auto"/>
        <w:ind w:firstLine="723" w:firstLineChars="300"/>
        <w:outlineLvl w:val="9"/>
        <w:rPr>
          <w:rFonts w:ascii="方正仿宋_GB2312" w:hAnsi="方正仿宋_GB2312" w:eastAsia="方正仿宋_GB2312" w:cs="方正仿宋_GB2312"/>
          <w:b/>
          <w:sz w:val="24"/>
          <w:szCs w:val="24"/>
          <w:highlight w:val="none"/>
        </w:rPr>
      </w:pPr>
    </w:p>
    <w:p>
      <w:pPr>
        <w:spacing w:line="360" w:lineRule="auto"/>
        <w:ind w:firstLine="482" w:firstLineChars="200"/>
        <w:outlineLvl w:val="9"/>
        <w:rPr>
          <w:rFonts w:ascii="方正仿宋_GB2312" w:hAnsi="方正仿宋_GB2312" w:eastAsia="方正仿宋_GB2312" w:cs="方正仿宋_GB2312"/>
          <w:b/>
          <w:sz w:val="24"/>
          <w:szCs w:val="24"/>
          <w:highlight w:val="none"/>
        </w:rPr>
      </w:pPr>
    </w:p>
    <w:p>
      <w:pPr>
        <w:widowControl/>
        <w:spacing w:line="360" w:lineRule="auto"/>
        <w:jc w:val="left"/>
        <w:outlineLvl w:val="9"/>
        <w:rPr>
          <w:rFonts w:ascii="方正仿宋_GB2312" w:hAnsi="方正仿宋_GB2312" w:eastAsia="方正仿宋_GB2312" w:cs="方正仿宋_GB2312"/>
          <w:b/>
          <w:sz w:val="24"/>
          <w:szCs w:val="24"/>
          <w:highlight w:val="none"/>
        </w:rPr>
      </w:pPr>
    </w:p>
    <w:p>
      <w:pPr>
        <w:spacing w:line="360" w:lineRule="auto"/>
        <w:jc w:val="center"/>
        <w:outlineLvl w:val="9"/>
        <w:rPr>
          <w:rFonts w:ascii="方正仿宋_GB2312" w:hAnsi="方正仿宋_GB2312" w:eastAsia="方正仿宋_GB2312" w:cs="方正仿宋_GB2312"/>
          <w:b/>
          <w:sz w:val="24"/>
          <w:szCs w:val="24"/>
          <w:highlight w:val="none"/>
        </w:rPr>
      </w:pPr>
      <w:bookmarkStart w:id="1207" w:name="_Toc49273739"/>
      <w:bookmarkStart w:id="1208" w:name="_Toc25082"/>
    </w:p>
    <w:p>
      <w:pPr>
        <w:spacing w:line="360" w:lineRule="auto"/>
        <w:jc w:val="center"/>
        <w:outlineLvl w:val="9"/>
        <w:rPr>
          <w:rFonts w:ascii="方正仿宋_GB2312" w:hAnsi="方正仿宋_GB2312" w:eastAsia="方正仿宋_GB2312" w:cs="方正仿宋_GB2312"/>
          <w:b/>
          <w:sz w:val="24"/>
          <w:szCs w:val="24"/>
          <w:highlight w:val="none"/>
        </w:rPr>
      </w:pPr>
    </w:p>
    <w:p>
      <w:pPr>
        <w:spacing w:line="360" w:lineRule="auto"/>
        <w:jc w:val="center"/>
        <w:outlineLvl w:val="9"/>
        <w:rPr>
          <w:rFonts w:ascii="方正仿宋_GB2312" w:hAnsi="方正仿宋_GB2312" w:eastAsia="方正仿宋_GB2312" w:cs="方正仿宋_GB2312"/>
          <w:b/>
          <w:sz w:val="24"/>
          <w:szCs w:val="24"/>
          <w:highlight w:val="none"/>
        </w:rPr>
      </w:pPr>
    </w:p>
    <w:p>
      <w:pPr>
        <w:spacing w:line="360" w:lineRule="auto"/>
        <w:outlineLvl w:val="9"/>
        <w:rPr>
          <w:rFonts w:ascii="方正仿宋_GB2312" w:hAnsi="方正仿宋_GB2312" w:eastAsia="方正仿宋_GB2312" w:cs="方正仿宋_GB2312"/>
          <w:b/>
          <w:sz w:val="24"/>
          <w:szCs w:val="24"/>
          <w:highlight w:val="none"/>
        </w:rPr>
      </w:pPr>
      <w:bookmarkStart w:id="1209" w:name="_Toc5826"/>
    </w:p>
    <w:p>
      <w:pPr>
        <w:jc w:val="center"/>
        <w:outlineLvl w:val="9"/>
        <w:rPr>
          <w:rFonts w:ascii="方正仿宋_GB2312" w:hAnsi="方正仿宋_GB2312" w:eastAsia="方正仿宋_GB2312" w:cs="方正仿宋_GB2312"/>
          <w:b/>
          <w:sz w:val="24"/>
          <w:szCs w:val="24"/>
          <w:highlight w:val="none"/>
        </w:rPr>
      </w:pPr>
      <w:bookmarkStart w:id="1210" w:name="_Toc14715"/>
      <w:r>
        <w:rPr>
          <w:rFonts w:hint="eastAsia" w:ascii="方正仿宋_GB2312" w:hAnsi="方正仿宋_GB2312" w:eastAsia="方正仿宋_GB2312" w:cs="方正仿宋_GB2312"/>
          <w:b/>
          <w:sz w:val="24"/>
          <w:szCs w:val="24"/>
          <w:highlight w:val="none"/>
        </w:rPr>
        <w:br w:type="page"/>
      </w:r>
      <w:r>
        <w:rPr>
          <w:rFonts w:hint="eastAsia" w:ascii="方正仿宋_GB2312" w:hAnsi="方正仿宋_GB2312" w:eastAsia="方正仿宋_GB2312" w:cs="方正仿宋_GB2312"/>
          <w:b/>
          <w:sz w:val="24"/>
          <w:szCs w:val="24"/>
          <w:highlight w:val="none"/>
        </w:rPr>
        <w:t>五、监狱企业证明文件</w:t>
      </w:r>
      <w:bookmarkEnd w:id="1207"/>
      <w:bookmarkEnd w:id="1208"/>
      <w:bookmarkEnd w:id="1209"/>
      <w:bookmarkEnd w:id="1210"/>
    </w:p>
    <w:p>
      <w:pPr>
        <w:spacing w:line="360" w:lineRule="auto"/>
        <w:outlineLvl w:val="9"/>
        <w:rPr>
          <w:rFonts w:ascii="方正仿宋_GB2312" w:hAnsi="方正仿宋_GB2312" w:eastAsia="方正仿宋_GB2312" w:cs="方正仿宋_GB2312"/>
          <w:b/>
          <w:sz w:val="24"/>
          <w:szCs w:val="24"/>
          <w:highlight w:val="none"/>
        </w:rPr>
      </w:pP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根据《财政部 司法部关于政府采购支持监狱企业发展有关问题的通知》（财库（2014) 68 号）的规定：监狱企业是指由司法部认定的为罪犯、戒毒人员提供生产项目和劳动对象， 且全部产权属于司法部监狱管理局、戒毒管理局、直属煤矿管理局，各省、自治区、直辖 市监狱管理局、戒毒管理局，各地（设区的市）监狱、强制隔离戒毒所、戒毒康复所，以及新疆生产建设兵团监狱管理局、戒毒管理局的企业。</w:t>
      </w:r>
    </w:p>
    <w:p>
      <w:pPr>
        <w:spacing w:line="360" w:lineRule="auto"/>
        <w:ind w:firstLine="480" w:firstLineChars="20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监狱企业参加政府采购活动时，应当提供由省级以上监狱管理局、戒毒管理局（含新疆生产 建设兵团）出具的属于监狱企业的证明文件。</w:t>
      </w:r>
    </w:p>
    <w:p>
      <w:pPr>
        <w:spacing w:line="360" w:lineRule="auto"/>
        <w:outlineLvl w:val="9"/>
        <w:rPr>
          <w:rFonts w:ascii="方正仿宋_GB2312" w:hAnsi="方正仿宋_GB2312" w:eastAsia="方正仿宋_GB2312" w:cs="方正仿宋_GB2312"/>
          <w:sz w:val="24"/>
          <w:szCs w:val="24"/>
          <w:highlight w:val="none"/>
        </w:rPr>
      </w:pPr>
    </w:p>
    <w:p>
      <w:pPr>
        <w:spacing w:line="360" w:lineRule="auto"/>
        <w:ind w:firstLine="2" w:firstLineChars="1"/>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firstLine="2" w:firstLineChars="1"/>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法定代表人和其委托代理人：</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日期 ：</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日</w:t>
      </w:r>
    </w:p>
    <w:p>
      <w:pPr>
        <w:outlineLvl w:val="9"/>
        <w:rPr>
          <w:rFonts w:ascii="方正仿宋_GB2312" w:hAnsi="方正仿宋_GB2312" w:eastAsia="方正仿宋_GB2312" w:cs="方正仿宋_GB2312"/>
          <w:highlight w:val="none"/>
        </w:rPr>
      </w:pPr>
    </w:p>
    <w:p>
      <w:pPr>
        <w:spacing w:line="360" w:lineRule="auto"/>
        <w:ind w:firstLine="482" w:firstLineChars="200"/>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注：（1）如不是监狱企业请自行说明或划/，不用填写本表，但不能删除格式。</w:t>
      </w:r>
    </w:p>
    <w:p>
      <w:pPr>
        <w:spacing w:line="360" w:lineRule="auto"/>
        <w:outlineLvl w:val="9"/>
        <w:rPr>
          <w:rFonts w:ascii="方正仿宋_GB2312" w:hAnsi="方正仿宋_GB2312" w:eastAsia="方正仿宋_GB2312" w:cs="方正仿宋_GB2312"/>
          <w:sz w:val="24"/>
          <w:szCs w:val="24"/>
          <w:highlight w:val="none"/>
        </w:rPr>
      </w:pPr>
    </w:p>
    <w:p>
      <w:pPr>
        <w:jc w:val="center"/>
        <w:outlineLvl w:val="9"/>
        <w:rPr>
          <w:rFonts w:ascii="仿宋" w:hAnsi="仿宋" w:eastAsia="仿宋" w:cs="仿宋"/>
          <w:highlight w:val="none"/>
        </w:rPr>
      </w:pPr>
      <w:bookmarkStart w:id="1211" w:name="_Toc13910"/>
      <w:bookmarkStart w:id="1212" w:name="_Toc31597"/>
      <w:bookmarkStart w:id="1213" w:name="_Toc31565"/>
      <w:bookmarkStart w:id="1214" w:name="_Toc1107"/>
      <w:bookmarkStart w:id="1215" w:name="_Toc25184"/>
      <w:r>
        <w:rPr>
          <w:rFonts w:hint="eastAsia" w:ascii="仿宋" w:hAnsi="仿宋" w:eastAsia="仿宋" w:cs="仿宋"/>
          <w:sz w:val="24"/>
          <w:szCs w:val="24"/>
          <w:highlight w:val="none"/>
        </w:rPr>
        <w:br w:type="page"/>
      </w:r>
      <w:bookmarkStart w:id="1216" w:name="_Toc20358"/>
      <w:r>
        <w:rPr>
          <w:rFonts w:hint="eastAsia" w:ascii="仿宋" w:hAnsi="仿宋" w:eastAsia="仿宋" w:cs="仿宋"/>
          <w:b/>
          <w:bCs/>
          <w:sz w:val="24"/>
          <w:szCs w:val="24"/>
          <w:highlight w:val="none"/>
        </w:rPr>
        <w:t>六、招标文件要求提交的其他资料及供应商认为有必要提供的其他资料</w:t>
      </w:r>
      <w:bookmarkEnd w:id="1211"/>
      <w:bookmarkEnd w:id="1212"/>
      <w:bookmarkEnd w:id="1213"/>
      <w:bookmarkEnd w:id="1214"/>
      <w:bookmarkEnd w:id="1215"/>
      <w:bookmarkEnd w:id="1216"/>
    </w:p>
    <w:p>
      <w:pPr>
        <w:snapToGrid w:val="0"/>
        <w:spacing w:line="360" w:lineRule="auto"/>
        <w:jc w:val="center"/>
        <w:outlineLvl w:val="9"/>
        <w:rPr>
          <w:rFonts w:ascii="仿宋" w:hAnsi="仿宋" w:eastAsia="仿宋" w:cs="仿宋"/>
          <w:sz w:val="24"/>
          <w:szCs w:val="24"/>
          <w:highlight w:val="none"/>
        </w:rPr>
      </w:pPr>
    </w:p>
    <w:p>
      <w:pPr>
        <w:snapToGrid w:val="0"/>
        <w:spacing w:line="360" w:lineRule="auto"/>
        <w:jc w:val="center"/>
        <w:outlineLvl w:val="9"/>
        <w:rPr>
          <w:rFonts w:ascii="仿宋" w:hAnsi="仿宋" w:eastAsia="仿宋" w:cs="仿宋"/>
          <w:sz w:val="24"/>
          <w:szCs w:val="24"/>
          <w:highlight w:val="none"/>
        </w:rPr>
      </w:pPr>
      <w:bookmarkStart w:id="1217" w:name="_Toc21950"/>
      <w:bookmarkStart w:id="1218" w:name="_Toc3042"/>
      <w:bookmarkStart w:id="1219" w:name="_Toc15546"/>
      <w:bookmarkStart w:id="1220" w:name="_Toc28656"/>
      <w:r>
        <w:rPr>
          <w:rFonts w:hint="eastAsia" w:ascii="仿宋" w:hAnsi="仿宋" w:eastAsia="仿宋" w:cs="仿宋"/>
          <w:sz w:val="24"/>
          <w:szCs w:val="24"/>
          <w:highlight w:val="none"/>
        </w:rPr>
        <w:t>格式自拟，附彩色扫描件</w:t>
      </w:r>
      <w:bookmarkEnd w:id="1217"/>
      <w:bookmarkEnd w:id="1218"/>
      <w:bookmarkEnd w:id="1219"/>
      <w:bookmarkEnd w:id="1220"/>
    </w:p>
    <w:p>
      <w:pPr>
        <w:spacing w:line="360" w:lineRule="auto"/>
        <w:jc w:val="center"/>
        <w:rPr>
          <w:rFonts w:ascii="仿宋" w:hAnsi="仿宋" w:eastAsia="仿宋" w:cs="仿宋"/>
          <w:b/>
          <w:sz w:val="24"/>
          <w:szCs w:val="24"/>
          <w:highlight w:val="none"/>
        </w:rPr>
      </w:pPr>
    </w:p>
    <w:p>
      <w:pPr>
        <w:outlineLvl w:val="1"/>
        <w:rPr>
          <w:rFonts w:ascii="方正仿宋_GB2312" w:hAnsi="方正仿宋_GB2312" w:eastAsia="方正仿宋_GB2312" w:cs="方正仿宋_GB2312"/>
          <w:sz w:val="28"/>
          <w:szCs w:val="28"/>
          <w:highlight w:val="none"/>
        </w:rPr>
      </w:pPr>
      <w:r>
        <w:rPr>
          <w:rFonts w:hint="eastAsia"/>
          <w:highlight w:val="none"/>
        </w:rPr>
        <w:br w:type="page"/>
      </w:r>
      <w:bookmarkStart w:id="1221" w:name="_Toc17093"/>
      <w:bookmarkStart w:id="1222" w:name="_Toc5192"/>
      <w:bookmarkStart w:id="1223" w:name="_Toc19202"/>
      <w:bookmarkStart w:id="1224" w:name="_Toc22586"/>
      <w:bookmarkStart w:id="1225" w:name="_Toc21350"/>
      <w:bookmarkStart w:id="1226" w:name="_Toc7013"/>
      <w:bookmarkStart w:id="1227" w:name="_Toc7277"/>
      <w:bookmarkStart w:id="1228" w:name="_Toc16122"/>
      <w:bookmarkStart w:id="1229" w:name="_Toc2789"/>
      <w:bookmarkStart w:id="1230" w:name="_Toc12614"/>
      <w:r>
        <w:rPr>
          <w:rFonts w:hint="eastAsia" w:ascii="方正小标宋简体" w:hAnsi="方正小标宋简体" w:eastAsia="方正小标宋简体" w:cs="方正小标宋简体"/>
          <w:b/>
          <w:bCs/>
          <w:sz w:val="36"/>
          <w:szCs w:val="36"/>
          <w:highlight w:val="none"/>
        </w:rPr>
        <w:t>（三）商务技术部分格式：</w:t>
      </w:r>
      <w:bookmarkEnd w:id="1221"/>
      <w:bookmarkEnd w:id="1222"/>
      <w:bookmarkEnd w:id="1223"/>
      <w:bookmarkEnd w:id="1224"/>
      <w:bookmarkEnd w:id="1225"/>
      <w:bookmarkEnd w:id="1226"/>
      <w:bookmarkEnd w:id="1227"/>
      <w:bookmarkEnd w:id="1228"/>
      <w:bookmarkEnd w:id="1229"/>
      <w:bookmarkEnd w:id="1230"/>
    </w:p>
    <w:p>
      <w:pPr>
        <w:rPr>
          <w:highlight w:val="none"/>
        </w:rPr>
      </w:pPr>
    </w:p>
    <w:p>
      <w:pPr>
        <w:rPr>
          <w:highlight w:val="none"/>
        </w:rPr>
      </w:pPr>
    </w:p>
    <w:p>
      <w:pPr>
        <w:spacing w:line="360" w:lineRule="auto"/>
        <w:jc w:val="center"/>
        <w:outlineLvl w:val="9"/>
        <w:rPr>
          <w:rFonts w:ascii="方正仿宋_GB2312" w:hAnsi="方正仿宋_GB2312" w:eastAsia="方正仿宋_GB2312" w:cs="方正仿宋_GB2312"/>
          <w:b/>
          <w:sz w:val="24"/>
          <w:szCs w:val="24"/>
          <w:highlight w:val="none"/>
        </w:rPr>
      </w:pPr>
      <w:bookmarkStart w:id="1231" w:name="_Toc21772"/>
      <w:bookmarkStart w:id="1232" w:name="_Toc10855"/>
      <w:bookmarkStart w:id="1233" w:name="_Toc20944"/>
      <w:bookmarkStart w:id="1234" w:name="_Toc1194"/>
      <w:bookmarkStart w:id="1235" w:name="_Toc2380"/>
      <w:bookmarkStart w:id="1236" w:name="_Toc14550"/>
      <w:r>
        <w:rPr>
          <w:rFonts w:hint="eastAsia" w:ascii="方正仿宋_GB2312" w:hAnsi="方正仿宋_GB2312" w:eastAsia="方正仿宋_GB2312" w:cs="方正仿宋_GB2312"/>
          <w:b/>
          <w:sz w:val="24"/>
          <w:szCs w:val="24"/>
          <w:highlight w:val="none"/>
        </w:rPr>
        <w:t>一、</w:t>
      </w:r>
      <w:bookmarkEnd w:id="1231"/>
      <w:bookmarkEnd w:id="1232"/>
      <w:bookmarkEnd w:id="1233"/>
      <w:bookmarkEnd w:id="1234"/>
      <w:r>
        <w:rPr>
          <w:rFonts w:hint="eastAsia" w:ascii="仿宋" w:hAnsi="仿宋" w:eastAsia="仿宋" w:cs="仿宋"/>
          <w:b/>
          <w:bCs/>
          <w:sz w:val="24"/>
          <w:szCs w:val="24"/>
          <w:highlight w:val="none"/>
        </w:rPr>
        <w:t>实施方案</w:t>
      </w:r>
    </w:p>
    <w:p>
      <w:pPr>
        <w:snapToGrid w:val="0"/>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（请各供应商自行编制，格式自拟）</w:t>
      </w:r>
    </w:p>
    <w:p>
      <w:pPr>
        <w:snapToGrid w:val="0"/>
        <w:spacing w:line="360" w:lineRule="auto"/>
        <w:jc w:val="center"/>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br w:type="textWrapping"/>
      </w:r>
    </w:p>
    <w:p>
      <w:pPr>
        <w:snapToGrid w:val="0"/>
        <w:spacing w:line="360" w:lineRule="auto"/>
        <w:jc w:val="center"/>
        <w:outlineLvl w:val="9"/>
        <w:rPr>
          <w:rFonts w:ascii="仿宋" w:hAnsi="仿宋" w:eastAsia="仿宋" w:cs="仿宋"/>
          <w:b/>
          <w:bCs/>
          <w:sz w:val="24"/>
          <w:szCs w:val="24"/>
          <w:highlight w:val="none"/>
        </w:rPr>
      </w:pPr>
      <w:r>
        <w:rPr>
          <w:rFonts w:hint="eastAsia" w:ascii="方正仿宋_GB2312" w:hAnsi="方正仿宋_GB2312" w:eastAsia="方正仿宋_GB2312" w:cs="方正仿宋_GB2312"/>
          <w:b/>
          <w:sz w:val="24"/>
          <w:szCs w:val="24"/>
          <w:highlight w:val="none"/>
        </w:rPr>
        <w:t>二、</w:t>
      </w:r>
      <w:r>
        <w:rPr>
          <w:rFonts w:hint="eastAsia" w:ascii="仿宋" w:hAnsi="仿宋" w:eastAsia="仿宋" w:cs="仿宋"/>
          <w:b/>
          <w:bCs/>
          <w:sz w:val="24"/>
          <w:szCs w:val="24"/>
          <w:highlight w:val="none"/>
        </w:rPr>
        <w:t>质量保证措施及违约责任承诺</w:t>
      </w:r>
    </w:p>
    <w:p>
      <w:pPr>
        <w:snapToGrid w:val="0"/>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（请各供应商自行编制，格式自拟）</w:t>
      </w:r>
    </w:p>
    <w:p>
      <w:pPr>
        <w:spacing w:line="360" w:lineRule="auto"/>
        <w:jc w:val="center"/>
        <w:outlineLvl w:val="9"/>
        <w:rPr>
          <w:rFonts w:ascii="方正仿宋_GB2312" w:hAnsi="方正仿宋_GB2312" w:eastAsia="方正仿宋_GB2312" w:cs="方正仿宋_GB2312"/>
          <w:b/>
          <w:sz w:val="24"/>
          <w:szCs w:val="24"/>
          <w:highlight w:val="none"/>
        </w:rPr>
      </w:pPr>
      <w:bookmarkStart w:id="1237" w:name="_Toc30090"/>
      <w:bookmarkStart w:id="1238" w:name="_Toc3503"/>
      <w:bookmarkStart w:id="1239" w:name="_Toc1076"/>
      <w:r>
        <w:rPr>
          <w:rFonts w:hint="eastAsia" w:ascii="方正仿宋_GB2312" w:hAnsi="方正仿宋_GB2312" w:eastAsia="方正仿宋_GB2312" w:cs="方正仿宋_GB2312"/>
          <w:b/>
          <w:sz w:val="24"/>
          <w:szCs w:val="24"/>
          <w:highlight w:val="none"/>
        </w:rPr>
        <w:br w:type="textWrapping"/>
      </w:r>
    </w:p>
    <w:p>
      <w:pPr>
        <w:snapToGrid w:val="0"/>
        <w:spacing w:line="360" w:lineRule="auto"/>
        <w:jc w:val="center"/>
        <w:outlineLvl w:val="9"/>
        <w:rPr>
          <w:highlight w:val="none"/>
        </w:rPr>
      </w:pPr>
      <w:bookmarkStart w:id="1240" w:name="_Toc20105"/>
      <w:r>
        <w:rPr>
          <w:rFonts w:hint="eastAsia" w:ascii="方正仿宋_GB2312" w:hAnsi="方正仿宋_GB2312" w:eastAsia="方正仿宋_GB2312" w:cs="方正仿宋_GB2312"/>
          <w:b/>
          <w:bCs/>
          <w:sz w:val="24"/>
          <w:szCs w:val="24"/>
          <w:highlight w:val="none"/>
        </w:rPr>
        <w:t>三、售后服务方案及承诺</w:t>
      </w:r>
    </w:p>
    <w:p>
      <w:pPr>
        <w:snapToGrid w:val="0"/>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（请各供应商自行编制，格式自拟）</w:t>
      </w:r>
      <w:r>
        <w:rPr>
          <w:rFonts w:hint="eastAsia" w:ascii="方正仿宋_GB2312" w:hAnsi="方正仿宋_GB2312" w:eastAsia="方正仿宋_GB2312" w:cs="方正仿宋_GB2312"/>
          <w:sz w:val="24"/>
          <w:szCs w:val="24"/>
          <w:highlight w:val="none"/>
        </w:rPr>
        <w:br w:type="textWrapping"/>
      </w:r>
      <w:r>
        <w:rPr>
          <w:rFonts w:hint="eastAsia" w:ascii="方正仿宋_GB2312" w:hAnsi="方正仿宋_GB2312" w:eastAsia="方正仿宋_GB2312" w:cs="方正仿宋_GB2312"/>
          <w:sz w:val="24"/>
          <w:szCs w:val="24"/>
          <w:highlight w:val="none"/>
        </w:rPr>
        <w:br w:type="textWrapping"/>
      </w:r>
      <w:r>
        <w:rPr>
          <w:rFonts w:hint="eastAsia" w:ascii="方正仿宋_GB2312" w:hAnsi="方正仿宋_GB2312" w:eastAsia="方正仿宋_GB2312" w:cs="方正仿宋_GB2312"/>
          <w:sz w:val="24"/>
          <w:szCs w:val="24"/>
          <w:highlight w:val="none"/>
        </w:rPr>
        <w:br w:type="textWrapping"/>
      </w:r>
    </w:p>
    <w:p>
      <w:pPr>
        <w:spacing w:line="360" w:lineRule="auto"/>
        <w:jc w:val="center"/>
        <w:outlineLvl w:val="9"/>
        <w:rPr>
          <w:rFonts w:ascii="方正仿宋_GB2312" w:hAnsi="方正仿宋_GB2312" w:eastAsia="方正仿宋_GB2312" w:cs="方正仿宋_GB2312"/>
          <w:b/>
          <w:bCs/>
          <w:sz w:val="24"/>
          <w:szCs w:val="24"/>
          <w:highlight w:val="none"/>
        </w:rPr>
      </w:pPr>
    </w:p>
    <w:p>
      <w:pPr>
        <w:pStyle w:val="5"/>
        <w:outlineLvl w:val="9"/>
        <w:rPr>
          <w:highlight w:val="none"/>
        </w:rPr>
      </w:pPr>
    </w:p>
    <w:bookmarkEnd w:id="1240"/>
    <w:p>
      <w:pPr>
        <w:outlineLvl w:val="9"/>
        <w:rPr>
          <w:highlight w:val="none"/>
        </w:rPr>
      </w:pPr>
    </w:p>
    <w:p>
      <w:pPr>
        <w:ind w:right="4"/>
        <w:jc w:val="center"/>
        <w:outlineLvl w:val="9"/>
        <w:rPr>
          <w:rFonts w:ascii="方正仿宋_GB2312" w:hAnsi="方正仿宋_GB2312" w:eastAsia="方正仿宋_GB2312" w:cs="方正仿宋_GB2312"/>
          <w:highlight w:val="none"/>
        </w:rPr>
      </w:pPr>
      <w:r>
        <w:rPr>
          <w:rFonts w:hint="eastAsia" w:ascii="方正仿宋_GB2312" w:hAnsi="方正仿宋_GB2312" w:eastAsia="方正仿宋_GB2312" w:cs="方正仿宋_GB2312"/>
          <w:szCs w:val="24"/>
          <w:highlight w:val="none"/>
        </w:rPr>
        <w:br w:type="page"/>
      </w:r>
      <w:r>
        <w:rPr>
          <w:rFonts w:hint="eastAsia" w:ascii="方正仿宋_GB2312" w:hAnsi="方正仿宋_GB2312" w:eastAsia="方正仿宋_GB2312" w:cs="方正仿宋_GB2312"/>
          <w:b/>
          <w:bCs/>
          <w:sz w:val="24"/>
          <w:szCs w:val="24"/>
          <w:highlight w:val="none"/>
        </w:rPr>
        <w:t>四、</w:t>
      </w:r>
      <w:r>
        <w:rPr>
          <w:rFonts w:ascii="方正仿宋_GB2312" w:hAnsi="方正仿宋_GB2312" w:eastAsia="方正仿宋_GB2312" w:cs="方正仿宋_GB2312"/>
          <w:b/>
          <w:bCs/>
          <w:sz w:val="24"/>
          <w:szCs w:val="24"/>
          <w:highlight w:val="none"/>
        </w:rPr>
        <w:t>技</w:t>
      </w:r>
      <w:r>
        <w:rPr>
          <w:rFonts w:hint="eastAsia" w:ascii="方正仿宋_GB2312" w:hAnsi="方正仿宋_GB2312" w:eastAsia="方正仿宋_GB2312" w:cs="方正仿宋_GB2312"/>
          <w:b/>
          <w:bCs/>
          <w:sz w:val="24"/>
          <w:szCs w:val="24"/>
          <w:highlight w:val="none"/>
        </w:rPr>
        <w:t>术参数偏离说明</w:t>
      </w:r>
    </w:p>
    <w:p>
      <w:pPr>
        <w:spacing w:before="4"/>
        <w:outlineLvl w:val="9"/>
        <w:rPr>
          <w:rFonts w:ascii="方正仿宋_GB2312" w:hAnsi="方正仿宋_GB2312" w:eastAsia="方正仿宋_GB2312" w:cs="方正仿宋_GB2312"/>
          <w:b/>
          <w:sz w:val="9"/>
          <w:highlight w:val="none"/>
        </w:rPr>
      </w:pPr>
    </w:p>
    <w:tbl>
      <w:tblPr>
        <w:tblStyle w:val="16"/>
        <w:tblW w:w="8423" w:type="dxa"/>
        <w:tblInd w:w="-6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808"/>
        <w:gridCol w:w="1179"/>
        <w:gridCol w:w="2129"/>
        <w:gridCol w:w="2230"/>
        <w:gridCol w:w="1064"/>
        <w:gridCol w:w="1013"/>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935" w:hRule="atLeast"/>
        </w:trPr>
        <w:tc>
          <w:tcPr>
            <w:tcW w:w="808" w:type="dxa"/>
            <w:tcBorders>
              <w:bottom w:val="single" w:color="000000" w:sz="4" w:space="0"/>
              <w:right w:val="single" w:color="000000" w:sz="4" w:space="0"/>
            </w:tcBorders>
          </w:tcPr>
          <w:p>
            <w:pPr>
              <w:spacing w:before="1"/>
              <w:outlineLvl w:val="9"/>
              <w:rPr>
                <w:rFonts w:ascii="方正仿宋_GB2312" w:hAnsi="方正仿宋_GB2312" w:eastAsia="方正仿宋_GB2312" w:cs="方正仿宋_GB2312"/>
                <w:b/>
                <w:sz w:val="24"/>
                <w:szCs w:val="24"/>
                <w:highlight w:val="none"/>
              </w:rPr>
            </w:pPr>
          </w:p>
          <w:p>
            <w:pPr>
              <w:ind w:left="172"/>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序号</w:t>
            </w:r>
          </w:p>
        </w:tc>
        <w:tc>
          <w:tcPr>
            <w:tcW w:w="1179" w:type="dxa"/>
            <w:tcBorders>
              <w:left w:val="single" w:color="000000" w:sz="4" w:space="0"/>
              <w:bottom w:val="single" w:color="000000" w:sz="4" w:space="0"/>
              <w:right w:val="single" w:color="000000" w:sz="4" w:space="0"/>
            </w:tcBorders>
          </w:tcPr>
          <w:p>
            <w:pPr>
              <w:ind w:right="604"/>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 xml:space="preserve">      名称</w:t>
            </w:r>
          </w:p>
        </w:tc>
        <w:tc>
          <w:tcPr>
            <w:tcW w:w="2129" w:type="dxa"/>
            <w:tcBorders>
              <w:left w:val="single" w:color="000000" w:sz="4" w:space="0"/>
              <w:bottom w:val="single" w:color="000000" w:sz="4" w:space="0"/>
              <w:right w:val="single" w:color="000000" w:sz="4" w:space="0"/>
            </w:tcBorders>
          </w:tcPr>
          <w:p>
            <w:pPr>
              <w:spacing w:before="99"/>
              <w:ind w:left="418" w:right="387"/>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招标文件技术参数要求</w:t>
            </w:r>
          </w:p>
        </w:tc>
        <w:tc>
          <w:tcPr>
            <w:tcW w:w="2230" w:type="dxa"/>
            <w:tcBorders>
              <w:left w:val="single" w:color="000000" w:sz="4" w:space="0"/>
              <w:bottom w:val="single" w:color="000000" w:sz="4" w:space="0"/>
              <w:right w:val="single" w:color="000000" w:sz="4" w:space="0"/>
            </w:tcBorders>
          </w:tcPr>
          <w:p>
            <w:pPr>
              <w:spacing w:before="99"/>
              <w:ind w:left="421" w:right="396"/>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投标文件对应技术参数</w:t>
            </w:r>
          </w:p>
        </w:tc>
        <w:tc>
          <w:tcPr>
            <w:tcW w:w="1064" w:type="dxa"/>
            <w:tcBorders>
              <w:left w:val="single" w:color="000000" w:sz="4" w:space="0"/>
              <w:bottom w:val="single" w:color="000000" w:sz="4" w:space="0"/>
              <w:right w:val="single" w:color="000000" w:sz="4" w:space="0"/>
            </w:tcBorders>
          </w:tcPr>
          <w:p>
            <w:pPr>
              <w:spacing w:before="1"/>
              <w:outlineLvl w:val="9"/>
              <w:rPr>
                <w:rFonts w:ascii="方正仿宋_GB2312" w:hAnsi="方正仿宋_GB2312" w:eastAsia="方正仿宋_GB2312" w:cs="方正仿宋_GB2312"/>
                <w:b/>
                <w:sz w:val="24"/>
                <w:szCs w:val="24"/>
                <w:highlight w:val="none"/>
              </w:rPr>
            </w:pPr>
          </w:p>
          <w:p>
            <w:pPr>
              <w:ind w:left="377"/>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偏离</w:t>
            </w:r>
          </w:p>
        </w:tc>
        <w:tc>
          <w:tcPr>
            <w:tcW w:w="1013" w:type="dxa"/>
            <w:tcBorders>
              <w:left w:val="single" w:color="000000" w:sz="4" w:space="0"/>
              <w:bottom w:val="single" w:color="000000" w:sz="4" w:space="0"/>
            </w:tcBorders>
          </w:tcPr>
          <w:p>
            <w:pPr>
              <w:spacing w:before="1"/>
              <w:outlineLvl w:val="9"/>
              <w:rPr>
                <w:rFonts w:ascii="方正仿宋_GB2312" w:hAnsi="方正仿宋_GB2312" w:eastAsia="方正仿宋_GB2312" w:cs="方正仿宋_GB2312"/>
                <w:b/>
                <w:sz w:val="24"/>
                <w:szCs w:val="24"/>
                <w:highlight w:val="none"/>
              </w:rPr>
            </w:pPr>
          </w:p>
          <w:p>
            <w:pPr>
              <w:ind w:left="398"/>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说明</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13" w:type="dxa"/>
            <w:tcBorders>
              <w:top w:val="single" w:color="000000" w:sz="4" w:space="0"/>
              <w:left w:val="single" w:color="000000" w:sz="4" w:space="0"/>
              <w:bottom w:val="single" w:color="000000" w:sz="4" w:space="0"/>
            </w:tcBorders>
          </w:tcPr>
          <w:p>
            <w:pPr>
              <w:outlineLvl w:val="9"/>
              <w:rPr>
                <w:rFonts w:ascii="方正仿宋_GB2312" w:hAnsi="方正仿宋_GB2312" w:eastAsia="方正仿宋_GB2312" w:cs="方正仿宋_GB2312"/>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0" w:hRule="atLeast"/>
        </w:trPr>
        <w:tc>
          <w:tcPr>
            <w:tcW w:w="808" w:type="dxa"/>
            <w:tcBorders>
              <w:top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13" w:type="dxa"/>
            <w:tcBorders>
              <w:top w:val="single" w:color="000000" w:sz="4" w:space="0"/>
              <w:left w:val="single" w:color="000000" w:sz="4" w:space="0"/>
              <w:bottom w:val="single" w:color="000000" w:sz="4" w:space="0"/>
            </w:tcBorders>
          </w:tcPr>
          <w:p>
            <w:pPr>
              <w:outlineLvl w:val="9"/>
              <w:rPr>
                <w:rFonts w:ascii="方正仿宋_GB2312" w:hAnsi="方正仿宋_GB2312" w:eastAsia="方正仿宋_GB2312" w:cs="方正仿宋_GB2312"/>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13" w:type="dxa"/>
            <w:tcBorders>
              <w:top w:val="single" w:color="000000" w:sz="4" w:space="0"/>
              <w:left w:val="single" w:color="000000" w:sz="4" w:space="0"/>
              <w:bottom w:val="single" w:color="000000" w:sz="4" w:space="0"/>
            </w:tcBorders>
          </w:tcPr>
          <w:p>
            <w:pPr>
              <w:outlineLvl w:val="9"/>
              <w:rPr>
                <w:rFonts w:ascii="方正仿宋_GB2312" w:hAnsi="方正仿宋_GB2312" w:eastAsia="方正仿宋_GB2312" w:cs="方正仿宋_GB2312"/>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13" w:type="dxa"/>
            <w:tcBorders>
              <w:top w:val="single" w:color="000000" w:sz="4" w:space="0"/>
              <w:left w:val="single" w:color="000000" w:sz="4" w:space="0"/>
              <w:bottom w:val="single" w:color="000000" w:sz="4" w:space="0"/>
            </w:tcBorders>
          </w:tcPr>
          <w:p>
            <w:pPr>
              <w:outlineLvl w:val="9"/>
              <w:rPr>
                <w:rFonts w:ascii="方正仿宋_GB2312" w:hAnsi="方正仿宋_GB2312" w:eastAsia="方正仿宋_GB2312" w:cs="方正仿宋_GB2312"/>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13" w:type="dxa"/>
            <w:tcBorders>
              <w:top w:val="single" w:color="000000" w:sz="4" w:space="0"/>
              <w:left w:val="single" w:color="000000" w:sz="4" w:space="0"/>
              <w:bottom w:val="single" w:color="000000" w:sz="4" w:space="0"/>
            </w:tcBorders>
          </w:tcPr>
          <w:p>
            <w:pPr>
              <w:outlineLvl w:val="9"/>
              <w:rPr>
                <w:rFonts w:ascii="方正仿宋_GB2312" w:hAnsi="方正仿宋_GB2312" w:eastAsia="方正仿宋_GB2312" w:cs="方正仿宋_GB2312"/>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8" w:hRule="atLeast"/>
        </w:trPr>
        <w:tc>
          <w:tcPr>
            <w:tcW w:w="808" w:type="dxa"/>
            <w:tcBorders>
              <w:top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13" w:type="dxa"/>
            <w:tcBorders>
              <w:top w:val="single" w:color="000000" w:sz="4" w:space="0"/>
              <w:left w:val="single" w:color="000000" w:sz="4" w:space="0"/>
              <w:bottom w:val="single" w:color="000000" w:sz="4" w:space="0"/>
            </w:tcBorders>
          </w:tcPr>
          <w:p>
            <w:pPr>
              <w:outlineLvl w:val="9"/>
              <w:rPr>
                <w:rFonts w:ascii="方正仿宋_GB2312" w:hAnsi="方正仿宋_GB2312" w:eastAsia="方正仿宋_GB2312" w:cs="方正仿宋_GB2312"/>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13" w:type="dxa"/>
            <w:tcBorders>
              <w:top w:val="single" w:color="000000" w:sz="4" w:space="0"/>
              <w:left w:val="single" w:color="000000" w:sz="4" w:space="0"/>
              <w:bottom w:val="single" w:color="000000" w:sz="4" w:space="0"/>
            </w:tcBorders>
          </w:tcPr>
          <w:p>
            <w:pPr>
              <w:outlineLvl w:val="9"/>
              <w:rPr>
                <w:rFonts w:ascii="方正仿宋_GB2312" w:hAnsi="方正仿宋_GB2312" w:eastAsia="方正仿宋_GB2312" w:cs="方正仿宋_GB2312"/>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70" w:hRule="atLeast"/>
        </w:trPr>
        <w:tc>
          <w:tcPr>
            <w:tcW w:w="808" w:type="dxa"/>
            <w:tcBorders>
              <w:top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13" w:type="dxa"/>
            <w:tcBorders>
              <w:top w:val="single" w:color="000000" w:sz="4" w:space="0"/>
              <w:left w:val="single" w:color="000000" w:sz="4" w:space="0"/>
              <w:bottom w:val="single" w:color="000000" w:sz="4" w:space="0"/>
            </w:tcBorders>
          </w:tcPr>
          <w:p>
            <w:pPr>
              <w:outlineLvl w:val="9"/>
              <w:rPr>
                <w:rFonts w:ascii="方正仿宋_GB2312" w:hAnsi="方正仿宋_GB2312" w:eastAsia="方正仿宋_GB2312" w:cs="方正仿宋_GB2312"/>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13" w:type="dxa"/>
            <w:tcBorders>
              <w:top w:val="single" w:color="000000" w:sz="4" w:space="0"/>
              <w:left w:val="single" w:color="000000" w:sz="4" w:space="0"/>
              <w:bottom w:val="single" w:color="000000" w:sz="4" w:space="0"/>
            </w:tcBorders>
          </w:tcPr>
          <w:p>
            <w:pPr>
              <w:outlineLvl w:val="9"/>
              <w:rPr>
                <w:rFonts w:ascii="方正仿宋_GB2312" w:hAnsi="方正仿宋_GB2312" w:eastAsia="方正仿宋_GB2312" w:cs="方正仿宋_GB2312"/>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13" w:type="dxa"/>
            <w:tcBorders>
              <w:top w:val="single" w:color="000000" w:sz="4" w:space="0"/>
              <w:left w:val="single" w:color="000000" w:sz="4" w:space="0"/>
              <w:bottom w:val="single" w:color="000000" w:sz="4" w:space="0"/>
            </w:tcBorders>
          </w:tcPr>
          <w:p>
            <w:pPr>
              <w:outlineLvl w:val="9"/>
              <w:rPr>
                <w:rFonts w:ascii="方正仿宋_GB2312" w:hAnsi="方正仿宋_GB2312" w:eastAsia="方正仿宋_GB2312" w:cs="方正仿宋_GB2312"/>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17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230"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64" w:type="dxa"/>
            <w:tcBorders>
              <w:top w:val="single" w:color="000000" w:sz="4" w:space="0"/>
              <w:left w:val="single" w:color="000000" w:sz="4" w:space="0"/>
              <w:bottom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13" w:type="dxa"/>
            <w:tcBorders>
              <w:top w:val="single" w:color="000000" w:sz="4" w:space="0"/>
              <w:left w:val="single" w:color="000000" w:sz="4" w:space="0"/>
              <w:bottom w:val="single" w:color="000000" w:sz="4" w:space="0"/>
            </w:tcBorders>
          </w:tcPr>
          <w:p>
            <w:pPr>
              <w:outlineLvl w:val="9"/>
              <w:rPr>
                <w:rFonts w:ascii="方正仿宋_GB2312" w:hAnsi="方正仿宋_GB2312" w:eastAsia="方正仿宋_GB2312" w:cs="方正仿宋_GB2312"/>
                <w:sz w:val="24"/>
                <w:szCs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67" w:hRule="atLeast"/>
        </w:trPr>
        <w:tc>
          <w:tcPr>
            <w:tcW w:w="808" w:type="dxa"/>
            <w:tcBorders>
              <w:top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179" w:type="dxa"/>
            <w:tcBorders>
              <w:top w:val="single" w:color="000000" w:sz="4" w:space="0"/>
              <w:left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129" w:type="dxa"/>
            <w:tcBorders>
              <w:top w:val="single" w:color="000000" w:sz="4" w:space="0"/>
              <w:left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2230" w:type="dxa"/>
            <w:tcBorders>
              <w:top w:val="single" w:color="000000" w:sz="4" w:space="0"/>
              <w:left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64" w:type="dxa"/>
            <w:tcBorders>
              <w:top w:val="single" w:color="000000" w:sz="4" w:space="0"/>
              <w:left w:val="single" w:color="000000" w:sz="4" w:space="0"/>
              <w:right w:val="single" w:color="000000" w:sz="4" w:space="0"/>
            </w:tcBorders>
          </w:tcPr>
          <w:p>
            <w:pPr>
              <w:outlineLvl w:val="9"/>
              <w:rPr>
                <w:rFonts w:ascii="方正仿宋_GB2312" w:hAnsi="方正仿宋_GB2312" w:eastAsia="方正仿宋_GB2312" w:cs="方正仿宋_GB2312"/>
                <w:sz w:val="24"/>
                <w:szCs w:val="24"/>
                <w:highlight w:val="none"/>
              </w:rPr>
            </w:pPr>
          </w:p>
        </w:tc>
        <w:tc>
          <w:tcPr>
            <w:tcW w:w="1013" w:type="dxa"/>
            <w:tcBorders>
              <w:top w:val="single" w:color="000000" w:sz="4" w:space="0"/>
              <w:left w:val="single" w:color="000000" w:sz="4" w:space="0"/>
            </w:tcBorders>
          </w:tcPr>
          <w:p>
            <w:pPr>
              <w:outlineLvl w:val="9"/>
              <w:rPr>
                <w:rFonts w:ascii="方正仿宋_GB2312" w:hAnsi="方正仿宋_GB2312" w:eastAsia="方正仿宋_GB2312" w:cs="方正仿宋_GB2312"/>
                <w:sz w:val="24"/>
                <w:szCs w:val="24"/>
                <w:highlight w:val="none"/>
              </w:rPr>
            </w:pPr>
          </w:p>
        </w:tc>
      </w:tr>
    </w:tbl>
    <w:p>
      <w:pPr>
        <w:spacing w:line="360" w:lineRule="auto"/>
        <w:outlineLvl w:val="9"/>
        <w:rPr>
          <w:rFonts w:ascii="方正仿宋_GB2312" w:hAnsi="方正仿宋_GB2312" w:eastAsia="方正仿宋_GB2312" w:cs="方正仿宋_GB2312"/>
          <w:spacing w:val="-9"/>
          <w:szCs w:val="24"/>
          <w:highlight w:val="none"/>
        </w:rPr>
      </w:pPr>
      <w:r>
        <w:rPr>
          <w:rFonts w:hint="eastAsia" w:ascii="方正仿宋_GB2312" w:hAnsi="方正仿宋_GB2312" w:eastAsia="方正仿宋_GB2312" w:cs="方正仿宋_GB2312"/>
          <w:spacing w:val="-9"/>
          <w:szCs w:val="24"/>
          <w:highlight w:val="none"/>
        </w:rPr>
        <w:t>表格填写说明：供应商应如实填写“正或负或无偏离”情况，凡与采购清单要求有区别的，在说明栏中逐条写明标的参数，逐条应答偏离情况，若出现正偏离需提供相关证明材料，证明材料包括但不限于技术白皮书或产品相关鉴定资料或试验报告（检测报告）或技术彩页或制造商公开发布的印刷资料或图纸资料等，不接受非生产制造商自行印刷、打印或者手写的技术支持资料，凡不符合上述要求的，视为无效技术支持资料。</w:t>
      </w:r>
    </w:p>
    <w:p>
      <w:pPr>
        <w:spacing w:line="360" w:lineRule="auto"/>
        <w:outlineLvl w:val="9"/>
        <w:rPr>
          <w:rFonts w:ascii="方正仿宋_GB2312" w:hAnsi="方正仿宋_GB2312" w:eastAsia="方正仿宋_GB2312" w:cs="方正仿宋_GB2312"/>
          <w:spacing w:val="-9"/>
          <w:szCs w:val="24"/>
          <w:highlight w:val="none"/>
        </w:rPr>
      </w:pPr>
      <w:r>
        <w:rPr>
          <w:rFonts w:hint="eastAsia" w:ascii="方正仿宋_GB2312" w:hAnsi="方正仿宋_GB2312" w:eastAsia="方正仿宋_GB2312" w:cs="方正仿宋_GB2312"/>
          <w:spacing w:val="-9"/>
          <w:szCs w:val="24"/>
          <w:highlight w:val="none"/>
        </w:rPr>
        <w:t>。</w:t>
      </w:r>
    </w:p>
    <w:p>
      <w:pPr>
        <w:spacing w:line="360" w:lineRule="auto"/>
        <w:jc w:val="center"/>
        <w:outlineLvl w:val="9"/>
        <w:rPr>
          <w:rFonts w:ascii="方正仿宋_GB2312" w:hAnsi="方正仿宋_GB2312" w:eastAsia="方正仿宋_GB2312" w:cs="方正仿宋_GB2312"/>
          <w:sz w:val="24"/>
          <w:szCs w:val="24"/>
          <w:highlight w:val="none"/>
        </w:rPr>
      </w:pPr>
    </w:p>
    <w:p>
      <w:pPr>
        <w:outlineLvl w:val="9"/>
        <w:rPr>
          <w:highlight w:val="none"/>
        </w:rPr>
      </w:pPr>
    </w:p>
    <w:p>
      <w:pPr>
        <w:spacing w:line="360" w:lineRule="auto"/>
        <w:jc w:val="center"/>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br w:type="page"/>
      </w:r>
      <w:bookmarkEnd w:id="1237"/>
      <w:bookmarkEnd w:id="1238"/>
      <w:bookmarkEnd w:id="1239"/>
      <w:bookmarkStart w:id="1241" w:name="_Toc2449"/>
      <w:bookmarkStart w:id="1242" w:name="_Toc22887"/>
      <w:bookmarkStart w:id="1243" w:name="_Toc114"/>
      <w:bookmarkStart w:id="1244" w:name="_Toc14330"/>
      <w:r>
        <w:rPr>
          <w:rFonts w:hint="eastAsia" w:ascii="方正仿宋_GB2312" w:hAnsi="方正仿宋_GB2312" w:eastAsia="方正仿宋_GB2312" w:cs="方正仿宋_GB2312"/>
          <w:b/>
          <w:sz w:val="24"/>
          <w:szCs w:val="24"/>
          <w:highlight w:val="none"/>
        </w:rPr>
        <w:t>五、类似项目业绩一览表</w:t>
      </w:r>
      <w:bookmarkEnd w:id="1235"/>
      <w:bookmarkEnd w:id="1236"/>
      <w:bookmarkEnd w:id="1241"/>
      <w:bookmarkEnd w:id="1242"/>
      <w:bookmarkEnd w:id="1243"/>
      <w:bookmarkEnd w:id="1244"/>
    </w:p>
    <w:p>
      <w:pPr>
        <w:spacing w:line="360" w:lineRule="auto"/>
        <w:jc w:val="right"/>
        <w:outlineLvl w:val="9"/>
        <w:rPr>
          <w:rFonts w:ascii="方正仿宋_GB2312" w:hAnsi="方正仿宋_GB2312" w:eastAsia="方正仿宋_GB2312" w:cs="方正仿宋_GB2312"/>
          <w:sz w:val="24"/>
          <w:szCs w:val="24"/>
          <w:highlight w:val="none"/>
        </w:rPr>
      </w:pPr>
    </w:p>
    <w:tbl>
      <w:tblPr>
        <w:tblStyle w:val="16"/>
        <w:tblW w:w="95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933"/>
        <w:gridCol w:w="1205"/>
        <w:gridCol w:w="1448"/>
        <w:gridCol w:w="1859"/>
        <w:gridCol w:w="1462"/>
        <w:gridCol w:w="7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4" w:type="dxa"/>
            <w:vAlign w:val="center"/>
          </w:tcPr>
          <w:p>
            <w:pPr>
              <w:snapToGrid w:val="0"/>
              <w:spacing w:line="360" w:lineRule="auto"/>
              <w:jc w:val="center"/>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序号</w:t>
            </w:r>
          </w:p>
        </w:tc>
        <w:tc>
          <w:tcPr>
            <w:tcW w:w="1933" w:type="dxa"/>
            <w:vAlign w:val="center"/>
          </w:tcPr>
          <w:p>
            <w:pPr>
              <w:snapToGrid w:val="0"/>
              <w:spacing w:line="360" w:lineRule="auto"/>
              <w:jc w:val="center"/>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项目名称</w:t>
            </w:r>
          </w:p>
        </w:tc>
        <w:tc>
          <w:tcPr>
            <w:tcW w:w="1205" w:type="dxa"/>
            <w:vAlign w:val="center"/>
          </w:tcPr>
          <w:p>
            <w:pPr>
              <w:snapToGrid w:val="0"/>
              <w:spacing w:line="360" w:lineRule="auto"/>
              <w:jc w:val="center"/>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业主单位</w:t>
            </w:r>
          </w:p>
        </w:tc>
        <w:tc>
          <w:tcPr>
            <w:tcW w:w="1448" w:type="dxa"/>
            <w:vAlign w:val="center"/>
          </w:tcPr>
          <w:p>
            <w:pPr>
              <w:snapToGrid w:val="0"/>
              <w:spacing w:line="360" w:lineRule="auto"/>
              <w:jc w:val="center"/>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合同金额</w:t>
            </w:r>
          </w:p>
        </w:tc>
        <w:tc>
          <w:tcPr>
            <w:tcW w:w="1859" w:type="dxa"/>
            <w:vAlign w:val="center"/>
          </w:tcPr>
          <w:p>
            <w:pPr>
              <w:snapToGrid w:val="0"/>
              <w:spacing w:line="360" w:lineRule="auto"/>
              <w:jc w:val="center"/>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合同签订时间</w:t>
            </w:r>
          </w:p>
        </w:tc>
        <w:tc>
          <w:tcPr>
            <w:tcW w:w="1462" w:type="dxa"/>
            <w:vAlign w:val="center"/>
          </w:tcPr>
          <w:p>
            <w:pPr>
              <w:snapToGrid w:val="0"/>
              <w:spacing w:line="360" w:lineRule="auto"/>
              <w:jc w:val="center"/>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业主评价</w:t>
            </w:r>
          </w:p>
        </w:tc>
        <w:tc>
          <w:tcPr>
            <w:tcW w:w="769" w:type="dxa"/>
            <w:vAlign w:val="center"/>
          </w:tcPr>
          <w:p>
            <w:pPr>
              <w:snapToGrid w:val="0"/>
              <w:spacing w:line="360" w:lineRule="auto"/>
              <w:jc w:val="center"/>
              <w:outlineLvl w:val="9"/>
              <w:rPr>
                <w:rFonts w:ascii="方正仿宋_GB2312" w:hAnsi="方正仿宋_GB2312" w:eastAsia="方正仿宋_GB2312" w:cs="方正仿宋_GB2312"/>
                <w:b/>
                <w:sz w:val="24"/>
                <w:szCs w:val="24"/>
                <w:highlight w:val="none"/>
              </w:rPr>
            </w:pPr>
            <w:r>
              <w:rPr>
                <w:rFonts w:hint="eastAsia" w:ascii="方正仿宋_GB2312" w:hAnsi="方正仿宋_GB2312" w:eastAsia="方正仿宋_GB2312" w:cs="方正仿宋_GB2312"/>
                <w:b/>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w:t>
            </w:r>
          </w:p>
        </w:tc>
        <w:tc>
          <w:tcPr>
            <w:tcW w:w="1933"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205"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48"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85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62"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76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w:t>
            </w:r>
          </w:p>
        </w:tc>
        <w:tc>
          <w:tcPr>
            <w:tcW w:w="1933"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205"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48"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85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62"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76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w:t>
            </w:r>
          </w:p>
        </w:tc>
        <w:tc>
          <w:tcPr>
            <w:tcW w:w="1933"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205"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48"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85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62"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76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w:t>
            </w:r>
          </w:p>
        </w:tc>
        <w:tc>
          <w:tcPr>
            <w:tcW w:w="1933"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205"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48"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85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62"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76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rPr>
            </w:pPr>
          </w:p>
        </w:tc>
        <w:tc>
          <w:tcPr>
            <w:tcW w:w="1933"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205"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48"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85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62"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76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rPr>
            </w:pPr>
          </w:p>
        </w:tc>
        <w:tc>
          <w:tcPr>
            <w:tcW w:w="1933"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205"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48"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85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62"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76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rPr>
            </w:pPr>
          </w:p>
        </w:tc>
        <w:tc>
          <w:tcPr>
            <w:tcW w:w="1933"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205"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48"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85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62"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76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rPr>
            </w:pPr>
          </w:p>
        </w:tc>
        <w:tc>
          <w:tcPr>
            <w:tcW w:w="1933"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205"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48"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85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62"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76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rPr>
            </w:pPr>
          </w:p>
        </w:tc>
        <w:tc>
          <w:tcPr>
            <w:tcW w:w="1933"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205"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48"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85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62"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76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34"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rPr>
            </w:pPr>
          </w:p>
        </w:tc>
        <w:tc>
          <w:tcPr>
            <w:tcW w:w="1933"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205"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48"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85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1462"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c>
          <w:tcPr>
            <w:tcW w:w="769" w:type="dxa"/>
            <w:vAlign w:val="center"/>
          </w:tcPr>
          <w:p>
            <w:pPr>
              <w:snapToGrid w:val="0"/>
              <w:spacing w:line="360" w:lineRule="auto"/>
              <w:jc w:val="center"/>
              <w:outlineLvl w:val="9"/>
              <w:rPr>
                <w:rFonts w:ascii="方正仿宋_GB2312" w:hAnsi="方正仿宋_GB2312" w:eastAsia="方正仿宋_GB2312" w:cs="方正仿宋_GB2312"/>
                <w:sz w:val="24"/>
                <w:szCs w:val="24"/>
                <w:highlight w:val="none"/>
                <w:u w:val="single"/>
              </w:rPr>
            </w:pPr>
          </w:p>
        </w:tc>
      </w:tr>
    </w:tbl>
    <w:p>
      <w:pPr>
        <w:spacing w:line="360" w:lineRule="auto"/>
        <w:outlineLvl w:val="9"/>
        <w:rPr>
          <w:rFonts w:ascii="方正仿宋_GB2312" w:hAnsi="方正仿宋_GB2312" w:eastAsia="方正仿宋_GB2312" w:cs="方正仿宋_GB2312"/>
          <w:bCs/>
          <w:sz w:val="24"/>
          <w:szCs w:val="24"/>
          <w:highlight w:val="none"/>
        </w:rPr>
      </w:pPr>
    </w:p>
    <w:p>
      <w:pPr>
        <w:spacing w:line="360" w:lineRule="auto"/>
        <w:outlineLvl w:val="9"/>
        <w:rPr>
          <w:rFonts w:ascii="方正仿宋_GB2312" w:hAnsi="方正仿宋_GB2312" w:eastAsia="方正仿宋_GB2312" w:cs="方正仿宋_GB2312"/>
          <w:b/>
          <w:bCs/>
          <w:sz w:val="24"/>
          <w:szCs w:val="24"/>
          <w:highlight w:val="none"/>
        </w:rPr>
      </w:pPr>
      <w:r>
        <w:rPr>
          <w:rFonts w:hint="eastAsia" w:ascii="方正仿宋_GB2312" w:hAnsi="方正仿宋_GB2312" w:eastAsia="方正仿宋_GB2312" w:cs="方正仿宋_GB2312"/>
          <w:b/>
          <w:bCs/>
          <w:sz w:val="24"/>
          <w:szCs w:val="24"/>
          <w:highlight w:val="none"/>
        </w:rPr>
        <w:t>注：供应商须随本表提供</w:t>
      </w:r>
      <w:r>
        <w:rPr>
          <w:rFonts w:hint="eastAsia" w:ascii="方正仿宋_GB2312" w:hAnsi="方正仿宋_GB2312" w:eastAsia="方正仿宋_GB2312" w:cs="方正仿宋_GB2312"/>
          <w:b/>
          <w:sz w:val="24"/>
          <w:szCs w:val="24"/>
          <w:highlight w:val="none"/>
        </w:rPr>
        <w:t>类似项目业绩的证明材料</w:t>
      </w:r>
      <w:r>
        <w:rPr>
          <w:rFonts w:hint="eastAsia" w:ascii="方正仿宋_GB2312" w:hAnsi="方正仿宋_GB2312" w:eastAsia="方正仿宋_GB2312" w:cs="方正仿宋_GB2312"/>
          <w:b/>
          <w:bCs/>
          <w:sz w:val="24"/>
          <w:szCs w:val="24"/>
          <w:highlight w:val="none"/>
        </w:rPr>
        <w:t>，证明材料须符合评审办法的要求。</w:t>
      </w:r>
    </w:p>
    <w:p>
      <w:pPr>
        <w:spacing w:line="360" w:lineRule="auto"/>
        <w:outlineLvl w:val="9"/>
        <w:rPr>
          <w:rFonts w:ascii="方正仿宋_GB2312" w:hAnsi="方正仿宋_GB2312" w:eastAsia="方正仿宋_GB2312" w:cs="方正仿宋_GB2312"/>
          <w:sz w:val="24"/>
          <w:szCs w:val="24"/>
          <w:highlight w:val="none"/>
        </w:rPr>
      </w:pPr>
    </w:p>
    <w:p>
      <w:pPr>
        <w:spacing w:line="360" w:lineRule="auto"/>
        <w:outlineLvl w:val="9"/>
        <w:rPr>
          <w:rFonts w:ascii="方正仿宋_GB2312" w:hAnsi="方正仿宋_GB2312" w:eastAsia="方正仿宋_GB2312" w:cs="方正仿宋_GB2312"/>
          <w:sz w:val="24"/>
          <w:szCs w:val="24"/>
          <w:highlight w:val="none"/>
        </w:rPr>
      </w:pPr>
    </w:p>
    <w:p>
      <w:pPr>
        <w:spacing w:line="360" w:lineRule="auto"/>
        <w:ind w:firstLine="2" w:firstLineChars="1"/>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供应商：</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spacing w:line="360" w:lineRule="auto"/>
        <w:ind w:firstLine="2" w:firstLineChars="1"/>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法定代表人或其委托代理人：</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（电子签章）</w:t>
      </w:r>
    </w:p>
    <w:p>
      <w:pPr>
        <w:pStyle w:val="5"/>
        <w:ind w:firstLine="0"/>
        <w:outlineLvl w:val="9"/>
        <w:rPr>
          <w:rFonts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日期：</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年</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月</w:t>
      </w:r>
      <w:r>
        <w:rPr>
          <w:rFonts w:hint="eastAsia" w:ascii="方正仿宋_GB2312" w:hAnsi="方正仿宋_GB2312" w:eastAsia="方正仿宋_GB2312" w:cs="方正仿宋_GB2312"/>
          <w:sz w:val="24"/>
          <w:szCs w:val="24"/>
          <w:highlight w:val="none"/>
          <w:u w:val="single"/>
        </w:rPr>
        <w:t xml:space="preserve">    </w:t>
      </w:r>
      <w:r>
        <w:rPr>
          <w:rFonts w:hint="eastAsia" w:ascii="方正仿宋_GB2312" w:hAnsi="方正仿宋_GB2312" w:eastAsia="方正仿宋_GB2312" w:cs="方正仿宋_GB2312"/>
          <w:sz w:val="24"/>
          <w:szCs w:val="24"/>
          <w:highlight w:val="none"/>
        </w:rPr>
        <w:t>日</w:t>
      </w:r>
    </w:p>
    <w:p>
      <w:pPr>
        <w:outlineLvl w:val="9"/>
        <w:rPr>
          <w:rFonts w:ascii="方正仿宋_GB2312" w:hAnsi="方正仿宋_GB2312" w:eastAsia="方正仿宋_GB2312" w:cs="方正仿宋_GB2312"/>
          <w:spacing w:val="6"/>
          <w:sz w:val="24"/>
          <w:szCs w:val="24"/>
          <w:highlight w:val="none"/>
        </w:rPr>
      </w:pPr>
    </w:p>
    <w:sectPr>
      <w:footerReference r:id="rId6" w:type="default"/>
      <w:pgSz w:w="11906" w:h="16838"/>
      <w:pgMar w:top="1440" w:right="1800" w:bottom="1440" w:left="1800" w:header="720" w:footer="720"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1" w:fontKey="{533F8AF1-E093-42DD-9A92-7AF003FEB8FE}"/>
  </w:font>
  <w:font w:name="方正小标宋简体">
    <w:panose1 w:val="02000000000000000000"/>
    <w:charset w:val="86"/>
    <w:family w:val="auto"/>
    <w:pitch w:val="default"/>
    <w:sig w:usb0="00000001" w:usb1="08000000" w:usb2="00000000" w:usb3="00000000" w:csb0="00040000" w:csb1="00000000"/>
    <w:embedRegular r:id="rId2" w:fontKey="{1ACABB83-D1CF-45D8-974B-FAA0E96A88D5}"/>
  </w:font>
  <w:font w:name="方正仿宋_GB2312">
    <w:panose1 w:val="02000000000000000000"/>
    <w:charset w:val="86"/>
    <w:family w:val="auto"/>
    <w:pitch w:val="default"/>
    <w:sig w:usb0="A00002BF" w:usb1="184F6CFA" w:usb2="00000012" w:usb3="00000000" w:csb0="00040001" w:csb1="00000000"/>
    <w:embedRegular r:id="rId3" w:fontKey="{AE4CA36A-E4F7-4ECC-94A8-2BE65F39C9F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0"/>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dotted" w:color="auto" w:sz="4" w:space="0"/>
      </w:pBdr>
    </w:pPr>
    <w:r>
      <w:rPr>
        <w:rFonts w:hint="eastAsia"/>
        <w:sz w:val="15"/>
        <w:szCs w:val="15"/>
      </w:rPr>
      <w:t xml:space="preserve"> </w:t>
    </w:r>
    <w:r>
      <w:rPr>
        <w:rFonts w:hint="eastAsia" w:ascii="方正仿宋_GB2312" w:hAnsi="方正仿宋_GB2312" w:eastAsia="方正仿宋_GB2312" w:cs="方正仿宋_GB2312"/>
        <w:sz w:val="15"/>
        <w:szCs w:val="15"/>
        <w:u w:val="none"/>
        <w:lang w:eastAsia="zh-CN"/>
      </w:rPr>
      <w:t>昆明市呈贡区第四中学设施设备（设备及家具）二期采购项目（一标段）</w:t>
    </w: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14BF86"/>
    <w:multiLevelType w:val="singleLevel"/>
    <w:tmpl w:val="6214BF86"/>
    <w:lvl w:ilvl="0" w:tentative="0">
      <w:start w:val="1"/>
      <w:numFmt w:val="decimal"/>
      <w:suff w:val="nothing"/>
      <w:lvlText w:val="%1、"/>
      <w:lvlJc w:val="left"/>
    </w:lvl>
  </w:abstractNum>
  <w:abstractNum w:abstractNumId="1">
    <w:nsid w:val="7314C71D"/>
    <w:multiLevelType w:val="singleLevel"/>
    <w:tmpl w:val="7314C71D"/>
    <w:lvl w:ilvl="0" w:tentative="0">
      <w:start w:val="4"/>
      <w:numFmt w:val="chineseCounting"/>
      <w:suff w:val="space"/>
      <w:lvlText w:val="第%1章"/>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hideSpellingErrors/>
  <w:documentProtection w:enforcement="0"/>
  <w:defaultTabStop w:val="4"/>
  <w:drawingGridHorizontalSpacing w:val="107"/>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U5YjcxNGNlZWQzZTdlNDVmODBhYWQ5MjE2N2YzYzcifQ=="/>
  </w:docVars>
  <w:rsids>
    <w:rsidRoot w:val="00172A27"/>
    <w:rsid w:val="000050C0"/>
    <w:rsid w:val="00030CED"/>
    <w:rsid w:val="00035BE6"/>
    <w:rsid w:val="00055B8D"/>
    <w:rsid w:val="00055E75"/>
    <w:rsid w:val="00082D8B"/>
    <w:rsid w:val="000A5186"/>
    <w:rsid w:val="000A5FCD"/>
    <w:rsid w:val="000B268D"/>
    <w:rsid w:val="000C04CB"/>
    <w:rsid w:val="000E2DFD"/>
    <w:rsid w:val="000E3643"/>
    <w:rsid w:val="000F3385"/>
    <w:rsid w:val="000F36AA"/>
    <w:rsid w:val="00104629"/>
    <w:rsid w:val="00163638"/>
    <w:rsid w:val="0016695D"/>
    <w:rsid w:val="00172A27"/>
    <w:rsid w:val="001D0B43"/>
    <w:rsid w:val="001E1A77"/>
    <w:rsid w:val="002240C3"/>
    <w:rsid w:val="00230367"/>
    <w:rsid w:val="00231CE6"/>
    <w:rsid w:val="00234C0C"/>
    <w:rsid w:val="00236810"/>
    <w:rsid w:val="0027282E"/>
    <w:rsid w:val="00291273"/>
    <w:rsid w:val="002A3168"/>
    <w:rsid w:val="002D5E04"/>
    <w:rsid w:val="002E2FD7"/>
    <w:rsid w:val="002E7344"/>
    <w:rsid w:val="00316E5B"/>
    <w:rsid w:val="00323F2B"/>
    <w:rsid w:val="0036688E"/>
    <w:rsid w:val="00386E03"/>
    <w:rsid w:val="004016F3"/>
    <w:rsid w:val="00417325"/>
    <w:rsid w:val="004245CD"/>
    <w:rsid w:val="00474D1D"/>
    <w:rsid w:val="00477A21"/>
    <w:rsid w:val="00484746"/>
    <w:rsid w:val="004A6EE7"/>
    <w:rsid w:val="004C09CF"/>
    <w:rsid w:val="004C5563"/>
    <w:rsid w:val="004E0863"/>
    <w:rsid w:val="00515B5D"/>
    <w:rsid w:val="00516CF1"/>
    <w:rsid w:val="00522DED"/>
    <w:rsid w:val="00527CDC"/>
    <w:rsid w:val="00551ED4"/>
    <w:rsid w:val="00562862"/>
    <w:rsid w:val="00582934"/>
    <w:rsid w:val="005B4BAE"/>
    <w:rsid w:val="005C1BCF"/>
    <w:rsid w:val="005C4CB7"/>
    <w:rsid w:val="005D0508"/>
    <w:rsid w:val="005F446B"/>
    <w:rsid w:val="006667A4"/>
    <w:rsid w:val="006B67FF"/>
    <w:rsid w:val="006C609B"/>
    <w:rsid w:val="007111BD"/>
    <w:rsid w:val="00722CD5"/>
    <w:rsid w:val="00746E20"/>
    <w:rsid w:val="00761714"/>
    <w:rsid w:val="00773BF9"/>
    <w:rsid w:val="00793720"/>
    <w:rsid w:val="007C02DA"/>
    <w:rsid w:val="007E371E"/>
    <w:rsid w:val="007E6622"/>
    <w:rsid w:val="00832AD6"/>
    <w:rsid w:val="00837FD0"/>
    <w:rsid w:val="00843E82"/>
    <w:rsid w:val="00862283"/>
    <w:rsid w:val="00863C9B"/>
    <w:rsid w:val="008643FD"/>
    <w:rsid w:val="009004AD"/>
    <w:rsid w:val="00912539"/>
    <w:rsid w:val="00932102"/>
    <w:rsid w:val="009412B8"/>
    <w:rsid w:val="00961DBE"/>
    <w:rsid w:val="0097213D"/>
    <w:rsid w:val="009A44E3"/>
    <w:rsid w:val="009B47E1"/>
    <w:rsid w:val="009C7750"/>
    <w:rsid w:val="009E019B"/>
    <w:rsid w:val="009E4AEE"/>
    <w:rsid w:val="009F55EC"/>
    <w:rsid w:val="009F62CD"/>
    <w:rsid w:val="00A42002"/>
    <w:rsid w:val="00A42486"/>
    <w:rsid w:val="00A478D7"/>
    <w:rsid w:val="00A60770"/>
    <w:rsid w:val="00A6403C"/>
    <w:rsid w:val="00A8389A"/>
    <w:rsid w:val="00A854CD"/>
    <w:rsid w:val="00A87B90"/>
    <w:rsid w:val="00A929DF"/>
    <w:rsid w:val="00AF3BDF"/>
    <w:rsid w:val="00AF6898"/>
    <w:rsid w:val="00B900E0"/>
    <w:rsid w:val="00BD45F5"/>
    <w:rsid w:val="00BD7CEB"/>
    <w:rsid w:val="00BE0806"/>
    <w:rsid w:val="00C01391"/>
    <w:rsid w:val="00C01FFF"/>
    <w:rsid w:val="00C02819"/>
    <w:rsid w:val="00C160C3"/>
    <w:rsid w:val="00C6464C"/>
    <w:rsid w:val="00C70E58"/>
    <w:rsid w:val="00C72BA5"/>
    <w:rsid w:val="00C829AB"/>
    <w:rsid w:val="00C82A3C"/>
    <w:rsid w:val="00CA1334"/>
    <w:rsid w:val="00CA1D10"/>
    <w:rsid w:val="00CB5451"/>
    <w:rsid w:val="00CC7655"/>
    <w:rsid w:val="00CD1AB3"/>
    <w:rsid w:val="00CD74DA"/>
    <w:rsid w:val="00CE6C99"/>
    <w:rsid w:val="00CF4FD4"/>
    <w:rsid w:val="00CF5E83"/>
    <w:rsid w:val="00CF6089"/>
    <w:rsid w:val="00D014BC"/>
    <w:rsid w:val="00D0638E"/>
    <w:rsid w:val="00D145A5"/>
    <w:rsid w:val="00D443B6"/>
    <w:rsid w:val="00D475B1"/>
    <w:rsid w:val="00D6291C"/>
    <w:rsid w:val="00D653C8"/>
    <w:rsid w:val="00D91D81"/>
    <w:rsid w:val="00DA5C47"/>
    <w:rsid w:val="00DB0E59"/>
    <w:rsid w:val="00DB3F9E"/>
    <w:rsid w:val="00DB6E85"/>
    <w:rsid w:val="00DD4580"/>
    <w:rsid w:val="00E06CCC"/>
    <w:rsid w:val="00E077E1"/>
    <w:rsid w:val="00E20C59"/>
    <w:rsid w:val="00E26DF9"/>
    <w:rsid w:val="00E466C0"/>
    <w:rsid w:val="00E5092A"/>
    <w:rsid w:val="00E538CD"/>
    <w:rsid w:val="00E61DA1"/>
    <w:rsid w:val="00E66F6F"/>
    <w:rsid w:val="00EF7FEB"/>
    <w:rsid w:val="00F16644"/>
    <w:rsid w:val="00F169EC"/>
    <w:rsid w:val="00F1792F"/>
    <w:rsid w:val="00F41F1D"/>
    <w:rsid w:val="00F50EFA"/>
    <w:rsid w:val="00F94F28"/>
    <w:rsid w:val="00FB6E74"/>
    <w:rsid w:val="00FC21CC"/>
    <w:rsid w:val="01304F8C"/>
    <w:rsid w:val="01483505"/>
    <w:rsid w:val="01693C0C"/>
    <w:rsid w:val="0188630A"/>
    <w:rsid w:val="01C0753F"/>
    <w:rsid w:val="01CD0C8A"/>
    <w:rsid w:val="01CE11CE"/>
    <w:rsid w:val="028228E9"/>
    <w:rsid w:val="02C93AF7"/>
    <w:rsid w:val="030B6598"/>
    <w:rsid w:val="03125F26"/>
    <w:rsid w:val="032A1E7D"/>
    <w:rsid w:val="032A4445"/>
    <w:rsid w:val="03806F86"/>
    <w:rsid w:val="038160C4"/>
    <w:rsid w:val="03903993"/>
    <w:rsid w:val="03AE738A"/>
    <w:rsid w:val="03FB1392"/>
    <w:rsid w:val="04060653"/>
    <w:rsid w:val="047818C8"/>
    <w:rsid w:val="04953D64"/>
    <w:rsid w:val="04A74A83"/>
    <w:rsid w:val="04BF4F7B"/>
    <w:rsid w:val="04C36F0C"/>
    <w:rsid w:val="052D6218"/>
    <w:rsid w:val="053B015D"/>
    <w:rsid w:val="053D1496"/>
    <w:rsid w:val="05C0366A"/>
    <w:rsid w:val="060317A8"/>
    <w:rsid w:val="062F07EF"/>
    <w:rsid w:val="063F3F1E"/>
    <w:rsid w:val="065A1D10"/>
    <w:rsid w:val="0661350E"/>
    <w:rsid w:val="06640300"/>
    <w:rsid w:val="0664420D"/>
    <w:rsid w:val="06792738"/>
    <w:rsid w:val="06A84DAD"/>
    <w:rsid w:val="075064C0"/>
    <w:rsid w:val="076F0220"/>
    <w:rsid w:val="07992D4F"/>
    <w:rsid w:val="07B2376E"/>
    <w:rsid w:val="07C515FB"/>
    <w:rsid w:val="0805100E"/>
    <w:rsid w:val="082249BC"/>
    <w:rsid w:val="08225F9A"/>
    <w:rsid w:val="085246F0"/>
    <w:rsid w:val="08D538D0"/>
    <w:rsid w:val="08D846BE"/>
    <w:rsid w:val="08DC5002"/>
    <w:rsid w:val="08EA3D79"/>
    <w:rsid w:val="08F404DE"/>
    <w:rsid w:val="0904207F"/>
    <w:rsid w:val="09083316"/>
    <w:rsid w:val="09326660"/>
    <w:rsid w:val="093A1AC7"/>
    <w:rsid w:val="096A3D4F"/>
    <w:rsid w:val="09A03EDE"/>
    <w:rsid w:val="09A93FDF"/>
    <w:rsid w:val="09B4114B"/>
    <w:rsid w:val="0A312A0D"/>
    <w:rsid w:val="0A9144CA"/>
    <w:rsid w:val="0B044823"/>
    <w:rsid w:val="0B510B5F"/>
    <w:rsid w:val="0B5356CB"/>
    <w:rsid w:val="0B650F7E"/>
    <w:rsid w:val="0B782129"/>
    <w:rsid w:val="0B881FCF"/>
    <w:rsid w:val="0BBE67FD"/>
    <w:rsid w:val="0BF21FFF"/>
    <w:rsid w:val="0BFF0C1C"/>
    <w:rsid w:val="0C2B2DAD"/>
    <w:rsid w:val="0C4F7B53"/>
    <w:rsid w:val="0C6F29F5"/>
    <w:rsid w:val="0C7E5919"/>
    <w:rsid w:val="0C832E80"/>
    <w:rsid w:val="0CCC323C"/>
    <w:rsid w:val="0CEC11E8"/>
    <w:rsid w:val="0D1148C2"/>
    <w:rsid w:val="0D804B17"/>
    <w:rsid w:val="0DB61273"/>
    <w:rsid w:val="0E4B4123"/>
    <w:rsid w:val="0E6949BE"/>
    <w:rsid w:val="0EA77ABC"/>
    <w:rsid w:val="0ECA4997"/>
    <w:rsid w:val="0ED97C9C"/>
    <w:rsid w:val="0F677B54"/>
    <w:rsid w:val="0F6D5FC5"/>
    <w:rsid w:val="0FAC16F6"/>
    <w:rsid w:val="0FB80CAB"/>
    <w:rsid w:val="0FD20B69"/>
    <w:rsid w:val="0FE41654"/>
    <w:rsid w:val="105112FA"/>
    <w:rsid w:val="1053439B"/>
    <w:rsid w:val="10843E99"/>
    <w:rsid w:val="108F5AB0"/>
    <w:rsid w:val="109C2F25"/>
    <w:rsid w:val="10BD023A"/>
    <w:rsid w:val="110E5D1D"/>
    <w:rsid w:val="113A2811"/>
    <w:rsid w:val="117435AC"/>
    <w:rsid w:val="11913A56"/>
    <w:rsid w:val="11AD2163"/>
    <w:rsid w:val="11B3710D"/>
    <w:rsid w:val="11EC57E6"/>
    <w:rsid w:val="12511103"/>
    <w:rsid w:val="125D7ADD"/>
    <w:rsid w:val="125E05A9"/>
    <w:rsid w:val="12863E8D"/>
    <w:rsid w:val="12D45EB7"/>
    <w:rsid w:val="12EE688D"/>
    <w:rsid w:val="1312127D"/>
    <w:rsid w:val="13233784"/>
    <w:rsid w:val="132867FC"/>
    <w:rsid w:val="133D09EF"/>
    <w:rsid w:val="137002F4"/>
    <w:rsid w:val="13D23E92"/>
    <w:rsid w:val="13F3010B"/>
    <w:rsid w:val="140371E8"/>
    <w:rsid w:val="14292D22"/>
    <w:rsid w:val="14476065"/>
    <w:rsid w:val="14665D24"/>
    <w:rsid w:val="14733463"/>
    <w:rsid w:val="147D3196"/>
    <w:rsid w:val="147E6F00"/>
    <w:rsid w:val="14A8332B"/>
    <w:rsid w:val="14D96320"/>
    <w:rsid w:val="157A05E9"/>
    <w:rsid w:val="158A2015"/>
    <w:rsid w:val="15955B76"/>
    <w:rsid w:val="15D909D5"/>
    <w:rsid w:val="15F533DC"/>
    <w:rsid w:val="1605078D"/>
    <w:rsid w:val="16151B28"/>
    <w:rsid w:val="167728E0"/>
    <w:rsid w:val="169864FC"/>
    <w:rsid w:val="16C12DC5"/>
    <w:rsid w:val="16ED73D6"/>
    <w:rsid w:val="179D35E7"/>
    <w:rsid w:val="17A41DC0"/>
    <w:rsid w:val="17F637BB"/>
    <w:rsid w:val="17FA2343"/>
    <w:rsid w:val="180C2B7D"/>
    <w:rsid w:val="183121FC"/>
    <w:rsid w:val="184C6FDF"/>
    <w:rsid w:val="185B07B9"/>
    <w:rsid w:val="18AE3547"/>
    <w:rsid w:val="18D66103"/>
    <w:rsid w:val="19025448"/>
    <w:rsid w:val="19225028"/>
    <w:rsid w:val="195119FE"/>
    <w:rsid w:val="19BF6FDB"/>
    <w:rsid w:val="1A121062"/>
    <w:rsid w:val="1A1D50D7"/>
    <w:rsid w:val="1A3662D0"/>
    <w:rsid w:val="1A92726F"/>
    <w:rsid w:val="1A9F789A"/>
    <w:rsid w:val="1AAC1FB7"/>
    <w:rsid w:val="1AF652A9"/>
    <w:rsid w:val="1B262DA0"/>
    <w:rsid w:val="1B9273FE"/>
    <w:rsid w:val="1BC03F6C"/>
    <w:rsid w:val="1BCD0437"/>
    <w:rsid w:val="1C25182A"/>
    <w:rsid w:val="1C5F5A6E"/>
    <w:rsid w:val="1D5F61A0"/>
    <w:rsid w:val="1D6000E5"/>
    <w:rsid w:val="1DDB0009"/>
    <w:rsid w:val="1F7A7287"/>
    <w:rsid w:val="1FA64100"/>
    <w:rsid w:val="1FE13B6A"/>
    <w:rsid w:val="20146500"/>
    <w:rsid w:val="209015C7"/>
    <w:rsid w:val="20E45D21"/>
    <w:rsid w:val="20EE4DA7"/>
    <w:rsid w:val="211865F8"/>
    <w:rsid w:val="212C5BFF"/>
    <w:rsid w:val="21911504"/>
    <w:rsid w:val="21FE08C2"/>
    <w:rsid w:val="224415C1"/>
    <w:rsid w:val="225432D5"/>
    <w:rsid w:val="22572ABC"/>
    <w:rsid w:val="22703BB0"/>
    <w:rsid w:val="228A7513"/>
    <w:rsid w:val="22D02787"/>
    <w:rsid w:val="22E857E6"/>
    <w:rsid w:val="22FA72D2"/>
    <w:rsid w:val="23061F1D"/>
    <w:rsid w:val="233743C9"/>
    <w:rsid w:val="234C7E7C"/>
    <w:rsid w:val="241C3700"/>
    <w:rsid w:val="25172C87"/>
    <w:rsid w:val="25306C0A"/>
    <w:rsid w:val="253909CD"/>
    <w:rsid w:val="25473008"/>
    <w:rsid w:val="25495247"/>
    <w:rsid w:val="25674A40"/>
    <w:rsid w:val="25856B48"/>
    <w:rsid w:val="25BA3B9D"/>
    <w:rsid w:val="25BC0EAB"/>
    <w:rsid w:val="25CC72BE"/>
    <w:rsid w:val="25DC36E8"/>
    <w:rsid w:val="26037972"/>
    <w:rsid w:val="26107CC1"/>
    <w:rsid w:val="26446122"/>
    <w:rsid w:val="2742342B"/>
    <w:rsid w:val="277765A0"/>
    <w:rsid w:val="2779661B"/>
    <w:rsid w:val="27AA5AD0"/>
    <w:rsid w:val="27C60B5C"/>
    <w:rsid w:val="284A456B"/>
    <w:rsid w:val="28706CD3"/>
    <w:rsid w:val="28B5472C"/>
    <w:rsid w:val="28D63020"/>
    <w:rsid w:val="28F71E30"/>
    <w:rsid w:val="290C2AA2"/>
    <w:rsid w:val="291A1727"/>
    <w:rsid w:val="29693E94"/>
    <w:rsid w:val="29705EB6"/>
    <w:rsid w:val="29B14418"/>
    <w:rsid w:val="29C42E79"/>
    <w:rsid w:val="29C432EE"/>
    <w:rsid w:val="29DE38AE"/>
    <w:rsid w:val="29E3103C"/>
    <w:rsid w:val="2A4C0C2E"/>
    <w:rsid w:val="2A8517EF"/>
    <w:rsid w:val="2AA17222"/>
    <w:rsid w:val="2ABC3C55"/>
    <w:rsid w:val="2AD42D2A"/>
    <w:rsid w:val="2AE64F0E"/>
    <w:rsid w:val="2AF952B9"/>
    <w:rsid w:val="2B6910C5"/>
    <w:rsid w:val="2B9E4561"/>
    <w:rsid w:val="2BAC7317"/>
    <w:rsid w:val="2BDF793B"/>
    <w:rsid w:val="2BF477A9"/>
    <w:rsid w:val="2C151956"/>
    <w:rsid w:val="2C8A624B"/>
    <w:rsid w:val="2CB42E27"/>
    <w:rsid w:val="2CC1448F"/>
    <w:rsid w:val="2CFC5020"/>
    <w:rsid w:val="2D297497"/>
    <w:rsid w:val="2D8D5C78"/>
    <w:rsid w:val="2DC64594"/>
    <w:rsid w:val="2EAC037F"/>
    <w:rsid w:val="2EBC7F45"/>
    <w:rsid w:val="2EDB1969"/>
    <w:rsid w:val="2F1A79EA"/>
    <w:rsid w:val="2F426D94"/>
    <w:rsid w:val="2F7459CE"/>
    <w:rsid w:val="2FB005B3"/>
    <w:rsid w:val="30166446"/>
    <w:rsid w:val="30252C08"/>
    <w:rsid w:val="305E6CD7"/>
    <w:rsid w:val="30882281"/>
    <w:rsid w:val="30BD2A31"/>
    <w:rsid w:val="30C07E87"/>
    <w:rsid w:val="30CA6E43"/>
    <w:rsid w:val="30E3452C"/>
    <w:rsid w:val="30F537B2"/>
    <w:rsid w:val="30F970C3"/>
    <w:rsid w:val="31021759"/>
    <w:rsid w:val="31030D28"/>
    <w:rsid w:val="31257365"/>
    <w:rsid w:val="31263ABE"/>
    <w:rsid w:val="31727409"/>
    <w:rsid w:val="318629EA"/>
    <w:rsid w:val="31DF4FEC"/>
    <w:rsid w:val="32033623"/>
    <w:rsid w:val="323D4ACF"/>
    <w:rsid w:val="326B092C"/>
    <w:rsid w:val="32800F5D"/>
    <w:rsid w:val="32A4437B"/>
    <w:rsid w:val="33010C9A"/>
    <w:rsid w:val="334F4F53"/>
    <w:rsid w:val="337F6063"/>
    <w:rsid w:val="340437F6"/>
    <w:rsid w:val="3414327B"/>
    <w:rsid w:val="34A93C9D"/>
    <w:rsid w:val="34DE39E2"/>
    <w:rsid w:val="3532787C"/>
    <w:rsid w:val="354B08F2"/>
    <w:rsid w:val="35A95619"/>
    <w:rsid w:val="35BF30E6"/>
    <w:rsid w:val="35C248EF"/>
    <w:rsid w:val="361D7F18"/>
    <w:rsid w:val="363F174C"/>
    <w:rsid w:val="367F151D"/>
    <w:rsid w:val="36C46BAE"/>
    <w:rsid w:val="371C75AC"/>
    <w:rsid w:val="37235579"/>
    <w:rsid w:val="372D1197"/>
    <w:rsid w:val="377D6632"/>
    <w:rsid w:val="37AE688E"/>
    <w:rsid w:val="37C11D6A"/>
    <w:rsid w:val="37ED7A3F"/>
    <w:rsid w:val="37EF7C5B"/>
    <w:rsid w:val="386F18F2"/>
    <w:rsid w:val="38BC2E7F"/>
    <w:rsid w:val="38DE3BAF"/>
    <w:rsid w:val="38E842FB"/>
    <w:rsid w:val="390453D1"/>
    <w:rsid w:val="395D652B"/>
    <w:rsid w:val="39BA6019"/>
    <w:rsid w:val="39E269EC"/>
    <w:rsid w:val="3A10489C"/>
    <w:rsid w:val="3A5C3A2A"/>
    <w:rsid w:val="3A782FB1"/>
    <w:rsid w:val="3A943BA2"/>
    <w:rsid w:val="3AEB3A6D"/>
    <w:rsid w:val="3B037265"/>
    <w:rsid w:val="3B372EC4"/>
    <w:rsid w:val="3B744B4B"/>
    <w:rsid w:val="3B912DD7"/>
    <w:rsid w:val="3B9A612F"/>
    <w:rsid w:val="3BB53172"/>
    <w:rsid w:val="3BBF5CC5"/>
    <w:rsid w:val="3BC77DD1"/>
    <w:rsid w:val="3BD609A3"/>
    <w:rsid w:val="3C017F5D"/>
    <w:rsid w:val="3C0926F8"/>
    <w:rsid w:val="3C187054"/>
    <w:rsid w:val="3C3A5121"/>
    <w:rsid w:val="3C60581E"/>
    <w:rsid w:val="3C9034CA"/>
    <w:rsid w:val="3D030831"/>
    <w:rsid w:val="3D0E2985"/>
    <w:rsid w:val="3D212C2D"/>
    <w:rsid w:val="3D2B7CBF"/>
    <w:rsid w:val="3D3A5772"/>
    <w:rsid w:val="3D3E49E6"/>
    <w:rsid w:val="3D427057"/>
    <w:rsid w:val="3D507C21"/>
    <w:rsid w:val="3D6E011A"/>
    <w:rsid w:val="3D77280E"/>
    <w:rsid w:val="3D847665"/>
    <w:rsid w:val="3DD11E81"/>
    <w:rsid w:val="3DF24001"/>
    <w:rsid w:val="3E634922"/>
    <w:rsid w:val="3E863D64"/>
    <w:rsid w:val="3EF92484"/>
    <w:rsid w:val="3F114E84"/>
    <w:rsid w:val="3F191F2E"/>
    <w:rsid w:val="3F2006FA"/>
    <w:rsid w:val="3F5C27ED"/>
    <w:rsid w:val="3F6D5281"/>
    <w:rsid w:val="3F94509D"/>
    <w:rsid w:val="3FF238AB"/>
    <w:rsid w:val="401A108A"/>
    <w:rsid w:val="401D2804"/>
    <w:rsid w:val="40880C4C"/>
    <w:rsid w:val="40E37D7C"/>
    <w:rsid w:val="40F32787"/>
    <w:rsid w:val="41AD53BF"/>
    <w:rsid w:val="41B616BD"/>
    <w:rsid w:val="42520E99"/>
    <w:rsid w:val="42632CB4"/>
    <w:rsid w:val="427B20EB"/>
    <w:rsid w:val="42843695"/>
    <w:rsid w:val="42B61953"/>
    <w:rsid w:val="434A3D2D"/>
    <w:rsid w:val="43B64858"/>
    <w:rsid w:val="44076FE6"/>
    <w:rsid w:val="445531B7"/>
    <w:rsid w:val="448A4B73"/>
    <w:rsid w:val="4496320C"/>
    <w:rsid w:val="449E2B64"/>
    <w:rsid w:val="44E12089"/>
    <w:rsid w:val="44F60A5F"/>
    <w:rsid w:val="4512228F"/>
    <w:rsid w:val="451A0072"/>
    <w:rsid w:val="45224CA2"/>
    <w:rsid w:val="45734459"/>
    <w:rsid w:val="45863281"/>
    <w:rsid w:val="45AF3A31"/>
    <w:rsid w:val="45B278B1"/>
    <w:rsid w:val="463D415F"/>
    <w:rsid w:val="465869CB"/>
    <w:rsid w:val="467448CC"/>
    <w:rsid w:val="469317FC"/>
    <w:rsid w:val="469E1436"/>
    <w:rsid w:val="46BC33FE"/>
    <w:rsid w:val="46F0266D"/>
    <w:rsid w:val="470E02B0"/>
    <w:rsid w:val="4723725A"/>
    <w:rsid w:val="47301548"/>
    <w:rsid w:val="475A6ABF"/>
    <w:rsid w:val="478A18AB"/>
    <w:rsid w:val="47F701A1"/>
    <w:rsid w:val="4852089F"/>
    <w:rsid w:val="48C74558"/>
    <w:rsid w:val="49184ED3"/>
    <w:rsid w:val="49423962"/>
    <w:rsid w:val="494C279D"/>
    <w:rsid w:val="49567A73"/>
    <w:rsid w:val="495D431C"/>
    <w:rsid w:val="495F5D83"/>
    <w:rsid w:val="498E5558"/>
    <w:rsid w:val="49F033BE"/>
    <w:rsid w:val="4A4153FB"/>
    <w:rsid w:val="4A677B24"/>
    <w:rsid w:val="4A83178B"/>
    <w:rsid w:val="4AC07C20"/>
    <w:rsid w:val="4AD032CF"/>
    <w:rsid w:val="4AEF06FC"/>
    <w:rsid w:val="4B236ADE"/>
    <w:rsid w:val="4B3F1D7F"/>
    <w:rsid w:val="4BB75BE7"/>
    <w:rsid w:val="4BC83BDD"/>
    <w:rsid w:val="4BF112B3"/>
    <w:rsid w:val="4C097361"/>
    <w:rsid w:val="4C316121"/>
    <w:rsid w:val="4C4F5B26"/>
    <w:rsid w:val="4C5B0FC3"/>
    <w:rsid w:val="4C626B1F"/>
    <w:rsid w:val="4C673CD1"/>
    <w:rsid w:val="4C686212"/>
    <w:rsid w:val="4C6942F9"/>
    <w:rsid w:val="4CE36D98"/>
    <w:rsid w:val="4CEF06BC"/>
    <w:rsid w:val="4D2C6E03"/>
    <w:rsid w:val="4D430C2F"/>
    <w:rsid w:val="4D5A16E0"/>
    <w:rsid w:val="4D8B0BE9"/>
    <w:rsid w:val="4D920037"/>
    <w:rsid w:val="4DBF076C"/>
    <w:rsid w:val="4DF924C4"/>
    <w:rsid w:val="4E201A58"/>
    <w:rsid w:val="4E2369D0"/>
    <w:rsid w:val="4E436A40"/>
    <w:rsid w:val="4E9C58C3"/>
    <w:rsid w:val="4EFF5647"/>
    <w:rsid w:val="4F667D8F"/>
    <w:rsid w:val="4F6A0A77"/>
    <w:rsid w:val="4FB844ED"/>
    <w:rsid w:val="4FFA2C81"/>
    <w:rsid w:val="503052A9"/>
    <w:rsid w:val="504A47A0"/>
    <w:rsid w:val="507D4928"/>
    <w:rsid w:val="50E169C8"/>
    <w:rsid w:val="50F64CA6"/>
    <w:rsid w:val="513C726D"/>
    <w:rsid w:val="5151508A"/>
    <w:rsid w:val="518E1114"/>
    <w:rsid w:val="51FA127E"/>
    <w:rsid w:val="51FD2EEE"/>
    <w:rsid w:val="5209561C"/>
    <w:rsid w:val="526F3A16"/>
    <w:rsid w:val="529C0E96"/>
    <w:rsid w:val="52C162F1"/>
    <w:rsid w:val="52C901FD"/>
    <w:rsid w:val="52EE667B"/>
    <w:rsid w:val="53135FFF"/>
    <w:rsid w:val="534D7FE6"/>
    <w:rsid w:val="53586DB5"/>
    <w:rsid w:val="53A71011"/>
    <w:rsid w:val="53AC3824"/>
    <w:rsid w:val="53F22380"/>
    <w:rsid w:val="53F25BE5"/>
    <w:rsid w:val="5438608E"/>
    <w:rsid w:val="54790B80"/>
    <w:rsid w:val="548C1A04"/>
    <w:rsid w:val="54957773"/>
    <w:rsid w:val="54D77655"/>
    <w:rsid w:val="54DE768B"/>
    <w:rsid w:val="554B067D"/>
    <w:rsid w:val="55622517"/>
    <w:rsid w:val="55642D1E"/>
    <w:rsid w:val="558D716F"/>
    <w:rsid w:val="55AD0DEC"/>
    <w:rsid w:val="55B12FEE"/>
    <w:rsid w:val="55FD42C7"/>
    <w:rsid w:val="56336B0D"/>
    <w:rsid w:val="56AF702D"/>
    <w:rsid w:val="56F158EC"/>
    <w:rsid w:val="57717A1A"/>
    <w:rsid w:val="578A04B2"/>
    <w:rsid w:val="57A71B47"/>
    <w:rsid w:val="57C739B1"/>
    <w:rsid w:val="57D2529D"/>
    <w:rsid w:val="580E02F4"/>
    <w:rsid w:val="58607563"/>
    <w:rsid w:val="586477C2"/>
    <w:rsid w:val="58F471EB"/>
    <w:rsid w:val="590A3D13"/>
    <w:rsid w:val="596033B0"/>
    <w:rsid w:val="596D4642"/>
    <w:rsid w:val="59AE14F6"/>
    <w:rsid w:val="5A956625"/>
    <w:rsid w:val="5AD66928"/>
    <w:rsid w:val="5AFB53E6"/>
    <w:rsid w:val="5B0424D8"/>
    <w:rsid w:val="5B424B9E"/>
    <w:rsid w:val="5B843968"/>
    <w:rsid w:val="5B9B1A66"/>
    <w:rsid w:val="5BC677E4"/>
    <w:rsid w:val="5BC959AB"/>
    <w:rsid w:val="5CD25D58"/>
    <w:rsid w:val="5CF94BCD"/>
    <w:rsid w:val="5D4C7739"/>
    <w:rsid w:val="5D503156"/>
    <w:rsid w:val="5DA24FF7"/>
    <w:rsid w:val="5DDD282C"/>
    <w:rsid w:val="5E1D4C44"/>
    <w:rsid w:val="5E3478C6"/>
    <w:rsid w:val="5E5D6E1D"/>
    <w:rsid w:val="5E745F14"/>
    <w:rsid w:val="5E9D3BBE"/>
    <w:rsid w:val="5EB167DE"/>
    <w:rsid w:val="5EC96260"/>
    <w:rsid w:val="5EFD2117"/>
    <w:rsid w:val="5F516BEA"/>
    <w:rsid w:val="5F780C6E"/>
    <w:rsid w:val="5FBF306B"/>
    <w:rsid w:val="5FCA6734"/>
    <w:rsid w:val="602D1930"/>
    <w:rsid w:val="60485B94"/>
    <w:rsid w:val="605470C4"/>
    <w:rsid w:val="606A3A73"/>
    <w:rsid w:val="60C72C73"/>
    <w:rsid w:val="61B97BE3"/>
    <w:rsid w:val="61D865EA"/>
    <w:rsid w:val="61E44FFE"/>
    <w:rsid w:val="62123EE1"/>
    <w:rsid w:val="622017C9"/>
    <w:rsid w:val="622E3603"/>
    <w:rsid w:val="625A7D7D"/>
    <w:rsid w:val="628501EA"/>
    <w:rsid w:val="62BA6427"/>
    <w:rsid w:val="62BE49A7"/>
    <w:rsid w:val="62C767A2"/>
    <w:rsid w:val="63185A2F"/>
    <w:rsid w:val="63663BC7"/>
    <w:rsid w:val="637D6937"/>
    <w:rsid w:val="6382250D"/>
    <w:rsid w:val="638A59E0"/>
    <w:rsid w:val="6397692D"/>
    <w:rsid w:val="63CD0C63"/>
    <w:rsid w:val="644334DC"/>
    <w:rsid w:val="64532C85"/>
    <w:rsid w:val="647D06A9"/>
    <w:rsid w:val="649253D9"/>
    <w:rsid w:val="64AC5873"/>
    <w:rsid w:val="64DD538F"/>
    <w:rsid w:val="65102E3B"/>
    <w:rsid w:val="654D5F2C"/>
    <w:rsid w:val="65A74E21"/>
    <w:rsid w:val="65AD443A"/>
    <w:rsid w:val="65F12F3B"/>
    <w:rsid w:val="665723A3"/>
    <w:rsid w:val="666B31ED"/>
    <w:rsid w:val="667C43CC"/>
    <w:rsid w:val="66B765B6"/>
    <w:rsid w:val="66DE53BA"/>
    <w:rsid w:val="66FC3719"/>
    <w:rsid w:val="67140DFE"/>
    <w:rsid w:val="672030DD"/>
    <w:rsid w:val="675A0992"/>
    <w:rsid w:val="67784D25"/>
    <w:rsid w:val="67E72D63"/>
    <w:rsid w:val="67E7680D"/>
    <w:rsid w:val="67ED34B4"/>
    <w:rsid w:val="68723E16"/>
    <w:rsid w:val="68D75E39"/>
    <w:rsid w:val="693329CE"/>
    <w:rsid w:val="694D2F35"/>
    <w:rsid w:val="6974326C"/>
    <w:rsid w:val="69766D5B"/>
    <w:rsid w:val="69B61E33"/>
    <w:rsid w:val="6A5309F1"/>
    <w:rsid w:val="6A86424F"/>
    <w:rsid w:val="6A8F4C45"/>
    <w:rsid w:val="6AAE5B2D"/>
    <w:rsid w:val="6AE75206"/>
    <w:rsid w:val="6B24169F"/>
    <w:rsid w:val="6B4D3A23"/>
    <w:rsid w:val="6B551527"/>
    <w:rsid w:val="6B826484"/>
    <w:rsid w:val="6B8579B2"/>
    <w:rsid w:val="6BBB43F9"/>
    <w:rsid w:val="6BC57E0D"/>
    <w:rsid w:val="6BE203D1"/>
    <w:rsid w:val="6C042F7B"/>
    <w:rsid w:val="6C752F99"/>
    <w:rsid w:val="6C8D571A"/>
    <w:rsid w:val="6C9420EA"/>
    <w:rsid w:val="6CC528F4"/>
    <w:rsid w:val="6CF90658"/>
    <w:rsid w:val="6D03174E"/>
    <w:rsid w:val="6D484CB7"/>
    <w:rsid w:val="6D8E13E8"/>
    <w:rsid w:val="6DA40CD7"/>
    <w:rsid w:val="6E2044E4"/>
    <w:rsid w:val="6E33038B"/>
    <w:rsid w:val="6E5F0598"/>
    <w:rsid w:val="6E731D44"/>
    <w:rsid w:val="6E7F4B8D"/>
    <w:rsid w:val="6E933C1F"/>
    <w:rsid w:val="6EAB3F18"/>
    <w:rsid w:val="6EF102FB"/>
    <w:rsid w:val="6F52792A"/>
    <w:rsid w:val="6F651A9D"/>
    <w:rsid w:val="6F677897"/>
    <w:rsid w:val="6F8942AC"/>
    <w:rsid w:val="70884A8D"/>
    <w:rsid w:val="70AB3A18"/>
    <w:rsid w:val="70D96F8D"/>
    <w:rsid w:val="70FF6F62"/>
    <w:rsid w:val="71184E25"/>
    <w:rsid w:val="71531699"/>
    <w:rsid w:val="71972982"/>
    <w:rsid w:val="719D3EEC"/>
    <w:rsid w:val="71EF4278"/>
    <w:rsid w:val="71F50B38"/>
    <w:rsid w:val="726002FB"/>
    <w:rsid w:val="728E76AD"/>
    <w:rsid w:val="72BF710B"/>
    <w:rsid w:val="733A4438"/>
    <w:rsid w:val="73724232"/>
    <w:rsid w:val="73764A8C"/>
    <w:rsid w:val="73D50B04"/>
    <w:rsid w:val="73E0043B"/>
    <w:rsid w:val="73E00A88"/>
    <w:rsid w:val="74933140"/>
    <w:rsid w:val="7499002B"/>
    <w:rsid w:val="74C23DB1"/>
    <w:rsid w:val="74C32EE2"/>
    <w:rsid w:val="74D6302D"/>
    <w:rsid w:val="74E50314"/>
    <w:rsid w:val="759A29C9"/>
    <w:rsid w:val="75F466C6"/>
    <w:rsid w:val="7641097A"/>
    <w:rsid w:val="76546414"/>
    <w:rsid w:val="7662360B"/>
    <w:rsid w:val="76867513"/>
    <w:rsid w:val="76DC4A71"/>
    <w:rsid w:val="76EE0E23"/>
    <w:rsid w:val="76FD6975"/>
    <w:rsid w:val="77300F50"/>
    <w:rsid w:val="77392B17"/>
    <w:rsid w:val="77600B3A"/>
    <w:rsid w:val="77903967"/>
    <w:rsid w:val="77BA2B17"/>
    <w:rsid w:val="77F64913"/>
    <w:rsid w:val="78102370"/>
    <w:rsid w:val="78175940"/>
    <w:rsid w:val="784A14F7"/>
    <w:rsid w:val="785215E2"/>
    <w:rsid w:val="78A00250"/>
    <w:rsid w:val="78CF226D"/>
    <w:rsid w:val="790F50C4"/>
    <w:rsid w:val="79221031"/>
    <w:rsid w:val="794A12B9"/>
    <w:rsid w:val="79512A9B"/>
    <w:rsid w:val="797C2270"/>
    <w:rsid w:val="79845BEF"/>
    <w:rsid w:val="799906C6"/>
    <w:rsid w:val="79E03967"/>
    <w:rsid w:val="7A16013B"/>
    <w:rsid w:val="7A4460E6"/>
    <w:rsid w:val="7A4808D5"/>
    <w:rsid w:val="7A5029AA"/>
    <w:rsid w:val="7A7A3B6F"/>
    <w:rsid w:val="7A7B08FF"/>
    <w:rsid w:val="7A8D2794"/>
    <w:rsid w:val="7AB006D4"/>
    <w:rsid w:val="7AB72E56"/>
    <w:rsid w:val="7ACC2F08"/>
    <w:rsid w:val="7ADC41C7"/>
    <w:rsid w:val="7B040F40"/>
    <w:rsid w:val="7BE219F8"/>
    <w:rsid w:val="7CA272DD"/>
    <w:rsid w:val="7CC86D21"/>
    <w:rsid w:val="7D05546D"/>
    <w:rsid w:val="7D2D4A28"/>
    <w:rsid w:val="7D467BE5"/>
    <w:rsid w:val="7D745240"/>
    <w:rsid w:val="7DB37D88"/>
    <w:rsid w:val="7E2F528D"/>
    <w:rsid w:val="7E4A6957"/>
    <w:rsid w:val="7E4E14B3"/>
    <w:rsid w:val="7E4E4B81"/>
    <w:rsid w:val="7E9B0898"/>
    <w:rsid w:val="7EB358B8"/>
    <w:rsid w:val="7ECB0DD0"/>
    <w:rsid w:val="7ED13A8D"/>
    <w:rsid w:val="7F0C2AF1"/>
    <w:rsid w:val="7F0C5FC9"/>
    <w:rsid w:val="7F220610"/>
    <w:rsid w:val="7F280432"/>
    <w:rsid w:val="7F47409D"/>
    <w:rsid w:val="7F4F545D"/>
    <w:rsid w:val="7F7071AC"/>
    <w:rsid w:val="7F7605F4"/>
    <w:rsid w:val="7F7A2598"/>
    <w:rsid w:val="7F98785D"/>
    <w:rsid w:val="7FF17580"/>
    <w:rsid w:val="EDF3AB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2"/>
    <w:basedOn w:val="1"/>
    <w:next w:val="1"/>
    <w:qFormat/>
    <w:uiPriority w:val="0"/>
    <w:pPr>
      <w:keepNext/>
      <w:keepLines/>
      <w:spacing w:before="240" w:line="400" w:lineRule="exact"/>
      <w:outlineLvl w:val="1"/>
    </w:pPr>
    <w:rPr>
      <w:rFonts w:ascii="Arial" w:hAnsi="Arial"/>
      <w:b/>
      <w:color w:val="000000"/>
      <w:spacing w:val="40"/>
      <w:sz w:val="32"/>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qFormat/>
    <w:uiPriority w:val="0"/>
    <w:pPr>
      <w:ind w:firstLine="420"/>
    </w:pPr>
    <w:rPr>
      <w:rFonts w:ascii="方正小标宋_GBK" w:hAnsi="方正小标宋_GBK"/>
    </w:rPr>
  </w:style>
  <w:style w:type="paragraph" w:styleId="6">
    <w:name w:val="annotation text"/>
    <w:basedOn w:val="1"/>
    <w:qFormat/>
    <w:uiPriority w:val="0"/>
    <w:pPr>
      <w:jc w:val="left"/>
    </w:pPr>
  </w:style>
  <w:style w:type="paragraph" w:styleId="7">
    <w:name w:val="Body Text"/>
    <w:basedOn w:val="1"/>
    <w:next w:val="1"/>
    <w:qFormat/>
    <w:uiPriority w:val="0"/>
    <w:rPr>
      <w:rFonts w:ascii="宋体"/>
      <w:sz w:val="24"/>
    </w:rPr>
  </w:style>
  <w:style w:type="paragraph" w:styleId="8">
    <w:name w:val="Body Text Indent"/>
    <w:basedOn w:val="1"/>
    <w:unhideWhenUsed/>
    <w:qFormat/>
    <w:uiPriority w:val="99"/>
    <w:pPr>
      <w:spacing w:after="120"/>
      <w:ind w:left="420" w:leftChars="200"/>
    </w:pPr>
  </w:style>
  <w:style w:type="paragraph" w:styleId="9">
    <w:name w:val="Balloon Text"/>
    <w:basedOn w:val="1"/>
    <w:link w:val="28"/>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link w:val="27"/>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0"/>
  </w:style>
  <w:style w:type="paragraph" w:styleId="13">
    <w:name w:val="toc 2"/>
    <w:basedOn w:val="1"/>
    <w:next w:val="1"/>
    <w:qFormat/>
    <w:uiPriority w:val="0"/>
    <w:pPr>
      <w:ind w:left="420" w:leftChars="200"/>
    </w:pPr>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Body Text First Indent 2"/>
    <w:basedOn w:val="8"/>
    <w:qFormat/>
    <w:uiPriority w:val="99"/>
    <w:pPr>
      <w:ind w:left="200" w:firstLine="210"/>
    </w:pPr>
    <w:rPr>
      <w:sz w:val="32"/>
    </w:rPr>
  </w:style>
  <w:style w:type="character" w:styleId="18">
    <w:name w:val="Strong"/>
    <w:basedOn w:val="17"/>
    <w:qFormat/>
    <w:uiPriority w:val="0"/>
    <w:rPr>
      <w:b/>
    </w:rPr>
  </w:style>
  <w:style w:type="character" w:styleId="19">
    <w:name w:val="Hyperlink"/>
    <w:basedOn w:val="17"/>
    <w:qFormat/>
    <w:uiPriority w:val="0"/>
    <w:rPr>
      <w:color w:val="0000FF"/>
      <w:u w:val="single"/>
    </w:rPr>
  </w:style>
  <w:style w:type="character" w:customStyle="1" w:styleId="20">
    <w:name w:val="font41"/>
    <w:basedOn w:val="17"/>
    <w:qFormat/>
    <w:uiPriority w:val="0"/>
    <w:rPr>
      <w:rFonts w:hint="default" w:ascii="方正仿宋_GBK" w:hAnsi="方正仿宋_GBK" w:eastAsia="方正仿宋_GBK" w:cs="方正仿宋_GBK"/>
      <w:color w:val="000000"/>
      <w:sz w:val="20"/>
      <w:szCs w:val="20"/>
      <w:u w:val="none"/>
    </w:rPr>
  </w:style>
  <w:style w:type="character" w:customStyle="1" w:styleId="21">
    <w:name w:val="font81"/>
    <w:basedOn w:val="17"/>
    <w:qFormat/>
    <w:uiPriority w:val="0"/>
    <w:rPr>
      <w:rFonts w:hint="eastAsia" w:ascii="宋体" w:hAnsi="宋体" w:eastAsia="宋体" w:cs="宋体"/>
      <w:color w:val="000000"/>
      <w:sz w:val="20"/>
      <w:szCs w:val="20"/>
      <w:u w:val="none"/>
    </w:rPr>
  </w:style>
  <w:style w:type="character" w:customStyle="1" w:styleId="22">
    <w:name w:val="font121"/>
    <w:basedOn w:val="17"/>
    <w:qFormat/>
    <w:uiPriority w:val="0"/>
    <w:rPr>
      <w:rFonts w:ascii="微软雅黑" w:hAnsi="微软雅黑" w:eastAsia="微软雅黑" w:cs="微软雅黑"/>
      <w:color w:val="000000"/>
      <w:sz w:val="20"/>
      <w:szCs w:val="20"/>
      <w:u w:val="none"/>
    </w:rPr>
  </w:style>
  <w:style w:type="character" w:customStyle="1" w:styleId="23">
    <w:name w:val="font131"/>
    <w:basedOn w:val="17"/>
    <w:qFormat/>
    <w:uiPriority w:val="0"/>
    <w:rPr>
      <w:rFonts w:ascii="Arial" w:hAnsi="Arial" w:cs="Arial"/>
      <w:color w:val="000000"/>
      <w:sz w:val="20"/>
      <w:szCs w:val="20"/>
      <w:u w:val="none"/>
    </w:rPr>
  </w:style>
  <w:style w:type="character" w:customStyle="1" w:styleId="24">
    <w:name w:val="font111"/>
    <w:basedOn w:val="17"/>
    <w:qFormat/>
    <w:uiPriority w:val="0"/>
    <w:rPr>
      <w:rFonts w:hint="eastAsia" w:ascii="宋体" w:hAnsi="宋体" w:eastAsia="宋体" w:cs="宋体"/>
      <w:color w:val="000000"/>
      <w:sz w:val="18"/>
      <w:szCs w:val="18"/>
      <w:u w:val="none"/>
    </w:rPr>
  </w:style>
  <w:style w:type="paragraph" w:customStyle="1" w:styleId="25">
    <w:name w:val="WPSOffice手动目录 1"/>
    <w:qFormat/>
    <w:uiPriority w:val="0"/>
    <w:rPr>
      <w:rFonts w:ascii="Times New Roman" w:hAnsi="Times New Roman" w:eastAsia="宋体" w:cs="Times New Roman"/>
      <w:lang w:val="en-US" w:eastAsia="zh-CN" w:bidi="ar-SA"/>
    </w:rPr>
  </w:style>
  <w:style w:type="paragraph" w:customStyle="1" w:styleId="26">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27">
    <w:name w:val="页眉 Char"/>
    <w:basedOn w:val="17"/>
    <w:link w:val="11"/>
    <w:qFormat/>
    <w:uiPriority w:val="0"/>
    <w:rPr>
      <w:sz w:val="18"/>
      <w:szCs w:val="18"/>
    </w:rPr>
  </w:style>
  <w:style w:type="character" w:customStyle="1" w:styleId="28">
    <w:name w:val="批注框文本 Char"/>
    <w:basedOn w:val="17"/>
    <w:link w:val="9"/>
    <w:qFormat/>
    <w:uiPriority w:val="0"/>
    <w:rPr>
      <w:sz w:val="18"/>
      <w:szCs w:val="18"/>
    </w:rPr>
  </w:style>
  <w:style w:type="character" w:customStyle="1" w:styleId="29">
    <w:name w:val="font11"/>
    <w:basedOn w:val="17"/>
    <w:qFormat/>
    <w:uiPriority w:val="0"/>
    <w:rPr>
      <w:rFonts w:hint="eastAsia" w:ascii="宋体" w:hAnsi="宋体" w:eastAsia="宋体" w:cs="宋体"/>
      <w:color w:val="000000"/>
      <w:sz w:val="20"/>
      <w:szCs w:val="20"/>
      <w:u w:val="none"/>
    </w:rPr>
  </w:style>
  <w:style w:type="character" w:customStyle="1" w:styleId="30">
    <w:name w:val="font51"/>
    <w:basedOn w:val="17"/>
    <w:qFormat/>
    <w:uiPriority w:val="0"/>
    <w:rPr>
      <w:rFonts w:ascii="Arial" w:hAnsi="Arial" w:cs="Arial"/>
      <w:color w:val="000000"/>
      <w:sz w:val="20"/>
      <w:szCs w:val="20"/>
      <w:u w:val="none"/>
    </w:rPr>
  </w:style>
  <w:style w:type="paragraph" w:customStyle="1" w:styleId="31">
    <w:name w:val="列出段落11"/>
    <w:basedOn w:val="1"/>
    <w:qFormat/>
    <w:uiPriority w:val="0"/>
    <w:pPr>
      <w:ind w:firstLine="420" w:firstLineChars="200"/>
    </w:pPr>
    <w:rPr>
      <w:szCs w:val="20"/>
    </w:rPr>
  </w:style>
  <w:style w:type="character" w:customStyle="1" w:styleId="32">
    <w:name w:val="font21"/>
    <w:basedOn w:val="17"/>
    <w:qFormat/>
    <w:uiPriority w:val="0"/>
    <w:rPr>
      <w:rFonts w:hint="eastAsia" w:ascii="仿宋" w:hAnsi="仿宋" w:eastAsia="仿宋" w:cs="仿宋"/>
      <w:color w:val="000000"/>
      <w:sz w:val="22"/>
      <w:szCs w:val="22"/>
      <w:u w:val="none"/>
    </w:rPr>
  </w:style>
  <w:style w:type="character" w:customStyle="1" w:styleId="33">
    <w:name w:val="font01"/>
    <w:basedOn w:val="17"/>
    <w:qFormat/>
    <w:uiPriority w:val="0"/>
    <w:rPr>
      <w:rFonts w:hint="eastAsia" w:ascii="宋体" w:hAnsi="宋体" w:eastAsia="宋体" w:cs="宋体"/>
      <w:color w:val="000000"/>
      <w:sz w:val="22"/>
      <w:szCs w:val="22"/>
      <w:u w:val="none"/>
    </w:rPr>
  </w:style>
  <w:style w:type="character" w:customStyle="1" w:styleId="34">
    <w:name w:val="font31"/>
    <w:basedOn w:val="17"/>
    <w:qFormat/>
    <w:uiPriority w:val="0"/>
    <w:rPr>
      <w:rFonts w:hint="eastAsia" w:ascii="仿宋" w:hAnsi="仿宋" w:eastAsia="仿宋" w:cs="仿宋"/>
      <w:color w:val="000000"/>
      <w:sz w:val="22"/>
      <w:szCs w:val="22"/>
      <w:u w:val="none"/>
    </w:rPr>
  </w:style>
  <w:style w:type="character" w:customStyle="1" w:styleId="35">
    <w:name w:val="font71"/>
    <w:basedOn w:val="17"/>
    <w:qFormat/>
    <w:uiPriority w:val="0"/>
    <w:rPr>
      <w:rFonts w:ascii="Arial" w:hAnsi="Arial" w:cs="Arial"/>
      <w:color w:val="000000"/>
      <w:sz w:val="22"/>
      <w:szCs w:val="22"/>
      <w:u w:val="none"/>
    </w:rPr>
  </w:style>
  <w:style w:type="character" w:customStyle="1" w:styleId="36">
    <w:name w:val="font91"/>
    <w:basedOn w:val="17"/>
    <w:qFormat/>
    <w:uiPriority w:val="0"/>
    <w:rPr>
      <w:rFonts w:hint="eastAsia" w:ascii="方正仿宋_GBK" w:hAnsi="方正仿宋_GBK" w:eastAsia="方正仿宋_GBK" w:cs="方正仿宋_GBK"/>
      <w:color w:val="7030A0"/>
      <w:sz w:val="18"/>
      <w:szCs w:val="18"/>
      <w:u w:val="none"/>
    </w:rPr>
  </w:style>
  <w:style w:type="character" w:customStyle="1" w:styleId="37">
    <w:name w:val="font101"/>
    <w:basedOn w:val="17"/>
    <w:qFormat/>
    <w:uiPriority w:val="0"/>
    <w:rPr>
      <w:rFonts w:ascii="Arial" w:hAnsi="Arial" w:cs="Arial"/>
      <w:color w:val="000000"/>
      <w:sz w:val="18"/>
      <w:szCs w:val="18"/>
      <w:u w:val="none"/>
    </w:rPr>
  </w:style>
  <w:style w:type="character" w:customStyle="1" w:styleId="38">
    <w:name w:val="font112"/>
    <w:basedOn w:val="17"/>
    <w:qFormat/>
    <w:uiPriority w:val="0"/>
    <w:rPr>
      <w:rFonts w:hint="eastAsia" w:ascii="宋体" w:hAnsi="宋体" w:eastAsia="宋体" w:cs="宋体"/>
      <w:color w:val="FF0000"/>
      <w:sz w:val="18"/>
      <w:szCs w:val="18"/>
      <w:u w:val="none"/>
    </w:rPr>
  </w:style>
  <w:style w:type="character" w:customStyle="1" w:styleId="39">
    <w:name w:val="font141"/>
    <w:basedOn w:val="17"/>
    <w:qFormat/>
    <w:uiPriority w:val="0"/>
    <w:rPr>
      <w:rFonts w:hint="eastAsia" w:ascii="方正仿宋_GBK" w:hAnsi="方正仿宋_GBK" w:eastAsia="方正仿宋_GBK" w:cs="方正仿宋_GBK"/>
      <w:color w:val="00B0F0"/>
      <w:sz w:val="18"/>
      <w:szCs w:val="18"/>
      <w:u w:val="none"/>
    </w:rPr>
  </w:style>
  <w:style w:type="character" w:customStyle="1" w:styleId="40">
    <w:name w:val="font61"/>
    <w:basedOn w:val="1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83</Pages>
  <Words>13240</Words>
  <Characters>14532</Characters>
  <Lines>557</Lines>
  <Paragraphs>156</Paragraphs>
  <TotalTime>4</TotalTime>
  <ScaleCrop>false</ScaleCrop>
  <LinksUpToDate>false</LinksUpToDate>
  <CharactersWithSpaces>14609</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2024-11-11T19:59:00Z</dcterms:created>
  <dc:creator>Daniv</dc:creator>
  <cp:lastModifiedBy>刘启江</cp:lastModifiedBy>
  <dcterms:modified xsi:type="dcterms:W3CDTF">2025-07-15T08:22:36Z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CCD25CEE5F2231F3F2A363688363BFB8_43</vt:lpwstr>
  </property>
  <property fmtid="{D5CDD505-2E9C-101B-9397-08002B2CF9AE}" pid="4" name="KSOTemplateDocerSaveRecord">
    <vt:lpwstr>eyJoZGlkIjoiYmQ5OGRmZDk1NGViMGVkMjU4MTgxOGNkMmM2YzRmNjUiLCJ1c2VySWQiOiIyOTgzODE3NzcifQ==</vt:lpwstr>
  </property>
</Properties>
</file>