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海南省人民医院南院（观澜湖）运营及设备购置项目（第四批）（一）</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HNZC2026-027-002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海南省人民医院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海南政采招投标有限公司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海南省人民医院</w:t>
      </w:r>
      <w:r>
        <w:rPr>
          <w:rFonts w:ascii="仿宋_GB2312" w:hAnsi="仿宋_GB2312" w:cs="仿宋_GB2312" w:eastAsia="仿宋_GB2312"/>
        </w:rPr>
        <w:t xml:space="preserve"> 委托， </w:t>
      </w:r>
      <w:r>
        <w:rPr>
          <w:rFonts w:ascii="仿宋_GB2312" w:hAnsi="仿宋_GB2312" w:cs="仿宋_GB2312" w:eastAsia="仿宋_GB2312"/>
        </w:rPr>
        <w:t>海南政采招投标有限公司</w:t>
      </w:r>
      <w:r>
        <w:rPr>
          <w:rFonts w:ascii="仿宋_GB2312" w:hAnsi="仿宋_GB2312" w:cs="仿宋_GB2312" w:eastAsia="仿宋_GB2312"/>
        </w:rPr>
        <w:t xml:space="preserve"> 对 </w:t>
      </w:r>
      <w:r>
        <w:rPr>
          <w:rFonts w:ascii="仿宋_GB2312" w:hAnsi="仿宋_GB2312" w:cs="仿宋_GB2312" w:eastAsia="仿宋_GB2312"/>
        </w:rPr>
        <w:t>海南省人民医院南院（观澜湖）运营及设备购置项目（第四批）（一）</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HNZC2026-027-002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海南省人民医院南院（观澜湖）运营及设备购置项目（第四批）（一）</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8,043,200.00元</w:t>
      </w:r>
      <w:r>
        <w:rPr>
          <w:rFonts w:ascii="仿宋_GB2312" w:hAnsi="仿宋_GB2312" w:cs="仿宋_GB2312" w:eastAsia="仿宋_GB2312"/>
        </w:rPr>
        <w:t>捌佰零肆万叁仟贰佰元整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国产设备合同签署生效后 60日内交付合同标的物设备。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国产设备合同签署生效后 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国产设备合同签署生效后 60日内交付合同标的物设备。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1、资质条件（提供相关证明材料扫描件加盖公章）：①投标人为生产企业的：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p>
      <w:pPr>
        <w:pStyle w:val="null3"/>
        <w:jc w:val="left"/>
      </w:pPr>
      <w:r>
        <w:rPr>
          <w:rFonts w:ascii="仿宋_GB2312" w:hAnsi="仿宋_GB2312" w:cs="仿宋_GB2312" w:eastAsia="仿宋_GB2312"/>
        </w:rPr>
        <w:t>2、环保类行政声明函：参加政府采购活动前三年内（成立不足三年的从成立之日起算），在经营活动中无环保类行政处罚记录（提供承诺函加盖公章）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1、资质条件（提供相关证明材料扫描件加盖公章）：①投标人为生产企业的：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p>
      <w:pPr>
        <w:pStyle w:val="null3"/>
        <w:jc w:val="left"/>
      </w:pPr>
      <w:r>
        <w:rPr>
          <w:rFonts w:ascii="仿宋_GB2312" w:hAnsi="仿宋_GB2312" w:cs="仿宋_GB2312" w:eastAsia="仿宋_GB2312"/>
        </w:rPr>
        <w:t>2、环保类行政声明函：参加政府采购活动前三年内（成立不足三年的从成立之日起算），在经营活动中无环保类行政处罚记录（提供承诺函加盖公章）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1、资质条件（提供相关证明材料扫描件加盖公章）：①投标人为生产企业的：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p>
      <w:pPr>
        <w:pStyle w:val="null3"/>
        <w:jc w:val="left"/>
      </w:pPr>
      <w:r>
        <w:rPr>
          <w:rFonts w:ascii="仿宋_GB2312" w:hAnsi="仿宋_GB2312" w:cs="仿宋_GB2312" w:eastAsia="仿宋_GB2312"/>
        </w:rPr>
        <w:t>2、环保类行政声明函：参加政府采购活动前三年内（成立不足三年的从成立之日起算），在经营活动中无环保类行政处罚记录（提供承诺函加盖公章）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海南省海口市秀英区秀华路19号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570311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0898-68602573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海南政采招投标有限公司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海南省海口市龙华区国贸大道49号中衡大厦13楼A座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0898-68501635/13976096820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采购包1：7,387,700.00元</w:t>
            </w:r>
          </w:p>
          <w:p>
            <w:pPr>
              <w:pStyle w:val="null3"/>
              <w:jc w:val="left"/>
            </w:pPr>
            <w:r>
              <w:rPr>
                <w:rFonts w:ascii="仿宋_GB2312" w:hAnsi="仿宋_GB2312" w:cs="仿宋_GB2312" w:eastAsia="仿宋_GB2312"/>
              </w:rPr>
              <w:t>采购包2：639,500.00元</w:t>
            </w:r>
          </w:p>
          <w:p>
            <w:pPr>
              <w:pStyle w:val="null3"/>
              <w:jc w:val="left"/>
            </w:pPr>
            <w:r>
              <w:rPr>
                <w:rFonts w:ascii="仿宋_GB2312" w:hAnsi="仿宋_GB2312" w:cs="仿宋_GB2312" w:eastAsia="仿宋_GB2312"/>
              </w:rPr>
              <w:t>采购包3：16,000.00元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说明：合同总价款的5%</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说明：合同总价款的5%</w:t>
            </w:r>
          </w:p>
          <w:p>
            <w:pPr>
              <w:pStyle w:val="null3"/>
              <w:jc w:val="left"/>
            </w:pPr>
            <w:r>
              <w:rPr>
                <w:rFonts w:ascii="仿宋_GB2312" w:hAnsi="仿宋_GB2312" w:cs="仿宋_GB2312" w:eastAsia="仿宋_GB2312"/>
              </w:rPr>
              <w:t>采购包3：缴纳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说明：合同总价款的5%</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代理服务费收费标准：以中标成交金额为计费基数，按照《海南省物价局关于降低部分招标代理机构服务收费标的通知》(琼价费管(2011)225号)文件规定的收费标准的80%执行收取代理费用。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本项目可兼投3包，本项目可兼中3包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请各投标人注意：招标文件第二章投标人须知第4.6.3.3点载明“投标人的电子投标文件必须逐页盖章,否则视为投标无效”，若投标文件格式中包含多页内容的，须按该条款要求逐页盖章，不得仅在文件及相关证明材料落款处盖章。 2.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3.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 4.本项目采购标的所属行业为工业（根据《关于印发中小企业划型标准规定的通知》（工信部联企业 〔2011〕300 号）中小企业划型标准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5.本项目为确保充分供应、充分竞争，不专门面向中小企业采购,将按照招标文件的规定给子小微企业相应的价格扣除优惠。 6. 对本国产品的支持政策：执行《国务院办公厅关于在政府采购中实施本国产品标准及相关政策的通知》(国办发(2025)34号)。 6.1 政府采购活动中既有本国产品又有非本国产品参与竞争的，依法对本国产品给予价格评审优惠，对本国产品的报价给予20%的价格扣除，用扣除后的价格参与评审。 6.2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 多产品采购项目/采购包，若投标人仅出具《关于符合本国产品标准的声明函》，未出具成本比例声明的，不享受本款所述价格评审优惠。 6.3 对于仅有本国产品参与竞争的政府采购项目，本国产品不享受价格扣除评审优惠。 6.4 供应商对其提供的产品出具《关于符合本国产品标准的声明函》，内容格式见第六章投标文件格式要求。 6.5评标委员会对供应商提交的本国产品相关声明文件的完整性、合规性进行审查核实后，按前述条款规定执行价格扣除并参与评审计分。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联系人：贾玲</w:t>
      </w:r>
    </w:p>
    <w:p>
      <w:pPr>
        <w:pStyle w:val="null3"/>
        <w:jc w:val="left"/>
      </w:pPr>
      <w:r>
        <w:rPr>
          <w:rFonts w:ascii="仿宋_GB2312" w:hAnsi="仿宋_GB2312" w:cs="仿宋_GB2312" w:eastAsia="仿宋_GB2312"/>
        </w:rPr>
        <w:t>联系电话：0898-68501635</w:t>
      </w:r>
    </w:p>
    <w:p>
      <w:pPr>
        <w:pStyle w:val="null3"/>
        <w:jc w:val="left"/>
      </w:pPr>
      <w:r>
        <w:rPr>
          <w:rFonts w:ascii="仿宋_GB2312" w:hAnsi="仿宋_GB2312" w:cs="仿宋_GB2312" w:eastAsia="仿宋_GB2312"/>
        </w:rPr>
        <w:t>地址：海口市国贸路49号中衡大厦13楼A座</w:t>
      </w:r>
    </w:p>
    <w:p>
      <w:pPr>
        <w:pStyle w:val="null3"/>
        <w:jc w:val="left"/>
      </w:pPr>
      <w:r>
        <w:rPr>
          <w:rFonts w:ascii="仿宋_GB2312" w:hAnsi="仿宋_GB2312" w:cs="仿宋_GB2312" w:eastAsia="仿宋_GB2312"/>
        </w:rPr>
        <w:t>邮编：570106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项目全称：海南省人民医院南院（观澜湖）运营及设备购置项目（第四批）</w:t>
      </w:r>
    </w:p>
    <w:p>
      <w:pPr>
        <w:pStyle w:val="null3"/>
        <w:ind w:firstLine="480"/>
        <w:jc w:val="left"/>
      </w:pPr>
      <w:r>
        <w:rPr>
          <w:rFonts w:ascii="仿宋_GB2312" w:hAnsi="仿宋_GB2312" w:cs="仿宋_GB2312" w:eastAsia="仿宋_GB2312"/>
        </w:rPr>
        <w:t>海南省人民医院观澜湖项目即该院观澜湖院区，是海南省重点工程项目，作为海南自贸港优质医疗服务体系的重要载体，该项目以</w:t>
      </w:r>
      <w:r>
        <w:rPr>
          <w:rFonts w:ascii="仿宋_GB2312" w:hAnsi="仿宋_GB2312" w:cs="仿宋_GB2312" w:eastAsia="仿宋_GB2312"/>
        </w:rPr>
        <w:t>“强专科、优综合”为核心发展思路，依托海南省人民医院的学科积淀进行精准布局。院区不仅设置内科、外科等综合门诊科室，更重点打造大急诊科综合平台、精准医学诊疗平台，以及心血管疾病、神经疾病中心等专科医学中心，承接全省急危重症患者救治需求。在硬件配置方面，凭借总院的高端医疗设备优势，配备大型医疗设备用房与科研用房（含重点实验室），并借助人工智能与信息技术构建智慧诊疗环境，匹配三级甲等医院的诊疗标准。</w:t>
      </w:r>
    </w:p>
    <w:p>
      <w:pPr>
        <w:pStyle w:val="null3"/>
        <w:ind w:firstLine="480"/>
        <w:jc w:val="left"/>
      </w:pPr>
      <w:r>
        <w:rPr>
          <w:rFonts w:ascii="仿宋_GB2312" w:hAnsi="仿宋_GB2312" w:cs="仿宋_GB2312" w:eastAsia="仿宋_GB2312"/>
        </w:rPr>
        <w:t>从服务定位与社会价值来看，该项目精准填补了海口南部片区高端医疗资源的空白，服务范围覆盖观澜湖度假区及周边区域，辐射全省各市县。其落成既有效纾解了秀英主院区的空间紧张压力，更通过差异化学科布局，强化了心脏介入、神经外科等国家临床重点专科的服务能力，依托总院国家临床重点专科和省级质控中心的资源优势，观澜湖院区可开展达芬奇机器人手术、微创介入等高端诊疗技术，助力实现</w:t>
      </w:r>
      <w:r>
        <w:rPr>
          <w:rFonts w:ascii="仿宋_GB2312" w:hAnsi="仿宋_GB2312" w:cs="仿宋_GB2312" w:eastAsia="仿宋_GB2312"/>
        </w:rPr>
        <w:t>“大病不出岛”的民生目标。同时，作为集医疗、科研、教学于一体的综合性院区，其科研用房与重点实验室的设置，将进一步推动海南精准医学研究与高层次医学人才培养，为自贸港医疗健康产业发展注入动力。</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7,387,700.00</w:t>
      </w:r>
    </w:p>
    <w:p>
      <w:pPr>
        <w:pStyle w:val="null3"/>
        <w:jc w:val="left"/>
      </w:pPr>
      <w:r>
        <w:rPr>
          <w:rFonts w:ascii="仿宋_GB2312" w:hAnsi="仿宋_GB2312" w:cs="仿宋_GB2312" w:eastAsia="仿宋_GB2312"/>
        </w:rPr>
        <w:t>采购包最高限价（元）: 7,387,700.00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心电监护仪（双有创）</w:t>
            </w:r>
          </w:p>
        </w:tc>
        <w:tc>
          <w:tcPr>
            <w:tcW w:type="dxa" w:w="831"/>
          </w:tcPr>
          <w:p>
            <w:pPr>
              <w:pStyle w:val="null3"/>
              <w:jc w:val="right"/>
            </w:pPr>
            <w:r>
              <w:rPr>
                <w:rFonts w:ascii="仿宋_GB2312" w:hAnsi="仿宋_GB2312" w:cs="仿宋_GB2312" w:eastAsia="仿宋_GB2312"/>
              </w:rPr>
              <w:t>24.00</w:t>
            </w:r>
          </w:p>
        </w:tc>
        <w:tc>
          <w:tcPr>
            <w:tcW w:type="dxa" w:w="831"/>
          </w:tcPr>
          <w:p>
            <w:pPr>
              <w:pStyle w:val="null3"/>
              <w:jc w:val="right"/>
            </w:pPr>
            <w:r>
              <w:rPr>
                <w:rFonts w:ascii="仿宋_GB2312" w:hAnsi="仿宋_GB2312" w:cs="仿宋_GB2312" w:eastAsia="仿宋_GB2312"/>
              </w:rPr>
              <w:t>672,000.00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除颤仪</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279,300.00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心电监护仪（带PICCO模块）</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转运呼吸机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无创呼吸机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心电监护仪</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186,400.00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有创呼吸机</w:t>
            </w:r>
          </w:p>
        </w:tc>
        <w:tc>
          <w:tcPr>
            <w:tcW w:type="dxa" w:w="831"/>
          </w:tcPr>
          <w:p>
            <w:pPr>
              <w:pStyle w:val="null3"/>
              <w:jc w:val="right"/>
            </w:pPr>
            <w:r>
              <w:rPr>
                <w:rFonts w:ascii="仿宋_GB2312" w:hAnsi="仿宋_GB2312" w:cs="仿宋_GB2312" w:eastAsia="仿宋_GB2312"/>
              </w:rPr>
              <w:t>21.00</w:t>
            </w:r>
          </w:p>
        </w:tc>
        <w:tc>
          <w:tcPr>
            <w:tcW w:type="dxa" w:w="831"/>
          </w:tcPr>
          <w:p>
            <w:pPr>
              <w:pStyle w:val="null3"/>
              <w:jc w:val="right"/>
            </w:pPr>
            <w:r>
              <w:rPr>
                <w:rFonts w:ascii="仿宋_GB2312" w:hAnsi="仿宋_GB2312" w:cs="仿宋_GB2312" w:eastAsia="仿宋_GB2312"/>
              </w:rPr>
              <w:t>5,040,000.00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639,500.00</w:t>
      </w:r>
    </w:p>
    <w:p>
      <w:pPr>
        <w:pStyle w:val="null3"/>
        <w:jc w:val="left"/>
      </w:pPr>
      <w:r>
        <w:rPr>
          <w:rFonts w:ascii="仿宋_GB2312" w:hAnsi="仿宋_GB2312" w:cs="仿宋_GB2312" w:eastAsia="仿宋_GB2312"/>
        </w:rPr>
        <w:t>采购包最高限价（元）: 639,500.00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振动排痰仪（背心）</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亚低温治疗仪</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289,500.00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心电图机</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16,000.00</w:t>
      </w:r>
    </w:p>
    <w:p>
      <w:pPr>
        <w:pStyle w:val="null3"/>
        <w:jc w:val="left"/>
      </w:pPr>
      <w:r>
        <w:rPr>
          <w:rFonts w:ascii="仿宋_GB2312" w:hAnsi="仿宋_GB2312" w:cs="仿宋_GB2312" w:eastAsia="仿宋_GB2312"/>
        </w:rPr>
        <w:t>采购包最高限价（元）: 16,000.00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空气消毒机（40立方）</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移动紫外线车</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心电监护仪（双有创）</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672,000.00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除颤仪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279,300.00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心电监护仪（带PICCO模块）</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转运呼吸机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无创呼吸机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心电监护仪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186,400.00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有创呼吸机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振动排痰仪（背心）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亚低温治疗仪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289,500.00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心电图机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空气消毒机（40立方）</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移动紫外线车</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标的名称：心电监护仪（双有创）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标的名称：心电监护仪（带PICCO模块）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标的名称：转运呼吸机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标的名称：有创呼吸机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标的名称：振动排痰仪（背心）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标的名称：亚低温治疗仪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标的名称：空气消毒机（40立方）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标的名称：移动紫外线车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资质条件（提供相关证明材料扫描件加盖公章）</w:t>
            </w:r>
          </w:p>
        </w:tc>
        <w:tc>
          <w:tcPr>
            <w:tcW w:type="dxa" w:w="3322"/>
          </w:tcPr>
          <w:p>
            <w:pPr>
              <w:pStyle w:val="null3"/>
              <w:jc w:val="left"/>
            </w:pPr>
            <w:r>
              <w:rPr>
                <w:rFonts w:ascii="仿宋_GB2312" w:hAnsi="仿宋_GB2312" w:cs="仿宋_GB2312" w:eastAsia="仿宋_GB2312"/>
              </w:rPr>
              <w:t>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参加政府采购活动前三年内（成立不足三年的从成立之日起算），在经营活动中无环保类行政处罚记录（提供承诺函加盖公章）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资质条件（提供相关证明材料扫描件加盖公章）</w:t>
            </w:r>
          </w:p>
        </w:tc>
        <w:tc>
          <w:tcPr>
            <w:tcW w:type="dxa" w:w="3322"/>
          </w:tcPr>
          <w:p>
            <w:pPr>
              <w:pStyle w:val="null3"/>
              <w:jc w:val="left"/>
            </w:pPr>
            <w:r>
              <w:rPr>
                <w:rFonts w:ascii="仿宋_GB2312" w:hAnsi="仿宋_GB2312" w:cs="仿宋_GB2312" w:eastAsia="仿宋_GB2312"/>
              </w:rPr>
              <w:t>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参加政府采购活动前三年内（成立不足三年的从成立之日起算），在经营活动中无环保类行政处罚记录（提供承诺函加盖公章）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资质条件（提供相关证明材料扫描件加盖公章）</w:t>
            </w:r>
          </w:p>
        </w:tc>
        <w:tc>
          <w:tcPr>
            <w:tcW w:type="dxa" w:w="3322"/>
          </w:tcPr>
          <w:p>
            <w:pPr>
              <w:pStyle w:val="null3"/>
              <w:jc w:val="left"/>
            </w:pPr>
            <w:r>
              <w:rPr>
                <w:rFonts w:ascii="仿宋_GB2312" w:hAnsi="仿宋_GB2312" w:cs="仿宋_GB2312" w:eastAsia="仿宋_GB2312"/>
              </w:rPr>
              <w:t>①投标人为生产企业的： 所投货物若属于第一类医疗器械产品，须提供有效的《第一类医疗器械生产备案凭证》； 所投货物若属于第二类、第三类医疗器械产品，须提供有效的《医疗器械生产许可证》（国外制造商除外）。 投标人为经营企业的： 所投货物若属于第三类医疗器械产品，须提供有效的《医疗器械经营许可证》； 所投货物若属于第二类医疗器械产品，须提供有效的《第二类医疗器械经营备案凭证》； 所投货物若属于第一类医疗器械产品，无需提供此类相关经营备案或许可凭证。 ②投标货物属于《医疗器械监督管理条例》规定的第一类医疗器械产品须提供第一类医疗器械产品备案凭证，属于第二类、第三类医疗器械产品则须提供完整的医疗器械注册证；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参加政府采购活动前三年内（成立不足三年的从成立之日起算），在经营活动中无环保类行政处罚记录（提供承诺函加盖公章）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投标（响应）报价明细表 开标（报价）一览表 商务应答表 技术参数响应表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 投标函 开标（报价）一览表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投标（响应）报价明细表 开标（报价）一览表 商务应答表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技术部分38.30分</w:t>
            </w:r>
          </w:p>
          <w:p>
            <w:pPr>
              <w:pStyle w:val="null3"/>
              <w:jc w:val="both"/>
            </w:pPr>
            <w:r>
              <w:rPr>
                <w:rFonts w:ascii="仿宋_GB2312" w:hAnsi="仿宋_GB2312" w:cs="仿宋_GB2312" w:eastAsia="仿宋_GB2312"/>
              </w:rPr>
              <w:t>商务部分31.70分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标“▲”号技术参数</w:t>
            </w:r>
          </w:p>
        </w:tc>
        <w:tc>
          <w:tcPr>
            <w:tcW w:type="dxa" w:w="2492"/>
          </w:tcPr>
          <w:p>
            <w:pPr>
              <w:pStyle w:val="null3"/>
              <w:jc w:val="both"/>
            </w:pPr>
            <w:r>
              <w:rPr>
                <w:rFonts w:ascii="仿宋_GB2312" w:hAnsi="仿宋_GB2312" w:cs="仿宋_GB2312" w:eastAsia="仿宋_GB2312"/>
              </w:rPr>
              <w:t>标“▲”号技术参数：投标人根据招标文件中采购需求的“技术和服务要求”中的相关要求进行响应，标“▲”号的要求共30项，完全满足的得21分，每有一条不满足（未响应、负偏离）扣0.7分，负偏离数量≥10条，本项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一般技术参数：投标人根据招标文件中采购需求的“技术和服务要求”中相关要求进行响应，非标“▲”号、“★”号的要求共173项，完全满足的得17.3分，每有一条不满足（未响应、负偏离）扣0.1分。</w:t>
            </w:r>
          </w:p>
        </w:tc>
        <w:tc>
          <w:tcPr>
            <w:tcW w:type="dxa" w:w="831"/>
          </w:tcPr>
          <w:p>
            <w:pPr>
              <w:pStyle w:val="null3"/>
              <w:jc w:val="right"/>
            </w:pPr>
            <w:r>
              <w:rPr>
                <w:rFonts w:ascii="仿宋_GB2312" w:hAnsi="仿宋_GB2312" w:cs="仿宋_GB2312" w:eastAsia="仿宋_GB2312"/>
              </w:rPr>
              <w:t>17.3000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项目实施方案（包括不限于）：1、供货流程；2、到货安装；3、调试校验；4、备品备件。 内容齐全（无缺项、无缺陷）8分。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2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项目质量管理方案</w:t>
            </w:r>
          </w:p>
        </w:tc>
        <w:tc>
          <w:tcPr>
            <w:tcW w:type="dxa" w:w="2492"/>
          </w:tcPr>
          <w:p>
            <w:pPr>
              <w:pStyle w:val="null3"/>
              <w:jc w:val="both"/>
            </w:pPr>
            <w:r>
              <w:rPr>
                <w:rFonts w:ascii="仿宋_GB2312" w:hAnsi="仿宋_GB2312" w:cs="仿宋_GB2312" w:eastAsia="仿宋_GB2312"/>
              </w:rPr>
              <w:t>项目质量管理方案（包括不限于）：1、质保期内的承诺；2、出现缺陷后的解决方案和响应时间；3、质保期满后的相关服务；4、生产厂家的服务。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售后服务方案（包括但不限于）：1、售后服务方案；2、维修维保方案；3、售后服务人员配备；4、售后服务响应时间。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培训方案（包括但不限于）：1、产品操作培训；2、维护培训。 内容齐全（无缺项、无缺陷）5分。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1.5分。方案存在缺项的，每项扣2.5分。无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紧急情况响应方案</w:t>
            </w:r>
          </w:p>
        </w:tc>
        <w:tc>
          <w:tcPr>
            <w:tcW w:type="dxa" w:w="2492"/>
          </w:tcPr>
          <w:p>
            <w:pPr>
              <w:pStyle w:val="null3"/>
              <w:jc w:val="both"/>
            </w:pPr>
            <w:r>
              <w:rPr>
                <w:rFonts w:ascii="仿宋_GB2312" w:hAnsi="仿宋_GB2312" w:cs="仿宋_GB2312" w:eastAsia="仿宋_GB2312"/>
              </w:rPr>
              <w:t>紧急情况响应方案（包括不限于）：1、安全保障措施；2、重大故障处理措施；3、紧急情况响应机制；4、紧急情况处理流程。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项目业绩：2023年1月1日以来，投标人具有医疗设备供货业绩的，每提供1个得0.7分，满分0.7分，不提供得0分。提供合同复印件加盖公章（时间以合同签订时间为准）。</w:t>
            </w:r>
          </w:p>
        </w:tc>
        <w:tc>
          <w:tcPr>
            <w:tcW w:type="dxa" w:w="831"/>
          </w:tcPr>
          <w:p>
            <w:pPr>
              <w:pStyle w:val="null3"/>
              <w:jc w:val="right"/>
            </w:pPr>
            <w:r>
              <w:rPr>
                <w:rFonts w:ascii="仿宋_GB2312" w:hAnsi="仿宋_GB2312" w:cs="仿宋_GB2312" w:eastAsia="仿宋_GB2312"/>
              </w:rPr>
              <w:t>0.7000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1. 对本国产品的支持政策：执行《国务院办公厅关于在政府采购中实施本国产品标准及相关政策的通知》(国办发(2025)34号)。 1.1 政府采购活动中既有本国产品又有非本国产品参与竞争的，依法对本国产品给予价格评审优惠，对本国产品的报价给予20%的价格扣除，用扣除后的价格参与评审。 1.2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 多产品采购项目/采购包，若投标人仅出具《关于符合本国产品标准的声明函》，未出具成本比例声明的，不享受本款所述价格评审优惠。 1.3 对于仅有本国产品参与竞争的政府采购项目，本国产品不享受价格扣除评审优惠。 1.4 供应商对其提供的产品出具《关于符合本国产品标准的声明函》，内容格式见第六章投标文件格式要求。 1.5评标委员会对供应商提交的本国产品相关声明文件的完整性、合规性进行审查核实后，按前述条款规定执行价格扣除并参与评审计分。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本国产品成本占比声明（如需）</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关于符合本国产品标准的声明函（如需）</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技术部分44.00分</w:t>
            </w:r>
          </w:p>
          <w:p>
            <w:pPr>
              <w:pStyle w:val="null3"/>
              <w:jc w:val="both"/>
            </w:pPr>
            <w:r>
              <w:rPr>
                <w:rFonts w:ascii="仿宋_GB2312" w:hAnsi="仿宋_GB2312" w:cs="仿宋_GB2312" w:eastAsia="仿宋_GB2312"/>
              </w:rPr>
              <w:t>商务部分26.00分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标“▲”号技术参数</w:t>
            </w:r>
          </w:p>
        </w:tc>
        <w:tc>
          <w:tcPr>
            <w:tcW w:type="dxa" w:w="2492"/>
          </w:tcPr>
          <w:p>
            <w:pPr>
              <w:pStyle w:val="null3"/>
              <w:jc w:val="both"/>
            </w:pPr>
            <w:r>
              <w:rPr>
                <w:rFonts w:ascii="仿宋_GB2312" w:hAnsi="仿宋_GB2312" w:cs="仿宋_GB2312" w:eastAsia="仿宋_GB2312"/>
              </w:rPr>
              <w:t>标“▲”号技术参数：投标人根据招标文件中采购需求的“技术和服务要求”中的相关要求进行响应，标“▲”号的要求共11项，完全满足的得22分，每有一条不满足（未响应、负偏离）扣2分。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一般技术参数：投标人根据招标文件中采购需求的“技术和服务要求”中相关要求进行响应，非标“▲”号、“★”号的要求共44项，完全满足的得22分，每有一条不满足（未响应、负偏离）扣0.5分。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项目实施方案（包括不限于）：1、供货流程；2、到货安装；3、调试校验；4、备品备件。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项目质量管理方案</w:t>
            </w:r>
          </w:p>
        </w:tc>
        <w:tc>
          <w:tcPr>
            <w:tcW w:type="dxa" w:w="2492"/>
          </w:tcPr>
          <w:p>
            <w:pPr>
              <w:pStyle w:val="null3"/>
              <w:jc w:val="both"/>
            </w:pPr>
            <w:r>
              <w:rPr>
                <w:rFonts w:ascii="仿宋_GB2312" w:hAnsi="仿宋_GB2312" w:cs="仿宋_GB2312" w:eastAsia="仿宋_GB2312"/>
              </w:rPr>
              <w:t>项目质量管理方案（包括不限于）：1、质保期内的承诺；2、出现缺陷后的解决方案和响应时间；3、质保期满后的相关服务；4、生产厂家的服务。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0.5分。方案存在缺项的，每项扣1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售后服务方案（包括但不限于）：1、售后服务方案；2、维修维保方案；3、售后服务人员配备；4、售后服务响应时间。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培训方案（包括但不限于）：1、产品操作培训；2、维护培训。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2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紧急情况响应方案</w:t>
            </w:r>
          </w:p>
        </w:tc>
        <w:tc>
          <w:tcPr>
            <w:tcW w:type="dxa" w:w="2492"/>
          </w:tcPr>
          <w:p>
            <w:pPr>
              <w:pStyle w:val="null3"/>
              <w:jc w:val="both"/>
            </w:pPr>
            <w:r>
              <w:rPr>
                <w:rFonts w:ascii="仿宋_GB2312" w:hAnsi="仿宋_GB2312" w:cs="仿宋_GB2312" w:eastAsia="仿宋_GB2312"/>
              </w:rPr>
              <w:t>紧急情况响应方案（包括不限于）：1、安全保障措施；2、重大故障处理措施；3、紧急情况响应机制；4、紧急情况处理流程。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0.5分。方案存在缺项的，每项扣1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项目业绩：2023年1月1日以来，投标人具有医疗设备供货业绩的，每提供1个得1分，满分2分，不提供得0分。提供合同复印件加盖公章（时间以合同签订时间为准）。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1. 对本国产品的支持政策：执行《国务院办公厅关于在政府采购中实施本国产品标准及相关政策的通知》(国办发(2025)34号)。 1.1 政府采购活动中既有本国产品又有非本国产品参与竞争的，依法对本国产品给予价格评审优惠，对本国产品的报价给予20%的价格扣除，用扣除后的价格参与评审。 1.2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 多产品采购项目/采购包，若投标人仅出具《关于符合本国产品标准的声明函》，未出具成本比例声明的，不享受本款所述价格评审优惠。 1.3 对于仅有本国产品参与竞争的政府采购项目，本国产品不享受价格扣除评审优惠。 1.4 供应商对其提供的产品出具《关于符合本国产品标准的声明函》，内容格式见第六章投标文件格式要求。 1.5评标委员会对供应商提交的本国产品相关声明文件的完整性、合规性进行审查核实后，按前述条款规定执行价格扣除并参与评审计分。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本国产品成本占比声明（如需）</w:t>
            </w:r>
          </w:p>
          <w:p>
            <w:pPr>
              <w:pStyle w:val="null3"/>
              <w:jc w:val="both"/>
            </w:pPr>
            <w:r>
              <w:rPr>
                <w:rFonts w:ascii="仿宋_GB2312" w:hAnsi="仿宋_GB2312" w:cs="仿宋_GB2312" w:eastAsia="仿宋_GB2312"/>
              </w:rPr>
              <w:t>关于符合本国产品标准的声明函（如需）</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技术部分43.80分</w:t>
            </w:r>
          </w:p>
          <w:p>
            <w:pPr>
              <w:pStyle w:val="null3"/>
              <w:jc w:val="both"/>
            </w:pPr>
            <w:r>
              <w:rPr>
                <w:rFonts w:ascii="仿宋_GB2312" w:hAnsi="仿宋_GB2312" w:cs="仿宋_GB2312" w:eastAsia="仿宋_GB2312"/>
              </w:rPr>
              <w:t>商务部分26.20分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标“▲”号技术参数</w:t>
            </w:r>
          </w:p>
        </w:tc>
        <w:tc>
          <w:tcPr>
            <w:tcW w:type="dxa" w:w="2492"/>
          </w:tcPr>
          <w:p>
            <w:pPr>
              <w:pStyle w:val="null3"/>
              <w:jc w:val="both"/>
            </w:pPr>
            <w:r>
              <w:rPr>
                <w:rFonts w:ascii="仿宋_GB2312" w:hAnsi="仿宋_GB2312" w:cs="仿宋_GB2312" w:eastAsia="仿宋_GB2312"/>
              </w:rPr>
              <w:t>标“▲”号技术参数：投标人根据招标文件中采购需求的“技术和服务要求”中的相关要求进行响应，标“▲”号的要求共3项，完全满足的得15分，每有一条不满足（未响应、负偏离）扣5分。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一般技术参数：投标人根据招标文件中采购需求的“技术和服务要求”中相关要求进行响应，非标“▲”号、“★”号的要求共48项，完全满足的得28.8分，每有一条不满足（未响应、负偏离）扣0.6分。</w:t>
            </w:r>
          </w:p>
        </w:tc>
        <w:tc>
          <w:tcPr>
            <w:tcW w:type="dxa" w:w="831"/>
          </w:tcPr>
          <w:p>
            <w:pPr>
              <w:pStyle w:val="null3"/>
              <w:jc w:val="right"/>
            </w:pPr>
            <w:r>
              <w:rPr>
                <w:rFonts w:ascii="仿宋_GB2312" w:hAnsi="仿宋_GB2312" w:cs="仿宋_GB2312" w:eastAsia="仿宋_GB2312"/>
              </w:rPr>
              <w:t>28.8000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项目实施方案（包括不限于）：1、供货流程；2、到货安装；3、调试校验；4、备品备件。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项目质量管理方案</w:t>
            </w:r>
          </w:p>
        </w:tc>
        <w:tc>
          <w:tcPr>
            <w:tcW w:type="dxa" w:w="2492"/>
          </w:tcPr>
          <w:p>
            <w:pPr>
              <w:pStyle w:val="null3"/>
              <w:jc w:val="both"/>
            </w:pPr>
            <w:r>
              <w:rPr>
                <w:rFonts w:ascii="仿宋_GB2312" w:hAnsi="仿宋_GB2312" w:cs="仿宋_GB2312" w:eastAsia="仿宋_GB2312"/>
              </w:rPr>
              <w:t>项目质量管理方案（包括不限于）：1、质保期内的承诺；2、出现缺陷后的解决方案和响应时间；3、质保期满后的相关服务；4、生产厂家的服务。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0.5分。方案存在缺项的，每项扣1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售后服务方案（包括但不限于）：1、售后服务方案；2、维修维保方案；3、售后服务人员配备；4、售后服务响应时间。 内容齐全（无缺项、无缺陷）6分。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1.5分。无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培训方案（包括但不限于）：1、产品操作培训；2、维护培训。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1分。方案存在缺项的，每项扣2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紧急情况响应方案</w:t>
            </w:r>
          </w:p>
        </w:tc>
        <w:tc>
          <w:tcPr>
            <w:tcW w:type="dxa" w:w="2492"/>
          </w:tcPr>
          <w:p>
            <w:pPr>
              <w:pStyle w:val="null3"/>
              <w:jc w:val="both"/>
            </w:pPr>
            <w:r>
              <w:rPr>
                <w:rFonts w:ascii="仿宋_GB2312" w:hAnsi="仿宋_GB2312" w:cs="仿宋_GB2312" w:eastAsia="仿宋_GB2312"/>
              </w:rPr>
              <w:t>紧急情况响应方案（包括不限于）：1、安全保障措施；2、重大故障处理措施；3、紧急情况响应机制；4、紧急情况处理流程。 内容齐全（无缺项、无缺陷）4分。 方案存在缺陷的(缺陷是指:与采购需求内容不适用项目特性的情形、内容不符合项目实际要求、内容缺少关键节点、套用其他项目方案、内容前后矛盾、内容描述不清楚、涉及的规范及标准错误、不利于项目实施、存在不可能实现的情形)每处缺陷扣0.5分。方案存在缺项的，每项扣1分。无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项目业绩：2023年1月1日以来，投标人具有医疗设备供货业绩的，每提供1个得1.1分，满分2.2分，不提供得0分。提供合同复印件加盖公章（时间以合同签订时间为准）。</w:t>
            </w:r>
          </w:p>
        </w:tc>
        <w:tc>
          <w:tcPr>
            <w:tcW w:type="dxa" w:w="831"/>
          </w:tcPr>
          <w:p>
            <w:pPr>
              <w:pStyle w:val="null3"/>
              <w:jc w:val="right"/>
            </w:pPr>
            <w:r>
              <w:rPr>
                <w:rFonts w:ascii="仿宋_GB2312" w:hAnsi="仿宋_GB2312" w:cs="仿宋_GB2312" w:eastAsia="仿宋_GB2312"/>
              </w:rPr>
              <w:t>2.2000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1. 对本国产品的支持政策：执行《国务院办公厅关于在政府采购中实施本国产品标准及相关政策的通知》(国办发(2025)34号)。 1.1 政府采购活动中既有本国产品又有非本国产品参与竞争的，依法对本国产品给予价格评审优惠，对本国产品的报价给予20%的价格扣除，用扣除后的价格参与评审。 1.2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 多产品采购项目/采购包，若投标人仅出具《关于符合本国产品标准的声明函》，未出具成本比例声明的，不享受本款所述价格评审优惠。 1.3 对于仅有本国产品参与竞争的政府采购项目，本国产品不享受价格扣除评审优惠。 1.4 供应商对其提供的产品出具《关于符合本国产品标准的声明函》，内容格式见第六章投标文件格式要求。 1.5评标委员会对供应商提交的本国产品相关声明文件的完整性、合规性进行审查核实后，按前述条款规定执行价格扣除并参与评审计分。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本国产品成本占比声明（如需）</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关于符合本国产品标准的声明函（如需）</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海南省人民医院南院（观澜湖）运营及设备购置项目（第四批）（一）</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海南省人民医院南院（观澜湖）运营及设备购置项目（第四批）（一）采购包1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心电监护仪（双有创）</w:t>
            </w:r>
          </w:p>
        </w:tc>
        <w:tc>
          <w:tcPr>
            <w:tcW w:type="dxa" w:w="639"/>
          </w:tcPr>
          <w:p>
            <w:pPr>
              <w:pStyle w:val="null3"/>
              <w:jc w:val="left"/>
            </w:pPr>
            <w:r>
              <w:rPr>
                <w:rFonts w:ascii="仿宋_GB2312" w:hAnsi="仿宋_GB2312" w:cs="仿宋_GB2312" w:eastAsia="仿宋_GB2312"/>
              </w:rPr>
              <w:t xml:space="preserve"> 24.0000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672000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除颤仪</w:t>
            </w:r>
          </w:p>
        </w:tc>
        <w:tc>
          <w:tcPr>
            <w:tcW w:type="dxa" w:w="639"/>
          </w:tcPr>
          <w:p>
            <w:pPr>
              <w:pStyle w:val="null3"/>
              <w:jc w:val="left"/>
            </w:pPr>
            <w:r>
              <w:rPr>
                <w:rFonts w:ascii="仿宋_GB2312" w:hAnsi="仿宋_GB2312" w:cs="仿宋_GB2312" w:eastAsia="仿宋_GB2312"/>
              </w:rPr>
              <w:t xml:space="preserve"> 7.0000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279300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心电监护仪（带PICCO模块）</w:t>
            </w:r>
          </w:p>
        </w:tc>
        <w:tc>
          <w:tcPr>
            <w:tcW w:type="dxa" w:w="639"/>
          </w:tcPr>
          <w:p>
            <w:pPr>
              <w:pStyle w:val="null3"/>
              <w:jc w:val="left"/>
            </w:pPr>
            <w:r>
              <w:rPr>
                <w:rFonts w:ascii="仿宋_GB2312" w:hAnsi="仿宋_GB2312" w:cs="仿宋_GB2312" w:eastAsia="仿宋_GB2312"/>
              </w:rPr>
              <w:t xml:space="preserve"> 10.0000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转运呼吸机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无创呼吸机</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320000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心电监护仪</w:t>
            </w:r>
          </w:p>
        </w:tc>
        <w:tc>
          <w:tcPr>
            <w:tcW w:type="dxa" w:w="639"/>
          </w:tcPr>
          <w:p>
            <w:pPr>
              <w:pStyle w:val="null3"/>
              <w:jc w:val="left"/>
            </w:pPr>
            <w:r>
              <w:rPr>
                <w:rFonts w:ascii="仿宋_GB2312" w:hAnsi="仿宋_GB2312" w:cs="仿宋_GB2312" w:eastAsia="仿宋_GB2312"/>
              </w:rPr>
              <w:t xml:space="preserve"> 8.0000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186400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有创呼吸机</w:t>
            </w:r>
          </w:p>
        </w:tc>
        <w:tc>
          <w:tcPr>
            <w:tcW w:type="dxa" w:w="639"/>
          </w:tcPr>
          <w:p>
            <w:pPr>
              <w:pStyle w:val="null3"/>
              <w:jc w:val="left"/>
            </w:pPr>
            <w:r>
              <w:rPr>
                <w:rFonts w:ascii="仿宋_GB2312" w:hAnsi="仿宋_GB2312" w:cs="仿宋_GB2312" w:eastAsia="仿宋_GB2312"/>
              </w:rPr>
              <w:t xml:space="preserve"> 21.0000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5040000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海南省人民医院南院（观澜湖）运营及设备购置项目（第四批）（一）</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海南省人民医院南院（观澜湖）运营及设备购置项目（第四批）（一）采购包2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振动排痰仪（背心）</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亚低温治疗仪</w:t>
            </w:r>
          </w:p>
        </w:tc>
        <w:tc>
          <w:tcPr>
            <w:tcW w:type="dxa" w:w="639"/>
          </w:tcPr>
          <w:p>
            <w:pPr>
              <w:pStyle w:val="null3"/>
              <w:jc w:val="left"/>
            </w:pPr>
            <w:r>
              <w:rPr>
                <w:rFonts w:ascii="仿宋_GB2312" w:hAnsi="仿宋_GB2312" w:cs="仿宋_GB2312" w:eastAsia="仿宋_GB2312"/>
              </w:rPr>
              <w:t xml:space="preserve"> 15.0000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289500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心电图机</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HNZC2026-027-002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海南省人民医院南院（观澜湖）运营及设备购置项目（第四批）（一）</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海南省人民医院南院（观澜湖）运营及设备购置项目（第四批）（一）采购包3</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空气消毒机（40立方）</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移动紫外线车</w:t>
            </w:r>
          </w:p>
        </w:tc>
        <w:tc>
          <w:tcPr>
            <w:tcW w:type="dxa" w:w="639"/>
          </w:tcPr>
          <w:p>
            <w:pPr>
              <w:pStyle w:val="null3"/>
              <w:jc w:val="left"/>
            </w:pPr>
            <w:r>
              <w:rPr>
                <w:rFonts w:ascii="仿宋_GB2312" w:hAnsi="仿宋_GB2312" w:cs="仿宋_GB2312" w:eastAsia="仿宋_GB2312"/>
              </w:rPr>
              <w:t xml:space="preserve"> 20.0000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详见附件：关于符合本国产品标准的声明函（如需）</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详见附件：本国产品成本占比声明（如需）</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详见附件：关于符合本国产品标准的声明函（如需）</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详见附件：本国产品成本占比声明（如需）</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详见附件：关于符合本国产品标准的声明函（如需）</w:t>
      </w:r>
    </w:p>
    <w:p>
      <w:pPr>
        <w:pStyle w:val="null3"/>
        <w:ind w:firstLine="960"/>
        <w:jc w:val="left"/>
      </w:pPr>
      <w:r>
        <w:rPr>
          <w:rFonts w:ascii="仿宋_GB2312" w:hAnsi="仿宋_GB2312" w:cs="仿宋_GB2312" w:eastAsia="仿宋_GB2312"/>
        </w:rPr>
        <w:t>详见附件：本国产品成本占比声明（如需）</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详见附件：投标函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