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E8FFE">
      <w:pPr>
        <w:adjustRightInd w:val="0"/>
        <w:spacing w:before="31" w:beforeLines="10" w:line="400" w:lineRule="exact"/>
        <w:ind w:firstLine="1285" w:firstLineChars="200"/>
        <w:jc w:val="center"/>
        <w:rPr>
          <w:rFonts w:ascii="宋体" w:hAnsi="宋体" w:cs="宋体"/>
          <w:b/>
          <w:bCs/>
          <w:color w:val="000000" w:themeColor="text1"/>
          <w:sz w:val="64"/>
          <w:highlight w:val="none"/>
          <w14:textFill>
            <w14:solidFill>
              <w14:schemeClr w14:val="tx1"/>
            </w14:solidFill>
          </w14:textFill>
        </w:rPr>
      </w:pPr>
    </w:p>
    <w:p w14:paraId="1C1EF20E">
      <w:pPr>
        <w:adjustRightInd w:val="0"/>
        <w:spacing w:before="31" w:beforeLines="10" w:line="400" w:lineRule="exact"/>
        <w:ind w:firstLine="1285" w:firstLineChars="200"/>
        <w:jc w:val="center"/>
        <w:rPr>
          <w:rFonts w:ascii="宋体" w:hAnsi="宋体" w:cs="宋体"/>
          <w:b/>
          <w:bCs/>
          <w:color w:val="000000" w:themeColor="text1"/>
          <w:sz w:val="64"/>
          <w:highlight w:val="none"/>
          <w14:textFill>
            <w14:solidFill>
              <w14:schemeClr w14:val="tx1"/>
            </w14:solidFill>
          </w14:textFill>
        </w:rPr>
      </w:pPr>
    </w:p>
    <w:p w14:paraId="7D1C9423">
      <w:pPr>
        <w:pStyle w:val="20"/>
        <w:autoSpaceDE w:val="0"/>
        <w:autoSpaceDN w:val="0"/>
        <w:adjustRightInd w:val="0"/>
        <w:jc w:val="center"/>
        <w:rPr>
          <w:rFonts w:hint="eastAsia" w:hAnsi="宋体" w:eastAsia="宋体" w:cs="宋体"/>
          <w:b/>
          <w:bCs/>
          <w:color w:val="000000" w:themeColor="text1"/>
          <w:spacing w:val="-6"/>
          <w:kern w:val="0"/>
          <w:sz w:val="44"/>
          <w:szCs w:val="44"/>
          <w:highlight w:val="none"/>
          <w:lang w:eastAsia="zh-CN"/>
          <w14:textFill>
            <w14:solidFill>
              <w14:schemeClr w14:val="tx1"/>
            </w14:solidFill>
          </w14:textFill>
        </w:rPr>
      </w:pPr>
      <w:r>
        <w:rPr>
          <w:rFonts w:hint="eastAsia" w:hAnsi="宋体" w:cs="宋体"/>
          <w:b/>
          <w:bCs/>
          <w:color w:val="000000" w:themeColor="text1"/>
          <w:spacing w:val="-6"/>
          <w:kern w:val="0"/>
          <w:sz w:val="44"/>
          <w:szCs w:val="44"/>
          <w:highlight w:val="none"/>
          <w:lang w:eastAsia="zh-CN"/>
          <w14:textFill>
            <w14:solidFill>
              <w14:schemeClr w14:val="tx1"/>
            </w14:solidFill>
          </w14:textFill>
        </w:rPr>
        <w:t>昆明理工大学医院2024设备购置—1（二次）</w:t>
      </w:r>
    </w:p>
    <w:p w14:paraId="54C79D0C">
      <w:pPr>
        <w:pStyle w:val="20"/>
        <w:jc w:val="center"/>
        <w:rPr>
          <w:rFonts w:hAnsi="宋体" w:cs="宋体"/>
          <w:bCs/>
          <w:color w:val="000000" w:themeColor="text1"/>
          <w:sz w:val="48"/>
          <w:highlight w:val="none"/>
          <w14:textFill>
            <w14:solidFill>
              <w14:schemeClr w14:val="tx1"/>
            </w14:solidFill>
          </w14:textFill>
        </w:rPr>
      </w:pPr>
    </w:p>
    <w:p w14:paraId="38B87C37">
      <w:pPr>
        <w:pStyle w:val="20"/>
        <w:autoSpaceDE w:val="0"/>
        <w:autoSpaceDN w:val="0"/>
        <w:adjustRightInd w:val="0"/>
        <w:spacing w:line="360" w:lineRule="auto"/>
        <w:jc w:val="center"/>
        <w:rPr>
          <w:rFonts w:hAnsi="宋体" w:cs="宋体"/>
          <w:b/>
          <w:bCs/>
          <w:color w:val="000000" w:themeColor="text1"/>
          <w:kern w:val="0"/>
          <w:sz w:val="84"/>
          <w:szCs w:val="84"/>
          <w:highlight w:val="none"/>
          <w14:textFill>
            <w14:solidFill>
              <w14:schemeClr w14:val="tx1"/>
            </w14:solidFill>
          </w14:textFill>
        </w:rPr>
      </w:pPr>
      <w:r>
        <w:rPr>
          <w:rFonts w:hint="eastAsia" w:hAnsi="宋体" w:cs="宋体"/>
          <w:b/>
          <w:bCs/>
          <w:color w:val="000000" w:themeColor="text1"/>
          <w:kern w:val="0"/>
          <w:sz w:val="84"/>
          <w:szCs w:val="84"/>
          <w:highlight w:val="none"/>
          <w14:textFill>
            <w14:solidFill>
              <w14:schemeClr w14:val="tx1"/>
            </w14:solidFill>
          </w14:textFill>
        </w:rPr>
        <w:t>招标文件</w:t>
      </w:r>
    </w:p>
    <w:p w14:paraId="58322425">
      <w:pPr>
        <w:pStyle w:val="20"/>
        <w:ind w:firstLine="2870" w:firstLineChars="897"/>
        <w:rPr>
          <w:rFonts w:hAnsi="宋体" w:cs="宋体"/>
          <w:bCs/>
          <w:color w:val="000000" w:themeColor="text1"/>
          <w:sz w:val="32"/>
          <w:szCs w:val="32"/>
          <w:highlight w:val="none"/>
          <w14:textFill>
            <w14:solidFill>
              <w14:schemeClr w14:val="tx1"/>
            </w14:solidFill>
          </w14:textFill>
        </w:rPr>
      </w:pPr>
    </w:p>
    <w:p w14:paraId="75C792D2">
      <w:pPr>
        <w:pStyle w:val="20"/>
        <w:autoSpaceDE w:val="0"/>
        <w:autoSpaceDN w:val="0"/>
        <w:adjustRightInd w:val="0"/>
        <w:spacing w:line="360" w:lineRule="auto"/>
        <w:jc w:val="center"/>
        <w:rPr>
          <w:rFonts w:hAnsi="宋体" w:cs="宋体"/>
          <w:b/>
          <w:bCs/>
          <w:color w:val="000000" w:themeColor="text1"/>
          <w:kern w:val="0"/>
          <w:sz w:val="32"/>
          <w:szCs w:val="32"/>
          <w:highlight w:val="none"/>
          <w14:textFill>
            <w14:solidFill>
              <w14:schemeClr w14:val="tx1"/>
            </w14:solidFill>
          </w14:textFill>
        </w:rPr>
      </w:pPr>
    </w:p>
    <w:p w14:paraId="66780022">
      <w:pPr>
        <w:pStyle w:val="20"/>
        <w:autoSpaceDE w:val="0"/>
        <w:autoSpaceDN w:val="0"/>
        <w:adjustRightInd w:val="0"/>
        <w:spacing w:line="360" w:lineRule="auto"/>
        <w:jc w:val="center"/>
        <w:rPr>
          <w:rFonts w:hint="eastAsia" w:hAnsi="宋体" w:eastAsia="宋体" w:cs="宋体"/>
          <w:bCs/>
          <w:color w:val="000000" w:themeColor="text1"/>
          <w:sz w:val="32"/>
          <w:szCs w:val="32"/>
          <w:highlight w:val="none"/>
          <w:u w:val="single"/>
          <w:lang w:eastAsia="zh-CN"/>
          <w14:textFill>
            <w14:solidFill>
              <w14:schemeClr w14:val="tx1"/>
            </w14:solidFill>
          </w14:textFill>
        </w:rPr>
      </w:pPr>
      <w:r>
        <w:rPr>
          <w:rFonts w:hint="eastAsia" w:hAnsi="宋体" w:cs="宋体"/>
          <w:b/>
          <w:bCs/>
          <w:color w:val="000000" w:themeColor="text1"/>
          <w:kern w:val="0"/>
          <w:sz w:val="32"/>
          <w:szCs w:val="32"/>
          <w:highlight w:val="none"/>
          <w14:textFill>
            <w14:solidFill>
              <w14:schemeClr w14:val="tx1"/>
            </w14:solidFill>
          </w14:textFill>
        </w:rPr>
        <w:t>项目编号：YNZC2024-G1-06846-ZDGL-0039</w:t>
      </w:r>
    </w:p>
    <w:p w14:paraId="590F17B9">
      <w:pPr>
        <w:spacing w:line="360" w:lineRule="auto"/>
        <w:jc w:val="center"/>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drawing>
          <wp:inline distT="0" distB="0" distL="114300" distR="114300">
            <wp:extent cx="1728470" cy="2103120"/>
            <wp:effectExtent l="0" t="0" r="8890" b="0"/>
            <wp:docPr id="9" name="图片 2" descr="E:\中德高路\中德高路.jpg中德高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E:\中德高路\中德高路.jpg中德高路"/>
                    <pic:cNvPicPr>
                      <a:picLocks noChangeAspect="1"/>
                    </pic:cNvPicPr>
                  </pic:nvPicPr>
                  <pic:blipFill>
                    <a:blip r:embed="rId18"/>
                    <a:stretch>
                      <a:fillRect/>
                    </a:stretch>
                  </pic:blipFill>
                  <pic:spPr>
                    <a:xfrm>
                      <a:off x="0" y="0"/>
                      <a:ext cx="1728470" cy="2103120"/>
                    </a:xfrm>
                    <a:prstGeom prst="rect">
                      <a:avLst/>
                    </a:prstGeom>
                    <a:noFill/>
                    <a:ln>
                      <a:noFill/>
                    </a:ln>
                  </pic:spPr>
                </pic:pic>
              </a:graphicData>
            </a:graphic>
          </wp:inline>
        </w:drawing>
      </w:r>
    </w:p>
    <w:p w14:paraId="2AAD01B4">
      <w:pPr>
        <w:jc w:val="center"/>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求真、务实、诚信、高效</w:t>
      </w:r>
    </w:p>
    <w:p w14:paraId="0C7C6F37">
      <w:pPr>
        <w:pStyle w:val="20"/>
        <w:rPr>
          <w:rFonts w:hAnsi="宋体" w:cs="宋体"/>
          <w:bCs/>
          <w:color w:val="000000" w:themeColor="text1"/>
          <w:sz w:val="32"/>
          <w:highlight w:val="none"/>
          <w14:textFill>
            <w14:solidFill>
              <w14:schemeClr w14:val="tx1"/>
            </w14:solidFill>
          </w14:textFill>
        </w:rPr>
      </w:pPr>
    </w:p>
    <w:p w14:paraId="41E13C8A">
      <w:pPr>
        <w:pStyle w:val="20"/>
        <w:rPr>
          <w:rFonts w:hAnsi="宋体" w:cs="宋体"/>
          <w:bCs/>
          <w:color w:val="000000" w:themeColor="text1"/>
          <w:sz w:val="32"/>
          <w:highlight w:val="none"/>
          <w14:textFill>
            <w14:solidFill>
              <w14:schemeClr w14:val="tx1"/>
            </w14:solidFill>
          </w14:textFill>
        </w:rPr>
      </w:pPr>
    </w:p>
    <w:p w14:paraId="2A862032">
      <w:pPr>
        <w:pStyle w:val="20"/>
        <w:jc w:val="center"/>
        <w:rPr>
          <w:rFonts w:hAnsi="宋体" w:cs="宋体"/>
          <w:b/>
          <w:bCs/>
          <w:color w:val="000000" w:themeColor="text1"/>
          <w:sz w:val="32"/>
          <w:highlight w:val="none"/>
          <w14:textFill>
            <w14:solidFill>
              <w14:schemeClr w14:val="tx1"/>
            </w14:solidFill>
          </w14:textFill>
        </w:rPr>
      </w:pPr>
      <w:r>
        <w:rPr>
          <w:rFonts w:hint="eastAsia" w:hAnsi="宋体" w:cs="宋体"/>
          <w:b/>
          <w:bCs/>
          <w:color w:val="000000" w:themeColor="text1"/>
          <w:sz w:val="32"/>
          <w:highlight w:val="none"/>
          <w14:textFill>
            <w14:solidFill>
              <w14:schemeClr w14:val="tx1"/>
            </w14:solidFill>
          </w14:textFill>
        </w:rPr>
        <w:t>采购人：昆明理工大学</w:t>
      </w:r>
    </w:p>
    <w:p w14:paraId="14183A80">
      <w:pPr>
        <w:pStyle w:val="20"/>
        <w:jc w:val="center"/>
        <w:rPr>
          <w:rFonts w:hint="eastAsia" w:hAnsi="宋体" w:eastAsia="宋体" w:cs="宋体"/>
          <w:b/>
          <w:bCs/>
          <w:color w:val="000000" w:themeColor="text1"/>
          <w:sz w:val="32"/>
          <w:highlight w:val="none"/>
          <w:lang w:eastAsia="zh-CN"/>
          <w14:textFill>
            <w14:solidFill>
              <w14:schemeClr w14:val="tx1"/>
            </w14:solidFill>
          </w14:textFill>
        </w:rPr>
      </w:pPr>
      <w:r>
        <w:rPr>
          <w:rFonts w:hint="eastAsia" w:hAnsi="宋体" w:cs="宋体"/>
          <w:b/>
          <w:bCs/>
          <w:color w:val="000000" w:themeColor="text1"/>
          <w:sz w:val="32"/>
          <w:highlight w:val="none"/>
          <w14:textFill>
            <w14:solidFill>
              <w14:schemeClr w14:val="tx1"/>
            </w14:solidFill>
          </w14:textFill>
        </w:rPr>
        <w:t>采购代理机构：</w:t>
      </w:r>
      <w:r>
        <w:rPr>
          <w:rFonts w:hint="eastAsia" w:hAnsi="宋体" w:cs="宋体"/>
          <w:b/>
          <w:bCs/>
          <w:color w:val="000000" w:themeColor="text1"/>
          <w:sz w:val="32"/>
          <w:highlight w:val="none"/>
          <w:lang w:eastAsia="zh-CN"/>
          <w14:textFill>
            <w14:solidFill>
              <w14:schemeClr w14:val="tx1"/>
            </w14:solidFill>
          </w14:textFill>
        </w:rPr>
        <w:t>中德高路咨询（云南）股份有限公司</w:t>
      </w:r>
    </w:p>
    <w:p w14:paraId="01B526FA">
      <w:pPr>
        <w:pStyle w:val="20"/>
        <w:tabs>
          <w:tab w:val="center" w:pos="7646"/>
        </w:tabs>
        <w:jc w:val="center"/>
        <w:rPr>
          <w:rFonts w:hAnsi="宋体" w:cs="宋体"/>
          <w:b/>
          <w:color w:val="000000" w:themeColor="text1"/>
          <w:sz w:val="36"/>
          <w:highlight w:val="none"/>
          <w14:textFill>
            <w14:solidFill>
              <w14:schemeClr w14:val="tx1"/>
            </w14:solidFill>
          </w14:textFill>
        </w:rPr>
      </w:pPr>
      <w:r>
        <w:rPr>
          <w:rFonts w:hint="eastAsia" w:hAnsi="宋体" w:cs="宋体"/>
          <w:b/>
          <w:bCs/>
          <w:color w:val="000000" w:themeColor="text1"/>
          <w:sz w:val="32"/>
          <w:highlight w:val="none"/>
          <w14:textFill>
            <w14:solidFill>
              <w14:schemeClr w14:val="tx1"/>
            </w14:solidFill>
          </w14:textFill>
        </w:rPr>
        <w:t>二〇二四年</w:t>
      </w:r>
      <w:r>
        <w:rPr>
          <w:rFonts w:hint="eastAsia" w:hAnsi="宋体" w:cs="宋体"/>
          <w:b/>
          <w:bCs/>
          <w:color w:val="000000" w:themeColor="text1"/>
          <w:sz w:val="32"/>
          <w:highlight w:val="none"/>
          <w:lang w:val="en-US" w:eastAsia="zh-CN"/>
          <w14:textFill>
            <w14:solidFill>
              <w14:schemeClr w14:val="tx1"/>
            </w14:solidFill>
          </w14:textFill>
        </w:rPr>
        <w:t>十二</w:t>
      </w:r>
      <w:r>
        <w:rPr>
          <w:rFonts w:hint="eastAsia" w:hAnsi="宋体" w:cs="宋体"/>
          <w:b/>
          <w:bCs/>
          <w:color w:val="000000" w:themeColor="text1"/>
          <w:sz w:val="32"/>
          <w:highlight w:val="none"/>
          <w14:textFill>
            <w14:solidFill>
              <w14:schemeClr w14:val="tx1"/>
            </w14:solidFill>
          </w14:textFill>
        </w:rPr>
        <w:t>月</w:t>
      </w:r>
    </w:p>
    <w:p w14:paraId="1177414F">
      <w:pPr>
        <w:pStyle w:val="20"/>
        <w:tabs>
          <w:tab w:val="left" w:pos="14446"/>
        </w:tabs>
        <w:jc w:val="left"/>
        <w:rPr>
          <w:rFonts w:hint="eastAsia" w:hAnsi="宋体" w:eastAsia="宋体" w:cs="宋体"/>
          <w:b/>
          <w:color w:val="000000" w:themeColor="text1"/>
          <w:sz w:val="44"/>
          <w:highlight w:val="none"/>
          <w:lang w:eastAsia="zh-CN"/>
          <w14:textFill>
            <w14:solidFill>
              <w14:schemeClr w14:val="tx1"/>
            </w14:solidFill>
          </w14:textFill>
        </w:rPr>
        <w:sectPr>
          <w:headerReference r:id="rId4" w:type="first"/>
          <w:headerReference r:id="rId3" w:type="default"/>
          <w:footerReference r:id="rId5" w:type="default"/>
          <w:footerReference r:id="rId6" w:type="even"/>
          <w:pgSz w:w="11906" w:h="16838"/>
          <w:pgMar w:top="1417" w:right="1134" w:bottom="1417" w:left="1134" w:header="850" w:footer="850" w:gutter="0"/>
          <w:cols w:space="0" w:num="1"/>
          <w:titlePg/>
          <w:docGrid w:type="lines" w:linePitch="316" w:charSpace="0"/>
        </w:sectPr>
      </w:pPr>
      <w:r>
        <w:rPr>
          <w:rFonts w:hint="eastAsia" w:hAnsi="宋体" w:cs="宋体"/>
          <w:b/>
          <w:color w:val="000000" w:themeColor="text1"/>
          <w:sz w:val="44"/>
          <w:highlight w:val="none"/>
          <w:lang w:eastAsia="zh-CN"/>
          <w14:textFill>
            <w14:solidFill>
              <w14:schemeClr w14:val="tx1"/>
            </w14:solidFill>
          </w14:textFill>
        </w:rPr>
        <w:tab/>
      </w:r>
    </w:p>
    <w:p w14:paraId="7EA63358">
      <w:pPr>
        <w:pStyle w:val="20"/>
        <w:spacing w:line="400" w:lineRule="exact"/>
        <w:jc w:val="center"/>
        <w:rPr>
          <w:rFonts w:hAnsi="宋体" w:cs="宋体"/>
          <w:b/>
          <w:color w:val="000000" w:themeColor="text1"/>
          <w:sz w:val="36"/>
          <w:szCs w:val="36"/>
          <w:highlight w:val="none"/>
          <w14:textFill>
            <w14:solidFill>
              <w14:schemeClr w14:val="tx1"/>
            </w14:solidFill>
          </w14:textFill>
        </w:rPr>
      </w:pPr>
      <w:r>
        <w:rPr>
          <w:rFonts w:hint="eastAsia" w:hAnsi="宋体" w:cs="宋体"/>
          <w:b/>
          <w:color w:val="000000" w:themeColor="text1"/>
          <w:sz w:val="36"/>
          <w:szCs w:val="36"/>
          <w:highlight w:val="none"/>
          <w14:textFill>
            <w14:solidFill>
              <w14:schemeClr w14:val="tx1"/>
            </w14:solidFill>
          </w14:textFill>
        </w:rPr>
        <w:t>目录</w:t>
      </w:r>
    </w:p>
    <w:p w14:paraId="61B7218B">
      <w:pPr>
        <w:pStyle w:val="26"/>
        <w:tabs>
          <w:tab w:val="right" w:leader="dot" w:pos="9638"/>
          <w:tab w:val="clear" w:pos="9628"/>
        </w:tabs>
      </w:pPr>
      <w:r>
        <w:rPr>
          <w:rFonts w:hint="eastAsia" w:ascii="宋体" w:hAnsi="宋体" w:eastAsia="宋体" w:cs="宋体"/>
          <w:i w:val="0"/>
          <w:iCs w:val="0"/>
          <w:color w:val="000000" w:themeColor="text1"/>
          <w:sz w:val="24"/>
          <w:szCs w:val="24"/>
          <w:highlight w:val="none"/>
          <w14:textFill>
            <w14:solidFill>
              <w14:schemeClr w14:val="tx1"/>
            </w14:solidFill>
          </w14:textFill>
        </w:rPr>
        <w:fldChar w:fldCharType="begin"/>
      </w:r>
      <w:r>
        <w:rPr>
          <w:rFonts w:hint="eastAsia" w:ascii="宋体" w:hAnsi="宋体" w:eastAsia="宋体" w:cs="宋体"/>
          <w:i w:val="0"/>
          <w:iCs w:val="0"/>
          <w:color w:val="000000" w:themeColor="text1"/>
          <w:sz w:val="24"/>
          <w:szCs w:val="24"/>
          <w:highlight w:val="none"/>
          <w14:textFill>
            <w14:solidFill>
              <w14:schemeClr w14:val="tx1"/>
            </w14:solidFill>
          </w14:textFill>
        </w:rPr>
        <w:instrText xml:space="preserve">TOC \o "1-5" \f \t "标题 9,1" \h \u </w:instrText>
      </w:r>
      <w:r>
        <w:rPr>
          <w:rFonts w:hint="eastAsia" w:ascii="宋体" w:hAnsi="宋体" w:eastAsia="宋体" w:cs="宋体"/>
          <w:i w:val="0"/>
          <w:iCs w:val="0"/>
          <w:color w:val="000000" w:themeColor="text1"/>
          <w:sz w:val="24"/>
          <w:szCs w:val="24"/>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_Toc26763 </w:instrText>
      </w:r>
      <w:r>
        <w:rPr>
          <w:rFonts w:hint="eastAsia" w:ascii="宋体" w:hAnsi="宋体" w:eastAsia="宋体" w:cs="宋体"/>
          <w:i w:val="0"/>
          <w:iCs w:val="0"/>
          <w:szCs w:val="24"/>
          <w:highlight w:val="none"/>
        </w:rPr>
        <w:fldChar w:fldCharType="separate"/>
      </w:r>
      <w:r>
        <w:rPr>
          <w:rFonts w:hint="eastAsia" w:ascii="宋体" w:hAnsi="宋体" w:eastAsia="宋体" w:cs="宋体"/>
          <w:highlight w:val="none"/>
        </w:rPr>
        <w:t>第一章</w:t>
      </w:r>
      <w:r>
        <w:rPr>
          <w:rFonts w:hint="eastAsia" w:ascii="宋体" w:hAnsi="宋体" w:eastAsia="宋体" w:cs="宋体"/>
          <w:highlight w:val="none"/>
          <w:lang w:val="en-US"/>
        </w:rPr>
        <w:t xml:space="preserve"> </w:t>
      </w:r>
      <w:r>
        <w:rPr>
          <w:rFonts w:hint="eastAsia" w:ascii="宋体" w:hAnsi="宋体" w:eastAsia="宋体" w:cs="宋体"/>
          <w:highlight w:val="none"/>
        </w:rPr>
        <w:t>招标公告</w:t>
      </w:r>
      <w:r>
        <w:tab/>
      </w:r>
      <w:r>
        <w:fldChar w:fldCharType="begin"/>
      </w:r>
      <w:r>
        <w:instrText xml:space="preserve"> PAGEREF _Toc26763 \h </w:instrText>
      </w:r>
      <w:r>
        <w:fldChar w:fldCharType="separate"/>
      </w:r>
      <w:r>
        <w:t>3</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0A33C23">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_Toc25013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4"/>
          <w:highlight w:val="none"/>
        </w:rPr>
        <w:t>一、项目基本情况</w:t>
      </w:r>
      <w:r>
        <w:tab/>
      </w:r>
      <w:r>
        <w:fldChar w:fldCharType="begin"/>
      </w:r>
      <w:r>
        <w:instrText xml:space="preserve"> PAGEREF _Toc25013 \h </w:instrText>
      </w:r>
      <w:r>
        <w:fldChar w:fldCharType="separate"/>
      </w:r>
      <w:r>
        <w:t>3</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4F8D05A">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_Toc1235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4"/>
          <w:highlight w:val="none"/>
        </w:rPr>
        <w:t>二、申请人的资格要求</w:t>
      </w:r>
      <w:r>
        <w:tab/>
      </w:r>
      <w:r>
        <w:fldChar w:fldCharType="begin"/>
      </w:r>
      <w:r>
        <w:instrText xml:space="preserve"> PAGEREF _Toc1235 \h </w:instrText>
      </w:r>
      <w:r>
        <w:fldChar w:fldCharType="separate"/>
      </w:r>
      <w:r>
        <w:t>4</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7C0FDE4">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_Toc9754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4"/>
          <w:highlight w:val="none"/>
        </w:rPr>
        <w:t>三、获取招标文件</w:t>
      </w:r>
      <w:r>
        <w:tab/>
      </w:r>
      <w:r>
        <w:fldChar w:fldCharType="begin"/>
      </w:r>
      <w:r>
        <w:instrText xml:space="preserve"> PAGEREF _Toc9754 \h </w:instrText>
      </w:r>
      <w:r>
        <w:fldChar w:fldCharType="separate"/>
      </w:r>
      <w:r>
        <w:t>5</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0E90DA53">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_Toc16150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4"/>
          <w:highlight w:val="none"/>
        </w:rPr>
        <w:t>四、提交投标文件截止时间、开标时间和地点</w:t>
      </w:r>
      <w:r>
        <w:tab/>
      </w:r>
      <w:r>
        <w:fldChar w:fldCharType="begin"/>
      </w:r>
      <w:r>
        <w:instrText xml:space="preserve"> PAGEREF _Toc16150 \h </w:instrText>
      </w:r>
      <w:r>
        <w:fldChar w:fldCharType="separate"/>
      </w:r>
      <w:r>
        <w:t>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2960516">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_Toc26524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4"/>
          <w:highlight w:val="none"/>
        </w:rPr>
        <w:t>五、公告期限</w:t>
      </w:r>
      <w:r>
        <w:tab/>
      </w:r>
      <w:r>
        <w:fldChar w:fldCharType="begin"/>
      </w:r>
      <w:r>
        <w:instrText xml:space="preserve"> PAGEREF _Toc26524 \h </w:instrText>
      </w:r>
      <w:r>
        <w:fldChar w:fldCharType="separate"/>
      </w:r>
      <w:r>
        <w:t>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3F2B8D76">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_Toc5577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4"/>
          <w:highlight w:val="none"/>
        </w:rPr>
        <w:t>六、</w:t>
      </w:r>
      <w:r>
        <w:rPr>
          <w:rFonts w:hint="eastAsia" w:ascii="宋体" w:hAnsi="宋体" w:eastAsia="宋体" w:cs="宋体"/>
          <w:bCs/>
          <w:szCs w:val="24"/>
          <w:highlight w:val="none"/>
        </w:rPr>
        <w:t>其他补充事宜</w:t>
      </w:r>
      <w:r>
        <w:tab/>
      </w:r>
      <w:r>
        <w:fldChar w:fldCharType="begin"/>
      </w:r>
      <w:r>
        <w:instrText xml:space="preserve"> PAGEREF _Toc5577 \h </w:instrText>
      </w:r>
      <w:r>
        <w:fldChar w:fldCharType="separate"/>
      </w:r>
      <w:r>
        <w:t>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44D3A725">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_Toc19828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4"/>
          <w:highlight w:val="none"/>
        </w:rPr>
        <w:t>七、对本次招标提出询问，请按以下方式联系</w:t>
      </w:r>
      <w:r>
        <w:tab/>
      </w:r>
      <w:r>
        <w:fldChar w:fldCharType="begin"/>
      </w:r>
      <w:r>
        <w:instrText xml:space="preserve"> PAGEREF _Toc19828 \h </w:instrText>
      </w:r>
      <w:r>
        <w:fldChar w:fldCharType="separate"/>
      </w:r>
      <w:r>
        <w:t>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6D7DBDB">
      <w:pPr>
        <w:pStyle w:val="26"/>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_Toc29583 </w:instrText>
      </w:r>
      <w:r>
        <w:rPr>
          <w:rFonts w:hint="eastAsia" w:ascii="宋体" w:hAnsi="宋体" w:eastAsia="宋体" w:cs="宋体"/>
          <w:i w:val="0"/>
          <w:iCs w:val="0"/>
          <w:szCs w:val="24"/>
          <w:highlight w:val="none"/>
        </w:rPr>
        <w:fldChar w:fldCharType="separate"/>
      </w:r>
      <w:r>
        <w:rPr>
          <w:rFonts w:hint="eastAsia" w:ascii="宋体" w:hAnsi="宋体" w:eastAsia="宋体" w:cs="宋体"/>
          <w:highlight w:val="none"/>
        </w:rPr>
        <w:t>第二章</w:t>
      </w:r>
      <w:r>
        <w:rPr>
          <w:rFonts w:hint="eastAsia" w:ascii="宋体" w:hAnsi="宋体" w:eastAsia="宋体" w:cs="宋体"/>
          <w:highlight w:val="none"/>
          <w:lang w:val="en-US"/>
        </w:rPr>
        <w:t xml:space="preserve"> </w:t>
      </w:r>
      <w:r>
        <w:rPr>
          <w:rFonts w:hint="eastAsia" w:ascii="宋体" w:hAnsi="宋体" w:eastAsia="宋体" w:cs="宋体"/>
          <w:highlight w:val="none"/>
        </w:rPr>
        <w:t>投标人须知</w:t>
      </w:r>
      <w:r>
        <w:tab/>
      </w:r>
      <w:r>
        <w:fldChar w:fldCharType="begin"/>
      </w:r>
      <w:r>
        <w:instrText xml:space="preserve"> PAGEREF _Toc29583 \h </w:instrText>
      </w:r>
      <w:r>
        <w:fldChar w:fldCharType="separate"/>
      </w:r>
      <w:r>
        <w:t>8</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BCC5F38">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_Toc7897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投标人须知前附表</w:t>
      </w:r>
      <w:r>
        <w:tab/>
      </w:r>
      <w:r>
        <w:fldChar w:fldCharType="begin"/>
      </w:r>
      <w:r>
        <w:instrText xml:space="preserve"> PAGEREF _Toc7897 \h </w:instrText>
      </w:r>
      <w:r>
        <w:fldChar w:fldCharType="separate"/>
      </w:r>
      <w:r>
        <w:t>8</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69DB728">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_Toc30042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0"/>
          <w:highlight w:val="none"/>
        </w:rPr>
        <w:t>一</w:t>
      </w:r>
      <w:r>
        <w:rPr>
          <w:rFonts w:hint="eastAsia" w:ascii="宋体" w:hAnsi="宋体" w:eastAsia="宋体" w:cs="宋体"/>
          <w:kern w:val="44"/>
          <w:highlight w:val="none"/>
        </w:rPr>
        <w:t>、总则</w:t>
      </w:r>
      <w:r>
        <w:tab/>
      </w:r>
      <w:r>
        <w:fldChar w:fldCharType="begin"/>
      </w:r>
      <w:r>
        <w:instrText xml:space="preserve"> PAGEREF _Toc30042 \h </w:instrText>
      </w:r>
      <w:r>
        <w:fldChar w:fldCharType="separate"/>
      </w:r>
      <w:r>
        <w:t>13</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CAE63DC">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_Toc5415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0"/>
          <w:highlight w:val="none"/>
        </w:rPr>
        <w:t>二、招标文件</w:t>
      </w:r>
      <w:r>
        <w:tab/>
      </w:r>
      <w:r>
        <w:fldChar w:fldCharType="begin"/>
      </w:r>
      <w:r>
        <w:instrText xml:space="preserve"> PAGEREF _Toc5415 \h </w:instrText>
      </w:r>
      <w:r>
        <w:fldChar w:fldCharType="separate"/>
      </w:r>
      <w:r>
        <w:t>14</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22A73A19">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_Toc1668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0"/>
          <w:highlight w:val="none"/>
        </w:rPr>
        <w:t>三、投标文件</w:t>
      </w:r>
      <w:r>
        <w:tab/>
      </w:r>
      <w:r>
        <w:fldChar w:fldCharType="begin"/>
      </w:r>
      <w:r>
        <w:instrText xml:space="preserve"> PAGEREF _Toc1668 \h </w:instrText>
      </w:r>
      <w:r>
        <w:fldChar w:fldCharType="separate"/>
      </w:r>
      <w:r>
        <w:t>15</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881C8C8">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_Toc20497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0"/>
          <w:highlight w:val="none"/>
        </w:rPr>
        <w:t>四、投标文件的提交</w:t>
      </w:r>
      <w:r>
        <w:tab/>
      </w:r>
      <w:r>
        <w:fldChar w:fldCharType="begin"/>
      </w:r>
      <w:r>
        <w:instrText xml:space="preserve"> PAGEREF _Toc20497 \h </w:instrText>
      </w:r>
      <w:r>
        <w:fldChar w:fldCharType="separate"/>
      </w:r>
      <w:r>
        <w:t>18</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AE74940">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_Toc10919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0"/>
          <w:highlight w:val="none"/>
        </w:rPr>
        <w:t>五、开标与评标</w:t>
      </w:r>
      <w:r>
        <w:tab/>
      </w:r>
      <w:r>
        <w:fldChar w:fldCharType="begin"/>
      </w:r>
      <w:r>
        <w:instrText xml:space="preserve"> PAGEREF _Toc10919 \h </w:instrText>
      </w:r>
      <w:r>
        <w:fldChar w:fldCharType="separate"/>
      </w:r>
      <w:r>
        <w:t>18</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32CFA008">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_Toc1182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0"/>
          <w:highlight w:val="none"/>
        </w:rPr>
        <w:t>六、中标结果</w:t>
      </w:r>
      <w:r>
        <w:tab/>
      </w:r>
      <w:r>
        <w:fldChar w:fldCharType="begin"/>
      </w:r>
      <w:r>
        <w:instrText xml:space="preserve"> PAGEREF _Toc1182 \h </w:instrText>
      </w:r>
      <w:r>
        <w:fldChar w:fldCharType="separate"/>
      </w:r>
      <w:r>
        <w:t>20</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F7CE584">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_Toc19263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0"/>
          <w:highlight w:val="none"/>
        </w:rPr>
        <w:t>七、其他事项</w:t>
      </w:r>
      <w:r>
        <w:tab/>
      </w:r>
      <w:r>
        <w:fldChar w:fldCharType="begin"/>
      </w:r>
      <w:r>
        <w:instrText xml:space="preserve"> PAGEREF _Toc19263 \h </w:instrText>
      </w:r>
      <w:r>
        <w:fldChar w:fldCharType="separate"/>
      </w:r>
      <w:r>
        <w:t>21</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8D43597">
      <w:pPr>
        <w:pStyle w:val="26"/>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_Toc1211 </w:instrText>
      </w:r>
      <w:r>
        <w:rPr>
          <w:rFonts w:hint="eastAsia" w:ascii="宋体" w:hAnsi="宋体" w:eastAsia="宋体" w:cs="宋体"/>
          <w:i w:val="0"/>
          <w:iCs w:val="0"/>
          <w:szCs w:val="24"/>
          <w:highlight w:val="none"/>
        </w:rPr>
        <w:fldChar w:fldCharType="separate"/>
      </w:r>
      <w:r>
        <w:rPr>
          <w:rFonts w:hint="eastAsia" w:ascii="宋体" w:hAnsi="宋体" w:eastAsia="宋体" w:cs="宋体"/>
          <w:highlight w:val="none"/>
        </w:rPr>
        <w:t>第三章</w:t>
      </w:r>
      <w:r>
        <w:rPr>
          <w:rFonts w:hint="eastAsia" w:ascii="宋体" w:hAnsi="宋体" w:eastAsia="宋体" w:cs="宋体"/>
          <w:highlight w:val="none"/>
          <w:lang w:val="en-US"/>
        </w:rPr>
        <w:t xml:space="preserve"> </w:t>
      </w:r>
      <w:r>
        <w:rPr>
          <w:rFonts w:hint="eastAsia" w:ascii="宋体" w:hAnsi="宋体" w:eastAsia="宋体" w:cs="宋体"/>
          <w:highlight w:val="none"/>
        </w:rPr>
        <w:t>合同书样式及主要条款</w:t>
      </w:r>
      <w:r>
        <w:tab/>
      </w:r>
      <w:r>
        <w:fldChar w:fldCharType="begin"/>
      </w:r>
      <w:r>
        <w:instrText xml:space="preserve"> PAGEREF _Toc1211 \h </w:instrText>
      </w:r>
      <w:r>
        <w:fldChar w:fldCharType="separate"/>
      </w:r>
      <w:r>
        <w:t>22</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BF747A0">
      <w:pPr>
        <w:pStyle w:val="26"/>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_Toc20318 </w:instrText>
      </w:r>
      <w:r>
        <w:rPr>
          <w:rFonts w:hint="eastAsia" w:ascii="宋体" w:hAnsi="宋体" w:eastAsia="宋体" w:cs="宋体"/>
          <w:i w:val="0"/>
          <w:iCs w:val="0"/>
          <w:szCs w:val="24"/>
          <w:highlight w:val="none"/>
        </w:rPr>
        <w:fldChar w:fldCharType="separate"/>
      </w:r>
      <w:r>
        <w:rPr>
          <w:rFonts w:hint="eastAsia" w:ascii="宋体" w:hAnsi="宋体" w:eastAsia="宋体" w:cs="宋体"/>
          <w:highlight w:val="none"/>
        </w:rPr>
        <w:t>合同条款前附表</w:t>
      </w:r>
      <w:r>
        <w:tab/>
      </w:r>
      <w:r>
        <w:fldChar w:fldCharType="begin"/>
      </w:r>
      <w:r>
        <w:instrText xml:space="preserve"> PAGEREF _Toc20318 \h </w:instrText>
      </w:r>
      <w:r>
        <w:fldChar w:fldCharType="separate"/>
      </w:r>
      <w:r>
        <w:t>22</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2C6308C5">
      <w:pPr>
        <w:pStyle w:val="26"/>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_Toc27812 </w:instrText>
      </w:r>
      <w:r>
        <w:rPr>
          <w:rFonts w:hint="eastAsia" w:ascii="宋体" w:hAnsi="宋体" w:eastAsia="宋体" w:cs="宋体"/>
          <w:i w:val="0"/>
          <w:iCs w:val="0"/>
          <w:szCs w:val="24"/>
          <w:highlight w:val="none"/>
        </w:rPr>
        <w:fldChar w:fldCharType="separate"/>
      </w:r>
      <w:r>
        <w:rPr>
          <w:rFonts w:hint="eastAsia" w:ascii="宋体" w:hAnsi="宋体" w:eastAsia="宋体" w:cs="宋体"/>
          <w:bCs/>
          <w:highlight w:val="none"/>
        </w:rPr>
        <w:t>第四章</w:t>
      </w:r>
      <w:r>
        <w:rPr>
          <w:rFonts w:hint="eastAsia" w:ascii="宋体" w:hAnsi="宋体" w:eastAsia="宋体" w:cs="宋体"/>
          <w:bCs/>
          <w:highlight w:val="none"/>
          <w:lang w:val="en-US"/>
        </w:rPr>
        <w:t xml:space="preserve"> </w:t>
      </w:r>
      <w:r>
        <w:rPr>
          <w:rFonts w:hint="eastAsia" w:ascii="宋体" w:hAnsi="宋体" w:eastAsia="宋体" w:cs="宋体"/>
          <w:bCs/>
          <w:highlight w:val="none"/>
        </w:rPr>
        <w:t>投标文件格式</w:t>
      </w:r>
      <w:r>
        <w:tab/>
      </w:r>
      <w:r>
        <w:fldChar w:fldCharType="begin"/>
      </w:r>
      <w:r>
        <w:instrText xml:space="preserve"> PAGEREF _Toc27812 \h </w:instrText>
      </w:r>
      <w:r>
        <w:fldChar w:fldCharType="separate"/>
      </w:r>
      <w:r>
        <w:t>30</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0A34B488">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_Toc13814 </w:instrText>
      </w:r>
      <w:r>
        <w:rPr>
          <w:rFonts w:hint="eastAsia" w:ascii="宋体" w:hAnsi="宋体" w:eastAsia="宋体" w:cs="宋体"/>
          <w:i w:val="0"/>
          <w:iCs w:val="0"/>
          <w:szCs w:val="24"/>
          <w:highlight w:val="none"/>
        </w:rPr>
        <w:fldChar w:fldCharType="separate"/>
      </w:r>
      <w:r>
        <w:rPr>
          <w:rFonts w:hint="eastAsia" w:ascii="宋体" w:hAnsi="宋体" w:cs="宋体"/>
          <w:bCs/>
          <w:szCs w:val="32"/>
          <w:highlight w:val="none"/>
        </w:rPr>
        <w:t>资格审查部分</w:t>
      </w:r>
      <w:r>
        <w:tab/>
      </w:r>
      <w:r>
        <w:fldChar w:fldCharType="begin"/>
      </w:r>
      <w:r>
        <w:instrText xml:space="preserve"> PAGEREF _Toc13814 \h </w:instrText>
      </w:r>
      <w:r>
        <w:fldChar w:fldCharType="separate"/>
      </w:r>
      <w:r>
        <w:t>31</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0E24B6B5">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_Toc27777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一</w:t>
      </w:r>
      <w:r>
        <w:rPr>
          <w:rFonts w:hint="eastAsia" w:ascii="宋体" w:hAnsi="宋体" w:eastAsia="宋体" w:cs="宋体"/>
          <w:szCs w:val="32"/>
          <w:highlight w:val="none"/>
        </w:rPr>
        <w:t>）投标人信息表</w:t>
      </w:r>
      <w:r>
        <w:tab/>
      </w:r>
      <w:r>
        <w:fldChar w:fldCharType="begin"/>
      </w:r>
      <w:r>
        <w:instrText xml:space="preserve"> PAGEREF _Toc27777 \h </w:instrText>
      </w:r>
      <w:r>
        <w:fldChar w:fldCharType="separate"/>
      </w:r>
      <w:r>
        <w:t>31</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2417E5C1">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_Toc28554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二</w:t>
      </w:r>
      <w:r>
        <w:rPr>
          <w:rFonts w:hint="eastAsia" w:ascii="宋体" w:hAnsi="宋体" w:eastAsia="宋体" w:cs="宋体"/>
          <w:szCs w:val="32"/>
          <w:highlight w:val="none"/>
        </w:rPr>
        <w:t>）营业执照或其他证明文件</w:t>
      </w:r>
      <w:r>
        <w:tab/>
      </w:r>
      <w:r>
        <w:fldChar w:fldCharType="begin"/>
      </w:r>
      <w:r>
        <w:instrText xml:space="preserve"> PAGEREF _Toc28554 \h </w:instrText>
      </w:r>
      <w:r>
        <w:fldChar w:fldCharType="separate"/>
      </w:r>
      <w:r>
        <w:t>32</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DC8A17F">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_Toc6110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三</w:t>
      </w:r>
      <w:r>
        <w:rPr>
          <w:rFonts w:hint="eastAsia" w:ascii="宋体" w:hAnsi="宋体" w:eastAsia="宋体" w:cs="宋体"/>
          <w:szCs w:val="32"/>
          <w:highlight w:val="none"/>
        </w:rPr>
        <w:t>）良好的商业信誉和健全的财务会计制度</w:t>
      </w:r>
      <w:r>
        <w:tab/>
      </w:r>
      <w:r>
        <w:fldChar w:fldCharType="begin"/>
      </w:r>
      <w:r>
        <w:instrText xml:space="preserve"> PAGEREF _Toc6110 \h </w:instrText>
      </w:r>
      <w:r>
        <w:fldChar w:fldCharType="separate"/>
      </w:r>
      <w:r>
        <w:t>33</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4C0E23E0">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_Toc23106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四</w:t>
      </w:r>
      <w:r>
        <w:rPr>
          <w:rFonts w:hint="eastAsia" w:ascii="宋体" w:hAnsi="宋体" w:eastAsia="宋体" w:cs="宋体"/>
          <w:szCs w:val="32"/>
          <w:highlight w:val="none"/>
        </w:rPr>
        <w:t>）投标人具备履行合同所必需的设备和专业技术能力的证明材料</w:t>
      </w:r>
      <w:r>
        <w:tab/>
      </w:r>
      <w:r>
        <w:fldChar w:fldCharType="begin"/>
      </w:r>
      <w:r>
        <w:instrText xml:space="preserve"> PAGEREF _Toc23106 \h </w:instrText>
      </w:r>
      <w:r>
        <w:fldChar w:fldCharType="separate"/>
      </w:r>
      <w:r>
        <w:t>34</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215CABBB">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_Toc12777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五</w:t>
      </w:r>
      <w:r>
        <w:rPr>
          <w:rFonts w:hint="eastAsia" w:ascii="宋体" w:hAnsi="宋体" w:eastAsia="宋体" w:cs="宋体"/>
          <w:szCs w:val="32"/>
          <w:highlight w:val="none"/>
        </w:rPr>
        <w:t>）投标人有依法缴纳税收和社会保障资金的证明材料</w:t>
      </w:r>
      <w:r>
        <w:tab/>
      </w:r>
      <w:r>
        <w:fldChar w:fldCharType="begin"/>
      </w:r>
      <w:r>
        <w:instrText xml:space="preserve"> PAGEREF _Toc12777 \h </w:instrText>
      </w:r>
      <w:r>
        <w:fldChar w:fldCharType="separate"/>
      </w:r>
      <w:r>
        <w:t>35</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2C1C6F40">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_Toc7088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8"/>
          <w:highlight w:val="none"/>
        </w:rPr>
        <w:t>▲</w:t>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六</w:t>
      </w:r>
      <w:r>
        <w:rPr>
          <w:rFonts w:hint="eastAsia" w:ascii="宋体" w:hAnsi="宋体" w:eastAsia="宋体" w:cs="宋体"/>
          <w:szCs w:val="32"/>
          <w:highlight w:val="none"/>
        </w:rPr>
        <w:t>）参加政</w:t>
      </w:r>
      <w:r>
        <w:rPr>
          <w:rFonts w:hint="eastAsia" w:ascii="宋体" w:hAnsi="宋体" w:eastAsia="宋体" w:cs="宋体"/>
          <w:spacing w:val="-6"/>
          <w:szCs w:val="32"/>
          <w:highlight w:val="none"/>
        </w:rPr>
        <w:t>府采购活动前3年内在经营活动中没有重大违法记录的书面声明</w:t>
      </w:r>
      <w:r>
        <w:tab/>
      </w:r>
      <w:r>
        <w:fldChar w:fldCharType="begin"/>
      </w:r>
      <w:r>
        <w:instrText xml:space="preserve"> PAGEREF _Toc7088 \h </w:instrText>
      </w:r>
      <w:r>
        <w:fldChar w:fldCharType="separate"/>
      </w:r>
      <w:r>
        <w:t>36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440CC860">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_Toc25753 </w:instrText>
      </w:r>
      <w:r>
        <w:rPr>
          <w:rFonts w:hint="eastAsia" w:ascii="宋体" w:hAnsi="宋体" w:eastAsia="宋体" w:cs="宋体"/>
          <w:i w:val="0"/>
          <w:iCs w:val="0"/>
          <w:szCs w:val="24"/>
          <w:highlight w:val="none"/>
        </w:rPr>
        <w:fldChar w:fldCharType="separate"/>
      </w:r>
      <w:r>
        <w:rPr>
          <w:rFonts w:hint="eastAsia" w:ascii="宋体" w:hAnsi="宋体" w:eastAsia="宋体" w:cs="宋体"/>
          <w:bCs/>
          <w:szCs w:val="28"/>
          <w:highlight w:val="none"/>
          <w:lang w:val="en-US"/>
        </w:rPr>
        <w:t>▲</w:t>
      </w:r>
      <w:r>
        <w:rPr>
          <w:rFonts w:hint="eastAsia" w:ascii="宋体" w:hAnsi="宋体" w:eastAsia="宋体" w:cs="宋体"/>
          <w:szCs w:val="30"/>
          <w:highlight w:val="none"/>
        </w:rPr>
        <w:t>（</w:t>
      </w:r>
      <w:r>
        <w:rPr>
          <w:rFonts w:hint="eastAsia" w:ascii="宋体" w:hAnsi="宋体" w:eastAsia="宋体" w:cs="宋体"/>
          <w:szCs w:val="30"/>
          <w:highlight w:val="none"/>
          <w:lang w:val="en-US" w:eastAsia="zh-CN"/>
        </w:rPr>
        <w:t>七</w:t>
      </w:r>
      <w:r>
        <w:rPr>
          <w:rFonts w:hint="eastAsia" w:ascii="宋体" w:hAnsi="宋体" w:eastAsia="宋体" w:cs="宋体"/>
          <w:szCs w:val="30"/>
          <w:highlight w:val="none"/>
        </w:rPr>
        <w:t>）单位负责人为同一人或者存在直接控股、管理关系的不同投标人，不得参加同一招标项目的政府采购活动承诺函</w:t>
      </w:r>
      <w:r>
        <w:tab/>
      </w:r>
      <w:r>
        <w:fldChar w:fldCharType="begin"/>
      </w:r>
      <w:r>
        <w:instrText xml:space="preserve"> PAGEREF _Toc25753 \h </w:instrText>
      </w:r>
      <w:r>
        <w:fldChar w:fldCharType="separate"/>
      </w:r>
      <w:r>
        <w:t>37</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459755E0">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_Toc11730 </w:instrText>
      </w:r>
      <w:r>
        <w:rPr>
          <w:rFonts w:hint="eastAsia" w:ascii="宋体" w:hAnsi="宋体" w:eastAsia="宋体" w:cs="宋体"/>
          <w:i w:val="0"/>
          <w:iCs w:val="0"/>
          <w:szCs w:val="24"/>
          <w:highlight w:val="none"/>
        </w:rPr>
        <w:fldChar w:fldCharType="separate"/>
      </w:r>
      <w:r>
        <w:rPr>
          <w:rFonts w:hint="eastAsia" w:ascii="宋体" w:hAnsi="宋体" w:eastAsia="宋体" w:cs="宋体"/>
          <w:bCs/>
          <w:szCs w:val="28"/>
          <w:highlight w:val="none"/>
          <w:lang w:val="en-US"/>
        </w:rPr>
        <w:t>▲</w:t>
      </w:r>
      <w:r>
        <w:rPr>
          <w:rFonts w:hint="eastAsia" w:ascii="宋体" w:hAnsi="宋体" w:eastAsia="宋体" w:cs="宋体"/>
          <w:szCs w:val="30"/>
          <w:highlight w:val="none"/>
        </w:rPr>
        <w:t>（</w:t>
      </w:r>
      <w:r>
        <w:rPr>
          <w:rFonts w:hint="eastAsia" w:ascii="宋体" w:hAnsi="宋体" w:eastAsia="宋体" w:cs="宋体"/>
          <w:szCs w:val="30"/>
          <w:highlight w:val="none"/>
          <w:lang w:val="en-US" w:eastAsia="zh-CN"/>
        </w:rPr>
        <w:t>八</w:t>
      </w:r>
      <w:r>
        <w:rPr>
          <w:rFonts w:hint="eastAsia" w:ascii="宋体" w:hAnsi="宋体" w:eastAsia="宋体" w:cs="宋体"/>
          <w:szCs w:val="30"/>
          <w:highlight w:val="none"/>
        </w:rPr>
        <w:t>）为采购项目提供整体设计、规范编制或者项目管理、监理、检测等服务的投标人，不得再参加该采购项目的其他采购活动承诺函</w:t>
      </w:r>
      <w:r>
        <w:tab/>
      </w:r>
      <w:r>
        <w:fldChar w:fldCharType="begin"/>
      </w:r>
      <w:r>
        <w:instrText xml:space="preserve"> PAGEREF _Toc11730 \h </w:instrText>
      </w:r>
      <w:r>
        <w:fldChar w:fldCharType="separate"/>
      </w:r>
      <w:r>
        <w:t>38</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2BECAEC2">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_Toc564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0"/>
          <w:highlight w:val="none"/>
        </w:rPr>
        <w:t>（</w:t>
      </w:r>
      <w:r>
        <w:rPr>
          <w:rFonts w:hint="eastAsia" w:ascii="宋体" w:hAnsi="宋体" w:eastAsia="宋体" w:cs="宋体"/>
          <w:szCs w:val="30"/>
          <w:highlight w:val="none"/>
          <w:lang w:val="en-US" w:eastAsia="zh-CN"/>
        </w:rPr>
        <w:t>九</w:t>
      </w:r>
      <w:r>
        <w:rPr>
          <w:rFonts w:hint="eastAsia" w:ascii="宋体" w:hAnsi="宋体" w:eastAsia="宋体" w:cs="宋体"/>
          <w:szCs w:val="30"/>
          <w:highlight w:val="none"/>
        </w:rPr>
        <w:t>）本项目的特定资格要求</w:t>
      </w:r>
      <w:r>
        <w:tab/>
      </w:r>
      <w:r>
        <w:fldChar w:fldCharType="begin"/>
      </w:r>
      <w:r>
        <w:instrText xml:space="preserve"> PAGEREF _Toc564 \h </w:instrText>
      </w:r>
      <w:r>
        <w:fldChar w:fldCharType="separate"/>
      </w:r>
      <w:r>
        <w:t>39</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9469982">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_Toc24855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0"/>
          <w:highlight w:val="none"/>
        </w:rPr>
        <w:t>（</w:t>
      </w:r>
      <w:r>
        <w:rPr>
          <w:rFonts w:hint="eastAsia" w:ascii="宋体" w:hAnsi="宋体" w:eastAsia="宋体" w:cs="宋体"/>
          <w:szCs w:val="30"/>
          <w:highlight w:val="none"/>
          <w:lang w:val="en-US" w:eastAsia="zh-CN"/>
        </w:rPr>
        <w:t>十</w:t>
      </w:r>
      <w:r>
        <w:rPr>
          <w:rFonts w:hint="eastAsia" w:ascii="宋体" w:hAnsi="宋体" w:eastAsia="宋体" w:cs="宋体"/>
          <w:szCs w:val="30"/>
          <w:highlight w:val="none"/>
        </w:rPr>
        <w:t>）招标文件中要求提供的其他资格证明文件</w:t>
      </w:r>
      <w:r>
        <w:tab/>
      </w:r>
      <w:r>
        <w:fldChar w:fldCharType="begin"/>
      </w:r>
      <w:r>
        <w:instrText xml:space="preserve"> PAGEREF _Toc24855 \h </w:instrText>
      </w:r>
      <w:r>
        <w:fldChar w:fldCharType="separate"/>
      </w:r>
      <w:r>
        <w:t>40</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33C1BD1">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_Toc11207 </w:instrText>
      </w:r>
      <w:r>
        <w:rPr>
          <w:rFonts w:hint="eastAsia" w:ascii="宋体" w:hAnsi="宋体" w:eastAsia="宋体" w:cs="宋体"/>
          <w:i w:val="0"/>
          <w:iCs w:val="0"/>
          <w:szCs w:val="24"/>
          <w:highlight w:val="none"/>
        </w:rPr>
        <w:fldChar w:fldCharType="separate"/>
      </w:r>
      <w:r>
        <w:rPr>
          <w:rFonts w:hint="eastAsia" w:ascii="宋体" w:hAnsi="宋体" w:cs="宋体"/>
          <w:bCs/>
          <w:szCs w:val="32"/>
          <w:highlight w:val="none"/>
          <w:lang w:val="en-US" w:eastAsia="zh-CN"/>
        </w:rPr>
        <w:t>报价文件</w:t>
      </w:r>
      <w:r>
        <w:tab/>
      </w:r>
      <w:r>
        <w:fldChar w:fldCharType="begin"/>
      </w:r>
      <w:r>
        <w:instrText xml:space="preserve"> PAGEREF _Toc11207 \h </w:instrText>
      </w:r>
      <w:r>
        <w:fldChar w:fldCharType="separate"/>
      </w:r>
      <w:r>
        <w:t>41</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9C0AFDD">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_Toc25441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8"/>
          <w:highlight w:val="none"/>
        </w:rPr>
        <w:t>▲（</w:t>
      </w:r>
      <w:r>
        <w:rPr>
          <w:rFonts w:hint="eastAsia" w:ascii="宋体" w:hAnsi="宋体" w:eastAsia="宋体" w:cs="宋体"/>
          <w:szCs w:val="28"/>
          <w:highlight w:val="none"/>
          <w:lang w:val="en-US"/>
        </w:rPr>
        <w:t>一</w:t>
      </w:r>
      <w:r>
        <w:rPr>
          <w:rFonts w:hint="eastAsia" w:ascii="宋体" w:hAnsi="宋体" w:eastAsia="宋体" w:cs="宋体"/>
          <w:szCs w:val="28"/>
          <w:highlight w:val="none"/>
        </w:rPr>
        <w:t>）</w:t>
      </w:r>
      <w:r>
        <w:rPr>
          <w:rFonts w:hint="eastAsia" w:ascii="宋体" w:hAnsi="宋体" w:eastAsia="宋体" w:cs="宋体"/>
          <w:szCs w:val="32"/>
          <w:highlight w:val="none"/>
        </w:rPr>
        <w:t>开标一览表</w:t>
      </w:r>
      <w:r>
        <w:tab/>
      </w:r>
      <w:r>
        <w:fldChar w:fldCharType="begin"/>
      </w:r>
      <w:r>
        <w:instrText xml:space="preserve"> PAGEREF _Toc25441 \h </w:instrText>
      </w:r>
      <w:r>
        <w:fldChar w:fldCharType="separate"/>
      </w:r>
      <w:r>
        <w:t>41</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613659C">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_Toc19591 </w:instrText>
      </w:r>
      <w:r>
        <w:rPr>
          <w:rFonts w:hint="eastAsia" w:ascii="宋体" w:hAnsi="宋体" w:eastAsia="宋体" w:cs="宋体"/>
          <w:i w:val="0"/>
          <w:iCs w:val="0"/>
          <w:szCs w:val="24"/>
          <w:highlight w:val="none"/>
        </w:rPr>
        <w:fldChar w:fldCharType="separate"/>
      </w:r>
      <w:r>
        <w:rPr>
          <w:rFonts w:hint="eastAsia" w:ascii="宋体" w:hAnsi="宋体" w:cs="宋体"/>
          <w:bCs/>
          <w:szCs w:val="32"/>
          <w:highlight w:val="none"/>
        </w:rPr>
        <w:t>商务技术部分</w:t>
      </w:r>
      <w:r>
        <w:tab/>
      </w:r>
      <w:r>
        <w:fldChar w:fldCharType="begin"/>
      </w:r>
      <w:r>
        <w:instrText xml:space="preserve"> PAGEREF _Toc19591 \h </w:instrText>
      </w:r>
      <w:r>
        <w:fldChar w:fldCharType="separate"/>
      </w:r>
      <w:r>
        <w:t>42</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F959360">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_Toc7271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8"/>
          <w:highlight w:val="none"/>
        </w:rPr>
        <w:t>▲（</w:t>
      </w:r>
      <w:r>
        <w:rPr>
          <w:rFonts w:hint="eastAsia" w:ascii="宋体" w:hAnsi="宋体" w:eastAsia="宋体" w:cs="宋体"/>
          <w:szCs w:val="28"/>
          <w:highlight w:val="none"/>
          <w:lang w:val="en-US" w:eastAsia="zh-CN"/>
        </w:rPr>
        <w:t>一</w:t>
      </w:r>
      <w:r>
        <w:rPr>
          <w:rFonts w:hint="eastAsia" w:ascii="宋体" w:hAnsi="宋体" w:eastAsia="宋体" w:cs="宋体"/>
          <w:szCs w:val="28"/>
          <w:highlight w:val="none"/>
        </w:rPr>
        <w:t>）</w:t>
      </w:r>
      <w:r>
        <w:rPr>
          <w:rFonts w:hint="eastAsia" w:ascii="宋体" w:hAnsi="宋体" w:eastAsia="宋体" w:cs="宋体"/>
          <w:szCs w:val="32"/>
          <w:highlight w:val="none"/>
        </w:rPr>
        <w:t>投标函</w:t>
      </w:r>
      <w:r>
        <w:tab/>
      </w:r>
      <w:r>
        <w:fldChar w:fldCharType="begin"/>
      </w:r>
      <w:r>
        <w:instrText xml:space="preserve"> PAGEREF _Toc7271 \h </w:instrText>
      </w:r>
      <w:r>
        <w:fldChar w:fldCharType="separate"/>
      </w:r>
      <w:r>
        <w:t>42</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FFB35E5">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_Toc6467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二</w:t>
      </w:r>
      <w:r>
        <w:rPr>
          <w:rFonts w:hint="eastAsia" w:ascii="宋体" w:hAnsi="宋体" w:eastAsia="宋体" w:cs="宋体"/>
          <w:szCs w:val="32"/>
          <w:highlight w:val="none"/>
        </w:rPr>
        <w:t>）承诺书</w:t>
      </w:r>
      <w:r>
        <w:tab/>
      </w:r>
      <w:r>
        <w:fldChar w:fldCharType="begin"/>
      </w:r>
      <w:r>
        <w:instrText xml:space="preserve"> PAGEREF _Toc6467 \h </w:instrText>
      </w:r>
      <w:r>
        <w:fldChar w:fldCharType="separate"/>
      </w:r>
      <w:r>
        <w:t>43</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B7506A9">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_Toc29157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8"/>
          <w:highlight w:val="none"/>
        </w:rPr>
        <w:t>▲（</w:t>
      </w:r>
      <w:r>
        <w:rPr>
          <w:rFonts w:hint="eastAsia" w:ascii="宋体" w:hAnsi="宋体" w:eastAsia="宋体" w:cs="宋体"/>
          <w:szCs w:val="28"/>
          <w:highlight w:val="none"/>
          <w:lang w:val="en-US"/>
        </w:rPr>
        <w:t>三</w:t>
      </w:r>
      <w:r>
        <w:rPr>
          <w:rFonts w:hint="eastAsia" w:ascii="宋体" w:hAnsi="宋体" w:eastAsia="宋体" w:cs="宋体"/>
          <w:szCs w:val="28"/>
          <w:highlight w:val="none"/>
        </w:rPr>
        <w:t>）</w:t>
      </w:r>
      <w:r>
        <w:rPr>
          <w:rFonts w:hint="eastAsia" w:ascii="宋体" w:hAnsi="宋体" w:eastAsia="宋体" w:cs="宋体"/>
          <w:highlight w:val="none"/>
        </w:rPr>
        <w:t>法定代表人身份证明书</w:t>
      </w:r>
      <w:r>
        <w:tab/>
      </w:r>
      <w:r>
        <w:fldChar w:fldCharType="begin"/>
      </w:r>
      <w:r>
        <w:instrText xml:space="preserve"> PAGEREF _Toc29157 \h </w:instrText>
      </w:r>
      <w:r>
        <w:fldChar w:fldCharType="separate"/>
      </w:r>
      <w:r>
        <w:t>44</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694F54C">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_Toc31816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8"/>
          <w:highlight w:val="none"/>
        </w:rPr>
        <w:t>▲（</w:t>
      </w:r>
      <w:r>
        <w:rPr>
          <w:rFonts w:hint="eastAsia" w:ascii="宋体" w:hAnsi="宋体" w:eastAsia="宋体" w:cs="宋体"/>
          <w:szCs w:val="28"/>
          <w:highlight w:val="none"/>
          <w:lang w:val="en-US"/>
        </w:rPr>
        <w:t>四</w:t>
      </w:r>
      <w:r>
        <w:rPr>
          <w:rFonts w:hint="eastAsia" w:ascii="宋体" w:hAnsi="宋体" w:eastAsia="宋体" w:cs="宋体"/>
          <w:szCs w:val="28"/>
          <w:highlight w:val="none"/>
        </w:rPr>
        <w:t>）</w:t>
      </w:r>
      <w:r>
        <w:rPr>
          <w:rFonts w:hint="eastAsia" w:ascii="宋体" w:hAnsi="宋体" w:eastAsia="宋体" w:cs="宋体"/>
          <w:szCs w:val="32"/>
          <w:highlight w:val="none"/>
        </w:rPr>
        <w:t>法定代表人授权委托书</w:t>
      </w:r>
      <w:r>
        <w:tab/>
      </w:r>
      <w:r>
        <w:fldChar w:fldCharType="begin"/>
      </w:r>
      <w:r>
        <w:instrText xml:space="preserve"> PAGEREF _Toc31816 \h </w:instrText>
      </w:r>
      <w:r>
        <w:fldChar w:fldCharType="separate"/>
      </w:r>
      <w:r>
        <w:t>45</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0AFE9AE2">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_Toc23158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五</w:t>
      </w:r>
      <w:r>
        <w:rPr>
          <w:rFonts w:hint="eastAsia" w:ascii="宋体" w:hAnsi="宋体" w:eastAsia="宋体" w:cs="宋体"/>
          <w:szCs w:val="32"/>
          <w:highlight w:val="none"/>
        </w:rPr>
        <w:t>）投标报价汇总表</w:t>
      </w:r>
      <w:r>
        <w:tab/>
      </w:r>
      <w:r>
        <w:fldChar w:fldCharType="begin"/>
      </w:r>
      <w:r>
        <w:instrText xml:space="preserve"> PAGEREF _Toc23158 \h </w:instrText>
      </w:r>
      <w:r>
        <w:fldChar w:fldCharType="separate"/>
      </w:r>
      <w:r>
        <w:t>46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ACE49BC">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_Toc22877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六</w:t>
      </w:r>
      <w:r>
        <w:rPr>
          <w:rFonts w:hint="eastAsia" w:ascii="宋体" w:hAnsi="宋体" w:eastAsia="宋体" w:cs="宋体"/>
          <w:szCs w:val="32"/>
          <w:highlight w:val="none"/>
        </w:rPr>
        <w:t>）主要备品备件报价承诺</w:t>
      </w:r>
      <w:r>
        <w:tab/>
      </w:r>
      <w:r>
        <w:fldChar w:fldCharType="begin"/>
      </w:r>
      <w:r>
        <w:instrText xml:space="preserve"> PAGEREF _Toc22877 \h </w:instrText>
      </w:r>
      <w:r>
        <w:fldChar w:fldCharType="separate"/>
      </w:r>
      <w:r>
        <w:t>47</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A5775C1">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_Toc7178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七</w:t>
      </w:r>
      <w:r>
        <w:rPr>
          <w:rFonts w:hint="eastAsia" w:ascii="宋体" w:hAnsi="宋体" w:eastAsia="宋体" w:cs="宋体"/>
          <w:szCs w:val="32"/>
          <w:highlight w:val="none"/>
        </w:rPr>
        <w:t>）随机专用工具明细表</w:t>
      </w:r>
      <w:r>
        <w:tab/>
      </w:r>
      <w:r>
        <w:fldChar w:fldCharType="begin"/>
      </w:r>
      <w:r>
        <w:instrText xml:space="preserve"> PAGEREF _Toc7178 \h </w:instrText>
      </w:r>
      <w:r>
        <w:fldChar w:fldCharType="separate"/>
      </w:r>
      <w:r>
        <w:t>48</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308D318D">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_Toc13003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八</w:t>
      </w:r>
      <w:r>
        <w:rPr>
          <w:rFonts w:hint="eastAsia" w:ascii="宋体" w:hAnsi="宋体" w:eastAsia="宋体" w:cs="宋体"/>
          <w:szCs w:val="32"/>
          <w:highlight w:val="none"/>
        </w:rPr>
        <w:t>）技术规格偏离表</w:t>
      </w:r>
      <w:r>
        <w:tab/>
      </w:r>
      <w:r>
        <w:fldChar w:fldCharType="begin"/>
      </w:r>
      <w:r>
        <w:instrText xml:space="preserve"> PAGEREF _Toc13003 \h </w:instrText>
      </w:r>
      <w:r>
        <w:fldChar w:fldCharType="separate"/>
      </w:r>
      <w:r>
        <w:t>49</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DF9D43B">
      <w:pPr>
        <w:pStyle w:val="27"/>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_Toc15198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28"/>
          <w:highlight w:val="none"/>
        </w:rPr>
        <w:t>▲</w:t>
      </w:r>
      <w:r>
        <w:rPr>
          <w:rFonts w:hint="eastAsia" w:ascii="宋体" w:hAnsi="宋体" w:eastAsia="宋体" w:cs="宋体"/>
          <w:szCs w:val="28"/>
          <w:highlight w:val="none"/>
          <w:lang w:val="en-US" w:eastAsia="zh-CN"/>
        </w:rPr>
        <w:t>1.</w:t>
      </w:r>
      <w:r>
        <w:rPr>
          <w:rFonts w:hint="eastAsia" w:ascii="宋体" w:hAnsi="宋体" w:eastAsia="宋体" w:cs="宋体"/>
          <w:szCs w:val="28"/>
          <w:highlight w:val="none"/>
        </w:rPr>
        <w:t>“★”重要技术</w:t>
      </w:r>
      <w:r>
        <w:rPr>
          <w:rFonts w:hint="eastAsia" w:ascii="宋体" w:hAnsi="宋体" w:cs="宋体"/>
          <w:szCs w:val="28"/>
          <w:highlight w:val="none"/>
        </w:rPr>
        <w:t>参数承诺书</w:t>
      </w:r>
      <w:r>
        <w:tab/>
      </w:r>
      <w:r>
        <w:fldChar w:fldCharType="begin"/>
      </w:r>
      <w:r>
        <w:instrText xml:space="preserve"> PAGEREF _Toc15198 \h </w:instrText>
      </w:r>
      <w:r>
        <w:fldChar w:fldCharType="separate"/>
      </w:r>
      <w:r>
        <w:t>50</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9FF53D0">
      <w:pPr>
        <w:pStyle w:val="27"/>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_Toc16274 </w:instrText>
      </w:r>
      <w:r>
        <w:rPr>
          <w:rFonts w:hint="eastAsia" w:ascii="宋体" w:hAnsi="宋体" w:eastAsia="宋体" w:cs="宋体"/>
          <w:i w:val="0"/>
          <w:iCs w:val="0"/>
          <w:szCs w:val="24"/>
          <w:highlight w:val="none"/>
        </w:rPr>
        <w:fldChar w:fldCharType="separate"/>
      </w:r>
      <w:r>
        <w:rPr>
          <w:rFonts w:hint="eastAsia" w:ascii="宋体" w:hAnsi="宋体" w:cs="宋体"/>
          <w:szCs w:val="28"/>
          <w:highlight w:val="none"/>
          <w:lang w:val="en-US" w:eastAsia="zh-CN"/>
        </w:rPr>
        <w:t>2</w:t>
      </w:r>
      <w:r>
        <w:rPr>
          <w:rFonts w:hint="eastAsia" w:ascii="宋体" w:hAnsi="宋体" w:eastAsia="宋体" w:cs="宋体"/>
          <w:szCs w:val="28"/>
          <w:highlight w:val="none"/>
          <w:lang w:val="en-US" w:eastAsia="zh-CN"/>
        </w:rPr>
        <w:t>.产品技术支持资料</w:t>
      </w:r>
      <w:r>
        <w:tab/>
      </w:r>
      <w:r>
        <w:fldChar w:fldCharType="begin"/>
      </w:r>
      <w:r>
        <w:instrText xml:space="preserve"> PAGEREF _Toc16274 \h </w:instrText>
      </w:r>
      <w:r>
        <w:fldChar w:fldCharType="separate"/>
      </w:r>
      <w:r>
        <w:t>51</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02BFB027">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_Toc3038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九</w:t>
      </w:r>
      <w:r>
        <w:rPr>
          <w:rFonts w:hint="eastAsia" w:ascii="宋体" w:hAnsi="宋体" w:eastAsia="宋体" w:cs="宋体"/>
          <w:szCs w:val="32"/>
          <w:highlight w:val="none"/>
        </w:rPr>
        <w:t>）中小企业声明函（货物）</w:t>
      </w:r>
      <w:r>
        <w:tab/>
      </w:r>
      <w:r>
        <w:fldChar w:fldCharType="begin"/>
      </w:r>
      <w:r>
        <w:instrText xml:space="preserve"> PAGEREF _Toc3038 \h </w:instrText>
      </w:r>
      <w:r>
        <w:fldChar w:fldCharType="separate"/>
      </w:r>
      <w:r>
        <w:t>52</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55BEE8B">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_Toc17454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十</w:t>
      </w:r>
      <w:r>
        <w:rPr>
          <w:rFonts w:hint="eastAsia" w:ascii="宋体" w:hAnsi="宋体" w:eastAsia="宋体" w:cs="宋体"/>
          <w:szCs w:val="32"/>
          <w:highlight w:val="none"/>
        </w:rPr>
        <w:t>）残疾人福利性单位声明函</w:t>
      </w:r>
      <w:r>
        <w:tab/>
      </w:r>
      <w:r>
        <w:fldChar w:fldCharType="begin"/>
      </w:r>
      <w:r>
        <w:instrText xml:space="preserve"> PAGEREF _Toc17454 \h </w:instrText>
      </w:r>
      <w:r>
        <w:fldChar w:fldCharType="separate"/>
      </w:r>
      <w:r>
        <w:t>54</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3F43972">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_Toc3027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十</w:t>
      </w:r>
      <w:r>
        <w:rPr>
          <w:rFonts w:hint="eastAsia" w:ascii="宋体" w:hAnsi="宋体" w:eastAsia="宋体" w:cs="宋体"/>
          <w:szCs w:val="32"/>
          <w:highlight w:val="none"/>
          <w:lang w:val="en-US" w:eastAsia="zh-CN"/>
        </w:rPr>
        <w:t>一</w:t>
      </w:r>
      <w:r>
        <w:rPr>
          <w:rFonts w:hint="eastAsia" w:ascii="宋体" w:hAnsi="宋体" w:eastAsia="宋体" w:cs="宋体"/>
          <w:szCs w:val="32"/>
          <w:highlight w:val="none"/>
        </w:rPr>
        <w:t>）监狱企业证明文件</w:t>
      </w:r>
      <w:r>
        <w:tab/>
      </w:r>
      <w:r>
        <w:fldChar w:fldCharType="begin"/>
      </w:r>
      <w:r>
        <w:instrText xml:space="preserve"> PAGEREF _Toc3027 \h </w:instrText>
      </w:r>
      <w:r>
        <w:fldChar w:fldCharType="separate"/>
      </w:r>
      <w:r>
        <w:t>55</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F0D9206">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_Toc19099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十</w:t>
      </w:r>
      <w:r>
        <w:rPr>
          <w:rFonts w:hint="eastAsia" w:ascii="宋体" w:hAnsi="宋体" w:eastAsia="宋体" w:cs="宋体"/>
          <w:szCs w:val="32"/>
          <w:highlight w:val="none"/>
          <w:lang w:val="en-US" w:eastAsia="zh-CN"/>
        </w:rPr>
        <w:t>二</w:t>
      </w:r>
      <w:r>
        <w:rPr>
          <w:rFonts w:hint="eastAsia" w:ascii="宋体" w:hAnsi="宋体" w:eastAsia="宋体" w:cs="宋体"/>
          <w:szCs w:val="32"/>
          <w:highlight w:val="none"/>
        </w:rPr>
        <w:t>）供货方案</w:t>
      </w:r>
      <w:r>
        <w:tab/>
      </w:r>
      <w:r>
        <w:fldChar w:fldCharType="begin"/>
      </w:r>
      <w:r>
        <w:instrText xml:space="preserve"> PAGEREF _Toc19099 \h </w:instrText>
      </w:r>
      <w:r>
        <w:fldChar w:fldCharType="separate"/>
      </w:r>
      <w:r>
        <w:t>56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218D2AF7">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_Toc22222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十</w:t>
      </w:r>
      <w:r>
        <w:rPr>
          <w:rFonts w:hint="eastAsia" w:ascii="宋体" w:hAnsi="宋体" w:eastAsia="宋体" w:cs="宋体"/>
          <w:szCs w:val="32"/>
          <w:highlight w:val="none"/>
          <w:lang w:val="en-US" w:eastAsia="zh-CN"/>
        </w:rPr>
        <w:t>三</w:t>
      </w:r>
      <w:r>
        <w:rPr>
          <w:rFonts w:hint="eastAsia" w:ascii="宋体" w:hAnsi="宋体" w:eastAsia="宋体" w:cs="宋体"/>
          <w:szCs w:val="32"/>
          <w:highlight w:val="none"/>
        </w:rPr>
        <w:t>）</w:t>
      </w:r>
      <w:r>
        <w:rPr>
          <w:rFonts w:hint="eastAsia" w:ascii="宋体" w:hAnsi="宋体" w:eastAsia="宋体" w:cs="宋体"/>
          <w:szCs w:val="32"/>
          <w:highlight w:val="none"/>
          <w:lang w:val="en-US"/>
        </w:rPr>
        <w:t>产品质量保证措施及承诺</w:t>
      </w:r>
      <w:r>
        <w:tab/>
      </w:r>
      <w:r>
        <w:fldChar w:fldCharType="begin"/>
      </w:r>
      <w:r>
        <w:instrText xml:space="preserve"> PAGEREF _Toc22222 \h </w:instrText>
      </w:r>
      <w:r>
        <w:fldChar w:fldCharType="separate"/>
      </w:r>
      <w:r>
        <w:t>56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A40A797">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_Toc31617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十</w:t>
      </w:r>
      <w:r>
        <w:rPr>
          <w:rFonts w:hint="eastAsia" w:ascii="宋体" w:hAnsi="宋体" w:eastAsia="宋体" w:cs="宋体"/>
          <w:szCs w:val="32"/>
          <w:highlight w:val="none"/>
          <w:lang w:val="en-US" w:eastAsia="zh-CN"/>
        </w:rPr>
        <w:t>四</w:t>
      </w:r>
      <w:r>
        <w:rPr>
          <w:rFonts w:hint="eastAsia" w:ascii="宋体" w:hAnsi="宋体" w:eastAsia="宋体" w:cs="宋体"/>
          <w:szCs w:val="32"/>
          <w:highlight w:val="none"/>
        </w:rPr>
        <w:t>）</w:t>
      </w:r>
      <w:r>
        <w:rPr>
          <w:rFonts w:hint="eastAsia" w:ascii="宋体" w:hAnsi="宋体" w:eastAsia="宋体" w:cs="宋体"/>
          <w:szCs w:val="32"/>
          <w:highlight w:val="none"/>
          <w:lang w:val="en-US"/>
        </w:rPr>
        <w:t>售后服务方案</w:t>
      </w:r>
      <w:r>
        <w:tab/>
      </w:r>
      <w:r>
        <w:fldChar w:fldCharType="begin"/>
      </w:r>
      <w:r>
        <w:instrText xml:space="preserve"> PAGEREF _Toc31617 \h </w:instrText>
      </w:r>
      <w:r>
        <w:fldChar w:fldCharType="separate"/>
      </w:r>
      <w:r>
        <w:t>56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80BB0AF">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_Toc2227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十</w:t>
      </w:r>
      <w:r>
        <w:rPr>
          <w:rFonts w:hint="eastAsia" w:ascii="宋体" w:hAnsi="宋体" w:eastAsia="宋体" w:cs="宋体"/>
          <w:szCs w:val="32"/>
          <w:highlight w:val="none"/>
          <w:lang w:val="en-US" w:eastAsia="zh-CN"/>
        </w:rPr>
        <w:t>五</w:t>
      </w:r>
      <w:r>
        <w:rPr>
          <w:rFonts w:hint="eastAsia" w:ascii="宋体" w:hAnsi="宋体" w:eastAsia="宋体" w:cs="宋体"/>
          <w:szCs w:val="32"/>
          <w:highlight w:val="none"/>
        </w:rPr>
        <w:t>）</w:t>
      </w:r>
      <w:r>
        <w:rPr>
          <w:rFonts w:hint="eastAsia" w:ascii="宋体" w:hAnsi="宋体" w:eastAsia="宋体" w:cs="宋体"/>
          <w:szCs w:val="32"/>
          <w:highlight w:val="none"/>
          <w:lang w:val="en-US" w:eastAsia="zh-CN"/>
        </w:rPr>
        <w:t>应急方案</w:t>
      </w:r>
      <w:r>
        <w:tab/>
      </w:r>
      <w:r>
        <w:fldChar w:fldCharType="begin"/>
      </w:r>
      <w:r>
        <w:instrText xml:space="preserve"> PAGEREF _Toc2227 \h </w:instrText>
      </w:r>
      <w:r>
        <w:fldChar w:fldCharType="separate"/>
      </w:r>
      <w:r>
        <w:t>56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4D4B1F19">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_Toc10666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十</w:t>
      </w:r>
      <w:r>
        <w:rPr>
          <w:rFonts w:hint="eastAsia" w:ascii="宋体" w:hAnsi="宋体" w:eastAsia="宋体" w:cs="宋体"/>
          <w:szCs w:val="32"/>
          <w:highlight w:val="none"/>
          <w:lang w:val="en-US" w:eastAsia="zh-CN"/>
        </w:rPr>
        <w:t>六</w:t>
      </w:r>
      <w:r>
        <w:rPr>
          <w:rFonts w:hint="eastAsia" w:ascii="宋体" w:hAnsi="宋体" w:eastAsia="宋体" w:cs="宋体"/>
          <w:szCs w:val="32"/>
          <w:highlight w:val="none"/>
        </w:rPr>
        <w:t>）</w:t>
      </w:r>
      <w:r>
        <w:rPr>
          <w:rFonts w:hint="eastAsia" w:ascii="宋体" w:hAnsi="宋体" w:eastAsia="宋体" w:cs="宋体"/>
          <w:szCs w:val="32"/>
          <w:highlight w:val="none"/>
          <w:lang w:val="en-US"/>
        </w:rPr>
        <w:t>投标保证金交纳凭证</w:t>
      </w:r>
      <w:r>
        <w:tab/>
      </w:r>
      <w:r>
        <w:fldChar w:fldCharType="begin"/>
      </w:r>
      <w:r>
        <w:instrText xml:space="preserve"> PAGEREF _Toc10666 \h </w:instrText>
      </w:r>
      <w:r>
        <w:fldChar w:fldCharType="separate"/>
      </w:r>
      <w:r>
        <w:t>57</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3165344">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_Toc32209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十</w:t>
      </w:r>
      <w:r>
        <w:rPr>
          <w:rFonts w:hint="eastAsia" w:ascii="宋体" w:hAnsi="宋体" w:eastAsia="宋体" w:cs="宋体"/>
          <w:szCs w:val="32"/>
          <w:highlight w:val="none"/>
          <w:lang w:val="en-US" w:eastAsia="zh-CN"/>
        </w:rPr>
        <w:t>七</w:t>
      </w:r>
      <w:r>
        <w:rPr>
          <w:rFonts w:hint="eastAsia" w:ascii="宋体" w:hAnsi="宋体" w:eastAsia="宋体" w:cs="宋体"/>
          <w:szCs w:val="32"/>
          <w:highlight w:val="none"/>
        </w:rPr>
        <w:t>）节能、环境标志产品</w:t>
      </w:r>
      <w:r>
        <w:tab/>
      </w:r>
      <w:r>
        <w:fldChar w:fldCharType="begin"/>
      </w:r>
      <w:r>
        <w:instrText xml:space="preserve"> PAGEREF _Toc32209 \h </w:instrText>
      </w:r>
      <w:r>
        <w:fldChar w:fldCharType="separate"/>
      </w:r>
      <w:r>
        <w:t>57</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60F8763">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_Toc27178 </w:instrText>
      </w:r>
      <w:r>
        <w:rPr>
          <w:rFonts w:hint="eastAsia" w:ascii="宋体" w:hAnsi="宋体" w:eastAsia="宋体" w:cs="宋体"/>
          <w:i w:val="0"/>
          <w:iCs w:val="0"/>
          <w:szCs w:val="24"/>
          <w:highlight w:val="none"/>
        </w:rPr>
        <w:fldChar w:fldCharType="separate"/>
      </w:r>
      <w:r>
        <w:rPr>
          <w:rFonts w:hint="eastAsia" w:ascii="宋体" w:hAnsi="宋体" w:eastAsia="宋体" w:cs="宋体"/>
          <w:szCs w:val="32"/>
          <w:highlight w:val="none"/>
        </w:rPr>
        <w:t>（</w:t>
      </w:r>
      <w:r>
        <w:rPr>
          <w:rFonts w:hint="eastAsia" w:ascii="宋体" w:hAnsi="宋体" w:eastAsia="宋体" w:cs="宋体"/>
          <w:szCs w:val="32"/>
          <w:highlight w:val="none"/>
          <w:lang w:val="en-US"/>
        </w:rPr>
        <w:t>十</w:t>
      </w:r>
      <w:r>
        <w:rPr>
          <w:rFonts w:hint="eastAsia" w:ascii="宋体" w:hAnsi="宋体" w:eastAsia="宋体" w:cs="宋体"/>
          <w:szCs w:val="32"/>
          <w:highlight w:val="none"/>
          <w:lang w:val="en-US" w:eastAsia="zh-CN"/>
        </w:rPr>
        <w:t>八</w:t>
      </w:r>
      <w:r>
        <w:rPr>
          <w:rFonts w:hint="eastAsia" w:ascii="宋体" w:hAnsi="宋体" w:eastAsia="宋体" w:cs="宋体"/>
          <w:szCs w:val="32"/>
          <w:highlight w:val="none"/>
        </w:rPr>
        <w:t>）构成投标文件的其他资料</w:t>
      </w:r>
      <w:r>
        <w:tab/>
      </w:r>
      <w:r>
        <w:fldChar w:fldCharType="begin"/>
      </w:r>
      <w:r>
        <w:instrText xml:space="preserve"> PAGEREF _Toc27178 \h </w:instrText>
      </w:r>
      <w:r>
        <w:fldChar w:fldCharType="separate"/>
      </w:r>
      <w:r>
        <w:t>58</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B1C0BA8">
      <w:pPr>
        <w:pStyle w:val="26"/>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_Toc223 </w:instrText>
      </w:r>
      <w:r>
        <w:rPr>
          <w:rFonts w:hint="eastAsia" w:ascii="宋体" w:hAnsi="宋体" w:eastAsia="宋体" w:cs="宋体"/>
          <w:i w:val="0"/>
          <w:iCs w:val="0"/>
          <w:szCs w:val="24"/>
          <w:highlight w:val="none"/>
        </w:rPr>
        <w:fldChar w:fldCharType="separate"/>
      </w:r>
      <w:r>
        <w:rPr>
          <w:rFonts w:hint="eastAsia" w:ascii="宋体" w:hAnsi="宋体" w:eastAsia="宋体" w:cs="宋体"/>
          <w:highlight w:val="none"/>
        </w:rPr>
        <w:t>第五章 采购内容及要求</w:t>
      </w:r>
      <w:r>
        <w:tab/>
      </w:r>
      <w:r>
        <w:fldChar w:fldCharType="begin"/>
      </w:r>
      <w:r>
        <w:instrText xml:space="preserve"> PAGEREF _Toc223 \h </w:instrText>
      </w:r>
      <w:r>
        <w:fldChar w:fldCharType="separate"/>
      </w:r>
      <w:r>
        <w:t>59</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5C9F20B">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_Toc9968 </w:instrText>
      </w:r>
      <w:r>
        <w:rPr>
          <w:rFonts w:hint="eastAsia" w:ascii="宋体" w:hAnsi="宋体" w:eastAsia="宋体" w:cs="宋体"/>
          <w:i w:val="0"/>
          <w:iCs w:val="0"/>
          <w:szCs w:val="24"/>
          <w:highlight w:val="none"/>
        </w:rPr>
        <w:fldChar w:fldCharType="separate"/>
      </w:r>
      <w:r>
        <w:rPr>
          <w:rFonts w:hint="eastAsia" w:ascii="宋体" w:hAnsi="宋体" w:cs="宋体"/>
          <w:highlight w:val="none"/>
        </w:rPr>
        <w:t>一、采购需求</w:t>
      </w:r>
      <w:r>
        <w:tab/>
      </w:r>
      <w:r>
        <w:fldChar w:fldCharType="begin"/>
      </w:r>
      <w:r>
        <w:instrText xml:space="preserve"> PAGEREF _Toc9968 \h </w:instrText>
      </w:r>
      <w:r>
        <w:fldChar w:fldCharType="separate"/>
      </w:r>
      <w:r>
        <w:t>59</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3E34972A">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_Toc15843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（一）病床</w:t>
      </w:r>
      <w:r>
        <w:tab/>
      </w:r>
      <w:r>
        <w:fldChar w:fldCharType="begin"/>
      </w:r>
      <w:r>
        <w:instrText xml:space="preserve"> PAGEREF _Toc15843 \h </w:instrText>
      </w:r>
      <w:r>
        <w:fldChar w:fldCharType="separate"/>
      </w:r>
      <w:r>
        <w:t>59</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28D551ED">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_Toc18056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（二）妇科检查床</w:t>
      </w:r>
      <w:r>
        <w:tab/>
      </w:r>
      <w:r>
        <w:fldChar w:fldCharType="begin"/>
      </w:r>
      <w:r>
        <w:instrText xml:space="preserve"> PAGEREF _Toc18056 \h </w:instrText>
      </w:r>
      <w:r>
        <w:fldChar w:fldCharType="separate"/>
      </w:r>
      <w:r>
        <w:t>61</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427F84CB">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_Toc18762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（三）全自动化学发光仪</w:t>
      </w:r>
      <w:r>
        <w:tab/>
      </w:r>
      <w:r>
        <w:fldChar w:fldCharType="begin"/>
      </w:r>
      <w:r>
        <w:instrText xml:space="preserve"> PAGEREF _Toc18762 \h </w:instrText>
      </w:r>
      <w:r>
        <w:fldChar w:fldCharType="separate"/>
      </w:r>
      <w:r>
        <w:t>63</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93E4192">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_Toc7010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（四）台式低速多管架离心机</w:t>
      </w:r>
      <w:r>
        <w:tab/>
      </w:r>
      <w:r>
        <w:fldChar w:fldCharType="begin"/>
      </w:r>
      <w:r>
        <w:instrText xml:space="preserve"> PAGEREF _Toc7010 \h </w:instrText>
      </w:r>
      <w:r>
        <w:fldChar w:fldCharType="separate"/>
      </w:r>
      <w:r>
        <w:t>65</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BCCB8C3">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_Toc17589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（五）身高体重测量仪</w:t>
      </w:r>
      <w:r>
        <w:tab/>
      </w:r>
      <w:r>
        <w:fldChar w:fldCharType="begin"/>
      </w:r>
      <w:r>
        <w:instrText xml:space="preserve"> PAGEREF _Toc17589 \h </w:instrText>
      </w:r>
      <w:r>
        <w:fldChar w:fldCharType="separate"/>
      </w:r>
      <w:r>
        <w:t>66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CC11E1B">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_Toc7639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（六）轮椅</w:t>
      </w:r>
      <w:r>
        <w:tab/>
      </w:r>
      <w:r>
        <w:fldChar w:fldCharType="begin"/>
      </w:r>
      <w:r>
        <w:instrText xml:space="preserve"> PAGEREF _Toc7639 \h </w:instrText>
      </w:r>
      <w:r>
        <w:fldChar w:fldCharType="separate"/>
      </w:r>
      <w:r>
        <w:t>68</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5B52E17">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_Toc14159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w:t>
      </w:r>
      <w:r>
        <w:rPr>
          <w:rFonts w:hint="eastAsia" w:ascii="宋体" w:hAnsi="宋体" w:cs="宋体"/>
          <w:bCs/>
          <w:highlight w:val="none"/>
          <w:lang w:val="en-US" w:eastAsia="zh-CN"/>
        </w:rPr>
        <w:t>七</w:t>
      </w:r>
      <w:r>
        <w:rPr>
          <w:rFonts w:hint="eastAsia" w:ascii="宋体" w:hAnsi="宋体" w:cs="宋体"/>
          <w:bCs/>
          <w:highlight w:val="none"/>
        </w:rPr>
        <w:t>）洗衣机</w:t>
      </w:r>
      <w:r>
        <w:tab/>
      </w:r>
      <w:r>
        <w:fldChar w:fldCharType="begin"/>
      </w:r>
      <w:r>
        <w:instrText xml:space="preserve"> PAGEREF _Toc14159 \h </w:instrText>
      </w:r>
      <w:r>
        <w:fldChar w:fldCharType="separate"/>
      </w:r>
      <w:r>
        <w:t>69</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58C366A">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_Toc20413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w:t>
      </w:r>
      <w:r>
        <w:rPr>
          <w:rFonts w:hint="eastAsia" w:ascii="宋体" w:hAnsi="宋体" w:cs="宋体"/>
          <w:bCs/>
          <w:highlight w:val="none"/>
          <w:lang w:val="en-US" w:eastAsia="zh-CN"/>
        </w:rPr>
        <w:t>八</w:t>
      </w:r>
      <w:r>
        <w:rPr>
          <w:rFonts w:hint="eastAsia" w:ascii="宋体" w:hAnsi="宋体" w:cs="宋体"/>
          <w:bCs/>
          <w:highlight w:val="none"/>
        </w:rPr>
        <w:t>）心电图机</w:t>
      </w:r>
      <w:r>
        <w:tab/>
      </w:r>
      <w:r>
        <w:fldChar w:fldCharType="begin"/>
      </w:r>
      <w:r>
        <w:instrText xml:space="preserve"> PAGEREF _Toc20413 \h </w:instrText>
      </w:r>
      <w:r>
        <w:fldChar w:fldCharType="separate"/>
      </w:r>
      <w:r>
        <w:t>70</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0403C80A">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_Toc7587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w:t>
      </w:r>
      <w:r>
        <w:rPr>
          <w:rFonts w:hint="eastAsia" w:ascii="宋体" w:hAnsi="宋体" w:cs="宋体"/>
          <w:bCs/>
          <w:highlight w:val="none"/>
          <w:lang w:val="en-US" w:eastAsia="zh-CN"/>
        </w:rPr>
        <w:t>九</w:t>
      </w:r>
      <w:r>
        <w:rPr>
          <w:rFonts w:hint="eastAsia" w:ascii="宋体" w:hAnsi="宋体" w:cs="宋体"/>
          <w:bCs/>
          <w:highlight w:val="none"/>
        </w:rPr>
        <w:t>）床旁监护仪</w:t>
      </w:r>
      <w:r>
        <w:tab/>
      </w:r>
      <w:r>
        <w:fldChar w:fldCharType="begin"/>
      </w:r>
      <w:r>
        <w:instrText xml:space="preserve"> PAGEREF _Toc7587 \h </w:instrText>
      </w:r>
      <w:r>
        <w:fldChar w:fldCharType="separate"/>
      </w:r>
      <w:r>
        <w:t>72</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A65F7D9">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_Toc23892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（十）教学模拟人（心肺复苏训练考核系统）</w:t>
      </w:r>
      <w:r>
        <w:tab/>
      </w:r>
      <w:r>
        <w:fldChar w:fldCharType="begin"/>
      </w:r>
      <w:r>
        <w:instrText xml:space="preserve"> PAGEREF _Toc23892 \h </w:instrText>
      </w:r>
      <w:r>
        <w:fldChar w:fldCharType="separate"/>
      </w:r>
      <w:r>
        <w:t>76</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342DDA37">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_Toc5448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（十</w:t>
      </w:r>
      <w:r>
        <w:rPr>
          <w:rFonts w:hint="eastAsia" w:ascii="宋体" w:hAnsi="宋体" w:cs="宋体"/>
          <w:bCs/>
          <w:highlight w:val="none"/>
          <w:lang w:val="en-US" w:eastAsia="zh-CN"/>
        </w:rPr>
        <w:t>一</w:t>
      </w:r>
      <w:r>
        <w:rPr>
          <w:rFonts w:hint="eastAsia" w:ascii="宋体" w:hAnsi="宋体" w:cs="宋体"/>
          <w:bCs/>
          <w:highlight w:val="none"/>
        </w:rPr>
        <w:t>）全自动血细胞分析仪</w:t>
      </w:r>
      <w:r>
        <w:tab/>
      </w:r>
      <w:r>
        <w:fldChar w:fldCharType="begin"/>
      </w:r>
      <w:r>
        <w:instrText xml:space="preserve"> PAGEREF _Toc5448 \h </w:instrText>
      </w:r>
      <w:r>
        <w:fldChar w:fldCharType="separate"/>
      </w:r>
      <w:r>
        <w:t>79</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59483FAC">
      <w:pPr>
        <w:pStyle w:val="19"/>
        <w:tabs>
          <w:tab w:val="right" w:leader="dot" w:pos="963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_Toc28359 </w:instrText>
      </w:r>
      <w:r>
        <w:rPr>
          <w:rFonts w:hint="eastAsia" w:ascii="宋体" w:hAnsi="宋体" w:eastAsia="宋体" w:cs="宋体"/>
          <w:i w:val="0"/>
          <w:iCs w:val="0"/>
          <w:szCs w:val="24"/>
          <w:highlight w:val="none"/>
        </w:rPr>
        <w:fldChar w:fldCharType="separate"/>
      </w:r>
      <w:r>
        <w:rPr>
          <w:rFonts w:hint="eastAsia" w:ascii="宋体" w:hAnsi="宋体" w:cs="宋体"/>
          <w:bCs/>
          <w:highlight w:val="none"/>
        </w:rPr>
        <w:t>（十</w:t>
      </w:r>
      <w:r>
        <w:rPr>
          <w:rFonts w:hint="eastAsia" w:ascii="宋体" w:hAnsi="宋体" w:cs="宋体"/>
          <w:bCs/>
          <w:highlight w:val="none"/>
          <w:lang w:val="en-US" w:eastAsia="zh-CN"/>
        </w:rPr>
        <w:t>二</w:t>
      </w:r>
      <w:r>
        <w:rPr>
          <w:rFonts w:hint="eastAsia" w:ascii="宋体" w:hAnsi="宋体" w:cs="宋体"/>
          <w:bCs/>
          <w:highlight w:val="none"/>
        </w:rPr>
        <w:t>）手术辅助照明灯</w:t>
      </w:r>
      <w:r>
        <w:tab/>
      </w:r>
      <w:r>
        <w:fldChar w:fldCharType="begin"/>
      </w:r>
      <w:r>
        <w:instrText xml:space="preserve"> PAGEREF _Toc28359 \h </w:instrText>
      </w:r>
      <w:r>
        <w:fldChar w:fldCharType="separate"/>
      </w:r>
      <w:r>
        <w:t>81</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76F7578F">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_Toc27366 </w:instrText>
      </w:r>
      <w:r>
        <w:rPr>
          <w:rFonts w:hint="eastAsia" w:ascii="宋体" w:hAnsi="宋体" w:eastAsia="宋体" w:cs="宋体"/>
          <w:i w:val="0"/>
          <w:iCs w:val="0"/>
          <w:szCs w:val="24"/>
          <w:highlight w:val="none"/>
        </w:rPr>
        <w:fldChar w:fldCharType="separate"/>
      </w:r>
      <w:r>
        <w:rPr>
          <w:rFonts w:hint="eastAsia" w:hAnsi="宋体" w:cs="宋体"/>
          <w:szCs w:val="21"/>
          <w:highlight w:val="none"/>
        </w:rPr>
        <w:t>二、商务要求</w:t>
      </w:r>
      <w:r>
        <w:tab/>
      </w:r>
      <w:r>
        <w:fldChar w:fldCharType="begin"/>
      </w:r>
      <w:r>
        <w:instrText xml:space="preserve"> PAGEREF _Toc27366 \h </w:instrText>
      </w:r>
      <w:r>
        <w:fldChar w:fldCharType="separate"/>
      </w:r>
      <w:r>
        <w:t>82</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8CB652C">
      <w:pPr>
        <w:pStyle w:val="26"/>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_Toc30369 </w:instrText>
      </w:r>
      <w:r>
        <w:rPr>
          <w:rFonts w:hint="eastAsia" w:ascii="宋体" w:hAnsi="宋体" w:eastAsia="宋体" w:cs="宋体"/>
          <w:i w:val="0"/>
          <w:iCs w:val="0"/>
          <w:szCs w:val="24"/>
          <w:highlight w:val="none"/>
        </w:rPr>
        <w:fldChar w:fldCharType="separate"/>
      </w:r>
      <w:r>
        <w:rPr>
          <w:rFonts w:hint="eastAsia" w:ascii="宋体" w:hAnsi="宋体" w:eastAsia="宋体" w:cs="宋体"/>
          <w:bCs/>
          <w:highlight w:val="none"/>
        </w:rPr>
        <w:t>第六章</w:t>
      </w:r>
      <w:r>
        <w:rPr>
          <w:rFonts w:hint="eastAsia" w:ascii="宋体" w:hAnsi="宋体" w:eastAsia="宋体" w:cs="宋体"/>
          <w:bCs/>
          <w:highlight w:val="none"/>
          <w:lang w:val="en-US"/>
        </w:rPr>
        <w:t xml:space="preserve"> </w:t>
      </w:r>
      <w:r>
        <w:rPr>
          <w:rFonts w:hint="eastAsia" w:ascii="宋体" w:hAnsi="宋体" w:eastAsia="宋体" w:cs="宋体"/>
          <w:bCs/>
          <w:highlight w:val="none"/>
        </w:rPr>
        <w:t>资格评审标准</w:t>
      </w:r>
      <w:r>
        <w:tab/>
      </w:r>
      <w:r>
        <w:fldChar w:fldCharType="begin"/>
      </w:r>
      <w:r>
        <w:instrText xml:space="preserve"> PAGEREF _Toc30369 \h </w:instrText>
      </w:r>
      <w:r>
        <w:fldChar w:fldCharType="separate"/>
      </w:r>
      <w:r>
        <w:t>83</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4DE500E4">
      <w:pPr>
        <w:pStyle w:val="26"/>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_Toc17756 </w:instrText>
      </w:r>
      <w:r>
        <w:rPr>
          <w:rFonts w:hint="eastAsia" w:ascii="宋体" w:hAnsi="宋体" w:eastAsia="宋体" w:cs="宋体"/>
          <w:i w:val="0"/>
          <w:iCs w:val="0"/>
          <w:szCs w:val="24"/>
          <w:highlight w:val="none"/>
        </w:rPr>
        <w:fldChar w:fldCharType="separate"/>
      </w:r>
      <w:r>
        <w:rPr>
          <w:rFonts w:hint="eastAsia" w:cs="宋体"/>
          <w:bCs/>
          <w:highlight w:val="none"/>
        </w:rPr>
        <w:t>第七章 评标方法（综合评分法）</w:t>
      </w:r>
      <w:r>
        <w:tab/>
      </w:r>
      <w:r>
        <w:fldChar w:fldCharType="begin"/>
      </w:r>
      <w:r>
        <w:instrText xml:space="preserve"> PAGEREF _Toc17756 \h </w:instrText>
      </w:r>
      <w:r>
        <w:fldChar w:fldCharType="separate"/>
      </w:r>
      <w:r>
        <w:t>85</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6DD9BD55">
      <w:pPr>
        <w:pStyle w:val="31"/>
        <w:tabs>
          <w:tab w:val="right" w:leader="dot" w:pos="9638"/>
          <w:tab w:val="clear" w:pos="9628"/>
        </w:tabs>
      </w:pPr>
      <w:r>
        <w:rPr>
          <w:rFonts w:hint="eastAsia" w:ascii="宋体" w:hAnsi="宋体" w:eastAsia="宋体" w:cs="宋体"/>
          <w:i w:val="0"/>
          <w:iCs w:val="0"/>
          <w:color w:val="000000" w:themeColor="text1"/>
          <w:szCs w:val="24"/>
          <w:highlight w:val="none"/>
          <w14:textFill>
            <w14:solidFill>
              <w14:schemeClr w14:val="tx1"/>
            </w14:solidFill>
          </w14:textFill>
        </w:rPr>
        <w:fldChar w:fldCharType="begin"/>
      </w:r>
      <w:r>
        <w:rPr>
          <w:rFonts w:hint="eastAsia" w:ascii="宋体" w:hAnsi="宋体" w:eastAsia="宋体" w:cs="宋体"/>
          <w:i w:val="0"/>
          <w:iCs w:val="0"/>
          <w:szCs w:val="24"/>
          <w:highlight w:val="none"/>
        </w:rPr>
        <w:instrText xml:space="preserve"> HYPERLINK \l _Toc27864 </w:instrText>
      </w:r>
      <w:r>
        <w:rPr>
          <w:rFonts w:hint="eastAsia" w:ascii="宋体" w:hAnsi="宋体" w:eastAsia="宋体" w:cs="宋体"/>
          <w:i w:val="0"/>
          <w:iCs w:val="0"/>
          <w:szCs w:val="24"/>
          <w:highlight w:val="none"/>
        </w:rPr>
        <w:fldChar w:fldCharType="separate"/>
      </w:r>
      <w:r>
        <w:rPr>
          <w:rFonts w:hint="eastAsia" w:ascii="宋体" w:hAnsi="宋体" w:eastAsia="宋体" w:cs="宋体"/>
          <w:highlight w:val="none"/>
        </w:rPr>
        <w:t>评标方法前附表</w:t>
      </w:r>
      <w:r>
        <w:tab/>
      </w:r>
      <w:r>
        <w:fldChar w:fldCharType="begin"/>
      </w:r>
      <w:r>
        <w:instrText xml:space="preserve"> PAGEREF _Toc27864 \h </w:instrText>
      </w:r>
      <w:r>
        <w:fldChar w:fldCharType="separate"/>
      </w:r>
      <w:r>
        <w:t>85</w:t>
      </w:r>
      <w:r>
        <w:fldChar w:fldCharType="end"/>
      </w: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0445ACF8">
      <w:pPr>
        <w:pStyle w:val="31"/>
        <w:snapToGrid w:val="0"/>
        <w:spacing w:line="400" w:lineRule="exact"/>
        <w:rPr>
          <w:rFonts w:asciiTheme="minorEastAsia" w:hAnsiTheme="minorEastAsia" w:eastAsiaTheme="minorEastAsia" w:cstheme="minorEastAsia"/>
          <w:color w:val="000000" w:themeColor="text1"/>
          <w:sz w:val="24"/>
          <w:szCs w:val="24"/>
          <w:highlight w:val="none"/>
          <w14:textFill>
            <w14:solidFill>
              <w14:schemeClr w14:val="tx1"/>
            </w14:solidFill>
          </w14:textFill>
        </w:rPr>
        <w:sectPr>
          <w:footerReference r:id="rId7" w:type="default"/>
          <w:pgSz w:w="11906" w:h="16838"/>
          <w:pgMar w:top="1417" w:right="1134" w:bottom="1417" w:left="1134" w:header="850" w:footer="850" w:gutter="0"/>
          <w:pgNumType w:start="1"/>
          <w:cols w:space="0" w:num="1"/>
          <w:docGrid w:type="lines" w:linePitch="316" w:charSpace="0"/>
        </w:sectPr>
      </w:pPr>
      <w:r>
        <w:rPr>
          <w:rFonts w:hint="eastAsia" w:ascii="宋体" w:hAnsi="宋体" w:eastAsia="宋体" w:cs="宋体"/>
          <w:i w:val="0"/>
          <w:iCs w:val="0"/>
          <w:color w:val="000000" w:themeColor="text1"/>
          <w:szCs w:val="24"/>
          <w:highlight w:val="none"/>
          <w14:textFill>
            <w14:solidFill>
              <w14:schemeClr w14:val="tx1"/>
            </w14:solidFill>
          </w14:textFill>
        </w:rPr>
        <w:fldChar w:fldCharType="end"/>
      </w:r>
    </w:p>
    <w:p w14:paraId="117D2487">
      <w:pPr>
        <w:pStyle w:val="2"/>
        <w:ind w:left="0" w:firstLine="0"/>
        <w:jc w:val="center"/>
        <w:rPr>
          <w:rFonts w:ascii="宋体" w:hAnsi="宋体" w:eastAsia="宋体" w:cs="宋体"/>
          <w:color w:val="000000" w:themeColor="text1"/>
          <w:sz w:val="36"/>
          <w:highlight w:val="none"/>
          <w14:textFill>
            <w14:solidFill>
              <w14:schemeClr w14:val="tx1"/>
            </w14:solidFill>
          </w14:textFill>
        </w:rPr>
        <w:sectPr>
          <w:footerReference r:id="rId9" w:type="first"/>
          <w:footerReference r:id="rId8" w:type="default"/>
          <w:type w:val="continuous"/>
          <w:pgSz w:w="11906" w:h="16838"/>
          <w:pgMar w:top="1417" w:right="1134" w:bottom="1417" w:left="1134" w:header="850" w:footer="850" w:gutter="0"/>
          <w:cols w:space="0" w:num="1"/>
          <w:docGrid w:type="lines" w:linePitch="316" w:charSpace="0"/>
        </w:sectPr>
      </w:pPr>
      <w:bookmarkStart w:id="0" w:name="_Toc393784369"/>
    </w:p>
    <w:p w14:paraId="3E6381E3">
      <w:pP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br w:type="page"/>
      </w:r>
    </w:p>
    <w:p w14:paraId="5E73C122">
      <w:pPr>
        <w:pStyle w:val="2"/>
        <w:ind w:left="0" w:firstLine="0"/>
        <w:jc w:val="center"/>
        <w:rPr>
          <w:rFonts w:ascii="宋体" w:hAnsi="宋体" w:eastAsia="宋体" w:cs="宋体"/>
          <w:color w:val="000000" w:themeColor="text1"/>
          <w:sz w:val="36"/>
          <w:highlight w:val="none"/>
          <w14:textFill>
            <w14:solidFill>
              <w14:schemeClr w14:val="tx1"/>
            </w14:solidFill>
          </w14:textFill>
        </w:rPr>
      </w:pPr>
      <w:bookmarkStart w:id="1" w:name="_Toc6567"/>
      <w:bookmarkStart w:id="2" w:name="_Toc2306"/>
      <w:bookmarkStart w:id="3" w:name="_Toc30974"/>
      <w:bookmarkStart w:id="4" w:name="_Toc32522"/>
      <w:bookmarkStart w:id="5" w:name="_Toc22277"/>
      <w:bookmarkStart w:id="6" w:name="_Toc11724"/>
      <w:bookmarkStart w:id="7" w:name="_Toc26763"/>
      <w:r>
        <w:rPr>
          <w:rFonts w:hint="eastAsia" w:ascii="宋体" w:hAnsi="宋体" w:eastAsia="宋体" w:cs="宋体"/>
          <w:color w:val="000000" w:themeColor="text1"/>
          <w:sz w:val="36"/>
          <w:highlight w:val="none"/>
          <w14:textFill>
            <w14:solidFill>
              <w14:schemeClr w14:val="tx1"/>
            </w14:solidFill>
          </w14:textFill>
        </w:rPr>
        <w:t>第一章</w:t>
      </w:r>
      <w:bookmarkEnd w:id="0"/>
      <w:bookmarkStart w:id="8" w:name="OLE_LINK4"/>
      <w:bookmarkStart w:id="9" w:name="OLE_LINK7"/>
      <w:bookmarkStart w:id="10" w:name="OLE_LINK6"/>
      <w:bookmarkStart w:id="11" w:name="OLE_LINK3"/>
      <w:r>
        <w:rPr>
          <w:rFonts w:hint="eastAsia" w:ascii="宋体" w:hAnsi="宋体" w:eastAsia="宋体" w:cs="宋体"/>
          <w:color w:val="000000" w:themeColor="text1"/>
          <w:sz w:val="36"/>
          <w:highlight w:val="none"/>
          <w:lang w:val="en-US"/>
          <w14:textFill>
            <w14:solidFill>
              <w14:schemeClr w14:val="tx1"/>
            </w14:solidFill>
          </w14:textFill>
        </w:rPr>
        <w:t xml:space="preserve"> </w:t>
      </w:r>
      <w:r>
        <w:rPr>
          <w:rFonts w:hint="eastAsia" w:ascii="宋体" w:hAnsi="宋体" w:eastAsia="宋体" w:cs="宋体"/>
          <w:color w:val="000000" w:themeColor="text1"/>
          <w:sz w:val="36"/>
          <w:highlight w:val="none"/>
          <w14:textFill>
            <w14:solidFill>
              <w14:schemeClr w14:val="tx1"/>
            </w14:solidFill>
          </w14:textFill>
        </w:rPr>
        <w:t>招标公告</w:t>
      </w:r>
      <w:bookmarkEnd w:id="1"/>
      <w:bookmarkEnd w:id="2"/>
      <w:bookmarkEnd w:id="3"/>
      <w:bookmarkEnd w:id="4"/>
      <w:bookmarkEnd w:id="5"/>
      <w:bookmarkEnd w:id="6"/>
      <w:bookmarkEnd w:id="7"/>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6"/>
      </w:tblGrid>
      <w:tr w14:paraId="5AB58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16" w:type="dxa"/>
          </w:tcPr>
          <w:p w14:paraId="74A2D004">
            <w:pPr>
              <w:widowControl/>
              <w:tabs>
                <w:tab w:val="left" w:pos="6060"/>
              </w:tabs>
              <w:spacing w:before="100" w:beforeAutospacing="1" w:after="100" w:afterAutospacing="1" w:line="360" w:lineRule="auto"/>
              <w:jc w:val="center"/>
              <w:rPr>
                <w:rFonts w:ascii="宋体" w:hAnsi="宋体" w:cs="宋体"/>
                <w:color w:val="000000" w:themeColor="text1"/>
                <w:kern w:val="0"/>
                <w:sz w:val="24"/>
                <w:highlight w:val="none"/>
                <w14:textFill>
                  <w14:solidFill>
                    <w14:schemeClr w14:val="tx1"/>
                  </w14:solidFill>
                </w14:textFill>
              </w:rPr>
            </w:pPr>
            <w:bookmarkStart w:id="12" w:name="_Toc39750575"/>
            <w:r>
              <w:rPr>
                <w:rFonts w:hint="eastAsia" w:ascii="宋体" w:hAnsi="宋体" w:cs="宋体"/>
                <w:color w:val="000000" w:themeColor="text1"/>
                <w:kern w:val="0"/>
                <w:sz w:val="24"/>
                <w:highlight w:val="none"/>
                <w14:textFill>
                  <w14:solidFill>
                    <w14:schemeClr w14:val="tx1"/>
                  </w14:solidFill>
                </w14:textFill>
              </w:rPr>
              <w:t>项目概况</w:t>
            </w:r>
          </w:p>
          <w:p w14:paraId="4C2D7D48">
            <w:pPr>
              <w:keepNext w:val="0"/>
              <w:keepLines w:val="0"/>
              <w:pageBreakBefore w:val="0"/>
              <w:widowControl/>
              <w:tabs>
                <w:tab w:val="left" w:pos="6060"/>
              </w:tabs>
              <w:kinsoku/>
              <w:wordWrap w:val="0"/>
              <w:overflowPunct/>
              <w:topLinePunct w:val="0"/>
              <w:autoSpaceDE/>
              <w:autoSpaceDN/>
              <w:bidi w:val="0"/>
              <w:adjustRightInd/>
              <w:snapToGrid/>
              <w:spacing w:before="100" w:beforeAutospacing="1" w:after="100" w:afterAutospacing="1" w:line="360" w:lineRule="auto"/>
              <w:ind w:firstLine="480" w:firstLineChars="200"/>
              <w:jc w:val="left"/>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u w:val="single"/>
                <w:lang w:eastAsia="zh-CN"/>
                <w14:textFill>
                  <w14:solidFill>
                    <w14:schemeClr w14:val="tx1"/>
                  </w14:solidFill>
                </w14:textFill>
              </w:rPr>
              <w:t>昆明理工大学医院2024设备购置—1（二次）</w:t>
            </w:r>
            <w:r>
              <w:rPr>
                <w:rFonts w:hint="eastAsia" w:ascii="宋体" w:hAnsi="宋体" w:cs="宋体"/>
                <w:color w:val="000000" w:themeColor="text1"/>
                <w:kern w:val="0"/>
                <w:sz w:val="24"/>
                <w:highlight w:val="none"/>
                <w14:textFill>
                  <w14:solidFill>
                    <w14:schemeClr w14:val="tx1"/>
                  </w14:solidFill>
                </w14:textFill>
              </w:rPr>
              <w:t>招标项目的潜在投标人应在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"https://www.ynggzy.com/zfcg-tb）获取招标文件，并于2022年"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u w:val="single"/>
                <w14:textFill>
                  <w14:solidFill>
                    <w14:schemeClr w14:val="tx1"/>
                  </w14:solidFill>
                </w14:textFill>
              </w:rPr>
              <w:t>政采云平台（http：//www.zcygov.cn）</w:t>
            </w:r>
            <w:r>
              <w:rPr>
                <w:rFonts w:hint="eastAsia" w:ascii="宋体" w:hAnsi="宋体" w:cs="宋体"/>
                <w:color w:val="000000" w:themeColor="text1"/>
                <w:sz w:val="24"/>
                <w:highlight w:val="none"/>
                <w14:textFill>
                  <w14:solidFill>
                    <w14:schemeClr w14:val="tx1"/>
                  </w14:solidFill>
                </w14:textFill>
              </w:rPr>
              <w:t>获取招标文件</w:t>
            </w:r>
            <w:r>
              <w:rPr>
                <w:rStyle w:val="44"/>
                <w:rFonts w:hint="eastAsia" w:ascii="宋体" w:hAnsi="宋体" w:cs="宋体"/>
                <w:color w:val="000000" w:themeColor="text1"/>
                <w:kern w:val="0"/>
                <w:sz w:val="24"/>
                <w:highlight w:val="none"/>
                <w:u w:val="none"/>
                <w14:textFill>
                  <w14:solidFill>
                    <w14:schemeClr w14:val="tx1"/>
                  </w14:solidFill>
                </w14:textFill>
              </w:rPr>
              <w:t>，并于</w:t>
            </w:r>
            <w:r>
              <w:rPr>
                <w:rStyle w:val="44"/>
                <w:rFonts w:hint="eastAsia" w:ascii="宋体" w:hAnsi="宋体" w:cs="宋体"/>
                <w:color w:val="000000" w:themeColor="text1"/>
                <w:kern w:val="0"/>
                <w:sz w:val="24"/>
                <w:highlight w:val="none"/>
                <w14:textFill>
                  <w14:solidFill>
                    <w14:schemeClr w14:val="tx1"/>
                  </w14:solidFill>
                </w14:textFill>
              </w:rPr>
              <w:t>2024年</w:t>
            </w:r>
            <w:r>
              <w:rPr>
                <w:rStyle w:val="44"/>
                <w:rFonts w:hint="eastAsia" w:ascii="宋体" w:hAnsi="宋体" w:cs="宋体"/>
                <w:color w:val="000000" w:themeColor="text1"/>
                <w:kern w:val="0"/>
                <w:sz w:val="24"/>
                <w:highlight w:val="none"/>
                <w14:textFill>
                  <w14:solidFill>
                    <w14:schemeClr w14:val="tx1"/>
                  </w14:solidFill>
                </w14:textFill>
              </w:rPr>
              <w:fldChar w:fldCharType="end"/>
            </w:r>
            <w:r>
              <w:rPr>
                <w:rStyle w:val="44"/>
                <w:rFonts w:hint="eastAsia" w:ascii="宋体" w:hAnsi="宋体" w:cs="宋体"/>
                <w:color w:val="000000" w:themeColor="text1"/>
                <w:kern w:val="0"/>
                <w:sz w:val="24"/>
                <w:highlight w:val="none"/>
                <w:lang w:val="en-US" w:eastAsia="zh-CN"/>
                <w14:textFill>
                  <w14:solidFill>
                    <w14:schemeClr w14:val="tx1"/>
                  </w14:solidFill>
                </w14:textFill>
              </w:rPr>
              <w:t>12</w:t>
            </w:r>
            <w:r>
              <w:rPr>
                <w:rFonts w:hint="eastAsia" w:ascii="宋体" w:hAnsi="宋体" w:cs="宋体"/>
                <w:color w:val="000000" w:themeColor="text1"/>
                <w:kern w:val="0"/>
                <w:sz w:val="24"/>
                <w:highlight w:val="none"/>
                <w:u w:val="single"/>
                <w14:textFill>
                  <w14:solidFill>
                    <w14:schemeClr w14:val="tx1"/>
                  </w14:solidFill>
                </w14:textFill>
              </w:rPr>
              <w:t>月</w:t>
            </w:r>
            <w:r>
              <w:rPr>
                <w:rFonts w:hint="eastAsia" w:ascii="宋体" w:hAnsi="宋体" w:cs="宋体"/>
                <w:color w:val="000000" w:themeColor="text1"/>
                <w:kern w:val="0"/>
                <w:sz w:val="24"/>
                <w:highlight w:val="none"/>
                <w:u w:val="single"/>
                <w:lang w:val="en-US" w:eastAsia="zh-CN"/>
                <w14:textFill>
                  <w14:solidFill>
                    <w14:schemeClr w14:val="tx1"/>
                  </w14:solidFill>
                </w14:textFill>
              </w:rPr>
              <w:t>25</w:t>
            </w:r>
            <w:r>
              <w:rPr>
                <w:rFonts w:hint="eastAsia" w:ascii="宋体" w:hAnsi="宋体" w:cs="宋体"/>
                <w:color w:val="000000" w:themeColor="text1"/>
                <w:kern w:val="0"/>
                <w:sz w:val="24"/>
                <w:highlight w:val="none"/>
                <w:u w:val="single"/>
                <w14:textFill>
                  <w14:solidFill>
                    <w14:schemeClr w14:val="tx1"/>
                  </w14:solidFill>
                </w14:textFill>
              </w:rPr>
              <w:t>日</w:t>
            </w:r>
            <w:r>
              <w:rPr>
                <w:rFonts w:hint="eastAsia" w:ascii="宋体" w:hAnsi="宋体" w:cs="宋体"/>
                <w:color w:val="000000" w:themeColor="text1"/>
                <w:kern w:val="0"/>
                <w:sz w:val="24"/>
                <w:highlight w:val="none"/>
                <w:u w:val="single"/>
                <w:lang w:val="en-US" w:eastAsia="zh-CN"/>
                <w14:textFill>
                  <w14:solidFill>
                    <w14:schemeClr w14:val="tx1"/>
                  </w14:solidFill>
                </w14:textFill>
              </w:rPr>
              <w:t>09</w:t>
            </w:r>
            <w:r>
              <w:rPr>
                <w:rFonts w:hint="eastAsia" w:ascii="宋体" w:hAnsi="宋体" w:cs="宋体"/>
                <w:color w:val="000000" w:themeColor="text1"/>
                <w:kern w:val="0"/>
                <w:sz w:val="24"/>
                <w:highlight w:val="none"/>
                <w:u w:val="single"/>
                <w14:textFill>
                  <w14:solidFill>
                    <w14:schemeClr w14:val="tx1"/>
                  </w14:solidFill>
                </w14:textFill>
              </w:rPr>
              <w:t>时</w:t>
            </w:r>
            <w:r>
              <w:rPr>
                <w:rFonts w:hint="eastAsia" w:ascii="宋体" w:hAnsi="宋体" w:cs="宋体"/>
                <w:color w:val="000000" w:themeColor="text1"/>
                <w:kern w:val="0"/>
                <w:sz w:val="24"/>
                <w:highlight w:val="none"/>
                <w:u w:val="single"/>
                <w:lang w:val="en-US" w:eastAsia="zh-CN"/>
                <w14:textFill>
                  <w14:solidFill>
                    <w14:schemeClr w14:val="tx1"/>
                  </w14:solidFill>
                </w14:textFill>
              </w:rPr>
              <w:t>30</w:t>
            </w:r>
            <w:r>
              <w:rPr>
                <w:rFonts w:hint="eastAsia" w:ascii="宋体" w:hAnsi="宋体" w:cs="宋体"/>
                <w:color w:val="000000" w:themeColor="text1"/>
                <w:kern w:val="0"/>
                <w:sz w:val="24"/>
                <w:highlight w:val="none"/>
                <w:u w:val="single"/>
                <w14:textFill>
                  <w14:solidFill>
                    <w14:schemeClr w14:val="tx1"/>
                  </w14:solidFill>
                </w14:textFill>
              </w:rPr>
              <w:t>分</w:t>
            </w:r>
            <w:r>
              <w:rPr>
                <w:rFonts w:hint="eastAsia" w:ascii="宋体" w:hAnsi="宋体" w:cs="宋体"/>
                <w:color w:val="000000" w:themeColor="text1"/>
                <w:kern w:val="0"/>
                <w:sz w:val="24"/>
                <w:highlight w:val="none"/>
                <w14:textFill>
                  <w14:solidFill>
                    <w14:schemeClr w14:val="tx1"/>
                  </w14:solidFill>
                </w14:textFill>
              </w:rPr>
              <w:t>（北京时间）前递交投标文件。</w:t>
            </w:r>
          </w:p>
        </w:tc>
      </w:tr>
    </w:tbl>
    <w:p w14:paraId="6C96DB1E">
      <w:pPr>
        <w:pStyle w:val="3"/>
        <w:numPr>
          <w:ilvl w:val="0"/>
          <w:numId w:val="0"/>
        </w:numPr>
        <w:snapToGrid w:val="0"/>
        <w:spacing w:before="0"/>
        <w:rPr>
          <w:rFonts w:ascii="宋体" w:hAnsi="宋体" w:eastAsia="宋体" w:cs="宋体"/>
          <w:color w:val="000000" w:themeColor="text1"/>
          <w:sz w:val="24"/>
          <w:szCs w:val="24"/>
          <w:highlight w:val="none"/>
          <w14:textFill>
            <w14:solidFill>
              <w14:schemeClr w14:val="tx1"/>
            </w14:solidFill>
          </w14:textFill>
        </w:rPr>
      </w:pPr>
      <w:bookmarkStart w:id="13" w:name="_Toc27459"/>
      <w:bookmarkStart w:id="14" w:name="_Toc6541"/>
      <w:bookmarkStart w:id="15" w:name="_Toc26550"/>
      <w:bookmarkStart w:id="16" w:name="_Toc25013"/>
      <w:bookmarkStart w:id="17" w:name="_Toc5291"/>
      <w:bookmarkStart w:id="18" w:name="_Toc14652"/>
      <w:bookmarkStart w:id="19" w:name="_Toc28375"/>
      <w:r>
        <w:rPr>
          <w:rFonts w:hint="eastAsia" w:ascii="宋体" w:hAnsi="宋体" w:eastAsia="宋体" w:cs="宋体"/>
          <w:color w:val="000000" w:themeColor="text1"/>
          <w:sz w:val="24"/>
          <w:szCs w:val="24"/>
          <w:highlight w:val="none"/>
          <w14:textFill>
            <w14:solidFill>
              <w14:schemeClr w14:val="tx1"/>
            </w14:solidFill>
          </w14:textFill>
        </w:rPr>
        <w:t>一、</w:t>
      </w:r>
      <w:bookmarkEnd w:id="12"/>
      <w:r>
        <w:rPr>
          <w:rFonts w:hint="eastAsia" w:ascii="宋体" w:hAnsi="宋体" w:eastAsia="宋体" w:cs="宋体"/>
          <w:color w:val="000000" w:themeColor="text1"/>
          <w:sz w:val="24"/>
          <w:szCs w:val="24"/>
          <w:highlight w:val="none"/>
          <w14:textFill>
            <w14:solidFill>
              <w14:schemeClr w14:val="tx1"/>
            </w14:solidFill>
          </w14:textFill>
        </w:rPr>
        <w:t>项目基本情况</w:t>
      </w:r>
      <w:bookmarkEnd w:id="13"/>
      <w:bookmarkEnd w:id="14"/>
      <w:bookmarkEnd w:id="15"/>
      <w:bookmarkEnd w:id="16"/>
      <w:bookmarkEnd w:id="17"/>
      <w:bookmarkEnd w:id="18"/>
      <w:bookmarkEnd w:id="19"/>
    </w:p>
    <w:p w14:paraId="0B02384F">
      <w:pPr>
        <w:spacing w:line="360" w:lineRule="auto"/>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项目编号：YNZC2024-G1-06846-ZDGL-0039</w:t>
      </w:r>
      <w:r>
        <w:rPr>
          <w:rFonts w:hint="eastAsia" w:ascii="宋体" w:hAnsi="宋体" w:cs="宋体"/>
          <w:color w:val="000000" w:themeColor="text1"/>
          <w:sz w:val="24"/>
          <w:highlight w:val="none"/>
          <w:lang w:eastAsia="zh-CN"/>
          <w14:textFill>
            <w14:solidFill>
              <w14:schemeClr w14:val="tx1"/>
            </w14:solidFill>
          </w14:textFill>
        </w:rPr>
        <w:t>。</w:t>
      </w:r>
    </w:p>
    <w:p w14:paraId="6A5E5FF7">
      <w:pPr>
        <w:spacing w:line="360" w:lineRule="auto"/>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项目名称：</w:t>
      </w:r>
      <w:r>
        <w:rPr>
          <w:rFonts w:hint="eastAsia" w:ascii="宋体" w:hAnsi="宋体" w:cs="宋体"/>
          <w:color w:val="000000" w:themeColor="text1"/>
          <w:sz w:val="24"/>
          <w:highlight w:val="none"/>
          <w:lang w:eastAsia="zh-CN"/>
          <w14:textFill>
            <w14:solidFill>
              <w14:schemeClr w14:val="tx1"/>
            </w14:solidFill>
          </w14:textFill>
        </w:rPr>
        <w:t>昆明理工大学医院2024设备购置—1（二次）。</w:t>
      </w:r>
    </w:p>
    <w:p w14:paraId="3C42B7C5">
      <w:pPr>
        <w:spacing w:line="360" w:lineRule="auto"/>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预算金额：</w:t>
      </w:r>
      <w:r>
        <w:rPr>
          <w:rFonts w:hint="eastAsia" w:ascii="宋体" w:hAnsi="宋体" w:cs="宋体"/>
          <w:color w:val="000000" w:themeColor="text1"/>
          <w:sz w:val="24"/>
          <w:highlight w:val="none"/>
          <w:lang w:eastAsia="zh-CN"/>
          <w14:textFill>
            <w14:solidFill>
              <w14:schemeClr w14:val="tx1"/>
            </w14:solidFill>
          </w14:textFill>
        </w:rPr>
        <w:t>184.085万元。</w:t>
      </w:r>
    </w:p>
    <w:p w14:paraId="764F542C">
      <w:pPr>
        <w:spacing w:line="360" w:lineRule="auto"/>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最高限价：（1）总价最高限价：</w:t>
      </w:r>
      <w:r>
        <w:rPr>
          <w:rFonts w:hint="eastAsia" w:ascii="宋体" w:hAnsi="宋体" w:cs="宋体"/>
          <w:color w:val="000000" w:themeColor="text1"/>
          <w:sz w:val="24"/>
          <w:highlight w:val="none"/>
          <w:lang w:eastAsia="zh-CN"/>
          <w14:textFill>
            <w14:solidFill>
              <w14:schemeClr w14:val="tx1"/>
            </w14:solidFill>
          </w14:textFill>
        </w:rPr>
        <w:t>184.085万元</w:t>
      </w:r>
      <w:r>
        <w:rPr>
          <w:rFonts w:hint="eastAsia" w:ascii="宋体" w:hAnsi="宋体" w:cs="宋体"/>
          <w:color w:val="000000" w:themeColor="text1"/>
          <w:sz w:val="24"/>
          <w:highlight w:val="none"/>
          <w14:textFill>
            <w14:solidFill>
              <w14:schemeClr w14:val="tx1"/>
            </w14:solidFill>
          </w14:textFill>
        </w:rPr>
        <w:t>；（2）分项报价时不得超过采购需求表中的预算单价</w:t>
      </w:r>
      <w:r>
        <w:rPr>
          <w:rFonts w:hint="eastAsia" w:ascii="宋体" w:hAnsi="宋体" w:cs="宋体"/>
          <w:color w:val="000000" w:themeColor="text1"/>
          <w:sz w:val="24"/>
          <w:highlight w:val="none"/>
          <w:lang w:eastAsia="zh-CN"/>
          <w14:textFill>
            <w14:solidFill>
              <w14:schemeClr w14:val="tx1"/>
            </w14:solidFill>
          </w14:textFill>
        </w:rPr>
        <w:t>。</w:t>
      </w:r>
    </w:p>
    <w:p w14:paraId="3DCEFFC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采购需求：</w:t>
      </w:r>
    </w:p>
    <w:tbl>
      <w:tblPr>
        <w:tblStyle w:val="37"/>
        <w:tblW w:w="8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95"/>
        <w:gridCol w:w="2838"/>
        <w:gridCol w:w="955"/>
        <w:gridCol w:w="1089"/>
        <w:gridCol w:w="1489"/>
        <w:gridCol w:w="1242"/>
      </w:tblGrid>
      <w:tr w14:paraId="6E865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1095" w:type="dxa"/>
            <w:tcBorders>
              <w:top w:val="single" w:color="000000" w:sz="4" w:space="0"/>
              <w:left w:val="single" w:color="000000" w:sz="4" w:space="0"/>
              <w:bottom w:val="nil"/>
              <w:right w:val="single" w:color="000000" w:sz="4" w:space="0"/>
            </w:tcBorders>
            <w:shd w:val="clear" w:color="auto" w:fill="auto"/>
            <w:noWrap/>
            <w:vAlign w:val="center"/>
          </w:tcPr>
          <w:p w14:paraId="3622A91B">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序号</w:t>
            </w:r>
          </w:p>
        </w:tc>
        <w:tc>
          <w:tcPr>
            <w:tcW w:w="2838" w:type="dxa"/>
            <w:tcBorders>
              <w:top w:val="single" w:color="000000" w:sz="4" w:space="0"/>
              <w:left w:val="single" w:color="000000" w:sz="4" w:space="0"/>
              <w:bottom w:val="nil"/>
              <w:right w:val="single" w:color="000000" w:sz="4" w:space="0"/>
            </w:tcBorders>
            <w:shd w:val="clear" w:color="auto" w:fill="auto"/>
            <w:noWrap/>
            <w:vAlign w:val="center"/>
          </w:tcPr>
          <w:p w14:paraId="2B9B0702">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产品（项目）名称</w:t>
            </w:r>
          </w:p>
        </w:tc>
        <w:tc>
          <w:tcPr>
            <w:tcW w:w="955" w:type="dxa"/>
            <w:tcBorders>
              <w:top w:val="single" w:color="000000" w:sz="4" w:space="0"/>
              <w:left w:val="single" w:color="000000" w:sz="4" w:space="0"/>
              <w:bottom w:val="nil"/>
              <w:right w:val="single" w:color="000000" w:sz="4" w:space="0"/>
            </w:tcBorders>
            <w:shd w:val="clear" w:color="auto" w:fill="auto"/>
            <w:noWrap/>
            <w:vAlign w:val="center"/>
          </w:tcPr>
          <w:p w14:paraId="31F79FD8">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数量</w:t>
            </w:r>
          </w:p>
        </w:tc>
        <w:tc>
          <w:tcPr>
            <w:tcW w:w="1089" w:type="dxa"/>
            <w:tcBorders>
              <w:top w:val="single" w:color="000000" w:sz="4" w:space="0"/>
              <w:left w:val="single" w:color="000000" w:sz="4" w:space="0"/>
              <w:bottom w:val="nil"/>
              <w:right w:val="single" w:color="000000" w:sz="4" w:space="0"/>
            </w:tcBorders>
            <w:shd w:val="clear" w:color="auto" w:fill="auto"/>
            <w:vAlign w:val="center"/>
          </w:tcPr>
          <w:p w14:paraId="670C62CF">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计量单位</w:t>
            </w:r>
          </w:p>
        </w:tc>
        <w:tc>
          <w:tcPr>
            <w:tcW w:w="1489" w:type="dxa"/>
            <w:tcBorders>
              <w:top w:val="single" w:color="000000" w:sz="4" w:space="0"/>
              <w:left w:val="single" w:color="000000" w:sz="4" w:space="0"/>
              <w:bottom w:val="nil"/>
              <w:right w:val="single" w:color="000000" w:sz="4" w:space="0"/>
            </w:tcBorders>
            <w:shd w:val="clear" w:color="auto" w:fill="auto"/>
            <w:vAlign w:val="center"/>
          </w:tcPr>
          <w:p w14:paraId="725A0F34">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预算单价（元）</w:t>
            </w:r>
          </w:p>
        </w:tc>
        <w:tc>
          <w:tcPr>
            <w:tcW w:w="1242" w:type="dxa"/>
            <w:tcBorders>
              <w:top w:val="single" w:color="000000" w:sz="4" w:space="0"/>
              <w:left w:val="single" w:color="000000" w:sz="4" w:space="0"/>
              <w:bottom w:val="nil"/>
              <w:right w:val="single" w:color="000000" w:sz="4" w:space="0"/>
            </w:tcBorders>
            <w:shd w:val="clear" w:color="auto" w:fill="auto"/>
            <w:vAlign w:val="center"/>
          </w:tcPr>
          <w:p w14:paraId="155594E4">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是否接受进口产品</w:t>
            </w:r>
          </w:p>
        </w:tc>
      </w:tr>
      <w:tr w14:paraId="31F08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9D8B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9FE9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病床</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23A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40</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770A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床</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7A07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2500.00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7924">
            <w:pPr>
              <w:keepNext w:val="0"/>
              <w:keepLines w:val="0"/>
              <w:widowControl/>
              <w:suppressLineNumbers w:val="0"/>
              <w:jc w:val="center"/>
              <w:textAlignment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4C9A4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F86B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2</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92F0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妇科检查床</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978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8F65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床</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0CC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50000.00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7F43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78BE9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C2D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58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全自动化学发光仪</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6E7D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2</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1637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56F9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380000.00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216B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1082D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852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4</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0AB7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台式低速多管架离心机</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258C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4343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7880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13000.00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A7DF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00A20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BEC6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5</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C44F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身高体重测量仪</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CCD5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2</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9ED4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312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27000.00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4558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0BABA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3596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6</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7570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轮椅</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C406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E10D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辆</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ECCA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750.00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6118">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73C87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624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7</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3FEE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洗衣机</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E9F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56A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6381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1200.00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0928">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008B4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18F5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8</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A7F8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心电图机</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02C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EB60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370B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50000.00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D7BF9">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1851B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BA1B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9</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C1F0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床旁监护仪</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78B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EE17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151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50000.00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BA9AD">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1727B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7C71">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10</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82E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教学模拟人（心肺复苏训练考核系统）</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A7FC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1B91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790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10000.00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35317">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477B0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B6BD2">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11</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2215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全自动血细胞分析仪</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0256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1851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265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399000.00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0A497">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r w14:paraId="218A8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64FE4">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12</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33F8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手术辅助照明灯</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057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3AD8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台</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9052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 xml:space="preserve">1000.00 </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0E6E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否</w:t>
            </w:r>
          </w:p>
        </w:tc>
      </w:tr>
    </w:tbl>
    <w:p w14:paraId="0AFE3FA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合同履行期限：合同签订之日起30日历天（投标人在此期限内自报最短合同履行期限，此要求为实质性条款，如不满足按废标处理）。</w:t>
      </w:r>
    </w:p>
    <w:p w14:paraId="7406E9B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质保期：</w:t>
      </w:r>
      <w:r>
        <w:rPr>
          <w:rFonts w:hint="eastAsia" w:ascii="宋体" w:hAnsi="宋体" w:cs="宋体"/>
          <w:color w:val="000000" w:themeColor="text1"/>
          <w:sz w:val="24"/>
          <w:highlight w:val="none"/>
          <w:lang w:val="en-US" w:eastAsia="zh-CN"/>
          <w14:textFill>
            <w14:solidFill>
              <w14:schemeClr w14:val="tx1"/>
            </w14:solidFill>
          </w14:textFill>
        </w:rPr>
        <w:t>全自动化学发光仪</w:t>
      </w:r>
      <w:r>
        <w:rPr>
          <w:rFonts w:hint="eastAsia" w:ascii="宋体" w:hAnsi="宋体" w:cs="宋体"/>
          <w:color w:val="000000" w:themeColor="text1"/>
          <w:sz w:val="24"/>
          <w:highlight w:val="none"/>
          <w14:textFill>
            <w14:solidFill>
              <w14:schemeClr w14:val="tx1"/>
            </w14:solidFill>
          </w14:textFill>
        </w:rPr>
        <w:t>自项目验收合格之日起不少于</w:t>
      </w:r>
      <w:r>
        <w:rPr>
          <w:rFonts w:hint="eastAsia" w:ascii="宋体" w:hAnsi="宋体" w:cs="宋体"/>
          <w:color w:val="000000" w:themeColor="text1"/>
          <w:sz w:val="24"/>
          <w:highlight w:val="none"/>
          <w:lang w:val="en-US" w:eastAsia="zh-CN"/>
          <w14:textFill>
            <w14:solidFill>
              <w14:schemeClr w14:val="tx1"/>
            </w14:solidFill>
          </w14:textFill>
        </w:rPr>
        <w:t>5年，全自动血细胞分析仪</w:t>
      </w:r>
      <w:r>
        <w:rPr>
          <w:rFonts w:hint="eastAsia" w:ascii="宋体" w:hAnsi="宋体" w:cs="宋体"/>
          <w:color w:val="000000" w:themeColor="text1"/>
          <w:sz w:val="24"/>
          <w:highlight w:val="none"/>
          <w14:textFill>
            <w14:solidFill>
              <w14:schemeClr w14:val="tx1"/>
            </w14:solidFill>
          </w14:textFill>
        </w:rPr>
        <w:t>自项目验收合格之日起不少于</w:t>
      </w:r>
      <w:r>
        <w:rPr>
          <w:rFonts w:hint="eastAsia" w:ascii="宋体" w:hAnsi="宋体" w:cs="宋体"/>
          <w:color w:val="000000" w:themeColor="text1"/>
          <w:sz w:val="24"/>
          <w:highlight w:val="none"/>
          <w:lang w:val="en-US" w:eastAsia="zh-CN"/>
          <w14:textFill>
            <w14:solidFill>
              <w14:schemeClr w14:val="tx1"/>
            </w14:solidFill>
          </w14:textFill>
        </w:rPr>
        <w:t>3年，其它产品</w:t>
      </w:r>
      <w:r>
        <w:rPr>
          <w:rFonts w:hint="eastAsia" w:ascii="宋体" w:hAnsi="宋体" w:cs="宋体"/>
          <w:color w:val="000000" w:themeColor="text1"/>
          <w:sz w:val="24"/>
          <w:highlight w:val="none"/>
          <w14:textFill>
            <w14:solidFill>
              <w14:schemeClr w14:val="tx1"/>
            </w14:solidFill>
          </w14:textFill>
        </w:rPr>
        <w:t>自项目验收合格之日起不少于</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年。</w:t>
      </w:r>
    </w:p>
    <w:p w14:paraId="638F760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质量标准：满足国家相关法律法规、行业质量标准及采购人要求。</w:t>
      </w:r>
    </w:p>
    <w:p w14:paraId="300C9AD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交货地点：昆明理工大学指定地点。</w:t>
      </w:r>
    </w:p>
    <w:p w14:paraId="084FA78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本项目不接受联合体投标。</w:t>
      </w:r>
    </w:p>
    <w:p w14:paraId="37ED8575">
      <w:pPr>
        <w:pStyle w:val="3"/>
        <w:numPr>
          <w:ilvl w:val="0"/>
          <w:numId w:val="0"/>
        </w:numPr>
        <w:snapToGrid w:val="0"/>
        <w:spacing w:before="0"/>
        <w:rPr>
          <w:rFonts w:ascii="宋体" w:hAnsi="宋体" w:eastAsia="宋体" w:cs="宋体"/>
          <w:color w:val="000000" w:themeColor="text1"/>
          <w:sz w:val="24"/>
          <w:szCs w:val="24"/>
          <w:highlight w:val="none"/>
          <w14:textFill>
            <w14:solidFill>
              <w14:schemeClr w14:val="tx1"/>
            </w14:solidFill>
          </w14:textFill>
        </w:rPr>
      </w:pPr>
      <w:bookmarkStart w:id="20" w:name="_Toc39750576"/>
      <w:bookmarkStart w:id="21" w:name="_Toc3655"/>
      <w:bookmarkStart w:id="22" w:name="_Toc3025"/>
      <w:bookmarkStart w:id="23" w:name="_Toc339"/>
      <w:bookmarkStart w:id="24" w:name="_Toc17128"/>
      <w:bookmarkStart w:id="25" w:name="_Toc1235"/>
      <w:bookmarkStart w:id="26" w:name="_Toc26360"/>
      <w:bookmarkStart w:id="27" w:name="_Toc17290"/>
      <w:r>
        <w:rPr>
          <w:rFonts w:hint="eastAsia" w:ascii="宋体" w:hAnsi="宋体" w:eastAsia="宋体" w:cs="宋体"/>
          <w:color w:val="000000" w:themeColor="text1"/>
          <w:sz w:val="24"/>
          <w:szCs w:val="24"/>
          <w:highlight w:val="none"/>
          <w14:textFill>
            <w14:solidFill>
              <w14:schemeClr w14:val="tx1"/>
            </w14:solidFill>
          </w14:textFill>
        </w:rPr>
        <w:t>二、</w:t>
      </w:r>
      <w:bookmarkEnd w:id="20"/>
      <w:r>
        <w:rPr>
          <w:rFonts w:hint="eastAsia" w:ascii="宋体" w:hAnsi="宋体" w:eastAsia="宋体" w:cs="宋体"/>
          <w:color w:val="000000" w:themeColor="text1"/>
          <w:sz w:val="24"/>
          <w:szCs w:val="24"/>
          <w:highlight w:val="none"/>
          <w14:textFill>
            <w14:solidFill>
              <w14:schemeClr w14:val="tx1"/>
            </w14:solidFill>
          </w14:textFill>
        </w:rPr>
        <w:t>申请人的资格要求</w:t>
      </w:r>
      <w:bookmarkEnd w:id="21"/>
      <w:bookmarkEnd w:id="22"/>
      <w:bookmarkEnd w:id="23"/>
      <w:bookmarkEnd w:id="24"/>
      <w:bookmarkEnd w:id="25"/>
      <w:bookmarkEnd w:id="26"/>
      <w:bookmarkEnd w:id="27"/>
    </w:p>
    <w:p w14:paraId="38287DE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1.满足《中华人民共和国政府采购法》第二十二条规定；</w:t>
      </w:r>
    </w:p>
    <w:p w14:paraId="334B74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1.1投标人在中华人民共和国境内注册能够独立承担民事责任，持有工商行政管理部门核发的营业执照的法人或其他组织，提供营业执照或其他证明文件（扫描件）；</w:t>
      </w:r>
    </w:p>
    <w:p w14:paraId="03C2481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1.2投标人具有良好的商业信誉和健全的财务会计制度，根据投标人性质提供下列任一材料：①提供202</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年—202</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年任意一年经第三方审计的审计报告及财务报表（包括资产负债表、利润表、现金流量表），成立不满1年的，提供自成立至今财务报表（包括资产负债表、利润表、现金流量表）；②也可提供距文件递交截止日一年内开户银行出具的资信证明；③也可提供财政部门认可的政府采购专业担保机构出具的投标担保函（需同时提供专业担保机构经财政部门认可的证明文件）；④非营利性单位或者社会团体或者其他机关事业单位也可提供以符合财务会计制度为准或者提供承诺函；⑤投标人为自然人的也可提供承诺函（格式自拟）；</w:t>
      </w:r>
    </w:p>
    <w:p w14:paraId="2624E51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1.3投标人须提供具备履行合同所必需的设备和专业技术能力的证明材料（提供承诺函或证明材料）；</w:t>
      </w:r>
    </w:p>
    <w:p w14:paraId="050CF5B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1.4投标人有依法缴纳税收和社会保障资金的良好记录,提供2023年</w:t>
      </w:r>
      <w:r>
        <w:rPr>
          <w:rFonts w:hint="eastAsia" w:ascii="宋体" w:hAnsi="宋体" w:cs="宋体"/>
          <w:color w:val="000000" w:themeColor="text1"/>
          <w:sz w:val="24"/>
          <w:highlight w:val="none"/>
          <w:lang w:val="en-US" w:eastAsia="zh-CN"/>
          <w14:textFill>
            <w14:solidFill>
              <w14:schemeClr w14:val="tx1"/>
            </w14:solidFill>
          </w14:textFill>
        </w:rPr>
        <w:t>05</w:t>
      </w:r>
      <w:r>
        <w:rPr>
          <w:rFonts w:hint="eastAsia" w:ascii="宋体" w:hAnsi="宋体" w:cs="宋体"/>
          <w:color w:val="000000" w:themeColor="text1"/>
          <w:sz w:val="24"/>
          <w:highlight w:val="none"/>
          <w14:textFill>
            <w14:solidFill>
              <w14:schemeClr w14:val="tx1"/>
            </w14:solidFill>
          </w14:textFill>
        </w:rPr>
        <w:t>月至本项目投标文件提交截止时间前任意2个月的依法缴纳税收和缴纳社会保障资金的证明（成立未满2个月的，提供成立以来的税收和社会保障资金缴纳凭证或相关情况说明；依法免税或不需要缴纳社会保障资金的投标人，应提供相应文件证明）；</w:t>
      </w:r>
    </w:p>
    <w:p w14:paraId="47B8A72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32AB9D6A">
      <w:pPr>
        <w:spacing w:line="360" w:lineRule="auto"/>
        <w:ind w:firstLine="480" w:firstLineChars="20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1.6法律、行政法规规定的其他条件</w:t>
      </w:r>
      <w:r>
        <w:rPr>
          <w:rFonts w:hint="eastAsia" w:ascii="宋体" w:hAnsi="宋体" w:cs="宋体"/>
          <w:color w:val="000000" w:themeColor="text1"/>
          <w:sz w:val="24"/>
          <w:highlight w:val="none"/>
          <w:lang w:eastAsia="zh-CN"/>
          <w14:textFill>
            <w14:solidFill>
              <w14:schemeClr w14:val="tx1"/>
            </w14:solidFill>
          </w14:textFill>
        </w:rPr>
        <w:t>：</w:t>
      </w:r>
    </w:p>
    <w:p w14:paraId="1ECB8A3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投标人未被列入“信用中国”网站（www.creditchina.gov.cn）“失信被执行人”、“重大税收违法失信主体”及中国政府采购网（www.ccgp.gov.cn）“政府采购严重违法失信行为信息记录”（查询时间为本公告发布之日起至投标文件提交截止时间止，查询结果以采购人、采购代理机构查询结果为准，并将查询记录和证据留存）；</w:t>
      </w:r>
    </w:p>
    <w:p w14:paraId="073525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单位负责人为同一人或者存在直接控股、管理关系的不同投标人，不得参加同一招标项目的政府采购活动（提供承诺函）；</w:t>
      </w:r>
    </w:p>
    <w:p w14:paraId="475C5CB1">
      <w:pPr>
        <w:spacing w:line="360" w:lineRule="auto"/>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为采购项目提供整体设计、规范编制或者项目管理、监理、检测等服务的投标人，不得再参加该采购项目的其他采购活动（提供承诺函）</w:t>
      </w:r>
      <w:r>
        <w:rPr>
          <w:rFonts w:hint="eastAsia" w:ascii="宋体" w:hAnsi="宋体" w:cs="宋体"/>
          <w:color w:val="000000" w:themeColor="text1"/>
          <w:sz w:val="24"/>
          <w:highlight w:val="none"/>
          <w:lang w:eastAsia="zh-CN"/>
          <w14:textFill>
            <w14:solidFill>
              <w14:schemeClr w14:val="tx1"/>
            </w14:solidFill>
          </w14:textFill>
        </w:rPr>
        <w:t>；</w:t>
      </w:r>
    </w:p>
    <w:p w14:paraId="2B6751C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2.落实政府采购政策需满足的资格要求：无，本项目不属于专门面向中小企业采购的项目；</w:t>
      </w:r>
    </w:p>
    <w:p w14:paraId="20856285">
      <w:pPr>
        <w:spacing w:line="360" w:lineRule="auto"/>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bookmarkStart w:id="28" w:name="_Toc39750578"/>
      <w:bookmarkStart w:id="29" w:name="_Toc534202177"/>
      <w:r>
        <w:rPr>
          <w:rFonts w:hint="eastAsia" w:ascii="宋体" w:hAnsi="宋体" w:cs="宋体"/>
          <w:color w:val="000000" w:themeColor="text1"/>
          <w:sz w:val="24"/>
          <w:highlight w:val="none"/>
          <w14:textFill>
            <w14:solidFill>
              <w14:schemeClr w14:val="tx1"/>
            </w14:solidFill>
          </w14:textFill>
        </w:rPr>
        <w:t>3.本项目的特定资格要求：</w:t>
      </w:r>
      <w:r>
        <w:rPr>
          <w:rFonts w:hint="eastAsia" w:ascii="宋体" w:hAnsi="宋体" w:cs="宋体"/>
          <w:color w:val="000000" w:themeColor="text1"/>
          <w:sz w:val="24"/>
          <w:szCs w:val="24"/>
          <w:highlight w:val="none"/>
          <w:lang w:eastAsia="zh-CN"/>
          <w14:textFill>
            <w14:solidFill>
              <w14:schemeClr w14:val="tx1"/>
            </w14:solidFill>
          </w14:textFill>
        </w:rPr>
        <w:t>投标人</w:t>
      </w:r>
      <w:r>
        <w:rPr>
          <w:rFonts w:ascii="宋体" w:hAnsi="宋体" w:cs="宋体"/>
          <w:color w:val="000000" w:themeColor="text1"/>
          <w:sz w:val="24"/>
          <w:szCs w:val="24"/>
          <w:highlight w:val="none"/>
          <w14:textFill>
            <w14:solidFill>
              <w14:schemeClr w14:val="tx1"/>
            </w14:solidFill>
          </w14:textFill>
        </w:rPr>
        <w:t>如果是</w:t>
      </w:r>
      <w:r>
        <w:rPr>
          <w:rFonts w:hint="eastAsia" w:ascii="宋体" w:hAnsi="宋体" w:cs="宋体"/>
          <w:color w:val="000000" w:themeColor="text1"/>
          <w:sz w:val="24"/>
          <w:szCs w:val="24"/>
          <w:highlight w:val="none"/>
          <w14:textFill>
            <w14:solidFill>
              <w14:schemeClr w14:val="tx1"/>
            </w14:solidFill>
          </w14:textFill>
        </w:rPr>
        <w:t>代理商或经销商且所投产品为医疗器械的，须提供医疗器械经营许可证/备案凭证、所投产品制造商的医疗器械生产许可证（制造商工商注册地在中华人民共和国境外的，不做此要求）、所投产品的医疗器械注册证及附件；投标人如果是制造商且所投产品为医疗器械的，须提供医疗器械生产许可证（制造商工商注册地在中华人民共和国境外的，不做此要求）、所投产品的医疗器械注册证及附件。医疗器械生产或经营许可证的生产或经营范围须覆盖所投第二、三类医疗器械（根据中华人民共和国国务院令第</w:t>
      </w:r>
      <w:r>
        <w:rPr>
          <w:rFonts w:ascii="宋体" w:hAnsi="宋体" w:cs="宋体"/>
          <w:color w:val="000000" w:themeColor="text1"/>
          <w:sz w:val="24"/>
          <w:szCs w:val="24"/>
          <w:highlight w:val="none"/>
          <w14:textFill>
            <w14:solidFill>
              <w14:schemeClr w14:val="tx1"/>
            </w14:solidFill>
          </w14:textFill>
        </w:rPr>
        <w:t>739</w:t>
      </w:r>
      <w:r>
        <w:rPr>
          <w:rFonts w:hint="eastAsia" w:ascii="宋体" w:hAnsi="宋体" w:cs="宋体"/>
          <w:color w:val="000000" w:themeColor="text1"/>
          <w:sz w:val="24"/>
          <w:szCs w:val="24"/>
          <w:highlight w:val="none"/>
          <w14:textFill>
            <w14:solidFill>
              <w14:schemeClr w14:val="tx1"/>
            </w14:solidFill>
          </w14:textFill>
        </w:rPr>
        <w:t>号《医疗器械监督管理条例》和国家药品监督管理局《医疗器械分类目录》的规定，在《医疗器械分类目录》内的产品必须按照《医疗器械监督管理条例》的要求提供，其他不在《医疗器械分类目录》内的不作强行要求）。</w:t>
      </w:r>
    </w:p>
    <w:p w14:paraId="409038D1">
      <w:pPr>
        <w:pStyle w:val="3"/>
        <w:numPr>
          <w:ilvl w:val="0"/>
          <w:numId w:val="0"/>
        </w:numPr>
        <w:snapToGrid w:val="0"/>
        <w:spacing w:before="0"/>
        <w:rPr>
          <w:rFonts w:ascii="宋体" w:hAnsi="宋体" w:eastAsia="宋体" w:cs="宋体"/>
          <w:color w:val="000000" w:themeColor="text1"/>
          <w:sz w:val="24"/>
          <w:szCs w:val="24"/>
          <w:highlight w:val="none"/>
          <w14:textFill>
            <w14:solidFill>
              <w14:schemeClr w14:val="tx1"/>
            </w14:solidFill>
          </w14:textFill>
        </w:rPr>
      </w:pPr>
      <w:bookmarkStart w:id="30" w:name="_Toc29269"/>
      <w:bookmarkStart w:id="31" w:name="_Toc30097"/>
      <w:bookmarkStart w:id="32" w:name="_Toc7619"/>
      <w:bookmarkStart w:id="33" w:name="_Toc9754"/>
      <w:bookmarkStart w:id="34" w:name="_Toc29886"/>
      <w:bookmarkStart w:id="35" w:name="_Toc18435"/>
      <w:bookmarkStart w:id="36" w:name="_Toc26391"/>
      <w:r>
        <w:rPr>
          <w:rFonts w:hint="eastAsia" w:ascii="宋体" w:hAnsi="宋体" w:eastAsia="宋体" w:cs="宋体"/>
          <w:color w:val="000000" w:themeColor="text1"/>
          <w:sz w:val="24"/>
          <w:szCs w:val="24"/>
          <w:highlight w:val="none"/>
          <w14:textFill>
            <w14:solidFill>
              <w14:schemeClr w14:val="tx1"/>
            </w14:solidFill>
          </w14:textFill>
        </w:rPr>
        <w:t>三、</w:t>
      </w:r>
      <w:bookmarkEnd w:id="28"/>
      <w:bookmarkEnd w:id="29"/>
      <w:r>
        <w:rPr>
          <w:rFonts w:hint="eastAsia" w:ascii="宋体" w:hAnsi="宋体" w:eastAsia="宋体" w:cs="宋体"/>
          <w:color w:val="000000" w:themeColor="text1"/>
          <w:sz w:val="24"/>
          <w:szCs w:val="24"/>
          <w:highlight w:val="none"/>
          <w14:textFill>
            <w14:solidFill>
              <w14:schemeClr w14:val="tx1"/>
            </w14:solidFill>
          </w14:textFill>
        </w:rPr>
        <w:t>获取招标文件</w:t>
      </w:r>
      <w:bookmarkEnd w:id="30"/>
      <w:bookmarkEnd w:id="31"/>
      <w:bookmarkEnd w:id="32"/>
      <w:bookmarkEnd w:id="33"/>
      <w:bookmarkEnd w:id="34"/>
      <w:bookmarkEnd w:id="35"/>
      <w:bookmarkEnd w:id="36"/>
    </w:p>
    <w:p w14:paraId="36621775">
      <w:pPr>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37" w:name="_Toc534202178"/>
      <w:bookmarkStart w:id="38" w:name="_Toc525147788"/>
      <w:bookmarkStart w:id="39" w:name="_Toc39750579"/>
      <w:r>
        <w:rPr>
          <w:rFonts w:hint="eastAsia" w:ascii="宋体" w:hAnsi="宋体" w:cs="宋体"/>
          <w:color w:val="000000" w:themeColor="text1"/>
          <w:sz w:val="24"/>
          <w:highlight w:val="none"/>
          <w14:textFill>
            <w14:solidFill>
              <w14:schemeClr w14:val="tx1"/>
            </w14:solidFill>
          </w14:textFill>
        </w:rPr>
        <w:t>1.时间：2024年</w:t>
      </w:r>
      <w:r>
        <w:rPr>
          <w:rFonts w:hint="eastAsia" w:ascii="宋体" w:hAnsi="宋体" w:cs="宋体"/>
          <w:color w:val="000000" w:themeColor="text1"/>
          <w:sz w:val="24"/>
          <w:highlight w:val="none"/>
          <w:lang w:val="en-US" w:eastAsia="zh-CN"/>
          <w14:textFill>
            <w14:solidFill>
              <w14:schemeClr w14:val="tx1"/>
            </w14:solidFill>
          </w14:textFill>
        </w:rPr>
        <w:t>12</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04</w:t>
      </w:r>
      <w:r>
        <w:rPr>
          <w:rFonts w:hint="eastAsia" w:ascii="宋体" w:hAnsi="宋体" w:cs="宋体"/>
          <w:color w:val="000000" w:themeColor="text1"/>
          <w:sz w:val="24"/>
          <w:highlight w:val="none"/>
          <w14:textFill>
            <w14:solidFill>
              <w14:schemeClr w14:val="tx1"/>
            </w14:solidFill>
          </w14:textFill>
        </w:rPr>
        <w:t>日至2024年</w:t>
      </w:r>
      <w:r>
        <w:rPr>
          <w:rFonts w:hint="eastAsia" w:ascii="宋体" w:hAnsi="宋体" w:cs="宋体"/>
          <w:color w:val="000000" w:themeColor="text1"/>
          <w:sz w:val="24"/>
          <w:highlight w:val="none"/>
          <w:lang w:val="en-US" w:eastAsia="zh-CN"/>
          <w14:textFill>
            <w14:solidFill>
              <w14:schemeClr w14:val="tx1"/>
            </w14:solidFill>
          </w14:textFill>
        </w:rPr>
        <w:t>12</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11</w:t>
      </w:r>
      <w:r>
        <w:rPr>
          <w:rFonts w:hint="eastAsia" w:ascii="宋体" w:hAnsi="宋体" w:cs="宋体"/>
          <w:color w:val="000000" w:themeColor="text1"/>
          <w:sz w:val="24"/>
          <w:highlight w:val="none"/>
          <w14:textFill>
            <w14:solidFill>
              <w14:schemeClr w14:val="tx1"/>
            </w14:solidFill>
          </w14:textFill>
        </w:rPr>
        <w:t>日</w:t>
      </w:r>
      <w:r>
        <w:rPr>
          <w:rFonts w:hint="eastAsia" w:ascii="宋体" w:hAnsi="宋体" w:cs="宋体"/>
          <w:color w:val="000000" w:themeColor="text1"/>
          <w:sz w:val="24"/>
          <w:highlight w:val="none"/>
          <w:lang w:val="en-US" w:eastAsia="zh-CN"/>
          <w14:textFill>
            <w14:solidFill>
              <w14:schemeClr w14:val="tx1"/>
            </w14:solidFill>
          </w14:textFill>
        </w:rPr>
        <w:t>23时59分</w:t>
      </w:r>
      <w:r>
        <w:rPr>
          <w:rFonts w:hint="eastAsia" w:ascii="宋体" w:hAnsi="宋体" w:cs="宋体"/>
          <w:color w:val="000000" w:themeColor="text1"/>
          <w:sz w:val="24"/>
          <w:highlight w:val="none"/>
          <w14:textFill>
            <w14:solidFill>
              <w14:schemeClr w14:val="tx1"/>
            </w14:solidFill>
          </w14:textFill>
        </w:rPr>
        <w:t>，每天上午0</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:00至12:00，下午12:00至23:59（北京时间，法定节假日除外）。</w:t>
      </w:r>
      <w:bookmarkStart w:id="500" w:name="_GoBack"/>
      <w:bookmarkEnd w:id="500"/>
    </w:p>
    <w:p w14:paraId="6FF0034C">
      <w:pPr>
        <w:spacing w:line="360" w:lineRule="auto"/>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2.地点：政采云平台（http：//www.zcygov.cn）</w:t>
      </w:r>
      <w:r>
        <w:rPr>
          <w:rFonts w:hint="eastAsia" w:ascii="宋体" w:hAnsi="宋体" w:cs="宋体"/>
          <w:color w:val="000000" w:themeColor="text1"/>
          <w:sz w:val="24"/>
          <w:highlight w:val="none"/>
          <w:lang w:eastAsia="zh-CN"/>
          <w14:textFill>
            <w14:solidFill>
              <w14:schemeClr w14:val="tx1"/>
            </w14:solidFill>
          </w14:textFill>
        </w:rPr>
        <w:t>。</w:t>
      </w:r>
    </w:p>
    <w:p w14:paraId="4036D24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本项目不发放纸质采购文件，投标人自行在“政采云”平台 （http：//www.zcygov.cn）下载采购文件（操作路径：登录“政采云”平台-项目采购-获取采购文件 -找到本项目-点击“申请获取采购文件”），电子投标文件制作需要基于“政采云”平台 （http：//www.zcygov.cn）获取的采购文件编制。</w:t>
      </w:r>
    </w:p>
    <w:p w14:paraId="7D79EBBB">
      <w:pPr>
        <w:numPr>
          <w:ilvl w:val="0"/>
          <w:numId w:val="0"/>
        </w:num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方式：</w:t>
      </w:r>
    </w:p>
    <w:p w14:paraId="6EA1C704">
      <w:pPr>
        <w:numPr>
          <w:ilvl w:val="0"/>
          <w:numId w:val="0"/>
        </w:num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3.1</w:t>
      </w:r>
      <w:r>
        <w:rPr>
          <w:rFonts w:hint="eastAsia" w:ascii="宋体" w:hAnsi="宋体" w:cs="宋体"/>
          <w:color w:val="000000" w:themeColor="text1"/>
          <w:sz w:val="24"/>
          <w:highlight w:val="none"/>
          <w14:textFill>
            <w14:solidFill>
              <w14:schemeClr w14:val="tx1"/>
            </w14:solidFill>
          </w14:textFill>
        </w:rPr>
        <w:t>凡有意参加投标者，须在政采云平台办理数字证书（CA），CA申领链接：http://yzt.ynsmartcert.cn/cms/ca0013.html（客服热线：0871-67276028&lt;紧急可拨19988166369&gt;）或https://middle.zcygov.cn/ca/apply/edit?certType=32，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14:paraId="1625464A">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w:t>
      </w:r>
      <w:r>
        <w:rPr>
          <w:rFonts w:hint="eastAsia" w:ascii="宋体" w:hAnsi="宋体" w:cs="宋体"/>
          <w:color w:val="000000" w:themeColor="text1"/>
          <w:sz w:val="24"/>
          <w:highlight w:val="none"/>
          <w14:textFill>
            <w14:solidFill>
              <w14:schemeClr w14:val="tx1"/>
            </w14:solidFill>
          </w14:textFill>
        </w:rPr>
        <w:t>按上述要求获取文件的供应商视为合法获取了本项目采购文件，具备本项目的投标资格。</w:t>
      </w:r>
    </w:p>
    <w:p w14:paraId="2BE88B7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4.采购文件售价：0元。</w:t>
      </w:r>
    </w:p>
    <w:p w14:paraId="249806B2">
      <w:pPr>
        <w:pStyle w:val="3"/>
        <w:numPr>
          <w:ilvl w:val="0"/>
          <w:numId w:val="0"/>
        </w:numPr>
        <w:snapToGrid w:val="0"/>
        <w:spacing w:before="0"/>
        <w:rPr>
          <w:rFonts w:ascii="宋体" w:hAnsi="宋体" w:eastAsia="宋体" w:cs="宋体"/>
          <w:color w:val="000000" w:themeColor="text1"/>
          <w:sz w:val="24"/>
          <w:szCs w:val="24"/>
          <w:highlight w:val="none"/>
          <w14:textFill>
            <w14:solidFill>
              <w14:schemeClr w14:val="tx1"/>
            </w14:solidFill>
          </w14:textFill>
        </w:rPr>
      </w:pPr>
      <w:bookmarkStart w:id="40" w:name="_Toc8042"/>
      <w:bookmarkStart w:id="41" w:name="_Toc10939"/>
      <w:bookmarkStart w:id="42" w:name="_Toc21423"/>
      <w:bookmarkStart w:id="43" w:name="_Toc21346"/>
      <w:bookmarkStart w:id="44" w:name="_Toc16150"/>
      <w:bookmarkStart w:id="45" w:name="_Toc12354"/>
      <w:bookmarkStart w:id="46" w:name="_Toc17976"/>
      <w:r>
        <w:rPr>
          <w:rFonts w:hint="eastAsia" w:ascii="宋体" w:hAnsi="宋体" w:eastAsia="宋体" w:cs="宋体"/>
          <w:color w:val="000000" w:themeColor="text1"/>
          <w:sz w:val="24"/>
          <w:szCs w:val="24"/>
          <w:highlight w:val="none"/>
          <w14:textFill>
            <w14:solidFill>
              <w14:schemeClr w14:val="tx1"/>
            </w14:solidFill>
          </w14:textFill>
        </w:rPr>
        <w:t>四、</w:t>
      </w:r>
      <w:bookmarkEnd w:id="37"/>
      <w:bookmarkEnd w:id="38"/>
      <w:bookmarkEnd w:id="39"/>
      <w:r>
        <w:rPr>
          <w:rFonts w:hint="eastAsia" w:ascii="宋体" w:hAnsi="宋体" w:eastAsia="宋体" w:cs="宋体"/>
          <w:color w:val="000000" w:themeColor="text1"/>
          <w:sz w:val="24"/>
          <w:szCs w:val="24"/>
          <w:highlight w:val="none"/>
          <w14:textFill>
            <w14:solidFill>
              <w14:schemeClr w14:val="tx1"/>
            </w14:solidFill>
          </w14:textFill>
        </w:rPr>
        <w:t>提交投标文件截止时间、开标时间和地点</w:t>
      </w:r>
      <w:bookmarkEnd w:id="40"/>
      <w:bookmarkEnd w:id="41"/>
      <w:bookmarkEnd w:id="42"/>
      <w:bookmarkEnd w:id="43"/>
      <w:bookmarkEnd w:id="44"/>
      <w:bookmarkEnd w:id="45"/>
      <w:bookmarkEnd w:id="46"/>
    </w:p>
    <w:p w14:paraId="2A990698">
      <w:pPr>
        <w:spacing w:line="360" w:lineRule="auto"/>
        <w:ind w:firstLine="42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时间：2024 年</w:t>
      </w:r>
      <w:r>
        <w:rPr>
          <w:rFonts w:hint="eastAsia" w:ascii="宋体" w:hAnsi="宋体" w:cs="宋体"/>
          <w:color w:val="000000" w:themeColor="text1"/>
          <w:sz w:val="24"/>
          <w:highlight w:val="none"/>
          <w:lang w:val="en-US" w:eastAsia="zh-CN"/>
          <w14:textFill>
            <w14:solidFill>
              <w14:schemeClr w14:val="tx1"/>
            </w14:solidFill>
          </w14:textFill>
        </w:rPr>
        <w:t>12</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25</w:t>
      </w:r>
      <w:r>
        <w:rPr>
          <w:rFonts w:hint="eastAsia" w:ascii="宋体" w:hAnsi="宋体" w:cs="宋体"/>
          <w:color w:val="000000" w:themeColor="text1"/>
          <w:sz w:val="24"/>
          <w:highlight w:val="none"/>
          <w14:textFill>
            <w14:solidFill>
              <w14:schemeClr w14:val="tx1"/>
            </w14:solidFill>
          </w14:textFill>
        </w:rPr>
        <w:t>日</w:t>
      </w:r>
      <w:r>
        <w:rPr>
          <w:rFonts w:hint="eastAsia" w:ascii="宋体" w:hAnsi="宋体" w:cs="宋体"/>
          <w:color w:val="000000" w:themeColor="text1"/>
          <w:sz w:val="24"/>
          <w:highlight w:val="none"/>
          <w:lang w:val="en-US" w:eastAsia="zh-CN"/>
          <w14:textFill>
            <w14:solidFill>
              <w14:schemeClr w14:val="tx1"/>
            </w14:solidFill>
          </w14:textFill>
        </w:rPr>
        <w:t>09</w:t>
      </w:r>
      <w:r>
        <w:rPr>
          <w:rFonts w:hint="eastAsia" w:ascii="宋体" w:hAnsi="宋体" w:cs="宋体"/>
          <w:color w:val="000000" w:themeColor="text1"/>
          <w:sz w:val="24"/>
          <w:highlight w:val="none"/>
          <w14:textFill>
            <w14:solidFill>
              <w14:schemeClr w14:val="tx1"/>
            </w14:solidFill>
          </w14:textFill>
        </w:rPr>
        <w:t>时</w:t>
      </w:r>
      <w:r>
        <w:rPr>
          <w:rFonts w:hint="eastAsia" w:ascii="宋体" w:hAnsi="宋体" w:cs="宋体"/>
          <w:color w:val="000000" w:themeColor="text1"/>
          <w:sz w:val="24"/>
          <w:highlight w:val="none"/>
          <w:lang w:val="en-US" w:eastAsia="zh-CN"/>
          <w14:textFill>
            <w14:solidFill>
              <w14:schemeClr w14:val="tx1"/>
            </w14:solidFill>
          </w14:textFill>
        </w:rPr>
        <w:t>30</w:t>
      </w:r>
      <w:r>
        <w:rPr>
          <w:rFonts w:hint="eastAsia" w:ascii="宋体" w:hAnsi="宋体" w:cs="宋体"/>
          <w:color w:val="000000" w:themeColor="text1"/>
          <w:sz w:val="24"/>
          <w:highlight w:val="none"/>
          <w14:textFill>
            <w14:solidFill>
              <w14:schemeClr w14:val="tx1"/>
            </w14:solidFill>
          </w14:textFill>
        </w:rPr>
        <w:t>分（北京时间）</w:t>
      </w:r>
      <w:r>
        <w:rPr>
          <w:rFonts w:hint="eastAsia" w:ascii="宋体" w:hAnsi="宋体" w:cs="宋体"/>
          <w:color w:val="000000" w:themeColor="text1"/>
          <w:sz w:val="24"/>
          <w:highlight w:val="none"/>
          <w:lang w:eastAsia="zh-CN"/>
          <w14:textFill>
            <w14:solidFill>
              <w14:schemeClr w14:val="tx1"/>
            </w14:solidFill>
          </w14:textFill>
        </w:rPr>
        <w:t>。</w:t>
      </w:r>
      <w:bookmarkStart w:id="47" w:name="_Toc534202179"/>
      <w:bookmarkStart w:id="48" w:name="_Toc39750580"/>
    </w:p>
    <w:p w14:paraId="1C2A9EE1">
      <w:pPr>
        <w:spacing w:line="360" w:lineRule="auto"/>
        <w:ind w:firstLine="42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地点：中国（云南）自由贸易试验区昆明片区官渡区吴井路183号百富琪商业广场B座709号</w:t>
      </w:r>
      <w:r>
        <w:rPr>
          <w:rFonts w:hint="eastAsia" w:ascii="宋体" w:hAnsi="宋体" w:cs="宋体"/>
          <w:color w:val="000000" w:themeColor="text1"/>
          <w:sz w:val="24"/>
          <w:highlight w:val="none"/>
          <w:lang w:eastAsia="zh-CN"/>
          <w14:textFill>
            <w14:solidFill>
              <w14:schemeClr w14:val="tx1"/>
            </w14:solidFill>
          </w14:textFill>
        </w:rPr>
        <w:t>。</w:t>
      </w:r>
    </w:p>
    <w:p w14:paraId="22C0A4D7">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31AD634D">
      <w:pPr>
        <w:pStyle w:val="3"/>
        <w:numPr>
          <w:ilvl w:val="0"/>
          <w:numId w:val="0"/>
        </w:numPr>
        <w:snapToGrid w:val="0"/>
        <w:spacing w:before="0"/>
        <w:rPr>
          <w:rFonts w:ascii="宋体" w:hAnsi="宋体" w:eastAsia="宋体" w:cs="宋体"/>
          <w:color w:val="000000" w:themeColor="text1"/>
          <w:sz w:val="24"/>
          <w:szCs w:val="24"/>
          <w:highlight w:val="none"/>
          <w14:textFill>
            <w14:solidFill>
              <w14:schemeClr w14:val="tx1"/>
            </w14:solidFill>
          </w14:textFill>
        </w:rPr>
      </w:pPr>
      <w:bookmarkStart w:id="49" w:name="_Toc7677"/>
      <w:bookmarkStart w:id="50" w:name="_Toc121"/>
      <w:bookmarkStart w:id="51" w:name="_Toc27101"/>
      <w:bookmarkStart w:id="52" w:name="_Toc18082"/>
      <w:bookmarkStart w:id="53" w:name="_Toc24411"/>
      <w:bookmarkStart w:id="54" w:name="_Toc793"/>
      <w:bookmarkStart w:id="55" w:name="_Toc26524"/>
      <w:r>
        <w:rPr>
          <w:rFonts w:hint="eastAsia" w:ascii="宋体" w:hAnsi="宋体" w:eastAsia="宋体" w:cs="宋体"/>
          <w:color w:val="000000" w:themeColor="text1"/>
          <w:sz w:val="24"/>
          <w:szCs w:val="24"/>
          <w:highlight w:val="none"/>
          <w14:textFill>
            <w14:solidFill>
              <w14:schemeClr w14:val="tx1"/>
            </w14:solidFill>
          </w14:textFill>
        </w:rPr>
        <w:t>五、</w:t>
      </w:r>
      <w:bookmarkEnd w:id="47"/>
      <w:bookmarkEnd w:id="48"/>
      <w:r>
        <w:rPr>
          <w:rFonts w:hint="eastAsia" w:ascii="宋体" w:hAnsi="宋体" w:eastAsia="宋体" w:cs="宋体"/>
          <w:color w:val="000000" w:themeColor="text1"/>
          <w:sz w:val="24"/>
          <w:szCs w:val="24"/>
          <w:highlight w:val="none"/>
          <w14:textFill>
            <w14:solidFill>
              <w14:schemeClr w14:val="tx1"/>
            </w14:solidFill>
          </w14:textFill>
        </w:rPr>
        <w:t>公告期限</w:t>
      </w:r>
      <w:bookmarkEnd w:id="49"/>
      <w:bookmarkEnd w:id="50"/>
      <w:bookmarkEnd w:id="51"/>
      <w:bookmarkEnd w:id="52"/>
      <w:bookmarkEnd w:id="53"/>
      <w:bookmarkEnd w:id="54"/>
      <w:bookmarkEnd w:id="55"/>
    </w:p>
    <w:p w14:paraId="78B065F3">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自本公告发布之日起5个工作日。</w:t>
      </w:r>
    </w:p>
    <w:p w14:paraId="376747A0">
      <w:pPr>
        <w:pStyle w:val="3"/>
        <w:numPr>
          <w:ilvl w:val="0"/>
          <w:numId w:val="0"/>
        </w:numPr>
        <w:snapToGrid w:val="0"/>
        <w:spacing w:before="0"/>
        <w:rPr>
          <w:rFonts w:ascii="宋体" w:hAnsi="宋体" w:eastAsia="宋体" w:cs="宋体"/>
          <w:bCs/>
          <w:color w:val="000000" w:themeColor="text1"/>
          <w:sz w:val="24"/>
          <w:szCs w:val="24"/>
          <w:highlight w:val="none"/>
          <w14:textFill>
            <w14:solidFill>
              <w14:schemeClr w14:val="tx1"/>
            </w14:solidFill>
          </w14:textFill>
        </w:rPr>
      </w:pPr>
      <w:bookmarkStart w:id="56" w:name="_Toc5577"/>
      <w:bookmarkStart w:id="57" w:name="_Toc12338"/>
      <w:bookmarkStart w:id="58" w:name="_Toc23228"/>
      <w:bookmarkStart w:id="59" w:name="_Toc29880"/>
      <w:bookmarkStart w:id="60" w:name="_Toc27608"/>
      <w:bookmarkStart w:id="61" w:name="_Toc25886"/>
      <w:bookmarkStart w:id="62" w:name="_Toc18487"/>
      <w:r>
        <w:rPr>
          <w:rFonts w:hint="eastAsia" w:ascii="宋体" w:hAnsi="宋体" w:eastAsia="宋体" w:cs="宋体"/>
          <w:color w:val="000000" w:themeColor="text1"/>
          <w:sz w:val="24"/>
          <w:szCs w:val="24"/>
          <w:highlight w:val="none"/>
          <w14:textFill>
            <w14:solidFill>
              <w14:schemeClr w14:val="tx1"/>
            </w14:solidFill>
          </w14:textFill>
        </w:rPr>
        <w:t>六、</w:t>
      </w:r>
      <w:r>
        <w:rPr>
          <w:rFonts w:hint="eastAsia" w:ascii="宋体" w:hAnsi="宋体" w:eastAsia="宋体" w:cs="宋体"/>
          <w:bCs/>
          <w:color w:val="000000" w:themeColor="text1"/>
          <w:sz w:val="24"/>
          <w:szCs w:val="24"/>
          <w:highlight w:val="none"/>
          <w14:textFill>
            <w14:solidFill>
              <w14:schemeClr w14:val="tx1"/>
            </w14:solidFill>
          </w14:textFill>
        </w:rPr>
        <w:t>其他补充事宜</w:t>
      </w:r>
      <w:bookmarkEnd w:id="56"/>
      <w:bookmarkEnd w:id="57"/>
      <w:bookmarkEnd w:id="58"/>
      <w:bookmarkEnd w:id="59"/>
      <w:bookmarkEnd w:id="60"/>
      <w:bookmarkEnd w:id="61"/>
      <w:bookmarkEnd w:id="62"/>
    </w:p>
    <w:p w14:paraId="03CEC519">
      <w:pPr>
        <w:spacing w:line="360" w:lineRule="auto"/>
        <w:ind w:firstLine="420"/>
        <w:rPr>
          <w:rFonts w:hint="eastAsia" w:ascii="宋体" w:hAnsi="宋体" w:eastAsia="宋体" w:cs="宋体"/>
          <w:color w:val="000000" w:themeColor="text1"/>
          <w:sz w:val="24"/>
          <w:highlight w:val="none"/>
          <w14:textFill>
            <w14:solidFill>
              <w14:schemeClr w14:val="tx1"/>
            </w14:solidFill>
          </w14:textFill>
        </w:rPr>
      </w:pPr>
      <w:bookmarkStart w:id="63" w:name="_Toc39750581"/>
      <w:r>
        <w:rPr>
          <w:rFonts w:hint="eastAsia" w:ascii="宋体" w:hAnsi="宋体" w:eastAsia="宋体" w:cs="宋体"/>
          <w:color w:val="000000" w:themeColor="text1"/>
          <w:sz w:val="24"/>
          <w:highlight w:val="none"/>
          <w14:textFill>
            <w14:solidFill>
              <w14:schemeClr w14:val="tx1"/>
            </w14:solidFill>
          </w14:textFill>
        </w:rPr>
        <w:t>1.本项目执行政府采购促进中小企业发展、支持监狱企业、促进残疾人就业、强制采购和优先采购节能、环保产品等政府采购政策。</w:t>
      </w:r>
    </w:p>
    <w:p w14:paraId="3AA44D43">
      <w:pPr>
        <w:spacing w:line="360" w:lineRule="auto"/>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2.公告发布媒体：本项目招标公告在云南省政府采购</w:t>
      </w:r>
      <w:r>
        <w:rPr>
          <w:rFonts w:hint="eastAsia" w:ascii="宋体" w:hAnsi="宋体" w:eastAsia="宋体" w:cs="宋体"/>
          <w:color w:val="000000" w:themeColor="text1"/>
          <w:sz w:val="24"/>
          <w:highlight w:val="none"/>
          <w:lang w:val="en-US" w:eastAsia="zh-CN"/>
          <w14:textFill>
            <w14:solidFill>
              <w14:schemeClr w14:val="tx1"/>
            </w14:solidFill>
          </w14:textFill>
        </w:rPr>
        <w:t>网</w:t>
      </w:r>
      <w:r>
        <w:rPr>
          <w:rFonts w:hint="eastAsia" w:ascii="宋体" w:hAnsi="宋体" w:eastAsia="宋体" w:cs="宋体"/>
          <w:color w:val="000000" w:themeColor="text1"/>
          <w:sz w:val="24"/>
          <w:highlight w:val="none"/>
          <w14:textFill>
            <w14:solidFill>
              <w14:schemeClr w14:val="tx1"/>
            </w14:solidFill>
          </w14:textFill>
        </w:rPr>
        <w:t>上发布，我公司对其他网站或媒体转载的公告及公告内容不承担任何责任。</w:t>
      </w:r>
    </w:p>
    <w:p w14:paraId="625AE792">
      <w:pPr>
        <w:spacing w:line="360" w:lineRule="auto"/>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3.开标方式：本项目为不见面开标，投标单位无需到达开标现场。</w:t>
      </w:r>
    </w:p>
    <w:p w14:paraId="44FDD63C">
      <w:pPr>
        <w:pStyle w:val="3"/>
        <w:numPr>
          <w:ilvl w:val="0"/>
          <w:numId w:val="0"/>
        </w:numPr>
        <w:snapToGrid w:val="0"/>
        <w:spacing w:before="0"/>
        <w:rPr>
          <w:rFonts w:ascii="宋体" w:hAnsi="宋体" w:eastAsia="宋体" w:cs="宋体"/>
          <w:color w:val="000000" w:themeColor="text1"/>
          <w:sz w:val="24"/>
          <w:szCs w:val="24"/>
          <w:highlight w:val="none"/>
          <w14:textFill>
            <w14:solidFill>
              <w14:schemeClr w14:val="tx1"/>
            </w14:solidFill>
          </w14:textFill>
        </w:rPr>
      </w:pPr>
      <w:bookmarkStart w:id="64" w:name="_Toc13109"/>
      <w:bookmarkStart w:id="65" w:name="_Toc5601"/>
      <w:bookmarkStart w:id="66" w:name="_Toc16656"/>
      <w:bookmarkStart w:id="67" w:name="_Toc737"/>
      <w:bookmarkStart w:id="68" w:name="_Toc19828"/>
      <w:bookmarkStart w:id="69" w:name="_Toc31970"/>
      <w:bookmarkStart w:id="70" w:name="_Toc5849"/>
      <w:r>
        <w:rPr>
          <w:rFonts w:hint="eastAsia" w:ascii="宋体" w:hAnsi="宋体" w:eastAsia="宋体" w:cs="宋体"/>
          <w:color w:val="000000" w:themeColor="text1"/>
          <w:sz w:val="24"/>
          <w:szCs w:val="24"/>
          <w:highlight w:val="none"/>
          <w14:textFill>
            <w14:solidFill>
              <w14:schemeClr w14:val="tx1"/>
            </w14:solidFill>
          </w14:textFill>
        </w:rPr>
        <w:t>七、</w:t>
      </w:r>
      <w:bookmarkEnd w:id="63"/>
      <w:r>
        <w:rPr>
          <w:rFonts w:hint="eastAsia" w:ascii="宋体" w:hAnsi="宋体" w:eastAsia="宋体" w:cs="宋体"/>
          <w:color w:val="000000" w:themeColor="text1"/>
          <w:sz w:val="24"/>
          <w:szCs w:val="24"/>
          <w:highlight w:val="none"/>
          <w14:textFill>
            <w14:solidFill>
              <w14:schemeClr w14:val="tx1"/>
            </w14:solidFill>
          </w14:textFill>
        </w:rPr>
        <w:t>对本次招标提出询问，请按以下方式联系</w:t>
      </w:r>
      <w:bookmarkEnd w:id="64"/>
      <w:bookmarkEnd w:id="65"/>
      <w:bookmarkEnd w:id="66"/>
      <w:bookmarkEnd w:id="67"/>
      <w:bookmarkEnd w:id="68"/>
      <w:bookmarkEnd w:id="69"/>
      <w:bookmarkEnd w:id="70"/>
    </w:p>
    <w:p w14:paraId="5B1BB93F">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1.采购人信息</w:t>
      </w:r>
    </w:p>
    <w:p w14:paraId="5A9A60DD">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名称：昆明理工大学</w:t>
      </w:r>
    </w:p>
    <w:p w14:paraId="6078B727">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地址：昆明市一二一大街文昌路68号</w:t>
      </w:r>
    </w:p>
    <w:p w14:paraId="46D34826">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联系方式：0871-65944936（李老师）</w:t>
      </w:r>
    </w:p>
    <w:p w14:paraId="6DC3F337">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2.采购代理机构信息</w:t>
      </w:r>
    </w:p>
    <w:p w14:paraId="788D58BF">
      <w:pPr>
        <w:spacing w:line="360" w:lineRule="auto"/>
        <w:ind w:firstLine="42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r>
        <w:rPr>
          <w:rFonts w:hint="eastAsia" w:ascii="宋体" w:hAnsi="宋体" w:cs="宋体"/>
          <w:color w:val="000000" w:themeColor="text1"/>
          <w:sz w:val="24"/>
          <w:highlight w:val="none"/>
          <w:lang w:eastAsia="zh-CN"/>
          <w14:textFill>
            <w14:solidFill>
              <w14:schemeClr w14:val="tx1"/>
            </w14:solidFill>
          </w14:textFill>
        </w:rPr>
        <w:t>中德高路咨询（云南）股份有限公司</w:t>
      </w:r>
    </w:p>
    <w:p w14:paraId="5CA80564">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地址：中国（云南）自由贸易试验区昆明片区官渡区吴井路183号百富琪商业广场B座709号</w:t>
      </w:r>
    </w:p>
    <w:p w14:paraId="03851666">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r>
        <w:rPr>
          <w:rFonts w:hint="eastAsia" w:ascii="宋体" w:hAnsi="宋体" w:cs="宋体"/>
          <w:color w:val="000000" w:themeColor="text1"/>
          <w:sz w:val="24"/>
          <w:highlight w:val="none"/>
          <w:lang w:val="en-US" w:eastAsia="zh-CN"/>
          <w14:textFill>
            <w14:solidFill>
              <w14:schemeClr w14:val="tx1"/>
            </w14:solidFill>
          </w14:textFill>
        </w:rPr>
        <w:t>15608763167</w:t>
      </w:r>
    </w:p>
    <w:p w14:paraId="4FF5A144">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3.项目联系方式</w:t>
      </w:r>
    </w:p>
    <w:p w14:paraId="78436EAE">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项目联系人：</w:t>
      </w:r>
      <w:r>
        <w:rPr>
          <w:rFonts w:hint="eastAsia" w:ascii="宋体" w:hAnsi="宋体" w:eastAsia="宋体" w:cs="宋体"/>
          <w:color w:val="000000" w:themeColor="text1"/>
          <w:sz w:val="24"/>
          <w:highlight w:val="none"/>
          <w14:textFill>
            <w14:solidFill>
              <w14:schemeClr w14:val="tx1"/>
            </w14:solidFill>
          </w14:textFill>
        </w:rPr>
        <w:t>杨雯雯</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孙娅玲、范忠亮、柏楠</w:t>
      </w:r>
    </w:p>
    <w:p w14:paraId="0B674A57">
      <w:pPr>
        <w:spacing w:line="360" w:lineRule="auto"/>
        <w:ind w:firstLine="42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w:t>
      </w:r>
      <w:r>
        <w:rPr>
          <w:rFonts w:hint="eastAsia" w:ascii="宋体" w:hAnsi="宋体" w:cs="宋体"/>
          <w:color w:val="000000" w:themeColor="text1"/>
          <w:sz w:val="24"/>
          <w:highlight w:val="none"/>
          <w:lang w:val="en-US" w:eastAsia="zh-CN"/>
          <w14:textFill>
            <w14:solidFill>
              <w14:schemeClr w14:val="tx1"/>
            </w14:solidFill>
          </w14:textFill>
        </w:rPr>
        <w:t>15608763167</w:t>
      </w:r>
    </w:p>
    <w:bookmarkEnd w:id="8"/>
    <w:bookmarkEnd w:id="9"/>
    <w:p w14:paraId="1E2DC232">
      <w:pPr>
        <w:widowControl/>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bookmarkEnd w:id="10"/>
    <w:bookmarkEnd w:id="11"/>
    <w:p w14:paraId="3140BE2A">
      <w:pPr>
        <w:pStyle w:val="2"/>
        <w:ind w:left="0" w:firstLine="0"/>
        <w:jc w:val="center"/>
        <w:rPr>
          <w:rFonts w:ascii="宋体" w:hAnsi="宋体" w:eastAsia="宋体" w:cs="宋体"/>
          <w:color w:val="000000" w:themeColor="text1"/>
          <w:sz w:val="36"/>
          <w:highlight w:val="none"/>
          <w14:textFill>
            <w14:solidFill>
              <w14:schemeClr w14:val="tx1"/>
            </w14:solidFill>
          </w14:textFill>
        </w:rPr>
      </w:pPr>
      <w:bookmarkStart w:id="71" w:name="_Toc15917"/>
      <w:bookmarkStart w:id="72" w:name="_Toc8107"/>
      <w:bookmarkStart w:id="73" w:name="_Toc23000"/>
      <w:bookmarkStart w:id="74" w:name="_Toc29583"/>
      <w:bookmarkStart w:id="75" w:name="_Toc20628"/>
      <w:bookmarkStart w:id="76" w:name="_Toc5108"/>
      <w:bookmarkStart w:id="77" w:name="_Toc3731"/>
      <w:r>
        <w:rPr>
          <w:rFonts w:hint="eastAsia" w:ascii="宋体" w:hAnsi="宋体" w:eastAsia="宋体" w:cs="宋体"/>
          <w:color w:val="000000" w:themeColor="text1"/>
          <w:sz w:val="36"/>
          <w:highlight w:val="none"/>
          <w14:textFill>
            <w14:solidFill>
              <w14:schemeClr w14:val="tx1"/>
            </w14:solidFill>
          </w14:textFill>
        </w:rPr>
        <w:t>第二章</w:t>
      </w:r>
      <w:r>
        <w:rPr>
          <w:rFonts w:hint="eastAsia" w:ascii="宋体" w:hAnsi="宋体" w:eastAsia="宋体" w:cs="宋体"/>
          <w:color w:val="000000" w:themeColor="text1"/>
          <w:sz w:val="36"/>
          <w:highlight w:val="none"/>
          <w:lang w:val="en-US"/>
          <w14:textFill>
            <w14:solidFill>
              <w14:schemeClr w14:val="tx1"/>
            </w14:solidFill>
          </w14:textFill>
        </w:rPr>
        <w:t xml:space="preserve"> </w:t>
      </w:r>
      <w:r>
        <w:rPr>
          <w:rFonts w:hint="eastAsia" w:ascii="宋体" w:hAnsi="宋体" w:eastAsia="宋体" w:cs="宋体"/>
          <w:color w:val="000000" w:themeColor="text1"/>
          <w:sz w:val="36"/>
          <w:highlight w:val="none"/>
          <w14:textFill>
            <w14:solidFill>
              <w14:schemeClr w14:val="tx1"/>
            </w14:solidFill>
          </w14:textFill>
        </w:rPr>
        <w:t>投标人须知</w:t>
      </w:r>
      <w:bookmarkEnd w:id="71"/>
      <w:bookmarkEnd w:id="72"/>
      <w:bookmarkEnd w:id="73"/>
      <w:bookmarkEnd w:id="74"/>
      <w:bookmarkEnd w:id="75"/>
      <w:bookmarkEnd w:id="76"/>
      <w:bookmarkEnd w:id="77"/>
    </w:p>
    <w:p w14:paraId="4F6A69E5">
      <w:pPr>
        <w:pStyle w:val="3"/>
        <w:numPr>
          <w:ilvl w:val="0"/>
          <w:numId w:val="0"/>
        </w:numPr>
        <w:spacing w:before="0" w:line="240" w:lineRule="auto"/>
        <w:ind w:left="425"/>
        <w:jc w:val="center"/>
        <w:rPr>
          <w:rFonts w:ascii="宋体" w:hAnsi="宋体" w:eastAsia="宋体" w:cs="宋体"/>
          <w:b w:val="0"/>
          <w:color w:val="000000" w:themeColor="text1"/>
          <w:sz w:val="32"/>
          <w:szCs w:val="32"/>
          <w:highlight w:val="none"/>
          <w14:textFill>
            <w14:solidFill>
              <w14:schemeClr w14:val="tx1"/>
            </w14:solidFill>
          </w14:textFill>
        </w:rPr>
      </w:pPr>
      <w:bookmarkStart w:id="78" w:name="_Toc18492"/>
      <w:bookmarkStart w:id="79" w:name="_Toc20734"/>
      <w:bookmarkStart w:id="80" w:name="_Toc7897"/>
      <w:bookmarkStart w:id="81" w:name="_Toc27450"/>
      <w:bookmarkStart w:id="82" w:name="_Toc26396"/>
      <w:bookmarkStart w:id="83" w:name="_Toc470"/>
      <w:bookmarkStart w:id="84" w:name="_Toc9365"/>
      <w:bookmarkStart w:id="85" w:name="_Toc34163770"/>
      <w:r>
        <w:rPr>
          <w:rFonts w:hint="eastAsia" w:ascii="宋体" w:hAnsi="宋体" w:eastAsia="宋体" w:cs="宋体"/>
          <w:b w:val="0"/>
          <w:color w:val="000000" w:themeColor="text1"/>
          <w:sz w:val="32"/>
          <w:szCs w:val="32"/>
          <w:highlight w:val="none"/>
          <w14:textFill>
            <w14:solidFill>
              <w14:schemeClr w14:val="tx1"/>
            </w14:solidFill>
          </w14:textFill>
        </w:rPr>
        <w:t>投标人须知前附表</w:t>
      </w:r>
      <w:bookmarkEnd w:id="78"/>
      <w:bookmarkEnd w:id="79"/>
      <w:bookmarkEnd w:id="80"/>
      <w:bookmarkEnd w:id="81"/>
      <w:bookmarkEnd w:id="82"/>
      <w:bookmarkEnd w:id="83"/>
      <w:bookmarkEnd w:id="84"/>
      <w:bookmarkEnd w:id="85"/>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32"/>
        <w:gridCol w:w="5908"/>
      </w:tblGrid>
      <w:tr w14:paraId="24329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480" w:type="dxa"/>
            <w:vAlign w:val="center"/>
          </w:tcPr>
          <w:p w14:paraId="29DE3236">
            <w:pPr>
              <w:pStyle w:val="20"/>
              <w:spacing w:line="400" w:lineRule="exact"/>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条款号</w:t>
            </w:r>
          </w:p>
        </w:tc>
        <w:tc>
          <w:tcPr>
            <w:tcW w:w="2432" w:type="dxa"/>
            <w:vAlign w:val="center"/>
          </w:tcPr>
          <w:p w14:paraId="29DEF416">
            <w:pPr>
              <w:pStyle w:val="20"/>
              <w:spacing w:line="400" w:lineRule="exact"/>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条款名称</w:t>
            </w:r>
          </w:p>
        </w:tc>
        <w:tc>
          <w:tcPr>
            <w:tcW w:w="5908" w:type="dxa"/>
            <w:vAlign w:val="center"/>
          </w:tcPr>
          <w:p w14:paraId="41437A7D">
            <w:pPr>
              <w:pStyle w:val="20"/>
              <w:spacing w:line="400" w:lineRule="exact"/>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编列内容</w:t>
            </w:r>
          </w:p>
        </w:tc>
      </w:tr>
      <w:tr w14:paraId="690A9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80" w:type="dxa"/>
            <w:vMerge w:val="restart"/>
            <w:vAlign w:val="center"/>
          </w:tcPr>
          <w:p w14:paraId="68D775EE">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p>
        </w:tc>
        <w:tc>
          <w:tcPr>
            <w:tcW w:w="2432" w:type="dxa"/>
            <w:vAlign w:val="center"/>
          </w:tcPr>
          <w:p w14:paraId="709D0856">
            <w:pPr>
              <w:pStyle w:val="20"/>
              <w:spacing w:line="400" w:lineRule="exact"/>
              <w:jc w:val="left"/>
              <w:rPr>
                <w:rFonts w:hAnsi="宋体" w:cs="宋体"/>
                <w:color w:val="000000" w:themeColor="text1"/>
                <w:sz w:val="24"/>
                <w:szCs w:val="24"/>
                <w:highlight w:val="none"/>
                <w:u w:val="singl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采购人</w:t>
            </w:r>
          </w:p>
        </w:tc>
        <w:tc>
          <w:tcPr>
            <w:tcW w:w="5908" w:type="dxa"/>
            <w:vAlign w:val="center"/>
          </w:tcPr>
          <w:p w14:paraId="57F1C80E">
            <w:pPr>
              <w:pStyle w:val="20"/>
              <w:spacing w:line="400" w:lineRule="exact"/>
              <w:rPr>
                <w:rFonts w:hint="eastAsia" w:hAnsi="宋体" w:cs="宋体"/>
                <w:color w:val="000000" w:themeColor="text1"/>
                <w:sz w:val="24"/>
                <w:szCs w:val="24"/>
                <w:highlight w:val="none"/>
                <w:u w:val="none"/>
                <w14:textFill>
                  <w14:solidFill>
                    <w14:schemeClr w14:val="tx1"/>
                  </w14:solidFill>
                </w14:textFill>
              </w:rPr>
            </w:pPr>
            <w:r>
              <w:rPr>
                <w:rFonts w:hint="eastAsia" w:hAnsi="宋体" w:cs="宋体"/>
                <w:color w:val="000000" w:themeColor="text1"/>
                <w:sz w:val="24"/>
                <w:szCs w:val="24"/>
                <w:highlight w:val="none"/>
                <w:u w:val="none"/>
                <w14:textFill>
                  <w14:solidFill>
                    <w14:schemeClr w14:val="tx1"/>
                  </w14:solidFill>
                </w14:textFill>
              </w:rPr>
              <w:t>名称：昆明理工大学</w:t>
            </w:r>
          </w:p>
          <w:p w14:paraId="0AF363CC">
            <w:pPr>
              <w:pStyle w:val="20"/>
              <w:spacing w:line="400" w:lineRule="exact"/>
              <w:rPr>
                <w:rFonts w:hint="eastAsia" w:hAnsi="宋体" w:cs="宋体"/>
                <w:color w:val="000000" w:themeColor="text1"/>
                <w:sz w:val="24"/>
                <w:szCs w:val="24"/>
                <w:highlight w:val="none"/>
                <w:u w:val="none"/>
                <w14:textFill>
                  <w14:solidFill>
                    <w14:schemeClr w14:val="tx1"/>
                  </w14:solidFill>
                </w14:textFill>
              </w:rPr>
            </w:pPr>
            <w:r>
              <w:rPr>
                <w:rFonts w:hint="eastAsia" w:hAnsi="宋体" w:cs="宋体"/>
                <w:color w:val="000000" w:themeColor="text1"/>
                <w:sz w:val="24"/>
                <w:szCs w:val="24"/>
                <w:highlight w:val="none"/>
                <w:u w:val="none"/>
                <w14:textFill>
                  <w14:solidFill>
                    <w14:schemeClr w14:val="tx1"/>
                  </w14:solidFill>
                </w14:textFill>
              </w:rPr>
              <w:t>地址：昆明市一二一大街文昌路68号</w:t>
            </w:r>
          </w:p>
          <w:p w14:paraId="1242C742">
            <w:pPr>
              <w:pStyle w:val="20"/>
              <w:spacing w:line="400" w:lineRule="exact"/>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u w:val="none"/>
                <w14:textFill>
                  <w14:solidFill>
                    <w14:schemeClr w14:val="tx1"/>
                  </w14:solidFill>
                </w14:textFill>
              </w:rPr>
              <w:t>联系方式：0871-65944936（李老师）</w:t>
            </w:r>
          </w:p>
        </w:tc>
      </w:tr>
      <w:tr w14:paraId="38076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80" w:type="dxa"/>
            <w:vMerge w:val="continue"/>
            <w:vAlign w:val="center"/>
          </w:tcPr>
          <w:p w14:paraId="4DFD7C4A">
            <w:pPr>
              <w:spacing w:line="400" w:lineRule="exact"/>
              <w:rPr>
                <w:rFonts w:ascii="宋体" w:hAnsi="宋体" w:cs="宋体"/>
                <w:color w:val="000000" w:themeColor="text1"/>
                <w:sz w:val="24"/>
                <w:highlight w:val="none"/>
                <w14:textFill>
                  <w14:solidFill>
                    <w14:schemeClr w14:val="tx1"/>
                  </w14:solidFill>
                </w14:textFill>
              </w:rPr>
            </w:pPr>
          </w:p>
        </w:tc>
        <w:tc>
          <w:tcPr>
            <w:tcW w:w="2432" w:type="dxa"/>
            <w:vAlign w:val="center"/>
          </w:tcPr>
          <w:p w14:paraId="09E070DD">
            <w:pPr>
              <w:pStyle w:val="20"/>
              <w:spacing w:line="400" w:lineRule="exact"/>
              <w:jc w:val="left"/>
              <w:rPr>
                <w:rFonts w:hAnsi="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采购代理机构</w:t>
            </w:r>
          </w:p>
        </w:tc>
        <w:tc>
          <w:tcPr>
            <w:tcW w:w="5908" w:type="dxa"/>
            <w:vAlign w:val="center"/>
          </w:tcPr>
          <w:p w14:paraId="57424456">
            <w:pPr>
              <w:pStyle w:val="20"/>
              <w:spacing w:line="400" w:lineRule="exact"/>
              <w:rPr>
                <w:rFonts w:hint="eastAsia" w:hAnsi="宋体" w:eastAsia="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名 称：</w:t>
            </w:r>
            <w:r>
              <w:rPr>
                <w:rFonts w:hint="eastAsia" w:hAnsi="宋体" w:cs="宋体"/>
                <w:color w:val="000000" w:themeColor="text1"/>
                <w:sz w:val="24"/>
                <w:szCs w:val="24"/>
                <w:highlight w:val="none"/>
                <w:lang w:eastAsia="zh-CN"/>
                <w14:textFill>
                  <w14:solidFill>
                    <w14:schemeClr w14:val="tx1"/>
                  </w14:solidFill>
                </w14:textFill>
              </w:rPr>
              <w:t>中德高路咨询（云南）股份有限公司</w:t>
            </w:r>
          </w:p>
          <w:p w14:paraId="6521237A">
            <w:pPr>
              <w:pStyle w:val="2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地址：中国（云南）自由贸易试验区昆明片区官渡区吴井路183号百富琪商业广场B座</w:t>
            </w:r>
            <w:r>
              <w:rPr>
                <w:rFonts w:hint="eastAsia" w:hAnsi="宋体" w:cs="宋体"/>
                <w:color w:val="000000" w:themeColor="text1"/>
                <w:sz w:val="24"/>
                <w:szCs w:val="24"/>
                <w:highlight w:val="none"/>
                <w:lang w:val="en-US" w:eastAsia="zh-CN"/>
                <w14:textFill>
                  <w14:solidFill>
                    <w14:schemeClr w14:val="tx1"/>
                  </w14:solidFill>
                </w14:textFill>
              </w:rPr>
              <w:t>709</w:t>
            </w:r>
            <w:r>
              <w:rPr>
                <w:rFonts w:hint="eastAsia" w:hAnsi="宋体" w:cs="宋体"/>
                <w:color w:val="000000" w:themeColor="text1"/>
                <w:sz w:val="24"/>
                <w:szCs w:val="24"/>
                <w:highlight w:val="none"/>
                <w14:textFill>
                  <w14:solidFill>
                    <w14:schemeClr w14:val="tx1"/>
                  </w14:solidFill>
                </w14:textFill>
              </w:rPr>
              <w:t>室</w:t>
            </w:r>
          </w:p>
          <w:p w14:paraId="0FA27E9A">
            <w:pPr>
              <w:pStyle w:val="2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项目联系人：杨雯雯</w:t>
            </w:r>
            <w:r>
              <w:rPr>
                <w:rFonts w:hint="eastAsia" w:hAnsi="宋体" w:cs="宋体"/>
                <w:color w:val="000000" w:themeColor="text1"/>
                <w:sz w:val="24"/>
                <w:szCs w:val="24"/>
                <w:highlight w:val="none"/>
                <w:lang w:eastAsia="zh-CN"/>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孙娅玲、范忠亮、柏楠</w:t>
            </w:r>
          </w:p>
          <w:p w14:paraId="1C0EE361">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联系方式：</w:t>
            </w:r>
            <w:r>
              <w:rPr>
                <w:rFonts w:hint="eastAsia" w:hAnsi="宋体" w:cs="宋体"/>
                <w:color w:val="000000" w:themeColor="text1"/>
                <w:sz w:val="24"/>
                <w:szCs w:val="24"/>
                <w:highlight w:val="none"/>
                <w:lang w:val="en-US" w:eastAsia="zh-CN"/>
                <w14:textFill>
                  <w14:solidFill>
                    <w14:schemeClr w14:val="tx1"/>
                  </w14:solidFill>
                </w14:textFill>
              </w:rPr>
              <w:t>15608763167</w:t>
            </w:r>
          </w:p>
        </w:tc>
      </w:tr>
      <w:tr w14:paraId="1390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480" w:type="dxa"/>
            <w:vMerge w:val="continue"/>
            <w:vAlign w:val="center"/>
          </w:tcPr>
          <w:p w14:paraId="0AD62BB2">
            <w:pPr>
              <w:spacing w:line="400" w:lineRule="exact"/>
              <w:rPr>
                <w:rFonts w:ascii="宋体" w:hAnsi="宋体" w:cs="宋体"/>
                <w:color w:val="000000" w:themeColor="text1"/>
                <w:sz w:val="24"/>
                <w:highlight w:val="none"/>
                <w14:textFill>
                  <w14:solidFill>
                    <w14:schemeClr w14:val="tx1"/>
                  </w14:solidFill>
                </w14:textFill>
              </w:rPr>
            </w:pPr>
          </w:p>
        </w:tc>
        <w:tc>
          <w:tcPr>
            <w:tcW w:w="2432" w:type="dxa"/>
            <w:vAlign w:val="center"/>
          </w:tcPr>
          <w:p w14:paraId="0DA4D637">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项目名称及项目编号</w:t>
            </w:r>
          </w:p>
        </w:tc>
        <w:tc>
          <w:tcPr>
            <w:tcW w:w="5908" w:type="dxa"/>
            <w:vAlign w:val="center"/>
          </w:tcPr>
          <w:p w14:paraId="2534E21F">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项目名称：</w:t>
            </w:r>
            <w:r>
              <w:rPr>
                <w:rFonts w:hint="eastAsia" w:hAnsi="宋体" w:cs="宋体"/>
                <w:color w:val="000000" w:themeColor="text1"/>
                <w:sz w:val="24"/>
                <w:szCs w:val="24"/>
                <w:highlight w:val="none"/>
                <w:lang w:eastAsia="zh-CN"/>
                <w14:textFill>
                  <w14:solidFill>
                    <w14:schemeClr w14:val="tx1"/>
                  </w14:solidFill>
                </w14:textFill>
              </w:rPr>
              <w:t>昆明理工大学医院2024设备购置—1（二次）</w:t>
            </w:r>
            <w:r>
              <w:rPr>
                <w:rFonts w:hint="eastAsia" w:hAnsi="宋体" w:cs="宋体"/>
                <w:color w:val="000000" w:themeColor="text1"/>
                <w:sz w:val="24"/>
                <w:szCs w:val="24"/>
                <w:highlight w:val="none"/>
                <w14:textFill>
                  <w14:solidFill>
                    <w14:schemeClr w14:val="tx1"/>
                  </w14:solidFill>
                </w14:textFill>
              </w:rPr>
              <w:t xml:space="preserve"> </w:t>
            </w:r>
          </w:p>
          <w:p w14:paraId="274A64F1">
            <w:pPr>
              <w:pStyle w:val="20"/>
              <w:spacing w:line="400" w:lineRule="exact"/>
              <w:rPr>
                <w:rFonts w:hint="eastAsia" w:hAnsi="宋体" w:eastAsia="宋体" w:cs="宋体"/>
                <w:color w:val="000000" w:themeColor="text1"/>
                <w:sz w:val="24"/>
                <w:szCs w:val="24"/>
                <w:highlight w:val="none"/>
                <w:u w:val="singl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项目编号：YNZC2024-G1-06846-ZDGL-0039</w:t>
            </w:r>
          </w:p>
        </w:tc>
      </w:tr>
      <w:tr w14:paraId="5767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0" w:type="dxa"/>
            <w:vAlign w:val="center"/>
          </w:tcPr>
          <w:p w14:paraId="483038B7">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3.1</w:t>
            </w:r>
          </w:p>
        </w:tc>
        <w:tc>
          <w:tcPr>
            <w:tcW w:w="2432" w:type="dxa"/>
            <w:vAlign w:val="center"/>
          </w:tcPr>
          <w:p w14:paraId="21BC8248">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招标范围</w:t>
            </w:r>
          </w:p>
        </w:tc>
        <w:tc>
          <w:tcPr>
            <w:tcW w:w="5908" w:type="dxa"/>
            <w:vAlign w:val="center"/>
          </w:tcPr>
          <w:p w14:paraId="23BC27D8">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详见第五章采购内容及要求。</w:t>
            </w:r>
          </w:p>
        </w:tc>
      </w:tr>
      <w:tr w14:paraId="28F4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07F2708C">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★3.2</w:t>
            </w:r>
          </w:p>
        </w:tc>
        <w:tc>
          <w:tcPr>
            <w:tcW w:w="2432" w:type="dxa"/>
            <w:vAlign w:val="center"/>
          </w:tcPr>
          <w:p w14:paraId="28D029AE">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合同履行期限、质保期、质量标准、交货地点</w:t>
            </w:r>
          </w:p>
        </w:tc>
        <w:tc>
          <w:tcPr>
            <w:tcW w:w="5908" w:type="dxa"/>
            <w:vAlign w:val="center"/>
          </w:tcPr>
          <w:p w14:paraId="5A3D69B4">
            <w:pPr>
              <w:snapToGrid w:val="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合同履约期限：合同签订之日起30日历天（投标人在此期限内自报最短合同履行期限，此要求为实质性条款，如不满足按废标处理）。</w:t>
            </w:r>
          </w:p>
          <w:p w14:paraId="3466256C">
            <w:pPr>
              <w:pStyle w:val="20"/>
              <w:spacing w:line="400" w:lineRule="exact"/>
              <w:rPr>
                <w:rFonts w:hAnsi="宋体" w:cs="宋体"/>
                <w:color w:val="000000" w:themeColor="text1"/>
                <w:sz w:val="24"/>
                <w:szCs w:val="24"/>
                <w:highlight w:val="none"/>
                <w:shd w:val="clear" w:color="FFFFFF" w:fill="D9D9D9"/>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质保期：全自动化学发光仪自项目验收合格之日起不少于5年，全自动血细胞分析仪自项目验收合格之日起不少于3年，其它产品自项目验收合格之日起不少于2年</w:t>
            </w:r>
            <w:r>
              <w:rPr>
                <w:rFonts w:hint="eastAsia" w:hAnsi="宋体" w:cs="宋体"/>
                <w:color w:val="000000" w:themeColor="text1"/>
                <w:sz w:val="24"/>
                <w:szCs w:val="24"/>
                <w:highlight w:val="none"/>
                <w:shd w:val="clear" w:color="FFFFFF" w:fill="D9D9D9"/>
                <w14:textFill>
                  <w14:solidFill>
                    <w14:schemeClr w14:val="tx1"/>
                  </w14:solidFill>
                </w14:textFill>
              </w:rPr>
              <w:t>。</w:t>
            </w:r>
          </w:p>
          <w:p w14:paraId="17E021E9">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质量标准：满足国家相关法律法规、行业质量标准及采购人要求。</w:t>
            </w:r>
          </w:p>
          <w:p w14:paraId="392AFE8D">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交货地点：昆明理工大学指定地点。</w:t>
            </w:r>
          </w:p>
        </w:tc>
      </w:tr>
      <w:tr w14:paraId="41E2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5D17711A">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★4.1</w:t>
            </w:r>
          </w:p>
        </w:tc>
        <w:tc>
          <w:tcPr>
            <w:tcW w:w="2432" w:type="dxa"/>
            <w:vAlign w:val="center"/>
          </w:tcPr>
          <w:p w14:paraId="1FDCB145">
            <w:pPr>
              <w:autoSpaceDE w:val="0"/>
              <w:autoSpaceDN w:val="0"/>
              <w:snapToGrid w:val="0"/>
              <w:spacing w:line="400" w:lineRule="exact"/>
              <w:jc w:val="left"/>
              <w:textAlignment w:val="bottom"/>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投标人资格要求</w:t>
            </w:r>
          </w:p>
        </w:tc>
        <w:tc>
          <w:tcPr>
            <w:tcW w:w="5908" w:type="dxa"/>
            <w:vAlign w:val="center"/>
          </w:tcPr>
          <w:p w14:paraId="443918A7">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详见第一章招标公告的内容。</w:t>
            </w:r>
          </w:p>
        </w:tc>
      </w:tr>
      <w:tr w14:paraId="51930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480" w:type="dxa"/>
            <w:vAlign w:val="center"/>
          </w:tcPr>
          <w:p w14:paraId="105B8820">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★4.2</w:t>
            </w:r>
          </w:p>
        </w:tc>
        <w:tc>
          <w:tcPr>
            <w:tcW w:w="2432" w:type="dxa"/>
            <w:vAlign w:val="center"/>
          </w:tcPr>
          <w:p w14:paraId="707BB529">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是否接受联合体投标</w:t>
            </w:r>
          </w:p>
        </w:tc>
        <w:tc>
          <w:tcPr>
            <w:tcW w:w="5908" w:type="dxa"/>
            <w:vAlign w:val="center"/>
          </w:tcPr>
          <w:p w14:paraId="132E3D4C">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不接受</w:t>
            </w:r>
          </w:p>
        </w:tc>
      </w:tr>
      <w:tr w14:paraId="5206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480" w:type="dxa"/>
            <w:vAlign w:val="center"/>
          </w:tcPr>
          <w:p w14:paraId="14187F8A">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9.2</w:t>
            </w:r>
          </w:p>
        </w:tc>
        <w:tc>
          <w:tcPr>
            <w:tcW w:w="2432" w:type="dxa"/>
            <w:vAlign w:val="center"/>
          </w:tcPr>
          <w:p w14:paraId="077BD4E5">
            <w:pPr>
              <w:autoSpaceDE w:val="0"/>
              <w:autoSpaceDN w:val="0"/>
              <w:snapToGrid w:val="0"/>
              <w:spacing w:line="400" w:lineRule="exact"/>
              <w:jc w:val="left"/>
              <w:textAlignment w:val="bottom"/>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招标文件澄清发出的形式</w:t>
            </w:r>
          </w:p>
        </w:tc>
        <w:tc>
          <w:tcPr>
            <w:tcW w:w="5908" w:type="dxa"/>
            <w:vAlign w:val="center"/>
          </w:tcPr>
          <w:p w14:paraId="4502BB51">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在公告发布媒介上发布澄清公告</w:t>
            </w:r>
          </w:p>
        </w:tc>
      </w:tr>
      <w:tr w14:paraId="30F5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480" w:type="dxa"/>
            <w:vAlign w:val="center"/>
          </w:tcPr>
          <w:p w14:paraId="6E858D81">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10.1</w:t>
            </w:r>
          </w:p>
        </w:tc>
        <w:tc>
          <w:tcPr>
            <w:tcW w:w="2432" w:type="dxa"/>
            <w:vAlign w:val="center"/>
          </w:tcPr>
          <w:p w14:paraId="0420B908">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招标文件修改发出的形式</w:t>
            </w:r>
          </w:p>
        </w:tc>
        <w:tc>
          <w:tcPr>
            <w:tcW w:w="5908" w:type="dxa"/>
            <w:vAlign w:val="center"/>
          </w:tcPr>
          <w:p w14:paraId="2C127913">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在公告发布媒介上发布澄清公告</w:t>
            </w:r>
          </w:p>
        </w:tc>
      </w:tr>
      <w:tr w14:paraId="1FAB0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14:paraId="2D2F4974">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★15.1</w:t>
            </w:r>
          </w:p>
        </w:tc>
        <w:tc>
          <w:tcPr>
            <w:tcW w:w="2432" w:type="dxa"/>
            <w:vAlign w:val="center"/>
          </w:tcPr>
          <w:p w14:paraId="42F3E48B">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本项目预算金额及最高限价</w:t>
            </w:r>
          </w:p>
        </w:tc>
        <w:tc>
          <w:tcPr>
            <w:tcW w:w="5908" w:type="dxa"/>
            <w:vAlign w:val="center"/>
          </w:tcPr>
          <w:p w14:paraId="546BBE44">
            <w:pPr>
              <w:autoSpaceDE w:val="0"/>
              <w:autoSpaceDN w:val="0"/>
              <w:snapToGrid w:val="0"/>
              <w:spacing w:line="400" w:lineRule="exact"/>
              <w:textAlignment w:val="bottom"/>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预算金额：</w:t>
            </w:r>
            <w:r>
              <w:rPr>
                <w:rFonts w:hint="eastAsia" w:ascii="宋体" w:hAnsi="宋体" w:cs="宋体"/>
                <w:bCs/>
                <w:color w:val="000000" w:themeColor="text1"/>
                <w:sz w:val="24"/>
                <w:highlight w:val="none"/>
                <w:lang w:eastAsia="zh-CN"/>
                <w14:textFill>
                  <w14:solidFill>
                    <w14:schemeClr w14:val="tx1"/>
                  </w14:solidFill>
                </w14:textFill>
              </w:rPr>
              <w:t>184.085万元</w:t>
            </w:r>
            <w:r>
              <w:rPr>
                <w:rFonts w:hint="eastAsia" w:ascii="宋体" w:hAnsi="宋体" w:cs="宋体"/>
                <w:bCs/>
                <w:color w:val="000000" w:themeColor="text1"/>
                <w:sz w:val="24"/>
                <w:highlight w:val="none"/>
                <w14:textFill>
                  <w14:solidFill>
                    <w14:schemeClr w14:val="tx1"/>
                  </w14:solidFill>
                </w14:textFill>
              </w:rPr>
              <w:t>；</w:t>
            </w:r>
          </w:p>
          <w:p w14:paraId="10723E62">
            <w:pPr>
              <w:autoSpaceDE w:val="0"/>
              <w:autoSpaceDN w:val="0"/>
              <w:snapToGrid w:val="0"/>
              <w:spacing w:line="400" w:lineRule="exact"/>
              <w:textAlignment w:val="bottom"/>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最高限价：</w:t>
            </w:r>
            <w:r>
              <w:rPr>
                <w:rFonts w:hint="eastAsia" w:ascii="宋体" w:hAnsi="宋体" w:cs="宋体"/>
                <w:bCs/>
                <w:color w:val="000000" w:themeColor="text1"/>
                <w:sz w:val="24"/>
                <w:highlight w:val="none"/>
                <w14:textFill>
                  <w14:solidFill>
                    <w14:schemeClr w14:val="tx1"/>
                  </w14:solidFill>
                </w14:textFill>
              </w:rPr>
              <w:t>（1）总价最高限价：</w:t>
            </w:r>
            <w:r>
              <w:rPr>
                <w:rFonts w:hint="eastAsia" w:ascii="宋体" w:hAnsi="宋体" w:cs="宋体"/>
                <w:bCs/>
                <w:color w:val="000000" w:themeColor="text1"/>
                <w:sz w:val="24"/>
                <w:highlight w:val="none"/>
                <w:lang w:eastAsia="zh-CN"/>
                <w14:textFill>
                  <w14:solidFill>
                    <w14:schemeClr w14:val="tx1"/>
                  </w14:solidFill>
                </w14:textFill>
              </w:rPr>
              <w:t>184.085万元</w:t>
            </w:r>
            <w:r>
              <w:rPr>
                <w:rFonts w:hint="eastAsia" w:ascii="宋体" w:hAnsi="宋体" w:cs="宋体"/>
                <w:bCs/>
                <w:color w:val="000000" w:themeColor="text1"/>
                <w:sz w:val="24"/>
                <w:highlight w:val="none"/>
                <w14:textFill>
                  <w14:solidFill>
                    <w14:schemeClr w14:val="tx1"/>
                  </w14:solidFill>
                </w14:textFill>
              </w:rPr>
              <w:t>；（2）分项报价时不得超过采购需求表中的预算单价。</w:t>
            </w:r>
          </w:p>
        </w:tc>
      </w:tr>
      <w:tr w14:paraId="3957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80" w:type="dxa"/>
            <w:vAlign w:val="center"/>
          </w:tcPr>
          <w:p w14:paraId="5F9767DD">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★17.1</w:t>
            </w:r>
          </w:p>
        </w:tc>
        <w:tc>
          <w:tcPr>
            <w:tcW w:w="2432" w:type="dxa"/>
            <w:vAlign w:val="center"/>
          </w:tcPr>
          <w:p w14:paraId="4349E958">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投标文件有效期</w:t>
            </w:r>
          </w:p>
        </w:tc>
        <w:tc>
          <w:tcPr>
            <w:tcW w:w="5908" w:type="dxa"/>
            <w:vAlign w:val="center"/>
          </w:tcPr>
          <w:p w14:paraId="0BC6319B">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从提交投标文件截止之日起</w:t>
            </w:r>
            <w:r>
              <w:rPr>
                <w:rFonts w:hint="eastAsia" w:hAnsi="宋体" w:cs="宋体"/>
                <w:color w:val="000000" w:themeColor="text1"/>
                <w:sz w:val="24"/>
                <w:szCs w:val="24"/>
                <w:highlight w:val="none"/>
                <w:u w:val="single"/>
                <w:lang w:val="en-US" w:eastAsia="zh-CN"/>
                <w14:textFill>
                  <w14:solidFill>
                    <w14:schemeClr w14:val="tx1"/>
                  </w14:solidFill>
                </w14:textFill>
              </w:rPr>
              <w:t>90</w:t>
            </w:r>
            <w:r>
              <w:rPr>
                <w:rFonts w:hint="eastAsia" w:hAnsi="宋体" w:cs="宋体"/>
                <w:color w:val="000000" w:themeColor="text1"/>
                <w:sz w:val="24"/>
                <w:szCs w:val="24"/>
                <w:highlight w:val="none"/>
                <w:u w:val="single"/>
                <w14:textFill>
                  <w14:solidFill>
                    <w14:schemeClr w14:val="tx1"/>
                  </w14:solidFill>
                </w14:textFill>
              </w:rPr>
              <w:t>日历天</w:t>
            </w:r>
          </w:p>
        </w:tc>
      </w:tr>
      <w:tr w14:paraId="108DF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80" w:type="dxa"/>
            <w:vAlign w:val="center"/>
          </w:tcPr>
          <w:p w14:paraId="4FC57F6C">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18.1</w:t>
            </w:r>
          </w:p>
        </w:tc>
        <w:tc>
          <w:tcPr>
            <w:tcW w:w="2432" w:type="dxa"/>
            <w:vAlign w:val="center"/>
          </w:tcPr>
          <w:p w14:paraId="031F9170">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分包</w:t>
            </w:r>
          </w:p>
        </w:tc>
        <w:tc>
          <w:tcPr>
            <w:tcW w:w="5908" w:type="dxa"/>
            <w:vAlign w:val="center"/>
          </w:tcPr>
          <w:p w14:paraId="1F0403B5">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本项目不得分包。</w:t>
            </w:r>
          </w:p>
          <w:p w14:paraId="07F05570">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本项目中，可以分包。</w:t>
            </w:r>
          </w:p>
        </w:tc>
      </w:tr>
      <w:tr w14:paraId="0442C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480" w:type="dxa"/>
            <w:vAlign w:val="center"/>
          </w:tcPr>
          <w:p w14:paraId="1A7C219E">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★21.1</w:t>
            </w:r>
          </w:p>
        </w:tc>
        <w:tc>
          <w:tcPr>
            <w:tcW w:w="2432" w:type="dxa"/>
            <w:vAlign w:val="center"/>
          </w:tcPr>
          <w:p w14:paraId="458FCB92">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投标保证金</w:t>
            </w:r>
          </w:p>
        </w:tc>
        <w:tc>
          <w:tcPr>
            <w:tcW w:w="5908" w:type="dxa"/>
            <w:vAlign w:val="center"/>
          </w:tcPr>
          <w:p w14:paraId="30490D73">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一、保证金的提交方式</w:t>
            </w:r>
          </w:p>
          <w:p w14:paraId="1419429D">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保证金的提交方式：支票</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汇票</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本票</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银行转账</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银行保函</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保证保险等非现金形式。</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可根据实际情况，选择保证金的提供或缴纳方式。</w:t>
            </w:r>
          </w:p>
          <w:p w14:paraId="014F3727">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（一）银行转账：保证金应以</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自身的名义提交，不得以其他名义提交。</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为企业的，必须从其基本账户转出，且不得以分支机构名义提交。</w:t>
            </w:r>
          </w:p>
          <w:p w14:paraId="078AAFC0">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（二）银行保函：1.当</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未能按照</w:t>
            </w:r>
            <w:r>
              <w:rPr>
                <w:rFonts w:hint="eastAsia" w:ascii="宋体" w:hAnsi="宋体" w:cs="宋体"/>
                <w:color w:val="000000" w:themeColor="text1"/>
                <w:kern w:val="0"/>
                <w:sz w:val="24"/>
                <w:highlight w:val="none"/>
                <w:lang w:eastAsia="zh-CN"/>
                <w14:textFill>
                  <w14:solidFill>
                    <w14:schemeClr w14:val="tx1"/>
                  </w14:solidFill>
                </w14:textFill>
              </w:rPr>
              <w:t>招标文件</w:t>
            </w:r>
            <w:r>
              <w:rPr>
                <w:rFonts w:hint="eastAsia" w:ascii="宋体" w:hAnsi="宋体" w:cs="宋体"/>
                <w:color w:val="000000" w:themeColor="text1"/>
                <w:kern w:val="0"/>
                <w:sz w:val="24"/>
                <w:highlight w:val="none"/>
                <w14:textFill>
                  <w14:solidFill>
                    <w14:schemeClr w14:val="tx1"/>
                  </w14:solidFill>
                </w14:textFill>
              </w:rPr>
              <w:t>要求履行义务而导致采购人受到损失时，由担保银行按照要求对采购人的损失承担代偿责任。2.在银行保函中，</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为被担保人，采购人为收益人。</w:t>
            </w:r>
          </w:p>
          <w:p w14:paraId="1ABB87B0">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（三）保证保险：1.当</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未能按照</w:t>
            </w:r>
            <w:r>
              <w:rPr>
                <w:rFonts w:hint="eastAsia" w:ascii="宋体" w:hAnsi="宋体" w:cs="宋体"/>
                <w:color w:val="000000" w:themeColor="text1"/>
                <w:kern w:val="0"/>
                <w:sz w:val="24"/>
                <w:highlight w:val="none"/>
                <w:lang w:eastAsia="zh-CN"/>
                <w14:textFill>
                  <w14:solidFill>
                    <w14:schemeClr w14:val="tx1"/>
                  </w14:solidFill>
                </w14:textFill>
              </w:rPr>
              <w:t>招标文件</w:t>
            </w:r>
            <w:r>
              <w:rPr>
                <w:rFonts w:hint="eastAsia" w:ascii="宋体" w:hAnsi="宋体" w:cs="宋体"/>
                <w:color w:val="000000" w:themeColor="text1"/>
                <w:kern w:val="0"/>
                <w:sz w:val="24"/>
                <w:highlight w:val="none"/>
                <w14:textFill>
                  <w14:solidFill>
                    <w14:schemeClr w14:val="tx1"/>
                  </w14:solidFill>
                </w14:textFill>
              </w:rPr>
              <w:t>要求履行义务而导致采购人受到损失时，由保险公司按照保险合同对采购人的损失承担代偿责任。2.</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在支付保险费时，必须使用基本账号资金支付购买，未从基本账户转出支付保费造成经济纠纷的应由企业自行承担。3.在保证保险中，</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为投保人，采购人为被保险人。</w:t>
            </w:r>
          </w:p>
          <w:p w14:paraId="38A55503">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二、保证金的提交时间</w:t>
            </w:r>
          </w:p>
          <w:p w14:paraId="3183957A">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保证金到账截止时间为</w:t>
            </w:r>
            <w:r>
              <w:rPr>
                <w:rFonts w:hint="eastAsia" w:ascii="宋体" w:hAnsi="宋体" w:cs="宋体"/>
                <w:color w:val="000000" w:themeColor="text1"/>
                <w:kern w:val="0"/>
                <w:sz w:val="24"/>
                <w:highlight w:val="none"/>
                <w:lang w:eastAsia="zh-CN"/>
                <w14:textFill>
                  <w14:solidFill>
                    <w14:schemeClr w14:val="tx1"/>
                  </w14:solidFill>
                </w14:textFill>
              </w:rPr>
              <w:t>响应文件递交截止时间</w:t>
            </w:r>
            <w:r>
              <w:rPr>
                <w:rFonts w:hint="eastAsia" w:ascii="宋体" w:hAnsi="宋体" w:cs="宋体"/>
                <w:color w:val="000000" w:themeColor="text1"/>
                <w:kern w:val="0"/>
                <w:sz w:val="24"/>
                <w:highlight w:val="none"/>
                <w14:textFill>
                  <w14:solidFill>
                    <w14:schemeClr w14:val="tx1"/>
                  </w14:solidFill>
                </w14:textFill>
              </w:rPr>
              <w:t>，到账时间以实际到达专用账号时间为准，未按时到账的保证金视为未提交；采用</w:t>
            </w:r>
            <w:r>
              <w:rPr>
                <w:rFonts w:hint="eastAsia" w:ascii="宋体" w:hAnsi="宋体" w:cs="宋体"/>
                <w:color w:val="000000" w:themeColor="text1"/>
                <w:kern w:val="0"/>
                <w:sz w:val="24"/>
                <w:highlight w:val="none"/>
                <w:lang w:val="en-US" w:eastAsia="zh-CN"/>
                <w14:textFill>
                  <w14:solidFill>
                    <w14:schemeClr w14:val="tx1"/>
                  </w14:solidFill>
                </w14:textFill>
              </w:rPr>
              <w:t>银行</w:t>
            </w:r>
            <w:r>
              <w:rPr>
                <w:rFonts w:hint="eastAsia" w:ascii="宋体" w:hAnsi="宋体" w:cs="宋体"/>
                <w:color w:val="000000" w:themeColor="text1"/>
                <w:kern w:val="0"/>
                <w:sz w:val="24"/>
                <w:highlight w:val="none"/>
                <w14:textFill>
                  <w14:solidFill>
                    <w14:schemeClr w14:val="tx1"/>
                  </w14:solidFill>
                </w14:textFill>
              </w:rPr>
              <w:t>保函方式的，在</w:t>
            </w:r>
            <w:r>
              <w:rPr>
                <w:rFonts w:hint="eastAsia" w:ascii="宋体" w:hAnsi="宋体" w:cs="宋体"/>
                <w:color w:val="000000" w:themeColor="text1"/>
                <w:kern w:val="0"/>
                <w:sz w:val="24"/>
                <w:highlight w:val="none"/>
                <w:lang w:val="en-US" w:eastAsia="zh-CN"/>
                <w14:textFill>
                  <w14:solidFill>
                    <w14:schemeClr w14:val="tx1"/>
                  </w14:solidFill>
                </w14:textFill>
              </w:rPr>
              <w:t>响应文件递交</w:t>
            </w:r>
            <w:r>
              <w:rPr>
                <w:rFonts w:hint="eastAsia" w:ascii="宋体" w:hAnsi="宋体" w:cs="宋体"/>
                <w:color w:val="000000" w:themeColor="text1"/>
                <w:kern w:val="0"/>
                <w:sz w:val="24"/>
                <w:highlight w:val="none"/>
                <w14:textFill>
                  <w14:solidFill>
                    <w14:schemeClr w14:val="tx1"/>
                  </w14:solidFill>
                </w14:textFill>
              </w:rPr>
              <w:t>截止时间前，</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应当提供有效的</w:t>
            </w:r>
            <w:r>
              <w:rPr>
                <w:rFonts w:hint="eastAsia" w:ascii="宋体" w:hAnsi="宋体" w:cs="宋体"/>
                <w:color w:val="000000" w:themeColor="text1"/>
                <w:kern w:val="0"/>
                <w:sz w:val="24"/>
                <w:highlight w:val="none"/>
                <w:lang w:eastAsia="zh-CN"/>
                <w14:textFill>
                  <w14:solidFill>
                    <w14:schemeClr w14:val="tx1"/>
                  </w14:solidFill>
                </w14:textFill>
              </w:rPr>
              <w:t>银行保函</w:t>
            </w:r>
            <w:r>
              <w:rPr>
                <w:rFonts w:hint="eastAsia" w:ascii="宋体" w:hAnsi="宋体" w:cs="宋体"/>
                <w:color w:val="000000" w:themeColor="text1"/>
                <w:kern w:val="0"/>
                <w:sz w:val="24"/>
                <w:highlight w:val="none"/>
                <w14:textFill>
                  <w14:solidFill>
                    <w14:schemeClr w14:val="tx1"/>
                  </w14:solidFill>
                </w14:textFill>
              </w:rPr>
              <w:t>。</w:t>
            </w:r>
          </w:p>
          <w:p w14:paraId="3855D3D0">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三、保证金的办理程序</w:t>
            </w:r>
          </w:p>
          <w:p w14:paraId="38300948">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（一）采用银行转账方式：</w:t>
            </w:r>
          </w:p>
          <w:p w14:paraId="2AE94CDF">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项目名称：</w:t>
            </w:r>
            <w:r>
              <w:rPr>
                <w:rFonts w:hint="eastAsia" w:ascii="宋体" w:hAnsi="宋体" w:cs="宋体"/>
                <w:color w:val="000000" w:themeColor="text1"/>
                <w:kern w:val="0"/>
                <w:sz w:val="24"/>
                <w:highlight w:val="none"/>
                <w:lang w:eastAsia="zh-CN"/>
                <w14:textFill>
                  <w14:solidFill>
                    <w14:schemeClr w14:val="tx1"/>
                  </w14:solidFill>
                </w14:textFill>
              </w:rPr>
              <w:t>昆明理工大学医院2024设备购置—1（二次）</w:t>
            </w:r>
            <w:r>
              <w:rPr>
                <w:rFonts w:hint="eastAsia" w:ascii="宋体" w:hAnsi="宋体" w:cs="宋体"/>
                <w:color w:val="000000" w:themeColor="text1"/>
                <w:kern w:val="0"/>
                <w:sz w:val="24"/>
                <w:highlight w:val="none"/>
                <w14:textFill>
                  <w14:solidFill>
                    <w14:schemeClr w14:val="tx1"/>
                  </w14:solidFill>
                </w14:textFill>
              </w:rPr>
              <w:fldChar w:fldCharType="begin"/>
            </w:r>
            <w:r>
              <w:rPr>
                <w:rFonts w:hint="eastAsia" w:ascii="宋体" w:hAnsi="宋体" w:cs="宋体"/>
                <w:color w:val="000000" w:themeColor="text1"/>
                <w:kern w:val="0"/>
                <w:sz w:val="24"/>
                <w:highlight w:val="none"/>
                <w14:textFill>
                  <w14:solidFill>
                    <w14:schemeClr w14:val="tx1"/>
                  </w14:solidFill>
                </w14:textFill>
              </w:rPr>
              <w:instrText xml:space="preserve"> AUTOTEXT  input395 \* MERGEFORMAT </w:instrText>
            </w:r>
            <w:r>
              <w:rPr>
                <w:rFonts w:hint="eastAsia" w:ascii="宋体" w:hAnsi="宋体" w:cs="宋体"/>
                <w:color w:val="000000" w:themeColor="text1"/>
                <w:kern w:val="0"/>
                <w:sz w:val="24"/>
                <w:highlight w:val="none"/>
                <w14:textFill>
                  <w14:solidFill>
                    <w14:schemeClr w14:val="tx1"/>
                  </w14:solidFill>
                </w14:textFill>
              </w:rPr>
              <w:fldChar w:fldCharType="end"/>
            </w:r>
          </w:p>
          <w:p w14:paraId="20300765">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账户名称：</w:t>
            </w:r>
            <w:r>
              <w:rPr>
                <w:rFonts w:hint="eastAsia" w:ascii="宋体" w:hAnsi="宋体" w:cs="宋体"/>
                <w:color w:val="000000" w:themeColor="text1"/>
                <w:kern w:val="0"/>
                <w:sz w:val="24"/>
                <w:highlight w:val="none"/>
                <w:lang w:eastAsia="zh-CN"/>
                <w14:textFill>
                  <w14:solidFill>
                    <w14:schemeClr w14:val="tx1"/>
                  </w14:solidFill>
                </w14:textFill>
              </w:rPr>
              <w:t>中德高路咨询（云南）股份有限公司</w:t>
            </w:r>
            <w:r>
              <w:rPr>
                <w:rFonts w:hint="eastAsia" w:ascii="宋体" w:hAnsi="宋体" w:cs="宋体"/>
                <w:color w:val="000000" w:themeColor="text1"/>
                <w:kern w:val="0"/>
                <w:sz w:val="24"/>
                <w:highlight w:val="none"/>
                <w14:textFill>
                  <w14:solidFill>
                    <w14:schemeClr w14:val="tx1"/>
                  </w14:solidFill>
                </w14:textFill>
              </w:rPr>
              <w:t>（注：输入括号时选择英文输入法）</w:t>
            </w:r>
          </w:p>
          <w:p w14:paraId="0EFA7344">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开户行：招商银行股份有限公司昆明东站支行</w:t>
            </w:r>
          </w:p>
          <w:p w14:paraId="235D3EC6">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账号：871908042810602</w:t>
            </w:r>
          </w:p>
          <w:p w14:paraId="61B229EC">
            <w:pPr>
              <w:spacing w:line="400" w:lineRule="exact"/>
              <w:jc w:val="left"/>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保证金金额：</w:t>
            </w:r>
            <w:r>
              <w:rPr>
                <w:rFonts w:hint="eastAsia" w:ascii="宋体" w:hAnsi="宋体" w:cs="宋体"/>
                <w:color w:val="000000" w:themeColor="text1"/>
                <w:kern w:val="0"/>
                <w:sz w:val="24"/>
                <w:highlight w:val="none"/>
                <w:lang w:val="en-US" w:eastAsia="zh-CN"/>
                <w14:textFill>
                  <w14:solidFill>
                    <w14:schemeClr w14:val="tx1"/>
                  </w14:solidFill>
                </w14:textFill>
              </w:rPr>
              <w:t>20000.00（大写：贰万元整）</w:t>
            </w:r>
          </w:p>
          <w:p w14:paraId="33CEF2CB">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注：1、保证金必须从</w:t>
            </w:r>
            <w:r>
              <w:rPr>
                <w:rFonts w:hint="eastAsia" w:ascii="宋体" w:hAnsi="宋体" w:cs="宋体"/>
                <w:color w:val="000000" w:themeColor="text1"/>
                <w:kern w:val="0"/>
                <w:sz w:val="24"/>
                <w:highlight w:val="none"/>
                <w:lang w:val="en-US"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的法人基本账户划出；</w:t>
            </w:r>
          </w:p>
          <w:p w14:paraId="6AEBD1D2">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w:t>
            </w:r>
            <w:r>
              <w:rPr>
                <w:rFonts w:hint="eastAsia" w:ascii="宋体" w:hAnsi="宋体" w:cs="宋体"/>
                <w:color w:val="000000" w:themeColor="text1"/>
                <w:kern w:val="0"/>
                <w:sz w:val="24"/>
                <w:highlight w:val="none"/>
                <w14:textFill>
                  <w14:solidFill>
                    <w14:schemeClr w14:val="tx1"/>
                  </w14:solidFill>
                </w14:textFill>
              </w:rPr>
              <w:t>、保证金截止时间为响应文件递交截止时间，到账时间以保证金专用账户实际到账时间为准，未按时到账的保证金无效；</w:t>
            </w:r>
          </w:p>
          <w:p w14:paraId="1D1E6D95">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、拒绝企业</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采用私人账户汇款及银行存现方式提交保证金；</w:t>
            </w:r>
          </w:p>
          <w:p w14:paraId="4CFDC901">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请潜在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在跨行转账时考虑以下因素：1、按照人民银行相关规定，跨行转账在工作日下午4点半前办理手续，可以保证实时跨行到账；2、跨行转账尽量采用电汇方式。</w:t>
            </w:r>
          </w:p>
          <w:p w14:paraId="42F20641">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（二）采用银行保函方式：</w:t>
            </w:r>
          </w:p>
          <w:p w14:paraId="3F22C829">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项目名称：</w:t>
            </w:r>
            <w:r>
              <w:rPr>
                <w:rFonts w:hint="eastAsia" w:ascii="宋体" w:hAnsi="宋体" w:cs="宋体"/>
                <w:color w:val="000000" w:themeColor="text1"/>
                <w:kern w:val="0"/>
                <w:sz w:val="24"/>
                <w:highlight w:val="none"/>
                <w:lang w:eastAsia="zh-CN"/>
                <w14:textFill>
                  <w14:solidFill>
                    <w14:schemeClr w14:val="tx1"/>
                  </w14:solidFill>
                </w14:textFill>
              </w:rPr>
              <w:t>昆明理工大学医院2024设备购置—1（二次）</w:t>
            </w:r>
            <w:r>
              <w:rPr>
                <w:rFonts w:hint="eastAsia" w:ascii="宋体" w:hAnsi="宋体" w:cs="宋体"/>
                <w:color w:val="000000" w:themeColor="text1"/>
                <w:kern w:val="0"/>
                <w:sz w:val="24"/>
                <w:highlight w:val="none"/>
                <w14:textFill>
                  <w14:solidFill>
                    <w14:schemeClr w14:val="tx1"/>
                  </w14:solidFill>
                </w14:textFill>
              </w:rPr>
              <w:fldChar w:fldCharType="begin"/>
            </w:r>
            <w:r>
              <w:rPr>
                <w:rFonts w:hint="eastAsia" w:ascii="宋体" w:hAnsi="宋体" w:cs="宋体"/>
                <w:color w:val="000000" w:themeColor="text1"/>
                <w:kern w:val="0"/>
                <w:sz w:val="24"/>
                <w:highlight w:val="none"/>
                <w14:textFill>
                  <w14:solidFill>
                    <w14:schemeClr w14:val="tx1"/>
                  </w14:solidFill>
                </w14:textFill>
              </w:rPr>
              <w:instrText xml:space="preserve"> AUTOTEXT  input395 \* MERGEFORMAT </w:instrText>
            </w:r>
            <w:r>
              <w:rPr>
                <w:rFonts w:hint="eastAsia" w:ascii="宋体" w:hAnsi="宋体" w:cs="宋体"/>
                <w:color w:val="000000" w:themeColor="text1"/>
                <w:kern w:val="0"/>
                <w:sz w:val="24"/>
                <w:highlight w:val="none"/>
                <w14:textFill>
                  <w14:solidFill>
                    <w14:schemeClr w14:val="tx1"/>
                  </w14:solidFill>
                </w14:textFill>
              </w:rPr>
              <w:fldChar w:fldCharType="end"/>
            </w:r>
          </w:p>
          <w:p w14:paraId="3DF6811D">
            <w:pPr>
              <w:spacing w:line="400" w:lineRule="exact"/>
              <w:jc w:val="left"/>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保证金金额：</w:t>
            </w:r>
            <w:r>
              <w:rPr>
                <w:rFonts w:hint="eastAsia" w:ascii="宋体" w:hAnsi="宋体" w:cs="宋体"/>
                <w:color w:val="000000" w:themeColor="text1"/>
                <w:kern w:val="0"/>
                <w:sz w:val="24"/>
                <w:highlight w:val="none"/>
                <w:lang w:val="en-US" w:eastAsia="zh-CN"/>
                <w14:textFill>
                  <w14:solidFill>
                    <w14:schemeClr w14:val="tx1"/>
                  </w14:solidFill>
                </w14:textFill>
              </w:rPr>
              <w:t>20000.00（大写：贰万元整）</w:t>
            </w:r>
          </w:p>
          <w:p w14:paraId="7FC28BA4">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办理程序：</w:t>
            </w:r>
          </w:p>
          <w:p w14:paraId="77363E5D">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潜在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自行办理。</w:t>
            </w:r>
          </w:p>
          <w:p w14:paraId="741D1FE7">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（三）采用保证保险方式 ：</w:t>
            </w:r>
          </w:p>
          <w:p w14:paraId="5FFC305A">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项目名称：</w:t>
            </w:r>
            <w:r>
              <w:rPr>
                <w:rFonts w:hint="eastAsia" w:ascii="宋体" w:hAnsi="宋体" w:cs="宋体"/>
                <w:color w:val="000000" w:themeColor="text1"/>
                <w:kern w:val="0"/>
                <w:sz w:val="24"/>
                <w:highlight w:val="none"/>
                <w:lang w:eastAsia="zh-CN"/>
                <w14:textFill>
                  <w14:solidFill>
                    <w14:schemeClr w14:val="tx1"/>
                  </w14:solidFill>
                </w14:textFill>
              </w:rPr>
              <w:t>昆明理工大学医院2024设备购置—1（二次）</w:t>
            </w:r>
            <w:r>
              <w:rPr>
                <w:rFonts w:hint="eastAsia" w:ascii="宋体" w:hAnsi="宋体" w:cs="宋体"/>
                <w:color w:val="000000" w:themeColor="text1"/>
                <w:kern w:val="0"/>
                <w:sz w:val="24"/>
                <w:highlight w:val="none"/>
                <w14:textFill>
                  <w14:solidFill>
                    <w14:schemeClr w14:val="tx1"/>
                  </w14:solidFill>
                </w14:textFill>
              </w:rPr>
              <w:fldChar w:fldCharType="begin"/>
            </w:r>
            <w:r>
              <w:rPr>
                <w:rFonts w:hint="eastAsia" w:ascii="宋体" w:hAnsi="宋体" w:cs="宋体"/>
                <w:color w:val="000000" w:themeColor="text1"/>
                <w:kern w:val="0"/>
                <w:sz w:val="24"/>
                <w:highlight w:val="none"/>
                <w14:textFill>
                  <w14:solidFill>
                    <w14:schemeClr w14:val="tx1"/>
                  </w14:solidFill>
                </w14:textFill>
              </w:rPr>
              <w:instrText xml:space="preserve"> AUTOTEXT  input395 \* MERGEFORMAT </w:instrText>
            </w:r>
            <w:r>
              <w:rPr>
                <w:rFonts w:hint="eastAsia" w:ascii="宋体" w:hAnsi="宋体" w:cs="宋体"/>
                <w:color w:val="000000" w:themeColor="text1"/>
                <w:kern w:val="0"/>
                <w:sz w:val="24"/>
                <w:highlight w:val="none"/>
                <w14:textFill>
                  <w14:solidFill>
                    <w14:schemeClr w14:val="tx1"/>
                  </w14:solidFill>
                </w14:textFill>
              </w:rPr>
              <w:fldChar w:fldCharType="end"/>
            </w:r>
          </w:p>
          <w:p w14:paraId="6534C46C">
            <w:pPr>
              <w:spacing w:line="400" w:lineRule="exact"/>
              <w:jc w:val="left"/>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保证金金额：</w:t>
            </w:r>
            <w:r>
              <w:rPr>
                <w:rFonts w:hint="eastAsia" w:ascii="宋体" w:hAnsi="宋体" w:cs="宋体"/>
                <w:color w:val="000000" w:themeColor="text1"/>
                <w:kern w:val="0"/>
                <w:sz w:val="24"/>
                <w:highlight w:val="none"/>
                <w:lang w:val="en-US" w:eastAsia="zh-CN"/>
                <w14:textFill>
                  <w14:solidFill>
                    <w14:schemeClr w14:val="tx1"/>
                  </w14:solidFill>
                </w14:textFill>
              </w:rPr>
              <w:t>20000.00（大写：贰万元整）</w:t>
            </w:r>
          </w:p>
          <w:p w14:paraId="1AF1F594">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办理程序：</w:t>
            </w:r>
          </w:p>
          <w:p w14:paraId="6B4282A7">
            <w:pPr>
              <w:spacing w:line="400" w:lineRule="exact"/>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潜在</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cs="宋体"/>
                <w:color w:val="000000" w:themeColor="text1"/>
                <w:kern w:val="0"/>
                <w:sz w:val="24"/>
                <w:highlight w:val="none"/>
                <w14:textFill>
                  <w14:solidFill>
                    <w14:schemeClr w14:val="tx1"/>
                  </w14:solidFill>
                </w14:textFill>
              </w:rPr>
              <w:t>自行办理。</w:t>
            </w:r>
          </w:p>
        </w:tc>
      </w:tr>
      <w:tr w14:paraId="3CC4C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480" w:type="dxa"/>
            <w:vAlign w:val="center"/>
          </w:tcPr>
          <w:p w14:paraId="185A2832">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23.1</w:t>
            </w:r>
          </w:p>
        </w:tc>
        <w:tc>
          <w:tcPr>
            <w:tcW w:w="2432" w:type="dxa"/>
            <w:vAlign w:val="center"/>
          </w:tcPr>
          <w:p w14:paraId="562E7CF2">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提交投标文件截止时间</w:t>
            </w:r>
          </w:p>
        </w:tc>
        <w:tc>
          <w:tcPr>
            <w:tcW w:w="5908" w:type="dxa"/>
            <w:vAlign w:val="center"/>
          </w:tcPr>
          <w:p w14:paraId="4EDA9D40">
            <w:pPr>
              <w:pStyle w:val="20"/>
              <w:spacing w:line="400" w:lineRule="exact"/>
              <w:rPr>
                <w:rFonts w:hAnsi="宋体" w:cs="宋体"/>
                <w:b/>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详见第一章招标公告的内容。</w:t>
            </w:r>
          </w:p>
        </w:tc>
      </w:tr>
      <w:tr w14:paraId="4334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80" w:type="dxa"/>
            <w:vAlign w:val="center"/>
          </w:tcPr>
          <w:p w14:paraId="185BCD42">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23.2</w:t>
            </w:r>
          </w:p>
        </w:tc>
        <w:tc>
          <w:tcPr>
            <w:tcW w:w="2432" w:type="dxa"/>
            <w:vAlign w:val="center"/>
          </w:tcPr>
          <w:p w14:paraId="6C38B02F">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提交投标文件的地点</w:t>
            </w:r>
          </w:p>
        </w:tc>
        <w:tc>
          <w:tcPr>
            <w:tcW w:w="5908" w:type="dxa"/>
            <w:vAlign w:val="center"/>
          </w:tcPr>
          <w:p w14:paraId="3EADC657">
            <w:pPr>
              <w:pStyle w:val="20"/>
              <w:spacing w:line="400" w:lineRule="exact"/>
              <w:ind w:left="794" w:hanging="794" w:hangingChars="331"/>
              <w:rPr>
                <w:rFonts w:hAnsi="宋体" w:cs="宋体"/>
                <w:b/>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详见第一章招标公告的内容。</w:t>
            </w:r>
          </w:p>
        </w:tc>
      </w:tr>
      <w:tr w14:paraId="208BB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80" w:type="dxa"/>
            <w:vAlign w:val="center"/>
          </w:tcPr>
          <w:p w14:paraId="01E10D16">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23.3</w:t>
            </w:r>
          </w:p>
        </w:tc>
        <w:tc>
          <w:tcPr>
            <w:tcW w:w="2432" w:type="dxa"/>
            <w:vAlign w:val="center"/>
          </w:tcPr>
          <w:p w14:paraId="120A4493">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投标文件的退还</w:t>
            </w:r>
          </w:p>
        </w:tc>
        <w:tc>
          <w:tcPr>
            <w:tcW w:w="5908" w:type="dxa"/>
            <w:vAlign w:val="center"/>
          </w:tcPr>
          <w:p w14:paraId="24B3C418">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不予退还</w:t>
            </w:r>
          </w:p>
        </w:tc>
      </w:tr>
      <w:tr w14:paraId="1205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80" w:type="dxa"/>
            <w:vAlign w:val="center"/>
          </w:tcPr>
          <w:p w14:paraId="27DA52B7">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25.1</w:t>
            </w:r>
          </w:p>
        </w:tc>
        <w:tc>
          <w:tcPr>
            <w:tcW w:w="2432" w:type="dxa"/>
            <w:vAlign w:val="center"/>
          </w:tcPr>
          <w:p w14:paraId="5A0992EC">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开标时间和地点</w:t>
            </w:r>
          </w:p>
        </w:tc>
        <w:tc>
          <w:tcPr>
            <w:tcW w:w="5908" w:type="dxa"/>
            <w:vAlign w:val="center"/>
          </w:tcPr>
          <w:p w14:paraId="77C1F22D">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同提交投标文件截止时间和地点</w:t>
            </w:r>
          </w:p>
        </w:tc>
      </w:tr>
      <w:tr w14:paraId="473A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14:paraId="66357A43">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27.3</w:t>
            </w:r>
          </w:p>
        </w:tc>
        <w:tc>
          <w:tcPr>
            <w:tcW w:w="2432" w:type="dxa"/>
            <w:vAlign w:val="center"/>
          </w:tcPr>
          <w:p w14:paraId="07C0DC5A">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评标方法</w:t>
            </w:r>
          </w:p>
        </w:tc>
        <w:tc>
          <w:tcPr>
            <w:tcW w:w="5908" w:type="dxa"/>
            <w:vAlign w:val="center"/>
          </w:tcPr>
          <w:p w14:paraId="1A7689EA">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综合评分法</w:t>
            </w:r>
          </w:p>
        </w:tc>
      </w:tr>
      <w:tr w14:paraId="4BD1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14:paraId="7FFF3186">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27.7</w:t>
            </w:r>
          </w:p>
        </w:tc>
        <w:tc>
          <w:tcPr>
            <w:tcW w:w="2432" w:type="dxa"/>
            <w:vAlign w:val="center"/>
          </w:tcPr>
          <w:p w14:paraId="61F5B396">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核心产品</w:t>
            </w:r>
          </w:p>
        </w:tc>
        <w:tc>
          <w:tcPr>
            <w:tcW w:w="5908" w:type="dxa"/>
            <w:vAlign w:val="center"/>
          </w:tcPr>
          <w:p w14:paraId="02B2137F">
            <w:pPr>
              <w:pStyle w:val="20"/>
              <w:spacing w:line="400" w:lineRule="exact"/>
              <w:rPr>
                <w:rFonts w:hint="eastAsia" w:hAnsi="宋体" w:eastAsia="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全自动化学发光仪</w:t>
            </w:r>
          </w:p>
        </w:tc>
      </w:tr>
      <w:tr w14:paraId="22D09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480" w:type="dxa"/>
            <w:vAlign w:val="center"/>
          </w:tcPr>
          <w:p w14:paraId="168DF10F">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32.1</w:t>
            </w:r>
          </w:p>
        </w:tc>
        <w:tc>
          <w:tcPr>
            <w:tcW w:w="2432" w:type="dxa"/>
            <w:vAlign w:val="center"/>
          </w:tcPr>
          <w:p w14:paraId="7476E229">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履约担保</w:t>
            </w:r>
          </w:p>
        </w:tc>
        <w:tc>
          <w:tcPr>
            <w:tcW w:w="5908" w:type="dxa"/>
            <w:vAlign w:val="center"/>
          </w:tcPr>
          <w:p w14:paraId="3C58C949">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不要求</w:t>
            </w:r>
          </w:p>
          <w:p w14:paraId="77091255">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要求：</w:t>
            </w:r>
          </w:p>
          <w:p w14:paraId="1543A123">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履约保证金金额：合同价款的</w:t>
            </w:r>
            <w:r>
              <w:rPr>
                <w:rFonts w:hint="eastAsia" w:hAnsi="宋体" w:cs="宋体"/>
                <w:color w:val="000000" w:themeColor="text1"/>
                <w:sz w:val="24"/>
                <w:szCs w:val="24"/>
                <w:highlight w:val="none"/>
                <w:lang w:val="en-US" w:eastAsia="zh-CN"/>
                <w14:textFill>
                  <w14:solidFill>
                    <w14:schemeClr w14:val="tx1"/>
                  </w14:solidFill>
                </w14:textFill>
              </w:rPr>
              <w:t>5</w:t>
            </w:r>
            <w:r>
              <w:rPr>
                <w:rFonts w:hint="eastAsia" w:hAnsi="宋体" w:cs="宋体"/>
                <w:color w:val="000000" w:themeColor="text1"/>
                <w:sz w:val="24"/>
                <w:szCs w:val="24"/>
                <w:highlight w:val="none"/>
                <w14:textFill>
                  <w14:solidFill>
                    <w14:schemeClr w14:val="tx1"/>
                  </w14:solidFill>
                </w14:textFill>
              </w:rPr>
              <w:t>%</w:t>
            </w:r>
          </w:p>
          <w:p w14:paraId="690B8106">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履约保证金形式：银行转账或银行保函或或保险保函(保单)或担保保函等非现金形式提交。</w:t>
            </w:r>
          </w:p>
          <w:p w14:paraId="2B5F3465">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注：履约保证金在项目终验合格后，凭“昆明理工大学履约保证金收据、昆明理工大学仪器设备验收报告”办理不计利息全额退还。</w:t>
            </w:r>
          </w:p>
        </w:tc>
      </w:tr>
      <w:tr w14:paraId="2607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14:paraId="650F631F">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35</w:t>
            </w:r>
          </w:p>
        </w:tc>
        <w:tc>
          <w:tcPr>
            <w:tcW w:w="8340" w:type="dxa"/>
            <w:gridSpan w:val="2"/>
            <w:vAlign w:val="center"/>
          </w:tcPr>
          <w:p w14:paraId="7263EEE7">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需要补充的其他内容</w:t>
            </w:r>
          </w:p>
        </w:tc>
      </w:tr>
      <w:tr w14:paraId="13EEE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14:paraId="009802E8">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35.1</w:t>
            </w:r>
          </w:p>
        </w:tc>
        <w:tc>
          <w:tcPr>
            <w:tcW w:w="8340" w:type="dxa"/>
            <w:gridSpan w:val="2"/>
            <w:vAlign w:val="center"/>
          </w:tcPr>
          <w:p w14:paraId="41046DB1">
            <w:pPr>
              <w:pStyle w:val="20"/>
              <w:spacing w:line="4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备选方案：不接受</w:t>
            </w:r>
          </w:p>
        </w:tc>
      </w:tr>
      <w:tr w14:paraId="49AE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14:paraId="63DF837E">
            <w:pPr>
              <w:pStyle w:val="20"/>
              <w:spacing w:line="400" w:lineRule="exact"/>
              <w:ind w:firstLine="149"/>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35.2.1政府采购政策</w:t>
            </w:r>
          </w:p>
        </w:tc>
        <w:tc>
          <w:tcPr>
            <w:tcW w:w="8340" w:type="dxa"/>
            <w:gridSpan w:val="2"/>
            <w:vAlign w:val="center"/>
          </w:tcPr>
          <w:p w14:paraId="3870FCFE">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val="en-US" w:eastAsia="zh-CN"/>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中小型企业</w:t>
            </w:r>
          </w:p>
          <w:p w14:paraId="7718F580">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1.1根据《财政部关于进一步加大政府采购支持中小企业力度的通知》（财库〔2022〕19号）、《中华人民共和国政府采购法》、《中华人民共和国政府采购法实施条例》、《政府采购货物和服务招标投标管理办法》（财政部令第87号）等有关法律、法规和规章的规定，在政府采购活动中，投标人提供的货物、工程或者服务符合下列情形的，享受中小企业扶持政策：</w:t>
            </w:r>
          </w:p>
          <w:p w14:paraId="0E514D80">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（一）在货物采购项目中，货物由中小企业制造，即货物由中小企业生产且使用该中小企业商号或者注册商标；</w:t>
            </w:r>
          </w:p>
          <w:p w14:paraId="5EF9CF47">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（二）在工程采购项目中，工程由中小企业承建，即工程施工单位为中小企业；</w:t>
            </w:r>
          </w:p>
          <w:p w14:paraId="2F8AB941">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（三）在服务采购项目中，服务由中小企业承接，即提供服务的人员为中小企业依照《中华人民共和国劳动合同法》订立劳动合同的从业人员。</w:t>
            </w:r>
          </w:p>
          <w:p w14:paraId="1667DCA1">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在货物采购项目中，投标人提供的货物既有中小企业制造货物，也有大型企业制造货物的，不享受本办法规定的中小企业扶持政策。</w:t>
            </w:r>
          </w:p>
          <w:p w14:paraId="5227D2A9">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25DE32AC">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AE1A47C">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1.3投标人应当按照《政府采购促进中小企业发展管理办法》规定和《统计上大中小微型企业划分办法（2017）》，如实填写并提交《中小企业声明函》，对提交的《中小企业声明函》的真实性负责。提交的《中小企业声明函》不真实的，应承担相应的法律责任。</w:t>
            </w:r>
          </w:p>
          <w:p w14:paraId="0D585985">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1.4本项目针对小型、微型企业报价给予10%的扣除，用扣除后的价格参与评审，监狱企业和残疾人福利性单位视同小型、微型企业。</w:t>
            </w:r>
          </w:p>
          <w:p w14:paraId="0A369B43">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r>
              <w:rPr>
                <w:rFonts w:hint="eastAsia" w:hAnsi="宋体" w:cs="宋体"/>
                <w:color w:val="000000" w:themeColor="text1"/>
                <w:sz w:val="24"/>
                <w:szCs w:val="24"/>
                <w:highlight w:val="none"/>
                <w:lang w:val="en-US" w:eastAsia="zh-CN"/>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监狱企业优惠政策</w:t>
            </w:r>
          </w:p>
          <w:p w14:paraId="176E6175">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50440938">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w:t>
            </w:r>
            <w:r>
              <w:rPr>
                <w:rFonts w:hint="eastAsia" w:hAnsi="宋体" w:cs="宋体"/>
                <w:color w:val="000000" w:themeColor="text1"/>
                <w:sz w:val="24"/>
                <w:szCs w:val="24"/>
                <w:highlight w:val="none"/>
                <w:lang w:val="en-US" w:eastAsia="zh-CN"/>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残疾人福利性单位</w:t>
            </w:r>
          </w:p>
          <w:p w14:paraId="5E11C603">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3.1根据《三部门联合发布关于促进残疾人就业政府采购政策的通知》（财库〔2017〕141号）的规定，享受政府采购支持政策的残疾人福利性单位应当同时满足以下条件：</w:t>
            </w:r>
          </w:p>
          <w:p w14:paraId="7EB7FFC4">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（一）安置的残疾人占本单位在职职工人数的比例不低于25%（含25%），并且安置的残疾人人数不少于10人（含10人）；</w:t>
            </w:r>
          </w:p>
          <w:p w14:paraId="0DF4A351">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（二）依法与安置的每位残疾人签订了一年以上（含一年）的劳动合同或服务协议；</w:t>
            </w:r>
          </w:p>
          <w:p w14:paraId="5705B76C">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（三）为安置的每位残疾人按月足额缴纳了基本养老保险、基本医疗保险、失业保险、工伤保险和生育保险等社会保险费；</w:t>
            </w:r>
          </w:p>
          <w:p w14:paraId="4455078A">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（四）通过银行等金融机构向安置的每位残疾人，按月支付了不低于单位所在区县适用的经省级人民政府批准的月最低工资标准的工资；</w:t>
            </w:r>
          </w:p>
          <w:p w14:paraId="545275CE">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0AD7456C">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A1E7B4B">
            <w:pPr>
              <w:pStyle w:val="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3.2符合条</w:t>
            </w:r>
            <w:r>
              <w:rPr>
                <w:rFonts w:hint="eastAsia" w:ascii="宋体" w:hAnsi="宋体" w:eastAsia="宋体" w:cs="宋体"/>
                <w:color w:val="000000" w:themeColor="text1"/>
                <w:sz w:val="24"/>
                <w:szCs w:val="24"/>
                <w:highlight w:val="none"/>
                <w14:textFill>
                  <w14:solidFill>
                    <w14:schemeClr w14:val="tx1"/>
                  </w14:solidFill>
                </w14:textFill>
              </w:rPr>
              <w:t>件的残疾人福利性单位在参加政府采购活动时，应当按《三部门联合发布关于促进残疾人就业政府采购政策的通知》（财库〔2017〕141号）提供规定的《残疾人福利性单位声明函》，并对声明的真实性负责。</w:t>
            </w:r>
          </w:p>
          <w:p w14:paraId="2E162100">
            <w:pPr>
              <w:pStyle w:val="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3.3残疾人福利性单位属于小型、微型企业的，不重复享受政策。</w:t>
            </w:r>
          </w:p>
          <w:p w14:paraId="28CB76FA">
            <w:pPr>
              <w:pStyle w:val="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关于节能产品及环境标志产品：</w:t>
            </w:r>
          </w:p>
          <w:p w14:paraId="4C586ADD">
            <w:pPr>
              <w:pStyle w:val="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按照“财政部 发展改革委 生态环境部 市场监管总局 关于调整优化节能产品、环境标志产品政府采购执行机制的通知”财库〔2019〕9号的规定执行。</w:t>
            </w:r>
          </w:p>
          <w:p w14:paraId="3217AA3F">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允许采购进口产品的，优先采购向我国企业转让技术、与我国企业签订消化吸收再创新方案的投标人的进口产品。</w:t>
            </w:r>
          </w:p>
        </w:tc>
      </w:tr>
      <w:tr w14:paraId="72F0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14:paraId="3E546E7F">
            <w:pPr>
              <w:pStyle w:val="20"/>
              <w:spacing w:line="4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35.2.2本项目采购标的对应所属行业</w:t>
            </w:r>
          </w:p>
        </w:tc>
        <w:tc>
          <w:tcPr>
            <w:tcW w:w="8340" w:type="dxa"/>
            <w:gridSpan w:val="2"/>
            <w:vAlign w:val="center"/>
          </w:tcPr>
          <w:p w14:paraId="51772C04">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工业</w:t>
            </w:r>
          </w:p>
        </w:tc>
      </w:tr>
    </w:tbl>
    <w:p w14:paraId="7F3E9EB8">
      <w:pPr>
        <w:rPr>
          <w:rFonts w:ascii="宋体" w:hAnsi="宋体" w:cs="宋体"/>
          <w:color w:val="000000" w:themeColor="text1"/>
          <w:highlight w:val="none"/>
          <w14:textFill>
            <w14:solidFill>
              <w14:schemeClr w14:val="tx1"/>
            </w14:solidFill>
          </w14:textFill>
        </w:rPr>
      </w:pPr>
    </w:p>
    <w:p w14:paraId="65F5AEA1">
      <w:pPr>
        <w:pStyle w:val="3"/>
        <w:numPr>
          <w:ilvl w:val="0"/>
          <w:numId w:val="0"/>
        </w:numPr>
        <w:ind w:left="425"/>
        <w:jc w:val="center"/>
        <w:rPr>
          <w:rFonts w:ascii="宋体" w:hAnsi="宋体" w:eastAsia="宋体" w:cs="宋体"/>
          <w:b w:val="0"/>
          <w:color w:val="000000" w:themeColor="text1"/>
          <w:kern w:val="44"/>
          <w:sz w:val="3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86" w:name="_Toc32699"/>
      <w:bookmarkStart w:id="87" w:name="_Toc12491"/>
      <w:bookmarkStart w:id="88" w:name="_Toc30043"/>
      <w:bookmarkStart w:id="89" w:name="_Toc19803"/>
      <w:bookmarkStart w:id="90" w:name="_Toc3766"/>
      <w:bookmarkStart w:id="91" w:name="_Toc30042"/>
      <w:bookmarkStart w:id="92" w:name="_Toc2561"/>
      <w:bookmarkStart w:id="93" w:name="_Toc34163771"/>
      <w:r>
        <w:rPr>
          <w:rFonts w:hint="eastAsia" w:ascii="宋体" w:hAnsi="宋体" w:eastAsia="宋体" w:cs="宋体"/>
          <w:color w:val="000000" w:themeColor="text1"/>
          <w:sz w:val="30"/>
          <w:szCs w:val="30"/>
          <w:highlight w:val="none"/>
          <w14:textFill>
            <w14:solidFill>
              <w14:schemeClr w14:val="tx1"/>
            </w14:solidFill>
          </w14:textFill>
        </w:rPr>
        <w:t>一</w:t>
      </w:r>
      <w:r>
        <w:rPr>
          <w:rFonts w:hint="eastAsia" w:ascii="宋体" w:hAnsi="宋体" w:eastAsia="宋体" w:cs="宋体"/>
          <w:b w:val="0"/>
          <w:color w:val="000000" w:themeColor="text1"/>
          <w:kern w:val="44"/>
          <w:sz w:val="36"/>
          <w:highlight w:val="none"/>
          <w14:textFill>
            <w14:solidFill>
              <w14:schemeClr w14:val="tx1"/>
            </w14:solidFill>
          </w14:textFill>
        </w:rPr>
        <w:t>、总则</w:t>
      </w:r>
      <w:bookmarkEnd w:id="86"/>
      <w:bookmarkEnd w:id="87"/>
      <w:bookmarkEnd w:id="88"/>
      <w:bookmarkEnd w:id="89"/>
      <w:bookmarkEnd w:id="90"/>
      <w:bookmarkEnd w:id="91"/>
      <w:bookmarkEnd w:id="92"/>
      <w:bookmarkEnd w:id="93"/>
    </w:p>
    <w:p w14:paraId="4DD534D2">
      <w:pPr>
        <w:pStyle w:val="20"/>
        <w:spacing w:line="360" w:lineRule="auto"/>
        <w:ind w:left="242" w:hanging="242" w:hangingChars="101"/>
        <w:jc w:val="left"/>
        <w:rPr>
          <w:rFonts w:hAnsi="宋体" w:cs="宋体"/>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1. 采购人、采购代理机构、</w:t>
      </w:r>
      <w:r>
        <w:rPr>
          <w:rFonts w:hint="eastAsia" w:hAnsi="宋体" w:cs="宋体"/>
          <w:color w:val="000000" w:themeColor="text1"/>
          <w:sz w:val="24"/>
          <w:szCs w:val="24"/>
          <w:highlight w:val="none"/>
          <w14:textFill>
            <w14:solidFill>
              <w14:schemeClr w14:val="tx1"/>
            </w14:solidFill>
          </w14:textFill>
        </w:rPr>
        <w:t>项目名称及项目编号，详见招标文件“</w:t>
      </w:r>
      <w:r>
        <w:rPr>
          <w:rFonts w:hint="eastAsia" w:hAnsi="宋体" w:cs="宋体"/>
          <w:b/>
          <w:color w:val="000000" w:themeColor="text1"/>
          <w:sz w:val="24"/>
          <w:szCs w:val="24"/>
          <w:highlight w:val="none"/>
          <w14:textFill>
            <w14:solidFill>
              <w14:schemeClr w14:val="tx1"/>
            </w14:solidFill>
          </w14:textFill>
        </w:rPr>
        <w:t>投标人须知前附表</w:t>
      </w:r>
      <w:r>
        <w:rPr>
          <w:rFonts w:hint="eastAsia" w:hAnsi="宋体" w:cs="宋体"/>
          <w:color w:val="000000" w:themeColor="text1"/>
          <w:sz w:val="24"/>
          <w:szCs w:val="24"/>
          <w:highlight w:val="none"/>
          <w14:textFill>
            <w14:solidFill>
              <w14:schemeClr w14:val="tx1"/>
            </w14:solidFill>
          </w14:textFill>
        </w:rPr>
        <w:t>”。</w:t>
      </w:r>
    </w:p>
    <w:p w14:paraId="6A8A5740">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 资金来源</w:t>
      </w:r>
    </w:p>
    <w:p w14:paraId="4A49886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2.1本项目资金为财政资金，已落实。用于采购“</w:t>
      </w:r>
      <w:r>
        <w:rPr>
          <w:rFonts w:hint="eastAsia" w:ascii="宋体" w:hAnsi="宋体" w:cs="宋体"/>
          <w:b/>
          <w:color w:val="000000" w:themeColor="text1"/>
          <w:sz w:val="24"/>
          <w:highlight w:val="none"/>
          <w14:textFill>
            <w14:solidFill>
              <w14:schemeClr w14:val="tx1"/>
            </w14:solidFill>
          </w14:textFill>
        </w:rPr>
        <w:t>采购内容及要求</w:t>
      </w:r>
      <w:r>
        <w:rPr>
          <w:rFonts w:hint="eastAsia" w:ascii="宋体" w:hAnsi="宋体" w:cs="宋体"/>
          <w:color w:val="000000" w:themeColor="text1"/>
          <w:sz w:val="24"/>
          <w:highlight w:val="none"/>
          <w14:textFill>
            <w14:solidFill>
              <w14:schemeClr w14:val="tx1"/>
            </w14:solidFill>
          </w14:textFill>
        </w:rPr>
        <w:t>”所列货物或服务。</w:t>
      </w:r>
    </w:p>
    <w:p w14:paraId="7F3B8FAB">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 招标范围</w:t>
      </w:r>
    </w:p>
    <w:p w14:paraId="2885C6A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 本项目招标范围：见“</w:t>
      </w:r>
      <w:r>
        <w:rPr>
          <w:rFonts w:hint="eastAsia" w:ascii="宋体" w:hAnsi="宋体" w:cs="宋体"/>
          <w:b/>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w:t>
      </w:r>
    </w:p>
    <w:p w14:paraId="31F5890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 本项目合同履行期限、质保期、质量标准、交货地点：见“</w:t>
      </w:r>
      <w:r>
        <w:rPr>
          <w:rFonts w:hint="eastAsia" w:ascii="宋体" w:hAnsi="宋体" w:cs="宋体"/>
          <w:b/>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w:t>
      </w:r>
    </w:p>
    <w:p w14:paraId="499D82C4">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 投标人资格要求</w:t>
      </w:r>
    </w:p>
    <w:p w14:paraId="5E05D00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4.1投标人资格要求：见“</w:t>
      </w:r>
      <w:r>
        <w:rPr>
          <w:rFonts w:hint="eastAsia" w:ascii="宋体" w:hAnsi="宋体" w:cs="宋体"/>
          <w:b/>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w:t>
      </w:r>
    </w:p>
    <w:p w14:paraId="0639EB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4.2是否接受联合体投标：见“投标人须知前附表”。</w:t>
      </w:r>
    </w:p>
    <w:p w14:paraId="1A803D65">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 投标费用</w:t>
      </w:r>
    </w:p>
    <w:p w14:paraId="7993AF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5.1不论投标结果如何，投标人均应自行承担所有与准备和参加投标活动有关的全部费用。</w:t>
      </w:r>
    </w:p>
    <w:p w14:paraId="17A0FC31">
      <w:pPr>
        <w:numPr>
          <w:ilvl w:val="0"/>
          <w:numId w:val="3"/>
        </w:numPr>
        <w:tabs>
          <w:tab w:val="left" w:pos="426"/>
          <w:tab w:val="left" w:pos="1588"/>
        </w:tabs>
        <w:adjustRightInd w:val="0"/>
        <w:textAlignment w:val="baseline"/>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质疑</w:t>
      </w:r>
    </w:p>
    <w:p w14:paraId="0290E40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 投标人认为招标文件、招标过程和中标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14:paraId="3FED806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6.2投标人应知其权益受到损害之日，是指：</w:t>
      </w:r>
    </w:p>
    <w:p w14:paraId="785E6D5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（1）对可以质疑的招标文件提出质疑的，为公告期限届满之日；</w:t>
      </w:r>
    </w:p>
    <w:p w14:paraId="7C192D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（2）对采购过程提出质疑的，为各采购程序环节结束之日；</w:t>
      </w:r>
    </w:p>
    <w:p w14:paraId="6149552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（3）对中标结果提出质疑的，为中标结果公告期限届满之日。</w:t>
      </w:r>
    </w:p>
    <w:p w14:paraId="4791F4B9">
      <w:pPr>
        <w:spacing w:line="360" w:lineRule="auto"/>
        <w:ind w:firstLine="482"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6.3投标人提出质疑应符合中华人民共和国财政部第94号令《政府采购质疑和投诉办法》的规定。提出质疑应当提交质疑函和必要的证明材料。质疑函应当包括下列内容：</w:t>
      </w:r>
    </w:p>
    <w:p w14:paraId="250D57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（一）投标人名称、地址、邮编、联系人及联系电话；</w:t>
      </w:r>
    </w:p>
    <w:p w14:paraId="150642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（二）质疑项目的名称、编号；</w:t>
      </w:r>
    </w:p>
    <w:p w14:paraId="039EA93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（三）具体、明确的质疑事项和与质疑事项相关的请求；</w:t>
      </w:r>
    </w:p>
    <w:p w14:paraId="26BBD17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（四）事实依据；</w:t>
      </w:r>
    </w:p>
    <w:p w14:paraId="1A43C15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（五）必要的法律依据；</w:t>
      </w:r>
    </w:p>
    <w:p w14:paraId="106A3480">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（六）提出质疑的日期。</w:t>
      </w:r>
    </w:p>
    <w:p w14:paraId="463AD3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14:paraId="257B23B0">
      <w:pPr>
        <w:wordWrap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接收质疑函的方式：质疑函采取现场书面递交形式或邮寄递交形式。由法定代表人持本人身份证原件或授权委托代理人持本人身份证原件及授权委托书原件，同时携带质疑函（原件）和加盖单位公章的相关依据和证明材料，送至采购代理机构或将以上资料原件扫描件发送至1877834389@qq.com。邮寄送达的以邮件交邮日期为准。</w:t>
      </w:r>
    </w:p>
    <w:p w14:paraId="231232DD">
      <w:pPr>
        <w:spacing w:line="360" w:lineRule="auto"/>
        <w:ind w:firstLine="480" w:firstLineChars="200"/>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联系部门：</w:t>
      </w:r>
      <w:r>
        <w:rPr>
          <w:rFonts w:hint="eastAsia" w:ascii="宋体" w:hAnsi="宋体" w:cs="宋体"/>
          <w:color w:val="000000" w:themeColor="text1"/>
          <w:sz w:val="24"/>
          <w:highlight w:val="none"/>
          <w:lang w:eastAsia="zh-CN"/>
          <w14:textFill>
            <w14:solidFill>
              <w14:schemeClr w14:val="tx1"/>
            </w14:solidFill>
          </w14:textFill>
        </w:rPr>
        <w:t>中德高路咨询（云南）股份有限公司</w:t>
      </w:r>
    </w:p>
    <w:p w14:paraId="78CB677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联系电话：0871-63355782</w:t>
      </w:r>
    </w:p>
    <w:p w14:paraId="37E3764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通讯地址：中国（云南）自由贸易试验区昆明片区官渡区吴井路183号百富琪商业广场B座713号</w:t>
      </w:r>
    </w:p>
    <w:p w14:paraId="2CD5416A">
      <w:pPr>
        <w:spacing w:line="360" w:lineRule="auto"/>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6.5采购代理机构将在收到投标人的质疑函后7个工作日内作出答复，并以书面形式通知质疑投标人和其他有关投标人。</w:t>
      </w:r>
    </w:p>
    <w:p w14:paraId="5FD96894">
      <w:pPr>
        <w:numPr>
          <w:ilvl w:val="0"/>
          <w:numId w:val="3"/>
        </w:numPr>
        <w:tabs>
          <w:tab w:val="left" w:pos="900"/>
          <w:tab w:val="left" w:pos="1588"/>
        </w:tabs>
        <w:adjustRightInd w:val="0"/>
        <w:textAlignment w:val="baseline"/>
        <w:rPr>
          <w:rFonts w:ascii="宋体" w:hAnsi="宋体" w:cs="宋体"/>
          <w:b/>
          <w:bCs/>
          <w:color w:val="000000" w:themeColor="text1"/>
          <w:sz w:val="24"/>
          <w:highlight w:val="none"/>
          <w14:textFill>
            <w14:solidFill>
              <w14:schemeClr w14:val="tx1"/>
            </w14:solidFill>
          </w14:textFill>
        </w:rPr>
      </w:pPr>
      <w:bookmarkStart w:id="94" w:name="_Toc321836357"/>
      <w:r>
        <w:rPr>
          <w:rFonts w:hint="eastAsia" w:ascii="宋体" w:hAnsi="宋体" w:cs="宋体"/>
          <w:b/>
          <w:bCs/>
          <w:color w:val="000000" w:themeColor="text1"/>
          <w:sz w:val="24"/>
          <w:highlight w:val="none"/>
          <w14:textFill>
            <w14:solidFill>
              <w14:schemeClr w14:val="tx1"/>
            </w14:solidFill>
          </w14:textFill>
        </w:rPr>
        <w:t>投诉</w:t>
      </w:r>
      <w:bookmarkEnd w:id="94"/>
    </w:p>
    <w:p w14:paraId="528602F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7.1投诉必须首先经过质疑程序。质疑人对采购代理机构的答复不满意，或者采购代理机构未在规定时间内作出答复的，可以在答复期满后15个工作日向本级财政部门提起投诉。</w:t>
      </w:r>
    </w:p>
    <w:p w14:paraId="61A51ABF">
      <w:pPr>
        <w:pStyle w:val="3"/>
        <w:numPr>
          <w:ilvl w:val="0"/>
          <w:numId w:val="0"/>
        </w:numPr>
        <w:ind w:left="425"/>
        <w:jc w:val="center"/>
        <w:rPr>
          <w:rFonts w:ascii="宋体" w:hAnsi="宋体" w:eastAsia="宋体" w:cs="宋体"/>
          <w:color w:val="000000" w:themeColor="text1"/>
          <w:sz w:val="30"/>
          <w:szCs w:val="30"/>
          <w:highlight w:val="none"/>
          <w14:textFill>
            <w14:solidFill>
              <w14:schemeClr w14:val="tx1"/>
            </w14:solidFill>
          </w14:textFill>
        </w:rPr>
      </w:pPr>
      <w:bookmarkStart w:id="95" w:name="_Toc3128"/>
      <w:bookmarkStart w:id="96" w:name="_Toc34163772"/>
      <w:bookmarkStart w:id="97" w:name="_Toc5415"/>
      <w:bookmarkStart w:id="98" w:name="_Toc1691"/>
      <w:bookmarkStart w:id="99" w:name="_Toc23235"/>
      <w:bookmarkStart w:id="100" w:name="_Toc532"/>
      <w:bookmarkStart w:id="101" w:name="_Toc13224"/>
      <w:bookmarkStart w:id="102" w:name="_Toc11780"/>
      <w:r>
        <w:rPr>
          <w:rFonts w:hint="eastAsia" w:ascii="宋体" w:hAnsi="宋体" w:eastAsia="宋体" w:cs="宋体"/>
          <w:color w:val="000000" w:themeColor="text1"/>
          <w:sz w:val="30"/>
          <w:szCs w:val="30"/>
          <w:highlight w:val="none"/>
          <w14:textFill>
            <w14:solidFill>
              <w14:schemeClr w14:val="tx1"/>
            </w14:solidFill>
          </w14:textFill>
        </w:rPr>
        <w:t>二、招标文件</w:t>
      </w:r>
      <w:bookmarkEnd w:id="95"/>
      <w:bookmarkEnd w:id="96"/>
      <w:bookmarkEnd w:id="97"/>
      <w:bookmarkEnd w:id="98"/>
      <w:bookmarkEnd w:id="99"/>
      <w:bookmarkEnd w:id="100"/>
      <w:bookmarkEnd w:id="101"/>
      <w:bookmarkEnd w:id="102"/>
    </w:p>
    <w:p w14:paraId="44AC72E3">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8. 招标文件构成</w:t>
      </w:r>
    </w:p>
    <w:p w14:paraId="1C2CD94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8.1要求提供的货物、采购过程及合同条款在招标文件中均有说明，招标文件共七章，各章的内容如下：</w:t>
      </w:r>
    </w:p>
    <w:p w14:paraId="0D7E0BA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第一章招标公告</w:t>
      </w:r>
    </w:p>
    <w:p w14:paraId="0DBBF4B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第二章投标人须知</w:t>
      </w:r>
    </w:p>
    <w:p w14:paraId="3042E2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第三章合同书样式及主要条款</w:t>
      </w:r>
    </w:p>
    <w:p w14:paraId="5FF7CF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第四章投标文件格式</w:t>
      </w:r>
    </w:p>
    <w:p w14:paraId="76E2AB4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第五章采购内容及要求</w:t>
      </w:r>
    </w:p>
    <w:p w14:paraId="509EFC0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第六章资格评审标准</w:t>
      </w:r>
    </w:p>
    <w:p w14:paraId="40F9580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第七章评标方法</w:t>
      </w:r>
    </w:p>
    <w:p w14:paraId="3ACDFA8F">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9. 招标文件的澄清</w:t>
      </w:r>
    </w:p>
    <w:p w14:paraId="37369CA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9.1投标人应仔细阅读和检查招标文件的全部内容。如发现缺页或附件不全，应及时向采购代理机构提出，以便补齐。</w:t>
      </w:r>
    </w:p>
    <w:p w14:paraId="1350060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9.2招标文件的澄清以投标人须知前附表规定的形式发给所有获取招标文件的投标人，但不指明澄清问题的来源。澄清发出的时间距本章投标截止时间不足15日的，并且澄清内容可能影响投标文件编制的，将相应延长投标截止时间。</w:t>
      </w:r>
    </w:p>
    <w:p w14:paraId="4351652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9.3除非采购人认为确有必要答复，否则，采购人有权拒绝回复投标人在本章第2.2.2项规定的时间后的任何澄清要求。</w:t>
      </w:r>
    </w:p>
    <w:p w14:paraId="1D13C9A0">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10. 招标文件的修改</w:t>
      </w:r>
    </w:p>
    <w:p w14:paraId="4EFA6A84">
      <w:pPr>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103" w:name="_Toc34163773"/>
      <w:r>
        <w:rPr>
          <w:rFonts w:hint="eastAsia" w:ascii="宋体" w:hAnsi="宋体" w:cs="宋体"/>
          <w:color w:val="000000" w:themeColor="text1"/>
          <w:sz w:val="24"/>
          <w:highlight w:val="none"/>
          <w14:textFill>
            <w14:solidFill>
              <w14:schemeClr w14:val="tx1"/>
            </w14:solidFill>
          </w14:textFill>
        </w:rPr>
        <w:t>10.1 采购人以投标人须知前附表规定的形式修改招标文件，并通知所有已获取招标文件的投标人。修改招标文件的时间距投标截止时间不足15日的，并且修改内容可能影响投标文件编制的，将相应延长投标截止时间。</w:t>
      </w:r>
    </w:p>
    <w:p w14:paraId="58FF53F2">
      <w:pPr>
        <w:pStyle w:val="3"/>
        <w:numPr>
          <w:ilvl w:val="0"/>
          <w:numId w:val="0"/>
        </w:numPr>
        <w:ind w:left="425"/>
        <w:jc w:val="center"/>
        <w:rPr>
          <w:rFonts w:ascii="宋体" w:hAnsi="宋体" w:eastAsia="宋体" w:cs="宋体"/>
          <w:color w:val="000000" w:themeColor="text1"/>
          <w:sz w:val="30"/>
          <w:szCs w:val="30"/>
          <w:highlight w:val="none"/>
          <w14:textFill>
            <w14:solidFill>
              <w14:schemeClr w14:val="tx1"/>
            </w14:solidFill>
          </w14:textFill>
        </w:rPr>
      </w:pPr>
      <w:bookmarkStart w:id="104" w:name="_Toc30762"/>
      <w:bookmarkStart w:id="105" w:name="_Toc9047"/>
      <w:bookmarkStart w:id="106" w:name="_Toc28523"/>
      <w:bookmarkStart w:id="107" w:name="_Toc1668"/>
      <w:bookmarkStart w:id="108" w:name="_Toc20425"/>
      <w:bookmarkStart w:id="109" w:name="_Toc513"/>
      <w:bookmarkStart w:id="110" w:name="_Toc17656"/>
      <w:r>
        <w:rPr>
          <w:rFonts w:hint="eastAsia" w:ascii="宋体" w:hAnsi="宋体" w:eastAsia="宋体" w:cs="宋体"/>
          <w:color w:val="000000" w:themeColor="text1"/>
          <w:sz w:val="30"/>
          <w:szCs w:val="30"/>
          <w:highlight w:val="none"/>
          <w14:textFill>
            <w14:solidFill>
              <w14:schemeClr w14:val="tx1"/>
            </w14:solidFill>
          </w14:textFill>
        </w:rPr>
        <w:t>三、投标文件</w:t>
      </w:r>
      <w:bookmarkEnd w:id="103"/>
      <w:bookmarkEnd w:id="104"/>
      <w:bookmarkEnd w:id="105"/>
      <w:bookmarkEnd w:id="106"/>
      <w:bookmarkEnd w:id="107"/>
      <w:bookmarkEnd w:id="108"/>
      <w:bookmarkEnd w:id="109"/>
      <w:bookmarkEnd w:id="110"/>
    </w:p>
    <w:p w14:paraId="65A0AEEF">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11. 投标文件编写注意事项</w:t>
      </w:r>
    </w:p>
    <w:p w14:paraId="4AF339C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11.1投标人应仔细阅读招标文件，在完全了解采购的内容、技术性能要求</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详见“</w:t>
      </w:r>
      <w:r>
        <w:rPr>
          <w:rFonts w:hint="eastAsia" w:ascii="宋体" w:hAnsi="宋体" w:cs="宋体"/>
          <w:b/>
          <w:color w:val="000000" w:themeColor="text1"/>
          <w:sz w:val="24"/>
          <w:highlight w:val="none"/>
          <w14:textFill>
            <w14:solidFill>
              <w14:schemeClr w14:val="tx1"/>
            </w14:solidFill>
          </w14:textFill>
        </w:rPr>
        <w:t>采购内容及要求”</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和商务条件后，编写投标文件。招标文件中标注★号的条款为实质性要求和条件，投标文件必须响应招标文件的实质性要求和条件，不满足其中任何一条将导致投标无效。</w:t>
      </w:r>
    </w:p>
    <w:p w14:paraId="7E0E5DA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11.2 对招标文件提出的实质性要求和条件作出响应是指：投标人必须对招标文件中的实质性要求和条件的内容作出满足或者优于原要求和条件的承诺，并提供相应的证明材料。</w:t>
      </w:r>
    </w:p>
    <w:p w14:paraId="0D80307E">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12. 投标的语言及计量单位</w:t>
      </w:r>
    </w:p>
    <w:p w14:paraId="67D7C74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12.1投标人的投标文件以及投标人与采购代理机构就有关投标的所有来往函电统一使用中文（特别规定除外）。</w:t>
      </w:r>
    </w:p>
    <w:p w14:paraId="155D57E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12.2投标文件中使用的计量单位除招标文件中有特殊规定外，一律使用中国法定计量单位。</w:t>
      </w:r>
    </w:p>
    <w:p w14:paraId="673823BF">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13. 投标文件构成</w:t>
      </w:r>
    </w:p>
    <w:p w14:paraId="77661E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13.1 投标文件资格文件部分详见第四章“投标文件格式”资格审查部分中的内容。</w:t>
      </w:r>
    </w:p>
    <w:p w14:paraId="3F777D9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13.2 投标文件商务技术部分详见第四章“投标文件格式”商务技术部分中的内容。</w:t>
      </w:r>
    </w:p>
    <w:p w14:paraId="27C3641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投标人在评标过程中作出的符合法律法规和招标文件规定的澄清确认，构成投标文件的组成部分。</w:t>
      </w:r>
    </w:p>
    <w:p w14:paraId="29DD095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13.3 投标人须知前附表未要求提交投标保证金的，投标文件不包括第四章“投标文件格式”商务技术部分中所指的投标保证金。</w:t>
      </w:r>
    </w:p>
    <w:p w14:paraId="3A5713E2">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14. 投标文件的格式要求</w:t>
      </w:r>
    </w:p>
    <w:p w14:paraId="4AA96C92">
      <w:pPr>
        <w:spacing w:line="360" w:lineRule="auto"/>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14.1投标人应按第四章“</w:t>
      </w:r>
      <w:r>
        <w:rPr>
          <w:rFonts w:hint="eastAsia" w:ascii="宋体" w:hAnsi="宋体" w:cs="宋体"/>
          <w:b/>
          <w:color w:val="000000" w:themeColor="text1"/>
          <w:sz w:val="24"/>
          <w:highlight w:val="none"/>
          <w14:textFill>
            <w14:solidFill>
              <w14:schemeClr w14:val="tx1"/>
            </w14:solidFill>
          </w14:textFill>
        </w:rPr>
        <w:t>投标文件格式</w:t>
      </w:r>
      <w:r>
        <w:rPr>
          <w:rFonts w:hint="eastAsia" w:ascii="宋体" w:hAnsi="宋体" w:cs="宋体"/>
          <w:color w:val="000000" w:themeColor="text1"/>
          <w:sz w:val="24"/>
          <w:highlight w:val="none"/>
          <w14:textFill>
            <w14:solidFill>
              <w14:schemeClr w14:val="tx1"/>
            </w14:solidFill>
          </w14:textFill>
        </w:rPr>
        <w:t>”提供的格式完整地填写。</w:t>
      </w:r>
    </w:p>
    <w:p w14:paraId="16634BF0">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15. 投标报价</w:t>
      </w:r>
    </w:p>
    <w:p w14:paraId="5AA95669">
      <w:pPr>
        <w:spacing w:line="360" w:lineRule="auto"/>
        <w:ind w:firstLine="482"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15.1本项目预算金额及最高限价见“</w:t>
      </w:r>
      <w:r>
        <w:rPr>
          <w:rFonts w:hint="eastAsia" w:ascii="宋体" w:hAnsi="宋体" w:cs="宋体"/>
          <w:b/>
          <w:bCs/>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”，若投标人的投标报价超过预算金额及最高限价，</w:t>
      </w:r>
      <w:r>
        <w:rPr>
          <w:rFonts w:hint="eastAsia" w:ascii="宋体" w:hAnsi="宋体" w:cs="宋体"/>
          <w:bCs/>
          <w:color w:val="000000" w:themeColor="text1"/>
          <w:sz w:val="24"/>
          <w:highlight w:val="none"/>
          <w14:textFill>
            <w14:solidFill>
              <w14:schemeClr w14:val="tx1"/>
            </w14:solidFill>
          </w14:textFill>
        </w:rPr>
        <w:t>按不实质性响应招标文件要求处理</w:t>
      </w:r>
      <w:r>
        <w:rPr>
          <w:rFonts w:hint="eastAsia" w:ascii="宋体" w:hAnsi="宋体" w:cs="宋体"/>
          <w:color w:val="000000" w:themeColor="text1"/>
          <w:sz w:val="24"/>
          <w:highlight w:val="none"/>
          <w14:textFill>
            <w14:solidFill>
              <w14:schemeClr w14:val="tx1"/>
            </w14:solidFill>
          </w14:textFill>
        </w:rPr>
        <w:t>。</w:t>
      </w:r>
    </w:p>
    <w:p w14:paraId="3BBD7D9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15.2投标人须就“采购内容及要求”中的所投标段货物或服务内容作完整唯一报价。</w:t>
      </w:r>
    </w:p>
    <w:p w14:paraId="089A39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15.3投标人应依据招标文件的要求及有关资料，按国家、行业、市场现行技术经济标准及规范，自行测算出满足招标要求的投标货物的投标报价。</w:t>
      </w:r>
      <w:r>
        <w:rPr>
          <w:rFonts w:hint="eastAsia" w:ascii="宋体" w:hAnsi="宋体" w:cs="宋体"/>
          <w:b/>
          <w:color w:val="000000" w:themeColor="text1"/>
          <w:sz w:val="24"/>
          <w:highlight w:val="none"/>
          <w14:textFill>
            <w14:solidFill>
              <w14:schemeClr w14:val="tx1"/>
            </w14:solidFill>
          </w14:textFill>
        </w:rPr>
        <w:t>投标报价</w:t>
      </w:r>
      <w:r>
        <w:rPr>
          <w:rFonts w:hint="eastAsia" w:ascii="宋体" w:hAnsi="宋体" w:cs="宋体"/>
          <w:color w:val="000000" w:themeColor="text1"/>
          <w:sz w:val="24"/>
          <w:highlight w:val="none"/>
          <w14:textFill>
            <w14:solidFill>
              <w14:schemeClr w14:val="tx1"/>
            </w14:solidFill>
          </w14:textFill>
        </w:rPr>
        <w:t>包括但不仅限于货物出厂价、安装调试费、运杂费、差旅费、保险费等，投标人技术服务费、售后服务</w:t>
      </w:r>
      <w:r>
        <w:rPr>
          <w:rFonts w:hint="eastAsia" w:ascii="宋体" w:hAnsi="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招标代理服务费，质保期内缺陷的修复补救费用，市场价格变化的风险费用、利润、税金等完成本项目所需的全部费用，该报价应考虑市场风险、政策性风险、汇率风险等因素，并能保证投标人完成履行合同所需的全部工作，此价格在合同签订后将不作调整。</w:t>
      </w:r>
    </w:p>
    <w:p w14:paraId="0DE6B5B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15.4货物的出厂价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w:t>
      </w:r>
      <w:r>
        <w:rPr>
          <w:rFonts w:hint="eastAsia" w:ascii="宋体" w:hAnsi="宋体" w:cs="宋体"/>
          <w:bCs/>
          <w:color w:val="000000" w:themeColor="text1"/>
          <w:sz w:val="24"/>
          <w:highlight w:val="none"/>
          <w14:textFill>
            <w14:solidFill>
              <w14:schemeClr w14:val="tx1"/>
            </w14:solidFill>
          </w14:textFill>
        </w:rPr>
        <w:t>的价格</w:t>
      </w:r>
      <w:r>
        <w:rPr>
          <w:rFonts w:hint="eastAsia" w:ascii="宋体" w:hAnsi="宋体" w:cs="宋体"/>
          <w:color w:val="000000" w:themeColor="text1"/>
          <w:sz w:val="24"/>
          <w:highlight w:val="none"/>
          <w14:textFill>
            <w14:solidFill>
              <w14:schemeClr w14:val="tx1"/>
            </w14:solidFill>
          </w14:textFill>
        </w:rPr>
        <w:t>。</w:t>
      </w:r>
    </w:p>
    <w:p w14:paraId="184A4C3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w:t>
      </w:r>
      <w:r>
        <w:rPr>
          <w:rFonts w:hint="eastAsia" w:ascii="宋体" w:hAnsi="宋体" w:cs="宋体"/>
          <w:bCs/>
          <w:color w:val="000000" w:themeColor="text1"/>
          <w:sz w:val="24"/>
          <w:highlight w:val="none"/>
          <w14:textFill>
            <w14:solidFill>
              <w14:schemeClr w14:val="tx1"/>
            </w14:solidFill>
          </w14:textFill>
        </w:rPr>
        <w:t>5</w:t>
      </w:r>
      <w:r>
        <w:rPr>
          <w:rFonts w:hint="eastAsia" w:ascii="宋体" w:hAnsi="宋体" w:cs="宋体"/>
          <w:b/>
          <w:color w:val="000000" w:themeColor="text1"/>
          <w:sz w:val="24"/>
          <w:highlight w:val="none"/>
          <w14:textFill>
            <w14:solidFill>
              <w14:schemeClr w14:val="tx1"/>
            </w14:solidFill>
          </w14:textFill>
        </w:rPr>
        <w:t>运杂费用</w:t>
      </w:r>
      <w:r>
        <w:rPr>
          <w:rFonts w:hint="eastAsia" w:ascii="宋体" w:hAnsi="宋体" w:cs="宋体"/>
          <w:color w:val="000000" w:themeColor="text1"/>
          <w:sz w:val="24"/>
          <w:highlight w:val="none"/>
          <w14:textFill>
            <w14:solidFill>
              <w14:schemeClr w14:val="tx1"/>
            </w14:solidFill>
          </w14:textFill>
        </w:rPr>
        <w:t>：即投标货物到交货地点前的所有费用，包括铁路或公路运费、提货及转运费用、短途运费、包装费、装卸费用、保险费等。</w:t>
      </w:r>
    </w:p>
    <w:p w14:paraId="6900972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15.6</w:t>
      </w:r>
      <w:r>
        <w:rPr>
          <w:rFonts w:hint="eastAsia" w:ascii="宋体" w:hAnsi="宋体" w:cs="宋体"/>
          <w:b/>
          <w:color w:val="000000" w:themeColor="text1"/>
          <w:sz w:val="24"/>
          <w:highlight w:val="none"/>
          <w14:textFill>
            <w14:solidFill>
              <w14:schemeClr w14:val="tx1"/>
            </w14:solidFill>
          </w14:textFill>
        </w:rPr>
        <w:t>技术服务费用</w:t>
      </w:r>
      <w:r>
        <w:rPr>
          <w:rFonts w:hint="eastAsia" w:ascii="宋体" w:hAnsi="宋体" w:cs="宋体"/>
          <w:color w:val="000000" w:themeColor="text1"/>
          <w:sz w:val="24"/>
          <w:highlight w:val="none"/>
          <w14:textFill>
            <w14:solidFill>
              <w14:schemeClr w14:val="tx1"/>
            </w14:solidFill>
          </w14:textFill>
        </w:rPr>
        <w:t>包括：设计联络费用（若有）、现场服务、技术资料费以及技术咨询协调费用等。</w:t>
      </w:r>
    </w:p>
    <w:p w14:paraId="014548F4">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16. 投标货币</w:t>
      </w:r>
    </w:p>
    <w:p w14:paraId="08BEA3D0">
      <w:pPr>
        <w:spacing w:line="360" w:lineRule="auto"/>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16.1投标以人民币报价。</w:t>
      </w:r>
    </w:p>
    <w:p w14:paraId="00D7D916">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17. 投标文件有效期</w:t>
      </w:r>
    </w:p>
    <w:p w14:paraId="28FF9C1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17.1在“</w:t>
      </w:r>
      <w:r>
        <w:rPr>
          <w:rFonts w:hint="eastAsia" w:ascii="宋体" w:hAnsi="宋体" w:cs="宋体"/>
          <w:b/>
          <w:bCs/>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”规定的投标有效期内，投标人不得要求撤销或修改其投标文件。</w:t>
      </w:r>
    </w:p>
    <w:p w14:paraId="66115FEA">
      <w:pPr>
        <w:spacing w:line="360" w:lineRule="auto"/>
        <w:ind w:firstLine="482"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17.2投标有效期从提交投标文件的截止之日起算。投标文件中承诺的投标有效期应当不少于招标文件中载明的投标有效期。投标有效期内投标人撤销投标文件的，采购代理机构可以不退还投标保证金。</w:t>
      </w:r>
    </w:p>
    <w:p w14:paraId="52C3449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1BB3A059">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18.分包</w:t>
      </w:r>
    </w:p>
    <w:p w14:paraId="290D1C8E">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18.1不允许</w:t>
      </w:r>
      <w:r>
        <w:rPr>
          <w:rFonts w:hint="eastAsia" w:ascii="宋体" w:hAnsi="宋体" w:cs="宋体"/>
          <w:color w:val="000000" w:themeColor="text1"/>
          <w:kern w:val="0"/>
          <w:sz w:val="24"/>
          <w:highlight w:val="none"/>
          <w14:textFill>
            <w14:solidFill>
              <w14:schemeClr w14:val="tx1"/>
            </w14:solidFill>
          </w14:textFill>
        </w:rPr>
        <w:t>分包。</w:t>
      </w:r>
    </w:p>
    <w:p w14:paraId="6A35ACD9">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kern w:val="0"/>
          <w:sz w:val="24"/>
          <w:highlight w:val="none"/>
          <w14:textFill>
            <w14:solidFill>
              <w14:schemeClr w14:val="tx1"/>
            </w14:solidFill>
          </w14:textFill>
        </w:rPr>
        <w:t>19. 投标人应当遵循公平竞争的原则，不得恶意串通，不得妨碍其他投标人的竞争行为，不得损害采购人或者其他投标人的合法权益</w:t>
      </w:r>
      <w:r>
        <w:rPr>
          <w:rFonts w:hint="eastAsia" w:ascii="宋体" w:hAnsi="宋体" w:cs="宋体"/>
          <w:color w:val="000000" w:themeColor="text1"/>
          <w:kern w:val="0"/>
          <w:sz w:val="24"/>
          <w:highlight w:val="none"/>
          <w14:textFill>
            <w14:solidFill>
              <w14:schemeClr w14:val="tx1"/>
            </w14:solidFill>
          </w14:textFill>
        </w:rPr>
        <w:t>。</w:t>
      </w:r>
    </w:p>
    <w:p w14:paraId="68717F9F">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20. 投标文件的编制</w:t>
      </w:r>
    </w:p>
    <w:p w14:paraId="5BE1FA2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20.1投标文件应按第四章“投标文件格式”进行编写，投标人应安装“政采云”投标客户端，根据招标文件格式编制投标文件，投标文件编制完成后须用CA按格式进行电子签章，在所要求的位置有法定代表人的电子签名或盖章，均使用CA按格式进行电子签章，最终生成加密标书后进行上传。</w:t>
      </w:r>
    </w:p>
    <w:p w14:paraId="4D40111E">
      <w:pPr>
        <w:spacing w:line="360" w:lineRule="auto"/>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20.2投标文件中提</w:t>
      </w:r>
      <w:r>
        <w:rPr>
          <w:rFonts w:hint="eastAsia" w:ascii="宋体" w:hAnsi="宋体" w:cs="宋体"/>
          <w:bCs/>
          <w:color w:val="000000" w:themeColor="text1"/>
          <w:sz w:val="24"/>
          <w:highlight w:val="none"/>
          <w14:textFill>
            <w14:solidFill>
              <w14:schemeClr w14:val="tx1"/>
            </w14:solidFill>
          </w14:textFill>
        </w:rPr>
        <w:t>供的资料（扫描件），内容必须清晰可辨，若内容模糊，无法辨识，均视为未提供。</w:t>
      </w:r>
    </w:p>
    <w:p w14:paraId="40991CB0">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21. 投标保证金</w:t>
      </w:r>
    </w:p>
    <w:p w14:paraId="568E12B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21.1投标保证金为人民币。投标人应在提交投标文件截止时间以前按“</w:t>
      </w:r>
      <w:r>
        <w:rPr>
          <w:rFonts w:hint="eastAsia" w:ascii="宋体" w:hAnsi="宋体" w:cs="宋体"/>
          <w:b/>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”规定的金额及形式提交，并在规定的时间内保持有效。</w:t>
      </w:r>
    </w:p>
    <w:p w14:paraId="62BD272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21.2</w:t>
      </w:r>
      <w:r>
        <w:rPr>
          <w:rFonts w:hint="eastAsia" w:ascii="宋体" w:hAnsi="宋体" w:cs="宋体"/>
          <w:color w:val="000000" w:themeColor="text1"/>
          <w:kern w:val="0"/>
          <w:sz w:val="24"/>
          <w:highlight w:val="none"/>
          <w14:textFill>
            <w14:solidFill>
              <w14:schemeClr w14:val="tx1"/>
            </w14:solidFill>
          </w14:textFill>
        </w:rPr>
        <w:t>投标人在投标截止时间前撤回已提交的</w:t>
      </w:r>
      <w:r>
        <w:rPr>
          <w:rFonts w:hint="eastAsia" w:ascii="宋体" w:hAnsi="宋体" w:cs="宋体"/>
          <w:color w:val="000000" w:themeColor="text1"/>
          <w:sz w:val="24"/>
          <w:highlight w:val="none"/>
          <w14:textFill>
            <w14:solidFill>
              <w14:schemeClr w14:val="tx1"/>
            </w14:solidFill>
          </w14:textFill>
        </w:rPr>
        <w:t>投标</w:t>
      </w:r>
      <w:r>
        <w:rPr>
          <w:rFonts w:hint="eastAsia" w:ascii="宋体" w:hAnsi="宋体" w:cs="宋体"/>
          <w:color w:val="000000" w:themeColor="text1"/>
          <w:kern w:val="0"/>
          <w:sz w:val="24"/>
          <w:highlight w:val="none"/>
          <w14:textFill>
            <w14:solidFill>
              <w14:schemeClr w14:val="tx1"/>
            </w14:solidFill>
          </w14:textFill>
        </w:rPr>
        <w:t>文件的，采购代理机构将在自收到投标人书面撤回通知之日起5个工作日内，退还已收取的投标保证金，但因投标人自身原因导致无法及时退还的除外</w:t>
      </w:r>
      <w:r>
        <w:rPr>
          <w:rFonts w:hint="eastAsia" w:ascii="宋体" w:hAnsi="宋体" w:cs="宋体"/>
          <w:color w:val="000000" w:themeColor="text1"/>
          <w:sz w:val="24"/>
          <w:highlight w:val="none"/>
          <w14:textFill>
            <w14:solidFill>
              <w14:schemeClr w14:val="tx1"/>
            </w14:solidFill>
          </w14:textFill>
        </w:rPr>
        <w:t>。</w:t>
      </w:r>
    </w:p>
    <w:p w14:paraId="711B67D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21.3未中标人的投标保证金将在中标公告发出后5个工作日退还；中标人的投标保证金将在采购合同签订之日起5个工作日内退还。</w:t>
      </w:r>
    </w:p>
    <w:p w14:paraId="51C37DF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21.4投标保证金的退回只以网上银行转账的方式进行。</w:t>
      </w:r>
    </w:p>
    <w:p w14:paraId="60DB15B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21.5下列情况发生时，投标保证金将不予退还</w:t>
      </w:r>
    </w:p>
    <w:p w14:paraId="7E8C6D64">
      <w:pPr>
        <w:pStyle w:val="20"/>
        <w:spacing w:line="360" w:lineRule="auto"/>
        <w:ind w:left="359" w:leftChars="171"/>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（1）投标人在投标有效期内撤销投标的；</w:t>
      </w:r>
    </w:p>
    <w:p w14:paraId="55FCFC51">
      <w:pPr>
        <w:spacing w:line="360" w:lineRule="auto"/>
        <w:ind w:firstLine="360" w:firstLineChars="1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（2）中标人中标后无正当理由不与采购人签订合同的；</w:t>
      </w:r>
      <w:r>
        <w:rPr>
          <w:rFonts w:hint="eastAsia" w:ascii="宋体" w:hAnsi="宋体" w:cs="宋体"/>
          <w:color w:val="000000" w:themeColor="text1"/>
          <w:sz w:val="24"/>
          <w:highlight w:val="none"/>
          <w14:textFill>
            <w14:solidFill>
              <w14:schemeClr w14:val="tx1"/>
            </w14:solidFill>
          </w14:textFill>
        </w:rPr>
        <w:tab/>
      </w:r>
    </w:p>
    <w:p w14:paraId="34810A55">
      <w:pPr>
        <w:spacing w:line="360" w:lineRule="auto"/>
        <w:ind w:firstLine="360" w:firstLineChars="1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（3）中标人将中标项目转让给他人，或者在投标文件中未说明，且未经采购人同意，将中标项目分包给他人的；</w:t>
      </w:r>
    </w:p>
    <w:p w14:paraId="4011D679">
      <w:pPr>
        <w:pStyle w:val="20"/>
        <w:spacing w:line="360" w:lineRule="auto"/>
        <w:ind w:left="359" w:leftChars="171"/>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（4）中标人拒绝履行合同义务的。</w:t>
      </w:r>
    </w:p>
    <w:p w14:paraId="56432936">
      <w:pPr>
        <w:pStyle w:val="3"/>
        <w:numPr>
          <w:ilvl w:val="0"/>
          <w:numId w:val="0"/>
        </w:numPr>
        <w:ind w:left="425"/>
        <w:jc w:val="center"/>
        <w:rPr>
          <w:rFonts w:ascii="宋体" w:hAnsi="宋体" w:eastAsia="宋体" w:cs="宋体"/>
          <w:color w:val="000000" w:themeColor="text1"/>
          <w:sz w:val="30"/>
          <w:szCs w:val="30"/>
          <w:highlight w:val="none"/>
          <w14:textFill>
            <w14:solidFill>
              <w14:schemeClr w14:val="tx1"/>
            </w14:solidFill>
          </w14:textFill>
        </w:rPr>
      </w:pPr>
      <w:bookmarkStart w:id="111" w:name="_Toc15022"/>
      <w:bookmarkStart w:id="112" w:name="_Toc11252"/>
      <w:bookmarkStart w:id="113" w:name="_Toc5310"/>
      <w:bookmarkStart w:id="114" w:name="_Toc26726"/>
      <w:bookmarkStart w:id="115" w:name="_Toc18206"/>
      <w:bookmarkStart w:id="116" w:name="_Toc20497"/>
      <w:bookmarkStart w:id="117" w:name="_Toc34163774"/>
      <w:bookmarkStart w:id="118" w:name="_Toc29987"/>
      <w:r>
        <w:rPr>
          <w:rFonts w:hint="eastAsia" w:ascii="宋体" w:hAnsi="宋体" w:eastAsia="宋体" w:cs="宋体"/>
          <w:color w:val="000000" w:themeColor="text1"/>
          <w:sz w:val="30"/>
          <w:szCs w:val="30"/>
          <w:highlight w:val="none"/>
          <w14:textFill>
            <w14:solidFill>
              <w14:schemeClr w14:val="tx1"/>
            </w14:solidFill>
          </w14:textFill>
        </w:rPr>
        <w:t>四、投标文件的提交</w:t>
      </w:r>
      <w:bookmarkEnd w:id="111"/>
      <w:bookmarkEnd w:id="112"/>
      <w:bookmarkEnd w:id="113"/>
      <w:bookmarkEnd w:id="114"/>
      <w:bookmarkEnd w:id="115"/>
      <w:bookmarkEnd w:id="116"/>
      <w:bookmarkEnd w:id="117"/>
      <w:bookmarkEnd w:id="118"/>
    </w:p>
    <w:p w14:paraId="11763942">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22. 投标文件的密封与标记</w:t>
      </w:r>
    </w:p>
    <w:p w14:paraId="58893968">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22.1</w:t>
      </w:r>
      <w:r>
        <w:rPr>
          <w:rFonts w:hint="eastAsia" w:ascii="宋体" w:hAnsi="宋体" w:cs="宋体"/>
          <w:b/>
          <w:color w:val="000000" w:themeColor="text1"/>
          <w:sz w:val="24"/>
          <w:highlight w:val="none"/>
          <w14:textFill>
            <w14:solidFill>
              <w14:schemeClr w14:val="tx1"/>
            </w14:solidFill>
          </w14:textFill>
        </w:rPr>
        <w:t>电子投标文件的密封和标记</w:t>
      </w:r>
    </w:p>
    <w:p w14:paraId="12C970D6">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网上递交的投标文件需要对投标文件进行加密。</w:t>
      </w:r>
    </w:p>
    <w:p w14:paraId="26917736">
      <w:pPr>
        <w:pStyle w:val="20"/>
        <w:spacing w:line="360" w:lineRule="auto"/>
        <w:rPr>
          <w:rFonts w:hAnsi="宋体" w:cs="宋体"/>
          <w:b/>
          <w:bCs/>
          <w:color w:val="000000" w:themeColor="text1"/>
          <w:sz w:val="24"/>
          <w:szCs w:val="24"/>
          <w:highlight w:val="none"/>
          <w14:textFill>
            <w14:solidFill>
              <w14:schemeClr w14:val="tx1"/>
            </w14:solidFill>
          </w14:textFill>
        </w:rPr>
      </w:pPr>
      <w:bookmarkStart w:id="119" w:name="_Toc482610903"/>
      <w:r>
        <w:rPr>
          <w:rFonts w:hint="eastAsia" w:hAnsi="宋体" w:cs="宋体"/>
          <w:b/>
          <w:bCs/>
          <w:color w:val="000000" w:themeColor="text1"/>
          <w:sz w:val="24"/>
          <w:szCs w:val="24"/>
          <w:highlight w:val="none"/>
          <w14:textFill>
            <w14:solidFill>
              <w14:schemeClr w14:val="tx1"/>
            </w14:solidFill>
          </w14:textFill>
        </w:rPr>
        <w:t>23. 提交投标文件的截止时间和地点</w:t>
      </w:r>
      <w:bookmarkEnd w:id="119"/>
    </w:p>
    <w:p w14:paraId="1D84CA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23.1投标文件提交不得迟于“</w:t>
      </w:r>
      <w:r>
        <w:rPr>
          <w:rFonts w:hint="eastAsia" w:ascii="宋体" w:hAnsi="宋体" w:cs="宋体"/>
          <w:b/>
          <w:bCs/>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”规定的提交截止时间。</w:t>
      </w:r>
    </w:p>
    <w:p w14:paraId="014590D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23.2投标文件提交地点：详见“</w:t>
      </w:r>
      <w:r>
        <w:rPr>
          <w:rFonts w:hint="eastAsia" w:ascii="宋体" w:hAnsi="宋体" w:cs="宋体"/>
          <w:b/>
          <w:bCs/>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w:t>
      </w:r>
    </w:p>
    <w:p w14:paraId="4D8AF09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23.2投标文件的退还：详见“</w:t>
      </w:r>
      <w:r>
        <w:rPr>
          <w:rFonts w:hint="eastAsia" w:ascii="宋体" w:hAnsi="宋体" w:cs="宋体"/>
          <w:b/>
          <w:bCs/>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w:t>
      </w:r>
    </w:p>
    <w:p w14:paraId="15B0AD1A">
      <w:pPr>
        <w:pStyle w:val="20"/>
        <w:spacing w:line="360" w:lineRule="auto"/>
        <w:rPr>
          <w:rFonts w:hAnsi="宋体" w:cs="宋体"/>
          <w:color w:val="000000" w:themeColor="text1"/>
          <w:szCs w:val="21"/>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24. 电子投标文件的修改与撤回</w:t>
      </w:r>
    </w:p>
    <w:p w14:paraId="4BDEA0A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24.1在投标截止时间前，投标人可以修改或撤回已在网上递交的投标文件，无须书面形式通知招标人。</w:t>
      </w:r>
    </w:p>
    <w:p w14:paraId="49326EBE">
      <w:pPr>
        <w:pStyle w:val="3"/>
        <w:numPr>
          <w:ilvl w:val="0"/>
          <w:numId w:val="0"/>
        </w:numPr>
        <w:ind w:left="425"/>
        <w:jc w:val="center"/>
        <w:rPr>
          <w:rFonts w:ascii="宋体" w:hAnsi="宋体" w:eastAsia="宋体" w:cs="宋体"/>
          <w:color w:val="000000" w:themeColor="text1"/>
          <w:sz w:val="30"/>
          <w:szCs w:val="30"/>
          <w:highlight w:val="none"/>
          <w14:textFill>
            <w14:solidFill>
              <w14:schemeClr w14:val="tx1"/>
            </w14:solidFill>
          </w14:textFill>
        </w:rPr>
      </w:pPr>
      <w:bookmarkStart w:id="120" w:name="_Toc29666"/>
      <w:bookmarkStart w:id="121" w:name="_Toc31641"/>
      <w:bookmarkStart w:id="122" w:name="_Toc8209"/>
      <w:bookmarkStart w:id="123" w:name="_Toc34163775"/>
      <w:bookmarkStart w:id="124" w:name="_Toc22055"/>
      <w:bookmarkStart w:id="125" w:name="_Toc811"/>
      <w:bookmarkStart w:id="126" w:name="_Toc10919"/>
      <w:bookmarkStart w:id="127" w:name="_Toc31572"/>
      <w:r>
        <w:rPr>
          <w:rFonts w:hint="eastAsia" w:ascii="宋体" w:hAnsi="宋体" w:eastAsia="宋体" w:cs="宋体"/>
          <w:color w:val="000000" w:themeColor="text1"/>
          <w:sz w:val="30"/>
          <w:szCs w:val="30"/>
          <w:highlight w:val="none"/>
          <w14:textFill>
            <w14:solidFill>
              <w14:schemeClr w14:val="tx1"/>
            </w14:solidFill>
          </w14:textFill>
        </w:rPr>
        <w:t>五、开标与评标</w:t>
      </w:r>
      <w:bookmarkEnd w:id="120"/>
      <w:bookmarkEnd w:id="121"/>
      <w:bookmarkEnd w:id="122"/>
      <w:bookmarkEnd w:id="123"/>
      <w:bookmarkEnd w:id="124"/>
      <w:bookmarkEnd w:id="125"/>
      <w:bookmarkEnd w:id="126"/>
      <w:bookmarkEnd w:id="127"/>
    </w:p>
    <w:p w14:paraId="7574BE8C">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25. 开标</w:t>
      </w:r>
    </w:p>
    <w:p w14:paraId="245A32F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25.1采购代理机构将在“</w:t>
      </w:r>
      <w:r>
        <w:rPr>
          <w:rFonts w:hint="eastAsia" w:ascii="宋体" w:hAnsi="宋体" w:cs="宋体"/>
          <w:b/>
          <w:bCs/>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”规定的时间和地点公开开标。</w:t>
      </w:r>
    </w:p>
    <w:p w14:paraId="2892524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25.2投标截止后投标人不足3家的，不得开标。</w:t>
      </w:r>
    </w:p>
    <w:p w14:paraId="1584A76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25.3开标程序：</w:t>
      </w:r>
    </w:p>
    <w:p w14:paraId="06643F36">
      <w:pPr>
        <w:pStyle w:val="20"/>
        <w:spacing w:line="360" w:lineRule="auto"/>
        <w:ind w:firstLine="54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（1）开标会由采购代理机构主持；</w:t>
      </w:r>
    </w:p>
    <w:p w14:paraId="6933A96A">
      <w:pPr>
        <w:pStyle w:val="20"/>
        <w:spacing w:line="360" w:lineRule="auto"/>
        <w:ind w:firstLine="54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（2）开标：设置解密时间后，由各投标人进行在线远程解密；</w:t>
      </w:r>
    </w:p>
    <w:p w14:paraId="6AA0AEAC">
      <w:pPr>
        <w:pStyle w:val="20"/>
        <w:spacing w:line="360" w:lineRule="auto"/>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注：请投标人务必使用编制投标文件时的加密数字证书进行远程解密。</w:t>
      </w:r>
    </w:p>
    <w:p w14:paraId="32B77812">
      <w:pPr>
        <w:pStyle w:val="20"/>
        <w:spacing w:line="360" w:lineRule="auto"/>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（3）唱标：由唱标人（或系统）宣读投标人在其电子投标文件中</w:t>
      </w:r>
      <w:r>
        <w:rPr>
          <w:rFonts w:hint="eastAsia" w:hAnsi="宋体" w:cs="宋体"/>
          <w:color w:val="000000" w:themeColor="text1"/>
          <w:kern w:val="0"/>
          <w:sz w:val="24"/>
          <w:szCs w:val="24"/>
          <w:highlight w:val="none"/>
          <w14:textFill>
            <w14:solidFill>
              <w14:schemeClr w14:val="tx1"/>
            </w14:solidFill>
          </w14:textFill>
        </w:rPr>
        <w:t>、投标价格和招标文件规定的需要宣布的其他内容</w:t>
      </w:r>
      <w:r>
        <w:rPr>
          <w:rFonts w:hint="eastAsia" w:hAnsi="宋体" w:cs="宋体"/>
          <w:color w:val="000000" w:themeColor="text1"/>
          <w:sz w:val="24"/>
          <w:szCs w:val="24"/>
          <w:highlight w:val="none"/>
          <w14:textFill>
            <w14:solidFill>
              <w14:schemeClr w14:val="tx1"/>
            </w14:solidFill>
          </w14:textFill>
        </w:rPr>
        <w:t>。</w:t>
      </w:r>
    </w:p>
    <w:p w14:paraId="219234D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25.4开标工作人员将做开标记录，参加开标的各投标人代表（在线）和相关工作人员须签字确认。</w:t>
      </w:r>
    </w:p>
    <w:p w14:paraId="099A948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6EEB5FA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25.6投标人未参加开标或未当场提出异议的，视同认可开标结果。</w:t>
      </w:r>
    </w:p>
    <w:p w14:paraId="5EBE3952">
      <w:pPr>
        <w:pStyle w:val="20"/>
        <w:spacing w:line="360" w:lineRule="auto"/>
        <w:ind w:left="2"/>
        <w:jc w:val="left"/>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26.资格审查</w:t>
      </w:r>
    </w:p>
    <w:p w14:paraId="6083CDB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26.1开标结束后，采购人或者采购代理机构应当按照“第六章资格评审标准”依法对投标人的资格进行审查，合格投标人不足3家的，不得评标。</w:t>
      </w:r>
    </w:p>
    <w:p w14:paraId="41D182CC">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27. 评标</w:t>
      </w:r>
    </w:p>
    <w:p w14:paraId="7C3AFB5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bookmarkStart w:id="128" w:name="_Toc191374422"/>
      <w:r>
        <w:rPr>
          <w:rFonts w:hint="eastAsia" w:ascii="宋体" w:hAnsi="宋体" w:cs="宋体"/>
          <w:color w:val="000000" w:themeColor="text1"/>
          <w:sz w:val="24"/>
          <w:highlight w:val="none"/>
          <w14:textFill>
            <w14:solidFill>
              <w14:schemeClr w14:val="tx1"/>
            </w14:solidFill>
          </w14:textFill>
        </w:rPr>
        <w:t>27.1评标委员会由采购人代表和有关技术、经济等方面的专家组成，成员人数为5人或以上单数。其中，技术、经济等方面的专家不得少于成员总数的三分之二。评标委员会应当推选组长，但采购人代表不得担任组长。</w:t>
      </w:r>
    </w:p>
    <w:p w14:paraId="20AE75A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采购人委派代表参加评标委员会的，要向采购代理机构出具授权函。</w:t>
      </w:r>
    </w:p>
    <w:p w14:paraId="62D3FF5D">
      <w:pPr>
        <w:spacing w:line="360" w:lineRule="auto"/>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27.2评标原则</w:t>
      </w:r>
      <w:bookmarkEnd w:id="128"/>
      <w:r>
        <w:rPr>
          <w:rFonts w:hint="eastAsia" w:ascii="宋体" w:hAnsi="宋体" w:cs="宋体"/>
          <w:bCs/>
          <w:color w:val="000000" w:themeColor="text1"/>
          <w:sz w:val="24"/>
          <w:highlight w:val="none"/>
          <w14:textFill>
            <w14:solidFill>
              <w14:schemeClr w14:val="tx1"/>
            </w14:solidFill>
          </w14:textFill>
        </w:rPr>
        <w:t>及方法</w:t>
      </w:r>
    </w:p>
    <w:p w14:paraId="268EE45B">
      <w:pPr>
        <w:spacing w:line="360" w:lineRule="auto"/>
        <w:ind w:firstLine="566" w:firstLineChars="23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评标活动遵循公平、公正、科学和择优的原则。</w:t>
      </w:r>
    </w:p>
    <w:p w14:paraId="35EF879F">
      <w:pPr>
        <w:spacing w:line="360" w:lineRule="auto"/>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27.3</w:t>
      </w:r>
      <w:r>
        <w:rPr>
          <w:rFonts w:hint="eastAsia" w:ascii="宋体" w:hAnsi="宋体" w:cs="宋体"/>
          <w:bCs/>
          <w:color w:val="000000" w:themeColor="text1"/>
          <w:sz w:val="24"/>
          <w:highlight w:val="none"/>
          <w14:textFill>
            <w14:solidFill>
              <w14:schemeClr w14:val="tx1"/>
            </w14:solidFill>
          </w14:textFill>
        </w:rPr>
        <w:t>评标方法</w:t>
      </w:r>
    </w:p>
    <w:p w14:paraId="04FD930A">
      <w:pPr>
        <w:spacing w:line="360" w:lineRule="auto"/>
        <w:ind w:firstLine="540" w:firstLineChars="22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本项目按“</w:t>
      </w:r>
      <w:r>
        <w:rPr>
          <w:rFonts w:hint="eastAsia" w:ascii="宋体" w:hAnsi="宋体" w:cs="宋体"/>
          <w:b/>
          <w:bCs/>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”规定的评标方法评标。在评标中，不得改变招标文件中规定的评标标准、方法和中标条件。第七章“</w:t>
      </w:r>
      <w:r>
        <w:rPr>
          <w:rFonts w:hint="eastAsia" w:ascii="宋体" w:hAnsi="宋体" w:cs="宋体"/>
          <w:b/>
          <w:color w:val="000000" w:themeColor="text1"/>
          <w:sz w:val="24"/>
          <w:highlight w:val="none"/>
          <w14:textFill>
            <w14:solidFill>
              <w14:schemeClr w14:val="tx1"/>
            </w14:solidFill>
          </w14:textFill>
        </w:rPr>
        <w:t>评标方法</w:t>
      </w:r>
      <w:r>
        <w:rPr>
          <w:rFonts w:hint="eastAsia" w:ascii="宋体" w:hAnsi="宋体" w:cs="宋体"/>
          <w:color w:val="000000" w:themeColor="text1"/>
          <w:sz w:val="24"/>
          <w:highlight w:val="none"/>
          <w14:textFill>
            <w14:solidFill>
              <w14:schemeClr w14:val="tx1"/>
            </w14:solidFill>
          </w14:textFill>
        </w:rPr>
        <w:t>”没有规定的评审因素和标准，不作为评标依据。</w:t>
      </w:r>
    </w:p>
    <w:p w14:paraId="3809C62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05E68FEE">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★27.5</w:t>
      </w:r>
      <w:r>
        <w:rPr>
          <w:rFonts w:hint="eastAsia" w:ascii="宋体" w:hAnsi="宋体" w:cs="宋体"/>
          <w:color w:val="000000" w:themeColor="text1"/>
          <w:kern w:val="0"/>
          <w:sz w:val="24"/>
          <w:highlight w:val="none"/>
          <w14:textFill>
            <w14:solidFill>
              <w14:schemeClr w14:val="tx1"/>
            </w14:solidFill>
          </w14:textFill>
        </w:rPr>
        <w:t>在评标过程中，评标委员会发现投标人有本须知19条款规定的情形，应当认定其投标无效，并书面报告本级财政部门。</w:t>
      </w:r>
    </w:p>
    <w:p w14:paraId="717E612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27.6有下列情形之一的，视为投标人串通</w:t>
      </w:r>
      <w:r>
        <w:rPr>
          <w:rFonts w:hint="eastAsia" w:ascii="宋体" w:hAnsi="宋体" w:cs="宋体"/>
          <w:color w:val="000000" w:themeColor="text1"/>
          <w:sz w:val="24"/>
          <w:highlight w:val="none"/>
          <w14:textFill>
            <w14:solidFill>
              <w14:schemeClr w14:val="tx1"/>
            </w14:solidFill>
          </w14:textFill>
        </w:rPr>
        <w:t>投标</w:t>
      </w:r>
      <w:r>
        <w:rPr>
          <w:rFonts w:hint="eastAsia" w:ascii="宋体" w:hAnsi="宋体" w:cs="宋体"/>
          <w:color w:val="000000" w:themeColor="text1"/>
          <w:kern w:val="0"/>
          <w:sz w:val="24"/>
          <w:highlight w:val="none"/>
          <w14:textFill>
            <w14:solidFill>
              <w14:schemeClr w14:val="tx1"/>
            </w14:solidFill>
          </w14:textFill>
        </w:rPr>
        <w:t>，其投标无效：</w:t>
      </w:r>
    </w:p>
    <w:p w14:paraId="647C510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（一）不同投标人的投标文件由同一单位或者个人编制（不同单位的投标文件若芯片序列号、硬盘序列号、网卡序列号一致，视为由同一单位或者个人编制）；</w:t>
      </w:r>
    </w:p>
    <w:p w14:paraId="7F1122B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（二）不同投标人委托同一单位或者个人办理投标事宜；</w:t>
      </w:r>
    </w:p>
    <w:p w14:paraId="368FD80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（三）不同投标人的投标文件载明的项目管理成员或者联系人员为同一人；</w:t>
      </w:r>
    </w:p>
    <w:p w14:paraId="4EF875C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（四）不同投标人的投标文件异常一致或者投标报价呈规律性差异；</w:t>
      </w:r>
    </w:p>
    <w:p w14:paraId="47D4D3B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（五）不同投标人的投标文件相互混装；</w:t>
      </w:r>
    </w:p>
    <w:p w14:paraId="1536F61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（六）不同投标人的投标保证金从同一单位或者个人的账户转出。</w:t>
      </w:r>
    </w:p>
    <w:p w14:paraId="51E2AC83">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★27.7若投标人提供的核心产品</w:t>
      </w:r>
      <w:r>
        <w:rPr>
          <w:rFonts w:hint="eastAsia" w:ascii="宋体" w:hAnsi="宋体" w:cs="宋体"/>
          <w:color w:val="000000" w:themeColor="text1"/>
          <w:kern w:val="0"/>
          <w:sz w:val="24"/>
          <w:highlight w:val="none"/>
          <w14:textFill>
            <w14:solidFill>
              <w14:schemeClr w14:val="tx1"/>
            </w14:solidFill>
          </w14:textFill>
        </w:rPr>
        <w:t>为相同品牌且通过资格审查、符合性审查的不同投标人参加同一招标项目标段投标的，按一家投标人计算，评审后得分最高的同品牌投标人获得中标人推荐资格；评审得分相同的，评标委员会将依次按价格低优先、技术部分得分高优先、商务部分得分高优先的顺序确定；所有得分均相等的，按记名投票的方式确定中标候选人，其他同品牌投标人不作为中标候选人。</w:t>
      </w:r>
    </w:p>
    <w:p w14:paraId="2EFEF9FE">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27.8若单个项目标段为非单一产品采购</w:t>
      </w:r>
      <w:r>
        <w:rPr>
          <w:rFonts w:hint="eastAsia" w:ascii="宋体" w:hAnsi="宋体" w:cs="宋体"/>
          <w:color w:val="000000" w:themeColor="text1"/>
          <w:sz w:val="24"/>
          <w:highlight w:val="none"/>
          <w14:textFill>
            <w14:solidFill>
              <w14:schemeClr w14:val="tx1"/>
            </w14:solidFill>
          </w14:textFill>
        </w:rPr>
        <w:t>项目</w:t>
      </w:r>
      <w:r>
        <w:rPr>
          <w:rFonts w:hint="eastAsia" w:ascii="宋体" w:hAnsi="宋体" w:cs="宋体"/>
          <w:color w:val="000000" w:themeColor="text1"/>
          <w:kern w:val="0"/>
          <w:sz w:val="24"/>
          <w:highlight w:val="none"/>
          <w14:textFill>
            <w14:solidFill>
              <w14:schemeClr w14:val="tx1"/>
            </w14:solidFill>
          </w14:textFill>
        </w:rPr>
        <w:t>，对于招标文件第五章规定核心产品，多家投标人提供的核心产品品牌有一项品牌相同的，按27.7款规定处理。</w:t>
      </w:r>
    </w:p>
    <w:p w14:paraId="732011D8">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28. </w:t>
      </w:r>
      <w:r>
        <w:rPr>
          <w:rFonts w:hint="eastAsia" w:hAnsi="宋体" w:cs="宋体"/>
          <w:b/>
          <w:color w:val="000000" w:themeColor="text1"/>
          <w:sz w:val="24"/>
          <w:szCs w:val="24"/>
          <w:highlight w:val="none"/>
          <w14:textFill>
            <w14:solidFill>
              <w14:schemeClr w14:val="tx1"/>
            </w14:solidFill>
          </w14:textFill>
        </w:rPr>
        <w:t>在招标采购中，出现下列情形之一的，应予废标：</w:t>
      </w:r>
    </w:p>
    <w:p w14:paraId="222EB84C">
      <w:pPr>
        <w:pStyle w:val="20"/>
        <w:spacing w:line="360" w:lineRule="auto"/>
        <w:ind w:left="719" w:leftChars="342" w:hanging="1"/>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lang w:eastAsia="zh-CN"/>
          <w14:textFill>
            <w14:solidFill>
              <w14:schemeClr w14:val="tx1"/>
            </w14:solidFill>
          </w14:textFill>
        </w:rPr>
        <w:t>（</w:t>
      </w:r>
      <w:r>
        <w:rPr>
          <w:rFonts w:hint="eastAsia" w:hAnsi="宋体" w:cs="宋体"/>
          <w:b/>
          <w:color w:val="000000" w:themeColor="text1"/>
          <w:sz w:val="24"/>
          <w:szCs w:val="24"/>
          <w:highlight w:val="none"/>
          <w14:textFill>
            <w14:solidFill>
              <w14:schemeClr w14:val="tx1"/>
            </w14:solidFill>
          </w14:textFill>
        </w:rPr>
        <w:t>1</w:t>
      </w:r>
      <w:r>
        <w:rPr>
          <w:rFonts w:hint="eastAsia" w:hAnsi="宋体" w:cs="宋体"/>
          <w:b/>
          <w:color w:val="000000" w:themeColor="text1"/>
          <w:sz w:val="24"/>
          <w:szCs w:val="24"/>
          <w:highlight w:val="none"/>
          <w:lang w:eastAsia="zh-CN"/>
          <w14:textFill>
            <w14:solidFill>
              <w14:schemeClr w14:val="tx1"/>
            </w14:solidFill>
          </w14:textFill>
        </w:rPr>
        <w:t>）</w:t>
      </w:r>
      <w:r>
        <w:rPr>
          <w:rFonts w:hint="eastAsia" w:hAnsi="宋体" w:cs="宋体"/>
          <w:b/>
          <w:color w:val="000000" w:themeColor="text1"/>
          <w:sz w:val="24"/>
          <w:szCs w:val="24"/>
          <w:highlight w:val="none"/>
          <w14:textFill>
            <w14:solidFill>
              <w14:schemeClr w14:val="tx1"/>
            </w14:solidFill>
          </w14:textFill>
        </w:rPr>
        <w:t>符合专业条件的投标人或者对招标文件作实质响应的投标人不足3家的；</w:t>
      </w:r>
    </w:p>
    <w:p w14:paraId="142C2E90">
      <w:pPr>
        <w:pStyle w:val="20"/>
        <w:spacing w:line="360" w:lineRule="auto"/>
        <w:ind w:left="719" w:leftChars="342" w:hanging="1"/>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lang w:eastAsia="zh-CN"/>
          <w14:textFill>
            <w14:solidFill>
              <w14:schemeClr w14:val="tx1"/>
            </w14:solidFill>
          </w14:textFill>
        </w:rPr>
        <w:t>（</w:t>
      </w:r>
      <w:r>
        <w:rPr>
          <w:rFonts w:hint="eastAsia" w:hAnsi="宋体" w:cs="宋体"/>
          <w:b/>
          <w:color w:val="000000" w:themeColor="text1"/>
          <w:sz w:val="24"/>
          <w:szCs w:val="24"/>
          <w:highlight w:val="none"/>
          <w14:textFill>
            <w14:solidFill>
              <w14:schemeClr w14:val="tx1"/>
            </w14:solidFill>
          </w14:textFill>
        </w:rPr>
        <w:t>2</w:t>
      </w:r>
      <w:r>
        <w:rPr>
          <w:rFonts w:hint="eastAsia" w:hAnsi="宋体" w:cs="宋体"/>
          <w:b/>
          <w:color w:val="000000" w:themeColor="text1"/>
          <w:sz w:val="24"/>
          <w:szCs w:val="24"/>
          <w:highlight w:val="none"/>
          <w:lang w:eastAsia="zh-CN"/>
          <w14:textFill>
            <w14:solidFill>
              <w14:schemeClr w14:val="tx1"/>
            </w14:solidFill>
          </w14:textFill>
        </w:rPr>
        <w:t>）</w:t>
      </w:r>
      <w:r>
        <w:rPr>
          <w:rFonts w:hint="eastAsia" w:hAnsi="宋体" w:cs="宋体"/>
          <w:b/>
          <w:color w:val="000000" w:themeColor="text1"/>
          <w:sz w:val="24"/>
          <w:szCs w:val="24"/>
          <w:highlight w:val="none"/>
          <w14:textFill>
            <w14:solidFill>
              <w14:schemeClr w14:val="tx1"/>
            </w14:solidFill>
          </w14:textFill>
        </w:rPr>
        <w:t>出现影响采购公正的违法、违规行为的；</w:t>
      </w:r>
    </w:p>
    <w:p w14:paraId="25D2C957">
      <w:pPr>
        <w:pStyle w:val="20"/>
        <w:spacing w:line="360" w:lineRule="auto"/>
        <w:ind w:left="719" w:leftChars="342" w:hanging="1"/>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lang w:eastAsia="zh-CN"/>
          <w14:textFill>
            <w14:solidFill>
              <w14:schemeClr w14:val="tx1"/>
            </w14:solidFill>
          </w14:textFill>
        </w:rPr>
        <w:t>（</w:t>
      </w:r>
      <w:r>
        <w:rPr>
          <w:rFonts w:hint="eastAsia" w:hAnsi="宋体" w:cs="宋体"/>
          <w:b/>
          <w:color w:val="000000" w:themeColor="text1"/>
          <w:sz w:val="24"/>
          <w:szCs w:val="24"/>
          <w:highlight w:val="none"/>
          <w14:textFill>
            <w14:solidFill>
              <w14:schemeClr w14:val="tx1"/>
            </w14:solidFill>
          </w14:textFill>
        </w:rPr>
        <w:t>3</w:t>
      </w:r>
      <w:r>
        <w:rPr>
          <w:rFonts w:hint="eastAsia" w:hAnsi="宋体" w:cs="宋体"/>
          <w:b/>
          <w:color w:val="000000" w:themeColor="text1"/>
          <w:sz w:val="24"/>
          <w:szCs w:val="24"/>
          <w:highlight w:val="none"/>
          <w:lang w:eastAsia="zh-CN"/>
          <w14:textFill>
            <w14:solidFill>
              <w14:schemeClr w14:val="tx1"/>
            </w14:solidFill>
          </w14:textFill>
        </w:rPr>
        <w:t>）</w:t>
      </w:r>
      <w:r>
        <w:rPr>
          <w:rFonts w:hint="eastAsia" w:hAnsi="宋体" w:cs="宋体"/>
          <w:b/>
          <w:color w:val="000000" w:themeColor="text1"/>
          <w:sz w:val="24"/>
          <w:szCs w:val="24"/>
          <w:highlight w:val="none"/>
          <w14:textFill>
            <w14:solidFill>
              <w14:schemeClr w14:val="tx1"/>
            </w14:solidFill>
          </w14:textFill>
        </w:rPr>
        <w:t>投标人的报价均超过了采购预算，采购人不能支付的；</w:t>
      </w:r>
    </w:p>
    <w:p w14:paraId="1BE9D7A4">
      <w:pPr>
        <w:pStyle w:val="20"/>
        <w:spacing w:line="360" w:lineRule="auto"/>
        <w:ind w:left="719" w:leftChars="342" w:hanging="1"/>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lang w:eastAsia="zh-CN"/>
          <w14:textFill>
            <w14:solidFill>
              <w14:schemeClr w14:val="tx1"/>
            </w14:solidFill>
          </w14:textFill>
        </w:rPr>
        <w:t>（</w:t>
      </w:r>
      <w:r>
        <w:rPr>
          <w:rFonts w:hint="eastAsia" w:hAnsi="宋体" w:cs="宋体"/>
          <w:b/>
          <w:color w:val="000000" w:themeColor="text1"/>
          <w:sz w:val="24"/>
          <w:szCs w:val="24"/>
          <w:highlight w:val="none"/>
          <w14:textFill>
            <w14:solidFill>
              <w14:schemeClr w14:val="tx1"/>
            </w14:solidFill>
          </w14:textFill>
        </w:rPr>
        <w:t>4</w:t>
      </w:r>
      <w:r>
        <w:rPr>
          <w:rFonts w:hint="eastAsia" w:hAnsi="宋体" w:cs="宋体"/>
          <w:b/>
          <w:color w:val="000000" w:themeColor="text1"/>
          <w:sz w:val="24"/>
          <w:szCs w:val="24"/>
          <w:highlight w:val="none"/>
          <w:lang w:eastAsia="zh-CN"/>
          <w14:textFill>
            <w14:solidFill>
              <w14:schemeClr w14:val="tx1"/>
            </w14:solidFill>
          </w14:textFill>
        </w:rPr>
        <w:t>）</w:t>
      </w:r>
      <w:r>
        <w:rPr>
          <w:rFonts w:hint="eastAsia" w:hAnsi="宋体" w:cs="宋体"/>
          <w:b/>
          <w:color w:val="000000" w:themeColor="text1"/>
          <w:sz w:val="24"/>
          <w:szCs w:val="24"/>
          <w:highlight w:val="none"/>
          <w14:textFill>
            <w14:solidFill>
              <w14:schemeClr w14:val="tx1"/>
            </w14:solidFill>
          </w14:textFill>
        </w:rPr>
        <w:t>因重大变故，采购任务取消的。</w:t>
      </w:r>
    </w:p>
    <w:p w14:paraId="0C93A8C8">
      <w:pPr>
        <w:pStyle w:val="20"/>
        <w:spacing w:line="360" w:lineRule="auto"/>
        <w:ind w:firstLine="708" w:firstLineChars="294"/>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废标后，采购人应当将废标理由通知所有投标人。</w:t>
      </w:r>
    </w:p>
    <w:p w14:paraId="45B22829">
      <w:pPr>
        <w:pStyle w:val="3"/>
        <w:numPr>
          <w:ilvl w:val="0"/>
          <w:numId w:val="0"/>
        </w:numPr>
        <w:ind w:left="425"/>
        <w:jc w:val="center"/>
        <w:rPr>
          <w:rFonts w:ascii="宋体" w:hAnsi="宋体" w:eastAsia="宋体" w:cs="宋体"/>
          <w:color w:val="000000" w:themeColor="text1"/>
          <w:sz w:val="30"/>
          <w:szCs w:val="30"/>
          <w:highlight w:val="none"/>
          <w14:textFill>
            <w14:solidFill>
              <w14:schemeClr w14:val="tx1"/>
            </w14:solidFill>
          </w14:textFill>
        </w:rPr>
      </w:pPr>
      <w:bookmarkStart w:id="129" w:name="_Toc14544"/>
      <w:bookmarkStart w:id="130" w:name="_Toc16080"/>
      <w:bookmarkStart w:id="131" w:name="_Toc15225"/>
      <w:bookmarkStart w:id="132" w:name="_Toc34163776"/>
      <w:bookmarkStart w:id="133" w:name="_Toc17063"/>
      <w:bookmarkStart w:id="134" w:name="_Toc25512"/>
      <w:bookmarkStart w:id="135" w:name="_Toc1182"/>
      <w:bookmarkStart w:id="136" w:name="_Toc22668"/>
      <w:r>
        <w:rPr>
          <w:rFonts w:hint="eastAsia" w:ascii="宋体" w:hAnsi="宋体" w:eastAsia="宋体" w:cs="宋体"/>
          <w:color w:val="000000" w:themeColor="text1"/>
          <w:sz w:val="30"/>
          <w:szCs w:val="30"/>
          <w:highlight w:val="none"/>
          <w14:textFill>
            <w14:solidFill>
              <w14:schemeClr w14:val="tx1"/>
            </w14:solidFill>
          </w14:textFill>
        </w:rPr>
        <w:t>六、中标结果</w:t>
      </w:r>
      <w:bookmarkEnd w:id="129"/>
      <w:bookmarkEnd w:id="130"/>
      <w:bookmarkEnd w:id="131"/>
      <w:bookmarkEnd w:id="132"/>
      <w:bookmarkEnd w:id="133"/>
      <w:bookmarkEnd w:id="134"/>
      <w:bookmarkEnd w:id="135"/>
      <w:bookmarkEnd w:id="136"/>
    </w:p>
    <w:p w14:paraId="40C65F76">
      <w:pPr>
        <w:pStyle w:val="20"/>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29. 中标人的确定</w:t>
      </w:r>
    </w:p>
    <w:p w14:paraId="32F6A43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29.1采购代理机构应当在评标结束之日起2个工作日内将评标报告送采购人确认。</w:t>
      </w:r>
    </w:p>
    <w:p w14:paraId="5F03849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29.2采购人应当在收到评标报告之日起5个工作日内，在评标报告中推荐的中标候选人中按顺序确定中标人。</w:t>
      </w:r>
    </w:p>
    <w:p w14:paraId="059A5EA4">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30. 中标通知书</w:t>
      </w:r>
    </w:p>
    <w:p w14:paraId="5B119AC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30.1中标人确定之日起2个工作日内，采购代理机构在省级以上财政部门指定的媒体上公告中标结果，中标公告期限为1个工作日，同时向中标人发出中标通知书，向未中标人发出招标结果通知书。</w:t>
      </w:r>
    </w:p>
    <w:p w14:paraId="7D61F1C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30.2中标通知书是合同的一个组成部分。</w:t>
      </w:r>
    </w:p>
    <w:p w14:paraId="7658A802">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31. 签订合同</w:t>
      </w:r>
    </w:p>
    <w:p w14:paraId="009CEFA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31.1采购人与中标人应当在中标通知书发出之日起30日内，按照招标文件和中标人投标文件的规定签订政府采购合同。</w:t>
      </w:r>
    </w:p>
    <w:p w14:paraId="2613120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498E63E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31.3政府采购合同履行中，采购人需追加与合同标的相同的货物的，在不改变合同其他条款的前提下，可以与中标人协商签订补充合同，但所有补充合同的采购金额不得超过原合同采购金额的百分之十。</w:t>
      </w:r>
    </w:p>
    <w:p w14:paraId="7B0A10F0">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32. 履约担保</w:t>
      </w:r>
    </w:p>
    <w:p w14:paraId="48451CE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32.1签订合同前，中标人应按“</w:t>
      </w:r>
      <w:r>
        <w:rPr>
          <w:rFonts w:hint="eastAsia" w:ascii="宋体" w:hAnsi="宋体" w:cs="宋体"/>
          <w:b/>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”上确定的履约担保的金额及形式，向采购人提交履约担保，联合体中标的，其履约担保由牵头人递交。否则，视为放弃中标项目，投标保证金将不予退还。</w:t>
      </w:r>
    </w:p>
    <w:p w14:paraId="75506D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32.2签订合同后，如中标人不按双方签订合同约定履约，则没收其全部履约保证金，履约保证金不足以赔偿损失的，按实际损失赔偿。</w:t>
      </w:r>
    </w:p>
    <w:p w14:paraId="389C6253">
      <w:pPr>
        <w:pStyle w:val="3"/>
        <w:numPr>
          <w:ilvl w:val="0"/>
          <w:numId w:val="0"/>
        </w:numPr>
        <w:ind w:left="425"/>
        <w:jc w:val="center"/>
        <w:rPr>
          <w:rFonts w:ascii="宋体" w:hAnsi="宋体" w:eastAsia="宋体" w:cs="宋体"/>
          <w:color w:val="000000" w:themeColor="text1"/>
          <w:sz w:val="30"/>
          <w:szCs w:val="30"/>
          <w:highlight w:val="none"/>
          <w14:textFill>
            <w14:solidFill>
              <w14:schemeClr w14:val="tx1"/>
            </w14:solidFill>
          </w14:textFill>
        </w:rPr>
      </w:pPr>
      <w:bookmarkStart w:id="137" w:name="_Toc17702"/>
      <w:bookmarkStart w:id="138" w:name="_Toc10705"/>
      <w:bookmarkStart w:id="139" w:name="_Toc8150"/>
      <w:bookmarkStart w:id="140" w:name="_Toc13073"/>
      <w:bookmarkStart w:id="141" w:name="_Toc29329"/>
      <w:bookmarkStart w:id="142" w:name="_Toc34163777"/>
      <w:bookmarkStart w:id="143" w:name="_Toc19263"/>
      <w:bookmarkStart w:id="144" w:name="_Toc15829"/>
      <w:r>
        <w:rPr>
          <w:rFonts w:hint="eastAsia" w:ascii="宋体" w:hAnsi="宋体" w:eastAsia="宋体" w:cs="宋体"/>
          <w:color w:val="000000" w:themeColor="text1"/>
          <w:sz w:val="30"/>
          <w:szCs w:val="30"/>
          <w:highlight w:val="none"/>
          <w14:textFill>
            <w14:solidFill>
              <w14:schemeClr w14:val="tx1"/>
            </w14:solidFill>
          </w14:textFill>
        </w:rPr>
        <w:t>七、其他事项</w:t>
      </w:r>
      <w:bookmarkEnd w:id="137"/>
      <w:bookmarkEnd w:id="138"/>
      <w:bookmarkEnd w:id="139"/>
      <w:bookmarkEnd w:id="140"/>
      <w:bookmarkEnd w:id="141"/>
      <w:bookmarkEnd w:id="142"/>
      <w:bookmarkEnd w:id="143"/>
      <w:bookmarkEnd w:id="144"/>
    </w:p>
    <w:p w14:paraId="62FC51CF">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33. 采购代理服务费</w:t>
      </w:r>
    </w:p>
    <w:p w14:paraId="363631B0">
      <w:pPr>
        <w:spacing w:line="360" w:lineRule="auto"/>
        <w:ind w:firstLine="480" w:firstLineChars="20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33.1参照原国家计委《关于印发&lt;招标代理服务收费管理暂行办法&gt;的通知》（计价格[2002]1980号）中收费标准下浮30%计算，由</w:t>
      </w:r>
      <w:r>
        <w:rPr>
          <w:rFonts w:hint="eastAsia" w:ascii="宋体" w:hAnsi="宋体" w:eastAsia="宋体" w:cs="宋体"/>
          <w:color w:val="000000" w:themeColor="text1"/>
          <w:sz w:val="24"/>
          <w:highlight w:val="none"/>
          <w:lang w:val="en-US" w:eastAsia="zh-CN"/>
          <w14:textFill>
            <w14:solidFill>
              <w14:schemeClr w14:val="tx1"/>
            </w14:solidFill>
          </w14:textFill>
        </w:rPr>
        <w:t>中标</w:t>
      </w:r>
      <w:r>
        <w:rPr>
          <w:rFonts w:hint="eastAsia" w:ascii="宋体" w:hAnsi="宋体" w:eastAsia="宋体" w:cs="宋体"/>
          <w:color w:val="000000" w:themeColor="text1"/>
          <w:sz w:val="24"/>
          <w:highlight w:val="none"/>
          <w14:textFill>
            <w14:solidFill>
              <w14:schemeClr w14:val="tx1"/>
            </w14:solidFill>
          </w14:textFill>
        </w:rPr>
        <w:t>人向</w:t>
      </w:r>
      <w:r>
        <w:rPr>
          <w:rFonts w:hint="eastAsia" w:ascii="宋体" w:hAnsi="宋体" w:cs="宋体"/>
          <w:color w:val="000000" w:themeColor="text1"/>
          <w:sz w:val="24"/>
          <w:highlight w:val="none"/>
          <w:lang w:eastAsia="zh-CN"/>
          <w14:textFill>
            <w14:solidFill>
              <w14:schemeClr w14:val="tx1"/>
            </w14:solidFill>
          </w14:textFill>
        </w:rPr>
        <w:t>中德高路咨询（云南）股份有限公司</w:t>
      </w:r>
      <w:r>
        <w:rPr>
          <w:rFonts w:hint="eastAsia" w:ascii="宋体" w:hAnsi="宋体" w:eastAsia="宋体" w:cs="宋体"/>
          <w:color w:val="000000" w:themeColor="text1"/>
          <w:sz w:val="24"/>
          <w:highlight w:val="none"/>
          <w14:textFill>
            <w14:solidFill>
              <w14:schemeClr w14:val="tx1"/>
            </w14:solidFill>
          </w14:textFill>
        </w:rPr>
        <w:t>交纳。</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26DF30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33.2中</w:t>
      </w:r>
      <w:r>
        <w:rPr>
          <w:rFonts w:hint="eastAsia" w:ascii="宋体" w:hAnsi="宋体" w:cs="宋体"/>
          <w:color w:val="000000" w:themeColor="text1"/>
          <w:sz w:val="24"/>
          <w:highlight w:val="none"/>
          <w14:textFill>
            <w14:solidFill>
              <w14:schemeClr w14:val="tx1"/>
            </w14:solidFill>
          </w14:textFill>
        </w:rPr>
        <w:t>标人应在接受“</w:t>
      </w:r>
      <w:r>
        <w:rPr>
          <w:rFonts w:hint="eastAsia" w:ascii="宋体" w:hAnsi="宋体" w:cs="宋体"/>
          <w:b/>
          <w:color w:val="000000" w:themeColor="text1"/>
          <w:sz w:val="24"/>
          <w:highlight w:val="none"/>
          <w14:textFill>
            <w14:solidFill>
              <w14:schemeClr w14:val="tx1"/>
            </w14:solidFill>
          </w14:textFill>
        </w:rPr>
        <w:t>中标通知书</w:t>
      </w:r>
      <w:r>
        <w:rPr>
          <w:rFonts w:hint="eastAsia" w:ascii="宋体" w:hAnsi="宋体" w:cs="宋体"/>
          <w:color w:val="000000" w:themeColor="text1"/>
          <w:sz w:val="24"/>
          <w:highlight w:val="none"/>
          <w14:textFill>
            <w14:solidFill>
              <w14:schemeClr w14:val="tx1"/>
            </w14:solidFill>
          </w14:textFill>
        </w:rPr>
        <w:t>”前向采购代理机构一次付清代理服务费。</w:t>
      </w:r>
    </w:p>
    <w:p w14:paraId="3DFA6028">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34. 招标文件编制依据</w:t>
      </w:r>
    </w:p>
    <w:p w14:paraId="3483E14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34.1本招标文件根据《中华人民共和国政府采购法》、《中华人民共和国政府采购法实施条例》、《政府采购货物和服务招标投标管理办法》及相关法律法规编制。</w:t>
      </w:r>
    </w:p>
    <w:p w14:paraId="5F581AB9">
      <w:pPr>
        <w:pStyle w:val="20"/>
        <w:spacing w:line="360" w:lineRule="auto"/>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35.</w:t>
      </w:r>
      <w:r>
        <w:rPr>
          <w:rFonts w:hint="eastAsia" w:hAnsi="宋体" w:cs="宋体"/>
          <w:b/>
          <w:color w:val="000000" w:themeColor="text1"/>
          <w:sz w:val="24"/>
          <w:szCs w:val="24"/>
          <w:highlight w:val="none"/>
          <w14:textFill>
            <w14:solidFill>
              <w14:schemeClr w14:val="tx1"/>
            </w14:solidFill>
          </w14:textFill>
        </w:rPr>
        <w:t>需要补充的其他内容</w:t>
      </w:r>
    </w:p>
    <w:p w14:paraId="1029D6B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35.1 “</w:t>
      </w:r>
      <w:r>
        <w:rPr>
          <w:rFonts w:hint="eastAsia" w:ascii="宋体" w:hAnsi="宋体" w:cs="宋体"/>
          <w:b/>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highlight w:val="none"/>
          <w14:textFill>
            <w14:solidFill>
              <w14:schemeClr w14:val="tx1"/>
            </w14:solidFill>
          </w14:textFill>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3E2BDFA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评标委员会在对有备选方案的投标人进行评审时，应当以主选方案为准进行评审，如考虑备选方案的，备选方案必须实质性响应招标文件要求。</w:t>
      </w:r>
    </w:p>
    <w:p w14:paraId="05A68A6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35.2其它需要补充的其他内容：见“投标人须知前附表”。</w:t>
      </w:r>
    </w:p>
    <w:p w14:paraId="60E829A3">
      <w:pPr>
        <w:spacing w:line="360" w:lineRule="auto"/>
        <w:jc w:val="left"/>
        <w:rPr>
          <w:rFonts w:ascii="宋体" w:hAnsi="宋体" w:cs="宋体"/>
          <w:color w:val="000000" w:themeColor="text1"/>
          <w:sz w:val="24"/>
          <w:highlight w:val="none"/>
          <w14:textFill>
            <w14:solidFill>
              <w14:schemeClr w14:val="tx1"/>
            </w14:solidFill>
          </w14:textFill>
        </w:rPr>
      </w:pPr>
    </w:p>
    <w:p w14:paraId="206C741D">
      <w:pPr>
        <w:widowControl/>
        <w:jc w:val="left"/>
        <w:rPr>
          <w:rFonts w:ascii="宋体" w:hAnsi="宋体" w:cs="宋体"/>
          <w:color w:val="000000" w:themeColor="text1"/>
          <w:kern w:val="44"/>
          <w:sz w:val="36"/>
          <w:szCs w:val="20"/>
          <w:highlight w:val="none"/>
          <w14:textFill>
            <w14:solidFill>
              <w14:schemeClr w14:val="tx1"/>
            </w14:solidFill>
          </w14:textFill>
        </w:rPr>
      </w:pPr>
      <w:bookmarkStart w:id="145" w:name="_Toc213141090"/>
      <w:r>
        <w:rPr>
          <w:rFonts w:hint="eastAsia" w:ascii="宋体" w:hAnsi="宋体" w:cs="宋体"/>
          <w:b/>
          <w:color w:val="000000" w:themeColor="text1"/>
          <w:sz w:val="36"/>
          <w:highlight w:val="none"/>
          <w14:textFill>
            <w14:solidFill>
              <w14:schemeClr w14:val="tx1"/>
            </w14:solidFill>
          </w14:textFill>
        </w:rPr>
        <w:br w:type="page"/>
      </w:r>
    </w:p>
    <w:p w14:paraId="4C477EAE">
      <w:pPr>
        <w:pStyle w:val="2"/>
        <w:ind w:left="0" w:firstLine="0"/>
        <w:jc w:val="center"/>
        <w:rPr>
          <w:rFonts w:ascii="宋体" w:hAnsi="宋体" w:eastAsia="宋体" w:cs="宋体"/>
          <w:color w:val="000000" w:themeColor="text1"/>
          <w:sz w:val="36"/>
          <w:highlight w:val="none"/>
          <w14:textFill>
            <w14:solidFill>
              <w14:schemeClr w14:val="tx1"/>
            </w14:solidFill>
          </w14:textFill>
        </w:rPr>
      </w:pPr>
      <w:bookmarkStart w:id="146" w:name="_Toc1211"/>
      <w:bookmarkStart w:id="147" w:name="_Toc28115"/>
      <w:bookmarkStart w:id="148" w:name="_Toc774"/>
      <w:bookmarkStart w:id="149" w:name="_Toc22433"/>
      <w:bookmarkStart w:id="150" w:name="_Toc20193"/>
      <w:bookmarkStart w:id="151" w:name="_Toc28555"/>
      <w:bookmarkStart w:id="152" w:name="_Toc17539"/>
      <w:r>
        <w:rPr>
          <w:rFonts w:hint="eastAsia" w:ascii="宋体" w:hAnsi="宋体" w:eastAsia="宋体" w:cs="宋体"/>
          <w:color w:val="000000" w:themeColor="text1"/>
          <w:sz w:val="36"/>
          <w:highlight w:val="none"/>
          <w14:textFill>
            <w14:solidFill>
              <w14:schemeClr w14:val="tx1"/>
            </w14:solidFill>
          </w14:textFill>
        </w:rPr>
        <w:t>第三章</w:t>
      </w:r>
      <w:r>
        <w:rPr>
          <w:rFonts w:hint="eastAsia" w:ascii="宋体" w:hAnsi="宋体" w:eastAsia="宋体" w:cs="宋体"/>
          <w:color w:val="000000" w:themeColor="text1"/>
          <w:sz w:val="36"/>
          <w:highlight w:val="none"/>
          <w:lang w:val="en-US"/>
          <w14:textFill>
            <w14:solidFill>
              <w14:schemeClr w14:val="tx1"/>
            </w14:solidFill>
          </w14:textFill>
        </w:rPr>
        <w:t xml:space="preserve"> </w:t>
      </w:r>
      <w:r>
        <w:rPr>
          <w:rFonts w:hint="eastAsia" w:ascii="宋体" w:hAnsi="宋体" w:eastAsia="宋体" w:cs="宋体"/>
          <w:color w:val="000000" w:themeColor="text1"/>
          <w:sz w:val="36"/>
          <w:highlight w:val="none"/>
          <w14:textFill>
            <w14:solidFill>
              <w14:schemeClr w14:val="tx1"/>
            </w14:solidFill>
          </w14:textFill>
        </w:rPr>
        <w:t>合同书样式及主要条款</w:t>
      </w:r>
      <w:bookmarkEnd w:id="145"/>
      <w:bookmarkEnd w:id="146"/>
      <w:bookmarkEnd w:id="147"/>
      <w:bookmarkEnd w:id="148"/>
      <w:bookmarkEnd w:id="149"/>
      <w:bookmarkEnd w:id="150"/>
      <w:bookmarkEnd w:id="151"/>
      <w:bookmarkEnd w:id="152"/>
    </w:p>
    <w:p w14:paraId="14471E94">
      <w:pPr>
        <w:pStyle w:val="2"/>
        <w:ind w:left="0" w:firstLine="0"/>
        <w:jc w:val="center"/>
        <w:rPr>
          <w:rFonts w:ascii="宋体" w:hAnsi="宋体" w:eastAsia="宋体" w:cs="宋体"/>
          <w:b w:val="0"/>
          <w:color w:val="000000" w:themeColor="text1"/>
          <w:sz w:val="36"/>
          <w:highlight w:val="none"/>
          <w14:textFill>
            <w14:solidFill>
              <w14:schemeClr w14:val="tx1"/>
            </w14:solidFill>
          </w14:textFill>
        </w:rPr>
      </w:pPr>
      <w:bookmarkStart w:id="153" w:name="_Toc23581"/>
      <w:bookmarkStart w:id="154" w:name="_Toc20318"/>
      <w:bookmarkStart w:id="155" w:name="_Toc3341"/>
      <w:bookmarkStart w:id="156" w:name="_Toc30055"/>
      <w:bookmarkStart w:id="157" w:name="_Toc20557"/>
      <w:bookmarkStart w:id="158" w:name="_Toc213141091"/>
      <w:bookmarkStart w:id="159" w:name="_Toc1956"/>
      <w:bookmarkStart w:id="160" w:name="_Toc30359"/>
      <w:r>
        <w:rPr>
          <w:rFonts w:hint="eastAsia" w:ascii="宋体" w:hAnsi="宋体" w:eastAsia="宋体" w:cs="宋体"/>
          <w:b w:val="0"/>
          <w:color w:val="000000" w:themeColor="text1"/>
          <w:sz w:val="36"/>
          <w:highlight w:val="none"/>
          <w14:textFill>
            <w14:solidFill>
              <w14:schemeClr w14:val="tx1"/>
            </w14:solidFill>
          </w14:textFill>
        </w:rPr>
        <w:t>合同条款前附表</w:t>
      </w:r>
      <w:bookmarkEnd w:id="153"/>
      <w:bookmarkEnd w:id="154"/>
      <w:bookmarkEnd w:id="155"/>
      <w:bookmarkEnd w:id="156"/>
      <w:bookmarkEnd w:id="157"/>
      <w:bookmarkEnd w:id="158"/>
      <w:bookmarkEnd w:id="159"/>
      <w:bookmarkEnd w:id="160"/>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2101B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14:paraId="2A63B4E0">
            <w:pPr>
              <w:pStyle w:val="20"/>
              <w:spacing w:line="400" w:lineRule="exact"/>
              <w:ind w:firstLine="241" w:firstLineChars="10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序号</w:t>
            </w:r>
          </w:p>
        </w:tc>
        <w:tc>
          <w:tcPr>
            <w:tcW w:w="7819" w:type="dxa"/>
            <w:vAlign w:val="center"/>
          </w:tcPr>
          <w:p w14:paraId="69290FCE">
            <w:pPr>
              <w:pStyle w:val="20"/>
              <w:spacing w:line="400" w:lineRule="exact"/>
              <w:ind w:firstLine="241" w:firstLineChars="100"/>
              <w:jc w:val="center"/>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内容</w:t>
            </w:r>
          </w:p>
        </w:tc>
      </w:tr>
      <w:tr w14:paraId="55C60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14:paraId="6DAEB5F7">
            <w:pPr>
              <w:pStyle w:val="20"/>
              <w:spacing w:line="400" w:lineRule="exact"/>
              <w:ind w:firstLine="240" w:firstLineChars="100"/>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p>
        </w:tc>
        <w:tc>
          <w:tcPr>
            <w:tcW w:w="7819" w:type="dxa"/>
            <w:vAlign w:val="center"/>
          </w:tcPr>
          <w:p w14:paraId="46C98772">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交货期、交货方式及交货地点</w:t>
            </w:r>
          </w:p>
          <w:p w14:paraId="541083BA">
            <w:pPr>
              <w:pStyle w:val="20"/>
              <w:spacing w:line="400" w:lineRule="exact"/>
              <w:ind w:firstLine="240" w:firstLineChars="100"/>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1</w:t>
            </w:r>
            <w:r>
              <w:rPr>
                <w:rFonts w:hint="eastAsia" w:hAnsi="宋体" w:cs="宋体"/>
                <w:color w:val="000000" w:themeColor="text1"/>
                <w:sz w:val="24"/>
                <w:highlight w:val="none"/>
                <w:lang w:eastAsia="zh-CN"/>
                <w14:textFill>
                  <w14:solidFill>
                    <w14:schemeClr w14:val="tx1"/>
                  </w14:solidFill>
                </w14:textFill>
              </w:rPr>
              <w:t>）</w:t>
            </w:r>
            <w:r>
              <w:rPr>
                <w:rFonts w:hint="eastAsia" w:hAnsi="宋体" w:cs="宋体"/>
                <w:color w:val="000000" w:themeColor="text1"/>
                <w:sz w:val="24"/>
                <w:highlight w:val="none"/>
                <w14:textFill>
                  <w14:solidFill>
                    <w14:schemeClr w14:val="tx1"/>
                  </w14:solidFill>
                </w14:textFill>
              </w:rPr>
              <w:t>交货期：合同签订之日起30日历天（投标人在此期限内自报最短交货期）（此要求为实质性条款，如不满足按废标处理）。</w:t>
            </w:r>
          </w:p>
          <w:p w14:paraId="69D7528C">
            <w:pPr>
              <w:pStyle w:val="20"/>
              <w:spacing w:line="400" w:lineRule="exact"/>
              <w:ind w:firstLine="240" w:firstLineChars="100"/>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2</w:t>
            </w:r>
            <w:r>
              <w:rPr>
                <w:rFonts w:hint="eastAsia" w:hAnsi="宋体" w:cs="宋体"/>
                <w:color w:val="000000" w:themeColor="text1"/>
                <w:sz w:val="24"/>
                <w:highlight w:val="none"/>
                <w:lang w:eastAsia="zh-CN"/>
                <w14:textFill>
                  <w14:solidFill>
                    <w14:schemeClr w14:val="tx1"/>
                  </w14:solidFill>
                </w14:textFill>
              </w:rPr>
              <w:t>）</w:t>
            </w:r>
            <w:r>
              <w:rPr>
                <w:rFonts w:hint="eastAsia" w:hAnsi="宋体" w:cs="宋体"/>
                <w:color w:val="000000" w:themeColor="text1"/>
                <w:sz w:val="24"/>
                <w:highlight w:val="none"/>
                <w14:textFill>
                  <w14:solidFill>
                    <w14:schemeClr w14:val="tx1"/>
                  </w14:solidFill>
                </w14:textFill>
              </w:rPr>
              <w:t>交货地点：昆明理工大学指定地点。</w:t>
            </w:r>
          </w:p>
          <w:p w14:paraId="451544D1">
            <w:pPr>
              <w:pStyle w:val="20"/>
              <w:spacing w:line="400" w:lineRule="exact"/>
              <w:ind w:firstLine="240" w:firstLineChars="1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3）交货方式：货物送至采购人指定地点并完成设备就位、组装、调试及验收。</w:t>
            </w:r>
          </w:p>
        </w:tc>
      </w:tr>
      <w:tr w14:paraId="49ED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6F729A18">
            <w:pPr>
              <w:pStyle w:val="20"/>
              <w:spacing w:line="400" w:lineRule="exact"/>
              <w:ind w:firstLine="240" w:firstLineChars="100"/>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p>
        </w:tc>
        <w:tc>
          <w:tcPr>
            <w:tcW w:w="7819" w:type="dxa"/>
            <w:vAlign w:val="center"/>
          </w:tcPr>
          <w:p w14:paraId="4FFA8AEA">
            <w:pPr>
              <w:pStyle w:val="2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付款方式：</w:t>
            </w:r>
          </w:p>
          <w:p w14:paraId="0BE95720">
            <w:pPr>
              <w:pStyle w:val="20"/>
              <w:spacing w:line="400" w:lineRule="exact"/>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设备到货、安装调试完成，且能正常运行，经甲方使用部门初验合格、经国有资产与实验室管理处组织最终验收合格，且完成设备资产建账后交付合同全款发票（进口设备付汇完成并提供银行付汇水单）及相关归档、报账资料后，甲方向乙方支付100%合同货款。付款以转账形式支付。</w:t>
            </w:r>
          </w:p>
        </w:tc>
      </w:tr>
      <w:tr w14:paraId="744BA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32A21C1C">
            <w:pPr>
              <w:pStyle w:val="20"/>
              <w:spacing w:line="400" w:lineRule="exact"/>
              <w:ind w:firstLine="240" w:firstLineChars="100"/>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w:t>
            </w:r>
          </w:p>
        </w:tc>
        <w:tc>
          <w:tcPr>
            <w:tcW w:w="7819" w:type="dxa"/>
            <w:vAlign w:val="center"/>
          </w:tcPr>
          <w:p w14:paraId="0071FA48">
            <w:pPr>
              <w:spacing w:line="400" w:lineRule="exact"/>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验收及验收标准： </w:t>
            </w:r>
          </w:p>
          <w:p w14:paraId="41F332E4">
            <w:pPr>
              <w:spacing w:line="400" w:lineRule="exact"/>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1、设备验收：设备到达甲方指定地点后甲方统一初验是否符合合同要求；</w:t>
            </w:r>
          </w:p>
          <w:p w14:paraId="4316FC6F">
            <w:pPr>
              <w:spacing w:line="400" w:lineRule="exact"/>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2、项目验收：乙方负责设备安装和调试，完工后，甲方测试是否合格并满足技术要求；</w:t>
            </w:r>
          </w:p>
          <w:p w14:paraId="6BD33CEC">
            <w:pPr>
              <w:spacing w:line="400" w:lineRule="exact"/>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3、实作性操作验收：设备是否正常运作3个月。</w:t>
            </w:r>
          </w:p>
        </w:tc>
      </w:tr>
    </w:tbl>
    <w:p w14:paraId="7E0198C5">
      <w:pPr>
        <w:rPr>
          <w:rFonts w:ascii="宋体" w:hAnsi="宋体" w:cs="宋体"/>
          <w:b/>
          <w:bCs/>
          <w:color w:val="000000" w:themeColor="text1"/>
          <w:highlight w:val="none"/>
          <w14:textFill>
            <w14:solidFill>
              <w14:schemeClr w14:val="tx1"/>
            </w14:solidFill>
          </w14:textFill>
        </w:rPr>
      </w:pPr>
    </w:p>
    <w:p w14:paraId="05432BC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p>
    <w:p w14:paraId="23C9C129">
      <w:pPr>
        <w:spacing w:line="360" w:lineRule="auto"/>
        <w:ind w:firstLine="540" w:firstLineChars="225"/>
        <w:rPr>
          <w:rFonts w:ascii="宋体" w:hAnsi="宋体" w:cs="宋体"/>
          <w:color w:val="000000" w:themeColor="text1"/>
          <w:sz w:val="24"/>
          <w:highlight w:val="none"/>
          <w14:textFill>
            <w14:solidFill>
              <w14:schemeClr w14:val="tx1"/>
            </w14:solidFill>
          </w14:textFill>
        </w:rPr>
      </w:pPr>
    </w:p>
    <w:p w14:paraId="2B0209F7">
      <w:pPr>
        <w:spacing w:line="360" w:lineRule="auto"/>
        <w:ind w:firstLine="540" w:firstLineChars="225"/>
        <w:rPr>
          <w:rFonts w:ascii="宋体" w:hAnsi="宋体" w:cs="宋体"/>
          <w:color w:val="000000" w:themeColor="text1"/>
          <w:sz w:val="24"/>
          <w:highlight w:val="none"/>
          <w14:textFill>
            <w14:solidFill>
              <w14:schemeClr w14:val="tx1"/>
            </w14:solidFill>
          </w14:textFill>
        </w:rPr>
      </w:pPr>
    </w:p>
    <w:p w14:paraId="3BD02ABB">
      <w:pPr>
        <w:widowControl/>
        <w:spacing w:after="240"/>
        <w:jc w:val="center"/>
        <w:rPr>
          <w:rFonts w:hint="eastAsia" w:ascii="宋体" w:hAnsi="宋体" w:cs="宋体"/>
          <w:b/>
          <w:bCs/>
          <w:color w:val="000000" w:themeColor="text1"/>
          <w:kern w:val="0"/>
          <w:sz w:val="96"/>
          <w:szCs w:val="96"/>
          <w:highlight w:val="none"/>
          <w:lang w:val="en-US" w:eastAsia="zh-CN"/>
          <w14:textFill>
            <w14:solidFill>
              <w14:schemeClr w14:val="tx1"/>
            </w14:solidFill>
          </w14:textFill>
        </w:rPr>
      </w:pPr>
      <w:r>
        <w:rPr>
          <w:rFonts w:hint="eastAsia" w:ascii="宋体" w:hAnsi="宋体" w:cs="宋体"/>
          <w:b/>
          <w:bCs/>
          <w:color w:val="000000" w:themeColor="text1"/>
          <w:kern w:val="0"/>
          <w:sz w:val="96"/>
          <w:szCs w:val="96"/>
          <w:highlight w:val="none"/>
          <w:lang w:val="en-US" w:eastAsia="zh-CN"/>
          <w14:textFill>
            <w14:solidFill>
              <w14:schemeClr w14:val="tx1"/>
            </w14:solidFill>
          </w14:textFill>
        </w:rPr>
        <w:t>政府采购合同</w:t>
      </w:r>
    </w:p>
    <w:p w14:paraId="44AEE993">
      <w:pPr>
        <w:widowControl/>
        <w:spacing w:after="240"/>
        <w:jc w:val="center"/>
        <w:rPr>
          <w:rFonts w:hint="eastAsia" w:ascii="宋体" w:hAnsi="宋体" w:cs="宋体"/>
          <w:b/>
          <w:bCs/>
          <w:color w:val="000000" w:themeColor="text1"/>
          <w:kern w:val="0"/>
          <w:sz w:val="96"/>
          <w:szCs w:val="96"/>
          <w:highlight w:val="none"/>
          <w:lang w:val="en-US" w:eastAsia="zh-CN"/>
          <w14:textFill>
            <w14:solidFill>
              <w14:schemeClr w14:val="tx1"/>
            </w14:solidFill>
          </w14:textFill>
        </w:rPr>
      </w:pPr>
    </w:p>
    <w:p w14:paraId="798509A2">
      <w:pPr>
        <w:widowControl/>
        <w:spacing w:after="240"/>
        <w:jc w:val="center"/>
        <w:rPr>
          <w:rFonts w:hint="default" w:ascii="宋体" w:hAnsi="宋体" w:cs="宋体"/>
          <w:b/>
          <w:bCs/>
          <w:color w:val="000000" w:themeColor="text1"/>
          <w:kern w:val="0"/>
          <w:sz w:val="52"/>
          <w:szCs w:val="52"/>
          <w:highlight w:val="none"/>
          <w:lang w:val="en-US" w:eastAsia="zh-CN"/>
          <w14:textFill>
            <w14:solidFill>
              <w14:schemeClr w14:val="tx1"/>
            </w14:solidFill>
          </w14:textFill>
        </w:rPr>
      </w:pPr>
      <w:r>
        <w:rPr>
          <w:rFonts w:hint="eastAsia" w:ascii="宋体" w:hAnsi="宋体" w:cs="宋体"/>
          <w:b/>
          <w:bCs/>
          <w:color w:val="000000" w:themeColor="text1"/>
          <w:kern w:val="0"/>
          <w:sz w:val="52"/>
          <w:szCs w:val="52"/>
          <w:highlight w:val="none"/>
          <w:lang w:val="en-US" w:eastAsia="zh-CN"/>
          <w14:textFill>
            <w14:solidFill>
              <w14:schemeClr w14:val="tx1"/>
            </w14:solidFill>
          </w14:textFill>
        </w:rPr>
        <w:t>（电子交易项目适用）</w:t>
      </w:r>
    </w:p>
    <w:p w14:paraId="05F71B12">
      <w:pPr>
        <w:rPr>
          <w:rFonts w:hint="eastAsia" w:ascii="宋体" w:hAnsi="宋体" w:cs="宋体"/>
          <w:color w:val="000000" w:themeColor="text1"/>
          <w:kern w:val="0"/>
          <w:szCs w:val="21"/>
          <w:highlight w:val="none"/>
          <w14:textFill>
            <w14:solidFill>
              <w14:schemeClr w14:val="tx1"/>
            </w14:solidFill>
          </w14:textFill>
        </w:rPr>
      </w:pPr>
    </w:p>
    <w:p w14:paraId="432AB75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b/>
          <w:bCs/>
          <w:color w:val="000000" w:themeColor="text1"/>
          <w:kern w:val="0"/>
          <w:sz w:val="30"/>
          <w:szCs w:val="30"/>
          <w:highlight w:val="none"/>
          <w:lang w:val="en-US" w:eastAsia="zh-CN"/>
          <w14:textFill>
            <w14:solidFill>
              <w14:schemeClr w14:val="tx1"/>
            </w14:solidFill>
          </w14:textFill>
        </w:rPr>
      </w:pPr>
    </w:p>
    <w:p w14:paraId="11175BB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b/>
          <w:bCs/>
          <w:color w:val="000000" w:themeColor="text1"/>
          <w:kern w:val="0"/>
          <w:sz w:val="30"/>
          <w:szCs w:val="30"/>
          <w:highlight w:val="none"/>
          <w:lang w:val="en-US" w:eastAsia="zh-CN"/>
          <w14:textFill>
            <w14:solidFill>
              <w14:schemeClr w14:val="tx1"/>
            </w14:solidFill>
          </w14:textFill>
        </w:rPr>
      </w:pPr>
    </w:p>
    <w:p w14:paraId="7B90E477">
      <w:pPr>
        <w:keepNext w:val="0"/>
        <w:keepLines w:val="0"/>
        <w:pageBreakBefore w:val="0"/>
        <w:widowControl w:val="0"/>
        <w:kinsoku/>
        <w:wordWrap/>
        <w:overflowPunct/>
        <w:topLinePunct w:val="0"/>
        <w:autoSpaceDE/>
        <w:autoSpaceDN/>
        <w:bidi w:val="0"/>
        <w:adjustRightInd/>
        <w:snapToGrid/>
        <w:spacing w:line="480" w:lineRule="auto"/>
        <w:ind w:firstLine="602" w:firstLineChars="200"/>
        <w:textAlignment w:val="auto"/>
        <w:rPr>
          <w:rFonts w:hint="eastAsia" w:ascii="宋体" w:hAnsi="宋体" w:cs="宋体"/>
          <w:b/>
          <w:bCs/>
          <w:color w:val="000000" w:themeColor="text1"/>
          <w:kern w:val="0"/>
          <w:sz w:val="30"/>
          <w:szCs w:val="30"/>
          <w:highlight w:val="none"/>
          <w:lang w:val="en-US" w:eastAsia="zh-CN"/>
          <w14:textFill>
            <w14:solidFill>
              <w14:schemeClr w14:val="tx1"/>
            </w14:solidFill>
          </w14:textFill>
        </w:rPr>
      </w:pPr>
    </w:p>
    <w:p w14:paraId="37093178">
      <w:pPr>
        <w:keepNext w:val="0"/>
        <w:keepLines w:val="0"/>
        <w:pageBreakBefore w:val="0"/>
        <w:widowControl w:val="0"/>
        <w:kinsoku/>
        <w:wordWrap/>
        <w:overflowPunct/>
        <w:topLinePunct w:val="0"/>
        <w:autoSpaceDE/>
        <w:autoSpaceDN/>
        <w:bidi w:val="0"/>
        <w:adjustRightInd/>
        <w:snapToGrid/>
        <w:spacing w:line="480" w:lineRule="auto"/>
        <w:ind w:firstLine="602" w:firstLineChars="200"/>
        <w:textAlignment w:val="auto"/>
        <w:rPr>
          <w:rFonts w:hint="default" w:ascii="宋体" w:hAnsi="宋体" w:cs="宋体"/>
          <w:b/>
          <w:bCs/>
          <w:color w:val="000000" w:themeColor="text1"/>
          <w:kern w:val="0"/>
          <w:sz w:val="30"/>
          <w:szCs w:val="30"/>
          <w:highlight w:val="none"/>
          <w:u w:val="single"/>
          <w:lang w:val="en-US" w:eastAsia="zh-CN"/>
          <w14:textFill>
            <w14:solidFill>
              <w14:schemeClr w14:val="tx1"/>
            </w14:solidFill>
          </w14:textFill>
        </w:rPr>
      </w:pPr>
      <w:r>
        <w:rPr>
          <w:rFonts w:hint="eastAsia" w:ascii="宋体" w:hAnsi="宋体" w:cs="宋体"/>
          <w:b/>
          <w:bCs/>
          <w:color w:val="000000" w:themeColor="text1"/>
          <w:kern w:val="0"/>
          <w:sz w:val="30"/>
          <w:szCs w:val="30"/>
          <w:highlight w:val="none"/>
          <w:lang w:val="en-US" w:eastAsia="zh-CN"/>
          <w14:textFill>
            <w14:solidFill>
              <w14:schemeClr w14:val="tx1"/>
            </w14:solidFill>
          </w14:textFill>
        </w:rPr>
        <w:t>项 目 名 称：</w:t>
      </w:r>
      <w:r>
        <w:rPr>
          <w:rFonts w:hint="eastAsia" w:ascii="宋体" w:hAnsi="宋体" w:cs="宋体"/>
          <w:b/>
          <w:bCs/>
          <w:color w:val="000000" w:themeColor="text1"/>
          <w:kern w:val="0"/>
          <w:sz w:val="30"/>
          <w:szCs w:val="30"/>
          <w:highlight w:val="none"/>
          <w:u w:val="single"/>
          <w:lang w:val="en-US" w:eastAsia="zh-CN"/>
          <w14:textFill>
            <w14:solidFill>
              <w14:schemeClr w14:val="tx1"/>
            </w14:solidFill>
          </w14:textFill>
        </w:rPr>
        <w:t xml:space="preserve">                                      </w:t>
      </w:r>
    </w:p>
    <w:p w14:paraId="7B58823E">
      <w:pPr>
        <w:keepNext w:val="0"/>
        <w:keepLines w:val="0"/>
        <w:pageBreakBefore w:val="0"/>
        <w:widowControl w:val="0"/>
        <w:kinsoku/>
        <w:wordWrap/>
        <w:overflowPunct/>
        <w:topLinePunct w:val="0"/>
        <w:autoSpaceDE/>
        <w:autoSpaceDN/>
        <w:bidi w:val="0"/>
        <w:adjustRightInd/>
        <w:snapToGrid/>
        <w:spacing w:line="480" w:lineRule="auto"/>
        <w:ind w:firstLine="602" w:firstLineChars="200"/>
        <w:textAlignment w:val="auto"/>
        <w:rPr>
          <w:rFonts w:hint="eastAsia" w:ascii="宋体" w:hAnsi="宋体" w:cs="宋体"/>
          <w:b/>
          <w:bCs/>
          <w:color w:val="000000" w:themeColor="text1"/>
          <w:kern w:val="0"/>
          <w:sz w:val="30"/>
          <w:szCs w:val="30"/>
          <w:highlight w:val="none"/>
          <w:u w:val="single"/>
          <w:lang w:val="en-US" w:eastAsia="zh-CN"/>
          <w14:textFill>
            <w14:solidFill>
              <w14:schemeClr w14:val="tx1"/>
            </w14:solidFill>
          </w14:textFill>
        </w:rPr>
      </w:pPr>
      <w:r>
        <w:rPr>
          <w:rFonts w:hint="eastAsia" w:ascii="宋体" w:hAnsi="宋体" w:cs="宋体"/>
          <w:b/>
          <w:bCs/>
          <w:color w:val="000000" w:themeColor="text1"/>
          <w:kern w:val="0"/>
          <w:sz w:val="30"/>
          <w:szCs w:val="30"/>
          <w:highlight w:val="none"/>
          <w:lang w:val="en-US" w:eastAsia="zh-CN"/>
          <w14:textFill>
            <w14:solidFill>
              <w14:schemeClr w14:val="tx1"/>
            </w14:solidFill>
          </w14:textFill>
        </w:rPr>
        <w:t>合 同 编 号：</w:t>
      </w:r>
      <w:r>
        <w:rPr>
          <w:rFonts w:hint="eastAsia" w:ascii="宋体" w:hAnsi="宋体" w:cs="宋体"/>
          <w:b/>
          <w:bCs/>
          <w:color w:val="000000" w:themeColor="text1"/>
          <w:kern w:val="0"/>
          <w:sz w:val="30"/>
          <w:szCs w:val="30"/>
          <w:highlight w:val="none"/>
          <w:u w:val="single"/>
          <w:lang w:val="en-US" w:eastAsia="zh-CN"/>
          <w14:textFill>
            <w14:solidFill>
              <w14:schemeClr w14:val="tx1"/>
            </w14:solidFill>
          </w14:textFill>
        </w:rPr>
        <w:t xml:space="preserve">                              （系统编号）</w:t>
      </w:r>
    </w:p>
    <w:p w14:paraId="21F6B4B1">
      <w:pPr>
        <w:keepNext w:val="0"/>
        <w:keepLines w:val="0"/>
        <w:pageBreakBefore w:val="0"/>
        <w:widowControl w:val="0"/>
        <w:kinsoku/>
        <w:wordWrap/>
        <w:overflowPunct/>
        <w:topLinePunct w:val="0"/>
        <w:autoSpaceDE/>
        <w:autoSpaceDN/>
        <w:bidi w:val="0"/>
        <w:adjustRightInd/>
        <w:snapToGrid/>
        <w:spacing w:line="480" w:lineRule="auto"/>
        <w:ind w:firstLine="2409" w:firstLineChars="800"/>
        <w:textAlignment w:val="auto"/>
        <w:rPr>
          <w:rFonts w:hint="eastAsia" w:ascii="宋体" w:hAnsi="宋体" w:cs="宋体"/>
          <w:b/>
          <w:bCs/>
          <w:color w:val="000000" w:themeColor="text1"/>
          <w:kern w:val="0"/>
          <w:sz w:val="30"/>
          <w:szCs w:val="30"/>
          <w:highlight w:val="none"/>
          <w:u w:val="none"/>
          <w:lang w:val="en-US" w:eastAsia="zh-CN"/>
          <w14:textFill>
            <w14:solidFill>
              <w14:schemeClr w14:val="tx1"/>
            </w14:solidFill>
          </w14:textFill>
        </w:rPr>
      </w:pPr>
      <w:r>
        <w:rPr>
          <w:rFonts w:hint="eastAsia" w:ascii="宋体" w:hAnsi="宋体" w:cs="宋体"/>
          <w:b/>
          <w:bCs/>
          <w:color w:val="000000" w:themeColor="text1"/>
          <w:kern w:val="0"/>
          <w:sz w:val="30"/>
          <w:szCs w:val="30"/>
          <w:highlight w:val="none"/>
          <w:u w:val="none"/>
          <w:lang w:val="en-US" w:eastAsia="zh-CN"/>
          <w14:textFill>
            <w14:solidFill>
              <w14:schemeClr w14:val="tx1"/>
            </w14:solidFill>
          </w14:textFill>
        </w:rPr>
        <w:t>（自编号，如有）</w:t>
      </w:r>
    </w:p>
    <w:p w14:paraId="78EA362A">
      <w:pPr>
        <w:keepNext w:val="0"/>
        <w:keepLines w:val="0"/>
        <w:pageBreakBefore w:val="0"/>
        <w:widowControl w:val="0"/>
        <w:kinsoku/>
        <w:wordWrap/>
        <w:overflowPunct/>
        <w:topLinePunct w:val="0"/>
        <w:autoSpaceDE/>
        <w:autoSpaceDN/>
        <w:bidi w:val="0"/>
        <w:adjustRightInd/>
        <w:snapToGrid/>
        <w:spacing w:line="480" w:lineRule="auto"/>
        <w:ind w:firstLine="602" w:firstLineChars="200"/>
        <w:textAlignment w:val="auto"/>
        <w:rPr>
          <w:rFonts w:hint="default" w:ascii="宋体" w:hAnsi="宋体" w:cs="宋体"/>
          <w:b/>
          <w:bCs/>
          <w:color w:val="000000" w:themeColor="text1"/>
          <w:kern w:val="0"/>
          <w:sz w:val="30"/>
          <w:szCs w:val="30"/>
          <w:highlight w:val="none"/>
          <w:u w:val="single"/>
          <w:lang w:val="en-US" w:eastAsia="zh-CN"/>
          <w14:textFill>
            <w14:solidFill>
              <w14:schemeClr w14:val="tx1"/>
            </w14:solidFill>
          </w14:textFill>
        </w:rPr>
      </w:pPr>
      <w:r>
        <w:rPr>
          <w:rFonts w:hint="eastAsia" w:ascii="宋体" w:hAnsi="宋体" w:cs="宋体"/>
          <w:b/>
          <w:bCs/>
          <w:color w:val="000000" w:themeColor="text1"/>
          <w:kern w:val="0"/>
          <w:sz w:val="30"/>
          <w:szCs w:val="30"/>
          <w:highlight w:val="none"/>
          <w:u w:val="none"/>
          <w:lang w:val="en-US" w:eastAsia="zh-CN"/>
          <w14:textFill>
            <w14:solidFill>
              <w14:schemeClr w14:val="tx1"/>
            </w14:solidFill>
          </w14:textFill>
        </w:rPr>
        <w:t>甲       方：</w:t>
      </w:r>
      <w:r>
        <w:rPr>
          <w:rFonts w:hint="eastAsia" w:ascii="宋体" w:hAnsi="宋体" w:cs="宋体"/>
          <w:b/>
          <w:bCs/>
          <w:color w:val="000000" w:themeColor="text1"/>
          <w:kern w:val="0"/>
          <w:sz w:val="30"/>
          <w:szCs w:val="30"/>
          <w:highlight w:val="none"/>
          <w:u w:val="single"/>
          <w:lang w:val="en-US" w:eastAsia="zh-CN"/>
          <w14:textFill>
            <w14:solidFill>
              <w14:schemeClr w14:val="tx1"/>
            </w14:solidFill>
          </w14:textFill>
        </w:rPr>
        <w:t>昆明理工大学</w:t>
      </w:r>
    </w:p>
    <w:p w14:paraId="353E3B7E">
      <w:pPr>
        <w:keepNext w:val="0"/>
        <w:keepLines w:val="0"/>
        <w:pageBreakBefore w:val="0"/>
        <w:widowControl w:val="0"/>
        <w:kinsoku/>
        <w:wordWrap/>
        <w:overflowPunct/>
        <w:topLinePunct w:val="0"/>
        <w:autoSpaceDE/>
        <w:autoSpaceDN/>
        <w:bidi w:val="0"/>
        <w:adjustRightInd/>
        <w:snapToGrid/>
        <w:spacing w:line="480" w:lineRule="auto"/>
        <w:ind w:firstLine="602" w:firstLineChars="200"/>
        <w:textAlignment w:val="auto"/>
        <w:rPr>
          <w:rFonts w:hint="default" w:ascii="宋体" w:hAnsi="宋体" w:cs="宋体"/>
          <w:b/>
          <w:bCs/>
          <w:color w:val="000000" w:themeColor="text1"/>
          <w:kern w:val="0"/>
          <w:sz w:val="30"/>
          <w:szCs w:val="30"/>
          <w:highlight w:val="none"/>
          <w:u w:val="single"/>
          <w:lang w:val="en-US" w:eastAsia="zh-CN"/>
          <w14:textFill>
            <w14:solidFill>
              <w14:schemeClr w14:val="tx1"/>
            </w14:solidFill>
          </w14:textFill>
        </w:rPr>
      </w:pPr>
      <w:r>
        <w:rPr>
          <w:rFonts w:hint="eastAsia" w:ascii="宋体" w:hAnsi="宋体" w:cs="宋体"/>
          <w:b/>
          <w:bCs/>
          <w:color w:val="000000" w:themeColor="text1"/>
          <w:kern w:val="0"/>
          <w:sz w:val="30"/>
          <w:szCs w:val="30"/>
          <w:highlight w:val="none"/>
          <w:u w:val="none"/>
          <w:lang w:val="en-US" w:eastAsia="zh-CN"/>
          <w14:textFill>
            <w14:solidFill>
              <w14:schemeClr w14:val="tx1"/>
            </w14:solidFill>
          </w14:textFill>
        </w:rPr>
        <w:t>乙       方：</w:t>
      </w:r>
      <w:r>
        <w:rPr>
          <w:rFonts w:hint="eastAsia" w:ascii="宋体" w:hAnsi="宋体" w:cs="宋体"/>
          <w:b/>
          <w:bCs/>
          <w:color w:val="000000" w:themeColor="text1"/>
          <w:kern w:val="0"/>
          <w:sz w:val="30"/>
          <w:szCs w:val="30"/>
          <w:highlight w:val="none"/>
          <w:u w:val="single"/>
          <w:lang w:val="en-US" w:eastAsia="zh-CN"/>
          <w14:textFill>
            <w14:solidFill>
              <w14:schemeClr w14:val="tx1"/>
            </w14:solidFill>
          </w14:textFill>
        </w:rPr>
        <w:t xml:space="preserve">           </w:t>
      </w:r>
    </w:p>
    <w:p w14:paraId="51395234">
      <w:pPr>
        <w:widowControl/>
        <w:spacing w:after="240"/>
        <w:jc w:val="center"/>
        <w:rPr>
          <w:rFonts w:ascii="宋体" w:hAnsi="宋体" w:cs="宋体"/>
          <w:b/>
          <w:bCs/>
          <w:color w:val="000000" w:themeColor="text1"/>
          <w:kern w:val="0"/>
          <w:sz w:val="27"/>
          <w:szCs w:val="27"/>
          <w:highlight w:val="none"/>
          <w14:textFill>
            <w14:solidFill>
              <w14:schemeClr w14:val="tx1"/>
            </w14:solidFill>
          </w14:textFill>
        </w:rPr>
      </w:pPr>
      <w:r>
        <w:rPr>
          <w:rFonts w:hint="eastAsia" w:ascii="宋体" w:hAnsi="宋体" w:cs="宋体"/>
          <w:b/>
          <w:bCs/>
          <w:color w:val="000000" w:themeColor="text1"/>
          <w:kern w:val="0"/>
          <w:sz w:val="27"/>
          <w:szCs w:val="27"/>
          <w:highlight w:val="none"/>
          <w14:textFill>
            <w14:solidFill>
              <w14:schemeClr w14:val="tx1"/>
            </w14:solidFill>
          </w14:textFill>
        </w:rPr>
        <w:t xml:space="preserve"> </w:t>
      </w:r>
    </w:p>
    <w:p w14:paraId="5B60F378">
      <w:pPr>
        <w:widowControl/>
        <w:spacing w:before="100" w:beforeAutospacing="1" w:after="100" w:afterAutospacing="1"/>
        <w:jc w:val="center"/>
        <w:rPr>
          <w:rFonts w:ascii="宋体" w:hAnsi="宋体" w:cs="宋体"/>
          <w:b/>
          <w:bCs/>
          <w:color w:val="000000" w:themeColor="text1"/>
          <w:kern w:val="0"/>
          <w:sz w:val="27"/>
          <w:szCs w:val="27"/>
          <w:highlight w:val="none"/>
          <w14:textFill>
            <w14:solidFill>
              <w14:schemeClr w14:val="tx1"/>
            </w14:solidFill>
          </w14:textFill>
        </w:rPr>
        <w:sectPr>
          <w:footerReference r:id="rId10" w:type="default"/>
          <w:type w:val="continuous"/>
          <w:pgSz w:w="11906" w:h="16838"/>
          <w:pgMar w:top="1417" w:right="1134" w:bottom="1417" w:left="1134" w:header="850" w:footer="850" w:gutter="0"/>
          <w:cols w:space="0" w:num="1"/>
          <w:docGrid w:type="lines" w:linePitch="316" w:charSpace="0"/>
        </w:sectPr>
      </w:pPr>
    </w:p>
    <w:p w14:paraId="7712C21C">
      <w:pPr>
        <w:widowControl/>
        <w:spacing w:line="360" w:lineRule="auto"/>
        <w:ind w:firstLine="424" w:firstLineChars="20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甲方（采购人公章）名称：昆明理工大学</w:t>
      </w:r>
    </w:p>
    <w:p w14:paraId="73EC47E3">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地址：昆明市一二一大街文昌路68号  </w:t>
      </w:r>
    </w:p>
    <w:p w14:paraId="67E73E5F">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邮编：650504</w:t>
      </w:r>
    </w:p>
    <w:p w14:paraId="2FD2ADBE">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法定代表人或委托代理人：</w:t>
      </w:r>
    </w:p>
    <w:p w14:paraId="5846F9C9">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项目（技术）负责人：</w:t>
      </w:r>
    </w:p>
    <w:p w14:paraId="672BA288">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电话：0871-65916588</w:t>
      </w:r>
    </w:p>
    <w:p w14:paraId="5BA5E460">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开户银行：中国银行股份有限公司昆明市大学城支行</w:t>
      </w:r>
    </w:p>
    <w:p w14:paraId="448A86C4">
      <w:pPr>
        <w:widowControl/>
        <w:spacing w:line="360" w:lineRule="auto"/>
        <w:ind w:left="2409" w:leftChars="1147"/>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账号：13562673947500003</w:t>
      </w:r>
    </w:p>
    <w:p w14:paraId="2B762820">
      <w:pPr>
        <w:widowControl/>
        <w:spacing w:line="360" w:lineRule="auto"/>
        <w:ind w:left="2409" w:leftChars="1147"/>
        <w:jc w:val="left"/>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合同签订时间：</w:t>
      </w:r>
    </w:p>
    <w:p w14:paraId="777AF49F">
      <w:pPr>
        <w:widowControl/>
        <w:spacing w:line="360" w:lineRule="auto"/>
        <w:ind w:left="2268" w:leftChars="1080"/>
        <w:jc w:val="left"/>
        <w:rPr>
          <w:rFonts w:ascii="宋体" w:hAnsi="宋体" w:cs="宋体"/>
          <w:color w:val="000000" w:themeColor="text1"/>
          <w:kern w:val="0"/>
          <w:szCs w:val="21"/>
          <w:highlight w:val="none"/>
          <w14:textFill>
            <w14:solidFill>
              <w14:schemeClr w14:val="tx1"/>
            </w14:solidFill>
          </w14:textFill>
        </w:rPr>
      </w:pPr>
    </w:p>
    <w:p w14:paraId="3B618FC4">
      <w:pPr>
        <w:widowControl/>
        <w:spacing w:line="360" w:lineRule="auto"/>
        <w:ind w:firstLine="424" w:firstLineChars="20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乙方（投标人公章）名称： </w:t>
      </w:r>
    </w:p>
    <w:p w14:paraId="50A7CF1C">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地址：</w:t>
      </w:r>
    </w:p>
    <w:p w14:paraId="0AE24E0C">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邮编：</w:t>
      </w:r>
    </w:p>
    <w:p w14:paraId="32B156F6">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法定代表人：</w:t>
      </w:r>
    </w:p>
    <w:p w14:paraId="2E5789AA">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委托代理人：</w:t>
      </w:r>
    </w:p>
    <w:p w14:paraId="54705F79">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电话：</w:t>
      </w:r>
    </w:p>
    <w:p w14:paraId="2ACCCCA5">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开户银行：</w:t>
      </w:r>
    </w:p>
    <w:p w14:paraId="2B844749">
      <w:pPr>
        <w:widowControl/>
        <w:spacing w:line="360" w:lineRule="auto"/>
        <w:ind w:left="2409" w:leftChars="1147"/>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账号：</w:t>
      </w:r>
    </w:p>
    <w:p w14:paraId="3B40EB73">
      <w:pPr>
        <w:widowControl/>
        <w:spacing w:line="360" w:lineRule="auto"/>
        <w:ind w:left="2409" w:leftChars="1147"/>
        <w:jc w:val="left"/>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合同签订时间：</w:t>
      </w:r>
    </w:p>
    <w:p w14:paraId="44964854">
      <w:pPr>
        <w:widowControl/>
        <w:spacing w:line="360" w:lineRule="auto"/>
        <w:ind w:left="2268" w:leftChars="1080"/>
        <w:jc w:val="left"/>
        <w:rPr>
          <w:rFonts w:ascii="宋体" w:hAnsi="宋体" w:cs="宋体"/>
          <w:vanish/>
          <w:color w:val="000000" w:themeColor="text1"/>
          <w:kern w:val="0"/>
          <w:szCs w:val="21"/>
          <w:highlight w:val="none"/>
          <w14:textFill>
            <w14:solidFill>
              <w14:schemeClr w14:val="tx1"/>
            </w14:solidFill>
          </w14:textFill>
        </w:rPr>
      </w:pPr>
    </w:p>
    <w:p w14:paraId="10A98331">
      <w:pPr>
        <w:widowControl/>
        <w:spacing w:line="360" w:lineRule="auto"/>
        <w:ind w:firstLine="424" w:firstLineChars="20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丙方（鉴证方公章）名称： </w:t>
      </w:r>
    </w:p>
    <w:p w14:paraId="372AC449">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地址： </w:t>
      </w:r>
    </w:p>
    <w:p w14:paraId="03420F9D">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邮编：</w:t>
      </w:r>
    </w:p>
    <w:p w14:paraId="557A8B74">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法定代表人：</w:t>
      </w:r>
    </w:p>
    <w:p w14:paraId="0A454B7F">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或委托代理人：</w:t>
      </w:r>
    </w:p>
    <w:p w14:paraId="45A1099F">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经办人： </w:t>
      </w:r>
    </w:p>
    <w:p w14:paraId="1BC409CE">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电话：</w:t>
      </w:r>
    </w:p>
    <w:p w14:paraId="5E6FFE68">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开户银行：</w:t>
      </w:r>
    </w:p>
    <w:p w14:paraId="0303BF24">
      <w:pPr>
        <w:widowControl/>
        <w:spacing w:line="360" w:lineRule="auto"/>
        <w:ind w:left="2409" w:leftChars="114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账号：</w:t>
      </w:r>
    </w:p>
    <w:p w14:paraId="098510B2">
      <w:pPr>
        <w:spacing w:line="324" w:lineRule="auto"/>
        <w:ind w:firstLine="41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color w:val="000000" w:themeColor="text1"/>
          <w:highlight w:val="none"/>
          <w14:textFill>
            <w14:solidFill>
              <w14:schemeClr w14:val="tx1"/>
            </w14:solidFill>
          </w14:textFill>
        </w:rPr>
        <w:t>甲乙双方根据“</w:t>
      </w:r>
      <w:r>
        <w:rPr>
          <w:rFonts w:hint="eastAsia" w:ascii="宋体" w:hAnsi="宋体" w:cs="宋体"/>
          <w:bCs/>
          <w:color w:val="000000" w:themeColor="text1"/>
          <w:highlight w:val="none"/>
          <w14:textFill>
            <w14:solidFill>
              <w14:schemeClr w14:val="tx1"/>
            </w14:solidFill>
          </w14:textFill>
        </w:rPr>
        <w:t>招标项目名称</w:t>
      </w:r>
      <w:r>
        <w:rPr>
          <w:rFonts w:hint="eastAsia" w:ascii="宋体" w:hAnsi="宋体" w:cs="宋体"/>
          <w:color w:val="000000" w:themeColor="text1"/>
          <w:highlight w:val="none"/>
          <w14:textFill>
            <w14:solidFill>
              <w14:schemeClr w14:val="tx1"/>
            </w14:solidFill>
          </w14:textFill>
        </w:rPr>
        <w:t>” 项目招标结果</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采购代理机构：</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，项目编号：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，确定由乙方负责甲方</w:t>
      </w:r>
      <w:r>
        <w:rPr>
          <w:rFonts w:hint="eastAsia" w:ascii="宋体" w:hAnsi="宋体" w:cs="宋体"/>
          <w:color w:val="000000" w:themeColor="text1"/>
          <w:highlight w:val="none"/>
          <w:u w:val="single"/>
          <w14:textFill>
            <w14:solidFill>
              <w14:schemeClr w14:val="tx1"/>
            </w14:solidFill>
          </w14:textFill>
        </w:rPr>
        <w:t>（使用部门 ）</w:t>
      </w:r>
      <w:r>
        <w:rPr>
          <w:rFonts w:hint="eastAsia" w:ascii="宋体" w:hAnsi="宋体" w:cs="宋体"/>
          <w:color w:val="000000" w:themeColor="text1"/>
          <w:highlight w:val="none"/>
          <w14:textFill>
            <w14:solidFill>
              <w14:schemeClr w14:val="tx1"/>
            </w14:solidFill>
          </w14:textFill>
        </w:rPr>
        <w:t>设备供应，经过双方充分协商达成一致意见，签订以下内容：</w:t>
      </w:r>
    </w:p>
    <w:p w14:paraId="60A6C10A">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一、主体设备要求和数量、价格：                                   </w:t>
      </w:r>
    </w:p>
    <w:p w14:paraId="0A64E85C">
      <w:pPr>
        <w:spacing w:line="324"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见附件</w:t>
      </w:r>
    </w:p>
    <w:p w14:paraId="1275DFCE">
      <w:pPr>
        <w:spacing w:line="324" w:lineRule="auto"/>
        <w:rPr>
          <w:rFonts w:ascii="宋体" w:hAnsi="宋体" w:cs="宋体"/>
          <w:b/>
          <w:color w:val="000000" w:themeColor="text1"/>
          <w:highlight w:val="none"/>
          <w14:textFill>
            <w14:solidFill>
              <w14:schemeClr w14:val="tx1"/>
            </w14:solidFill>
          </w14:textFill>
        </w:rPr>
      </w:pPr>
    </w:p>
    <w:p w14:paraId="2E20EE4B">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二、随机资料和配套附属设备要求</w:t>
      </w:r>
    </w:p>
    <w:p w14:paraId="76F279C4">
      <w:pPr>
        <w:spacing w:line="324" w:lineRule="auto"/>
        <w:ind w:firstLine="420" w:firstLineChars="200"/>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标准配置。</w:t>
      </w:r>
    </w:p>
    <w:p w14:paraId="40BBAE0A">
      <w:pPr>
        <w:spacing w:line="324" w:lineRule="auto"/>
        <w:rPr>
          <w:rFonts w:ascii="宋体" w:hAnsi="宋体" w:cs="宋体"/>
          <w:b/>
          <w:color w:val="000000" w:themeColor="text1"/>
          <w:highlight w:val="none"/>
          <w14:textFill>
            <w14:solidFill>
              <w14:schemeClr w14:val="tx1"/>
            </w14:solidFill>
          </w14:textFill>
        </w:rPr>
      </w:pPr>
    </w:p>
    <w:p w14:paraId="74802E13">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三、安装调试要求</w:t>
      </w:r>
    </w:p>
    <w:p w14:paraId="078505D7">
      <w:pPr>
        <w:spacing w:line="324"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设备安装调试符合国家标准或规范，并满足甲方技术要求，乙方负责免费进行设备的安装测试同时完成。</w:t>
      </w:r>
    </w:p>
    <w:p w14:paraId="57B87475">
      <w:pPr>
        <w:spacing w:line="324" w:lineRule="auto"/>
        <w:ind w:firstLine="420" w:firstLineChars="200"/>
        <w:rPr>
          <w:rFonts w:ascii="宋体" w:hAnsi="宋体" w:cs="宋体"/>
          <w:color w:val="000000" w:themeColor="text1"/>
          <w:highlight w:val="none"/>
          <w14:textFill>
            <w14:solidFill>
              <w14:schemeClr w14:val="tx1"/>
            </w14:solidFill>
          </w14:textFill>
        </w:rPr>
      </w:pPr>
    </w:p>
    <w:p w14:paraId="442FDF3E">
      <w:pPr>
        <w:spacing w:line="324"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四、配套设备、备品备件（含易损件或消耗品）要求及长期供应优惠条件</w:t>
      </w:r>
    </w:p>
    <w:p w14:paraId="2C208074">
      <w:pPr>
        <w:spacing w:line="324" w:lineRule="auto"/>
        <w:ind w:firstLine="420" w:firstLineChars="200"/>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长期优惠供应。</w:t>
      </w:r>
    </w:p>
    <w:p w14:paraId="485E5995">
      <w:pPr>
        <w:spacing w:line="324" w:lineRule="auto"/>
        <w:rPr>
          <w:rFonts w:ascii="宋体" w:hAnsi="宋体" w:cs="宋体"/>
          <w:b/>
          <w:color w:val="000000" w:themeColor="text1"/>
          <w:highlight w:val="none"/>
          <w14:textFill>
            <w14:solidFill>
              <w14:schemeClr w14:val="tx1"/>
            </w14:solidFill>
          </w14:textFill>
        </w:rPr>
      </w:pPr>
    </w:p>
    <w:p w14:paraId="1858F621">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五、合同总价：（人民币  元）</w:t>
      </w:r>
      <w:r>
        <w:rPr>
          <w:rFonts w:hint="eastAsia" w:ascii="宋体" w:hAnsi="宋体" w:cs="宋体"/>
          <w:b/>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元整</w:t>
      </w:r>
    </w:p>
    <w:p w14:paraId="3EADAD81">
      <w:pPr>
        <w:spacing w:line="324" w:lineRule="auto"/>
        <w:ind w:firstLine="480"/>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小写：￥</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元</w:t>
      </w:r>
    </w:p>
    <w:p w14:paraId="71BFD6D9">
      <w:pPr>
        <w:spacing w:line="324" w:lineRule="auto"/>
        <w:ind w:left="540" w:leftChars="257"/>
        <w:rPr>
          <w:rFonts w:ascii="宋体" w:hAnsi="宋体" w:cs="宋体"/>
          <w:color w:val="000000" w:themeColor="text1"/>
          <w:highlight w:val="none"/>
          <w14:textFill>
            <w14:solidFill>
              <w14:schemeClr w14:val="tx1"/>
            </w14:solidFill>
          </w14:textFill>
        </w:rPr>
      </w:pPr>
      <w:bookmarkStart w:id="161" w:name="_Toc29379756"/>
      <w:r>
        <w:rPr>
          <w:rFonts w:hint="eastAsia" w:ascii="宋体" w:hAnsi="宋体" w:cs="宋体"/>
          <w:color w:val="000000" w:themeColor="text1"/>
          <w:highlight w:val="none"/>
          <w14:textFill>
            <w14:solidFill>
              <w14:schemeClr w14:val="tx1"/>
            </w14:solidFill>
          </w14:textFill>
        </w:rPr>
        <w:t>以上价格为甲方指定地点交货价，并包含设备的安装运输调试费用。</w:t>
      </w:r>
      <w:bookmarkEnd w:id="161"/>
    </w:p>
    <w:p w14:paraId="7501AA73">
      <w:pPr>
        <w:spacing w:line="324" w:lineRule="auto"/>
        <w:ind w:left="540" w:leftChars="257"/>
        <w:rPr>
          <w:rFonts w:ascii="宋体" w:hAnsi="宋体" w:cs="宋体"/>
          <w:b/>
          <w:color w:val="000000" w:themeColor="text1"/>
          <w:highlight w:val="none"/>
          <w14:textFill>
            <w14:solidFill>
              <w14:schemeClr w14:val="tx1"/>
            </w14:solidFill>
          </w14:textFill>
        </w:rPr>
      </w:pPr>
    </w:p>
    <w:p w14:paraId="52F5F9B9">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六、甲乙双方的权利和义务</w:t>
      </w:r>
    </w:p>
    <w:p w14:paraId="3B37614E">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（一）甲方的权利和义务</w:t>
      </w:r>
    </w:p>
    <w:p w14:paraId="184025CE">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1、负责合同签订后项目实施的工作（如与乙方的具体联系和衔结，现场安装调试时配备人员进行监管控制）；</w:t>
      </w:r>
    </w:p>
    <w:p w14:paraId="7C87933D">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2、负责提供设备和项目安装调试所必须的场地和环境；</w:t>
      </w:r>
    </w:p>
    <w:p w14:paraId="35797473">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3、负责组织成立验收小组对设备和项目进行验收并签署验收报告；</w:t>
      </w:r>
    </w:p>
    <w:p w14:paraId="63E1D883">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4、按合同规定享有乙方提供的设备服务。</w:t>
      </w:r>
    </w:p>
    <w:p w14:paraId="473406E9">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5AD5D6D6">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（二）乙方的权利和义务</w:t>
      </w:r>
    </w:p>
    <w:p w14:paraId="0CA4D8A6">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乙方保证按本合同一、二、三、四、五条款负责完成甲方项目，并保证提供的设备是全新（包括零部件）、符合招标文件规定、具有国家有关部门注册并符合国家质量检测标准（进口产品具有国家有关部门完整手续）和产品出厂标准的设备；</w:t>
      </w:r>
      <w:bookmarkStart w:id="162" w:name="_Hlk72835049"/>
      <w:r>
        <w:rPr>
          <w:rFonts w:hint="eastAsia" w:ascii="宋体" w:hAnsi="宋体" w:cs="宋体"/>
          <w:color w:val="000000" w:themeColor="text1"/>
          <w:highlight w:val="none"/>
          <w14:textFill>
            <w14:solidFill>
              <w14:schemeClr w14:val="tx1"/>
            </w14:solidFill>
          </w14:textFill>
        </w:rPr>
        <w:t>设备及主要配件保修期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年（以终验合格之日为起始日期），人工保修服务</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年（以终验合格之日为起始日期），终身负责维修</w:t>
      </w:r>
      <w:bookmarkEnd w:id="162"/>
      <w:r>
        <w:rPr>
          <w:rFonts w:hint="eastAsia" w:ascii="宋体" w:hAnsi="宋体" w:cs="宋体"/>
          <w:color w:val="000000" w:themeColor="text1"/>
          <w:highlight w:val="none"/>
          <w14:textFill>
            <w14:solidFill>
              <w14:schemeClr w14:val="tx1"/>
            </w14:solidFill>
          </w14:textFill>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小时内到达现场，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类故障保证由</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人员（或工程师）在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天内修复，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类故障保证由</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人员（或工程师）在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天内修复；乙方保证在甲方指定地点供应备品备件（含易损件）和配套消耗品；乙方对所提供的设备实行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月时间定期进行保养（或维护、巡检）制度；</w:t>
      </w:r>
    </w:p>
    <w:p w14:paraId="520702B2">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2、保证甲方在合同设备（有配套软件的还包括软件产品）使用期间不受第三方提出侵犯其专利权、商标权和工业设计权的起诉。</w:t>
      </w:r>
    </w:p>
    <w:p w14:paraId="32C6FBEF">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3、严格遵守招标文件、投标文件及中标所承诺的一切规定和条款；</w:t>
      </w:r>
    </w:p>
    <w:p w14:paraId="693B0F3A">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4、参与甲方共同进行设备和项目的验收。</w:t>
      </w:r>
    </w:p>
    <w:p w14:paraId="2C245A15">
      <w:pPr>
        <w:spacing w:line="324" w:lineRule="auto"/>
        <w:rPr>
          <w:rFonts w:ascii="宋体" w:hAnsi="宋体" w:cs="宋体"/>
          <w:b/>
          <w:color w:val="000000" w:themeColor="text1"/>
          <w:highlight w:val="none"/>
          <w14:textFill>
            <w14:solidFill>
              <w14:schemeClr w14:val="tx1"/>
            </w14:solidFill>
          </w14:textFill>
        </w:rPr>
      </w:pPr>
    </w:p>
    <w:p w14:paraId="3B8C94A2">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七、以上内容与甲方采购确认和乙方中标承诺情况一致（或中标产品和设备的技术及服务保证甲方正常使用）。</w:t>
      </w:r>
    </w:p>
    <w:p w14:paraId="1837526A">
      <w:pPr>
        <w:spacing w:line="324" w:lineRule="auto"/>
        <w:rPr>
          <w:rFonts w:ascii="宋体" w:hAnsi="宋体" w:cs="宋体"/>
          <w:b/>
          <w:color w:val="000000" w:themeColor="text1"/>
          <w:highlight w:val="none"/>
          <w14:textFill>
            <w14:solidFill>
              <w14:schemeClr w14:val="tx1"/>
            </w14:solidFill>
          </w14:textFill>
        </w:rPr>
      </w:pPr>
    </w:p>
    <w:p w14:paraId="622DF10F">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八、技术培训：</w:t>
      </w:r>
    </w:p>
    <w:p w14:paraId="2B610C7C">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乙方向甲方提供</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人专业技术人员（或工程师）国内培训并应获得技术证书，费用由乙方负责，具体时间为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天、地点为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，其他由甲乙双方协定。</w:t>
      </w:r>
    </w:p>
    <w:p w14:paraId="374CB494">
      <w:pPr>
        <w:spacing w:line="324" w:lineRule="auto"/>
        <w:rPr>
          <w:rFonts w:ascii="宋体" w:hAnsi="宋体" w:cs="宋体"/>
          <w:b/>
          <w:color w:val="000000" w:themeColor="text1"/>
          <w:highlight w:val="none"/>
          <w14:textFill>
            <w14:solidFill>
              <w14:schemeClr w14:val="tx1"/>
            </w14:solidFill>
          </w14:textFill>
        </w:rPr>
      </w:pPr>
    </w:p>
    <w:p w14:paraId="78106FA2">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九、甲方在设备使用过程中发生技术质量问题，乙方应提供及时有效的技术支持。</w:t>
      </w:r>
    </w:p>
    <w:p w14:paraId="78311325">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乙方技术支持电话：        ，联系人：。</w:t>
      </w:r>
    </w:p>
    <w:p w14:paraId="0E3BFB50">
      <w:pPr>
        <w:spacing w:line="324" w:lineRule="auto"/>
        <w:rPr>
          <w:rFonts w:ascii="宋体" w:hAnsi="宋体" w:cs="宋体"/>
          <w:b/>
          <w:color w:val="000000" w:themeColor="text1"/>
          <w:highlight w:val="none"/>
          <w14:textFill>
            <w14:solidFill>
              <w14:schemeClr w14:val="tx1"/>
            </w14:solidFill>
          </w14:textFill>
        </w:rPr>
      </w:pPr>
    </w:p>
    <w:p w14:paraId="73E280D4">
      <w:pPr>
        <w:spacing w:line="324" w:lineRule="auto"/>
        <w:ind w:left="841" w:hanging="841" w:hangingChars="399"/>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十、整体项目完成时间（即设备送达甲方指定地点并按规范安装调试完毕时间）为合同签订生效后于</w:t>
      </w:r>
      <w:r>
        <w:rPr>
          <w:rFonts w:hint="eastAsia" w:ascii="宋体" w:hAnsi="宋体" w:cs="宋体"/>
          <w:b/>
          <w:color w:val="000000" w:themeColor="text1"/>
          <w:highlight w:val="none"/>
          <w:u w:val="single"/>
          <w14:textFill>
            <w14:solidFill>
              <w14:schemeClr w14:val="tx1"/>
            </w14:solidFill>
          </w14:textFill>
        </w:rPr>
        <w:t xml:space="preserve">    </w:t>
      </w:r>
      <w:r>
        <w:rPr>
          <w:rFonts w:hint="eastAsia" w:ascii="宋体" w:hAnsi="宋体" w:cs="宋体"/>
          <w:b/>
          <w:color w:val="000000" w:themeColor="text1"/>
          <w:highlight w:val="none"/>
          <w14:textFill>
            <w14:solidFill>
              <w14:schemeClr w14:val="tx1"/>
            </w14:solidFill>
          </w14:textFill>
        </w:rPr>
        <w:t xml:space="preserve">年 </w:t>
      </w:r>
    </w:p>
    <w:p w14:paraId="26C015EA">
      <w:pPr>
        <w:spacing w:line="324" w:lineRule="auto"/>
        <w:ind w:left="841" w:hanging="841" w:hangingChars="399"/>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u w:val="single"/>
          <w14:textFill>
            <w14:solidFill>
              <w14:schemeClr w14:val="tx1"/>
            </w14:solidFill>
          </w14:textFill>
        </w:rPr>
        <w:t xml:space="preserve">    </w:t>
      </w:r>
      <w:r>
        <w:rPr>
          <w:rFonts w:hint="eastAsia" w:ascii="宋体" w:hAnsi="宋体" w:cs="宋体"/>
          <w:b/>
          <w:color w:val="000000" w:themeColor="text1"/>
          <w:highlight w:val="none"/>
          <w14:textFill>
            <w14:solidFill>
              <w14:schemeClr w14:val="tx1"/>
            </w14:solidFill>
          </w14:textFill>
        </w:rPr>
        <w:t>月</w:t>
      </w:r>
      <w:r>
        <w:rPr>
          <w:rFonts w:hint="eastAsia" w:ascii="宋体" w:hAnsi="宋体" w:cs="宋体"/>
          <w:b/>
          <w:color w:val="000000" w:themeColor="text1"/>
          <w:highlight w:val="none"/>
          <w:u w:val="single"/>
          <w14:textFill>
            <w14:solidFill>
              <w14:schemeClr w14:val="tx1"/>
            </w14:solidFill>
          </w14:textFill>
        </w:rPr>
        <w:t xml:space="preserve">    </w:t>
      </w:r>
      <w:r>
        <w:rPr>
          <w:rFonts w:hint="eastAsia" w:ascii="宋体" w:hAnsi="宋体" w:cs="宋体"/>
          <w:b/>
          <w:color w:val="000000" w:themeColor="text1"/>
          <w:highlight w:val="none"/>
          <w14:textFill>
            <w14:solidFill>
              <w14:schemeClr w14:val="tx1"/>
            </w14:solidFill>
          </w14:textFill>
        </w:rPr>
        <w:t>日内完成。</w:t>
      </w:r>
    </w:p>
    <w:p w14:paraId="2808261E">
      <w:pPr>
        <w:spacing w:line="324"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设备交验地点和方式：合同签订后，乙方负责将完整配套的原封设备（含开机必要消耗品）送到甲方指定的地点（</w:t>
      </w:r>
      <w:r>
        <w:rPr>
          <w:rFonts w:hint="eastAsia" w:ascii="宋体" w:hAnsi="宋体" w:cs="宋体"/>
          <w:color w:val="000000" w:themeColor="text1"/>
          <w:kern w:val="0"/>
          <w:szCs w:val="21"/>
          <w:highlight w:val="none"/>
          <w14:textFill>
            <w14:solidFill>
              <w14:schemeClr w14:val="tx1"/>
            </w14:solidFill>
          </w14:textFill>
        </w:rPr>
        <w:t>昆明理工大学</w:t>
      </w:r>
      <w:r>
        <w:rPr>
          <w:rFonts w:hint="eastAsia" w:ascii="宋体" w:hAnsi="宋体" w:cs="宋体"/>
          <w:color w:val="000000" w:themeColor="text1"/>
          <w:highlight w:val="none"/>
          <w14:textFill>
            <w14:solidFill>
              <w14:schemeClr w14:val="tx1"/>
            </w14:solidFill>
          </w14:textFill>
        </w:rPr>
        <w:t>），由甲乙双方共同开箱初验，并由乙方按合同规范要求完成安装测试。交货时，乙方随货向甲方交付设备的相关资料及配备的用件、工具等。</w:t>
      </w:r>
    </w:p>
    <w:p w14:paraId="604F6805">
      <w:pPr>
        <w:spacing w:line="324" w:lineRule="auto"/>
        <w:rPr>
          <w:rFonts w:ascii="宋体" w:hAnsi="宋体" w:cs="宋体"/>
          <w:b/>
          <w:color w:val="000000" w:themeColor="text1"/>
          <w:highlight w:val="none"/>
          <w14:textFill>
            <w14:solidFill>
              <w14:schemeClr w14:val="tx1"/>
            </w14:solidFill>
          </w14:textFill>
        </w:rPr>
      </w:pPr>
    </w:p>
    <w:p w14:paraId="51D6759A">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十一、验收及验收标准</w:t>
      </w:r>
    </w:p>
    <w:p w14:paraId="3AD0037A">
      <w:pPr>
        <w:spacing w:line="324"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1、设备验收：设备到达甲方指定地点后甲方统一初验是否符合合同要求；</w:t>
      </w:r>
    </w:p>
    <w:p w14:paraId="04253940">
      <w:pPr>
        <w:spacing w:line="324"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2、项目验收：乙方负责设备安装和调试，完工后，甲方测试是否合格并满足技术要求；</w:t>
      </w:r>
    </w:p>
    <w:p w14:paraId="099473C1">
      <w:pPr>
        <w:spacing w:line="324"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3、实作性操作验收：设备是否正常运作3个月。</w:t>
      </w:r>
    </w:p>
    <w:p w14:paraId="28E8D533">
      <w:pPr>
        <w:spacing w:line="324" w:lineRule="auto"/>
        <w:rPr>
          <w:rFonts w:ascii="宋体" w:hAnsi="宋体" w:cs="宋体"/>
          <w:b/>
          <w:color w:val="000000" w:themeColor="text1"/>
          <w:highlight w:val="none"/>
          <w14:textFill>
            <w14:solidFill>
              <w14:schemeClr w14:val="tx1"/>
            </w14:solidFill>
          </w14:textFill>
        </w:rPr>
      </w:pPr>
    </w:p>
    <w:p w14:paraId="3C1D3535">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十二、合同价款结算（按招标文件）</w:t>
      </w:r>
    </w:p>
    <w:p w14:paraId="0E51F0D8">
      <w:pPr>
        <w:spacing w:line="5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1、乙方向甲方财务处缴纳中标金额</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%的履约保证金。</w:t>
      </w:r>
    </w:p>
    <w:p w14:paraId="721E689D">
      <w:pPr>
        <w:spacing w:line="5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设备到货、安装调试完成，且能正常运行，经甲方使用部门初验合格、经国有资产与实验室管理处组织最终验收合格，且完成设备资产建账后交付合同全款发票（进口设备付汇完成并提供银行付汇水单）及相关归档资料后，甲方向乙方支付合同总价的100%货款。付款以转账形式支付。</w:t>
      </w:r>
    </w:p>
    <w:p w14:paraId="0FDE0EF3">
      <w:pPr>
        <w:spacing w:line="5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如非甲方和不可抗力原因乙方未能按照合同约定交货（如不按时供货、供货产品与投标（响应）文件中响应产品情况不一致等），或交付设备/服务工作质量未能达到验收标准，使得项目资金被上级财政部门收回，由此产生的一切损失及后果均由乙方承担。</w:t>
      </w:r>
    </w:p>
    <w:p w14:paraId="0E58CDDD">
      <w:pPr>
        <w:spacing w:line="5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4、该履约保证金在项目终验合格后乙方凭“昆明理工大学履约保证金收据、昆明理工大学仪器设备验收报告”到甲方财务处办理不计利息全额退还。</w:t>
      </w:r>
    </w:p>
    <w:p w14:paraId="1E266260">
      <w:pPr>
        <w:spacing w:line="324" w:lineRule="auto"/>
        <w:rPr>
          <w:rFonts w:ascii="宋体" w:hAnsi="宋体" w:cs="宋体"/>
          <w:b/>
          <w:color w:val="000000" w:themeColor="text1"/>
          <w:highlight w:val="none"/>
          <w14:textFill>
            <w14:solidFill>
              <w14:schemeClr w14:val="tx1"/>
            </w14:solidFill>
          </w14:textFill>
        </w:rPr>
      </w:pPr>
    </w:p>
    <w:p w14:paraId="5651449F">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十三、甲乙双方在履行合同过程中发生纠纷，应及时向有关管理部门反映，以便相关部门进行协调或处理；也可以直接向甲方住所地人民法院起诉。</w:t>
      </w:r>
    </w:p>
    <w:p w14:paraId="200A82C9">
      <w:pPr>
        <w:spacing w:line="324" w:lineRule="auto"/>
        <w:rPr>
          <w:rFonts w:ascii="宋体" w:hAnsi="宋体" w:cs="宋体"/>
          <w:b/>
          <w:color w:val="000000" w:themeColor="text1"/>
          <w:highlight w:val="none"/>
          <w14:textFill>
            <w14:solidFill>
              <w14:schemeClr w14:val="tx1"/>
            </w14:solidFill>
          </w14:textFill>
        </w:rPr>
      </w:pPr>
    </w:p>
    <w:p w14:paraId="2E4A44B8">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十四、本合同其他未尽事宜，按《中华人民共和国民法典》有关规定处理。</w:t>
      </w:r>
    </w:p>
    <w:p w14:paraId="3B740844">
      <w:pPr>
        <w:spacing w:line="324" w:lineRule="auto"/>
        <w:rPr>
          <w:rFonts w:ascii="宋体" w:hAnsi="宋体" w:cs="宋体"/>
          <w:b/>
          <w:color w:val="000000" w:themeColor="text1"/>
          <w:highlight w:val="none"/>
          <w14:textFill>
            <w14:solidFill>
              <w14:schemeClr w14:val="tx1"/>
            </w14:solidFill>
          </w14:textFill>
        </w:rPr>
      </w:pPr>
    </w:p>
    <w:p w14:paraId="5AC452FA">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十五、本合同一式壹拾贰份，甲方执捌份，乙方存叁份，丙方存壹份。</w:t>
      </w:r>
    </w:p>
    <w:p w14:paraId="3AC9F2CA">
      <w:pPr>
        <w:spacing w:line="324" w:lineRule="auto"/>
        <w:rPr>
          <w:rFonts w:ascii="宋体" w:hAnsi="宋体" w:cs="宋体"/>
          <w:b/>
          <w:color w:val="000000" w:themeColor="text1"/>
          <w:highlight w:val="none"/>
          <w14:textFill>
            <w14:solidFill>
              <w14:schemeClr w14:val="tx1"/>
            </w14:solidFill>
          </w14:textFill>
        </w:rPr>
      </w:pPr>
    </w:p>
    <w:p w14:paraId="428B8CBA">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十六、本合同自签订之日起生效。</w:t>
      </w:r>
    </w:p>
    <w:p w14:paraId="4FBA3323">
      <w:pPr>
        <w:spacing w:line="324" w:lineRule="auto"/>
        <w:rPr>
          <w:rFonts w:ascii="宋体" w:hAnsi="宋体" w:cs="宋体"/>
          <w:b/>
          <w:color w:val="000000" w:themeColor="text1"/>
          <w:highlight w:val="none"/>
          <w14:textFill>
            <w14:solidFill>
              <w14:schemeClr w14:val="tx1"/>
            </w14:solidFill>
          </w14:textFill>
        </w:rPr>
      </w:pPr>
    </w:p>
    <w:p w14:paraId="2E5E87B5">
      <w:pPr>
        <w:spacing w:line="324"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十七、本合同不可分割之部分：</w:t>
      </w:r>
    </w:p>
    <w:p w14:paraId="78FE7FA4">
      <w:pPr>
        <w:numPr>
          <w:ilvl w:val="0"/>
          <w:numId w:val="4"/>
        </w:numPr>
        <w:spacing w:line="32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招标文件；</w:t>
      </w:r>
    </w:p>
    <w:p w14:paraId="1C9A919B">
      <w:pPr>
        <w:numPr>
          <w:ilvl w:val="0"/>
          <w:numId w:val="4"/>
        </w:numPr>
        <w:spacing w:line="32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中标人（乙方）的投标文件及其澄清文件；</w:t>
      </w:r>
    </w:p>
    <w:p w14:paraId="2FEF3F70">
      <w:pPr>
        <w:numPr>
          <w:ilvl w:val="0"/>
          <w:numId w:val="4"/>
        </w:numPr>
        <w:spacing w:line="32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采购人发出的《中标通知书》；</w:t>
      </w:r>
    </w:p>
    <w:p w14:paraId="2114D984">
      <w:pPr>
        <w:widowControl/>
        <w:numPr>
          <w:ilvl w:val="0"/>
          <w:numId w:val="4"/>
        </w:numPr>
        <w:spacing w:line="324" w:lineRule="auto"/>
        <w:jc w:val="left"/>
        <w:rPr>
          <w:rFonts w:ascii="宋体" w:hAnsi="宋体" w:cs="宋体"/>
          <w:color w:val="000000" w:themeColor="text1"/>
          <w:highlight w:val="none"/>
          <w14:textFill>
            <w14:solidFill>
              <w14:schemeClr w14:val="tx1"/>
            </w14:solidFill>
          </w14:textFill>
        </w:rPr>
        <w:sectPr>
          <w:pgSz w:w="11906" w:h="16838"/>
          <w:pgMar w:top="1417" w:right="1134" w:bottom="1417" w:left="1134" w:header="850" w:footer="850" w:gutter="0"/>
          <w:cols w:space="0" w:num="1"/>
          <w:docGrid w:type="lines" w:linePitch="316" w:charSpace="0"/>
        </w:sectPr>
      </w:pPr>
      <w:r>
        <w:rPr>
          <w:rFonts w:hint="eastAsia" w:ascii="宋体" w:hAnsi="宋体" w:cs="宋体"/>
          <w:color w:val="000000" w:themeColor="text1"/>
          <w:highlight w:val="none"/>
          <w14:textFill>
            <w14:solidFill>
              <w14:schemeClr w14:val="tx1"/>
            </w14:solidFill>
          </w14:textFill>
        </w:rPr>
        <w:t>合同书附件。</w:t>
      </w:r>
    </w:p>
    <w:p w14:paraId="4739F18F">
      <w:pPr>
        <w:rPr>
          <w:rFonts w:ascii="宋体" w:hAnsi="宋体" w:cs="宋体"/>
          <w:b/>
          <w:color w:val="000000" w:themeColor="text1"/>
          <w:sz w:val="24"/>
          <w:highlight w:val="none"/>
          <w14:textFill>
            <w14:solidFill>
              <w14:schemeClr w14:val="tx1"/>
            </w14:solidFill>
          </w14:textFill>
        </w:rPr>
        <w:sectPr>
          <w:footerReference r:id="rId12" w:type="first"/>
          <w:footerReference r:id="rId11" w:type="default"/>
          <w:type w:val="continuous"/>
          <w:pgSz w:w="11906" w:h="16838"/>
          <w:pgMar w:top="1417" w:right="1134" w:bottom="1417" w:left="1134" w:header="850" w:footer="850" w:gutter="0"/>
          <w:cols w:space="0" w:num="1"/>
          <w:docGrid w:type="lines" w:linePitch="316" w:charSpace="0"/>
        </w:sectPr>
      </w:pPr>
    </w:p>
    <w:p w14:paraId="09F1A18C">
      <w:pPr>
        <w:widowControl/>
        <w:spacing w:line="324"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附件1（签订合同时此附件应横向打印）：</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376"/>
        <w:gridCol w:w="1559"/>
        <w:gridCol w:w="4660"/>
        <w:gridCol w:w="709"/>
        <w:gridCol w:w="708"/>
        <w:gridCol w:w="1276"/>
        <w:gridCol w:w="1276"/>
        <w:gridCol w:w="1843"/>
      </w:tblGrid>
      <w:tr w14:paraId="1A019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trPr>
        <w:tc>
          <w:tcPr>
            <w:tcW w:w="735" w:type="dxa"/>
            <w:tcBorders>
              <w:top w:val="single" w:color="auto" w:sz="4" w:space="0"/>
              <w:left w:val="single" w:color="auto" w:sz="4" w:space="0"/>
              <w:bottom w:val="single" w:color="auto" w:sz="4" w:space="0"/>
              <w:right w:val="single" w:color="auto" w:sz="4" w:space="0"/>
            </w:tcBorders>
            <w:vAlign w:val="center"/>
          </w:tcPr>
          <w:p w14:paraId="3B3347FA">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序号</w:t>
            </w:r>
          </w:p>
        </w:tc>
        <w:tc>
          <w:tcPr>
            <w:tcW w:w="1376" w:type="dxa"/>
            <w:tcBorders>
              <w:top w:val="single" w:color="auto" w:sz="4" w:space="0"/>
              <w:left w:val="single" w:color="auto" w:sz="4" w:space="0"/>
              <w:bottom w:val="single" w:color="auto" w:sz="4" w:space="0"/>
              <w:right w:val="single" w:color="auto" w:sz="4" w:space="0"/>
            </w:tcBorders>
            <w:vAlign w:val="center"/>
          </w:tcPr>
          <w:p w14:paraId="5A8F5D5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产品名称</w:t>
            </w:r>
          </w:p>
        </w:tc>
        <w:tc>
          <w:tcPr>
            <w:tcW w:w="1559" w:type="dxa"/>
            <w:tcBorders>
              <w:top w:val="single" w:color="auto" w:sz="4" w:space="0"/>
              <w:left w:val="single" w:color="auto" w:sz="4" w:space="0"/>
              <w:bottom w:val="single" w:color="auto" w:sz="4" w:space="0"/>
              <w:right w:val="single" w:color="auto" w:sz="4" w:space="0"/>
            </w:tcBorders>
            <w:vAlign w:val="center"/>
          </w:tcPr>
          <w:p w14:paraId="1AC669B4">
            <w:pPr>
              <w:widowControl/>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品牌、型号</w:t>
            </w:r>
          </w:p>
          <w:p w14:paraId="01E6155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规格</w:t>
            </w:r>
          </w:p>
        </w:tc>
        <w:tc>
          <w:tcPr>
            <w:tcW w:w="4660" w:type="dxa"/>
            <w:tcBorders>
              <w:top w:val="single" w:color="auto" w:sz="4" w:space="0"/>
              <w:left w:val="single" w:color="auto" w:sz="4" w:space="0"/>
              <w:bottom w:val="single" w:color="auto" w:sz="4" w:space="0"/>
              <w:right w:val="single" w:color="auto" w:sz="4" w:space="0"/>
            </w:tcBorders>
            <w:vAlign w:val="center"/>
          </w:tcPr>
          <w:p w14:paraId="433172F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技术要求</w:t>
            </w:r>
          </w:p>
        </w:tc>
        <w:tc>
          <w:tcPr>
            <w:tcW w:w="709" w:type="dxa"/>
            <w:tcBorders>
              <w:top w:val="single" w:color="auto" w:sz="4" w:space="0"/>
              <w:left w:val="single" w:color="auto" w:sz="4" w:space="0"/>
              <w:bottom w:val="single" w:color="auto" w:sz="4" w:space="0"/>
              <w:right w:val="single" w:color="auto" w:sz="4" w:space="0"/>
            </w:tcBorders>
            <w:vAlign w:val="center"/>
          </w:tcPr>
          <w:p w14:paraId="05B63DC6">
            <w:pPr>
              <w:widowControl/>
              <w:spacing w:line="24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数量</w:t>
            </w:r>
          </w:p>
        </w:tc>
        <w:tc>
          <w:tcPr>
            <w:tcW w:w="708" w:type="dxa"/>
            <w:tcBorders>
              <w:top w:val="single" w:color="auto" w:sz="4" w:space="0"/>
              <w:left w:val="single" w:color="auto" w:sz="4" w:space="0"/>
              <w:bottom w:val="single" w:color="auto" w:sz="4" w:space="0"/>
              <w:right w:val="single" w:color="auto" w:sz="4" w:space="0"/>
            </w:tcBorders>
            <w:vAlign w:val="center"/>
          </w:tcPr>
          <w:p w14:paraId="758DB22D">
            <w:pPr>
              <w:widowControl/>
              <w:spacing w:line="24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单位</w:t>
            </w:r>
          </w:p>
        </w:tc>
        <w:tc>
          <w:tcPr>
            <w:tcW w:w="1276" w:type="dxa"/>
            <w:tcBorders>
              <w:top w:val="single" w:color="auto" w:sz="4" w:space="0"/>
              <w:left w:val="single" w:color="auto" w:sz="4" w:space="0"/>
              <w:bottom w:val="single" w:color="auto" w:sz="4" w:space="0"/>
              <w:right w:val="single" w:color="auto" w:sz="4" w:space="0"/>
            </w:tcBorders>
            <w:vAlign w:val="center"/>
          </w:tcPr>
          <w:p w14:paraId="6646F03A">
            <w:pPr>
              <w:widowControl/>
              <w:spacing w:line="24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单价（元）</w:t>
            </w:r>
          </w:p>
        </w:tc>
        <w:tc>
          <w:tcPr>
            <w:tcW w:w="1276" w:type="dxa"/>
            <w:tcBorders>
              <w:top w:val="single" w:color="auto" w:sz="4" w:space="0"/>
              <w:left w:val="single" w:color="auto" w:sz="4" w:space="0"/>
              <w:bottom w:val="single" w:color="auto" w:sz="4" w:space="0"/>
              <w:right w:val="single" w:color="auto" w:sz="4" w:space="0"/>
            </w:tcBorders>
            <w:vAlign w:val="center"/>
          </w:tcPr>
          <w:p w14:paraId="6C894DDB">
            <w:pPr>
              <w:widowControl/>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总价（元）</w:t>
            </w:r>
          </w:p>
        </w:tc>
        <w:tc>
          <w:tcPr>
            <w:tcW w:w="1843" w:type="dxa"/>
            <w:tcBorders>
              <w:top w:val="single" w:color="auto" w:sz="4" w:space="0"/>
              <w:left w:val="single" w:color="auto" w:sz="4" w:space="0"/>
              <w:bottom w:val="single" w:color="auto" w:sz="4" w:space="0"/>
              <w:right w:val="single" w:color="auto" w:sz="4" w:space="0"/>
            </w:tcBorders>
            <w:vAlign w:val="center"/>
          </w:tcPr>
          <w:p w14:paraId="762025AB">
            <w:pPr>
              <w:widowControl/>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生产厂家及</w:t>
            </w:r>
          </w:p>
          <w:p w14:paraId="0F34AEC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原产地</w:t>
            </w:r>
          </w:p>
        </w:tc>
      </w:tr>
      <w:tr w14:paraId="62E7A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0" w:hRule="atLeast"/>
        </w:trPr>
        <w:tc>
          <w:tcPr>
            <w:tcW w:w="735" w:type="dxa"/>
            <w:tcBorders>
              <w:top w:val="single" w:color="auto" w:sz="4" w:space="0"/>
              <w:left w:val="single" w:color="auto" w:sz="4" w:space="0"/>
              <w:bottom w:val="single" w:color="auto" w:sz="4" w:space="0"/>
              <w:right w:val="single" w:color="auto" w:sz="4" w:space="0"/>
            </w:tcBorders>
            <w:vAlign w:val="center"/>
          </w:tcPr>
          <w:p w14:paraId="5446331A">
            <w:pPr>
              <w:jc w:val="center"/>
              <w:rPr>
                <w:rFonts w:ascii="宋体" w:hAnsi="宋体" w:cs="宋体"/>
                <w:color w:val="000000" w:themeColor="text1"/>
                <w:sz w:val="18"/>
                <w:szCs w:val="18"/>
                <w:highlight w:val="none"/>
                <w14:textFill>
                  <w14:solidFill>
                    <w14:schemeClr w14:val="tx1"/>
                  </w14:solidFill>
                </w14:textFill>
              </w:rPr>
            </w:pPr>
          </w:p>
        </w:tc>
        <w:tc>
          <w:tcPr>
            <w:tcW w:w="1376" w:type="dxa"/>
            <w:tcBorders>
              <w:top w:val="single" w:color="auto" w:sz="4" w:space="0"/>
              <w:left w:val="single" w:color="auto" w:sz="4" w:space="0"/>
              <w:bottom w:val="single" w:color="auto" w:sz="4" w:space="0"/>
              <w:right w:val="single" w:color="auto" w:sz="4" w:space="0"/>
            </w:tcBorders>
            <w:vAlign w:val="center"/>
          </w:tcPr>
          <w:p w14:paraId="03A128B5">
            <w:pPr>
              <w:jc w:val="left"/>
              <w:rPr>
                <w:rFonts w:ascii="宋体" w:hAnsi="宋体" w:cs="宋体"/>
                <w:color w:val="000000" w:themeColor="text1"/>
                <w:sz w:val="18"/>
                <w:szCs w:val="18"/>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vAlign w:val="center"/>
          </w:tcPr>
          <w:p w14:paraId="67F72787">
            <w:pPr>
              <w:jc w:val="left"/>
              <w:rPr>
                <w:rFonts w:ascii="宋体" w:hAnsi="宋体" w:cs="宋体"/>
                <w:color w:val="000000" w:themeColor="text1"/>
                <w:sz w:val="18"/>
                <w:szCs w:val="18"/>
                <w:highlight w:val="none"/>
                <w14:textFill>
                  <w14:solidFill>
                    <w14:schemeClr w14:val="tx1"/>
                  </w14:solidFill>
                </w14:textFill>
              </w:rPr>
            </w:pPr>
          </w:p>
        </w:tc>
        <w:tc>
          <w:tcPr>
            <w:tcW w:w="4660" w:type="dxa"/>
            <w:tcBorders>
              <w:top w:val="single" w:color="auto" w:sz="4" w:space="0"/>
              <w:left w:val="single" w:color="auto" w:sz="4" w:space="0"/>
              <w:bottom w:val="single" w:color="auto" w:sz="4" w:space="0"/>
              <w:right w:val="single" w:color="auto" w:sz="4" w:space="0"/>
            </w:tcBorders>
            <w:vAlign w:val="center"/>
          </w:tcPr>
          <w:p w14:paraId="3ABB34B0">
            <w:pPr>
              <w:rPr>
                <w:rFonts w:ascii="宋体" w:hAnsi="宋体" w:cs="宋体"/>
                <w:color w:val="000000" w:themeColor="text1"/>
                <w:sz w:val="18"/>
                <w:szCs w:val="18"/>
                <w:highlight w:val="none"/>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39FD2943">
            <w:pPr>
              <w:widowControl/>
              <w:jc w:val="center"/>
              <w:rPr>
                <w:rFonts w:ascii="宋体" w:hAnsi="宋体" w:cs="宋体"/>
                <w:color w:val="000000" w:themeColor="text1"/>
                <w:kern w:val="0"/>
                <w:sz w:val="18"/>
                <w:szCs w:val="18"/>
                <w:highlight w:val="none"/>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E4D20D2">
            <w:pPr>
              <w:widowControl/>
              <w:jc w:val="center"/>
              <w:rPr>
                <w:rFonts w:ascii="宋体" w:hAnsi="宋体" w:cs="宋体"/>
                <w:color w:val="000000" w:themeColor="text1"/>
                <w:kern w:val="0"/>
                <w:sz w:val="18"/>
                <w:szCs w:val="18"/>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0E0BC628">
            <w:pPr>
              <w:widowControl/>
              <w:jc w:val="right"/>
              <w:rPr>
                <w:rFonts w:ascii="宋体" w:hAnsi="宋体" w:cs="宋体"/>
                <w:color w:val="000000" w:themeColor="text1"/>
                <w:kern w:val="0"/>
                <w:sz w:val="18"/>
                <w:szCs w:val="18"/>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082D8A5E">
            <w:pPr>
              <w:widowControl/>
              <w:jc w:val="right"/>
              <w:rPr>
                <w:rFonts w:ascii="宋体" w:hAnsi="宋体" w:cs="宋体"/>
                <w:color w:val="000000" w:themeColor="text1"/>
                <w:kern w:val="0"/>
                <w:sz w:val="18"/>
                <w:szCs w:val="1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529E865">
            <w:pPr>
              <w:spacing w:line="260" w:lineRule="exact"/>
              <w:rPr>
                <w:rFonts w:ascii="宋体" w:hAnsi="宋体" w:cs="宋体"/>
                <w:color w:val="000000" w:themeColor="text1"/>
                <w:sz w:val="18"/>
                <w:szCs w:val="18"/>
                <w:highlight w:val="none"/>
                <w14:textFill>
                  <w14:solidFill>
                    <w14:schemeClr w14:val="tx1"/>
                  </w14:solidFill>
                </w14:textFill>
              </w:rPr>
            </w:pPr>
          </w:p>
        </w:tc>
      </w:tr>
      <w:tr w14:paraId="0FA7C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1" w:hRule="atLeast"/>
        </w:trPr>
        <w:tc>
          <w:tcPr>
            <w:tcW w:w="735" w:type="dxa"/>
            <w:tcBorders>
              <w:top w:val="single" w:color="auto" w:sz="4" w:space="0"/>
              <w:left w:val="single" w:color="auto" w:sz="4" w:space="0"/>
              <w:bottom w:val="single" w:color="auto" w:sz="4" w:space="0"/>
              <w:right w:val="single" w:color="auto" w:sz="4" w:space="0"/>
            </w:tcBorders>
            <w:vAlign w:val="center"/>
          </w:tcPr>
          <w:p w14:paraId="33B2030D">
            <w:pPr>
              <w:jc w:val="center"/>
              <w:rPr>
                <w:rFonts w:ascii="宋体" w:hAnsi="宋体" w:cs="宋体"/>
                <w:color w:val="000000" w:themeColor="text1"/>
                <w:sz w:val="18"/>
                <w:szCs w:val="18"/>
                <w:highlight w:val="none"/>
                <w14:textFill>
                  <w14:solidFill>
                    <w14:schemeClr w14:val="tx1"/>
                  </w14:solidFill>
                </w14:textFill>
              </w:rPr>
            </w:pPr>
          </w:p>
        </w:tc>
        <w:tc>
          <w:tcPr>
            <w:tcW w:w="1376" w:type="dxa"/>
            <w:tcBorders>
              <w:top w:val="single" w:color="auto" w:sz="4" w:space="0"/>
              <w:left w:val="single" w:color="auto" w:sz="4" w:space="0"/>
              <w:bottom w:val="single" w:color="auto" w:sz="4" w:space="0"/>
              <w:right w:val="single" w:color="auto" w:sz="4" w:space="0"/>
            </w:tcBorders>
            <w:vAlign w:val="center"/>
          </w:tcPr>
          <w:p w14:paraId="4C6A1A2A">
            <w:pPr>
              <w:jc w:val="left"/>
              <w:rPr>
                <w:rFonts w:ascii="宋体" w:hAnsi="宋体" w:cs="宋体"/>
                <w:color w:val="000000" w:themeColor="text1"/>
                <w:sz w:val="18"/>
                <w:szCs w:val="18"/>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vAlign w:val="center"/>
          </w:tcPr>
          <w:p w14:paraId="7C95E9BB">
            <w:pPr>
              <w:jc w:val="left"/>
              <w:rPr>
                <w:rFonts w:ascii="宋体" w:hAnsi="宋体" w:cs="宋体"/>
                <w:color w:val="000000" w:themeColor="text1"/>
                <w:kern w:val="0"/>
                <w:sz w:val="18"/>
                <w:szCs w:val="18"/>
                <w:highlight w:val="none"/>
                <w14:textFill>
                  <w14:solidFill>
                    <w14:schemeClr w14:val="tx1"/>
                  </w14:solidFill>
                </w14:textFill>
              </w:rPr>
            </w:pPr>
          </w:p>
        </w:tc>
        <w:tc>
          <w:tcPr>
            <w:tcW w:w="4660" w:type="dxa"/>
            <w:tcBorders>
              <w:top w:val="single" w:color="auto" w:sz="4" w:space="0"/>
              <w:left w:val="single" w:color="auto" w:sz="4" w:space="0"/>
              <w:bottom w:val="single" w:color="auto" w:sz="4" w:space="0"/>
              <w:right w:val="single" w:color="auto" w:sz="4" w:space="0"/>
            </w:tcBorders>
            <w:vAlign w:val="center"/>
          </w:tcPr>
          <w:p w14:paraId="4F73B4FC">
            <w:pPr>
              <w:rPr>
                <w:rFonts w:ascii="宋体" w:hAnsi="宋体" w:cs="宋体"/>
                <w:color w:val="000000" w:themeColor="text1"/>
                <w:kern w:val="0"/>
                <w:sz w:val="18"/>
                <w:szCs w:val="18"/>
                <w:highlight w:val="none"/>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4D0A0F00">
            <w:pPr>
              <w:widowControl/>
              <w:jc w:val="center"/>
              <w:rPr>
                <w:rFonts w:ascii="宋体" w:hAnsi="宋体" w:cs="宋体"/>
                <w:color w:val="000000" w:themeColor="text1"/>
                <w:kern w:val="0"/>
                <w:sz w:val="18"/>
                <w:szCs w:val="18"/>
                <w:highlight w:val="none"/>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2BCBC3FC">
            <w:pPr>
              <w:widowControl/>
              <w:jc w:val="center"/>
              <w:rPr>
                <w:rFonts w:ascii="宋体" w:hAnsi="宋体" w:cs="宋体"/>
                <w:color w:val="000000" w:themeColor="text1"/>
                <w:kern w:val="0"/>
                <w:sz w:val="18"/>
                <w:szCs w:val="18"/>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2F801E4B">
            <w:pPr>
              <w:widowControl/>
              <w:jc w:val="right"/>
              <w:rPr>
                <w:rFonts w:ascii="宋体" w:hAnsi="宋体" w:cs="宋体"/>
                <w:color w:val="000000" w:themeColor="text1"/>
                <w:kern w:val="0"/>
                <w:sz w:val="18"/>
                <w:szCs w:val="18"/>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62BE4D61">
            <w:pPr>
              <w:widowControl/>
              <w:jc w:val="right"/>
              <w:rPr>
                <w:rFonts w:ascii="宋体" w:hAnsi="宋体" w:cs="宋体"/>
                <w:color w:val="000000" w:themeColor="text1"/>
                <w:kern w:val="0"/>
                <w:sz w:val="18"/>
                <w:szCs w:val="1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04831AB5">
            <w:pPr>
              <w:spacing w:line="260" w:lineRule="exact"/>
              <w:rPr>
                <w:rFonts w:ascii="宋体" w:hAnsi="宋体" w:cs="宋体"/>
                <w:color w:val="000000" w:themeColor="text1"/>
                <w:kern w:val="0"/>
                <w:sz w:val="18"/>
                <w:szCs w:val="18"/>
                <w:highlight w:val="none"/>
                <w14:textFill>
                  <w14:solidFill>
                    <w14:schemeClr w14:val="tx1"/>
                  </w14:solidFill>
                </w14:textFill>
              </w:rPr>
            </w:pPr>
          </w:p>
        </w:tc>
      </w:tr>
      <w:tr w14:paraId="39BC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1" w:hRule="atLeast"/>
        </w:trPr>
        <w:tc>
          <w:tcPr>
            <w:tcW w:w="735" w:type="dxa"/>
            <w:tcBorders>
              <w:top w:val="single" w:color="auto" w:sz="4" w:space="0"/>
              <w:left w:val="single" w:color="auto" w:sz="4" w:space="0"/>
              <w:bottom w:val="single" w:color="auto" w:sz="4" w:space="0"/>
              <w:right w:val="single" w:color="auto" w:sz="4" w:space="0"/>
            </w:tcBorders>
            <w:vAlign w:val="center"/>
          </w:tcPr>
          <w:p w14:paraId="42FA3FBB">
            <w:pPr>
              <w:jc w:val="center"/>
              <w:rPr>
                <w:rFonts w:ascii="宋体" w:hAnsi="宋体" w:cs="宋体"/>
                <w:color w:val="000000" w:themeColor="text1"/>
                <w:sz w:val="18"/>
                <w:szCs w:val="18"/>
                <w:highlight w:val="none"/>
                <w14:textFill>
                  <w14:solidFill>
                    <w14:schemeClr w14:val="tx1"/>
                  </w14:solidFill>
                </w14:textFill>
              </w:rPr>
            </w:pPr>
          </w:p>
        </w:tc>
        <w:tc>
          <w:tcPr>
            <w:tcW w:w="1376" w:type="dxa"/>
            <w:tcBorders>
              <w:top w:val="single" w:color="auto" w:sz="4" w:space="0"/>
              <w:left w:val="single" w:color="auto" w:sz="4" w:space="0"/>
              <w:bottom w:val="single" w:color="auto" w:sz="4" w:space="0"/>
              <w:right w:val="single" w:color="auto" w:sz="4" w:space="0"/>
            </w:tcBorders>
            <w:vAlign w:val="center"/>
          </w:tcPr>
          <w:p w14:paraId="00F2925A">
            <w:pPr>
              <w:jc w:val="left"/>
              <w:rPr>
                <w:rFonts w:ascii="宋体" w:hAnsi="宋体" w:cs="宋体"/>
                <w:color w:val="000000" w:themeColor="text1"/>
                <w:sz w:val="18"/>
                <w:szCs w:val="18"/>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vAlign w:val="center"/>
          </w:tcPr>
          <w:p w14:paraId="0B8FC32E">
            <w:pPr>
              <w:jc w:val="left"/>
              <w:rPr>
                <w:rFonts w:ascii="宋体" w:hAnsi="宋体" w:cs="宋体"/>
                <w:color w:val="000000" w:themeColor="text1"/>
                <w:kern w:val="0"/>
                <w:sz w:val="18"/>
                <w:szCs w:val="18"/>
                <w:highlight w:val="none"/>
                <w14:textFill>
                  <w14:solidFill>
                    <w14:schemeClr w14:val="tx1"/>
                  </w14:solidFill>
                </w14:textFill>
              </w:rPr>
            </w:pPr>
          </w:p>
        </w:tc>
        <w:tc>
          <w:tcPr>
            <w:tcW w:w="4660" w:type="dxa"/>
            <w:tcBorders>
              <w:top w:val="single" w:color="auto" w:sz="4" w:space="0"/>
              <w:left w:val="single" w:color="auto" w:sz="4" w:space="0"/>
              <w:bottom w:val="single" w:color="auto" w:sz="4" w:space="0"/>
              <w:right w:val="single" w:color="auto" w:sz="4" w:space="0"/>
            </w:tcBorders>
            <w:vAlign w:val="center"/>
          </w:tcPr>
          <w:p w14:paraId="4E02D099">
            <w:pPr>
              <w:rPr>
                <w:rFonts w:ascii="宋体" w:hAnsi="宋体" w:cs="宋体"/>
                <w:color w:val="000000" w:themeColor="text1"/>
                <w:kern w:val="0"/>
                <w:sz w:val="18"/>
                <w:szCs w:val="18"/>
                <w:highlight w:val="none"/>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26757E99">
            <w:pPr>
              <w:widowControl/>
              <w:jc w:val="center"/>
              <w:rPr>
                <w:rFonts w:ascii="宋体" w:hAnsi="宋体" w:cs="宋体"/>
                <w:color w:val="000000" w:themeColor="text1"/>
                <w:kern w:val="0"/>
                <w:sz w:val="18"/>
                <w:szCs w:val="18"/>
                <w:highlight w:val="none"/>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39F47DB9">
            <w:pPr>
              <w:widowControl/>
              <w:jc w:val="center"/>
              <w:rPr>
                <w:rFonts w:ascii="宋体" w:hAnsi="宋体" w:cs="宋体"/>
                <w:color w:val="000000" w:themeColor="text1"/>
                <w:kern w:val="0"/>
                <w:sz w:val="18"/>
                <w:szCs w:val="18"/>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03B71E09">
            <w:pPr>
              <w:widowControl/>
              <w:jc w:val="right"/>
              <w:rPr>
                <w:rFonts w:ascii="宋体" w:hAnsi="宋体" w:cs="宋体"/>
                <w:color w:val="000000" w:themeColor="text1"/>
                <w:kern w:val="0"/>
                <w:sz w:val="18"/>
                <w:szCs w:val="18"/>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24998DE7">
            <w:pPr>
              <w:widowControl/>
              <w:jc w:val="right"/>
              <w:rPr>
                <w:rFonts w:ascii="宋体" w:hAnsi="宋体" w:cs="宋体"/>
                <w:color w:val="000000" w:themeColor="text1"/>
                <w:kern w:val="0"/>
                <w:sz w:val="18"/>
                <w:szCs w:val="1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496DE765">
            <w:pPr>
              <w:spacing w:line="260" w:lineRule="exact"/>
              <w:rPr>
                <w:rFonts w:ascii="宋体" w:hAnsi="宋体" w:cs="宋体"/>
                <w:color w:val="000000" w:themeColor="text1"/>
                <w:kern w:val="0"/>
                <w:sz w:val="18"/>
                <w:szCs w:val="18"/>
                <w:highlight w:val="none"/>
                <w14:textFill>
                  <w14:solidFill>
                    <w14:schemeClr w14:val="tx1"/>
                  </w14:solidFill>
                </w14:textFill>
              </w:rPr>
            </w:pPr>
          </w:p>
        </w:tc>
      </w:tr>
      <w:tr w14:paraId="1F1D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trPr>
        <w:tc>
          <w:tcPr>
            <w:tcW w:w="11023" w:type="dxa"/>
            <w:gridSpan w:val="7"/>
            <w:tcBorders>
              <w:top w:val="single" w:color="auto" w:sz="4" w:space="0"/>
              <w:left w:val="single" w:color="auto" w:sz="4" w:space="0"/>
              <w:bottom w:val="single" w:color="auto" w:sz="4" w:space="0"/>
              <w:right w:val="single" w:color="auto" w:sz="4" w:space="0"/>
            </w:tcBorders>
            <w:vAlign w:val="center"/>
          </w:tcPr>
          <w:p w14:paraId="4575CA3C">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合同总价为：（人民币大写：</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元整）</w:t>
            </w:r>
          </w:p>
        </w:tc>
        <w:tc>
          <w:tcPr>
            <w:tcW w:w="1276" w:type="dxa"/>
            <w:tcBorders>
              <w:top w:val="single" w:color="auto" w:sz="4" w:space="0"/>
              <w:left w:val="single" w:color="auto" w:sz="4" w:space="0"/>
              <w:bottom w:val="single" w:color="auto" w:sz="4" w:space="0"/>
              <w:right w:val="single" w:color="auto" w:sz="4" w:space="0"/>
            </w:tcBorders>
            <w:vAlign w:val="center"/>
          </w:tcPr>
          <w:p w14:paraId="44DC893B">
            <w:pPr>
              <w:widowControl/>
              <w:adjustRightInd w:val="0"/>
              <w:snapToGrid w:val="0"/>
              <w:jc w:val="right"/>
              <w:rPr>
                <w:rFonts w:ascii="宋体" w:hAnsi="宋体" w:cs="宋体"/>
                <w:bCs/>
                <w:color w:val="000000" w:themeColor="text1"/>
                <w:kern w:val="0"/>
                <w:sz w:val="18"/>
                <w:szCs w:val="1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6AFFFC4">
            <w:pPr>
              <w:widowControl/>
              <w:adjustRightInd w:val="0"/>
              <w:snapToGrid w:val="0"/>
              <w:jc w:val="left"/>
              <w:rPr>
                <w:rFonts w:ascii="宋体" w:hAnsi="宋体" w:cs="宋体"/>
                <w:bCs/>
                <w:color w:val="000000" w:themeColor="text1"/>
                <w:kern w:val="0"/>
                <w:sz w:val="18"/>
                <w:szCs w:val="18"/>
                <w:highlight w:val="none"/>
                <w14:textFill>
                  <w14:solidFill>
                    <w14:schemeClr w14:val="tx1"/>
                  </w14:solidFill>
                </w14:textFill>
              </w:rPr>
            </w:pPr>
          </w:p>
        </w:tc>
      </w:tr>
    </w:tbl>
    <w:p w14:paraId="5F1A08FA">
      <w:pPr>
        <w:spacing w:line="324"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r>
        <w:rPr>
          <w:rFonts w:hint="eastAsia" w:ascii="宋体" w:hAnsi="宋体" w:cs="宋体"/>
          <w:b/>
          <w:color w:val="000000" w:themeColor="text1"/>
          <w:sz w:val="24"/>
          <w:highlight w:val="none"/>
          <w14:textFill>
            <w14:solidFill>
              <w14:schemeClr w14:val="tx1"/>
            </w14:solidFill>
          </w14:textFill>
        </w:rPr>
        <w:t>附件2（签订合同时此附件应横向打印）：</w:t>
      </w:r>
    </w:p>
    <w:tbl>
      <w:tblPr>
        <w:tblStyle w:val="37"/>
        <w:tblpPr w:leftFromText="180" w:rightFromText="180" w:vertAnchor="text" w:horzAnchor="margin" w:tblpY="1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7"/>
        <w:gridCol w:w="10361"/>
        <w:gridCol w:w="1869"/>
      </w:tblGrid>
      <w:tr w14:paraId="1A38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4342" w:type="pct"/>
            <w:gridSpan w:val="2"/>
            <w:vAlign w:val="center"/>
          </w:tcPr>
          <w:p w14:paraId="3B99C24D">
            <w:pPr>
              <w:spacing w:before="240" w:after="60" w:line="36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（附件1设备或系统由多个项目组成）配置清单</w:t>
            </w:r>
          </w:p>
        </w:tc>
        <w:tc>
          <w:tcPr>
            <w:tcW w:w="657" w:type="pct"/>
          </w:tcPr>
          <w:p w14:paraId="382ADB2E">
            <w:pPr>
              <w:spacing w:before="240" w:after="60" w:line="36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单价（元）</w:t>
            </w:r>
          </w:p>
        </w:tc>
      </w:tr>
      <w:tr w14:paraId="7534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699" w:type="pct"/>
            <w:vAlign w:val="center"/>
          </w:tcPr>
          <w:p w14:paraId="1F68FBAB">
            <w:pPr>
              <w:spacing w:before="240" w:after="60" w:line="36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3642" w:type="pct"/>
            <w:vAlign w:val="center"/>
          </w:tcPr>
          <w:p w14:paraId="311AEBC9">
            <w:pPr>
              <w:spacing w:before="240" w:after="60" w:line="36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配置</w:t>
            </w:r>
          </w:p>
        </w:tc>
        <w:tc>
          <w:tcPr>
            <w:tcW w:w="657" w:type="pct"/>
          </w:tcPr>
          <w:p w14:paraId="4031CF86">
            <w:pPr>
              <w:spacing w:before="240" w:after="60" w:line="360" w:lineRule="exact"/>
              <w:jc w:val="center"/>
              <w:rPr>
                <w:rFonts w:ascii="宋体" w:hAnsi="宋体" w:cs="宋体"/>
                <w:b/>
                <w:color w:val="000000" w:themeColor="text1"/>
                <w:szCs w:val="21"/>
                <w:highlight w:val="none"/>
                <w14:textFill>
                  <w14:solidFill>
                    <w14:schemeClr w14:val="tx1"/>
                  </w14:solidFill>
                </w14:textFill>
              </w:rPr>
            </w:pPr>
          </w:p>
        </w:tc>
      </w:tr>
      <w:tr w14:paraId="1EB0F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699" w:type="pct"/>
            <w:vAlign w:val="center"/>
          </w:tcPr>
          <w:p w14:paraId="163470AA">
            <w:pPr>
              <w:spacing w:before="240" w:after="6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p>
        </w:tc>
        <w:tc>
          <w:tcPr>
            <w:tcW w:w="3642" w:type="pct"/>
            <w:vAlign w:val="center"/>
          </w:tcPr>
          <w:p w14:paraId="4D6790A6">
            <w:pPr>
              <w:spacing w:before="240" w:after="6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p>
        </w:tc>
        <w:tc>
          <w:tcPr>
            <w:tcW w:w="657" w:type="pct"/>
          </w:tcPr>
          <w:p w14:paraId="661796A1">
            <w:pPr>
              <w:spacing w:before="240" w:after="60" w:line="360" w:lineRule="exact"/>
              <w:rPr>
                <w:rFonts w:ascii="宋体" w:hAnsi="宋体" w:cs="宋体"/>
                <w:color w:val="000000" w:themeColor="text1"/>
                <w:szCs w:val="21"/>
                <w:highlight w:val="none"/>
                <w14:textFill>
                  <w14:solidFill>
                    <w14:schemeClr w14:val="tx1"/>
                  </w14:solidFill>
                </w14:textFill>
              </w:rPr>
            </w:pPr>
          </w:p>
        </w:tc>
      </w:tr>
      <w:tr w14:paraId="7708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99" w:type="pct"/>
          </w:tcPr>
          <w:p w14:paraId="6B2C467B">
            <w:pPr>
              <w:spacing w:before="240" w:after="60" w:line="360" w:lineRule="exact"/>
              <w:rPr>
                <w:rFonts w:ascii="宋体" w:hAnsi="宋体" w:cs="宋体"/>
                <w:color w:val="000000" w:themeColor="text1"/>
                <w:szCs w:val="21"/>
                <w:highlight w:val="none"/>
                <w14:textFill>
                  <w14:solidFill>
                    <w14:schemeClr w14:val="tx1"/>
                  </w14:solidFill>
                </w14:textFill>
              </w:rPr>
            </w:pPr>
          </w:p>
        </w:tc>
        <w:tc>
          <w:tcPr>
            <w:tcW w:w="3642" w:type="pct"/>
          </w:tcPr>
          <w:p w14:paraId="5CB4DDCA">
            <w:pPr>
              <w:spacing w:before="31" w:beforeLines="10"/>
              <w:rPr>
                <w:rFonts w:ascii="宋体" w:hAnsi="宋体" w:cs="宋体"/>
                <w:color w:val="000000" w:themeColor="text1"/>
                <w:szCs w:val="21"/>
                <w:highlight w:val="none"/>
                <w14:textFill>
                  <w14:solidFill>
                    <w14:schemeClr w14:val="tx1"/>
                  </w14:solidFill>
                </w14:textFill>
              </w:rPr>
            </w:pPr>
          </w:p>
        </w:tc>
        <w:tc>
          <w:tcPr>
            <w:tcW w:w="657" w:type="pct"/>
          </w:tcPr>
          <w:p w14:paraId="51CB6DFA">
            <w:pPr>
              <w:spacing w:before="31" w:beforeLines="10"/>
              <w:rPr>
                <w:rFonts w:ascii="宋体" w:hAnsi="宋体" w:cs="宋体"/>
                <w:color w:val="000000" w:themeColor="text1"/>
                <w:szCs w:val="21"/>
                <w:highlight w:val="none"/>
                <w14:textFill>
                  <w14:solidFill>
                    <w14:schemeClr w14:val="tx1"/>
                  </w14:solidFill>
                </w14:textFill>
              </w:rPr>
            </w:pPr>
          </w:p>
        </w:tc>
      </w:tr>
      <w:tr w14:paraId="5DD3C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99" w:type="pct"/>
          </w:tcPr>
          <w:p w14:paraId="6E9143C2">
            <w:pPr>
              <w:spacing w:before="240" w:after="60" w:line="360" w:lineRule="exact"/>
              <w:rPr>
                <w:rFonts w:ascii="宋体" w:hAnsi="宋体" w:cs="宋体"/>
                <w:color w:val="000000" w:themeColor="text1"/>
                <w:szCs w:val="21"/>
                <w:highlight w:val="none"/>
                <w14:textFill>
                  <w14:solidFill>
                    <w14:schemeClr w14:val="tx1"/>
                  </w14:solidFill>
                </w14:textFill>
              </w:rPr>
            </w:pPr>
          </w:p>
        </w:tc>
        <w:tc>
          <w:tcPr>
            <w:tcW w:w="3642" w:type="pct"/>
          </w:tcPr>
          <w:p w14:paraId="195ED630">
            <w:pPr>
              <w:spacing w:before="31" w:beforeLines="10"/>
              <w:rPr>
                <w:rFonts w:ascii="宋体" w:hAnsi="宋体" w:cs="宋体"/>
                <w:color w:val="000000" w:themeColor="text1"/>
                <w:szCs w:val="21"/>
                <w:highlight w:val="none"/>
                <w14:textFill>
                  <w14:solidFill>
                    <w14:schemeClr w14:val="tx1"/>
                  </w14:solidFill>
                </w14:textFill>
              </w:rPr>
            </w:pPr>
          </w:p>
        </w:tc>
        <w:tc>
          <w:tcPr>
            <w:tcW w:w="657" w:type="pct"/>
          </w:tcPr>
          <w:p w14:paraId="0344DA06">
            <w:pPr>
              <w:spacing w:before="31" w:beforeLines="10"/>
              <w:rPr>
                <w:rFonts w:ascii="宋体" w:hAnsi="宋体" w:cs="宋体"/>
                <w:color w:val="000000" w:themeColor="text1"/>
                <w:szCs w:val="21"/>
                <w:highlight w:val="none"/>
                <w14:textFill>
                  <w14:solidFill>
                    <w14:schemeClr w14:val="tx1"/>
                  </w14:solidFill>
                </w14:textFill>
              </w:rPr>
            </w:pPr>
          </w:p>
        </w:tc>
      </w:tr>
      <w:tr w14:paraId="0D93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99" w:type="pct"/>
          </w:tcPr>
          <w:p w14:paraId="6076090E">
            <w:pPr>
              <w:spacing w:before="240" w:after="60" w:line="360" w:lineRule="exact"/>
              <w:rPr>
                <w:rFonts w:ascii="宋体" w:hAnsi="宋体" w:cs="宋体"/>
                <w:color w:val="000000" w:themeColor="text1"/>
                <w:szCs w:val="21"/>
                <w:highlight w:val="none"/>
                <w14:textFill>
                  <w14:solidFill>
                    <w14:schemeClr w14:val="tx1"/>
                  </w14:solidFill>
                </w14:textFill>
              </w:rPr>
            </w:pPr>
          </w:p>
        </w:tc>
        <w:tc>
          <w:tcPr>
            <w:tcW w:w="3642" w:type="pct"/>
          </w:tcPr>
          <w:p w14:paraId="4DADCC3F">
            <w:pPr>
              <w:spacing w:before="31" w:beforeLines="10"/>
              <w:rPr>
                <w:rFonts w:ascii="宋体" w:hAnsi="宋体" w:cs="宋体"/>
                <w:color w:val="000000" w:themeColor="text1"/>
                <w:szCs w:val="21"/>
                <w:highlight w:val="none"/>
                <w14:textFill>
                  <w14:solidFill>
                    <w14:schemeClr w14:val="tx1"/>
                  </w14:solidFill>
                </w14:textFill>
              </w:rPr>
            </w:pPr>
          </w:p>
        </w:tc>
        <w:tc>
          <w:tcPr>
            <w:tcW w:w="657" w:type="pct"/>
          </w:tcPr>
          <w:p w14:paraId="7027C7DC">
            <w:pPr>
              <w:spacing w:before="31" w:beforeLines="10"/>
              <w:rPr>
                <w:rFonts w:ascii="宋体" w:hAnsi="宋体" w:cs="宋体"/>
                <w:color w:val="000000" w:themeColor="text1"/>
                <w:szCs w:val="21"/>
                <w:highlight w:val="none"/>
                <w14:textFill>
                  <w14:solidFill>
                    <w14:schemeClr w14:val="tx1"/>
                  </w14:solidFill>
                </w14:textFill>
              </w:rPr>
            </w:pPr>
          </w:p>
        </w:tc>
      </w:tr>
      <w:tr w14:paraId="40CA5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99" w:type="pct"/>
          </w:tcPr>
          <w:p w14:paraId="1B16C081">
            <w:pPr>
              <w:spacing w:before="240" w:after="60" w:line="360" w:lineRule="exact"/>
              <w:rPr>
                <w:rFonts w:ascii="宋体" w:hAnsi="宋体" w:cs="宋体"/>
                <w:color w:val="000000" w:themeColor="text1"/>
                <w:szCs w:val="21"/>
                <w:highlight w:val="none"/>
                <w14:textFill>
                  <w14:solidFill>
                    <w14:schemeClr w14:val="tx1"/>
                  </w14:solidFill>
                </w14:textFill>
              </w:rPr>
            </w:pPr>
          </w:p>
        </w:tc>
        <w:tc>
          <w:tcPr>
            <w:tcW w:w="3642" w:type="pct"/>
          </w:tcPr>
          <w:p w14:paraId="02A90367">
            <w:pPr>
              <w:spacing w:before="31" w:beforeLines="10"/>
              <w:rPr>
                <w:rFonts w:ascii="宋体" w:hAnsi="宋体" w:cs="宋体"/>
                <w:color w:val="000000" w:themeColor="text1"/>
                <w:szCs w:val="21"/>
                <w:highlight w:val="none"/>
                <w14:textFill>
                  <w14:solidFill>
                    <w14:schemeClr w14:val="tx1"/>
                  </w14:solidFill>
                </w14:textFill>
              </w:rPr>
            </w:pPr>
          </w:p>
        </w:tc>
        <w:tc>
          <w:tcPr>
            <w:tcW w:w="657" w:type="pct"/>
          </w:tcPr>
          <w:p w14:paraId="0006DB01">
            <w:pPr>
              <w:spacing w:before="31" w:beforeLines="10"/>
              <w:rPr>
                <w:rFonts w:ascii="宋体" w:hAnsi="宋体" w:cs="宋体"/>
                <w:color w:val="000000" w:themeColor="text1"/>
                <w:szCs w:val="21"/>
                <w:highlight w:val="none"/>
                <w14:textFill>
                  <w14:solidFill>
                    <w14:schemeClr w14:val="tx1"/>
                  </w14:solidFill>
                </w14:textFill>
              </w:rPr>
            </w:pPr>
          </w:p>
        </w:tc>
      </w:tr>
    </w:tbl>
    <w:p w14:paraId="0E45DB4B">
      <w:pPr>
        <w:rPr>
          <w:rFonts w:ascii="宋体" w:hAnsi="宋体" w:cs="宋体"/>
          <w:color w:val="000000" w:themeColor="text1"/>
          <w:highlight w:val="none"/>
          <w14:textFill>
            <w14:solidFill>
              <w14:schemeClr w14:val="tx1"/>
            </w14:solidFill>
          </w14:textFill>
        </w:rPr>
      </w:pPr>
    </w:p>
    <w:p w14:paraId="200691F7">
      <w:pPr>
        <w:pStyle w:val="16"/>
        <w:rPr>
          <w:rFonts w:ascii="宋体" w:hAnsi="宋体" w:cs="宋体"/>
          <w:color w:val="000000" w:themeColor="text1"/>
          <w:highlight w:val="none"/>
          <w14:textFill>
            <w14:solidFill>
              <w14:schemeClr w14:val="tx1"/>
            </w14:solidFill>
          </w14:textFill>
        </w:rPr>
        <w:sectPr>
          <w:headerReference r:id="rId13" w:type="default"/>
          <w:pgSz w:w="16838" w:h="11906" w:orient="landscape"/>
          <w:pgMar w:top="1134" w:right="1417" w:bottom="1134" w:left="1417" w:header="850" w:footer="850" w:gutter="0"/>
          <w:cols w:space="0" w:num="1"/>
          <w:docGrid w:type="lines" w:linePitch="316" w:charSpace="0"/>
        </w:sectPr>
      </w:pPr>
      <w:r>
        <w:rPr>
          <w:rFonts w:hint="eastAsia" w:ascii="宋体" w:hAnsi="宋体" w:cs="宋体"/>
          <w:color w:val="000000" w:themeColor="text1"/>
          <w:highlight w:val="none"/>
          <w14:textFill>
            <w14:solidFill>
              <w14:schemeClr w14:val="tx1"/>
            </w14:solidFill>
          </w14:textFill>
        </w:rPr>
        <w:br w:type="page"/>
      </w:r>
    </w:p>
    <w:p w14:paraId="1796FFEB">
      <w:pPr>
        <w:rPr>
          <w:rFonts w:ascii="宋体" w:hAnsi="宋体" w:cs="宋体"/>
          <w:color w:val="000000" w:themeColor="text1"/>
          <w:highlight w:val="none"/>
          <w14:textFill>
            <w14:solidFill>
              <w14:schemeClr w14:val="tx1"/>
            </w14:solidFill>
          </w14:textFill>
        </w:rPr>
      </w:pPr>
    </w:p>
    <w:p w14:paraId="51FC6FF4">
      <w:pPr>
        <w:pStyle w:val="2"/>
        <w:ind w:left="0" w:firstLine="0"/>
        <w:jc w:val="center"/>
        <w:rPr>
          <w:rFonts w:ascii="宋体" w:hAnsi="宋体" w:eastAsia="宋体" w:cs="宋体"/>
          <w:bCs/>
          <w:color w:val="000000" w:themeColor="text1"/>
          <w:sz w:val="36"/>
          <w:highlight w:val="none"/>
          <w14:textFill>
            <w14:solidFill>
              <w14:schemeClr w14:val="tx1"/>
            </w14:solidFill>
          </w14:textFill>
        </w:rPr>
      </w:pPr>
      <w:bookmarkStart w:id="163" w:name="_Toc2563"/>
      <w:bookmarkStart w:id="164" w:name="_Toc3588"/>
      <w:bookmarkStart w:id="165" w:name="_Toc19047"/>
      <w:bookmarkStart w:id="166" w:name="_Toc27812"/>
      <w:bookmarkStart w:id="167" w:name="_Toc23444"/>
      <w:bookmarkStart w:id="168" w:name="_Toc10465"/>
      <w:bookmarkStart w:id="169" w:name="_Toc10170"/>
      <w:r>
        <w:rPr>
          <w:rFonts w:hint="eastAsia" w:ascii="宋体" w:hAnsi="宋体" w:eastAsia="宋体" w:cs="宋体"/>
          <w:bCs/>
          <w:color w:val="000000" w:themeColor="text1"/>
          <w:sz w:val="36"/>
          <w:highlight w:val="none"/>
          <w14:textFill>
            <w14:solidFill>
              <w14:schemeClr w14:val="tx1"/>
            </w14:solidFill>
          </w14:textFill>
        </w:rPr>
        <w:t>第四章</w:t>
      </w:r>
      <w:r>
        <w:rPr>
          <w:rFonts w:hint="eastAsia" w:ascii="宋体" w:hAnsi="宋体" w:eastAsia="宋体" w:cs="宋体"/>
          <w:bCs/>
          <w:color w:val="000000" w:themeColor="text1"/>
          <w:sz w:val="36"/>
          <w:highlight w:val="none"/>
          <w:lang w:val="en-US"/>
          <w14:textFill>
            <w14:solidFill>
              <w14:schemeClr w14:val="tx1"/>
            </w14:solidFill>
          </w14:textFill>
        </w:rPr>
        <w:t xml:space="preserve"> </w:t>
      </w:r>
      <w:r>
        <w:rPr>
          <w:rFonts w:hint="eastAsia" w:ascii="宋体" w:hAnsi="宋体" w:eastAsia="宋体" w:cs="宋体"/>
          <w:bCs/>
          <w:color w:val="000000" w:themeColor="text1"/>
          <w:sz w:val="36"/>
          <w:highlight w:val="none"/>
          <w14:textFill>
            <w14:solidFill>
              <w14:schemeClr w14:val="tx1"/>
            </w14:solidFill>
          </w14:textFill>
        </w:rPr>
        <w:t>投标文件格式</w:t>
      </w:r>
      <w:bookmarkEnd w:id="163"/>
      <w:bookmarkEnd w:id="164"/>
      <w:bookmarkEnd w:id="165"/>
      <w:bookmarkEnd w:id="166"/>
      <w:bookmarkEnd w:id="167"/>
      <w:bookmarkEnd w:id="168"/>
      <w:bookmarkEnd w:id="169"/>
    </w:p>
    <w:p w14:paraId="05DBB31F">
      <w:pPr>
        <w:pStyle w:val="20"/>
        <w:spacing w:line="360" w:lineRule="auto"/>
        <w:rPr>
          <w:rFonts w:hAnsi="宋体" w:cs="宋体"/>
          <w:color w:val="000000" w:themeColor="text1"/>
          <w:sz w:val="24"/>
          <w:szCs w:val="24"/>
          <w:highlight w:val="none"/>
          <w:u w:val="single"/>
          <w14:textFill>
            <w14:solidFill>
              <w14:schemeClr w14:val="tx1"/>
            </w14:solidFill>
          </w14:textFill>
        </w:rPr>
      </w:pPr>
    </w:p>
    <w:p w14:paraId="42DA53D1">
      <w:pPr>
        <w:rPr>
          <w:rFonts w:ascii="宋体" w:hAnsi="宋体" w:cs="宋体"/>
          <w:color w:val="000000" w:themeColor="text1"/>
          <w:highlight w:val="none"/>
          <w14:textFill>
            <w14:solidFill>
              <w14:schemeClr w14:val="tx1"/>
            </w14:solidFill>
          </w14:textFill>
        </w:rPr>
      </w:pPr>
    </w:p>
    <w:p w14:paraId="346CD07B">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p>
    <w:p w14:paraId="19168BD3">
      <w:pPr>
        <w:jc w:val="cente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u w:val="single"/>
          <w14:textFill>
            <w14:solidFill>
              <w14:schemeClr w14:val="tx1"/>
            </w14:solidFill>
          </w14:textFill>
        </w:rPr>
        <w:t xml:space="preserve">              </w:t>
      </w:r>
      <w:r>
        <w:rPr>
          <w:rFonts w:hint="eastAsia" w:ascii="宋体" w:hAnsi="宋体" w:cs="宋体"/>
          <w:b/>
          <w:bCs/>
          <w:color w:val="000000" w:themeColor="text1"/>
          <w:sz w:val="44"/>
          <w:szCs w:val="44"/>
          <w:highlight w:val="none"/>
          <w14:textFill>
            <w14:solidFill>
              <w14:schemeClr w14:val="tx1"/>
            </w14:solidFill>
          </w14:textFill>
        </w:rPr>
        <w:t>（项目名称）</w:t>
      </w:r>
    </w:p>
    <w:p w14:paraId="3D8BA688">
      <w:pPr>
        <w:rPr>
          <w:rFonts w:ascii="宋体" w:hAnsi="宋体" w:cs="宋体"/>
          <w:b/>
          <w:bCs/>
          <w:color w:val="000000" w:themeColor="text1"/>
          <w:sz w:val="44"/>
          <w:szCs w:val="44"/>
          <w:highlight w:val="none"/>
          <w:u w:val="singl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p>
    <w:p w14:paraId="04A95B8E">
      <w:pP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p>
    <w:p w14:paraId="18A9DEB8">
      <w:pP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p>
    <w:p w14:paraId="22F65903">
      <w:pP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p>
    <w:p w14:paraId="40814118">
      <w:pPr>
        <w:jc w:val="center"/>
        <w:rPr>
          <w:rFonts w:ascii="宋体" w:hAnsi="宋体" w:cs="宋体"/>
          <w:b/>
          <w:bCs/>
          <w:color w:val="000000" w:themeColor="text1"/>
          <w:sz w:val="52"/>
          <w:szCs w:val="52"/>
          <w:highlight w:val="none"/>
          <w14:textFill>
            <w14:solidFill>
              <w14:schemeClr w14:val="tx1"/>
            </w14:solidFill>
          </w14:textFill>
        </w:rPr>
      </w:pPr>
      <w:r>
        <w:rPr>
          <w:rFonts w:hint="eastAsia" w:ascii="宋体" w:hAnsi="宋体" w:cs="宋体"/>
          <w:b/>
          <w:bCs/>
          <w:color w:val="000000" w:themeColor="text1"/>
          <w:sz w:val="52"/>
          <w:szCs w:val="52"/>
          <w:highlight w:val="none"/>
          <w14:textFill>
            <w14:solidFill>
              <w14:schemeClr w14:val="tx1"/>
            </w14:solidFill>
          </w14:textFill>
        </w:rPr>
        <w:t>投 标 文 件</w:t>
      </w:r>
    </w:p>
    <w:p w14:paraId="1C7B550F">
      <w:pPr>
        <w:rPr>
          <w:rFonts w:hint="eastAsia" w:ascii="宋体" w:hAnsi="宋体" w:cs="宋体"/>
          <w:b/>
          <w:bCs/>
          <w:color w:val="000000" w:themeColor="text1"/>
          <w:sz w:val="44"/>
          <w:szCs w:val="44"/>
          <w:highlight w:val="none"/>
          <w14:textFill>
            <w14:solidFill>
              <w14:schemeClr w14:val="tx1"/>
            </w14:solidFill>
          </w14:textFill>
        </w:rPr>
      </w:pPr>
    </w:p>
    <w:p w14:paraId="1313A522">
      <w:pP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p>
    <w:p w14:paraId="6D3E0423">
      <w:pP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p>
    <w:p w14:paraId="10D3806A">
      <w:pP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p>
    <w:p w14:paraId="1CB8135B">
      <w:pP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p>
    <w:p w14:paraId="413DDC72">
      <w:pP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p>
    <w:p w14:paraId="41501E42">
      <w:pPr>
        <w:ind w:firstLine="1205" w:firstLineChars="5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投标人（电子签章）：</w:t>
      </w:r>
      <w:r>
        <w:rPr>
          <w:rFonts w:hint="eastAsia" w:ascii="宋体" w:hAnsi="宋体" w:cs="宋体"/>
          <w:b/>
          <w:bCs/>
          <w:color w:val="000000" w:themeColor="text1"/>
          <w:sz w:val="24"/>
          <w:highlight w:val="none"/>
          <w:u w:val="single"/>
          <w14:textFill>
            <w14:solidFill>
              <w14:schemeClr w14:val="tx1"/>
            </w14:solidFill>
          </w14:textFill>
        </w:rPr>
        <w:tab/>
      </w:r>
      <w:r>
        <w:rPr>
          <w:rFonts w:hint="eastAsia" w:ascii="宋体" w:hAnsi="宋体" w:cs="宋体"/>
          <w:b/>
          <w:bCs/>
          <w:color w:val="000000" w:themeColor="text1"/>
          <w:sz w:val="24"/>
          <w:highlight w:val="none"/>
          <w:u w:val="single"/>
          <w14:textFill>
            <w14:solidFill>
              <w14:schemeClr w14:val="tx1"/>
            </w14:solidFill>
          </w14:textFill>
        </w:rPr>
        <w:t xml:space="preserve">                               </w:t>
      </w:r>
    </w:p>
    <w:p w14:paraId="6625CC28">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p>
    <w:p w14:paraId="482AD4B5">
      <w:pPr>
        <w:ind w:firstLine="1205" w:firstLineChars="500"/>
        <w:rPr>
          <w:rFonts w:ascii="宋体" w:hAnsi="宋体" w:cs="宋体"/>
          <w:b/>
          <w:bCs/>
          <w:color w:val="000000" w:themeColor="text1"/>
          <w:sz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法定代表人或其委托代理人</w:t>
      </w:r>
      <w:r>
        <w:rPr>
          <w:rFonts w:hint="eastAsia" w:ascii="宋体" w:hAnsi="宋体" w:cs="宋体"/>
          <w:b/>
          <w:bCs/>
          <w:color w:val="000000" w:themeColor="text1"/>
          <w:sz w:val="24"/>
          <w:highlight w:val="none"/>
          <w14:textFill>
            <w14:solidFill>
              <w14:schemeClr w14:val="tx1"/>
            </w14:solidFill>
          </w14:textFill>
        </w:rPr>
        <w:t>（电子签名或签章）：</w:t>
      </w:r>
      <w:r>
        <w:rPr>
          <w:rFonts w:hint="eastAsia" w:ascii="宋体" w:hAnsi="宋体" w:cs="宋体"/>
          <w:b/>
          <w:bCs/>
          <w:color w:val="000000" w:themeColor="text1"/>
          <w:sz w:val="24"/>
          <w:highlight w:val="none"/>
          <w14:textFill>
            <w14:solidFill>
              <w14:schemeClr w14:val="tx1"/>
            </w14:solidFill>
          </w14:textFill>
        </w:rPr>
        <w:tab/>
      </w:r>
      <w:r>
        <w:rPr>
          <w:rFonts w:hint="eastAsia" w:ascii="宋体" w:hAnsi="宋体" w:cs="宋体"/>
          <w:b/>
          <w:bCs/>
          <w:color w:val="000000" w:themeColor="text1"/>
          <w:sz w:val="24"/>
          <w:highlight w:val="none"/>
          <w:u w:val="single"/>
          <w14:textFill>
            <w14:solidFill>
              <w14:schemeClr w14:val="tx1"/>
            </w14:solidFill>
          </w14:textFill>
        </w:rPr>
        <w:t xml:space="preserve">                     </w:t>
      </w:r>
    </w:p>
    <w:p w14:paraId="5ABF8979">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p>
    <w:p w14:paraId="4FDCBA30">
      <w:pPr>
        <w:ind w:firstLine="2891" w:firstLineChars="1200"/>
        <w:rPr>
          <w:rFonts w:ascii="宋体" w:hAnsi="宋体" w:cs="宋体"/>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日期： </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日</w:t>
      </w:r>
      <w:bookmarkStart w:id="170" w:name="_Toc184"/>
      <w:bookmarkEnd w:id="170"/>
      <w:bookmarkStart w:id="171" w:name="_Toc14917"/>
      <w:bookmarkEnd w:id="171"/>
      <w:bookmarkStart w:id="172" w:name="_Toc25438"/>
    </w:p>
    <w:bookmarkEnd w:id="172"/>
    <w:p w14:paraId="7E8A0E8C">
      <w:pPr>
        <w:pStyle w:val="20"/>
        <w:spacing w:line="360" w:lineRule="auto"/>
        <w:rPr>
          <w:rFonts w:hAnsi="宋体" w:cs="宋体"/>
          <w:color w:val="000000" w:themeColor="text1"/>
          <w:sz w:val="24"/>
          <w:szCs w:val="24"/>
          <w:highlight w:val="none"/>
          <w:u w:val="single"/>
          <w14:textFill>
            <w14:solidFill>
              <w14:schemeClr w14:val="tx1"/>
            </w14:solidFill>
          </w14:textFill>
        </w:rPr>
        <w:sectPr>
          <w:headerReference r:id="rId14" w:type="default"/>
          <w:footerReference r:id="rId15" w:type="default"/>
          <w:pgSz w:w="11906" w:h="16838"/>
          <w:pgMar w:top="1417" w:right="1134" w:bottom="1417" w:left="1134" w:header="850" w:footer="850" w:gutter="0"/>
          <w:cols w:space="0" w:num="1"/>
          <w:docGrid w:type="lines" w:linePitch="316" w:charSpace="0"/>
        </w:sectPr>
      </w:pPr>
    </w:p>
    <w:p w14:paraId="296E7FFB">
      <w:pPr>
        <w:keepNext w:val="0"/>
        <w:keepLines w:val="0"/>
        <w:pageBreakBefore w:val="0"/>
        <w:widowControl w:val="0"/>
        <w:kinsoku/>
        <w:wordWrap/>
        <w:overflowPunct/>
        <w:topLinePunct w:val="0"/>
        <w:autoSpaceDE/>
        <w:autoSpaceDN/>
        <w:bidi w:val="0"/>
        <w:adjustRightInd/>
        <w:snapToGrid/>
        <w:jc w:val="center"/>
        <w:textAlignment w:val="auto"/>
        <w:outlineLvl w:val="1"/>
        <w:rPr>
          <w:rFonts w:ascii="宋体" w:hAnsi="宋体" w:cs="宋体"/>
          <w:b/>
          <w:bCs/>
          <w:color w:val="000000" w:themeColor="text1"/>
          <w:sz w:val="32"/>
          <w:szCs w:val="32"/>
          <w:highlight w:val="none"/>
          <w14:textFill>
            <w14:solidFill>
              <w14:schemeClr w14:val="tx1"/>
            </w14:solidFill>
          </w14:textFill>
        </w:rPr>
      </w:pPr>
      <w:bookmarkStart w:id="173" w:name="_Toc13814"/>
      <w:bookmarkStart w:id="174" w:name="_Toc703"/>
      <w:bookmarkStart w:id="175" w:name="_Toc7249"/>
      <w:bookmarkStart w:id="176" w:name="_Toc20849"/>
      <w:bookmarkStart w:id="177" w:name="_Toc19983"/>
      <w:bookmarkStart w:id="178" w:name="_Toc16621"/>
      <w:bookmarkStart w:id="179" w:name="_Toc8396"/>
      <w:bookmarkStart w:id="180" w:name="_Toc7150"/>
      <w:bookmarkStart w:id="181" w:name="_Toc24171"/>
      <w:bookmarkStart w:id="182" w:name="_Toc34163803"/>
      <w:bookmarkStart w:id="183" w:name="_Toc3337"/>
      <w:bookmarkStart w:id="184" w:name="_Toc17395"/>
      <w:bookmarkStart w:id="185" w:name="_Toc2754"/>
      <w:bookmarkStart w:id="186" w:name="_Toc493600038"/>
      <w:r>
        <w:rPr>
          <w:rFonts w:hint="eastAsia" w:ascii="宋体" w:hAnsi="宋体" w:cs="宋体"/>
          <w:b/>
          <w:bCs/>
          <w:color w:val="000000" w:themeColor="text1"/>
          <w:sz w:val="32"/>
          <w:szCs w:val="32"/>
          <w:highlight w:val="none"/>
          <w14:textFill>
            <w14:solidFill>
              <w14:schemeClr w14:val="tx1"/>
            </w14:solidFill>
          </w14:textFill>
        </w:rPr>
        <w:t>资格审查部分</w:t>
      </w:r>
      <w:bookmarkEnd w:id="173"/>
      <w:bookmarkEnd w:id="174"/>
      <w:bookmarkEnd w:id="175"/>
      <w:bookmarkEnd w:id="176"/>
      <w:bookmarkEnd w:id="177"/>
      <w:bookmarkEnd w:id="178"/>
      <w:bookmarkEnd w:id="179"/>
    </w:p>
    <w:p w14:paraId="258B7B03">
      <w:pPr>
        <w:pStyle w:val="5"/>
        <w:keepNext/>
        <w:numPr>
          <w:ilvl w:val="0"/>
          <w:numId w:val="0"/>
        </w:numPr>
        <w:tabs>
          <w:tab w:val="left" w:pos="1021"/>
          <w:tab w:val="clear" w:pos="900"/>
          <w:tab w:val="clear" w:pos="1588"/>
        </w:tabs>
        <w:jc w:val="center"/>
        <w:rPr>
          <w:rFonts w:ascii="宋体" w:hAnsi="宋体" w:eastAsia="宋体" w:cs="宋体"/>
          <w:color w:val="000000" w:themeColor="text1"/>
          <w:sz w:val="32"/>
          <w:szCs w:val="32"/>
          <w:highlight w:val="none"/>
          <w14:textFill>
            <w14:solidFill>
              <w14:schemeClr w14:val="tx1"/>
            </w14:solidFill>
          </w14:textFill>
        </w:rPr>
      </w:pPr>
      <w:bookmarkStart w:id="187" w:name="_Toc27777"/>
      <w:bookmarkStart w:id="188" w:name="_Toc11114"/>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一</w:t>
      </w:r>
      <w:r>
        <w:rPr>
          <w:rFonts w:hint="eastAsia" w:ascii="宋体" w:hAnsi="宋体" w:eastAsia="宋体" w:cs="宋体"/>
          <w:color w:val="000000" w:themeColor="text1"/>
          <w:sz w:val="32"/>
          <w:szCs w:val="32"/>
          <w:highlight w:val="none"/>
          <w14:textFill>
            <w14:solidFill>
              <w14:schemeClr w14:val="tx1"/>
            </w14:solidFill>
          </w14:textFill>
        </w:rPr>
        <w:t>）投标人信息表</w:t>
      </w:r>
      <w:bookmarkEnd w:id="180"/>
      <w:bookmarkEnd w:id="181"/>
      <w:bookmarkEnd w:id="182"/>
      <w:bookmarkEnd w:id="183"/>
      <w:bookmarkEnd w:id="184"/>
      <w:bookmarkEnd w:id="185"/>
      <w:bookmarkEnd w:id="186"/>
      <w:bookmarkEnd w:id="187"/>
      <w:bookmarkEnd w:id="188"/>
    </w:p>
    <w:p w14:paraId="291AC1E1">
      <w:pPr>
        <w:pStyle w:val="20"/>
        <w:spacing w:line="400" w:lineRule="exact"/>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（请投标人如实填写本表信息）</w:t>
      </w:r>
    </w:p>
    <w:tbl>
      <w:tblPr>
        <w:tblStyle w:val="3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0FCD14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2772" w:type="dxa"/>
            <w:gridSpan w:val="2"/>
            <w:tcBorders>
              <w:right w:val="single" w:color="auto" w:sz="4" w:space="0"/>
            </w:tcBorders>
            <w:vAlign w:val="center"/>
          </w:tcPr>
          <w:p w14:paraId="66E825B4">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公司名称</w:t>
            </w:r>
          </w:p>
        </w:tc>
        <w:tc>
          <w:tcPr>
            <w:tcW w:w="6407" w:type="dxa"/>
            <w:gridSpan w:val="4"/>
            <w:tcBorders>
              <w:left w:val="single" w:color="auto" w:sz="4" w:space="0"/>
            </w:tcBorders>
            <w:vAlign w:val="center"/>
          </w:tcPr>
          <w:p w14:paraId="3969F221">
            <w:pPr>
              <w:widowControl/>
              <w:jc w:val="left"/>
              <w:rPr>
                <w:rFonts w:ascii="宋体" w:hAnsi="宋体" w:cs="宋体"/>
                <w:color w:val="000000" w:themeColor="text1"/>
                <w:sz w:val="24"/>
                <w:highlight w:val="none"/>
                <w14:textFill>
                  <w14:solidFill>
                    <w14:schemeClr w14:val="tx1"/>
                  </w14:solidFill>
                </w14:textFill>
              </w:rPr>
            </w:pPr>
          </w:p>
        </w:tc>
      </w:tr>
      <w:tr w14:paraId="0D0E2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2772" w:type="dxa"/>
            <w:gridSpan w:val="2"/>
            <w:tcBorders>
              <w:right w:val="single" w:color="auto" w:sz="4" w:space="0"/>
            </w:tcBorders>
            <w:vAlign w:val="center"/>
          </w:tcPr>
          <w:p w14:paraId="36ACBD22">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公司地址</w:t>
            </w:r>
          </w:p>
        </w:tc>
        <w:tc>
          <w:tcPr>
            <w:tcW w:w="6407" w:type="dxa"/>
            <w:gridSpan w:val="4"/>
            <w:tcBorders>
              <w:left w:val="single" w:color="auto" w:sz="4" w:space="0"/>
            </w:tcBorders>
            <w:vAlign w:val="center"/>
          </w:tcPr>
          <w:p w14:paraId="07308241">
            <w:pPr>
              <w:widowControl/>
              <w:jc w:val="center"/>
              <w:rPr>
                <w:rFonts w:ascii="宋体" w:hAnsi="宋体" w:cs="宋体"/>
                <w:color w:val="000000" w:themeColor="text1"/>
                <w:sz w:val="24"/>
                <w:highlight w:val="none"/>
                <w14:textFill>
                  <w14:solidFill>
                    <w14:schemeClr w14:val="tx1"/>
                  </w14:solidFill>
                </w14:textFill>
              </w:rPr>
            </w:pPr>
          </w:p>
        </w:tc>
      </w:tr>
      <w:tr w14:paraId="68C9C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2772" w:type="dxa"/>
            <w:gridSpan w:val="2"/>
            <w:tcBorders>
              <w:right w:val="single" w:color="auto" w:sz="4" w:space="0"/>
            </w:tcBorders>
            <w:vAlign w:val="center"/>
          </w:tcPr>
          <w:p w14:paraId="43FCA0D1">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公司性质</w:t>
            </w:r>
          </w:p>
        </w:tc>
        <w:tc>
          <w:tcPr>
            <w:tcW w:w="1716" w:type="dxa"/>
            <w:tcBorders>
              <w:left w:val="single" w:color="auto" w:sz="4" w:space="0"/>
              <w:right w:val="single" w:color="auto" w:sz="4" w:space="0"/>
            </w:tcBorders>
            <w:vAlign w:val="center"/>
          </w:tcPr>
          <w:p w14:paraId="3EFD2044">
            <w:pPr>
              <w:widowControl/>
              <w:jc w:val="center"/>
              <w:rPr>
                <w:rFonts w:ascii="宋体" w:hAnsi="宋体" w:cs="宋体"/>
                <w:color w:val="000000" w:themeColor="text1"/>
                <w:sz w:val="24"/>
                <w:highlight w:val="none"/>
                <w14:textFill>
                  <w14:solidFill>
                    <w14:schemeClr w14:val="tx1"/>
                  </w14:solidFill>
                </w14:textFill>
              </w:rPr>
            </w:pPr>
          </w:p>
        </w:tc>
        <w:tc>
          <w:tcPr>
            <w:tcW w:w="2185" w:type="dxa"/>
            <w:gridSpan w:val="2"/>
            <w:tcBorders>
              <w:left w:val="single" w:color="auto" w:sz="4" w:space="0"/>
              <w:right w:val="single" w:color="auto" w:sz="4" w:space="0"/>
            </w:tcBorders>
            <w:vAlign w:val="center"/>
          </w:tcPr>
          <w:p w14:paraId="20B498EE">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公司类型</w:t>
            </w:r>
          </w:p>
        </w:tc>
        <w:tc>
          <w:tcPr>
            <w:tcW w:w="2506" w:type="dxa"/>
            <w:tcBorders>
              <w:left w:val="single" w:color="auto" w:sz="4" w:space="0"/>
            </w:tcBorders>
            <w:vAlign w:val="center"/>
          </w:tcPr>
          <w:p w14:paraId="5B358B75">
            <w:pPr>
              <w:widowControl/>
              <w:jc w:val="center"/>
              <w:rPr>
                <w:rFonts w:ascii="宋体" w:hAnsi="宋体" w:cs="宋体"/>
                <w:color w:val="000000" w:themeColor="text1"/>
                <w:sz w:val="24"/>
                <w:highlight w:val="none"/>
                <w14:textFill>
                  <w14:solidFill>
                    <w14:schemeClr w14:val="tx1"/>
                  </w14:solidFill>
                </w14:textFill>
              </w:rPr>
            </w:pPr>
          </w:p>
        </w:tc>
      </w:tr>
      <w:tr w14:paraId="1AB65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2772" w:type="dxa"/>
            <w:gridSpan w:val="2"/>
            <w:vAlign w:val="center"/>
          </w:tcPr>
          <w:p w14:paraId="592BB49B">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w:t>
            </w:r>
          </w:p>
        </w:tc>
        <w:tc>
          <w:tcPr>
            <w:tcW w:w="1716" w:type="dxa"/>
            <w:vAlign w:val="center"/>
          </w:tcPr>
          <w:p w14:paraId="2D396DAC">
            <w:pPr>
              <w:widowControl/>
              <w:jc w:val="center"/>
              <w:rPr>
                <w:rFonts w:ascii="宋体" w:hAnsi="宋体" w:cs="宋体"/>
                <w:color w:val="000000" w:themeColor="text1"/>
                <w:sz w:val="24"/>
                <w:highlight w:val="none"/>
                <w14:textFill>
                  <w14:solidFill>
                    <w14:schemeClr w14:val="tx1"/>
                  </w14:solidFill>
                </w14:textFill>
              </w:rPr>
            </w:pPr>
          </w:p>
        </w:tc>
        <w:tc>
          <w:tcPr>
            <w:tcW w:w="2185" w:type="dxa"/>
            <w:gridSpan w:val="2"/>
            <w:tcBorders>
              <w:right w:val="single" w:color="auto" w:sz="4" w:space="0"/>
            </w:tcBorders>
            <w:vAlign w:val="center"/>
          </w:tcPr>
          <w:p w14:paraId="227AFA9F">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注册资金</w:t>
            </w:r>
          </w:p>
        </w:tc>
        <w:tc>
          <w:tcPr>
            <w:tcW w:w="2506" w:type="dxa"/>
            <w:tcBorders>
              <w:left w:val="single" w:color="auto" w:sz="4" w:space="0"/>
            </w:tcBorders>
            <w:vAlign w:val="center"/>
          </w:tcPr>
          <w:p w14:paraId="1192866E">
            <w:pPr>
              <w:widowControl/>
              <w:jc w:val="center"/>
              <w:rPr>
                <w:rFonts w:ascii="宋体" w:hAnsi="宋体" w:cs="宋体"/>
                <w:color w:val="000000" w:themeColor="text1"/>
                <w:sz w:val="24"/>
                <w:highlight w:val="none"/>
                <w14:textFill>
                  <w14:solidFill>
                    <w14:schemeClr w14:val="tx1"/>
                  </w14:solidFill>
                </w14:textFill>
              </w:rPr>
            </w:pPr>
          </w:p>
        </w:tc>
      </w:tr>
      <w:tr w14:paraId="581963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2772" w:type="dxa"/>
            <w:gridSpan w:val="2"/>
            <w:vMerge w:val="restart"/>
            <w:vAlign w:val="center"/>
          </w:tcPr>
          <w:p w14:paraId="1E1432EA">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注册日期</w:t>
            </w:r>
          </w:p>
        </w:tc>
        <w:tc>
          <w:tcPr>
            <w:tcW w:w="1716" w:type="dxa"/>
            <w:vMerge w:val="restart"/>
            <w:vAlign w:val="center"/>
          </w:tcPr>
          <w:p w14:paraId="34C38A9B">
            <w:pPr>
              <w:widowControl/>
              <w:jc w:val="center"/>
              <w:rPr>
                <w:rFonts w:ascii="宋体" w:hAnsi="宋体" w:cs="宋体"/>
                <w:color w:val="000000" w:themeColor="text1"/>
                <w:sz w:val="24"/>
                <w:highlight w:val="none"/>
                <w14:textFill>
                  <w14:solidFill>
                    <w14:schemeClr w14:val="tx1"/>
                  </w14:solidFill>
                </w14:textFill>
              </w:rPr>
            </w:pPr>
          </w:p>
        </w:tc>
        <w:tc>
          <w:tcPr>
            <w:tcW w:w="2185" w:type="dxa"/>
            <w:gridSpan w:val="2"/>
            <w:tcBorders>
              <w:bottom w:val="single" w:color="auto" w:sz="4" w:space="0"/>
            </w:tcBorders>
            <w:vAlign w:val="center"/>
          </w:tcPr>
          <w:p w14:paraId="2A82CD64">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w:t>
            </w:r>
          </w:p>
        </w:tc>
        <w:tc>
          <w:tcPr>
            <w:tcW w:w="2506" w:type="dxa"/>
            <w:tcBorders>
              <w:bottom w:val="single" w:color="auto" w:sz="4" w:space="0"/>
            </w:tcBorders>
            <w:vAlign w:val="center"/>
          </w:tcPr>
          <w:p w14:paraId="2FD05442">
            <w:pPr>
              <w:widowControl/>
              <w:jc w:val="center"/>
              <w:rPr>
                <w:rFonts w:ascii="宋体" w:hAnsi="宋体" w:cs="宋体"/>
                <w:color w:val="000000" w:themeColor="text1"/>
                <w:sz w:val="24"/>
                <w:highlight w:val="none"/>
                <w14:textFill>
                  <w14:solidFill>
                    <w14:schemeClr w14:val="tx1"/>
                  </w14:solidFill>
                </w14:textFill>
              </w:rPr>
            </w:pPr>
          </w:p>
        </w:tc>
      </w:tr>
      <w:tr w14:paraId="03EB9D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2772" w:type="dxa"/>
            <w:gridSpan w:val="2"/>
            <w:vMerge w:val="continue"/>
            <w:vAlign w:val="center"/>
          </w:tcPr>
          <w:p w14:paraId="1DCAD54B">
            <w:pPr>
              <w:widowControl/>
              <w:jc w:val="center"/>
              <w:rPr>
                <w:rFonts w:ascii="宋体" w:hAnsi="宋体" w:cs="宋体"/>
                <w:color w:val="000000" w:themeColor="text1"/>
                <w:sz w:val="24"/>
                <w:highlight w:val="none"/>
                <w14:textFill>
                  <w14:solidFill>
                    <w14:schemeClr w14:val="tx1"/>
                  </w14:solidFill>
                </w14:textFill>
              </w:rPr>
            </w:pPr>
          </w:p>
        </w:tc>
        <w:tc>
          <w:tcPr>
            <w:tcW w:w="1716" w:type="dxa"/>
            <w:vMerge w:val="continue"/>
            <w:vAlign w:val="center"/>
          </w:tcPr>
          <w:p w14:paraId="00F1023B">
            <w:pPr>
              <w:widowControl/>
              <w:jc w:val="center"/>
              <w:rPr>
                <w:rFonts w:ascii="宋体" w:hAnsi="宋体" w:cs="宋体"/>
                <w:color w:val="000000" w:themeColor="text1"/>
                <w:sz w:val="24"/>
                <w:highlight w:val="none"/>
                <w14:textFill>
                  <w14:solidFill>
                    <w14:schemeClr w14:val="tx1"/>
                  </w14:solidFill>
                </w14:textFill>
              </w:rPr>
            </w:pPr>
          </w:p>
        </w:tc>
        <w:tc>
          <w:tcPr>
            <w:tcW w:w="2185" w:type="dxa"/>
            <w:gridSpan w:val="2"/>
            <w:tcBorders>
              <w:top w:val="single" w:color="auto" w:sz="4" w:space="0"/>
            </w:tcBorders>
            <w:vAlign w:val="center"/>
          </w:tcPr>
          <w:p w14:paraId="75BC8AB2">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开户基本账号</w:t>
            </w:r>
          </w:p>
        </w:tc>
        <w:tc>
          <w:tcPr>
            <w:tcW w:w="2506" w:type="dxa"/>
            <w:tcBorders>
              <w:top w:val="single" w:color="auto" w:sz="4" w:space="0"/>
            </w:tcBorders>
            <w:vAlign w:val="center"/>
          </w:tcPr>
          <w:p w14:paraId="11CD7FA6">
            <w:pPr>
              <w:widowControl/>
              <w:jc w:val="center"/>
              <w:rPr>
                <w:rFonts w:ascii="宋体" w:hAnsi="宋体" w:cs="宋体"/>
                <w:color w:val="000000" w:themeColor="text1"/>
                <w:sz w:val="24"/>
                <w:highlight w:val="none"/>
                <w14:textFill>
                  <w14:solidFill>
                    <w14:schemeClr w14:val="tx1"/>
                  </w14:solidFill>
                </w14:textFill>
              </w:rPr>
            </w:pPr>
          </w:p>
        </w:tc>
      </w:tr>
      <w:tr w14:paraId="48A44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2772" w:type="dxa"/>
            <w:gridSpan w:val="2"/>
            <w:vMerge w:val="restart"/>
            <w:vAlign w:val="center"/>
          </w:tcPr>
          <w:p w14:paraId="3DB22F95">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p>
        </w:tc>
        <w:tc>
          <w:tcPr>
            <w:tcW w:w="1716" w:type="dxa"/>
            <w:vMerge w:val="restart"/>
            <w:vAlign w:val="center"/>
          </w:tcPr>
          <w:p w14:paraId="19AFAA0A">
            <w:pPr>
              <w:widowControl/>
              <w:jc w:val="center"/>
              <w:rPr>
                <w:rFonts w:ascii="宋体" w:hAnsi="宋体" w:cs="宋体"/>
                <w:color w:val="000000" w:themeColor="text1"/>
                <w:sz w:val="24"/>
                <w:highlight w:val="none"/>
                <w14:textFill>
                  <w14:solidFill>
                    <w14:schemeClr w14:val="tx1"/>
                  </w14:solidFill>
                </w14:textFill>
              </w:rPr>
            </w:pPr>
          </w:p>
        </w:tc>
        <w:tc>
          <w:tcPr>
            <w:tcW w:w="1047" w:type="dxa"/>
            <w:vMerge w:val="restart"/>
            <w:vAlign w:val="center"/>
          </w:tcPr>
          <w:p w14:paraId="2A121767">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w:t>
            </w:r>
          </w:p>
        </w:tc>
        <w:tc>
          <w:tcPr>
            <w:tcW w:w="1138" w:type="dxa"/>
            <w:vAlign w:val="center"/>
          </w:tcPr>
          <w:p w14:paraId="46C1AB4F">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手机</w:t>
            </w:r>
          </w:p>
        </w:tc>
        <w:tc>
          <w:tcPr>
            <w:tcW w:w="2506" w:type="dxa"/>
            <w:vAlign w:val="center"/>
          </w:tcPr>
          <w:p w14:paraId="026F56E0">
            <w:pPr>
              <w:widowControl/>
              <w:jc w:val="center"/>
              <w:rPr>
                <w:rFonts w:ascii="宋体" w:hAnsi="宋体" w:cs="宋体"/>
                <w:color w:val="000000" w:themeColor="text1"/>
                <w:sz w:val="24"/>
                <w:highlight w:val="none"/>
                <w14:textFill>
                  <w14:solidFill>
                    <w14:schemeClr w14:val="tx1"/>
                  </w14:solidFill>
                </w14:textFill>
              </w:rPr>
            </w:pPr>
          </w:p>
        </w:tc>
      </w:tr>
      <w:tr w14:paraId="44D2A5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2772" w:type="dxa"/>
            <w:gridSpan w:val="2"/>
            <w:vMerge w:val="continue"/>
            <w:vAlign w:val="center"/>
          </w:tcPr>
          <w:p w14:paraId="3AE77D18">
            <w:pPr>
              <w:widowControl/>
              <w:jc w:val="center"/>
              <w:rPr>
                <w:rFonts w:ascii="宋体" w:hAnsi="宋体" w:cs="宋体"/>
                <w:color w:val="000000" w:themeColor="text1"/>
                <w:sz w:val="24"/>
                <w:highlight w:val="none"/>
                <w14:textFill>
                  <w14:solidFill>
                    <w14:schemeClr w14:val="tx1"/>
                  </w14:solidFill>
                </w14:textFill>
              </w:rPr>
            </w:pPr>
          </w:p>
        </w:tc>
        <w:tc>
          <w:tcPr>
            <w:tcW w:w="1716" w:type="dxa"/>
            <w:vMerge w:val="continue"/>
            <w:vAlign w:val="center"/>
          </w:tcPr>
          <w:p w14:paraId="39513B55">
            <w:pPr>
              <w:widowControl/>
              <w:jc w:val="center"/>
              <w:rPr>
                <w:rFonts w:ascii="宋体" w:hAnsi="宋体" w:cs="宋体"/>
                <w:color w:val="000000" w:themeColor="text1"/>
                <w:sz w:val="24"/>
                <w:highlight w:val="none"/>
                <w14:textFill>
                  <w14:solidFill>
                    <w14:schemeClr w14:val="tx1"/>
                  </w14:solidFill>
                </w14:textFill>
              </w:rPr>
            </w:pPr>
          </w:p>
        </w:tc>
        <w:tc>
          <w:tcPr>
            <w:tcW w:w="1047" w:type="dxa"/>
            <w:vMerge w:val="continue"/>
            <w:vAlign w:val="center"/>
          </w:tcPr>
          <w:p w14:paraId="3ECD5503">
            <w:pPr>
              <w:widowControl/>
              <w:jc w:val="center"/>
              <w:rPr>
                <w:rFonts w:ascii="宋体" w:hAnsi="宋体" w:cs="宋体"/>
                <w:color w:val="000000" w:themeColor="text1"/>
                <w:sz w:val="24"/>
                <w:highlight w:val="none"/>
                <w14:textFill>
                  <w14:solidFill>
                    <w14:schemeClr w14:val="tx1"/>
                  </w14:solidFill>
                </w14:textFill>
              </w:rPr>
            </w:pPr>
          </w:p>
        </w:tc>
        <w:tc>
          <w:tcPr>
            <w:tcW w:w="1138" w:type="dxa"/>
            <w:vAlign w:val="center"/>
          </w:tcPr>
          <w:p w14:paraId="6B9793E4">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固话</w:t>
            </w:r>
          </w:p>
        </w:tc>
        <w:tc>
          <w:tcPr>
            <w:tcW w:w="2506" w:type="dxa"/>
            <w:vAlign w:val="center"/>
          </w:tcPr>
          <w:p w14:paraId="57F8A490">
            <w:pPr>
              <w:widowControl/>
              <w:jc w:val="center"/>
              <w:rPr>
                <w:rFonts w:ascii="宋体" w:hAnsi="宋体" w:cs="宋体"/>
                <w:color w:val="000000" w:themeColor="text1"/>
                <w:sz w:val="24"/>
                <w:highlight w:val="none"/>
                <w14:textFill>
                  <w14:solidFill>
                    <w14:schemeClr w14:val="tx1"/>
                  </w14:solidFill>
                </w14:textFill>
              </w:rPr>
            </w:pPr>
          </w:p>
        </w:tc>
      </w:tr>
      <w:tr w14:paraId="78F74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2772" w:type="dxa"/>
            <w:gridSpan w:val="2"/>
            <w:vAlign w:val="center"/>
          </w:tcPr>
          <w:p w14:paraId="5E4BE7F9">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联系传真</w:t>
            </w:r>
          </w:p>
        </w:tc>
        <w:tc>
          <w:tcPr>
            <w:tcW w:w="1716" w:type="dxa"/>
            <w:vAlign w:val="center"/>
          </w:tcPr>
          <w:p w14:paraId="0AE360E8">
            <w:pPr>
              <w:widowControl/>
              <w:jc w:val="center"/>
              <w:rPr>
                <w:rFonts w:ascii="宋体" w:hAnsi="宋体" w:cs="宋体"/>
                <w:color w:val="000000" w:themeColor="text1"/>
                <w:sz w:val="24"/>
                <w:highlight w:val="none"/>
                <w14:textFill>
                  <w14:solidFill>
                    <w14:schemeClr w14:val="tx1"/>
                  </w14:solidFill>
                </w14:textFill>
              </w:rPr>
            </w:pPr>
          </w:p>
        </w:tc>
        <w:tc>
          <w:tcPr>
            <w:tcW w:w="2185" w:type="dxa"/>
            <w:gridSpan w:val="2"/>
            <w:vAlign w:val="center"/>
          </w:tcPr>
          <w:p w14:paraId="7B6CA5FC">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联系邮箱</w:t>
            </w:r>
          </w:p>
        </w:tc>
        <w:tc>
          <w:tcPr>
            <w:tcW w:w="2506" w:type="dxa"/>
            <w:vAlign w:val="center"/>
          </w:tcPr>
          <w:p w14:paraId="1644B798">
            <w:pPr>
              <w:widowControl/>
              <w:jc w:val="center"/>
              <w:rPr>
                <w:rFonts w:ascii="宋体" w:hAnsi="宋体" w:cs="宋体"/>
                <w:color w:val="000000" w:themeColor="text1"/>
                <w:sz w:val="24"/>
                <w:highlight w:val="none"/>
                <w14:textFill>
                  <w14:solidFill>
                    <w14:schemeClr w14:val="tx1"/>
                  </w14:solidFill>
                </w14:textFill>
              </w:rPr>
            </w:pPr>
          </w:p>
        </w:tc>
      </w:tr>
      <w:tr w14:paraId="15A6B5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2772" w:type="dxa"/>
            <w:gridSpan w:val="2"/>
            <w:vAlign w:val="center"/>
          </w:tcPr>
          <w:p w14:paraId="6413DDC0">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经营范围</w:t>
            </w:r>
          </w:p>
        </w:tc>
        <w:tc>
          <w:tcPr>
            <w:tcW w:w="6407" w:type="dxa"/>
            <w:gridSpan w:val="4"/>
            <w:vAlign w:val="center"/>
          </w:tcPr>
          <w:p w14:paraId="501413CA">
            <w:pPr>
              <w:widowControl/>
              <w:jc w:val="center"/>
              <w:rPr>
                <w:rFonts w:ascii="宋体" w:hAnsi="宋体" w:cs="宋体"/>
                <w:color w:val="000000" w:themeColor="text1"/>
                <w:sz w:val="24"/>
                <w:highlight w:val="none"/>
                <w14:textFill>
                  <w14:solidFill>
                    <w14:schemeClr w14:val="tx1"/>
                  </w14:solidFill>
                </w14:textFill>
              </w:rPr>
            </w:pPr>
          </w:p>
        </w:tc>
      </w:tr>
      <w:tr w14:paraId="6B0808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2772" w:type="dxa"/>
            <w:gridSpan w:val="2"/>
            <w:vAlign w:val="center"/>
          </w:tcPr>
          <w:p w14:paraId="5568FE4E">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公司管理体系认证</w:t>
            </w:r>
          </w:p>
        </w:tc>
        <w:tc>
          <w:tcPr>
            <w:tcW w:w="6407" w:type="dxa"/>
            <w:gridSpan w:val="4"/>
            <w:vAlign w:val="center"/>
          </w:tcPr>
          <w:p w14:paraId="0A40BD14">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（质量、职业、环境管理体系）</w:t>
            </w:r>
          </w:p>
        </w:tc>
      </w:tr>
      <w:tr w14:paraId="458D6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9179" w:type="dxa"/>
            <w:gridSpan w:val="6"/>
            <w:vAlign w:val="center"/>
          </w:tcPr>
          <w:p w14:paraId="57C07854">
            <w:pPr>
              <w:widowControl/>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公司资质及各类生产、经营许可</w:t>
            </w:r>
          </w:p>
        </w:tc>
      </w:tr>
      <w:tr w14:paraId="4053A5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jc w:val="center"/>
        </w:trPr>
        <w:tc>
          <w:tcPr>
            <w:tcW w:w="9179" w:type="dxa"/>
            <w:gridSpan w:val="6"/>
            <w:vAlign w:val="center"/>
          </w:tcPr>
          <w:p w14:paraId="21001A60">
            <w:pP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如：工程类资质（工程单位）、设备制造商</w:t>
            </w:r>
            <w:bookmarkStart w:id="189" w:name="OLE_LINK21"/>
            <w:bookmarkStart w:id="190" w:name="OLE_LINK22"/>
            <w:r>
              <w:rPr>
                <w:rFonts w:hint="eastAsia" w:ascii="宋体" w:hAnsi="宋体" w:cs="宋体"/>
                <w:color w:val="000000" w:themeColor="text1"/>
                <w:sz w:val="24"/>
                <w:highlight w:val="none"/>
                <w14:textFill>
                  <w14:solidFill>
                    <w14:schemeClr w14:val="tx1"/>
                  </w14:solidFill>
                </w14:textFill>
              </w:rPr>
              <w:t>、经销商（生产、经营许可证</w:t>
            </w:r>
            <w:bookmarkEnd w:id="189"/>
            <w:bookmarkEnd w:id="190"/>
            <w:r>
              <w:rPr>
                <w:rFonts w:hint="eastAsia" w:ascii="宋体" w:hAnsi="宋体" w:cs="宋体"/>
                <w:color w:val="000000" w:themeColor="text1"/>
                <w:sz w:val="24"/>
                <w:highlight w:val="none"/>
                <w14:textFill>
                  <w14:solidFill>
                    <w14:schemeClr w14:val="tx1"/>
                  </w14:solidFill>
                </w14:textFill>
              </w:rPr>
              <w:t>、产品认证）、其它资质。</w:t>
            </w:r>
          </w:p>
        </w:tc>
      </w:tr>
      <w:tr w14:paraId="0E33DA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1367" w:type="dxa"/>
            <w:vAlign w:val="center"/>
          </w:tcPr>
          <w:p w14:paraId="7D080334">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c>
          <w:tcPr>
            <w:tcW w:w="7812" w:type="dxa"/>
            <w:gridSpan w:val="5"/>
            <w:vAlign w:val="center"/>
          </w:tcPr>
          <w:p w14:paraId="1B69C4A6">
            <w:pPr>
              <w:widowControl/>
              <w:jc w:val="center"/>
              <w:rPr>
                <w:rFonts w:ascii="宋体" w:hAnsi="宋体" w:cs="宋体"/>
                <w:color w:val="000000" w:themeColor="text1"/>
                <w:sz w:val="24"/>
                <w:highlight w:val="none"/>
                <w14:textFill>
                  <w14:solidFill>
                    <w14:schemeClr w14:val="tx1"/>
                  </w14:solidFill>
                </w14:textFill>
              </w:rPr>
            </w:pPr>
          </w:p>
        </w:tc>
      </w:tr>
    </w:tbl>
    <w:p w14:paraId="0AF95567">
      <w:pPr>
        <w:rPr>
          <w:rFonts w:ascii="宋体" w:hAnsi="宋体" w:cs="宋体"/>
          <w:b/>
          <w:color w:val="000000" w:themeColor="text1"/>
          <w:sz w:val="28"/>
          <w:szCs w:val="28"/>
          <w:highlight w:val="none"/>
          <w14:textFill>
            <w14:solidFill>
              <w14:schemeClr w14:val="tx1"/>
            </w14:solidFill>
          </w14:textFill>
        </w:rPr>
      </w:pPr>
    </w:p>
    <w:p w14:paraId="1BD2DE6D">
      <w:pP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p>
    <w:p w14:paraId="16857A0E">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191" w:name="_Toc21989"/>
      <w:bookmarkStart w:id="192" w:name="_Toc7546"/>
      <w:bookmarkStart w:id="193" w:name="_Toc21901"/>
      <w:bookmarkStart w:id="194" w:name="_Toc4343"/>
      <w:bookmarkStart w:id="195" w:name="_Toc30315"/>
      <w:bookmarkStart w:id="196" w:name="_Toc15096"/>
      <w:bookmarkStart w:id="197" w:name="_Toc28554"/>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二</w:t>
      </w:r>
      <w:r>
        <w:rPr>
          <w:rFonts w:hint="eastAsia" w:ascii="宋体" w:hAnsi="宋体" w:eastAsia="宋体" w:cs="宋体"/>
          <w:color w:val="000000" w:themeColor="text1"/>
          <w:sz w:val="32"/>
          <w:szCs w:val="32"/>
          <w:highlight w:val="none"/>
          <w14:textFill>
            <w14:solidFill>
              <w14:schemeClr w14:val="tx1"/>
            </w14:solidFill>
          </w14:textFill>
        </w:rPr>
        <w:t>）营业执照或其他证明文件</w:t>
      </w:r>
      <w:bookmarkEnd w:id="191"/>
      <w:bookmarkEnd w:id="192"/>
      <w:bookmarkEnd w:id="193"/>
      <w:bookmarkEnd w:id="194"/>
      <w:bookmarkEnd w:id="195"/>
      <w:bookmarkEnd w:id="196"/>
      <w:bookmarkEnd w:id="197"/>
    </w:p>
    <w:p w14:paraId="036424E4">
      <w:pPr>
        <w:pStyle w:val="20"/>
        <w:spacing w:line="5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（扫描件）</w:t>
      </w:r>
    </w:p>
    <w:p w14:paraId="05CC0E77">
      <w:pPr>
        <w:widowControl/>
        <w:jc w:val="left"/>
        <w:rPr>
          <w:rFonts w:ascii="宋体" w:hAnsi="宋体" w:cs="宋体"/>
          <w:b/>
          <w:color w:val="000000" w:themeColor="text1"/>
          <w:sz w:val="28"/>
          <w:szCs w:val="28"/>
          <w:highlight w:val="none"/>
          <w14:textFill>
            <w14:solidFill>
              <w14:schemeClr w14:val="tx1"/>
            </w14:solidFill>
          </w14:textFill>
        </w:rPr>
      </w:pPr>
      <w:bookmarkStart w:id="198" w:name="_Toc522698377"/>
      <w:bookmarkStart w:id="199" w:name="_Toc493600017"/>
      <w:bookmarkStart w:id="200" w:name="_Toc34163784"/>
      <w:bookmarkStart w:id="201" w:name="_Toc213141105"/>
      <w:r>
        <w:rPr>
          <w:rFonts w:hint="eastAsia" w:ascii="宋体" w:hAnsi="宋体" w:cs="宋体"/>
          <w:color w:val="000000" w:themeColor="text1"/>
          <w:sz w:val="32"/>
          <w:szCs w:val="32"/>
          <w:highlight w:val="none"/>
          <w14:textFill>
            <w14:solidFill>
              <w14:schemeClr w14:val="tx1"/>
            </w14:solidFill>
          </w14:textFill>
        </w:rPr>
        <w:br w:type="page"/>
      </w:r>
      <w:bookmarkEnd w:id="198"/>
      <w:bookmarkEnd w:id="199"/>
      <w:bookmarkEnd w:id="200"/>
      <w:bookmarkEnd w:id="201"/>
    </w:p>
    <w:p w14:paraId="17ACB8A1">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202" w:name="_Toc13330"/>
      <w:bookmarkStart w:id="203" w:name="_Toc12072"/>
      <w:bookmarkStart w:id="204" w:name="_Toc1806"/>
      <w:bookmarkStart w:id="205" w:name="_Toc6110"/>
      <w:bookmarkStart w:id="206" w:name="_Toc1"/>
      <w:bookmarkStart w:id="207" w:name="_Toc22167"/>
      <w:bookmarkStart w:id="208" w:name="_Toc13831"/>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三</w:t>
      </w:r>
      <w:r>
        <w:rPr>
          <w:rFonts w:hint="eastAsia" w:ascii="宋体" w:hAnsi="宋体" w:eastAsia="宋体" w:cs="宋体"/>
          <w:color w:val="000000" w:themeColor="text1"/>
          <w:sz w:val="32"/>
          <w:szCs w:val="32"/>
          <w:highlight w:val="none"/>
          <w14:textFill>
            <w14:solidFill>
              <w14:schemeClr w14:val="tx1"/>
            </w14:solidFill>
          </w14:textFill>
        </w:rPr>
        <w:t>）良好的商业信誉和健全的财务会计制度</w:t>
      </w:r>
      <w:bookmarkEnd w:id="202"/>
      <w:bookmarkEnd w:id="203"/>
      <w:bookmarkEnd w:id="204"/>
      <w:bookmarkEnd w:id="205"/>
      <w:bookmarkEnd w:id="206"/>
      <w:bookmarkEnd w:id="207"/>
      <w:bookmarkEnd w:id="208"/>
    </w:p>
    <w:p w14:paraId="2C2684EA">
      <w:pPr>
        <w:pStyle w:val="4"/>
        <w:spacing w:line="360" w:lineRule="auto"/>
        <w:ind w:firstLine="40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根据投标人性质提供下列任一材料：①提供202</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年—202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14:textFill>
            <w14:solidFill>
              <w14:schemeClr w14:val="tx1"/>
            </w14:solidFill>
          </w14:textFill>
        </w:rPr>
        <w:t>年任意一年经第三方审计的审计报告及财务报表（包括资产负债表、利润表、现金流量表），成立不满1年的，提供自成立至今财务报表（包括资产负债表、利润表、现金流量表）；②也可提供距文件递交截止日一年内开户银行出具的资信证明；③也可提供财政部门认可的政府采购专业担保机构出具的投标担保函（需同时提供专业担保机构经财政部门认可的证明文件）；④非营利性单位或者社会团体或者其他机关事业单位也可提供以符合财务会计制度为准或者提供承诺函；⑤投标人为自然人的也可提供承诺函（格式自拟）。</w:t>
      </w:r>
    </w:p>
    <w:p w14:paraId="24466469">
      <w:pPr>
        <w:pStyle w:val="20"/>
        <w:spacing w:line="600" w:lineRule="exac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br w:type="page"/>
      </w:r>
    </w:p>
    <w:p w14:paraId="34EF6BF2">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209" w:name="_Toc8963"/>
      <w:bookmarkStart w:id="210" w:name="_Toc23106"/>
      <w:bookmarkStart w:id="211" w:name="_Toc34163790"/>
      <w:bookmarkStart w:id="212" w:name="_Toc28106"/>
      <w:bookmarkStart w:id="213" w:name="_Toc19675"/>
      <w:bookmarkStart w:id="214" w:name="_Toc19651"/>
      <w:bookmarkStart w:id="215" w:name="_Toc9801"/>
      <w:bookmarkStart w:id="216" w:name="_Toc493600023"/>
      <w:bookmarkStart w:id="217" w:name="_Toc28253"/>
      <w:bookmarkStart w:id="218" w:name="_Toc493600021"/>
      <w:bookmarkStart w:id="219" w:name="_Toc34163788"/>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四</w:t>
      </w:r>
      <w:r>
        <w:rPr>
          <w:rFonts w:hint="eastAsia" w:ascii="宋体" w:hAnsi="宋体" w:eastAsia="宋体" w:cs="宋体"/>
          <w:color w:val="000000" w:themeColor="text1"/>
          <w:sz w:val="32"/>
          <w:szCs w:val="32"/>
          <w:highlight w:val="none"/>
          <w14:textFill>
            <w14:solidFill>
              <w14:schemeClr w14:val="tx1"/>
            </w14:solidFill>
          </w14:textFill>
        </w:rPr>
        <w:t>）投标人具备履行合同所必需的设备和专业技术能力的证明材料</w:t>
      </w:r>
      <w:bookmarkEnd w:id="209"/>
      <w:bookmarkEnd w:id="210"/>
      <w:bookmarkEnd w:id="211"/>
      <w:bookmarkEnd w:id="212"/>
      <w:bookmarkEnd w:id="213"/>
      <w:bookmarkEnd w:id="214"/>
      <w:bookmarkEnd w:id="215"/>
      <w:bookmarkEnd w:id="216"/>
      <w:bookmarkEnd w:id="217"/>
    </w:p>
    <w:p w14:paraId="61610B2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（提供承诺函或证明材料，格式自拟）</w:t>
      </w:r>
    </w:p>
    <w:p w14:paraId="41D4D652">
      <w:pPr>
        <w:keepNext/>
        <w:tabs>
          <w:tab w:val="left" w:pos="360"/>
          <w:tab w:val="left" w:pos="1021"/>
        </w:tabs>
        <w:adjustRightInd w:val="0"/>
        <w:ind w:left="425"/>
        <w:jc w:val="center"/>
        <w:textAlignment w:val="baseline"/>
        <w:rPr>
          <w:rFonts w:ascii="宋体" w:hAnsi="宋体" w:cs="宋体"/>
          <w:color w:val="000000" w:themeColor="text1"/>
          <w:sz w:val="32"/>
          <w:szCs w:val="32"/>
          <w:highlight w:val="none"/>
          <w14:textFill>
            <w14:solidFill>
              <w14:schemeClr w14:val="tx1"/>
            </w14:solidFill>
          </w14:textFill>
        </w:rPr>
      </w:pPr>
    </w:p>
    <w:bookmarkEnd w:id="218"/>
    <w:bookmarkEnd w:id="219"/>
    <w:p w14:paraId="5485F2F2">
      <w:pPr>
        <w:pStyle w:val="20"/>
        <w:spacing w:line="600" w:lineRule="exac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br w:type="page"/>
      </w:r>
    </w:p>
    <w:p w14:paraId="1CC0A05F">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220" w:name="_Toc34163789"/>
      <w:bookmarkStart w:id="221" w:name="_Toc12777"/>
      <w:bookmarkStart w:id="222" w:name="_Toc31395"/>
      <w:bookmarkStart w:id="223" w:name="_Toc6908"/>
      <w:bookmarkStart w:id="224" w:name="_Toc11692"/>
      <w:bookmarkStart w:id="225" w:name="_Toc28903"/>
      <w:bookmarkStart w:id="226" w:name="_Toc14329"/>
      <w:bookmarkStart w:id="227" w:name="_Toc493600022"/>
      <w:bookmarkStart w:id="228" w:name="_Toc29113"/>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五</w:t>
      </w:r>
      <w:r>
        <w:rPr>
          <w:rFonts w:hint="eastAsia" w:ascii="宋体" w:hAnsi="宋体" w:eastAsia="宋体" w:cs="宋体"/>
          <w:color w:val="000000" w:themeColor="text1"/>
          <w:sz w:val="32"/>
          <w:szCs w:val="32"/>
          <w:highlight w:val="none"/>
          <w14:textFill>
            <w14:solidFill>
              <w14:schemeClr w14:val="tx1"/>
            </w14:solidFill>
          </w14:textFill>
        </w:rPr>
        <w:t>）投标人有依法缴纳税收和社会保障资金的证明材料</w:t>
      </w:r>
      <w:bookmarkEnd w:id="220"/>
      <w:bookmarkEnd w:id="221"/>
      <w:bookmarkEnd w:id="222"/>
      <w:bookmarkEnd w:id="223"/>
      <w:bookmarkEnd w:id="224"/>
      <w:bookmarkEnd w:id="225"/>
      <w:bookmarkEnd w:id="226"/>
      <w:bookmarkEnd w:id="227"/>
      <w:bookmarkEnd w:id="228"/>
    </w:p>
    <w:p w14:paraId="68316857">
      <w:pPr>
        <w:pStyle w:val="20"/>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b w:val="0"/>
          <w:bCs/>
          <w:color w:val="000000" w:themeColor="text1"/>
          <w:sz w:val="21"/>
          <w:szCs w:val="21"/>
          <w:highlight w:val="none"/>
          <w:lang w:eastAsia="zh-CN"/>
          <w14:textFill>
            <w14:solidFill>
              <w14:schemeClr w14:val="tx1"/>
            </w14:solidFill>
          </w14:textFill>
        </w:rPr>
      </w:pPr>
      <w:r>
        <w:rPr>
          <w:rFonts w:hint="eastAsia" w:hAnsi="宋体" w:cs="宋体"/>
          <w:b w:val="0"/>
          <w:bCs/>
          <w:color w:val="000000" w:themeColor="text1"/>
          <w:sz w:val="21"/>
          <w:szCs w:val="21"/>
          <w:highlight w:val="none"/>
          <w14:textFill>
            <w14:solidFill>
              <w14:schemeClr w14:val="tx1"/>
            </w14:solidFill>
          </w14:textFill>
        </w:rPr>
        <w:t>投标人有依法缴纳税收和社会保障资金的良好记录,提供2023年</w:t>
      </w:r>
      <w:r>
        <w:rPr>
          <w:rFonts w:hint="eastAsia" w:hAnsi="宋体" w:cs="宋体"/>
          <w:b w:val="0"/>
          <w:bCs/>
          <w:color w:val="000000" w:themeColor="text1"/>
          <w:sz w:val="21"/>
          <w:szCs w:val="21"/>
          <w:highlight w:val="none"/>
          <w:lang w:val="en-US" w:eastAsia="zh-CN"/>
          <w14:textFill>
            <w14:solidFill>
              <w14:schemeClr w14:val="tx1"/>
            </w14:solidFill>
          </w14:textFill>
        </w:rPr>
        <w:t>05</w:t>
      </w:r>
      <w:r>
        <w:rPr>
          <w:rFonts w:hint="eastAsia" w:hAnsi="宋体" w:cs="宋体"/>
          <w:b w:val="0"/>
          <w:bCs/>
          <w:color w:val="000000" w:themeColor="text1"/>
          <w:sz w:val="21"/>
          <w:szCs w:val="21"/>
          <w:highlight w:val="none"/>
          <w14:textFill>
            <w14:solidFill>
              <w14:schemeClr w14:val="tx1"/>
            </w14:solidFill>
          </w14:textFill>
        </w:rPr>
        <w:t>月至本项目投标文件提交截止时间前任意2个月的依法缴纳税收和缴纳社会保障资金的证明（成立未满2个月的，提供成立以来的税收和社会保障资金缴纳凭证或相关情况说明；依法免税或不需要缴纳社会保障资金的投标人，应提供相应文件证明）</w:t>
      </w:r>
      <w:r>
        <w:rPr>
          <w:rFonts w:hint="eastAsia" w:hAnsi="宋体" w:cs="宋体"/>
          <w:b w:val="0"/>
          <w:bCs/>
          <w:color w:val="000000" w:themeColor="text1"/>
          <w:sz w:val="21"/>
          <w:szCs w:val="21"/>
          <w:highlight w:val="none"/>
          <w:lang w:eastAsia="zh-CN"/>
          <w14:textFill>
            <w14:solidFill>
              <w14:schemeClr w14:val="tx1"/>
            </w14:solidFill>
          </w14:textFill>
        </w:rPr>
        <w:t>。</w:t>
      </w:r>
    </w:p>
    <w:p w14:paraId="12E51B81">
      <w:pPr>
        <w:pStyle w:val="20"/>
        <w:spacing w:line="600" w:lineRule="exact"/>
        <w:rPr>
          <w:rFonts w:hint="eastAsia" w:hAnsi="宋体" w:cs="宋体"/>
          <w:b/>
          <w:color w:val="000000" w:themeColor="text1"/>
          <w:sz w:val="28"/>
          <w:szCs w:val="28"/>
          <w:highlight w:val="none"/>
          <w14:textFill>
            <w14:solidFill>
              <w14:schemeClr w14:val="tx1"/>
            </w14:solidFill>
          </w14:textFill>
        </w:rPr>
      </w:pPr>
    </w:p>
    <w:p w14:paraId="6D496975">
      <w:pPr>
        <w:pStyle w:val="20"/>
        <w:spacing w:line="600" w:lineRule="exact"/>
        <w:rPr>
          <w:rFonts w:hint="eastAsia" w:hAnsi="宋体" w:cs="宋体"/>
          <w:b/>
          <w:color w:val="000000" w:themeColor="text1"/>
          <w:sz w:val="28"/>
          <w:szCs w:val="28"/>
          <w:highlight w:val="none"/>
          <w14:textFill>
            <w14:solidFill>
              <w14:schemeClr w14:val="tx1"/>
            </w14:solidFill>
          </w14:textFill>
        </w:rPr>
      </w:pPr>
    </w:p>
    <w:p w14:paraId="094356DF">
      <w:pPr>
        <w:pStyle w:val="20"/>
        <w:spacing w:line="600" w:lineRule="exact"/>
        <w:rPr>
          <w:rFonts w:hint="eastAsia" w:hAnsi="宋体" w:cs="宋体"/>
          <w:b/>
          <w:color w:val="000000" w:themeColor="text1"/>
          <w:sz w:val="28"/>
          <w:szCs w:val="28"/>
          <w:highlight w:val="none"/>
          <w14:textFill>
            <w14:solidFill>
              <w14:schemeClr w14:val="tx1"/>
            </w14:solidFill>
          </w14:textFill>
        </w:rPr>
      </w:pPr>
    </w:p>
    <w:p w14:paraId="251CF6F2">
      <w:pPr>
        <w:pStyle w:val="20"/>
        <w:spacing w:line="600" w:lineRule="exac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br w:type="page"/>
      </w:r>
    </w:p>
    <w:p w14:paraId="4502B051">
      <w:pPr>
        <w:pStyle w:val="5"/>
        <w:keepNext/>
        <w:numPr>
          <w:ilvl w:val="0"/>
          <w:numId w:val="0"/>
        </w:numPr>
        <w:tabs>
          <w:tab w:val="left" w:pos="1021"/>
          <w:tab w:val="clear" w:pos="900"/>
          <w:tab w:val="clear" w:pos="1588"/>
        </w:tabs>
        <w:jc w:val="center"/>
        <w:rPr>
          <w:rFonts w:ascii="宋体" w:hAnsi="宋体" w:eastAsia="宋体" w:cs="宋体"/>
          <w:color w:val="000000" w:themeColor="text1"/>
          <w:spacing w:val="-6"/>
          <w:sz w:val="32"/>
          <w:szCs w:val="32"/>
          <w:highlight w:val="none"/>
          <w14:textFill>
            <w14:solidFill>
              <w14:schemeClr w14:val="tx1"/>
            </w14:solidFill>
          </w14:textFill>
        </w:rPr>
      </w:pPr>
      <w:bookmarkStart w:id="229" w:name="_Toc7088"/>
      <w:bookmarkStart w:id="230" w:name="_Toc22781"/>
      <w:bookmarkStart w:id="231" w:name="_Toc34163791"/>
      <w:bookmarkStart w:id="232" w:name="_Toc13381"/>
      <w:bookmarkStart w:id="233" w:name="_Toc19678"/>
      <w:bookmarkStart w:id="234" w:name="_Toc12429"/>
      <w:bookmarkStart w:id="235" w:name="_Toc493600024"/>
      <w:bookmarkStart w:id="236" w:name="_Toc556"/>
      <w:bookmarkStart w:id="237" w:name="_Toc6896"/>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color w:val="000000" w:themeColor="text1"/>
          <w:sz w:val="32"/>
          <w:szCs w:val="32"/>
          <w:highlight w:val="none"/>
          <w14:textFill>
            <w14:solidFill>
              <w14:schemeClr w14:val="tx1"/>
            </w14:solidFill>
          </w14:textFill>
        </w:rPr>
        <w:t>）参加政</w:t>
      </w:r>
      <w:r>
        <w:rPr>
          <w:rFonts w:hint="eastAsia" w:ascii="宋体" w:hAnsi="宋体" w:eastAsia="宋体" w:cs="宋体"/>
          <w:color w:val="000000" w:themeColor="text1"/>
          <w:spacing w:val="-6"/>
          <w:sz w:val="32"/>
          <w:szCs w:val="32"/>
          <w:highlight w:val="none"/>
          <w14:textFill>
            <w14:solidFill>
              <w14:schemeClr w14:val="tx1"/>
            </w14:solidFill>
          </w14:textFill>
        </w:rPr>
        <w:t>府采购活动前3年内在经营活动中没有重大违法记录的书面声明</w:t>
      </w:r>
      <w:bookmarkEnd w:id="229"/>
      <w:bookmarkEnd w:id="230"/>
      <w:bookmarkEnd w:id="231"/>
      <w:bookmarkEnd w:id="232"/>
      <w:bookmarkEnd w:id="233"/>
      <w:bookmarkEnd w:id="234"/>
      <w:bookmarkEnd w:id="235"/>
      <w:bookmarkEnd w:id="236"/>
      <w:bookmarkEnd w:id="237"/>
    </w:p>
    <w:p w14:paraId="137AC182">
      <w:pPr>
        <w:ind w:firstLine="4410" w:firstLineChars="2100"/>
        <w:rPr>
          <w:rFonts w:ascii="宋体" w:hAnsi="宋体" w:cs="宋体"/>
          <w:color w:val="000000" w:themeColor="text1"/>
          <w:highlight w:val="none"/>
          <w14:textFill>
            <w14:solidFill>
              <w14:schemeClr w14:val="tx1"/>
            </w14:solidFill>
          </w14:textFill>
        </w:rPr>
      </w:pPr>
    </w:p>
    <w:p w14:paraId="056102DA">
      <w:pPr>
        <w:ind w:firstLine="4410" w:firstLineChars="2100"/>
        <w:rPr>
          <w:rFonts w:ascii="宋体" w:hAnsi="宋体" w:cs="宋体"/>
          <w:color w:val="000000" w:themeColor="text1"/>
          <w:highlight w:val="none"/>
          <w14:textFill>
            <w14:solidFill>
              <w14:schemeClr w14:val="tx1"/>
            </w14:solidFill>
          </w14:textFill>
        </w:rPr>
      </w:pPr>
    </w:p>
    <w:p w14:paraId="0D9FF796">
      <w:pPr>
        <w:tabs>
          <w:tab w:val="left" w:pos="5580"/>
        </w:tabs>
        <w:spacing w:before="12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14:textFill>
            <w14:solidFill>
              <w14:schemeClr w14:val="tx1"/>
            </w14:solidFill>
          </w14:textFill>
        </w:rPr>
        <w:t xml:space="preserve">   （采购人）  </w:t>
      </w:r>
    </w:p>
    <w:p w14:paraId="5A5BF0A3">
      <w:pPr>
        <w:tabs>
          <w:tab w:val="left" w:pos="5580"/>
        </w:tabs>
        <w:spacing w:before="120" w:line="360" w:lineRule="auto"/>
        <w:ind w:firstLine="480" w:firstLineChars="200"/>
        <w:rPr>
          <w:rFonts w:ascii="宋体" w:hAnsi="宋体" w:cs="宋体"/>
          <w:color w:val="000000" w:themeColor="text1"/>
          <w:sz w:val="24"/>
          <w:highlight w:val="none"/>
          <w14:textFill>
            <w14:solidFill>
              <w14:schemeClr w14:val="tx1"/>
            </w14:solidFill>
          </w14:textFill>
        </w:rPr>
      </w:pPr>
    </w:p>
    <w:p w14:paraId="528E44EB">
      <w:pPr>
        <w:tabs>
          <w:tab w:val="left" w:pos="5580"/>
        </w:tabs>
        <w:spacing w:before="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我公司郑重承诺在参加本项目采购活动前三年内，在经营活动中没有重大违法记录（重大违法记录，是指投标人因违法经营受到刑事处罚或者责令停产停业、吊销许可证或者执照、较大数额罚款等行政处罚）。</w:t>
      </w:r>
    </w:p>
    <w:p w14:paraId="33297B63">
      <w:pPr>
        <w:tabs>
          <w:tab w:val="left" w:pos="5580"/>
        </w:tabs>
        <w:spacing w:before="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特此声明。</w:t>
      </w:r>
    </w:p>
    <w:p w14:paraId="3FA89DCA">
      <w:pPr>
        <w:ind w:firstLine="1200" w:firstLineChars="5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0A8053A3">
      <w:pPr>
        <w:ind w:firstLine="1205" w:firstLineChars="500"/>
        <w:rPr>
          <w:rFonts w:ascii="宋体" w:hAnsi="宋体" w:cs="宋体"/>
          <w:b/>
          <w:bCs/>
          <w:color w:val="000000" w:themeColor="text1"/>
          <w:sz w:val="24"/>
          <w:highlight w:val="none"/>
          <w14:textFill>
            <w14:solidFill>
              <w14:schemeClr w14:val="tx1"/>
            </w14:solidFill>
          </w14:textFill>
        </w:rPr>
      </w:pPr>
    </w:p>
    <w:p w14:paraId="6ACC44FE">
      <w:pPr>
        <w:ind w:firstLine="1205" w:firstLineChars="500"/>
        <w:rPr>
          <w:rFonts w:ascii="宋体" w:hAnsi="宋体" w:cs="宋体"/>
          <w:b/>
          <w:bCs/>
          <w:color w:val="000000" w:themeColor="text1"/>
          <w:sz w:val="24"/>
          <w:highlight w:val="none"/>
          <w14:textFill>
            <w14:solidFill>
              <w14:schemeClr w14:val="tx1"/>
            </w14:solidFill>
          </w14:textFill>
        </w:rPr>
      </w:pPr>
    </w:p>
    <w:p w14:paraId="58F89721">
      <w:pPr>
        <w:ind w:firstLine="1205" w:firstLineChars="500"/>
        <w:rPr>
          <w:rFonts w:ascii="宋体" w:hAnsi="宋体" w:cs="宋体"/>
          <w:b/>
          <w:bCs/>
          <w:color w:val="000000" w:themeColor="text1"/>
          <w:sz w:val="24"/>
          <w:highlight w:val="none"/>
          <w14:textFill>
            <w14:solidFill>
              <w14:schemeClr w14:val="tx1"/>
            </w14:solidFill>
          </w14:textFill>
        </w:rPr>
      </w:pPr>
    </w:p>
    <w:p w14:paraId="567BD2FD">
      <w:pPr>
        <w:ind w:firstLine="1205" w:firstLineChars="500"/>
        <w:rPr>
          <w:rFonts w:ascii="宋体" w:hAnsi="宋体" w:cs="宋体"/>
          <w:b/>
          <w:bCs/>
          <w:color w:val="000000" w:themeColor="text1"/>
          <w:sz w:val="24"/>
          <w:highlight w:val="none"/>
          <w14:textFill>
            <w14:solidFill>
              <w14:schemeClr w14:val="tx1"/>
            </w14:solidFill>
          </w14:textFill>
        </w:rPr>
      </w:pPr>
    </w:p>
    <w:p w14:paraId="6D6D67C2">
      <w:pPr>
        <w:ind w:firstLine="1205" w:firstLineChars="500"/>
        <w:rPr>
          <w:rFonts w:ascii="宋体" w:hAnsi="宋体" w:cs="宋体"/>
          <w:b/>
          <w:bCs/>
          <w:color w:val="000000" w:themeColor="text1"/>
          <w:sz w:val="24"/>
          <w:highlight w:val="none"/>
          <w14:textFill>
            <w14:solidFill>
              <w14:schemeClr w14:val="tx1"/>
            </w14:solidFill>
          </w14:textFill>
        </w:rPr>
      </w:pPr>
    </w:p>
    <w:p w14:paraId="40058C45">
      <w:pPr>
        <w:ind w:firstLine="1205" w:firstLineChars="5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投标人：</w:t>
      </w:r>
      <w:r>
        <w:rPr>
          <w:rFonts w:hint="eastAsia" w:ascii="宋体" w:hAnsi="宋体" w:cs="宋体"/>
          <w:b/>
          <w:bCs/>
          <w:color w:val="000000" w:themeColor="text1"/>
          <w:sz w:val="24"/>
          <w:highlight w:val="none"/>
          <w:u w:val="single"/>
          <w14:textFill>
            <w14:solidFill>
              <w14:schemeClr w14:val="tx1"/>
            </w14:solidFill>
          </w14:textFill>
        </w:rPr>
        <w:tab/>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（电子签章）</w:t>
      </w:r>
    </w:p>
    <w:p w14:paraId="03D5A4EB">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p>
    <w:p w14:paraId="46D11963">
      <w:pPr>
        <w:ind w:firstLine="1205" w:firstLineChars="500"/>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日期：</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年 </w:t>
      </w:r>
      <w:r>
        <w:rPr>
          <w:rFonts w:hint="eastAsia" w:ascii="宋体" w:hAnsi="宋体" w:cs="宋体"/>
          <w:b/>
          <w:bCs/>
          <w:color w:val="000000" w:themeColor="text1"/>
          <w:sz w:val="24"/>
          <w:highlight w:val="none"/>
          <w:u w:val="single"/>
          <w14:textFill>
            <w14:solidFill>
              <w14:schemeClr w14:val="tx1"/>
            </w14:solidFill>
          </w14:textFill>
        </w:rPr>
        <w:tab/>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 </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日</w:t>
      </w:r>
      <w:bookmarkStart w:id="238" w:name="_Toc4022"/>
      <w:bookmarkEnd w:id="238"/>
      <w:bookmarkStart w:id="239" w:name="_Toc30512"/>
    </w:p>
    <w:bookmarkEnd w:id="239"/>
    <w:p w14:paraId="55442B44">
      <w:pPr>
        <w:spacing w:line="360" w:lineRule="auto"/>
        <w:jc w:val="left"/>
        <w:rPr>
          <w:rFonts w:ascii="宋体" w:hAnsi="宋体" w:cs="宋体"/>
          <w:color w:val="000000" w:themeColor="text1"/>
          <w:sz w:val="24"/>
          <w:highlight w:val="none"/>
          <w14:textFill>
            <w14:solidFill>
              <w14:schemeClr w14:val="tx1"/>
            </w14:solidFill>
          </w14:textFill>
        </w:rPr>
      </w:pPr>
    </w:p>
    <w:p w14:paraId="65CBAD7A">
      <w:pPr>
        <w:spacing w:line="360" w:lineRule="auto"/>
        <w:jc w:val="left"/>
        <w:rPr>
          <w:rFonts w:ascii="宋体" w:hAnsi="宋体" w:cs="宋体"/>
          <w:color w:val="000000" w:themeColor="text1"/>
          <w:sz w:val="24"/>
          <w:highlight w:val="none"/>
          <w14:textFill>
            <w14:solidFill>
              <w14:schemeClr w14:val="tx1"/>
            </w14:solidFill>
          </w14:textFill>
        </w:rPr>
      </w:pPr>
    </w:p>
    <w:p w14:paraId="745B5114">
      <w:pPr>
        <w:spacing w:line="360" w:lineRule="auto"/>
        <w:ind w:left="3541" w:leftChars="1686"/>
        <w:jc w:val="left"/>
        <w:rPr>
          <w:rFonts w:ascii="宋体" w:hAnsi="宋体" w:cs="宋体"/>
          <w:color w:val="000000" w:themeColor="text1"/>
          <w:sz w:val="24"/>
          <w:highlight w:val="none"/>
          <w:u w:val="single"/>
          <w14:textFill>
            <w14:solidFill>
              <w14:schemeClr w14:val="tx1"/>
            </w14:solidFill>
          </w14:textFill>
        </w:rPr>
      </w:pPr>
    </w:p>
    <w:p w14:paraId="761DCA02">
      <w:pPr>
        <w:pStyle w:val="20"/>
        <w:spacing w:line="600" w:lineRule="exact"/>
        <w:rPr>
          <w:rFonts w:hAnsi="宋体" w:cs="宋体"/>
          <w:color w:val="000000" w:themeColor="text1"/>
          <w:sz w:val="24"/>
          <w:highlight w:val="none"/>
          <w14:textFill>
            <w14:solidFill>
              <w14:schemeClr w14:val="tx1"/>
            </w14:solidFill>
          </w14:textFill>
        </w:rPr>
      </w:pPr>
    </w:p>
    <w:p w14:paraId="6BE8F68B">
      <w:pPr>
        <w:pStyle w:val="20"/>
        <w:spacing w:line="600" w:lineRule="exact"/>
        <w:rPr>
          <w:rFonts w:hAnsi="宋体" w:cs="宋体"/>
          <w:b/>
          <w:color w:val="000000" w:themeColor="text1"/>
          <w:sz w:val="28"/>
          <w:szCs w:val="28"/>
          <w:highlight w:val="none"/>
          <w14:textFill>
            <w14:solidFill>
              <w14:schemeClr w14:val="tx1"/>
            </w14:solidFill>
          </w14:textFill>
        </w:rPr>
      </w:pPr>
    </w:p>
    <w:p w14:paraId="02FE81F4">
      <w:pP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p>
    <w:p w14:paraId="24350168">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0"/>
          <w:szCs w:val="30"/>
          <w:highlight w:val="none"/>
          <w14:textFill>
            <w14:solidFill>
              <w14:schemeClr w14:val="tx1"/>
            </w14:solidFill>
          </w14:textFill>
        </w:rPr>
      </w:pPr>
      <w:bookmarkStart w:id="240" w:name="_Toc26485"/>
      <w:bookmarkStart w:id="241" w:name="_Toc11209"/>
      <w:bookmarkStart w:id="242" w:name="_Toc3912"/>
      <w:bookmarkStart w:id="243" w:name="_Toc6697"/>
      <w:bookmarkStart w:id="244" w:name="_Toc9771"/>
      <w:bookmarkStart w:id="245" w:name="_Toc25753"/>
      <w:bookmarkStart w:id="246" w:name="_Toc493600029"/>
      <w:bookmarkStart w:id="247" w:name="_Toc20238"/>
      <w:bookmarkStart w:id="248" w:name="_Toc34163794"/>
      <w:bookmarkStart w:id="249" w:name="_Toc34163795"/>
      <w:bookmarkStart w:id="250" w:name="_Toc327190555"/>
      <w:r>
        <w:rPr>
          <w:rFonts w:hint="eastAsia" w:ascii="宋体" w:hAnsi="宋体" w:eastAsia="宋体" w:cs="宋体"/>
          <w:bCs/>
          <w:color w:val="000000" w:themeColor="text1"/>
          <w:szCs w:val="28"/>
          <w:highlight w:val="none"/>
          <w:lang w:val="en-US"/>
          <w14:textFill>
            <w14:solidFill>
              <w14:schemeClr w14:val="tx1"/>
            </w14:solidFill>
          </w14:textFill>
        </w:rPr>
        <w:t>▲</w:t>
      </w:r>
      <w:r>
        <w:rPr>
          <w:rFonts w:hint="eastAsia" w:ascii="宋体" w:hAnsi="宋体" w:eastAsia="宋体" w:cs="宋体"/>
          <w:color w:val="000000" w:themeColor="text1"/>
          <w:sz w:val="30"/>
          <w:szCs w:val="30"/>
          <w:highlight w:val="none"/>
          <w14:textFill>
            <w14:solidFill>
              <w14:schemeClr w14:val="tx1"/>
            </w14:solidFill>
          </w14:textFill>
        </w:rPr>
        <w:t>（</w:t>
      </w:r>
      <w:r>
        <w:rPr>
          <w:rFonts w:hint="eastAsia" w:ascii="宋体" w:hAnsi="宋体" w:eastAsia="宋体" w:cs="宋体"/>
          <w:color w:val="000000" w:themeColor="text1"/>
          <w:sz w:val="30"/>
          <w:szCs w:val="30"/>
          <w:highlight w:val="none"/>
          <w:lang w:val="en-US" w:eastAsia="zh-CN"/>
          <w14:textFill>
            <w14:solidFill>
              <w14:schemeClr w14:val="tx1"/>
            </w14:solidFill>
          </w14:textFill>
        </w:rPr>
        <w:t>七</w:t>
      </w:r>
      <w:r>
        <w:rPr>
          <w:rFonts w:hint="eastAsia" w:ascii="宋体" w:hAnsi="宋体" w:eastAsia="宋体" w:cs="宋体"/>
          <w:color w:val="000000" w:themeColor="text1"/>
          <w:sz w:val="30"/>
          <w:szCs w:val="30"/>
          <w:highlight w:val="none"/>
          <w14:textFill>
            <w14:solidFill>
              <w14:schemeClr w14:val="tx1"/>
            </w14:solidFill>
          </w14:textFill>
        </w:rPr>
        <w:t>）单位负责人为同一人或者存在直接控股、管理关系的不同投标人，不得参加同一招标项目的政府采购活动承诺函</w:t>
      </w:r>
      <w:bookmarkEnd w:id="240"/>
      <w:bookmarkEnd w:id="241"/>
      <w:bookmarkEnd w:id="242"/>
      <w:bookmarkEnd w:id="243"/>
      <w:bookmarkEnd w:id="244"/>
      <w:bookmarkEnd w:id="245"/>
    </w:p>
    <w:p w14:paraId="555D2939">
      <w:pPr>
        <w:spacing w:line="360" w:lineRule="auto"/>
        <w:rPr>
          <w:rFonts w:ascii="宋体" w:hAnsi="宋体" w:cs="宋体"/>
          <w:color w:val="000000" w:themeColor="text1"/>
          <w:sz w:val="24"/>
          <w:highlight w:val="none"/>
          <w:u w:val="single"/>
          <w14:textFill>
            <w14:solidFill>
              <w14:schemeClr w14:val="tx1"/>
            </w14:solidFill>
          </w14:textFill>
        </w:rPr>
      </w:pPr>
    </w:p>
    <w:p w14:paraId="4A409A18">
      <w:pPr>
        <w:spacing w:line="360" w:lineRule="auto"/>
        <w:rPr>
          <w:rFonts w:ascii="宋体" w:hAnsi="宋体" w:cs="宋体"/>
          <w:color w:val="000000" w:themeColor="text1"/>
          <w:sz w:val="24"/>
          <w:highlight w:val="none"/>
          <w:u w:val="single"/>
          <w14:textFill>
            <w14:solidFill>
              <w14:schemeClr w14:val="tx1"/>
            </w14:solidFill>
          </w14:textFill>
        </w:rPr>
      </w:pPr>
    </w:p>
    <w:p w14:paraId="32A6BF13">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（采购人名称）：</w:t>
      </w:r>
    </w:p>
    <w:p w14:paraId="17852DE6">
      <w:pPr>
        <w:pStyle w:val="17"/>
        <w:spacing w:line="360" w:lineRule="auto"/>
        <w:ind w:left="0"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我方已仔细研究了</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（项目名称）招标文件的全部内容，</w:t>
      </w:r>
      <w:r>
        <w:rPr>
          <w:rFonts w:hint="eastAsia" w:ascii="宋体" w:hAnsi="宋体" w:cs="宋体"/>
          <w:color w:val="000000" w:themeColor="text1"/>
          <w:sz w:val="24"/>
          <w:highlight w:val="none"/>
          <w14:textFill>
            <w14:solidFill>
              <w14:schemeClr w14:val="tx1"/>
            </w14:solidFill>
          </w14:textFill>
        </w:rPr>
        <w:t>且对招标文件无任何异议，我单位与本项目其余投标人不存在单位负责人为同一人或者存在直接控股、管理关系的情况</w:t>
      </w:r>
    </w:p>
    <w:p w14:paraId="33370FCE">
      <w:pPr>
        <w:rPr>
          <w:color w:val="000000" w:themeColor="text1"/>
          <w:highlight w:val="none"/>
          <w14:textFill>
            <w14:solidFill>
              <w14:schemeClr w14:val="tx1"/>
            </w14:solidFill>
          </w14:textFill>
        </w:rPr>
      </w:pPr>
    </w:p>
    <w:p w14:paraId="5E45EEA1">
      <w:pPr>
        <w:ind w:firstLine="1205" w:firstLineChars="5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投标人：</w:t>
      </w:r>
      <w:r>
        <w:rPr>
          <w:rFonts w:hint="eastAsia" w:ascii="宋体" w:hAnsi="宋体" w:cs="宋体"/>
          <w:b/>
          <w:bCs/>
          <w:color w:val="000000" w:themeColor="text1"/>
          <w:sz w:val="24"/>
          <w:highlight w:val="none"/>
          <w:u w:val="single"/>
          <w14:textFill>
            <w14:solidFill>
              <w14:schemeClr w14:val="tx1"/>
            </w14:solidFill>
          </w14:textFill>
        </w:rPr>
        <w:tab/>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（电子签章）</w:t>
      </w:r>
    </w:p>
    <w:p w14:paraId="28DC1639">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p>
    <w:p w14:paraId="33ED2324">
      <w:pPr>
        <w:ind w:firstLine="1205" w:firstLineChars="500"/>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日期：</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年 </w:t>
      </w:r>
      <w:r>
        <w:rPr>
          <w:rFonts w:hint="eastAsia" w:ascii="宋体" w:hAnsi="宋体" w:cs="宋体"/>
          <w:b/>
          <w:bCs/>
          <w:color w:val="000000" w:themeColor="text1"/>
          <w:sz w:val="24"/>
          <w:highlight w:val="none"/>
          <w:u w:val="single"/>
          <w14:textFill>
            <w14:solidFill>
              <w14:schemeClr w14:val="tx1"/>
            </w14:solidFill>
          </w14:textFill>
        </w:rPr>
        <w:tab/>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 </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日</w:t>
      </w:r>
    </w:p>
    <w:p w14:paraId="5735EB56">
      <w:pPr>
        <w:keepNext/>
        <w:tabs>
          <w:tab w:val="left" w:pos="1021"/>
        </w:tabs>
        <w:adjustRightInd w:val="0"/>
        <w:ind w:left="425"/>
        <w:jc w:val="center"/>
        <w:textAlignment w:val="baseline"/>
        <w:rPr>
          <w:rFonts w:ascii="宋体" w:hAnsi="宋体" w:cs="宋体"/>
          <w:color w:val="000000" w:themeColor="text1"/>
          <w:sz w:val="30"/>
          <w:szCs w:val="30"/>
          <w:highlight w:val="none"/>
          <w14:textFill>
            <w14:solidFill>
              <w14:schemeClr w14:val="tx1"/>
            </w14:solidFill>
          </w14:textFill>
        </w:rPr>
      </w:pPr>
    </w:p>
    <w:p w14:paraId="6C0C21D0">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r>
    </w:p>
    <w:p w14:paraId="4F36C248">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0"/>
          <w:szCs w:val="30"/>
          <w:highlight w:val="none"/>
          <w14:textFill>
            <w14:solidFill>
              <w14:schemeClr w14:val="tx1"/>
            </w14:solidFill>
          </w14:textFill>
        </w:rPr>
      </w:pPr>
      <w:bookmarkStart w:id="251" w:name="_Toc11730"/>
      <w:bookmarkStart w:id="252" w:name="_Toc16528"/>
      <w:bookmarkStart w:id="253" w:name="_Toc31316"/>
      <w:bookmarkStart w:id="254" w:name="_Toc15114"/>
      <w:bookmarkStart w:id="255" w:name="_Toc15149"/>
      <w:bookmarkStart w:id="256" w:name="_Toc13051"/>
      <w:r>
        <w:rPr>
          <w:rFonts w:hint="eastAsia" w:ascii="宋体" w:hAnsi="宋体" w:eastAsia="宋体" w:cs="宋体"/>
          <w:bCs/>
          <w:color w:val="000000" w:themeColor="text1"/>
          <w:szCs w:val="28"/>
          <w:highlight w:val="none"/>
          <w:lang w:val="en-US"/>
          <w14:textFill>
            <w14:solidFill>
              <w14:schemeClr w14:val="tx1"/>
            </w14:solidFill>
          </w14:textFill>
        </w:rPr>
        <w:t>▲</w:t>
      </w:r>
      <w:r>
        <w:rPr>
          <w:rFonts w:hint="eastAsia" w:ascii="宋体" w:hAnsi="宋体" w:eastAsia="宋体" w:cs="宋体"/>
          <w:color w:val="000000" w:themeColor="text1"/>
          <w:sz w:val="30"/>
          <w:szCs w:val="30"/>
          <w:highlight w:val="none"/>
          <w14:textFill>
            <w14:solidFill>
              <w14:schemeClr w14:val="tx1"/>
            </w14:solidFill>
          </w14:textFill>
        </w:rPr>
        <w:t>（</w:t>
      </w:r>
      <w:r>
        <w:rPr>
          <w:rFonts w:hint="eastAsia" w:ascii="宋体" w:hAnsi="宋体" w:eastAsia="宋体" w:cs="宋体"/>
          <w:color w:val="000000" w:themeColor="text1"/>
          <w:sz w:val="30"/>
          <w:szCs w:val="30"/>
          <w:highlight w:val="none"/>
          <w:lang w:val="en-US" w:eastAsia="zh-CN"/>
          <w14:textFill>
            <w14:solidFill>
              <w14:schemeClr w14:val="tx1"/>
            </w14:solidFill>
          </w14:textFill>
        </w:rPr>
        <w:t>八</w:t>
      </w:r>
      <w:r>
        <w:rPr>
          <w:rFonts w:hint="eastAsia" w:ascii="宋体" w:hAnsi="宋体" w:eastAsia="宋体" w:cs="宋体"/>
          <w:color w:val="000000" w:themeColor="text1"/>
          <w:sz w:val="30"/>
          <w:szCs w:val="30"/>
          <w:highlight w:val="none"/>
          <w14:textFill>
            <w14:solidFill>
              <w14:schemeClr w14:val="tx1"/>
            </w14:solidFill>
          </w14:textFill>
        </w:rPr>
        <w:t>）为采购项目提供整体设计、规范编制或者项目管理、监理、检测等服务的投标人，不得再参加该采购项目的其他采购活动承诺函</w:t>
      </w:r>
      <w:bookmarkEnd w:id="251"/>
    </w:p>
    <w:p w14:paraId="3ED89478">
      <w:pPr>
        <w:spacing w:line="360" w:lineRule="auto"/>
        <w:rPr>
          <w:rFonts w:ascii="宋体" w:hAnsi="宋体" w:cs="宋体"/>
          <w:color w:val="000000" w:themeColor="text1"/>
          <w:sz w:val="24"/>
          <w:highlight w:val="none"/>
          <w:u w:val="single"/>
          <w14:textFill>
            <w14:solidFill>
              <w14:schemeClr w14:val="tx1"/>
            </w14:solidFill>
          </w14:textFill>
        </w:rPr>
      </w:pPr>
    </w:p>
    <w:p w14:paraId="09980D68">
      <w:pPr>
        <w:spacing w:line="360" w:lineRule="auto"/>
        <w:rPr>
          <w:rFonts w:ascii="宋体" w:hAnsi="宋体" w:cs="宋体"/>
          <w:color w:val="000000" w:themeColor="text1"/>
          <w:sz w:val="24"/>
          <w:highlight w:val="none"/>
          <w:u w:val="single"/>
          <w14:textFill>
            <w14:solidFill>
              <w14:schemeClr w14:val="tx1"/>
            </w14:solidFill>
          </w14:textFill>
        </w:rPr>
      </w:pPr>
    </w:p>
    <w:p w14:paraId="76EE2C50">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（采购人名称）：</w:t>
      </w:r>
    </w:p>
    <w:p w14:paraId="39E0C6D6">
      <w:pPr>
        <w:pStyle w:val="17"/>
        <w:spacing w:line="360" w:lineRule="auto"/>
        <w:ind w:left="0" w:firstLine="480" w:firstLineChars="20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我方已仔细研究了</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（项目名称）招标文件的全部内容，</w:t>
      </w:r>
      <w:r>
        <w:rPr>
          <w:rFonts w:hint="eastAsia" w:ascii="宋体" w:hAnsi="宋体" w:cs="宋体"/>
          <w:color w:val="000000" w:themeColor="text1"/>
          <w:sz w:val="24"/>
          <w:highlight w:val="none"/>
          <w14:textFill>
            <w14:solidFill>
              <w14:schemeClr w14:val="tx1"/>
            </w14:solidFill>
          </w14:textFill>
        </w:rPr>
        <w:t>且对招标文件无任何异议，我单位</w:t>
      </w:r>
      <w:r>
        <w:rPr>
          <w:rFonts w:hint="eastAsia" w:ascii="宋体" w:hAnsi="宋体" w:cs="宋体"/>
          <w:color w:val="000000" w:themeColor="text1"/>
          <w:sz w:val="24"/>
          <w:highlight w:val="none"/>
          <w:lang w:val="en-US" w:eastAsia="zh-CN"/>
          <w14:textFill>
            <w14:solidFill>
              <w14:schemeClr w14:val="tx1"/>
            </w14:solidFill>
          </w14:textFill>
        </w:rPr>
        <w:t>未</w:t>
      </w:r>
      <w:r>
        <w:rPr>
          <w:rFonts w:hint="eastAsia" w:ascii="宋体" w:hAnsi="宋体" w:cs="宋体"/>
          <w:color w:val="000000" w:themeColor="text1"/>
          <w:sz w:val="24"/>
          <w:highlight w:val="none"/>
          <w14:textFill>
            <w14:solidFill>
              <w14:schemeClr w14:val="tx1"/>
            </w14:solidFill>
          </w14:textFill>
        </w:rPr>
        <w:t>提供</w:t>
      </w:r>
      <w:r>
        <w:rPr>
          <w:rFonts w:hint="eastAsia" w:ascii="宋体" w:hAnsi="宋体" w:cs="宋体"/>
          <w:color w:val="000000" w:themeColor="text1"/>
          <w:sz w:val="24"/>
          <w:highlight w:val="none"/>
          <w:lang w:val="en-US" w:eastAsia="zh-CN"/>
          <w14:textFill>
            <w14:solidFill>
              <w14:schemeClr w14:val="tx1"/>
            </w14:solidFill>
          </w14:textFill>
        </w:rPr>
        <w:t>本项目的</w:t>
      </w:r>
      <w:r>
        <w:rPr>
          <w:rFonts w:hint="eastAsia" w:ascii="宋体" w:hAnsi="宋体" w:cs="宋体"/>
          <w:color w:val="000000" w:themeColor="text1"/>
          <w:sz w:val="24"/>
          <w:highlight w:val="none"/>
          <w14:textFill>
            <w14:solidFill>
              <w14:schemeClr w14:val="tx1"/>
            </w14:solidFill>
          </w14:textFill>
        </w:rPr>
        <w:t>整体设计、规范编制或者项目管理、监理、检测等服务</w:t>
      </w:r>
      <w:r>
        <w:rPr>
          <w:rFonts w:hint="eastAsia" w:ascii="宋体" w:hAnsi="宋体" w:cs="宋体"/>
          <w:color w:val="000000" w:themeColor="text1"/>
          <w:sz w:val="24"/>
          <w:highlight w:val="none"/>
          <w:lang w:eastAsia="zh-CN"/>
          <w14:textFill>
            <w14:solidFill>
              <w14:schemeClr w14:val="tx1"/>
            </w14:solidFill>
          </w14:textFill>
        </w:rPr>
        <w:t>。</w:t>
      </w:r>
    </w:p>
    <w:p w14:paraId="791B039D">
      <w:pPr>
        <w:rPr>
          <w:color w:val="000000" w:themeColor="text1"/>
          <w:highlight w:val="none"/>
          <w14:textFill>
            <w14:solidFill>
              <w14:schemeClr w14:val="tx1"/>
            </w14:solidFill>
          </w14:textFill>
        </w:rPr>
      </w:pPr>
    </w:p>
    <w:p w14:paraId="225CFEBD">
      <w:pPr>
        <w:ind w:firstLine="1205" w:firstLineChars="5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投标人：</w:t>
      </w:r>
      <w:r>
        <w:rPr>
          <w:rFonts w:hint="eastAsia" w:ascii="宋体" w:hAnsi="宋体" w:cs="宋体"/>
          <w:b/>
          <w:bCs/>
          <w:color w:val="000000" w:themeColor="text1"/>
          <w:sz w:val="24"/>
          <w:highlight w:val="none"/>
          <w:u w:val="single"/>
          <w14:textFill>
            <w14:solidFill>
              <w14:schemeClr w14:val="tx1"/>
            </w14:solidFill>
          </w14:textFill>
        </w:rPr>
        <w:tab/>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（电子签章）</w:t>
      </w:r>
    </w:p>
    <w:p w14:paraId="75CE167B">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p>
    <w:p w14:paraId="48719B88">
      <w:pPr>
        <w:ind w:firstLine="1205" w:firstLineChars="500"/>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日期：</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年 </w:t>
      </w:r>
      <w:r>
        <w:rPr>
          <w:rFonts w:hint="eastAsia" w:ascii="宋体" w:hAnsi="宋体" w:cs="宋体"/>
          <w:b/>
          <w:bCs/>
          <w:color w:val="000000" w:themeColor="text1"/>
          <w:sz w:val="24"/>
          <w:highlight w:val="none"/>
          <w:u w:val="single"/>
          <w14:textFill>
            <w14:solidFill>
              <w14:schemeClr w14:val="tx1"/>
            </w14:solidFill>
          </w14:textFill>
        </w:rPr>
        <w:tab/>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 </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日</w:t>
      </w:r>
    </w:p>
    <w:p w14:paraId="1A3649B4">
      <w:pPr>
        <w:rPr>
          <w:rFonts w:hint="eastAsia" w:ascii="宋体" w:hAnsi="宋体" w:eastAsia="宋体" w:cs="宋体"/>
          <w:color w:val="000000" w:themeColor="text1"/>
          <w:sz w:val="30"/>
          <w:szCs w:val="30"/>
          <w:highlight w:val="none"/>
          <w14:textFill>
            <w14:solidFill>
              <w14:schemeClr w14:val="tx1"/>
            </w14:solidFill>
          </w14:textFill>
        </w:rPr>
      </w:pPr>
    </w:p>
    <w:p w14:paraId="2FC1712E">
      <w:pPr>
        <w:rPr>
          <w:rFonts w:hint="eastAsia" w:ascii="宋体" w:hAnsi="宋体" w:eastAsia="宋体" w:cs="宋体"/>
          <w:color w:val="000000" w:themeColor="text1"/>
          <w:sz w:val="30"/>
          <w:szCs w:val="30"/>
          <w:highlight w:val="none"/>
          <w14:textFill>
            <w14:solidFill>
              <w14:schemeClr w14:val="tx1"/>
            </w14:solidFill>
          </w14:textFill>
        </w:rPr>
      </w:pPr>
    </w:p>
    <w:p w14:paraId="4FAB4D17">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r>
    </w:p>
    <w:p w14:paraId="2561290C">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0"/>
          <w:szCs w:val="30"/>
          <w:highlight w:val="none"/>
          <w14:textFill>
            <w14:solidFill>
              <w14:schemeClr w14:val="tx1"/>
            </w14:solidFill>
          </w14:textFill>
        </w:rPr>
      </w:pPr>
      <w:bookmarkStart w:id="257" w:name="_Toc564"/>
      <w:r>
        <w:rPr>
          <w:rFonts w:hint="eastAsia" w:ascii="宋体" w:hAnsi="宋体" w:eastAsia="宋体" w:cs="宋体"/>
          <w:color w:val="000000" w:themeColor="text1"/>
          <w:sz w:val="30"/>
          <w:szCs w:val="30"/>
          <w:highlight w:val="none"/>
          <w14:textFill>
            <w14:solidFill>
              <w14:schemeClr w14:val="tx1"/>
            </w14:solidFill>
          </w14:textFill>
        </w:rPr>
        <w:t>（</w:t>
      </w:r>
      <w:r>
        <w:rPr>
          <w:rFonts w:hint="eastAsia" w:ascii="宋体" w:hAnsi="宋体" w:eastAsia="宋体" w:cs="宋体"/>
          <w:color w:val="000000" w:themeColor="text1"/>
          <w:sz w:val="30"/>
          <w:szCs w:val="30"/>
          <w:highlight w:val="none"/>
          <w:lang w:val="en-US" w:eastAsia="zh-CN"/>
          <w14:textFill>
            <w14:solidFill>
              <w14:schemeClr w14:val="tx1"/>
            </w14:solidFill>
          </w14:textFill>
        </w:rPr>
        <w:t>九</w:t>
      </w:r>
      <w:r>
        <w:rPr>
          <w:rFonts w:hint="eastAsia" w:ascii="宋体" w:hAnsi="宋体" w:eastAsia="宋体" w:cs="宋体"/>
          <w:color w:val="000000" w:themeColor="text1"/>
          <w:sz w:val="30"/>
          <w:szCs w:val="30"/>
          <w:highlight w:val="none"/>
          <w14:textFill>
            <w14:solidFill>
              <w14:schemeClr w14:val="tx1"/>
            </w14:solidFill>
          </w14:textFill>
        </w:rPr>
        <w:t>）本项目的特定资格要求</w:t>
      </w:r>
      <w:bookmarkEnd w:id="252"/>
      <w:bookmarkEnd w:id="257"/>
    </w:p>
    <w:p w14:paraId="182A05F1">
      <w:pPr>
        <w:pStyle w:val="16"/>
        <w:jc w:val="center"/>
        <w:rPr>
          <w:rFonts w:ascii="宋体" w:hAnsi="宋体" w:cs="宋体"/>
          <w:b/>
          <w:bCs/>
          <w:color w:val="000000" w:themeColor="text1"/>
          <w:highlight w:val="none"/>
          <w:lang w:val="en-US"/>
          <w14:textFill>
            <w14:solidFill>
              <w14:schemeClr w14:val="tx1"/>
            </w14:solidFill>
          </w14:textFill>
        </w:rPr>
      </w:pPr>
    </w:p>
    <w:p w14:paraId="576DE7F3">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投标人</w:t>
      </w:r>
      <w:r>
        <w:rPr>
          <w:rFonts w:ascii="宋体" w:hAnsi="宋体" w:cs="宋体"/>
          <w:color w:val="000000" w:themeColor="text1"/>
          <w:sz w:val="21"/>
          <w:szCs w:val="21"/>
          <w:highlight w:val="none"/>
          <w:lang w:val="en-US"/>
          <w14:textFill>
            <w14:solidFill>
              <w14:schemeClr w14:val="tx1"/>
            </w14:solidFill>
          </w14:textFill>
        </w:rPr>
        <w:t>如果是</w:t>
      </w:r>
      <w:r>
        <w:rPr>
          <w:rFonts w:hint="eastAsia" w:ascii="宋体" w:hAnsi="宋体" w:cs="宋体"/>
          <w:color w:val="000000" w:themeColor="text1"/>
          <w:sz w:val="21"/>
          <w:szCs w:val="21"/>
          <w:highlight w:val="none"/>
          <w:lang w:val="en-US"/>
          <w14:textFill>
            <w14:solidFill>
              <w14:schemeClr w14:val="tx1"/>
            </w14:solidFill>
          </w14:textFill>
        </w:rPr>
        <w:t>代理商或经销商且所投产品为医疗器械的，须提供医疗器械经营许可证/备案凭证、所投产品制造商的医疗器械生产许可证（制造商工商注册地在中华人民共和国境外的，不做此要求）、所投产品的医疗器械注册证及附件；投标人如果是制造商且所投产品为医疗器械的，须提供医疗器械生产许可证（制造商工商注册地在中华人民共和国境外的，不做此要求）、所投产品的医疗器械注册证及附件。医疗器械生产或经营许可证的生产或经营范围须覆盖所投第二、三类医疗器械（根据中华人民共和国国务院令第</w:t>
      </w:r>
      <w:r>
        <w:rPr>
          <w:rFonts w:ascii="宋体" w:hAnsi="宋体" w:cs="宋体"/>
          <w:color w:val="000000" w:themeColor="text1"/>
          <w:sz w:val="21"/>
          <w:szCs w:val="21"/>
          <w:highlight w:val="none"/>
          <w:lang w:val="en-US"/>
          <w14:textFill>
            <w14:solidFill>
              <w14:schemeClr w14:val="tx1"/>
            </w14:solidFill>
          </w14:textFill>
        </w:rPr>
        <w:t>739</w:t>
      </w:r>
      <w:r>
        <w:rPr>
          <w:rFonts w:hint="eastAsia" w:ascii="宋体" w:hAnsi="宋体" w:cs="宋体"/>
          <w:color w:val="000000" w:themeColor="text1"/>
          <w:sz w:val="21"/>
          <w:szCs w:val="21"/>
          <w:highlight w:val="none"/>
          <w:lang w:val="en-US"/>
          <w14:textFill>
            <w14:solidFill>
              <w14:schemeClr w14:val="tx1"/>
            </w14:solidFill>
          </w14:textFill>
        </w:rPr>
        <w:t>号《医疗器械监督管理条例》和国家药品监督管理局《医疗器械分类目录》的规定，在《医疗器械分类目录》内的产品必须按照《医疗器械监督管理条例》的要求提供，其他不在《医疗器械分类目录》内的不作强行要求）。</w:t>
      </w:r>
    </w:p>
    <w:p w14:paraId="077BB8B4">
      <w:pPr>
        <w:rPr>
          <w:rFonts w:hint="eastAsia" w:ascii="宋体" w:hAnsi="宋体" w:eastAsia="宋体" w:cs="宋体"/>
          <w:color w:val="000000" w:themeColor="text1"/>
          <w:sz w:val="30"/>
          <w:szCs w:val="30"/>
          <w:highlight w:val="none"/>
          <w14:textFill>
            <w14:solidFill>
              <w14:schemeClr w14:val="tx1"/>
            </w14:solidFill>
          </w14:textFill>
        </w:rPr>
      </w:pPr>
    </w:p>
    <w:p w14:paraId="66C39DE6">
      <w:pPr>
        <w:rPr>
          <w:rFonts w:hint="eastAsia" w:ascii="宋体" w:hAnsi="宋体" w:eastAsia="宋体" w:cs="宋体"/>
          <w:color w:val="000000" w:themeColor="text1"/>
          <w:sz w:val="30"/>
          <w:szCs w:val="30"/>
          <w:highlight w:val="none"/>
          <w14:textFill>
            <w14:solidFill>
              <w14:schemeClr w14:val="tx1"/>
            </w14:solidFill>
          </w14:textFill>
        </w:rPr>
      </w:pPr>
    </w:p>
    <w:p w14:paraId="3FC7C852">
      <w:pPr>
        <w:rPr>
          <w:rFonts w:hint="eastAsia" w:ascii="宋体" w:hAnsi="宋体" w:eastAsia="宋体" w:cs="宋体"/>
          <w:color w:val="000000" w:themeColor="text1"/>
          <w:sz w:val="30"/>
          <w:szCs w:val="30"/>
          <w:highlight w:val="none"/>
          <w14:textFill>
            <w14:solidFill>
              <w14:schemeClr w14:val="tx1"/>
            </w14:solidFill>
          </w14:textFill>
        </w:rPr>
      </w:pPr>
    </w:p>
    <w:p w14:paraId="6AA8932F">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r>
    </w:p>
    <w:p w14:paraId="55DB52C3">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0"/>
          <w:szCs w:val="30"/>
          <w:highlight w:val="none"/>
          <w14:textFill>
            <w14:solidFill>
              <w14:schemeClr w14:val="tx1"/>
            </w14:solidFill>
          </w14:textFill>
        </w:rPr>
      </w:pPr>
      <w:bookmarkStart w:id="258" w:name="_Toc23695"/>
      <w:bookmarkStart w:id="259" w:name="_Toc24855"/>
      <w:r>
        <w:rPr>
          <w:rFonts w:hint="eastAsia" w:ascii="宋体" w:hAnsi="宋体" w:eastAsia="宋体" w:cs="宋体"/>
          <w:color w:val="000000" w:themeColor="text1"/>
          <w:sz w:val="30"/>
          <w:szCs w:val="30"/>
          <w:highlight w:val="none"/>
          <w14:textFill>
            <w14:solidFill>
              <w14:schemeClr w14:val="tx1"/>
            </w14:solidFill>
          </w14:textFill>
        </w:rPr>
        <w:t>（</w:t>
      </w:r>
      <w:r>
        <w:rPr>
          <w:rFonts w:hint="eastAsia" w:ascii="宋体" w:hAnsi="宋体" w:eastAsia="宋体" w:cs="宋体"/>
          <w:color w:val="000000" w:themeColor="text1"/>
          <w:sz w:val="30"/>
          <w:szCs w:val="30"/>
          <w:highlight w:val="none"/>
          <w:lang w:val="en-US" w:eastAsia="zh-CN"/>
          <w14:textFill>
            <w14:solidFill>
              <w14:schemeClr w14:val="tx1"/>
            </w14:solidFill>
          </w14:textFill>
        </w:rPr>
        <w:t>十</w:t>
      </w:r>
      <w:r>
        <w:rPr>
          <w:rFonts w:hint="eastAsia" w:ascii="宋体" w:hAnsi="宋体" w:eastAsia="宋体" w:cs="宋体"/>
          <w:color w:val="000000" w:themeColor="text1"/>
          <w:sz w:val="30"/>
          <w:szCs w:val="30"/>
          <w:highlight w:val="none"/>
          <w14:textFill>
            <w14:solidFill>
              <w14:schemeClr w14:val="tx1"/>
            </w14:solidFill>
          </w14:textFill>
        </w:rPr>
        <w:t>）招标文件中要求提供的其他资格证明文件</w:t>
      </w:r>
      <w:bookmarkEnd w:id="246"/>
      <w:bookmarkEnd w:id="247"/>
      <w:bookmarkEnd w:id="248"/>
      <w:bookmarkEnd w:id="253"/>
      <w:bookmarkEnd w:id="254"/>
      <w:bookmarkEnd w:id="255"/>
      <w:bookmarkEnd w:id="256"/>
      <w:bookmarkEnd w:id="258"/>
      <w:bookmarkEnd w:id="259"/>
    </w:p>
    <w:p w14:paraId="5A9AE54A">
      <w:pPr>
        <w:pStyle w:val="16"/>
        <w:jc w:val="center"/>
        <w:rPr>
          <w:rFonts w:ascii="宋体" w:hAnsi="宋体" w:cs="宋体"/>
          <w:b/>
          <w:bCs/>
          <w:color w:val="000000" w:themeColor="text1"/>
          <w:highlight w:val="none"/>
          <w:lang w:val="en-US"/>
          <w14:textFill>
            <w14:solidFill>
              <w14:schemeClr w14:val="tx1"/>
            </w14:solidFill>
          </w14:textFill>
        </w:rPr>
      </w:pPr>
    </w:p>
    <w:p w14:paraId="1AA281A6">
      <w:pPr>
        <w:pStyle w:val="16"/>
        <w:ind w:firstLine="480" w:firstLineChars="200"/>
        <w:rPr>
          <w:rFonts w:ascii="宋体" w:hAnsi="宋体" w:cs="宋体"/>
          <w:color w:val="000000" w:themeColor="text1"/>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投标人认为需要提交的其他资格证明材料。</w:t>
      </w:r>
    </w:p>
    <w:p w14:paraId="320D4656">
      <w:pPr>
        <w:spacing w:line="360" w:lineRule="auto"/>
        <w:jc w:val="left"/>
        <w:rPr>
          <w:rFonts w:ascii="宋体" w:hAnsi="宋体" w:cs="宋体"/>
          <w:color w:val="000000" w:themeColor="text1"/>
          <w:sz w:val="24"/>
          <w:highlight w:val="none"/>
          <w14:textFill>
            <w14:solidFill>
              <w14:schemeClr w14:val="tx1"/>
            </w14:solidFill>
          </w14:textFill>
        </w:rPr>
      </w:pPr>
    </w:p>
    <w:p w14:paraId="7C7DEE00">
      <w:pPr>
        <w:pStyle w:val="16"/>
        <w:rPr>
          <w:rFonts w:ascii="宋体" w:hAnsi="宋体" w:cs="宋体"/>
          <w:color w:val="000000" w:themeColor="text1"/>
          <w:highlight w:val="none"/>
          <w:lang w:val="en-US"/>
          <w14:textFill>
            <w14:solidFill>
              <w14:schemeClr w14:val="tx1"/>
            </w14:solidFill>
          </w14:textFill>
        </w:rPr>
      </w:pPr>
    </w:p>
    <w:p w14:paraId="031A5AB6">
      <w:pPr>
        <w:pStyle w:val="16"/>
        <w:rPr>
          <w:rFonts w:ascii="宋体" w:hAnsi="宋体" w:cs="宋体"/>
          <w:color w:val="000000" w:themeColor="text1"/>
          <w:highlight w:val="none"/>
          <w:lang w:val="en-US"/>
          <w14:textFill>
            <w14:solidFill>
              <w14:schemeClr w14:val="tx1"/>
            </w14:solidFill>
          </w14:textFill>
        </w:rPr>
      </w:pPr>
    </w:p>
    <w:p w14:paraId="3BC65227">
      <w:pPr>
        <w:pStyle w:val="16"/>
        <w:rPr>
          <w:rFonts w:ascii="宋体" w:hAnsi="宋体" w:cs="宋体"/>
          <w:color w:val="000000" w:themeColor="text1"/>
          <w:highlight w:val="none"/>
          <w:lang w:val="en-US"/>
          <w14:textFill>
            <w14:solidFill>
              <w14:schemeClr w14:val="tx1"/>
            </w14:solidFill>
          </w14:textFill>
        </w:rPr>
      </w:pPr>
    </w:p>
    <w:p w14:paraId="1EDEA7A0">
      <w:pPr>
        <w:pStyle w:val="16"/>
        <w:rPr>
          <w:rFonts w:ascii="宋体" w:hAnsi="宋体" w:cs="宋体"/>
          <w:color w:val="000000" w:themeColor="text1"/>
          <w:highlight w:val="none"/>
          <w:lang w:val="en-US"/>
          <w14:textFill>
            <w14:solidFill>
              <w14:schemeClr w14:val="tx1"/>
            </w14:solidFill>
          </w14:textFill>
        </w:rPr>
      </w:pPr>
    </w:p>
    <w:p w14:paraId="30783C68">
      <w:pPr>
        <w:pStyle w:val="16"/>
        <w:rPr>
          <w:rFonts w:ascii="宋体" w:hAnsi="宋体" w:cs="宋体"/>
          <w:color w:val="000000" w:themeColor="text1"/>
          <w:highlight w:val="none"/>
          <w:lang w:val="en-US"/>
          <w14:textFill>
            <w14:solidFill>
              <w14:schemeClr w14:val="tx1"/>
            </w14:solidFill>
          </w14:textFill>
        </w:rPr>
      </w:pPr>
    </w:p>
    <w:p w14:paraId="20AF24CD">
      <w:pPr>
        <w:rPr>
          <w:rFonts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r>
      <w:bookmarkEnd w:id="249"/>
      <w:bookmarkStart w:id="260" w:name="_Toc11664"/>
    </w:p>
    <w:p w14:paraId="76B0CC8B">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outlineLvl w:val="1"/>
        <w:rPr>
          <w:rFonts w:hint="eastAsia" w:eastAsia="宋体"/>
          <w:color w:val="000000" w:themeColor="text1"/>
          <w:highlight w:val="none"/>
          <w:lang w:eastAsia="zh-CN"/>
          <w14:textFill>
            <w14:solidFill>
              <w14:schemeClr w14:val="tx1"/>
            </w14:solidFill>
          </w14:textFill>
        </w:rPr>
      </w:pPr>
      <w:bookmarkStart w:id="261" w:name="_Toc11207"/>
      <w:bookmarkStart w:id="262" w:name="_Toc27855"/>
      <w:bookmarkStart w:id="263" w:name="_Toc9608"/>
      <w:bookmarkStart w:id="264" w:name="_Toc30728"/>
      <w:bookmarkStart w:id="265" w:name="_Toc21005"/>
      <w:bookmarkStart w:id="266" w:name="_Toc1081"/>
      <w:bookmarkStart w:id="267" w:name="_Toc3963"/>
      <w:bookmarkStart w:id="268" w:name="_Toc14768"/>
      <w:bookmarkStart w:id="269" w:name="_Toc27552"/>
      <w:bookmarkStart w:id="270" w:name="_Toc17198"/>
      <w:bookmarkStart w:id="271" w:name="_Toc11766"/>
      <w:r>
        <w:rPr>
          <w:rFonts w:hint="eastAsia" w:ascii="宋体" w:hAnsi="宋体" w:cs="宋体"/>
          <w:b/>
          <w:bCs/>
          <w:color w:val="000000" w:themeColor="text1"/>
          <w:sz w:val="32"/>
          <w:szCs w:val="32"/>
          <w:highlight w:val="none"/>
          <w:lang w:val="en-US" w:eastAsia="zh-CN"/>
          <w14:textFill>
            <w14:solidFill>
              <w14:schemeClr w14:val="tx1"/>
            </w14:solidFill>
          </w14:textFill>
        </w:rPr>
        <w:t>报价文件</w:t>
      </w:r>
      <w:bookmarkEnd w:id="261"/>
      <w:bookmarkEnd w:id="262"/>
      <w:bookmarkEnd w:id="263"/>
    </w:p>
    <w:p w14:paraId="60C5C8AB">
      <w:pPr>
        <w:pStyle w:val="5"/>
        <w:keepNext/>
        <w:numPr>
          <w:ilvl w:val="0"/>
          <w:numId w:val="0"/>
        </w:numPr>
        <w:tabs>
          <w:tab w:val="left" w:pos="1021"/>
          <w:tab w:val="clear" w:pos="900"/>
          <w:tab w:val="clear" w:pos="1588"/>
        </w:tabs>
        <w:jc w:val="center"/>
        <w:rPr>
          <w:rFonts w:ascii="宋体" w:hAnsi="宋体" w:eastAsia="宋体" w:cs="宋体"/>
          <w:color w:val="000000" w:themeColor="text1"/>
          <w:sz w:val="32"/>
          <w:szCs w:val="32"/>
          <w:highlight w:val="none"/>
          <w14:textFill>
            <w14:solidFill>
              <w14:schemeClr w14:val="tx1"/>
            </w14:solidFill>
          </w14:textFill>
        </w:rPr>
      </w:pPr>
      <w:bookmarkStart w:id="272" w:name="_Toc25441"/>
      <w:bookmarkStart w:id="273" w:name="_Toc16583"/>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eastAsia="宋体" w:cs="宋体"/>
          <w:color w:val="000000" w:themeColor="text1"/>
          <w:szCs w:val="28"/>
          <w:highlight w:val="none"/>
          <w:lang w:val="en-US"/>
          <w14:textFill>
            <w14:solidFill>
              <w14:schemeClr w14:val="tx1"/>
            </w14:solidFill>
          </w14:textFill>
        </w:rPr>
        <w:t>一</w:t>
      </w:r>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eastAsia="宋体" w:cs="宋体"/>
          <w:color w:val="000000" w:themeColor="text1"/>
          <w:sz w:val="32"/>
          <w:szCs w:val="32"/>
          <w:highlight w:val="none"/>
          <w14:textFill>
            <w14:solidFill>
              <w14:schemeClr w14:val="tx1"/>
            </w14:solidFill>
          </w14:textFill>
        </w:rPr>
        <w:t>开标一览表</w:t>
      </w:r>
      <w:bookmarkEnd w:id="272"/>
      <w:bookmarkEnd w:id="273"/>
    </w:p>
    <w:p w14:paraId="3407D80B">
      <w:pPr>
        <w:rPr>
          <w:rFonts w:ascii="宋体" w:hAnsi="宋体" w:cs="宋体"/>
          <w:color w:val="000000" w:themeColor="text1"/>
          <w:highlight w:val="none"/>
          <w14:textFill>
            <w14:solidFill>
              <w14:schemeClr w14:val="tx1"/>
            </w14:solidFill>
          </w14:textFill>
        </w:rPr>
      </w:pPr>
    </w:p>
    <w:p w14:paraId="75B5C93A">
      <w:pPr>
        <w:pStyle w:val="20"/>
        <w:rPr>
          <w:rFonts w:hAnsi="宋体" w:cs="宋体"/>
          <w:b/>
          <w:color w:val="000000" w:themeColor="text1"/>
          <w:sz w:val="24"/>
          <w:szCs w:val="24"/>
          <w:highlight w:val="none"/>
          <w14:textFill>
            <w14:solidFill>
              <w14:schemeClr w14:val="tx1"/>
            </w14:solidFill>
          </w14:textFill>
        </w:rPr>
      </w:pPr>
    </w:p>
    <w:p w14:paraId="2DD56E8A">
      <w:pPr>
        <w:pStyle w:val="20"/>
        <w:rPr>
          <w:rFonts w:hAnsi="宋体" w:cs="宋体"/>
          <w:color w:val="000000" w:themeColor="text1"/>
          <w:sz w:val="24"/>
          <w:szCs w:val="24"/>
          <w:highlight w:val="none"/>
          <w:u w:val="singl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项目名称：</w:t>
      </w:r>
      <w:r>
        <w:rPr>
          <w:rFonts w:hint="eastAsia" w:hAnsi="宋体" w:cs="宋体"/>
          <w:b/>
          <w:color w:val="000000" w:themeColor="text1"/>
          <w:sz w:val="24"/>
          <w:szCs w:val="24"/>
          <w:highlight w:val="none"/>
          <w:u w:val="singl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项目编号：</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768"/>
      </w:tblGrid>
      <w:tr w14:paraId="1F91F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66BD83D6">
            <w:pPr>
              <w:pStyle w:val="20"/>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投标报价（元）</w:t>
            </w:r>
          </w:p>
        </w:tc>
        <w:tc>
          <w:tcPr>
            <w:tcW w:w="6768" w:type="dxa"/>
            <w:tcBorders>
              <w:top w:val="single" w:color="auto" w:sz="4" w:space="0"/>
              <w:left w:val="single" w:color="auto" w:sz="4" w:space="0"/>
              <w:bottom w:val="single" w:color="auto" w:sz="4" w:space="0"/>
              <w:right w:val="single" w:color="auto" w:sz="4" w:space="0"/>
            </w:tcBorders>
            <w:vAlign w:val="center"/>
          </w:tcPr>
          <w:p w14:paraId="085B6E01">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小写：</w:t>
            </w:r>
            <w:r>
              <w:rPr>
                <w:rFonts w:hint="eastAsia" w:ascii="宋体" w:hAnsi="宋体" w:cs="宋体"/>
                <w:color w:val="000000" w:themeColor="text1"/>
                <w:sz w:val="24"/>
                <w:highlight w:val="none"/>
                <w:u w:val="single"/>
                <w14:textFill>
                  <w14:solidFill>
                    <w14:schemeClr w14:val="tx1"/>
                  </w14:solidFill>
                </w14:textFill>
              </w:rPr>
              <w:t xml:space="preserve">            </w:t>
            </w:r>
          </w:p>
          <w:p w14:paraId="2E4B9F17">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大写：</w:t>
            </w:r>
            <w:r>
              <w:rPr>
                <w:rFonts w:hint="eastAsia" w:ascii="宋体" w:hAnsi="宋体" w:cs="宋体"/>
                <w:color w:val="000000" w:themeColor="text1"/>
                <w:sz w:val="24"/>
                <w:highlight w:val="none"/>
                <w:u w:val="single"/>
                <w14:textFill>
                  <w14:solidFill>
                    <w14:schemeClr w14:val="tx1"/>
                  </w14:solidFill>
                </w14:textFill>
              </w:rPr>
              <w:t xml:space="preserve">              </w:t>
            </w:r>
          </w:p>
        </w:tc>
      </w:tr>
      <w:tr w14:paraId="5F73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0FD4BE3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合同履行期限</w:t>
            </w:r>
          </w:p>
        </w:tc>
        <w:tc>
          <w:tcPr>
            <w:tcW w:w="6768" w:type="dxa"/>
            <w:tcBorders>
              <w:top w:val="single" w:color="auto" w:sz="4" w:space="0"/>
              <w:left w:val="single" w:color="auto" w:sz="4" w:space="0"/>
              <w:bottom w:val="single" w:color="auto" w:sz="4" w:space="0"/>
              <w:right w:val="single" w:color="auto" w:sz="4" w:space="0"/>
            </w:tcBorders>
            <w:vAlign w:val="center"/>
          </w:tcPr>
          <w:p w14:paraId="7BFD452D">
            <w:pPr>
              <w:spacing w:line="360" w:lineRule="auto"/>
              <w:rPr>
                <w:rFonts w:ascii="宋体" w:hAnsi="宋体" w:cs="宋体"/>
                <w:color w:val="000000" w:themeColor="text1"/>
                <w:sz w:val="24"/>
                <w:highlight w:val="none"/>
                <w14:textFill>
                  <w14:solidFill>
                    <w14:schemeClr w14:val="tx1"/>
                  </w14:solidFill>
                </w14:textFill>
              </w:rPr>
            </w:pPr>
          </w:p>
        </w:tc>
      </w:tr>
      <w:tr w14:paraId="7E869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22FF210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质保期</w:t>
            </w:r>
          </w:p>
        </w:tc>
        <w:tc>
          <w:tcPr>
            <w:tcW w:w="6768" w:type="dxa"/>
            <w:tcBorders>
              <w:top w:val="single" w:color="auto" w:sz="4" w:space="0"/>
              <w:left w:val="single" w:color="auto" w:sz="4" w:space="0"/>
              <w:bottom w:val="single" w:color="auto" w:sz="4" w:space="0"/>
              <w:right w:val="single" w:color="auto" w:sz="4" w:space="0"/>
            </w:tcBorders>
            <w:vAlign w:val="center"/>
          </w:tcPr>
          <w:p w14:paraId="48D14254">
            <w:pPr>
              <w:spacing w:line="360" w:lineRule="auto"/>
              <w:rPr>
                <w:rFonts w:ascii="宋体" w:hAnsi="宋体" w:cs="宋体"/>
                <w:color w:val="000000" w:themeColor="text1"/>
                <w:sz w:val="24"/>
                <w:highlight w:val="none"/>
                <w14:textFill>
                  <w14:solidFill>
                    <w14:schemeClr w14:val="tx1"/>
                  </w14:solidFill>
                </w14:textFill>
              </w:rPr>
            </w:pPr>
          </w:p>
        </w:tc>
      </w:tr>
      <w:tr w14:paraId="36A9A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744B188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质量标准</w:t>
            </w:r>
          </w:p>
        </w:tc>
        <w:tc>
          <w:tcPr>
            <w:tcW w:w="6768" w:type="dxa"/>
            <w:tcBorders>
              <w:top w:val="single" w:color="auto" w:sz="4" w:space="0"/>
              <w:left w:val="single" w:color="auto" w:sz="4" w:space="0"/>
              <w:bottom w:val="single" w:color="auto" w:sz="4" w:space="0"/>
              <w:right w:val="single" w:color="auto" w:sz="4" w:space="0"/>
            </w:tcBorders>
            <w:vAlign w:val="center"/>
          </w:tcPr>
          <w:p w14:paraId="1B7DC859">
            <w:pPr>
              <w:spacing w:line="360" w:lineRule="auto"/>
              <w:rPr>
                <w:rFonts w:ascii="宋体" w:hAnsi="宋体" w:cs="宋体"/>
                <w:color w:val="000000" w:themeColor="text1"/>
                <w:sz w:val="24"/>
                <w:highlight w:val="none"/>
                <w14:textFill>
                  <w14:solidFill>
                    <w14:schemeClr w14:val="tx1"/>
                  </w14:solidFill>
                </w14:textFill>
              </w:rPr>
            </w:pPr>
          </w:p>
        </w:tc>
      </w:tr>
      <w:tr w14:paraId="716B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1F426DE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交货地点</w:t>
            </w:r>
          </w:p>
        </w:tc>
        <w:tc>
          <w:tcPr>
            <w:tcW w:w="6768" w:type="dxa"/>
            <w:tcBorders>
              <w:top w:val="single" w:color="auto" w:sz="4" w:space="0"/>
              <w:left w:val="single" w:color="auto" w:sz="4" w:space="0"/>
              <w:bottom w:val="single" w:color="auto" w:sz="4" w:space="0"/>
              <w:right w:val="single" w:color="auto" w:sz="4" w:space="0"/>
            </w:tcBorders>
            <w:vAlign w:val="center"/>
          </w:tcPr>
          <w:p w14:paraId="5CD09557">
            <w:pPr>
              <w:spacing w:line="360" w:lineRule="auto"/>
              <w:rPr>
                <w:rFonts w:ascii="宋体" w:hAnsi="宋体" w:cs="宋体"/>
                <w:color w:val="000000" w:themeColor="text1"/>
                <w:sz w:val="24"/>
                <w:highlight w:val="none"/>
                <w14:textFill>
                  <w14:solidFill>
                    <w14:schemeClr w14:val="tx1"/>
                  </w14:solidFill>
                </w14:textFill>
              </w:rPr>
            </w:pPr>
          </w:p>
        </w:tc>
      </w:tr>
      <w:tr w14:paraId="46A8B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236" w:type="dxa"/>
            <w:gridSpan w:val="2"/>
            <w:tcBorders>
              <w:top w:val="single" w:color="auto" w:sz="4" w:space="0"/>
              <w:left w:val="single" w:color="auto" w:sz="4" w:space="0"/>
              <w:bottom w:val="single" w:color="auto" w:sz="4" w:space="0"/>
              <w:right w:val="single" w:color="auto" w:sz="4" w:space="0"/>
            </w:tcBorders>
            <w:vAlign w:val="center"/>
          </w:tcPr>
          <w:p w14:paraId="61C99E1B">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bl>
    <w:p w14:paraId="08B9BA44">
      <w:pPr>
        <w:spacing w:line="420" w:lineRule="exact"/>
        <w:ind w:right="-309" w:rightChars="-147"/>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b/>
          <w:color w:val="000000" w:themeColor="text1"/>
          <w:highlight w:val="none"/>
          <w14:textFill>
            <w14:solidFill>
              <w14:schemeClr w14:val="tx1"/>
            </w14:solidFill>
          </w14:textFill>
        </w:rPr>
        <w:t>注：1.此表中的投标报价为总价即为最终报价，不允许另有折扣说明。</w:t>
      </w:r>
    </w:p>
    <w:p w14:paraId="091858B9">
      <w:pPr>
        <w:spacing w:line="420" w:lineRule="exact"/>
        <w:ind w:right="-309" w:rightChars="-147"/>
        <w:rPr>
          <w:rFonts w:ascii="宋体" w:hAnsi="宋体" w:cs="宋体"/>
          <w:b/>
          <w:color w:val="000000" w:themeColor="text1"/>
          <w:highlight w:val="none"/>
          <w14:textFill>
            <w14:solidFill>
              <w14:schemeClr w14:val="tx1"/>
            </w14:solidFill>
          </w14:textFill>
        </w:rPr>
      </w:pPr>
    </w:p>
    <w:p w14:paraId="67F38757">
      <w:pPr>
        <w:spacing w:line="360" w:lineRule="auto"/>
        <w:ind w:firstLine="2" w:firstLineChars="1"/>
        <w:rPr>
          <w:rFonts w:ascii="宋体" w:hAnsi="宋体" w:cs="宋体"/>
          <w:color w:val="000000" w:themeColor="text1"/>
          <w:szCs w:val="21"/>
          <w:highlight w:val="none"/>
          <w14:textFill>
            <w14:solidFill>
              <w14:schemeClr w14:val="tx1"/>
            </w14:solidFill>
          </w14:textFill>
        </w:rPr>
      </w:pPr>
    </w:p>
    <w:p w14:paraId="6FC1657F">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电子签章</w:t>
      </w:r>
      <w:r>
        <w:rPr>
          <w:rFonts w:hint="eastAsia" w:ascii="宋体" w:hAnsi="宋体" w:cs="宋体"/>
          <w:b/>
          <w:color w:val="000000" w:themeColor="text1"/>
          <w:sz w:val="24"/>
          <w:highlight w:val="none"/>
          <w14:textFill>
            <w14:solidFill>
              <w14:schemeClr w14:val="tx1"/>
            </w14:solidFill>
          </w14:textFill>
        </w:rPr>
        <w:t>）</w:t>
      </w:r>
    </w:p>
    <w:p w14:paraId="55CEAC09">
      <w:pPr>
        <w:spacing w:line="360" w:lineRule="auto"/>
        <w:ind w:firstLine="2" w:firstLineChars="1"/>
        <w:rPr>
          <w:rFonts w:ascii="宋体" w:hAnsi="宋体" w:cs="宋体"/>
          <w:b/>
          <w:color w:val="000000" w:themeColor="text1"/>
          <w:sz w:val="24"/>
          <w:highlight w:val="none"/>
          <w14:textFill>
            <w14:solidFill>
              <w14:schemeClr w14:val="tx1"/>
            </w14:solidFill>
          </w14:textFill>
        </w:rPr>
      </w:pPr>
    </w:p>
    <w:p w14:paraId="4A6173F3">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法定代表人或其委托代理人</w:t>
      </w:r>
      <w:r>
        <w:rPr>
          <w:rFonts w:hint="eastAsia" w:ascii="宋体" w:hAnsi="宋体" w:cs="宋体"/>
          <w:b/>
          <w:color w:val="000000" w:themeColor="text1"/>
          <w:sz w:val="24"/>
          <w:highlight w:val="none"/>
          <w14:textFill>
            <w14:solidFill>
              <w14:schemeClr w14:val="tx1"/>
            </w14:solidFill>
          </w14:textFill>
        </w:rPr>
        <w:t>（电子签章或签名）：</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p>
    <w:p w14:paraId="717CDBB9">
      <w:pPr>
        <w:spacing w:line="360" w:lineRule="auto"/>
        <w:ind w:firstLine="2" w:firstLineChars="1"/>
        <w:rPr>
          <w:rFonts w:ascii="宋体" w:hAnsi="宋体" w:cs="宋体"/>
          <w:b/>
          <w:color w:val="000000" w:themeColor="text1"/>
          <w:sz w:val="24"/>
          <w:highlight w:val="none"/>
          <w:u w:val="single"/>
          <w14:textFill>
            <w14:solidFill>
              <w14:schemeClr w14:val="tx1"/>
            </w14:solidFill>
          </w14:textFill>
        </w:rPr>
      </w:pPr>
    </w:p>
    <w:p w14:paraId="1F22E949">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日</w:t>
      </w:r>
    </w:p>
    <w:p w14:paraId="549EA47A">
      <w:pPr>
        <w:pStyle w:val="20"/>
        <w:rPr>
          <w:rFonts w:hAnsi="宋体" w:cs="宋体"/>
          <w:b/>
          <w:color w:val="000000" w:themeColor="text1"/>
          <w:highlight w:val="none"/>
          <w14:textFill>
            <w14:solidFill>
              <w14:schemeClr w14:val="tx1"/>
            </w14:solidFill>
          </w14:textFill>
        </w:rPr>
      </w:pPr>
    </w:p>
    <w:p w14:paraId="41756E8C">
      <w:pPr>
        <w:rPr>
          <w:rFonts w:ascii="宋体" w:hAnsi="宋体" w:cs="宋体"/>
          <w:b/>
          <w:color w:val="000000" w:themeColor="text1"/>
          <w:sz w:val="28"/>
          <w:szCs w:val="28"/>
          <w:highlight w:val="none"/>
          <w14:textFill>
            <w14:solidFill>
              <w14:schemeClr w14:val="tx1"/>
            </w14:solidFill>
          </w14:textFill>
        </w:rPr>
      </w:pPr>
    </w:p>
    <w:p w14:paraId="44807F35">
      <w:pPr>
        <w:rPr>
          <w:rFonts w:hint="eastAsia" w:ascii="宋体" w:hAnsi="宋体" w:cs="宋体"/>
          <w:b/>
          <w:bCs/>
          <w:color w:val="000000" w:themeColor="text1"/>
          <w:sz w:val="32"/>
          <w:szCs w:val="32"/>
          <w:highlight w:val="none"/>
          <w14:textFill>
            <w14:solidFill>
              <w14:schemeClr w14:val="tx1"/>
            </w14:solidFill>
          </w14:textFill>
        </w:rPr>
      </w:pPr>
    </w:p>
    <w:p w14:paraId="649D9D82">
      <w:pPr>
        <w:rPr>
          <w:rFonts w:hint="eastAsia" w:ascii="宋体" w:hAnsi="宋体" w:cs="宋体"/>
          <w:b/>
          <w:bCs/>
          <w:color w:val="000000" w:themeColor="text1"/>
          <w:sz w:val="32"/>
          <w:szCs w:val="32"/>
          <w:highlight w:val="none"/>
          <w14:textFill>
            <w14:solidFill>
              <w14:schemeClr w14:val="tx1"/>
            </w14:solidFill>
          </w14:textFill>
        </w:rPr>
      </w:pPr>
    </w:p>
    <w:p w14:paraId="2BCC7CFE">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r>
    </w:p>
    <w:p w14:paraId="51A9B88B">
      <w:pPr>
        <w:keepNext w:val="0"/>
        <w:keepLines w:val="0"/>
        <w:pageBreakBefore w:val="0"/>
        <w:widowControl w:val="0"/>
        <w:kinsoku/>
        <w:wordWrap/>
        <w:overflowPunct/>
        <w:topLinePunct w:val="0"/>
        <w:autoSpaceDE/>
        <w:autoSpaceDN/>
        <w:bidi w:val="0"/>
        <w:adjustRightInd/>
        <w:snapToGrid/>
        <w:jc w:val="center"/>
        <w:textAlignment w:val="auto"/>
        <w:outlineLvl w:val="1"/>
        <w:rPr>
          <w:rFonts w:ascii="宋体" w:hAnsi="宋体" w:cs="宋体"/>
          <w:b/>
          <w:bCs/>
          <w:color w:val="000000" w:themeColor="text1"/>
          <w:sz w:val="32"/>
          <w:szCs w:val="32"/>
          <w:highlight w:val="none"/>
          <w14:textFill>
            <w14:solidFill>
              <w14:schemeClr w14:val="tx1"/>
            </w14:solidFill>
          </w14:textFill>
        </w:rPr>
      </w:pPr>
      <w:bookmarkStart w:id="274" w:name="_Toc19591"/>
      <w:bookmarkStart w:id="275" w:name="_Toc25192"/>
      <w:r>
        <w:rPr>
          <w:rFonts w:hint="eastAsia" w:ascii="宋体" w:hAnsi="宋体" w:cs="宋体"/>
          <w:b/>
          <w:bCs/>
          <w:color w:val="000000" w:themeColor="text1"/>
          <w:sz w:val="32"/>
          <w:szCs w:val="32"/>
          <w:highlight w:val="none"/>
          <w14:textFill>
            <w14:solidFill>
              <w14:schemeClr w14:val="tx1"/>
            </w14:solidFill>
          </w14:textFill>
        </w:rPr>
        <w:t>商务技术部分</w:t>
      </w:r>
      <w:bookmarkEnd w:id="264"/>
      <w:bookmarkEnd w:id="265"/>
      <w:bookmarkEnd w:id="266"/>
      <w:bookmarkEnd w:id="267"/>
      <w:bookmarkEnd w:id="268"/>
      <w:bookmarkEnd w:id="274"/>
      <w:bookmarkEnd w:id="275"/>
    </w:p>
    <w:bookmarkEnd w:id="260"/>
    <w:bookmarkEnd w:id="269"/>
    <w:bookmarkEnd w:id="270"/>
    <w:bookmarkEnd w:id="271"/>
    <w:p w14:paraId="3BA56AEC">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276" w:name="_Toc25046"/>
      <w:bookmarkStart w:id="277" w:name="_Toc30518"/>
      <w:bookmarkStart w:id="278" w:name="_Toc15424"/>
      <w:bookmarkStart w:id="279" w:name="_Toc7271"/>
      <w:bookmarkStart w:id="280" w:name="_Toc493600031"/>
      <w:bookmarkStart w:id="281" w:name="_Toc17250"/>
      <w:bookmarkStart w:id="282" w:name="_Toc8733"/>
      <w:bookmarkStart w:id="283" w:name="_Toc34163796"/>
      <w:bookmarkStart w:id="284" w:name="_Toc20149"/>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eastAsia="宋体" w:cs="宋体"/>
          <w:color w:val="000000" w:themeColor="text1"/>
          <w:szCs w:val="28"/>
          <w:highlight w:val="none"/>
          <w:lang w:val="en-US" w:eastAsia="zh-CN"/>
          <w14:textFill>
            <w14:solidFill>
              <w14:schemeClr w14:val="tx1"/>
            </w14:solidFill>
          </w14:textFill>
        </w:rPr>
        <w:t>一</w:t>
      </w:r>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eastAsia="宋体" w:cs="宋体"/>
          <w:color w:val="000000" w:themeColor="text1"/>
          <w:sz w:val="32"/>
          <w:szCs w:val="32"/>
          <w:highlight w:val="none"/>
          <w14:textFill>
            <w14:solidFill>
              <w14:schemeClr w14:val="tx1"/>
            </w14:solidFill>
          </w14:textFill>
        </w:rPr>
        <w:t>投标函</w:t>
      </w:r>
      <w:bookmarkEnd w:id="276"/>
      <w:bookmarkEnd w:id="277"/>
      <w:bookmarkEnd w:id="278"/>
      <w:bookmarkEnd w:id="279"/>
      <w:bookmarkEnd w:id="280"/>
      <w:bookmarkEnd w:id="281"/>
      <w:bookmarkEnd w:id="282"/>
      <w:bookmarkEnd w:id="283"/>
      <w:bookmarkEnd w:id="284"/>
    </w:p>
    <w:p w14:paraId="17B63CEF">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（采购人名称）：</w:t>
      </w:r>
    </w:p>
    <w:p w14:paraId="4259B875">
      <w:pPr>
        <w:autoSpaceDE w:val="0"/>
        <w:autoSpaceDN w:val="0"/>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我方已仔细研究了</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（项目名称）招标文件的全部内容，且对招标文件无任何异议，并愿意以“开标一览表”所填写的投标报价，向你方提供招标文件要求的货物/服务。    </w:t>
      </w:r>
    </w:p>
    <w:p w14:paraId="573990E5">
      <w:pPr>
        <w:numPr>
          <w:ilvl w:val="0"/>
          <w:numId w:val="5"/>
        </w:numPr>
        <w:autoSpaceDE w:val="0"/>
        <w:autoSpaceDN w:val="0"/>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我方承诺在投标有效期内不修改或撤销投标文件。否则，你方可不予退还我方的投标保证金。</w:t>
      </w:r>
    </w:p>
    <w:p w14:paraId="35AD7236">
      <w:pPr>
        <w:autoSpaceDE w:val="0"/>
        <w:autoSpaceDN w:val="0"/>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2.本投标的投标有效期为自投标截止之日起90个日历天。</w:t>
      </w:r>
    </w:p>
    <w:p w14:paraId="37A09A65">
      <w:pPr>
        <w:pStyle w:val="16"/>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3.我方承诺所提交的投标文件及有关资料是完整的、真实的、准确的和有效的，否则，我方承担由此造成的任何损失及引起的任何后果。</w:t>
      </w:r>
    </w:p>
    <w:p w14:paraId="10CD3E44">
      <w:pPr>
        <w:autoSpaceDE w:val="0"/>
        <w:autoSpaceDN w:val="0"/>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4．如我方中标：</w:t>
      </w:r>
    </w:p>
    <w:p w14:paraId="57C4ED08">
      <w:pPr>
        <w:autoSpaceDE w:val="0"/>
        <w:autoSpaceDN w:val="0"/>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（1）我方承诺在收到中标通知书后，在中标通知书规定的期限内与你方签订合同。</w:t>
      </w:r>
    </w:p>
    <w:p w14:paraId="5FABC1C7">
      <w:pPr>
        <w:autoSpaceDE w:val="0"/>
        <w:autoSpaceDN w:val="0"/>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（2）我方承诺按照招标文件规定向你方递交履约保证金。</w:t>
      </w:r>
    </w:p>
    <w:p w14:paraId="07583276">
      <w:pPr>
        <w:autoSpaceDE w:val="0"/>
        <w:autoSpaceDN w:val="0"/>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（3）我方承诺按合同约定的期限和地点，提供符合招标文件要求的全部的招标货物/服务。</w:t>
      </w:r>
    </w:p>
    <w:p w14:paraId="0135F4E3">
      <w:pPr>
        <w:autoSpaceDE w:val="0"/>
        <w:autoSpaceDN w:val="0"/>
        <w:adjustRightInd w:val="0"/>
        <w:snapToGrid w:val="0"/>
        <w:spacing w:line="360" w:lineRule="auto"/>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（4）除投标文件列出的偏差外，我方满足招标文件的全部要求。</w:t>
      </w:r>
    </w:p>
    <w:p w14:paraId="06C6838D">
      <w:pPr>
        <w:autoSpaceDE w:val="0"/>
        <w:autoSpaceDN w:val="0"/>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（其他补充说明）。</w:t>
      </w:r>
    </w:p>
    <w:p w14:paraId="23025E7B">
      <w:pPr>
        <w:pStyle w:val="20"/>
        <w:spacing w:line="360" w:lineRule="exact"/>
        <w:ind w:firstLine="420"/>
        <w:rPr>
          <w:rFonts w:hAnsi="宋体" w:cs="宋体"/>
          <w:color w:val="000000" w:themeColor="text1"/>
          <w:sz w:val="24"/>
          <w:szCs w:val="24"/>
          <w:highlight w:val="none"/>
          <w14:textFill>
            <w14:solidFill>
              <w14:schemeClr w14:val="tx1"/>
            </w14:solidFill>
          </w14:textFill>
        </w:rPr>
      </w:pPr>
    </w:p>
    <w:p w14:paraId="4BB867D3">
      <w:pPr>
        <w:pStyle w:val="20"/>
        <w:spacing w:line="360" w:lineRule="exact"/>
        <w:ind w:firstLine="42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与本投标有关的正式通讯地址为：</w:t>
      </w:r>
    </w:p>
    <w:p w14:paraId="12754BEF">
      <w:pPr>
        <w:pStyle w:val="20"/>
        <w:spacing w:line="360" w:lineRule="exact"/>
        <w:ind w:firstLine="42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地址：</w:t>
      </w:r>
      <w:r>
        <w:rPr>
          <w:rFonts w:hint="eastAsia" w:hAnsi="宋体" w:cs="宋体"/>
          <w:b/>
          <w:bCs/>
          <w:color w:val="000000" w:themeColor="text1"/>
          <w:sz w:val="24"/>
          <w:szCs w:val="24"/>
          <w:highlight w:val="none"/>
          <w:u w:val="single"/>
          <w14:textFill>
            <w14:solidFill>
              <w14:schemeClr w14:val="tx1"/>
            </w14:solidFill>
          </w14:textFill>
        </w:rPr>
        <w:t xml:space="preserve">                                </w:t>
      </w:r>
      <w:r>
        <w:rPr>
          <w:rFonts w:hint="eastAsia" w:hAnsi="宋体" w:cs="宋体"/>
          <w:b/>
          <w:bCs/>
          <w:color w:val="000000" w:themeColor="text1"/>
          <w:sz w:val="24"/>
          <w:szCs w:val="24"/>
          <w:highlight w:val="none"/>
          <w14:textFill>
            <w14:solidFill>
              <w14:schemeClr w14:val="tx1"/>
            </w14:solidFill>
          </w14:textFill>
        </w:rPr>
        <w:t xml:space="preserve"> 邮政编码：</w:t>
      </w:r>
      <w:r>
        <w:rPr>
          <w:rFonts w:hint="eastAsia" w:hAnsi="宋体" w:cs="宋体"/>
          <w:b/>
          <w:bCs/>
          <w:color w:val="000000" w:themeColor="text1"/>
          <w:sz w:val="24"/>
          <w:szCs w:val="24"/>
          <w:highlight w:val="none"/>
          <w:u w:val="single"/>
          <w14:textFill>
            <w14:solidFill>
              <w14:schemeClr w14:val="tx1"/>
            </w14:solidFill>
          </w14:textFill>
        </w:rPr>
        <w:t xml:space="preserve">             </w:t>
      </w:r>
    </w:p>
    <w:p w14:paraId="3140167C">
      <w:pPr>
        <w:pStyle w:val="20"/>
        <w:spacing w:line="360" w:lineRule="exact"/>
        <w:ind w:firstLine="420"/>
        <w:rPr>
          <w:rFonts w:hAnsi="宋体" w:cs="宋体"/>
          <w:b/>
          <w:bCs/>
          <w:color w:val="000000" w:themeColor="text1"/>
          <w:sz w:val="24"/>
          <w:szCs w:val="24"/>
          <w:highlight w:val="none"/>
          <w:u w:val="singl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电话：</w:t>
      </w:r>
      <w:r>
        <w:rPr>
          <w:rFonts w:hint="eastAsia" w:hAnsi="宋体" w:cs="宋体"/>
          <w:b/>
          <w:bCs/>
          <w:color w:val="000000" w:themeColor="text1"/>
          <w:sz w:val="24"/>
          <w:szCs w:val="24"/>
          <w:highlight w:val="none"/>
          <w:u w:val="single"/>
          <w14:textFill>
            <w14:solidFill>
              <w14:schemeClr w14:val="tx1"/>
            </w14:solidFill>
          </w14:textFill>
        </w:rPr>
        <w:t xml:space="preserve">                                 </w:t>
      </w:r>
      <w:r>
        <w:rPr>
          <w:rFonts w:hint="eastAsia" w:hAnsi="宋体" w:cs="宋体"/>
          <w:b/>
          <w:bCs/>
          <w:color w:val="000000" w:themeColor="text1"/>
          <w:sz w:val="24"/>
          <w:szCs w:val="24"/>
          <w:highlight w:val="none"/>
          <w14:textFill>
            <w14:solidFill>
              <w14:schemeClr w14:val="tx1"/>
            </w14:solidFill>
          </w14:textFill>
        </w:rPr>
        <w:t>传真：</w:t>
      </w:r>
      <w:r>
        <w:rPr>
          <w:rFonts w:hint="eastAsia" w:hAnsi="宋体" w:cs="宋体"/>
          <w:b/>
          <w:bCs/>
          <w:color w:val="000000" w:themeColor="text1"/>
          <w:sz w:val="24"/>
          <w:szCs w:val="24"/>
          <w:highlight w:val="none"/>
          <w:u w:val="single"/>
          <w14:textFill>
            <w14:solidFill>
              <w14:schemeClr w14:val="tx1"/>
            </w14:solidFill>
          </w14:textFill>
        </w:rPr>
        <w:t xml:space="preserve">                 </w:t>
      </w:r>
    </w:p>
    <w:p w14:paraId="0667572F">
      <w:pPr>
        <w:pStyle w:val="20"/>
        <w:spacing w:line="360" w:lineRule="exact"/>
        <w:ind w:firstLine="420"/>
        <w:rPr>
          <w:rFonts w:hAnsi="宋体" w:cs="宋体"/>
          <w:b/>
          <w:bCs/>
          <w:color w:val="000000" w:themeColor="text1"/>
          <w:sz w:val="24"/>
          <w:szCs w:val="24"/>
          <w:highlight w:val="none"/>
          <w:u w:val="singl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开户名称：</w:t>
      </w:r>
      <w:r>
        <w:rPr>
          <w:rFonts w:hint="eastAsia" w:hAnsi="宋体" w:cs="宋体"/>
          <w:b/>
          <w:bCs/>
          <w:color w:val="000000" w:themeColor="text1"/>
          <w:sz w:val="24"/>
          <w:szCs w:val="24"/>
          <w:highlight w:val="none"/>
          <w:u w:val="single"/>
          <w14:textFill>
            <w14:solidFill>
              <w14:schemeClr w14:val="tx1"/>
            </w14:solidFill>
          </w14:textFill>
        </w:rPr>
        <w:t xml:space="preserve">                                                    </w:t>
      </w:r>
    </w:p>
    <w:p w14:paraId="7BFC6A5C">
      <w:pPr>
        <w:pStyle w:val="20"/>
        <w:spacing w:line="360" w:lineRule="exact"/>
        <w:ind w:firstLine="420"/>
        <w:rPr>
          <w:rFonts w:hAnsi="宋体" w:cs="宋体"/>
          <w:b/>
          <w:bCs/>
          <w:color w:val="000000" w:themeColor="text1"/>
          <w:sz w:val="24"/>
          <w:szCs w:val="24"/>
          <w:highlight w:val="none"/>
          <w:u w:val="singl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开户银行：</w:t>
      </w:r>
      <w:r>
        <w:rPr>
          <w:rFonts w:hint="eastAsia" w:hAnsi="宋体" w:cs="宋体"/>
          <w:b/>
          <w:bCs/>
          <w:color w:val="000000" w:themeColor="text1"/>
          <w:sz w:val="24"/>
          <w:szCs w:val="24"/>
          <w:highlight w:val="none"/>
          <w:u w:val="single"/>
          <w14:textFill>
            <w14:solidFill>
              <w14:schemeClr w14:val="tx1"/>
            </w14:solidFill>
          </w14:textFill>
        </w:rPr>
        <w:t xml:space="preserve">                                                    </w:t>
      </w:r>
    </w:p>
    <w:p w14:paraId="2A96DB0B">
      <w:pPr>
        <w:pStyle w:val="20"/>
        <w:spacing w:line="360" w:lineRule="exact"/>
        <w:ind w:firstLine="420"/>
        <w:rPr>
          <w:rFonts w:hAnsi="宋体" w:cs="宋体"/>
          <w:b/>
          <w:bCs/>
          <w:color w:val="000000" w:themeColor="text1"/>
          <w:sz w:val="24"/>
          <w:szCs w:val="24"/>
          <w:highlight w:val="none"/>
          <w:u w:val="singl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帐    号：</w:t>
      </w:r>
      <w:r>
        <w:rPr>
          <w:rFonts w:hint="eastAsia" w:hAnsi="宋体" w:cs="宋体"/>
          <w:b/>
          <w:bCs/>
          <w:color w:val="000000" w:themeColor="text1"/>
          <w:sz w:val="24"/>
          <w:szCs w:val="24"/>
          <w:highlight w:val="none"/>
          <w:u w:val="single"/>
          <w14:textFill>
            <w14:solidFill>
              <w14:schemeClr w14:val="tx1"/>
            </w14:solidFill>
          </w14:textFill>
        </w:rPr>
        <w:t xml:space="preserve">                                                    </w:t>
      </w:r>
    </w:p>
    <w:p w14:paraId="6DDE017E">
      <w:pPr>
        <w:pStyle w:val="20"/>
        <w:spacing w:line="360" w:lineRule="exact"/>
        <w:ind w:firstLine="42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投标人（</w:t>
      </w:r>
      <w:r>
        <w:rPr>
          <w:rFonts w:hint="eastAsia" w:ascii="宋体" w:hAnsi="宋体" w:cs="宋体"/>
          <w:b/>
          <w:bCs/>
          <w:color w:val="000000" w:themeColor="text1"/>
          <w:sz w:val="24"/>
          <w:highlight w:val="none"/>
          <w14:textFill>
            <w14:solidFill>
              <w14:schemeClr w14:val="tx1"/>
            </w14:solidFill>
          </w14:textFill>
        </w:rPr>
        <w:t>电子签章</w:t>
      </w:r>
      <w:r>
        <w:rPr>
          <w:rFonts w:hint="eastAsia" w:hAnsi="宋体" w:cs="宋体"/>
          <w:b/>
          <w:bCs/>
          <w:color w:val="000000" w:themeColor="text1"/>
          <w:sz w:val="24"/>
          <w:szCs w:val="24"/>
          <w:highlight w:val="none"/>
          <w14:textFill>
            <w14:solidFill>
              <w14:schemeClr w14:val="tx1"/>
            </w14:solidFill>
          </w14:textFill>
        </w:rPr>
        <w:t>）：</w:t>
      </w:r>
      <w:r>
        <w:rPr>
          <w:rFonts w:hint="eastAsia" w:hAnsi="宋体" w:cs="宋体"/>
          <w:b/>
          <w:bCs/>
          <w:color w:val="000000" w:themeColor="text1"/>
          <w:sz w:val="24"/>
          <w:szCs w:val="24"/>
          <w:highlight w:val="none"/>
          <w:u w:val="single"/>
          <w14:textFill>
            <w14:solidFill>
              <w14:schemeClr w14:val="tx1"/>
            </w14:solidFill>
          </w14:textFill>
        </w:rPr>
        <w:t xml:space="preserve">                       </w:t>
      </w:r>
    </w:p>
    <w:p w14:paraId="66649511">
      <w:pPr>
        <w:pStyle w:val="20"/>
        <w:spacing w:line="360" w:lineRule="exact"/>
        <w:ind w:firstLine="42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法定代表人或其委托代理人（电子签名或签章）：</w:t>
      </w:r>
      <w:r>
        <w:rPr>
          <w:rFonts w:hint="eastAsia" w:hAnsi="宋体" w:cs="宋体"/>
          <w:b/>
          <w:bCs/>
          <w:color w:val="000000" w:themeColor="text1"/>
          <w:sz w:val="24"/>
          <w:szCs w:val="24"/>
          <w:highlight w:val="none"/>
          <w:u w:val="single"/>
          <w14:textFill>
            <w14:solidFill>
              <w14:schemeClr w14:val="tx1"/>
            </w14:solidFill>
          </w14:textFill>
        </w:rPr>
        <w:t xml:space="preserve">                       </w:t>
      </w:r>
      <w:r>
        <w:rPr>
          <w:rFonts w:hint="eastAsia" w:hAnsi="宋体" w:cs="宋体"/>
          <w:b/>
          <w:bCs/>
          <w:color w:val="000000" w:themeColor="text1"/>
          <w:sz w:val="24"/>
          <w:szCs w:val="24"/>
          <w:highlight w:val="none"/>
          <w14:textFill>
            <w14:solidFill>
              <w14:schemeClr w14:val="tx1"/>
            </w14:solidFill>
          </w14:textFill>
        </w:rPr>
        <w:t xml:space="preserve">                </w:t>
      </w:r>
    </w:p>
    <w:p w14:paraId="682C09E0">
      <w:pPr>
        <w:pStyle w:val="20"/>
        <w:spacing w:line="360" w:lineRule="exact"/>
        <w:ind w:firstLine="42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   年       月       日</w:t>
      </w:r>
    </w:p>
    <w:p w14:paraId="22264E2B">
      <w:pPr>
        <w:pStyle w:val="20"/>
        <w:spacing w:line="600" w:lineRule="exact"/>
        <w:jc w:val="left"/>
        <w:rPr>
          <w:rFonts w:hAnsi="宋体" w:cs="宋体"/>
          <w:color w:val="000000" w:themeColor="text1"/>
          <w:sz w:val="24"/>
          <w:szCs w:val="24"/>
          <w:highlight w:val="none"/>
          <w14:textFill>
            <w14:solidFill>
              <w14:schemeClr w14:val="tx1"/>
            </w14:solidFill>
          </w14:textFill>
        </w:rPr>
        <w:sectPr>
          <w:headerReference r:id="rId16" w:type="first"/>
          <w:pgSz w:w="11906" w:h="16838"/>
          <w:pgMar w:top="1417" w:right="1134" w:bottom="1417" w:left="1134" w:header="850" w:footer="850" w:gutter="0"/>
          <w:cols w:space="0" w:num="1"/>
          <w:docGrid w:type="lines" w:linePitch="316" w:charSpace="0"/>
        </w:sectPr>
      </w:pPr>
    </w:p>
    <w:p w14:paraId="5A1651E6">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285" w:name="_Toc9426"/>
      <w:bookmarkStart w:id="286" w:name="_Toc12680"/>
      <w:bookmarkStart w:id="287" w:name="_Toc6467"/>
      <w:bookmarkStart w:id="288" w:name="_Toc11671"/>
      <w:bookmarkStart w:id="289" w:name="_Toc1730"/>
      <w:bookmarkStart w:id="290" w:name="_Toc16331"/>
      <w:bookmarkStart w:id="291" w:name="_Toc22442"/>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二</w:t>
      </w:r>
      <w:r>
        <w:rPr>
          <w:rFonts w:hint="eastAsia" w:ascii="宋体" w:hAnsi="宋体" w:eastAsia="宋体" w:cs="宋体"/>
          <w:color w:val="000000" w:themeColor="text1"/>
          <w:sz w:val="32"/>
          <w:szCs w:val="32"/>
          <w:highlight w:val="none"/>
          <w14:textFill>
            <w14:solidFill>
              <w14:schemeClr w14:val="tx1"/>
            </w14:solidFill>
          </w14:textFill>
        </w:rPr>
        <w:t>）承诺书</w:t>
      </w:r>
      <w:bookmarkEnd w:id="285"/>
      <w:bookmarkEnd w:id="286"/>
      <w:bookmarkEnd w:id="287"/>
      <w:bookmarkEnd w:id="288"/>
      <w:bookmarkEnd w:id="289"/>
      <w:bookmarkEnd w:id="290"/>
      <w:bookmarkEnd w:id="291"/>
    </w:p>
    <w:p w14:paraId="5840A668">
      <w:pPr>
        <w:spacing w:before="316" w:beforeLines="100"/>
        <w:jc w:val="lef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致：</w:t>
      </w:r>
      <w:r>
        <w:rPr>
          <w:rFonts w:hint="eastAsia" w:ascii="宋体" w:hAnsi="宋体" w:cs="宋体"/>
          <w:color w:val="000000" w:themeColor="text1"/>
          <w:sz w:val="24"/>
          <w:szCs w:val="32"/>
          <w:highlight w:val="none"/>
          <w:u w:val="single"/>
          <w14:textFill>
            <w14:solidFill>
              <w14:schemeClr w14:val="tx1"/>
            </w14:solidFill>
          </w14:textFill>
        </w:rPr>
        <w:t>（采购人）</w:t>
      </w:r>
    </w:p>
    <w:p w14:paraId="4C0A726C">
      <w:pPr>
        <w:spacing w:before="158" w:beforeLines="50" w:line="400" w:lineRule="exact"/>
        <w:ind w:firstLine="482" w:firstLineChars="200"/>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若我公司有幸中标，我公司承诺以下事宜：</w:t>
      </w:r>
    </w:p>
    <w:p w14:paraId="2CB4277D">
      <w:pPr>
        <w:spacing w:line="4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1、我公司在接到领取中标/中标通知书的通知后，在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个工作日内到采购代理机构领取中标/中标通知书。领取中标/中标通知书后在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个工作日内按照昆明理工大学要求缴纳履约保证金。在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个工作日内洽谈合同签订事宜。</w:t>
      </w:r>
    </w:p>
    <w:p w14:paraId="340E0CB3">
      <w:pPr>
        <w:spacing w:line="400" w:lineRule="exac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（1）如因我公司无正当理由放弃中标（成交）或因我公司自身原因导致项目未能在法定期限内完成合同签订或拒不签订项目合同的，采购人或采购代理机构有权取消中标（成交）资格。投标保证金不予退还。</w:t>
      </w:r>
    </w:p>
    <w:p w14:paraId="3EF76480">
      <w:pPr>
        <w:spacing w:line="4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68B8E575">
      <w:pPr>
        <w:spacing w:line="4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2、在合同履行过程中，我公司严格按照合同约定进行交货/完成相关服务工作并达到项目验收标准。</w:t>
      </w:r>
    </w:p>
    <w:p w14:paraId="012951E4">
      <w:pPr>
        <w:spacing w:line="4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6E65AD3D">
      <w:pPr>
        <w:spacing w:line="4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3AC61F5F">
      <w:pPr>
        <w:spacing w:line="4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33AA9C6A">
      <w:pPr>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特此承诺！</w:t>
      </w:r>
    </w:p>
    <w:p w14:paraId="4B72406B">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电子签章</w:t>
      </w:r>
      <w:r>
        <w:rPr>
          <w:rFonts w:hint="eastAsia" w:ascii="宋体" w:hAnsi="宋体" w:cs="宋体"/>
          <w:b/>
          <w:color w:val="000000" w:themeColor="text1"/>
          <w:sz w:val="24"/>
          <w:highlight w:val="none"/>
          <w14:textFill>
            <w14:solidFill>
              <w14:schemeClr w14:val="tx1"/>
            </w14:solidFill>
          </w14:textFill>
        </w:rPr>
        <w:t>）</w:t>
      </w:r>
    </w:p>
    <w:p w14:paraId="42C08F37">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法定代表人或其委托代理人</w:t>
      </w:r>
      <w:r>
        <w:rPr>
          <w:rFonts w:hint="eastAsia" w:ascii="宋体" w:hAnsi="宋体" w:cs="宋体"/>
          <w:b/>
          <w:color w:val="000000" w:themeColor="text1"/>
          <w:sz w:val="24"/>
          <w:highlight w:val="none"/>
          <w14:textFill>
            <w14:solidFill>
              <w14:schemeClr w14:val="tx1"/>
            </w14:solidFill>
          </w14:textFill>
        </w:rPr>
        <w:t>（电子签名或签章）：</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p>
    <w:p w14:paraId="67AC1B29">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日</w:t>
      </w:r>
    </w:p>
    <w:p w14:paraId="6C003700">
      <w:pP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p>
    <w:p w14:paraId="3906ACF9">
      <w:pPr>
        <w:pStyle w:val="5"/>
        <w:keepNext/>
        <w:numPr>
          <w:ilvl w:val="0"/>
          <w:numId w:val="0"/>
        </w:numPr>
        <w:tabs>
          <w:tab w:val="left" w:pos="1021"/>
          <w:tab w:val="clear" w:pos="900"/>
          <w:tab w:val="clear" w:pos="1588"/>
        </w:tabs>
        <w:spacing w:after="120"/>
        <w:ind w:left="425"/>
        <w:jc w:val="center"/>
        <w:rPr>
          <w:rFonts w:ascii="宋体" w:hAnsi="宋体" w:eastAsia="宋体" w:cs="宋体"/>
          <w:color w:val="000000" w:themeColor="text1"/>
          <w:highlight w:val="none"/>
          <w14:textFill>
            <w14:solidFill>
              <w14:schemeClr w14:val="tx1"/>
            </w14:solidFill>
          </w14:textFill>
        </w:rPr>
      </w:pPr>
      <w:bookmarkStart w:id="292" w:name="_Toc4547"/>
      <w:bookmarkStart w:id="293" w:name="_Toc4425"/>
      <w:bookmarkStart w:id="294" w:name="_Toc13730"/>
      <w:bookmarkStart w:id="295" w:name="_Toc493600018"/>
      <w:bookmarkStart w:id="296" w:name="_Toc29157"/>
      <w:bookmarkStart w:id="297" w:name="_Toc34163785"/>
      <w:bookmarkStart w:id="298" w:name="_Toc7026"/>
      <w:bookmarkStart w:id="299" w:name="_Toc32408575"/>
      <w:bookmarkStart w:id="300" w:name="_Toc30730"/>
      <w:bookmarkStart w:id="301" w:name="_Toc4533"/>
      <w:bookmarkStart w:id="302" w:name="_Toc30355"/>
      <w:bookmarkStart w:id="303" w:name="_Toc29899"/>
      <w:bookmarkStart w:id="304" w:name="_Toc25465"/>
      <w:bookmarkStart w:id="305" w:name="_Toc26416"/>
      <w:bookmarkStart w:id="306" w:name="_Toc26568"/>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eastAsia="宋体" w:cs="宋体"/>
          <w:color w:val="000000" w:themeColor="text1"/>
          <w:szCs w:val="28"/>
          <w:highlight w:val="none"/>
          <w:lang w:val="en-US"/>
          <w14:textFill>
            <w14:solidFill>
              <w14:schemeClr w14:val="tx1"/>
            </w14:solidFill>
          </w14:textFill>
        </w:rPr>
        <w:t>三</w:t>
      </w:r>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法定代表人身份证明书</w:t>
      </w:r>
      <w:bookmarkEnd w:id="292"/>
      <w:bookmarkEnd w:id="293"/>
      <w:bookmarkEnd w:id="294"/>
      <w:bookmarkEnd w:id="295"/>
      <w:bookmarkEnd w:id="296"/>
      <w:bookmarkEnd w:id="297"/>
      <w:bookmarkEnd w:id="298"/>
      <w:bookmarkEnd w:id="299"/>
      <w:bookmarkEnd w:id="300"/>
      <w:bookmarkEnd w:id="301"/>
    </w:p>
    <w:p w14:paraId="7BC9ED7B">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w:t>
      </w:r>
      <w:r>
        <w:rPr>
          <w:rFonts w:hint="eastAsia" w:ascii="宋体" w:hAnsi="宋体" w:cs="宋体"/>
          <w:color w:val="000000" w:themeColor="text1"/>
          <w:sz w:val="24"/>
          <w:highlight w:val="none"/>
          <w:u w:val="single"/>
          <w14:textFill>
            <w14:solidFill>
              <w14:schemeClr w14:val="tx1"/>
            </w14:solidFill>
          </w14:textFill>
        </w:rPr>
        <w:t xml:space="preserve">                        </w:t>
      </w:r>
    </w:p>
    <w:p w14:paraId="537BD2A4">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单位性质：</w:t>
      </w:r>
      <w:r>
        <w:rPr>
          <w:rFonts w:hint="eastAsia" w:ascii="宋体" w:hAnsi="宋体" w:cs="宋体"/>
          <w:color w:val="000000" w:themeColor="text1"/>
          <w:sz w:val="24"/>
          <w:highlight w:val="none"/>
          <w:u w:val="single"/>
          <w14:textFill>
            <w14:solidFill>
              <w14:schemeClr w14:val="tx1"/>
            </w14:solidFill>
          </w14:textFill>
        </w:rPr>
        <w:t xml:space="preserve">                          </w:t>
      </w:r>
    </w:p>
    <w:p w14:paraId="5B4A3148">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成立时间：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2C067E7B">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经营期限：</w:t>
      </w:r>
      <w:r>
        <w:rPr>
          <w:rFonts w:hint="eastAsia" w:ascii="宋体" w:hAnsi="宋体" w:cs="宋体"/>
          <w:color w:val="000000" w:themeColor="text1"/>
          <w:sz w:val="24"/>
          <w:highlight w:val="none"/>
          <w:u w:val="single"/>
          <w14:textFill>
            <w14:solidFill>
              <w14:schemeClr w14:val="tx1"/>
            </w14:solidFill>
          </w14:textFill>
        </w:rPr>
        <w:t xml:space="preserve">                          </w:t>
      </w:r>
    </w:p>
    <w:p w14:paraId="343FFC04">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性别：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职务：</w:t>
      </w:r>
      <w:r>
        <w:rPr>
          <w:rFonts w:hint="eastAsia" w:ascii="宋体" w:hAnsi="宋体" w:cs="宋体"/>
          <w:color w:val="000000" w:themeColor="text1"/>
          <w:sz w:val="24"/>
          <w:highlight w:val="none"/>
          <w:u w:val="single"/>
          <w14:textFill>
            <w14:solidFill>
              <w14:schemeClr w14:val="tx1"/>
            </w14:solidFill>
          </w14:textFill>
        </w:rPr>
        <w:t xml:space="preserve">            </w:t>
      </w:r>
    </w:p>
    <w:p w14:paraId="7A877C07">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（投标人名称）的法定代表人。</w:t>
      </w:r>
    </w:p>
    <w:p w14:paraId="15433BE1">
      <w:pPr>
        <w:spacing w:line="360" w:lineRule="auto"/>
        <w:rPr>
          <w:rFonts w:ascii="宋体" w:hAnsi="宋体" w:cs="宋体"/>
          <w:color w:val="000000" w:themeColor="text1"/>
          <w:sz w:val="24"/>
          <w:highlight w:val="none"/>
          <w14:textFill>
            <w14:solidFill>
              <w14:schemeClr w14:val="tx1"/>
            </w14:solidFill>
          </w14:textFill>
        </w:rPr>
      </w:pPr>
    </w:p>
    <w:p w14:paraId="7979D424">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5E0F100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特此证明。</w:t>
      </w:r>
    </w:p>
    <w:p w14:paraId="67087B4B">
      <w:pPr>
        <w:spacing w:line="360" w:lineRule="auto"/>
        <w:rPr>
          <w:rFonts w:ascii="宋体" w:hAnsi="宋体" w:cs="宋体"/>
          <w:color w:val="000000" w:themeColor="text1"/>
          <w:szCs w:val="21"/>
          <w:highlight w:val="none"/>
          <w14:textFill>
            <w14:solidFill>
              <w14:schemeClr w14:val="tx1"/>
            </w14:solidFill>
          </w14:textFill>
        </w:rPr>
      </w:pPr>
    </w:p>
    <w:p w14:paraId="5316F7E5">
      <w:pPr>
        <w:spacing w:line="360" w:lineRule="auto"/>
        <w:rPr>
          <w:rFonts w:ascii="宋体" w:hAnsi="宋体" w:cs="宋体"/>
          <w:color w:val="000000" w:themeColor="text1"/>
          <w:szCs w:val="21"/>
          <w:highlight w:val="none"/>
          <w14:textFill>
            <w14:solidFill>
              <w14:schemeClr w14:val="tx1"/>
            </w14:solidFill>
          </w14:textFill>
        </w:rPr>
      </w:pPr>
    </w:p>
    <w:p w14:paraId="52189503">
      <w:pPr>
        <w:pStyle w:val="20"/>
        <w:spacing w:line="500" w:lineRule="exact"/>
        <w:ind w:firstLine="42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注:</w:t>
      </w:r>
      <w:r>
        <w:rPr>
          <w:rFonts w:hint="eastAsia" w:hAnsi="宋体" w:cs="宋体"/>
          <w:b/>
          <w:bCs/>
          <w:color w:val="000000" w:themeColor="text1"/>
          <w:sz w:val="24"/>
          <w:highlight w:val="none"/>
          <w14:textFill>
            <w14:solidFill>
              <w14:schemeClr w14:val="tx1"/>
            </w14:solidFill>
          </w14:textFill>
        </w:rPr>
        <w:t>后附法定代表人身份证（扫描件）。</w:t>
      </w:r>
    </w:p>
    <w:p w14:paraId="67B25231">
      <w:pPr>
        <w:spacing w:line="360" w:lineRule="auto"/>
        <w:rPr>
          <w:rFonts w:ascii="宋体" w:hAnsi="宋体" w:cs="宋体"/>
          <w:color w:val="000000" w:themeColor="text1"/>
          <w:szCs w:val="21"/>
          <w:highlight w:val="none"/>
          <w14:textFill>
            <w14:solidFill>
              <w14:schemeClr w14:val="tx1"/>
            </w14:solidFill>
          </w14:textFill>
        </w:rPr>
      </w:pPr>
    </w:p>
    <w:p w14:paraId="1778287E">
      <w:pPr>
        <w:spacing w:line="360" w:lineRule="auto"/>
        <w:rPr>
          <w:rFonts w:ascii="宋体" w:hAnsi="宋体" w:cs="宋体"/>
          <w:color w:val="000000" w:themeColor="text1"/>
          <w:szCs w:val="21"/>
          <w:highlight w:val="none"/>
          <w14:textFill>
            <w14:solidFill>
              <w14:schemeClr w14:val="tx1"/>
            </w14:solidFill>
          </w14:textFill>
        </w:rPr>
      </w:pPr>
    </w:p>
    <w:p w14:paraId="6971B42A">
      <w:pPr>
        <w:spacing w:line="360" w:lineRule="auto"/>
        <w:ind w:firstLine="3306" w:firstLineChars="137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电子签章</w:t>
      </w:r>
      <w:r>
        <w:rPr>
          <w:rFonts w:hint="eastAsia" w:ascii="宋体" w:hAnsi="宋体" w:cs="宋体"/>
          <w:b/>
          <w:color w:val="000000" w:themeColor="text1"/>
          <w:sz w:val="24"/>
          <w:highlight w:val="none"/>
          <w14:textFill>
            <w14:solidFill>
              <w14:schemeClr w14:val="tx1"/>
            </w14:solidFill>
          </w14:textFill>
        </w:rPr>
        <w:t>）</w:t>
      </w:r>
    </w:p>
    <w:p w14:paraId="2E5D0BBF">
      <w:pPr>
        <w:spacing w:line="360" w:lineRule="auto"/>
        <w:ind w:firstLine="3400" w:firstLineChars="1411"/>
        <w:rPr>
          <w:rFonts w:ascii="宋体" w:hAnsi="宋体" w:cs="宋体"/>
          <w:b/>
          <w:color w:val="000000" w:themeColor="text1"/>
          <w:sz w:val="24"/>
          <w:highlight w:val="none"/>
          <w:u w:val="single"/>
          <w14:textFill>
            <w14:solidFill>
              <w14:schemeClr w14:val="tx1"/>
            </w14:solidFill>
          </w14:textFill>
        </w:rPr>
      </w:pPr>
    </w:p>
    <w:p w14:paraId="2F5809E3">
      <w:pPr>
        <w:spacing w:line="360" w:lineRule="auto"/>
        <w:ind w:firstLine="3373" w:firstLineChars="1400"/>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日</w:t>
      </w:r>
    </w:p>
    <w:p w14:paraId="1AEDE16C">
      <w:pPr>
        <w:pStyle w:val="20"/>
        <w:spacing w:line="600" w:lineRule="exac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br w:type="page"/>
      </w:r>
    </w:p>
    <w:p w14:paraId="467A80B4">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07" w:name="_Toc493600019"/>
      <w:bookmarkStart w:id="308" w:name="_Toc30638"/>
      <w:bookmarkStart w:id="309" w:name="_Toc20095"/>
      <w:bookmarkStart w:id="310" w:name="_Toc24212"/>
      <w:bookmarkStart w:id="311" w:name="_Toc31816"/>
      <w:bookmarkStart w:id="312" w:name="_Toc213141107"/>
      <w:bookmarkStart w:id="313" w:name="_Toc26834"/>
      <w:bookmarkStart w:id="314" w:name="_Toc5608"/>
      <w:bookmarkStart w:id="315" w:name="_Toc10376332"/>
      <w:bookmarkStart w:id="316" w:name="_Toc34163786"/>
      <w:bookmarkStart w:id="317" w:name="_Toc21470"/>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eastAsia="宋体" w:cs="宋体"/>
          <w:color w:val="000000" w:themeColor="text1"/>
          <w:szCs w:val="28"/>
          <w:highlight w:val="none"/>
          <w:lang w:val="en-US"/>
          <w14:textFill>
            <w14:solidFill>
              <w14:schemeClr w14:val="tx1"/>
            </w14:solidFill>
          </w14:textFill>
        </w:rPr>
        <w:t>四</w:t>
      </w:r>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eastAsia="宋体" w:cs="宋体"/>
          <w:color w:val="000000" w:themeColor="text1"/>
          <w:sz w:val="32"/>
          <w:szCs w:val="32"/>
          <w:highlight w:val="none"/>
          <w14:textFill>
            <w14:solidFill>
              <w14:schemeClr w14:val="tx1"/>
            </w14:solidFill>
          </w14:textFill>
        </w:rPr>
        <w:t>法定代表人授权委托书</w:t>
      </w:r>
      <w:bookmarkEnd w:id="307"/>
      <w:bookmarkEnd w:id="308"/>
      <w:bookmarkEnd w:id="309"/>
      <w:bookmarkEnd w:id="310"/>
      <w:bookmarkEnd w:id="311"/>
      <w:bookmarkEnd w:id="312"/>
      <w:bookmarkEnd w:id="313"/>
      <w:bookmarkEnd w:id="314"/>
      <w:bookmarkEnd w:id="315"/>
      <w:bookmarkEnd w:id="316"/>
      <w:bookmarkEnd w:id="317"/>
    </w:p>
    <w:p w14:paraId="70D08944">
      <w:pPr>
        <w:pStyle w:val="20"/>
        <w:spacing w:line="500" w:lineRule="exact"/>
        <w:ind w:firstLine="480" w:firstLineChars="200"/>
        <w:rPr>
          <w:rFonts w:hAnsi="宋体" w:cs="宋体"/>
          <w:color w:val="000000" w:themeColor="text1"/>
          <w:sz w:val="24"/>
          <w:szCs w:val="24"/>
          <w:highlight w:val="none"/>
          <w14:textFill>
            <w14:solidFill>
              <w14:schemeClr w14:val="tx1"/>
            </w14:solidFill>
          </w14:textFill>
        </w:rPr>
      </w:pPr>
    </w:p>
    <w:p w14:paraId="3C1ED4D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本授权书声明：</w:t>
      </w:r>
      <w:r>
        <w:rPr>
          <w:rFonts w:hint="eastAsia" w:ascii="宋体" w:hAnsi="宋体" w:cs="宋体"/>
          <w:color w:val="000000" w:themeColor="text1"/>
          <w:sz w:val="24"/>
          <w:highlight w:val="none"/>
          <w:u w:val="single"/>
          <w14:textFill>
            <w14:solidFill>
              <w14:schemeClr w14:val="tx1"/>
            </w14:solidFill>
          </w14:textFill>
        </w:rPr>
        <w:t xml:space="preserve">  （投标人全称） </w:t>
      </w:r>
      <w:r>
        <w:rPr>
          <w:rFonts w:hint="eastAsia" w:ascii="宋体" w:hAnsi="宋体" w:cs="宋体"/>
          <w:color w:val="000000" w:themeColor="text1"/>
          <w:sz w:val="24"/>
          <w:highlight w:val="none"/>
          <w14:textFill>
            <w14:solidFill>
              <w14:schemeClr w14:val="tx1"/>
            </w14:solidFill>
          </w14:textFill>
        </w:rPr>
        <w:t>的法定代表人代表本公司授权</w:t>
      </w:r>
      <w:r>
        <w:rPr>
          <w:rFonts w:hint="eastAsia" w:ascii="宋体" w:hAnsi="宋体" w:cs="宋体"/>
          <w:color w:val="000000" w:themeColor="text1"/>
          <w:sz w:val="24"/>
          <w:highlight w:val="none"/>
          <w:u w:val="single"/>
          <w14:textFill>
            <w14:solidFill>
              <w14:schemeClr w14:val="tx1"/>
            </w14:solidFill>
          </w14:textFill>
        </w:rPr>
        <w:t>（委托代理人姓名）</w:t>
      </w:r>
      <w:r>
        <w:rPr>
          <w:rFonts w:hint="eastAsia" w:ascii="宋体" w:hAnsi="宋体" w:cs="宋体"/>
          <w:color w:val="000000" w:themeColor="text1"/>
          <w:sz w:val="24"/>
          <w:highlight w:val="none"/>
          <w14:textFill>
            <w14:solidFill>
              <w14:schemeClr w14:val="tx1"/>
            </w14:solidFill>
          </w14:textFill>
        </w:rPr>
        <w:t>为本公司合法代理人，就贵方组织的有关</w:t>
      </w:r>
      <w:r>
        <w:rPr>
          <w:rFonts w:hint="eastAsia" w:ascii="宋体" w:hAnsi="宋体" w:cs="宋体"/>
          <w:color w:val="000000" w:themeColor="text1"/>
          <w:sz w:val="24"/>
          <w:highlight w:val="none"/>
          <w:u w:val="single"/>
          <w14:textFill>
            <w14:solidFill>
              <w14:schemeClr w14:val="tx1"/>
            </w14:solidFill>
          </w14:textFill>
        </w:rPr>
        <w:t>（采购项目名称）</w:t>
      </w:r>
      <w:r>
        <w:rPr>
          <w:rFonts w:hint="eastAsia" w:ascii="宋体" w:hAnsi="宋体" w:cs="宋体"/>
          <w:color w:val="000000" w:themeColor="text1"/>
          <w:sz w:val="24"/>
          <w:highlight w:val="none"/>
          <w14:textFill>
            <w14:solidFill>
              <w14:schemeClr w14:val="tx1"/>
            </w14:solidFill>
          </w14:textFill>
        </w:rPr>
        <w:t>项目（项目编号：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）的招标，以本单位名义投标。代理人在本项目投标过程中所签署的一切文件和处理与之有关的一切事务，我方均予承认。</w:t>
      </w:r>
    </w:p>
    <w:p w14:paraId="3BE32375">
      <w:pPr>
        <w:pStyle w:val="20"/>
        <w:spacing w:line="500" w:lineRule="exact"/>
        <w:ind w:firstLine="42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代理人无转委托权。</w:t>
      </w:r>
    </w:p>
    <w:p w14:paraId="162FEFA4">
      <w:pPr>
        <w:pStyle w:val="20"/>
        <w:spacing w:line="500" w:lineRule="exact"/>
        <w:ind w:firstLine="420"/>
        <w:rPr>
          <w:rFonts w:hAnsi="宋体" w:cs="宋体"/>
          <w:color w:val="000000" w:themeColor="text1"/>
          <w:sz w:val="24"/>
          <w:szCs w:val="24"/>
          <w:highlight w:val="none"/>
          <w14:textFill>
            <w14:solidFill>
              <w14:schemeClr w14:val="tx1"/>
            </w14:solidFill>
          </w14:textFill>
        </w:rPr>
      </w:pPr>
    </w:p>
    <w:p w14:paraId="1E9AC932">
      <w:pPr>
        <w:spacing w:line="360" w:lineRule="auto"/>
        <w:ind w:left="4394" w:leftChars="1350" w:hanging="1559" w:hangingChars="647"/>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电子签章</w:t>
      </w:r>
      <w:r>
        <w:rPr>
          <w:rFonts w:hint="eastAsia" w:ascii="宋体" w:hAnsi="宋体" w:cs="宋体"/>
          <w:b/>
          <w:color w:val="000000" w:themeColor="text1"/>
          <w:sz w:val="24"/>
          <w:highlight w:val="none"/>
          <w14:textFill>
            <w14:solidFill>
              <w14:schemeClr w14:val="tx1"/>
            </w14:solidFill>
          </w14:textFill>
        </w:rPr>
        <w:t>）</w:t>
      </w:r>
    </w:p>
    <w:p w14:paraId="44FAB03D">
      <w:pPr>
        <w:spacing w:line="360" w:lineRule="auto"/>
        <w:ind w:left="4394" w:leftChars="1350" w:hanging="1559" w:hangingChars="647"/>
        <w:rPr>
          <w:rFonts w:ascii="宋体" w:hAnsi="宋体" w:cs="宋体"/>
          <w:b/>
          <w:color w:val="000000" w:themeColor="text1"/>
          <w:sz w:val="24"/>
          <w:highlight w:val="none"/>
          <w14:textFill>
            <w14:solidFill>
              <w14:schemeClr w14:val="tx1"/>
            </w14:solidFill>
          </w14:textFill>
        </w:rPr>
      </w:pPr>
    </w:p>
    <w:p w14:paraId="6EB91FD1">
      <w:pPr>
        <w:spacing w:line="360" w:lineRule="auto"/>
        <w:ind w:left="4394" w:leftChars="1350" w:hanging="1559" w:hangingChars="647"/>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法定代表人（电子签名或签章）：</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p>
    <w:p w14:paraId="07CA9FF1">
      <w:pPr>
        <w:spacing w:line="360" w:lineRule="auto"/>
        <w:ind w:left="4394" w:leftChars="1350" w:hanging="1559" w:hangingChars="647"/>
        <w:rPr>
          <w:rFonts w:ascii="宋体" w:hAnsi="宋体" w:cs="宋体"/>
          <w:b/>
          <w:color w:val="000000" w:themeColor="text1"/>
          <w:sz w:val="24"/>
          <w:highlight w:val="none"/>
          <w:u w:val="single"/>
          <w14:textFill>
            <w14:solidFill>
              <w14:schemeClr w14:val="tx1"/>
            </w14:solidFill>
          </w14:textFill>
        </w:rPr>
      </w:pPr>
    </w:p>
    <w:p w14:paraId="160529D1">
      <w:pPr>
        <w:spacing w:line="360" w:lineRule="auto"/>
        <w:ind w:left="4394" w:leftChars="1350" w:hanging="1559" w:hangingChars="647"/>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签发日期：</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日</w:t>
      </w:r>
    </w:p>
    <w:p w14:paraId="0D6515DB">
      <w:pPr>
        <w:pStyle w:val="20"/>
        <w:spacing w:line="500" w:lineRule="exact"/>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__________________________________________________________________________________________</w:t>
      </w:r>
    </w:p>
    <w:tbl>
      <w:tblPr>
        <w:tblStyle w:val="37"/>
        <w:tblW w:w="0" w:type="auto"/>
        <w:tblInd w:w="720" w:type="dxa"/>
        <w:tblLayout w:type="fixed"/>
        <w:tblCellMar>
          <w:top w:w="0" w:type="dxa"/>
          <w:left w:w="108" w:type="dxa"/>
          <w:bottom w:w="0" w:type="dxa"/>
          <w:right w:w="108" w:type="dxa"/>
        </w:tblCellMar>
      </w:tblPr>
      <w:tblGrid>
        <w:gridCol w:w="1908"/>
        <w:gridCol w:w="3960"/>
      </w:tblGrid>
      <w:tr w14:paraId="428975EF">
        <w:tblPrEx>
          <w:tblCellMar>
            <w:top w:w="0" w:type="dxa"/>
            <w:left w:w="108" w:type="dxa"/>
            <w:bottom w:w="0" w:type="dxa"/>
            <w:right w:w="108" w:type="dxa"/>
          </w:tblCellMar>
        </w:tblPrEx>
        <w:tc>
          <w:tcPr>
            <w:tcW w:w="1908" w:type="dxa"/>
            <w:tcBorders>
              <w:top w:val="nil"/>
              <w:left w:val="nil"/>
              <w:bottom w:val="nil"/>
              <w:right w:val="nil"/>
            </w:tcBorders>
          </w:tcPr>
          <w:p w14:paraId="64938E52">
            <w:pPr>
              <w:pStyle w:val="20"/>
              <w:spacing w:line="500" w:lineRule="exact"/>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附： </w:t>
            </w:r>
          </w:p>
        </w:tc>
        <w:tc>
          <w:tcPr>
            <w:tcW w:w="3960" w:type="dxa"/>
            <w:tcBorders>
              <w:top w:val="nil"/>
              <w:left w:val="nil"/>
              <w:bottom w:val="nil"/>
              <w:right w:val="nil"/>
            </w:tcBorders>
          </w:tcPr>
          <w:p w14:paraId="6F197A4F">
            <w:pPr>
              <w:pStyle w:val="20"/>
              <w:spacing w:line="500" w:lineRule="exact"/>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ab/>
            </w:r>
            <w:r>
              <w:rPr>
                <w:rFonts w:hint="eastAsia" w:hAnsi="宋体" w:cs="宋体"/>
                <w:color w:val="000000" w:themeColor="text1"/>
                <w:highlight w:val="none"/>
                <w14:textFill>
                  <w14:solidFill>
                    <w14:schemeClr w14:val="tx1"/>
                  </w14:solidFill>
                </w14:textFill>
              </w:rPr>
              <w:tab/>
            </w:r>
            <w:r>
              <w:rPr>
                <w:rFonts w:hint="eastAsia" w:hAnsi="宋体" w:cs="宋体"/>
                <w:color w:val="000000" w:themeColor="text1"/>
                <w:highlight w:val="none"/>
                <w14:textFill>
                  <w14:solidFill>
                    <w14:schemeClr w14:val="tx1"/>
                  </w14:solidFill>
                </w14:textFill>
              </w:rPr>
              <w:tab/>
            </w:r>
            <w:r>
              <w:rPr>
                <w:rFonts w:hint="eastAsia" w:hAnsi="宋体" w:cs="宋体"/>
                <w:color w:val="000000" w:themeColor="text1"/>
                <w:highlight w:val="none"/>
                <w14:textFill>
                  <w14:solidFill>
                    <w14:schemeClr w14:val="tx1"/>
                  </w14:solidFill>
                </w14:textFill>
              </w:rPr>
              <w:tab/>
            </w:r>
            <w:r>
              <w:rPr>
                <w:rFonts w:hint="eastAsia" w:hAnsi="宋体" w:cs="宋体"/>
                <w:color w:val="000000" w:themeColor="text1"/>
                <w:highlight w:val="none"/>
                <w14:textFill>
                  <w14:solidFill>
                    <w14:schemeClr w14:val="tx1"/>
                  </w14:solidFill>
                </w14:textFill>
              </w:rPr>
              <w:tab/>
            </w:r>
          </w:p>
        </w:tc>
      </w:tr>
      <w:tr w14:paraId="53F55F91">
        <w:tblPrEx>
          <w:tblCellMar>
            <w:top w:w="0" w:type="dxa"/>
            <w:left w:w="108" w:type="dxa"/>
            <w:bottom w:w="0" w:type="dxa"/>
            <w:right w:w="108" w:type="dxa"/>
          </w:tblCellMar>
        </w:tblPrEx>
        <w:tc>
          <w:tcPr>
            <w:tcW w:w="1908" w:type="dxa"/>
            <w:tcBorders>
              <w:top w:val="nil"/>
              <w:left w:val="nil"/>
              <w:bottom w:val="nil"/>
              <w:right w:val="nil"/>
            </w:tcBorders>
          </w:tcPr>
          <w:p w14:paraId="2F0E5963">
            <w:pPr>
              <w:pStyle w:val="20"/>
              <w:spacing w:line="500" w:lineRule="exact"/>
              <w:jc w:val="distribute"/>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委托代理人姓名：</w:t>
            </w:r>
          </w:p>
        </w:tc>
        <w:tc>
          <w:tcPr>
            <w:tcW w:w="3960" w:type="dxa"/>
            <w:tcBorders>
              <w:top w:val="nil"/>
              <w:left w:val="nil"/>
              <w:bottom w:val="nil"/>
              <w:right w:val="nil"/>
            </w:tcBorders>
          </w:tcPr>
          <w:p w14:paraId="6D3B6BAB">
            <w:pPr>
              <w:pStyle w:val="20"/>
              <w:spacing w:line="500" w:lineRule="exact"/>
              <w:rPr>
                <w:rFonts w:hAnsi="宋体" w:cs="宋体"/>
                <w:color w:val="000000" w:themeColor="text1"/>
                <w:highlight w:val="none"/>
                <w14:textFill>
                  <w14:solidFill>
                    <w14:schemeClr w14:val="tx1"/>
                  </w14:solidFill>
                </w14:textFill>
              </w:rPr>
            </w:pPr>
          </w:p>
        </w:tc>
      </w:tr>
      <w:tr w14:paraId="1F80CC48">
        <w:tblPrEx>
          <w:tblCellMar>
            <w:top w:w="0" w:type="dxa"/>
            <w:left w:w="108" w:type="dxa"/>
            <w:bottom w:w="0" w:type="dxa"/>
            <w:right w:w="108" w:type="dxa"/>
          </w:tblCellMar>
        </w:tblPrEx>
        <w:tc>
          <w:tcPr>
            <w:tcW w:w="1908" w:type="dxa"/>
            <w:tcBorders>
              <w:top w:val="nil"/>
              <w:left w:val="nil"/>
              <w:bottom w:val="nil"/>
              <w:right w:val="nil"/>
            </w:tcBorders>
          </w:tcPr>
          <w:p w14:paraId="7C50D2D3">
            <w:pPr>
              <w:pStyle w:val="20"/>
              <w:spacing w:line="500" w:lineRule="exact"/>
              <w:jc w:val="distribute"/>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职       务：</w:t>
            </w:r>
          </w:p>
        </w:tc>
        <w:tc>
          <w:tcPr>
            <w:tcW w:w="3960" w:type="dxa"/>
            <w:tcBorders>
              <w:top w:val="nil"/>
              <w:left w:val="nil"/>
              <w:bottom w:val="nil"/>
              <w:right w:val="nil"/>
            </w:tcBorders>
          </w:tcPr>
          <w:p w14:paraId="4C52EA66">
            <w:pPr>
              <w:pStyle w:val="20"/>
              <w:spacing w:line="500" w:lineRule="exact"/>
              <w:rPr>
                <w:rFonts w:hAnsi="宋体" w:cs="宋体"/>
                <w:color w:val="000000" w:themeColor="text1"/>
                <w:highlight w:val="none"/>
                <w14:textFill>
                  <w14:solidFill>
                    <w14:schemeClr w14:val="tx1"/>
                  </w14:solidFill>
                </w14:textFill>
              </w:rPr>
            </w:pPr>
          </w:p>
        </w:tc>
      </w:tr>
      <w:tr w14:paraId="26E87D73">
        <w:tblPrEx>
          <w:tblCellMar>
            <w:top w:w="0" w:type="dxa"/>
            <w:left w:w="108" w:type="dxa"/>
            <w:bottom w:w="0" w:type="dxa"/>
            <w:right w:w="108" w:type="dxa"/>
          </w:tblCellMar>
        </w:tblPrEx>
        <w:tc>
          <w:tcPr>
            <w:tcW w:w="1908" w:type="dxa"/>
            <w:tcBorders>
              <w:top w:val="nil"/>
              <w:left w:val="nil"/>
              <w:bottom w:val="nil"/>
              <w:right w:val="nil"/>
            </w:tcBorders>
          </w:tcPr>
          <w:p w14:paraId="7E4843FD">
            <w:pPr>
              <w:pStyle w:val="20"/>
              <w:spacing w:line="500" w:lineRule="exact"/>
              <w:jc w:val="distribute"/>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身份证号码：</w:t>
            </w:r>
          </w:p>
        </w:tc>
        <w:tc>
          <w:tcPr>
            <w:tcW w:w="3960" w:type="dxa"/>
            <w:tcBorders>
              <w:top w:val="nil"/>
              <w:left w:val="nil"/>
              <w:bottom w:val="nil"/>
              <w:right w:val="nil"/>
            </w:tcBorders>
          </w:tcPr>
          <w:p w14:paraId="10700175">
            <w:pPr>
              <w:pStyle w:val="20"/>
              <w:spacing w:line="500" w:lineRule="exact"/>
              <w:rPr>
                <w:rFonts w:hAnsi="宋体" w:cs="宋体"/>
                <w:color w:val="000000" w:themeColor="text1"/>
                <w:highlight w:val="none"/>
                <w14:textFill>
                  <w14:solidFill>
                    <w14:schemeClr w14:val="tx1"/>
                  </w14:solidFill>
                </w14:textFill>
              </w:rPr>
            </w:pPr>
          </w:p>
        </w:tc>
      </w:tr>
      <w:tr w14:paraId="22A2AAF0">
        <w:tblPrEx>
          <w:tblCellMar>
            <w:top w:w="0" w:type="dxa"/>
            <w:left w:w="108" w:type="dxa"/>
            <w:bottom w:w="0" w:type="dxa"/>
            <w:right w:w="108" w:type="dxa"/>
          </w:tblCellMar>
        </w:tblPrEx>
        <w:tc>
          <w:tcPr>
            <w:tcW w:w="1908" w:type="dxa"/>
            <w:tcBorders>
              <w:top w:val="nil"/>
              <w:left w:val="nil"/>
              <w:bottom w:val="nil"/>
              <w:right w:val="nil"/>
            </w:tcBorders>
          </w:tcPr>
          <w:p w14:paraId="5A5B7FC7">
            <w:pPr>
              <w:pStyle w:val="20"/>
              <w:spacing w:line="500" w:lineRule="exact"/>
              <w:jc w:val="distribute"/>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详 细  地 址：</w:t>
            </w:r>
          </w:p>
        </w:tc>
        <w:tc>
          <w:tcPr>
            <w:tcW w:w="3960" w:type="dxa"/>
            <w:tcBorders>
              <w:top w:val="nil"/>
              <w:left w:val="nil"/>
              <w:bottom w:val="nil"/>
              <w:right w:val="nil"/>
            </w:tcBorders>
          </w:tcPr>
          <w:p w14:paraId="029C03DF">
            <w:pPr>
              <w:pStyle w:val="20"/>
              <w:spacing w:line="500" w:lineRule="exact"/>
              <w:rPr>
                <w:rFonts w:hAnsi="宋体" w:cs="宋体"/>
                <w:color w:val="000000" w:themeColor="text1"/>
                <w:highlight w:val="none"/>
                <w14:textFill>
                  <w14:solidFill>
                    <w14:schemeClr w14:val="tx1"/>
                  </w14:solidFill>
                </w14:textFill>
              </w:rPr>
            </w:pPr>
          </w:p>
        </w:tc>
      </w:tr>
      <w:tr w14:paraId="407181D9">
        <w:tblPrEx>
          <w:tblCellMar>
            <w:top w:w="0" w:type="dxa"/>
            <w:left w:w="108" w:type="dxa"/>
            <w:bottom w:w="0" w:type="dxa"/>
            <w:right w:w="108" w:type="dxa"/>
          </w:tblCellMar>
        </w:tblPrEx>
        <w:tc>
          <w:tcPr>
            <w:tcW w:w="1908" w:type="dxa"/>
            <w:tcBorders>
              <w:top w:val="nil"/>
              <w:left w:val="nil"/>
              <w:bottom w:val="nil"/>
              <w:right w:val="nil"/>
            </w:tcBorders>
          </w:tcPr>
          <w:p w14:paraId="1D8CCED3">
            <w:pPr>
              <w:pStyle w:val="20"/>
              <w:spacing w:line="500" w:lineRule="exact"/>
              <w:jc w:val="distribute"/>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电       话：</w:t>
            </w:r>
          </w:p>
        </w:tc>
        <w:tc>
          <w:tcPr>
            <w:tcW w:w="3960" w:type="dxa"/>
            <w:tcBorders>
              <w:top w:val="nil"/>
              <w:left w:val="nil"/>
              <w:bottom w:val="nil"/>
              <w:right w:val="nil"/>
            </w:tcBorders>
          </w:tcPr>
          <w:p w14:paraId="16E78012">
            <w:pPr>
              <w:pStyle w:val="20"/>
              <w:spacing w:line="500" w:lineRule="exact"/>
              <w:rPr>
                <w:rFonts w:hAnsi="宋体" w:cs="宋体"/>
                <w:color w:val="000000" w:themeColor="text1"/>
                <w:highlight w:val="none"/>
                <w14:textFill>
                  <w14:solidFill>
                    <w14:schemeClr w14:val="tx1"/>
                  </w14:solidFill>
                </w14:textFill>
              </w:rPr>
            </w:pPr>
          </w:p>
        </w:tc>
      </w:tr>
    </w:tbl>
    <w:p w14:paraId="23EB796E">
      <w:pPr>
        <w:pStyle w:val="20"/>
        <w:spacing w:line="500" w:lineRule="exact"/>
        <w:rPr>
          <w:rFonts w:hAnsi="宋体" w:cs="宋体"/>
          <w:color w:val="000000" w:themeColor="text1"/>
          <w:sz w:val="24"/>
          <w:szCs w:val="24"/>
          <w:highlight w:val="none"/>
          <w14:textFill>
            <w14:solidFill>
              <w14:schemeClr w14:val="tx1"/>
            </w14:solidFill>
          </w14:textFill>
        </w:rPr>
      </w:pPr>
    </w:p>
    <w:p w14:paraId="198E377A">
      <w:pPr>
        <w:pStyle w:val="20"/>
        <w:spacing w:line="500" w:lineRule="exact"/>
        <w:ind w:firstLine="420"/>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注:1.</w:t>
      </w:r>
      <w:r>
        <w:rPr>
          <w:rFonts w:hint="eastAsia" w:hAnsi="宋体" w:cs="宋体"/>
          <w:b/>
          <w:bCs/>
          <w:color w:val="000000" w:themeColor="text1"/>
          <w:sz w:val="24"/>
          <w:highlight w:val="none"/>
          <w14:textFill>
            <w14:solidFill>
              <w14:schemeClr w14:val="tx1"/>
            </w14:solidFill>
          </w14:textFill>
        </w:rPr>
        <w:t>附委托代理人身份证（扫描件）。</w:t>
      </w:r>
    </w:p>
    <w:p w14:paraId="4DF38D88">
      <w:pPr>
        <w:pStyle w:val="20"/>
        <w:spacing w:line="500" w:lineRule="exact"/>
        <w:ind w:firstLine="776" w:firstLineChars="322"/>
        <w:rPr>
          <w:rFonts w:hAnsi="宋体" w:cs="宋体"/>
          <w:b/>
          <w:bCs/>
          <w:color w:val="000000" w:themeColor="text1"/>
          <w:sz w:val="24"/>
          <w:szCs w:val="24"/>
          <w:highlight w:val="none"/>
          <w14:textFill>
            <w14:solidFill>
              <w14:schemeClr w14:val="tx1"/>
            </w14:solidFill>
          </w14:textFill>
        </w:rPr>
      </w:pPr>
    </w:p>
    <w:p w14:paraId="57A71EF5">
      <w:pPr>
        <w:pStyle w:val="20"/>
        <w:spacing w:line="600" w:lineRule="exact"/>
        <w:rPr>
          <w:rFonts w:hAnsi="宋体" w:cs="宋体"/>
          <w:b/>
          <w:color w:val="000000" w:themeColor="text1"/>
          <w:sz w:val="28"/>
          <w:szCs w:val="28"/>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br w:type="page"/>
      </w:r>
    </w:p>
    <w:p w14:paraId="7457C78E">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18" w:name="_Toc23158"/>
      <w:bookmarkStart w:id="319" w:name="_Toc3780"/>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五</w:t>
      </w:r>
      <w:r>
        <w:rPr>
          <w:rFonts w:hint="eastAsia" w:ascii="宋体" w:hAnsi="宋体" w:eastAsia="宋体" w:cs="宋体"/>
          <w:color w:val="000000" w:themeColor="text1"/>
          <w:sz w:val="32"/>
          <w:szCs w:val="32"/>
          <w:highlight w:val="none"/>
          <w14:textFill>
            <w14:solidFill>
              <w14:schemeClr w14:val="tx1"/>
            </w14:solidFill>
          </w14:textFill>
        </w:rPr>
        <w:t>）投标报价汇总表</w:t>
      </w:r>
      <w:bookmarkEnd w:id="302"/>
      <w:bookmarkEnd w:id="303"/>
      <w:bookmarkEnd w:id="304"/>
      <w:bookmarkEnd w:id="305"/>
      <w:bookmarkEnd w:id="306"/>
      <w:bookmarkEnd w:id="318"/>
      <w:bookmarkEnd w:id="319"/>
    </w:p>
    <w:p w14:paraId="7F4B71D7">
      <w:pPr>
        <w:spacing w:line="5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项目名称：                                        项目编号：</w:t>
      </w:r>
    </w:p>
    <w:tbl>
      <w:tblPr>
        <w:tblStyle w:val="37"/>
        <w:tblW w:w="49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55"/>
        <w:gridCol w:w="1977"/>
        <w:gridCol w:w="856"/>
        <w:gridCol w:w="652"/>
        <w:gridCol w:w="877"/>
        <w:gridCol w:w="1006"/>
        <w:gridCol w:w="590"/>
        <w:gridCol w:w="675"/>
        <w:gridCol w:w="696"/>
        <w:gridCol w:w="1058"/>
        <w:gridCol w:w="671"/>
      </w:tblGrid>
      <w:tr w14:paraId="56A2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13" w:hRule="atLeast"/>
        </w:trPr>
        <w:tc>
          <w:tcPr>
            <w:tcW w:w="289" w:type="pct"/>
            <w:tcBorders>
              <w:top w:val="single" w:color="auto" w:sz="4" w:space="0"/>
              <w:left w:val="single" w:color="auto" w:sz="4" w:space="0"/>
              <w:bottom w:val="single" w:color="auto" w:sz="4" w:space="0"/>
              <w:right w:val="single" w:color="auto" w:sz="4" w:space="0"/>
            </w:tcBorders>
            <w:vAlign w:val="center"/>
          </w:tcPr>
          <w:p w14:paraId="6EB08B10">
            <w:pPr>
              <w:spacing w:before="240" w:after="240"/>
              <w:jc w:val="center"/>
              <w:rPr>
                <w:rFonts w:ascii="宋体" w:hAnsi="宋体" w:cs="宋体"/>
                <w:b/>
                <w:bCs/>
                <w:color w:val="000000" w:themeColor="text1"/>
                <w:highlight w:val="none"/>
                <w14:textFill>
                  <w14:solidFill>
                    <w14:schemeClr w14:val="tx1"/>
                  </w14:solidFill>
                </w14:textFill>
              </w:rPr>
            </w:pPr>
            <w:bookmarkStart w:id="320" w:name="_Hlk102986765"/>
            <w:r>
              <w:rPr>
                <w:rFonts w:hint="eastAsia" w:ascii="宋体" w:hAnsi="宋体" w:cs="宋体"/>
                <w:b/>
                <w:bCs/>
                <w:color w:val="000000" w:themeColor="text1"/>
                <w:highlight w:val="none"/>
                <w14:textFill>
                  <w14:solidFill>
                    <w14:schemeClr w14:val="tx1"/>
                  </w14:solidFill>
                </w14:textFill>
              </w:rPr>
              <w:t>序号</w:t>
            </w:r>
          </w:p>
        </w:tc>
        <w:tc>
          <w:tcPr>
            <w:tcW w:w="1028" w:type="pct"/>
            <w:tcBorders>
              <w:top w:val="single" w:color="auto" w:sz="4" w:space="0"/>
              <w:left w:val="single" w:color="auto" w:sz="4" w:space="0"/>
              <w:bottom w:val="single" w:color="auto" w:sz="4" w:space="0"/>
              <w:right w:val="single" w:color="auto" w:sz="4" w:space="0"/>
            </w:tcBorders>
            <w:vAlign w:val="center"/>
          </w:tcPr>
          <w:p w14:paraId="27729E9A">
            <w:pPr>
              <w:spacing w:before="240" w:after="240"/>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货物名称</w:t>
            </w:r>
          </w:p>
        </w:tc>
        <w:tc>
          <w:tcPr>
            <w:tcW w:w="445" w:type="pct"/>
            <w:tcBorders>
              <w:top w:val="single" w:color="auto" w:sz="4" w:space="0"/>
              <w:left w:val="single" w:color="auto" w:sz="4" w:space="0"/>
              <w:bottom w:val="single" w:color="auto" w:sz="4" w:space="0"/>
              <w:right w:val="single" w:color="auto" w:sz="4" w:space="0"/>
            </w:tcBorders>
            <w:vAlign w:val="center"/>
          </w:tcPr>
          <w:p w14:paraId="707D832B">
            <w:pPr>
              <w:spacing w:before="240" w:after="240"/>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品牌</w:t>
            </w:r>
          </w:p>
        </w:tc>
        <w:tc>
          <w:tcPr>
            <w:tcW w:w="339" w:type="pct"/>
            <w:tcBorders>
              <w:top w:val="single" w:color="auto" w:sz="4" w:space="0"/>
              <w:left w:val="single" w:color="auto" w:sz="4" w:space="0"/>
              <w:bottom w:val="single" w:color="auto" w:sz="4" w:space="0"/>
              <w:right w:val="single" w:color="auto" w:sz="4" w:space="0"/>
            </w:tcBorders>
            <w:vAlign w:val="center"/>
          </w:tcPr>
          <w:p w14:paraId="305FACEF">
            <w:pPr>
              <w:spacing w:before="240" w:after="240"/>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型号和规格</w:t>
            </w:r>
          </w:p>
        </w:tc>
        <w:tc>
          <w:tcPr>
            <w:tcW w:w="456" w:type="pct"/>
            <w:tcBorders>
              <w:top w:val="single" w:color="auto" w:sz="4" w:space="0"/>
              <w:left w:val="single" w:color="auto" w:sz="4" w:space="0"/>
              <w:bottom w:val="single" w:color="auto" w:sz="4" w:space="0"/>
              <w:right w:val="single" w:color="auto" w:sz="4" w:space="0"/>
            </w:tcBorders>
            <w:vAlign w:val="center"/>
          </w:tcPr>
          <w:p w14:paraId="5F02C0CE">
            <w:pPr>
              <w:spacing w:before="240" w:after="240"/>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制造商名称、国别</w:t>
            </w:r>
          </w:p>
        </w:tc>
        <w:tc>
          <w:tcPr>
            <w:tcW w:w="523" w:type="pct"/>
            <w:tcBorders>
              <w:top w:val="single" w:color="auto" w:sz="4" w:space="0"/>
              <w:left w:val="single" w:color="auto" w:sz="4" w:space="0"/>
              <w:bottom w:val="single" w:color="auto" w:sz="4" w:space="0"/>
              <w:right w:val="single" w:color="auto" w:sz="4" w:space="0"/>
            </w:tcBorders>
            <w:vAlign w:val="center"/>
          </w:tcPr>
          <w:p w14:paraId="66FBD858">
            <w:pPr>
              <w:spacing w:before="240" w:after="240"/>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产品原产地</w:t>
            </w:r>
          </w:p>
        </w:tc>
        <w:tc>
          <w:tcPr>
            <w:tcW w:w="307" w:type="pct"/>
            <w:tcBorders>
              <w:top w:val="single" w:color="auto" w:sz="4" w:space="0"/>
              <w:left w:val="single" w:color="auto" w:sz="4" w:space="0"/>
              <w:bottom w:val="single" w:color="auto" w:sz="4" w:space="0"/>
              <w:right w:val="single" w:color="auto" w:sz="4" w:space="0"/>
            </w:tcBorders>
            <w:vAlign w:val="center"/>
          </w:tcPr>
          <w:p w14:paraId="12BCC67C">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数量</w:t>
            </w:r>
          </w:p>
        </w:tc>
        <w:tc>
          <w:tcPr>
            <w:tcW w:w="351" w:type="pct"/>
            <w:tcBorders>
              <w:top w:val="single" w:color="auto" w:sz="4" w:space="0"/>
              <w:left w:val="single" w:color="auto" w:sz="4" w:space="0"/>
              <w:right w:val="single" w:color="auto" w:sz="4" w:space="0"/>
            </w:tcBorders>
          </w:tcPr>
          <w:p w14:paraId="070EB0F4">
            <w:pPr>
              <w:spacing w:before="240" w:after="240"/>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计量</w:t>
            </w:r>
          </w:p>
          <w:p w14:paraId="62345074">
            <w:pPr>
              <w:spacing w:before="240" w:after="240"/>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单位</w:t>
            </w:r>
          </w:p>
        </w:tc>
        <w:tc>
          <w:tcPr>
            <w:tcW w:w="357" w:type="pct"/>
            <w:tcBorders>
              <w:top w:val="single" w:color="auto" w:sz="4" w:space="0"/>
              <w:left w:val="single" w:color="auto" w:sz="4" w:space="0"/>
              <w:right w:val="single" w:color="auto" w:sz="4" w:space="0"/>
            </w:tcBorders>
            <w:vAlign w:val="center"/>
          </w:tcPr>
          <w:p w14:paraId="760FD6A1">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单价（元）</w:t>
            </w:r>
          </w:p>
        </w:tc>
        <w:tc>
          <w:tcPr>
            <w:tcW w:w="550" w:type="pct"/>
            <w:tcBorders>
              <w:top w:val="single" w:color="auto" w:sz="4" w:space="0"/>
              <w:left w:val="single" w:color="auto" w:sz="4" w:space="0"/>
              <w:bottom w:val="single" w:color="auto" w:sz="4" w:space="0"/>
              <w:right w:val="single" w:color="auto" w:sz="4" w:space="0"/>
            </w:tcBorders>
            <w:vAlign w:val="center"/>
          </w:tcPr>
          <w:p w14:paraId="45C618A3">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小计（元）</w:t>
            </w:r>
          </w:p>
        </w:tc>
        <w:tc>
          <w:tcPr>
            <w:tcW w:w="349" w:type="pct"/>
            <w:tcBorders>
              <w:top w:val="single" w:color="auto" w:sz="4" w:space="0"/>
              <w:left w:val="single" w:color="auto" w:sz="4" w:space="0"/>
              <w:bottom w:val="single" w:color="auto" w:sz="4" w:space="0"/>
              <w:right w:val="single" w:color="auto" w:sz="4" w:space="0"/>
            </w:tcBorders>
            <w:vAlign w:val="center"/>
          </w:tcPr>
          <w:p w14:paraId="37C0D4C3">
            <w:pPr>
              <w:spacing w:before="240" w:after="240"/>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备注</w:t>
            </w:r>
          </w:p>
        </w:tc>
      </w:tr>
      <w:tr w14:paraId="4D4A4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289" w:type="pct"/>
            <w:tcBorders>
              <w:top w:val="single" w:color="auto" w:sz="4" w:space="0"/>
              <w:left w:val="single" w:color="auto" w:sz="4" w:space="0"/>
              <w:bottom w:val="single" w:color="auto" w:sz="4" w:space="0"/>
              <w:right w:val="single" w:color="auto" w:sz="4" w:space="0"/>
            </w:tcBorders>
            <w:vAlign w:val="center"/>
          </w:tcPr>
          <w:p w14:paraId="3A312E8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028" w:type="pct"/>
            <w:tcBorders>
              <w:top w:val="single" w:color="auto" w:sz="4" w:space="0"/>
              <w:left w:val="single" w:color="auto" w:sz="4" w:space="0"/>
              <w:bottom w:val="single" w:color="auto" w:sz="4" w:space="0"/>
              <w:right w:val="single" w:color="auto" w:sz="4" w:space="0"/>
            </w:tcBorders>
          </w:tcPr>
          <w:p w14:paraId="7E2C965A">
            <w:pPr>
              <w:jc w:val="center"/>
              <w:rPr>
                <w:rFonts w:ascii="宋体" w:hAnsi="宋体" w:cs="宋体"/>
                <w:color w:val="000000" w:themeColor="text1"/>
                <w:highlight w:val="none"/>
                <w14:textFill>
                  <w14:solidFill>
                    <w14:schemeClr w14:val="tx1"/>
                  </w14:solidFill>
                </w14:textFill>
              </w:rPr>
            </w:pPr>
          </w:p>
        </w:tc>
        <w:tc>
          <w:tcPr>
            <w:tcW w:w="445" w:type="pct"/>
            <w:tcBorders>
              <w:top w:val="single" w:color="auto" w:sz="4" w:space="0"/>
              <w:left w:val="single" w:color="auto" w:sz="4" w:space="0"/>
              <w:bottom w:val="single" w:color="auto" w:sz="4" w:space="0"/>
              <w:right w:val="single" w:color="auto" w:sz="4" w:space="0"/>
            </w:tcBorders>
          </w:tcPr>
          <w:p w14:paraId="33EBDDE8">
            <w:pPr>
              <w:rPr>
                <w:rFonts w:ascii="宋体" w:hAnsi="宋体" w:cs="宋体"/>
                <w:color w:val="000000" w:themeColor="text1"/>
                <w:highlight w:val="none"/>
                <w14:textFill>
                  <w14:solidFill>
                    <w14:schemeClr w14:val="tx1"/>
                  </w14:solidFill>
                </w14:textFill>
              </w:rPr>
            </w:pPr>
          </w:p>
        </w:tc>
        <w:tc>
          <w:tcPr>
            <w:tcW w:w="339" w:type="pct"/>
            <w:tcBorders>
              <w:top w:val="single" w:color="auto" w:sz="4" w:space="0"/>
              <w:left w:val="single" w:color="auto" w:sz="4" w:space="0"/>
              <w:bottom w:val="single" w:color="auto" w:sz="4" w:space="0"/>
              <w:right w:val="single" w:color="auto" w:sz="4" w:space="0"/>
            </w:tcBorders>
          </w:tcPr>
          <w:p w14:paraId="0633E279">
            <w:pPr>
              <w:rPr>
                <w:rFonts w:ascii="宋体" w:hAnsi="宋体" w:cs="宋体"/>
                <w:color w:val="000000" w:themeColor="text1"/>
                <w:highlight w:val="none"/>
                <w14:textFill>
                  <w14:solidFill>
                    <w14:schemeClr w14:val="tx1"/>
                  </w14:solidFill>
                </w14:textFill>
              </w:rPr>
            </w:pPr>
          </w:p>
        </w:tc>
        <w:tc>
          <w:tcPr>
            <w:tcW w:w="456" w:type="pct"/>
            <w:tcBorders>
              <w:top w:val="single" w:color="auto" w:sz="4" w:space="0"/>
              <w:left w:val="single" w:color="auto" w:sz="4" w:space="0"/>
              <w:bottom w:val="single" w:color="auto" w:sz="4" w:space="0"/>
              <w:right w:val="single" w:color="auto" w:sz="4" w:space="0"/>
            </w:tcBorders>
          </w:tcPr>
          <w:p w14:paraId="5F916426">
            <w:pPr>
              <w:rPr>
                <w:rFonts w:ascii="宋体" w:hAnsi="宋体" w:cs="宋体"/>
                <w:color w:val="000000" w:themeColor="text1"/>
                <w:highlight w:val="none"/>
                <w14:textFill>
                  <w14:solidFill>
                    <w14:schemeClr w14:val="tx1"/>
                  </w14:solidFill>
                </w14:textFill>
              </w:rPr>
            </w:pPr>
          </w:p>
        </w:tc>
        <w:tc>
          <w:tcPr>
            <w:tcW w:w="523" w:type="pct"/>
            <w:tcBorders>
              <w:top w:val="single" w:color="auto" w:sz="4" w:space="0"/>
              <w:left w:val="single" w:color="auto" w:sz="4" w:space="0"/>
              <w:bottom w:val="single" w:color="auto" w:sz="4" w:space="0"/>
              <w:right w:val="single" w:color="auto" w:sz="4" w:space="0"/>
            </w:tcBorders>
          </w:tcPr>
          <w:p w14:paraId="4B8A8C94">
            <w:pPr>
              <w:rPr>
                <w:rFonts w:ascii="宋体" w:hAnsi="宋体" w:cs="宋体"/>
                <w:color w:val="000000" w:themeColor="text1"/>
                <w:highlight w:val="none"/>
                <w14:textFill>
                  <w14:solidFill>
                    <w14:schemeClr w14:val="tx1"/>
                  </w14:solidFill>
                </w14:textFill>
              </w:rPr>
            </w:pPr>
          </w:p>
        </w:tc>
        <w:tc>
          <w:tcPr>
            <w:tcW w:w="307" w:type="pct"/>
            <w:tcBorders>
              <w:top w:val="single" w:color="auto" w:sz="4" w:space="0"/>
              <w:left w:val="single" w:color="auto" w:sz="4" w:space="0"/>
              <w:bottom w:val="single" w:color="auto" w:sz="4" w:space="0"/>
              <w:right w:val="single" w:color="auto" w:sz="4" w:space="0"/>
            </w:tcBorders>
            <w:vAlign w:val="center"/>
          </w:tcPr>
          <w:p w14:paraId="41479DCA">
            <w:pPr>
              <w:jc w:val="center"/>
              <w:rPr>
                <w:rFonts w:ascii="宋体" w:hAnsi="宋体" w:cs="宋体"/>
                <w:color w:val="000000" w:themeColor="text1"/>
                <w:highlight w:val="none"/>
                <w14:textFill>
                  <w14:solidFill>
                    <w14:schemeClr w14:val="tx1"/>
                  </w14:solidFill>
                </w14:textFill>
              </w:rPr>
            </w:pPr>
          </w:p>
        </w:tc>
        <w:tc>
          <w:tcPr>
            <w:tcW w:w="351" w:type="pct"/>
            <w:tcBorders>
              <w:top w:val="single" w:color="auto" w:sz="4" w:space="0"/>
              <w:left w:val="single" w:color="auto" w:sz="4" w:space="0"/>
              <w:bottom w:val="single" w:color="auto" w:sz="4" w:space="0"/>
              <w:right w:val="single" w:color="auto" w:sz="4" w:space="0"/>
            </w:tcBorders>
          </w:tcPr>
          <w:p w14:paraId="6079AAF9">
            <w:pPr>
              <w:rPr>
                <w:rFonts w:ascii="宋体" w:hAnsi="宋体" w:cs="宋体"/>
                <w:color w:val="000000" w:themeColor="text1"/>
                <w:highlight w:val="none"/>
                <w14:textFill>
                  <w14:solidFill>
                    <w14:schemeClr w14:val="tx1"/>
                  </w14:solidFill>
                </w14:textFill>
              </w:rPr>
            </w:pPr>
          </w:p>
        </w:tc>
        <w:tc>
          <w:tcPr>
            <w:tcW w:w="357" w:type="pct"/>
            <w:tcBorders>
              <w:top w:val="single" w:color="auto" w:sz="4" w:space="0"/>
              <w:left w:val="single" w:color="auto" w:sz="4" w:space="0"/>
              <w:bottom w:val="single" w:color="auto" w:sz="4" w:space="0"/>
              <w:right w:val="single" w:color="auto" w:sz="4" w:space="0"/>
            </w:tcBorders>
          </w:tcPr>
          <w:p w14:paraId="02477056">
            <w:pPr>
              <w:rPr>
                <w:rFonts w:ascii="宋体" w:hAnsi="宋体" w:cs="宋体"/>
                <w:color w:val="000000" w:themeColor="text1"/>
                <w:highlight w:val="none"/>
                <w14:textFill>
                  <w14:solidFill>
                    <w14:schemeClr w14:val="tx1"/>
                  </w14:solidFill>
                </w14:textFill>
              </w:rPr>
            </w:pPr>
          </w:p>
        </w:tc>
        <w:tc>
          <w:tcPr>
            <w:tcW w:w="550" w:type="pct"/>
            <w:tcBorders>
              <w:top w:val="single" w:color="auto" w:sz="4" w:space="0"/>
              <w:left w:val="single" w:color="auto" w:sz="4" w:space="0"/>
              <w:bottom w:val="single" w:color="auto" w:sz="4" w:space="0"/>
              <w:right w:val="single" w:color="auto" w:sz="4" w:space="0"/>
            </w:tcBorders>
          </w:tcPr>
          <w:p w14:paraId="5F12F438">
            <w:pPr>
              <w:rPr>
                <w:rFonts w:ascii="宋体" w:hAnsi="宋体" w:cs="宋体"/>
                <w:color w:val="000000" w:themeColor="text1"/>
                <w:highlight w:val="none"/>
                <w14:textFill>
                  <w14:solidFill>
                    <w14:schemeClr w14:val="tx1"/>
                  </w14:solidFill>
                </w14:textFill>
              </w:rPr>
            </w:pPr>
          </w:p>
        </w:tc>
        <w:tc>
          <w:tcPr>
            <w:tcW w:w="349" w:type="pct"/>
            <w:tcBorders>
              <w:top w:val="single" w:color="auto" w:sz="4" w:space="0"/>
              <w:left w:val="single" w:color="auto" w:sz="4" w:space="0"/>
              <w:bottom w:val="single" w:color="auto" w:sz="4" w:space="0"/>
              <w:right w:val="single" w:color="auto" w:sz="4" w:space="0"/>
            </w:tcBorders>
          </w:tcPr>
          <w:p w14:paraId="48A63D02">
            <w:pPr>
              <w:rPr>
                <w:rFonts w:ascii="宋体" w:hAnsi="宋体" w:cs="宋体"/>
                <w:color w:val="000000" w:themeColor="text1"/>
                <w:highlight w:val="none"/>
                <w14:textFill>
                  <w14:solidFill>
                    <w14:schemeClr w14:val="tx1"/>
                  </w14:solidFill>
                </w14:textFill>
              </w:rPr>
            </w:pPr>
          </w:p>
        </w:tc>
      </w:tr>
      <w:tr w14:paraId="5421D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289" w:type="pct"/>
            <w:tcBorders>
              <w:top w:val="single" w:color="auto" w:sz="4" w:space="0"/>
              <w:left w:val="single" w:color="auto" w:sz="4" w:space="0"/>
              <w:bottom w:val="single" w:color="auto" w:sz="4" w:space="0"/>
              <w:right w:val="single" w:color="auto" w:sz="4" w:space="0"/>
            </w:tcBorders>
            <w:vAlign w:val="center"/>
          </w:tcPr>
          <w:p w14:paraId="1B7B90B7">
            <w:pPr>
              <w:jc w:val="center"/>
              <w:rPr>
                <w:rFonts w:ascii="宋体" w:hAnsi="宋体" w:cs="宋体"/>
                <w:color w:val="000000" w:themeColor="text1"/>
                <w:highlight w:val="none"/>
                <w14:textFill>
                  <w14:solidFill>
                    <w14:schemeClr w14:val="tx1"/>
                  </w14:solidFill>
                </w14:textFill>
              </w:rPr>
            </w:pPr>
          </w:p>
        </w:tc>
        <w:tc>
          <w:tcPr>
            <w:tcW w:w="1028" w:type="pct"/>
            <w:tcBorders>
              <w:top w:val="single" w:color="auto" w:sz="4" w:space="0"/>
              <w:left w:val="single" w:color="auto" w:sz="4" w:space="0"/>
              <w:bottom w:val="single" w:color="auto" w:sz="4" w:space="0"/>
              <w:right w:val="single" w:color="auto" w:sz="4" w:space="0"/>
            </w:tcBorders>
          </w:tcPr>
          <w:p w14:paraId="31808DA1">
            <w:pPr>
              <w:jc w:val="center"/>
              <w:rPr>
                <w:rFonts w:ascii="宋体" w:hAnsi="宋体" w:cs="宋体"/>
                <w:color w:val="000000" w:themeColor="text1"/>
                <w:highlight w:val="none"/>
                <w14:textFill>
                  <w14:solidFill>
                    <w14:schemeClr w14:val="tx1"/>
                  </w14:solidFill>
                </w14:textFill>
              </w:rPr>
            </w:pPr>
          </w:p>
        </w:tc>
        <w:tc>
          <w:tcPr>
            <w:tcW w:w="445" w:type="pct"/>
            <w:tcBorders>
              <w:top w:val="single" w:color="auto" w:sz="4" w:space="0"/>
              <w:left w:val="single" w:color="auto" w:sz="4" w:space="0"/>
              <w:bottom w:val="single" w:color="auto" w:sz="4" w:space="0"/>
              <w:right w:val="single" w:color="auto" w:sz="4" w:space="0"/>
            </w:tcBorders>
          </w:tcPr>
          <w:p w14:paraId="003BD8EE">
            <w:pPr>
              <w:rPr>
                <w:rFonts w:ascii="宋体" w:hAnsi="宋体" w:cs="宋体"/>
                <w:color w:val="000000" w:themeColor="text1"/>
                <w:highlight w:val="none"/>
                <w14:textFill>
                  <w14:solidFill>
                    <w14:schemeClr w14:val="tx1"/>
                  </w14:solidFill>
                </w14:textFill>
              </w:rPr>
            </w:pPr>
          </w:p>
        </w:tc>
        <w:tc>
          <w:tcPr>
            <w:tcW w:w="339" w:type="pct"/>
            <w:tcBorders>
              <w:top w:val="single" w:color="auto" w:sz="4" w:space="0"/>
              <w:left w:val="single" w:color="auto" w:sz="4" w:space="0"/>
              <w:bottom w:val="single" w:color="auto" w:sz="4" w:space="0"/>
              <w:right w:val="single" w:color="auto" w:sz="4" w:space="0"/>
            </w:tcBorders>
          </w:tcPr>
          <w:p w14:paraId="20C770C3">
            <w:pPr>
              <w:rPr>
                <w:rFonts w:ascii="宋体" w:hAnsi="宋体" w:cs="宋体"/>
                <w:color w:val="000000" w:themeColor="text1"/>
                <w:highlight w:val="none"/>
                <w14:textFill>
                  <w14:solidFill>
                    <w14:schemeClr w14:val="tx1"/>
                  </w14:solidFill>
                </w14:textFill>
              </w:rPr>
            </w:pPr>
          </w:p>
        </w:tc>
        <w:tc>
          <w:tcPr>
            <w:tcW w:w="456" w:type="pct"/>
            <w:tcBorders>
              <w:top w:val="single" w:color="auto" w:sz="4" w:space="0"/>
              <w:left w:val="single" w:color="auto" w:sz="4" w:space="0"/>
              <w:bottom w:val="single" w:color="auto" w:sz="4" w:space="0"/>
              <w:right w:val="single" w:color="auto" w:sz="4" w:space="0"/>
            </w:tcBorders>
          </w:tcPr>
          <w:p w14:paraId="3DC1D2B3">
            <w:pPr>
              <w:rPr>
                <w:rFonts w:ascii="宋体" w:hAnsi="宋体" w:cs="宋体"/>
                <w:color w:val="000000" w:themeColor="text1"/>
                <w:highlight w:val="none"/>
                <w14:textFill>
                  <w14:solidFill>
                    <w14:schemeClr w14:val="tx1"/>
                  </w14:solidFill>
                </w14:textFill>
              </w:rPr>
            </w:pPr>
          </w:p>
        </w:tc>
        <w:tc>
          <w:tcPr>
            <w:tcW w:w="523" w:type="pct"/>
            <w:tcBorders>
              <w:top w:val="single" w:color="auto" w:sz="4" w:space="0"/>
              <w:left w:val="single" w:color="auto" w:sz="4" w:space="0"/>
              <w:bottom w:val="single" w:color="auto" w:sz="4" w:space="0"/>
              <w:right w:val="single" w:color="auto" w:sz="4" w:space="0"/>
            </w:tcBorders>
          </w:tcPr>
          <w:p w14:paraId="47D565DC">
            <w:pPr>
              <w:rPr>
                <w:rFonts w:ascii="宋体" w:hAnsi="宋体" w:cs="宋体"/>
                <w:color w:val="000000" w:themeColor="text1"/>
                <w:highlight w:val="none"/>
                <w14:textFill>
                  <w14:solidFill>
                    <w14:schemeClr w14:val="tx1"/>
                  </w14:solidFill>
                </w14:textFill>
              </w:rPr>
            </w:pPr>
          </w:p>
        </w:tc>
        <w:tc>
          <w:tcPr>
            <w:tcW w:w="307" w:type="pct"/>
            <w:tcBorders>
              <w:top w:val="single" w:color="auto" w:sz="4" w:space="0"/>
              <w:left w:val="single" w:color="auto" w:sz="4" w:space="0"/>
              <w:bottom w:val="single" w:color="auto" w:sz="4" w:space="0"/>
              <w:right w:val="single" w:color="auto" w:sz="4" w:space="0"/>
            </w:tcBorders>
            <w:vAlign w:val="center"/>
          </w:tcPr>
          <w:p w14:paraId="27E8D3C6">
            <w:pPr>
              <w:jc w:val="center"/>
              <w:rPr>
                <w:rFonts w:ascii="宋体" w:hAnsi="宋体" w:cs="宋体"/>
                <w:color w:val="000000" w:themeColor="text1"/>
                <w:highlight w:val="none"/>
                <w14:textFill>
                  <w14:solidFill>
                    <w14:schemeClr w14:val="tx1"/>
                  </w14:solidFill>
                </w14:textFill>
              </w:rPr>
            </w:pPr>
          </w:p>
        </w:tc>
        <w:tc>
          <w:tcPr>
            <w:tcW w:w="351" w:type="pct"/>
            <w:tcBorders>
              <w:top w:val="single" w:color="auto" w:sz="4" w:space="0"/>
              <w:left w:val="single" w:color="auto" w:sz="4" w:space="0"/>
              <w:bottom w:val="single" w:color="auto" w:sz="4" w:space="0"/>
              <w:right w:val="single" w:color="auto" w:sz="4" w:space="0"/>
            </w:tcBorders>
          </w:tcPr>
          <w:p w14:paraId="0CD1B185">
            <w:pPr>
              <w:rPr>
                <w:rFonts w:ascii="宋体" w:hAnsi="宋体" w:cs="宋体"/>
                <w:color w:val="000000" w:themeColor="text1"/>
                <w:highlight w:val="none"/>
                <w14:textFill>
                  <w14:solidFill>
                    <w14:schemeClr w14:val="tx1"/>
                  </w14:solidFill>
                </w14:textFill>
              </w:rPr>
            </w:pPr>
          </w:p>
        </w:tc>
        <w:tc>
          <w:tcPr>
            <w:tcW w:w="357" w:type="pct"/>
            <w:tcBorders>
              <w:top w:val="single" w:color="auto" w:sz="4" w:space="0"/>
              <w:left w:val="single" w:color="auto" w:sz="4" w:space="0"/>
              <w:bottom w:val="single" w:color="auto" w:sz="4" w:space="0"/>
              <w:right w:val="single" w:color="auto" w:sz="4" w:space="0"/>
            </w:tcBorders>
          </w:tcPr>
          <w:p w14:paraId="0DD20B20">
            <w:pPr>
              <w:rPr>
                <w:rFonts w:ascii="宋体" w:hAnsi="宋体" w:cs="宋体"/>
                <w:color w:val="000000" w:themeColor="text1"/>
                <w:highlight w:val="none"/>
                <w14:textFill>
                  <w14:solidFill>
                    <w14:schemeClr w14:val="tx1"/>
                  </w14:solidFill>
                </w14:textFill>
              </w:rPr>
            </w:pPr>
          </w:p>
        </w:tc>
        <w:tc>
          <w:tcPr>
            <w:tcW w:w="550" w:type="pct"/>
            <w:tcBorders>
              <w:top w:val="single" w:color="auto" w:sz="4" w:space="0"/>
              <w:left w:val="single" w:color="auto" w:sz="4" w:space="0"/>
              <w:bottom w:val="single" w:color="auto" w:sz="4" w:space="0"/>
              <w:right w:val="single" w:color="auto" w:sz="4" w:space="0"/>
            </w:tcBorders>
          </w:tcPr>
          <w:p w14:paraId="5C755931">
            <w:pPr>
              <w:rPr>
                <w:rFonts w:ascii="宋体" w:hAnsi="宋体" w:cs="宋体"/>
                <w:color w:val="000000" w:themeColor="text1"/>
                <w:highlight w:val="none"/>
                <w14:textFill>
                  <w14:solidFill>
                    <w14:schemeClr w14:val="tx1"/>
                  </w14:solidFill>
                </w14:textFill>
              </w:rPr>
            </w:pPr>
          </w:p>
        </w:tc>
        <w:tc>
          <w:tcPr>
            <w:tcW w:w="349" w:type="pct"/>
            <w:tcBorders>
              <w:top w:val="single" w:color="auto" w:sz="4" w:space="0"/>
              <w:left w:val="single" w:color="auto" w:sz="4" w:space="0"/>
              <w:bottom w:val="single" w:color="auto" w:sz="4" w:space="0"/>
              <w:right w:val="single" w:color="auto" w:sz="4" w:space="0"/>
            </w:tcBorders>
          </w:tcPr>
          <w:p w14:paraId="36461774">
            <w:pPr>
              <w:rPr>
                <w:rFonts w:ascii="宋体" w:hAnsi="宋体" w:cs="宋体"/>
                <w:color w:val="000000" w:themeColor="text1"/>
                <w:highlight w:val="none"/>
                <w14:textFill>
                  <w14:solidFill>
                    <w14:schemeClr w14:val="tx1"/>
                  </w14:solidFill>
                </w14:textFill>
              </w:rPr>
            </w:pPr>
          </w:p>
        </w:tc>
      </w:tr>
      <w:tr w14:paraId="42BC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289" w:type="pct"/>
            <w:tcBorders>
              <w:top w:val="single" w:color="auto" w:sz="4" w:space="0"/>
              <w:left w:val="single" w:color="auto" w:sz="4" w:space="0"/>
              <w:bottom w:val="single" w:color="auto" w:sz="4" w:space="0"/>
              <w:right w:val="single" w:color="auto" w:sz="4" w:space="0"/>
            </w:tcBorders>
            <w:vAlign w:val="center"/>
          </w:tcPr>
          <w:p w14:paraId="22183866">
            <w:pPr>
              <w:jc w:val="center"/>
              <w:rPr>
                <w:rFonts w:ascii="宋体" w:hAnsi="宋体" w:cs="宋体"/>
                <w:color w:val="000000" w:themeColor="text1"/>
                <w:highlight w:val="none"/>
                <w14:textFill>
                  <w14:solidFill>
                    <w14:schemeClr w14:val="tx1"/>
                  </w14:solidFill>
                </w14:textFill>
              </w:rPr>
            </w:pPr>
          </w:p>
        </w:tc>
        <w:tc>
          <w:tcPr>
            <w:tcW w:w="1028" w:type="pct"/>
            <w:tcBorders>
              <w:top w:val="single" w:color="auto" w:sz="4" w:space="0"/>
              <w:left w:val="single" w:color="auto" w:sz="4" w:space="0"/>
              <w:bottom w:val="single" w:color="auto" w:sz="4" w:space="0"/>
              <w:right w:val="single" w:color="auto" w:sz="4" w:space="0"/>
            </w:tcBorders>
          </w:tcPr>
          <w:p w14:paraId="60E3231D">
            <w:pPr>
              <w:jc w:val="center"/>
              <w:rPr>
                <w:rFonts w:ascii="宋体" w:hAnsi="宋体" w:cs="宋体"/>
                <w:color w:val="000000" w:themeColor="text1"/>
                <w:highlight w:val="none"/>
                <w14:textFill>
                  <w14:solidFill>
                    <w14:schemeClr w14:val="tx1"/>
                  </w14:solidFill>
                </w14:textFill>
              </w:rPr>
            </w:pPr>
          </w:p>
        </w:tc>
        <w:tc>
          <w:tcPr>
            <w:tcW w:w="445" w:type="pct"/>
            <w:tcBorders>
              <w:top w:val="single" w:color="auto" w:sz="4" w:space="0"/>
              <w:left w:val="single" w:color="auto" w:sz="4" w:space="0"/>
              <w:bottom w:val="single" w:color="auto" w:sz="4" w:space="0"/>
              <w:right w:val="single" w:color="auto" w:sz="4" w:space="0"/>
            </w:tcBorders>
          </w:tcPr>
          <w:p w14:paraId="1E8B291D">
            <w:pPr>
              <w:rPr>
                <w:rFonts w:ascii="宋体" w:hAnsi="宋体" w:cs="宋体"/>
                <w:color w:val="000000" w:themeColor="text1"/>
                <w:highlight w:val="none"/>
                <w14:textFill>
                  <w14:solidFill>
                    <w14:schemeClr w14:val="tx1"/>
                  </w14:solidFill>
                </w14:textFill>
              </w:rPr>
            </w:pPr>
          </w:p>
        </w:tc>
        <w:tc>
          <w:tcPr>
            <w:tcW w:w="339" w:type="pct"/>
            <w:tcBorders>
              <w:top w:val="single" w:color="auto" w:sz="4" w:space="0"/>
              <w:left w:val="single" w:color="auto" w:sz="4" w:space="0"/>
              <w:bottom w:val="single" w:color="auto" w:sz="4" w:space="0"/>
              <w:right w:val="single" w:color="auto" w:sz="4" w:space="0"/>
            </w:tcBorders>
          </w:tcPr>
          <w:p w14:paraId="07A40C11">
            <w:pPr>
              <w:rPr>
                <w:rFonts w:ascii="宋体" w:hAnsi="宋体" w:cs="宋体"/>
                <w:color w:val="000000" w:themeColor="text1"/>
                <w:highlight w:val="none"/>
                <w14:textFill>
                  <w14:solidFill>
                    <w14:schemeClr w14:val="tx1"/>
                  </w14:solidFill>
                </w14:textFill>
              </w:rPr>
            </w:pPr>
          </w:p>
        </w:tc>
        <w:tc>
          <w:tcPr>
            <w:tcW w:w="456" w:type="pct"/>
            <w:tcBorders>
              <w:top w:val="single" w:color="auto" w:sz="4" w:space="0"/>
              <w:left w:val="single" w:color="auto" w:sz="4" w:space="0"/>
              <w:bottom w:val="single" w:color="auto" w:sz="4" w:space="0"/>
              <w:right w:val="single" w:color="auto" w:sz="4" w:space="0"/>
            </w:tcBorders>
          </w:tcPr>
          <w:p w14:paraId="363AC235">
            <w:pPr>
              <w:rPr>
                <w:rFonts w:ascii="宋体" w:hAnsi="宋体" w:cs="宋体"/>
                <w:color w:val="000000" w:themeColor="text1"/>
                <w:highlight w:val="none"/>
                <w14:textFill>
                  <w14:solidFill>
                    <w14:schemeClr w14:val="tx1"/>
                  </w14:solidFill>
                </w14:textFill>
              </w:rPr>
            </w:pPr>
          </w:p>
        </w:tc>
        <w:tc>
          <w:tcPr>
            <w:tcW w:w="523" w:type="pct"/>
            <w:tcBorders>
              <w:top w:val="single" w:color="auto" w:sz="4" w:space="0"/>
              <w:left w:val="single" w:color="auto" w:sz="4" w:space="0"/>
              <w:bottom w:val="single" w:color="auto" w:sz="4" w:space="0"/>
              <w:right w:val="single" w:color="auto" w:sz="4" w:space="0"/>
            </w:tcBorders>
          </w:tcPr>
          <w:p w14:paraId="73F9A8C0">
            <w:pPr>
              <w:rPr>
                <w:rFonts w:ascii="宋体" w:hAnsi="宋体" w:cs="宋体"/>
                <w:color w:val="000000" w:themeColor="text1"/>
                <w:highlight w:val="none"/>
                <w14:textFill>
                  <w14:solidFill>
                    <w14:schemeClr w14:val="tx1"/>
                  </w14:solidFill>
                </w14:textFill>
              </w:rPr>
            </w:pPr>
          </w:p>
        </w:tc>
        <w:tc>
          <w:tcPr>
            <w:tcW w:w="307" w:type="pct"/>
            <w:tcBorders>
              <w:top w:val="single" w:color="auto" w:sz="4" w:space="0"/>
              <w:left w:val="single" w:color="auto" w:sz="4" w:space="0"/>
              <w:bottom w:val="single" w:color="auto" w:sz="4" w:space="0"/>
              <w:right w:val="single" w:color="auto" w:sz="4" w:space="0"/>
            </w:tcBorders>
            <w:vAlign w:val="center"/>
          </w:tcPr>
          <w:p w14:paraId="522F03AA">
            <w:pPr>
              <w:jc w:val="center"/>
              <w:rPr>
                <w:rFonts w:ascii="宋体" w:hAnsi="宋体" w:cs="宋体"/>
                <w:color w:val="000000" w:themeColor="text1"/>
                <w:highlight w:val="none"/>
                <w14:textFill>
                  <w14:solidFill>
                    <w14:schemeClr w14:val="tx1"/>
                  </w14:solidFill>
                </w14:textFill>
              </w:rPr>
            </w:pPr>
          </w:p>
        </w:tc>
        <w:tc>
          <w:tcPr>
            <w:tcW w:w="351" w:type="pct"/>
            <w:tcBorders>
              <w:top w:val="single" w:color="auto" w:sz="4" w:space="0"/>
              <w:left w:val="single" w:color="auto" w:sz="4" w:space="0"/>
              <w:bottom w:val="single" w:color="auto" w:sz="4" w:space="0"/>
              <w:right w:val="single" w:color="auto" w:sz="4" w:space="0"/>
            </w:tcBorders>
          </w:tcPr>
          <w:p w14:paraId="34602AC0">
            <w:pPr>
              <w:rPr>
                <w:rFonts w:ascii="宋体" w:hAnsi="宋体" w:cs="宋体"/>
                <w:color w:val="000000" w:themeColor="text1"/>
                <w:highlight w:val="none"/>
                <w14:textFill>
                  <w14:solidFill>
                    <w14:schemeClr w14:val="tx1"/>
                  </w14:solidFill>
                </w14:textFill>
              </w:rPr>
            </w:pPr>
          </w:p>
        </w:tc>
        <w:tc>
          <w:tcPr>
            <w:tcW w:w="357" w:type="pct"/>
            <w:tcBorders>
              <w:top w:val="single" w:color="auto" w:sz="4" w:space="0"/>
              <w:left w:val="single" w:color="auto" w:sz="4" w:space="0"/>
              <w:bottom w:val="single" w:color="auto" w:sz="4" w:space="0"/>
              <w:right w:val="single" w:color="auto" w:sz="4" w:space="0"/>
            </w:tcBorders>
          </w:tcPr>
          <w:p w14:paraId="5E0B2E30">
            <w:pPr>
              <w:rPr>
                <w:rFonts w:ascii="宋体" w:hAnsi="宋体" w:cs="宋体"/>
                <w:color w:val="000000" w:themeColor="text1"/>
                <w:highlight w:val="none"/>
                <w14:textFill>
                  <w14:solidFill>
                    <w14:schemeClr w14:val="tx1"/>
                  </w14:solidFill>
                </w14:textFill>
              </w:rPr>
            </w:pPr>
          </w:p>
        </w:tc>
        <w:tc>
          <w:tcPr>
            <w:tcW w:w="550" w:type="pct"/>
            <w:tcBorders>
              <w:top w:val="single" w:color="auto" w:sz="4" w:space="0"/>
              <w:left w:val="single" w:color="auto" w:sz="4" w:space="0"/>
              <w:bottom w:val="single" w:color="auto" w:sz="4" w:space="0"/>
              <w:right w:val="single" w:color="auto" w:sz="4" w:space="0"/>
            </w:tcBorders>
          </w:tcPr>
          <w:p w14:paraId="216345D9">
            <w:pPr>
              <w:rPr>
                <w:rFonts w:ascii="宋体" w:hAnsi="宋体" w:cs="宋体"/>
                <w:color w:val="000000" w:themeColor="text1"/>
                <w:highlight w:val="none"/>
                <w14:textFill>
                  <w14:solidFill>
                    <w14:schemeClr w14:val="tx1"/>
                  </w14:solidFill>
                </w14:textFill>
              </w:rPr>
            </w:pPr>
          </w:p>
        </w:tc>
        <w:tc>
          <w:tcPr>
            <w:tcW w:w="349" w:type="pct"/>
            <w:tcBorders>
              <w:top w:val="single" w:color="auto" w:sz="4" w:space="0"/>
              <w:left w:val="single" w:color="auto" w:sz="4" w:space="0"/>
              <w:bottom w:val="single" w:color="auto" w:sz="4" w:space="0"/>
              <w:right w:val="single" w:color="auto" w:sz="4" w:space="0"/>
            </w:tcBorders>
          </w:tcPr>
          <w:p w14:paraId="6A9FAAFB">
            <w:pPr>
              <w:rPr>
                <w:rFonts w:ascii="宋体" w:hAnsi="宋体" w:cs="宋体"/>
                <w:color w:val="000000" w:themeColor="text1"/>
                <w:highlight w:val="none"/>
                <w14:textFill>
                  <w14:solidFill>
                    <w14:schemeClr w14:val="tx1"/>
                  </w14:solidFill>
                </w14:textFill>
              </w:rPr>
            </w:pPr>
          </w:p>
        </w:tc>
      </w:tr>
      <w:tr w14:paraId="4C09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289" w:type="pct"/>
            <w:tcBorders>
              <w:top w:val="single" w:color="auto" w:sz="4" w:space="0"/>
              <w:left w:val="single" w:color="auto" w:sz="4" w:space="0"/>
              <w:bottom w:val="single" w:color="auto" w:sz="4" w:space="0"/>
              <w:right w:val="single" w:color="auto" w:sz="4" w:space="0"/>
            </w:tcBorders>
            <w:vAlign w:val="center"/>
          </w:tcPr>
          <w:p w14:paraId="7EDBB685">
            <w:pPr>
              <w:jc w:val="center"/>
              <w:rPr>
                <w:rFonts w:ascii="宋体" w:hAnsi="宋体" w:cs="宋体"/>
                <w:color w:val="000000" w:themeColor="text1"/>
                <w:highlight w:val="none"/>
                <w14:textFill>
                  <w14:solidFill>
                    <w14:schemeClr w14:val="tx1"/>
                  </w14:solidFill>
                </w14:textFill>
              </w:rPr>
            </w:pPr>
          </w:p>
        </w:tc>
        <w:tc>
          <w:tcPr>
            <w:tcW w:w="1028" w:type="pct"/>
            <w:tcBorders>
              <w:top w:val="single" w:color="auto" w:sz="4" w:space="0"/>
              <w:left w:val="single" w:color="auto" w:sz="4" w:space="0"/>
              <w:bottom w:val="single" w:color="auto" w:sz="4" w:space="0"/>
              <w:right w:val="single" w:color="auto" w:sz="4" w:space="0"/>
            </w:tcBorders>
          </w:tcPr>
          <w:p w14:paraId="4BDEEF4D">
            <w:pPr>
              <w:jc w:val="center"/>
              <w:rPr>
                <w:rFonts w:ascii="宋体" w:hAnsi="宋体" w:cs="宋体"/>
                <w:color w:val="000000" w:themeColor="text1"/>
                <w:highlight w:val="none"/>
                <w14:textFill>
                  <w14:solidFill>
                    <w14:schemeClr w14:val="tx1"/>
                  </w14:solidFill>
                </w14:textFill>
              </w:rPr>
            </w:pPr>
          </w:p>
        </w:tc>
        <w:tc>
          <w:tcPr>
            <w:tcW w:w="445" w:type="pct"/>
            <w:tcBorders>
              <w:top w:val="single" w:color="auto" w:sz="4" w:space="0"/>
              <w:left w:val="single" w:color="auto" w:sz="4" w:space="0"/>
              <w:bottom w:val="single" w:color="auto" w:sz="4" w:space="0"/>
              <w:right w:val="single" w:color="auto" w:sz="4" w:space="0"/>
            </w:tcBorders>
          </w:tcPr>
          <w:p w14:paraId="4E141B4B">
            <w:pPr>
              <w:rPr>
                <w:rFonts w:ascii="宋体" w:hAnsi="宋体" w:cs="宋体"/>
                <w:color w:val="000000" w:themeColor="text1"/>
                <w:highlight w:val="none"/>
                <w14:textFill>
                  <w14:solidFill>
                    <w14:schemeClr w14:val="tx1"/>
                  </w14:solidFill>
                </w14:textFill>
              </w:rPr>
            </w:pPr>
          </w:p>
        </w:tc>
        <w:tc>
          <w:tcPr>
            <w:tcW w:w="339" w:type="pct"/>
            <w:tcBorders>
              <w:top w:val="single" w:color="auto" w:sz="4" w:space="0"/>
              <w:left w:val="single" w:color="auto" w:sz="4" w:space="0"/>
              <w:bottom w:val="single" w:color="auto" w:sz="4" w:space="0"/>
              <w:right w:val="single" w:color="auto" w:sz="4" w:space="0"/>
            </w:tcBorders>
          </w:tcPr>
          <w:p w14:paraId="19842EA1">
            <w:pPr>
              <w:rPr>
                <w:rFonts w:ascii="宋体" w:hAnsi="宋体" w:cs="宋体"/>
                <w:color w:val="000000" w:themeColor="text1"/>
                <w:highlight w:val="none"/>
                <w14:textFill>
                  <w14:solidFill>
                    <w14:schemeClr w14:val="tx1"/>
                  </w14:solidFill>
                </w14:textFill>
              </w:rPr>
            </w:pPr>
          </w:p>
        </w:tc>
        <w:tc>
          <w:tcPr>
            <w:tcW w:w="456" w:type="pct"/>
            <w:tcBorders>
              <w:top w:val="single" w:color="auto" w:sz="4" w:space="0"/>
              <w:left w:val="single" w:color="auto" w:sz="4" w:space="0"/>
              <w:bottom w:val="single" w:color="auto" w:sz="4" w:space="0"/>
              <w:right w:val="single" w:color="auto" w:sz="4" w:space="0"/>
            </w:tcBorders>
          </w:tcPr>
          <w:p w14:paraId="2A01A569">
            <w:pPr>
              <w:rPr>
                <w:rFonts w:ascii="宋体" w:hAnsi="宋体" w:cs="宋体"/>
                <w:color w:val="000000" w:themeColor="text1"/>
                <w:highlight w:val="none"/>
                <w14:textFill>
                  <w14:solidFill>
                    <w14:schemeClr w14:val="tx1"/>
                  </w14:solidFill>
                </w14:textFill>
              </w:rPr>
            </w:pPr>
          </w:p>
        </w:tc>
        <w:tc>
          <w:tcPr>
            <w:tcW w:w="523" w:type="pct"/>
            <w:tcBorders>
              <w:top w:val="single" w:color="auto" w:sz="4" w:space="0"/>
              <w:left w:val="single" w:color="auto" w:sz="4" w:space="0"/>
              <w:bottom w:val="single" w:color="auto" w:sz="4" w:space="0"/>
              <w:right w:val="single" w:color="auto" w:sz="4" w:space="0"/>
            </w:tcBorders>
          </w:tcPr>
          <w:p w14:paraId="2A97BE40">
            <w:pPr>
              <w:rPr>
                <w:rFonts w:ascii="宋体" w:hAnsi="宋体" w:cs="宋体"/>
                <w:color w:val="000000" w:themeColor="text1"/>
                <w:highlight w:val="none"/>
                <w14:textFill>
                  <w14:solidFill>
                    <w14:schemeClr w14:val="tx1"/>
                  </w14:solidFill>
                </w14:textFill>
              </w:rPr>
            </w:pPr>
          </w:p>
        </w:tc>
        <w:tc>
          <w:tcPr>
            <w:tcW w:w="307" w:type="pct"/>
            <w:tcBorders>
              <w:top w:val="single" w:color="auto" w:sz="4" w:space="0"/>
              <w:left w:val="single" w:color="auto" w:sz="4" w:space="0"/>
              <w:bottom w:val="single" w:color="auto" w:sz="4" w:space="0"/>
              <w:right w:val="single" w:color="auto" w:sz="4" w:space="0"/>
            </w:tcBorders>
            <w:vAlign w:val="center"/>
          </w:tcPr>
          <w:p w14:paraId="7D440BBE">
            <w:pPr>
              <w:jc w:val="center"/>
              <w:rPr>
                <w:rFonts w:ascii="宋体" w:hAnsi="宋体" w:cs="宋体"/>
                <w:color w:val="000000" w:themeColor="text1"/>
                <w:highlight w:val="none"/>
                <w14:textFill>
                  <w14:solidFill>
                    <w14:schemeClr w14:val="tx1"/>
                  </w14:solidFill>
                </w14:textFill>
              </w:rPr>
            </w:pPr>
          </w:p>
        </w:tc>
        <w:tc>
          <w:tcPr>
            <w:tcW w:w="351" w:type="pct"/>
            <w:tcBorders>
              <w:top w:val="single" w:color="auto" w:sz="4" w:space="0"/>
              <w:left w:val="single" w:color="auto" w:sz="4" w:space="0"/>
              <w:bottom w:val="single" w:color="auto" w:sz="4" w:space="0"/>
              <w:right w:val="single" w:color="auto" w:sz="4" w:space="0"/>
            </w:tcBorders>
          </w:tcPr>
          <w:p w14:paraId="1EB2940C">
            <w:pPr>
              <w:rPr>
                <w:rFonts w:ascii="宋体" w:hAnsi="宋体" w:cs="宋体"/>
                <w:color w:val="000000" w:themeColor="text1"/>
                <w:highlight w:val="none"/>
                <w14:textFill>
                  <w14:solidFill>
                    <w14:schemeClr w14:val="tx1"/>
                  </w14:solidFill>
                </w14:textFill>
              </w:rPr>
            </w:pPr>
          </w:p>
        </w:tc>
        <w:tc>
          <w:tcPr>
            <w:tcW w:w="357" w:type="pct"/>
            <w:tcBorders>
              <w:top w:val="single" w:color="auto" w:sz="4" w:space="0"/>
              <w:left w:val="single" w:color="auto" w:sz="4" w:space="0"/>
              <w:bottom w:val="single" w:color="auto" w:sz="4" w:space="0"/>
              <w:right w:val="single" w:color="auto" w:sz="4" w:space="0"/>
            </w:tcBorders>
          </w:tcPr>
          <w:p w14:paraId="67728F86">
            <w:pPr>
              <w:rPr>
                <w:rFonts w:ascii="宋体" w:hAnsi="宋体" w:cs="宋体"/>
                <w:color w:val="000000" w:themeColor="text1"/>
                <w:highlight w:val="none"/>
                <w14:textFill>
                  <w14:solidFill>
                    <w14:schemeClr w14:val="tx1"/>
                  </w14:solidFill>
                </w14:textFill>
              </w:rPr>
            </w:pPr>
          </w:p>
        </w:tc>
        <w:tc>
          <w:tcPr>
            <w:tcW w:w="550" w:type="pct"/>
            <w:tcBorders>
              <w:top w:val="single" w:color="auto" w:sz="4" w:space="0"/>
              <w:left w:val="single" w:color="auto" w:sz="4" w:space="0"/>
              <w:bottom w:val="single" w:color="auto" w:sz="4" w:space="0"/>
              <w:right w:val="single" w:color="auto" w:sz="4" w:space="0"/>
            </w:tcBorders>
          </w:tcPr>
          <w:p w14:paraId="48EFE2BE">
            <w:pPr>
              <w:rPr>
                <w:rFonts w:ascii="宋体" w:hAnsi="宋体" w:cs="宋体"/>
                <w:color w:val="000000" w:themeColor="text1"/>
                <w:highlight w:val="none"/>
                <w14:textFill>
                  <w14:solidFill>
                    <w14:schemeClr w14:val="tx1"/>
                  </w14:solidFill>
                </w14:textFill>
              </w:rPr>
            </w:pPr>
          </w:p>
        </w:tc>
        <w:tc>
          <w:tcPr>
            <w:tcW w:w="349" w:type="pct"/>
            <w:tcBorders>
              <w:top w:val="single" w:color="auto" w:sz="4" w:space="0"/>
              <w:left w:val="single" w:color="auto" w:sz="4" w:space="0"/>
              <w:bottom w:val="single" w:color="auto" w:sz="4" w:space="0"/>
              <w:right w:val="single" w:color="auto" w:sz="4" w:space="0"/>
            </w:tcBorders>
          </w:tcPr>
          <w:p w14:paraId="62EAFED0">
            <w:pPr>
              <w:rPr>
                <w:rFonts w:ascii="宋体" w:hAnsi="宋体" w:cs="宋体"/>
                <w:color w:val="000000" w:themeColor="text1"/>
                <w:highlight w:val="none"/>
                <w14:textFill>
                  <w14:solidFill>
                    <w14:schemeClr w14:val="tx1"/>
                  </w14:solidFill>
                </w14:textFill>
              </w:rPr>
            </w:pPr>
          </w:p>
        </w:tc>
      </w:tr>
      <w:tr w14:paraId="459E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4100" w:type="pct"/>
            <w:gridSpan w:val="9"/>
            <w:tcBorders>
              <w:top w:val="single" w:color="auto" w:sz="4" w:space="0"/>
              <w:left w:val="single" w:color="auto" w:sz="4" w:space="0"/>
              <w:bottom w:val="single" w:color="auto" w:sz="4" w:space="0"/>
              <w:right w:val="single" w:color="auto" w:sz="4" w:space="0"/>
            </w:tcBorders>
            <w:vAlign w:val="center"/>
          </w:tcPr>
          <w:p w14:paraId="327849AC">
            <w:pPr>
              <w:jc w:val="center"/>
              <w:rPr>
                <w:rFonts w:ascii="宋体" w:hAnsi="宋体" w:cs="宋体"/>
                <w:b/>
                <w:color w:val="000000" w:themeColor="text1"/>
                <w:highlight w:val="none"/>
                <w14:textFill>
                  <w14:solidFill>
                    <w14:schemeClr w14:val="tx1"/>
                  </w14:solidFill>
                </w14:textFill>
              </w:rPr>
            </w:pPr>
            <w:bookmarkStart w:id="321" w:name="_Hlk94367256"/>
            <w:r>
              <w:rPr>
                <w:rFonts w:hint="eastAsia" w:ascii="宋体" w:hAnsi="宋体" w:cs="宋体"/>
                <w:b/>
                <w:color w:val="000000" w:themeColor="text1"/>
                <w:highlight w:val="none"/>
                <w14:textFill>
                  <w14:solidFill>
                    <w14:schemeClr w14:val="tx1"/>
                  </w14:solidFill>
                </w14:textFill>
              </w:rPr>
              <w:t>合计（元）</w:t>
            </w:r>
            <w:bookmarkEnd w:id="321"/>
          </w:p>
        </w:tc>
        <w:tc>
          <w:tcPr>
            <w:tcW w:w="899" w:type="pct"/>
            <w:gridSpan w:val="2"/>
            <w:tcBorders>
              <w:top w:val="single" w:color="auto" w:sz="4" w:space="0"/>
              <w:left w:val="single" w:color="auto" w:sz="4" w:space="0"/>
              <w:bottom w:val="single" w:color="auto" w:sz="4" w:space="0"/>
              <w:right w:val="single" w:color="auto" w:sz="4" w:space="0"/>
            </w:tcBorders>
            <w:vAlign w:val="center"/>
          </w:tcPr>
          <w:p w14:paraId="6E8B44CD">
            <w:pPr>
              <w:jc w:val="center"/>
              <w:rPr>
                <w:rFonts w:ascii="宋体" w:hAnsi="宋体" w:cs="宋体"/>
                <w:b/>
                <w:color w:val="000000" w:themeColor="text1"/>
                <w:highlight w:val="none"/>
                <w14:textFill>
                  <w14:solidFill>
                    <w14:schemeClr w14:val="tx1"/>
                  </w14:solidFill>
                </w14:textFill>
              </w:rPr>
            </w:pPr>
          </w:p>
        </w:tc>
      </w:tr>
      <w:bookmarkEnd w:id="320"/>
    </w:tbl>
    <w:p w14:paraId="0EA7BD8E">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注：1.投标人必须按招标文件“第五章《采购内容及要求》”列出的各项设备进行报价，不允许有缺项、漏项，否则投标文件视为无效。</w:t>
      </w:r>
    </w:p>
    <w:p w14:paraId="3F1D1A67">
      <w:pP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2.分项报价时不得超过采购需求表中的预算单价，“合计（元）”须与“开标一览表”中的“投标报价”一致。</w:t>
      </w:r>
    </w:p>
    <w:p w14:paraId="470AB513">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3.此表可以同样格式扩展。</w:t>
      </w:r>
    </w:p>
    <w:p w14:paraId="1A06B879">
      <w:pPr>
        <w:spacing w:line="360" w:lineRule="auto"/>
        <w:rPr>
          <w:rFonts w:ascii="宋体" w:hAnsi="宋体" w:cs="宋体"/>
          <w:b/>
          <w:color w:val="000000" w:themeColor="text1"/>
          <w:sz w:val="24"/>
          <w:highlight w:val="none"/>
          <w14:textFill>
            <w14:solidFill>
              <w14:schemeClr w14:val="tx1"/>
            </w14:solidFill>
          </w14:textFill>
        </w:rPr>
      </w:pPr>
    </w:p>
    <w:p w14:paraId="4CB07400">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电子签章</w:t>
      </w:r>
      <w:r>
        <w:rPr>
          <w:rFonts w:hint="eastAsia" w:ascii="宋体" w:hAnsi="宋体" w:cs="宋体"/>
          <w:b/>
          <w:color w:val="000000" w:themeColor="text1"/>
          <w:sz w:val="24"/>
          <w:highlight w:val="none"/>
          <w14:textFill>
            <w14:solidFill>
              <w14:schemeClr w14:val="tx1"/>
            </w14:solidFill>
          </w14:textFill>
        </w:rPr>
        <w:t>）</w:t>
      </w:r>
    </w:p>
    <w:p w14:paraId="122CFF82">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法定代表人或其委托代理人</w:t>
      </w:r>
      <w:r>
        <w:rPr>
          <w:rFonts w:hint="eastAsia" w:ascii="宋体" w:hAnsi="宋体" w:cs="宋体"/>
          <w:b/>
          <w:color w:val="000000" w:themeColor="text1"/>
          <w:sz w:val="24"/>
          <w:highlight w:val="none"/>
          <w14:textFill>
            <w14:solidFill>
              <w14:schemeClr w14:val="tx1"/>
            </w14:solidFill>
          </w14:textFill>
        </w:rPr>
        <w:t>（电子签名或签章）：</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p>
    <w:p w14:paraId="6AEF244A">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月</w:t>
      </w:r>
      <w:r>
        <w:rPr>
          <w:rFonts w:hint="eastAsia" w:ascii="宋体" w:hAnsi="宋体" w:cs="宋体"/>
          <w:b/>
          <w:color w:val="000000" w:themeColor="text1"/>
          <w:sz w:val="24"/>
          <w:highlight w:val="none"/>
          <w:u w:val="single"/>
          <w14:textFill>
            <w14:solidFill>
              <w14:schemeClr w14:val="tx1"/>
            </w14:solidFill>
          </w14:textFill>
        </w:rPr>
        <w:t xml:space="preserve">       </w:t>
      </w:r>
    </w:p>
    <w:p w14:paraId="71B8A85A">
      <w:pPr>
        <w:spacing w:line="360" w:lineRule="auto"/>
        <w:rPr>
          <w:rFonts w:ascii="宋体" w:hAnsi="宋体" w:cs="宋体"/>
          <w:b/>
          <w:color w:val="000000" w:themeColor="text1"/>
          <w:sz w:val="24"/>
          <w:highlight w:val="none"/>
          <w14:textFill>
            <w14:solidFill>
              <w14:schemeClr w14:val="tx1"/>
            </w14:solidFill>
          </w14:textFill>
        </w:rPr>
      </w:pPr>
    </w:p>
    <w:p w14:paraId="63B0442D">
      <w:pPr>
        <w:pStyle w:val="4"/>
        <w:rPr>
          <w:color w:val="000000" w:themeColor="text1"/>
          <w:highlight w:val="none"/>
          <w14:textFill>
            <w14:solidFill>
              <w14:schemeClr w14:val="tx1"/>
            </w14:solidFill>
          </w14:textFill>
        </w:rPr>
        <w:sectPr>
          <w:pgSz w:w="11906" w:h="16838"/>
          <w:pgMar w:top="1417" w:right="1134" w:bottom="1417" w:left="1134" w:header="850" w:footer="850" w:gutter="0"/>
          <w:cols w:space="0" w:num="1"/>
          <w:docGrid w:type="lines" w:linePitch="316" w:charSpace="0"/>
        </w:sectPr>
      </w:pPr>
    </w:p>
    <w:bookmarkEnd w:id="250"/>
    <w:p w14:paraId="6EA86F70">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22" w:name="_Toc22116"/>
      <w:bookmarkStart w:id="323" w:name="_Toc31222"/>
      <w:bookmarkStart w:id="324" w:name="_Toc6653"/>
      <w:bookmarkStart w:id="325" w:name="_Toc22877"/>
      <w:bookmarkStart w:id="326" w:name="_Toc9722"/>
      <w:bookmarkStart w:id="327" w:name="_Toc26812"/>
      <w:bookmarkStart w:id="328" w:name="_Toc1399"/>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color w:val="000000" w:themeColor="text1"/>
          <w:sz w:val="32"/>
          <w:szCs w:val="32"/>
          <w:highlight w:val="none"/>
          <w14:textFill>
            <w14:solidFill>
              <w14:schemeClr w14:val="tx1"/>
            </w14:solidFill>
          </w14:textFill>
        </w:rPr>
        <w:t>）主要备品备件报价承诺</w:t>
      </w:r>
      <w:bookmarkEnd w:id="322"/>
      <w:bookmarkEnd w:id="323"/>
      <w:bookmarkEnd w:id="324"/>
      <w:bookmarkEnd w:id="325"/>
      <w:bookmarkEnd w:id="326"/>
      <w:bookmarkEnd w:id="327"/>
      <w:bookmarkEnd w:id="328"/>
    </w:p>
    <w:p w14:paraId="3C598548">
      <w:pPr>
        <w:spacing w:after="158" w:afterLines="50"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投标人应提供确保货物质保期满后所需的备品备件清单（如有）。</w:t>
      </w:r>
    </w:p>
    <w:p w14:paraId="00231E8E">
      <w:pPr>
        <w:spacing w:line="5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项目名称：                           项目编号：                 </w:t>
      </w:r>
    </w:p>
    <w:p w14:paraId="10DBA689">
      <w:pPr>
        <w:spacing w:line="420" w:lineRule="exact"/>
        <w:ind w:firstLine="42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我公司在此郑重承诺：若我公司有幸中标，在今后的售后服务中，我公司将严格按照下表中所列的优惠条件提供中标设备的备品备件。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890"/>
        <w:gridCol w:w="1155"/>
        <w:gridCol w:w="945"/>
        <w:gridCol w:w="735"/>
        <w:gridCol w:w="735"/>
        <w:gridCol w:w="735"/>
        <w:gridCol w:w="2894"/>
      </w:tblGrid>
      <w:tr w14:paraId="7CB46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2" w:type="dxa"/>
            <w:tcBorders>
              <w:top w:val="single" w:color="auto" w:sz="4" w:space="0"/>
              <w:left w:val="single" w:color="auto" w:sz="4" w:space="0"/>
              <w:bottom w:val="single" w:color="auto" w:sz="4" w:space="0"/>
              <w:right w:val="single" w:color="auto" w:sz="4" w:space="0"/>
            </w:tcBorders>
            <w:vAlign w:val="center"/>
          </w:tcPr>
          <w:p w14:paraId="50809ECE">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备品备件</w:t>
            </w:r>
          </w:p>
          <w:p w14:paraId="3B2C4EBD">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名称</w:t>
            </w:r>
          </w:p>
        </w:tc>
        <w:tc>
          <w:tcPr>
            <w:tcW w:w="1890" w:type="dxa"/>
            <w:tcBorders>
              <w:top w:val="single" w:color="auto" w:sz="4" w:space="0"/>
              <w:left w:val="single" w:color="auto" w:sz="4" w:space="0"/>
              <w:bottom w:val="single" w:color="auto" w:sz="4" w:space="0"/>
              <w:right w:val="single" w:color="auto" w:sz="4" w:space="0"/>
            </w:tcBorders>
            <w:vAlign w:val="center"/>
          </w:tcPr>
          <w:p w14:paraId="6DCE54AB">
            <w:pPr>
              <w:spacing w:line="300" w:lineRule="exact"/>
              <w:jc w:val="center"/>
              <w:rPr>
                <w:rFonts w:ascii="宋体" w:hAnsi="宋体" w:cs="宋体"/>
                <w:color w:val="000000" w:themeColor="text1"/>
                <w:spacing w:val="-10"/>
                <w:sz w:val="24"/>
                <w:highlight w:val="none"/>
                <w14:textFill>
                  <w14:solidFill>
                    <w14:schemeClr w14:val="tx1"/>
                  </w14:solidFill>
                </w14:textFill>
              </w:rPr>
            </w:pPr>
            <w:r>
              <w:rPr>
                <w:rFonts w:hint="eastAsia" w:ascii="宋体" w:hAnsi="宋体" w:cs="宋体"/>
                <w:color w:val="000000" w:themeColor="text1"/>
                <w:spacing w:val="-10"/>
                <w:sz w:val="24"/>
                <w:highlight w:val="none"/>
                <w14:textFill>
                  <w14:solidFill>
                    <w14:schemeClr w14:val="tx1"/>
                  </w14:solidFill>
                </w14:textFill>
              </w:rPr>
              <w:t>品牌、型号、规格</w:t>
            </w:r>
          </w:p>
        </w:tc>
        <w:tc>
          <w:tcPr>
            <w:tcW w:w="1155" w:type="dxa"/>
            <w:tcBorders>
              <w:top w:val="single" w:color="auto" w:sz="4" w:space="0"/>
              <w:left w:val="single" w:color="auto" w:sz="4" w:space="0"/>
              <w:bottom w:val="single" w:color="auto" w:sz="4" w:space="0"/>
              <w:right w:val="single" w:color="auto" w:sz="4" w:space="0"/>
            </w:tcBorders>
            <w:vAlign w:val="center"/>
          </w:tcPr>
          <w:p w14:paraId="5390EE91">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w:t>
            </w:r>
          </w:p>
          <w:p w14:paraId="67C4017F">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性能</w:t>
            </w:r>
          </w:p>
        </w:tc>
        <w:tc>
          <w:tcPr>
            <w:tcW w:w="945" w:type="dxa"/>
            <w:tcBorders>
              <w:top w:val="single" w:color="auto" w:sz="4" w:space="0"/>
              <w:left w:val="single" w:color="auto" w:sz="4" w:space="0"/>
              <w:bottom w:val="single" w:color="auto" w:sz="4" w:space="0"/>
              <w:right w:val="single" w:color="auto" w:sz="4" w:space="0"/>
            </w:tcBorders>
            <w:vAlign w:val="center"/>
          </w:tcPr>
          <w:p w14:paraId="2BCFB5DE">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本次厂家报价</w:t>
            </w:r>
          </w:p>
        </w:tc>
        <w:tc>
          <w:tcPr>
            <w:tcW w:w="735" w:type="dxa"/>
            <w:tcBorders>
              <w:top w:val="single" w:color="auto" w:sz="4" w:space="0"/>
              <w:left w:val="single" w:color="auto" w:sz="4" w:space="0"/>
              <w:bottom w:val="single" w:color="auto" w:sz="4" w:space="0"/>
              <w:right w:val="single" w:color="auto" w:sz="4" w:space="0"/>
            </w:tcBorders>
            <w:vAlign w:val="center"/>
          </w:tcPr>
          <w:p w14:paraId="59244C92">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p w14:paraId="6E9A1DB8">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w:t>
            </w:r>
          </w:p>
        </w:tc>
        <w:tc>
          <w:tcPr>
            <w:tcW w:w="735" w:type="dxa"/>
            <w:tcBorders>
              <w:top w:val="single" w:color="auto" w:sz="4" w:space="0"/>
              <w:left w:val="single" w:color="auto" w:sz="4" w:space="0"/>
              <w:bottom w:val="single" w:color="auto" w:sz="4" w:space="0"/>
              <w:right w:val="single" w:color="auto" w:sz="4" w:space="0"/>
            </w:tcBorders>
            <w:vAlign w:val="center"/>
          </w:tcPr>
          <w:p w14:paraId="3EB96A9B">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优惠</w:t>
            </w:r>
          </w:p>
          <w:p w14:paraId="7B2FCD21">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比例</w:t>
            </w:r>
          </w:p>
        </w:tc>
        <w:tc>
          <w:tcPr>
            <w:tcW w:w="735" w:type="dxa"/>
            <w:tcBorders>
              <w:top w:val="single" w:color="auto" w:sz="4" w:space="0"/>
              <w:left w:val="single" w:color="auto" w:sz="4" w:space="0"/>
              <w:bottom w:val="single" w:color="auto" w:sz="4" w:space="0"/>
              <w:right w:val="single" w:color="auto" w:sz="4" w:space="0"/>
            </w:tcBorders>
            <w:vAlign w:val="center"/>
          </w:tcPr>
          <w:p w14:paraId="5DA160DE">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实际单价</w:t>
            </w:r>
          </w:p>
        </w:tc>
        <w:tc>
          <w:tcPr>
            <w:tcW w:w="2894" w:type="dxa"/>
            <w:tcBorders>
              <w:top w:val="single" w:color="auto" w:sz="4" w:space="0"/>
              <w:left w:val="single" w:color="auto" w:sz="4" w:space="0"/>
              <w:bottom w:val="single" w:color="auto" w:sz="4" w:space="0"/>
              <w:right w:val="single" w:color="auto" w:sz="4" w:space="0"/>
            </w:tcBorders>
            <w:vAlign w:val="center"/>
          </w:tcPr>
          <w:p w14:paraId="2807906B">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p w14:paraId="04FFC91E">
            <w:pPr>
              <w:spacing w:line="3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（是否已含在总报价中）</w:t>
            </w:r>
          </w:p>
        </w:tc>
      </w:tr>
      <w:tr w14:paraId="5934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46ECAA8E">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890" w:type="dxa"/>
            <w:tcBorders>
              <w:top w:val="single" w:color="auto" w:sz="4" w:space="0"/>
              <w:left w:val="single" w:color="auto" w:sz="4" w:space="0"/>
              <w:bottom w:val="single" w:color="auto" w:sz="4" w:space="0"/>
              <w:right w:val="single" w:color="auto" w:sz="4" w:space="0"/>
            </w:tcBorders>
            <w:vAlign w:val="center"/>
          </w:tcPr>
          <w:p w14:paraId="0715BCE4">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155" w:type="dxa"/>
            <w:tcBorders>
              <w:top w:val="single" w:color="auto" w:sz="4" w:space="0"/>
              <w:left w:val="single" w:color="auto" w:sz="4" w:space="0"/>
              <w:bottom w:val="single" w:color="auto" w:sz="4" w:space="0"/>
              <w:right w:val="single" w:color="auto" w:sz="4" w:space="0"/>
            </w:tcBorders>
            <w:vAlign w:val="center"/>
          </w:tcPr>
          <w:p w14:paraId="351A4D48">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14:paraId="169FAF18">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604382E1">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2124834C">
            <w:pPr>
              <w:spacing w:line="420" w:lineRule="exact"/>
              <w:ind w:firstLine="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735" w:type="dxa"/>
            <w:tcBorders>
              <w:top w:val="single" w:color="auto" w:sz="4" w:space="0"/>
              <w:left w:val="single" w:color="auto" w:sz="4" w:space="0"/>
              <w:bottom w:val="single" w:color="auto" w:sz="4" w:space="0"/>
              <w:right w:val="single" w:color="auto" w:sz="4" w:space="0"/>
            </w:tcBorders>
            <w:vAlign w:val="center"/>
          </w:tcPr>
          <w:p w14:paraId="6DBBE38E">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2894" w:type="dxa"/>
            <w:tcBorders>
              <w:top w:val="single" w:color="auto" w:sz="4" w:space="0"/>
              <w:left w:val="single" w:color="auto" w:sz="4" w:space="0"/>
              <w:bottom w:val="single" w:color="auto" w:sz="4" w:space="0"/>
              <w:right w:val="single" w:color="auto" w:sz="4" w:space="0"/>
            </w:tcBorders>
            <w:vAlign w:val="center"/>
          </w:tcPr>
          <w:p w14:paraId="2C249B9A">
            <w:pPr>
              <w:spacing w:line="420" w:lineRule="exact"/>
              <w:ind w:firstLine="200"/>
              <w:rPr>
                <w:rFonts w:ascii="宋体" w:hAnsi="宋体" w:cs="宋体"/>
                <w:color w:val="000000" w:themeColor="text1"/>
                <w:sz w:val="24"/>
                <w:highlight w:val="none"/>
                <w14:textFill>
                  <w14:solidFill>
                    <w14:schemeClr w14:val="tx1"/>
                  </w14:solidFill>
                </w14:textFill>
              </w:rPr>
            </w:pPr>
          </w:p>
        </w:tc>
      </w:tr>
      <w:tr w14:paraId="5D634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5B1CE475">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890" w:type="dxa"/>
            <w:tcBorders>
              <w:top w:val="single" w:color="auto" w:sz="4" w:space="0"/>
              <w:left w:val="single" w:color="auto" w:sz="4" w:space="0"/>
              <w:bottom w:val="single" w:color="auto" w:sz="4" w:space="0"/>
              <w:right w:val="single" w:color="auto" w:sz="4" w:space="0"/>
            </w:tcBorders>
            <w:vAlign w:val="center"/>
          </w:tcPr>
          <w:p w14:paraId="2809AF51">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155" w:type="dxa"/>
            <w:tcBorders>
              <w:top w:val="single" w:color="auto" w:sz="4" w:space="0"/>
              <w:left w:val="single" w:color="auto" w:sz="4" w:space="0"/>
              <w:bottom w:val="single" w:color="auto" w:sz="4" w:space="0"/>
              <w:right w:val="single" w:color="auto" w:sz="4" w:space="0"/>
            </w:tcBorders>
            <w:vAlign w:val="center"/>
          </w:tcPr>
          <w:p w14:paraId="1A19A9A5">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14:paraId="00ECF69A">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04A0B5B0">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663849CD">
            <w:pPr>
              <w:spacing w:line="420" w:lineRule="exact"/>
              <w:ind w:firstLine="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735" w:type="dxa"/>
            <w:tcBorders>
              <w:top w:val="single" w:color="auto" w:sz="4" w:space="0"/>
              <w:left w:val="single" w:color="auto" w:sz="4" w:space="0"/>
              <w:bottom w:val="single" w:color="auto" w:sz="4" w:space="0"/>
              <w:right w:val="single" w:color="auto" w:sz="4" w:space="0"/>
            </w:tcBorders>
            <w:vAlign w:val="center"/>
          </w:tcPr>
          <w:p w14:paraId="2C695CBE">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2894" w:type="dxa"/>
            <w:tcBorders>
              <w:top w:val="single" w:color="auto" w:sz="4" w:space="0"/>
              <w:left w:val="single" w:color="auto" w:sz="4" w:space="0"/>
              <w:bottom w:val="single" w:color="auto" w:sz="4" w:space="0"/>
              <w:right w:val="single" w:color="auto" w:sz="4" w:space="0"/>
            </w:tcBorders>
            <w:vAlign w:val="center"/>
          </w:tcPr>
          <w:p w14:paraId="6564A0B5">
            <w:pPr>
              <w:spacing w:line="420" w:lineRule="exact"/>
              <w:ind w:firstLine="200"/>
              <w:rPr>
                <w:rFonts w:ascii="宋体" w:hAnsi="宋体" w:cs="宋体"/>
                <w:color w:val="000000" w:themeColor="text1"/>
                <w:sz w:val="24"/>
                <w:highlight w:val="none"/>
                <w14:textFill>
                  <w14:solidFill>
                    <w14:schemeClr w14:val="tx1"/>
                  </w14:solidFill>
                </w14:textFill>
              </w:rPr>
            </w:pPr>
          </w:p>
        </w:tc>
      </w:tr>
      <w:tr w14:paraId="24EF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4FD81185">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890" w:type="dxa"/>
            <w:tcBorders>
              <w:top w:val="single" w:color="auto" w:sz="4" w:space="0"/>
              <w:left w:val="single" w:color="auto" w:sz="4" w:space="0"/>
              <w:bottom w:val="single" w:color="auto" w:sz="4" w:space="0"/>
              <w:right w:val="single" w:color="auto" w:sz="4" w:space="0"/>
            </w:tcBorders>
            <w:vAlign w:val="center"/>
          </w:tcPr>
          <w:p w14:paraId="4EE839BA">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155" w:type="dxa"/>
            <w:tcBorders>
              <w:top w:val="single" w:color="auto" w:sz="4" w:space="0"/>
              <w:left w:val="single" w:color="auto" w:sz="4" w:space="0"/>
              <w:bottom w:val="single" w:color="auto" w:sz="4" w:space="0"/>
              <w:right w:val="single" w:color="auto" w:sz="4" w:space="0"/>
            </w:tcBorders>
            <w:vAlign w:val="center"/>
          </w:tcPr>
          <w:p w14:paraId="02AD6763">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14:paraId="71233BD9">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7740F214">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01657592">
            <w:pPr>
              <w:spacing w:line="420" w:lineRule="exact"/>
              <w:ind w:firstLine="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735" w:type="dxa"/>
            <w:tcBorders>
              <w:top w:val="single" w:color="auto" w:sz="4" w:space="0"/>
              <w:left w:val="single" w:color="auto" w:sz="4" w:space="0"/>
              <w:bottom w:val="single" w:color="auto" w:sz="4" w:space="0"/>
              <w:right w:val="single" w:color="auto" w:sz="4" w:space="0"/>
            </w:tcBorders>
            <w:vAlign w:val="center"/>
          </w:tcPr>
          <w:p w14:paraId="11DED8A4">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2894" w:type="dxa"/>
            <w:tcBorders>
              <w:top w:val="single" w:color="auto" w:sz="4" w:space="0"/>
              <w:left w:val="single" w:color="auto" w:sz="4" w:space="0"/>
              <w:bottom w:val="single" w:color="auto" w:sz="4" w:space="0"/>
              <w:right w:val="single" w:color="auto" w:sz="4" w:space="0"/>
            </w:tcBorders>
            <w:vAlign w:val="center"/>
          </w:tcPr>
          <w:p w14:paraId="741E6646">
            <w:pPr>
              <w:spacing w:line="420" w:lineRule="exact"/>
              <w:ind w:firstLine="200"/>
              <w:rPr>
                <w:rFonts w:ascii="宋体" w:hAnsi="宋体" w:cs="宋体"/>
                <w:color w:val="000000" w:themeColor="text1"/>
                <w:sz w:val="24"/>
                <w:highlight w:val="none"/>
                <w14:textFill>
                  <w14:solidFill>
                    <w14:schemeClr w14:val="tx1"/>
                  </w14:solidFill>
                </w14:textFill>
              </w:rPr>
            </w:pPr>
          </w:p>
        </w:tc>
      </w:tr>
      <w:tr w14:paraId="3A08F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762E838C">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890" w:type="dxa"/>
            <w:tcBorders>
              <w:top w:val="single" w:color="auto" w:sz="4" w:space="0"/>
              <w:left w:val="single" w:color="auto" w:sz="4" w:space="0"/>
              <w:bottom w:val="single" w:color="auto" w:sz="4" w:space="0"/>
              <w:right w:val="single" w:color="auto" w:sz="4" w:space="0"/>
            </w:tcBorders>
            <w:vAlign w:val="center"/>
          </w:tcPr>
          <w:p w14:paraId="475BDF39">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155" w:type="dxa"/>
            <w:tcBorders>
              <w:top w:val="single" w:color="auto" w:sz="4" w:space="0"/>
              <w:left w:val="single" w:color="auto" w:sz="4" w:space="0"/>
              <w:bottom w:val="single" w:color="auto" w:sz="4" w:space="0"/>
              <w:right w:val="single" w:color="auto" w:sz="4" w:space="0"/>
            </w:tcBorders>
            <w:vAlign w:val="center"/>
          </w:tcPr>
          <w:p w14:paraId="45D8DDD8">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14:paraId="0F2F5BD9">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4380CAF0">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0DA33151">
            <w:pPr>
              <w:spacing w:line="420" w:lineRule="exact"/>
              <w:ind w:firstLine="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735" w:type="dxa"/>
            <w:tcBorders>
              <w:top w:val="single" w:color="auto" w:sz="4" w:space="0"/>
              <w:left w:val="single" w:color="auto" w:sz="4" w:space="0"/>
              <w:bottom w:val="single" w:color="auto" w:sz="4" w:space="0"/>
              <w:right w:val="single" w:color="auto" w:sz="4" w:space="0"/>
            </w:tcBorders>
            <w:vAlign w:val="center"/>
          </w:tcPr>
          <w:p w14:paraId="44103722">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2894" w:type="dxa"/>
            <w:tcBorders>
              <w:top w:val="single" w:color="auto" w:sz="4" w:space="0"/>
              <w:left w:val="single" w:color="auto" w:sz="4" w:space="0"/>
              <w:bottom w:val="single" w:color="auto" w:sz="4" w:space="0"/>
              <w:right w:val="single" w:color="auto" w:sz="4" w:space="0"/>
            </w:tcBorders>
            <w:vAlign w:val="center"/>
          </w:tcPr>
          <w:p w14:paraId="371BD3DB">
            <w:pPr>
              <w:spacing w:line="420" w:lineRule="exact"/>
              <w:ind w:firstLine="200"/>
              <w:rPr>
                <w:rFonts w:ascii="宋体" w:hAnsi="宋体" w:cs="宋体"/>
                <w:color w:val="000000" w:themeColor="text1"/>
                <w:sz w:val="24"/>
                <w:highlight w:val="none"/>
                <w14:textFill>
                  <w14:solidFill>
                    <w14:schemeClr w14:val="tx1"/>
                  </w14:solidFill>
                </w14:textFill>
              </w:rPr>
            </w:pPr>
          </w:p>
        </w:tc>
      </w:tr>
      <w:tr w14:paraId="19AD9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66C83498">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890" w:type="dxa"/>
            <w:tcBorders>
              <w:top w:val="single" w:color="auto" w:sz="4" w:space="0"/>
              <w:left w:val="single" w:color="auto" w:sz="4" w:space="0"/>
              <w:bottom w:val="single" w:color="auto" w:sz="4" w:space="0"/>
              <w:right w:val="single" w:color="auto" w:sz="4" w:space="0"/>
            </w:tcBorders>
            <w:vAlign w:val="center"/>
          </w:tcPr>
          <w:p w14:paraId="6DF9DFCD">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155" w:type="dxa"/>
            <w:tcBorders>
              <w:top w:val="single" w:color="auto" w:sz="4" w:space="0"/>
              <w:left w:val="single" w:color="auto" w:sz="4" w:space="0"/>
              <w:bottom w:val="single" w:color="auto" w:sz="4" w:space="0"/>
              <w:right w:val="single" w:color="auto" w:sz="4" w:space="0"/>
            </w:tcBorders>
            <w:vAlign w:val="center"/>
          </w:tcPr>
          <w:p w14:paraId="09F8807D">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14:paraId="1266FD12">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68A6B838">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20DAEB13">
            <w:pPr>
              <w:spacing w:line="420" w:lineRule="exact"/>
              <w:ind w:firstLine="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735" w:type="dxa"/>
            <w:tcBorders>
              <w:top w:val="single" w:color="auto" w:sz="4" w:space="0"/>
              <w:left w:val="single" w:color="auto" w:sz="4" w:space="0"/>
              <w:bottom w:val="single" w:color="auto" w:sz="4" w:space="0"/>
              <w:right w:val="single" w:color="auto" w:sz="4" w:space="0"/>
            </w:tcBorders>
            <w:vAlign w:val="center"/>
          </w:tcPr>
          <w:p w14:paraId="49A7EDAE">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2894" w:type="dxa"/>
            <w:tcBorders>
              <w:top w:val="single" w:color="auto" w:sz="4" w:space="0"/>
              <w:left w:val="single" w:color="auto" w:sz="4" w:space="0"/>
              <w:bottom w:val="single" w:color="auto" w:sz="4" w:space="0"/>
              <w:right w:val="single" w:color="auto" w:sz="4" w:space="0"/>
            </w:tcBorders>
            <w:vAlign w:val="center"/>
          </w:tcPr>
          <w:p w14:paraId="4556086A">
            <w:pPr>
              <w:spacing w:line="420" w:lineRule="exact"/>
              <w:ind w:firstLine="200"/>
              <w:rPr>
                <w:rFonts w:ascii="宋体" w:hAnsi="宋体" w:cs="宋体"/>
                <w:color w:val="000000" w:themeColor="text1"/>
                <w:sz w:val="24"/>
                <w:highlight w:val="none"/>
                <w14:textFill>
                  <w14:solidFill>
                    <w14:schemeClr w14:val="tx1"/>
                  </w14:solidFill>
                </w14:textFill>
              </w:rPr>
            </w:pPr>
          </w:p>
        </w:tc>
      </w:tr>
      <w:tr w14:paraId="5150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4AA15BBF">
            <w:pPr>
              <w:spacing w:line="420" w:lineRule="exact"/>
              <w:ind w:firstLine="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1890" w:type="dxa"/>
            <w:tcBorders>
              <w:top w:val="single" w:color="auto" w:sz="4" w:space="0"/>
              <w:left w:val="single" w:color="auto" w:sz="4" w:space="0"/>
              <w:bottom w:val="single" w:color="auto" w:sz="4" w:space="0"/>
              <w:right w:val="single" w:color="auto" w:sz="4" w:space="0"/>
            </w:tcBorders>
            <w:vAlign w:val="center"/>
          </w:tcPr>
          <w:p w14:paraId="38DB8229">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1155" w:type="dxa"/>
            <w:tcBorders>
              <w:top w:val="single" w:color="auto" w:sz="4" w:space="0"/>
              <w:left w:val="single" w:color="auto" w:sz="4" w:space="0"/>
              <w:bottom w:val="single" w:color="auto" w:sz="4" w:space="0"/>
              <w:right w:val="single" w:color="auto" w:sz="4" w:space="0"/>
            </w:tcBorders>
            <w:vAlign w:val="center"/>
          </w:tcPr>
          <w:p w14:paraId="2F90E728">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14:paraId="5DF048DC">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1979A832">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0E3005FB">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735" w:type="dxa"/>
            <w:tcBorders>
              <w:top w:val="single" w:color="auto" w:sz="4" w:space="0"/>
              <w:left w:val="single" w:color="auto" w:sz="4" w:space="0"/>
              <w:bottom w:val="single" w:color="auto" w:sz="4" w:space="0"/>
              <w:right w:val="single" w:color="auto" w:sz="4" w:space="0"/>
            </w:tcBorders>
            <w:vAlign w:val="center"/>
          </w:tcPr>
          <w:p w14:paraId="30D9C26D">
            <w:pPr>
              <w:spacing w:line="420" w:lineRule="exact"/>
              <w:ind w:firstLine="200"/>
              <w:rPr>
                <w:rFonts w:ascii="宋体" w:hAnsi="宋体" w:cs="宋体"/>
                <w:color w:val="000000" w:themeColor="text1"/>
                <w:sz w:val="24"/>
                <w:highlight w:val="none"/>
                <w14:textFill>
                  <w14:solidFill>
                    <w14:schemeClr w14:val="tx1"/>
                  </w14:solidFill>
                </w14:textFill>
              </w:rPr>
            </w:pPr>
          </w:p>
        </w:tc>
        <w:tc>
          <w:tcPr>
            <w:tcW w:w="2894" w:type="dxa"/>
            <w:tcBorders>
              <w:top w:val="single" w:color="auto" w:sz="4" w:space="0"/>
              <w:left w:val="single" w:color="auto" w:sz="4" w:space="0"/>
              <w:bottom w:val="single" w:color="auto" w:sz="4" w:space="0"/>
              <w:right w:val="single" w:color="auto" w:sz="4" w:space="0"/>
            </w:tcBorders>
            <w:vAlign w:val="center"/>
          </w:tcPr>
          <w:p w14:paraId="29F3E06C">
            <w:pPr>
              <w:spacing w:line="420" w:lineRule="exact"/>
              <w:ind w:firstLine="200"/>
              <w:rPr>
                <w:rFonts w:ascii="宋体" w:hAnsi="宋体" w:cs="宋体"/>
                <w:color w:val="000000" w:themeColor="text1"/>
                <w:sz w:val="24"/>
                <w:highlight w:val="none"/>
                <w14:textFill>
                  <w14:solidFill>
                    <w14:schemeClr w14:val="tx1"/>
                  </w14:solidFill>
                </w14:textFill>
              </w:rPr>
            </w:pPr>
          </w:p>
        </w:tc>
      </w:tr>
    </w:tbl>
    <w:p w14:paraId="4DFF7321">
      <w:pPr>
        <w:spacing w:line="42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上述优惠比例及实际单价可以延用到以后的备品备件更换中，也可以根据以后的市场价按上述优惠比例进行下调；本报价的币种为人民币（元）。</w:t>
      </w:r>
    </w:p>
    <w:p w14:paraId="48875CEB">
      <w:pPr>
        <w:spacing w:line="42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特此承诺！</w:t>
      </w:r>
    </w:p>
    <w:p w14:paraId="3D048E56">
      <w:pPr>
        <w:spacing w:line="360" w:lineRule="exact"/>
        <w:ind w:right="-128" w:firstLine="360"/>
        <w:rPr>
          <w:rFonts w:ascii="宋体" w:hAnsi="宋体" w:cs="宋体"/>
          <w:bCs/>
          <w:color w:val="000000" w:themeColor="text1"/>
          <w:szCs w:val="21"/>
          <w:highlight w:val="none"/>
          <w14:textFill>
            <w14:solidFill>
              <w14:schemeClr w14:val="tx1"/>
            </w14:solidFill>
          </w14:textFill>
        </w:rPr>
      </w:pPr>
    </w:p>
    <w:p w14:paraId="2C53484D">
      <w:pPr>
        <w:spacing w:line="360" w:lineRule="exact"/>
        <w:ind w:right="-128" w:firstLine="360"/>
        <w:rPr>
          <w:rFonts w:ascii="宋体" w:hAnsi="宋体" w:cs="宋体"/>
          <w:bCs/>
          <w:color w:val="000000" w:themeColor="text1"/>
          <w:szCs w:val="21"/>
          <w:highlight w:val="none"/>
          <w14:textFill>
            <w14:solidFill>
              <w14:schemeClr w14:val="tx1"/>
            </w14:solidFill>
          </w14:textFill>
        </w:rPr>
      </w:pPr>
    </w:p>
    <w:p w14:paraId="578B1FE8">
      <w:pPr>
        <w:spacing w:line="360" w:lineRule="exact"/>
        <w:ind w:right="-128" w:firstLine="360"/>
        <w:rPr>
          <w:rFonts w:ascii="宋体" w:hAnsi="宋体" w:cs="宋体"/>
          <w:bCs/>
          <w:color w:val="000000" w:themeColor="text1"/>
          <w:szCs w:val="21"/>
          <w:highlight w:val="none"/>
          <w14:textFill>
            <w14:solidFill>
              <w14:schemeClr w14:val="tx1"/>
            </w14:solidFill>
          </w14:textFill>
        </w:rPr>
      </w:pPr>
    </w:p>
    <w:p w14:paraId="74338EC5">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电子签章</w:t>
      </w:r>
      <w:r>
        <w:rPr>
          <w:rFonts w:hint="eastAsia" w:ascii="宋体" w:hAnsi="宋体" w:cs="宋体"/>
          <w:b/>
          <w:color w:val="000000" w:themeColor="text1"/>
          <w:sz w:val="24"/>
          <w:highlight w:val="none"/>
          <w14:textFill>
            <w14:solidFill>
              <w14:schemeClr w14:val="tx1"/>
            </w14:solidFill>
          </w14:textFill>
        </w:rPr>
        <w:t>）</w:t>
      </w:r>
    </w:p>
    <w:p w14:paraId="6AB29B78">
      <w:pPr>
        <w:spacing w:line="360" w:lineRule="auto"/>
        <w:ind w:firstLine="2" w:firstLineChars="1"/>
        <w:rPr>
          <w:rFonts w:ascii="宋体" w:hAnsi="宋体" w:cs="宋体"/>
          <w:b/>
          <w:color w:val="000000" w:themeColor="text1"/>
          <w:sz w:val="24"/>
          <w:highlight w:val="none"/>
          <w14:textFill>
            <w14:solidFill>
              <w14:schemeClr w14:val="tx1"/>
            </w14:solidFill>
          </w14:textFill>
        </w:rPr>
      </w:pPr>
    </w:p>
    <w:p w14:paraId="66CF05E8">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法定代表人或其委托代理人</w:t>
      </w:r>
      <w:r>
        <w:rPr>
          <w:rFonts w:hint="eastAsia" w:ascii="宋体" w:hAnsi="宋体" w:cs="宋体"/>
          <w:b/>
          <w:color w:val="000000" w:themeColor="text1"/>
          <w:sz w:val="24"/>
          <w:highlight w:val="none"/>
          <w14:textFill>
            <w14:solidFill>
              <w14:schemeClr w14:val="tx1"/>
            </w14:solidFill>
          </w14:textFill>
        </w:rPr>
        <w:t>（电子签名或签章）：</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p>
    <w:p w14:paraId="425CC6A0">
      <w:pPr>
        <w:spacing w:line="360" w:lineRule="auto"/>
        <w:ind w:firstLine="2" w:firstLineChars="1"/>
        <w:rPr>
          <w:rFonts w:ascii="宋体" w:hAnsi="宋体" w:cs="宋体"/>
          <w:b/>
          <w:color w:val="000000" w:themeColor="text1"/>
          <w:sz w:val="24"/>
          <w:highlight w:val="none"/>
          <w:u w:val="single"/>
          <w14:textFill>
            <w14:solidFill>
              <w14:schemeClr w14:val="tx1"/>
            </w14:solidFill>
          </w14:textFill>
        </w:rPr>
      </w:pPr>
    </w:p>
    <w:p w14:paraId="1537D038">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日</w:t>
      </w:r>
    </w:p>
    <w:p w14:paraId="54EAB039">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注：投标人在编制此“备品备件报价承诺”时，除表格的格式及内容不得修改外，其余部分可视投标人的自身情况进行修改并承诺。若无备品配件的可不填此表。</w:t>
      </w:r>
    </w:p>
    <w:p w14:paraId="25E3378E">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3AA5E25A">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29" w:name="_Toc10366"/>
      <w:bookmarkStart w:id="330" w:name="_Toc15574"/>
      <w:bookmarkStart w:id="331" w:name="_Toc5324"/>
      <w:bookmarkStart w:id="332" w:name="_Toc24431"/>
      <w:bookmarkStart w:id="333" w:name="_Toc6288"/>
      <w:bookmarkStart w:id="334" w:name="_Toc7178"/>
      <w:bookmarkStart w:id="335" w:name="_Toc3667"/>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七</w:t>
      </w:r>
      <w:r>
        <w:rPr>
          <w:rFonts w:hint="eastAsia" w:ascii="宋体" w:hAnsi="宋体" w:eastAsia="宋体" w:cs="宋体"/>
          <w:color w:val="000000" w:themeColor="text1"/>
          <w:sz w:val="32"/>
          <w:szCs w:val="32"/>
          <w:highlight w:val="none"/>
          <w14:textFill>
            <w14:solidFill>
              <w14:schemeClr w14:val="tx1"/>
            </w14:solidFill>
          </w14:textFill>
        </w:rPr>
        <w:t>）随机专用工具明细表</w:t>
      </w:r>
      <w:bookmarkEnd w:id="329"/>
      <w:bookmarkEnd w:id="330"/>
      <w:bookmarkEnd w:id="331"/>
      <w:bookmarkEnd w:id="332"/>
      <w:bookmarkEnd w:id="333"/>
      <w:bookmarkEnd w:id="334"/>
      <w:bookmarkEnd w:id="335"/>
    </w:p>
    <w:p w14:paraId="73288C5A">
      <w:pPr>
        <w:pStyle w:val="20"/>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项目名称：</w:t>
      </w:r>
      <w:r>
        <w:rPr>
          <w:rFonts w:hint="eastAsia" w:hAnsi="宋体" w:cs="宋体"/>
          <w:b/>
          <w:color w:val="000000" w:themeColor="text1"/>
          <w:sz w:val="24"/>
          <w:szCs w:val="24"/>
          <w:highlight w:val="none"/>
          <w:u w:val="single"/>
          <w14:textFill>
            <w14:solidFill>
              <w14:schemeClr w14:val="tx1"/>
            </w14:solidFill>
          </w14:textFill>
        </w:rPr>
        <w:t xml:space="preserve">                 </w:t>
      </w:r>
    </w:p>
    <w:p w14:paraId="395CB971">
      <w:pPr>
        <w:pStyle w:val="20"/>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项目编号：</w:t>
      </w:r>
      <w:r>
        <w:rPr>
          <w:rFonts w:hint="eastAsia" w:hAnsi="宋体" w:cs="宋体"/>
          <w:b/>
          <w:color w:val="000000" w:themeColor="text1"/>
          <w:sz w:val="24"/>
          <w:szCs w:val="24"/>
          <w:highlight w:val="none"/>
          <w:u w:val="single"/>
          <w14:textFill>
            <w14:solidFill>
              <w14:schemeClr w14:val="tx1"/>
            </w14:solidFill>
          </w14:textFill>
        </w:rPr>
        <w:t xml:space="preserve">                 </w:t>
      </w:r>
    </w:p>
    <w:tbl>
      <w:tblPr>
        <w:tblStyle w:val="3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90"/>
        <w:gridCol w:w="3527"/>
        <w:gridCol w:w="1313"/>
        <w:gridCol w:w="1419"/>
        <w:gridCol w:w="751"/>
        <w:gridCol w:w="1116"/>
        <w:gridCol w:w="726"/>
      </w:tblGrid>
      <w:tr w14:paraId="4F631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410" w:type="pct"/>
          </w:tcPr>
          <w:p w14:paraId="3CA53C16">
            <w:pPr>
              <w:pStyle w:val="142"/>
              <w:spacing w:before="12"/>
              <w:rPr>
                <w:rFonts w:ascii="宋体" w:hAnsi="宋体" w:eastAsia="宋体" w:cs="宋体"/>
                <w:b/>
                <w:color w:val="000000" w:themeColor="text1"/>
                <w:sz w:val="15"/>
                <w:highlight w:val="none"/>
                <w14:textFill>
                  <w14:solidFill>
                    <w14:schemeClr w14:val="tx1"/>
                  </w14:solidFill>
                </w14:textFill>
              </w:rPr>
            </w:pPr>
          </w:p>
          <w:p w14:paraId="0A37064C">
            <w:pPr>
              <w:pStyle w:val="142"/>
              <w:spacing w:before="1"/>
              <w:ind w:left="174"/>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1827" w:type="pct"/>
          </w:tcPr>
          <w:p w14:paraId="5077B4FA">
            <w:pPr>
              <w:pStyle w:val="142"/>
              <w:spacing w:before="12"/>
              <w:rPr>
                <w:rFonts w:ascii="宋体" w:hAnsi="宋体" w:eastAsia="宋体" w:cs="宋体"/>
                <w:b/>
                <w:color w:val="000000" w:themeColor="text1"/>
                <w:sz w:val="15"/>
                <w:highlight w:val="none"/>
                <w14:textFill>
                  <w14:solidFill>
                    <w14:schemeClr w14:val="tx1"/>
                  </w14:solidFill>
                </w14:textFill>
              </w:rPr>
            </w:pPr>
          </w:p>
          <w:p w14:paraId="5E5CE3D1">
            <w:pPr>
              <w:pStyle w:val="142"/>
              <w:spacing w:before="1"/>
              <w:ind w:left="1486" w:right="1478"/>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名称</w:t>
            </w:r>
          </w:p>
        </w:tc>
        <w:tc>
          <w:tcPr>
            <w:tcW w:w="680" w:type="pct"/>
          </w:tcPr>
          <w:p w14:paraId="50EC61BC">
            <w:pPr>
              <w:pStyle w:val="142"/>
              <w:spacing w:before="12"/>
              <w:rPr>
                <w:rFonts w:ascii="宋体" w:hAnsi="宋体" w:eastAsia="宋体" w:cs="宋体"/>
                <w:b/>
                <w:color w:val="000000" w:themeColor="text1"/>
                <w:sz w:val="15"/>
                <w:highlight w:val="none"/>
                <w14:textFill>
                  <w14:solidFill>
                    <w14:schemeClr w14:val="tx1"/>
                  </w14:solidFill>
                </w14:textFill>
              </w:rPr>
            </w:pPr>
          </w:p>
          <w:p w14:paraId="7EC3AFB7">
            <w:pPr>
              <w:pStyle w:val="142"/>
              <w:spacing w:before="1"/>
              <w:ind w:left="113"/>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型号和规格</w:t>
            </w:r>
          </w:p>
        </w:tc>
        <w:tc>
          <w:tcPr>
            <w:tcW w:w="735" w:type="pct"/>
          </w:tcPr>
          <w:p w14:paraId="00E5824C">
            <w:pPr>
              <w:pStyle w:val="142"/>
              <w:spacing w:before="1"/>
              <w:ind w:left="166"/>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w w:val="95"/>
                <w:highlight w:val="none"/>
                <w14:textFill>
                  <w14:solidFill>
                    <w14:schemeClr w14:val="tx1"/>
                  </w14:solidFill>
                </w14:textFill>
              </w:rPr>
              <w:t>生产制造商</w:t>
            </w:r>
          </w:p>
          <w:p w14:paraId="7E76FB9C">
            <w:pPr>
              <w:pStyle w:val="142"/>
              <w:spacing w:before="139"/>
              <w:ind w:left="166"/>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w w:val="95"/>
                <w:highlight w:val="none"/>
                <w14:textFill>
                  <w14:solidFill>
                    <w14:schemeClr w14:val="tx1"/>
                  </w14:solidFill>
                </w14:textFill>
              </w:rPr>
              <w:t>名称、国别</w:t>
            </w:r>
          </w:p>
        </w:tc>
        <w:tc>
          <w:tcPr>
            <w:tcW w:w="389" w:type="pct"/>
          </w:tcPr>
          <w:p w14:paraId="3C3B2897">
            <w:pPr>
              <w:pStyle w:val="142"/>
              <w:spacing w:before="12"/>
              <w:rPr>
                <w:rFonts w:ascii="宋体" w:hAnsi="宋体" w:eastAsia="宋体" w:cs="宋体"/>
                <w:b/>
                <w:color w:val="000000" w:themeColor="text1"/>
                <w:sz w:val="15"/>
                <w:highlight w:val="none"/>
                <w14:textFill>
                  <w14:solidFill>
                    <w14:schemeClr w14:val="tx1"/>
                  </w14:solidFill>
                </w14:textFill>
              </w:rPr>
            </w:pPr>
          </w:p>
          <w:p w14:paraId="674E7E05">
            <w:pPr>
              <w:pStyle w:val="142"/>
              <w:spacing w:before="1"/>
              <w:ind w:left="156"/>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578" w:type="pct"/>
          </w:tcPr>
          <w:p w14:paraId="3F4AB7F7">
            <w:pPr>
              <w:pStyle w:val="142"/>
              <w:spacing w:before="12"/>
              <w:rPr>
                <w:rFonts w:ascii="宋体" w:hAnsi="宋体" w:eastAsia="宋体" w:cs="宋体"/>
                <w:b/>
                <w:color w:val="000000" w:themeColor="text1"/>
                <w:sz w:val="15"/>
                <w:highlight w:val="none"/>
                <w14:textFill>
                  <w14:solidFill>
                    <w14:schemeClr w14:val="tx1"/>
                  </w14:solidFill>
                </w14:textFill>
              </w:rPr>
            </w:pPr>
          </w:p>
          <w:p w14:paraId="5E6FC491">
            <w:pPr>
              <w:pStyle w:val="142"/>
              <w:spacing w:before="1"/>
              <w:ind w:left="124"/>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计量单位</w:t>
            </w:r>
          </w:p>
        </w:tc>
        <w:tc>
          <w:tcPr>
            <w:tcW w:w="376" w:type="pct"/>
          </w:tcPr>
          <w:p w14:paraId="4BCF9A8D">
            <w:pPr>
              <w:pStyle w:val="142"/>
              <w:spacing w:before="12"/>
              <w:rPr>
                <w:rFonts w:ascii="宋体" w:hAnsi="宋体" w:eastAsia="宋体" w:cs="宋体"/>
                <w:b/>
                <w:color w:val="000000" w:themeColor="text1"/>
                <w:sz w:val="15"/>
                <w:highlight w:val="none"/>
                <w14:textFill>
                  <w14:solidFill>
                    <w14:schemeClr w14:val="tx1"/>
                  </w14:solidFill>
                </w14:textFill>
              </w:rPr>
            </w:pPr>
          </w:p>
          <w:p w14:paraId="568F661A">
            <w:pPr>
              <w:pStyle w:val="142"/>
              <w:spacing w:before="1"/>
              <w:ind w:left="142"/>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w:t>
            </w:r>
          </w:p>
        </w:tc>
      </w:tr>
      <w:tr w14:paraId="7AF7C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410" w:type="pct"/>
          </w:tcPr>
          <w:p w14:paraId="338E3179">
            <w:pPr>
              <w:pStyle w:val="142"/>
              <w:rPr>
                <w:rFonts w:ascii="宋体" w:hAnsi="宋体" w:eastAsia="宋体" w:cs="宋体"/>
                <w:color w:val="000000" w:themeColor="text1"/>
                <w:sz w:val="20"/>
                <w:highlight w:val="none"/>
                <w14:textFill>
                  <w14:solidFill>
                    <w14:schemeClr w14:val="tx1"/>
                  </w14:solidFill>
                </w14:textFill>
              </w:rPr>
            </w:pPr>
          </w:p>
        </w:tc>
        <w:tc>
          <w:tcPr>
            <w:tcW w:w="1827" w:type="pct"/>
          </w:tcPr>
          <w:p w14:paraId="5CC818EB">
            <w:pPr>
              <w:pStyle w:val="142"/>
              <w:rPr>
                <w:rFonts w:ascii="宋体" w:hAnsi="宋体" w:eastAsia="宋体" w:cs="宋体"/>
                <w:color w:val="000000" w:themeColor="text1"/>
                <w:sz w:val="20"/>
                <w:highlight w:val="none"/>
                <w14:textFill>
                  <w14:solidFill>
                    <w14:schemeClr w14:val="tx1"/>
                  </w14:solidFill>
                </w14:textFill>
              </w:rPr>
            </w:pPr>
          </w:p>
        </w:tc>
        <w:tc>
          <w:tcPr>
            <w:tcW w:w="680" w:type="pct"/>
          </w:tcPr>
          <w:p w14:paraId="3C204A63">
            <w:pPr>
              <w:pStyle w:val="142"/>
              <w:rPr>
                <w:rFonts w:ascii="宋体" w:hAnsi="宋体" w:eastAsia="宋体" w:cs="宋体"/>
                <w:color w:val="000000" w:themeColor="text1"/>
                <w:sz w:val="20"/>
                <w:highlight w:val="none"/>
                <w14:textFill>
                  <w14:solidFill>
                    <w14:schemeClr w14:val="tx1"/>
                  </w14:solidFill>
                </w14:textFill>
              </w:rPr>
            </w:pPr>
          </w:p>
        </w:tc>
        <w:tc>
          <w:tcPr>
            <w:tcW w:w="735" w:type="pct"/>
          </w:tcPr>
          <w:p w14:paraId="3837FD63">
            <w:pPr>
              <w:pStyle w:val="142"/>
              <w:rPr>
                <w:rFonts w:ascii="宋体" w:hAnsi="宋体" w:eastAsia="宋体" w:cs="宋体"/>
                <w:color w:val="000000" w:themeColor="text1"/>
                <w:sz w:val="20"/>
                <w:highlight w:val="none"/>
                <w14:textFill>
                  <w14:solidFill>
                    <w14:schemeClr w14:val="tx1"/>
                  </w14:solidFill>
                </w14:textFill>
              </w:rPr>
            </w:pPr>
          </w:p>
        </w:tc>
        <w:tc>
          <w:tcPr>
            <w:tcW w:w="389" w:type="pct"/>
          </w:tcPr>
          <w:p w14:paraId="5F031BCE">
            <w:pPr>
              <w:pStyle w:val="142"/>
              <w:rPr>
                <w:rFonts w:ascii="宋体" w:hAnsi="宋体" w:eastAsia="宋体" w:cs="宋体"/>
                <w:color w:val="000000" w:themeColor="text1"/>
                <w:sz w:val="20"/>
                <w:highlight w:val="none"/>
                <w14:textFill>
                  <w14:solidFill>
                    <w14:schemeClr w14:val="tx1"/>
                  </w14:solidFill>
                </w14:textFill>
              </w:rPr>
            </w:pPr>
          </w:p>
        </w:tc>
        <w:tc>
          <w:tcPr>
            <w:tcW w:w="578" w:type="pct"/>
          </w:tcPr>
          <w:p w14:paraId="588930CE">
            <w:pPr>
              <w:pStyle w:val="142"/>
              <w:rPr>
                <w:rFonts w:ascii="宋体" w:hAnsi="宋体" w:eastAsia="宋体" w:cs="宋体"/>
                <w:color w:val="000000" w:themeColor="text1"/>
                <w:sz w:val="20"/>
                <w:highlight w:val="none"/>
                <w14:textFill>
                  <w14:solidFill>
                    <w14:schemeClr w14:val="tx1"/>
                  </w14:solidFill>
                </w14:textFill>
              </w:rPr>
            </w:pPr>
          </w:p>
        </w:tc>
        <w:tc>
          <w:tcPr>
            <w:tcW w:w="376" w:type="pct"/>
          </w:tcPr>
          <w:p w14:paraId="3EC23A09">
            <w:pPr>
              <w:pStyle w:val="142"/>
              <w:rPr>
                <w:rFonts w:ascii="宋体" w:hAnsi="宋体" w:eastAsia="宋体" w:cs="宋体"/>
                <w:color w:val="000000" w:themeColor="text1"/>
                <w:sz w:val="20"/>
                <w:highlight w:val="none"/>
                <w14:textFill>
                  <w14:solidFill>
                    <w14:schemeClr w14:val="tx1"/>
                  </w14:solidFill>
                </w14:textFill>
              </w:rPr>
            </w:pPr>
          </w:p>
        </w:tc>
      </w:tr>
      <w:tr w14:paraId="028CC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410" w:type="pct"/>
          </w:tcPr>
          <w:p w14:paraId="1D5108F4">
            <w:pPr>
              <w:pStyle w:val="142"/>
              <w:rPr>
                <w:rFonts w:ascii="宋体" w:hAnsi="宋体" w:eastAsia="宋体" w:cs="宋体"/>
                <w:color w:val="000000" w:themeColor="text1"/>
                <w:sz w:val="20"/>
                <w:highlight w:val="none"/>
                <w14:textFill>
                  <w14:solidFill>
                    <w14:schemeClr w14:val="tx1"/>
                  </w14:solidFill>
                </w14:textFill>
              </w:rPr>
            </w:pPr>
          </w:p>
        </w:tc>
        <w:tc>
          <w:tcPr>
            <w:tcW w:w="1827" w:type="pct"/>
          </w:tcPr>
          <w:p w14:paraId="40DDAC80">
            <w:pPr>
              <w:pStyle w:val="142"/>
              <w:rPr>
                <w:rFonts w:ascii="宋体" w:hAnsi="宋体" w:eastAsia="宋体" w:cs="宋体"/>
                <w:color w:val="000000" w:themeColor="text1"/>
                <w:sz w:val="20"/>
                <w:highlight w:val="none"/>
                <w14:textFill>
                  <w14:solidFill>
                    <w14:schemeClr w14:val="tx1"/>
                  </w14:solidFill>
                </w14:textFill>
              </w:rPr>
            </w:pPr>
          </w:p>
        </w:tc>
        <w:tc>
          <w:tcPr>
            <w:tcW w:w="680" w:type="pct"/>
          </w:tcPr>
          <w:p w14:paraId="03A132E2">
            <w:pPr>
              <w:pStyle w:val="142"/>
              <w:rPr>
                <w:rFonts w:ascii="宋体" w:hAnsi="宋体" w:eastAsia="宋体" w:cs="宋体"/>
                <w:color w:val="000000" w:themeColor="text1"/>
                <w:sz w:val="20"/>
                <w:highlight w:val="none"/>
                <w14:textFill>
                  <w14:solidFill>
                    <w14:schemeClr w14:val="tx1"/>
                  </w14:solidFill>
                </w14:textFill>
              </w:rPr>
            </w:pPr>
          </w:p>
        </w:tc>
        <w:tc>
          <w:tcPr>
            <w:tcW w:w="735" w:type="pct"/>
          </w:tcPr>
          <w:p w14:paraId="3C00746B">
            <w:pPr>
              <w:pStyle w:val="142"/>
              <w:rPr>
                <w:rFonts w:ascii="宋体" w:hAnsi="宋体" w:eastAsia="宋体" w:cs="宋体"/>
                <w:color w:val="000000" w:themeColor="text1"/>
                <w:sz w:val="20"/>
                <w:highlight w:val="none"/>
                <w14:textFill>
                  <w14:solidFill>
                    <w14:schemeClr w14:val="tx1"/>
                  </w14:solidFill>
                </w14:textFill>
              </w:rPr>
            </w:pPr>
          </w:p>
        </w:tc>
        <w:tc>
          <w:tcPr>
            <w:tcW w:w="389" w:type="pct"/>
          </w:tcPr>
          <w:p w14:paraId="446ED726">
            <w:pPr>
              <w:pStyle w:val="142"/>
              <w:rPr>
                <w:rFonts w:ascii="宋体" w:hAnsi="宋体" w:eastAsia="宋体" w:cs="宋体"/>
                <w:color w:val="000000" w:themeColor="text1"/>
                <w:sz w:val="20"/>
                <w:highlight w:val="none"/>
                <w14:textFill>
                  <w14:solidFill>
                    <w14:schemeClr w14:val="tx1"/>
                  </w14:solidFill>
                </w14:textFill>
              </w:rPr>
            </w:pPr>
          </w:p>
        </w:tc>
        <w:tc>
          <w:tcPr>
            <w:tcW w:w="578" w:type="pct"/>
          </w:tcPr>
          <w:p w14:paraId="34512A66">
            <w:pPr>
              <w:pStyle w:val="142"/>
              <w:rPr>
                <w:rFonts w:ascii="宋体" w:hAnsi="宋体" w:eastAsia="宋体" w:cs="宋体"/>
                <w:color w:val="000000" w:themeColor="text1"/>
                <w:sz w:val="20"/>
                <w:highlight w:val="none"/>
                <w14:textFill>
                  <w14:solidFill>
                    <w14:schemeClr w14:val="tx1"/>
                  </w14:solidFill>
                </w14:textFill>
              </w:rPr>
            </w:pPr>
          </w:p>
        </w:tc>
        <w:tc>
          <w:tcPr>
            <w:tcW w:w="376" w:type="pct"/>
          </w:tcPr>
          <w:p w14:paraId="74463DDB">
            <w:pPr>
              <w:pStyle w:val="142"/>
              <w:rPr>
                <w:rFonts w:ascii="宋体" w:hAnsi="宋体" w:eastAsia="宋体" w:cs="宋体"/>
                <w:color w:val="000000" w:themeColor="text1"/>
                <w:sz w:val="20"/>
                <w:highlight w:val="none"/>
                <w14:textFill>
                  <w14:solidFill>
                    <w14:schemeClr w14:val="tx1"/>
                  </w14:solidFill>
                </w14:textFill>
              </w:rPr>
            </w:pPr>
          </w:p>
        </w:tc>
      </w:tr>
      <w:tr w14:paraId="118E6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410" w:type="pct"/>
          </w:tcPr>
          <w:p w14:paraId="67D4E6EA">
            <w:pPr>
              <w:pStyle w:val="142"/>
              <w:rPr>
                <w:rFonts w:ascii="宋体" w:hAnsi="宋体" w:eastAsia="宋体" w:cs="宋体"/>
                <w:color w:val="000000" w:themeColor="text1"/>
                <w:sz w:val="20"/>
                <w:highlight w:val="none"/>
                <w14:textFill>
                  <w14:solidFill>
                    <w14:schemeClr w14:val="tx1"/>
                  </w14:solidFill>
                </w14:textFill>
              </w:rPr>
            </w:pPr>
          </w:p>
        </w:tc>
        <w:tc>
          <w:tcPr>
            <w:tcW w:w="1827" w:type="pct"/>
          </w:tcPr>
          <w:p w14:paraId="589F822C">
            <w:pPr>
              <w:pStyle w:val="142"/>
              <w:rPr>
                <w:rFonts w:ascii="宋体" w:hAnsi="宋体" w:eastAsia="宋体" w:cs="宋体"/>
                <w:color w:val="000000" w:themeColor="text1"/>
                <w:sz w:val="20"/>
                <w:highlight w:val="none"/>
                <w14:textFill>
                  <w14:solidFill>
                    <w14:schemeClr w14:val="tx1"/>
                  </w14:solidFill>
                </w14:textFill>
              </w:rPr>
            </w:pPr>
          </w:p>
        </w:tc>
        <w:tc>
          <w:tcPr>
            <w:tcW w:w="680" w:type="pct"/>
          </w:tcPr>
          <w:p w14:paraId="5D000A62">
            <w:pPr>
              <w:pStyle w:val="142"/>
              <w:rPr>
                <w:rFonts w:ascii="宋体" w:hAnsi="宋体" w:eastAsia="宋体" w:cs="宋体"/>
                <w:color w:val="000000" w:themeColor="text1"/>
                <w:sz w:val="20"/>
                <w:highlight w:val="none"/>
                <w14:textFill>
                  <w14:solidFill>
                    <w14:schemeClr w14:val="tx1"/>
                  </w14:solidFill>
                </w14:textFill>
              </w:rPr>
            </w:pPr>
          </w:p>
        </w:tc>
        <w:tc>
          <w:tcPr>
            <w:tcW w:w="735" w:type="pct"/>
          </w:tcPr>
          <w:p w14:paraId="76696F93">
            <w:pPr>
              <w:pStyle w:val="142"/>
              <w:rPr>
                <w:rFonts w:ascii="宋体" w:hAnsi="宋体" w:eastAsia="宋体" w:cs="宋体"/>
                <w:color w:val="000000" w:themeColor="text1"/>
                <w:sz w:val="20"/>
                <w:highlight w:val="none"/>
                <w14:textFill>
                  <w14:solidFill>
                    <w14:schemeClr w14:val="tx1"/>
                  </w14:solidFill>
                </w14:textFill>
              </w:rPr>
            </w:pPr>
          </w:p>
        </w:tc>
        <w:tc>
          <w:tcPr>
            <w:tcW w:w="389" w:type="pct"/>
          </w:tcPr>
          <w:p w14:paraId="459C8C1E">
            <w:pPr>
              <w:pStyle w:val="142"/>
              <w:rPr>
                <w:rFonts w:ascii="宋体" w:hAnsi="宋体" w:eastAsia="宋体" w:cs="宋体"/>
                <w:color w:val="000000" w:themeColor="text1"/>
                <w:sz w:val="20"/>
                <w:highlight w:val="none"/>
                <w14:textFill>
                  <w14:solidFill>
                    <w14:schemeClr w14:val="tx1"/>
                  </w14:solidFill>
                </w14:textFill>
              </w:rPr>
            </w:pPr>
          </w:p>
        </w:tc>
        <w:tc>
          <w:tcPr>
            <w:tcW w:w="578" w:type="pct"/>
          </w:tcPr>
          <w:p w14:paraId="3E80AF70">
            <w:pPr>
              <w:pStyle w:val="142"/>
              <w:rPr>
                <w:rFonts w:ascii="宋体" w:hAnsi="宋体" w:eastAsia="宋体" w:cs="宋体"/>
                <w:color w:val="000000" w:themeColor="text1"/>
                <w:sz w:val="20"/>
                <w:highlight w:val="none"/>
                <w14:textFill>
                  <w14:solidFill>
                    <w14:schemeClr w14:val="tx1"/>
                  </w14:solidFill>
                </w14:textFill>
              </w:rPr>
            </w:pPr>
          </w:p>
        </w:tc>
        <w:tc>
          <w:tcPr>
            <w:tcW w:w="376" w:type="pct"/>
          </w:tcPr>
          <w:p w14:paraId="4086661F">
            <w:pPr>
              <w:pStyle w:val="142"/>
              <w:rPr>
                <w:rFonts w:ascii="宋体" w:hAnsi="宋体" w:eastAsia="宋体" w:cs="宋体"/>
                <w:color w:val="000000" w:themeColor="text1"/>
                <w:sz w:val="20"/>
                <w:highlight w:val="none"/>
                <w14:textFill>
                  <w14:solidFill>
                    <w14:schemeClr w14:val="tx1"/>
                  </w14:solidFill>
                </w14:textFill>
              </w:rPr>
            </w:pPr>
          </w:p>
        </w:tc>
      </w:tr>
    </w:tbl>
    <w:p w14:paraId="7D73E28A">
      <w:pPr>
        <w:pStyle w:val="1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注：1.</w:t>
      </w:r>
      <w:r>
        <w:rPr>
          <w:rFonts w:hint="eastAsia" w:ascii="宋体" w:hAnsi="宋体" w:cs="宋体"/>
          <w:color w:val="000000" w:themeColor="text1"/>
          <w:sz w:val="24"/>
          <w:highlight w:val="none"/>
          <w:lang w:val="en-US"/>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若提供随机专用工具，此费用须包含在报价中，不单独列报。</w:t>
      </w:r>
    </w:p>
    <w:p w14:paraId="09FDF629">
      <w:pPr>
        <w:keepNext/>
        <w:keepLines/>
        <w:autoSpaceDE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2.投标人可根据实际情况拓展本表。</w:t>
      </w:r>
    </w:p>
    <w:p w14:paraId="4C174176">
      <w:pPr>
        <w:ind w:firstLine="1687" w:firstLineChars="600"/>
        <w:rPr>
          <w:rFonts w:ascii="宋体" w:hAnsi="宋体" w:cs="宋体"/>
          <w:b/>
          <w:color w:val="000000" w:themeColor="text1"/>
          <w:sz w:val="28"/>
          <w:szCs w:val="28"/>
          <w:highlight w:val="none"/>
          <w14:textFill>
            <w14:solidFill>
              <w14:schemeClr w14:val="tx1"/>
            </w14:solidFill>
          </w14:textFill>
        </w:rPr>
      </w:pPr>
    </w:p>
    <w:p w14:paraId="5348477F">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电子签章</w:t>
      </w:r>
      <w:r>
        <w:rPr>
          <w:rFonts w:hint="eastAsia" w:ascii="宋体" w:hAnsi="宋体" w:cs="宋体"/>
          <w:b/>
          <w:color w:val="000000" w:themeColor="text1"/>
          <w:sz w:val="24"/>
          <w:highlight w:val="none"/>
          <w14:textFill>
            <w14:solidFill>
              <w14:schemeClr w14:val="tx1"/>
            </w14:solidFill>
          </w14:textFill>
        </w:rPr>
        <w:t>）</w:t>
      </w:r>
    </w:p>
    <w:p w14:paraId="70213D65">
      <w:pPr>
        <w:spacing w:line="360" w:lineRule="auto"/>
        <w:ind w:firstLine="2" w:firstLineChars="1"/>
        <w:rPr>
          <w:rFonts w:ascii="宋体" w:hAnsi="宋体" w:cs="宋体"/>
          <w:b/>
          <w:color w:val="000000" w:themeColor="text1"/>
          <w:sz w:val="24"/>
          <w:highlight w:val="none"/>
          <w14:textFill>
            <w14:solidFill>
              <w14:schemeClr w14:val="tx1"/>
            </w14:solidFill>
          </w14:textFill>
        </w:rPr>
      </w:pPr>
    </w:p>
    <w:p w14:paraId="4873B7A1">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法定代表人或其委托代理人</w:t>
      </w:r>
      <w:r>
        <w:rPr>
          <w:rFonts w:hint="eastAsia" w:ascii="宋体" w:hAnsi="宋体" w:cs="宋体"/>
          <w:b/>
          <w:color w:val="000000" w:themeColor="text1"/>
          <w:sz w:val="24"/>
          <w:highlight w:val="none"/>
          <w14:textFill>
            <w14:solidFill>
              <w14:schemeClr w14:val="tx1"/>
            </w14:solidFill>
          </w14:textFill>
        </w:rPr>
        <w:t>（电子签名或签章）：</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p>
    <w:p w14:paraId="3507387C">
      <w:pPr>
        <w:spacing w:line="360" w:lineRule="auto"/>
        <w:ind w:firstLine="2" w:firstLineChars="1"/>
        <w:rPr>
          <w:rFonts w:ascii="宋体" w:hAnsi="宋体" w:cs="宋体"/>
          <w:b/>
          <w:color w:val="000000" w:themeColor="text1"/>
          <w:sz w:val="24"/>
          <w:highlight w:val="none"/>
          <w:u w:val="single"/>
          <w14:textFill>
            <w14:solidFill>
              <w14:schemeClr w14:val="tx1"/>
            </w14:solidFill>
          </w14:textFill>
        </w:rPr>
      </w:pPr>
    </w:p>
    <w:p w14:paraId="7EF9E04F">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日</w:t>
      </w:r>
    </w:p>
    <w:p w14:paraId="0FD8A05A">
      <w:pPr>
        <w:rPr>
          <w:rFonts w:ascii="宋体" w:hAnsi="宋体" w:cs="宋体"/>
          <w:color w:val="000000" w:themeColor="text1"/>
          <w:highlight w:val="none"/>
          <w14:textFill>
            <w14:solidFill>
              <w14:schemeClr w14:val="tx1"/>
            </w14:solidFill>
          </w14:textFill>
        </w:rPr>
      </w:pPr>
    </w:p>
    <w:p w14:paraId="1A8E76AD">
      <w:pP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p>
    <w:p w14:paraId="5C318FC9">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36" w:name="_Toc34163806"/>
      <w:bookmarkStart w:id="337" w:name="_Toc13003"/>
      <w:bookmarkStart w:id="338" w:name="_Toc13686"/>
      <w:bookmarkStart w:id="339" w:name="_Toc6405"/>
      <w:bookmarkStart w:id="340" w:name="_Toc19105"/>
      <w:bookmarkStart w:id="341" w:name="_Toc493600041"/>
      <w:bookmarkStart w:id="342" w:name="_Toc26769"/>
      <w:bookmarkStart w:id="343" w:name="_Toc22494"/>
      <w:bookmarkStart w:id="344" w:name="_Toc15541"/>
      <w:bookmarkStart w:id="345" w:name="_Toc213141099"/>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八</w:t>
      </w:r>
      <w:r>
        <w:rPr>
          <w:rFonts w:hint="eastAsia" w:ascii="宋体" w:hAnsi="宋体" w:eastAsia="宋体" w:cs="宋体"/>
          <w:color w:val="000000" w:themeColor="text1"/>
          <w:sz w:val="32"/>
          <w:szCs w:val="32"/>
          <w:highlight w:val="none"/>
          <w14:textFill>
            <w14:solidFill>
              <w14:schemeClr w14:val="tx1"/>
            </w14:solidFill>
          </w14:textFill>
        </w:rPr>
        <w:t>）技术规格偏离表</w:t>
      </w:r>
      <w:bookmarkEnd w:id="336"/>
      <w:bookmarkEnd w:id="337"/>
      <w:bookmarkEnd w:id="338"/>
      <w:bookmarkEnd w:id="339"/>
      <w:bookmarkEnd w:id="340"/>
      <w:bookmarkEnd w:id="341"/>
      <w:bookmarkEnd w:id="342"/>
      <w:bookmarkEnd w:id="343"/>
      <w:bookmarkEnd w:id="344"/>
      <w:bookmarkEnd w:id="345"/>
      <w:r>
        <w:rPr>
          <w:rFonts w:hint="eastAsia" w:ascii="宋体" w:hAnsi="宋体" w:eastAsia="宋体" w:cs="宋体"/>
          <w:color w:val="000000" w:themeColor="text1"/>
          <w:sz w:val="32"/>
          <w:szCs w:val="32"/>
          <w:highlight w:val="none"/>
          <w14:textFill>
            <w14:solidFill>
              <w14:schemeClr w14:val="tx1"/>
            </w14:solidFill>
          </w14:textFill>
        </w:rPr>
        <w:t xml:space="preserve"> </w:t>
      </w:r>
    </w:p>
    <w:p w14:paraId="317AACF0">
      <w:pPr>
        <w:pStyle w:val="20"/>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 </w:t>
      </w:r>
    </w:p>
    <w:tbl>
      <w:tblPr>
        <w:tblStyle w:val="3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1288"/>
        <w:gridCol w:w="1385"/>
        <w:gridCol w:w="1658"/>
        <w:gridCol w:w="1391"/>
        <w:gridCol w:w="1296"/>
        <w:gridCol w:w="892"/>
        <w:gridCol w:w="1335"/>
      </w:tblGrid>
      <w:tr w14:paraId="5506E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01" w:type="pct"/>
            <w:vAlign w:val="center"/>
          </w:tcPr>
          <w:p w14:paraId="1890FFCC">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654" w:type="pct"/>
            <w:vAlign w:val="center"/>
          </w:tcPr>
          <w:p w14:paraId="2AA0F936">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货物名称</w:t>
            </w:r>
          </w:p>
        </w:tc>
        <w:tc>
          <w:tcPr>
            <w:tcW w:w="703" w:type="pct"/>
            <w:vAlign w:val="center"/>
          </w:tcPr>
          <w:p w14:paraId="5B883237">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招标文件</w:t>
            </w:r>
          </w:p>
          <w:p w14:paraId="341441D9">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条款号</w:t>
            </w:r>
          </w:p>
        </w:tc>
        <w:tc>
          <w:tcPr>
            <w:tcW w:w="842" w:type="pct"/>
            <w:vAlign w:val="center"/>
          </w:tcPr>
          <w:p w14:paraId="090F64A6">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招标文件技术规格及要求</w:t>
            </w:r>
          </w:p>
        </w:tc>
        <w:tc>
          <w:tcPr>
            <w:tcW w:w="706" w:type="pct"/>
            <w:vAlign w:val="center"/>
          </w:tcPr>
          <w:p w14:paraId="45F5E2D5">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投标品牌及型号</w:t>
            </w:r>
          </w:p>
        </w:tc>
        <w:tc>
          <w:tcPr>
            <w:tcW w:w="658" w:type="pct"/>
            <w:vAlign w:val="center"/>
          </w:tcPr>
          <w:p w14:paraId="7D9F6ED1">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投标技术</w:t>
            </w:r>
          </w:p>
          <w:p w14:paraId="6BFACAD6">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规格及要求</w:t>
            </w:r>
          </w:p>
        </w:tc>
        <w:tc>
          <w:tcPr>
            <w:tcW w:w="453" w:type="pct"/>
            <w:vAlign w:val="center"/>
          </w:tcPr>
          <w:p w14:paraId="66E04C65">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偏离情况</w:t>
            </w:r>
          </w:p>
        </w:tc>
        <w:tc>
          <w:tcPr>
            <w:tcW w:w="678" w:type="pct"/>
            <w:vAlign w:val="center"/>
          </w:tcPr>
          <w:p w14:paraId="369AF600">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投标产品技术支持资料</w:t>
            </w:r>
          </w:p>
          <w:p w14:paraId="0F014C79">
            <w:pPr>
              <w:spacing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（页码及条目号等）</w:t>
            </w:r>
          </w:p>
        </w:tc>
      </w:tr>
      <w:tr w14:paraId="533D9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01" w:type="pct"/>
            <w:vAlign w:val="center"/>
          </w:tcPr>
          <w:p w14:paraId="0396D994">
            <w:pPr>
              <w:spacing w:line="480" w:lineRule="exact"/>
              <w:jc w:val="center"/>
              <w:rPr>
                <w:rFonts w:ascii="宋体" w:hAnsi="宋体" w:cs="宋体"/>
                <w:color w:val="000000" w:themeColor="text1"/>
                <w:sz w:val="24"/>
                <w:highlight w:val="none"/>
                <w14:textFill>
                  <w14:solidFill>
                    <w14:schemeClr w14:val="tx1"/>
                  </w14:solidFill>
                </w14:textFill>
              </w:rPr>
            </w:pPr>
          </w:p>
        </w:tc>
        <w:tc>
          <w:tcPr>
            <w:tcW w:w="654" w:type="pct"/>
          </w:tcPr>
          <w:p w14:paraId="38746591">
            <w:pPr>
              <w:spacing w:line="480" w:lineRule="exact"/>
              <w:rPr>
                <w:rFonts w:ascii="宋体" w:hAnsi="宋体" w:cs="宋体"/>
                <w:color w:val="000000" w:themeColor="text1"/>
                <w:sz w:val="24"/>
                <w:highlight w:val="none"/>
                <w14:textFill>
                  <w14:solidFill>
                    <w14:schemeClr w14:val="tx1"/>
                  </w14:solidFill>
                </w14:textFill>
              </w:rPr>
            </w:pPr>
          </w:p>
        </w:tc>
        <w:tc>
          <w:tcPr>
            <w:tcW w:w="703" w:type="pct"/>
          </w:tcPr>
          <w:p w14:paraId="24525D24">
            <w:pPr>
              <w:spacing w:line="480" w:lineRule="exact"/>
              <w:rPr>
                <w:rFonts w:ascii="宋体" w:hAnsi="宋体" w:cs="宋体"/>
                <w:color w:val="000000" w:themeColor="text1"/>
                <w:sz w:val="24"/>
                <w:highlight w:val="none"/>
                <w14:textFill>
                  <w14:solidFill>
                    <w14:schemeClr w14:val="tx1"/>
                  </w14:solidFill>
                </w14:textFill>
              </w:rPr>
            </w:pPr>
          </w:p>
        </w:tc>
        <w:tc>
          <w:tcPr>
            <w:tcW w:w="842" w:type="pct"/>
          </w:tcPr>
          <w:p w14:paraId="2F580F22">
            <w:pPr>
              <w:spacing w:line="480" w:lineRule="exact"/>
              <w:rPr>
                <w:rFonts w:ascii="宋体" w:hAnsi="宋体" w:cs="宋体"/>
                <w:color w:val="000000" w:themeColor="text1"/>
                <w:sz w:val="24"/>
                <w:highlight w:val="none"/>
                <w14:textFill>
                  <w14:solidFill>
                    <w14:schemeClr w14:val="tx1"/>
                  </w14:solidFill>
                </w14:textFill>
              </w:rPr>
            </w:pPr>
          </w:p>
        </w:tc>
        <w:tc>
          <w:tcPr>
            <w:tcW w:w="706" w:type="pct"/>
          </w:tcPr>
          <w:p w14:paraId="6F93FFA1">
            <w:pPr>
              <w:spacing w:line="480" w:lineRule="exact"/>
              <w:rPr>
                <w:rFonts w:ascii="宋体" w:hAnsi="宋体" w:cs="宋体"/>
                <w:color w:val="000000" w:themeColor="text1"/>
                <w:sz w:val="24"/>
                <w:highlight w:val="none"/>
                <w14:textFill>
                  <w14:solidFill>
                    <w14:schemeClr w14:val="tx1"/>
                  </w14:solidFill>
                </w14:textFill>
              </w:rPr>
            </w:pPr>
          </w:p>
        </w:tc>
        <w:tc>
          <w:tcPr>
            <w:tcW w:w="658" w:type="pct"/>
          </w:tcPr>
          <w:p w14:paraId="797E1E3A">
            <w:pPr>
              <w:spacing w:line="480" w:lineRule="exact"/>
              <w:rPr>
                <w:rFonts w:ascii="宋体" w:hAnsi="宋体" w:cs="宋体"/>
                <w:color w:val="000000" w:themeColor="text1"/>
                <w:sz w:val="24"/>
                <w:highlight w:val="none"/>
                <w14:textFill>
                  <w14:solidFill>
                    <w14:schemeClr w14:val="tx1"/>
                  </w14:solidFill>
                </w14:textFill>
              </w:rPr>
            </w:pPr>
          </w:p>
        </w:tc>
        <w:tc>
          <w:tcPr>
            <w:tcW w:w="453" w:type="pct"/>
          </w:tcPr>
          <w:p w14:paraId="18AAD162">
            <w:pPr>
              <w:spacing w:line="480" w:lineRule="exact"/>
              <w:rPr>
                <w:rFonts w:ascii="宋体" w:hAnsi="宋体" w:cs="宋体"/>
                <w:color w:val="000000" w:themeColor="text1"/>
                <w:sz w:val="24"/>
                <w:highlight w:val="none"/>
                <w14:textFill>
                  <w14:solidFill>
                    <w14:schemeClr w14:val="tx1"/>
                  </w14:solidFill>
                </w14:textFill>
              </w:rPr>
            </w:pPr>
          </w:p>
        </w:tc>
        <w:tc>
          <w:tcPr>
            <w:tcW w:w="678" w:type="pct"/>
          </w:tcPr>
          <w:p w14:paraId="6E30840B">
            <w:pPr>
              <w:spacing w:line="480" w:lineRule="exact"/>
              <w:rPr>
                <w:rFonts w:ascii="宋体" w:hAnsi="宋体" w:cs="宋体"/>
                <w:color w:val="000000" w:themeColor="text1"/>
                <w:sz w:val="24"/>
                <w:highlight w:val="none"/>
                <w14:textFill>
                  <w14:solidFill>
                    <w14:schemeClr w14:val="tx1"/>
                  </w14:solidFill>
                </w14:textFill>
              </w:rPr>
            </w:pPr>
          </w:p>
        </w:tc>
      </w:tr>
      <w:tr w14:paraId="30C56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01" w:type="pct"/>
            <w:vAlign w:val="center"/>
          </w:tcPr>
          <w:p w14:paraId="7717EB47">
            <w:pPr>
              <w:spacing w:line="480" w:lineRule="exact"/>
              <w:jc w:val="center"/>
              <w:rPr>
                <w:rFonts w:ascii="宋体" w:hAnsi="宋体" w:cs="宋体"/>
                <w:color w:val="000000" w:themeColor="text1"/>
                <w:sz w:val="24"/>
                <w:highlight w:val="none"/>
                <w14:textFill>
                  <w14:solidFill>
                    <w14:schemeClr w14:val="tx1"/>
                  </w14:solidFill>
                </w14:textFill>
              </w:rPr>
            </w:pPr>
          </w:p>
        </w:tc>
        <w:tc>
          <w:tcPr>
            <w:tcW w:w="654" w:type="pct"/>
          </w:tcPr>
          <w:p w14:paraId="7FDD7A8B">
            <w:pPr>
              <w:spacing w:line="480" w:lineRule="exact"/>
              <w:rPr>
                <w:rFonts w:ascii="宋体" w:hAnsi="宋体" w:cs="宋体"/>
                <w:color w:val="000000" w:themeColor="text1"/>
                <w:sz w:val="24"/>
                <w:highlight w:val="none"/>
                <w14:textFill>
                  <w14:solidFill>
                    <w14:schemeClr w14:val="tx1"/>
                  </w14:solidFill>
                </w14:textFill>
              </w:rPr>
            </w:pPr>
          </w:p>
        </w:tc>
        <w:tc>
          <w:tcPr>
            <w:tcW w:w="703" w:type="pct"/>
          </w:tcPr>
          <w:p w14:paraId="5B5B04F3">
            <w:pPr>
              <w:spacing w:line="480" w:lineRule="exact"/>
              <w:rPr>
                <w:rFonts w:ascii="宋体" w:hAnsi="宋体" w:cs="宋体"/>
                <w:color w:val="000000" w:themeColor="text1"/>
                <w:sz w:val="24"/>
                <w:highlight w:val="none"/>
                <w14:textFill>
                  <w14:solidFill>
                    <w14:schemeClr w14:val="tx1"/>
                  </w14:solidFill>
                </w14:textFill>
              </w:rPr>
            </w:pPr>
          </w:p>
        </w:tc>
        <w:tc>
          <w:tcPr>
            <w:tcW w:w="842" w:type="pct"/>
          </w:tcPr>
          <w:p w14:paraId="3654AD90">
            <w:pPr>
              <w:spacing w:line="480" w:lineRule="exact"/>
              <w:rPr>
                <w:rFonts w:ascii="宋体" w:hAnsi="宋体" w:cs="宋体"/>
                <w:color w:val="000000" w:themeColor="text1"/>
                <w:sz w:val="24"/>
                <w:highlight w:val="none"/>
                <w14:textFill>
                  <w14:solidFill>
                    <w14:schemeClr w14:val="tx1"/>
                  </w14:solidFill>
                </w14:textFill>
              </w:rPr>
            </w:pPr>
          </w:p>
        </w:tc>
        <w:tc>
          <w:tcPr>
            <w:tcW w:w="706" w:type="pct"/>
          </w:tcPr>
          <w:p w14:paraId="2D652BF7">
            <w:pPr>
              <w:spacing w:line="480" w:lineRule="exact"/>
              <w:rPr>
                <w:rFonts w:ascii="宋体" w:hAnsi="宋体" w:cs="宋体"/>
                <w:color w:val="000000" w:themeColor="text1"/>
                <w:sz w:val="24"/>
                <w:highlight w:val="none"/>
                <w14:textFill>
                  <w14:solidFill>
                    <w14:schemeClr w14:val="tx1"/>
                  </w14:solidFill>
                </w14:textFill>
              </w:rPr>
            </w:pPr>
          </w:p>
        </w:tc>
        <w:tc>
          <w:tcPr>
            <w:tcW w:w="658" w:type="pct"/>
          </w:tcPr>
          <w:p w14:paraId="220A3B6C">
            <w:pPr>
              <w:spacing w:line="480" w:lineRule="exact"/>
              <w:rPr>
                <w:rFonts w:ascii="宋体" w:hAnsi="宋体" w:cs="宋体"/>
                <w:color w:val="000000" w:themeColor="text1"/>
                <w:sz w:val="24"/>
                <w:highlight w:val="none"/>
                <w14:textFill>
                  <w14:solidFill>
                    <w14:schemeClr w14:val="tx1"/>
                  </w14:solidFill>
                </w14:textFill>
              </w:rPr>
            </w:pPr>
          </w:p>
        </w:tc>
        <w:tc>
          <w:tcPr>
            <w:tcW w:w="453" w:type="pct"/>
          </w:tcPr>
          <w:p w14:paraId="42A8E39B">
            <w:pPr>
              <w:spacing w:line="480" w:lineRule="exact"/>
              <w:rPr>
                <w:rFonts w:ascii="宋体" w:hAnsi="宋体" w:cs="宋体"/>
                <w:color w:val="000000" w:themeColor="text1"/>
                <w:sz w:val="24"/>
                <w:highlight w:val="none"/>
                <w14:textFill>
                  <w14:solidFill>
                    <w14:schemeClr w14:val="tx1"/>
                  </w14:solidFill>
                </w14:textFill>
              </w:rPr>
            </w:pPr>
          </w:p>
        </w:tc>
        <w:tc>
          <w:tcPr>
            <w:tcW w:w="678" w:type="pct"/>
          </w:tcPr>
          <w:p w14:paraId="32F08BEE">
            <w:pPr>
              <w:spacing w:line="480" w:lineRule="exact"/>
              <w:rPr>
                <w:rFonts w:ascii="宋体" w:hAnsi="宋体" w:cs="宋体"/>
                <w:color w:val="000000" w:themeColor="text1"/>
                <w:sz w:val="24"/>
                <w:highlight w:val="none"/>
                <w14:textFill>
                  <w14:solidFill>
                    <w14:schemeClr w14:val="tx1"/>
                  </w14:solidFill>
                </w14:textFill>
              </w:rPr>
            </w:pPr>
          </w:p>
        </w:tc>
      </w:tr>
      <w:tr w14:paraId="1E3E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01" w:type="pct"/>
            <w:vAlign w:val="center"/>
          </w:tcPr>
          <w:p w14:paraId="03C72AE1">
            <w:pPr>
              <w:spacing w:line="480" w:lineRule="exact"/>
              <w:jc w:val="center"/>
              <w:rPr>
                <w:rFonts w:ascii="宋体" w:hAnsi="宋体" w:cs="宋体"/>
                <w:color w:val="000000" w:themeColor="text1"/>
                <w:sz w:val="24"/>
                <w:highlight w:val="none"/>
                <w14:textFill>
                  <w14:solidFill>
                    <w14:schemeClr w14:val="tx1"/>
                  </w14:solidFill>
                </w14:textFill>
              </w:rPr>
            </w:pPr>
          </w:p>
        </w:tc>
        <w:tc>
          <w:tcPr>
            <w:tcW w:w="654" w:type="pct"/>
          </w:tcPr>
          <w:p w14:paraId="7BC81C91">
            <w:pPr>
              <w:spacing w:line="480" w:lineRule="exact"/>
              <w:rPr>
                <w:rFonts w:ascii="宋体" w:hAnsi="宋体" w:cs="宋体"/>
                <w:color w:val="000000" w:themeColor="text1"/>
                <w:sz w:val="24"/>
                <w:highlight w:val="none"/>
                <w14:textFill>
                  <w14:solidFill>
                    <w14:schemeClr w14:val="tx1"/>
                  </w14:solidFill>
                </w14:textFill>
              </w:rPr>
            </w:pPr>
          </w:p>
        </w:tc>
        <w:tc>
          <w:tcPr>
            <w:tcW w:w="703" w:type="pct"/>
          </w:tcPr>
          <w:p w14:paraId="59734163">
            <w:pPr>
              <w:spacing w:line="480" w:lineRule="exact"/>
              <w:rPr>
                <w:rFonts w:ascii="宋体" w:hAnsi="宋体" w:cs="宋体"/>
                <w:color w:val="000000" w:themeColor="text1"/>
                <w:sz w:val="24"/>
                <w:highlight w:val="none"/>
                <w14:textFill>
                  <w14:solidFill>
                    <w14:schemeClr w14:val="tx1"/>
                  </w14:solidFill>
                </w14:textFill>
              </w:rPr>
            </w:pPr>
          </w:p>
        </w:tc>
        <w:tc>
          <w:tcPr>
            <w:tcW w:w="842" w:type="pct"/>
          </w:tcPr>
          <w:p w14:paraId="21C0BB67">
            <w:pPr>
              <w:spacing w:line="480" w:lineRule="exact"/>
              <w:rPr>
                <w:rFonts w:ascii="宋体" w:hAnsi="宋体" w:cs="宋体"/>
                <w:color w:val="000000" w:themeColor="text1"/>
                <w:sz w:val="24"/>
                <w:highlight w:val="none"/>
                <w14:textFill>
                  <w14:solidFill>
                    <w14:schemeClr w14:val="tx1"/>
                  </w14:solidFill>
                </w14:textFill>
              </w:rPr>
            </w:pPr>
          </w:p>
        </w:tc>
        <w:tc>
          <w:tcPr>
            <w:tcW w:w="706" w:type="pct"/>
          </w:tcPr>
          <w:p w14:paraId="7AABE639">
            <w:pPr>
              <w:spacing w:line="480" w:lineRule="exact"/>
              <w:rPr>
                <w:rFonts w:ascii="宋体" w:hAnsi="宋体" w:cs="宋体"/>
                <w:color w:val="000000" w:themeColor="text1"/>
                <w:sz w:val="24"/>
                <w:highlight w:val="none"/>
                <w14:textFill>
                  <w14:solidFill>
                    <w14:schemeClr w14:val="tx1"/>
                  </w14:solidFill>
                </w14:textFill>
              </w:rPr>
            </w:pPr>
          </w:p>
        </w:tc>
        <w:tc>
          <w:tcPr>
            <w:tcW w:w="658" w:type="pct"/>
          </w:tcPr>
          <w:p w14:paraId="6AF6D865">
            <w:pPr>
              <w:spacing w:line="480" w:lineRule="exact"/>
              <w:rPr>
                <w:rFonts w:ascii="宋体" w:hAnsi="宋体" w:cs="宋体"/>
                <w:color w:val="000000" w:themeColor="text1"/>
                <w:sz w:val="24"/>
                <w:highlight w:val="none"/>
                <w14:textFill>
                  <w14:solidFill>
                    <w14:schemeClr w14:val="tx1"/>
                  </w14:solidFill>
                </w14:textFill>
              </w:rPr>
            </w:pPr>
          </w:p>
        </w:tc>
        <w:tc>
          <w:tcPr>
            <w:tcW w:w="453" w:type="pct"/>
          </w:tcPr>
          <w:p w14:paraId="2EF6E62C">
            <w:pPr>
              <w:spacing w:line="480" w:lineRule="exact"/>
              <w:rPr>
                <w:rFonts w:ascii="宋体" w:hAnsi="宋体" w:cs="宋体"/>
                <w:color w:val="000000" w:themeColor="text1"/>
                <w:sz w:val="24"/>
                <w:highlight w:val="none"/>
                <w14:textFill>
                  <w14:solidFill>
                    <w14:schemeClr w14:val="tx1"/>
                  </w14:solidFill>
                </w14:textFill>
              </w:rPr>
            </w:pPr>
          </w:p>
        </w:tc>
        <w:tc>
          <w:tcPr>
            <w:tcW w:w="678" w:type="pct"/>
          </w:tcPr>
          <w:p w14:paraId="0E6542FD">
            <w:pPr>
              <w:spacing w:line="480" w:lineRule="exact"/>
              <w:rPr>
                <w:rFonts w:ascii="宋体" w:hAnsi="宋体" w:cs="宋体"/>
                <w:color w:val="000000" w:themeColor="text1"/>
                <w:sz w:val="24"/>
                <w:highlight w:val="none"/>
                <w14:textFill>
                  <w14:solidFill>
                    <w14:schemeClr w14:val="tx1"/>
                  </w14:solidFill>
                </w14:textFill>
              </w:rPr>
            </w:pPr>
          </w:p>
        </w:tc>
      </w:tr>
      <w:tr w14:paraId="0606B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01" w:type="pct"/>
            <w:vAlign w:val="center"/>
          </w:tcPr>
          <w:p w14:paraId="678C9F2D">
            <w:pPr>
              <w:spacing w:line="480" w:lineRule="exact"/>
              <w:jc w:val="center"/>
              <w:rPr>
                <w:rFonts w:ascii="宋体" w:hAnsi="宋体" w:cs="宋体"/>
                <w:color w:val="000000" w:themeColor="text1"/>
                <w:sz w:val="24"/>
                <w:highlight w:val="none"/>
                <w14:textFill>
                  <w14:solidFill>
                    <w14:schemeClr w14:val="tx1"/>
                  </w14:solidFill>
                </w14:textFill>
              </w:rPr>
            </w:pPr>
          </w:p>
        </w:tc>
        <w:tc>
          <w:tcPr>
            <w:tcW w:w="654" w:type="pct"/>
          </w:tcPr>
          <w:p w14:paraId="5EF1DA9A">
            <w:pPr>
              <w:spacing w:line="480" w:lineRule="exact"/>
              <w:rPr>
                <w:rFonts w:ascii="宋体" w:hAnsi="宋体" w:cs="宋体"/>
                <w:color w:val="000000" w:themeColor="text1"/>
                <w:sz w:val="24"/>
                <w:highlight w:val="none"/>
                <w14:textFill>
                  <w14:solidFill>
                    <w14:schemeClr w14:val="tx1"/>
                  </w14:solidFill>
                </w14:textFill>
              </w:rPr>
            </w:pPr>
          </w:p>
        </w:tc>
        <w:tc>
          <w:tcPr>
            <w:tcW w:w="703" w:type="pct"/>
          </w:tcPr>
          <w:p w14:paraId="1529FBEA">
            <w:pPr>
              <w:spacing w:line="480" w:lineRule="exact"/>
              <w:rPr>
                <w:rFonts w:ascii="宋体" w:hAnsi="宋体" w:cs="宋体"/>
                <w:color w:val="000000" w:themeColor="text1"/>
                <w:sz w:val="24"/>
                <w:highlight w:val="none"/>
                <w14:textFill>
                  <w14:solidFill>
                    <w14:schemeClr w14:val="tx1"/>
                  </w14:solidFill>
                </w14:textFill>
              </w:rPr>
            </w:pPr>
          </w:p>
        </w:tc>
        <w:tc>
          <w:tcPr>
            <w:tcW w:w="842" w:type="pct"/>
          </w:tcPr>
          <w:p w14:paraId="182D33C5">
            <w:pPr>
              <w:spacing w:line="480" w:lineRule="exact"/>
              <w:rPr>
                <w:rFonts w:ascii="宋体" w:hAnsi="宋体" w:cs="宋体"/>
                <w:color w:val="000000" w:themeColor="text1"/>
                <w:sz w:val="24"/>
                <w:highlight w:val="none"/>
                <w14:textFill>
                  <w14:solidFill>
                    <w14:schemeClr w14:val="tx1"/>
                  </w14:solidFill>
                </w14:textFill>
              </w:rPr>
            </w:pPr>
          </w:p>
        </w:tc>
        <w:tc>
          <w:tcPr>
            <w:tcW w:w="706" w:type="pct"/>
          </w:tcPr>
          <w:p w14:paraId="1E6E7B27">
            <w:pPr>
              <w:spacing w:line="480" w:lineRule="exact"/>
              <w:rPr>
                <w:rFonts w:ascii="宋体" w:hAnsi="宋体" w:cs="宋体"/>
                <w:color w:val="000000" w:themeColor="text1"/>
                <w:sz w:val="24"/>
                <w:highlight w:val="none"/>
                <w14:textFill>
                  <w14:solidFill>
                    <w14:schemeClr w14:val="tx1"/>
                  </w14:solidFill>
                </w14:textFill>
              </w:rPr>
            </w:pPr>
          </w:p>
        </w:tc>
        <w:tc>
          <w:tcPr>
            <w:tcW w:w="658" w:type="pct"/>
          </w:tcPr>
          <w:p w14:paraId="75C195F4">
            <w:pPr>
              <w:spacing w:line="480" w:lineRule="exact"/>
              <w:rPr>
                <w:rFonts w:ascii="宋体" w:hAnsi="宋体" w:cs="宋体"/>
                <w:color w:val="000000" w:themeColor="text1"/>
                <w:sz w:val="24"/>
                <w:highlight w:val="none"/>
                <w14:textFill>
                  <w14:solidFill>
                    <w14:schemeClr w14:val="tx1"/>
                  </w14:solidFill>
                </w14:textFill>
              </w:rPr>
            </w:pPr>
          </w:p>
        </w:tc>
        <w:tc>
          <w:tcPr>
            <w:tcW w:w="453" w:type="pct"/>
          </w:tcPr>
          <w:p w14:paraId="16666850">
            <w:pPr>
              <w:spacing w:line="480" w:lineRule="exact"/>
              <w:rPr>
                <w:rFonts w:ascii="宋体" w:hAnsi="宋体" w:cs="宋体"/>
                <w:color w:val="000000" w:themeColor="text1"/>
                <w:sz w:val="24"/>
                <w:highlight w:val="none"/>
                <w14:textFill>
                  <w14:solidFill>
                    <w14:schemeClr w14:val="tx1"/>
                  </w14:solidFill>
                </w14:textFill>
              </w:rPr>
            </w:pPr>
          </w:p>
        </w:tc>
        <w:tc>
          <w:tcPr>
            <w:tcW w:w="678" w:type="pct"/>
          </w:tcPr>
          <w:p w14:paraId="7714551A">
            <w:pPr>
              <w:spacing w:line="480" w:lineRule="exact"/>
              <w:rPr>
                <w:rFonts w:ascii="宋体" w:hAnsi="宋体" w:cs="宋体"/>
                <w:color w:val="000000" w:themeColor="text1"/>
                <w:sz w:val="24"/>
                <w:highlight w:val="none"/>
                <w14:textFill>
                  <w14:solidFill>
                    <w14:schemeClr w14:val="tx1"/>
                  </w14:solidFill>
                </w14:textFill>
              </w:rPr>
            </w:pPr>
          </w:p>
        </w:tc>
      </w:tr>
    </w:tbl>
    <w:p w14:paraId="360D2A15">
      <w:pPr>
        <w:pStyle w:val="20"/>
        <w:spacing w:line="44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注：1、表格中“偏离”一列，投标人只能如实填写“正偏离”、“负偏离”或“无偏离”。凡投标内容高于招标文件要求的，按“正偏离”填写；低于招标文件要求的，按“负偏离”填写；满足招标文件要求的，按“无偏离”填写。并在“投标技术规格及要求</w:t>
      </w:r>
      <w:r>
        <w:rPr>
          <w:rFonts w:hint="eastAsia" w:hAnsi="宋体" w:cs="宋体"/>
          <w:b/>
          <w:color w:val="000000" w:themeColor="text1"/>
          <w:sz w:val="24"/>
          <w:szCs w:val="24"/>
          <w:highlight w:val="none"/>
          <w14:textFill>
            <w14:solidFill>
              <w14:schemeClr w14:val="tx1"/>
            </w14:solidFill>
          </w14:textFill>
        </w:rPr>
        <w:t>”一列中</w:t>
      </w:r>
      <w:r>
        <w:rPr>
          <w:rFonts w:hint="eastAsia" w:hAnsi="宋体" w:cs="宋体"/>
          <w:color w:val="000000" w:themeColor="text1"/>
          <w:sz w:val="24"/>
          <w:szCs w:val="24"/>
          <w:highlight w:val="none"/>
          <w14:textFill>
            <w14:solidFill>
              <w14:schemeClr w14:val="tx1"/>
            </w14:solidFill>
          </w14:textFill>
        </w:rPr>
        <w:t>写明所投产品真实响应的技术参数。</w:t>
      </w:r>
    </w:p>
    <w:p w14:paraId="05570D73">
      <w:pPr>
        <w:pStyle w:val="20"/>
        <w:spacing w:line="44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2、序号应对应该产品在</w:t>
      </w:r>
      <w:r>
        <w:rPr>
          <w:rFonts w:hint="eastAsia" w:hAnsi="宋体" w:cs="宋体"/>
          <w:bCs/>
          <w:color w:val="000000" w:themeColor="text1"/>
          <w:sz w:val="24"/>
          <w:highlight w:val="none"/>
          <w14:textFill>
            <w14:solidFill>
              <w14:schemeClr w14:val="tx1"/>
            </w14:solidFill>
          </w14:textFill>
        </w:rPr>
        <w:t>第五章《采购内容及要求》中的序号。</w:t>
      </w:r>
    </w:p>
    <w:p w14:paraId="6F4414D0">
      <w:pPr>
        <w:pStyle w:val="20"/>
        <w:spacing w:line="440" w:lineRule="exact"/>
        <w:rPr>
          <w:rFonts w:hAnsi="宋体" w:cs="宋体"/>
          <w:b/>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3、各投标人必须对招标文件第五章采购内容及要求中的技术参数要求作出全面、真实的反映，投标人除如实填写技术规格偏离表外</w:t>
      </w:r>
      <w:r>
        <w:rPr>
          <w:rFonts w:hint="eastAsia" w:hAnsi="宋体" w:cs="宋体"/>
          <w:b/>
          <w:color w:val="000000" w:themeColor="text1"/>
          <w:sz w:val="24"/>
          <w:highlight w:val="none"/>
          <w14:textFill>
            <w14:solidFill>
              <w14:schemeClr w14:val="tx1"/>
            </w14:solidFill>
          </w14:textFill>
        </w:rPr>
        <w:t>，标注“★”的重要技术参数不允许负偏离</w:t>
      </w:r>
      <w:r>
        <w:rPr>
          <w:rFonts w:hint="eastAsia" w:hAnsi="宋体" w:cs="宋体"/>
          <w:b/>
          <w:color w:val="000000" w:themeColor="text1"/>
          <w:sz w:val="24"/>
          <w:highlight w:val="none"/>
          <w:lang w:val="en-US" w:eastAsia="zh-CN"/>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标注“★”的重要技术参数</w:t>
      </w:r>
      <w:r>
        <w:rPr>
          <w:rFonts w:hint="eastAsia" w:hAnsi="宋体" w:cs="宋体"/>
          <w:b/>
          <w:bCs/>
          <w:color w:val="000000" w:themeColor="text1"/>
          <w:sz w:val="24"/>
          <w:highlight w:val="none"/>
          <w:lang w:val="en-US" w:eastAsia="zh-CN"/>
          <w14:textFill>
            <w14:solidFill>
              <w14:schemeClr w14:val="tx1"/>
            </w14:solidFill>
          </w14:textFill>
        </w:rPr>
        <w:t>须</w:t>
      </w:r>
      <w:r>
        <w:rPr>
          <w:rFonts w:hint="eastAsia" w:ascii="宋体" w:hAnsi="宋体" w:cs="宋体"/>
          <w:b/>
          <w:bCs/>
          <w:color w:val="000000" w:themeColor="text1"/>
          <w:sz w:val="24"/>
          <w:highlight w:val="none"/>
          <w:lang w:val="en-US" w:eastAsia="zh-CN"/>
          <w14:textFill>
            <w14:solidFill>
              <w14:schemeClr w14:val="tx1"/>
            </w14:solidFill>
          </w14:textFill>
        </w:rPr>
        <w:t>提供承诺书</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标注“▲”的技术参数</w:t>
      </w:r>
      <w:r>
        <w:rPr>
          <w:rFonts w:hint="eastAsia" w:ascii="宋体" w:hAnsi="宋体" w:cs="宋体"/>
          <w:b/>
          <w:bCs/>
          <w:color w:val="000000" w:themeColor="text1"/>
          <w:sz w:val="24"/>
          <w:szCs w:val="24"/>
          <w:highlight w:val="none"/>
          <w:lang w:val="en-US" w:eastAsia="zh-CN"/>
          <w14:textFill>
            <w14:solidFill>
              <w14:schemeClr w14:val="tx1"/>
            </w14:solidFill>
          </w14:textFill>
        </w:rPr>
        <w:t>要求提供证明材料的，按照要求提供，</w:t>
      </w:r>
      <w:r>
        <w:rPr>
          <w:rFonts w:hint="eastAsia" w:ascii="宋体" w:hAnsi="宋体" w:cs="宋体"/>
          <w:b/>
          <w:bCs/>
          <w:color w:val="000000" w:themeColor="text1"/>
          <w:sz w:val="24"/>
          <w:szCs w:val="24"/>
          <w:highlight w:val="none"/>
          <w14:textFill>
            <w14:solidFill>
              <w14:schemeClr w14:val="tx1"/>
            </w14:solidFill>
          </w14:textFill>
        </w:rPr>
        <w:t>“▲”的技术参数</w:t>
      </w:r>
      <w:r>
        <w:rPr>
          <w:rFonts w:hint="eastAsia" w:ascii="宋体" w:hAnsi="宋体" w:cs="宋体"/>
          <w:b/>
          <w:bCs/>
          <w:color w:val="000000" w:themeColor="text1"/>
          <w:sz w:val="24"/>
          <w:szCs w:val="24"/>
          <w:highlight w:val="none"/>
          <w:lang w:val="en-US" w:eastAsia="zh-CN"/>
          <w14:textFill>
            <w14:solidFill>
              <w14:schemeClr w14:val="tx1"/>
            </w14:solidFill>
          </w14:textFill>
        </w:rPr>
        <w:t>未要求提供证明材料的，需提供下列任一材料证明技术参数的真实性：检测报告、产品彩页、白皮书、说明书、配置清单、设备制造厂商官方网站资料、加盖厂家公章的承诺书、其他技术证明资料。否则该条技术参数按照负偏离进行扣分。</w:t>
      </w:r>
    </w:p>
    <w:p w14:paraId="4CCE2B62">
      <w:pPr>
        <w:pStyle w:val="20"/>
        <w:spacing w:line="440" w:lineRule="exact"/>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4.投标人应将支持该项技术要求响应的技术支持资料在投标文件中的索引（页码或条目号等）标注在“技术支持资料索引”一栏中。</w:t>
      </w:r>
    </w:p>
    <w:p w14:paraId="27026143">
      <w:pPr>
        <w:pStyle w:val="20"/>
        <w:spacing w:line="440" w:lineRule="exact"/>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5.请投标人按照所投产品实际情况认真、仔细填写此表，若全部复制粘贴导致中标后提供的产品与技术参数不符的，取消中标资格，且采购人有权追究中标人所造成的一切经济损失及法律责任，并上报相关监督管理部门。</w:t>
      </w:r>
    </w:p>
    <w:p w14:paraId="10C032BA">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电子签章</w:t>
      </w:r>
      <w:r>
        <w:rPr>
          <w:rFonts w:hint="eastAsia" w:ascii="宋体" w:hAnsi="宋体" w:cs="宋体"/>
          <w:b/>
          <w:color w:val="000000" w:themeColor="text1"/>
          <w:sz w:val="24"/>
          <w:highlight w:val="none"/>
          <w14:textFill>
            <w14:solidFill>
              <w14:schemeClr w14:val="tx1"/>
            </w14:solidFill>
          </w14:textFill>
        </w:rPr>
        <w:t>）</w:t>
      </w:r>
    </w:p>
    <w:p w14:paraId="5D00D5B0">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法定代表人或其委托代理人</w:t>
      </w:r>
      <w:r>
        <w:rPr>
          <w:rFonts w:hint="eastAsia" w:ascii="宋体" w:hAnsi="宋体" w:cs="宋体"/>
          <w:b/>
          <w:color w:val="000000" w:themeColor="text1"/>
          <w:sz w:val="24"/>
          <w:highlight w:val="none"/>
          <w14:textFill>
            <w14:solidFill>
              <w14:schemeClr w14:val="tx1"/>
            </w14:solidFill>
          </w14:textFill>
        </w:rPr>
        <w:t>（电子签名或签章）：</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p>
    <w:p w14:paraId="46055752">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日</w:t>
      </w:r>
    </w:p>
    <w:p w14:paraId="3454A044">
      <w:pP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p>
    <w:p w14:paraId="61A6FBD5">
      <w:pPr>
        <w:widowControl/>
        <w:jc w:val="center"/>
        <w:outlineLvl w:val="3"/>
        <w:rPr>
          <w:rFonts w:ascii="宋体" w:hAnsi="宋体" w:cs="宋体"/>
          <w:color w:val="000000" w:themeColor="text1"/>
          <w:sz w:val="22"/>
          <w:szCs w:val="32"/>
          <w:highlight w:val="none"/>
          <w14:textFill>
            <w14:solidFill>
              <w14:schemeClr w14:val="tx1"/>
            </w14:solidFill>
          </w14:textFill>
        </w:rPr>
      </w:pPr>
      <w:bookmarkStart w:id="346" w:name="_Toc1219"/>
      <w:bookmarkStart w:id="347" w:name="_Toc16801"/>
      <w:bookmarkStart w:id="348" w:name="_Toc8278"/>
      <w:bookmarkStart w:id="349" w:name="_Toc13674"/>
      <w:bookmarkStart w:id="350" w:name="_Toc15705"/>
      <w:bookmarkStart w:id="351" w:name="_Toc20152"/>
      <w:bookmarkStart w:id="352" w:name="_Toc15198"/>
      <w:bookmarkStart w:id="353" w:name="_Toc14438"/>
      <w:bookmarkStart w:id="354" w:name="_Toc939"/>
      <w:bookmarkStart w:id="355" w:name="_Toc2389"/>
      <w:bookmarkStart w:id="356" w:name="_Toc18616"/>
      <w:r>
        <w:rPr>
          <w:rFonts w:hint="eastAsia" w:ascii="宋体" w:hAnsi="宋体" w:eastAsia="宋体" w:cs="宋体"/>
          <w:b/>
          <w:color w:val="000000" w:themeColor="text1"/>
          <w:sz w:val="28"/>
          <w:szCs w:val="28"/>
          <w:highlight w:val="none"/>
          <w14:textFill>
            <w14:solidFill>
              <w14:schemeClr w14:val="tx1"/>
            </w14:solidFill>
          </w14:textFill>
        </w:rPr>
        <w:t>▲</w:t>
      </w:r>
      <w:r>
        <w:rPr>
          <w:rFonts w:hint="eastAsia" w:ascii="宋体" w:hAnsi="宋体" w:eastAsia="宋体" w:cs="宋体"/>
          <w:b/>
          <w:color w:val="000000" w:themeColor="text1"/>
          <w:sz w:val="28"/>
          <w:szCs w:val="28"/>
          <w:highlight w:val="none"/>
          <w:lang w:val="en-US" w:eastAsia="zh-CN"/>
          <w14:textFill>
            <w14:solidFill>
              <w14:schemeClr w14:val="tx1"/>
            </w14:solidFill>
          </w14:textFill>
        </w:rPr>
        <w:t>1.</w:t>
      </w:r>
      <w:r>
        <w:rPr>
          <w:rFonts w:hint="eastAsia" w:ascii="宋体" w:hAnsi="宋体" w:eastAsia="宋体" w:cs="宋体"/>
          <w:b/>
          <w:color w:val="000000" w:themeColor="text1"/>
          <w:sz w:val="28"/>
          <w:szCs w:val="28"/>
          <w:highlight w:val="none"/>
          <w14:textFill>
            <w14:solidFill>
              <w14:schemeClr w14:val="tx1"/>
            </w14:solidFill>
          </w14:textFill>
        </w:rPr>
        <w:t>“★”重要技术</w:t>
      </w:r>
      <w:r>
        <w:rPr>
          <w:rFonts w:hint="eastAsia" w:ascii="宋体" w:hAnsi="宋体" w:cs="宋体"/>
          <w:b/>
          <w:color w:val="000000" w:themeColor="text1"/>
          <w:sz w:val="28"/>
          <w:szCs w:val="28"/>
          <w:highlight w:val="none"/>
          <w14:textFill>
            <w14:solidFill>
              <w14:schemeClr w14:val="tx1"/>
            </w14:solidFill>
          </w14:textFill>
        </w:rPr>
        <w:t>参数承诺书</w:t>
      </w:r>
      <w:bookmarkEnd w:id="346"/>
      <w:bookmarkEnd w:id="347"/>
      <w:bookmarkEnd w:id="348"/>
      <w:bookmarkEnd w:id="349"/>
      <w:bookmarkEnd w:id="350"/>
      <w:bookmarkEnd w:id="351"/>
      <w:bookmarkEnd w:id="352"/>
    </w:p>
    <w:p w14:paraId="6F4557B5">
      <w:pPr>
        <w:spacing w:line="360" w:lineRule="auto"/>
        <w:rPr>
          <w:rFonts w:ascii="宋体" w:hAnsi="宋体" w:cs="宋体"/>
          <w:color w:val="000000" w:themeColor="text1"/>
          <w:sz w:val="24"/>
          <w:highlight w:val="none"/>
          <w:u w:val="single"/>
          <w14:textFill>
            <w14:solidFill>
              <w14:schemeClr w14:val="tx1"/>
            </w14:solidFill>
          </w14:textFill>
        </w:rPr>
      </w:pPr>
    </w:p>
    <w:p w14:paraId="3343F484">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（采购人名称）：</w:t>
      </w:r>
    </w:p>
    <w:p w14:paraId="5FC6562E">
      <w:pPr>
        <w:rPr>
          <w:rFonts w:ascii="宋体" w:hAnsi="宋体" w:cs="宋体"/>
          <w:color w:val="000000" w:themeColor="text1"/>
          <w:sz w:val="24"/>
          <w:highlight w:val="none"/>
          <w14:textFill>
            <w14:solidFill>
              <w14:schemeClr w14:val="tx1"/>
            </w14:solidFill>
          </w14:textFill>
        </w:rPr>
      </w:pPr>
    </w:p>
    <w:p w14:paraId="67425D59">
      <w:pPr>
        <w:widowControl/>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我方已仔细研究了</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（项目名称）</w:t>
      </w:r>
      <w:r>
        <w:rPr>
          <w:rFonts w:hint="eastAsia" w:ascii="宋体" w:hAnsi="宋体" w:cs="宋体"/>
          <w:color w:val="000000" w:themeColor="text1"/>
          <w:sz w:val="24"/>
          <w:highlight w:val="none"/>
          <w:lang w:val="en-US"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文件的全部内容，且对</w:t>
      </w:r>
      <w:r>
        <w:rPr>
          <w:rFonts w:hint="eastAsia" w:ascii="宋体" w:hAnsi="宋体" w:cs="宋体"/>
          <w:color w:val="000000" w:themeColor="text1"/>
          <w:sz w:val="24"/>
          <w:highlight w:val="none"/>
          <w:lang w:val="en-US"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文件无任何异议，我单位承诺</w:t>
      </w:r>
      <w:r>
        <w:rPr>
          <w:rFonts w:hint="eastAsia" w:ascii="宋体" w:hAnsi="宋体" w:cs="宋体"/>
          <w:color w:val="000000" w:themeColor="text1"/>
          <w:sz w:val="24"/>
          <w:highlight w:val="none"/>
          <w:lang w:val="en-US" w:eastAsia="zh-CN"/>
          <w14:textFill>
            <w14:solidFill>
              <w14:schemeClr w14:val="tx1"/>
            </w14:solidFill>
          </w14:textFill>
        </w:rPr>
        <w:t>所投产品技术参数全部</w:t>
      </w:r>
      <w:r>
        <w:rPr>
          <w:rFonts w:hint="eastAsia" w:ascii="宋体" w:hAnsi="宋体" w:cs="宋体"/>
          <w:color w:val="000000" w:themeColor="text1"/>
          <w:sz w:val="24"/>
          <w:highlight w:val="none"/>
          <w14:textFill>
            <w14:solidFill>
              <w14:schemeClr w14:val="tx1"/>
            </w14:solidFill>
          </w14:textFill>
        </w:rPr>
        <w:t>满足</w:t>
      </w:r>
      <w:r>
        <w:rPr>
          <w:rFonts w:hint="eastAsia" w:ascii="宋体" w:hAnsi="宋体" w:cs="宋体"/>
          <w:color w:val="000000" w:themeColor="text1"/>
          <w:sz w:val="24"/>
          <w:highlight w:val="none"/>
          <w:lang w:val="en-US"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文件“第</w:t>
      </w:r>
      <w:r>
        <w:rPr>
          <w:rFonts w:hint="eastAsia" w:ascii="宋体" w:hAnsi="宋体" w:cs="宋体"/>
          <w:color w:val="000000" w:themeColor="text1"/>
          <w:sz w:val="24"/>
          <w:highlight w:val="none"/>
          <w:lang w:val="en-US" w:eastAsia="zh-CN"/>
          <w14:textFill>
            <w14:solidFill>
              <w14:schemeClr w14:val="tx1"/>
            </w14:solidFill>
          </w14:textFill>
        </w:rPr>
        <w:t>五</w:t>
      </w:r>
      <w:r>
        <w:rPr>
          <w:rFonts w:hint="eastAsia" w:ascii="宋体" w:hAnsi="宋体" w:cs="宋体"/>
          <w:color w:val="000000" w:themeColor="text1"/>
          <w:sz w:val="24"/>
          <w:highlight w:val="none"/>
          <w14:textFill>
            <w14:solidFill>
              <w14:schemeClr w14:val="tx1"/>
            </w14:solidFill>
          </w14:textFill>
        </w:rPr>
        <w:t xml:space="preserve">章 </w:t>
      </w:r>
      <w:r>
        <w:rPr>
          <w:rFonts w:hint="eastAsia" w:ascii="宋体" w:hAnsi="宋体" w:cs="宋体"/>
          <w:color w:val="000000" w:themeColor="text1"/>
          <w:sz w:val="24"/>
          <w:highlight w:val="none"/>
          <w:lang w:val="en-US" w:eastAsia="zh-CN"/>
          <w14:textFill>
            <w14:solidFill>
              <w14:schemeClr w14:val="tx1"/>
            </w14:solidFill>
          </w14:textFill>
        </w:rPr>
        <w:t>采购内容及要求</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一、采购需求</w:t>
      </w:r>
      <w:r>
        <w:rPr>
          <w:rFonts w:hint="eastAsia" w:ascii="宋体" w:hAnsi="宋体" w:cs="宋体"/>
          <w:color w:val="000000" w:themeColor="text1"/>
          <w:sz w:val="24"/>
          <w:highlight w:val="none"/>
          <w14:textFill>
            <w14:solidFill>
              <w14:schemeClr w14:val="tx1"/>
            </w14:solidFill>
          </w14:textFill>
        </w:rPr>
        <w:t>标注“★”的重要技术参数。</w:t>
      </w:r>
    </w:p>
    <w:p w14:paraId="5B11C22F">
      <w:pPr>
        <w:pStyle w:val="20"/>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lang w:val="en-US" w:eastAsia="zh-CN"/>
          <w14:textFill>
            <w14:solidFill>
              <w14:schemeClr w14:val="tx1"/>
            </w14:solidFill>
          </w14:textFill>
        </w:rPr>
        <w:t>中标后若不能满足“第五章 采购内容及要求”一、采购需求标注“★”的重要技术参数，</w:t>
      </w:r>
      <w:r>
        <w:rPr>
          <w:rFonts w:hint="eastAsia" w:hAnsi="宋体" w:cs="宋体"/>
          <w:b/>
          <w:bCs/>
          <w:color w:val="000000" w:themeColor="text1"/>
          <w:sz w:val="24"/>
          <w:highlight w:val="none"/>
          <w14:textFill>
            <w14:solidFill>
              <w14:schemeClr w14:val="tx1"/>
            </w14:solidFill>
          </w14:textFill>
        </w:rPr>
        <w:t>取消</w:t>
      </w:r>
      <w:r>
        <w:rPr>
          <w:rFonts w:hint="eastAsia" w:hAnsi="宋体" w:cs="宋体"/>
          <w:b/>
          <w:bCs/>
          <w:color w:val="000000" w:themeColor="text1"/>
          <w:sz w:val="24"/>
          <w:highlight w:val="none"/>
          <w:lang w:val="en-US" w:eastAsia="zh-CN"/>
          <w14:textFill>
            <w14:solidFill>
              <w14:schemeClr w14:val="tx1"/>
            </w14:solidFill>
          </w14:textFill>
        </w:rPr>
        <w:t>中标</w:t>
      </w:r>
      <w:r>
        <w:rPr>
          <w:rFonts w:hint="eastAsia" w:hAnsi="宋体" w:cs="宋体"/>
          <w:b/>
          <w:bCs/>
          <w:color w:val="000000" w:themeColor="text1"/>
          <w:sz w:val="24"/>
          <w:highlight w:val="none"/>
          <w14:textFill>
            <w14:solidFill>
              <w14:schemeClr w14:val="tx1"/>
            </w14:solidFill>
          </w14:textFill>
        </w:rPr>
        <w:t>资格，且采购人有权追究</w:t>
      </w:r>
      <w:r>
        <w:rPr>
          <w:rFonts w:hint="eastAsia" w:hAnsi="宋体" w:cs="宋体"/>
          <w:b/>
          <w:bCs/>
          <w:color w:val="000000" w:themeColor="text1"/>
          <w:sz w:val="24"/>
          <w:highlight w:val="none"/>
          <w:lang w:val="en-US" w:eastAsia="zh-CN"/>
          <w14:textFill>
            <w14:solidFill>
              <w14:schemeClr w14:val="tx1"/>
            </w14:solidFill>
          </w14:textFill>
        </w:rPr>
        <w:t>中标</w:t>
      </w:r>
      <w:r>
        <w:rPr>
          <w:rFonts w:hint="eastAsia" w:hAnsi="宋体" w:cs="宋体"/>
          <w:b/>
          <w:bCs/>
          <w:color w:val="000000" w:themeColor="text1"/>
          <w:sz w:val="24"/>
          <w:highlight w:val="none"/>
          <w14:textFill>
            <w14:solidFill>
              <w14:schemeClr w14:val="tx1"/>
            </w14:solidFill>
          </w14:textFill>
        </w:rPr>
        <w:t>人所造成的一切经济损失及法律责任，并上报相关监督管理部门。</w:t>
      </w:r>
    </w:p>
    <w:p w14:paraId="6FFF0514">
      <w:pPr>
        <w:pStyle w:val="4"/>
        <w:tabs>
          <w:tab w:val="left" w:pos="750"/>
        </w:tabs>
        <w:rPr>
          <w:rFonts w:hint="eastAsia" w:hAnsi="宋体" w:cs="宋体"/>
          <w:color w:val="000000" w:themeColor="text1"/>
          <w:sz w:val="24"/>
          <w:highlight w:val="none"/>
          <w:lang w:val="en-US" w:eastAsia="zh-CN"/>
          <w14:textFill>
            <w14:solidFill>
              <w14:schemeClr w14:val="tx1"/>
            </w14:solidFill>
          </w14:textFill>
        </w:rPr>
      </w:pPr>
    </w:p>
    <w:p w14:paraId="0C10BD6E">
      <w:pPr>
        <w:pStyle w:val="4"/>
        <w:tabs>
          <w:tab w:val="left" w:pos="750"/>
        </w:tabs>
        <w:rPr>
          <w:rFonts w:hint="default" w:eastAsia="宋体"/>
          <w:color w:val="000000" w:themeColor="text1"/>
          <w:highlight w:val="none"/>
          <w:lang w:val="en-US" w:eastAsia="zh-CN"/>
          <w14:textFill>
            <w14:solidFill>
              <w14:schemeClr w14:val="tx1"/>
            </w14:solidFill>
          </w14:textFill>
        </w:rPr>
      </w:pPr>
      <w:r>
        <w:rPr>
          <w:rFonts w:hint="eastAsia" w:hAnsi="宋体" w:cs="宋体"/>
          <w:color w:val="000000" w:themeColor="text1"/>
          <w:sz w:val="24"/>
          <w:highlight w:val="none"/>
          <w:lang w:val="en-US" w:eastAsia="zh-CN"/>
          <w14:textFill>
            <w14:solidFill>
              <w14:schemeClr w14:val="tx1"/>
            </w14:solidFill>
          </w14:textFill>
        </w:rPr>
        <w:t>特此承诺。</w:t>
      </w:r>
    </w:p>
    <w:p w14:paraId="78049F54">
      <w:pPr>
        <w:rPr>
          <w:rFonts w:hint="eastAsia" w:ascii="宋体" w:hAnsi="宋体" w:cs="宋体"/>
          <w:color w:val="000000" w:themeColor="text1"/>
          <w:highlight w:val="none"/>
          <w14:textFill>
            <w14:solidFill>
              <w14:schemeClr w14:val="tx1"/>
            </w14:solidFill>
          </w14:textFill>
        </w:rPr>
      </w:pPr>
    </w:p>
    <w:p w14:paraId="1867E3FC">
      <w:pPr>
        <w:rPr>
          <w:rFonts w:hint="eastAsia" w:ascii="宋体" w:hAnsi="宋体" w:cs="宋体"/>
          <w:color w:val="000000" w:themeColor="text1"/>
          <w:highlight w:val="none"/>
          <w14:textFill>
            <w14:solidFill>
              <w14:schemeClr w14:val="tx1"/>
            </w14:solidFill>
          </w14:textFill>
        </w:rPr>
      </w:pPr>
    </w:p>
    <w:p w14:paraId="10DB48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p>
    <w:p w14:paraId="2DB10EF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bCs/>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投标人</w:t>
      </w:r>
      <w:r>
        <w:rPr>
          <w:rFonts w:hint="eastAsia" w:ascii="宋体" w:hAnsi="宋体" w:cs="宋体"/>
          <w:b/>
          <w:bCs/>
          <w:color w:val="000000" w:themeColor="text1"/>
          <w:sz w:val="24"/>
          <w:szCs w:val="24"/>
          <w:highlight w:val="none"/>
          <w14:textFill>
            <w14:solidFill>
              <w14:schemeClr w14:val="tx1"/>
            </w14:solidFill>
          </w14:textFill>
        </w:rPr>
        <w:t>（电子签章）</w:t>
      </w:r>
      <w:r>
        <w:rPr>
          <w:rFonts w:hint="eastAsia" w:ascii="宋体" w:hAnsi="宋体"/>
          <w:b/>
          <w:bCs/>
          <w:color w:val="000000" w:themeColor="text1"/>
          <w:sz w:val="24"/>
          <w:szCs w:val="24"/>
          <w:highlight w:val="none"/>
          <w:lang w:val="zh-CN"/>
          <w14:textFill>
            <w14:solidFill>
              <w14:schemeClr w14:val="tx1"/>
            </w14:solidFill>
          </w14:textFill>
        </w:rPr>
        <w:t>：________________________</w:t>
      </w:r>
      <w:r>
        <w:rPr>
          <w:rFonts w:ascii="宋体" w:hAnsi="宋体"/>
          <w:b/>
          <w:bCs/>
          <w:color w:val="000000" w:themeColor="text1"/>
          <w:sz w:val="24"/>
          <w:szCs w:val="24"/>
          <w:highlight w:val="none"/>
          <w:lang w:val="zh-CN"/>
          <w14:textFill>
            <w14:solidFill>
              <w14:schemeClr w14:val="tx1"/>
            </w14:solidFill>
          </w14:textFill>
        </w:rPr>
        <w:t>______________</w:t>
      </w:r>
      <w:r>
        <w:rPr>
          <w:rFonts w:hint="eastAsia" w:ascii="宋体" w:hAnsi="宋体"/>
          <w:b/>
          <w:bCs/>
          <w:color w:val="000000" w:themeColor="text1"/>
          <w:sz w:val="24"/>
          <w:szCs w:val="24"/>
          <w:highlight w:val="none"/>
          <w:lang w:val="zh-CN"/>
          <w14:textFill>
            <w14:solidFill>
              <w14:schemeClr w14:val="tx1"/>
            </w14:solidFill>
          </w14:textFill>
        </w:rPr>
        <w:t>_______</w:t>
      </w:r>
    </w:p>
    <w:p w14:paraId="06DD136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法定代表人或其委托代理人（</w:t>
      </w:r>
      <w:r>
        <w:rPr>
          <w:rFonts w:hint="eastAsia" w:ascii="宋体" w:hAnsi="宋体"/>
          <w:b/>
          <w:bCs/>
          <w:color w:val="000000" w:themeColor="text1"/>
          <w:sz w:val="24"/>
          <w:szCs w:val="24"/>
          <w:highlight w:val="none"/>
          <w14:textFill>
            <w14:solidFill>
              <w14:schemeClr w14:val="tx1"/>
            </w14:solidFill>
          </w14:textFill>
        </w:rPr>
        <w:t>电子签名或签章</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lang w:val="zh-CN"/>
          <w14:textFill>
            <w14:solidFill>
              <w14:schemeClr w14:val="tx1"/>
            </w14:solidFill>
          </w14:textFill>
        </w:rPr>
        <w:t>：________________________</w:t>
      </w:r>
    </w:p>
    <w:p w14:paraId="4E70D99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日  期：______年_____月_____日</w:t>
      </w:r>
    </w:p>
    <w:p w14:paraId="0AE9BA4A">
      <w:pPr>
        <w:rPr>
          <w:rFonts w:hint="eastAsia" w:ascii="宋体" w:hAnsi="宋体" w:cs="宋体"/>
          <w:b/>
          <w:bCs/>
          <w:color w:val="000000" w:themeColor="text1"/>
          <w:sz w:val="28"/>
          <w:szCs w:val="28"/>
          <w:highlight w:val="none"/>
          <w14:textFill>
            <w14:solidFill>
              <w14:schemeClr w14:val="tx1"/>
            </w14:solidFill>
          </w14:textFill>
        </w:rPr>
      </w:pPr>
    </w:p>
    <w:p w14:paraId="37B67206">
      <w:pPr>
        <w:rPr>
          <w:rFonts w:hint="eastAsia" w:ascii="宋体" w:hAnsi="宋体" w:cs="宋体"/>
          <w:b/>
          <w:bCs/>
          <w:color w:val="000000" w:themeColor="text1"/>
          <w:sz w:val="28"/>
          <w:szCs w:val="28"/>
          <w:highlight w:val="none"/>
          <w14:textFill>
            <w14:solidFill>
              <w14:schemeClr w14:val="tx1"/>
            </w14:solidFill>
          </w14:textFill>
        </w:rPr>
      </w:pPr>
    </w:p>
    <w:p w14:paraId="55803F0A">
      <w:pPr>
        <w:rPr>
          <w:rFonts w:hint="eastAsia" w:ascii="宋体" w:hAnsi="宋体" w:cs="宋体"/>
          <w:b/>
          <w:bCs/>
          <w:color w:val="000000" w:themeColor="text1"/>
          <w:sz w:val="28"/>
          <w:szCs w:val="28"/>
          <w:highlight w:val="none"/>
          <w14:textFill>
            <w14:solidFill>
              <w14:schemeClr w14:val="tx1"/>
            </w14:solidFill>
          </w14:textFill>
        </w:rPr>
      </w:pPr>
    </w:p>
    <w:p w14:paraId="0FE941C4">
      <w:pPr>
        <w:rPr>
          <w:rFonts w:hint="eastAsia" w:ascii="宋体" w:hAnsi="宋体" w:cs="宋体"/>
          <w:b/>
          <w:bCs/>
          <w:color w:val="000000" w:themeColor="text1"/>
          <w:sz w:val="28"/>
          <w:szCs w:val="28"/>
          <w:highlight w:val="none"/>
          <w14:textFill>
            <w14:solidFill>
              <w14:schemeClr w14:val="tx1"/>
            </w14:solidFill>
          </w14:textFill>
        </w:rPr>
      </w:pPr>
    </w:p>
    <w:p w14:paraId="420784F9">
      <w:pP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br w:type="page"/>
      </w:r>
    </w:p>
    <w:p w14:paraId="6A2E7B6D">
      <w:pPr>
        <w:widowControl/>
        <w:jc w:val="center"/>
        <w:outlineLvl w:val="3"/>
        <w:rPr>
          <w:rFonts w:hint="eastAsia" w:ascii="宋体" w:hAnsi="宋体" w:eastAsia="宋体" w:cs="宋体"/>
          <w:b/>
          <w:color w:val="000000" w:themeColor="text1"/>
          <w:sz w:val="28"/>
          <w:szCs w:val="28"/>
          <w:highlight w:val="none"/>
          <w:lang w:val="en-US" w:eastAsia="zh-CN"/>
          <w14:textFill>
            <w14:solidFill>
              <w14:schemeClr w14:val="tx1"/>
            </w14:solidFill>
          </w14:textFill>
        </w:rPr>
      </w:pPr>
      <w:bookmarkStart w:id="357" w:name="_Toc17189"/>
      <w:bookmarkStart w:id="358" w:name="_Toc16274"/>
      <w:r>
        <w:rPr>
          <w:rFonts w:hint="eastAsia" w:ascii="宋体" w:hAnsi="宋体" w:cs="宋体"/>
          <w:b/>
          <w:color w:val="000000" w:themeColor="text1"/>
          <w:sz w:val="28"/>
          <w:szCs w:val="28"/>
          <w:highlight w:val="none"/>
          <w:lang w:val="en-US" w:eastAsia="zh-CN"/>
          <w14:textFill>
            <w14:solidFill>
              <w14:schemeClr w14:val="tx1"/>
            </w14:solidFill>
          </w14:textFill>
        </w:rPr>
        <w:t>2</w:t>
      </w:r>
      <w:r>
        <w:rPr>
          <w:rFonts w:hint="eastAsia" w:ascii="宋体" w:hAnsi="宋体" w:eastAsia="宋体" w:cs="宋体"/>
          <w:b/>
          <w:color w:val="000000" w:themeColor="text1"/>
          <w:sz w:val="28"/>
          <w:szCs w:val="28"/>
          <w:highlight w:val="none"/>
          <w:lang w:val="en-US" w:eastAsia="zh-CN"/>
          <w14:textFill>
            <w14:solidFill>
              <w14:schemeClr w14:val="tx1"/>
            </w14:solidFill>
          </w14:textFill>
        </w:rPr>
        <w:t>.产品技术支持资料</w:t>
      </w:r>
      <w:bookmarkEnd w:id="353"/>
      <w:bookmarkEnd w:id="354"/>
      <w:bookmarkEnd w:id="355"/>
      <w:bookmarkEnd w:id="356"/>
      <w:bookmarkEnd w:id="357"/>
      <w:bookmarkEnd w:id="358"/>
    </w:p>
    <w:p w14:paraId="72BD348A">
      <w:pPr>
        <w:rPr>
          <w:rFonts w:ascii="宋体" w:hAnsi="宋体" w:cs="宋体"/>
          <w:color w:val="000000" w:themeColor="text1"/>
          <w:highlight w:val="none"/>
          <w14:textFill>
            <w14:solidFill>
              <w14:schemeClr w14:val="tx1"/>
            </w14:solidFill>
          </w14:textFill>
        </w:rPr>
      </w:pPr>
    </w:p>
    <w:p w14:paraId="03247404">
      <w:pPr>
        <w:rPr>
          <w:rFonts w:ascii="宋体" w:hAnsi="宋体" w:cs="宋体"/>
          <w:color w:val="000000" w:themeColor="text1"/>
          <w:highlight w:val="none"/>
          <w14:textFill>
            <w14:solidFill>
              <w14:schemeClr w14:val="tx1"/>
            </w14:solidFill>
          </w14:textFill>
        </w:rPr>
      </w:pPr>
    </w:p>
    <w:p w14:paraId="406DCBA2">
      <w:pPr>
        <w:rPr>
          <w:rFonts w:ascii="宋体" w:hAnsi="宋体" w:cs="宋体"/>
          <w:b/>
          <w:color w:val="000000" w:themeColor="text1"/>
          <w:sz w:val="28"/>
          <w:szCs w:val="28"/>
          <w:highlight w:val="none"/>
          <w14:textFill>
            <w14:solidFill>
              <w14:schemeClr w14:val="tx1"/>
            </w14:solidFill>
          </w14:textFill>
        </w:rPr>
      </w:pPr>
    </w:p>
    <w:p w14:paraId="5A33F24F">
      <w:pP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p>
    <w:p w14:paraId="7475EB94">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59" w:name="_Toc14547"/>
      <w:bookmarkStart w:id="360" w:name="_Toc24326"/>
      <w:bookmarkStart w:id="361" w:name="_Toc9049"/>
      <w:bookmarkStart w:id="362" w:name="_Toc19484"/>
      <w:bookmarkStart w:id="363" w:name="_Toc25225"/>
      <w:bookmarkStart w:id="364" w:name="_Toc4832"/>
      <w:bookmarkStart w:id="365" w:name="_Toc3038"/>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九</w:t>
      </w:r>
      <w:r>
        <w:rPr>
          <w:rFonts w:hint="eastAsia" w:ascii="宋体" w:hAnsi="宋体" w:eastAsia="宋体" w:cs="宋体"/>
          <w:color w:val="000000" w:themeColor="text1"/>
          <w:sz w:val="32"/>
          <w:szCs w:val="32"/>
          <w:highlight w:val="none"/>
          <w14:textFill>
            <w14:solidFill>
              <w14:schemeClr w14:val="tx1"/>
            </w14:solidFill>
          </w14:textFill>
        </w:rPr>
        <w:t>）中小企业声明函（货物）</w:t>
      </w:r>
      <w:bookmarkEnd w:id="359"/>
      <w:bookmarkEnd w:id="360"/>
      <w:bookmarkEnd w:id="361"/>
      <w:bookmarkEnd w:id="362"/>
      <w:bookmarkEnd w:id="363"/>
      <w:bookmarkEnd w:id="364"/>
      <w:bookmarkEnd w:id="365"/>
    </w:p>
    <w:p w14:paraId="2D7FBEC2">
      <w:pPr>
        <w:pStyle w:val="16"/>
        <w:jc w:val="center"/>
        <w:rPr>
          <w:rFonts w:ascii="宋体" w:hAnsi="宋体" w:cs="宋体"/>
          <w:color w:val="000000" w:themeColor="text1"/>
          <w:highlight w:val="none"/>
          <w14:textFill>
            <w14:solidFill>
              <w14:schemeClr w14:val="tx1"/>
            </w14:solidFill>
          </w14:textFill>
        </w:rPr>
      </w:pPr>
    </w:p>
    <w:p w14:paraId="5FBD0C08">
      <w:pPr>
        <w:pStyle w:val="16"/>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kern w:val="0"/>
          <w:sz w:val="24"/>
          <w:highlight w:val="none"/>
          <w:u w:val="single"/>
          <w14:textFill>
            <w14:solidFill>
              <w14:schemeClr w14:val="tx1"/>
            </w14:solidFill>
          </w14:textFill>
        </w:rPr>
        <w:t xml:space="preserve"> （单位名称） </w:t>
      </w:r>
      <w:r>
        <w:rPr>
          <w:rFonts w:hint="eastAsia" w:ascii="宋体" w:hAnsi="宋体" w:cs="宋体"/>
          <w:color w:val="000000" w:themeColor="text1"/>
          <w:kern w:val="0"/>
          <w:sz w:val="24"/>
          <w:highlight w:val="none"/>
          <w14:textFill>
            <w14:solidFill>
              <w14:schemeClr w14:val="tx1"/>
            </w14:solidFill>
          </w14:textFill>
        </w:rPr>
        <w:t>的</w:t>
      </w:r>
      <w:r>
        <w:rPr>
          <w:rFonts w:hint="eastAsia" w:ascii="宋体" w:hAnsi="宋体" w:cs="宋体"/>
          <w:color w:val="000000" w:themeColor="text1"/>
          <w:kern w:val="0"/>
          <w:sz w:val="24"/>
          <w:highlight w:val="none"/>
          <w:u w:val="single"/>
          <w14:textFill>
            <w14:solidFill>
              <w14:schemeClr w14:val="tx1"/>
            </w14:solidFill>
          </w14:textFill>
        </w:rPr>
        <w:t xml:space="preserve"> （项目名称） </w:t>
      </w:r>
      <w:r>
        <w:rPr>
          <w:rFonts w:hint="eastAsia" w:ascii="宋体" w:hAnsi="宋体" w:cs="宋体"/>
          <w:color w:val="000000" w:themeColor="text1"/>
          <w:kern w:val="0"/>
          <w:sz w:val="24"/>
          <w:highlight w:val="none"/>
          <w14:textFill>
            <w14:solidFill>
              <w14:schemeClr w14:val="tx1"/>
            </w14:solidFill>
          </w14:textFill>
        </w:rPr>
        <w:t>采购活动，提供的货物全部由符合政策要求的中小企业制造。相关企业（含联合体中的中小企业、签订分包意向协议的中小企业）的具体情况如下：</w:t>
      </w:r>
    </w:p>
    <w:p w14:paraId="3B4C181F">
      <w:pPr>
        <w:pStyle w:val="16"/>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1. </w:t>
      </w:r>
      <w:r>
        <w:rPr>
          <w:rFonts w:hint="eastAsia" w:ascii="宋体" w:hAnsi="宋体" w:cs="宋体"/>
          <w:color w:val="000000" w:themeColor="text1"/>
          <w:kern w:val="0"/>
          <w:sz w:val="24"/>
          <w:highlight w:val="none"/>
          <w:u w:val="single"/>
          <w14:textFill>
            <w14:solidFill>
              <w14:schemeClr w14:val="tx1"/>
            </w14:solidFill>
          </w14:textFill>
        </w:rPr>
        <w:t xml:space="preserve">（标的名称） </w:t>
      </w:r>
      <w:r>
        <w:rPr>
          <w:rFonts w:hint="eastAsia" w:ascii="宋体" w:hAnsi="宋体" w:cs="宋体"/>
          <w:color w:val="000000" w:themeColor="text1"/>
          <w:kern w:val="0"/>
          <w:sz w:val="24"/>
          <w:highlight w:val="none"/>
          <w14:textFill>
            <w14:solidFill>
              <w14:schemeClr w14:val="tx1"/>
            </w14:solidFill>
          </w14:textFill>
        </w:rPr>
        <w:t>，属于</w:t>
      </w:r>
      <w:r>
        <w:rPr>
          <w:rFonts w:hint="eastAsia" w:ascii="宋体" w:hAnsi="宋体" w:cs="宋体"/>
          <w:color w:val="000000" w:themeColor="text1"/>
          <w:kern w:val="0"/>
          <w:sz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kern w:val="0"/>
          <w:sz w:val="24"/>
          <w:highlight w:val="none"/>
          <w14:textFill>
            <w14:solidFill>
              <w14:schemeClr w14:val="tx1"/>
            </w14:solidFill>
          </w14:textFill>
        </w:rPr>
        <w:t>行业 ；制造商为</w:t>
      </w:r>
      <w:r>
        <w:rPr>
          <w:rFonts w:hint="eastAsia" w:ascii="宋体" w:hAnsi="宋体" w:cs="宋体"/>
          <w:color w:val="000000" w:themeColor="text1"/>
          <w:kern w:val="0"/>
          <w:sz w:val="24"/>
          <w:highlight w:val="none"/>
          <w:u w:val="single"/>
          <w14:textFill>
            <w14:solidFill>
              <w14:schemeClr w14:val="tx1"/>
            </w14:solidFill>
          </w14:textFill>
        </w:rPr>
        <w:t xml:space="preserve"> （企业名称） </w:t>
      </w:r>
      <w:r>
        <w:rPr>
          <w:rFonts w:hint="eastAsia" w:ascii="宋体" w:hAnsi="宋体" w:cs="宋体"/>
          <w:color w:val="000000" w:themeColor="text1"/>
          <w:kern w:val="0"/>
          <w:sz w:val="24"/>
          <w:highlight w:val="none"/>
          <w14:textFill>
            <w14:solidFill>
              <w14:schemeClr w14:val="tx1"/>
            </w14:solidFill>
          </w14:textFill>
        </w:rPr>
        <w:t>，从业人员</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人，营业收入为</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万元，资产总额为</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万元，属于</w:t>
      </w:r>
      <w:r>
        <w:rPr>
          <w:rFonts w:hint="eastAsia" w:ascii="宋体" w:hAnsi="宋体" w:cs="宋体"/>
          <w:color w:val="000000" w:themeColor="text1"/>
          <w:kern w:val="0"/>
          <w:sz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kern w:val="0"/>
          <w:sz w:val="24"/>
          <w:highlight w:val="none"/>
          <w14:textFill>
            <w14:solidFill>
              <w14:schemeClr w14:val="tx1"/>
            </w14:solidFill>
          </w14:textFill>
        </w:rPr>
        <w:t>；</w:t>
      </w:r>
    </w:p>
    <w:p w14:paraId="4E885466">
      <w:pPr>
        <w:pStyle w:val="16"/>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u w:val="single"/>
          <w14:textFill>
            <w14:solidFill>
              <w14:schemeClr w14:val="tx1"/>
            </w14:solidFill>
          </w14:textFill>
        </w:rPr>
        <w:t xml:space="preserve"> （标的名称） </w:t>
      </w:r>
      <w:r>
        <w:rPr>
          <w:rFonts w:hint="eastAsia" w:ascii="宋体" w:hAnsi="宋体" w:cs="宋体"/>
          <w:color w:val="000000" w:themeColor="text1"/>
          <w:kern w:val="0"/>
          <w:sz w:val="24"/>
          <w:highlight w:val="none"/>
          <w14:textFill>
            <w14:solidFill>
              <w14:schemeClr w14:val="tx1"/>
            </w14:solidFill>
          </w14:textFill>
        </w:rPr>
        <w:t>，属于</w:t>
      </w:r>
      <w:r>
        <w:rPr>
          <w:rFonts w:hint="eastAsia" w:ascii="宋体" w:hAnsi="宋体" w:cs="宋体"/>
          <w:color w:val="000000" w:themeColor="text1"/>
          <w:kern w:val="0"/>
          <w:sz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kern w:val="0"/>
          <w:sz w:val="24"/>
          <w:highlight w:val="none"/>
          <w14:textFill>
            <w14:solidFill>
              <w14:schemeClr w14:val="tx1"/>
            </w14:solidFill>
          </w14:textFill>
        </w:rPr>
        <w:t>行业 ；制造商为</w:t>
      </w:r>
      <w:r>
        <w:rPr>
          <w:rFonts w:hint="eastAsia" w:ascii="宋体" w:hAnsi="宋体" w:cs="宋体"/>
          <w:color w:val="000000" w:themeColor="text1"/>
          <w:kern w:val="0"/>
          <w:sz w:val="24"/>
          <w:highlight w:val="none"/>
          <w:u w:val="single"/>
          <w14:textFill>
            <w14:solidFill>
              <w14:schemeClr w14:val="tx1"/>
            </w14:solidFill>
          </w14:textFill>
        </w:rPr>
        <w:t xml:space="preserve"> （企业名称） </w:t>
      </w:r>
      <w:r>
        <w:rPr>
          <w:rFonts w:hint="eastAsia" w:ascii="宋体" w:hAnsi="宋体" w:cs="宋体"/>
          <w:color w:val="000000" w:themeColor="text1"/>
          <w:kern w:val="0"/>
          <w:sz w:val="24"/>
          <w:highlight w:val="none"/>
          <w14:textFill>
            <w14:solidFill>
              <w14:schemeClr w14:val="tx1"/>
            </w14:solidFill>
          </w14:textFill>
        </w:rPr>
        <w:t>，从业人员</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人，营业收入为</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万元，资产总额为</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万元，属于</w:t>
      </w:r>
      <w:r>
        <w:rPr>
          <w:rFonts w:hint="eastAsia" w:ascii="宋体" w:hAnsi="宋体" w:cs="宋体"/>
          <w:color w:val="000000" w:themeColor="text1"/>
          <w:kern w:val="0"/>
          <w:sz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kern w:val="0"/>
          <w:sz w:val="24"/>
          <w:highlight w:val="none"/>
          <w14:textFill>
            <w14:solidFill>
              <w14:schemeClr w14:val="tx1"/>
            </w14:solidFill>
          </w14:textFill>
        </w:rPr>
        <w:t>；</w:t>
      </w:r>
    </w:p>
    <w:p w14:paraId="2708642F">
      <w:pPr>
        <w:pStyle w:val="16"/>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p w14:paraId="7BA26CA0">
      <w:pPr>
        <w:pStyle w:val="16"/>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以上企业，不属于大企业的分支机构，不存在控股股东为大企业的情形，也不存在与大企业的负责人为同一人的情形。</w:t>
      </w:r>
    </w:p>
    <w:p w14:paraId="685BBB34">
      <w:pPr>
        <w:pStyle w:val="16"/>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本企业对上述声明内容的真实性负责。如有虚假，将依法承担相应责任。</w:t>
      </w:r>
    </w:p>
    <w:p w14:paraId="15183C44">
      <w:pPr>
        <w:pStyle w:val="16"/>
        <w:ind w:firstLine="480"/>
        <w:rPr>
          <w:rFonts w:ascii="宋体" w:hAnsi="宋体" w:cs="宋体"/>
          <w:color w:val="000000" w:themeColor="text1"/>
          <w:kern w:val="0"/>
          <w:sz w:val="24"/>
          <w:highlight w:val="none"/>
          <w14:textFill>
            <w14:solidFill>
              <w14:schemeClr w14:val="tx1"/>
            </w14:solidFill>
          </w14:textFill>
        </w:rPr>
      </w:pPr>
    </w:p>
    <w:p w14:paraId="2D797721">
      <w:pPr>
        <w:pStyle w:val="16"/>
        <w:ind w:firstLine="480"/>
        <w:rPr>
          <w:rFonts w:ascii="宋体" w:hAnsi="宋体" w:cs="宋体"/>
          <w:color w:val="000000" w:themeColor="text1"/>
          <w:kern w:val="0"/>
          <w:sz w:val="24"/>
          <w:highlight w:val="none"/>
          <w14:textFill>
            <w14:solidFill>
              <w14:schemeClr w14:val="tx1"/>
            </w14:solidFill>
          </w14:textFill>
        </w:rPr>
      </w:pPr>
    </w:p>
    <w:p w14:paraId="3DF0566E">
      <w:pPr>
        <w:pStyle w:val="16"/>
        <w:ind w:firstLine="480"/>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投标人</w:t>
      </w:r>
      <w:r>
        <w:rPr>
          <w:rFonts w:hint="eastAsia" w:ascii="宋体" w:hAnsi="宋体" w:cs="宋体"/>
          <w:b/>
          <w:bCs/>
          <w:color w:val="000000" w:themeColor="text1"/>
          <w:kern w:val="0"/>
          <w:sz w:val="24"/>
          <w:highlight w:val="none"/>
          <w14:textFill>
            <w14:solidFill>
              <w14:schemeClr w14:val="tx1"/>
            </w14:solidFill>
          </w14:textFill>
        </w:rPr>
        <w:t>（</w:t>
      </w:r>
      <w:r>
        <w:rPr>
          <w:rFonts w:hint="eastAsia" w:ascii="宋体" w:hAnsi="宋体" w:cs="宋体"/>
          <w:b/>
          <w:bCs/>
          <w:color w:val="000000" w:themeColor="text1"/>
          <w:kern w:val="0"/>
          <w:sz w:val="24"/>
          <w:highlight w:val="none"/>
          <w:lang w:val="en-US" w:eastAsia="zh-CN"/>
          <w14:textFill>
            <w14:solidFill>
              <w14:schemeClr w14:val="tx1"/>
            </w14:solidFill>
          </w14:textFill>
        </w:rPr>
        <w:t>电子签章</w:t>
      </w:r>
      <w:r>
        <w:rPr>
          <w:rFonts w:hint="eastAsia" w:ascii="宋体" w:hAnsi="宋体" w:cs="宋体"/>
          <w:b/>
          <w:bCs/>
          <w:color w:val="000000" w:themeColor="text1"/>
          <w:kern w:val="0"/>
          <w:sz w:val="24"/>
          <w:highlight w:val="none"/>
          <w14:textFill>
            <w14:solidFill>
              <w14:schemeClr w14:val="tx1"/>
            </w14:solidFill>
          </w14:textFill>
        </w:rPr>
        <w:t>）：</w:t>
      </w:r>
    </w:p>
    <w:p w14:paraId="045E2BE8">
      <w:pPr>
        <w:pStyle w:val="16"/>
        <w:ind w:firstLine="480"/>
        <w:rPr>
          <w:rFonts w:ascii="宋体" w:hAnsi="宋体" w:cs="宋体"/>
          <w:b/>
          <w:bCs/>
          <w:color w:val="000000" w:themeColor="text1"/>
          <w:kern w:val="0"/>
          <w:sz w:val="24"/>
          <w:highlight w:val="none"/>
          <w14:textFill>
            <w14:solidFill>
              <w14:schemeClr w14:val="tx1"/>
            </w14:solidFill>
          </w14:textFill>
        </w:rPr>
      </w:pPr>
    </w:p>
    <w:p w14:paraId="58178EE7">
      <w:pPr>
        <w:pStyle w:val="16"/>
        <w:ind w:firstLine="480"/>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日 期：</w:t>
      </w:r>
    </w:p>
    <w:p w14:paraId="636001F6">
      <w:pPr>
        <w:pStyle w:val="16"/>
        <w:ind w:firstLine="480"/>
        <w:rPr>
          <w:rFonts w:ascii="宋体" w:hAnsi="宋体" w:cs="宋体"/>
          <w:color w:val="000000" w:themeColor="text1"/>
          <w:kern w:val="0"/>
          <w:sz w:val="24"/>
          <w:highlight w:val="none"/>
          <w14:textFill>
            <w14:solidFill>
              <w14:schemeClr w14:val="tx1"/>
            </w14:solidFill>
          </w14:textFill>
        </w:rPr>
      </w:pPr>
    </w:p>
    <w:p w14:paraId="734634A0">
      <w:pPr>
        <w:pStyle w:val="16"/>
        <w:ind w:firstLine="480"/>
        <w:rPr>
          <w:rFonts w:ascii="宋体" w:hAnsi="宋体" w:cs="宋体"/>
          <w:color w:val="000000" w:themeColor="text1"/>
          <w:kern w:val="0"/>
          <w:sz w:val="24"/>
          <w:highlight w:val="none"/>
          <w14:textFill>
            <w14:solidFill>
              <w14:schemeClr w14:val="tx1"/>
            </w14:solidFill>
          </w14:textFill>
        </w:rPr>
      </w:pPr>
    </w:p>
    <w:p w14:paraId="43C6A2A6">
      <w:pPr>
        <w:pStyle w:val="16"/>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br w:type="page"/>
      </w:r>
      <w:r>
        <w:rPr>
          <w:rFonts w:hint="eastAsia" w:ascii="宋体" w:hAnsi="宋体" w:cs="宋体"/>
          <w:b/>
          <w:color w:val="000000" w:themeColor="text1"/>
          <w:sz w:val="24"/>
          <w:highlight w:val="none"/>
          <w14:textFill>
            <w14:solidFill>
              <w14:schemeClr w14:val="tx1"/>
            </w14:solidFill>
          </w14:textFill>
        </w:rPr>
        <w:t>注：</w:t>
      </w:r>
    </w:p>
    <w:p w14:paraId="6E68B670">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上表中从业人员、营业收入、资产总额填报上一年度数据，无上一年度数据的新成立企业可不填报。</w:t>
      </w:r>
    </w:p>
    <w:p w14:paraId="0DF56110">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在货物采购项目中，货物由中小企业制造，即货物由中小企业生产且使用该中小企业商号或者注册商标，投标人提供的货物既有中小企业制造货物，也有大型企业制造货物的，不享受本办法规定的中小企业扶持政策。</w:t>
      </w:r>
    </w:p>
    <w:p w14:paraId="05EAE5D2">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F5D4F95">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投标人须核对《统计上大中小微型企业划分办法（2017）》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0C2C0560">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4.本项目属于《统计上大中小微型企业划分办法（2017）》规定中的“（二）工业”。</w:t>
      </w:r>
    </w:p>
    <w:p w14:paraId="65DA204D">
      <w:pPr>
        <w:pStyle w:val="20"/>
        <w:spacing w:line="500" w:lineRule="exact"/>
        <w:jc w:val="lef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br w:type="page"/>
      </w:r>
    </w:p>
    <w:p w14:paraId="23A344B9">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66" w:name="_Toc26193"/>
      <w:bookmarkStart w:id="367" w:name="_Toc14096"/>
      <w:bookmarkStart w:id="368" w:name="_Toc18683"/>
      <w:bookmarkStart w:id="369" w:name="_Toc17454"/>
      <w:bookmarkStart w:id="370" w:name="_Toc9999"/>
      <w:bookmarkStart w:id="371" w:name="_Toc1594"/>
      <w:bookmarkStart w:id="372" w:name="_Toc32431"/>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十</w:t>
      </w:r>
      <w:r>
        <w:rPr>
          <w:rFonts w:hint="eastAsia" w:ascii="宋体" w:hAnsi="宋体" w:eastAsia="宋体" w:cs="宋体"/>
          <w:color w:val="000000" w:themeColor="text1"/>
          <w:sz w:val="32"/>
          <w:szCs w:val="32"/>
          <w:highlight w:val="none"/>
          <w14:textFill>
            <w14:solidFill>
              <w14:schemeClr w14:val="tx1"/>
            </w14:solidFill>
          </w14:textFill>
        </w:rPr>
        <w:t>）残疾人福利性单位声明函</w:t>
      </w:r>
      <w:bookmarkEnd w:id="366"/>
      <w:bookmarkEnd w:id="367"/>
      <w:bookmarkEnd w:id="368"/>
      <w:bookmarkEnd w:id="369"/>
      <w:bookmarkEnd w:id="370"/>
      <w:bookmarkEnd w:id="371"/>
      <w:bookmarkEnd w:id="372"/>
    </w:p>
    <w:p w14:paraId="5505F548">
      <w:pPr>
        <w:spacing w:line="588" w:lineRule="exact"/>
        <w:ind w:firstLine="624" w:firstLineChars="200"/>
        <w:rPr>
          <w:rFonts w:ascii="宋体" w:hAnsi="宋体" w:cs="宋体"/>
          <w:color w:val="000000" w:themeColor="text1"/>
          <w:spacing w:val="6"/>
          <w:sz w:val="30"/>
          <w:szCs w:val="30"/>
          <w:highlight w:val="none"/>
          <w14:textFill>
            <w14:solidFill>
              <w14:schemeClr w14:val="tx1"/>
            </w14:solidFill>
          </w14:textFill>
        </w:rPr>
      </w:pPr>
    </w:p>
    <w:p w14:paraId="41BC7FD6">
      <w:pPr>
        <w:spacing w:line="588" w:lineRule="exact"/>
        <w:ind w:firstLine="624" w:firstLineChars="200"/>
        <w:rPr>
          <w:rFonts w:ascii="宋体" w:hAnsi="宋体" w:cs="宋体"/>
          <w:color w:val="000000" w:themeColor="text1"/>
          <w:spacing w:val="6"/>
          <w:sz w:val="30"/>
          <w:szCs w:val="30"/>
          <w:highlight w:val="none"/>
          <w14:textFill>
            <w14:solidFill>
              <w14:schemeClr w14:val="tx1"/>
            </w14:solidFill>
          </w14:textFill>
        </w:rPr>
      </w:pPr>
    </w:p>
    <w:p w14:paraId="4CB7F4E5">
      <w:pPr>
        <w:spacing w:line="588" w:lineRule="exact"/>
        <w:ind w:firstLine="504" w:firstLineChars="200"/>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本单位郑重声明，根据《财政部民政部中国残疾人联合会关于促进残疾人就业政府采购政策的通知》（财库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〔2017〕 141</w:t>
      </w:r>
      <w:r>
        <w:rPr>
          <w:rFonts w:hint="eastAsia" w:ascii="宋体" w:hAnsi="宋体" w:cs="宋体"/>
          <w:color w:val="000000" w:themeColor="text1"/>
          <w:spacing w:val="6"/>
          <w:sz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6BFE51">
      <w:pPr>
        <w:spacing w:line="588" w:lineRule="exact"/>
        <w:ind w:firstLine="504" w:firstLineChars="200"/>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本单位对上述声明的真实性负责。如有虚假，将依法承担相应责任。</w:t>
      </w:r>
    </w:p>
    <w:p w14:paraId="24EBABD2">
      <w:pPr>
        <w:spacing w:line="588" w:lineRule="exact"/>
        <w:ind w:firstLine="504" w:firstLineChars="200"/>
        <w:rPr>
          <w:rFonts w:ascii="宋体" w:hAnsi="宋体" w:cs="宋体"/>
          <w:color w:val="000000" w:themeColor="text1"/>
          <w:spacing w:val="6"/>
          <w:sz w:val="24"/>
          <w:highlight w:val="none"/>
          <w14:textFill>
            <w14:solidFill>
              <w14:schemeClr w14:val="tx1"/>
            </w14:solidFill>
          </w14:textFill>
        </w:rPr>
      </w:pPr>
    </w:p>
    <w:p w14:paraId="779B8EFD">
      <w:pPr>
        <w:spacing w:line="588" w:lineRule="exact"/>
        <w:ind w:firstLine="504" w:firstLineChars="200"/>
        <w:rPr>
          <w:rFonts w:ascii="宋体" w:hAnsi="宋体" w:cs="宋体"/>
          <w:color w:val="000000" w:themeColor="text1"/>
          <w:spacing w:val="6"/>
          <w:sz w:val="24"/>
          <w:highlight w:val="none"/>
          <w14:textFill>
            <w14:solidFill>
              <w14:schemeClr w14:val="tx1"/>
            </w14:solidFill>
          </w14:textFill>
        </w:rPr>
      </w:pPr>
    </w:p>
    <w:p w14:paraId="6B0107FD">
      <w:pPr>
        <w:tabs>
          <w:tab w:val="left" w:pos="4860"/>
        </w:tabs>
        <w:spacing w:line="588" w:lineRule="exact"/>
        <w:ind w:right="1560" w:firstLine="506" w:firstLineChars="200"/>
        <w:jc w:val="center"/>
        <w:rPr>
          <w:rFonts w:ascii="宋体" w:hAnsi="宋体" w:cs="宋体"/>
          <w:b/>
          <w:bCs/>
          <w:color w:val="000000" w:themeColor="text1"/>
          <w:spacing w:val="6"/>
          <w:sz w:val="24"/>
          <w:highlight w:val="none"/>
          <w14:textFill>
            <w14:solidFill>
              <w14:schemeClr w14:val="tx1"/>
            </w14:solidFill>
          </w14:textFill>
        </w:rPr>
      </w:pPr>
      <w:r>
        <w:rPr>
          <w:rFonts w:hint="eastAsia" w:ascii="宋体" w:hAnsi="宋体" w:cs="宋体"/>
          <w:b/>
          <w:bCs/>
          <w:color w:val="000000" w:themeColor="text1"/>
          <w:spacing w:val="6"/>
          <w:sz w:val="24"/>
          <w:highlight w:val="none"/>
          <w:lang w:val="en-US" w:eastAsia="zh-CN"/>
          <w14:textFill>
            <w14:solidFill>
              <w14:schemeClr w14:val="tx1"/>
            </w14:solidFill>
          </w14:textFill>
        </w:rPr>
        <w:t>投标人</w:t>
      </w:r>
      <w:r>
        <w:rPr>
          <w:rFonts w:hint="eastAsia" w:ascii="宋体" w:hAnsi="宋体" w:cs="宋体"/>
          <w:b/>
          <w:bCs/>
          <w:color w:val="000000" w:themeColor="text1"/>
          <w:spacing w:val="6"/>
          <w:sz w:val="24"/>
          <w:highlight w:val="none"/>
          <w14:textFill>
            <w14:solidFill>
              <w14:schemeClr w14:val="tx1"/>
            </w14:solidFill>
          </w14:textFill>
        </w:rPr>
        <w:t>（</w:t>
      </w:r>
      <w:r>
        <w:rPr>
          <w:rFonts w:hint="eastAsia" w:ascii="宋体" w:hAnsi="宋体" w:cs="宋体"/>
          <w:b/>
          <w:bCs/>
          <w:color w:val="000000" w:themeColor="text1"/>
          <w:spacing w:val="6"/>
          <w:sz w:val="24"/>
          <w:highlight w:val="none"/>
          <w:lang w:val="en-US" w:eastAsia="zh-CN"/>
          <w14:textFill>
            <w14:solidFill>
              <w14:schemeClr w14:val="tx1"/>
            </w14:solidFill>
          </w14:textFill>
        </w:rPr>
        <w:t>电子签章</w:t>
      </w:r>
      <w:r>
        <w:rPr>
          <w:rFonts w:hint="eastAsia" w:ascii="宋体" w:hAnsi="宋体" w:cs="宋体"/>
          <w:b/>
          <w:bCs/>
          <w:color w:val="000000" w:themeColor="text1"/>
          <w:spacing w:val="6"/>
          <w:sz w:val="24"/>
          <w:highlight w:val="none"/>
          <w14:textFill>
            <w14:solidFill>
              <w14:schemeClr w14:val="tx1"/>
            </w14:solidFill>
          </w14:textFill>
        </w:rPr>
        <w:t>）：</w:t>
      </w:r>
    </w:p>
    <w:p w14:paraId="0735606A">
      <w:pPr>
        <w:tabs>
          <w:tab w:val="left" w:pos="4860"/>
        </w:tabs>
        <w:spacing w:line="588" w:lineRule="exact"/>
        <w:ind w:right="1560" w:firstLine="3035" w:firstLineChars="1200"/>
        <w:jc w:val="both"/>
        <w:rPr>
          <w:rFonts w:ascii="宋体" w:hAnsi="宋体" w:cs="宋体"/>
          <w:b/>
          <w:bCs/>
          <w:color w:val="000000" w:themeColor="text1"/>
          <w:spacing w:val="6"/>
          <w:sz w:val="30"/>
          <w:szCs w:val="30"/>
          <w:highlight w:val="none"/>
          <w14:textFill>
            <w14:solidFill>
              <w14:schemeClr w14:val="tx1"/>
            </w14:solidFill>
          </w14:textFill>
        </w:rPr>
      </w:pPr>
      <w:r>
        <w:rPr>
          <w:rFonts w:hint="eastAsia" w:ascii="宋体" w:hAnsi="宋体" w:cs="宋体"/>
          <w:b/>
          <w:bCs/>
          <w:color w:val="000000" w:themeColor="text1"/>
          <w:spacing w:val="6"/>
          <w:sz w:val="24"/>
          <w:highlight w:val="none"/>
          <w14:textFill>
            <w14:solidFill>
              <w14:schemeClr w14:val="tx1"/>
            </w14:solidFill>
          </w14:textFill>
        </w:rPr>
        <w:t>日</w:t>
      </w:r>
      <w:r>
        <w:rPr>
          <w:rFonts w:hint="eastAsia" w:ascii="宋体" w:hAnsi="宋体" w:cs="宋体"/>
          <w:b/>
          <w:bCs/>
          <w:color w:val="000000" w:themeColor="text1"/>
          <w:spacing w:val="6"/>
          <w:sz w:val="24"/>
          <w:highlight w:val="none"/>
          <w:lang w:val="en-US" w:eastAsia="zh-CN"/>
          <w14:textFill>
            <w14:solidFill>
              <w14:schemeClr w14:val="tx1"/>
            </w14:solidFill>
          </w14:textFill>
        </w:rPr>
        <w:t xml:space="preserve">       </w:t>
      </w:r>
      <w:r>
        <w:rPr>
          <w:rFonts w:hint="eastAsia" w:ascii="宋体" w:hAnsi="宋体" w:cs="宋体"/>
          <w:b/>
          <w:bCs/>
          <w:color w:val="000000" w:themeColor="text1"/>
          <w:spacing w:val="6"/>
          <w:sz w:val="24"/>
          <w:highlight w:val="none"/>
          <w14:textFill>
            <w14:solidFill>
              <w14:schemeClr w14:val="tx1"/>
            </w14:solidFill>
          </w14:textFill>
        </w:rPr>
        <w:t>期：</w:t>
      </w:r>
    </w:p>
    <w:p w14:paraId="368CB901">
      <w:pPr>
        <w:spacing w:line="588" w:lineRule="exact"/>
        <w:rPr>
          <w:rFonts w:ascii="宋体" w:hAnsi="宋体" w:cs="宋体"/>
          <w:color w:val="000000" w:themeColor="text1"/>
          <w:highlight w:val="none"/>
          <w14:textFill>
            <w14:solidFill>
              <w14:schemeClr w14:val="tx1"/>
            </w14:solidFill>
          </w14:textFill>
        </w:rPr>
      </w:pPr>
    </w:p>
    <w:p w14:paraId="11B5E5FF">
      <w:pPr>
        <w:spacing w:line="588" w:lineRule="exact"/>
        <w:rPr>
          <w:rFonts w:ascii="宋体" w:hAnsi="宋体" w:cs="宋体"/>
          <w:color w:val="000000" w:themeColor="text1"/>
          <w:highlight w:val="none"/>
          <w14:textFill>
            <w14:solidFill>
              <w14:schemeClr w14:val="tx1"/>
            </w14:solidFill>
          </w14:textFill>
        </w:rPr>
      </w:pPr>
    </w:p>
    <w:p w14:paraId="2B10F879">
      <w:pPr>
        <w:spacing w:line="588" w:lineRule="exact"/>
        <w:rPr>
          <w:rFonts w:ascii="宋体" w:hAnsi="宋体" w:cs="宋体"/>
          <w:color w:val="000000" w:themeColor="text1"/>
          <w:highlight w:val="none"/>
          <w14:textFill>
            <w14:solidFill>
              <w14:schemeClr w14:val="tx1"/>
            </w14:solidFill>
          </w14:textFill>
        </w:rPr>
      </w:pPr>
    </w:p>
    <w:p w14:paraId="50B5D7DB">
      <w:pPr>
        <w:spacing w:line="588" w:lineRule="exact"/>
        <w:rPr>
          <w:rFonts w:ascii="宋体" w:hAnsi="宋体" w:cs="宋体"/>
          <w:color w:val="000000" w:themeColor="text1"/>
          <w:highlight w:val="none"/>
          <w14:textFill>
            <w14:solidFill>
              <w14:schemeClr w14:val="tx1"/>
            </w14:solidFill>
          </w14:textFill>
        </w:rPr>
      </w:pPr>
    </w:p>
    <w:p w14:paraId="587508DD">
      <w:pPr>
        <w:spacing w:line="588"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中标投标人为残疾人福利性单位的，其《残疾人福利性单位声明函》将随中标结果同时公告，接受社会监督。投标人提供的《残疾人福利性单位声明函》与事实不符的，依照《政府采购法》第七十七条第一款的规定追究法律责任。</w:t>
      </w:r>
    </w:p>
    <w:p w14:paraId="6D55B98F">
      <w:pPr>
        <w:widowControl/>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14:paraId="6400472F">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73" w:name="_Toc27360"/>
      <w:bookmarkStart w:id="374" w:name="_Toc3027"/>
      <w:bookmarkStart w:id="375" w:name="_Toc2177"/>
      <w:bookmarkStart w:id="376" w:name="_Toc7440"/>
      <w:bookmarkStart w:id="377" w:name="_Toc5902"/>
      <w:bookmarkStart w:id="378" w:name="_Toc12105"/>
      <w:bookmarkStart w:id="379" w:name="_Toc20888"/>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一</w:t>
      </w:r>
      <w:r>
        <w:rPr>
          <w:rFonts w:hint="eastAsia" w:ascii="宋体" w:hAnsi="宋体" w:eastAsia="宋体" w:cs="宋体"/>
          <w:color w:val="000000" w:themeColor="text1"/>
          <w:sz w:val="32"/>
          <w:szCs w:val="32"/>
          <w:highlight w:val="none"/>
          <w14:textFill>
            <w14:solidFill>
              <w14:schemeClr w14:val="tx1"/>
            </w14:solidFill>
          </w14:textFill>
        </w:rPr>
        <w:t>）监狱企业证明文件</w:t>
      </w:r>
      <w:bookmarkEnd w:id="373"/>
      <w:bookmarkEnd w:id="374"/>
      <w:bookmarkEnd w:id="375"/>
      <w:bookmarkEnd w:id="376"/>
      <w:bookmarkEnd w:id="377"/>
      <w:bookmarkEnd w:id="378"/>
      <w:bookmarkEnd w:id="379"/>
    </w:p>
    <w:p w14:paraId="7649A51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A9B5753">
      <w:pPr>
        <w:spacing w:line="360" w:lineRule="auto"/>
        <w:ind w:firstLine="315" w:firstLineChars="15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4E48F603">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p>
    <w:p w14:paraId="3085478B">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80" w:name="_Toc8747"/>
      <w:bookmarkStart w:id="381" w:name="_Toc10405"/>
      <w:bookmarkStart w:id="382" w:name="_Toc19099"/>
      <w:bookmarkStart w:id="383" w:name="_Toc16142"/>
      <w:bookmarkStart w:id="384" w:name="_Toc16099"/>
      <w:bookmarkStart w:id="385" w:name="_Toc20951"/>
      <w:bookmarkStart w:id="386" w:name="_Toc18850"/>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二</w:t>
      </w:r>
      <w:r>
        <w:rPr>
          <w:rFonts w:hint="eastAsia" w:ascii="宋体" w:hAnsi="宋体" w:eastAsia="宋体" w:cs="宋体"/>
          <w:color w:val="000000" w:themeColor="text1"/>
          <w:sz w:val="32"/>
          <w:szCs w:val="32"/>
          <w:highlight w:val="none"/>
          <w14:textFill>
            <w14:solidFill>
              <w14:schemeClr w14:val="tx1"/>
            </w14:solidFill>
          </w14:textFill>
        </w:rPr>
        <w:t>）供货方案</w:t>
      </w:r>
      <w:bookmarkEnd w:id="380"/>
      <w:bookmarkEnd w:id="381"/>
      <w:bookmarkEnd w:id="382"/>
      <w:bookmarkEnd w:id="383"/>
      <w:bookmarkEnd w:id="384"/>
      <w:bookmarkEnd w:id="385"/>
      <w:bookmarkEnd w:id="386"/>
    </w:p>
    <w:p w14:paraId="31A104F8">
      <w:pPr>
        <w:rPr>
          <w:rFonts w:ascii="宋体" w:hAnsi="宋体" w:cs="宋体"/>
          <w:color w:val="000000" w:themeColor="text1"/>
          <w:highlight w:val="none"/>
          <w14:textFill>
            <w14:solidFill>
              <w14:schemeClr w14:val="tx1"/>
            </w14:solidFill>
          </w14:textFill>
        </w:rPr>
      </w:pPr>
    </w:p>
    <w:p w14:paraId="4FBF8EFC">
      <w:pPr>
        <w:pStyle w:val="20"/>
        <w:ind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至少包括：①供货计划及时间安排；②</w:t>
      </w:r>
      <w:r>
        <w:rPr>
          <w:rFonts w:hint="eastAsia" w:hAnsi="宋体" w:cs="宋体"/>
          <w:color w:val="000000" w:themeColor="text1"/>
          <w:highlight w:val="none"/>
          <w:lang w:val="en-US" w:eastAsia="zh-CN"/>
          <w14:textFill>
            <w14:solidFill>
              <w14:schemeClr w14:val="tx1"/>
            </w14:solidFill>
          </w14:textFill>
        </w:rPr>
        <w:t>交货期的保证措施；</w:t>
      </w:r>
      <w:r>
        <w:rPr>
          <w:rFonts w:hint="eastAsia" w:hAnsi="宋体" w:cs="宋体"/>
          <w:color w:val="000000" w:themeColor="text1"/>
          <w:highlight w:val="none"/>
          <w14:textFill>
            <w14:solidFill>
              <w14:schemeClr w14:val="tx1"/>
            </w14:solidFill>
          </w14:textFill>
        </w:rPr>
        <w:t>③违约承诺；④培训</w:t>
      </w:r>
      <w:r>
        <w:rPr>
          <w:rFonts w:hint="eastAsia" w:hAnsi="宋体" w:cs="宋体"/>
          <w:color w:val="000000" w:themeColor="text1"/>
          <w:highlight w:val="none"/>
          <w:lang w:val="en-US" w:eastAsia="zh-CN"/>
          <w14:textFill>
            <w14:solidFill>
              <w14:schemeClr w14:val="tx1"/>
            </w14:solidFill>
          </w14:textFill>
        </w:rPr>
        <w:t>方案</w:t>
      </w:r>
      <w:r>
        <w:rPr>
          <w:rFonts w:hint="eastAsia" w:hAnsi="宋体" w:cs="宋体"/>
          <w:color w:val="000000" w:themeColor="text1"/>
          <w:highlight w:val="none"/>
          <w14:textFill>
            <w14:solidFill>
              <w14:schemeClr w14:val="tx1"/>
            </w14:solidFill>
          </w14:textFill>
        </w:rPr>
        <w:t>等内容，格式自拟。</w:t>
      </w:r>
    </w:p>
    <w:p w14:paraId="034BD1F0">
      <w:pPr>
        <w:pStyle w:val="20"/>
        <w:rPr>
          <w:rFonts w:hAnsi="宋体" w:cs="宋体"/>
          <w:color w:val="000000" w:themeColor="text1"/>
          <w:highlight w:val="none"/>
          <w14:textFill>
            <w14:solidFill>
              <w14:schemeClr w14:val="tx1"/>
            </w14:solidFill>
          </w14:textFill>
        </w:rPr>
      </w:pPr>
    </w:p>
    <w:p w14:paraId="3E8BF311">
      <w:pPr>
        <w:rPr>
          <w:rFonts w:ascii="宋体" w:hAnsi="宋体" w:cs="宋体"/>
          <w:b/>
          <w:color w:val="000000" w:themeColor="text1"/>
          <w:sz w:val="28"/>
          <w:szCs w:val="28"/>
          <w:highlight w:val="none"/>
          <w14:textFill>
            <w14:solidFill>
              <w14:schemeClr w14:val="tx1"/>
            </w14:solidFill>
          </w14:textFill>
        </w:rPr>
      </w:pPr>
    </w:p>
    <w:p w14:paraId="1CF659E8">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87" w:name="_Toc30041"/>
      <w:bookmarkStart w:id="388" w:name="_Toc213141101"/>
      <w:bookmarkStart w:id="389" w:name="_Toc19496"/>
      <w:bookmarkStart w:id="390" w:name="_Toc28574"/>
      <w:bookmarkStart w:id="391" w:name="_Toc11466"/>
      <w:bookmarkStart w:id="392" w:name="_Toc34163801"/>
      <w:bookmarkStart w:id="393" w:name="_Toc1080"/>
      <w:bookmarkStart w:id="394" w:name="_Toc493600036"/>
      <w:bookmarkStart w:id="395" w:name="_Toc19632"/>
      <w:bookmarkStart w:id="396" w:name="_Toc22222"/>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三</w:t>
      </w:r>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产品质量保证措施及承诺</w:t>
      </w:r>
      <w:bookmarkEnd w:id="387"/>
      <w:bookmarkEnd w:id="388"/>
      <w:bookmarkEnd w:id="389"/>
      <w:bookmarkEnd w:id="390"/>
      <w:bookmarkEnd w:id="391"/>
      <w:bookmarkEnd w:id="392"/>
      <w:bookmarkEnd w:id="393"/>
      <w:bookmarkEnd w:id="394"/>
      <w:bookmarkEnd w:id="395"/>
      <w:bookmarkEnd w:id="396"/>
    </w:p>
    <w:p w14:paraId="1A087AD2">
      <w:pPr>
        <w:rPr>
          <w:rFonts w:ascii="宋体" w:hAnsi="宋体" w:cs="宋体"/>
          <w:color w:val="000000" w:themeColor="text1"/>
          <w:highlight w:val="none"/>
          <w14:textFill>
            <w14:solidFill>
              <w14:schemeClr w14:val="tx1"/>
            </w14:solidFill>
          </w14:textFill>
        </w:rPr>
      </w:pPr>
    </w:p>
    <w:p w14:paraId="5F211733">
      <w:pPr>
        <w:pStyle w:val="20"/>
        <w:ind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至少包括：①产品质量保证措施；②产品质量保证承诺等内容，格式自拟。</w:t>
      </w:r>
    </w:p>
    <w:p w14:paraId="5BF948BA">
      <w:pPr>
        <w:pStyle w:val="20"/>
        <w:rPr>
          <w:rFonts w:hAnsi="宋体" w:cs="宋体"/>
          <w:color w:val="000000" w:themeColor="text1"/>
          <w:highlight w:val="none"/>
          <w14:textFill>
            <w14:solidFill>
              <w14:schemeClr w14:val="tx1"/>
            </w14:solidFill>
          </w14:textFill>
        </w:rPr>
      </w:pPr>
    </w:p>
    <w:p w14:paraId="1122F89C">
      <w:pPr>
        <w:pStyle w:val="20"/>
        <w:rPr>
          <w:rFonts w:hAnsi="宋体" w:cs="宋体"/>
          <w:color w:val="000000" w:themeColor="text1"/>
          <w:highlight w:val="none"/>
          <w14:textFill>
            <w14:solidFill>
              <w14:schemeClr w14:val="tx1"/>
            </w14:solidFill>
          </w14:textFill>
        </w:rPr>
      </w:pPr>
    </w:p>
    <w:p w14:paraId="14F6CB06">
      <w:pPr>
        <w:pStyle w:val="20"/>
        <w:rPr>
          <w:rFonts w:hAnsi="宋体" w:cs="宋体"/>
          <w:color w:val="000000" w:themeColor="text1"/>
          <w:highlight w:val="none"/>
          <w14:textFill>
            <w14:solidFill>
              <w14:schemeClr w14:val="tx1"/>
            </w14:solidFill>
          </w14:textFill>
        </w:rPr>
      </w:pPr>
    </w:p>
    <w:p w14:paraId="5AEC1082">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397" w:name="_Toc27672"/>
      <w:bookmarkStart w:id="398" w:name="_Toc4447"/>
      <w:bookmarkStart w:id="399" w:name="_Toc31617"/>
      <w:bookmarkStart w:id="400" w:name="_Toc16259"/>
      <w:bookmarkStart w:id="401" w:name="_Toc18207"/>
      <w:bookmarkStart w:id="402" w:name="_Toc25592"/>
      <w:bookmarkStart w:id="403" w:name="_Toc1072"/>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四</w:t>
      </w:r>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售后服务方案</w:t>
      </w:r>
      <w:bookmarkEnd w:id="397"/>
      <w:bookmarkEnd w:id="398"/>
      <w:bookmarkEnd w:id="399"/>
      <w:bookmarkEnd w:id="400"/>
      <w:bookmarkEnd w:id="401"/>
      <w:bookmarkEnd w:id="402"/>
      <w:bookmarkEnd w:id="403"/>
    </w:p>
    <w:p w14:paraId="64A4B6A9">
      <w:pPr>
        <w:rPr>
          <w:rFonts w:ascii="宋体" w:hAnsi="宋体" w:cs="宋体"/>
          <w:color w:val="000000" w:themeColor="text1"/>
          <w:highlight w:val="none"/>
          <w14:textFill>
            <w14:solidFill>
              <w14:schemeClr w14:val="tx1"/>
            </w14:solidFill>
          </w14:textFill>
        </w:rPr>
      </w:pPr>
    </w:p>
    <w:p w14:paraId="772D6CAF">
      <w:pPr>
        <w:pStyle w:val="20"/>
        <w:ind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至少包括：①售后服务人员；②售后服务承诺；③售后服务响应时间；④售后服务保障措施等内容，格式自拟。</w:t>
      </w:r>
    </w:p>
    <w:p w14:paraId="6B6956BF">
      <w:pPr>
        <w:bidi w:val="0"/>
        <w:rPr>
          <w:rFonts w:hint="eastAsia"/>
          <w:color w:val="000000" w:themeColor="text1"/>
          <w:highlight w:val="none"/>
          <w14:textFill>
            <w14:solidFill>
              <w14:schemeClr w14:val="tx1"/>
            </w14:solidFill>
          </w14:textFill>
        </w:rPr>
      </w:pPr>
    </w:p>
    <w:p w14:paraId="654C523F">
      <w:pPr>
        <w:bidi w:val="0"/>
        <w:rPr>
          <w:rFonts w:hint="eastAsia"/>
          <w:color w:val="000000" w:themeColor="text1"/>
          <w:highlight w:val="none"/>
          <w14:textFill>
            <w14:solidFill>
              <w14:schemeClr w14:val="tx1"/>
            </w14:solidFill>
          </w14:textFill>
        </w:rPr>
      </w:pPr>
    </w:p>
    <w:p w14:paraId="51540E00">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14:textFill>
            <w14:solidFill>
              <w14:schemeClr w14:val="tx1"/>
            </w14:solidFill>
          </w14:textFill>
        </w:rPr>
      </w:pPr>
      <w:bookmarkStart w:id="404" w:name="_Toc2227"/>
      <w:bookmarkStart w:id="405" w:name="_Toc8148"/>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五</w:t>
      </w:r>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eastAsia="zh-CN"/>
          <w14:textFill>
            <w14:solidFill>
              <w14:schemeClr w14:val="tx1"/>
            </w14:solidFill>
          </w14:textFill>
        </w:rPr>
        <w:t>应急方案</w:t>
      </w:r>
      <w:bookmarkEnd w:id="404"/>
      <w:bookmarkEnd w:id="405"/>
    </w:p>
    <w:p w14:paraId="10CAD9FF">
      <w:pPr>
        <w:rPr>
          <w:rFonts w:ascii="宋体" w:hAnsi="宋体" w:cs="宋体"/>
          <w:color w:val="000000" w:themeColor="text1"/>
          <w:highlight w:val="none"/>
          <w14:textFill>
            <w14:solidFill>
              <w14:schemeClr w14:val="tx1"/>
            </w14:solidFill>
          </w14:textFill>
        </w:rPr>
      </w:pPr>
    </w:p>
    <w:p w14:paraId="7D4E0DAB">
      <w:pPr>
        <w:pStyle w:val="20"/>
        <w:ind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至少包括：①</w:t>
      </w:r>
      <w:r>
        <w:rPr>
          <w:rFonts w:hint="eastAsia" w:hAnsi="宋体" w:cs="宋体"/>
          <w:color w:val="000000" w:themeColor="text1"/>
          <w:highlight w:val="none"/>
          <w:lang w:val="en-US" w:eastAsia="zh-CN"/>
          <w14:textFill>
            <w14:solidFill>
              <w14:schemeClr w14:val="tx1"/>
            </w14:solidFill>
          </w14:textFill>
        </w:rPr>
        <w:t>传达机制；</w:t>
      </w:r>
      <w:r>
        <w:rPr>
          <w:rFonts w:hint="eastAsia" w:hAnsi="宋体" w:cs="宋体"/>
          <w:color w:val="000000" w:themeColor="text1"/>
          <w:highlight w:val="none"/>
          <w14:textFill>
            <w14:solidFill>
              <w14:schemeClr w14:val="tx1"/>
            </w14:solidFill>
          </w14:textFill>
        </w:rPr>
        <w:t>②</w:t>
      </w:r>
      <w:r>
        <w:rPr>
          <w:rFonts w:hint="eastAsia" w:hAnsi="宋体" w:cs="宋体"/>
          <w:color w:val="000000" w:themeColor="text1"/>
          <w:highlight w:val="none"/>
          <w:lang w:val="en-US" w:eastAsia="zh-CN"/>
          <w14:textFill>
            <w14:solidFill>
              <w14:schemeClr w14:val="tx1"/>
            </w14:solidFill>
          </w14:textFill>
        </w:rPr>
        <w:t>人员调配</w:t>
      </w:r>
      <w:r>
        <w:rPr>
          <w:rFonts w:hint="eastAsia" w:hAnsi="宋体" w:cs="宋体"/>
          <w:color w:val="000000" w:themeColor="text1"/>
          <w:highlight w:val="none"/>
          <w:lang w:eastAsia="zh-CN"/>
          <w14:textFill>
            <w14:solidFill>
              <w14:schemeClr w14:val="tx1"/>
            </w14:solidFill>
          </w14:textFill>
        </w:rPr>
        <w:t>；</w:t>
      </w:r>
      <w:r>
        <w:rPr>
          <w:rFonts w:hint="eastAsia" w:hAnsi="宋体" w:cs="宋体"/>
          <w:color w:val="000000" w:themeColor="text1"/>
          <w:highlight w:val="none"/>
          <w14:textFill>
            <w14:solidFill>
              <w14:schemeClr w14:val="tx1"/>
            </w14:solidFill>
          </w14:textFill>
        </w:rPr>
        <w:t>③</w:t>
      </w:r>
      <w:r>
        <w:rPr>
          <w:rFonts w:hint="eastAsia" w:hAnsi="宋体" w:cs="宋体"/>
          <w:color w:val="000000" w:themeColor="text1"/>
          <w:highlight w:val="none"/>
          <w:lang w:val="en-US" w:eastAsia="zh-CN"/>
          <w14:textFill>
            <w14:solidFill>
              <w14:schemeClr w14:val="tx1"/>
            </w14:solidFill>
          </w14:textFill>
        </w:rPr>
        <w:t>供货调配</w:t>
      </w:r>
      <w:r>
        <w:rPr>
          <w:rFonts w:hint="eastAsia" w:hAnsi="宋体" w:cs="宋体"/>
          <w:color w:val="000000" w:themeColor="text1"/>
          <w:highlight w:val="none"/>
          <w14:textFill>
            <w14:solidFill>
              <w14:schemeClr w14:val="tx1"/>
            </w14:solidFill>
          </w14:textFill>
        </w:rPr>
        <w:t>等内容，格式自拟。</w:t>
      </w:r>
    </w:p>
    <w:p w14:paraId="106724D0">
      <w:pPr>
        <w:keepNext/>
        <w:numPr>
          <w:ilvl w:val="0"/>
          <w:numId w:val="0"/>
        </w:numPr>
        <w:adjustRightInd w:val="0"/>
        <w:ind w:left="425"/>
        <w:jc w:val="center"/>
        <w:textAlignment w:val="baseline"/>
        <w:outlineLvl w:val="9"/>
        <w:rPr>
          <w:rFonts w:hint="eastAsia" w:ascii="宋体" w:hAnsi="宋体" w:cs="宋体"/>
          <w:b/>
          <w:color w:val="000000" w:themeColor="text1"/>
          <w:sz w:val="28"/>
          <w:szCs w:val="28"/>
          <w:highlight w:val="none"/>
          <w14:textFill>
            <w14:solidFill>
              <w14:schemeClr w14:val="tx1"/>
            </w14:solidFill>
          </w14:textFill>
        </w:rPr>
      </w:pPr>
    </w:p>
    <w:p w14:paraId="49769CC3">
      <w:pPr>
        <w:rPr>
          <w:rFonts w:hint="eastAsia" w:ascii="宋体" w:hAnsi="宋体" w:eastAsia="宋体" w:cs="宋体"/>
          <w:color w:val="000000" w:themeColor="text1"/>
          <w:sz w:val="32"/>
          <w:szCs w:val="32"/>
          <w:highlight w:val="none"/>
          <w14:textFill>
            <w14:solidFill>
              <w14:schemeClr w14:val="tx1"/>
            </w14:solidFill>
          </w14:textFill>
        </w:rPr>
      </w:pPr>
      <w:bookmarkStart w:id="406" w:name="_Toc24678"/>
      <w:bookmarkStart w:id="407" w:name="_Toc1958"/>
      <w:bookmarkStart w:id="408" w:name="_Toc12975"/>
      <w:bookmarkStart w:id="409" w:name="_Toc12212"/>
      <w:bookmarkStart w:id="410" w:name="_Toc26491"/>
      <w:r>
        <w:rPr>
          <w:rFonts w:hint="eastAsia" w:ascii="宋体" w:hAnsi="宋体" w:eastAsia="宋体" w:cs="宋体"/>
          <w:color w:val="000000" w:themeColor="text1"/>
          <w:sz w:val="32"/>
          <w:szCs w:val="32"/>
          <w:highlight w:val="none"/>
          <w14:textFill>
            <w14:solidFill>
              <w14:schemeClr w14:val="tx1"/>
            </w14:solidFill>
          </w14:textFill>
        </w:rPr>
        <w:br w:type="page"/>
      </w:r>
    </w:p>
    <w:p w14:paraId="7CA0239A">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lang w:val="en-US"/>
          <w14:textFill>
            <w14:solidFill>
              <w14:schemeClr w14:val="tx1"/>
            </w14:solidFill>
          </w14:textFill>
        </w:rPr>
      </w:pPr>
      <w:bookmarkStart w:id="411" w:name="_Toc10904"/>
      <w:bookmarkStart w:id="412" w:name="_Toc10666"/>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投标保证金交纳凭证</w:t>
      </w:r>
      <w:bookmarkEnd w:id="406"/>
      <w:bookmarkEnd w:id="407"/>
      <w:bookmarkEnd w:id="408"/>
      <w:bookmarkEnd w:id="409"/>
      <w:bookmarkEnd w:id="410"/>
      <w:bookmarkEnd w:id="411"/>
      <w:bookmarkEnd w:id="412"/>
    </w:p>
    <w:p w14:paraId="3235F572">
      <w:pPr>
        <w:spacing w:before="120" w:after="120"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投标人提交的投标保证金应采用招标文件中规定的形式，并在此提供相应凭证的扫描件。</w:t>
      </w:r>
    </w:p>
    <w:p w14:paraId="4CA8A866">
      <w:pPr>
        <w:spacing w:line="360" w:lineRule="auto"/>
        <w:rPr>
          <w:rFonts w:ascii="宋体" w:hAnsi="宋体" w:cs="宋体"/>
          <w:b/>
          <w:color w:val="000000" w:themeColor="text1"/>
          <w:sz w:val="28"/>
          <w:szCs w:val="28"/>
          <w:highlight w:val="none"/>
          <w14:textFill>
            <w14:solidFill>
              <w14:schemeClr w14:val="tx1"/>
            </w14:solidFill>
          </w14:textFill>
        </w:rPr>
      </w:pPr>
    </w:p>
    <w:p w14:paraId="7655D3FA">
      <w:pPr>
        <w:spacing w:line="360" w:lineRule="auto"/>
        <w:rPr>
          <w:rFonts w:ascii="宋体" w:hAnsi="宋体" w:cs="宋体"/>
          <w:b/>
          <w:color w:val="000000" w:themeColor="text1"/>
          <w:sz w:val="28"/>
          <w:szCs w:val="28"/>
          <w:highlight w:val="none"/>
          <w14:textFill>
            <w14:solidFill>
              <w14:schemeClr w14:val="tx1"/>
            </w14:solidFill>
          </w14:textFill>
        </w:rPr>
      </w:pPr>
    </w:p>
    <w:p w14:paraId="689263E4">
      <w:pPr>
        <w:spacing w:line="360" w:lineRule="auto"/>
        <w:rPr>
          <w:rFonts w:ascii="宋体" w:hAnsi="宋体" w:cs="宋体"/>
          <w:b/>
          <w:color w:val="000000" w:themeColor="text1"/>
          <w:sz w:val="28"/>
          <w:szCs w:val="28"/>
          <w:highlight w:val="none"/>
          <w14:textFill>
            <w14:solidFill>
              <w14:schemeClr w14:val="tx1"/>
            </w14:solidFill>
          </w14:textFill>
        </w:rPr>
      </w:pPr>
    </w:p>
    <w:p w14:paraId="4540BD53">
      <w:pPr>
        <w:spacing w:line="360" w:lineRule="auto"/>
        <w:rPr>
          <w:rFonts w:ascii="宋体" w:hAnsi="宋体" w:cs="宋体"/>
          <w:b/>
          <w:color w:val="000000" w:themeColor="text1"/>
          <w:sz w:val="28"/>
          <w:szCs w:val="28"/>
          <w:highlight w:val="none"/>
          <w14:textFill>
            <w14:solidFill>
              <w14:schemeClr w14:val="tx1"/>
            </w14:solidFill>
          </w14:textFill>
        </w:rPr>
      </w:pPr>
    </w:p>
    <w:p w14:paraId="02700FC8">
      <w:pPr>
        <w:pStyle w:val="5"/>
        <w:keepNext/>
        <w:numPr>
          <w:ilvl w:val="0"/>
          <w:numId w:val="0"/>
        </w:numPr>
        <w:tabs>
          <w:tab w:val="left" w:pos="1021"/>
          <w:tab w:val="clear" w:pos="900"/>
          <w:tab w:val="clear" w:pos="1588"/>
        </w:tabs>
        <w:ind w:left="425"/>
        <w:jc w:val="center"/>
        <w:rPr>
          <w:rFonts w:ascii="宋体" w:hAnsi="宋体" w:eastAsia="宋体" w:cs="宋体"/>
          <w:color w:val="000000" w:themeColor="text1"/>
          <w:sz w:val="32"/>
          <w:szCs w:val="32"/>
          <w:highlight w:val="none"/>
          <w:lang w:val="en-US"/>
          <w14:textFill>
            <w14:solidFill>
              <w14:schemeClr w14:val="tx1"/>
            </w14:solidFill>
          </w14:textFill>
        </w:rPr>
      </w:pPr>
      <w:bookmarkStart w:id="413" w:name="_Toc13970"/>
      <w:bookmarkStart w:id="414" w:name="_Toc32209"/>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七</w:t>
      </w:r>
      <w:r>
        <w:rPr>
          <w:rFonts w:hint="eastAsia" w:ascii="宋体" w:hAnsi="宋体" w:eastAsia="宋体" w:cs="宋体"/>
          <w:color w:val="000000" w:themeColor="text1"/>
          <w:sz w:val="32"/>
          <w:szCs w:val="32"/>
          <w:highlight w:val="none"/>
          <w14:textFill>
            <w14:solidFill>
              <w14:schemeClr w14:val="tx1"/>
            </w14:solidFill>
          </w14:textFill>
        </w:rPr>
        <w:t>）节能、环境标志产品</w:t>
      </w:r>
      <w:bookmarkEnd w:id="413"/>
      <w:bookmarkEnd w:id="414"/>
    </w:p>
    <w:p w14:paraId="7CD9E37C">
      <w:pPr>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所投产品属于节能产品（非政府强制采购节能产品）或环境标志产品的，</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需在</w:t>
      </w:r>
      <w:r>
        <w:rPr>
          <w:rFonts w:hint="eastAsia" w:ascii="宋体" w:hAnsi="宋体"/>
          <w:color w:val="000000" w:themeColor="text1"/>
          <w:sz w:val="24"/>
          <w:highlight w:val="none"/>
          <w:lang w:eastAsia="zh-CN"/>
          <w14:textFill>
            <w14:solidFill>
              <w14:schemeClr w14:val="tx1"/>
            </w14:solidFill>
          </w14:textFill>
        </w:rPr>
        <w:t>投标文件</w:t>
      </w:r>
      <w:r>
        <w:rPr>
          <w:rFonts w:hint="eastAsia" w:ascii="宋体" w:hAnsi="宋体"/>
          <w:color w:val="000000" w:themeColor="text1"/>
          <w:sz w:val="24"/>
          <w:highlight w:val="none"/>
          <w14:textFill>
            <w14:solidFill>
              <w14:schemeClr w14:val="tx1"/>
            </w14:solidFill>
          </w14:textFill>
        </w:rPr>
        <w:t>中提供产品经国家确定的参与实施政府采购节能产品认证机构或参与实施政府采购环境标志产品认证机构出具的、处于有效期之内的节能产品、环境标志产品认证证书</w:t>
      </w:r>
      <w:r>
        <w:rPr>
          <w:rFonts w:hint="eastAsia" w:ascii="宋体" w:hAnsi="宋体" w:cs="宋体"/>
          <w:color w:val="000000" w:themeColor="text1"/>
          <w:sz w:val="24"/>
          <w:highlight w:val="none"/>
          <w14:textFill>
            <w14:solidFill>
              <w14:schemeClr w14:val="tx1"/>
            </w14:solidFill>
          </w14:textFill>
        </w:rPr>
        <w:t>。</w:t>
      </w:r>
    </w:p>
    <w:p w14:paraId="32068720">
      <w:pPr>
        <w:spacing w:line="360" w:lineRule="auto"/>
        <w:rPr>
          <w:rFonts w:ascii="宋体" w:hAnsi="宋体" w:cs="宋体"/>
          <w:b/>
          <w:color w:val="000000" w:themeColor="text1"/>
          <w:sz w:val="28"/>
          <w:szCs w:val="28"/>
          <w:highlight w:val="none"/>
          <w14:textFill>
            <w14:solidFill>
              <w14:schemeClr w14:val="tx1"/>
            </w14:solidFill>
          </w14:textFill>
        </w:rPr>
      </w:pPr>
    </w:p>
    <w:p w14:paraId="7CC218FA">
      <w:pPr>
        <w:rPr>
          <w:rFonts w:hint="eastAsia" w:ascii="宋体" w:hAnsi="宋体" w:eastAsia="宋体" w:cs="宋体"/>
          <w:color w:val="000000" w:themeColor="text1"/>
          <w:sz w:val="32"/>
          <w:szCs w:val="32"/>
          <w:highlight w:val="none"/>
          <w14:textFill>
            <w14:solidFill>
              <w14:schemeClr w14:val="tx1"/>
            </w14:solidFill>
          </w14:textFill>
        </w:rPr>
      </w:pPr>
      <w:bookmarkStart w:id="415" w:name="_Toc16855"/>
      <w:bookmarkStart w:id="416" w:name="_Toc29190"/>
      <w:bookmarkStart w:id="417" w:name="_Toc3060"/>
      <w:bookmarkStart w:id="418" w:name="_Toc28617"/>
      <w:bookmarkStart w:id="419" w:name="_Toc8124"/>
      <w:bookmarkStart w:id="420" w:name="_Toc493600039"/>
      <w:bookmarkStart w:id="421" w:name="_Toc34163804"/>
      <w:r>
        <w:rPr>
          <w:rFonts w:hint="eastAsia" w:ascii="宋体" w:hAnsi="宋体" w:eastAsia="宋体" w:cs="宋体"/>
          <w:color w:val="000000" w:themeColor="text1"/>
          <w:sz w:val="32"/>
          <w:szCs w:val="32"/>
          <w:highlight w:val="none"/>
          <w14:textFill>
            <w14:solidFill>
              <w14:schemeClr w14:val="tx1"/>
            </w14:solidFill>
          </w14:textFill>
        </w:rPr>
        <w:br w:type="page"/>
      </w:r>
    </w:p>
    <w:p w14:paraId="066DB836">
      <w:pPr>
        <w:pStyle w:val="5"/>
        <w:keepNext/>
        <w:numPr>
          <w:ilvl w:val="0"/>
          <w:numId w:val="0"/>
        </w:numPr>
        <w:tabs>
          <w:tab w:val="left" w:pos="1021"/>
          <w:tab w:val="clear" w:pos="900"/>
          <w:tab w:val="clear" w:pos="1588"/>
        </w:tabs>
        <w:jc w:val="center"/>
        <w:rPr>
          <w:rFonts w:ascii="宋体" w:hAnsi="宋体" w:eastAsia="宋体" w:cs="宋体"/>
          <w:color w:val="000000" w:themeColor="text1"/>
          <w:sz w:val="32"/>
          <w:szCs w:val="32"/>
          <w:highlight w:val="none"/>
          <w14:textFill>
            <w14:solidFill>
              <w14:schemeClr w14:val="tx1"/>
            </w14:solidFill>
          </w14:textFill>
        </w:rPr>
      </w:pPr>
      <w:bookmarkStart w:id="422" w:name="_Toc25031"/>
      <w:bookmarkStart w:id="423" w:name="_Toc27178"/>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eastAsia="宋体" w:cs="宋体"/>
          <w:color w:val="000000" w:themeColor="text1"/>
          <w:sz w:val="32"/>
          <w:szCs w:val="32"/>
          <w:highlight w:val="none"/>
          <w:lang w:val="en-US"/>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八</w:t>
      </w:r>
      <w:r>
        <w:rPr>
          <w:rFonts w:hint="eastAsia" w:ascii="宋体" w:hAnsi="宋体" w:eastAsia="宋体" w:cs="宋体"/>
          <w:color w:val="000000" w:themeColor="text1"/>
          <w:sz w:val="32"/>
          <w:szCs w:val="32"/>
          <w:highlight w:val="none"/>
          <w14:textFill>
            <w14:solidFill>
              <w14:schemeClr w14:val="tx1"/>
            </w14:solidFill>
          </w14:textFill>
        </w:rPr>
        <w:t>）构成投标文件的其他资料</w:t>
      </w:r>
      <w:bookmarkEnd w:id="415"/>
      <w:bookmarkEnd w:id="416"/>
      <w:bookmarkEnd w:id="417"/>
      <w:bookmarkEnd w:id="418"/>
      <w:bookmarkEnd w:id="419"/>
      <w:bookmarkEnd w:id="420"/>
      <w:bookmarkEnd w:id="421"/>
      <w:bookmarkEnd w:id="422"/>
      <w:bookmarkEnd w:id="423"/>
    </w:p>
    <w:p w14:paraId="5C5FBDB4">
      <w:pPr>
        <w:spacing w:line="360" w:lineRule="auto"/>
        <w:jc w:val="center"/>
        <w:rPr>
          <w:rFonts w:ascii="宋体" w:hAnsi="宋体" w:cs="宋体"/>
          <w:color w:val="000000" w:themeColor="text1"/>
          <w:sz w:val="32"/>
          <w:szCs w:val="32"/>
          <w:highlight w:val="none"/>
          <w14:textFill>
            <w14:solidFill>
              <w14:schemeClr w14:val="tx1"/>
            </w14:solidFill>
          </w14:textFill>
        </w:rPr>
      </w:pPr>
    </w:p>
    <w:p w14:paraId="7F62F138">
      <w:pPr>
        <w:pStyle w:val="20"/>
        <w:spacing w:line="360" w:lineRule="auto"/>
        <w:ind w:firstLine="240" w:firstLineChars="100"/>
        <w:jc w:val="left"/>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1、招标文件中所涉及到的相关资料及证明文件或投标人认为必须提供的其他相关资料；</w:t>
      </w:r>
    </w:p>
    <w:p w14:paraId="057AC40B">
      <w:pPr>
        <w:pStyle w:val="20"/>
        <w:spacing w:line="360" w:lineRule="auto"/>
        <w:ind w:firstLine="240" w:firstLineChars="100"/>
        <w:jc w:val="left"/>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2、可提供类似业绩证明材料。</w:t>
      </w:r>
    </w:p>
    <w:p w14:paraId="5D646E7D">
      <w:pPr>
        <w:keepNext/>
        <w:tabs>
          <w:tab w:val="left" w:pos="360"/>
          <w:tab w:val="left" w:pos="1021"/>
        </w:tabs>
        <w:adjustRightInd w:val="0"/>
        <w:ind w:left="425"/>
        <w:jc w:val="center"/>
        <w:textAlignment w:val="baseline"/>
        <w:rPr>
          <w:rFonts w:ascii="宋体" w:hAnsi="宋体" w:cs="宋体"/>
          <w:color w:val="000000" w:themeColor="text1"/>
          <w:highlight w:val="none"/>
          <w14:textFill>
            <w14:solidFill>
              <w14:schemeClr w14:val="tx1"/>
            </w14:solidFill>
          </w14:textFill>
        </w:rPr>
      </w:pPr>
      <w:bookmarkStart w:id="424" w:name="_Toc24298"/>
      <w:r>
        <w:rPr>
          <w:rFonts w:hint="eastAsia" w:ascii="宋体" w:hAnsi="宋体" w:cs="宋体"/>
          <w:color w:val="000000" w:themeColor="text1"/>
          <w:highlight w:val="none"/>
          <w14:textFill>
            <w14:solidFill>
              <w14:schemeClr w14:val="tx1"/>
            </w14:solidFill>
          </w14:textFill>
        </w:rPr>
        <w:t>类似项目情况表</w:t>
      </w:r>
      <w:bookmarkEnd w:id="424"/>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1"/>
        <w:gridCol w:w="2147"/>
        <w:gridCol w:w="1701"/>
        <w:gridCol w:w="2835"/>
        <w:gridCol w:w="1582"/>
      </w:tblGrid>
      <w:tr w14:paraId="536D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281" w:type="dxa"/>
            <w:vAlign w:val="center"/>
          </w:tcPr>
          <w:p w14:paraId="5E45A6DD">
            <w:pPr>
              <w:autoSpaceDE w:val="0"/>
              <w:autoSpaceDN w:val="0"/>
              <w:adjustRightInd w:val="0"/>
              <w:spacing w:line="28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序号</w:t>
            </w:r>
          </w:p>
        </w:tc>
        <w:tc>
          <w:tcPr>
            <w:tcW w:w="2147" w:type="dxa"/>
            <w:vAlign w:val="center"/>
          </w:tcPr>
          <w:p w14:paraId="09367FE2">
            <w:pPr>
              <w:autoSpaceDE w:val="0"/>
              <w:autoSpaceDN w:val="0"/>
              <w:adjustRightInd w:val="0"/>
              <w:spacing w:line="28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项目名称</w:t>
            </w:r>
          </w:p>
        </w:tc>
        <w:tc>
          <w:tcPr>
            <w:tcW w:w="1701" w:type="dxa"/>
            <w:vAlign w:val="center"/>
          </w:tcPr>
          <w:p w14:paraId="42CC9801">
            <w:pPr>
              <w:autoSpaceDE w:val="0"/>
              <w:autoSpaceDN w:val="0"/>
              <w:adjustRightInd w:val="0"/>
              <w:spacing w:line="28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合同金额</w:t>
            </w:r>
          </w:p>
        </w:tc>
        <w:tc>
          <w:tcPr>
            <w:tcW w:w="2835" w:type="dxa"/>
            <w:vAlign w:val="center"/>
          </w:tcPr>
          <w:p w14:paraId="7C87D99B">
            <w:pPr>
              <w:autoSpaceDE w:val="0"/>
              <w:autoSpaceDN w:val="0"/>
              <w:adjustRightInd w:val="0"/>
              <w:spacing w:line="28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签订合同时间</w:t>
            </w:r>
          </w:p>
        </w:tc>
        <w:tc>
          <w:tcPr>
            <w:tcW w:w="1582" w:type="dxa"/>
            <w:vAlign w:val="center"/>
          </w:tcPr>
          <w:p w14:paraId="07674080">
            <w:pPr>
              <w:autoSpaceDE w:val="0"/>
              <w:autoSpaceDN w:val="0"/>
              <w:adjustRightInd w:val="0"/>
              <w:spacing w:line="28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备注</w:t>
            </w:r>
          </w:p>
        </w:tc>
      </w:tr>
      <w:tr w14:paraId="237B8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14:paraId="2F466BA9">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147" w:type="dxa"/>
            <w:vAlign w:val="center"/>
          </w:tcPr>
          <w:p w14:paraId="7061CAD2">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701" w:type="dxa"/>
            <w:vAlign w:val="center"/>
          </w:tcPr>
          <w:p w14:paraId="386AC0DA">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835" w:type="dxa"/>
            <w:vAlign w:val="center"/>
          </w:tcPr>
          <w:p w14:paraId="4EACF3A8">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582" w:type="dxa"/>
            <w:vAlign w:val="center"/>
          </w:tcPr>
          <w:p w14:paraId="636FDE99">
            <w:pPr>
              <w:jc w:val="center"/>
              <w:rPr>
                <w:rFonts w:ascii="宋体" w:hAnsi="宋体" w:cs="宋体"/>
                <w:color w:val="000000" w:themeColor="text1"/>
                <w:sz w:val="18"/>
                <w:szCs w:val="18"/>
                <w:highlight w:val="none"/>
                <w14:textFill>
                  <w14:solidFill>
                    <w14:schemeClr w14:val="tx1"/>
                  </w14:solidFill>
                </w14:textFill>
              </w:rPr>
            </w:pPr>
          </w:p>
        </w:tc>
      </w:tr>
      <w:tr w14:paraId="71539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14:paraId="0E7691B3">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147" w:type="dxa"/>
            <w:vAlign w:val="center"/>
          </w:tcPr>
          <w:p w14:paraId="4D440805">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701" w:type="dxa"/>
            <w:vAlign w:val="center"/>
          </w:tcPr>
          <w:p w14:paraId="3D362F85">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835" w:type="dxa"/>
            <w:vAlign w:val="center"/>
          </w:tcPr>
          <w:p w14:paraId="3F7D5264">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582" w:type="dxa"/>
            <w:vAlign w:val="center"/>
          </w:tcPr>
          <w:p w14:paraId="4E4669C6">
            <w:pPr>
              <w:jc w:val="center"/>
              <w:rPr>
                <w:rFonts w:ascii="宋体" w:hAnsi="宋体" w:cs="宋体"/>
                <w:color w:val="000000" w:themeColor="text1"/>
                <w:highlight w:val="none"/>
                <w14:textFill>
                  <w14:solidFill>
                    <w14:schemeClr w14:val="tx1"/>
                  </w14:solidFill>
                </w14:textFill>
              </w:rPr>
            </w:pPr>
          </w:p>
        </w:tc>
      </w:tr>
      <w:tr w14:paraId="6AD05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14:paraId="38E02451">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147" w:type="dxa"/>
            <w:vAlign w:val="center"/>
          </w:tcPr>
          <w:p w14:paraId="4710A3D2">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701" w:type="dxa"/>
            <w:vAlign w:val="center"/>
          </w:tcPr>
          <w:p w14:paraId="3B820A19">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835" w:type="dxa"/>
            <w:vAlign w:val="center"/>
          </w:tcPr>
          <w:p w14:paraId="14E53938">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582" w:type="dxa"/>
            <w:vAlign w:val="center"/>
          </w:tcPr>
          <w:p w14:paraId="4BC56059">
            <w:pPr>
              <w:jc w:val="center"/>
              <w:rPr>
                <w:rFonts w:ascii="宋体" w:hAnsi="宋体" w:cs="宋体"/>
                <w:color w:val="000000" w:themeColor="text1"/>
                <w:highlight w:val="none"/>
                <w14:textFill>
                  <w14:solidFill>
                    <w14:schemeClr w14:val="tx1"/>
                  </w14:solidFill>
                </w14:textFill>
              </w:rPr>
            </w:pPr>
          </w:p>
        </w:tc>
      </w:tr>
      <w:tr w14:paraId="58FAC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14:paraId="270272B1">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147" w:type="dxa"/>
            <w:vAlign w:val="center"/>
          </w:tcPr>
          <w:p w14:paraId="1C4A72EC">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701" w:type="dxa"/>
            <w:vAlign w:val="center"/>
          </w:tcPr>
          <w:p w14:paraId="51578451">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835" w:type="dxa"/>
            <w:vAlign w:val="center"/>
          </w:tcPr>
          <w:p w14:paraId="7EFAAAFC">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582" w:type="dxa"/>
            <w:vAlign w:val="center"/>
          </w:tcPr>
          <w:p w14:paraId="7267402B">
            <w:pPr>
              <w:jc w:val="center"/>
              <w:rPr>
                <w:rFonts w:ascii="宋体" w:hAnsi="宋体" w:cs="宋体"/>
                <w:color w:val="000000" w:themeColor="text1"/>
                <w:highlight w:val="none"/>
                <w14:textFill>
                  <w14:solidFill>
                    <w14:schemeClr w14:val="tx1"/>
                  </w14:solidFill>
                </w14:textFill>
              </w:rPr>
            </w:pPr>
          </w:p>
        </w:tc>
      </w:tr>
      <w:tr w14:paraId="4FFB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14:paraId="237D5D95">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147" w:type="dxa"/>
            <w:vAlign w:val="center"/>
          </w:tcPr>
          <w:p w14:paraId="10AEE23C">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701" w:type="dxa"/>
            <w:vAlign w:val="center"/>
          </w:tcPr>
          <w:p w14:paraId="09596B22">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835" w:type="dxa"/>
            <w:vAlign w:val="center"/>
          </w:tcPr>
          <w:p w14:paraId="7F1B6CEB">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582" w:type="dxa"/>
            <w:vAlign w:val="center"/>
          </w:tcPr>
          <w:p w14:paraId="2EFE2C61">
            <w:pPr>
              <w:jc w:val="center"/>
              <w:rPr>
                <w:rFonts w:ascii="宋体" w:hAnsi="宋体" w:cs="宋体"/>
                <w:color w:val="000000" w:themeColor="text1"/>
                <w:highlight w:val="none"/>
                <w14:textFill>
                  <w14:solidFill>
                    <w14:schemeClr w14:val="tx1"/>
                  </w14:solidFill>
                </w14:textFill>
              </w:rPr>
            </w:pPr>
          </w:p>
        </w:tc>
      </w:tr>
      <w:tr w14:paraId="32C81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14:paraId="6CC86E03">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w:t>
            </w:r>
          </w:p>
        </w:tc>
        <w:tc>
          <w:tcPr>
            <w:tcW w:w="2147" w:type="dxa"/>
            <w:vAlign w:val="center"/>
          </w:tcPr>
          <w:p w14:paraId="4DAAFCCA">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701" w:type="dxa"/>
            <w:vAlign w:val="center"/>
          </w:tcPr>
          <w:p w14:paraId="7D4AD159">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2835" w:type="dxa"/>
            <w:vAlign w:val="center"/>
          </w:tcPr>
          <w:p w14:paraId="64165A45">
            <w:pPr>
              <w:autoSpaceDE w:val="0"/>
              <w:autoSpaceDN w:val="0"/>
              <w:adjustRightInd w:val="0"/>
              <w:spacing w:line="360" w:lineRule="exact"/>
              <w:jc w:val="center"/>
              <w:rPr>
                <w:rFonts w:ascii="宋体" w:hAnsi="宋体" w:cs="宋体"/>
                <w:color w:val="000000" w:themeColor="text1"/>
                <w:sz w:val="18"/>
                <w:szCs w:val="18"/>
                <w:highlight w:val="none"/>
                <w14:textFill>
                  <w14:solidFill>
                    <w14:schemeClr w14:val="tx1"/>
                  </w14:solidFill>
                </w14:textFill>
              </w:rPr>
            </w:pPr>
          </w:p>
        </w:tc>
        <w:tc>
          <w:tcPr>
            <w:tcW w:w="1582" w:type="dxa"/>
            <w:vAlign w:val="center"/>
          </w:tcPr>
          <w:p w14:paraId="78D00712">
            <w:pPr>
              <w:jc w:val="center"/>
              <w:rPr>
                <w:rFonts w:ascii="宋体" w:hAnsi="宋体" w:cs="宋体"/>
                <w:color w:val="000000" w:themeColor="text1"/>
                <w:highlight w:val="none"/>
                <w14:textFill>
                  <w14:solidFill>
                    <w14:schemeClr w14:val="tx1"/>
                  </w14:solidFill>
                </w14:textFill>
              </w:rPr>
            </w:pPr>
          </w:p>
        </w:tc>
      </w:tr>
    </w:tbl>
    <w:p w14:paraId="2112C9C1">
      <w:pPr>
        <w:pStyle w:val="20"/>
        <w:spacing w:line="6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注：类似项目可提供合同复印件或中标（成交）通知书。</w:t>
      </w:r>
    </w:p>
    <w:p w14:paraId="59804998">
      <w:pPr>
        <w:pStyle w:val="20"/>
        <w:spacing w:line="600" w:lineRule="exact"/>
        <w:rPr>
          <w:rFonts w:hAnsi="宋体" w:cs="宋体"/>
          <w:b/>
          <w:color w:val="000000" w:themeColor="text1"/>
          <w:sz w:val="28"/>
          <w:szCs w:val="28"/>
          <w:highlight w:val="none"/>
          <w14:textFill>
            <w14:solidFill>
              <w14:schemeClr w14:val="tx1"/>
            </w14:solidFill>
          </w14:textFill>
        </w:rPr>
      </w:pPr>
    </w:p>
    <w:p w14:paraId="7121A21D">
      <w:pPr>
        <w:rPr>
          <w:rFonts w:ascii="宋体" w:hAnsi="宋体" w:cs="宋体"/>
          <w:color w:val="000000" w:themeColor="text1"/>
          <w:sz w:val="36"/>
          <w:highlight w:val="none"/>
          <w14:textFill>
            <w14:solidFill>
              <w14:schemeClr w14:val="tx1"/>
            </w14:solidFill>
          </w14:textFill>
        </w:rPr>
      </w:pPr>
      <w:bookmarkStart w:id="425" w:name="_Toc25239"/>
      <w:r>
        <w:rPr>
          <w:rFonts w:hint="eastAsia" w:ascii="宋体" w:hAnsi="宋体" w:cs="宋体"/>
          <w:color w:val="000000" w:themeColor="text1"/>
          <w:sz w:val="36"/>
          <w:highlight w:val="none"/>
          <w14:textFill>
            <w14:solidFill>
              <w14:schemeClr w14:val="tx1"/>
            </w14:solidFill>
          </w14:textFill>
        </w:rPr>
        <w:br w:type="page"/>
      </w:r>
    </w:p>
    <w:p w14:paraId="09055FBE">
      <w:pPr>
        <w:pStyle w:val="2"/>
        <w:ind w:left="0" w:firstLine="0"/>
        <w:jc w:val="center"/>
        <w:rPr>
          <w:rFonts w:ascii="宋体" w:hAnsi="宋体" w:eastAsia="宋体" w:cs="宋体"/>
          <w:color w:val="000000" w:themeColor="text1"/>
          <w:sz w:val="36"/>
          <w:highlight w:val="none"/>
          <w14:textFill>
            <w14:solidFill>
              <w14:schemeClr w14:val="tx1"/>
            </w14:solidFill>
          </w14:textFill>
        </w:rPr>
      </w:pPr>
      <w:bookmarkStart w:id="426" w:name="_Toc223"/>
      <w:bookmarkStart w:id="427" w:name="_Toc12730"/>
      <w:bookmarkStart w:id="428" w:name="_Toc17325"/>
      <w:bookmarkStart w:id="429" w:name="_Toc7529"/>
      <w:bookmarkStart w:id="430" w:name="_Toc13716"/>
      <w:bookmarkStart w:id="431" w:name="_Toc14061"/>
      <w:r>
        <w:rPr>
          <w:rFonts w:hint="eastAsia" w:ascii="宋体" w:hAnsi="宋体" w:eastAsia="宋体" w:cs="宋体"/>
          <w:color w:val="000000" w:themeColor="text1"/>
          <w:sz w:val="36"/>
          <w:highlight w:val="none"/>
          <w14:textFill>
            <w14:solidFill>
              <w14:schemeClr w14:val="tx1"/>
            </w14:solidFill>
          </w14:textFill>
        </w:rPr>
        <w:t>第五章 采购内容及要求</w:t>
      </w:r>
      <w:bookmarkEnd w:id="425"/>
      <w:bookmarkEnd w:id="426"/>
      <w:bookmarkEnd w:id="427"/>
      <w:bookmarkEnd w:id="428"/>
      <w:bookmarkEnd w:id="429"/>
      <w:bookmarkEnd w:id="430"/>
      <w:bookmarkEnd w:id="431"/>
    </w:p>
    <w:p w14:paraId="7B239F29">
      <w:pPr>
        <w:outlineLvl w:val="1"/>
        <w:rPr>
          <w:rFonts w:ascii="宋体" w:hAnsi="宋体" w:cs="宋体"/>
          <w:b/>
          <w:color w:val="000000" w:themeColor="text1"/>
          <w:sz w:val="24"/>
          <w:highlight w:val="none"/>
          <w14:textFill>
            <w14:solidFill>
              <w14:schemeClr w14:val="tx1"/>
            </w14:solidFill>
          </w14:textFill>
        </w:rPr>
      </w:pPr>
      <w:bookmarkStart w:id="432" w:name="_Toc31716"/>
      <w:bookmarkStart w:id="433" w:name="_Toc9968"/>
      <w:bookmarkStart w:id="434" w:name="_Toc9881"/>
      <w:r>
        <w:rPr>
          <w:rFonts w:hint="eastAsia" w:ascii="宋体" w:hAnsi="宋体" w:cs="宋体"/>
          <w:b/>
          <w:color w:val="000000" w:themeColor="text1"/>
          <w:sz w:val="24"/>
          <w:highlight w:val="none"/>
          <w14:textFill>
            <w14:solidFill>
              <w14:schemeClr w14:val="tx1"/>
            </w14:solidFill>
          </w14:textFill>
        </w:rPr>
        <w:t>一、采购需求</w:t>
      </w:r>
      <w:bookmarkEnd w:id="432"/>
      <w:bookmarkEnd w:id="433"/>
      <w:bookmarkEnd w:id="434"/>
    </w:p>
    <w:p w14:paraId="34E8743F">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35" w:name="_Toc3916"/>
      <w:bookmarkStart w:id="436" w:name="_Toc15843"/>
      <w:bookmarkStart w:id="437" w:name="_Toc28652"/>
      <w:r>
        <w:rPr>
          <w:rFonts w:hint="eastAsia" w:ascii="宋体" w:hAnsi="宋体" w:cs="宋体"/>
          <w:b/>
          <w:bCs/>
          <w:color w:val="000000" w:themeColor="text1"/>
          <w:sz w:val="24"/>
          <w:highlight w:val="none"/>
          <w14:textFill>
            <w14:solidFill>
              <w14:schemeClr w14:val="tx1"/>
            </w14:solidFill>
          </w14:textFill>
        </w:rPr>
        <w:t>（一）病床</w:t>
      </w:r>
      <w:bookmarkEnd w:id="435"/>
      <w:bookmarkEnd w:id="436"/>
      <w:bookmarkEnd w:id="437"/>
    </w:p>
    <w:p w14:paraId="3BECE49E">
      <w:pPr>
        <w:widowControl/>
        <w:spacing w:line="360" w:lineRule="auto"/>
        <w:ind w:firstLine="482"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配置：ABS床头、床垫、铝合金折叠护栏、碳钢分离杂物架、引流钩。</w:t>
      </w:r>
    </w:p>
    <w:p w14:paraId="271B9100">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（1）规格：2160×950(包括护栏)×500(不包括床头高度)±10mm。</w:t>
      </w:r>
    </w:p>
    <w:p w14:paraId="453697F4">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（2）升降功能。</w:t>
      </w:r>
    </w:p>
    <w:p w14:paraId="291AACE4">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①背部升降：升降角度0～75º，±2º。</w:t>
      </w:r>
    </w:p>
    <w:p w14:paraId="19F63242">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（3）床面板</w:t>
      </w:r>
    </w:p>
    <w:p w14:paraId="719DFF45">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▲①床面板</w:t>
      </w:r>
      <w:r>
        <w:rPr>
          <w:rFonts w:hint="eastAsia" w:ascii="宋体" w:hAnsi="宋体"/>
          <w:bCs/>
          <w:color w:val="000000" w:themeColor="text1"/>
          <w:sz w:val="24"/>
          <w:highlight w:val="none"/>
          <w14:textFill>
            <w14:solidFill>
              <w14:schemeClr w14:val="tx1"/>
            </w14:solidFill>
          </w14:textFill>
        </w:rPr>
        <w:t>采用优质冷轧板材一次性冲压拉伸成型，断面采用滚圆工艺，表面光滑无毛刺。整体床面形成凹型面板结构，有透气孔；床板四周焊接≥15×25×1.0MM矩管加强筋，增加承载力</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病床靠背采用双支撑转轴结构，将病员的重量均匀地分部在床梁上，转轴与床板接触处用滑轮，无嗓音</w:t>
      </w:r>
      <w:r>
        <w:rPr>
          <w:rFonts w:hint="eastAsia" w:ascii="宋体" w:hAnsi="宋体" w:cs="宋体"/>
          <w:color w:val="000000" w:themeColor="text1"/>
          <w:sz w:val="24"/>
          <w:highlight w:val="none"/>
          <w14:textFill>
            <w14:solidFill>
              <w14:schemeClr w14:val="tx1"/>
            </w14:solidFill>
          </w14:textFill>
        </w:rPr>
        <w:t>。</w:t>
      </w:r>
    </w:p>
    <w:p w14:paraId="1B519AAB">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②床板链接采用钢质铰链，单片厚度4mm。耐磨，运作无噪音，防折断。</w:t>
      </w:r>
    </w:p>
    <w:p w14:paraId="46A6FD47">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（4）床身主要部件</w:t>
      </w:r>
    </w:p>
    <w:p w14:paraId="0D38365B">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①床框采用30mm×60mm×1.2mm优质碳钢矩管。</w:t>
      </w:r>
    </w:p>
    <w:p w14:paraId="2F29D9E6">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②床尾板下方设计有隐藏式餐板槽，餐板在不用时可置于此处。</w:t>
      </w:r>
    </w:p>
    <w:p w14:paraId="4BE1E584">
      <w:pPr>
        <w:widowControl/>
        <w:spacing w:line="360" w:lineRule="auto"/>
        <w:ind w:firstLine="480" w:firstLineChars="200"/>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③床框四角带输液架插座，方便操作使用。</w:t>
      </w:r>
    </w:p>
    <w:p w14:paraId="43203AB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（5）护栏</w:t>
      </w:r>
    </w:p>
    <w:p w14:paraId="0935F64A">
      <w:pPr>
        <w:spacing w:line="360" w:lineRule="auto"/>
        <w:ind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▲①铝合金折叠护栏</w:t>
      </w:r>
      <w:r>
        <w:rPr>
          <w:rFonts w:hint="eastAsia" w:ascii="宋体" w:hAnsi="宋体"/>
          <w:bCs/>
          <w:color w:val="000000" w:themeColor="text1"/>
          <w:sz w:val="24"/>
          <w:highlight w:val="none"/>
          <w14:textFill>
            <w14:solidFill>
              <w14:schemeClr w14:val="tx1"/>
            </w14:solidFill>
          </w14:textFill>
        </w:rPr>
        <w:t>主管采用直径≥30mm D型铝合金管，五支立管采用直径≥19mm铝合金型材管。</w:t>
      </w:r>
    </w:p>
    <w:p w14:paraId="26EDC77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w:t>
      </w:r>
      <w:r>
        <w:rPr>
          <w:rFonts w:hint="eastAsia" w:ascii="宋体" w:hAnsi="宋体"/>
          <w:bCs/>
          <w:color w:val="000000" w:themeColor="text1"/>
          <w:sz w:val="24"/>
          <w:highlight w:val="none"/>
          <w14:textFill>
            <w14:solidFill>
              <w14:schemeClr w14:val="tx1"/>
            </w14:solidFill>
          </w14:textFill>
        </w:rPr>
        <w:t>高强度铸铝锁紧结构。</w:t>
      </w:r>
    </w:p>
    <w:p w14:paraId="4597DD7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w:t>
      </w:r>
      <w:r>
        <w:rPr>
          <w:rFonts w:hint="eastAsia" w:ascii="宋体" w:hAnsi="宋体"/>
          <w:bCs/>
          <w:color w:val="000000" w:themeColor="text1"/>
          <w:sz w:val="24"/>
          <w:highlight w:val="none"/>
          <w14:textFill>
            <w14:solidFill>
              <w14:schemeClr w14:val="tx1"/>
            </w14:solidFill>
          </w14:textFill>
        </w:rPr>
        <w:t>护栏活动关节连接均采用钢件连接，外罩塑料件装饰。</w:t>
      </w:r>
    </w:p>
    <w:p w14:paraId="5FA1DDE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④</w:t>
      </w:r>
      <w:r>
        <w:rPr>
          <w:rFonts w:hint="eastAsia" w:ascii="宋体" w:hAnsi="宋体"/>
          <w:bCs/>
          <w:color w:val="000000" w:themeColor="text1"/>
          <w:sz w:val="24"/>
          <w:highlight w:val="none"/>
          <w14:textFill>
            <w14:solidFill>
              <w14:schemeClr w14:val="tx1"/>
            </w14:solidFill>
          </w14:textFill>
        </w:rPr>
        <w:t>高强度铸铝枪把手内置隐藏式锁紧机构，安全可靠，加厚D形铝合金护手，表面硬化处理。</w:t>
      </w:r>
    </w:p>
    <w:p w14:paraId="65B1FF9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⑤</w:t>
      </w:r>
      <w:r>
        <w:rPr>
          <w:rFonts w:hint="eastAsia" w:ascii="宋体" w:hAnsi="宋体"/>
          <w:bCs/>
          <w:color w:val="000000" w:themeColor="text1"/>
          <w:sz w:val="24"/>
          <w:highlight w:val="none"/>
          <w14:textFill>
            <w14:solidFill>
              <w14:schemeClr w14:val="tx1"/>
            </w14:solidFill>
          </w14:textFill>
        </w:rPr>
        <w:t>护栏升起后护栏上缘距离床面有效护栏高度≥30CM,有效防治老年患者发生坠床风险</w:t>
      </w:r>
      <w:r>
        <w:rPr>
          <w:rFonts w:hint="eastAsia" w:ascii="宋体" w:hAnsi="宋体" w:cs="宋体"/>
          <w:color w:val="000000" w:themeColor="text1"/>
          <w:sz w:val="24"/>
          <w:highlight w:val="none"/>
          <w14:textFill>
            <w14:solidFill>
              <w14:schemeClr w14:val="tx1"/>
            </w14:solidFill>
          </w14:textFill>
        </w:rPr>
        <w:t>。</w:t>
      </w:r>
    </w:p>
    <w:p w14:paraId="5AC7077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（6）床头床尾板</w:t>
      </w:r>
    </w:p>
    <w:p w14:paraId="77765D2F">
      <w:pPr>
        <w:spacing w:line="360" w:lineRule="auto"/>
        <w:ind w:firstLine="480" w:firstLineChars="200"/>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▲①高强度工程塑料吹塑成型，表面光洁</w:t>
      </w:r>
      <w:r>
        <w:rPr>
          <w:rFonts w:hint="eastAsia"/>
          <w:color w:val="000000" w:themeColor="text1"/>
          <w:sz w:val="24"/>
          <w:highlight w:val="none"/>
          <w14:textFill>
            <w14:solidFill>
              <w14:schemeClr w14:val="tx1"/>
            </w14:solidFill>
          </w14:textFill>
        </w:rPr>
        <w:t>。</w:t>
      </w:r>
    </w:p>
    <w:p w14:paraId="09E2966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②采用挂式结构，非中空设计，拆卸方便，</w:t>
      </w:r>
      <w:r>
        <w:rPr>
          <w:rFonts w:hint="eastAsia" w:ascii="宋体" w:hAnsi="宋体"/>
          <w:bCs/>
          <w:color w:val="000000" w:themeColor="text1"/>
          <w:sz w:val="24"/>
          <w:highlight w:val="none"/>
          <w14:textFill>
            <w14:solidFill>
              <w14:schemeClr w14:val="tx1"/>
            </w14:solidFill>
          </w14:textFill>
        </w:rPr>
        <w:t>床头推手位受力强度≥450N。</w:t>
      </w:r>
    </w:p>
    <w:p w14:paraId="60313F7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w:t>
      </w:r>
      <w:r>
        <w:rPr>
          <w:rFonts w:hint="eastAsia" w:ascii="宋体" w:hAnsi="宋体"/>
          <w:color w:val="000000" w:themeColor="text1"/>
          <w:sz w:val="24"/>
          <w:highlight w:val="none"/>
          <w14:textFill>
            <w14:solidFill>
              <w14:schemeClr w14:val="tx1"/>
            </w14:solidFill>
          </w14:textFill>
        </w:rPr>
        <w:t>床尾板带一次成型ABS病历卡座。</w:t>
      </w:r>
    </w:p>
    <w:p w14:paraId="722A621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（7）床架加工</w:t>
      </w:r>
    </w:p>
    <w:p w14:paraId="041C310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体床架采用优质冷轧型材，经机器人自动焊接成型，确保整个床体结实、牢固，运行平稳。然后采用自动化喷涂设备进行喷涂，涂层均匀，具有抗菌，抗酸碱、耐腐蚀、耐褪色等特性。床面板通过连续90小时以上盐雾测试试验后面板无裂纹、无锈蚀、光滑无变化。</w:t>
      </w:r>
      <w:r>
        <w:rPr>
          <w:rFonts w:hint="eastAsia" w:hAnsi="宋体" w:cs="宋体"/>
          <w:color w:val="000000" w:themeColor="text1"/>
          <w:sz w:val="24"/>
          <w:highlight w:val="none"/>
          <w14:textFill>
            <w14:solidFill>
              <w14:schemeClr w14:val="tx1"/>
            </w14:solidFill>
          </w14:textFill>
        </w:rPr>
        <w:t>喷塑前床体采用表面除锈处理工艺，工件不进行酸洗浸泡处理，产品在长期使用过程中不会因为返酸而导致生锈</w:t>
      </w:r>
      <w:r>
        <w:rPr>
          <w:rFonts w:hint="eastAsia" w:ascii="宋体" w:hAnsi="宋体" w:cs="宋体"/>
          <w:color w:val="000000" w:themeColor="text1"/>
          <w:sz w:val="24"/>
          <w:highlight w:val="none"/>
          <w14:textFill>
            <w14:solidFill>
              <w14:schemeClr w14:val="tx1"/>
            </w14:solidFill>
          </w14:textFill>
        </w:rPr>
        <w:t>。</w:t>
      </w:r>
    </w:p>
    <w:p w14:paraId="7843C53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传动装置</w:t>
      </w:r>
    </w:p>
    <w:p w14:paraId="333C278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▲摇把采用ABS工程塑料注塑成型，具备防撞结构设计，可0°～180°三档折叠。摇把和丝杆之间采用“万向接”连接技术，“万向接”为钢件。手摇床丝杆有双向过盈保护装置，丝杆采用机器一次性冷挤压成型。</w:t>
      </w:r>
    </w:p>
    <w:p w14:paraId="3AF4309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（8）杂物架：采用ABS加不锈钢管 铆接成型，固定采用挂式连接。</w:t>
      </w:r>
    </w:p>
    <w:p w14:paraId="5F44F29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（9）引流钩：病床两侧均配置引流钩，便于护理操作。</w:t>
      </w:r>
    </w:p>
    <w:p w14:paraId="03F848D1">
      <w:pPr>
        <w:spacing w:line="360" w:lineRule="auto"/>
        <w:ind w:firstLine="241" w:firstLineChars="100"/>
        <w:rPr>
          <w:rFonts w:ascii="方正仿宋_GBK" w:hAnsi="宋体" w:eastAsia="方正仿宋_GBK"/>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（10）床面动态载荷≥250KG，有效载荷≥400KG。</w:t>
      </w:r>
    </w:p>
    <w:p w14:paraId="448F4CF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床垫规格：1950*820*60mm。</w:t>
      </w:r>
    </w:p>
    <w:p w14:paraId="4005E19C">
      <w:pPr>
        <w:spacing w:line="360" w:lineRule="auto"/>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1.使用优质泡沫做内垫，厚度达30mm。</w:t>
      </w:r>
    </w:p>
    <w:p w14:paraId="00C43C47">
      <w:pPr>
        <w:spacing w:line="360" w:lineRule="auto"/>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2.底层垫为优质椰棕垫，厚度达30mm。</w:t>
      </w:r>
    </w:p>
    <w:p w14:paraId="6957D982">
      <w:pPr>
        <w:spacing w:line="360" w:lineRule="auto"/>
        <w:ind w:firstLine="720" w:firstLine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3.外罩为防水布。</w:t>
      </w:r>
    </w:p>
    <w:p w14:paraId="75B865F8">
      <w:pPr>
        <w:spacing w:line="360" w:lineRule="auto"/>
        <w:ind w:firstLine="720" w:firstLine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4.床垫前后配置拉链，可方便拆装；侧面配置透气孔，延长产品的使用寿命。</w:t>
      </w:r>
    </w:p>
    <w:p w14:paraId="429B1F4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ABS床头柜</w:t>
      </w:r>
    </w:p>
    <w:p w14:paraId="251743B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1.规格：480×470×750mm。</w:t>
      </w:r>
    </w:p>
    <w:p w14:paraId="53FFFF0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2.采用ABS高级工程塑料注塑成型。</w:t>
      </w:r>
    </w:p>
    <w:p w14:paraId="604EA8B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★3.配餐板可拉出、抽屉、单拉门，柜内带隔板，可放置水瓶。</w:t>
      </w:r>
    </w:p>
    <w:p w14:paraId="776E1E59">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4.两侧配不锈钢伸缩式毛巾架，实用方便。</w:t>
      </w:r>
      <w:r>
        <w:rPr>
          <w:rFonts w:hint="eastAsia" w:ascii="宋体" w:hAnsi="宋体" w:cs="宋体"/>
          <w:b/>
          <w:bCs/>
          <w:color w:val="000000" w:themeColor="text1"/>
          <w:sz w:val="24"/>
          <w:highlight w:val="none"/>
          <w14:textFill>
            <w14:solidFill>
              <w14:schemeClr w14:val="tx1"/>
            </w14:solidFill>
          </w14:textFill>
        </w:rPr>
        <w:br w:type="page"/>
      </w:r>
    </w:p>
    <w:p w14:paraId="18038877">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38" w:name="_Toc18056"/>
      <w:bookmarkStart w:id="439" w:name="_Toc27782"/>
      <w:bookmarkStart w:id="440" w:name="_Toc23005"/>
      <w:r>
        <w:rPr>
          <w:rFonts w:hint="eastAsia" w:ascii="宋体" w:hAnsi="宋体" w:cs="宋体"/>
          <w:b/>
          <w:bCs/>
          <w:color w:val="000000" w:themeColor="text1"/>
          <w:sz w:val="24"/>
          <w:highlight w:val="none"/>
          <w14:textFill>
            <w14:solidFill>
              <w14:schemeClr w14:val="tx1"/>
            </w14:solidFill>
          </w14:textFill>
        </w:rPr>
        <w:t>（二）妇科检查床</w:t>
      </w:r>
      <w:bookmarkEnd w:id="438"/>
      <w:bookmarkEnd w:id="439"/>
      <w:bookmarkEnd w:id="440"/>
    </w:p>
    <w:p w14:paraId="36C7ABBA">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▲1.轻体结构设计：采用轻体支架结构，护工一人即可轻便操作和转运。高性能材料压塑成型床面，多种温馨颜色可选。</w:t>
      </w:r>
    </w:p>
    <w:p w14:paraId="05516489">
      <w:pPr>
        <w:spacing w:line="360" w:lineRule="auto"/>
        <w:ind w:firstLine="480" w:firstLineChars="200"/>
        <w:rPr>
          <w:rFonts w:hint="eastAsia"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.多功能设计，可用于妇科检查、手术、急救、复苏、休息、转运。</w:t>
      </w:r>
    </w:p>
    <w:p w14:paraId="6B20E922">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.悬臂结构，前口开放式底座，开口深度不小于80CM，利于配合其他设备使用。</w:t>
      </w:r>
    </w:p>
    <w:p w14:paraId="1B19992F">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4</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.电动升降系统，医用电机使用220V/50Hz.工作电压24V（直流）。脚控开关</w:t>
      </w:r>
      <w:r>
        <w:rPr>
          <w:rFonts w:hint="eastAsia" w:asciiTheme="majorEastAsia" w:hAnsiTheme="majorEastAsia" w:eastAsiaTheme="majorEastAsia" w:cstheme="majorEastAsia"/>
          <w:color w:val="000000" w:themeColor="text1"/>
          <w:sz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防水等级</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IPX4。</w:t>
      </w:r>
    </w:p>
    <w:p w14:paraId="49DF0E01">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5</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.长度：120-140cm（臀板+背板）</w:t>
      </w:r>
    </w:p>
    <w:p w14:paraId="11F41040">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6</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.宽度：55-75cm。</w:t>
      </w:r>
    </w:p>
    <w:p w14:paraId="521AD1B2">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7</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.最大高度90-110cm。最低高度≤45cm。</w:t>
      </w:r>
    </w:p>
    <w:p w14:paraId="4D8F0ADA">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8</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.靠背调节角度：≥60°～平床，负角度适应大出血阻流，平床适合休息和转运。</w:t>
      </w:r>
    </w:p>
    <w:p w14:paraId="4E7D8081">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9</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.坐板调节角度：≥20°，负角度适应冲洗引流，正角度适应检查、手术、灌洗等。</w:t>
      </w:r>
    </w:p>
    <w:p w14:paraId="66E93997">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10</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.脚托自由调节和锁定，水平方向可调360°，并可上下调节15cm，可适应各种体位。</w:t>
      </w:r>
    </w:p>
    <w:p w14:paraId="49F27D6C">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11</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.可拆卸护栏扶手，扶手可倒置隐藏，方便上下床。方便可移动床体，大直径125mm脚轮，可轻松过越障碍</w:t>
      </w:r>
    </w:p>
    <w:p w14:paraId="578C9CCC">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★1</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.承重</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170kg。</w:t>
      </w:r>
    </w:p>
    <w:p w14:paraId="03749A69">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★1</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.可拆卸污物盆，紧贴臀板底部安装，防止污水溅射。</w:t>
      </w:r>
    </w:p>
    <w:tbl>
      <w:tblPr>
        <w:tblStyle w:val="37"/>
        <w:tblW w:w="8330" w:type="dxa"/>
        <w:jc w:val="center"/>
        <w:tblLayout w:type="autofit"/>
        <w:tblCellMar>
          <w:top w:w="0" w:type="dxa"/>
          <w:left w:w="108" w:type="dxa"/>
          <w:bottom w:w="0" w:type="dxa"/>
          <w:right w:w="108" w:type="dxa"/>
        </w:tblCellMar>
      </w:tblPr>
      <w:tblGrid>
        <w:gridCol w:w="557"/>
        <w:gridCol w:w="7216"/>
        <w:gridCol w:w="557"/>
      </w:tblGrid>
      <w:tr w14:paraId="408A2E48">
        <w:tblPrEx>
          <w:tblCellMar>
            <w:top w:w="0" w:type="dxa"/>
            <w:left w:w="108" w:type="dxa"/>
            <w:bottom w:w="0" w:type="dxa"/>
            <w:right w:w="108" w:type="dxa"/>
          </w:tblCellMar>
        </w:tblPrEx>
        <w:trPr>
          <w:trHeight w:val="885" w:hRule="atLeast"/>
          <w:jc w:val="center"/>
        </w:trPr>
        <w:tc>
          <w:tcPr>
            <w:tcW w:w="8330" w:type="dxa"/>
            <w:gridSpan w:val="3"/>
            <w:tcBorders>
              <w:top w:val="nil"/>
              <w:left w:val="nil"/>
              <w:bottom w:val="nil"/>
              <w:right w:val="nil"/>
            </w:tcBorders>
            <w:noWrap/>
            <w:vAlign w:val="bottom"/>
          </w:tcPr>
          <w:p w14:paraId="74DF05A6">
            <w:pPr>
              <w:widowControl/>
              <w:jc w:val="left"/>
              <w:rPr>
                <w:b/>
                <w:bCs/>
                <w:color w:val="000000" w:themeColor="text1"/>
                <w:kern w:val="0"/>
                <w:sz w:val="24"/>
                <w:highlight w:val="none"/>
                <w14:textFill>
                  <w14:solidFill>
                    <w14:schemeClr w14:val="tx1"/>
                  </w14:solidFill>
                </w14:textFill>
              </w:rPr>
            </w:pPr>
            <w:r>
              <w:rPr>
                <w:b/>
                <w:bCs/>
                <w:color w:val="000000" w:themeColor="text1"/>
                <w:kern w:val="0"/>
                <w:sz w:val="24"/>
                <w:highlight w:val="none"/>
                <w14:textFill>
                  <w14:solidFill>
                    <w14:schemeClr w14:val="tx1"/>
                  </w14:solidFill>
                </w14:textFill>
              </w:rPr>
              <w:t xml:space="preserve">                </w:t>
            </w:r>
            <w:r>
              <w:rPr>
                <w:rFonts w:hint="eastAsia" w:ascii="宋体" w:hAnsi="宋体"/>
                <w:b/>
                <w:bCs/>
                <w:color w:val="000000" w:themeColor="text1"/>
                <w:kern w:val="0"/>
                <w:sz w:val="24"/>
                <w:highlight w:val="none"/>
                <w14:textFill>
                  <w14:solidFill>
                    <w14:schemeClr w14:val="tx1"/>
                  </w14:solidFill>
                </w14:textFill>
              </w:rPr>
              <w:t>医用综合床标准配置单</w:t>
            </w:r>
          </w:p>
        </w:tc>
      </w:tr>
      <w:tr w14:paraId="659A5258">
        <w:tblPrEx>
          <w:tblCellMar>
            <w:top w:w="0" w:type="dxa"/>
            <w:left w:w="108" w:type="dxa"/>
            <w:bottom w:w="0" w:type="dxa"/>
            <w:right w:w="108" w:type="dxa"/>
          </w:tblCellMar>
        </w:tblPrEx>
        <w:trPr>
          <w:trHeight w:val="498" w:hRule="atLeast"/>
          <w:jc w:val="center"/>
        </w:trPr>
        <w:tc>
          <w:tcPr>
            <w:tcW w:w="557" w:type="dxa"/>
            <w:tcBorders>
              <w:top w:val="single" w:color="auto" w:sz="4" w:space="0"/>
              <w:left w:val="single" w:color="auto" w:sz="4" w:space="0"/>
              <w:bottom w:val="single" w:color="auto" w:sz="4" w:space="0"/>
              <w:right w:val="single" w:color="auto" w:sz="4" w:space="0"/>
            </w:tcBorders>
            <w:noWrap/>
            <w:vAlign w:val="bottom"/>
          </w:tcPr>
          <w:p w14:paraId="1B0A1870">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序号</w:t>
            </w:r>
          </w:p>
        </w:tc>
        <w:tc>
          <w:tcPr>
            <w:tcW w:w="7216" w:type="dxa"/>
            <w:tcBorders>
              <w:top w:val="single" w:color="auto" w:sz="4" w:space="0"/>
              <w:left w:val="nil"/>
              <w:bottom w:val="single" w:color="auto" w:sz="4" w:space="0"/>
              <w:right w:val="single" w:color="auto" w:sz="4" w:space="0"/>
            </w:tcBorders>
            <w:noWrap/>
            <w:vAlign w:val="bottom"/>
          </w:tcPr>
          <w:p w14:paraId="5AFED44B">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零件名称</w:t>
            </w:r>
          </w:p>
        </w:tc>
        <w:tc>
          <w:tcPr>
            <w:tcW w:w="557" w:type="dxa"/>
            <w:tcBorders>
              <w:top w:val="single" w:color="auto" w:sz="4" w:space="0"/>
              <w:left w:val="nil"/>
              <w:bottom w:val="single" w:color="auto" w:sz="4" w:space="0"/>
              <w:right w:val="single" w:color="auto" w:sz="4" w:space="0"/>
            </w:tcBorders>
            <w:noWrap/>
            <w:vAlign w:val="bottom"/>
          </w:tcPr>
          <w:p w14:paraId="74AB8C74">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数量</w:t>
            </w:r>
          </w:p>
        </w:tc>
      </w:tr>
      <w:tr w14:paraId="56F163F7">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266493E6">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7216" w:type="dxa"/>
            <w:tcBorders>
              <w:top w:val="nil"/>
              <w:left w:val="nil"/>
              <w:bottom w:val="single" w:color="auto" w:sz="4" w:space="0"/>
              <w:right w:val="single" w:color="auto" w:sz="4" w:space="0"/>
            </w:tcBorders>
            <w:noWrap/>
            <w:vAlign w:val="bottom"/>
          </w:tcPr>
          <w:p w14:paraId="2F52FFE5">
            <w:pPr>
              <w:widowControl/>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电机</w:t>
            </w:r>
          </w:p>
        </w:tc>
        <w:tc>
          <w:tcPr>
            <w:tcW w:w="557" w:type="dxa"/>
            <w:tcBorders>
              <w:top w:val="nil"/>
              <w:left w:val="nil"/>
              <w:bottom w:val="single" w:color="auto" w:sz="4" w:space="0"/>
              <w:right w:val="single" w:color="auto" w:sz="4" w:space="0"/>
            </w:tcBorders>
            <w:noWrap/>
            <w:vAlign w:val="bottom"/>
          </w:tcPr>
          <w:p w14:paraId="0FCCFAF9">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r>
      <w:tr w14:paraId="736D92E0">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25589920">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7216" w:type="dxa"/>
            <w:tcBorders>
              <w:top w:val="nil"/>
              <w:left w:val="nil"/>
              <w:bottom w:val="single" w:color="auto" w:sz="4" w:space="0"/>
              <w:right w:val="single" w:color="auto" w:sz="4" w:space="0"/>
            </w:tcBorders>
            <w:noWrap/>
            <w:vAlign w:val="bottom"/>
          </w:tcPr>
          <w:p w14:paraId="7943B0B7">
            <w:pPr>
              <w:widowControl/>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控制器</w:t>
            </w:r>
          </w:p>
        </w:tc>
        <w:tc>
          <w:tcPr>
            <w:tcW w:w="557" w:type="dxa"/>
            <w:tcBorders>
              <w:top w:val="nil"/>
              <w:left w:val="nil"/>
              <w:bottom w:val="single" w:color="auto" w:sz="4" w:space="0"/>
              <w:right w:val="single" w:color="auto" w:sz="4" w:space="0"/>
            </w:tcBorders>
            <w:noWrap/>
            <w:vAlign w:val="bottom"/>
          </w:tcPr>
          <w:p w14:paraId="68E5EF1F">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r>
      <w:tr w14:paraId="551E28FC">
        <w:tblPrEx>
          <w:tblCellMar>
            <w:top w:w="0" w:type="dxa"/>
            <w:left w:w="108" w:type="dxa"/>
            <w:bottom w:w="0" w:type="dxa"/>
            <w:right w:w="108" w:type="dxa"/>
          </w:tblCellMar>
        </w:tblPrEx>
        <w:trPr>
          <w:trHeight w:val="498" w:hRule="atLeast"/>
          <w:jc w:val="center"/>
        </w:trPr>
        <w:tc>
          <w:tcPr>
            <w:tcW w:w="557" w:type="dxa"/>
            <w:tcBorders>
              <w:top w:val="single" w:color="auto" w:sz="4" w:space="0"/>
              <w:left w:val="single" w:color="auto" w:sz="4" w:space="0"/>
              <w:bottom w:val="single" w:color="auto" w:sz="4" w:space="0"/>
              <w:right w:val="single" w:color="auto" w:sz="4" w:space="0"/>
            </w:tcBorders>
            <w:noWrap/>
            <w:vAlign w:val="bottom"/>
          </w:tcPr>
          <w:p w14:paraId="1FB3D8D5">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7216" w:type="dxa"/>
            <w:tcBorders>
              <w:top w:val="single" w:color="auto" w:sz="4" w:space="0"/>
              <w:left w:val="nil"/>
              <w:bottom w:val="single" w:color="auto" w:sz="4" w:space="0"/>
              <w:right w:val="single" w:color="auto" w:sz="4" w:space="0"/>
            </w:tcBorders>
            <w:noWrap/>
            <w:vAlign w:val="bottom"/>
          </w:tcPr>
          <w:p w14:paraId="584BFE47">
            <w:pPr>
              <w:widowControl/>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脚踏控制板</w:t>
            </w:r>
          </w:p>
        </w:tc>
        <w:tc>
          <w:tcPr>
            <w:tcW w:w="557" w:type="dxa"/>
            <w:tcBorders>
              <w:top w:val="single" w:color="auto" w:sz="4" w:space="0"/>
              <w:left w:val="nil"/>
              <w:bottom w:val="single" w:color="auto" w:sz="4" w:space="0"/>
              <w:right w:val="single" w:color="auto" w:sz="4" w:space="0"/>
            </w:tcBorders>
            <w:noWrap/>
            <w:vAlign w:val="bottom"/>
          </w:tcPr>
          <w:p w14:paraId="25497591">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r>
      <w:tr w14:paraId="1EF88396">
        <w:tblPrEx>
          <w:tblCellMar>
            <w:top w:w="0" w:type="dxa"/>
            <w:left w:w="108" w:type="dxa"/>
            <w:bottom w:w="0" w:type="dxa"/>
            <w:right w:w="108" w:type="dxa"/>
          </w:tblCellMar>
        </w:tblPrEx>
        <w:trPr>
          <w:trHeight w:val="498" w:hRule="atLeast"/>
          <w:jc w:val="center"/>
        </w:trPr>
        <w:tc>
          <w:tcPr>
            <w:tcW w:w="557" w:type="dxa"/>
            <w:tcBorders>
              <w:top w:val="single" w:color="auto" w:sz="4" w:space="0"/>
              <w:left w:val="single" w:color="auto" w:sz="4" w:space="0"/>
              <w:bottom w:val="single" w:color="auto" w:sz="4" w:space="0"/>
              <w:right w:val="single" w:color="auto" w:sz="4" w:space="0"/>
            </w:tcBorders>
            <w:noWrap/>
            <w:vAlign w:val="bottom"/>
          </w:tcPr>
          <w:p w14:paraId="7D508027">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p>
        </w:tc>
        <w:tc>
          <w:tcPr>
            <w:tcW w:w="7216" w:type="dxa"/>
            <w:tcBorders>
              <w:top w:val="single" w:color="auto" w:sz="4" w:space="0"/>
              <w:left w:val="nil"/>
              <w:bottom w:val="single" w:color="auto" w:sz="4" w:space="0"/>
              <w:right w:val="single" w:color="auto" w:sz="4" w:space="0"/>
            </w:tcBorders>
            <w:noWrap/>
            <w:vAlign w:val="bottom"/>
          </w:tcPr>
          <w:p w14:paraId="243F7451">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承重气弹簧</w:t>
            </w:r>
          </w:p>
        </w:tc>
        <w:tc>
          <w:tcPr>
            <w:tcW w:w="557" w:type="dxa"/>
            <w:tcBorders>
              <w:top w:val="single" w:color="auto" w:sz="4" w:space="0"/>
              <w:left w:val="nil"/>
              <w:bottom w:val="single" w:color="auto" w:sz="4" w:space="0"/>
              <w:right w:val="single" w:color="auto" w:sz="4" w:space="0"/>
            </w:tcBorders>
            <w:noWrap/>
            <w:vAlign w:val="bottom"/>
          </w:tcPr>
          <w:p w14:paraId="484B5976">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r>
      <w:tr w14:paraId="7BC05331">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5EFE5654">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p>
        </w:tc>
        <w:tc>
          <w:tcPr>
            <w:tcW w:w="7216" w:type="dxa"/>
            <w:tcBorders>
              <w:top w:val="nil"/>
              <w:left w:val="nil"/>
              <w:bottom w:val="single" w:color="auto" w:sz="4" w:space="0"/>
              <w:right w:val="single" w:color="auto" w:sz="4" w:space="0"/>
            </w:tcBorders>
            <w:noWrap/>
            <w:vAlign w:val="bottom"/>
          </w:tcPr>
          <w:p w14:paraId="7FE2D12A">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脚托锁紧扳把</w:t>
            </w:r>
          </w:p>
        </w:tc>
        <w:tc>
          <w:tcPr>
            <w:tcW w:w="557" w:type="dxa"/>
            <w:tcBorders>
              <w:top w:val="nil"/>
              <w:left w:val="nil"/>
              <w:bottom w:val="single" w:color="auto" w:sz="4" w:space="0"/>
              <w:right w:val="single" w:color="auto" w:sz="4" w:space="0"/>
            </w:tcBorders>
            <w:noWrap/>
            <w:vAlign w:val="bottom"/>
          </w:tcPr>
          <w:p w14:paraId="43AF2A6D">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r>
      <w:tr w14:paraId="722EFF31">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60F98A90">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p>
        </w:tc>
        <w:tc>
          <w:tcPr>
            <w:tcW w:w="7216" w:type="dxa"/>
            <w:tcBorders>
              <w:top w:val="nil"/>
              <w:left w:val="nil"/>
              <w:bottom w:val="single" w:color="auto" w:sz="4" w:space="0"/>
              <w:right w:val="single" w:color="auto" w:sz="4" w:space="0"/>
            </w:tcBorders>
            <w:noWrap/>
            <w:vAlign w:val="bottom"/>
          </w:tcPr>
          <w:p w14:paraId="0FFC0259">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万向可锁定脚轮</w:t>
            </w:r>
          </w:p>
        </w:tc>
        <w:tc>
          <w:tcPr>
            <w:tcW w:w="557" w:type="dxa"/>
            <w:tcBorders>
              <w:top w:val="nil"/>
              <w:left w:val="nil"/>
              <w:bottom w:val="single" w:color="auto" w:sz="4" w:space="0"/>
              <w:right w:val="single" w:color="auto" w:sz="4" w:space="0"/>
            </w:tcBorders>
            <w:noWrap/>
            <w:vAlign w:val="bottom"/>
          </w:tcPr>
          <w:p w14:paraId="6D1BF702">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r>
      <w:tr w14:paraId="669E1277">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31BCEE16">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w:t>
            </w:r>
          </w:p>
        </w:tc>
        <w:tc>
          <w:tcPr>
            <w:tcW w:w="7216" w:type="dxa"/>
            <w:tcBorders>
              <w:top w:val="nil"/>
              <w:left w:val="nil"/>
              <w:bottom w:val="single" w:color="auto" w:sz="4" w:space="0"/>
              <w:right w:val="single" w:color="auto" w:sz="4" w:space="0"/>
            </w:tcBorders>
            <w:noWrap/>
            <w:vAlign w:val="bottom"/>
          </w:tcPr>
          <w:p w14:paraId="15545C3E">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定向脚轮</w:t>
            </w:r>
          </w:p>
        </w:tc>
        <w:tc>
          <w:tcPr>
            <w:tcW w:w="557" w:type="dxa"/>
            <w:tcBorders>
              <w:top w:val="nil"/>
              <w:left w:val="nil"/>
              <w:bottom w:val="single" w:color="auto" w:sz="4" w:space="0"/>
              <w:right w:val="single" w:color="auto" w:sz="4" w:space="0"/>
            </w:tcBorders>
            <w:noWrap/>
            <w:vAlign w:val="bottom"/>
          </w:tcPr>
          <w:p w14:paraId="7B95A02E">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r>
      <w:tr w14:paraId="4BB08660">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1AB7C85F">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w:t>
            </w:r>
          </w:p>
        </w:tc>
        <w:tc>
          <w:tcPr>
            <w:tcW w:w="7216" w:type="dxa"/>
            <w:tcBorders>
              <w:top w:val="nil"/>
              <w:left w:val="nil"/>
              <w:bottom w:val="single" w:color="auto" w:sz="4" w:space="0"/>
              <w:right w:val="single" w:color="auto" w:sz="4" w:space="0"/>
            </w:tcBorders>
            <w:noWrap/>
            <w:vAlign w:val="bottom"/>
          </w:tcPr>
          <w:p w14:paraId="1C52B2AE">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不锈钢污物盒</w:t>
            </w:r>
          </w:p>
        </w:tc>
        <w:tc>
          <w:tcPr>
            <w:tcW w:w="557" w:type="dxa"/>
            <w:tcBorders>
              <w:top w:val="nil"/>
              <w:left w:val="nil"/>
              <w:bottom w:val="single" w:color="auto" w:sz="4" w:space="0"/>
              <w:right w:val="single" w:color="auto" w:sz="4" w:space="0"/>
            </w:tcBorders>
            <w:noWrap/>
            <w:vAlign w:val="bottom"/>
          </w:tcPr>
          <w:p w14:paraId="358B2299">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r>
      <w:tr w14:paraId="56938ED1">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606DD3D4">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w:t>
            </w:r>
          </w:p>
        </w:tc>
        <w:tc>
          <w:tcPr>
            <w:tcW w:w="7216" w:type="dxa"/>
            <w:tcBorders>
              <w:top w:val="nil"/>
              <w:left w:val="nil"/>
              <w:bottom w:val="single" w:color="auto" w:sz="4" w:space="0"/>
              <w:right w:val="single" w:color="auto" w:sz="4" w:space="0"/>
            </w:tcBorders>
            <w:noWrap/>
            <w:vAlign w:val="bottom"/>
          </w:tcPr>
          <w:p w14:paraId="13234BA2">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床垫</w:t>
            </w:r>
          </w:p>
        </w:tc>
        <w:tc>
          <w:tcPr>
            <w:tcW w:w="557" w:type="dxa"/>
            <w:tcBorders>
              <w:top w:val="nil"/>
              <w:left w:val="nil"/>
              <w:bottom w:val="single" w:color="auto" w:sz="4" w:space="0"/>
              <w:right w:val="single" w:color="auto" w:sz="4" w:space="0"/>
            </w:tcBorders>
            <w:noWrap/>
            <w:vAlign w:val="bottom"/>
          </w:tcPr>
          <w:p w14:paraId="5D18DEC8">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r>
      <w:tr w14:paraId="33289E34">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14E8AEB5">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w:t>
            </w:r>
          </w:p>
        </w:tc>
        <w:tc>
          <w:tcPr>
            <w:tcW w:w="7216" w:type="dxa"/>
            <w:tcBorders>
              <w:top w:val="nil"/>
              <w:left w:val="nil"/>
              <w:bottom w:val="single" w:color="auto" w:sz="4" w:space="0"/>
              <w:right w:val="single" w:color="auto" w:sz="4" w:space="0"/>
            </w:tcBorders>
            <w:noWrap/>
            <w:vAlign w:val="bottom"/>
          </w:tcPr>
          <w:p w14:paraId="5073E62E">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脚托支撑杆</w:t>
            </w:r>
          </w:p>
        </w:tc>
        <w:tc>
          <w:tcPr>
            <w:tcW w:w="557" w:type="dxa"/>
            <w:tcBorders>
              <w:top w:val="nil"/>
              <w:left w:val="nil"/>
              <w:bottom w:val="single" w:color="auto" w:sz="4" w:space="0"/>
              <w:right w:val="single" w:color="auto" w:sz="4" w:space="0"/>
            </w:tcBorders>
            <w:noWrap/>
            <w:vAlign w:val="bottom"/>
          </w:tcPr>
          <w:p w14:paraId="13F08504">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r>
      <w:tr w14:paraId="3268FAE9">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08C0506B">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w:t>
            </w:r>
          </w:p>
        </w:tc>
        <w:tc>
          <w:tcPr>
            <w:tcW w:w="7216" w:type="dxa"/>
            <w:tcBorders>
              <w:top w:val="nil"/>
              <w:left w:val="nil"/>
              <w:bottom w:val="single" w:color="auto" w:sz="4" w:space="0"/>
              <w:right w:val="single" w:color="auto" w:sz="4" w:space="0"/>
            </w:tcBorders>
            <w:noWrap/>
            <w:vAlign w:val="bottom"/>
          </w:tcPr>
          <w:p w14:paraId="2818FF07">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万向可调节脚托</w:t>
            </w:r>
          </w:p>
        </w:tc>
        <w:tc>
          <w:tcPr>
            <w:tcW w:w="557" w:type="dxa"/>
            <w:tcBorders>
              <w:top w:val="nil"/>
              <w:left w:val="nil"/>
              <w:bottom w:val="single" w:color="auto" w:sz="4" w:space="0"/>
              <w:right w:val="single" w:color="auto" w:sz="4" w:space="0"/>
            </w:tcBorders>
            <w:noWrap/>
            <w:vAlign w:val="bottom"/>
          </w:tcPr>
          <w:p w14:paraId="0F554677">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r>
      <w:tr w14:paraId="52E6225C">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7D22F554">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12</w:t>
            </w:r>
          </w:p>
        </w:tc>
        <w:tc>
          <w:tcPr>
            <w:tcW w:w="7216" w:type="dxa"/>
            <w:tcBorders>
              <w:top w:val="nil"/>
              <w:left w:val="nil"/>
              <w:bottom w:val="single" w:color="auto" w:sz="4" w:space="0"/>
              <w:right w:val="single" w:color="auto" w:sz="4" w:space="0"/>
            </w:tcBorders>
            <w:noWrap/>
            <w:vAlign w:val="bottom"/>
          </w:tcPr>
          <w:p w14:paraId="6CA0B220">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可拆卸式扶手</w:t>
            </w:r>
          </w:p>
        </w:tc>
        <w:tc>
          <w:tcPr>
            <w:tcW w:w="557" w:type="dxa"/>
            <w:tcBorders>
              <w:top w:val="nil"/>
              <w:left w:val="nil"/>
              <w:bottom w:val="single" w:color="auto" w:sz="4" w:space="0"/>
              <w:right w:val="single" w:color="auto" w:sz="4" w:space="0"/>
            </w:tcBorders>
            <w:noWrap/>
            <w:vAlign w:val="bottom"/>
          </w:tcPr>
          <w:p w14:paraId="669452FF">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r>
      <w:tr w14:paraId="33565DFE">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3BB08276">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w:t>
            </w:r>
          </w:p>
        </w:tc>
        <w:tc>
          <w:tcPr>
            <w:tcW w:w="7216" w:type="dxa"/>
            <w:tcBorders>
              <w:top w:val="nil"/>
              <w:left w:val="nil"/>
              <w:bottom w:val="single" w:color="auto" w:sz="4" w:space="0"/>
              <w:right w:val="single" w:color="auto" w:sz="4" w:space="0"/>
            </w:tcBorders>
            <w:noWrap/>
            <w:vAlign w:val="bottom"/>
          </w:tcPr>
          <w:p w14:paraId="52C8D453">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扶手锁紧把</w:t>
            </w:r>
          </w:p>
        </w:tc>
        <w:tc>
          <w:tcPr>
            <w:tcW w:w="557" w:type="dxa"/>
            <w:tcBorders>
              <w:top w:val="nil"/>
              <w:left w:val="nil"/>
              <w:bottom w:val="single" w:color="auto" w:sz="4" w:space="0"/>
              <w:right w:val="single" w:color="auto" w:sz="4" w:space="0"/>
            </w:tcBorders>
            <w:noWrap/>
            <w:vAlign w:val="bottom"/>
          </w:tcPr>
          <w:p w14:paraId="281CC9E7">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r>
      <w:tr w14:paraId="7B1B8529">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413A49B8">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14</w:t>
            </w:r>
          </w:p>
        </w:tc>
        <w:tc>
          <w:tcPr>
            <w:tcW w:w="7216" w:type="dxa"/>
            <w:tcBorders>
              <w:top w:val="nil"/>
              <w:left w:val="nil"/>
              <w:bottom w:val="single" w:color="auto" w:sz="4" w:space="0"/>
              <w:right w:val="single" w:color="auto" w:sz="4" w:space="0"/>
            </w:tcBorders>
            <w:noWrap/>
            <w:vAlign w:val="bottom"/>
          </w:tcPr>
          <w:p w14:paraId="76234777">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靠背气弹簧控制把</w:t>
            </w:r>
          </w:p>
        </w:tc>
        <w:tc>
          <w:tcPr>
            <w:tcW w:w="557" w:type="dxa"/>
            <w:tcBorders>
              <w:top w:val="nil"/>
              <w:left w:val="nil"/>
              <w:bottom w:val="single" w:color="auto" w:sz="4" w:space="0"/>
              <w:right w:val="single" w:color="auto" w:sz="4" w:space="0"/>
            </w:tcBorders>
            <w:noWrap/>
            <w:vAlign w:val="bottom"/>
          </w:tcPr>
          <w:p w14:paraId="75FBA30B">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r>
      <w:tr w14:paraId="0B7603B8">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7B451BA2">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15</w:t>
            </w:r>
          </w:p>
        </w:tc>
        <w:tc>
          <w:tcPr>
            <w:tcW w:w="7216" w:type="dxa"/>
            <w:tcBorders>
              <w:top w:val="nil"/>
              <w:left w:val="nil"/>
              <w:bottom w:val="single" w:color="auto" w:sz="4" w:space="0"/>
              <w:right w:val="single" w:color="auto" w:sz="4" w:space="0"/>
            </w:tcBorders>
            <w:noWrap/>
            <w:vAlign w:val="bottom"/>
          </w:tcPr>
          <w:p w14:paraId="061CD8F9">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靠背可锁定气弹簧</w:t>
            </w:r>
          </w:p>
        </w:tc>
        <w:tc>
          <w:tcPr>
            <w:tcW w:w="557" w:type="dxa"/>
            <w:tcBorders>
              <w:top w:val="nil"/>
              <w:left w:val="nil"/>
              <w:bottom w:val="single" w:color="auto" w:sz="4" w:space="0"/>
              <w:right w:val="single" w:color="auto" w:sz="4" w:space="0"/>
            </w:tcBorders>
            <w:noWrap/>
            <w:vAlign w:val="bottom"/>
          </w:tcPr>
          <w:p w14:paraId="1BBD38F3">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r>
      <w:tr w14:paraId="4C07BB9D">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70F00B3F">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16</w:t>
            </w:r>
          </w:p>
        </w:tc>
        <w:tc>
          <w:tcPr>
            <w:tcW w:w="7216" w:type="dxa"/>
            <w:tcBorders>
              <w:top w:val="nil"/>
              <w:left w:val="nil"/>
              <w:bottom w:val="single" w:color="auto" w:sz="4" w:space="0"/>
              <w:right w:val="single" w:color="auto" w:sz="4" w:space="0"/>
            </w:tcBorders>
            <w:noWrap/>
            <w:vAlign w:val="bottom"/>
          </w:tcPr>
          <w:p w14:paraId="64B33CCE">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座垫支撑可锁定气弹簧</w:t>
            </w:r>
          </w:p>
        </w:tc>
        <w:tc>
          <w:tcPr>
            <w:tcW w:w="557" w:type="dxa"/>
            <w:tcBorders>
              <w:top w:val="nil"/>
              <w:left w:val="nil"/>
              <w:bottom w:val="single" w:color="auto" w:sz="4" w:space="0"/>
              <w:right w:val="single" w:color="auto" w:sz="4" w:space="0"/>
            </w:tcBorders>
            <w:noWrap/>
            <w:vAlign w:val="bottom"/>
          </w:tcPr>
          <w:p w14:paraId="758A0176">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r>
      <w:tr w14:paraId="7F2953C9">
        <w:tblPrEx>
          <w:tblCellMar>
            <w:top w:w="0" w:type="dxa"/>
            <w:left w:w="108" w:type="dxa"/>
            <w:bottom w:w="0" w:type="dxa"/>
            <w:right w:w="108" w:type="dxa"/>
          </w:tblCellMar>
        </w:tblPrEx>
        <w:trPr>
          <w:trHeight w:val="498" w:hRule="atLeast"/>
          <w:jc w:val="center"/>
        </w:trPr>
        <w:tc>
          <w:tcPr>
            <w:tcW w:w="557" w:type="dxa"/>
            <w:tcBorders>
              <w:top w:val="nil"/>
              <w:left w:val="single" w:color="auto" w:sz="4" w:space="0"/>
              <w:bottom w:val="single" w:color="auto" w:sz="4" w:space="0"/>
              <w:right w:val="single" w:color="auto" w:sz="4" w:space="0"/>
            </w:tcBorders>
            <w:noWrap/>
            <w:vAlign w:val="bottom"/>
          </w:tcPr>
          <w:p w14:paraId="4B8BB147">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17</w:t>
            </w:r>
          </w:p>
        </w:tc>
        <w:tc>
          <w:tcPr>
            <w:tcW w:w="7216" w:type="dxa"/>
            <w:tcBorders>
              <w:top w:val="nil"/>
              <w:left w:val="nil"/>
              <w:bottom w:val="single" w:color="auto" w:sz="4" w:space="0"/>
              <w:right w:val="single" w:color="auto" w:sz="4" w:space="0"/>
            </w:tcBorders>
            <w:noWrap/>
            <w:vAlign w:val="bottom"/>
          </w:tcPr>
          <w:p w14:paraId="79A16DDB">
            <w:pPr>
              <w:widowControl/>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座垫支撑可锁定气弹簧控制把</w:t>
            </w:r>
          </w:p>
        </w:tc>
        <w:tc>
          <w:tcPr>
            <w:tcW w:w="557" w:type="dxa"/>
            <w:tcBorders>
              <w:top w:val="nil"/>
              <w:left w:val="nil"/>
              <w:bottom w:val="single" w:color="auto" w:sz="4" w:space="0"/>
              <w:right w:val="single" w:color="auto" w:sz="4" w:space="0"/>
            </w:tcBorders>
            <w:noWrap/>
            <w:vAlign w:val="bottom"/>
          </w:tcPr>
          <w:p w14:paraId="4747F1E8">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r>
    </w:tbl>
    <w:p w14:paraId="1E21434F">
      <w:pPr>
        <w:rPr>
          <w:rFonts w:ascii="宋体" w:hAnsi="宋体" w:cs="宋体"/>
          <w:b/>
          <w:bCs/>
          <w:color w:val="000000" w:themeColor="text1"/>
          <w:sz w:val="24"/>
          <w:highlight w:val="none"/>
          <w14:textFill>
            <w14:solidFill>
              <w14:schemeClr w14:val="tx1"/>
            </w14:solidFill>
          </w14:textFill>
        </w:rPr>
      </w:pPr>
    </w:p>
    <w:p w14:paraId="1BE5AC24">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p>
    <w:p w14:paraId="252EC077">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41" w:name="_Toc10100"/>
      <w:bookmarkStart w:id="442" w:name="_Toc18762"/>
      <w:bookmarkStart w:id="443" w:name="_Toc23930"/>
      <w:r>
        <w:rPr>
          <w:rFonts w:hint="eastAsia" w:ascii="宋体" w:hAnsi="宋体" w:cs="宋体"/>
          <w:b/>
          <w:bCs/>
          <w:color w:val="000000" w:themeColor="text1"/>
          <w:sz w:val="24"/>
          <w:highlight w:val="none"/>
          <w14:textFill>
            <w14:solidFill>
              <w14:schemeClr w14:val="tx1"/>
            </w14:solidFill>
          </w14:textFill>
        </w:rPr>
        <w:t>（三）全自动化学发光仪</w:t>
      </w:r>
      <w:bookmarkEnd w:id="441"/>
      <w:bookmarkEnd w:id="442"/>
      <w:bookmarkEnd w:id="443"/>
    </w:p>
    <w:p w14:paraId="6EA05663">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 检测方法：ALP-AMPPD酶促化学发光。</w:t>
      </w:r>
    </w:p>
    <w:p w14:paraId="62C13B0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 工作速度：≥240测试/小时。</w:t>
      </w:r>
    </w:p>
    <w:p w14:paraId="4A0D9FD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 样本类型：血清、血浆。</w:t>
      </w:r>
    </w:p>
    <w:p w14:paraId="103C0C3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 样本管：支持多种类型原始样本管混合摆放。</w:t>
      </w:r>
    </w:p>
    <w:p w14:paraId="53087C4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 样本容量：≥200个样品位，轨道式双通道进样。最小样品体积：10μL。</w:t>
      </w:r>
    </w:p>
    <w:p w14:paraId="3ED965E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 自动稀释：是。</w:t>
      </w:r>
    </w:p>
    <w:p w14:paraId="06379A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 试剂位：2～8℃冷藏试剂仓，≥30个试剂位。</w:t>
      </w:r>
    </w:p>
    <w:p w14:paraId="26DF46F4">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 试剂盒：一体化试剂盒，内置主曲线，二维码扫码管理。</w:t>
      </w:r>
    </w:p>
    <w:p w14:paraId="265F2B9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 校准品：试剂盒免费附带。</w:t>
      </w:r>
    </w:p>
    <w:p w14:paraId="7863FB6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0</w:t>
      </w:r>
      <w:r>
        <w:rPr>
          <w:rFonts w:hint="eastAsia" w:ascii="宋体" w:hAnsi="宋体" w:cs="宋体"/>
          <w:color w:val="000000" w:themeColor="text1"/>
          <w:sz w:val="24"/>
          <w:highlight w:val="none"/>
          <w14:textFill>
            <w14:solidFill>
              <w14:schemeClr w14:val="tx1"/>
            </w14:solidFill>
          </w14:textFill>
        </w:rPr>
        <w:t>. 试剂、耗材加载：支持不停机连续装载、更换试剂和耗材。</w:t>
      </w:r>
    </w:p>
    <w:p w14:paraId="5ABF22E7">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 加样：一次性TIP/CUP加样，杜绝标本间携带污染。</w:t>
      </w:r>
    </w:p>
    <w:p w14:paraId="0147EA0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 加样针：液位探测，凝块、空吸探测，以及防撞针探测。</w:t>
      </w:r>
    </w:p>
    <w:p w14:paraId="178ED01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 离机时间：大于3小时。</w:t>
      </w:r>
    </w:p>
    <w:p w14:paraId="655640B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 软件连接：可单项、双向连接LIS软件。</w:t>
      </w:r>
    </w:p>
    <w:p w14:paraId="42934F5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 操作系统：Windows系统。</w:t>
      </w:r>
    </w:p>
    <w:p w14:paraId="7FB07B7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 自动维护：支持。</w:t>
      </w:r>
    </w:p>
    <w:p w14:paraId="0F487C0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 远程诊断：支持。</w:t>
      </w:r>
    </w:p>
    <w:p w14:paraId="78D187D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 系统扩展：模块化，可联机配套同品牌全自动生化分析系统。（提供相关证明材料）</w:t>
      </w:r>
    </w:p>
    <w:p w14:paraId="214727AC">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19</w:t>
      </w:r>
      <w:r>
        <w:rPr>
          <w:rFonts w:hint="eastAsia" w:ascii="宋体" w:hAnsi="宋体" w:cs="宋体"/>
          <w:color w:val="000000" w:themeColor="text1"/>
          <w:sz w:val="24"/>
          <w:highlight w:val="none"/>
          <w14:textFill>
            <w14:solidFill>
              <w14:schemeClr w14:val="tx1"/>
            </w14:solidFill>
          </w14:textFill>
        </w:rPr>
        <w:t>. 检测项目：可检测肿瘤标记物（至少包含CEA、AFP、CA125、CA153、CA199、CA724、SCC、NSE、细胞角蛋白19片段（CYFRA21-1）、总前列腺特异性抗原（T-PSA）、游离前列腺特异性抗原（F-PSA）等），心肌标志物：超敏肌钙蛋白-T（hs-cTn）、NT-proBNP、，术前八项（须包含HBsAg,抗-HBs,HBeAg,抗-HBe,抗-HBc,Anti-TP,Anti-HIV,Anti-HCV）；甲状腺功能七项（三碘甲状腺原氨酸T3、甲状腺素T4、游离三碘甲状腺原氨酸FT3、游离甲状腺素FT4、促甲状腺素TSH、甲状腺过氧化物酶抗体A—TPO、甲状腺球蛋白抗体A-TG；性激素（孕酮P、卵泡雌激素FSH、雌二醇E2、泌乳素PRL、睾酮T、黄体生成素LH等项目。</w:t>
      </w:r>
    </w:p>
    <w:p w14:paraId="23EC0793">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20</w:t>
      </w:r>
      <w:r>
        <w:rPr>
          <w:rFonts w:hint="eastAsia" w:ascii="宋体" w:hAnsi="宋体" w:cs="宋体"/>
          <w:color w:val="000000" w:themeColor="text1"/>
          <w:sz w:val="24"/>
          <w:highlight w:val="none"/>
          <w14:textFill>
            <w14:solidFill>
              <w14:schemeClr w14:val="tx1"/>
            </w14:solidFill>
          </w14:textFill>
        </w:rPr>
        <w:t>.仪器配置清单：主机、分析仪软件、控制主机、显示设备、打印设备、</w:t>
      </w:r>
      <w:r>
        <w:rPr>
          <w:rFonts w:hint="eastAsia" w:ascii="宋体" w:hAnsi="宋体" w:cs="宋体"/>
          <w:color w:val="000000" w:themeColor="text1"/>
          <w:kern w:val="0"/>
          <w:sz w:val="24"/>
          <w:highlight w:val="none"/>
          <w14:textFill>
            <w14:solidFill>
              <w14:schemeClr w14:val="tx1"/>
            </w14:solidFill>
          </w14:textFill>
        </w:rPr>
        <w:t>扫描枪、客户联系卡、产品保修服务证、用户光盘、电源线、中文使用说明书。</w:t>
      </w:r>
    </w:p>
    <w:p w14:paraId="696AAE5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21</w:t>
      </w:r>
      <w:r>
        <w:rPr>
          <w:rFonts w:hint="eastAsia" w:ascii="宋体" w:hAnsi="宋体" w:cs="宋体"/>
          <w:color w:val="000000" w:themeColor="text1"/>
          <w:sz w:val="24"/>
          <w:highlight w:val="none"/>
          <w14:textFill>
            <w14:solidFill>
              <w14:schemeClr w14:val="tx1"/>
            </w14:solidFill>
          </w14:textFill>
        </w:rPr>
        <w:t>、特别说明：2台化学发光仪需配套相适应的</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套纯水机。</w:t>
      </w:r>
    </w:p>
    <w:p w14:paraId="291BF403">
      <w:pPr>
        <w:tabs>
          <w:tab w:val="left" w:pos="425"/>
        </w:tabs>
        <w:spacing w:line="360" w:lineRule="auto"/>
        <w:jc w:val="center"/>
        <w:rPr>
          <w:rFonts w:eastAsia="黑体"/>
          <w:b/>
          <w:bCs/>
          <w:color w:val="000000" w:themeColor="text1"/>
          <w:sz w:val="24"/>
          <w:highlight w:val="none"/>
          <w:u w:val="single"/>
          <w:lang w:val="ru-RU"/>
          <w14:textFill>
            <w14:solidFill>
              <w14:schemeClr w14:val="tx1"/>
            </w14:solidFill>
          </w14:textFill>
        </w:rPr>
      </w:pPr>
      <w:r>
        <w:rPr>
          <w:rFonts w:hint="eastAsia" w:eastAsia="黑体"/>
          <w:b/>
          <w:bCs/>
          <w:color w:val="000000" w:themeColor="text1"/>
          <w:sz w:val="24"/>
          <w:highlight w:val="none"/>
          <w:u w:val="single"/>
          <w:lang w:val="ru-RU"/>
          <w14:textFill>
            <w14:solidFill>
              <w14:schemeClr w14:val="tx1"/>
            </w14:solidFill>
          </w14:textFill>
        </w:rPr>
        <w:t>仪器配置清单</w:t>
      </w:r>
    </w:p>
    <w:tbl>
      <w:tblPr>
        <w:tblStyle w:val="37"/>
        <w:tblW w:w="89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2886"/>
        <w:gridCol w:w="3314"/>
        <w:gridCol w:w="762"/>
        <w:gridCol w:w="845"/>
      </w:tblGrid>
      <w:tr w14:paraId="2F76C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906" w:type="dxa"/>
            <w:gridSpan w:val="5"/>
          </w:tcPr>
          <w:p w14:paraId="29B853D6">
            <w:pPr>
              <w:spacing w:line="360" w:lineRule="auto"/>
              <w:jc w:val="center"/>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化学发光装箱清单</w:t>
            </w:r>
          </w:p>
        </w:tc>
      </w:tr>
      <w:tr w14:paraId="2A99C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Align w:val="center"/>
          </w:tcPr>
          <w:p w14:paraId="60AA39C8">
            <w:pPr>
              <w:spacing w:line="360" w:lineRule="auto"/>
              <w:jc w:val="center"/>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装入位置</w:t>
            </w:r>
          </w:p>
        </w:tc>
        <w:tc>
          <w:tcPr>
            <w:tcW w:w="2886" w:type="dxa"/>
            <w:vAlign w:val="center"/>
          </w:tcPr>
          <w:p w14:paraId="4FC068E2">
            <w:pPr>
              <w:spacing w:line="360" w:lineRule="auto"/>
              <w:jc w:val="center"/>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品名</w:t>
            </w:r>
          </w:p>
        </w:tc>
        <w:tc>
          <w:tcPr>
            <w:tcW w:w="3314" w:type="dxa"/>
            <w:vAlign w:val="center"/>
          </w:tcPr>
          <w:p w14:paraId="104D550B">
            <w:pPr>
              <w:spacing w:line="360" w:lineRule="auto"/>
              <w:jc w:val="center"/>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规格</w:t>
            </w:r>
          </w:p>
        </w:tc>
        <w:tc>
          <w:tcPr>
            <w:tcW w:w="762" w:type="dxa"/>
            <w:vAlign w:val="center"/>
          </w:tcPr>
          <w:p w14:paraId="32E85830">
            <w:pPr>
              <w:spacing w:line="360" w:lineRule="auto"/>
              <w:jc w:val="center"/>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数量</w:t>
            </w:r>
          </w:p>
        </w:tc>
        <w:tc>
          <w:tcPr>
            <w:tcW w:w="845" w:type="dxa"/>
            <w:vAlign w:val="center"/>
          </w:tcPr>
          <w:p w14:paraId="6660409F">
            <w:pPr>
              <w:spacing w:line="360" w:lineRule="auto"/>
              <w:jc w:val="center"/>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备注</w:t>
            </w:r>
          </w:p>
        </w:tc>
      </w:tr>
      <w:tr w14:paraId="68095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restart"/>
          </w:tcPr>
          <w:p w14:paraId="138703E6">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附件箱一</w:t>
            </w:r>
          </w:p>
        </w:tc>
        <w:tc>
          <w:tcPr>
            <w:tcW w:w="2886" w:type="dxa"/>
          </w:tcPr>
          <w:p w14:paraId="7F864ECC">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主机 </w:t>
            </w:r>
          </w:p>
        </w:tc>
        <w:tc>
          <w:tcPr>
            <w:tcW w:w="3314" w:type="dxa"/>
          </w:tcPr>
          <w:p w14:paraId="1EE52DDD">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全自动化学发光分析仪</w:t>
            </w:r>
          </w:p>
        </w:tc>
        <w:tc>
          <w:tcPr>
            <w:tcW w:w="762" w:type="dxa"/>
          </w:tcPr>
          <w:p w14:paraId="60D663D6">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 台</w:t>
            </w:r>
          </w:p>
        </w:tc>
        <w:tc>
          <w:tcPr>
            <w:tcW w:w="845" w:type="dxa"/>
          </w:tcPr>
          <w:p w14:paraId="32EBCA45">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w:t>
            </w:r>
          </w:p>
        </w:tc>
      </w:tr>
      <w:tr w14:paraId="605C6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0DFA6EBD">
            <w:pPr>
              <w:spacing w:line="360" w:lineRule="auto"/>
              <w:rPr>
                <w:rFonts w:ascii="宋体"/>
                <w:color w:val="000000" w:themeColor="text1"/>
                <w:sz w:val="24"/>
                <w:highlight w:val="none"/>
                <w14:textFill>
                  <w14:solidFill>
                    <w14:schemeClr w14:val="tx1"/>
                  </w14:solidFill>
                </w14:textFill>
              </w:rPr>
            </w:pPr>
          </w:p>
        </w:tc>
        <w:tc>
          <w:tcPr>
            <w:tcW w:w="2886" w:type="dxa"/>
          </w:tcPr>
          <w:p w14:paraId="2C481FED">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分析仪软件</w:t>
            </w:r>
          </w:p>
        </w:tc>
        <w:tc>
          <w:tcPr>
            <w:tcW w:w="3314" w:type="dxa"/>
          </w:tcPr>
          <w:p w14:paraId="27B183F3">
            <w:pP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发光分析软件</w:t>
            </w:r>
          </w:p>
        </w:tc>
        <w:tc>
          <w:tcPr>
            <w:tcW w:w="762" w:type="dxa"/>
          </w:tcPr>
          <w:p w14:paraId="26074A25">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1套</w:t>
            </w:r>
          </w:p>
        </w:tc>
        <w:tc>
          <w:tcPr>
            <w:tcW w:w="845" w:type="dxa"/>
          </w:tcPr>
          <w:p w14:paraId="2916F640">
            <w:pPr>
              <w:spacing w:line="360" w:lineRule="auto"/>
              <w:rPr>
                <w:rFonts w:ascii="宋体"/>
                <w:color w:val="000000" w:themeColor="text1"/>
                <w:sz w:val="24"/>
                <w:highlight w:val="none"/>
                <w14:textFill>
                  <w14:solidFill>
                    <w14:schemeClr w14:val="tx1"/>
                  </w14:solidFill>
                </w14:textFill>
              </w:rPr>
            </w:pPr>
          </w:p>
        </w:tc>
      </w:tr>
      <w:tr w14:paraId="3E3B8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746FEBF4">
            <w:pPr>
              <w:spacing w:line="360" w:lineRule="auto"/>
              <w:rPr>
                <w:rFonts w:ascii="宋体"/>
                <w:color w:val="000000" w:themeColor="text1"/>
                <w:sz w:val="24"/>
                <w:highlight w:val="none"/>
                <w14:textFill>
                  <w14:solidFill>
                    <w14:schemeClr w14:val="tx1"/>
                  </w14:solidFill>
                </w14:textFill>
              </w:rPr>
            </w:pPr>
          </w:p>
        </w:tc>
        <w:tc>
          <w:tcPr>
            <w:tcW w:w="2886" w:type="dxa"/>
          </w:tcPr>
          <w:p w14:paraId="7031F066">
            <w:pPr>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控制主机</w:t>
            </w:r>
          </w:p>
        </w:tc>
        <w:tc>
          <w:tcPr>
            <w:tcW w:w="3314" w:type="dxa"/>
          </w:tcPr>
          <w:p w14:paraId="470AFB96">
            <w:pPr>
              <w:spacing w:line="360" w:lineRule="auto"/>
              <w:rPr>
                <w:rFonts w:ascii="宋体" w:eastAsia="等线"/>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w:t>
            </w:r>
          </w:p>
        </w:tc>
        <w:tc>
          <w:tcPr>
            <w:tcW w:w="762" w:type="dxa"/>
          </w:tcPr>
          <w:p w14:paraId="6DF1F77F">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 台</w:t>
            </w:r>
          </w:p>
        </w:tc>
        <w:tc>
          <w:tcPr>
            <w:tcW w:w="845" w:type="dxa"/>
          </w:tcPr>
          <w:p w14:paraId="6F08E8E5">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w:t>
            </w:r>
          </w:p>
        </w:tc>
      </w:tr>
      <w:tr w14:paraId="009B9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426066B3">
            <w:pPr>
              <w:spacing w:line="360" w:lineRule="auto"/>
              <w:rPr>
                <w:rFonts w:ascii="宋体"/>
                <w:color w:val="000000" w:themeColor="text1"/>
                <w:sz w:val="24"/>
                <w:highlight w:val="none"/>
                <w14:textFill>
                  <w14:solidFill>
                    <w14:schemeClr w14:val="tx1"/>
                  </w14:solidFill>
                </w14:textFill>
              </w:rPr>
            </w:pPr>
          </w:p>
        </w:tc>
        <w:tc>
          <w:tcPr>
            <w:tcW w:w="2886" w:type="dxa"/>
          </w:tcPr>
          <w:p w14:paraId="01A9FE4B">
            <w:pPr>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显示设备</w:t>
            </w:r>
          </w:p>
        </w:tc>
        <w:tc>
          <w:tcPr>
            <w:tcW w:w="3314" w:type="dxa"/>
          </w:tcPr>
          <w:p w14:paraId="1FEF64FA">
            <w:pPr>
              <w:widowControl/>
              <w:rPr>
                <w:rFonts w:eastAsia="等线"/>
                <w:color w:val="000000" w:themeColor="text1"/>
                <w:kern w:val="0"/>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p>
        </w:tc>
        <w:tc>
          <w:tcPr>
            <w:tcW w:w="762" w:type="dxa"/>
          </w:tcPr>
          <w:p w14:paraId="1F27FE31">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 台</w:t>
            </w:r>
          </w:p>
        </w:tc>
        <w:tc>
          <w:tcPr>
            <w:tcW w:w="845" w:type="dxa"/>
          </w:tcPr>
          <w:p w14:paraId="0ACAE1C9">
            <w:pPr>
              <w:spacing w:line="360" w:lineRule="auto"/>
              <w:rPr>
                <w:rFonts w:ascii="宋体"/>
                <w:color w:val="000000" w:themeColor="text1"/>
                <w:sz w:val="24"/>
                <w:highlight w:val="none"/>
                <w14:textFill>
                  <w14:solidFill>
                    <w14:schemeClr w14:val="tx1"/>
                  </w14:solidFill>
                </w14:textFill>
              </w:rPr>
            </w:pPr>
          </w:p>
        </w:tc>
      </w:tr>
      <w:tr w14:paraId="3C387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6B61725E">
            <w:pPr>
              <w:spacing w:line="360" w:lineRule="auto"/>
              <w:rPr>
                <w:rFonts w:ascii="宋体"/>
                <w:color w:val="000000" w:themeColor="text1"/>
                <w:sz w:val="24"/>
                <w:highlight w:val="none"/>
                <w14:textFill>
                  <w14:solidFill>
                    <w14:schemeClr w14:val="tx1"/>
                  </w14:solidFill>
                </w14:textFill>
              </w:rPr>
            </w:pPr>
          </w:p>
        </w:tc>
        <w:tc>
          <w:tcPr>
            <w:tcW w:w="2886" w:type="dxa"/>
          </w:tcPr>
          <w:p w14:paraId="779247D8">
            <w:pPr>
              <w:spacing w:line="360" w:lineRule="auto"/>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打印设备</w:t>
            </w:r>
          </w:p>
        </w:tc>
        <w:tc>
          <w:tcPr>
            <w:tcW w:w="3314" w:type="dxa"/>
          </w:tcPr>
          <w:p w14:paraId="45EA7EDB">
            <w:pPr>
              <w:spacing w:line="360" w:lineRule="auto"/>
              <w:jc w:val="left"/>
              <w:rPr>
                <w:rFonts w:ascii="宋体"/>
                <w:color w:val="000000" w:themeColor="text1"/>
                <w:sz w:val="24"/>
                <w:highlight w:val="none"/>
                <w14:textFill>
                  <w14:solidFill>
                    <w14:schemeClr w14:val="tx1"/>
                  </w14:solidFill>
                </w14:textFill>
              </w:rPr>
            </w:pPr>
          </w:p>
        </w:tc>
        <w:tc>
          <w:tcPr>
            <w:tcW w:w="762" w:type="dxa"/>
          </w:tcPr>
          <w:p w14:paraId="600AA87F">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 台</w:t>
            </w:r>
          </w:p>
        </w:tc>
        <w:tc>
          <w:tcPr>
            <w:tcW w:w="845" w:type="dxa"/>
          </w:tcPr>
          <w:p w14:paraId="2D1576D7">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w:t>
            </w:r>
          </w:p>
        </w:tc>
      </w:tr>
      <w:tr w14:paraId="0DF15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6C8961F7">
            <w:pPr>
              <w:spacing w:line="360" w:lineRule="auto"/>
              <w:rPr>
                <w:rFonts w:ascii="宋体"/>
                <w:color w:val="000000" w:themeColor="text1"/>
                <w:sz w:val="24"/>
                <w:highlight w:val="none"/>
                <w14:textFill>
                  <w14:solidFill>
                    <w14:schemeClr w14:val="tx1"/>
                  </w14:solidFill>
                </w14:textFill>
              </w:rPr>
            </w:pPr>
          </w:p>
        </w:tc>
        <w:tc>
          <w:tcPr>
            <w:tcW w:w="2886" w:type="dxa"/>
            <w:vAlign w:val="center"/>
          </w:tcPr>
          <w:p w14:paraId="42659121">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扫描枪</w:t>
            </w:r>
          </w:p>
        </w:tc>
        <w:tc>
          <w:tcPr>
            <w:tcW w:w="3314" w:type="dxa"/>
            <w:vAlign w:val="center"/>
          </w:tcPr>
          <w:p w14:paraId="26A05A8B">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二维影像式</w:t>
            </w:r>
          </w:p>
        </w:tc>
        <w:tc>
          <w:tcPr>
            <w:tcW w:w="762" w:type="dxa"/>
            <w:vAlign w:val="center"/>
          </w:tcPr>
          <w:p w14:paraId="7FC82313">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1件</w:t>
            </w:r>
          </w:p>
        </w:tc>
        <w:tc>
          <w:tcPr>
            <w:tcW w:w="845" w:type="dxa"/>
          </w:tcPr>
          <w:p w14:paraId="70395DC0">
            <w:pPr>
              <w:spacing w:line="360" w:lineRule="auto"/>
              <w:rPr>
                <w:rFonts w:ascii="宋体"/>
                <w:color w:val="000000" w:themeColor="text1"/>
                <w:sz w:val="24"/>
                <w:highlight w:val="none"/>
                <w14:textFill>
                  <w14:solidFill>
                    <w14:schemeClr w14:val="tx1"/>
                  </w14:solidFill>
                </w14:textFill>
              </w:rPr>
            </w:pPr>
          </w:p>
        </w:tc>
      </w:tr>
      <w:tr w14:paraId="2879F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5CD97E63">
            <w:pPr>
              <w:spacing w:line="360" w:lineRule="auto"/>
              <w:rPr>
                <w:rFonts w:ascii="宋体"/>
                <w:color w:val="000000" w:themeColor="text1"/>
                <w:sz w:val="24"/>
                <w:highlight w:val="none"/>
                <w14:textFill>
                  <w14:solidFill>
                    <w14:schemeClr w14:val="tx1"/>
                  </w14:solidFill>
                </w14:textFill>
              </w:rPr>
            </w:pPr>
          </w:p>
        </w:tc>
        <w:tc>
          <w:tcPr>
            <w:tcW w:w="2886" w:type="dxa"/>
            <w:vAlign w:val="center"/>
          </w:tcPr>
          <w:p w14:paraId="0C239F1E">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客户联系卡</w:t>
            </w:r>
          </w:p>
        </w:tc>
        <w:tc>
          <w:tcPr>
            <w:tcW w:w="3314" w:type="dxa"/>
            <w:vAlign w:val="center"/>
          </w:tcPr>
          <w:p w14:paraId="02A50EEF">
            <w:pPr>
              <w:spacing w:line="360" w:lineRule="auto"/>
              <w:rPr>
                <w:rFonts w:ascii="宋体" w:eastAsia="等线"/>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w:t>
            </w:r>
          </w:p>
        </w:tc>
        <w:tc>
          <w:tcPr>
            <w:tcW w:w="762" w:type="dxa"/>
            <w:vAlign w:val="center"/>
          </w:tcPr>
          <w:p w14:paraId="5DFF4195">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1件</w:t>
            </w:r>
          </w:p>
        </w:tc>
        <w:tc>
          <w:tcPr>
            <w:tcW w:w="845" w:type="dxa"/>
          </w:tcPr>
          <w:p w14:paraId="0823E96F">
            <w:pPr>
              <w:spacing w:line="360" w:lineRule="auto"/>
              <w:rPr>
                <w:rFonts w:ascii="宋体"/>
                <w:color w:val="000000" w:themeColor="text1"/>
                <w:sz w:val="24"/>
                <w:highlight w:val="none"/>
                <w14:textFill>
                  <w14:solidFill>
                    <w14:schemeClr w14:val="tx1"/>
                  </w14:solidFill>
                </w14:textFill>
              </w:rPr>
            </w:pPr>
          </w:p>
        </w:tc>
      </w:tr>
      <w:tr w14:paraId="711C4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54B40CB0">
            <w:pPr>
              <w:spacing w:line="360" w:lineRule="auto"/>
              <w:rPr>
                <w:rFonts w:ascii="宋体"/>
                <w:color w:val="000000" w:themeColor="text1"/>
                <w:sz w:val="24"/>
                <w:highlight w:val="none"/>
                <w14:textFill>
                  <w14:solidFill>
                    <w14:schemeClr w14:val="tx1"/>
                  </w14:solidFill>
                </w14:textFill>
              </w:rPr>
            </w:pPr>
          </w:p>
        </w:tc>
        <w:tc>
          <w:tcPr>
            <w:tcW w:w="2886" w:type="dxa"/>
            <w:vAlign w:val="center"/>
          </w:tcPr>
          <w:p w14:paraId="5AEBC98D">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产品保修服务证</w:t>
            </w:r>
          </w:p>
        </w:tc>
        <w:tc>
          <w:tcPr>
            <w:tcW w:w="3314" w:type="dxa"/>
            <w:vAlign w:val="center"/>
          </w:tcPr>
          <w:p w14:paraId="55C4331B">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w:t>
            </w:r>
          </w:p>
        </w:tc>
        <w:tc>
          <w:tcPr>
            <w:tcW w:w="762" w:type="dxa"/>
            <w:vAlign w:val="center"/>
          </w:tcPr>
          <w:p w14:paraId="1CF854F3">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1件</w:t>
            </w:r>
          </w:p>
        </w:tc>
        <w:tc>
          <w:tcPr>
            <w:tcW w:w="845" w:type="dxa"/>
          </w:tcPr>
          <w:p w14:paraId="76971613">
            <w:pPr>
              <w:spacing w:line="360" w:lineRule="auto"/>
              <w:rPr>
                <w:rFonts w:ascii="宋体"/>
                <w:color w:val="000000" w:themeColor="text1"/>
                <w:sz w:val="24"/>
                <w:highlight w:val="none"/>
                <w14:textFill>
                  <w14:solidFill>
                    <w14:schemeClr w14:val="tx1"/>
                  </w14:solidFill>
                </w14:textFill>
              </w:rPr>
            </w:pPr>
          </w:p>
        </w:tc>
      </w:tr>
      <w:tr w14:paraId="1A22A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6A38D456">
            <w:pPr>
              <w:spacing w:line="360" w:lineRule="auto"/>
              <w:rPr>
                <w:rFonts w:ascii="宋体"/>
                <w:color w:val="000000" w:themeColor="text1"/>
                <w:sz w:val="24"/>
                <w:highlight w:val="none"/>
                <w14:textFill>
                  <w14:solidFill>
                    <w14:schemeClr w14:val="tx1"/>
                  </w14:solidFill>
                </w14:textFill>
              </w:rPr>
            </w:pPr>
          </w:p>
        </w:tc>
        <w:tc>
          <w:tcPr>
            <w:tcW w:w="2886" w:type="dxa"/>
            <w:vAlign w:val="center"/>
          </w:tcPr>
          <w:p w14:paraId="43A482C6">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用户光盘</w:t>
            </w:r>
          </w:p>
        </w:tc>
        <w:tc>
          <w:tcPr>
            <w:tcW w:w="3314" w:type="dxa"/>
            <w:vAlign w:val="center"/>
          </w:tcPr>
          <w:p w14:paraId="1CACE03F">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光盘（已刻录）</w:t>
            </w:r>
          </w:p>
        </w:tc>
        <w:tc>
          <w:tcPr>
            <w:tcW w:w="762" w:type="dxa"/>
            <w:vAlign w:val="center"/>
          </w:tcPr>
          <w:p w14:paraId="524BDE25">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1件</w:t>
            </w:r>
          </w:p>
        </w:tc>
        <w:tc>
          <w:tcPr>
            <w:tcW w:w="845" w:type="dxa"/>
          </w:tcPr>
          <w:p w14:paraId="4A11C3E1">
            <w:pPr>
              <w:spacing w:line="360" w:lineRule="auto"/>
              <w:rPr>
                <w:rFonts w:ascii="宋体"/>
                <w:color w:val="000000" w:themeColor="text1"/>
                <w:sz w:val="24"/>
                <w:highlight w:val="none"/>
                <w14:textFill>
                  <w14:solidFill>
                    <w14:schemeClr w14:val="tx1"/>
                  </w14:solidFill>
                </w14:textFill>
              </w:rPr>
            </w:pPr>
          </w:p>
        </w:tc>
      </w:tr>
      <w:tr w14:paraId="1F5C4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06A91BDB">
            <w:pPr>
              <w:spacing w:line="360" w:lineRule="auto"/>
              <w:rPr>
                <w:rFonts w:ascii="宋体"/>
                <w:color w:val="000000" w:themeColor="text1"/>
                <w:sz w:val="24"/>
                <w:highlight w:val="none"/>
                <w14:textFill>
                  <w14:solidFill>
                    <w14:schemeClr w14:val="tx1"/>
                  </w14:solidFill>
                </w14:textFill>
              </w:rPr>
            </w:pPr>
          </w:p>
        </w:tc>
        <w:tc>
          <w:tcPr>
            <w:tcW w:w="2886" w:type="dxa"/>
            <w:vAlign w:val="center"/>
          </w:tcPr>
          <w:p w14:paraId="1CDF5E74">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电源线</w:t>
            </w:r>
          </w:p>
        </w:tc>
        <w:tc>
          <w:tcPr>
            <w:tcW w:w="3314" w:type="dxa"/>
            <w:vAlign w:val="center"/>
          </w:tcPr>
          <w:p w14:paraId="04E66622">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D1-3+D003-4/227IEC53RVV3×1平方毫米/1.8M</w:t>
            </w:r>
          </w:p>
        </w:tc>
        <w:tc>
          <w:tcPr>
            <w:tcW w:w="762" w:type="dxa"/>
            <w:vAlign w:val="center"/>
          </w:tcPr>
          <w:p w14:paraId="46FF49E2">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1根</w:t>
            </w:r>
          </w:p>
        </w:tc>
        <w:tc>
          <w:tcPr>
            <w:tcW w:w="845" w:type="dxa"/>
          </w:tcPr>
          <w:p w14:paraId="1A261F3D">
            <w:pPr>
              <w:spacing w:line="360" w:lineRule="auto"/>
              <w:rPr>
                <w:rFonts w:ascii="宋体"/>
                <w:color w:val="000000" w:themeColor="text1"/>
                <w:sz w:val="24"/>
                <w:highlight w:val="none"/>
                <w14:textFill>
                  <w14:solidFill>
                    <w14:schemeClr w14:val="tx1"/>
                  </w14:solidFill>
                </w14:textFill>
              </w:rPr>
            </w:pPr>
          </w:p>
        </w:tc>
      </w:tr>
      <w:tr w14:paraId="5B808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3936081B">
            <w:pPr>
              <w:spacing w:line="360" w:lineRule="auto"/>
              <w:rPr>
                <w:rFonts w:ascii="宋体"/>
                <w:color w:val="000000" w:themeColor="text1"/>
                <w:sz w:val="24"/>
                <w:highlight w:val="none"/>
                <w14:textFill>
                  <w14:solidFill>
                    <w14:schemeClr w14:val="tx1"/>
                  </w14:solidFill>
                </w14:textFill>
              </w:rPr>
            </w:pPr>
          </w:p>
        </w:tc>
        <w:tc>
          <w:tcPr>
            <w:tcW w:w="2886" w:type="dxa"/>
            <w:vAlign w:val="center"/>
          </w:tcPr>
          <w:p w14:paraId="75664400">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中文使用说明书</w:t>
            </w:r>
          </w:p>
        </w:tc>
        <w:tc>
          <w:tcPr>
            <w:tcW w:w="3314" w:type="dxa"/>
            <w:vAlign w:val="center"/>
          </w:tcPr>
          <w:p w14:paraId="297029DF">
            <w:pPr>
              <w:spacing w:line="360" w:lineRule="auto"/>
              <w:rPr>
                <w:rFonts w:ascii="宋体"/>
                <w:color w:val="000000" w:themeColor="text1"/>
                <w:sz w:val="24"/>
                <w:highlight w:val="none"/>
                <w14:textFill>
                  <w14:solidFill>
                    <w14:schemeClr w14:val="tx1"/>
                  </w14:solidFill>
                </w14:textFill>
              </w:rPr>
            </w:pPr>
          </w:p>
        </w:tc>
        <w:tc>
          <w:tcPr>
            <w:tcW w:w="762" w:type="dxa"/>
            <w:vAlign w:val="center"/>
          </w:tcPr>
          <w:p w14:paraId="053A07B6">
            <w:pPr>
              <w:spacing w:line="360" w:lineRule="auto"/>
              <w:rPr>
                <w:rFonts w:ascii="宋体"/>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1套</w:t>
            </w:r>
          </w:p>
        </w:tc>
        <w:tc>
          <w:tcPr>
            <w:tcW w:w="845" w:type="dxa"/>
          </w:tcPr>
          <w:p w14:paraId="48D1DA5C">
            <w:pPr>
              <w:spacing w:line="360" w:lineRule="auto"/>
              <w:rPr>
                <w:rFonts w:ascii="宋体"/>
                <w:color w:val="000000" w:themeColor="text1"/>
                <w:sz w:val="24"/>
                <w:highlight w:val="none"/>
                <w14:textFill>
                  <w14:solidFill>
                    <w14:schemeClr w14:val="tx1"/>
                  </w14:solidFill>
                </w14:textFill>
              </w:rPr>
            </w:pPr>
          </w:p>
        </w:tc>
      </w:tr>
      <w:tr w14:paraId="7DAEC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099" w:type="dxa"/>
            <w:vMerge w:val="continue"/>
          </w:tcPr>
          <w:p w14:paraId="3AA57240">
            <w:pPr>
              <w:spacing w:line="360" w:lineRule="auto"/>
              <w:rPr>
                <w:rFonts w:ascii="宋体"/>
                <w:color w:val="000000" w:themeColor="text1"/>
                <w:sz w:val="24"/>
                <w:highlight w:val="none"/>
                <w14:textFill>
                  <w14:solidFill>
                    <w14:schemeClr w14:val="tx1"/>
                  </w14:solidFill>
                </w14:textFill>
              </w:rPr>
            </w:pPr>
          </w:p>
        </w:tc>
        <w:tc>
          <w:tcPr>
            <w:tcW w:w="2886" w:type="dxa"/>
            <w:vAlign w:val="center"/>
          </w:tcPr>
          <w:p w14:paraId="2B45FD4B">
            <w:pPr>
              <w:spacing w:line="360" w:lineRule="auto"/>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等其它配件</w:t>
            </w:r>
          </w:p>
        </w:tc>
        <w:tc>
          <w:tcPr>
            <w:tcW w:w="3314" w:type="dxa"/>
            <w:vAlign w:val="center"/>
          </w:tcPr>
          <w:p w14:paraId="7304884C">
            <w:pPr>
              <w:spacing w:line="360" w:lineRule="auto"/>
              <w:rPr>
                <w:rFonts w:eastAsia="等线"/>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与化学发光仪相适应的纯水机</w:t>
            </w:r>
            <w:r>
              <w:rPr>
                <w:rFonts w:hint="eastAsia"/>
                <w:color w:val="000000" w:themeColor="text1"/>
                <w:kern w:val="0"/>
                <w:sz w:val="24"/>
                <w:highlight w:val="none"/>
                <w:lang w:val="en-US" w:eastAsia="zh-CN"/>
                <w14:textFill>
                  <w14:solidFill>
                    <w14:schemeClr w14:val="tx1"/>
                  </w14:solidFill>
                </w14:textFill>
              </w:rPr>
              <w:t>2</w:t>
            </w:r>
            <w:r>
              <w:rPr>
                <w:rFonts w:hint="eastAsia"/>
                <w:color w:val="000000" w:themeColor="text1"/>
                <w:kern w:val="0"/>
                <w:sz w:val="24"/>
                <w:highlight w:val="none"/>
                <w14:textFill>
                  <w14:solidFill>
                    <w14:schemeClr w14:val="tx1"/>
                  </w14:solidFill>
                </w14:textFill>
              </w:rPr>
              <w:t>套</w:t>
            </w:r>
          </w:p>
        </w:tc>
        <w:tc>
          <w:tcPr>
            <w:tcW w:w="762" w:type="dxa"/>
            <w:vAlign w:val="center"/>
          </w:tcPr>
          <w:p w14:paraId="11037AEB">
            <w:pPr>
              <w:spacing w:line="360" w:lineRule="auto"/>
              <w:rPr>
                <w:color w:val="000000" w:themeColor="text1"/>
                <w:kern w:val="0"/>
                <w:sz w:val="24"/>
                <w:highlight w:val="none"/>
                <w14:textFill>
                  <w14:solidFill>
                    <w14:schemeClr w14:val="tx1"/>
                  </w14:solidFill>
                </w14:textFill>
              </w:rPr>
            </w:pPr>
            <w:r>
              <w:rPr>
                <w:rFonts w:hint="eastAsia"/>
                <w:color w:val="000000" w:themeColor="text1"/>
                <w:kern w:val="0"/>
                <w:sz w:val="24"/>
                <w:highlight w:val="none"/>
                <w:lang w:val="en-US" w:eastAsia="zh-CN"/>
                <w14:textFill>
                  <w14:solidFill>
                    <w14:schemeClr w14:val="tx1"/>
                  </w14:solidFill>
                </w14:textFill>
              </w:rPr>
              <w:t>2</w:t>
            </w:r>
            <w:r>
              <w:rPr>
                <w:rFonts w:hint="eastAsia"/>
                <w:color w:val="000000" w:themeColor="text1"/>
                <w:kern w:val="0"/>
                <w:sz w:val="24"/>
                <w:highlight w:val="none"/>
                <w14:textFill>
                  <w14:solidFill>
                    <w14:schemeClr w14:val="tx1"/>
                  </w14:solidFill>
                </w14:textFill>
              </w:rPr>
              <w:t>套</w:t>
            </w:r>
          </w:p>
        </w:tc>
        <w:tc>
          <w:tcPr>
            <w:tcW w:w="845" w:type="dxa"/>
          </w:tcPr>
          <w:p w14:paraId="224A8327">
            <w:pPr>
              <w:spacing w:line="360" w:lineRule="auto"/>
              <w:rPr>
                <w:rFonts w:ascii="宋体"/>
                <w:color w:val="000000" w:themeColor="text1"/>
                <w:sz w:val="24"/>
                <w:highlight w:val="none"/>
                <w14:textFill>
                  <w14:solidFill>
                    <w14:schemeClr w14:val="tx1"/>
                  </w14:solidFill>
                </w14:textFill>
              </w:rPr>
            </w:pPr>
          </w:p>
        </w:tc>
      </w:tr>
    </w:tbl>
    <w:p w14:paraId="23054A87">
      <w:pPr>
        <w:rPr>
          <w:color w:val="000000" w:themeColor="text1"/>
          <w:highlight w:val="none"/>
          <w14:textFill>
            <w14:solidFill>
              <w14:schemeClr w14:val="tx1"/>
            </w14:solidFill>
          </w14:textFill>
        </w:rPr>
      </w:pPr>
    </w:p>
    <w:p w14:paraId="44CACB6C">
      <w:pPr>
        <w:rPr>
          <w:rFonts w:ascii="宋体" w:hAnsi="宋体" w:cs="宋体"/>
          <w:b/>
          <w:bCs/>
          <w:color w:val="000000" w:themeColor="text1"/>
          <w:sz w:val="24"/>
          <w:highlight w:val="none"/>
          <w14:textFill>
            <w14:solidFill>
              <w14:schemeClr w14:val="tx1"/>
            </w14:solidFill>
          </w14:textFill>
        </w:rPr>
      </w:pPr>
    </w:p>
    <w:p w14:paraId="70D84E7B">
      <w:pPr>
        <w:rPr>
          <w:rFonts w:ascii="宋体" w:hAnsi="宋体" w:cs="宋体"/>
          <w:b/>
          <w:bCs/>
          <w:color w:val="000000" w:themeColor="text1"/>
          <w:sz w:val="24"/>
          <w:highlight w:val="none"/>
          <w14:textFill>
            <w14:solidFill>
              <w14:schemeClr w14:val="tx1"/>
            </w14:solidFill>
          </w14:textFill>
        </w:rPr>
      </w:pPr>
    </w:p>
    <w:p w14:paraId="0B603822">
      <w:pPr>
        <w:rPr>
          <w:rFonts w:ascii="宋体" w:hAnsi="宋体" w:cs="宋体"/>
          <w:b/>
          <w:bCs/>
          <w:color w:val="000000" w:themeColor="text1"/>
          <w:sz w:val="24"/>
          <w:highlight w:val="none"/>
          <w14:textFill>
            <w14:solidFill>
              <w14:schemeClr w14:val="tx1"/>
            </w14:solidFill>
          </w14:textFill>
        </w:rPr>
      </w:pPr>
    </w:p>
    <w:p w14:paraId="477CB545">
      <w:pPr>
        <w:rPr>
          <w:rFonts w:ascii="宋体" w:hAnsi="宋体" w:cs="宋体"/>
          <w:b/>
          <w:bCs/>
          <w:color w:val="000000" w:themeColor="text1"/>
          <w:sz w:val="24"/>
          <w:highlight w:val="none"/>
          <w14:textFill>
            <w14:solidFill>
              <w14:schemeClr w14:val="tx1"/>
            </w14:solidFill>
          </w14:textFill>
        </w:rPr>
      </w:pPr>
    </w:p>
    <w:p w14:paraId="34168BC3">
      <w:pPr>
        <w:rPr>
          <w:rFonts w:ascii="宋体" w:hAnsi="宋体" w:cs="宋体"/>
          <w:b/>
          <w:bCs/>
          <w:color w:val="000000" w:themeColor="text1"/>
          <w:sz w:val="24"/>
          <w:highlight w:val="none"/>
          <w14:textFill>
            <w14:solidFill>
              <w14:schemeClr w14:val="tx1"/>
            </w14:solidFill>
          </w14:textFill>
        </w:rPr>
      </w:pPr>
    </w:p>
    <w:p w14:paraId="33698BF7">
      <w:pPr>
        <w:rPr>
          <w:rFonts w:ascii="宋体" w:hAnsi="宋体" w:cs="宋体"/>
          <w:b/>
          <w:bCs/>
          <w:color w:val="000000" w:themeColor="text1"/>
          <w:sz w:val="24"/>
          <w:highlight w:val="none"/>
          <w14:textFill>
            <w14:solidFill>
              <w14:schemeClr w14:val="tx1"/>
            </w14:solidFill>
          </w14:textFill>
        </w:rPr>
      </w:pPr>
    </w:p>
    <w:p w14:paraId="5D34F623">
      <w:pPr>
        <w:rPr>
          <w:rFonts w:ascii="宋体" w:hAnsi="宋体" w:cs="宋体"/>
          <w:b/>
          <w:bCs/>
          <w:color w:val="000000" w:themeColor="text1"/>
          <w:sz w:val="24"/>
          <w:highlight w:val="none"/>
          <w14:textFill>
            <w14:solidFill>
              <w14:schemeClr w14:val="tx1"/>
            </w14:solidFill>
          </w14:textFill>
        </w:rPr>
      </w:pPr>
    </w:p>
    <w:p w14:paraId="783EB7CF">
      <w:pPr>
        <w:rPr>
          <w:rFonts w:ascii="宋体" w:hAnsi="宋体" w:cs="宋体"/>
          <w:b/>
          <w:bCs/>
          <w:color w:val="000000" w:themeColor="text1"/>
          <w:sz w:val="24"/>
          <w:highlight w:val="none"/>
          <w14:textFill>
            <w14:solidFill>
              <w14:schemeClr w14:val="tx1"/>
            </w14:solidFill>
          </w14:textFill>
        </w:rPr>
      </w:pPr>
    </w:p>
    <w:p w14:paraId="79CF85FA">
      <w:pPr>
        <w:rPr>
          <w:rFonts w:ascii="宋体" w:hAnsi="宋体" w:cs="宋体"/>
          <w:b/>
          <w:bCs/>
          <w:color w:val="000000" w:themeColor="text1"/>
          <w:sz w:val="24"/>
          <w:highlight w:val="none"/>
          <w14:textFill>
            <w14:solidFill>
              <w14:schemeClr w14:val="tx1"/>
            </w14:solidFill>
          </w14:textFill>
        </w:rPr>
      </w:pPr>
    </w:p>
    <w:p w14:paraId="2A83F115">
      <w:pPr>
        <w:rPr>
          <w:rFonts w:ascii="宋体" w:hAnsi="宋体" w:cs="宋体"/>
          <w:b/>
          <w:bCs/>
          <w:color w:val="000000" w:themeColor="text1"/>
          <w:sz w:val="24"/>
          <w:highlight w:val="none"/>
          <w14:textFill>
            <w14:solidFill>
              <w14:schemeClr w14:val="tx1"/>
            </w14:solidFill>
          </w14:textFill>
        </w:rPr>
      </w:pPr>
    </w:p>
    <w:p w14:paraId="0D669C47">
      <w:pPr>
        <w:rPr>
          <w:rFonts w:ascii="宋体" w:hAnsi="宋体" w:cs="宋体"/>
          <w:b/>
          <w:bCs/>
          <w:color w:val="000000" w:themeColor="text1"/>
          <w:sz w:val="24"/>
          <w:highlight w:val="none"/>
          <w14:textFill>
            <w14:solidFill>
              <w14:schemeClr w14:val="tx1"/>
            </w14:solidFill>
          </w14:textFill>
        </w:rPr>
      </w:pPr>
    </w:p>
    <w:p w14:paraId="3D7F9FAB">
      <w:pPr>
        <w:rPr>
          <w:rFonts w:ascii="宋体" w:hAnsi="宋体" w:cs="宋体"/>
          <w:b/>
          <w:bCs/>
          <w:color w:val="000000" w:themeColor="text1"/>
          <w:sz w:val="24"/>
          <w:highlight w:val="none"/>
          <w14:textFill>
            <w14:solidFill>
              <w14:schemeClr w14:val="tx1"/>
            </w14:solidFill>
          </w14:textFill>
        </w:rPr>
      </w:pPr>
      <w:bookmarkStart w:id="444" w:name="_Toc29704"/>
      <w:bookmarkStart w:id="445" w:name="_Toc5317"/>
      <w:r>
        <w:rPr>
          <w:rFonts w:hint="eastAsia" w:ascii="宋体" w:hAnsi="宋体" w:cs="宋体"/>
          <w:b/>
          <w:bCs/>
          <w:color w:val="000000" w:themeColor="text1"/>
          <w:sz w:val="24"/>
          <w:highlight w:val="none"/>
          <w14:textFill>
            <w14:solidFill>
              <w14:schemeClr w14:val="tx1"/>
            </w14:solidFill>
          </w14:textFill>
        </w:rPr>
        <w:br w:type="page"/>
      </w:r>
    </w:p>
    <w:p w14:paraId="64F6AFC4">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46" w:name="_Toc7010"/>
      <w:r>
        <w:rPr>
          <w:rFonts w:hint="eastAsia" w:ascii="宋体" w:hAnsi="宋体" w:cs="宋体"/>
          <w:b/>
          <w:bCs/>
          <w:color w:val="000000" w:themeColor="text1"/>
          <w:sz w:val="24"/>
          <w:highlight w:val="none"/>
          <w14:textFill>
            <w14:solidFill>
              <w14:schemeClr w14:val="tx1"/>
            </w14:solidFill>
          </w14:textFill>
        </w:rPr>
        <w:t>（四）台式低速多管架离心机</w:t>
      </w:r>
      <w:bookmarkEnd w:id="444"/>
      <w:bookmarkEnd w:id="445"/>
      <w:bookmarkEnd w:id="446"/>
    </w:p>
    <w:p w14:paraId="39D32553">
      <w:pPr>
        <w:spacing w:line="260" w:lineRule="atLeast"/>
        <w:ind w:firstLine="361" w:firstLineChars="150"/>
        <w:jc w:val="center"/>
        <w:rPr>
          <w:rFonts w:ascii="宋体" w:hAnsi="宋体" w:cs="宋体"/>
          <w:b/>
          <w:color w:val="000000" w:themeColor="text1"/>
          <w:kern w:val="0"/>
          <w:sz w:val="24"/>
          <w:highlight w:val="none"/>
          <w14:textFill>
            <w14:solidFill>
              <w14:schemeClr w14:val="tx1"/>
            </w14:solidFill>
          </w14:textFill>
        </w:rPr>
      </w:pPr>
    </w:p>
    <w:p w14:paraId="69115AEB">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1.触摸式按键；白色数码管显示，清晰护眼。</w:t>
      </w:r>
    </w:p>
    <w:p w14:paraId="6B2456DE">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2.程序组号、转子号、转速、时间同时显示。</w:t>
      </w:r>
    </w:p>
    <w:p w14:paraId="128AB735">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3.全钢机身、304不锈钢内腔、变频电机。</w:t>
      </w:r>
    </w:p>
    <w:p w14:paraId="615D134B">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▲4.100组程序存储，20档升降速选择。</w:t>
      </w:r>
    </w:p>
    <w:p w14:paraId="636655D8">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5.多段离心/常规离心模式，可任意切换；可最多设置5段多段离心。</w:t>
      </w:r>
    </w:p>
    <w:p w14:paraId="5A8B4A6D">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6.离心时间定时范围1s ~ 99h59m59s；可选择时/分或分/秒计时。</w:t>
      </w:r>
    </w:p>
    <w:p w14:paraId="7560A512">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7.电子安全门锁控制，和弦音提示开门关门状态。</w:t>
      </w:r>
    </w:p>
    <w:p w14:paraId="4643A8E9">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8.RCF可直接设定及显示，无需RPM/RCF换算。</w:t>
      </w:r>
    </w:p>
    <w:p w14:paraId="46EB07F3">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9.运行中可改变转速，离心力，时间，等参数。</w:t>
      </w:r>
    </w:p>
    <w:p w14:paraId="6CE76157">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10.所有转子、转子盖均可高温高压灭菌。</w:t>
      </w:r>
    </w:p>
    <w:p w14:paraId="3A78A93C">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★11.故障自动诊断。</w:t>
      </w:r>
    </w:p>
    <w:p w14:paraId="651D7D4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▲12.电器安全满足EN 61010-1:2010+A1:2019和EN 61010 2-020：2017标准，保障使用人员及设备的用电安全。</w:t>
      </w:r>
    </w:p>
    <w:p w14:paraId="36B14F94">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▲13.电磁兼容满足EN IEC 61326-1:2021和EN IEC 61326-2-6:2021标准，保证离心机使用过程中的抗干扰性，同时不会对实验室其他设备造成干扰。</w:t>
      </w:r>
    </w:p>
    <w:p w14:paraId="20447E0E">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14.最高转速5000 r/min。</w:t>
      </w:r>
    </w:p>
    <w:p w14:paraId="7A9F2755">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▲15.最大离心力4650xg。</w:t>
      </w:r>
    </w:p>
    <w:p w14:paraId="46996210">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16.最大容量8×10 0ml(4000rpm)。</w:t>
      </w:r>
    </w:p>
    <w:p w14:paraId="654F2C7A">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17.转速精度±10r/min。</w:t>
      </w:r>
    </w:p>
    <w:p w14:paraId="7B420933">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18.定时范围1s~99h59min59s/点动。</w:t>
      </w:r>
    </w:p>
    <w:p w14:paraId="392DCFED">
      <w:pPr>
        <w:widowControl/>
        <w:tabs>
          <w:tab w:val="left" w:pos="2294"/>
        </w:tabs>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★19.噪声≤60dB(A)。</w:t>
      </w:r>
    </w:p>
    <w:p w14:paraId="420A8886">
      <w:pPr>
        <w:rPr>
          <w:rFonts w:ascii="宋体" w:hAnsi="宋体" w:cs="宋体"/>
          <w:b/>
          <w:bCs/>
          <w:color w:val="000000" w:themeColor="text1"/>
          <w:sz w:val="24"/>
          <w:highlight w:val="none"/>
          <w14:textFill>
            <w14:solidFill>
              <w14:schemeClr w14:val="tx1"/>
            </w14:solidFill>
          </w14:textFill>
        </w:rPr>
      </w:pPr>
    </w:p>
    <w:p w14:paraId="25EACED8">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p>
    <w:p w14:paraId="5609DCD7">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47" w:name="_Toc17589"/>
      <w:bookmarkStart w:id="448" w:name="_Toc21802"/>
      <w:bookmarkStart w:id="449" w:name="_Toc30371"/>
      <w:r>
        <w:rPr>
          <w:rFonts w:hint="eastAsia" w:ascii="宋体" w:hAnsi="宋体" w:cs="宋体"/>
          <w:b/>
          <w:bCs/>
          <w:color w:val="000000" w:themeColor="text1"/>
          <w:sz w:val="24"/>
          <w:highlight w:val="none"/>
          <w14:textFill>
            <w14:solidFill>
              <w14:schemeClr w14:val="tx1"/>
            </w14:solidFill>
          </w14:textFill>
        </w:rPr>
        <w:t>（五）身高体重测量仪</w:t>
      </w:r>
      <w:bookmarkEnd w:id="447"/>
      <w:bookmarkEnd w:id="448"/>
      <w:bookmarkEnd w:id="449"/>
    </w:p>
    <w:p w14:paraId="2272824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1.技术参数</w:t>
      </w:r>
    </w:p>
    <w:p w14:paraId="0870DA6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1.1电源：电压AC220V，频率50Hz。</w:t>
      </w:r>
    </w:p>
    <w:p w14:paraId="2281718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1.2使用环境：温度范围：-10℃～+40℃；湿度范围20%RH～85%RH（无冷凝）。</w:t>
      </w:r>
    </w:p>
    <w:p w14:paraId="3D37296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1.3保存环境：-10℃～+55℃；不大于85%RH，通风良好，干燥的室内，周围空气中应无腐蚀性气体。</w:t>
      </w:r>
    </w:p>
    <w:p w14:paraId="79D1952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★1.4身高测量范围： 70cm～200cm，分辨率≥0.1cm，最大误差±0.5cm。</w:t>
      </w:r>
    </w:p>
    <w:p w14:paraId="71DB2B5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★1.5体重测量范围： 2kg～200kg，最大误差±0.1kg。</w:t>
      </w:r>
    </w:p>
    <w:p w14:paraId="2C927A73">
      <w:pPr>
        <w:spacing w:line="360" w:lineRule="auto"/>
        <w:ind w:firstLine="480" w:firstLineChars="200"/>
        <w:jc w:val="left"/>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1.6 项目验收时必需出具中华人民共和国计量器具形式批准证书。</w:t>
      </w:r>
      <w:r>
        <w:rPr>
          <w:rFonts w:hint="eastAsia" w:ascii="宋体" w:hAnsi="宋体" w:cs="宋体"/>
          <w:b/>
          <w:color w:val="000000" w:themeColor="text1"/>
          <w:sz w:val="24"/>
          <w:highlight w:val="none"/>
          <w:lang w:eastAsia="zh-CN"/>
          <w14:textFill>
            <w14:solidFill>
              <w14:schemeClr w14:val="tx1"/>
            </w14:solidFill>
          </w14:textFill>
        </w:rPr>
        <w:t>（</w:t>
      </w:r>
      <w:r>
        <w:rPr>
          <w:rFonts w:hint="eastAsia" w:ascii="宋体" w:hAnsi="宋体" w:cs="宋体"/>
          <w:b/>
          <w:color w:val="000000" w:themeColor="text1"/>
          <w:sz w:val="24"/>
          <w:highlight w:val="none"/>
          <w:lang w:val="en-US" w:eastAsia="zh-CN"/>
          <w14:textFill>
            <w14:solidFill>
              <w14:schemeClr w14:val="tx1"/>
            </w14:solidFill>
          </w14:textFill>
        </w:rPr>
        <w:t>提供承诺书</w:t>
      </w:r>
      <w:r>
        <w:rPr>
          <w:rFonts w:hint="eastAsia" w:ascii="宋体" w:hAnsi="宋体" w:cs="宋体"/>
          <w:b/>
          <w:color w:val="000000" w:themeColor="text1"/>
          <w:sz w:val="24"/>
          <w:highlight w:val="none"/>
          <w:lang w:eastAsia="zh-CN"/>
          <w14:textFill>
            <w14:solidFill>
              <w14:schemeClr w14:val="tx1"/>
            </w14:solidFill>
          </w14:textFill>
        </w:rPr>
        <w:t>）</w:t>
      </w:r>
    </w:p>
    <w:p w14:paraId="28B04F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2、功能特性</w:t>
      </w:r>
    </w:p>
    <w:p w14:paraId="52A84A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★2.1触控液晶屏。</w:t>
      </w:r>
    </w:p>
    <w:p w14:paraId="5EE34E5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2.1.1液晶屏动画演示操作流程及注意事项。</w:t>
      </w:r>
    </w:p>
    <w:p w14:paraId="1F63AA9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2.1.2人机交互式操作。</w:t>
      </w:r>
    </w:p>
    <w:p w14:paraId="0EC4F4C3">
      <w:pPr>
        <w:spacing w:line="360" w:lineRule="auto"/>
        <w:ind w:firstLine="482"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▲2.2</w:t>
      </w:r>
      <w:bookmarkStart w:id="450" w:name="page40"/>
      <w:bookmarkEnd w:id="450"/>
      <w:r>
        <w:rPr>
          <w:rFonts w:hint="eastAsia" w:ascii="宋体" w:hAnsi="宋体" w:cs="宋体"/>
          <w:b/>
          <w:color w:val="000000" w:themeColor="text1"/>
          <w:sz w:val="24"/>
          <w:highlight w:val="none"/>
          <w14:textFill>
            <w14:solidFill>
              <w14:schemeClr w14:val="tx1"/>
            </w14:solidFill>
          </w14:textFill>
        </w:rPr>
        <w:t>测量方式：手动﹑自动﹑遥控三种方式可随意选择,满足不同用户的使用场景需求。</w:t>
      </w:r>
    </w:p>
    <w:p w14:paraId="160EEDF4">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▲2.3超声三探头设计：配备三个超声波探头，摆脱严格要求站姿的束缚，最大限度增加身高的可检测范围，提供高度精确的身高检测数据。</w:t>
      </w:r>
    </w:p>
    <w:p w14:paraId="1215E020">
      <w:pPr>
        <w:spacing w:line="360" w:lineRule="auto"/>
        <w:ind w:firstLine="482"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▲2.4温度补偿功能：双温度传感器，具有温度补偿功能，可提高身高测量结果的准确性。</w:t>
      </w:r>
    </w:p>
    <w:p w14:paraId="4AFC40B0">
      <w:pPr>
        <w:spacing w:line="360" w:lineRule="auto"/>
        <w:ind w:firstLine="482"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▲2.5称重传感器：采用称重传感器，提供高度精确的体重检测数据。</w:t>
      </w:r>
    </w:p>
    <w:p w14:paraId="3C7C7EB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2.6检测参数：可检测身高、体重，可计算BMI、体表面积、男性超重百分比、女性超重百分比。</w:t>
      </w:r>
    </w:p>
    <w:p w14:paraId="5981F59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2.7语音播报功能：可播报操作指导、注意事项、测量结果、异常提示，并可对播报内容进行选择设置。</w:t>
      </w:r>
    </w:p>
    <w:p w14:paraId="58AC886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2.8打印结果：可进行测量结果数值打印、条码打印、体重指数BMI参照表打印（中国卫生行业标准（WS/T428-2013）参照表、WHO标准-2004参照表）多种结果显示打印。</w:t>
      </w:r>
    </w:p>
    <w:p w14:paraId="000C7D47">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▲2.9离线保存测量结果：本机可保存≥2000例测量结果。</w:t>
      </w:r>
    </w:p>
    <w:p w14:paraId="7A934510">
      <w:pPr>
        <w:spacing w:line="360" w:lineRule="auto"/>
        <w:ind w:firstLine="482"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▲2.10网络直连功能：可通过网线、WIFI以及移动网络模块（选配）等方式直接将设备的检测数据传输至医院各个网络系统，不在需要单独传输至PC端，提升传输效率、节省成本。</w:t>
      </w:r>
    </w:p>
    <w:p w14:paraId="62985462">
      <w:pPr>
        <w:spacing w:line="360" w:lineRule="auto"/>
        <w:ind w:firstLine="482"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▲2.11云服务功能</w:t>
      </w:r>
      <w:r>
        <w:rPr>
          <w:rFonts w:hint="eastAsia" w:ascii="宋体" w:hAnsi="宋体" w:cs="宋体"/>
          <w:b/>
          <w:color w:val="000000" w:themeColor="text1"/>
          <w:sz w:val="24"/>
          <w:highlight w:val="none"/>
          <w:lang w:eastAsia="zh-CN"/>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定制微信公众号。检测结果可直接传输至受检者微信。可进行受检者多次检测结果统计、分析。</w:t>
      </w:r>
    </w:p>
    <w:p w14:paraId="702F5FEA">
      <w:pPr>
        <w:spacing w:line="360" w:lineRule="auto"/>
        <w:ind w:firstLine="482"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▲2.12可升降机身：通过上立柱伸缩轻松调节设备高度，免安装、易携带，使用方便，为外检提供极大的便捷性。</w:t>
      </w:r>
    </w:p>
    <w:p w14:paraId="4B692B0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2.13多外置接口开放：可外接扫码枪、身份证读卡器，实现病人信息快速录入。</w:t>
      </w:r>
    </w:p>
    <w:p w14:paraId="40E4D23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2.14打印机功能：自动切纸的高速热敏蓝牙打印，打印功能开关可设置。</w:t>
      </w:r>
    </w:p>
    <w:p w14:paraId="46F8706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★3.提供10年软件升级。</w:t>
      </w:r>
    </w:p>
    <w:p w14:paraId="64CF674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4、配置清单：</w:t>
      </w:r>
    </w:p>
    <w:p w14:paraId="157151F8">
      <w:pPr>
        <w:spacing w:line="276"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超声波身高体重测量仪配置清单</w:t>
      </w:r>
    </w:p>
    <w:tbl>
      <w:tblPr>
        <w:tblStyle w:val="37"/>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3830"/>
        <w:gridCol w:w="2410"/>
        <w:gridCol w:w="851"/>
        <w:gridCol w:w="1984"/>
      </w:tblGrid>
      <w:tr w14:paraId="37811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center"/>
          </w:tcPr>
          <w:p w14:paraId="4AC9DCBB">
            <w:pPr>
              <w:widowControl/>
              <w:jc w:val="center"/>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序号</w:t>
            </w:r>
          </w:p>
        </w:tc>
        <w:tc>
          <w:tcPr>
            <w:tcW w:w="3830" w:type="dxa"/>
            <w:vAlign w:val="center"/>
          </w:tcPr>
          <w:p w14:paraId="20446659">
            <w:pPr>
              <w:widowControl/>
              <w:jc w:val="center"/>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部件名称</w:t>
            </w:r>
          </w:p>
        </w:tc>
        <w:tc>
          <w:tcPr>
            <w:tcW w:w="2410" w:type="dxa"/>
            <w:vAlign w:val="center"/>
          </w:tcPr>
          <w:p w14:paraId="1086464C">
            <w:pPr>
              <w:widowControl/>
              <w:jc w:val="center"/>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规格型号</w:t>
            </w:r>
          </w:p>
        </w:tc>
        <w:tc>
          <w:tcPr>
            <w:tcW w:w="851" w:type="dxa"/>
            <w:vAlign w:val="center"/>
          </w:tcPr>
          <w:p w14:paraId="6CB55FBA">
            <w:pPr>
              <w:widowControl/>
              <w:jc w:val="center"/>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数量</w:t>
            </w:r>
          </w:p>
        </w:tc>
        <w:tc>
          <w:tcPr>
            <w:tcW w:w="1984" w:type="dxa"/>
            <w:vAlign w:val="center"/>
          </w:tcPr>
          <w:p w14:paraId="3BE146BC">
            <w:pPr>
              <w:widowControl/>
              <w:jc w:val="center"/>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备注</w:t>
            </w:r>
          </w:p>
        </w:tc>
      </w:tr>
      <w:tr w14:paraId="65586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gridSpan w:val="5"/>
            <w:vAlign w:val="center"/>
          </w:tcPr>
          <w:p w14:paraId="5B019793">
            <w:pPr>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标准配置</w:t>
            </w:r>
          </w:p>
        </w:tc>
      </w:tr>
      <w:tr w14:paraId="4F3BE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150956C2">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3830" w:type="dxa"/>
            <w:vAlign w:val="center"/>
          </w:tcPr>
          <w:p w14:paraId="2E7AA9B7">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超声波身高体重系统软件</w:t>
            </w:r>
          </w:p>
        </w:tc>
        <w:tc>
          <w:tcPr>
            <w:tcW w:w="2410" w:type="dxa"/>
            <w:vAlign w:val="center"/>
          </w:tcPr>
          <w:p w14:paraId="4A9564CC">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1681A7EE">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tcPr>
          <w:p w14:paraId="76F47D10">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光盘</w:t>
            </w:r>
          </w:p>
        </w:tc>
      </w:tr>
      <w:tr w14:paraId="5D80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236FD7FB">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3830" w:type="dxa"/>
            <w:vAlign w:val="center"/>
          </w:tcPr>
          <w:p w14:paraId="6873A6E8">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超声波身高体重测量仪</w:t>
            </w:r>
          </w:p>
        </w:tc>
        <w:tc>
          <w:tcPr>
            <w:tcW w:w="2410" w:type="dxa"/>
            <w:vAlign w:val="center"/>
          </w:tcPr>
          <w:p w14:paraId="73876B7B">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03FCE8C1">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vAlign w:val="center"/>
          </w:tcPr>
          <w:p w14:paraId="45AEE319">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含WIFI模块</w:t>
            </w:r>
          </w:p>
        </w:tc>
      </w:tr>
      <w:tr w14:paraId="74EF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0B541B83">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3830" w:type="dxa"/>
            <w:vAlign w:val="center"/>
          </w:tcPr>
          <w:p w14:paraId="17EBB49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校准板</w:t>
            </w:r>
          </w:p>
        </w:tc>
        <w:tc>
          <w:tcPr>
            <w:tcW w:w="2410" w:type="dxa"/>
            <w:vAlign w:val="center"/>
          </w:tcPr>
          <w:p w14:paraId="6DF9F730">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851" w:type="dxa"/>
            <w:vAlign w:val="center"/>
          </w:tcPr>
          <w:p w14:paraId="61529B4A">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vAlign w:val="center"/>
          </w:tcPr>
          <w:p w14:paraId="4150DFF2">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2040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714E5B07">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p>
        </w:tc>
        <w:tc>
          <w:tcPr>
            <w:tcW w:w="3830" w:type="dxa"/>
            <w:vAlign w:val="center"/>
          </w:tcPr>
          <w:p w14:paraId="5CB8187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电源适配器</w:t>
            </w:r>
          </w:p>
        </w:tc>
        <w:tc>
          <w:tcPr>
            <w:tcW w:w="2410" w:type="dxa"/>
            <w:vAlign w:val="center"/>
          </w:tcPr>
          <w:p w14:paraId="588FE5E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851" w:type="dxa"/>
            <w:vAlign w:val="center"/>
          </w:tcPr>
          <w:p w14:paraId="109098FC">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vAlign w:val="center"/>
          </w:tcPr>
          <w:p w14:paraId="3AE4E048">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0F27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2D1F8192">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p>
        </w:tc>
        <w:tc>
          <w:tcPr>
            <w:tcW w:w="3830" w:type="dxa"/>
            <w:vAlign w:val="center"/>
          </w:tcPr>
          <w:p w14:paraId="56E2941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电源线</w:t>
            </w:r>
          </w:p>
        </w:tc>
        <w:tc>
          <w:tcPr>
            <w:tcW w:w="2410" w:type="dxa"/>
            <w:vAlign w:val="center"/>
          </w:tcPr>
          <w:p w14:paraId="7AFFAD1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851" w:type="dxa"/>
            <w:vAlign w:val="center"/>
          </w:tcPr>
          <w:p w14:paraId="414B6F69">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vAlign w:val="center"/>
          </w:tcPr>
          <w:p w14:paraId="705D222E">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37DC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0F6A93B8">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p>
        </w:tc>
        <w:tc>
          <w:tcPr>
            <w:tcW w:w="3830" w:type="dxa"/>
            <w:vAlign w:val="center"/>
          </w:tcPr>
          <w:p w14:paraId="37C3F0B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网线</w:t>
            </w:r>
          </w:p>
        </w:tc>
        <w:tc>
          <w:tcPr>
            <w:tcW w:w="2410" w:type="dxa"/>
            <w:vAlign w:val="center"/>
          </w:tcPr>
          <w:p w14:paraId="5670236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851" w:type="dxa"/>
            <w:vAlign w:val="center"/>
          </w:tcPr>
          <w:p w14:paraId="1E12AC99">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vAlign w:val="center"/>
          </w:tcPr>
          <w:p w14:paraId="2D5CA3E5">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52290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2401F11D">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w:t>
            </w:r>
          </w:p>
        </w:tc>
        <w:tc>
          <w:tcPr>
            <w:tcW w:w="3830" w:type="dxa"/>
            <w:vAlign w:val="center"/>
          </w:tcPr>
          <w:p w14:paraId="21D9609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数据线</w:t>
            </w:r>
          </w:p>
        </w:tc>
        <w:tc>
          <w:tcPr>
            <w:tcW w:w="2410" w:type="dxa"/>
            <w:vAlign w:val="center"/>
          </w:tcPr>
          <w:p w14:paraId="71FF83F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851" w:type="dxa"/>
            <w:vAlign w:val="center"/>
          </w:tcPr>
          <w:p w14:paraId="75AAC049">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vAlign w:val="center"/>
          </w:tcPr>
          <w:p w14:paraId="18B66CC2">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41A4A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7331FF8F">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w:t>
            </w:r>
          </w:p>
        </w:tc>
        <w:tc>
          <w:tcPr>
            <w:tcW w:w="3830" w:type="dxa"/>
            <w:vAlign w:val="center"/>
          </w:tcPr>
          <w:p w14:paraId="6428C0B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遥控器</w:t>
            </w:r>
          </w:p>
        </w:tc>
        <w:tc>
          <w:tcPr>
            <w:tcW w:w="2410" w:type="dxa"/>
            <w:vAlign w:val="center"/>
          </w:tcPr>
          <w:p w14:paraId="5EE5899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851" w:type="dxa"/>
            <w:vAlign w:val="center"/>
          </w:tcPr>
          <w:p w14:paraId="76254241">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vAlign w:val="center"/>
          </w:tcPr>
          <w:p w14:paraId="648EC588">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0D7C1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5D76521B">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w:t>
            </w:r>
          </w:p>
        </w:tc>
        <w:tc>
          <w:tcPr>
            <w:tcW w:w="3830" w:type="dxa"/>
            <w:vAlign w:val="center"/>
          </w:tcPr>
          <w:p w14:paraId="61F4BE95">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营业执照复印件</w:t>
            </w:r>
          </w:p>
        </w:tc>
        <w:tc>
          <w:tcPr>
            <w:tcW w:w="2410" w:type="dxa"/>
            <w:vAlign w:val="center"/>
          </w:tcPr>
          <w:p w14:paraId="376EFD5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3156A874">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1份</w:t>
            </w:r>
          </w:p>
        </w:tc>
        <w:tc>
          <w:tcPr>
            <w:tcW w:w="1984" w:type="dxa"/>
            <w:vAlign w:val="center"/>
          </w:tcPr>
          <w:p w14:paraId="4564E721">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1A55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601ACFF7">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w:t>
            </w:r>
          </w:p>
        </w:tc>
        <w:tc>
          <w:tcPr>
            <w:tcW w:w="3830" w:type="dxa"/>
            <w:vAlign w:val="center"/>
          </w:tcPr>
          <w:p w14:paraId="2BA61486">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计量器具型式批准证书复印件</w:t>
            </w:r>
          </w:p>
        </w:tc>
        <w:tc>
          <w:tcPr>
            <w:tcW w:w="2410" w:type="dxa"/>
            <w:vAlign w:val="center"/>
          </w:tcPr>
          <w:p w14:paraId="56E8A65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61289886">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1份</w:t>
            </w:r>
          </w:p>
        </w:tc>
        <w:tc>
          <w:tcPr>
            <w:tcW w:w="1984" w:type="dxa"/>
            <w:vAlign w:val="center"/>
          </w:tcPr>
          <w:p w14:paraId="2905B08B">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0C35A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2330516F">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w:t>
            </w:r>
          </w:p>
        </w:tc>
        <w:tc>
          <w:tcPr>
            <w:tcW w:w="3830" w:type="dxa"/>
            <w:vAlign w:val="center"/>
          </w:tcPr>
          <w:p w14:paraId="339BCD36">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超声波身高体重测量仪技术使用说明书</w:t>
            </w:r>
          </w:p>
        </w:tc>
        <w:tc>
          <w:tcPr>
            <w:tcW w:w="2410" w:type="dxa"/>
            <w:vAlign w:val="center"/>
          </w:tcPr>
          <w:p w14:paraId="5EFB6FD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5F0D48AB">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1份</w:t>
            </w:r>
          </w:p>
        </w:tc>
        <w:tc>
          <w:tcPr>
            <w:tcW w:w="1984" w:type="dxa"/>
            <w:vAlign w:val="center"/>
          </w:tcPr>
          <w:p w14:paraId="5B157527">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5EC28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58099981">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12</w:t>
            </w:r>
          </w:p>
        </w:tc>
        <w:tc>
          <w:tcPr>
            <w:tcW w:w="3830" w:type="dxa"/>
            <w:vAlign w:val="center"/>
          </w:tcPr>
          <w:p w14:paraId="59417D05">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保修卡</w:t>
            </w:r>
          </w:p>
        </w:tc>
        <w:tc>
          <w:tcPr>
            <w:tcW w:w="2410" w:type="dxa"/>
            <w:vAlign w:val="center"/>
          </w:tcPr>
          <w:p w14:paraId="6B21C28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410E9593">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1张</w:t>
            </w:r>
          </w:p>
        </w:tc>
        <w:tc>
          <w:tcPr>
            <w:tcW w:w="1984" w:type="dxa"/>
            <w:vAlign w:val="center"/>
          </w:tcPr>
          <w:p w14:paraId="3F5F97E5">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44EB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3ADE5329">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w:t>
            </w:r>
          </w:p>
        </w:tc>
        <w:tc>
          <w:tcPr>
            <w:tcW w:w="3830" w:type="dxa"/>
            <w:vAlign w:val="center"/>
          </w:tcPr>
          <w:p w14:paraId="1F9E70D0">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合格证</w:t>
            </w:r>
          </w:p>
        </w:tc>
        <w:tc>
          <w:tcPr>
            <w:tcW w:w="2410" w:type="dxa"/>
            <w:vAlign w:val="center"/>
          </w:tcPr>
          <w:p w14:paraId="754BEFB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76F7DA82">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1张</w:t>
            </w:r>
          </w:p>
        </w:tc>
        <w:tc>
          <w:tcPr>
            <w:tcW w:w="1984" w:type="dxa"/>
            <w:vAlign w:val="center"/>
          </w:tcPr>
          <w:p w14:paraId="009B99BE">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46DA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0F591CC5">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14</w:t>
            </w:r>
          </w:p>
        </w:tc>
        <w:tc>
          <w:tcPr>
            <w:tcW w:w="3830" w:type="dxa"/>
            <w:vAlign w:val="center"/>
          </w:tcPr>
          <w:p w14:paraId="3D6BC3EA">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铭牌</w:t>
            </w:r>
          </w:p>
        </w:tc>
        <w:tc>
          <w:tcPr>
            <w:tcW w:w="2410" w:type="dxa"/>
            <w:vAlign w:val="center"/>
          </w:tcPr>
          <w:p w14:paraId="36842B3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7D2FB520">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1张</w:t>
            </w:r>
          </w:p>
        </w:tc>
        <w:tc>
          <w:tcPr>
            <w:tcW w:w="1984" w:type="dxa"/>
            <w:vAlign w:val="center"/>
          </w:tcPr>
          <w:p w14:paraId="1588443E">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r w14:paraId="6CF6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3747EDAD">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15</w:t>
            </w:r>
          </w:p>
        </w:tc>
        <w:tc>
          <w:tcPr>
            <w:tcW w:w="3830" w:type="dxa"/>
            <w:vAlign w:val="center"/>
          </w:tcPr>
          <w:p w14:paraId="6D53CF82">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蓝牙打印设备</w:t>
            </w:r>
          </w:p>
        </w:tc>
        <w:tc>
          <w:tcPr>
            <w:tcW w:w="2410" w:type="dxa"/>
            <w:vAlign w:val="center"/>
          </w:tcPr>
          <w:p w14:paraId="678D8090">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2006BAFA">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1台</w:t>
            </w:r>
          </w:p>
        </w:tc>
        <w:tc>
          <w:tcPr>
            <w:tcW w:w="1984" w:type="dxa"/>
            <w:vAlign w:val="center"/>
          </w:tcPr>
          <w:p w14:paraId="771238A8">
            <w:pPr>
              <w:jc w:val="center"/>
              <w:rPr>
                <w:rFonts w:ascii="宋体" w:hAnsi="宋体" w:cs="宋体"/>
                <w:color w:val="000000" w:themeColor="text1"/>
                <w:kern w:val="0"/>
                <w:sz w:val="24"/>
                <w:highlight w:val="none"/>
                <w14:textFill>
                  <w14:solidFill>
                    <w14:schemeClr w14:val="tx1"/>
                  </w14:solidFill>
                </w14:textFill>
              </w:rPr>
            </w:pPr>
          </w:p>
        </w:tc>
      </w:tr>
      <w:tr w14:paraId="4DB7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240B18C5">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16</w:t>
            </w:r>
          </w:p>
        </w:tc>
        <w:tc>
          <w:tcPr>
            <w:tcW w:w="3830" w:type="dxa"/>
            <w:vAlign w:val="center"/>
          </w:tcPr>
          <w:p w14:paraId="24A79C45">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移动网络模块</w:t>
            </w:r>
          </w:p>
        </w:tc>
        <w:tc>
          <w:tcPr>
            <w:tcW w:w="2410" w:type="dxa"/>
            <w:vAlign w:val="center"/>
          </w:tcPr>
          <w:p w14:paraId="4D9A2EA4">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851" w:type="dxa"/>
            <w:vAlign w:val="center"/>
          </w:tcPr>
          <w:p w14:paraId="7C8C14ED">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vAlign w:val="center"/>
          </w:tcPr>
          <w:p w14:paraId="5A6C4184">
            <w:pPr>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含于主机内部</w:t>
            </w:r>
          </w:p>
        </w:tc>
      </w:tr>
      <w:tr w14:paraId="0E204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6" w:type="dxa"/>
            <w:vAlign w:val="center"/>
          </w:tcPr>
          <w:p w14:paraId="637CAACD">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17</w:t>
            </w:r>
          </w:p>
        </w:tc>
        <w:tc>
          <w:tcPr>
            <w:tcW w:w="3830" w:type="dxa"/>
            <w:vAlign w:val="center"/>
          </w:tcPr>
          <w:p w14:paraId="4D335F2A">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扫码枪</w:t>
            </w:r>
          </w:p>
        </w:tc>
        <w:tc>
          <w:tcPr>
            <w:tcW w:w="2410" w:type="dxa"/>
            <w:vAlign w:val="center"/>
          </w:tcPr>
          <w:p w14:paraId="110062A0">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851" w:type="dxa"/>
            <w:vAlign w:val="center"/>
          </w:tcPr>
          <w:p w14:paraId="320AA274">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w:t>
            </w:r>
          </w:p>
        </w:tc>
        <w:tc>
          <w:tcPr>
            <w:tcW w:w="1984" w:type="dxa"/>
            <w:vAlign w:val="center"/>
          </w:tcPr>
          <w:p w14:paraId="3B4FF497">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r>
    </w:tbl>
    <w:p w14:paraId="5DF3FA09">
      <w:pPr>
        <w:rPr>
          <w:rFonts w:ascii="宋体" w:hAnsi="宋体" w:cs="宋体"/>
          <w:b/>
          <w:bCs/>
          <w:color w:val="000000" w:themeColor="text1"/>
          <w:sz w:val="24"/>
          <w:highlight w:val="none"/>
          <w14:textFill>
            <w14:solidFill>
              <w14:schemeClr w14:val="tx1"/>
            </w14:solidFill>
          </w14:textFill>
        </w:rPr>
      </w:pPr>
    </w:p>
    <w:p w14:paraId="7E0981A4">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p>
    <w:p w14:paraId="0B230A17">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51" w:name="_Toc21628"/>
      <w:bookmarkStart w:id="452" w:name="_Toc6939"/>
      <w:bookmarkStart w:id="453" w:name="_Toc7639"/>
      <w:r>
        <w:rPr>
          <w:rFonts w:hint="eastAsia" w:ascii="宋体" w:hAnsi="宋体" w:cs="宋体"/>
          <w:b/>
          <w:bCs/>
          <w:color w:val="000000" w:themeColor="text1"/>
          <w:sz w:val="24"/>
          <w:highlight w:val="none"/>
          <w14:textFill>
            <w14:solidFill>
              <w14:schemeClr w14:val="tx1"/>
            </w14:solidFill>
          </w14:textFill>
        </w:rPr>
        <w:t>（六）轮椅</w:t>
      </w:r>
      <w:bookmarkEnd w:id="451"/>
      <w:bookmarkEnd w:id="452"/>
      <w:bookmarkEnd w:id="453"/>
    </w:p>
    <w:p w14:paraId="10377CC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1.侧面全椅长：≥94.5cm。</w:t>
      </w:r>
    </w:p>
    <w:p w14:paraId="1F72B26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2.坐高：≥50cm。</w:t>
      </w:r>
    </w:p>
    <w:p w14:paraId="42CEFF3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▲3.整个轮椅高：≥88cm。</w:t>
      </w:r>
    </w:p>
    <w:p w14:paraId="405FB9E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4.坐宽：≥46cm。</w:t>
      </w:r>
    </w:p>
    <w:p w14:paraId="525DA92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5.正面全椅宽：≥62.5cm。</w:t>
      </w:r>
    </w:p>
    <w:p w14:paraId="793628D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 重量：≤18kg。</w:t>
      </w:r>
    </w:p>
    <w:p w14:paraId="5BFE5F9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7.侧面坐椅长：≥40cm。</w:t>
      </w:r>
    </w:p>
    <w:p w14:paraId="1AE35E5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8.背垫高：≥46cm。</w:t>
      </w:r>
    </w:p>
    <w:p w14:paraId="4E36A81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9.折叠后尺寸宽度：≥27cm。</w:t>
      </w:r>
    </w:p>
    <w:p w14:paraId="6D435956">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7DB74C07">
      <w:pPr>
        <w:rPr>
          <w:rFonts w:ascii="宋体" w:hAnsi="宋体" w:cs="宋体"/>
          <w:b/>
          <w:bCs/>
          <w:color w:val="000000" w:themeColor="text1"/>
          <w:sz w:val="24"/>
          <w:highlight w:val="none"/>
          <w14:textFill>
            <w14:solidFill>
              <w14:schemeClr w14:val="tx1"/>
            </w14:solidFill>
          </w14:textFill>
        </w:rPr>
      </w:pPr>
    </w:p>
    <w:p w14:paraId="22354EC8">
      <w:pPr>
        <w:rPr>
          <w:rFonts w:ascii="宋体" w:hAnsi="宋体" w:cs="宋体"/>
          <w:b/>
          <w:bCs/>
          <w:color w:val="000000" w:themeColor="text1"/>
          <w:sz w:val="24"/>
          <w:highlight w:val="none"/>
          <w14:textFill>
            <w14:solidFill>
              <w14:schemeClr w14:val="tx1"/>
            </w14:solidFill>
          </w14:textFill>
        </w:rPr>
      </w:pPr>
    </w:p>
    <w:p w14:paraId="26495EE9">
      <w:pPr>
        <w:rPr>
          <w:rFonts w:ascii="宋体" w:hAnsi="宋体" w:cs="宋体"/>
          <w:b/>
          <w:bCs/>
          <w:color w:val="000000" w:themeColor="text1"/>
          <w:sz w:val="24"/>
          <w:highlight w:val="none"/>
          <w14:textFill>
            <w14:solidFill>
              <w14:schemeClr w14:val="tx1"/>
            </w14:solidFill>
          </w14:textFill>
        </w:rPr>
      </w:pPr>
    </w:p>
    <w:p w14:paraId="619A6355">
      <w:pPr>
        <w:rPr>
          <w:rFonts w:ascii="宋体" w:hAnsi="宋体" w:cs="宋体"/>
          <w:b/>
          <w:bCs/>
          <w:color w:val="000000" w:themeColor="text1"/>
          <w:sz w:val="24"/>
          <w:highlight w:val="none"/>
          <w14:textFill>
            <w14:solidFill>
              <w14:schemeClr w14:val="tx1"/>
            </w14:solidFill>
          </w14:textFill>
        </w:rPr>
      </w:pPr>
    </w:p>
    <w:p w14:paraId="45219609">
      <w:pPr>
        <w:rPr>
          <w:rFonts w:ascii="宋体" w:hAnsi="宋体" w:cs="宋体"/>
          <w:b/>
          <w:bCs/>
          <w:color w:val="000000" w:themeColor="text1"/>
          <w:sz w:val="24"/>
          <w:highlight w:val="none"/>
          <w14:textFill>
            <w14:solidFill>
              <w14:schemeClr w14:val="tx1"/>
            </w14:solidFill>
          </w14:textFill>
        </w:rPr>
      </w:pPr>
    </w:p>
    <w:p w14:paraId="24ED833B">
      <w:pPr>
        <w:rPr>
          <w:rFonts w:ascii="宋体" w:hAnsi="宋体" w:cs="宋体"/>
          <w:b/>
          <w:bCs/>
          <w:color w:val="000000" w:themeColor="text1"/>
          <w:sz w:val="24"/>
          <w:highlight w:val="none"/>
          <w14:textFill>
            <w14:solidFill>
              <w14:schemeClr w14:val="tx1"/>
            </w14:solidFill>
          </w14:textFill>
        </w:rPr>
      </w:pPr>
    </w:p>
    <w:p w14:paraId="4086FDF2">
      <w:pPr>
        <w:rPr>
          <w:rFonts w:ascii="宋体" w:hAnsi="宋体" w:cs="宋体"/>
          <w:b/>
          <w:bCs/>
          <w:color w:val="000000" w:themeColor="text1"/>
          <w:sz w:val="24"/>
          <w:highlight w:val="none"/>
          <w14:textFill>
            <w14:solidFill>
              <w14:schemeClr w14:val="tx1"/>
            </w14:solidFill>
          </w14:textFill>
        </w:rPr>
      </w:pPr>
    </w:p>
    <w:p w14:paraId="1E288D51">
      <w:pPr>
        <w:rPr>
          <w:rFonts w:ascii="宋体" w:hAnsi="宋体" w:cs="宋体"/>
          <w:b/>
          <w:bCs/>
          <w:color w:val="000000" w:themeColor="text1"/>
          <w:sz w:val="24"/>
          <w:highlight w:val="none"/>
          <w14:textFill>
            <w14:solidFill>
              <w14:schemeClr w14:val="tx1"/>
            </w14:solidFill>
          </w14:textFill>
        </w:rPr>
      </w:pPr>
    </w:p>
    <w:p w14:paraId="0144E592">
      <w:pPr>
        <w:rPr>
          <w:rFonts w:ascii="宋体" w:hAnsi="宋体" w:cs="宋体"/>
          <w:b/>
          <w:bCs/>
          <w:color w:val="000000" w:themeColor="text1"/>
          <w:sz w:val="24"/>
          <w:highlight w:val="none"/>
          <w14:textFill>
            <w14:solidFill>
              <w14:schemeClr w14:val="tx1"/>
            </w14:solidFill>
          </w14:textFill>
        </w:rPr>
      </w:pPr>
    </w:p>
    <w:p w14:paraId="6AF782A5">
      <w:pPr>
        <w:rPr>
          <w:rFonts w:ascii="宋体" w:hAnsi="宋体" w:cs="宋体"/>
          <w:b/>
          <w:bCs/>
          <w:color w:val="000000" w:themeColor="text1"/>
          <w:sz w:val="24"/>
          <w:highlight w:val="none"/>
          <w14:textFill>
            <w14:solidFill>
              <w14:schemeClr w14:val="tx1"/>
            </w14:solidFill>
          </w14:textFill>
        </w:rPr>
      </w:pPr>
    </w:p>
    <w:p w14:paraId="198B67B7">
      <w:pPr>
        <w:rPr>
          <w:rFonts w:ascii="宋体" w:hAnsi="宋体" w:cs="宋体"/>
          <w:b/>
          <w:bCs/>
          <w:color w:val="000000" w:themeColor="text1"/>
          <w:sz w:val="24"/>
          <w:highlight w:val="none"/>
          <w14:textFill>
            <w14:solidFill>
              <w14:schemeClr w14:val="tx1"/>
            </w14:solidFill>
          </w14:textFill>
        </w:rPr>
      </w:pPr>
    </w:p>
    <w:p w14:paraId="608926D8">
      <w:pPr>
        <w:rPr>
          <w:rFonts w:ascii="宋体" w:hAnsi="宋体" w:cs="宋体"/>
          <w:b/>
          <w:bCs/>
          <w:color w:val="000000" w:themeColor="text1"/>
          <w:sz w:val="24"/>
          <w:highlight w:val="none"/>
          <w14:textFill>
            <w14:solidFill>
              <w14:schemeClr w14:val="tx1"/>
            </w14:solidFill>
          </w14:textFill>
        </w:rPr>
      </w:pPr>
    </w:p>
    <w:p w14:paraId="59E4CFD8">
      <w:pPr>
        <w:rPr>
          <w:rFonts w:ascii="宋体" w:hAnsi="宋体" w:cs="宋体"/>
          <w:b/>
          <w:bCs/>
          <w:color w:val="000000" w:themeColor="text1"/>
          <w:sz w:val="24"/>
          <w:highlight w:val="none"/>
          <w14:textFill>
            <w14:solidFill>
              <w14:schemeClr w14:val="tx1"/>
            </w14:solidFill>
          </w14:textFill>
        </w:rPr>
      </w:pPr>
    </w:p>
    <w:p w14:paraId="18DDEA2E">
      <w:pPr>
        <w:rPr>
          <w:rFonts w:ascii="宋体" w:hAnsi="宋体" w:cs="宋体"/>
          <w:b/>
          <w:bCs/>
          <w:color w:val="000000" w:themeColor="text1"/>
          <w:sz w:val="24"/>
          <w:highlight w:val="none"/>
          <w14:textFill>
            <w14:solidFill>
              <w14:schemeClr w14:val="tx1"/>
            </w14:solidFill>
          </w14:textFill>
        </w:rPr>
      </w:pPr>
    </w:p>
    <w:p w14:paraId="6BE539FD">
      <w:pPr>
        <w:rPr>
          <w:rFonts w:ascii="宋体" w:hAnsi="宋体" w:cs="宋体"/>
          <w:b/>
          <w:bCs/>
          <w:color w:val="000000" w:themeColor="text1"/>
          <w:sz w:val="24"/>
          <w:highlight w:val="none"/>
          <w14:textFill>
            <w14:solidFill>
              <w14:schemeClr w14:val="tx1"/>
            </w14:solidFill>
          </w14:textFill>
        </w:rPr>
      </w:pPr>
    </w:p>
    <w:p w14:paraId="0E457FB5">
      <w:pPr>
        <w:rPr>
          <w:rFonts w:ascii="宋体" w:hAnsi="宋体" w:cs="宋体"/>
          <w:b/>
          <w:bCs/>
          <w:color w:val="000000" w:themeColor="text1"/>
          <w:sz w:val="24"/>
          <w:highlight w:val="none"/>
          <w14:textFill>
            <w14:solidFill>
              <w14:schemeClr w14:val="tx1"/>
            </w14:solidFill>
          </w14:textFill>
        </w:rPr>
      </w:pPr>
    </w:p>
    <w:p w14:paraId="44DDFE36">
      <w:pPr>
        <w:rPr>
          <w:rFonts w:ascii="宋体" w:hAnsi="宋体" w:cs="宋体"/>
          <w:b/>
          <w:bCs/>
          <w:color w:val="000000" w:themeColor="text1"/>
          <w:sz w:val="24"/>
          <w:highlight w:val="none"/>
          <w14:textFill>
            <w14:solidFill>
              <w14:schemeClr w14:val="tx1"/>
            </w14:solidFill>
          </w14:textFill>
        </w:rPr>
      </w:pPr>
    </w:p>
    <w:p w14:paraId="42CAD5E1">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p>
    <w:p w14:paraId="64D4AFB5">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54" w:name="_Toc14159"/>
      <w:bookmarkStart w:id="455" w:name="_Toc7404"/>
      <w:bookmarkStart w:id="456" w:name="_Toc22540"/>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七</w:t>
      </w:r>
      <w:r>
        <w:rPr>
          <w:rFonts w:hint="eastAsia" w:ascii="宋体" w:hAnsi="宋体" w:cs="宋体"/>
          <w:b/>
          <w:bCs/>
          <w:color w:val="000000" w:themeColor="text1"/>
          <w:sz w:val="24"/>
          <w:highlight w:val="none"/>
          <w14:textFill>
            <w14:solidFill>
              <w14:schemeClr w14:val="tx1"/>
            </w14:solidFill>
          </w14:textFill>
        </w:rPr>
        <w:t>）洗衣机</w:t>
      </w:r>
      <w:bookmarkEnd w:id="454"/>
      <w:bookmarkEnd w:id="455"/>
      <w:bookmarkEnd w:id="456"/>
    </w:p>
    <w:p w14:paraId="1B4ABAFA">
      <w:pPr>
        <w:pStyle w:val="93"/>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标准程序耗电量：</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0.088度。</w:t>
      </w:r>
    </w:p>
    <w:p w14:paraId="3D8A378E">
      <w:pPr>
        <w:pStyle w:val="93"/>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国家能效等级：2级。</w:t>
      </w:r>
    </w:p>
    <w:p w14:paraId="58AB1014">
      <w:pPr>
        <w:pStyle w:val="93"/>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洗涤噪音：</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62分贝。</w:t>
      </w:r>
    </w:p>
    <w:p w14:paraId="70BC2DDC">
      <w:pPr>
        <w:pStyle w:val="93"/>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产品尺寸（宽*深*高）：</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545*565*905mm。</w:t>
      </w:r>
    </w:p>
    <w:p w14:paraId="755C9F71">
      <w:pPr>
        <w:pStyle w:val="93"/>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包装尺寸（宽*深*高）：</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580*580*960</w:t>
      </w:r>
      <w:r>
        <w:rPr>
          <w:rFonts w:hint="eastAsia"/>
          <w:color w:val="000000" w:themeColor="text1"/>
          <w:highlight w:val="none"/>
          <w:lang w:val="en-US"/>
          <w14:textFill>
            <w14:solidFill>
              <w14:schemeClr w14:val="tx1"/>
            </w14:solidFill>
          </w14:textFill>
        </w:rPr>
        <w:t>mm。</w:t>
      </w:r>
    </w:p>
    <w:p w14:paraId="634B6929">
      <w:pPr>
        <w:pStyle w:val="93"/>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产品重量：</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30.5Kg。</w:t>
      </w:r>
    </w:p>
    <w:p w14:paraId="6C901382">
      <w:pPr>
        <w:pStyle w:val="93"/>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电压／频率：220V／50Hz。</w:t>
      </w:r>
    </w:p>
    <w:p w14:paraId="3589824C">
      <w:pPr>
        <w:pStyle w:val="93"/>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DD电机：无。</w:t>
      </w:r>
    </w:p>
    <w:p w14:paraId="1B877A68">
      <w:pPr>
        <w:pStyle w:val="93"/>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中途添加衣物：有。</w:t>
      </w:r>
    </w:p>
    <w:p w14:paraId="2BB802B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10.筒自洁功能：有。</w:t>
      </w:r>
    </w:p>
    <w:p w14:paraId="6A312715">
      <w:pPr>
        <w:rPr>
          <w:rFonts w:ascii="宋体" w:hAnsi="宋体" w:cs="宋体"/>
          <w:b/>
          <w:bCs/>
          <w:color w:val="000000" w:themeColor="text1"/>
          <w:sz w:val="24"/>
          <w:highlight w:val="none"/>
          <w14:textFill>
            <w14:solidFill>
              <w14:schemeClr w14:val="tx1"/>
            </w14:solidFill>
          </w14:textFill>
        </w:rPr>
      </w:pPr>
    </w:p>
    <w:p w14:paraId="6A030B20">
      <w:pPr>
        <w:rPr>
          <w:rFonts w:ascii="宋体" w:hAnsi="宋体" w:cs="宋体"/>
          <w:b/>
          <w:bCs/>
          <w:color w:val="000000" w:themeColor="text1"/>
          <w:sz w:val="24"/>
          <w:highlight w:val="none"/>
          <w14:textFill>
            <w14:solidFill>
              <w14:schemeClr w14:val="tx1"/>
            </w14:solidFill>
          </w14:textFill>
        </w:rPr>
      </w:pPr>
    </w:p>
    <w:p w14:paraId="7F557716">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p>
    <w:p w14:paraId="62C79D99">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57" w:name="_Toc5340"/>
      <w:bookmarkStart w:id="458" w:name="_Toc20413"/>
      <w:bookmarkStart w:id="459" w:name="_Toc644"/>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八</w:t>
      </w:r>
      <w:r>
        <w:rPr>
          <w:rFonts w:hint="eastAsia" w:ascii="宋体" w:hAnsi="宋体" w:cs="宋体"/>
          <w:b/>
          <w:bCs/>
          <w:color w:val="000000" w:themeColor="text1"/>
          <w:sz w:val="24"/>
          <w:highlight w:val="none"/>
          <w14:textFill>
            <w14:solidFill>
              <w14:schemeClr w14:val="tx1"/>
            </w14:solidFill>
          </w14:textFill>
        </w:rPr>
        <w:t>）心电图机</w:t>
      </w:r>
      <w:bookmarkEnd w:id="457"/>
      <w:bookmarkEnd w:id="458"/>
      <w:bookmarkEnd w:id="459"/>
    </w:p>
    <w:p w14:paraId="3D1EE33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1.主要功能：静息12导联心电图、计算法18导联心电图、二阶梯实验、运动后检查、RR间期检查。</w:t>
      </w:r>
    </w:p>
    <w:p w14:paraId="139FDC5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2.导联选择：自动或手动。</w:t>
      </w:r>
    </w:p>
    <w:p w14:paraId="10E848D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▲3.输入保护：标配导联线内附除颤保护电路。</w:t>
      </w:r>
    </w:p>
    <w:p w14:paraId="12415248">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▲4.AD采样率：≥750000 Hz/Ch。</w:t>
      </w:r>
    </w:p>
    <w:p w14:paraId="4C146CE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5.输入阻抗：≥50MΩ。</w:t>
      </w:r>
    </w:p>
    <w:p w14:paraId="6028A93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6.耐极化电压：≥±550mV。</w:t>
      </w:r>
    </w:p>
    <w:p w14:paraId="19E08EC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7.共模抑制比：≥105dB。</w:t>
      </w:r>
    </w:p>
    <w:p w14:paraId="40E45FB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8.频率响应：0.5Hz-500Hz。</w:t>
      </w:r>
    </w:p>
    <w:p w14:paraId="1813637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9.标准灵敏度：10mm/mV, 误差≤±5%。</w:t>
      </w:r>
    </w:p>
    <w:p w14:paraId="4FE69C64">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★10.时间常数：≥4.2秒。</w:t>
      </w:r>
    </w:p>
    <w:p w14:paraId="12587C7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11.滤波器：低通滤波、肌电滤波、交流滤波、基线抑制滤波。</w:t>
      </w:r>
    </w:p>
    <w:p w14:paraId="217BDFF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★12.不正常状态检测：电极脱落报警，高频噪声过高报警。</w:t>
      </w:r>
    </w:p>
    <w:p w14:paraId="700B588A">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★13.电极脱落：液晶显示器显示脱落部位。</w:t>
      </w:r>
    </w:p>
    <w:p w14:paraId="26B0344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14.操作模式：可自动或手动，自动操作时支持实时或回顾记录 。</w:t>
      </w:r>
    </w:p>
    <w:p w14:paraId="7D17FDE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▲15.心律失常检测：具备心律失常检测并自动延长记录的功能。</w:t>
      </w:r>
    </w:p>
    <w:p w14:paraId="69BBBC6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▲16.冻结记录：≥3分钟波形冻结记录模式。</w:t>
      </w:r>
    </w:p>
    <w:p w14:paraId="3B9DF59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17.波形质量检测：可实现波形质量稳定情况下，设备自动开始记录。</w:t>
      </w:r>
    </w:p>
    <w:p w14:paraId="0B790BC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★18.显示方式：≥7.8"液晶显示屏。</w:t>
      </w:r>
    </w:p>
    <w:p w14:paraId="0702E4F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19.记录器：内置高分辨率热线阵打印,可同步打印12道心电波形。</w:t>
      </w:r>
    </w:p>
    <w:p w14:paraId="56B0414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20.打印网格：具备在无网格纸上打印网格功能。</w:t>
      </w:r>
    </w:p>
    <w:p w14:paraId="1E213AC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★21.输出设备：可直连打印机，打印A4尺寸报告。</w:t>
      </w:r>
    </w:p>
    <w:p w14:paraId="4F9D1D4B">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▲22.支持计算法18导联心电图报告打印。</w:t>
      </w:r>
    </w:p>
    <w:p w14:paraId="280C015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23.走纸速度：10, 12.5, 25，50mm/S。</w:t>
      </w:r>
    </w:p>
    <w:p w14:paraId="43B1F26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▲24.电极噪声标记：双模式（屏幕，报告）提示，点划线热敏标记打印，热敏报告可显示噪声、脱落的具体时间段。</w:t>
      </w:r>
    </w:p>
    <w:p w14:paraId="2FF5966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▲25.模拟信号打印：具备外部信号输入接口，可打印心音脉波放大器等外部机器的模拟信号。</w:t>
      </w:r>
    </w:p>
    <w:p w14:paraId="3B82215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▲26.QTc算法：≥4种。</w:t>
      </w:r>
    </w:p>
    <w:p w14:paraId="695BC54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▲27.测量分析：具备12导联心电性别年龄特异性算法，支持超过40种心电相关参数自动测量。</w:t>
      </w:r>
    </w:p>
    <w:p w14:paraId="58270516">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▲28.测量分析：具备18导联心电图右胸后壁导联独立分析及18导联ST-Map打印。</w:t>
      </w:r>
    </w:p>
    <w:p w14:paraId="35DA230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★29.自动测量参数：包括心率、PR间期、QT/QTc、P/QRS/T电轴、RV5/SV1电压等值。</w:t>
      </w:r>
    </w:p>
    <w:p w14:paraId="382F55C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30.外部输入：10mm/0.5V±5%，输入阻抗≥100kΩ。</w:t>
      </w:r>
    </w:p>
    <w:p w14:paraId="29B7EB3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31.其它输出接口：USB/SD。</w:t>
      </w:r>
    </w:p>
    <w:p w14:paraId="4C62875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★32.存储和传输：内置≥800份心电图，扩展支持3000份以上外部设备存储。</w:t>
      </w:r>
    </w:p>
    <w:p w14:paraId="1B5436C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▲33.输入设备：可连接条码枪、读卡器。</w:t>
      </w:r>
    </w:p>
    <w:p w14:paraId="2EFFB44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34.在不安装插件或软件情况下，可通过电脑端进行设备数据的查看及打印。</w:t>
      </w:r>
    </w:p>
    <w:p w14:paraId="13D31E8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35.需具备系统登录加密功能，开启后可实现用户使用密码登录。</w:t>
      </w:r>
    </w:p>
    <w:p w14:paraId="4E1B3CE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36.网络：标配LAN有线网络接口，内置WIFI网络连接。</w:t>
      </w:r>
    </w:p>
    <w:p w14:paraId="5AF17CC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37.数据存储格式：PDF/XML/DAT。</w:t>
      </w:r>
    </w:p>
    <w:p w14:paraId="5811FF0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38.数据传输方式：DICOM/ECTP。</w:t>
      </w:r>
    </w:p>
    <w:p w14:paraId="5C03111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▲39.安全性：电击防护类型：I类CF型。</w:t>
      </w:r>
    </w:p>
    <w:p w14:paraId="37B5D0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40.交流：100-240±10%。</w:t>
      </w:r>
    </w:p>
    <w:p w14:paraId="32675501">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p>
    <w:p w14:paraId="5B4A42A1">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60" w:name="_Toc7587"/>
      <w:bookmarkStart w:id="461" w:name="_Toc9689"/>
      <w:bookmarkStart w:id="462" w:name="_Toc22173"/>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九</w:t>
      </w:r>
      <w:r>
        <w:rPr>
          <w:rFonts w:hint="eastAsia" w:ascii="宋体" w:hAnsi="宋体" w:cs="宋体"/>
          <w:b/>
          <w:bCs/>
          <w:color w:val="000000" w:themeColor="text1"/>
          <w:sz w:val="24"/>
          <w:highlight w:val="none"/>
          <w14:textFill>
            <w14:solidFill>
              <w14:schemeClr w14:val="tx1"/>
            </w14:solidFill>
          </w14:textFill>
        </w:rPr>
        <w:t>）床旁监护仪</w:t>
      </w:r>
      <w:bookmarkEnd w:id="460"/>
      <w:bookmarkEnd w:id="461"/>
      <w:bookmarkEnd w:id="462"/>
    </w:p>
    <w:p w14:paraId="5EC3C0B7">
      <w:pPr>
        <w:autoSpaceDE w:val="0"/>
        <w:autoSpaceDN w:val="0"/>
        <w:adjustRightInd w:val="0"/>
        <w:spacing w:line="360" w:lineRule="auto"/>
        <w:ind w:firstLine="482" w:firstLineChars="200"/>
        <w:jc w:val="left"/>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1.整机要求：</w:t>
      </w:r>
    </w:p>
    <w:p w14:paraId="3A4D3CE2">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▲1.1.模块化监护仪，主机集成内置≥2槽位插件槽，可支持IBP，CO2，AG和BIS任意参数模块的即插即用快速扩展临床应用。</w:t>
      </w:r>
    </w:p>
    <w:p w14:paraId="53E2200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1.2.整机无风扇设计，防水等级IPX1或更高。</w:t>
      </w:r>
      <w:r>
        <w:rPr>
          <w:rFonts w:hint="eastAsia" w:ascii="宋体" w:hAnsi="宋体" w:cs="宋体"/>
          <w:color w:val="000000" w:themeColor="text1"/>
          <w:kern w:val="0"/>
          <w:sz w:val="24"/>
          <w:highlight w:val="none"/>
          <w14:textFill>
            <w14:solidFill>
              <w14:schemeClr w14:val="tx1"/>
            </w14:solidFill>
          </w14:textFill>
        </w:rPr>
        <w:t xml:space="preserve"> </w:t>
      </w:r>
    </w:p>
    <w:p w14:paraId="03846EA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1.3.≥12.1英寸彩色液晶触摸屏，分辨率高达1280*800像素或更高，≥10通道波形显示。</w:t>
      </w:r>
    </w:p>
    <w:p w14:paraId="00F9FEE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★1.4.屏幕采用最新电容屏非电阻屏。</w:t>
      </w:r>
    </w:p>
    <w:p w14:paraId="40278A3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1.5.显示屏可支持亮度自动调节功能。</w:t>
      </w:r>
    </w:p>
    <w:p w14:paraId="4FA5D38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★1.6.屏幕倾斜10~15度设计，符合人机工程学，便于临床团队观察和操作。</w:t>
      </w:r>
    </w:p>
    <w:p w14:paraId="20A591D8">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1.7.可支持遥控器无线远程操作监护仪。</w:t>
      </w:r>
    </w:p>
    <w:p w14:paraId="4014BF2F">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1.8.内置锂电池，插槽式设计，无需螺丝刀工具支持快速拆卸和安装。锂电池支持监护仪工作时间≥4小时。</w:t>
      </w:r>
    </w:p>
    <w:p w14:paraId="6F68BB40">
      <w:pPr>
        <w:pStyle w:val="93"/>
        <w:adjustRightIn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安全规格：ECG, TEMP, IBP, SpO2 , NIBP监测参数抗电击程度为防除颤CF型</w:t>
      </w:r>
      <w:r>
        <w:rPr>
          <w:rFonts w:hint="eastAsia" w:ascii="宋体" w:hAnsi="宋体" w:cs="宋体"/>
          <w:color w:val="000000" w:themeColor="text1"/>
          <w:sz w:val="24"/>
          <w:highlight w:val="none"/>
          <w:lang w:val="en-US"/>
          <w14:textFill>
            <w14:solidFill>
              <w14:schemeClr w14:val="tx1"/>
            </w14:solidFill>
          </w14:textFill>
        </w:rPr>
        <w:drawing>
          <wp:inline distT="0" distB="0" distL="0" distR="0">
            <wp:extent cx="257175" cy="15240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noChangeArrowheads="1"/>
                    </pic:cNvPicPr>
                  </pic:nvPicPr>
                  <pic:blipFill>
                    <a:blip r:embed="rId19" cstate="print"/>
                    <a:srcRect/>
                    <a:stretch>
                      <a:fillRect/>
                    </a:stretch>
                  </pic:blipFill>
                  <pic:spPr>
                    <a:xfrm>
                      <a:off x="0" y="0"/>
                      <a:ext cx="257960" cy="152865"/>
                    </a:xfrm>
                    <a:prstGeom prst="rect">
                      <a:avLst/>
                    </a:prstGeom>
                    <a:noFill/>
                    <a:ln w="9525">
                      <a:noFill/>
                      <a:miter lim="800000"/>
                      <a:headEnd/>
                      <a:tailEnd/>
                    </a:ln>
                  </pic:spPr>
                </pic:pic>
              </a:graphicData>
            </a:graphic>
          </wp:inline>
        </w:drawing>
      </w:r>
      <w:r>
        <w:rPr>
          <w:rFonts w:hint="eastAsia" w:ascii="宋体" w:hAnsi="宋体" w:cs="宋体"/>
          <w:color w:val="000000" w:themeColor="text1"/>
          <w:sz w:val="24"/>
          <w:highlight w:val="none"/>
          <w14:textFill>
            <w14:solidFill>
              <w14:schemeClr w14:val="tx1"/>
            </w14:solidFill>
          </w14:textFill>
        </w:rPr>
        <w:t>。</w:t>
      </w:r>
    </w:p>
    <w:p w14:paraId="1CC88B4C">
      <w:pPr>
        <w:pStyle w:val="93"/>
        <w:adjustRightIn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1.10</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监护仪设计使用年限≥8年。</w:t>
      </w:r>
    </w:p>
    <w:p w14:paraId="40552D69">
      <w:pPr>
        <w:spacing w:line="360" w:lineRule="auto"/>
        <w:ind w:firstLine="480" w:firstLineChars="200"/>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▲1.11.监护仪清洁维护支持的清洁剂≥40种，在厂家手册中清晰列举清洁剂的种类。</w:t>
      </w:r>
    </w:p>
    <w:p w14:paraId="07382FE5">
      <w:pPr>
        <w:pStyle w:val="93"/>
        <w:adjustRightIn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1.12</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监护仪主机工作大气压环境范围：57.0~107.4kPa。</w:t>
      </w:r>
    </w:p>
    <w:p w14:paraId="02640536">
      <w:pPr>
        <w:pStyle w:val="93"/>
        <w:adjustRightIn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1.13</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监护仪主机工作温度环境范围：0~40°C。</w:t>
      </w:r>
    </w:p>
    <w:p w14:paraId="459FFD3F">
      <w:pPr>
        <w:pStyle w:val="93"/>
        <w:adjustRightIn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1.14</w:t>
      </w:r>
      <w:r>
        <w:rPr>
          <w:rFonts w:hint="eastAsia" w:ascii="宋体" w:hAnsi="宋体" w:cs="宋体"/>
          <w:color w:val="000000" w:themeColor="text1"/>
          <w:sz w:val="24"/>
          <w:highlight w:val="none"/>
          <w:lang w:val="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监护仪主机工作湿度环境范围；15~95%。</w:t>
      </w:r>
    </w:p>
    <w:p w14:paraId="08564554">
      <w:pPr>
        <w:autoSpaceDE w:val="0"/>
        <w:autoSpaceDN w:val="0"/>
        <w:adjustRightInd w:val="0"/>
        <w:spacing w:line="360" w:lineRule="auto"/>
        <w:ind w:firstLine="482" w:firstLineChars="200"/>
        <w:jc w:val="left"/>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2.监测参数：</w:t>
      </w:r>
    </w:p>
    <w:p w14:paraId="48BE10A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2.1.配置3/5导心电，呼吸，无创血压，血氧饱和度，脉搏和双通道体温参数监测。</w:t>
      </w:r>
    </w:p>
    <w:p w14:paraId="76CD83E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2.2.心电监护支持心率，ST段测量，心律失常分析，QT/QTc连续实时测量和对应报警功能。</w:t>
      </w:r>
    </w:p>
    <w:p w14:paraId="408C77A4">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▲2.3.心电算法通过AHA/MIT-BIH数据库验证。</w:t>
      </w:r>
    </w:p>
    <w:p w14:paraId="4314F6C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2.4.心电波形扫描速度支持6.25mm/s、12.5 mm/s、25 mm/s和50 mm/s。</w:t>
      </w:r>
    </w:p>
    <w:p w14:paraId="69BA24C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2.5.提供窗口支持心脏下壁，侧壁和前壁对应多个ST片段的同屏实时显示，提供参考片段和实时片段的对比查看。</w:t>
      </w:r>
    </w:p>
    <w:p w14:paraId="76DC22A4">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2.6.支持≥20种心律失常分析,包括房颤分析。</w:t>
      </w:r>
    </w:p>
    <w:p w14:paraId="5940A6D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2.7.QT和QTc实时监测参数测量范围：200～800 ms。</w:t>
      </w:r>
    </w:p>
    <w:p w14:paraId="5FC3FAC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▲2.8.支持升级提供过去24小时心电概览报告查看与打印，包括心率统计结果，心律失常统计结果，ST统计和QT/QTc统计结果。</w:t>
      </w:r>
    </w:p>
    <w:p w14:paraId="11F4B10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▲2.9.提供SpO2,PR和PI参数的实时监测，适用于成人，小儿和新生儿。</w:t>
      </w:r>
    </w:p>
    <w:p w14:paraId="0C2FEAAA">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▲2.10.支持指套式血氧探头，IPX7防水等级，支持液体浸泡消毒和清洁。</w:t>
      </w:r>
    </w:p>
    <w:p w14:paraId="196B41A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▲2.11.配置无创血压测量，适用于成人，小儿和新生儿。</w:t>
      </w:r>
    </w:p>
    <w:p w14:paraId="47E89AA4">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2.12.提供手动，自动，连续和序列4种测量模式，并提供24小时血压统计结果，满足临床应用。</w:t>
      </w:r>
    </w:p>
    <w:p w14:paraId="3EBEB2D4">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2.13.无创血压成人测量范围：收缩压25~290mmHg，舒张压10~250mmHg，平均压15~260mmHg。</w:t>
      </w:r>
    </w:p>
    <w:p w14:paraId="59F23616">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▲2.14.提供辅助静脉穿刺功能。</w:t>
      </w:r>
    </w:p>
    <w:p w14:paraId="73996A0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2.15.提供双通道体温和温差参数的监测, 并可根据需要更改体温通道标名。</w:t>
      </w:r>
    </w:p>
    <w:p w14:paraId="623F4F26">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▲2.16.支持升级多达4通道有创压监测，动脉压监测时支持同步监测PPV，适用于成人，小儿和新生儿。</w:t>
      </w:r>
    </w:p>
    <w:p w14:paraId="7E1D622F">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2.17.支持升级移动监护功能，医用级穿戴传感器，可监测心电、呼吸、无创血压、血氧饱和度、脉搏和体温，并支持非生理参数监测，如运动时间、夜间静息时间和疼痛评分，监测数据通过无线发送至监护仪。移动模块采用防水抗摔设计，防水等级≥IPX2，通过1.5米6面跌落测试。</w:t>
      </w:r>
    </w:p>
    <w:p w14:paraId="7B2AF42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3.系统功能：</w:t>
      </w:r>
    </w:p>
    <w:p w14:paraId="589C11F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★3.1.支持所有监测参数报警限一键自动设置功能，满足医护团队快速管理患者报警需求，产品用户手册提供报警限自动设置规则。</w:t>
      </w:r>
    </w:p>
    <w:p w14:paraId="69421AF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▲3.2.支持肾功能计算功能。</w:t>
      </w:r>
    </w:p>
    <w:p w14:paraId="346D188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▲3.3.具有图形化技术报警指示功能，帮助医护团队快速识别报警来源。</w:t>
      </w:r>
    </w:p>
    <w:p w14:paraId="0C271A9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3.4.支持≥120小时趋势图和趋势表回顾，支持选择不同趋势组回顾</w:t>
      </w:r>
    </w:p>
    <w:p w14:paraId="57B287E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3.5.≥1000条事件回顾。每条报警事件至少能够存储32秒三道相关波形，以及报警触发时所有测量参数值</w:t>
      </w:r>
    </w:p>
    <w:p w14:paraId="33F9BBE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3.6.≥1000组NIBP测量结果</w:t>
      </w:r>
    </w:p>
    <w:p w14:paraId="15F7A1C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3.7.≥120小时（分辨率1分钟）ST模板存储与回顾</w:t>
      </w:r>
    </w:p>
    <w:p w14:paraId="56ACDFE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3.8.支持48小时全息波形的存储与回顾功能</w:t>
      </w:r>
    </w:p>
    <w:p w14:paraId="1DD450C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3.9.支持监护仪历史病人数据的存储和回顾，并支持通过USB接口将历史病人数据导出到U盘。</w:t>
      </w:r>
    </w:p>
    <w:p w14:paraId="76CF62B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3.10.支持RJ45接口进行有线网络通信，和除颤监护仪一起联网通信到中心监护系统。</w:t>
      </w:r>
    </w:p>
    <w:p w14:paraId="77DA10B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3.11.支持监护仪进入夜间模式，隐私模式，演示模式和待机模式。</w:t>
      </w:r>
    </w:p>
    <w:p w14:paraId="316D396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▲3.12.配置临床评分系统，包括MEWS（改良早期预警评分）、NEWS（英国早期预警评分），可支持定时自动EWS评分功能。</w:t>
      </w:r>
    </w:p>
    <w:p w14:paraId="1AB969A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▲3.13.提供心肌缺血评估工具，可以快速查看ST值的变化。</w:t>
      </w:r>
    </w:p>
    <w:p w14:paraId="780B437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★3.14.提供计时器功能，界面区提供设置≥4个计时器，每个计时器支持独立设置和计时功能，计时方向包括正计时和倒计时两种选择。</w:t>
      </w:r>
    </w:p>
    <w:p w14:paraId="5139DA9D">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▲3.15.支持格拉斯哥昏迷评分（GCS）功能。</w:t>
      </w:r>
    </w:p>
    <w:p w14:paraId="3D410066">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3.16.动态趋势界面可支持统计1-24小时心律失常报警、参数超限报警信息，并对超限报警区间的波形进行高亮显示，帮助医护人员快速识别异常趋势信息。</w:t>
      </w:r>
    </w:p>
    <w:p w14:paraId="59187A8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3.17.提供屏幕截图功能，将屏幕截图通过USB接口导出到U盘。</w:t>
      </w:r>
    </w:p>
    <w:tbl>
      <w:tblPr>
        <w:tblStyle w:val="37"/>
        <w:tblW w:w="6580" w:type="dxa"/>
        <w:jc w:val="center"/>
        <w:tblLayout w:type="autofit"/>
        <w:tblCellMar>
          <w:top w:w="0" w:type="dxa"/>
          <w:left w:w="108" w:type="dxa"/>
          <w:bottom w:w="0" w:type="dxa"/>
          <w:right w:w="108" w:type="dxa"/>
        </w:tblCellMar>
      </w:tblPr>
      <w:tblGrid>
        <w:gridCol w:w="2940"/>
        <w:gridCol w:w="3640"/>
      </w:tblGrid>
      <w:tr w14:paraId="79D863A8">
        <w:tblPrEx>
          <w:tblCellMar>
            <w:top w:w="0" w:type="dxa"/>
            <w:left w:w="108" w:type="dxa"/>
            <w:bottom w:w="0" w:type="dxa"/>
            <w:right w:w="108" w:type="dxa"/>
          </w:tblCellMar>
        </w:tblPrEx>
        <w:trPr>
          <w:trHeight w:val="621" w:hRule="atLeast"/>
          <w:jc w:val="center"/>
        </w:trPr>
        <w:tc>
          <w:tcPr>
            <w:tcW w:w="6580" w:type="dxa"/>
            <w:gridSpan w:val="2"/>
            <w:tcBorders>
              <w:top w:val="nil"/>
              <w:left w:val="nil"/>
              <w:bottom w:val="single" w:color="auto" w:sz="4" w:space="0"/>
              <w:right w:val="nil"/>
            </w:tcBorders>
            <w:shd w:val="clear" w:color="auto" w:fill="auto"/>
            <w:noWrap/>
            <w:vAlign w:val="center"/>
          </w:tcPr>
          <w:p w14:paraId="3FAC35FC">
            <w:pPr>
              <w:widowControl/>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配置清单</w:t>
            </w:r>
          </w:p>
        </w:tc>
      </w:tr>
      <w:tr w14:paraId="4344D7F5">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A3D338">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机器型号</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B6E9B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37C86128">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8337F8">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销售机/退换机</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1B913">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销售机</w:t>
            </w:r>
          </w:p>
        </w:tc>
      </w:tr>
      <w:tr w14:paraId="27011014">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A1BF0F">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触摸屏主机</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0A6B02">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触摸屏主机</w:t>
            </w:r>
          </w:p>
        </w:tc>
      </w:tr>
      <w:tr w14:paraId="67548FCB">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8B46AB">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电源线</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3DCFA7">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国标电源线</w:t>
            </w:r>
          </w:p>
        </w:tc>
      </w:tr>
      <w:tr w14:paraId="7A241FE1">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A31DA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存储</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8D6886">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2G 数据存储</w:t>
            </w:r>
          </w:p>
        </w:tc>
      </w:tr>
      <w:tr w14:paraId="47331057">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B09C4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电池</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6706D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1个高容量锂电池(4500mAh)</w:t>
            </w:r>
          </w:p>
        </w:tc>
      </w:tr>
      <w:tr w14:paraId="3619AAFB">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CBB205">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电池盒</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2E2493">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396149B2">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49BF3F">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Wifi功能</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CDCA9F">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7018492E">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665A1A">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屏幕亮度自动调节+后报警灯</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88667F">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6841E0B6">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84BDD7">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心电配置</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6113D1">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3/5导 MR扩展ARR+ST</w:t>
            </w:r>
          </w:p>
        </w:tc>
      </w:tr>
      <w:tr w14:paraId="1E998520">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51F6F5">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心电附件包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41A0AA">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美国标准+成人+5导+按扣式+心电电极</w:t>
            </w:r>
          </w:p>
        </w:tc>
      </w:tr>
      <w:tr w14:paraId="6E1383F7">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4E71E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体温附件包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ACD4D1">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6782F5B1">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BC7A43">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血氧(内置)</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4838AA">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SpO2（内置）</w:t>
            </w:r>
          </w:p>
        </w:tc>
      </w:tr>
      <w:tr w14:paraId="01002D18">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ED99DA">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血氧附件包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4DC80C">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主电缆+成人+ 512E指套式</w:t>
            </w:r>
          </w:p>
        </w:tc>
      </w:tr>
      <w:tr w14:paraId="57D91DD7">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54232C">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无创血压附件包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670C7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无内胆成人袖套导气管</w:t>
            </w:r>
          </w:p>
        </w:tc>
      </w:tr>
      <w:tr w14:paraId="4897B6BB">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8340B8">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CO2模块（内置）</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111706">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05870478">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AB354F">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IBP/心输出量模块(内置)</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8EC735">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0C9D28CE">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9592CC">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多功能接口/VGA</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00F670">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244030D5">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3FCB40">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记录仪</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823D28">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377B0F5C">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3C8DF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麻醉模块(扩展）</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3DF29A">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7DEED8A1">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29E14B">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麻醉模块附件包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D03344">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61202D09">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65AC3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CO2模块（扩展）</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A9DC6A">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161F88C4">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2293CB">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CO2附件包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370AAC">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064EDEB6">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8E7E21">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IBP模块（扩展）</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89DDD6">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7C49ABF6">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60520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有创血压附件包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E9FD8A">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15B518A7">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3D6248">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心输出量模块（扩展）</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48DA62">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3F021933">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C765A9">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CO附件包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B900C2">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3C2CFEAF">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196094">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移动监护模块（扩展）</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C3F354">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3B033AEE">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D42B4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移动模块ECG附件包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861543">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21E097D3">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AFC77F">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移动模块SPO2 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0E4D50">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2537D2CB">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64F1BE">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移动模块NIBP 附件包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AE0CCF">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21985885">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A8449E">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24小时心电概览</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DBA2C1">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52B156CE">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570ACB">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EWS功能</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7EED37">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早期预警评分（EWS）</w:t>
            </w:r>
          </w:p>
        </w:tc>
      </w:tr>
      <w:tr w14:paraId="054940E2">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2FBE5A">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CCHD筛查</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693B8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198073F4">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227253">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手册包</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B3F60E">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手册包</w:t>
            </w:r>
          </w:p>
        </w:tc>
      </w:tr>
      <w:tr w14:paraId="2F4218C3">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4ED098">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软件</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BBA20E">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病人监护仪软件</w:t>
            </w:r>
          </w:p>
        </w:tc>
      </w:tr>
      <w:tr w14:paraId="6B0C4340">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7DAA97">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变式条件</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231811">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r w14:paraId="23A3B364">
        <w:tblPrEx>
          <w:tblCellMar>
            <w:top w:w="0" w:type="dxa"/>
            <w:left w:w="108" w:type="dxa"/>
            <w:bottom w:w="0" w:type="dxa"/>
            <w:right w:w="108" w:type="dxa"/>
          </w:tblCellMar>
        </w:tblPrEx>
        <w:trPr>
          <w:trHeight w:val="321" w:hRule="atLeast"/>
          <w:jc w:val="center"/>
        </w:trPr>
        <w:tc>
          <w:tcPr>
            <w:tcW w:w="29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613EBD">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组件数量</w:t>
            </w:r>
          </w:p>
        </w:tc>
        <w:tc>
          <w:tcPr>
            <w:tcW w:w="36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688A47">
            <w:pPr>
              <w:widowControl/>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r>
    </w:tbl>
    <w:p w14:paraId="1ED409C4">
      <w:pPr>
        <w:rPr>
          <w:color w:val="000000" w:themeColor="text1"/>
          <w:highlight w:val="none"/>
          <w14:textFill>
            <w14:solidFill>
              <w14:schemeClr w14:val="tx1"/>
            </w14:solidFill>
          </w14:textFill>
        </w:rPr>
      </w:pPr>
    </w:p>
    <w:p w14:paraId="06A83E13">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p>
    <w:p w14:paraId="0046C1C6">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63" w:name="_Toc8333"/>
      <w:bookmarkStart w:id="464" w:name="_Toc11566"/>
      <w:bookmarkStart w:id="465" w:name="_Toc23892"/>
      <w:r>
        <w:rPr>
          <w:rFonts w:hint="eastAsia" w:ascii="宋体" w:hAnsi="宋体" w:cs="宋体"/>
          <w:b/>
          <w:bCs/>
          <w:color w:val="000000" w:themeColor="text1"/>
          <w:sz w:val="24"/>
          <w:highlight w:val="none"/>
          <w14:textFill>
            <w14:solidFill>
              <w14:schemeClr w14:val="tx1"/>
            </w14:solidFill>
          </w14:textFill>
        </w:rPr>
        <w:t>（十）教学模拟人（心肺复苏训练考核系统）</w:t>
      </w:r>
      <w:bookmarkEnd w:id="463"/>
      <w:bookmarkEnd w:id="464"/>
      <w:bookmarkEnd w:id="465"/>
    </w:p>
    <w:p w14:paraId="05C52745">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（一）心肺复苏训练考核系统：</w:t>
      </w:r>
    </w:p>
    <w:p w14:paraId="76F25568">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集教学、培训、考核和实际操作于一体，知识全面、交互式急救训练系统；可用于心肺复苏培训，执行最新《美国心脏协会心肺复苏与心血管急救指南》。本产品主要由心肺复苏模拟人、高清液晶显示监测盒、无线手持遥控终端组成，可自由选择无线或有线连接，满足不同场景使用需求。</w:t>
      </w:r>
    </w:p>
    <w:p w14:paraId="6FC95290">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2.模拟人特征：</w:t>
      </w:r>
    </w:p>
    <w:p w14:paraId="267DA1CF">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2.1.本模型为成年男性整体人，采用高分子材质，环保无污染，肤质仿真度高；解剖标志明显，具有仿真的头颈部，头可左右摆动，可水平转动180 度，有利于清除异物。</w:t>
      </w:r>
    </w:p>
    <w:p w14:paraId="7D6E400C">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2.2胸部体表标志明显(胸骨角、乳头、剑突等)，便于胸外按压的操作定位；手感真实肤色统一，形态逼真。</w:t>
      </w:r>
    </w:p>
    <w:p w14:paraId="12E850AB">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2.3上肢关节灵活, 上臂可行肌内注射。</w:t>
      </w:r>
    </w:p>
    <w:p w14:paraId="0D4F59C3">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3.CPR全流程感应，包括：意识判断、急救呼叫、脉搏检查、检查呼吸、清除异物、开放气道、瞳孔对光反射等，其中“急救呼叫”“检查呼吸”可通过遥控手持终端操作，其余都可通过模拟人感应。</w:t>
      </w:r>
    </w:p>
    <w:p w14:paraId="7BD8DE74">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3.1意识判断：拍打肩部可进行意识判断检测。</w:t>
      </w:r>
    </w:p>
    <w:p w14:paraId="282DD0E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▲3.2口腔异物：有真实口腔异物，可进行清除口腔异物检测。</w:t>
      </w:r>
    </w:p>
    <w:p w14:paraId="3A205A9D">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3.3瞳孔对光反射：瞳孔随病情变化而自动发生变化(有缩小、正常、散大3种状态，双侧都可直接/间接对光反射)；抢救成功后，瞳孔对光反射恢复正常。</w:t>
      </w:r>
    </w:p>
    <w:p w14:paraId="3B4E671B">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3.4颈动脉搏动：抢救状态下，颈动脉搏动消失；抢救成功后，颈动脉搏动恢复；双侧感知颈动脉搏动。</w:t>
      </w:r>
    </w:p>
    <w:p w14:paraId="76401D1C">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3.5开放气道：可进行开放气道检测。</w:t>
      </w:r>
    </w:p>
    <w:p w14:paraId="46BA9AAC">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4.按压过程中，颈动脉可产生被动搏动，频率与按压频率一致。</w:t>
      </w:r>
    </w:p>
    <w:p w14:paraId="359C9321">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▲5.在模型两乳头连线中点部位进行胸外按压（按压深度 6 厘米，按压频率 100 次/分钟）120万次后，模型整体不变形，皮肤不破损；弹簧不断裂、不变形。</w:t>
      </w:r>
    </w:p>
    <w:p w14:paraId="4B000BC6">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bCs/>
          <w:color w:val="000000" w:themeColor="text1"/>
          <w:kern w:val="0"/>
          <w:sz w:val="24"/>
          <w:highlight w:val="none"/>
          <w14:textFill>
            <w14:solidFill>
              <w14:schemeClr w14:val="tx1"/>
            </w14:solidFill>
          </w14:textFill>
        </w:rPr>
        <w:t>心肺复苏术：执行最新《美国心脏协会心肺复苏与心血管急救指南》可行胸外按压，可行仰头举颏法、仰头抬颈法、双手抬颌法三种方法打开气道，可行口对口人工呼吸或使用简易呼吸器通气，有效人工呼吸可见胸廓起伏。</w:t>
      </w:r>
    </w:p>
    <w:p w14:paraId="5237C7BA">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7.模型人电子盒即可有线连接，也可无线连接，满足不同场景使用需求。</w:t>
      </w:r>
    </w:p>
    <w:p w14:paraId="1E904CBF">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 高清液晶显示监测盒特点。</w:t>
      </w:r>
    </w:p>
    <w:p w14:paraId="2E5BADA9">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★8.1.三种操作模式：训练模式、考核模式、实战模式。</w:t>
      </w:r>
    </w:p>
    <w:p w14:paraId="04884DBE">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8.2.CPR全流程监测，对操作顺序进行判断，正确错误均有颜色提示。</w:t>
      </w:r>
    </w:p>
    <w:p w14:paraId="698536DD">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8.3.全程实时电子监测多项指标，显示波形，统计数据。吹气部分监测吹气次数（多吹、少吹）、吹气量（过大、气体进胃、过小）、吹气平均时间。按压部分监测按压次数（多按、少按）、按压位置（正确、错误）、按压深度（过大、过小）、按压频率（正确、错误）、按压回弹。实时显示吹气操作图形，通过图形可判断吹气量。实时显示按压操作图形，通过图形可判断按压深度、按压频率、按压回弹情况。按压复活后显示正常心电图。</w:t>
      </w:r>
    </w:p>
    <w:p w14:paraId="4060D6B3">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bCs/>
          <w:color w:val="000000" w:themeColor="text1"/>
          <w:kern w:val="0"/>
          <w:sz w:val="24"/>
          <w:highlight w:val="none"/>
          <w14:textFill>
            <w14:solidFill>
              <w14:schemeClr w14:val="tx1"/>
            </w14:solidFill>
          </w14:textFill>
        </w:rPr>
        <w:t>8.4. 模型人的瞳孔缩放和颈动脉搏动可以通过监测盒开启和关闭。</w:t>
      </w:r>
    </w:p>
    <w:p w14:paraId="416CCAC7">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8.5.参数可设置：按压达标率、吹气达标率、操作时间等可分别设置。</w:t>
      </w:r>
    </w:p>
    <w:p w14:paraId="3E3FC79B">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8.6.成绩单内容涵盖：操作方式、意识判断、急救呼叫、脉搏检查、检查呼吸、清除异物、开放气道，操作中按压和吹气的次数、按压正确和错误的次数，按压错误原因和相应次数、吹气正确和错误的次数、吹气错误原因和相应次数、设定时间、操作时间和考核评定。</w:t>
      </w:r>
    </w:p>
    <w:p w14:paraId="040D577C">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8.7.成绩打印：可选择结束后自动打印或手动打印。</w:t>
      </w:r>
    </w:p>
    <w:p w14:paraId="2D4C40A2">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bCs/>
          <w:color w:val="000000" w:themeColor="text1"/>
          <w:kern w:val="0"/>
          <w:sz w:val="24"/>
          <w:highlight w:val="none"/>
          <w14:textFill>
            <w14:solidFill>
              <w14:schemeClr w14:val="tx1"/>
            </w14:solidFill>
          </w14:textFill>
        </w:rPr>
        <w:t>8.8.高清彩色液晶屏：采用8英寸液晶屏显示，画面清晰。</w:t>
      </w:r>
    </w:p>
    <w:p w14:paraId="54B62D1F">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▲8.9.自动休眠：考核系统5分钟无操作，屏幕自动休眠，进入省电模式。</w:t>
      </w:r>
    </w:p>
    <w:p w14:paraId="048D8768">
      <w:pPr>
        <w:widowControl/>
        <w:spacing w:line="360" w:lineRule="auto"/>
        <w:ind w:firstLine="480" w:firstLineChars="200"/>
        <w:jc w:val="left"/>
        <w:textAlignment w:val="cente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8.10.动态效果演示：模拟心脏搏动显示、模拟心电波形显示、CPR操作动画显示、钜形图表数据统计。</w:t>
      </w:r>
    </w:p>
    <w:p w14:paraId="0EDD7713">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9. 遥控手持终端的特点。</w:t>
      </w:r>
    </w:p>
    <w:p w14:paraId="0CB179AB">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hAnsi="宋体" w:cs="宋体"/>
          <w:bCs/>
          <w:color w:val="000000" w:themeColor="text1"/>
          <w:kern w:val="0"/>
          <w:sz w:val="24"/>
          <w:highlight w:val="none"/>
          <w14:textFill>
            <w14:solidFill>
              <w14:schemeClr w14:val="tx1"/>
            </w14:solidFill>
          </w14:textFill>
        </w:rPr>
        <w:t>9.1.可控制模拟人复苏或心脏骤停状态，一键显示“瞳孔正常”、“瞳孔放大”、“脉搏有”、“脉搏无”。</w:t>
      </w:r>
    </w:p>
    <w:p w14:paraId="015ABFF5">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9.2.可对操作模式进行选择。</w:t>
      </w:r>
    </w:p>
    <w:p w14:paraId="1CB16E92">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9.3.可控制CPR流程显示，特别是“急救呼叫”、“检查呼吸”显示。</w:t>
      </w:r>
    </w:p>
    <w:p w14:paraId="2A7E4F79">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9.4.可控制监测盒的开始、停止、复位、打印、回放等功能，回放数量达≥20个。</w:t>
      </w:r>
    </w:p>
    <w:p w14:paraId="743DB9B9">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▲10.可选配大容量可充电锂电池（5200mAh/11.1V），便于室外使用。</w:t>
      </w:r>
    </w:p>
    <w:p w14:paraId="1A44DA53">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11.面皮和肺袋均可更换。</w:t>
      </w:r>
    </w:p>
    <w:p w14:paraId="39185343">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12.扫描产品主体附带的二维码，可在线阅览产品使用说明。</w:t>
      </w:r>
    </w:p>
    <w:p w14:paraId="035E3D7A">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（二）成人男性护理模拟人：</w:t>
      </w:r>
    </w:p>
    <w:p w14:paraId="76BC2002">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★1.本模型为成年整体人，高分子环保材料制成，胸皮可打开，观察真实大小的胸廓前壁以及内脏包括心、胃、肺、肝。</w:t>
      </w:r>
    </w:p>
    <w:p w14:paraId="1EE0C229">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2.关节灵活，可实现去枕平卧位，屈膝仰卧位、半坐卧位、端坐位、俯卧位、头低足高位、头高足低位、侧卧位、截石位、昏迷体位等10余种体位。</w:t>
      </w:r>
    </w:p>
    <w:p w14:paraId="5C16FBCF">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3.床上擦浴及更衣，扶助病人移向床头法、轮椅使用法、平车运送法、担架运送法等移动和搬运病人法，轴线翻身法，肢体约束法、肩部约束法、全身约束法。</w:t>
      </w:r>
    </w:p>
    <w:p w14:paraId="45EF2399">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4.心肺复苏术执行标准：《2015美国心脏协会心肺复苏与心血管急救指南》。头可后仰，可行胸外按压、仰头举颏法、仰头抬颈法、双手抬颌法三种方法打开气道、口对口人工呼吸或者使用简易呼吸器辅助呼吸，有效人工呼吸可见胸廓起伏。</w:t>
      </w:r>
    </w:p>
    <w:p w14:paraId="6DFE9EDF">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5.瞳孔观察示教：一侧瞳孔散大、一侧瞳孔正常。</w:t>
      </w:r>
    </w:p>
    <w:p w14:paraId="589EBAAD">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6.挤压红色气囊可触及颈动脉搏动。</w:t>
      </w:r>
    </w:p>
    <w:p w14:paraId="3BE8AFCD">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7.鼻饲：托起头部使下颌靠近胸骨柄，可抽出模拟胃液。</w:t>
      </w:r>
    </w:p>
    <w:p w14:paraId="5A8A6F8B">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8.洗胃术：可经口、鼻进行洗胃器洗胃、电动吸引器洗胃、胃管洗胃、洗胃机洗胃，胃容量为200-300ml。</w:t>
      </w:r>
    </w:p>
    <w:p w14:paraId="422C6509">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9.导尿：男女互换生殖器，男性抬起阴茎与腹壁成60°角，导尿管顺利插入；操作成功后可导出模拟尿液。</w:t>
      </w:r>
    </w:p>
    <w:p w14:paraId="0D8C12EA">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10.灌肠： 可实现大量不保留灌肠、小量不保留灌肠、清洁灌肠和保留灌肠等多种灌肠方式，可注入灌肠液约200ml。</w:t>
      </w:r>
    </w:p>
    <w:p w14:paraId="0F1C45E9">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11.压疮护理：淤血红润期、溃疡期两个临床分期，可进行伤口的评估、测量与清洗。</w:t>
      </w:r>
    </w:p>
    <w:p w14:paraId="5ABB58EB">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12.造瘘口护理：可进行结肠、回肠的造瘘口清洗，冲洗液可储存。</w:t>
      </w:r>
    </w:p>
    <w:p w14:paraId="1BE5700F">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13.注射给药静脉注射：可用不同类型的穿刺针，穿刺成功后有回血，可进行静脉输液练习。肌肉注射：臀部、股外侧。皮下注射：上臂三角肌。</w:t>
      </w:r>
    </w:p>
    <w:p w14:paraId="0E1B87C1">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14.可注射真实药液，注射部位皮肤、血管和注射模块均可更换。</w:t>
      </w:r>
    </w:p>
    <w:p w14:paraId="10196F02">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15.其他护理操作：吸氧、雾化吸入疗法、冷热疗法护理、外耳道冲洗、外阴擦洗、外阴湿热敷、尿道冲洗、口腔护理等多项护理操作。</w:t>
      </w:r>
    </w:p>
    <w:p w14:paraId="1DDACE5F">
      <w:pPr>
        <w:spacing w:line="360" w:lineRule="auto"/>
        <w:ind w:firstLine="480" w:firstLineChars="200"/>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16.气管插管和喉罩置入功能。</w:t>
      </w:r>
    </w:p>
    <w:p w14:paraId="70E9C552">
      <w:pPr>
        <w:rPr>
          <w:rFonts w:ascii="宋体" w:hAnsi="宋体" w:cs="宋体"/>
          <w:bCs/>
          <w:color w:val="000000" w:themeColor="text1"/>
          <w:sz w:val="36"/>
          <w:highlight w:val="none"/>
          <w14:textFill>
            <w14:solidFill>
              <w14:schemeClr w14:val="tx1"/>
            </w14:solidFill>
          </w14:textFill>
        </w:rPr>
      </w:pPr>
    </w:p>
    <w:p w14:paraId="5AECB72C">
      <w:pPr>
        <w:rPr>
          <w:rFonts w:ascii="宋体" w:hAnsi="宋体" w:cs="宋体"/>
          <w:bCs/>
          <w:color w:val="000000" w:themeColor="text1"/>
          <w:sz w:val="36"/>
          <w:highlight w:val="none"/>
          <w14:textFill>
            <w14:solidFill>
              <w14:schemeClr w14:val="tx1"/>
            </w14:solidFill>
          </w14:textFill>
        </w:rPr>
      </w:pPr>
    </w:p>
    <w:p w14:paraId="283659C0">
      <w:pPr>
        <w:rPr>
          <w:rFonts w:ascii="宋体" w:hAnsi="宋体" w:cs="宋体"/>
          <w:bCs/>
          <w:color w:val="000000" w:themeColor="text1"/>
          <w:sz w:val="36"/>
          <w:highlight w:val="none"/>
          <w14:textFill>
            <w14:solidFill>
              <w14:schemeClr w14:val="tx1"/>
            </w14:solidFill>
          </w14:textFill>
        </w:rPr>
      </w:pPr>
      <w:r>
        <w:rPr>
          <w:rFonts w:hint="eastAsia" w:ascii="宋体" w:hAnsi="宋体" w:cs="宋体"/>
          <w:bCs/>
          <w:color w:val="000000" w:themeColor="text1"/>
          <w:sz w:val="36"/>
          <w:highlight w:val="none"/>
          <w14:textFill>
            <w14:solidFill>
              <w14:schemeClr w14:val="tx1"/>
            </w14:solidFill>
          </w14:textFill>
        </w:rPr>
        <w:br w:type="page"/>
      </w:r>
    </w:p>
    <w:p w14:paraId="35E2FE7E">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66" w:name="_Toc3557"/>
      <w:bookmarkStart w:id="467" w:name="_Toc11157"/>
      <w:bookmarkStart w:id="468" w:name="_Toc5448"/>
      <w:r>
        <w:rPr>
          <w:rFonts w:hint="eastAsia" w:ascii="宋体" w:hAnsi="宋体" w:cs="宋体"/>
          <w:b/>
          <w:bCs/>
          <w:color w:val="000000" w:themeColor="text1"/>
          <w:sz w:val="24"/>
          <w:highlight w:val="none"/>
          <w14:textFill>
            <w14:solidFill>
              <w14:schemeClr w14:val="tx1"/>
            </w14:solidFill>
          </w14:textFill>
        </w:rPr>
        <w:t>（十</w:t>
      </w:r>
      <w:r>
        <w:rPr>
          <w:rFonts w:hint="eastAsia" w:ascii="宋体" w:hAnsi="宋体" w:cs="宋体"/>
          <w:b/>
          <w:bCs/>
          <w:color w:val="000000" w:themeColor="text1"/>
          <w:sz w:val="24"/>
          <w:highlight w:val="none"/>
          <w:lang w:val="en-US" w:eastAsia="zh-CN"/>
          <w14:textFill>
            <w14:solidFill>
              <w14:schemeClr w14:val="tx1"/>
            </w14:solidFill>
          </w14:textFill>
        </w:rPr>
        <w:t>一</w:t>
      </w:r>
      <w:r>
        <w:rPr>
          <w:rFonts w:hint="eastAsia" w:ascii="宋体" w:hAnsi="宋体" w:cs="宋体"/>
          <w:b/>
          <w:bCs/>
          <w:color w:val="000000" w:themeColor="text1"/>
          <w:sz w:val="24"/>
          <w:highlight w:val="none"/>
          <w14:textFill>
            <w14:solidFill>
              <w14:schemeClr w14:val="tx1"/>
            </w14:solidFill>
          </w14:textFill>
        </w:rPr>
        <w:t>）全自动血细胞分析仪</w:t>
      </w:r>
      <w:bookmarkEnd w:id="466"/>
      <w:bookmarkEnd w:id="467"/>
      <w:bookmarkEnd w:id="468"/>
    </w:p>
    <w:p w14:paraId="1468D3F7">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▲1.仪器描述：供临床检验中作血液细胞计数、白细胞分类、血红蛋白浓度测量、C-反应蛋白及血清淀粉样蛋白A测量；仪器为血常规、CRP、SAA检测一体机。</w:t>
      </w:r>
    </w:p>
    <w:p w14:paraId="2F3A8951">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★2.检测方法及原理：血液分析采用半导体激光法、鞘流电阻抗法、荧光染色法和流式细胞技术原理。</w:t>
      </w:r>
    </w:p>
    <w:p w14:paraId="4DF8ADE6">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▲3.血液细胞检测报告参数≥32个，散点图≥2个。单机检测速度：CBC﹢DIFF≥80个样本／小时。</w:t>
      </w:r>
    </w:p>
    <w:p w14:paraId="6591A157">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4.CD模式:20μL、CD+CRP 模式:30μL 、CD+CRP+SAA模式:35μL、CDR 模式:20μL 、ESR模式:140μL 、CDR+CRP+SAA+ESR模式:160μL。</w:t>
      </w:r>
    </w:p>
    <w:p w14:paraId="4EE776A7">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▲5.末梢血进样方式及用血量：末梢血可实现自动批量进样或手动进样；末梢全血检测CD+CRP用血量≤37μl。</w:t>
      </w:r>
    </w:p>
    <w:p w14:paraId="5D3DE0F5">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★6.标配自动进样器，自动进样器内轨标配回退功能。</w:t>
      </w:r>
    </w:p>
    <w:p w14:paraId="07A51E64">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7.仪器具备网织红细胞检测功能。</w:t>
      </w:r>
    </w:p>
    <w:p w14:paraId="1C1443E2">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▲8.具有全自动体液（含胸水、腹水、脑脊液和浆膜液等体液）细胞计数和对体液中的白细胞进行分类的功能。</w:t>
      </w:r>
    </w:p>
    <w:p w14:paraId="26AC869E">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★9.具有低值白细胞检测功能，如遇白细胞低值时可通过增加计数颗粒数量来保证检测结果的准确性。 </w:t>
      </w:r>
    </w:p>
    <w:p w14:paraId="085E7F86">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10.仪器数据结果储存量≥13万条。</w:t>
      </w:r>
    </w:p>
    <w:p w14:paraId="3CE2B109">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▲11.血液分析线性范围（静脉血）：白细胞：（0-500）</w:t>
      </w:r>
      <w:r>
        <w:rPr>
          <w:rFonts w:hint="eastAsia" w:ascii="宋体" w:hAnsi="宋体" w:cs="宋体"/>
          <w:color w:val="000000" w:themeColor="text1"/>
          <w:sz w:val="24"/>
          <w:highlight w:val="none"/>
          <w14:textFill>
            <w14:solidFill>
              <w14:schemeClr w14:val="tx1"/>
            </w14:solidFill>
          </w14:textFill>
        </w:rPr>
        <w:sym w:font="Symbol" w:char="F0B4"/>
      </w:r>
      <w:r>
        <w:rPr>
          <w:rFonts w:hint="eastAsia" w:ascii="宋体" w:hAnsi="宋体" w:cs="宋体"/>
          <w:color w:val="000000" w:themeColor="text1"/>
          <w:sz w:val="24"/>
          <w:highlight w:val="none"/>
          <w14:textFill>
            <w14:solidFill>
              <w14:schemeClr w14:val="tx1"/>
            </w14:solidFill>
          </w14:textFill>
        </w:rPr>
        <w:t xml:space="preserve"> 10</w:t>
      </w:r>
      <w:r>
        <w:rPr>
          <w:rFonts w:hint="eastAsia" w:ascii="宋体" w:hAnsi="宋体" w:cs="宋体"/>
          <w:color w:val="000000" w:themeColor="text1"/>
          <w:sz w:val="24"/>
          <w:highlight w:val="none"/>
          <w:vertAlign w:val="superscript"/>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/L，红细胞：（0-8.6）</w:t>
      </w:r>
      <w:r>
        <w:rPr>
          <w:rFonts w:hint="eastAsia" w:ascii="宋体" w:hAnsi="宋体" w:cs="宋体"/>
          <w:color w:val="000000" w:themeColor="text1"/>
          <w:sz w:val="24"/>
          <w:highlight w:val="none"/>
          <w14:textFill>
            <w14:solidFill>
              <w14:schemeClr w14:val="tx1"/>
            </w14:solidFill>
          </w14:textFill>
        </w:rPr>
        <w:sym w:font="Symbol" w:char="F0B4"/>
      </w:r>
      <w:r>
        <w:rPr>
          <w:rFonts w:hint="eastAsia" w:ascii="宋体" w:hAnsi="宋体" w:cs="宋体"/>
          <w:color w:val="000000" w:themeColor="text1"/>
          <w:sz w:val="24"/>
          <w:highlight w:val="none"/>
          <w14:textFill>
            <w14:solidFill>
              <w14:schemeClr w14:val="tx1"/>
            </w14:solidFill>
          </w14:textFill>
        </w:rPr>
        <w:t xml:space="preserve"> 10</w:t>
      </w:r>
      <w:r>
        <w:rPr>
          <w:rFonts w:hint="eastAsia" w:ascii="宋体" w:hAnsi="宋体" w:cs="宋体"/>
          <w:color w:val="000000" w:themeColor="text1"/>
          <w:sz w:val="24"/>
          <w:highlight w:val="none"/>
          <w:vertAlign w:val="superscript"/>
          <w14:textFill>
            <w14:solidFill>
              <w14:schemeClr w14:val="tx1"/>
            </w14:solidFill>
          </w14:textFill>
        </w:rPr>
        <w:t>12</w:t>
      </w:r>
      <w:r>
        <w:rPr>
          <w:rFonts w:hint="eastAsia" w:ascii="宋体" w:hAnsi="宋体" w:cs="宋体"/>
          <w:color w:val="000000" w:themeColor="text1"/>
          <w:sz w:val="24"/>
          <w:highlight w:val="none"/>
          <w14:textFill>
            <w14:solidFill>
              <w14:schemeClr w14:val="tx1"/>
            </w14:solidFill>
          </w14:textFill>
        </w:rPr>
        <w:t>/L，血小板：（0-5000）</w:t>
      </w:r>
      <w:r>
        <w:rPr>
          <w:rFonts w:hint="eastAsia" w:ascii="宋体" w:hAnsi="宋体" w:cs="宋体"/>
          <w:color w:val="000000" w:themeColor="text1"/>
          <w:sz w:val="24"/>
          <w:highlight w:val="none"/>
          <w14:textFill>
            <w14:solidFill>
              <w14:schemeClr w14:val="tx1"/>
            </w14:solidFill>
          </w14:textFill>
        </w:rPr>
        <w:sym w:font="Symbol" w:char="F0B4"/>
      </w:r>
      <w:r>
        <w:rPr>
          <w:rFonts w:hint="eastAsia" w:ascii="宋体" w:hAnsi="宋体" w:cs="宋体"/>
          <w:color w:val="000000" w:themeColor="text1"/>
          <w:sz w:val="24"/>
          <w:highlight w:val="none"/>
          <w14:textFill>
            <w14:solidFill>
              <w14:schemeClr w14:val="tx1"/>
            </w14:solidFill>
          </w14:textFill>
        </w:rPr>
        <w:t xml:space="preserve"> 10</w:t>
      </w:r>
      <w:r>
        <w:rPr>
          <w:rFonts w:hint="eastAsia" w:ascii="宋体" w:hAnsi="宋体" w:cs="宋体"/>
          <w:color w:val="000000" w:themeColor="text1"/>
          <w:sz w:val="24"/>
          <w:highlight w:val="none"/>
          <w:vertAlign w:val="superscript"/>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/L，血红蛋白：（0-260）g/L。</w:t>
      </w:r>
    </w:p>
    <w:p w14:paraId="347C9E6E">
      <w:pPr>
        <w:pStyle w:val="93"/>
        <w:spacing w:line="360" w:lineRule="auto"/>
        <w:ind w:left="420" w:leftChars="200"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12.</w:t>
      </w:r>
      <w:r>
        <w:rPr>
          <w:rFonts w:hint="eastAsia" w:ascii="宋体" w:hAnsi="宋体" w:cs="宋体"/>
          <w:color w:val="000000" w:themeColor="text1"/>
          <w:sz w:val="24"/>
          <w:highlight w:val="none"/>
          <w14:textFill>
            <w14:solidFill>
              <w14:schemeClr w14:val="tx1"/>
            </w14:solidFill>
          </w14:textFill>
        </w:rPr>
        <w:t>CRP检测线性范围0.2mg/L~320mg/L。</w:t>
      </w:r>
    </w:p>
    <w:p w14:paraId="575A26F9">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▲13.SAA线性范围：10mg/L~300mg/L。</w:t>
      </w:r>
    </w:p>
    <w:p w14:paraId="3FF02056">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▲14.提供有溯源性的有证血液校准物，并有配套有证的高、中、低3个水平血液和体液质控物。同一管血液质控品可以覆盖全部报告项目进行质控，满足各等级评审及ISO对质控的要求。</w:t>
      </w:r>
    </w:p>
    <w:p w14:paraId="04CB0202">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★15.具有低值血小板检测功能，如遇血小板低值时可通过增加计数颗粒数量来保证血小板检测精度。</w:t>
      </w:r>
    </w:p>
    <w:p w14:paraId="47711EAC">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▲16.全血CRP检测时可校正红细胞、白细胞、血小板体积的干扰。</w:t>
      </w:r>
    </w:p>
    <w:p w14:paraId="1ECC3266">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▲17.具有对EDTA依赖性血小板聚集标本的“自解聚”功能，如遇血小板聚集时可自动加测光学血小板，光学血小板对聚集血小板的解聚率≥80%。</w:t>
      </w:r>
    </w:p>
    <w:p w14:paraId="47BC33DB">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▲18.仪器带有血沉检测功能，一管血可同时满足血常规、CRP、SAA的检测需求。</w:t>
      </w:r>
    </w:p>
    <w:p w14:paraId="356347F2">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▲19.仪器检测SAA项目可设置HOOK效应报警，触发报警仪器自动回退重新吸样检测。</w:t>
      </w:r>
    </w:p>
    <w:p w14:paraId="0416A411">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▲20.仪器带有彩色可触摸屏幕，屏幕显示界面设置有悬浮窗可实现不同检测模式下快速切换。</w:t>
      </w:r>
    </w:p>
    <w:p w14:paraId="3A5E9BF4">
      <w:pPr>
        <w:spacing w:line="360" w:lineRule="auto"/>
        <w:ind w:left="420" w:leftChars="2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▲21.所投血液分析仪产品在卫生部临检中心室间质评中具有单独分组，有利于室间质评的开展和实验室质量管理。</w:t>
      </w:r>
    </w:p>
    <w:p w14:paraId="0D08407B">
      <w:pPr>
        <w:rPr>
          <w:color w:val="000000" w:themeColor="text1"/>
          <w:sz w:val="20"/>
          <w:highlight w:val="none"/>
          <w14:textFill>
            <w14:solidFill>
              <w14:schemeClr w14:val="tx1"/>
            </w14:solidFill>
          </w14:textFill>
        </w:rPr>
      </w:pPr>
    </w:p>
    <w:p w14:paraId="15E7B4B7">
      <w:pPr>
        <w:rPr>
          <w:color w:val="000000" w:themeColor="text1"/>
          <w:sz w:val="20"/>
          <w:highlight w:val="none"/>
          <w14:textFill>
            <w14:solidFill>
              <w14:schemeClr w14:val="tx1"/>
            </w14:solidFill>
          </w14:textFill>
        </w:rPr>
      </w:pPr>
    </w:p>
    <w:p w14:paraId="62CCD2F9">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p>
    <w:p w14:paraId="4EB77ABA">
      <w:pPr>
        <w:snapToGrid w:val="0"/>
        <w:spacing w:line="360" w:lineRule="auto"/>
        <w:jc w:val="center"/>
        <w:outlineLvl w:val="2"/>
        <w:rPr>
          <w:rFonts w:ascii="宋体" w:hAnsi="宋体" w:cs="宋体"/>
          <w:b/>
          <w:bCs/>
          <w:color w:val="000000" w:themeColor="text1"/>
          <w:sz w:val="24"/>
          <w:highlight w:val="none"/>
          <w14:textFill>
            <w14:solidFill>
              <w14:schemeClr w14:val="tx1"/>
            </w14:solidFill>
          </w14:textFill>
        </w:rPr>
      </w:pPr>
      <w:bookmarkStart w:id="469" w:name="_Toc19621"/>
      <w:bookmarkStart w:id="470" w:name="_Toc28359"/>
      <w:bookmarkStart w:id="471" w:name="_Toc26506"/>
      <w:r>
        <w:rPr>
          <w:rFonts w:hint="eastAsia" w:ascii="宋体" w:hAnsi="宋体" w:cs="宋体"/>
          <w:b/>
          <w:bCs/>
          <w:color w:val="000000" w:themeColor="text1"/>
          <w:sz w:val="24"/>
          <w:highlight w:val="none"/>
          <w14:textFill>
            <w14:solidFill>
              <w14:schemeClr w14:val="tx1"/>
            </w14:solidFill>
          </w14:textFill>
        </w:rPr>
        <w:t>（十</w:t>
      </w:r>
      <w:r>
        <w:rPr>
          <w:rFonts w:hint="eastAsia" w:ascii="宋体" w:hAnsi="宋体" w:cs="宋体"/>
          <w:b/>
          <w:bCs/>
          <w:color w:val="000000" w:themeColor="text1"/>
          <w:sz w:val="24"/>
          <w:highlight w:val="none"/>
          <w:lang w:val="en-US" w:eastAsia="zh-CN"/>
          <w14:textFill>
            <w14:solidFill>
              <w14:schemeClr w14:val="tx1"/>
            </w14:solidFill>
          </w14:textFill>
        </w:rPr>
        <w:t>二</w:t>
      </w:r>
      <w:r>
        <w:rPr>
          <w:rFonts w:hint="eastAsia" w:ascii="宋体" w:hAnsi="宋体" w:cs="宋体"/>
          <w:b/>
          <w:bCs/>
          <w:color w:val="000000" w:themeColor="text1"/>
          <w:sz w:val="24"/>
          <w:highlight w:val="none"/>
          <w14:textFill>
            <w14:solidFill>
              <w14:schemeClr w14:val="tx1"/>
            </w14:solidFill>
          </w14:textFill>
        </w:rPr>
        <w:t>）手术辅助照明灯</w:t>
      </w:r>
      <w:bookmarkEnd w:id="469"/>
      <w:bookmarkEnd w:id="470"/>
      <w:bookmarkEnd w:id="471"/>
    </w:p>
    <w:p w14:paraId="64E667B4">
      <w:pPr>
        <w:rPr>
          <w:rFonts w:ascii="宋体" w:hAnsi="宋体" w:cs="宋体"/>
          <w:b/>
          <w:bCs/>
          <w:color w:val="000000" w:themeColor="text1"/>
          <w:sz w:val="24"/>
          <w:highlight w:val="none"/>
          <w14:textFill>
            <w14:solidFill>
              <w14:schemeClr w14:val="tx1"/>
            </w14:solidFill>
          </w14:textFill>
        </w:rPr>
      </w:pPr>
    </w:p>
    <w:p w14:paraId="6C58C33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★1.色温：3000±500K。</w:t>
      </w:r>
    </w:p>
    <w:p w14:paraId="1865DF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★2.照度：≥20000LX。</w:t>
      </w:r>
    </w:p>
    <w:p w14:paraId="135E608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3.电源电压：220V/50Hz。</w:t>
      </w:r>
    </w:p>
    <w:p w14:paraId="30083F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4.工作电压：24V。</w:t>
      </w:r>
    </w:p>
    <w:p w14:paraId="6E3FAAB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5.输入功率：30VA。</w:t>
      </w:r>
    </w:p>
    <w:p w14:paraId="4B74BAC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6.安全类型：I类。</w:t>
      </w:r>
    </w:p>
    <w:p w14:paraId="7E8BE81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7.冷光单孔手术灯为转动立式。</w:t>
      </w:r>
    </w:p>
    <w:p w14:paraId="16E13E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8.能在1000-1600MM之间调节，灯头能通过球形关节作前后左右下斜调节，脚踏开关安装在底座上。</w:t>
      </w:r>
    </w:p>
    <w:p w14:paraId="5190432B">
      <w:pPr>
        <w:rPr>
          <w:rFonts w:ascii="宋体" w:hAnsi="宋体" w:cs="宋体"/>
          <w:b/>
          <w:bCs/>
          <w:color w:val="000000" w:themeColor="text1"/>
          <w:sz w:val="24"/>
          <w:highlight w:val="none"/>
          <w14:textFill>
            <w14:solidFill>
              <w14:schemeClr w14:val="tx1"/>
            </w14:solidFill>
          </w14:textFill>
        </w:rPr>
      </w:pPr>
    </w:p>
    <w:p w14:paraId="656DBCD4">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说明：</w:t>
      </w:r>
    </w:p>
    <w:p w14:paraId="61E52ED4">
      <w:pPr>
        <w:snapToGrid w:val="0"/>
        <w:spacing w:line="312" w:lineRule="auto"/>
        <w:ind w:firstLine="643" w:firstLineChars="200"/>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1、</w:t>
      </w:r>
      <w:r>
        <w:rPr>
          <w:rFonts w:hint="eastAsia" w:ascii="宋体" w:hAnsi="宋体" w:cs="宋体"/>
          <w:b/>
          <w:bCs/>
          <w:color w:val="000000" w:themeColor="text1"/>
          <w:sz w:val="32"/>
          <w:szCs w:val="32"/>
          <w:highlight w:val="none"/>
          <w:lang w:eastAsia="zh-CN"/>
          <w14:textFill>
            <w14:solidFill>
              <w14:schemeClr w14:val="tx1"/>
            </w14:solidFill>
          </w14:textFill>
        </w:rPr>
        <w:t>采购需求</w:t>
      </w:r>
      <w:r>
        <w:rPr>
          <w:rFonts w:hint="eastAsia" w:ascii="宋体" w:hAnsi="宋体" w:cs="宋体"/>
          <w:b/>
          <w:bCs/>
          <w:color w:val="000000" w:themeColor="text1"/>
          <w:sz w:val="32"/>
          <w:szCs w:val="32"/>
          <w:highlight w:val="none"/>
          <w14:textFill>
            <w14:solidFill>
              <w14:schemeClr w14:val="tx1"/>
            </w14:solidFill>
          </w14:textFill>
        </w:rPr>
        <w:t>中</w:t>
      </w:r>
      <w:r>
        <w:rPr>
          <w:rFonts w:hint="eastAsia" w:ascii="宋体" w:hAnsi="宋体" w:cs="宋体"/>
          <w:b/>
          <w:bCs/>
          <w:color w:val="000000" w:themeColor="text1"/>
          <w:sz w:val="32"/>
          <w:szCs w:val="32"/>
          <w:highlight w:val="none"/>
          <w:lang w:eastAsia="zh-CN"/>
          <w14:textFill>
            <w14:solidFill>
              <w14:schemeClr w14:val="tx1"/>
            </w14:solidFill>
          </w14:textFill>
        </w:rPr>
        <w:t>（</w:t>
      </w:r>
      <w:r>
        <w:rPr>
          <w:rFonts w:hint="eastAsia" w:ascii="宋体" w:hAnsi="宋体" w:cs="宋体"/>
          <w:b/>
          <w:bCs/>
          <w:color w:val="000000" w:themeColor="text1"/>
          <w:sz w:val="32"/>
          <w:szCs w:val="32"/>
          <w:highlight w:val="none"/>
          <w:lang w:val="en-US" w:eastAsia="zh-CN"/>
          <w14:textFill>
            <w14:solidFill>
              <w14:schemeClr w14:val="tx1"/>
            </w14:solidFill>
          </w14:textFill>
        </w:rPr>
        <w:t>一</w:t>
      </w:r>
      <w:r>
        <w:rPr>
          <w:rFonts w:hint="eastAsia" w:ascii="宋体" w:hAnsi="宋体" w:cs="宋体"/>
          <w:b/>
          <w:bCs/>
          <w:color w:val="000000" w:themeColor="text1"/>
          <w:sz w:val="32"/>
          <w:szCs w:val="32"/>
          <w:highlight w:val="none"/>
          <w:lang w:eastAsia="zh-CN"/>
          <w14:textFill>
            <w14:solidFill>
              <w14:schemeClr w14:val="tx1"/>
            </w14:solidFill>
          </w14:textFill>
        </w:rPr>
        <w:t>）—（</w:t>
      </w:r>
      <w:r>
        <w:rPr>
          <w:rFonts w:hint="eastAsia" w:ascii="宋体" w:hAnsi="宋体" w:cs="宋体"/>
          <w:b/>
          <w:bCs/>
          <w:color w:val="000000" w:themeColor="text1"/>
          <w:sz w:val="32"/>
          <w:szCs w:val="32"/>
          <w:highlight w:val="none"/>
          <w:lang w:val="en-US" w:eastAsia="zh-CN"/>
          <w14:textFill>
            <w14:solidFill>
              <w14:schemeClr w14:val="tx1"/>
            </w14:solidFill>
          </w14:textFill>
        </w:rPr>
        <w:t>十二</w:t>
      </w:r>
      <w:r>
        <w:rPr>
          <w:rFonts w:hint="eastAsia" w:ascii="宋体" w:hAnsi="宋体" w:cs="宋体"/>
          <w:b/>
          <w:bCs/>
          <w:color w:val="000000" w:themeColor="text1"/>
          <w:sz w:val="32"/>
          <w:szCs w:val="32"/>
          <w:highlight w:val="none"/>
          <w:lang w:eastAsia="zh-CN"/>
          <w14:textFill>
            <w14:solidFill>
              <w14:schemeClr w14:val="tx1"/>
            </w14:solidFill>
          </w14:textFill>
        </w:rPr>
        <w:t>）</w:t>
      </w:r>
      <w:r>
        <w:rPr>
          <w:rFonts w:hint="eastAsia" w:ascii="宋体" w:hAnsi="宋体" w:cs="宋体"/>
          <w:b/>
          <w:bCs/>
          <w:color w:val="000000" w:themeColor="text1"/>
          <w:sz w:val="32"/>
          <w:szCs w:val="32"/>
          <w:highlight w:val="none"/>
          <w14:textFill>
            <w14:solidFill>
              <w14:schemeClr w14:val="tx1"/>
            </w14:solidFill>
          </w14:textFill>
        </w:rPr>
        <w:t>标注“★”的技术参数为重要技术参数，重要技术参数不允许负偏离，否则否决投标文件</w:t>
      </w:r>
      <w:r>
        <w:rPr>
          <w:rFonts w:hint="eastAsia" w:ascii="宋体" w:hAnsi="宋体" w:cs="宋体"/>
          <w:b/>
          <w:bCs/>
          <w:color w:val="000000" w:themeColor="text1"/>
          <w:sz w:val="32"/>
          <w:szCs w:val="32"/>
          <w:highlight w:val="none"/>
          <w:lang w:eastAsia="zh-CN"/>
          <w14:textFill>
            <w14:solidFill>
              <w14:schemeClr w14:val="tx1"/>
            </w14:solidFill>
          </w14:textFill>
        </w:rPr>
        <w:t>，标注“★”的重要技术参数</w:t>
      </w:r>
      <w:r>
        <w:rPr>
          <w:rFonts w:hint="eastAsia" w:ascii="宋体" w:hAnsi="宋体" w:cs="宋体"/>
          <w:b/>
          <w:bCs/>
          <w:color w:val="000000" w:themeColor="text1"/>
          <w:sz w:val="32"/>
          <w:szCs w:val="32"/>
          <w:highlight w:val="none"/>
          <w:lang w:val="en-US" w:eastAsia="zh-CN"/>
          <w14:textFill>
            <w14:solidFill>
              <w14:schemeClr w14:val="tx1"/>
            </w14:solidFill>
          </w14:textFill>
        </w:rPr>
        <w:t>须提供承诺书</w:t>
      </w:r>
      <w:r>
        <w:rPr>
          <w:rFonts w:hint="eastAsia" w:ascii="宋体" w:hAnsi="宋体" w:cs="宋体"/>
          <w:b/>
          <w:bCs/>
          <w:color w:val="000000" w:themeColor="text1"/>
          <w:sz w:val="32"/>
          <w:szCs w:val="32"/>
          <w:highlight w:val="none"/>
          <w:lang w:eastAsia="zh-CN"/>
          <w14:textFill>
            <w14:solidFill>
              <w14:schemeClr w14:val="tx1"/>
            </w14:solidFill>
          </w14:textFill>
        </w:rPr>
        <w:t>。</w:t>
      </w:r>
    </w:p>
    <w:p w14:paraId="5CBD2BA7">
      <w:pPr>
        <w:snapToGrid w:val="0"/>
        <w:spacing w:line="312"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2、投标应对相关设备参数的真实性负责，不得提供虚假材料、虚构设备参数谋取中标。否则必须承担相应法律责任，已骗取中标的取消中标资格，对招标人造成经济损失的，赔偿相应经济损失。</w:t>
      </w:r>
    </w:p>
    <w:p w14:paraId="46F9913E">
      <w:pPr>
        <w:rPr>
          <w:rFonts w:hint="eastAsia" w:hAnsi="宋体" w:cs="宋体"/>
          <w:b/>
          <w:color w:val="000000" w:themeColor="text1"/>
          <w:sz w:val="24"/>
          <w:szCs w:val="21"/>
          <w:highlight w:val="none"/>
          <w14:textFill>
            <w14:solidFill>
              <w14:schemeClr w14:val="tx1"/>
            </w14:solidFill>
          </w14:textFill>
        </w:rPr>
      </w:pPr>
      <w:bookmarkStart w:id="472" w:name="_Toc197"/>
      <w:r>
        <w:rPr>
          <w:rFonts w:hint="eastAsia" w:hAnsi="宋体" w:cs="宋体"/>
          <w:b/>
          <w:color w:val="000000" w:themeColor="text1"/>
          <w:sz w:val="24"/>
          <w:szCs w:val="21"/>
          <w:highlight w:val="none"/>
          <w14:textFill>
            <w14:solidFill>
              <w14:schemeClr w14:val="tx1"/>
            </w14:solidFill>
          </w14:textFill>
        </w:rPr>
        <w:br w:type="page"/>
      </w:r>
    </w:p>
    <w:p w14:paraId="307FD70E">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Ansi="宋体" w:cs="宋体"/>
          <w:b/>
          <w:color w:val="000000" w:themeColor="text1"/>
          <w:sz w:val="24"/>
          <w:szCs w:val="21"/>
          <w:highlight w:val="none"/>
          <w14:textFill>
            <w14:solidFill>
              <w14:schemeClr w14:val="tx1"/>
            </w14:solidFill>
          </w14:textFill>
        </w:rPr>
      </w:pPr>
      <w:bookmarkStart w:id="473" w:name="_Toc27366"/>
      <w:r>
        <w:rPr>
          <w:rFonts w:hint="eastAsia" w:hAnsi="宋体" w:cs="宋体"/>
          <w:b/>
          <w:color w:val="000000" w:themeColor="text1"/>
          <w:sz w:val="24"/>
          <w:szCs w:val="21"/>
          <w:highlight w:val="none"/>
          <w14:textFill>
            <w14:solidFill>
              <w14:schemeClr w14:val="tx1"/>
            </w14:solidFill>
          </w14:textFill>
        </w:rPr>
        <w:t>二、商务要求</w:t>
      </w:r>
      <w:bookmarkEnd w:id="472"/>
      <w:bookmarkEnd w:id="473"/>
    </w:p>
    <w:p w14:paraId="3FF60499">
      <w:pPr>
        <w:pStyle w:val="16"/>
        <w:ind w:firstLine="480" w:firstLineChars="200"/>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1、产品应为</w:t>
      </w:r>
      <w:r>
        <w:rPr>
          <w:rFonts w:hint="eastAsia" w:ascii="宋体" w:hAnsi="宋体" w:cs="宋体"/>
          <w:color w:val="000000" w:themeColor="text1"/>
          <w:kern w:val="0"/>
          <w:sz w:val="24"/>
          <w:highlight w:val="none"/>
          <w:lang w:bidi="ar"/>
          <w14:textFill>
            <w14:solidFill>
              <w14:schemeClr w14:val="tx1"/>
            </w14:solidFill>
          </w14:textFill>
        </w:rPr>
        <w:t>原厂全新正品。</w:t>
      </w:r>
    </w:p>
    <w:p w14:paraId="386E8208">
      <w:pPr>
        <w:pStyle w:val="207"/>
        <w:spacing w:line="360" w:lineRule="auto"/>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lang w:val="zh-CN"/>
          <w14:textFill>
            <w14:solidFill>
              <w14:schemeClr w14:val="tx1"/>
            </w14:solidFill>
          </w14:textFill>
        </w:rPr>
        <w:t>投标人应安排一名项目负责人，负责该项目的组织、沟通联络。负责人应随时保持电话畅通，能主动沟通配送情况以及提供意见或建议。</w:t>
      </w:r>
    </w:p>
    <w:p w14:paraId="25D08EBA">
      <w:pPr>
        <w:pStyle w:val="207"/>
        <w:spacing w:line="360" w:lineRule="auto"/>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highlight w:val="none"/>
          <w:lang w:val="zh-CN"/>
          <w14:textFill>
            <w14:solidFill>
              <w14:schemeClr w14:val="tx1"/>
            </w14:solidFill>
          </w14:textFill>
        </w:rPr>
        <w:t>、投标人负责按时将产品配送至采购人要求的指定地点，并搬运至指定位置。</w:t>
      </w:r>
    </w:p>
    <w:p w14:paraId="719054BF">
      <w:pPr>
        <w:pStyle w:val="207"/>
        <w:spacing w:line="360" w:lineRule="auto"/>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、售后服务要求：</w:t>
      </w:r>
    </w:p>
    <w:p w14:paraId="7ECD8DD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提供7*24小时服务，如产品发生故障或损坏时投标人在接收到采购人通知内2个小时之内须作出反应，采购人遇到使用及技术问题，电话咨询不能解决的，投标人应在48小时内提供上门服务，并在48小时内处理解决，如无法按时处理、解决的，需提供解决方案。</w:t>
      </w:r>
    </w:p>
    <w:p w14:paraId="6D9F7CA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投标人拖延或拒绝履行售后服务或履行售后服务不符合合同约定要求的，采购人有权另行委托第三方进行维修、维护、更换，所产生的费用由投标人承担。</w:t>
      </w:r>
    </w:p>
    <w:p w14:paraId="7B56F9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（2）对采购人进行技术培训。</w:t>
      </w:r>
    </w:p>
    <w:p w14:paraId="544B8CF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、验收标准：</w:t>
      </w:r>
    </w:p>
    <w:p w14:paraId="6D7B1AB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（1）设备验收：设备到达采购人指定地点后采购人统一初验是否符合合同要求；</w:t>
      </w:r>
    </w:p>
    <w:p w14:paraId="4D5D7BC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（2）项目验收：</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cs="宋体"/>
          <w:color w:val="000000" w:themeColor="text1"/>
          <w:sz w:val="24"/>
          <w:szCs w:val="24"/>
          <w:highlight w:val="none"/>
          <w14:textFill>
            <w14:solidFill>
              <w14:schemeClr w14:val="tx1"/>
            </w14:solidFill>
          </w14:textFill>
        </w:rPr>
        <w:t>负责设备安装和调试，完工后，采购人测试是否合格并满足技术要求；</w:t>
      </w:r>
    </w:p>
    <w:p w14:paraId="17D0F21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（3）实作性操作验收：设备是否正常运作3个月。</w:t>
      </w:r>
    </w:p>
    <w:p w14:paraId="40B2363C">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、付款方式：</w:t>
      </w:r>
    </w:p>
    <w:p w14:paraId="42FE875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设备到货、安装调试完成，且能正常运行，经采购人使用部门初验合格、经国有资产与实验室管理处组织最终验收合格，且完成设备资产建账后交付合同全款发票（进口设备付汇完成并提供银行付汇水单）及相关归档、报账资料后，采购人向投标人支付100%合同货款。</w:t>
      </w:r>
    </w:p>
    <w:p w14:paraId="2B92D24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（2）付款以转账形式支付。</w:t>
      </w:r>
    </w:p>
    <w:p w14:paraId="42D26621">
      <w:pPr>
        <w:pStyle w:val="51"/>
        <w:rPr>
          <w:rFonts w:hAnsi="宋体"/>
          <w:color w:val="000000" w:themeColor="text1"/>
          <w:highlight w:val="none"/>
          <w14:textFill>
            <w14:solidFill>
              <w14:schemeClr w14:val="tx1"/>
            </w14:solidFill>
          </w14:textFill>
        </w:rPr>
      </w:pPr>
    </w:p>
    <w:p w14:paraId="7D7994BA">
      <w:pP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br w:type="page"/>
      </w:r>
    </w:p>
    <w:p w14:paraId="1E7C46D1">
      <w:pPr>
        <w:pStyle w:val="2"/>
        <w:ind w:left="0" w:firstLine="0"/>
        <w:jc w:val="center"/>
        <w:rPr>
          <w:rFonts w:ascii="宋体" w:hAnsi="宋体" w:eastAsia="宋体" w:cs="宋体"/>
          <w:bCs/>
          <w:color w:val="000000" w:themeColor="text1"/>
          <w:sz w:val="36"/>
          <w:highlight w:val="none"/>
          <w14:textFill>
            <w14:solidFill>
              <w14:schemeClr w14:val="tx1"/>
            </w14:solidFill>
          </w14:textFill>
        </w:rPr>
      </w:pPr>
      <w:bookmarkStart w:id="474" w:name="_Toc30092"/>
      <w:bookmarkStart w:id="475" w:name="_Toc503"/>
      <w:bookmarkStart w:id="476" w:name="_Toc17431"/>
      <w:bookmarkStart w:id="477" w:name="_Toc10644"/>
      <w:bookmarkStart w:id="478" w:name="_Toc24047"/>
      <w:bookmarkStart w:id="479" w:name="_Toc30369"/>
      <w:bookmarkStart w:id="480" w:name="_Toc11121"/>
      <w:r>
        <w:rPr>
          <w:rFonts w:hint="eastAsia" w:ascii="宋体" w:hAnsi="宋体" w:eastAsia="宋体" w:cs="宋体"/>
          <w:bCs/>
          <w:color w:val="000000" w:themeColor="text1"/>
          <w:sz w:val="36"/>
          <w:highlight w:val="none"/>
          <w14:textFill>
            <w14:solidFill>
              <w14:schemeClr w14:val="tx1"/>
            </w14:solidFill>
          </w14:textFill>
        </w:rPr>
        <w:t>第六章</w:t>
      </w:r>
      <w:r>
        <w:rPr>
          <w:rFonts w:hint="eastAsia" w:ascii="宋体" w:hAnsi="宋体" w:eastAsia="宋体" w:cs="宋体"/>
          <w:bCs/>
          <w:color w:val="000000" w:themeColor="text1"/>
          <w:sz w:val="36"/>
          <w:highlight w:val="none"/>
          <w:lang w:val="en-US"/>
          <w14:textFill>
            <w14:solidFill>
              <w14:schemeClr w14:val="tx1"/>
            </w14:solidFill>
          </w14:textFill>
        </w:rPr>
        <w:t xml:space="preserve"> </w:t>
      </w:r>
      <w:r>
        <w:rPr>
          <w:rFonts w:hint="eastAsia" w:ascii="宋体" w:hAnsi="宋体" w:eastAsia="宋体" w:cs="宋体"/>
          <w:bCs/>
          <w:color w:val="000000" w:themeColor="text1"/>
          <w:sz w:val="36"/>
          <w:highlight w:val="none"/>
          <w14:textFill>
            <w14:solidFill>
              <w14:schemeClr w14:val="tx1"/>
            </w14:solidFill>
          </w14:textFill>
        </w:rPr>
        <w:t>资格评审标准</w:t>
      </w:r>
      <w:bookmarkEnd w:id="474"/>
      <w:bookmarkEnd w:id="475"/>
      <w:bookmarkEnd w:id="476"/>
      <w:bookmarkEnd w:id="477"/>
      <w:bookmarkEnd w:id="478"/>
      <w:bookmarkEnd w:id="479"/>
      <w:bookmarkEnd w:id="480"/>
    </w:p>
    <w:p w14:paraId="1BBA3B4E">
      <w:pPr>
        <w:pStyle w:val="34"/>
        <w:spacing w:before="0" w:beforeAutospacing="0" w:after="0" w:afterAutospacing="0"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公开招标采购项目开标结束后，采购人或采购代理机构依法对投标人的资格进行审查。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p w14:paraId="63DCF5A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1.满足《中华人民共和国政府采购法》第二十二条规定；</w:t>
      </w:r>
    </w:p>
    <w:p w14:paraId="3F9FBE4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1.1投标人在中华人民共和国境内注册能够独立承担民事责任，持有工商行政管理部门核发的营业执照的法人或其他组织，提供营业执照或其他证明文件（扫描件）；</w:t>
      </w:r>
    </w:p>
    <w:p w14:paraId="18303F8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1.2投标人具有良好的商业信誉和健全的财务会计制度，根据投标人性质提供下列任一材料：①提供202</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年—202</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年任意一年经第三方审计的审计报告及财务报表（包括资产负债表、利润表、现金流量表），成立不满1年的，提供自成立至今财务报表（包括资产负债表、利润表、现金流量表）；②也可提供距文件递交截止日一年内开户银行出具的资信证明；③也可提供财政部门认可的政府采购专业担保机构出具的投标担保函（需同时提供专业担保机构经财政部门认可的证明文件）；④非营利性单位或者社会团体或者其他机关事业单位也可提供以符合财务会计制度为准或者提供承诺函；⑤投标人为自然人的也可提供承诺函（格式自拟）；</w:t>
      </w:r>
    </w:p>
    <w:p w14:paraId="1CBD3EB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1.3投标人须提供具备履行合同所必需的设备和专业技术能力的证明材料（提供承诺函或证明材料）；</w:t>
      </w:r>
    </w:p>
    <w:p w14:paraId="3644CA8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1.4投标人有依法缴纳税收和社会保障资金的良好记录,提供2023年</w:t>
      </w:r>
      <w:r>
        <w:rPr>
          <w:rFonts w:hint="eastAsia" w:ascii="宋体" w:hAnsi="宋体" w:cs="宋体"/>
          <w:color w:val="000000" w:themeColor="text1"/>
          <w:sz w:val="24"/>
          <w:highlight w:val="none"/>
          <w:lang w:val="en-US" w:eastAsia="zh-CN"/>
          <w14:textFill>
            <w14:solidFill>
              <w14:schemeClr w14:val="tx1"/>
            </w14:solidFill>
          </w14:textFill>
        </w:rPr>
        <w:t>05</w:t>
      </w:r>
      <w:r>
        <w:rPr>
          <w:rFonts w:hint="eastAsia" w:ascii="宋体" w:hAnsi="宋体" w:cs="宋体"/>
          <w:color w:val="000000" w:themeColor="text1"/>
          <w:sz w:val="24"/>
          <w:highlight w:val="none"/>
          <w14:textFill>
            <w14:solidFill>
              <w14:schemeClr w14:val="tx1"/>
            </w14:solidFill>
          </w14:textFill>
        </w:rPr>
        <w:t>月至本项目投标文件提交截止时间前任意2个月的依法缴纳税收和缴纳社会保障资金的证明（成立未满2个月的，提供成立以来的税收和社会保障资金缴纳凭证或相关情况说明；依法免税或不需要缴纳社会保障资金的投标人，应提供相应文件证明）；</w:t>
      </w:r>
    </w:p>
    <w:p w14:paraId="4B2EBF9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45717D16">
      <w:pPr>
        <w:spacing w:line="360" w:lineRule="auto"/>
        <w:ind w:firstLine="480" w:firstLineChars="20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1.6法律、行政法规规定的其他条件</w:t>
      </w:r>
      <w:r>
        <w:rPr>
          <w:rFonts w:hint="eastAsia" w:ascii="宋体" w:hAnsi="宋体" w:cs="宋体"/>
          <w:color w:val="000000" w:themeColor="text1"/>
          <w:sz w:val="24"/>
          <w:highlight w:val="none"/>
          <w:lang w:eastAsia="zh-CN"/>
          <w14:textFill>
            <w14:solidFill>
              <w14:schemeClr w14:val="tx1"/>
            </w14:solidFill>
          </w14:textFill>
        </w:rPr>
        <w:t>：</w:t>
      </w:r>
    </w:p>
    <w:p w14:paraId="5110EE9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投标人未被列入“信用中国”网站（www.creditchina.gov.cn）“失信被执行人”、“重大税收违法失信主体”及中国政府采购网（www.ccgp.gov.cn）“政府采购严重违法失信行为信息记录”（查询时间为本公告发布之日起至投标文件提交截止时间止，查询结果以采购人、采购代理机构查询结果为准，并将查询记录和证据留存）；</w:t>
      </w:r>
    </w:p>
    <w:p w14:paraId="0985338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单位负责人为同一人或者存在直接控股、管理关系的不同投标人，不得参加同一招标项目的政府采购活动（提供承诺函）；</w:t>
      </w:r>
    </w:p>
    <w:p w14:paraId="1506613C">
      <w:pPr>
        <w:spacing w:line="360" w:lineRule="auto"/>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为采购项目提供整体设计、规范编制或者项目管理、监理、检测等服务的投标人，不得再参加该采购项目的其他采购活动（提供承诺函）</w:t>
      </w:r>
      <w:r>
        <w:rPr>
          <w:rFonts w:hint="eastAsia" w:ascii="宋体" w:hAnsi="宋体" w:cs="宋体"/>
          <w:color w:val="000000" w:themeColor="text1"/>
          <w:sz w:val="24"/>
          <w:highlight w:val="none"/>
          <w:lang w:eastAsia="zh-CN"/>
          <w14:textFill>
            <w14:solidFill>
              <w14:schemeClr w14:val="tx1"/>
            </w14:solidFill>
          </w14:textFill>
        </w:rPr>
        <w:t>；</w:t>
      </w:r>
    </w:p>
    <w:p w14:paraId="273204F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2.落实政府采购政策需满足的资格要求：无，本项目不属于专门面向中小企业采购的项目；</w:t>
      </w:r>
    </w:p>
    <w:p w14:paraId="1B11A879">
      <w:pPr>
        <w:spacing w:line="360" w:lineRule="auto"/>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3.本项目的特定资格要求：</w:t>
      </w:r>
      <w:r>
        <w:rPr>
          <w:rFonts w:hint="eastAsia" w:ascii="宋体" w:hAnsi="宋体" w:cs="宋体"/>
          <w:color w:val="000000" w:themeColor="text1"/>
          <w:sz w:val="24"/>
          <w:szCs w:val="24"/>
          <w:highlight w:val="none"/>
          <w:lang w:eastAsia="zh-CN"/>
          <w14:textFill>
            <w14:solidFill>
              <w14:schemeClr w14:val="tx1"/>
            </w14:solidFill>
          </w14:textFill>
        </w:rPr>
        <w:t>投标人</w:t>
      </w:r>
      <w:r>
        <w:rPr>
          <w:rFonts w:ascii="宋体" w:hAnsi="宋体" w:cs="宋体"/>
          <w:color w:val="000000" w:themeColor="text1"/>
          <w:sz w:val="24"/>
          <w:szCs w:val="24"/>
          <w:highlight w:val="none"/>
          <w14:textFill>
            <w14:solidFill>
              <w14:schemeClr w14:val="tx1"/>
            </w14:solidFill>
          </w14:textFill>
        </w:rPr>
        <w:t>如果是</w:t>
      </w:r>
      <w:r>
        <w:rPr>
          <w:rFonts w:hint="eastAsia" w:ascii="宋体" w:hAnsi="宋体" w:cs="宋体"/>
          <w:color w:val="000000" w:themeColor="text1"/>
          <w:sz w:val="24"/>
          <w:szCs w:val="24"/>
          <w:highlight w:val="none"/>
          <w14:textFill>
            <w14:solidFill>
              <w14:schemeClr w14:val="tx1"/>
            </w14:solidFill>
          </w14:textFill>
        </w:rPr>
        <w:t>代理商或经销商且所投产品为医疗器械的，须提供医疗器械经营许可证/备案凭证、所投产品制造商的医疗器械生产许可证（制造商工商注册地在中华人民共和国境外的，不做此要求）、所投产品的医疗器械注册证及附件；投标人如果是制造商且所投产品为医疗器械的，须提供医疗器械生产许可证（制造商工商注册地在中华人民共和国境外的，不做此要求）、所投产品的医疗器械注册证及附件。医疗器械生产或经营许可证的生产或经营范围须覆盖所投第二、三类医疗器械（根据中华人民共和国国务院令第</w:t>
      </w:r>
      <w:r>
        <w:rPr>
          <w:rFonts w:ascii="宋体" w:hAnsi="宋体" w:cs="宋体"/>
          <w:color w:val="000000" w:themeColor="text1"/>
          <w:sz w:val="24"/>
          <w:szCs w:val="24"/>
          <w:highlight w:val="none"/>
          <w14:textFill>
            <w14:solidFill>
              <w14:schemeClr w14:val="tx1"/>
            </w14:solidFill>
          </w14:textFill>
        </w:rPr>
        <w:t>739</w:t>
      </w:r>
      <w:r>
        <w:rPr>
          <w:rFonts w:hint="eastAsia" w:ascii="宋体" w:hAnsi="宋体" w:cs="宋体"/>
          <w:color w:val="000000" w:themeColor="text1"/>
          <w:sz w:val="24"/>
          <w:szCs w:val="24"/>
          <w:highlight w:val="none"/>
          <w14:textFill>
            <w14:solidFill>
              <w14:schemeClr w14:val="tx1"/>
            </w14:solidFill>
          </w14:textFill>
        </w:rPr>
        <w:t>号《医疗器械监督管理条例》和国家药品监督管理局《医疗器械分类目录》的规定，在《医疗器械分类目录》内的产品必须按照《医疗器械监督管理条例》的要求提供，其他不在《医疗器械分类目录》内的不作强行要求）。</w:t>
      </w:r>
    </w:p>
    <w:p w14:paraId="41D6FCA3">
      <w:pPr>
        <w:pStyle w:val="34"/>
        <w:spacing w:before="0" w:beforeAutospacing="0" w:after="0" w:afterAutospacing="0" w:line="360" w:lineRule="auto"/>
        <w:ind w:firstLine="480" w:firstLineChars="200"/>
        <w:jc w:val="both"/>
        <w:rPr>
          <w:rFonts w:cs="宋体"/>
          <w:color w:val="000000" w:themeColor="text1"/>
          <w:highlight w:val="none"/>
          <w14:textFill>
            <w14:solidFill>
              <w14:schemeClr w14:val="tx1"/>
            </w14:solidFill>
          </w14:textFill>
        </w:rPr>
      </w:pPr>
    </w:p>
    <w:p w14:paraId="29D3293E">
      <w:pPr>
        <w:pStyle w:val="34"/>
        <w:spacing w:before="0" w:beforeAutospacing="0" w:after="0" w:afterAutospacing="0" w:line="360" w:lineRule="auto"/>
        <w:ind w:firstLine="480" w:firstLineChars="200"/>
        <w:jc w:val="both"/>
        <w:rPr>
          <w:rFonts w:cs="宋体"/>
          <w:color w:val="000000" w:themeColor="text1"/>
          <w:highlight w:val="none"/>
          <w14:textFill>
            <w14:solidFill>
              <w14:schemeClr w14:val="tx1"/>
            </w14:solidFill>
          </w14:textFill>
        </w:rPr>
      </w:pPr>
    </w:p>
    <w:p w14:paraId="40898456">
      <w:pPr>
        <w:pStyle w:val="34"/>
        <w:spacing w:before="0" w:beforeAutospacing="0" w:after="0" w:afterAutospacing="0" w:line="360" w:lineRule="auto"/>
        <w:ind w:firstLine="480" w:firstLineChars="200"/>
        <w:jc w:val="center"/>
        <w:rPr>
          <w:rFonts w:cs="宋体"/>
          <w:color w:val="000000" w:themeColor="text1"/>
          <w:highlight w:val="none"/>
          <w14:textFill>
            <w14:solidFill>
              <w14:schemeClr w14:val="tx1"/>
            </w14:solidFill>
          </w14:textFill>
        </w:rPr>
      </w:pPr>
    </w:p>
    <w:p w14:paraId="214B463A">
      <w:pPr>
        <w:pStyle w:val="34"/>
        <w:spacing w:before="0" w:beforeAutospacing="0" w:after="0" w:afterAutospacing="0" w:line="360" w:lineRule="auto"/>
        <w:jc w:val="center"/>
        <w:outlineLvl w:val="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br w:type="page"/>
      </w:r>
      <w:bookmarkStart w:id="481" w:name="_Toc17756"/>
      <w:bookmarkStart w:id="482" w:name="_Toc16944"/>
      <w:bookmarkStart w:id="483" w:name="_Toc22317"/>
      <w:bookmarkStart w:id="484" w:name="_Toc23764"/>
      <w:bookmarkStart w:id="485" w:name="_Toc2289"/>
      <w:bookmarkStart w:id="486" w:name="_Toc18300"/>
      <w:bookmarkStart w:id="487" w:name="_Toc30882"/>
      <w:r>
        <w:rPr>
          <w:rFonts w:hint="eastAsia" w:cs="宋体"/>
          <w:b/>
          <w:bCs/>
          <w:color w:val="000000" w:themeColor="text1"/>
          <w:sz w:val="36"/>
          <w:highlight w:val="none"/>
          <w14:textFill>
            <w14:solidFill>
              <w14:schemeClr w14:val="tx1"/>
            </w14:solidFill>
          </w14:textFill>
        </w:rPr>
        <w:t>第七章 评标方法（综合评分法）</w:t>
      </w:r>
      <w:bookmarkEnd w:id="481"/>
      <w:bookmarkEnd w:id="482"/>
      <w:bookmarkEnd w:id="483"/>
      <w:bookmarkEnd w:id="484"/>
      <w:bookmarkEnd w:id="485"/>
      <w:bookmarkEnd w:id="486"/>
      <w:bookmarkEnd w:id="487"/>
    </w:p>
    <w:p w14:paraId="7600A416">
      <w:pPr>
        <w:pStyle w:val="3"/>
        <w:numPr>
          <w:ilvl w:val="0"/>
          <w:numId w:val="0"/>
        </w:numPr>
        <w:jc w:val="center"/>
        <w:rPr>
          <w:rFonts w:ascii="宋体" w:hAnsi="宋体" w:eastAsia="宋体" w:cs="宋体"/>
          <w:color w:val="000000" w:themeColor="text1"/>
          <w:highlight w:val="none"/>
          <w14:textFill>
            <w14:solidFill>
              <w14:schemeClr w14:val="tx1"/>
            </w14:solidFill>
          </w14:textFill>
        </w:rPr>
      </w:pPr>
      <w:bookmarkStart w:id="488" w:name="_Toc18777"/>
      <w:bookmarkStart w:id="489" w:name="_Toc6742"/>
      <w:bookmarkStart w:id="490" w:name="_Toc27864"/>
      <w:bookmarkStart w:id="491" w:name="_Toc18118"/>
      <w:bookmarkStart w:id="492" w:name="_Toc31626"/>
      <w:bookmarkStart w:id="493" w:name="_Toc26846"/>
      <w:bookmarkStart w:id="494" w:name="_Toc398126394"/>
      <w:bookmarkStart w:id="495" w:name="_Toc5975"/>
      <w:bookmarkStart w:id="496" w:name="_Toc402942147"/>
      <w:r>
        <w:rPr>
          <w:rFonts w:hint="eastAsia" w:ascii="宋体" w:hAnsi="宋体" w:eastAsia="宋体" w:cs="宋体"/>
          <w:color w:val="000000" w:themeColor="text1"/>
          <w:highlight w:val="none"/>
          <w14:textFill>
            <w14:solidFill>
              <w14:schemeClr w14:val="tx1"/>
            </w14:solidFill>
          </w14:textFill>
        </w:rPr>
        <w:t>评标方法前附表</w:t>
      </w:r>
      <w:bookmarkEnd w:id="488"/>
      <w:bookmarkEnd w:id="489"/>
      <w:bookmarkEnd w:id="490"/>
      <w:bookmarkEnd w:id="491"/>
      <w:bookmarkEnd w:id="492"/>
      <w:bookmarkEnd w:id="493"/>
      <w:bookmarkEnd w:id="494"/>
      <w:bookmarkEnd w:id="495"/>
      <w:bookmarkEnd w:id="496"/>
    </w:p>
    <w:tbl>
      <w:tblPr>
        <w:tblStyle w:val="37"/>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225"/>
        <w:gridCol w:w="1621"/>
        <w:gridCol w:w="6226"/>
      </w:tblGrid>
      <w:tr w14:paraId="63625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973" w:type="dxa"/>
            <w:vAlign w:val="center"/>
          </w:tcPr>
          <w:p w14:paraId="5121496C">
            <w:pPr>
              <w:spacing w:before="100" w:beforeAutospacing="1" w:after="100" w:afterAutospacing="1"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条款号</w:t>
            </w:r>
          </w:p>
        </w:tc>
        <w:tc>
          <w:tcPr>
            <w:tcW w:w="1225" w:type="dxa"/>
            <w:vAlign w:val="center"/>
          </w:tcPr>
          <w:p w14:paraId="41A78218">
            <w:pPr>
              <w:spacing w:before="100" w:beforeAutospacing="1" w:after="100" w:afterAutospacing="1"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评审程序</w:t>
            </w:r>
          </w:p>
        </w:tc>
        <w:tc>
          <w:tcPr>
            <w:tcW w:w="7847" w:type="dxa"/>
            <w:gridSpan w:val="2"/>
            <w:vAlign w:val="center"/>
          </w:tcPr>
          <w:p w14:paraId="447D3011">
            <w:pPr>
              <w:spacing w:before="100" w:beforeAutospacing="1" w:after="100" w:afterAutospacing="1" w:line="40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评审内容及标准</w:t>
            </w:r>
          </w:p>
        </w:tc>
      </w:tr>
      <w:tr w14:paraId="7ED95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73" w:type="dxa"/>
            <w:vMerge w:val="restart"/>
            <w:vAlign w:val="center"/>
          </w:tcPr>
          <w:p w14:paraId="304460A4">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w:t>
            </w:r>
          </w:p>
        </w:tc>
        <w:tc>
          <w:tcPr>
            <w:tcW w:w="1225" w:type="dxa"/>
            <w:vMerge w:val="restart"/>
            <w:vAlign w:val="center"/>
          </w:tcPr>
          <w:p w14:paraId="469CF83A">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符合性评审标准</w:t>
            </w:r>
          </w:p>
        </w:tc>
        <w:tc>
          <w:tcPr>
            <w:tcW w:w="1621" w:type="dxa"/>
            <w:vAlign w:val="center"/>
          </w:tcPr>
          <w:p w14:paraId="3BDEBBC5">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投标文件签署、盖章</w:t>
            </w:r>
          </w:p>
        </w:tc>
        <w:tc>
          <w:tcPr>
            <w:tcW w:w="6226" w:type="dxa"/>
            <w:vAlign w:val="center"/>
          </w:tcPr>
          <w:p w14:paraId="1D2C8139">
            <w:pPr>
              <w:spacing w:before="0" w:beforeAutospacing="0" w:after="0" w:afterAutospacing="0" w:line="400" w:lineRule="exact"/>
              <w:jc w:val="left"/>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按第四章“投标文件格式”中标注“▲”的内容在规定位置加盖电子签章、签字。</w:t>
            </w:r>
          </w:p>
        </w:tc>
      </w:tr>
      <w:tr w14:paraId="18DD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73" w:type="dxa"/>
            <w:vMerge w:val="continue"/>
            <w:vAlign w:val="center"/>
          </w:tcPr>
          <w:p w14:paraId="6CFB37C4">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0F197EC2">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p>
        </w:tc>
        <w:tc>
          <w:tcPr>
            <w:tcW w:w="1621" w:type="dxa"/>
            <w:vAlign w:val="center"/>
          </w:tcPr>
          <w:p w14:paraId="11F3E56C">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投标保证金</w:t>
            </w:r>
          </w:p>
        </w:tc>
        <w:tc>
          <w:tcPr>
            <w:tcW w:w="6226" w:type="dxa"/>
            <w:vAlign w:val="center"/>
          </w:tcPr>
          <w:p w14:paraId="2A471A01">
            <w:pPr>
              <w:spacing w:before="100" w:beforeAutospacing="1" w:after="100" w:afterAutospacing="1" w:line="40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按照招标文件的规定提交投标保证金的。</w:t>
            </w:r>
          </w:p>
        </w:tc>
      </w:tr>
      <w:tr w14:paraId="04D86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73" w:type="dxa"/>
            <w:vMerge w:val="continue"/>
            <w:vAlign w:val="center"/>
          </w:tcPr>
          <w:p w14:paraId="50AC99FE">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7556C50E">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p>
        </w:tc>
        <w:tc>
          <w:tcPr>
            <w:tcW w:w="1621" w:type="dxa"/>
            <w:vAlign w:val="center"/>
          </w:tcPr>
          <w:p w14:paraId="4D0664FE">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投标报价</w:t>
            </w:r>
          </w:p>
        </w:tc>
        <w:tc>
          <w:tcPr>
            <w:tcW w:w="6226" w:type="dxa"/>
            <w:vAlign w:val="center"/>
          </w:tcPr>
          <w:p w14:paraId="474269E7">
            <w:pPr>
              <w:spacing w:before="100" w:beforeAutospacing="1" w:after="100" w:afterAutospacing="1" w:line="40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投标报价</w:t>
            </w:r>
            <w:r>
              <w:rPr>
                <w:rFonts w:hint="eastAsia" w:ascii="宋体" w:hAnsi="宋体" w:cs="宋体"/>
                <w:color w:val="000000" w:themeColor="text1"/>
                <w:sz w:val="24"/>
                <w:szCs w:val="24"/>
                <w:highlight w:val="none"/>
                <w14:textFill>
                  <w14:solidFill>
                    <w14:schemeClr w14:val="tx1"/>
                  </w14:solidFill>
                </w14:textFill>
              </w:rPr>
              <w:t>不得超过</w:t>
            </w:r>
            <w:r>
              <w:rPr>
                <w:rFonts w:hint="eastAsia" w:ascii="宋体" w:hAnsi="宋体" w:cs="宋体"/>
                <w:color w:val="000000" w:themeColor="text1"/>
                <w:sz w:val="24"/>
                <w:highlight w:val="none"/>
                <w14:textFill>
                  <w14:solidFill>
                    <w14:schemeClr w14:val="tx1"/>
                  </w14:solidFill>
                </w14:textFill>
              </w:rPr>
              <w:t>招标文件中规定的预算</w:t>
            </w:r>
            <w:r>
              <w:rPr>
                <w:rFonts w:hint="eastAsia" w:ascii="宋体" w:hAnsi="宋体" w:cs="宋体"/>
                <w:color w:val="000000" w:themeColor="text1"/>
                <w:sz w:val="24"/>
                <w:highlight w:val="none"/>
                <w:lang w:val="en-US" w:eastAsia="zh-CN"/>
                <w14:textFill>
                  <w14:solidFill>
                    <w14:schemeClr w14:val="tx1"/>
                  </w14:solidFill>
                </w14:textFill>
              </w:rPr>
              <w:t>金额</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最高限价及预算单价的。</w:t>
            </w:r>
          </w:p>
        </w:tc>
      </w:tr>
      <w:tr w14:paraId="0C334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760F6049">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3BC85352">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p>
        </w:tc>
        <w:tc>
          <w:tcPr>
            <w:tcW w:w="1621" w:type="dxa"/>
            <w:vAlign w:val="center"/>
          </w:tcPr>
          <w:p w14:paraId="76BB2363">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其它实质性条件</w:t>
            </w:r>
          </w:p>
        </w:tc>
        <w:tc>
          <w:tcPr>
            <w:tcW w:w="6226" w:type="dxa"/>
            <w:vAlign w:val="center"/>
          </w:tcPr>
          <w:p w14:paraId="22BF177D">
            <w:pPr>
              <w:spacing w:before="100" w:beforeAutospacing="1" w:after="100" w:afterAutospacing="1" w:line="40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未实质性响应招标文件中标注★条款内容的。</w:t>
            </w:r>
          </w:p>
        </w:tc>
      </w:tr>
      <w:tr w14:paraId="5585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3EFF5296">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35873513">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p>
        </w:tc>
        <w:tc>
          <w:tcPr>
            <w:tcW w:w="1621" w:type="dxa"/>
            <w:vAlign w:val="center"/>
          </w:tcPr>
          <w:p w14:paraId="1E466B0F">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投标内容</w:t>
            </w:r>
          </w:p>
        </w:tc>
        <w:tc>
          <w:tcPr>
            <w:tcW w:w="6226" w:type="dxa"/>
            <w:vAlign w:val="center"/>
          </w:tcPr>
          <w:p w14:paraId="76735298">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投标人提供的货物无实质性遗漏。</w:t>
            </w:r>
          </w:p>
        </w:tc>
      </w:tr>
      <w:tr w14:paraId="0B4E4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736CF8C0">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0774A139">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p>
        </w:tc>
        <w:tc>
          <w:tcPr>
            <w:tcW w:w="1621" w:type="dxa"/>
            <w:vAlign w:val="center"/>
          </w:tcPr>
          <w:p w14:paraId="27497DCC">
            <w:pPr>
              <w:spacing w:before="100" w:beforeAutospacing="1" w:after="100" w:afterAutospacing="1" w:line="400" w:lineRule="exact"/>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重要技术参数</w:t>
            </w:r>
          </w:p>
        </w:tc>
        <w:tc>
          <w:tcPr>
            <w:tcW w:w="6226" w:type="dxa"/>
            <w:vAlign w:val="center"/>
          </w:tcPr>
          <w:p w14:paraId="705A62F8">
            <w:pPr>
              <w:spacing w:before="100" w:beforeAutospacing="1" w:after="100" w:afterAutospacing="1"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标注“★”的重要技术参数不允许负偏离</w:t>
            </w:r>
            <w:r>
              <w:rPr>
                <w:rFonts w:hint="eastAsia" w:ascii="宋体" w:hAnsi="宋体" w:cs="宋体"/>
                <w:b/>
                <w:bCs/>
                <w:color w:val="000000" w:themeColor="text1"/>
                <w:sz w:val="24"/>
                <w:highlight w:val="none"/>
                <w:lang w:eastAsia="zh-CN"/>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标注“★”的重要技术参数</w:t>
            </w:r>
            <w:r>
              <w:rPr>
                <w:rFonts w:hint="eastAsia" w:ascii="宋体" w:hAnsi="宋体" w:cs="宋体"/>
                <w:b/>
                <w:bCs/>
                <w:color w:val="000000" w:themeColor="text1"/>
                <w:sz w:val="24"/>
                <w:highlight w:val="none"/>
                <w:lang w:val="en-US" w:eastAsia="zh-CN"/>
                <w14:textFill>
                  <w14:solidFill>
                    <w14:schemeClr w14:val="tx1"/>
                  </w14:solidFill>
                </w14:textFill>
              </w:rPr>
              <w:t>须提供承诺书</w:t>
            </w:r>
            <w:r>
              <w:rPr>
                <w:rFonts w:hint="eastAsia" w:ascii="宋体" w:hAnsi="宋体" w:cs="宋体"/>
                <w:b/>
                <w:bCs/>
                <w:color w:val="000000" w:themeColor="text1"/>
                <w:sz w:val="24"/>
                <w:highlight w:val="none"/>
                <w14:textFill>
                  <w14:solidFill>
                    <w14:schemeClr w14:val="tx1"/>
                  </w14:solidFill>
                </w14:textFill>
              </w:rPr>
              <w:t>。</w:t>
            </w:r>
          </w:p>
        </w:tc>
      </w:tr>
      <w:tr w14:paraId="42B9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3DB0C7B6">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61A1C69F">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p>
        </w:tc>
        <w:tc>
          <w:tcPr>
            <w:tcW w:w="1621" w:type="dxa"/>
            <w:vAlign w:val="center"/>
          </w:tcPr>
          <w:p w14:paraId="7F92F043">
            <w:pPr>
              <w:spacing w:before="100" w:beforeAutospacing="1" w:after="100" w:afterAutospacing="1" w:line="400" w:lineRule="exact"/>
              <w:jc w:val="center"/>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法定代表人授权委托书</w:t>
            </w:r>
          </w:p>
        </w:tc>
        <w:tc>
          <w:tcPr>
            <w:tcW w:w="6226" w:type="dxa"/>
            <w:vAlign w:val="center"/>
          </w:tcPr>
          <w:p w14:paraId="46C2F6D5">
            <w:pPr>
              <w:spacing w:before="100" w:beforeAutospacing="1" w:after="100" w:afterAutospacing="1" w:line="400" w:lineRule="exact"/>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法定代表人委托代理人投标的，应附法定代表人授权委托书</w:t>
            </w:r>
          </w:p>
        </w:tc>
      </w:tr>
      <w:tr w14:paraId="1897F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71F75CDA">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2D4B193B">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p>
        </w:tc>
        <w:tc>
          <w:tcPr>
            <w:tcW w:w="1621" w:type="dxa"/>
          </w:tcPr>
          <w:p w14:paraId="123C1C35">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其他无效情形</w:t>
            </w:r>
          </w:p>
        </w:tc>
        <w:tc>
          <w:tcPr>
            <w:tcW w:w="6226" w:type="dxa"/>
          </w:tcPr>
          <w:p w14:paraId="055C8D42">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法律、法规和招标文件规定的其他无效情形。</w:t>
            </w:r>
          </w:p>
        </w:tc>
      </w:tr>
      <w:tr w14:paraId="1315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73" w:type="dxa"/>
            <w:vMerge w:val="continue"/>
            <w:vAlign w:val="center"/>
          </w:tcPr>
          <w:p w14:paraId="5FA89BF1">
            <w:pPr>
              <w:spacing w:before="100" w:beforeAutospacing="1" w:after="100" w:afterAutospacing="1"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772E9E58">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p>
        </w:tc>
        <w:tc>
          <w:tcPr>
            <w:tcW w:w="1621" w:type="dxa"/>
            <w:vAlign w:val="center"/>
          </w:tcPr>
          <w:p w14:paraId="45A6E7CD">
            <w:pPr>
              <w:spacing w:before="100" w:beforeAutospacing="1" w:after="100" w:afterAutospacing="1"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附加条件</w:t>
            </w:r>
          </w:p>
        </w:tc>
        <w:tc>
          <w:tcPr>
            <w:tcW w:w="6226" w:type="dxa"/>
            <w:vAlign w:val="center"/>
          </w:tcPr>
          <w:p w14:paraId="3493A7AE">
            <w:pPr>
              <w:spacing w:before="100" w:beforeAutospacing="1" w:after="100" w:afterAutospacing="1" w:line="40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投标文件未含有采购人不能接受的附加条件。</w:t>
            </w:r>
          </w:p>
        </w:tc>
      </w:tr>
      <w:tr w14:paraId="230C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973" w:type="dxa"/>
            <w:vMerge w:val="restart"/>
            <w:vAlign w:val="center"/>
          </w:tcPr>
          <w:p w14:paraId="7F93187D">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w:t>
            </w:r>
          </w:p>
        </w:tc>
        <w:tc>
          <w:tcPr>
            <w:tcW w:w="1225" w:type="dxa"/>
            <w:vMerge w:val="restart"/>
            <w:vAlign w:val="center"/>
          </w:tcPr>
          <w:p w14:paraId="4D8DB805">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详细评审标准</w:t>
            </w:r>
          </w:p>
        </w:tc>
        <w:tc>
          <w:tcPr>
            <w:tcW w:w="1621" w:type="dxa"/>
            <w:vAlign w:val="center"/>
          </w:tcPr>
          <w:p w14:paraId="6160A47F">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1、评标总得分计算公式</w:t>
            </w:r>
          </w:p>
        </w:tc>
        <w:tc>
          <w:tcPr>
            <w:tcW w:w="6226" w:type="dxa"/>
            <w:vAlign w:val="center"/>
          </w:tcPr>
          <w:p w14:paraId="1BDF00ED">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投标人的评标总得分＝F1＋F2＋F3</w:t>
            </w:r>
          </w:p>
          <w:p w14:paraId="6CB45452">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其中：F1、F2、F3分别为投标报价、技术部分、商务部分3项评分因素的汇总得分；</w:t>
            </w:r>
          </w:p>
        </w:tc>
      </w:tr>
      <w:tr w14:paraId="646BA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973" w:type="dxa"/>
            <w:vMerge w:val="continue"/>
            <w:vAlign w:val="center"/>
          </w:tcPr>
          <w:p w14:paraId="49D87FE7">
            <w:pPr>
              <w:spacing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523671CA">
            <w:pPr>
              <w:spacing w:line="400" w:lineRule="exact"/>
              <w:jc w:val="center"/>
              <w:rPr>
                <w:rFonts w:ascii="宋体" w:hAnsi="宋体" w:cs="宋体"/>
                <w:color w:val="000000" w:themeColor="text1"/>
                <w:sz w:val="24"/>
                <w:highlight w:val="none"/>
                <w14:textFill>
                  <w14:solidFill>
                    <w14:schemeClr w14:val="tx1"/>
                  </w14:solidFill>
                </w14:textFill>
              </w:rPr>
            </w:pPr>
          </w:p>
        </w:tc>
        <w:tc>
          <w:tcPr>
            <w:tcW w:w="1621" w:type="dxa"/>
            <w:vAlign w:val="center"/>
          </w:tcPr>
          <w:p w14:paraId="0E5D85EE">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2、评分组成</w:t>
            </w:r>
          </w:p>
        </w:tc>
        <w:tc>
          <w:tcPr>
            <w:tcW w:w="6226" w:type="dxa"/>
            <w:vAlign w:val="center"/>
          </w:tcPr>
          <w:p w14:paraId="7CB78C3A">
            <w:pPr>
              <w:spacing w:line="400" w:lineRule="exact"/>
              <w:ind w:left="1258" w:hanging="125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投标报价F1：满分</w:t>
            </w:r>
            <w:r>
              <w:rPr>
                <w:rFonts w:hint="eastAsia" w:ascii="宋体" w:hAnsi="宋体" w:cs="宋体"/>
                <w:color w:val="000000" w:themeColor="text1"/>
                <w:sz w:val="24"/>
                <w:highlight w:val="none"/>
                <w:lang w:val="en-US" w:eastAsia="zh-CN"/>
                <w14:textFill>
                  <w14:solidFill>
                    <w14:schemeClr w14:val="tx1"/>
                  </w14:solidFill>
                </w14:textFill>
              </w:rPr>
              <w:t>45</w:t>
            </w:r>
            <w:r>
              <w:rPr>
                <w:rFonts w:hint="eastAsia" w:ascii="宋体" w:hAnsi="宋体" w:cs="宋体"/>
                <w:color w:val="000000" w:themeColor="text1"/>
                <w:sz w:val="24"/>
                <w:highlight w:val="none"/>
                <w14:textFill>
                  <w14:solidFill>
                    <w14:schemeClr w14:val="tx1"/>
                  </w14:solidFill>
                </w14:textFill>
              </w:rPr>
              <w:t>分，权重为1。</w:t>
            </w:r>
          </w:p>
          <w:p w14:paraId="014AA9D2">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技术部分F2：满分</w:t>
            </w:r>
            <w:r>
              <w:rPr>
                <w:rFonts w:hint="eastAsia" w:ascii="宋体" w:hAnsi="宋体" w:cs="宋体"/>
                <w:color w:val="000000" w:themeColor="text1"/>
                <w:sz w:val="24"/>
                <w:highlight w:val="none"/>
                <w:lang w:val="en-US" w:eastAsia="zh-CN"/>
                <w14:textFill>
                  <w14:solidFill>
                    <w14:schemeClr w14:val="tx1"/>
                  </w14:solidFill>
                </w14:textFill>
              </w:rPr>
              <w:t>30</w:t>
            </w:r>
            <w:r>
              <w:rPr>
                <w:rFonts w:hint="eastAsia" w:ascii="宋体" w:hAnsi="宋体" w:cs="宋体"/>
                <w:color w:val="000000" w:themeColor="text1"/>
                <w:sz w:val="24"/>
                <w:highlight w:val="none"/>
                <w14:textFill>
                  <w14:solidFill>
                    <w14:schemeClr w14:val="tx1"/>
                  </w14:solidFill>
                </w14:textFill>
              </w:rPr>
              <w:t>分，权重为1。</w:t>
            </w:r>
          </w:p>
          <w:p w14:paraId="0E76DEC8">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商务部分F3：满分</w:t>
            </w:r>
            <w:r>
              <w:rPr>
                <w:rFonts w:hint="eastAsia" w:ascii="宋体" w:hAnsi="宋体" w:cs="宋体"/>
                <w:color w:val="000000" w:themeColor="text1"/>
                <w:sz w:val="24"/>
                <w:highlight w:val="none"/>
                <w:lang w:val="en-US" w:eastAsia="zh-CN"/>
                <w14:textFill>
                  <w14:solidFill>
                    <w14:schemeClr w14:val="tx1"/>
                  </w14:solidFill>
                </w14:textFill>
              </w:rPr>
              <w:t>25</w:t>
            </w:r>
            <w:r>
              <w:rPr>
                <w:rFonts w:hint="eastAsia" w:ascii="宋体" w:hAnsi="宋体" w:cs="宋体"/>
                <w:color w:val="000000" w:themeColor="text1"/>
                <w:sz w:val="24"/>
                <w:highlight w:val="none"/>
                <w14:textFill>
                  <w14:solidFill>
                    <w14:schemeClr w14:val="tx1"/>
                  </w14:solidFill>
                </w14:textFill>
              </w:rPr>
              <w:t>分，权重为1。</w:t>
            </w:r>
          </w:p>
        </w:tc>
      </w:tr>
      <w:tr w14:paraId="6A1D3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357C828C">
            <w:pPr>
              <w:spacing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5CD79BC0">
            <w:pPr>
              <w:spacing w:line="400" w:lineRule="exact"/>
              <w:jc w:val="center"/>
              <w:rPr>
                <w:rFonts w:ascii="宋体" w:hAnsi="宋体" w:cs="宋体"/>
                <w:color w:val="000000" w:themeColor="text1"/>
                <w:sz w:val="24"/>
                <w:highlight w:val="none"/>
                <w14:textFill>
                  <w14:solidFill>
                    <w14:schemeClr w14:val="tx1"/>
                  </w14:solidFill>
                </w14:textFill>
              </w:rPr>
            </w:pPr>
          </w:p>
        </w:tc>
        <w:tc>
          <w:tcPr>
            <w:tcW w:w="1621" w:type="dxa"/>
            <w:tcBorders>
              <w:bottom w:val="single" w:color="auto" w:sz="4" w:space="0"/>
            </w:tcBorders>
            <w:vAlign w:val="center"/>
          </w:tcPr>
          <w:p w14:paraId="71D16EAA">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3、投标报价</w:t>
            </w:r>
          </w:p>
          <w:p w14:paraId="65A89FF5">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评审F1</w:t>
            </w:r>
          </w:p>
          <w:p w14:paraId="6377DB64">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（满分</w:t>
            </w:r>
            <w:r>
              <w:rPr>
                <w:rFonts w:hint="eastAsia" w:ascii="宋体" w:hAnsi="宋体" w:cs="宋体"/>
                <w:color w:val="000000" w:themeColor="text1"/>
                <w:sz w:val="24"/>
                <w:highlight w:val="none"/>
                <w:lang w:val="en-US" w:eastAsia="zh-CN"/>
                <w14:textFill>
                  <w14:solidFill>
                    <w14:schemeClr w14:val="tx1"/>
                  </w14:solidFill>
                </w14:textFill>
              </w:rPr>
              <w:t>45</w:t>
            </w:r>
            <w:r>
              <w:rPr>
                <w:rFonts w:hint="eastAsia" w:ascii="宋体" w:hAnsi="宋体" w:cs="宋体"/>
                <w:color w:val="000000" w:themeColor="text1"/>
                <w:sz w:val="24"/>
                <w:highlight w:val="none"/>
                <w14:textFill>
                  <w14:solidFill>
                    <w14:schemeClr w14:val="tx1"/>
                  </w14:solidFill>
                </w14:textFill>
              </w:rPr>
              <w:t>分）</w:t>
            </w:r>
          </w:p>
        </w:tc>
        <w:tc>
          <w:tcPr>
            <w:tcW w:w="6226" w:type="dxa"/>
            <w:tcBorders>
              <w:bottom w:val="single" w:color="auto" w:sz="4" w:space="0"/>
            </w:tcBorders>
            <w:vAlign w:val="center"/>
          </w:tcPr>
          <w:p w14:paraId="1EA8F162">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（1）算术修正报价</w:t>
            </w:r>
          </w:p>
          <w:p w14:paraId="08339810">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若存在算术修正，应按修正后的投标报价进行评标基准价和投标报价得分计算。</w:t>
            </w:r>
          </w:p>
          <w:p w14:paraId="27A7FA8A">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（2）政策优惠报价--小微企业或监狱企业或残疾人福利性单位政策</w:t>
            </w:r>
          </w:p>
          <w:p w14:paraId="03A504DB">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若存在符合条件的小微企业或监狱企业或残疾人福利性单位给予的报价优惠的情形，用扣除后的投标报价进行评标基准价和投标报价得分计算。对于同时属于小微企业、监狱企业或残疾人福利性单位的，不重复进行投标报价扣除。若同时存在算术修正，应在算术修正后的报价基础上进行优惠报价的扣除。</w:t>
            </w:r>
          </w:p>
          <w:p w14:paraId="22BC8DD6">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（3）得分计算：满足招标文件要求且投标价格最低的投标报价，其价格分为满分。其他投标人的价格分统一按照下列公式计算：</w:t>
            </w:r>
          </w:p>
          <w:p w14:paraId="05DD4EB2">
            <w:pPr>
              <w:spacing w:line="400" w:lineRule="exact"/>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投标报价计算公式=（评标基准价/投标报价）×</w:t>
            </w:r>
            <w:r>
              <w:rPr>
                <w:rFonts w:hint="eastAsia" w:ascii="宋体" w:hAnsi="宋体" w:cs="宋体"/>
                <w:color w:val="000000" w:themeColor="text1"/>
                <w:sz w:val="24"/>
                <w:highlight w:val="none"/>
                <w:lang w:val="en-US" w:eastAsia="zh-CN"/>
                <w14:textFill>
                  <w14:solidFill>
                    <w14:schemeClr w14:val="tx1"/>
                  </w14:solidFill>
                </w14:textFill>
              </w:rPr>
              <w:t>45</w:t>
            </w:r>
          </w:p>
          <w:p w14:paraId="0801A315">
            <w:pPr>
              <w:spacing w:line="400" w:lineRule="exact"/>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即：F1=[C/（B1，B2，…，Bn）]×</w:t>
            </w:r>
            <w:r>
              <w:rPr>
                <w:rFonts w:hint="eastAsia" w:ascii="宋体" w:hAnsi="宋体" w:cs="宋体"/>
                <w:color w:val="000000" w:themeColor="text1"/>
                <w:sz w:val="24"/>
                <w:highlight w:val="none"/>
                <w:lang w:val="en-US" w:eastAsia="zh-CN"/>
                <w14:textFill>
                  <w14:solidFill>
                    <w14:schemeClr w14:val="tx1"/>
                  </w14:solidFill>
                </w14:textFill>
              </w:rPr>
              <w:t>45</w:t>
            </w:r>
          </w:p>
          <w:p w14:paraId="1E35DA15">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注：C为评标基准价，即实质性要求审查合格且投标价格最低的有效投标报价；</w:t>
            </w:r>
          </w:p>
          <w:p w14:paraId="02197F1F">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B1，B2，…，Bn为第n个经初步审查合格的有效投标报价。</w:t>
            </w:r>
          </w:p>
        </w:tc>
      </w:tr>
      <w:tr w14:paraId="4D370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jc w:val="center"/>
        </w:trPr>
        <w:tc>
          <w:tcPr>
            <w:tcW w:w="973" w:type="dxa"/>
            <w:vMerge w:val="restart"/>
            <w:vAlign w:val="center"/>
          </w:tcPr>
          <w:p w14:paraId="468D708C">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w:t>
            </w:r>
          </w:p>
        </w:tc>
        <w:tc>
          <w:tcPr>
            <w:tcW w:w="1225" w:type="dxa"/>
            <w:vMerge w:val="restart"/>
            <w:vAlign w:val="center"/>
          </w:tcPr>
          <w:p w14:paraId="6F17033F">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详细评审标准</w:t>
            </w:r>
          </w:p>
        </w:tc>
        <w:tc>
          <w:tcPr>
            <w:tcW w:w="1621" w:type="dxa"/>
            <w:vMerge w:val="restart"/>
            <w:vAlign w:val="center"/>
          </w:tcPr>
          <w:p w14:paraId="2E263F93">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4、技术部分</w:t>
            </w:r>
          </w:p>
          <w:p w14:paraId="29823E94">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评审F2（满分</w:t>
            </w:r>
            <w:r>
              <w:rPr>
                <w:rFonts w:hint="eastAsia" w:ascii="宋体" w:hAnsi="宋体" w:cs="宋体"/>
                <w:color w:val="000000" w:themeColor="text1"/>
                <w:sz w:val="24"/>
                <w:highlight w:val="none"/>
                <w:lang w:val="en-US" w:eastAsia="zh-CN"/>
                <w14:textFill>
                  <w14:solidFill>
                    <w14:schemeClr w14:val="tx1"/>
                  </w14:solidFill>
                </w14:textFill>
              </w:rPr>
              <w:t>30</w:t>
            </w:r>
            <w:r>
              <w:rPr>
                <w:rFonts w:hint="eastAsia" w:ascii="宋体" w:hAnsi="宋体" w:cs="宋体"/>
                <w:color w:val="000000" w:themeColor="text1"/>
                <w:sz w:val="24"/>
                <w:highlight w:val="none"/>
                <w14:textFill>
                  <w14:solidFill>
                    <w14:schemeClr w14:val="tx1"/>
                  </w14:solidFill>
                </w14:textFill>
              </w:rPr>
              <w:t>分）</w:t>
            </w:r>
          </w:p>
        </w:tc>
        <w:tc>
          <w:tcPr>
            <w:tcW w:w="6226" w:type="dxa"/>
            <w:vAlign w:val="center"/>
          </w:tcPr>
          <w:p w14:paraId="37D9E6B7">
            <w:pPr>
              <w:adjustRightInd w:val="0"/>
              <w:snapToGrid w:val="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1）技术指标响应（满分为</w:t>
            </w:r>
            <w:r>
              <w:rPr>
                <w:rFonts w:hint="eastAsia" w:ascii="宋体" w:hAnsi="宋体" w:cs="宋体"/>
                <w:b/>
                <w:bCs/>
                <w:color w:val="000000" w:themeColor="text1"/>
                <w:sz w:val="24"/>
                <w:highlight w:val="none"/>
                <w:lang w:val="en-US" w:eastAsia="zh-CN"/>
                <w14:textFill>
                  <w14:solidFill>
                    <w14:schemeClr w14:val="tx1"/>
                  </w14:solidFill>
                </w14:textFill>
              </w:rPr>
              <w:t>18</w:t>
            </w:r>
            <w:r>
              <w:rPr>
                <w:rFonts w:hint="eastAsia" w:ascii="宋体" w:hAnsi="宋体" w:cs="宋体"/>
                <w:b/>
                <w:bCs/>
                <w:color w:val="000000" w:themeColor="text1"/>
                <w:sz w:val="24"/>
                <w:highlight w:val="none"/>
                <w14:textFill>
                  <w14:solidFill>
                    <w14:schemeClr w14:val="tx1"/>
                  </w14:solidFill>
                </w14:textFill>
              </w:rPr>
              <w:t>分）</w:t>
            </w:r>
          </w:p>
          <w:p w14:paraId="3E11B9DF">
            <w:pPr>
              <w:pStyle w:val="14"/>
              <w:spacing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招标文件第五章《采购内容及要求》“一、技术参数、性能要求”中，标注“▲”的技术参数，</w:t>
            </w:r>
            <w:r>
              <w:rPr>
                <w:rFonts w:hint="eastAsia" w:ascii="宋体" w:hAnsi="宋体" w:cs="宋体"/>
                <w:color w:val="000000" w:themeColor="text1"/>
                <w:kern w:val="0"/>
                <w:sz w:val="24"/>
                <w:szCs w:val="24"/>
                <w:highlight w:val="none"/>
                <w14:textFill>
                  <w14:solidFill>
                    <w14:schemeClr w14:val="tx1"/>
                  </w14:solidFill>
                </w14:textFill>
              </w:rPr>
              <w:t>共</w:t>
            </w:r>
            <w:r>
              <w:rPr>
                <w:rFonts w:hint="eastAsia" w:ascii="宋体" w:hAnsi="宋体" w:cs="宋体"/>
                <w:color w:val="000000" w:themeColor="text1"/>
                <w:kern w:val="0"/>
                <w:sz w:val="24"/>
                <w:szCs w:val="24"/>
                <w:highlight w:val="none"/>
                <w:lang w:val="en-US" w:eastAsia="zh-CN"/>
                <w14:textFill>
                  <w14:solidFill>
                    <w14:schemeClr w14:val="tx1"/>
                  </w14:solidFill>
                </w14:textFill>
              </w:rPr>
              <w:t>100</w:t>
            </w:r>
            <w:r>
              <w:rPr>
                <w:rFonts w:hint="eastAsia" w:ascii="宋体" w:hAnsi="宋体" w:cs="宋体"/>
                <w:color w:val="000000" w:themeColor="text1"/>
                <w:kern w:val="0"/>
                <w:sz w:val="24"/>
                <w:szCs w:val="24"/>
                <w:highlight w:val="none"/>
                <w14:textFill>
                  <w14:solidFill>
                    <w14:schemeClr w14:val="tx1"/>
                  </w14:solidFill>
                </w14:textFill>
              </w:rPr>
              <w:t>项，全部满足招标文件要求的，为满分</w:t>
            </w:r>
            <w:r>
              <w:rPr>
                <w:rFonts w:hint="eastAsia" w:ascii="宋体" w:hAnsi="宋体" w:cs="宋体"/>
                <w:color w:val="000000" w:themeColor="text1"/>
                <w:kern w:val="0"/>
                <w:sz w:val="24"/>
                <w:szCs w:val="24"/>
                <w:highlight w:val="none"/>
                <w:lang w:val="en-US" w:eastAsia="zh-CN"/>
                <w14:textFill>
                  <w14:solidFill>
                    <w14:schemeClr w14:val="tx1"/>
                  </w14:solidFill>
                </w14:textFill>
              </w:rPr>
              <w:t>18</w:t>
            </w:r>
            <w:r>
              <w:rPr>
                <w:rFonts w:hint="eastAsia" w:ascii="宋体" w:hAnsi="宋体" w:cs="宋体"/>
                <w:color w:val="000000" w:themeColor="text1"/>
                <w:kern w:val="0"/>
                <w:sz w:val="24"/>
                <w:szCs w:val="24"/>
                <w:highlight w:val="none"/>
                <w14:textFill>
                  <w14:solidFill>
                    <w14:schemeClr w14:val="tx1"/>
                  </w14:solidFill>
                </w14:textFill>
              </w:rPr>
              <w:t>分，每出现</w:t>
            </w:r>
            <w:r>
              <w:rPr>
                <w:rFonts w:ascii="宋体" w:hAnsi="宋体" w:cs="宋体"/>
                <w:color w:val="000000" w:themeColor="text1"/>
                <w:kern w:val="0"/>
                <w:sz w:val="24"/>
                <w:szCs w:val="24"/>
                <w:highlight w:val="none"/>
                <w14:textFill>
                  <w14:solidFill>
                    <w14:schemeClr w14:val="tx1"/>
                  </w14:solidFill>
                </w14:textFill>
              </w:rPr>
              <w:t>1项技术参数负偏离的扣</w:t>
            </w:r>
            <w:r>
              <w:rPr>
                <w:rFonts w:hint="eastAsia" w:ascii="宋体" w:hAnsi="宋体" w:cs="宋体"/>
                <w:color w:val="000000" w:themeColor="text1"/>
                <w:kern w:val="0"/>
                <w:sz w:val="24"/>
                <w:szCs w:val="24"/>
                <w:highlight w:val="none"/>
                <w:lang w:val="en-US" w:eastAsia="zh-CN"/>
                <w14:textFill>
                  <w14:solidFill>
                    <w14:schemeClr w14:val="tx1"/>
                  </w14:solidFill>
                </w14:textFill>
              </w:rPr>
              <w:t>0.18</w:t>
            </w:r>
            <w:r>
              <w:rPr>
                <w:rFonts w:hint="eastAsia" w:ascii="宋体" w:hAnsi="宋体" w:cs="宋体"/>
                <w:color w:val="000000" w:themeColor="text1"/>
                <w:kern w:val="0"/>
                <w:sz w:val="24"/>
                <w:szCs w:val="24"/>
                <w:highlight w:val="none"/>
                <w14:textFill>
                  <w14:solidFill>
                    <w14:schemeClr w14:val="tx1"/>
                  </w14:solidFill>
                </w14:textFill>
              </w:rPr>
              <w:t>分，分数扣完为止</w:t>
            </w:r>
            <w:r>
              <w:rPr>
                <w:rFonts w:hint="eastAsia" w:ascii="宋体" w:hAnsi="宋体" w:cs="宋体"/>
                <w:color w:val="000000" w:themeColor="text1"/>
                <w:sz w:val="24"/>
                <w:szCs w:val="24"/>
                <w:highlight w:val="none"/>
                <w14:textFill>
                  <w14:solidFill>
                    <w14:schemeClr w14:val="tx1"/>
                  </w14:solidFill>
                </w14:textFill>
              </w:rPr>
              <w:t>。</w:t>
            </w:r>
          </w:p>
          <w:p w14:paraId="611BFCB5">
            <w:pPr>
              <w:pStyle w:val="14"/>
              <w:spacing w:line="400" w:lineRule="exact"/>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注：投标人除如实填写技术规格偏离表外，</w:t>
            </w:r>
            <w:r>
              <w:rPr>
                <w:rFonts w:hint="eastAsia" w:ascii="宋体" w:hAnsi="宋体" w:cs="宋体"/>
                <w:b/>
                <w:bCs/>
                <w:color w:val="000000" w:themeColor="text1"/>
                <w:sz w:val="24"/>
                <w:szCs w:val="24"/>
                <w:highlight w:val="none"/>
                <w:lang w:val="en-US" w:eastAsia="zh-CN"/>
                <w14:textFill>
                  <w14:solidFill>
                    <w14:schemeClr w14:val="tx1"/>
                  </w14:solidFill>
                </w14:textFill>
              </w:rPr>
              <w:t>采购需求中</w:t>
            </w:r>
            <w:r>
              <w:rPr>
                <w:rFonts w:hint="eastAsia" w:ascii="宋体" w:hAnsi="宋体" w:cs="宋体"/>
                <w:b/>
                <w:bCs/>
                <w:color w:val="000000" w:themeColor="text1"/>
                <w:sz w:val="24"/>
                <w:szCs w:val="24"/>
                <w:highlight w:val="none"/>
                <w14:textFill>
                  <w14:solidFill>
                    <w14:schemeClr w14:val="tx1"/>
                  </w14:solidFill>
                </w14:textFill>
              </w:rPr>
              <w:t>标注“▲”的技术参数</w:t>
            </w:r>
            <w:r>
              <w:rPr>
                <w:rFonts w:hint="eastAsia" w:ascii="宋体" w:hAnsi="宋体" w:cs="宋体"/>
                <w:b/>
                <w:bCs/>
                <w:color w:val="000000" w:themeColor="text1"/>
                <w:sz w:val="24"/>
                <w:szCs w:val="24"/>
                <w:highlight w:val="none"/>
                <w:lang w:val="en-US" w:eastAsia="zh-CN"/>
                <w14:textFill>
                  <w14:solidFill>
                    <w14:schemeClr w14:val="tx1"/>
                  </w14:solidFill>
                </w14:textFill>
              </w:rPr>
              <w:t>要求提供证明材料的，按照要求提供，</w:t>
            </w:r>
            <w:r>
              <w:rPr>
                <w:rFonts w:hint="eastAsia" w:ascii="宋体" w:hAnsi="宋体" w:cs="宋体"/>
                <w:b/>
                <w:bCs/>
                <w:color w:val="000000" w:themeColor="text1"/>
                <w:sz w:val="24"/>
                <w:szCs w:val="24"/>
                <w:highlight w:val="none"/>
                <w14:textFill>
                  <w14:solidFill>
                    <w14:schemeClr w14:val="tx1"/>
                  </w14:solidFill>
                </w14:textFill>
              </w:rPr>
              <w:t>标注“▲”的技术参数</w:t>
            </w:r>
            <w:r>
              <w:rPr>
                <w:rFonts w:hint="eastAsia" w:ascii="宋体" w:hAnsi="宋体" w:cs="宋体"/>
                <w:b/>
                <w:bCs/>
                <w:color w:val="000000" w:themeColor="text1"/>
                <w:sz w:val="24"/>
                <w:szCs w:val="24"/>
                <w:highlight w:val="none"/>
                <w:lang w:val="en-US" w:eastAsia="zh-CN"/>
                <w14:textFill>
                  <w14:solidFill>
                    <w14:schemeClr w14:val="tx1"/>
                  </w14:solidFill>
                </w14:textFill>
              </w:rPr>
              <w:t>未要求提供证明材料的，需提供下列任一材料证明技术参数的真实性：检测报告、产品彩页、白皮书、说明书、配置清单、设备制造厂商官方网站资料、加盖厂家公章的承诺书、其他技术证明资料。否则该条技术参数按照负偏离进行扣分。</w:t>
            </w:r>
          </w:p>
        </w:tc>
      </w:tr>
      <w:tr w14:paraId="567D3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73" w:type="dxa"/>
            <w:vMerge w:val="continue"/>
            <w:vAlign w:val="center"/>
          </w:tcPr>
          <w:p w14:paraId="38AD8211">
            <w:pPr>
              <w:spacing w:line="400" w:lineRule="exact"/>
              <w:jc w:val="center"/>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5988BA9B">
            <w:pPr>
              <w:spacing w:line="400" w:lineRule="exact"/>
              <w:rPr>
                <w:rFonts w:ascii="宋体" w:hAnsi="宋体" w:cs="宋体"/>
                <w:color w:val="000000" w:themeColor="text1"/>
                <w:sz w:val="24"/>
                <w:highlight w:val="none"/>
                <w14:textFill>
                  <w14:solidFill>
                    <w14:schemeClr w14:val="tx1"/>
                  </w14:solidFill>
                </w14:textFill>
              </w:rPr>
            </w:pPr>
          </w:p>
        </w:tc>
        <w:tc>
          <w:tcPr>
            <w:tcW w:w="1621" w:type="dxa"/>
            <w:vMerge w:val="continue"/>
            <w:vAlign w:val="center"/>
          </w:tcPr>
          <w:p w14:paraId="23C1309C">
            <w:pPr>
              <w:spacing w:line="400" w:lineRule="exact"/>
              <w:jc w:val="center"/>
              <w:rPr>
                <w:rFonts w:ascii="宋体" w:hAnsi="宋体" w:cs="宋体"/>
                <w:color w:val="000000" w:themeColor="text1"/>
                <w:sz w:val="24"/>
                <w:highlight w:val="none"/>
                <w14:textFill>
                  <w14:solidFill>
                    <w14:schemeClr w14:val="tx1"/>
                  </w14:solidFill>
                </w14:textFill>
              </w:rPr>
            </w:pPr>
          </w:p>
        </w:tc>
        <w:tc>
          <w:tcPr>
            <w:tcW w:w="6226" w:type="dxa"/>
            <w:vAlign w:val="center"/>
          </w:tcPr>
          <w:p w14:paraId="58D2BA7E">
            <w:pPr>
              <w:spacing w:line="400" w:lineRule="exact"/>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2）供货方案（满分</w:t>
            </w:r>
            <w:r>
              <w:rPr>
                <w:rFonts w:hint="eastAsia" w:ascii="宋体" w:hAnsi="宋体" w:cs="宋体"/>
                <w:b/>
                <w:color w:val="000000" w:themeColor="text1"/>
                <w:sz w:val="24"/>
                <w:highlight w:val="none"/>
                <w:lang w:val="en-US" w:eastAsia="zh-CN"/>
                <w14:textFill>
                  <w14:solidFill>
                    <w14:schemeClr w14:val="tx1"/>
                  </w14:solidFill>
                </w14:textFill>
              </w:rPr>
              <w:t>12</w:t>
            </w:r>
            <w:r>
              <w:rPr>
                <w:rFonts w:hint="eastAsia" w:ascii="宋体" w:hAnsi="宋体" w:cs="宋体"/>
                <w:b/>
                <w:color w:val="000000" w:themeColor="text1"/>
                <w:sz w:val="24"/>
                <w:highlight w:val="none"/>
                <w14:textFill>
                  <w14:solidFill>
                    <w14:schemeClr w14:val="tx1"/>
                  </w14:solidFill>
                </w14:textFill>
              </w:rPr>
              <w:t>分）</w:t>
            </w:r>
          </w:p>
          <w:p w14:paraId="53C0F07C">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根据投标人提供的供货方案，至少包括：①供货计划及时间安排；②</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交货期的保证措施</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③违约承诺；④培训</w:t>
            </w:r>
            <w:r>
              <w:rPr>
                <w:rFonts w:hint="eastAsia" w:ascii="宋体" w:hAnsi="宋体" w:cs="宋体"/>
                <w:color w:val="000000" w:themeColor="text1"/>
                <w:sz w:val="24"/>
                <w:highlight w:val="none"/>
                <w:lang w:val="en-US" w:eastAsia="zh-CN"/>
                <w14:textFill>
                  <w14:solidFill>
                    <w14:schemeClr w14:val="tx1"/>
                  </w14:solidFill>
                </w14:textFill>
              </w:rPr>
              <w:t>方案安排</w:t>
            </w:r>
            <w:r>
              <w:rPr>
                <w:rFonts w:hint="eastAsia" w:ascii="宋体" w:hAnsi="宋体" w:cs="宋体"/>
                <w:color w:val="000000" w:themeColor="text1"/>
                <w:sz w:val="24"/>
                <w:highlight w:val="none"/>
                <w14:textFill>
                  <w14:solidFill>
                    <w14:schemeClr w14:val="tx1"/>
                  </w14:solidFill>
                </w14:textFill>
              </w:rPr>
              <w:t>等方面综合评审。</w:t>
            </w:r>
          </w:p>
          <w:p w14:paraId="0A697B8A">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其方案内容完整、阐述详细、合理、针对性强的得</w:t>
            </w:r>
            <w:r>
              <w:rPr>
                <w:rFonts w:hint="eastAsia" w:ascii="宋体" w:hAnsi="宋体" w:cs="宋体"/>
                <w:color w:val="000000" w:themeColor="text1"/>
                <w:sz w:val="24"/>
                <w:highlight w:val="none"/>
                <w:lang w:val="en-US" w:eastAsia="zh-CN"/>
                <w14:textFill>
                  <w14:solidFill>
                    <w14:schemeClr w14:val="tx1"/>
                  </w14:solidFill>
                </w14:textFill>
              </w:rPr>
              <w:t>12</w:t>
            </w:r>
            <w:r>
              <w:rPr>
                <w:rFonts w:hint="eastAsia" w:ascii="宋体" w:hAnsi="宋体" w:cs="宋体"/>
                <w:color w:val="000000" w:themeColor="text1"/>
                <w:sz w:val="24"/>
                <w:highlight w:val="none"/>
                <w14:textFill>
                  <w14:solidFill>
                    <w14:schemeClr w14:val="tx1"/>
                  </w14:solidFill>
                </w14:textFill>
              </w:rPr>
              <w:t>分；每缺少一项扣</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分；每有一项描述不完整，阐述不明确、不合理、操作性及针对性不强的扣</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分，分数扣完为止。</w:t>
            </w:r>
          </w:p>
        </w:tc>
      </w:tr>
      <w:tr w14:paraId="0B2E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6E4A2D95">
            <w:pPr>
              <w:spacing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51AD3492">
            <w:pPr>
              <w:spacing w:line="400" w:lineRule="exact"/>
              <w:rPr>
                <w:rFonts w:ascii="宋体" w:hAnsi="宋体" w:cs="宋体"/>
                <w:color w:val="000000" w:themeColor="text1"/>
                <w:sz w:val="24"/>
                <w:highlight w:val="none"/>
                <w14:textFill>
                  <w14:solidFill>
                    <w14:schemeClr w14:val="tx1"/>
                  </w14:solidFill>
                </w14:textFill>
              </w:rPr>
            </w:pPr>
          </w:p>
        </w:tc>
        <w:tc>
          <w:tcPr>
            <w:tcW w:w="1621" w:type="dxa"/>
            <w:vMerge w:val="restart"/>
            <w:vAlign w:val="center"/>
          </w:tcPr>
          <w:p w14:paraId="6317452C">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5、商务部分</w:t>
            </w:r>
          </w:p>
          <w:p w14:paraId="2D30A9D7">
            <w:pPr>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评审F3（满分</w:t>
            </w:r>
            <w:r>
              <w:rPr>
                <w:rFonts w:hint="eastAsia" w:ascii="宋体" w:hAnsi="宋体" w:cs="宋体"/>
                <w:color w:val="000000" w:themeColor="text1"/>
                <w:sz w:val="24"/>
                <w:highlight w:val="none"/>
                <w:lang w:val="en-US" w:eastAsia="zh-CN"/>
                <w14:textFill>
                  <w14:solidFill>
                    <w14:schemeClr w14:val="tx1"/>
                  </w14:solidFill>
                </w14:textFill>
              </w:rPr>
              <w:t>25</w:t>
            </w:r>
            <w:r>
              <w:rPr>
                <w:rFonts w:hint="eastAsia" w:ascii="宋体" w:hAnsi="宋体" w:cs="宋体"/>
                <w:color w:val="000000" w:themeColor="text1"/>
                <w:sz w:val="24"/>
                <w:highlight w:val="none"/>
                <w14:textFill>
                  <w14:solidFill>
                    <w14:schemeClr w14:val="tx1"/>
                  </w14:solidFill>
                </w14:textFill>
              </w:rPr>
              <w:t>分）</w:t>
            </w:r>
          </w:p>
        </w:tc>
        <w:tc>
          <w:tcPr>
            <w:tcW w:w="6226" w:type="dxa"/>
            <w:vAlign w:val="center"/>
          </w:tcPr>
          <w:p w14:paraId="14978805">
            <w:pPr>
              <w:spacing w:line="400" w:lineRule="exact"/>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1）产品质量保证措施及承诺（满分</w:t>
            </w:r>
            <w:r>
              <w:rPr>
                <w:rFonts w:hint="eastAsia" w:ascii="宋体" w:hAnsi="宋体" w:cs="宋体"/>
                <w:b/>
                <w:color w:val="000000" w:themeColor="text1"/>
                <w:sz w:val="24"/>
                <w:highlight w:val="none"/>
                <w:lang w:val="en-US" w:eastAsia="zh-CN"/>
                <w14:textFill>
                  <w14:solidFill>
                    <w14:schemeClr w14:val="tx1"/>
                  </w14:solidFill>
                </w14:textFill>
              </w:rPr>
              <w:t>6</w:t>
            </w:r>
            <w:r>
              <w:rPr>
                <w:rFonts w:hint="eastAsia" w:ascii="宋体" w:hAnsi="宋体" w:cs="宋体"/>
                <w:b/>
                <w:color w:val="000000" w:themeColor="text1"/>
                <w:sz w:val="24"/>
                <w:highlight w:val="none"/>
                <w14:textFill>
                  <w14:solidFill>
                    <w14:schemeClr w14:val="tx1"/>
                  </w14:solidFill>
                </w14:textFill>
              </w:rPr>
              <w:t>分）</w:t>
            </w:r>
          </w:p>
          <w:p w14:paraId="7EB22613">
            <w:pPr>
              <w:spacing w:line="40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根据投标人提供的产品质量保证措施及承诺，至少包括：①产品质量保证措施；②产品质量保证承诺等方面综合评审。其方案产品质量保证内容完整，承诺措施完善得</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分；每少一项扣</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分，每有一项产品质量保证内容不完整，承诺措施不完善扣</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分，分数扣完为止。</w:t>
            </w:r>
          </w:p>
        </w:tc>
      </w:tr>
      <w:tr w14:paraId="5E2A0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448E5AFD">
            <w:pPr>
              <w:spacing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69E2BB27">
            <w:pPr>
              <w:spacing w:line="400" w:lineRule="exact"/>
              <w:rPr>
                <w:rFonts w:ascii="宋体" w:hAnsi="宋体" w:cs="宋体"/>
                <w:color w:val="000000" w:themeColor="text1"/>
                <w:sz w:val="24"/>
                <w:highlight w:val="none"/>
                <w14:textFill>
                  <w14:solidFill>
                    <w14:schemeClr w14:val="tx1"/>
                  </w14:solidFill>
                </w14:textFill>
              </w:rPr>
            </w:pPr>
          </w:p>
        </w:tc>
        <w:tc>
          <w:tcPr>
            <w:tcW w:w="1621" w:type="dxa"/>
            <w:vMerge w:val="continue"/>
            <w:vAlign w:val="center"/>
          </w:tcPr>
          <w:p w14:paraId="30AA7A45">
            <w:pPr>
              <w:spacing w:line="400" w:lineRule="exact"/>
              <w:jc w:val="center"/>
              <w:rPr>
                <w:rFonts w:hint="eastAsia" w:ascii="宋体" w:hAnsi="宋体" w:cs="宋体"/>
                <w:color w:val="000000" w:themeColor="text1"/>
                <w:sz w:val="24"/>
                <w:highlight w:val="none"/>
                <w14:textFill>
                  <w14:solidFill>
                    <w14:schemeClr w14:val="tx1"/>
                  </w14:solidFill>
                </w14:textFill>
              </w:rPr>
            </w:pPr>
          </w:p>
        </w:tc>
        <w:tc>
          <w:tcPr>
            <w:tcW w:w="6226" w:type="dxa"/>
            <w:vAlign w:val="center"/>
          </w:tcPr>
          <w:p w14:paraId="7346D5C2">
            <w:pPr>
              <w:spacing w:line="400" w:lineRule="exact"/>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2）售后服务方案（满分</w:t>
            </w:r>
            <w:r>
              <w:rPr>
                <w:rFonts w:hint="eastAsia" w:ascii="宋体" w:hAnsi="宋体" w:cs="宋体"/>
                <w:b/>
                <w:bCs/>
                <w:color w:val="000000" w:themeColor="text1"/>
                <w:sz w:val="24"/>
                <w:highlight w:val="none"/>
                <w:lang w:val="en-US" w:eastAsia="zh-CN"/>
                <w14:textFill>
                  <w14:solidFill>
                    <w14:schemeClr w14:val="tx1"/>
                  </w14:solidFill>
                </w14:textFill>
              </w:rPr>
              <w:t>12</w:t>
            </w:r>
            <w:r>
              <w:rPr>
                <w:rFonts w:hint="eastAsia" w:ascii="宋体" w:hAnsi="宋体" w:cs="宋体"/>
                <w:b/>
                <w:bCs/>
                <w:color w:val="000000" w:themeColor="text1"/>
                <w:sz w:val="24"/>
                <w:highlight w:val="none"/>
                <w14:textFill>
                  <w14:solidFill>
                    <w14:schemeClr w14:val="tx1"/>
                  </w14:solidFill>
                </w14:textFill>
              </w:rPr>
              <w:t>分）</w:t>
            </w:r>
          </w:p>
          <w:p w14:paraId="7D30CA75">
            <w:pPr>
              <w:spacing w:line="40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根据投标人提供的售后服务方案，至少包括：①售后服务人员；②售后服务承诺；③售后服务响应时间；④售后服务保障措施等方面综合评审。</w:t>
            </w:r>
          </w:p>
          <w:p w14:paraId="692ED99B">
            <w:pPr>
              <w:spacing w:line="400" w:lineRule="exact"/>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其方案内容完整、阐述详细、合理、针对性强的得</w:t>
            </w:r>
            <w:r>
              <w:rPr>
                <w:rFonts w:hint="eastAsia" w:ascii="宋体" w:hAnsi="宋体" w:cs="宋体"/>
                <w:color w:val="000000" w:themeColor="text1"/>
                <w:sz w:val="24"/>
                <w:highlight w:val="none"/>
                <w:lang w:val="en-US" w:eastAsia="zh-CN"/>
                <w14:textFill>
                  <w14:solidFill>
                    <w14:schemeClr w14:val="tx1"/>
                  </w14:solidFill>
                </w14:textFill>
              </w:rPr>
              <w:t>12</w:t>
            </w:r>
            <w:r>
              <w:rPr>
                <w:rFonts w:hint="eastAsia" w:ascii="宋体" w:hAnsi="宋体" w:cs="宋体"/>
                <w:color w:val="000000" w:themeColor="text1"/>
                <w:sz w:val="24"/>
                <w:highlight w:val="none"/>
                <w14:textFill>
                  <w14:solidFill>
                    <w14:schemeClr w14:val="tx1"/>
                  </w14:solidFill>
                </w14:textFill>
              </w:rPr>
              <w:t>分；每缺少一项扣</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分；每有一项描述不完整，阐述不明确、不合理、操作性及针对性不强的扣</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分，分数扣完为止。</w:t>
            </w:r>
          </w:p>
        </w:tc>
      </w:tr>
      <w:tr w14:paraId="2CFA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0E59A139">
            <w:pPr>
              <w:spacing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47FD41A7">
            <w:pPr>
              <w:spacing w:line="400" w:lineRule="exact"/>
              <w:rPr>
                <w:rFonts w:ascii="宋体" w:hAnsi="宋体" w:cs="宋体"/>
                <w:color w:val="000000" w:themeColor="text1"/>
                <w:sz w:val="24"/>
                <w:highlight w:val="none"/>
                <w14:textFill>
                  <w14:solidFill>
                    <w14:schemeClr w14:val="tx1"/>
                  </w14:solidFill>
                </w14:textFill>
              </w:rPr>
            </w:pPr>
          </w:p>
        </w:tc>
        <w:tc>
          <w:tcPr>
            <w:tcW w:w="1621" w:type="dxa"/>
            <w:vMerge w:val="continue"/>
            <w:vAlign w:val="center"/>
          </w:tcPr>
          <w:p w14:paraId="74ADA37A">
            <w:pPr>
              <w:spacing w:line="400" w:lineRule="exact"/>
              <w:jc w:val="center"/>
              <w:rPr>
                <w:rFonts w:hint="eastAsia" w:ascii="宋体" w:hAnsi="宋体" w:cs="宋体"/>
                <w:color w:val="000000" w:themeColor="text1"/>
                <w:sz w:val="24"/>
                <w:highlight w:val="none"/>
                <w14:textFill>
                  <w14:solidFill>
                    <w14:schemeClr w14:val="tx1"/>
                  </w14:solidFill>
                </w14:textFill>
              </w:rPr>
            </w:pPr>
          </w:p>
        </w:tc>
        <w:tc>
          <w:tcPr>
            <w:tcW w:w="6226" w:type="dxa"/>
            <w:vAlign w:val="center"/>
          </w:tcPr>
          <w:p w14:paraId="357FAAC4">
            <w:pPr>
              <w:spacing w:line="400" w:lineRule="exact"/>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val="en-US" w:eastAsia="zh-CN"/>
                <w14:textFill>
                  <w14:solidFill>
                    <w14:schemeClr w14:val="tx1"/>
                  </w14:solidFill>
                </w14:textFill>
              </w:rPr>
              <w:t>应急方案</w:t>
            </w:r>
            <w:r>
              <w:rPr>
                <w:rFonts w:hint="eastAsia" w:ascii="宋体" w:hAnsi="宋体" w:cs="宋体"/>
                <w:b/>
                <w:bCs/>
                <w:color w:val="000000" w:themeColor="text1"/>
                <w:sz w:val="24"/>
                <w:highlight w:val="none"/>
                <w14:textFill>
                  <w14:solidFill>
                    <w14:schemeClr w14:val="tx1"/>
                  </w14:solidFill>
                </w14:textFill>
              </w:rPr>
              <w:t>（满分</w:t>
            </w:r>
            <w:r>
              <w:rPr>
                <w:rFonts w:hint="eastAsia" w:ascii="宋体" w:hAnsi="宋体" w:cs="宋体"/>
                <w:b/>
                <w:bCs/>
                <w:color w:val="000000" w:themeColor="text1"/>
                <w:sz w:val="24"/>
                <w:highlight w:val="none"/>
                <w:lang w:val="en-US" w:eastAsia="zh-CN"/>
                <w14:textFill>
                  <w14:solidFill>
                    <w14:schemeClr w14:val="tx1"/>
                  </w14:solidFill>
                </w14:textFill>
              </w:rPr>
              <w:t>6</w:t>
            </w:r>
            <w:r>
              <w:rPr>
                <w:rFonts w:hint="eastAsia" w:ascii="宋体" w:hAnsi="宋体" w:cs="宋体"/>
                <w:b/>
                <w:bCs/>
                <w:color w:val="000000" w:themeColor="text1"/>
                <w:sz w:val="24"/>
                <w:highlight w:val="none"/>
                <w14:textFill>
                  <w14:solidFill>
                    <w14:schemeClr w14:val="tx1"/>
                  </w14:solidFill>
                </w14:textFill>
              </w:rPr>
              <w:t>分）</w:t>
            </w:r>
          </w:p>
          <w:p w14:paraId="662C6000">
            <w:pPr>
              <w:spacing w:line="400" w:lineRule="exact"/>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根据</w:t>
            </w:r>
            <w:r>
              <w:rPr>
                <w:rFonts w:hint="eastAsia" w:ascii="宋体" w:hAnsi="宋体" w:cs="宋体"/>
                <w:b w:val="0"/>
                <w:bCs w:val="0"/>
                <w:color w:val="000000" w:themeColor="text1"/>
                <w:sz w:val="24"/>
                <w:szCs w:val="24"/>
                <w:highlight w:val="none"/>
                <w14:textFill>
                  <w14:solidFill>
                    <w14:schemeClr w14:val="tx1"/>
                  </w14:solidFill>
                </w14:textFill>
              </w:rPr>
              <w:t>投标人对本</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项目针对突发事件等影响制定的应急方案</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14:textFill>
                  <w14:solidFill>
                    <w14:schemeClr w14:val="tx1"/>
                  </w14:solidFill>
                </w14:textFill>
              </w:rPr>
              <w:t>包括但不限于①</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传达机制；</w:t>
            </w:r>
            <w:r>
              <w:rPr>
                <w:rFonts w:hint="eastAsia" w:ascii="宋体" w:hAnsi="宋体" w:cs="宋体"/>
                <w:b w:val="0"/>
                <w:bCs w:val="0"/>
                <w:color w:val="000000" w:themeColor="text1"/>
                <w:sz w:val="24"/>
                <w:szCs w:val="24"/>
                <w:highlight w:val="none"/>
                <w14:textFill>
                  <w14:solidFill>
                    <w14:schemeClr w14:val="tx1"/>
                  </w14:solidFill>
                </w14:textFill>
              </w:rPr>
              <w:t>②</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人员调配</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14:textFill>
                  <w14:solidFill>
                    <w14:schemeClr w14:val="tx1"/>
                  </w14:solidFill>
                </w14:textFill>
              </w:rPr>
              <w:t>③</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供货调配等进行评审。</w:t>
            </w:r>
            <w:r>
              <w:rPr>
                <w:rFonts w:hint="eastAsia" w:ascii="宋体" w:hAnsi="宋体" w:cs="宋体"/>
                <w:color w:val="000000" w:themeColor="text1"/>
                <w:sz w:val="24"/>
                <w:szCs w:val="24"/>
                <w:highlight w:val="none"/>
                <w:u w:val="none"/>
                <w:lang w:bidi="ar"/>
                <w14:textFill>
                  <w14:solidFill>
                    <w14:schemeClr w14:val="tx1"/>
                  </w14:solidFill>
                </w14:textFill>
              </w:rPr>
              <w:t>其方案内容完整、</w:t>
            </w:r>
            <w:r>
              <w:rPr>
                <w:rFonts w:hint="eastAsia" w:ascii="宋体" w:hAnsi="宋体" w:cs="宋体"/>
                <w:color w:val="000000" w:themeColor="text1"/>
                <w:sz w:val="24"/>
                <w:szCs w:val="24"/>
                <w:highlight w:val="none"/>
                <w:u w:val="none"/>
                <w14:textFill>
                  <w14:solidFill>
                    <w14:schemeClr w14:val="tx1"/>
                  </w14:solidFill>
                </w14:textFill>
              </w:rPr>
              <w:t>阐述详细、合理、针对性强的得</w:t>
            </w:r>
            <w:r>
              <w:rPr>
                <w:rFonts w:hint="eastAsia" w:ascii="宋体" w:hAnsi="宋体" w:cs="宋体"/>
                <w:color w:val="000000" w:themeColor="text1"/>
                <w:sz w:val="24"/>
                <w:szCs w:val="24"/>
                <w:highlight w:val="none"/>
                <w:u w:val="none"/>
                <w:lang w:val="en-US" w:eastAsia="zh-CN"/>
                <w14:textFill>
                  <w14:solidFill>
                    <w14:schemeClr w14:val="tx1"/>
                  </w14:solidFill>
                </w14:textFill>
              </w:rPr>
              <w:t>6</w:t>
            </w:r>
            <w:r>
              <w:rPr>
                <w:rFonts w:hint="eastAsia" w:ascii="宋体" w:hAnsi="宋体" w:cs="宋体"/>
                <w:color w:val="000000" w:themeColor="text1"/>
                <w:sz w:val="24"/>
                <w:szCs w:val="24"/>
                <w:highlight w:val="none"/>
                <w:u w:val="none"/>
                <w14:textFill>
                  <w14:solidFill>
                    <w14:schemeClr w14:val="tx1"/>
                  </w14:solidFill>
                </w14:textFill>
              </w:rPr>
              <w:t>分；每少一项扣</w:t>
            </w:r>
            <w:r>
              <w:rPr>
                <w:rFonts w:hint="eastAsia" w:ascii="宋体" w:hAnsi="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cs="宋体"/>
                <w:color w:val="000000" w:themeColor="text1"/>
                <w:sz w:val="24"/>
                <w:szCs w:val="24"/>
                <w:highlight w:val="none"/>
                <w:u w:val="none"/>
                <w14:textFill>
                  <w14:solidFill>
                    <w14:schemeClr w14:val="tx1"/>
                  </w14:solidFill>
                </w14:textFill>
              </w:rPr>
              <w:t>分，每有一项描述不完整，阐述不明确、不合理、对本项目操作性不强扣</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cs="宋体"/>
                <w:color w:val="000000" w:themeColor="text1"/>
                <w:sz w:val="24"/>
                <w:szCs w:val="24"/>
                <w:highlight w:val="none"/>
                <w:u w:val="none"/>
                <w14:textFill>
                  <w14:solidFill>
                    <w14:schemeClr w14:val="tx1"/>
                  </w14:solidFill>
                </w14:textFill>
              </w:rPr>
              <w:t>分</w:t>
            </w:r>
            <w:r>
              <w:rPr>
                <w:rFonts w:hint="eastAsia" w:ascii="宋体" w:hAnsi="宋体" w:cs="宋体"/>
                <w:color w:val="000000" w:themeColor="text1"/>
                <w:sz w:val="24"/>
                <w:szCs w:val="24"/>
                <w:highlight w:val="none"/>
                <w14:textFill>
                  <w14:solidFill>
                    <w14:schemeClr w14:val="tx1"/>
                  </w14:solidFill>
                </w14:textFill>
              </w:rPr>
              <w:t>，分数扣完为止。</w:t>
            </w:r>
          </w:p>
        </w:tc>
      </w:tr>
      <w:tr w14:paraId="2AE2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4" w:hRule="atLeast"/>
          <w:jc w:val="center"/>
        </w:trPr>
        <w:tc>
          <w:tcPr>
            <w:tcW w:w="973" w:type="dxa"/>
            <w:vMerge w:val="continue"/>
            <w:vAlign w:val="center"/>
          </w:tcPr>
          <w:p w14:paraId="1A1CA16B">
            <w:pPr>
              <w:spacing w:line="400" w:lineRule="exact"/>
              <w:rPr>
                <w:rFonts w:ascii="宋体" w:hAnsi="宋体" w:cs="宋体"/>
                <w:color w:val="000000" w:themeColor="text1"/>
                <w:sz w:val="24"/>
                <w:highlight w:val="none"/>
                <w14:textFill>
                  <w14:solidFill>
                    <w14:schemeClr w14:val="tx1"/>
                  </w14:solidFill>
                </w14:textFill>
              </w:rPr>
            </w:pPr>
          </w:p>
        </w:tc>
        <w:tc>
          <w:tcPr>
            <w:tcW w:w="1225" w:type="dxa"/>
            <w:vMerge w:val="continue"/>
            <w:vAlign w:val="center"/>
          </w:tcPr>
          <w:p w14:paraId="12AC82DC">
            <w:pPr>
              <w:spacing w:line="400" w:lineRule="exact"/>
              <w:rPr>
                <w:rFonts w:ascii="宋体" w:hAnsi="宋体" w:cs="宋体"/>
                <w:color w:val="000000" w:themeColor="text1"/>
                <w:sz w:val="24"/>
                <w:highlight w:val="none"/>
                <w14:textFill>
                  <w14:solidFill>
                    <w14:schemeClr w14:val="tx1"/>
                  </w14:solidFill>
                </w14:textFill>
              </w:rPr>
            </w:pPr>
          </w:p>
        </w:tc>
        <w:tc>
          <w:tcPr>
            <w:tcW w:w="1621" w:type="dxa"/>
            <w:vMerge w:val="continue"/>
            <w:vAlign w:val="center"/>
          </w:tcPr>
          <w:p w14:paraId="4C25AADD">
            <w:pPr>
              <w:spacing w:line="400" w:lineRule="exact"/>
              <w:jc w:val="center"/>
              <w:rPr>
                <w:rFonts w:hint="eastAsia" w:ascii="宋体" w:hAnsi="宋体" w:cs="宋体"/>
                <w:color w:val="000000" w:themeColor="text1"/>
                <w:sz w:val="24"/>
                <w:highlight w:val="none"/>
                <w14:textFill>
                  <w14:solidFill>
                    <w14:schemeClr w14:val="tx1"/>
                  </w14:solidFill>
                </w14:textFill>
              </w:rPr>
            </w:pPr>
          </w:p>
        </w:tc>
        <w:tc>
          <w:tcPr>
            <w:tcW w:w="6226" w:type="dxa"/>
            <w:vAlign w:val="center"/>
          </w:tcPr>
          <w:p w14:paraId="6C8FD87A">
            <w:pPr>
              <w:tabs>
                <w:tab w:val="left" w:pos="312"/>
              </w:tabs>
              <w:spacing w:line="40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4</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节能、环境标志产品（满分</w:t>
            </w:r>
            <w:r>
              <w:rPr>
                <w:rFonts w:hint="eastAsia" w:ascii="宋体" w:hAnsi="宋体" w:cs="宋体"/>
                <w:b/>
                <w:bCs/>
                <w:color w:val="000000" w:themeColor="text1"/>
                <w:sz w:val="24"/>
                <w:szCs w:val="24"/>
                <w:highlight w:val="none"/>
                <w:lang w:val="en-US" w:eastAsia="zh-CN"/>
                <w14:textFill>
                  <w14:solidFill>
                    <w14:schemeClr w14:val="tx1"/>
                  </w14:solidFill>
                </w14:textFill>
              </w:rPr>
              <w:t>1</w:t>
            </w:r>
            <w:r>
              <w:rPr>
                <w:rFonts w:hint="eastAsia" w:ascii="宋体" w:hAnsi="宋体" w:cs="宋体"/>
                <w:b/>
                <w:bCs/>
                <w:color w:val="000000" w:themeColor="text1"/>
                <w:sz w:val="24"/>
                <w:szCs w:val="24"/>
                <w:highlight w:val="none"/>
                <w14:textFill>
                  <w14:solidFill>
                    <w14:schemeClr w14:val="tx1"/>
                  </w14:solidFill>
                </w14:textFill>
              </w:rPr>
              <w:t>分）</w:t>
            </w:r>
          </w:p>
          <w:p w14:paraId="7F7F4BF2">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所投产品被认定为节能产品（非政府强制采购节能产品）或环境标志产品的加</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分，分数加满为止。</w:t>
            </w:r>
          </w:p>
          <w:p w14:paraId="15497A84">
            <w:pPr>
              <w:spacing w:line="400" w:lineRule="exact"/>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注：</w:t>
            </w:r>
            <w:r>
              <w:rPr>
                <w:rFonts w:hint="eastAsia" w:ascii="宋体" w:hAnsi="宋体"/>
                <w:color w:val="000000" w:themeColor="text1"/>
                <w:sz w:val="24"/>
                <w:highlight w:val="none"/>
                <w14:textFill>
                  <w14:solidFill>
                    <w14:schemeClr w14:val="tx1"/>
                  </w14:solidFill>
                </w14:textFill>
              </w:rPr>
              <w:t>所投产品属于节能产品（非政府强制采购节能产品）或环境标志产品的，</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需在</w:t>
            </w:r>
            <w:r>
              <w:rPr>
                <w:rFonts w:hint="eastAsia" w:ascii="宋体" w:hAnsi="宋体"/>
                <w:color w:val="000000" w:themeColor="text1"/>
                <w:sz w:val="24"/>
                <w:highlight w:val="none"/>
                <w:lang w:eastAsia="zh-CN"/>
                <w14:textFill>
                  <w14:solidFill>
                    <w14:schemeClr w14:val="tx1"/>
                  </w14:solidFill>
                </w14:textFill>
              </w:rPr>
              <w:t>投标文件</w:t>
            </w:r>
            <w:r>
              <w:rPr>
                <w:rFonts w:hint="eastAsia" w:ascii="宋体" w:hAnsi="宋体"/>
                <w:color w:val="000000" w:themeColor="text1"/>
                <w:sz w:val="24"/>
                <w:highlight w:val="none"/>
                <w14:textFill>
                  <w14:solidFill>
                    <w14:schemeClr w14:val="tx1"/>
                  </w14:solidFill>
                </w14:textFill>
              </w:rPr>
              <w:t>中提供产品经国家确定的参与实施政府采购节能产品认证机构或参与实施政府采购环境标志产品认证机构出具的、处于有效期之内的节能产品、环境标志产品认证证书。</w:t>
            </w:r>
          </w:p>
        </w:tc>
      </w:tr>
    </w:tbl>
    <w:p w14:paraId="63DE3099">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p>
    <w:p w14:paraId="73D8C3E2">
      <w:pPr>
        <w:pStyle w:val="20"/>
        <w:tabs>
          <w:tab w:val="left" w:pos="2472"/>
        </w:tabs>
        <w:snapToGrid w:val="0"/>
        <w:spacing w:line="360" w:lineRule="auto"/>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1.评标方法：</w:t>
      </w:r>
    </w:p>
    <w:p w14:paraId="2B72B539">
      <w:pPr>
        <w:pStyle w:val="22"/>
        <w:tabs>
          <w:tab w:val="left" w:pos="540"/>
        </w:tabs>
        <w:adjustRightInd w:val="0"/>
        <w:snapToGrid w:val="0"/>
        <w:spacing w:after="0" w:line="360" w:lineRule="auto"/>
        <w:ind w:left="0" w:leftChars="0" w:firstLine="482"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1.1本次评标采用综合评分法。</w:t>
      </w:r>
      <w:r>
        <w:rPr>
          <w:rFonts w:hint="eastAsia" w:ascii="宋体" w:hAnsi="宋体" w:cs="宋体"/>
          <w:color w:val="000000" w:themeColor="text1"/>
          <w:sz w:val="24"/>
          <w:highlight w:val="none"/>
          <w14:textFill>
            <w14:solidFill>
              <w14:schemeClr w14:val="tx1"/>
            </w14:solidFill>
          </w14:textFill>
        </w:rPr>
        <w:t>评标委员会对</w:t>
      </w:r>
      <w:r>
        <w:rPr>
          <w:rFonts w:hint="eastAsia" w:ascii="宋体" w:hAnsi="宋体" w:cs="宋体"/>
          <w:color w:val="000000" w:themeColor="text1"/>
          <w:kern w:val="0"/>
          <w:sz w:val="24"/>
          <w:highlight w:val="none"/>
          <w14:textFill>
            <w14:solidFill>
              <w14:schemeClr w14:val="tx1"/>
            </w14:solidFill>
          </w14:textFill>
        </w:rPr>
        <w:t>满足招标文件全部实质性要求（即通过资格性评审及符合性评审）的投标文件</w:t>
      </w:r>
      <w:r>
        <w:rPr>
          <w:rFonts w:hint="eastAsia" w:ascii="宋体" w:hAnsi="宋体" w:cs="宋体"/>
          <w:color w:val="000000" w:themeColor="text1"/>
          <w:sz w:val="24"/>
          <w:highlight w:val="none"/>
          <w14:textFill>
            <w14:solidFill>
              <w14:schemeClr w14:val="tx1"/>
            </w14:solidFill>
          </w14:textFill>
        </w:rPr>
        <w:t>，按照本章前附表规定的评分标准进行打分，并按评标总得分计算公式计算评标总得分，按总得分由高到低的顺序推荐3名中标候选人；评标总得分相等时，</w:t>
      </w:r>
      <w:r>
        <w:rPr>
          <w:rFonts w:hint="eastAsia" w:ascii="宋体" w:hAnsi="宋体" w:cs="宋体"/>
          <w:color w:val="000000" w:themeColor="text1"/>
          <w:kern w:val="0"/>
          <w:sz w:val="24"/>
          <w:highlight w:val="none"/>
          <w14:textFill>
            <w14:solidFill>
              <w14:schemeClr w14:val="tx1"/>
            </w14:solidFill>
          </w14:textFill>
        </w:rPr>
        <w:t>评标委员会将依次按价格低优先、技术部分得分高优先、商务部分得分高优先的顺序推荐；所有得分均相等的，优先采购监狱企业、残疾人福利性单位、劳动关系和谐企业、新兴业态企业的产品和服务</w:t>
      </w:r>
      <w:r>
        <w:rPr>
          <w:rFonts w:hint="eastAsia" w:ascii="宋体" w:hAnsi="宋体" w:cs="宋体"/>
          <w:color w:val="000000" w:themeColor="text1"/>
          <w:kern w:val="0"/>
          <w:sz w:val="24"/>
          <w:highlight w:val="none"/>
          <w:lang w:val="en-US"/>
          <w14:textFill>
            <w14:solidFill>
              <w14:schemeClr w14:val="tx1"/>
            </w14:solidFill>
          </w14:textFill>
        </w:rPr>
        <w:t>的</w:t>
      </w:r>
      <w:r>
        <w:rPr>
          <w:rFonts w:hint="eastAsia" w:ascii="宋体" w:hAnsi="宋体" w:cs="宋体"/>
          <w:color w:val="000000" w:themeColor="text1"/>
          <w:kern w:val="0"/>
          <w:sz w:val="24"/>
          <w:highlight w:val="none"/>
          <w14:textFill>
            <w14:solidFill>
              <w14:schemeClr w14:val="tx1"/>
            </w14:solidFill>
          </w14:textFill>
        </w:rPr>
        <w:t>原则推荐中标候选人。</w:t>
      </w:r>
    </w:p>
    <w:p w14:paraId="4A85F3B1">
      <w:pPr>
        <w:pStyle w:val="20"/>
        <w:tabs>
          <w:tab w:val="left" w:pos="2472"/>
        </w:tabs>
        <w:snapToGrid w:val="0"/>
        <w:spacing w:line="360" w:lineRule="auto"/>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 xml:space="preserve"> 2.政府采购政策：</w:t>
      </w:r>
    </w:p>
    <w:p w14:paraId="49E6EF58">
      <w:pPr>
        <w:widowControl/>
        <w:adjustRightInd w:val="0"/>
        <w:snapToGrid w:val="0"/>
        <w:spacing w:line="360" w:lineRule="auto"/>
        <w:ind w:firstLine="482" w:firstLineChars="200"/>
        <w:textAlignment w:val="baseline"/>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2.1中小型企业</w:t>
      </w:r>
    </w:p>
    <w:p w14:paraId="584CEAF3">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2.1.1根据《财政部关于进一步加大政府采购支持中小企业力度的通知》（财库〔2022〕19号）、《中华人民共和国政府采购法》、《中华人民共和国政府采购法实施条例》、《政府采购货物和服务招标投标管理办法》（财政部令第87号）等有关法律、法规和规章的规定，在政府采购活动中，投标人提供的货物、工程或者服务符合下列情形的，享受中小企业扶持政策：</w:t>
      </w:r>
    </w:p>
    <w:p w14:paraId="7E28167D">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（一）在货物采购项目中，货物由中小企业制造，即货物由中小企业生产且使用该中小企业商号或者注册商标；</w:t>
      </w:r>
    </w:p>
    <w:p w14:paraId="209CEB31">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（二）在工程采购项目中，工程由中小企业承建，即工程施工单位为中小企业；</w:t>
      </w:r>
    </w:p>
    <w:p w14:paraId="170C96C2">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（三）在服务采购项目中，服务由中小企业承接，即提供服务的人员为中小企业依照《中华人民共和国劳动合同法》订立劳动合同的从业人员。</w:t>
      </w:r>
    </w:p>
    <w:p w14:paraId="0CBF5EDA">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在货物采购项目中，投标人提供的货物既有中小企业制造货物，也有大型企业制造货物的，不享受本办法规定的中小企业扶持政策。</w:t>
      </w:r>
    </w:p>
    <w:p w14:paraId="0764478A">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31A50C0E">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0235E43">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2.1.3投标人应当按照《政府采购促进中小企业发展管理办法》规定和《统计上大中小微型企业划分办法（2017）》，如实填写并提交《中小企业声明函》，对提交的《中小企业声明函》的真实性负责。提交的《中小企业声明函》不真实的，应承担相应的法律责任。</w:t>
      </w:r>
    </w:p>
    <w:p w14:paraId="077768BF">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2.1.4本项目针对小型、微型企业报价给予10%的扣除，用扣除后的价格参与评审，监狱企业和残疾人福利性单位视同小型、微型企业。</w:t>
      </w:r>
    </w:p>
    <w:p w14:paraId="1E668479">
      <w:pPr>
        <w:widowControl/>
        <w:adjustRightInd w:val="0"/>
        <w:snapToGrid w:val="0"/>
        <w:spacing w:line="360" w:lineRule="auto"/>
        <w:ind w:firstLine="482" w:firstLineChars="200"/>
        <w:textAlignment w:val="baseline"/>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2.2监狱企业优惠政策</w:t>
      </w:r>
    </w:p>
    <w:p w14:paraId="6939B29F">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7099F081">
      <w:pPr>
        <w:widowControl/>
        <w:adjustRightInd w:val="0"/>
        <w:snapToGrid w:val="0"/>
        <w:spacing w:line="360" w:lineRule="auto"/>
        <w:ind w:firstLine="482" w:firstLineChars="200"/>
        <w:textAlignment w:val="baseline"/>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2.3残疾人福利性单位</w:t>
      </w:r>
    </w:p>
    <w:p w14:paraId="3372A78A">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2.3.1根据《三部门联合发布关于促进残疾人就业政府采购政策的通知》（财库〔2017〕141号）的规定，享受政府采购支持政策的残疾人福利性单位应当同时满足以下条件：</w:t>
      </w:r>
    </w:p>
    <w:p w14:paraId="5BB91DEA">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（一）安置的残疾人占本单位在职职工人数的比例不低于25%（含25%），并且安置的残疾人人数不少于10人（含10人）；</w:t>
      </w:r>
    </w:p>
    <w:p w14:paraId="1B04C11E">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（二）依法与安置的每位残疾人签订了一年以上（含一年）的劳动合同或服务协议；</w:t>
      </w:r>
    </w:p>
    <w:p w14:paraId="664780CB">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（三）为安置的每位残疾人按月足额缴纳了基本养老保险、基本医疗保险、失业保险、工伤保险和生育保险等社会保险费；</w:t>
      </w:r>
    </w:p>
    <w:p w14:paraId="268D05C1">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（四）通过银行等金融机构向安置的每位残疾人，按月支付了不低于单位所在区县适用的经省级人民政府批准的月最低工资标准的工资；</w:t>
      </w:r>
    </w:p>
    <w:p w14:paraId="7E26A098">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16DEF4A9">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FAAF63A">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2.3.2符合条件的残疾人福利性单位在参加政府采购活动时，应当按《三部门联合发布关于促进残疾人就业政府采购政策的通知》（财库〔2017〕141号）提供规定的《残疾人福利性单位声明函》，并对声明的真实性负责。</w:t>
      </w:r>
    </w:p>
    <w:p w14:paraId="6B222ADB">
      <w:pPr>
        <w:widowControl/>
        <w:adjustRightInd w:val="0"/>
        <w:snapToGrid w:val="0"/>
        <w:spacing w:line="36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2.3.3残疾人福利性单位属于小型、微型企业的，不重复享受政策。</w:t>
      </w:r>
    </w:p>
    <w:p w14:paraId="546C65FD">
      <w:pPr>
        <w:widowControl/>
        <w:adjustRightInd w:val="0"/>
        <w:snapToGrid w:val="0"/>
        <w:spacing w:line="360" w:lineRule="auto"/>
        <w:ind w:firstLine="482" w:firstLineChars="200"/>
        <w:textAlignment w:val="baseline"/>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2.4关于节能产品及环境标志产品：</w:t>
      </w:r>
    </w:p>
    <w:p w14:paraId="3D7AEE74">
      <w:pPr>
        <w:pStyle w:val="18"/>
        <w:spacing w:line="480" w:lineRule="exact"/>
        <w:ind w:left="0" w:leftChars="0"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按照“财政部 发展改革委 生态环境部 市场监管总局 关于调整优化节能产品、环境标志产品政府采购执行机制的通知”财库〔2019〕9号的规定执行。</w:t>
      </w:r>
    </w:p>
    <w:p w14:paraId="57CA24E3">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2.5</w:t>
      </w:r>
      <w:r>
        <w:rPr>
          <w:rFonts w:hint="eastAsia" w:ascii="宋体" w:hAnsi="宋体" w:cs="宋体"/>
          <w:color w:val="000000" w:themeColor="text1"/>
          <w:sz w:val="24"/>
          <w:highlight w:val="none"/>
          <w14:textFill>
            <w14:solidFill>
              <w14:schemeClr w14:val="tx1"/>
            </w14:solidFill>
          </w14:textFill>
        </w:rPr>
        <w:t>允许采购进口产品的，优先采购向我国企业转让技术、与我国企业签订消化吸收再创新方案的投标人的进口产品。</w:t>
      </w:r>
    </w:p>
    <w:p w14:paraId="04DAF3D6">
      <w:pPr>
        <w:pStyle w:val="20"/>
        <w:tabs>
          <w:tab w:val="left" w:pos="2472"/>
        </w:tabs>
        <w:snapToGrid w:val="0"/>
        <w:spacing w:line="360" w:lineRule="auto"/>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3. 评标程序及标准</w:t>
      </w:r>
    </w:p>
    <w:p w14:paraId="1C5A01FD">
      <w:pPr>
        <w:pStyle w:val="22"/>
        <w:tabs>
          <w:tab w:val="left" w:pos="540"/>
        </w:tabs>
        <w:adjustRightInd w:val="0"/>
        <w:snapToGrid w:val="0"/>
        <w:spacing w:after="0" w:line="360" w:lineRule="auto"/>
        <w:ind w:left="0" w:leftChars="0"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3.1.1符合性评审</w:t>
      </w:r>
    </w:p>
    <w:p w14:paraId="2FB4C0C4">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依据招标文件的规定，评标委员会对符合资格的投标人的投标文件从有效性、完整性和对招标文件的实质性响应程度等方面进行审查，见评标方法前附表。</w:t>
      </w:r>
    </w:p>
    <w:p w14:paraId="2B1D9AFF">
      <w:pPr>
        <w:pStyle w:val="22"/>
        <w:tabs>
          <w:tab w:val="left" w:pos="540"/>
        </w:tabs>
        <w:adjustRightInd w:val="0"/>
        <w:snapToGrid w:val="0"/>
        <w:spacing w:after="0" w:line="360" w:lineRule="auto"/>
        <w:ind w:left="0" w:leftChars="0"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★3.1.2提供相同品牌产品且通过资格审查、符合性审查的不同</w:t>
      </w:r>
      <w:r>
        <w:rPr>
          <w:rFonts w:hint="eastAsia" w:ascii="宋体" w:hAnsi="宋体" w:cs="宋体"/>
          <w:color w:val="000000" w:themeColor="text1"/>
          <w:sz w:val="24"/>
          <w:highlight w:val="none"/>
          <w14:textFill>
            <w14:solidFill>
              <w14:schemeClr w14:val="tx1"/>
            </w14:solidFill>
          </w14:textFill>
        </w:rPr>
        <w:t>投标</w:t>
      </w:r>
      <w:r>
        <w:rPr>
          <w:rFonts w:hint="eastAsia" w:ascii="宋体" w:hAnsi="宋体" w:cs="宋体"/>
          <w:b/>
          <w:color w:val="000000" w:themeColor="text1"/>
          <w:sz w:val="24"/>
          <w:highlight w:val="none"/>
          <w14:textFill>
            <w14:solidFill>
              <w14:schemeClr w14:val="tx1"/>
            </w14:solidFill>
          </w14:textFill>
        </w:rPr>
        <w:t>人参加同一招标项目</w:t>
      </w:r>
      <w:r>
        <w:rPr>
          <w:rFonts w:hint="eastAsia" w:ascii="宋体" w:hAnsi="宋体" w:cs="宋体"/>
          <w:b/>
          <w:color w:val="000000" w:themeColor="text1"/>
          <w:sz w:val="24"/>
          <w:highlight w:val="none"/>
          <w:lang w:val="en-US"/>
          <w14:textFill>
            <w14:solidFill>
              <w14:schemeClr w14:val="tx1"/>
            </w14:solidFill>
          </w14:textFill>
        </w:rPr>
        <w:t>标段</w:t>
      </w:r>
      <w:r>
        <w:rPr>
          <w:rFonts w:hint="eastAsia" w:ascii="宋体" w:hAnsi="宋体" w:cs="宋体"/>
          <w:b/>
          <w:color w:val="000000" w:themeColor="text1"/>
          <w:sz w:val="24"/>
          <w:highlight w:val="none"/>
          <w14:textFill>
            <w14:solidFill>
              <w14:schemeClr w14:val="tx1"/>
            </w14:solidFill>
          </w14:textFill>
        </w:rPr>
        <w:t xml:space="preserve">投标的，按一家投标人计算。 </w:t>
      </w:r>
    </w:p>
    <w:p w14:paraId="4B856745">
      <w:pPr>
        <w:pStyle w:val="22"/>
        <w:tabs>
          <w:tab w:val="left" w:pos="540"/>
        </w:tabs>
        <w:adjustRightInd w:val="0"/>
        <w:snapToGrid w:val="0"/>
        <w:spacing w:after="0" w:line="360" w:lineRule="auto"/>
        <w:ind w:left="0" w:leftChars="0"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★3.1.3若单个项目</w:t>
      </w:r>
      <w:r>
        <w:rPr>
          <w:rFonts w:hint="eastAsia" w:ascii="宋体" w:hAnsi="宋体" w:cs="宋体"/>
          <w:b/>
          <w:color w:val="000000" w:themeColor="text1"/>
          <w:sz w:val="24"/>
          <w:highlight w:val="none"/>
          <w:lang w:val="en-US"/>
          <w14:textFill>
            <w14:solidFill>
              <w14:schemeClr w14:val="tx1"/>
            </w14:solidFill>
          </w14:textFill>
        </w:rPr>
        <w:t>标段</w:t>
      </w:r>
      <w:r>
        <w:rPr>
          <w:rFonts w:hint="eastAsia" w:ascii="宋体" w:hAnsi="宋体" w:cs="宋体"/>
          <w:b/>
          <w:color w:val="000000" w:themeColor="text1"/>
          <w:sz w:val="24"/>
          <w:highlight w:val="none"/>
          <w14:textFill>
            <w14:solidFill>
              <w14:schemeClr w14:val="tx1"/>
            </w14:solidFill>
          </w14:textFill>
        </w:rPr>
        <w:t>为非单一产品采购项目，对于招标文件第五章规定核心产品，多家投标人提供的核心产品品牌有一项品牌相同的，按3.2.7款规定处理。</w:t>
      </w:r>
    </w:p>
    <w:p w14:paraId="55CA89C9">
      <w:pPr>
        <w:pStyle w:val="22"/>
        <w:tabs>
          <w:tab w:val="left" w:pos="540"/>
        </w:tabs>
        <w:adjustRightInd w:val="0"/>
        <w:snapToGrid w:val="0"/>
        <w:spacing w:after="0" w:line="360" w:lineRule="auto"/>
        <w:ind w:left="0" w:leftChars="0"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★3.1.4按上述条款执行后，投标人不足3家的，本项目应予废标。</w:t>
      </w:r>
    </w:p>
    <w:p w14:paraId="620B355C">
      <w:pPr>
        <w:snapToGrid w:val="0"/>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3.2详细评审</w:t>
      </w:r>
    </w:p>
    <w:p w14:paraId="1DF0D941">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bookmarkStart w:id="497" w:name="_Toc321836408"/>
      <w:r>
        <w:rPr>
          <w:rFonts w:hint="eastAsia" w:ascii="宋体" w:hAnsi="宋体" w:cs="宋体"/>
          <w:color w:val="000000" w:themeColor="text1"/>
          <w:sz w:val="24"/>
          <w:highlight w:val="none"/>
          <w14:textFill>
            <w14:solidFill>
              <w14:schemeClr w14:val="tx1"/>
            </w14:solidFill>
          </w14:textFill>
        </w:rPr>
        <w:t>3.2.1</w:t>
      </w:r>
      <w:bookmarkEnd w:id="497"/>
      <w:r>
        <w:rPr>
          <w:rFonts w:hint="eastAsia" w:ascii="宋体" w:hAnsi="宋体" w:cs="宋体"/>
          <w:color w:val="000000" w:themeColor="text1"/>
          <w:kern w:val="0"/>
          <w:sz w:val="24"/>
          <w:highlight w:val="none"/>
          <w14:textFill>
            <w14:solidFill>
              <w14:schemeClr w14:val="tx1"/>
            </w14:solidFill>
          </w14:textFill>
        </w:rPr>
        <w:t>评标委员会按照招标文件中规定的评标方法和标准，对</w:t>
      </w:r>
      <w:r>
        <w:rPr>
          <w:rFonts w:hint="eastAsia" w:ascii="宋体" w:hAnsi="宋体" w:cs="宋体"/>
          <w:color w:val="000000" w:themeColor="text1"/>
          <w:sz w:val="24"/>
          <w:highlight w:val="none"/>
          <w14:textFill>
            <w14:solidFill>
              <w14:schemeClr w14:val="tx1"/>
            </w14:solidFill>
          </w14:textFill>
        </w:rPr>
        <w:t>符合</w:t>
      </w:r>
      <w:r>
        <w:rPr>
          <w:rFonts w:hint="eastAsia" w:ascii="宋体" w:hAnsi="宋体" w:cs="宋体"/>
          <w:color w:val="000000" w:themeColor="text1"/>
          <w:kern w:val="0"/>
          <w:sz w:val="24"/>
          <w:highlight w:val="none"/>
          <w14:textFill>
            <w14:solidFill>
              <w14:schemeClr w14:val="tx1"/>
            </w14:solidFill>
          </w14:textFill>
        </w:rPr>
        <w:t>性审查合格的投标文件进行商务和技术评估，综合比较与评价</w:t>
      </w:r>
      <w:r>
        <w:rPr>
          <w:rFonts w:hint="eastAsia" w:ascii="宋体" w:hAnsi="宋体" w:cs="宋体"/>
          <w:color w:val="000000" w:themeColor="text1"/>
          <w:sz w:val="24"/>
          <w:highlight w:val="none"/>
          <w14:textFill>
            <w14:solidFill>
              <w14:schemeClr w14:val="tx1"/>
            </w14:solidFill>
          </w14:textFill>
        </w:rPr>
        <w:t>, 见评标方法前附表。</w:t>
      </w:r>
    </w:p>
    <w:p w14:paraId="16096503">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3.2.2评标委员会各成员要依法独立评审，并对评审意见承担个人责任。对投标人的客观评分项的评分应当一致，对其他需要借助专业知识评判的评分项，应当严格按照评分细则公正评分。</w:t>
      </w:r>
    </w:p>
    <w:p w14:paraId="356FD195">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3.2.3评标委员会成员对需要共同认定的事项存在争议的，按照少数服从多数的原则做出结论。持不同意见的评标委员会成员应当在评标报告上签署不同意见并说明理由，否则视为同意。</w:t>
      </w:r>
    </w:p>
    <w:p w14:paraId="695E58C6">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3.2.4</w:t>
      </w:r>
      <w:r>
        <w:rPr>
          <w:rFonts w:hint="eastAsia" w:ascii="宋体" w:hAnsi="宋体" w:cs="宋体"/>
          <w:color w:val="000000" w:themeColor="text1"/>
          <w:kern w:val="0"/>
          <w:sz w:val="24"/>
          <w:highlight w:val="none"/>
          <w14:textFill>
            <w14:solidFill>
              <w14:schemeClr w14:val="tx1"/>
            </w14:solidFill>
          </w14:textFill>
        </w:rPr>
        <w:t>投标文件报价出现前后不一致的，按照</w:t>
      </w:r>
      <w:r>
        <w:rPr>
          <w:rFonts w:hint="eastAsia" w:ascii="宋体" w:hAnsi="宋体" w:cs="宋体"/>
          <w:color w:val="000000" w:themeColor="text1"/>
          <w:sz w:val="24"/>
          <w:highlight w:val="none"/>
          <w14:textFill>
            <w14:solidFill>
              <w14:schemeClr w14:val="tx1"/>
            </w14:solidFill>
          </w14:textFill>
        </w:rPr>
        <w:t>下列</w:t>
      </w:r>
      <w:r>
        <w:rPr>
          <w:rFonts w:hint="eastAsia" w:ascii="宋体" w:hAnsi="宋体" w:cs="宋体"/>
          <w:color w:val="000000" w:themeColor="text1"/>
          <w:kern w:val="0"/>
          <w:sz w:val="24"/>
          <w:highlight w:val="none"/>
          <w14:textFill>
            <w14:solidFill>
              <w14:schemeClr w14:val="tx1"/>
            </w14:solidFill>
          </w14:textFill>
        </w:rPr>
        <w:t>规定修正</w:t>
      </w:r>
      <w:r>
        <w:rPr>
          <w:rFonts w:hint="eastAsia" w:ascii="宋体" w:hAnsi="宋体" w:cs="宋体"/>
          <w:color w:val="000000" w:themeColor="text1"/>
          <w:sz w:val="24"/>
          <w:highlight w:val="none"/>
          <w14:textFill>
            <w14:solidFill>
              <w14:schemeClr w14:val="tx1"/>
            </w14:solidFill>
          </w14:textFill>
        </w:rPr>
        <w:t>：</w:t>
      </w:r>
    </w:p>
    <w:p w14:paraId="63E388D5">
      <w:pPr>
        <w:pStyle w:val="20"/>
        <w:tabs>
          <w:tab w:val="left" w:pos="2472"/>
        </w:tabs>
        <w:snapToGrid w:val="0"/>
        <w:spacing w:line="360" w:lineRule="auto"/>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（一）投标文件中开标一览表（报价表）内容与投标文件中相应内容不一致的，以开标一览表（报价表）为准；</w:t>
      </w:r>
    </w:p>
    <w:p w14:paraId="5A224FF0">
      <w:pPr>
        <w:pStyle w:val="20"/>
        <w:tabs>
          <w:tab w:val="left" w:pos="2472"/>
        </w:tabs>
        <w:snapToGrid w:val="0"/>
        <w:spacing w:line="360" w:lineRule="auto"/>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（二）大写金额和小写金额不一致的，以大写金额为准；</w:t>
      </w:r>
    </w:p>
    <w:p w14:paraId="09323222">
      <w:pPr>
        <w:pStyle w:val="20"/>
        <w:tabs>
          <w:tab w:val="left" w:pos="2472"/>
        </w:tabs>
        <w:snapToGrid w:val="0"/>
        <w:spacing w:line="360" w:lineRule="auto"/>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（三）单价金额小数点或者百分比有明显错位的，以开标一览表的总价为准，并修改单价；</w:t>
      </w:r>
    </w:p>
    <w:p w14:paraId="1A8D4CA1">
      <w:pPr>
        <w:pStyle w:val="20"/>
        <w:tabs>
          <w:tab w:val="left" w:pos="2472"/>
        </w:tabs>
        <w:snapToGrid w:val="0"/>
        <w:spacing w:line="360" w:lineRule="auto"/>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（四）总价金额与按单价汇总金额不一致的，以单价金额计算结果为准。</w:t>
      </w:r>
    </w:p>
    <w:p w14:paraId="4A38AAD1">
      <w:pPr>
        <w:pStyle w:val="20"/>
        <w:tabs>
          <w:tab w:val="left" w:pos="2472"/>
        </w:tabs>
        <w:snapToGrid w:val="0"/>
        <w:spacing w:line="360" w:lineRule="auto"/>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★同时出现两种以上不一致的，按照前款规定的顺序修正。修正后的报价按照本章3.2款的规定经投标人确认后产生约束力，投标人不确认的，其投标无效。</w:t>
      </w:r>
    </w:p>
    <w:p w14:paraId="696088A8">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3.2.5价格部分（F1）按评标方法前附表规定的投标报价计算公式，计算出各投标人价格部分得分。技术部分（F2）和商务部分（F3）得分由评标委员会成员独立评分，投标</w:t>
      </w:r>
      <w:r>
        <w:rPr>
          <w:rFonts w:hint="eastAsia" w:ascii="宋体" w:hAnsi="宋体" w:cs="宋体"/>
          <w:bCs/>
          <w:color w:val="000000" w:themeColor="text1"/>
          <w:sz w:val="24"/>
          <w:highlight w:val="none"/>
          <w14:textFill>
            <w14:solidFill>
              <w14:schemeClr w14:val="tx1"/>
            </w14:solidFill>
          </w14:textFill>
        </w:rPr>
        <w:t>人各项评分因素得分为该项因素各评委评分的算术平均值。所有计算结果均保留小数点后两位</w:t>
      </w:r>
      <w:r>
        <w:rPr>
          <w:rFonts w:hint="eastAsia" w:ascii="宋体" w:hAnsi="宋体" w:cs="宋体"/>
          <w:color w:val="000000" w:themeColor="text1"/>
          <w:sz w:val="24"/>
          <w:highlight w:val="none"/>
          <w14:textFill>
            <w14:solidFill>
              <w14:schemeClr w14:val="tx1"/>
            </w14:solidFill>
          </w14:textFill>
        </w:rPr>
        <w:t>，小数点后第三位“四舍五入”。</w:t>
      </w:r>
    </w:p>
    <w:p w14:paraId="1AB287B6">
      <w:pPr>
        <w:pStyle w:val="22"/>
        <w:tabs>
          <w:tab w:val="left" w:pos="540"/>
        </w:tabs>
        <w:adjustRightInd w:val="0"/>
        <w:snapToGrid w:val="0"/>
        <w:spacing w:after="0" w:line="360" w:lineRule="auto"/>
        <w:ind w:left="0" w:leftChars="0"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★3.2.6</w:t>
      </w:r>
      <w:r>
        <w:rPr>
          <w:rFonts w:hint="eastAsia" w:ascii="宋体" w:hAnsi="宋体" w:cs="宋体"/>
          <w:color w:val="000000" w:themeColor="text1"/>
          <w:kern w:val="0"/>
          <w:sz w:val="24"/>
          <w:highlight w:val="none"/>
          <w14:textFill>
            <w14:solidFill>
              <w14:schemeClr w14:val="tx1"/>
            </w14:solidFill>
          </w14:textFill>
        </w:rPr>
        <w:t>评标委员会认为投标人的报价明显低于其他</w:t>
      </w:r>
      <w:r>
        <w:rPr>
          <w:rFonts w:hint="eastAsia" w:ascii="宋体" w:hAnsi="宋体" w:cs="宋体"/>
          <w:color w:val="000000" w:themeColor="text1"/>
          <w:sz w:val="24"/>
          <w:highlight w:val="none"/>
          <w14:textFill>
            <w14:solidFill>
              <w14:schemeClr w14:val="tx1"/>
            </w14:solidFill>
          </w14:textFill>
        </w:rPr>
        <w:t>通过</w:t>
      </w:r>
      <w:r>
        <w:rPr>
          <w:rFonts w:hint="eastAsia" w:ascii="宋体" w:hAnsi="宋体" w:cs="宋体"/>
          <w:color w:val="000000" w:themeColor="text1"/>
          <w:kern w:val="0"/>
          <w:sz w:val="24"/>
          <w:highlight w:val="none"/>
          <w14:textFill>
            <w14:solidFill>
              <w14:schemeClr w14:val="tx1"/>
            </w14:solidFill>
          </w14:textFill>
        </w:rPr>
        <w:t>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E8A46E0">
      <w:pPr>
        <w:pStyle w:val="20"/>
        <w:tabs>
          <w:tab w:val="left" w:pos="2472"/>
        </w:tabs>
        <w:snapToGrid w:val="0"/>
        <w:spacing w:line="360" w:lineRule="auto"/>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2"/>
          <w:highlight w:val="none"/>
          <w14:textFill>
            <w14:solidFill>
              <w14:schemeClr w14:val="tx1"/>
            </w14:solidFill>
          </w14:textFill>
        </w:rPr>
        <w:t>3.2.7提供相同品牌产品且通过资格审查、符合性审查的不同投标人参加同一合同项下投标的，按一家投标人计算，评审后得分最高的同品牌投标人获得中标人推荐资格；评审得分相同的，评标委员会将依次按价格</w:t>
      </w:r>
      <w:r>
        <w:rPr>
          <w:rFonts w:hint="eastAsia" w:hAnsi="宋体" w:cs="宋体"/>
          <w:color w:val="000000" w:themeColor="text1"/>
          <w:kern w:val="0"/>
          <w:sz w:val="24"/>
          <w:szCs w:val="24"/>
          <w:highlight w:val="none"/>
          <w14:textFill>
            <w14:solidFill>
              <w14:schemeClr w14:val="tx1"/>
            </w14:solidFill>
          </w14:textFill>
        </w:rPr>
        <w:t>低</w:t>
      </w:r>
      <w:r>
        <w:rPr>
          <w:rFonts w:hint="eastAsia" w:hAnsi="宋体" w:cs="宋体"/>
          <w:color w:val="000000" w:themeColor="text1"/>
          <w:sz w:val="24"/>
          <w:szCs w:val="22"/>
          <w:highlight w:val="none"/>
          <w14:textFill>
            <w14:solidFill>
              <w14:schemeClr w14:val="tx1"/>
            </w14:solidFill>
          </w14:textFill>
        </w:rPr>
        <w:t>优先、技术部分得分高优先、商务部分得分高优先的顺序确定；所有得分均相等的，按记名投票的方</w:t>
      </w:r>
      <w:r>
        <w:rPr>
          <w:rFonts w:hint="eastAsia" w:hAnsi="宋体" w:cs="宋体"/>
          <w:color w:val="000000" w:themeColor="text1"/>
          <w:sz w:val="24"/>
          <w:szCs w:val="24"/>
          <w:highlight w:val="none"/>
          <w14:textFill>
            <w14:solidFill>
              <w14:schemeClr w14:val="tx1"/>
            </w14:solidFill>
          </w14:textFill>
        </w:rPr>
        <w:t>式确定中标候选人，其他同品牌投标人不作为中标候选人。</w:t>
      </w:r>
    </w:p>
    <w:p w14:paraId="300C0315">
      <w:pPr>
        <w:pStyle w:val="20"/>
        <w:tabs>
          <w:tab w:val="left" w:pos="2472"/>
        </w:tabs>
        <w:snapToGrid w:val="0"/>
        <w:spacing w:line="360" w:lineRule="auto"/>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注：非单一产品采购项目，采购人应当根据采购项目技术构成、产品价格比重等合理确定核心产品，并在招标文件中载明（详见本项目招标范围）。多家投标人提供的核心产品品牌相同的，按第3.2.7款规定处理。</w:t>
      </w:r>
    </w:p>
    <w:p w14:paraId="382DA91A">
      <w:pPr>
        <w:pStyle w:val="20"/>
        <w:tabs>
          <w:tab w:val="left" w:pos="2472"/>
        </w:tabs>
        <w:snapToGrid w:val="0"/>
        <w:spacing w:line="360" w:lineRule="auto"/>
        <w:rPr>
          <w:rFonts w:hAnsi="宋体" w:cs="宋体"/>
          <w:b/>
          <w:bCs/>
          <w:color w:val="000000" w:themeColor="text1"/>
          <w:sz w:val="24"/>
          <w:highlight w:val="none"/>
          <w14:textFill>
            <w14:solidFill>
              <w14:schemeClr w14:val="tx1"/>
            </w14:solidFill>
          </w14:textFill>
        </w:rPr>
      </w:pPr>
      <w:bookmarkStart w:id="498" w:name="_Toc321836412"/>
      <w:r>
        <w:rPr>
          <w:rFonts w:hint="eastAsia" w:hAnsi="宋体" w:cs="宋体"/>
          <w:b/>
          <w:bCs/>
          <w:color w:val="000000" w:themeColor="text1"/>
          <w:sz w:val="24"/>
          <w:highlight w:val="none"/>
          <w14:textFill>
            <w14:solidFill>
              <w14:schemeClr w14:val="tx1"/>
            </w14:solidFill>
          </w14:textFill>
        </w:rPr>
        <w:t>4. 投标文件的澄清</w:t>
      </w:r>
      <w:bookmarkEnd w:id="498"/>
    </w:p>
    <w:p w14:paraId="78D7E1BC">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4572F69">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2E404ACF">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4.3 评标委员会对投标人提交的澄清、说明有疑问的，可以要求投标人进一步澄清、说明。</w:t>
      </w:r>
    </w:p>
    <w:p w14:paraId="55073A4B">
      <w:pPr>
        <w:pStyle w:val="20"/>
        <w:tabs>
          <w:tab w:val="left" w:pos="2472"/>
        </w:tabs>
        <w:snapToGrid w:val="0"/>
        <w:spacing w:line="360" w:lineRule="auto"/>
        <w:rPr>
          <w:rFonts w:hAnsi="宋体" w:cs="宋体"/>
          <w:b/>
          <w:bCs/>
          <w:color w:val="000000" w:themeColor="text1"/>
          <w:sz w:val="24"/>
          <w:highlight w:val="none"/>
          <w14:textFill>
            <w14:solidFill>
              <w14:schemeClr w14:val="tx1"/>
            </w14:solidFill>
          </w14:textFill>
        </w:rPr>
      </w:pPr>
      <w:bookmarkStart w:id="499" w:name="_Toc321836413"/>
      <w:r>
        <w:rPr>
          <w:rFonts w:hint="eastAsia" w:hAnsi="宋体" w:cs="宋体"/>
          <w:b/>
          <w:bCs/>
          <w:color w:val="000000" w:themeColor="text1"/>
          <w:sz w:val="24"/>
          <w:highlight w:val="none"/>
          <w14:textFill>
            <w14:solidFill>
              <w14:schemeClr w14:val="tx1"/>
            </w14:solidFill>
          </w14:textFill>
        </w:rPr>
        <w:t>5.评标结果</w:t>
      </w:r>
      <w:bookmarkEnd w:id="499"/>
    </w:p>
    <w:p w14:paraId="09B9A7ED">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5.1评标委员会按最终得分由高到低顺序推荐3名中标候选人，并提出书面评标报告。</w:t>
      </w:r>
    </w:p>
    <w:p w14:paraId="25F99599">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5.2采购人根据评标委员会提出的书面评标报告和推荐的中标候选人名单，确定中标人。</w:t>
      </w:r>
    </w:p>
    <w:p w14:paraId="378AE2B6">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1136F370">
      <w:pPr>
        <w:pStyle w:val="22"/>
        <w:tabs>
          <w:tab w:val="left" w:pos="540"/>
        </w:tabs>
        <w:adjustRightInd w:val="0"/>
        <w:snapToGrid w:val="0"/>
        <w:spacing w:after="0"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p>
    <w:sectPr>
      <w:pgSz w:w="11906" w:h="16838"/>
      <w:pgMar w:top="1417" w:right="1134" w:bottom="1417" w:left="1134" w:header="850" w:footer="850" w:gutter="0"/>
      <w:cols w:space="0" w:num="1"/>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BF7F4A6-B72B-4440-8D2B-1813354B95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2" w:fontKey="{64ED224E-30EF-4CC8-A9BE-722AF2234E67}"/>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etaPlusNormal-Caps">
    <w:altName w:val="宋体"/>
    <w:panose1 w:val="00000000000000000000"/>
    <w:charset w:val="86"/>
    <w:family w:val="swiss"/>
    <w:pitch w:val="default"/>
    <w:sig w:usb0="00000000" w:usb1="00000000" w:usb2="00000010" w:usb3="00000000" w:csb0="00040000" w:csb1="00000000"/>
  </w:font>
  <w:font w:name="MS PGothic">
    <w:panose1 w:val="020B0600070205080204"/>
    <w:charset w:val="80"/>
    <w:family w:val="swiss"/>
    <w:pitch w:val="default"/>
    <w:sig w:usb0="E00002FF" w:usb1="6AC7FDFB" w:usb2="08000012" w:usb3="00000000" w:csb0="4002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RotisSansSerif">
    <w:altName w:val="Corbel"/>
    <w:panose1 w:val="00000000000000000000"/>
    <w:charset w:val="00"/>
    <w:family w:val="swiss"/>
    <w:pitch w:val="default"/>
    <w:sig w:usb0="00000000" w:usb1="00000000" w:usb2="00000000" w:usb3="00000000" w:csb0="00000093" w:csb1="00000000"/>
  </w:font>
  <w:font w:name="Corbel">
    <w:panose1 w:val="020B0503020204020204"/>
    <w:charset w:val="00"/>
    <w:family w:val="auto"/>
    <w:pitch w:val="default"/>
    <w:sig w:usb0="A00002EF" w:usb1="4000A44B" w:usb2="00000000" w:usb3="00000000" w:csb0="2000019F" w:csb1="00000000"/>
  </w:font>
  <w:font w:name="Garamond">
    <w:panose1 w:val="02020404030301010803"/>
    <w:charset w:val="00"/>
    <w:family w:val="roman"/>
    <w:pitch w:val="default"/>
    <w:sig w:usb0="00000287" w:usb1="00000000" w:usb2="00000000" w:usb3="00000000" w:csb0="0000009F" w:csb1="DFD70000"/>
  </w:font>
  <w:font w:name="Calibri Light">
    <w:panose1 w:val="020F0302020204030204"/>
    <w:charset w:val="00"/>
    <w:family w:val="swiss"/>
    <w:pitch w:val="default"/>
    <w:sig w:usb0="E4002EFF" w:usb1="C200247B" w:usb2="00000009" w:usb3="00000000" w:csb0="200001FF" w:csb1="00000000"/>
  </w:font>
  <w:font w:name="BatangChe">
    <w:altName w:val="Malgun Gothic"/>
    <w:panose1 w:val="02030609000101010101"/>
    <w:charset w:val="81"/>
    <w:family w:val="auto"/>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方正仿宋_GBK">
    <w:panose1 w:val="02000000000000000000"/>
    <w:charset w:val="86"/>
    <w:family w:val="script"/>
    <w:pitch w:val="default"/>
    <w:sig w:usb0="A00002BF" w:usb1="38CF7CFA" w:usb2="00082016" w:usb3="00000000" w:csb0="00040001" w:csb1="00000000"/>
    <w:embedRegular r:id="rId3" w:fontKey="{7ED5D50A-9AD0-40EE-A0D6-C26F9BE42F33}"/>
  </w:font>
  <w:font w:name="等线">
    <w:panose1 w:val="02010600030101010101"/>
    <w:charset w:val="86"/>
    <w:family w:val="auto"/>
    <w:pitch w:val="default"/>
    <w:sig w:usb0="A00002BF" w:usb1="38CF7CFA" w:usb2="00000016" w:usb3="00000000" w:csb0="0004000F" w:csb1="00000000"/>
    <w:embedRegular r:id="rId4" w:fontKey="{89F79D6F-427D-442F-AE8C-D130AC613E5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3311C">
    <w:pPr>
      <w:pStyle w:val="24"/>
      <w:jc w:val="right"/>
    </w:pPr>
  </w:p>
  <w:p w14:paraId="1EEDA59A">
    <w:pPr>
      <w:pStyle w:val="24"/>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2E275">
    <w:pPr>
      <w:pStyle w:val="24"/>
      <w:framePr w:wrap="around" w:vAnchor="text" w:hAnchor="margin" w:xAlign="center" w:y="1"/>
      <w:rPr>
        <w:rStyle w:val="41"/>
      </w:rPr>
    </w:pPr>
    <w:r>
      <w:rPr>
        <w:rStyle w:val="41"/>
      </w:rPr>
      <w:fldChar w:fldCharType="begin"/>
    </w:r>
    <w:r>
      <w:rPr>
        <w:rStyle w:val="41"/>
      </w:rPr>
      <w:instrText xml:space="preserve">PAGE  </w:instrText>
    </w:r>
    <w:r>
      <w:rPr>
        <w:rStyle w:val="41"/>
      </w:rPr>
      <w:fldChar w:fldCharType="separate"/>
    </w:r>
    <w:r>
      <w:rPr>
        <w:rStyle w:val="41"/>
      </w:rPr>
      <w:t>71</w:t>
    </w:r>
    <w:r>
      <w:rPr>
        <w:rStyle w:val="41"/>
      </w:rPr>
      <w:fldChar w:fldCharType="end"/>
    </w:r>
  </w:p>
  <w:p w14:paraId="3F495DE5">
    <w:pPr>
      <w:pStyle w:val="24"/>
      <w:ind w:right="360"/>
      <w:rPr>
        <w:sz w:val="21"/>
      </w:rPr>
    </w:pPr>
    <w:r>
      <w:rPr>
        <w:lang w:val="en-US"/>
      </w:rP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4733A88C">
                          <w:pPr>
                            <w:pStyle w:val="24"/>
                            <w:rPr>
                              <w:rStyle w:val="41"/>
                              <w:sz w:val="21"/>
                            </w:rPr>
                          </w:pPr>
                          <w:r>
                            <w:rPr>
                              <w:rStyle w:val="41"/>
                              <w:sz w:val="21"/>
                            </w:rPr>
                            <w:fldChar w:fldCharType="begin"/>
                          </w:r>
                          <w:r>
                            <w:rPr>
                              <w:rStyle w:val="41"/>
                              <w:sz w:val="21"/>
                            </w:rPr>
                            <w:instrText xml:space="preserve">Page</w:instrText>
                          </w:r>
                          <w:r>
                            <w:rPr>
                              <w:rStyle w:val="41"/>
                              <w:sz w:val="21"/>
                            </w:rPr>
                            <w:fldChar w:fldCharType="separate"/>
                          </w:r>
                          <w:r>
                            <w:rPr>
                              <w:rStyle w:val="41"/>
                              <w:sz w:val="21"/>
                            </w:rPr>
                            <w:t>71</w:t>
                          </w:r>
                          <w:r>
                            <w:rPr>
                              <w:rStyle w:val="41"/>
                              <w:sz w:val="21"/>
                            </w:rPr>
                            <w:fldChar w:fldCharType="end"/>
                          </w:r>
                        </w:p>
                      </w:txbxContent>
                    </wps:txbx>
                    <wps:bodyPr lIns="0" tIns="0" rIns="0" bIns="0" upright="1"/>
                  </wps:wsp>
                </a:graphicData>
              </a:graphic>
            </wp:anchor>
          </w:drawing>
        </mc:Choice>
        <mc:Fallback>
          <w:pict>
            <v:shape id="文本框 1"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G0n7CvTAAAAAwEAAA8AAAAAAAAAAQAgAAAAIgAAAGRycy9kb3ducmV2LnhtbFBLAQIUABQAAAAI&#10;AIdO4kCPujXGuQEAAHADAAAOAAAAAAAAAAEAIAAAACIBAABkcnMvZTJvRG9jLnhtbFBLBQYAAAAA&#10;BgAGAFkBAABNBQAAAAA=&#10;">
              <v:fill on="f" focussize="0,0"/>
              <v:stroke on="f"/>
              <v:imagedata o:title=""/>
              <o:lock v:ext="edit" aspectratio="f"/>
              <v:textbox inset="0mm,0mm,0mm,0mm">
                <w:txbxContent>
                  <w:p w14:paraId="4733A88C">
                    <w:pPr>
                      <w:pStyle w:val="24"/>
                      <w:rPr>
                        <w:rStyle w:val="41"/>
                        <w:sz w:val="21"/>
                      </w:rPr>
                    </w:pPr>
                    <w:r>
                      <w:rPr>
                        <w:rStyle w:val="41"/>
                        <w:sz w:val="21"/>
                      </w:rPr>
                      <w:fldChar w:fldCharType="begin"/>
                    </w:r>
                    <w:r>
                      <w:rPr>
                        <w:rStyle w:val="41"/>
                        <w:sz w:val="21"/>
                      </w:rPr>
                      <w:instrText xml:space="preserve">Page</w:instrText>
                    </w:r>
                    <w:r>
                      <w:rPr>
                        <w:rStyle w:val="41"/>
                        <w:sz w:val="21"/>
                      </w:rPr>
                      <w:fldChar w:fldCharType="separate"/>
                    </w:r>
                    <w:r>
                      <w:rPr>
                        <w:rStyle w:val="41"/>
                        <w:sz w:val="21"/>
                      </w:rPr>
                      <w:t>71</w:t>
                    </w:r>
                    <w:r>
                      <w:rPr>
                        <w:rStyle w:val="41"/>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A9042">
    <w:pPr>
      <w:pStyle w:val="24"/>
      <w:ind w:right="360"/>
      <w:jc w:val="both"/>
    </w:pPr>
    <w:r>
      <w:rPr>
        <w:lang w:val="en-US"/>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ECC416">
                          <w:pPr>
                            <w:pStyle w:val="24"/>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DaKU8EBAACO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wE2pKHLc48cuP75efvy+/vpE6&#10;6zMEaDDtPmBiGt/6EXMXP6Az0x5VtPmLhAjGUd3zVV05JiLyo3W9XlcYEhhbLojPHp6HCOmd9JZk&#10;o6URx1dU5acPkKbUJSVXc/5OG1NGaNxfDsTMHpZ7n3rMVhr340xo77sz8hlw8i11uOiUmPcOhc1L&#10;shhxMfazkWtAeHNMWLj0k1EnqLkYjqkwmlcq78Hje8l6+I22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wDaKU8EBAACOAwAADgAAAAAAAAABACAAAAAeAQAAZHJzL2Uyb0RvYy54bWxQSwUG&#10;AAAAAAYABgBZAQAAUQUAAAAA&#10;">
              <v:fill on="f" focussize="0,0"/>
              <v:stroke on="f"/>
              <v:imagedata o:title=""/>
              <o:lock v:ext="edit" aspectratio="f"/>
              <v:textbox inset="0mm,0mm,0mm,0mm" style="mso-fit-shape-to-text:t;">
                <w:txbxContent>
                  <w:p w14:paraId="5DECC416">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04A60">
    <w:pPr>
      <w:pStyle w:val="24"/>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13FE7">
    <w:pPr>
      <w:pStyle w:val="2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7FA76">
    <w:pPr>
      <w:pStyle w:val="24"/>
      <w:rPr>
        <w:u w:val="single"/>
        <w:lang w:val="en-US"/>
      </w:rPr>
    </w:pPr>
    <w:r>
      <w:rPr>
        <w:rFonts w:hint="eastAsia"/>
        <w:u w:val="single"/>
        <w:lang w:val="en-US"/>
      </w:rPr>
      <w:t xml:space="preserve">                                                                                                           </w:t>
    </w:r>
  </w:p>
  <w:p w14:paraId="49A4F365">
    <w:pPr>
      <w:pStyle w:val="24"/>
    </w:pPr>
    <w:r>
      <w:rPr>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34D217">
                          <w:pPr>
                            <w:pStyle w:val="24"/>
                          </w:pPr>
                          <w:r>
                            <w:fldChar w:fldCharType="begin"/>
                          </w:r>
                          <w:r>
                            <w:instrText xml:space="preserve"> PAGE  \* MERGEFORMAT </w:instrText>
                          </w:r>
                          <w:r>
                            <w:fldChar w:fldCharType="separate"/>
                          </w:r>
                          <w:r>
                            <w:t>29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2234D217">
                    <w:pPr>
                      <w:pStyle w:val="24"/>
                    </w:pPr>
                    <w:r>
                      <w:fldChar w:fldCharType="begin"/>
                    </w:r>
                    <w:r>
                      <w:instrText xml:space="preserve"> PAGE  \* MERGEFORMAT </w:instrText>
                    </w:r>
                    <w:r>
                      <w:fldChar w:fldCharType="separate"/>
                    </w:r>
                    <w:r>
                      <w:t>29</w:t>
                    </w:r>
                    <w:r>
                      <w:fldChar w:fldCharType="end"/>
                    </w:r>
                  </w:p>
                </w:txbxContent>
              </v:textbox>
            </v:shape>
          </w:pict>
        </mc:Fallback>
      </mc:AlternateContent>
    </w:r>
    <w:r>
      <w:rPr>
        <w:rFonts w:hint="eastAsia"/>
        <w:lang w:val="en-US"/>
      </w:rPr>
      <w:t>昆明理工大学                                                               中德高路咨询（云南）</w:t>
    </w:r>
    <w:r>
      <w:rPr>
        <w:rFonts w:hint="eastAsia"/>
        <w:lang w:val="en-US" w:eastAsia="zh-CN"/>
      </w:rPr>
      <w:t>股份</w:t>
    </w:r>
    <w:r>
      <w:rPr>
        <w:rFonts w:hint="eastAsia"/>
        <w:lang w:val="en-US"/>
      </w:rPr>
      <w:t>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A9B44">
    <w:pPr>
      <w:pStyle w:val="24"/>
      <w:rPr>
        <w:u w:val="single"/>
        <w:lang w:val="en-US"/>
      </w:rPr>
    </w:pPr>
    <w:r>
      <w:rPr>
        <w:rFonts w:hint="eastAsia"/>
        <w:u w:val="single"/>
        <w:lang w:val="en-US"/>
      </w:rPr>
      <w:t xml:space="preserve">                                                                       </w:t>
    </w:r>
    <w:r>
      <w:rPr>
        <w:rFonts w:hint="eastAsia"/>
        <w:u w:val="single"/>
        <w:lang w:val="en-US" w:eastAsia="zh-CN"/>
      </w:rPr>
      <w:t xml:space="preserve">                                                </w:t>
    </w:r>
    <w:r>
      <w:rPr>
        <w:rFonts w:hint="eastAsia"/>
        <w:u w:val="single"/>
        <w:lang w:val="en-US"/>
      </w:rPr>
      <w:t xml:space="preserve">                                    </w:t>
    </w:r>
  </w:p>
  <w:p w14:paraId="299B5DCA">
    <w:pPr>
      <w:pStyle w:val="24"/>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C869EF">
                          <w:pPr>
                            <w:pStyle w:val="24"/>
                          </w:pPr>
                          <w:r>
                            <w:fldChar w:fldCharType="begin"/>
                          </w:r>
                          <w:r>
                            <w:instrText xml:space="preserve"> PAGE  \* MERGEFORMAT </w:instrText>
                          </w:r>
                          <w:r>
                            <w:fldChar w:fldCharType="separate"/>
                          </w:r>
                          <w:r>
                            <w:t>70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39C869EF">
                    <w:pPr>
                      <w:pStyle w:val="24"/>
                    </w:pPr>
                    <w:r>
                      <w:fldChar w:fldCharType="begin"/>
                    </w:r>
                    <w:r>
                      <w:instrText xml:space="preserve"> PAGE  \* MERGEFORMAT </w:instrText>
                    </w:r>
                    <w:r>
                      <w:fldChar w:fldCharType="separate"/>
                    </w:r>
                    <w:r>
                      <w:t>70</w:t>
                    </w:r>
                    <w:r>
                      <w:fldChar w:fldCharType="end"/>
                    </w:r>
                  </w:p>
                </w:txbxContent>
              </v:textbox>
            </v:shape>
          </w:pict>
        </mc:Fallback>
      </mc:AlternateContent>
    </w:r>
    <w:r>
      <w:rPr>
        <w:rFonts w:hint="eastAsia"/>
        <w:lang w:val="en-US"/>
      </w:rPr>
      <w:t xml:space="preserve">昆明理工大学                                                        </w:t>
    </w:r>
    <w:r>
      <w:rPr>
        <w:rFonts w:hint="eastAsia"/>
        <w:lang w:val="en-US" w:eastAsia="zh-CN"/>
      </w:rPr>
      <w:t xml:space="preserve">                                                    </w:t>
    </w:r>
    <w:r>
      <w:rPr>
        <w:rFonts w:hint="eastAsia"/>
        <w:lang w:val="en-US"/>
      </w:rPr>
      <w:t xml:space="preserve">    中德高路咨询（云南）</w:t>
    </w:r>
    <w:r>
      <w:rPr>
        <w:rFonts w:hint="eastAsia"/>
        <w:lang w:val="en-US" w:eastAsia="zh-CN"/>
      </w:rPr>
      <w:t>股份</w:t>
    </w:r>
    <w:r>
      <w:rPr>
        <w:rFonts w:hint="eastAsia"/>
        <w:lang w:val="en-US"/>
      </w:rPr>
      <w:t>有限公司</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0DF05">
    <w:pPr>
      <w:pStyle w:val="24"/>
      <w:rPr>
        <w:u w:val="single"/>
        <w:lang w:val="en-US"/>
      </w:rPr>
    </w:pPr>
    <w:r>
      <w:rPr>
        <w:rFonts w:hint="eastAsia"/>
        <w:u w:val="single"/>
        <w:lang w:val="en-US"/>
      </w:rPr>
      <w:t xml:space="preserve">                                                                                                               </w:t>
    </w:r>
  </w:p>
  <w:p w14:paraId="3D799E36">
    <w:pPr>
      <w:pStyle w:val="24"/>
      <w:rPr>
        <w:lang w:val="en-US"/>
      </w:rP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8EE543">
                          <w:pPr>
                            <w:pStyle w:val="24"/>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6C8EE543">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rPr>
      <w:t>昆明理工大学                                                               中德高路咨询（云南）有限公司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229F1">
    <w:pPr>
      <w:pStyle w:val="24"/>
      <w:rPr>
        <w:u w:val="single"/>
        <w:lang w:val="en-US"/>
      </w:rPr>
    </w:pPr>
    <w:r>
      <w:rPr>
        <w:rFonts w:hint="eastAsia"/>
        <w:u w:val="single"/>
        <w:lang w:val="en-US"/>
      </w:rPr>
      <w:t xml:space="preserve">                                                                                                           </w:t>
    </w:r>
  </w:p>
  <w:p w14:paraId="12FF7AE0">
    <w:pPr>
      <w:pStyle w:val="24"/>
    </w:pPr>
    <w:r>
      <w:rPr>
        <w:lang w:val="en-US"/>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7E3372">
                          <w:pPr>
                            <w:pStyle w:val="24"/>
                          </w:pPr>
                          <w:r>
                            <w:fldChar w:fldCharType="begin"/>
                          </w:r>
                          <w:r>
                            <w:instrText xml:space="preserve"> PAGE  \* MERGEFORMAT </w:instrText>
                          </w:r>
                          <w:r>
                            <w:fldChar w:fldCharType="separate"/>
                          </w:r>
                          <w:r>
                            <w:t>70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417E3372">
                    <w:pPr>
                      <w:pStyle w:val="24"/>
                    </w:pPr>
                    <w:r>
                      <w:fldChar w:fldCharType="begin"/>
                    </w:r>
                    <w:r>
                      <w:instrText xml:space="preserve"> PAGE  \* MERGEFORMAT </w:instrText>
                    </w:r>
                    <w:r>
                      <w:fldChar w:fldCharType="separate"/>
                    </w:r>
                    <w:r>
                      <w:t>70</w:t>
                    </w:r>
                    <w:r>
                      <w:fldChar w:fldCharType="end"/>
                    </w:r>
                  </w:p>
                </w:txbxContent>
              </v:textbox>
            </v:shape>
          </w:pict>
        </mc:Fallback>
      </mc:AlternateContent>
    </w:r>
    <w:r>
      <w:rPr>
        <w:rFonts w:hint="eastAsia"/>
        <w:lang w:val="en-US"/>
      </w:rPr>
      <w:t>昆明理工大学                                                               中德高路咨询（云南）</w:t>
    </w:r>
    <w:r>
      <w:rPr>
        <w:rFonts w:hint="eastAsia"/>
        <w:lang w:val="en-US" w:eastAsia="zh-CN"/>
      </w:rPr>
      <w:t>股份</w:t>
    </w:r>
    <w:r>
      <w:rPr>
        <w:rFonts w:hint="eastAsia"/>
        <w:lang w:val="en-US"/>
      </w:rPr>
      <w:t>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6794A">
    <w:pPr>
      <w:pStyle w:val="25"/>
      <w:jc w:val="left"/>
    </w:pPr>
    <w:r>
      <w:rPr>
        <w:rFonts w:hint="eastAsia"/>
        <w:lang w:val="en-US" w:eastAsia="zh-CN"/>
      </w:rPr>
      <w:t>昆明理工大学医院2024设备购置—1（二次）</w:t>
    </w:r>
    <w:r>
      <w:rPr>
        <w:rFonts w:hint="eastAsia"/>
        <w:lang w:val="en-US"/>
      </w:rPr>
      <w:t xml:space="preserve">                                                 </w:t>
    </w:r>
    <w:r>
      <w:rPr>
        <w:rFonts w:hint="eastAsia"/>
        <w:lang w:val="en-US" w:eastAsia="zh-CN"/>
      </w:rPr>
      <w:t xml:space="preserve">      </w:t>
    </w:r>
    <w:r>
      <w:rPr>
        <w:rFonts w:hint="eastAsia"/>
        <w:lang w:val="en-US"/>
      </w:rPr>
      <w:t xml:space="preserve">  </w:t>
    </w: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D5E3B">
    <w:pPr>
      <w:pStyle w:val="2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0D423">
    <w:pPr>
      <w:pStyle w:val="25"/>
      <w:jc w:val="left"/>
    </w:pPr>
    <w:r>
      <w:rPr>
        <w:rFonts w:hint="eastAsia"/>
        <w:lang w:val="en-US" w:eastAsia="zh-CN"/>
      </w:rPr>
      <w:t>昆明理工大学医院2024设备购置—1（二次）</w:t>
    </w:r>
    <w:r>
      <w:rPr>
        <w:rFonts w:hint="eastAsia"/>
        <w:lang w:val="en-US"/>
      </w:rPr>
      <w:t xml:space="preserve">                                     </w:t>
    </w:r>
    <w:r>
      <w:rPr>
        <w:rFonts w:hint="eastAsia"/>
        <w:lang w:val="en-US" w:eastAsia="zh-CN"/>
      </w:rPr>
      <w:t xml:space="preserve">                                               </w:t>
    </w:r>
    <w:r>
      <w:rPr>
        <w:rFonts w:hint="eastAsia"/>
        <w:lang w:val="en-US"/>
      </w:rPr>
      <w:t xml:space="preserve">          </w:t>
    </w:r>
    <w:r>
      <w:rPr>
        <w:rFonts w:hint="eastAsia"/>
        <w:lang w:val="en-US" w:eastAsia="zh-CN"/>
      </w:rPr>
      <w:t xml:space="preserve">                 </w:t>
    </w:r>
    <w:r>
      <w:rPr>
        <w:rFonts w:hint="eastAsia"/>
        <w:lang w:val="en-US"/>
      </w:rPr>
      <w:t xml:space="preserve">    </w:t>
    </w:r>
    <w:r>
      <w:rPr>
        <w:rFonts w:hint="eastAsia"/>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E3C07">
    <w:pPr>
      <w:pStyle w:val="25"/>
      <w:jc w:val="left"/>
    </w:pPr>
    <w:r>
      <w:rPr>
        <w:rFonts w:hint="eastAsia"/>
        <w:lang w:val="en-US" w:eastAsia="zh-CN"/>
      </w:rPr>
      <w:t>昆明理工大学医院2024设备购置—1（二次）</w:t>
    </w:r>
    <w:r>
      <w:rPr>
        <w:rFonts w:hint="eastAsia"/>
        <w:lang w:val="en-US"/>
      </w:rPr>
      <w:t xml:space="preserve">                                              </w:t>
    </w:r>
    <w:r>
      <w:rPr>
        <w:rFonts w:hint="eastAsia"/>
        <w:lang w:val="en-US" w:eastAsia="zh-CN"/>
      </w:rPr>
      <w:t xml:space="preserve">                 </w:t>
    </w:r>
    <w:r>
      <w:rPr>
        <w:rFonts w:hint="eastAsia"/>
        <w:lang w:val="en-US"/>
      </w:rPr>
      <w:t xml:space="preserve">    </w:t>
    </w:r>
    <w:r>
      <w:rPr>
        <w:rFonts w:hint="eastAsia"/>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BE7E0">
    <w:pPr>
      <w:pStyle w:val="25"/>
      <w:jc w:val="both"/>
    </w:pPr>
    <w:r>
      <w:rPr>
        <w:rFonts w:hint="eastAsia"/>
      </w:rPr>
      <w:t>昆明理工大学教学实训设备中长期贷款项目购置第二批2</w:t>
    </w:r>
    <w:r>
      <w:rPr>
        <w:rFonts w:hint="eastAsia"/>
        <w:lang w:val="en-US"/>
      </w:rPr>
      <w:t xml:space="preserve">                                                      </w:t>
    </w: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decimal"/>
      <w:lvlText w:val="%1."/>
      <w:legacy w:legacy="1" w:legacySpace="0" w:legacyIndent="425"/>
      <w:lvlJc w:val="left"/>
      <w:pPr>
        <w:ind w:left="1985" w:hanging="425"/>
      </w:pPr>
    </w:lvl>
    <w:lvl w:ilvl="1" w:tentative="0">
      <w:start w:val="1"/>
      <w:numFmt w:val="decimal"/>
      <w:lvlText w:val="%1.%2."/>
      <w:legacy w:legacy="1" w:legacySpace="0" w:legacyIndent="425"/>
      <w:lvlJc w:val="left"/>
      <w:pPr>
        <w:ind w:left="2410" w:hanging="425"/>
      </w:pPr>
    </w:lvl>
    <w:lvl w:ilvl="2" w:tentative="0">
      <w:start w:val="1"/>
      <w:numFmt w:val="decimal"/>
      <w:lvlText w:val="%1.%2.%3."/>
      <w:legacy w:legacy="1" w:legacySpace="0" w:legacyIndent="425"/>
      <w:lvlJc w:val="left"/>
      <w:pPr>
        <w:ind w:left="2835" w:hanging="425"/>
      </w:pPr>
    </w:lvl>
    <w:lvl w:ilvl="3" w:tentative="0">
      <w:start w:val="1"/>
      <w:numFmt w:val="decimal"/>
      <w:lvlText w:val="%1.%2.%3.%4."/>
      <w:legacy w:legacy="1" w:legacySpace="0" w:legacyIndent="425"/>
      <w:lvlJc w:val="left"/>
      <w:pPr>
        <w:ind w:left="3260" w:hanging="425"/>
      </w:pPr>
    </w:lvl>
    <w:lvl w:ilvl="4" w:tentative="0">
      <w:start w:val="1"/>
      <w:numFmt w:val="decimal"/>
      <w:pStyle w:val="7"/>
      <w:lvlText w:val="%1.%2.%3.%4.%5."/>
      <w:legacy w:legacy="1" w:legacySpace="0" w:legacyIndent="425"/>
      <w:lvlJc w:val="left"/>
      <w:pPr>
        <w:ind w:left="3685" w:hanging="425"/>
      </w:pPr>
    </w:lvl>
    <w:lvl w:ilvl="5" w:tentative="0">
      <w:start w:val="1"/>
      <w:numFmt w:val="decimal"/>
      <w:lvlText w:val="%1.%2.%3.%4.%5.%6."/>
      <w:legacy w:legacy="1" w:legacySpace="0" w:legacyIndent="425"/>
      <w:lvlJc w:val="left"/>
      <w:pPr>
        <w:ind w:left="4110" w:hanging="425"/>
      </w:pPr>
    </w:lvl>
    <w:lvl w:ilvl="6" w:tentative="0">
      <w:start w:val="1"/>
      <w:numFmt w:val="decimal"/>
      <w:lvlText w:val="%1.%2.%3.%4.%5.%6.%7."/>
      <w:legacy w:legacy="1" w:legacySpace="0" w:legacyIndent="425"/>
      <w:lvlJc w:val="left"/>
      <w:pPr>
        <w:ind w:left="4535" w:hanging="425"/>
      </w:pPr>
    </w:lvl>
    <w:lvl w:ilvl="7" w:tentative="0">
      <w:start w:val="1"/>
      <w:numFmt w:val="decimal"/>
      <w:lvlText w:val="%1.%2.%3.%4.%5.%6.%7.%8."/>
      <w:legacy w:legacy="1" w:legacySpace="0" w:legacyIndent="425"/>
      <w:lvlJc w:val="left"/>
      <w:pPr>
        <w:ind w:left="4960" w:hanging="425"/>
      </w:pPr>
    </w:lvl>
    <w:lvl w:ilvl="8" w:tentative="0">
      <w:start w:val="1"/>
      <w:numFmt w:val="decimal"/>
      <w:lvlText w:val="%1.%2.%3.%4.%5.%6.%7.%8.%9."/>
      <w:legacy w:legacy="1" w:legacySpace="0" w:legacyIndent="425"/>
      <w:lvlJc w:val="left"/>
      <w:pPr>
        <w:ind w:left="5385" w:hanging="425"/>
      </w:pPr>
    </w:lvl>
  </w:abstractNum>
  <w:abstractNum w:abstractNumId="1">
    <w:nsid w:val="00000001"/>
    <w:multiLevelType w:val="multilevel"/>
    <w:tmpl w:val="00000001"/>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315620E"/>
    <w:multiLevelType w:val="multilevel"/>
    <w:tmpl w:val="0315620E"/>
    <w:lvl w:ilvl="0" w:tentative="0">
      <w:start w:val="1"/>
      <w:numFmt w:val="decimal"/>
      <w:pStyle w:val="9"/>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216BE14E"/>
    <w:multiLevelType w:val="singleLevel"/>
    <w:tmpl w:val="216BE14E"/>
    <w:lvl w:ilvl="0" w:tentative="0">
      <w:start w:val="1"/>
      <w:numFmt w:val="decimal"/>
      <w:lvlText w:val="%1."/>
      <w:lvlJc w:val="left"/>
      <w:pPr>
        <w:tabs>
          <w:tab w:val="left" w:pos="312"/>
        </w:tabs>
      </w:pPr>
    </w:lvl>
  </w:abstractNum>
  <w:abstractNum w:abstractNumId="4">
    <w:nsid w:val="22ECD602"/>
    <w:multiLevelType w:val="singleLevel"/>
    <w:tmpl w:val="22ECD602"/>
    <w:lvl w:ilvl="0" w:tentative="0">
      <w:start w:val="6"/>
      <w:numFmt w:val="decimal"/>
      <w:suff w:val="space"/>
      <w:lvlText w:val="%1."/>
      <w:lvlJc w:val="left"/>
    </w:lvl>
  </w:abstractNum>
  <w:num w:numId="1">
    <w:abstractNumId w:val="2"/>
  </w:num>
  <w:num w:numId="2">
    <w:abstractNumId w:val="0"/>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NotTrackMoves/>
  <w:documentProtection w:enforcement="0"/>
  <w:defaultTabStop w:val="420"/>
  <w:drawingGridHorizontalSpacing w:val="21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wNTg1ZWFjZDNkOTc4ZmQ1MzA0Y2E0NjMwNDMyZmYifQ=="/>
  </w:docVars>
  <w:rsids>
    <w:rsidRoot w:val="002647EC"/>
    <w:rsid w:val="0000012A"/>
    <w:rsid w:val="00000CA6"/>
    <w:rsid w:val="00001B50"/>
    <w:rsid w:val="00001C1C"/>
    <w:rsid w:val="00001F08"/>
    <w:rsid w:val="0000237F"/>
    <w:rsid w:val="00002650"/>
    <w:rsid w:val="00004095"/>
    <w:rsid w:val="0000427F"/>
    <w:rsid w:val="00004999"/>
    <w:rsid w:val="000051B6"/>
    <w:rsid w:val="00006485"/>
    <w:rsid w:val="000066C8"/>
    <w:rsid w:val="000066DD"/>
    <w:rsid w:val="000068C5"/>
    <w:rsid w:val="00010675"/>
    <w:rsid w:val="000109D9"/>
    <w:rsid w:val="00011084"/>
    <w:rsid w:val="00011227"/>
    <w:rsid w:val="000119DD"/>
    <w:rsid w:val="00011E5C"/>
    <w:rsid w:val="00011E67"/>
    <w:rsid w:val="00012B1D"/>
    <w:rsid w:val="00012F71"/>
    <w:rsid w:val="0001376C"/>
    <w:rsid w:val="0001416D"/>
    <w:rsid w:val="000141D8"/>
    <w:rsid w:val="00014797"/>
    <w:rsid w:val="00014AE9"/>
    <w:rsid w:val="00014C89"/>
    <w:rsid w:val="00014CD9"/>
    <w:rsid w:val="00015236"/>
    <w:rsid w:val="000157C2"/>
    <w:rsid w:val="00015C2F"/>
    <w:rsid w:val="00016929"/>
    <w:rsid w:val="00016F09"/>
    <w:rsid w:val="00017176"/>
    <w:rsid w:val="000176C4"/>
    <w:rsid w:val="00017C9C"/>
    <w:rsid w:val="000200A8"/>
    <w:rsid w:val="00020431"/>
    <w:rsid w:val="000207C3"/>
    <w:rsid w:val="0002200A"/>
    <w:rsid w:val="000234A0"/>
    <w:rsid w:val="000236F0"/>
    <w:rsid w:val="000237A5"/>
    <w:rsid w:val="00023860"/>
    <w:rsid w:val="00023FBC"/>
    <w:rsid w:val="0002440B"/>
    <w:rsid w:val="00024852"/>
    <w:rsid w:val="00024FD7"/>
    <w:rsid w:val="000256B5"/>
    <w:rsid w:val="00025BA8"/>
    <w:rsid w:val="00025C37"/>
    <w:rsid w:val="0002629E"/>
    <w:rsid w:val="00026D82"/>
    <w:rsid w:val="0002753A"/>
    <w:rsid w:val="0002758B"/>
    <w:rsid w:val="000276C4"/>
    <w:rsid w:val="00027D06"/>
    <w:rsid w:val="00027E1F"/>
    <w:rsid w:val="00027EB3"/>
    <w:rsid w:val="00030A20"/>
    <w:rsid w:val="00030EBB"/>
    <w:rsid w:val="00032803"/>
    <w:rsid w:val="00032A9F"/>
    <w:rsid w:val="00032D5C"/>
    <w:rsid w:val="0003373E"/>
    <w:rsid w:val="00033E19"/>
    <w:rsid w:val="00035CCA"/>
    <w:rsid w:val="000365A3"/>
    <w:rsid w:val="000366DC"/>
    <w:rsid w:val="000368A0"/>
    <w:rsid w:val="000369F6"/>
    <w:rsid w:val="00036A00"/>
    <w:rsid w:val="000376EF"/>
    <w:rsid w:val="00037B2A"/>
    <w:rsid w:val="00041461"/>
    <w:rsid w:val="00041A2E"/>
    <w:rsid w:val="00041E3C"/>
    <w:rsid w:val="00043330"/>
    <w:rsid w:val="000433EE"/>
    <w:rsid w:val="0004434B"/>
    <w:rsid w:val="000448C0"/>
    <w:rsid w:val="000448E1"/>
    <w:rsid w:val="00044DEA"/>
    <w:rsid w:val="00045276"/>
    <w:rsid w:val="000455BA"/>
    <w:rsid w:val="00045B84"/>
    <w:rsid w:val="00045F15"/>
    <w:rsid w:val="00046568"/>
    <w:rsid w:val="000465D8"/>
    <w:rsid w:val="000465E2"/>
    <w:rsid w:val="00047070"/>
    <w:rsid w:val="00047150"/>
    <w:rsid w:val="0004770F"/>
    <w:rsid w:val="000477EF"/>
    <w:rsid w:val="00047C59"/>
    <w:rsid w:val="00050498"/>
    <w:rsid w:val="000506BE"/>
    <w:rsid w:val="00050AA6"/>
    <w:rsid w:val="000515E0"/>
    <w:rsid w:val="00051680"/>
    <w:rsid w:val="00052222"/>
    <w:rsid w:val="000526EE"/>
    <w:rsid w:val="00052761"/>
    <w:rsid w:val="00053077"/>
    <w:rsid w:val="000536C5"/>
    <w:rsid w:val="00053D47"/>
    <w:rsid w:val="00053E95"/>
    <w:rsid w:val="000548B1"/>
    <w:rsid w:val="000556A6"/>
    <w:rsid w:val="00055CC6"/>
    <w:rsid w:val="0005699F"/>
    <w:rsid w:val="00056BBE"/>
    <w:rsid w:val="00056F2B"/>
    <w:rsid w:val="00057008"/>
    <w:rsid w:val="00060EF9"/>
    <w:rsid w:val="0006120B"/>
    <w:rsid w:val="00061845"/>
    <w:rsid w:val="00062437"/>
    <w:rsid w:val="00063E8B"/>
    <w:rsid w:val="000641EB"/>
    <w:rsid w:val="00064A94"/>
    <w:rsid w:val="00064E95"/>
    <w:rsid w:val="0006552A"/>
    <w:rsid w:val="000657A1"/>
    <w:rsid w:val="000659C6"/>
    <w:rsid w:val="0006609F"/>
    <w:rsid w:val="00066418"/>
    <w:rsid w:val="00066602"/>
    <w:rsid w:val="000668EE"/>
    <w:rsid w:val="000673EB"/>
    <w:rsid w:val="00067422"/>
    <w:rsid w:val="000676B0"/>
    <w:rsid w:val="00070148"/>
    <w:rsid w:val="00070DA0"/>
    <w:rsid w:val="0007111D"/>
    <w:rsid w:val="0007141C"/>
    <w:rsid w:val="00071583"/>
    <w:rsid w:val="00071651"/>
    <w:rsid w:val="00071FE9"/>
    <w:rsid w:val="00072D3F"/>
    <w:rsid w:val="00073018"/>
    <w:rsid w:val="000733C3"/>
    <w:rsid w:val="00073B26"/>
    <w:rsid w:val="00073CE1"/>
    <w:rsid w:val="000742DC"/>
    <w:rsid w:val="000744EB"/>
    <w:rsid w:val="00074796"/>
    <w:rsid w:val="00075DF9"/>
    <w:rsid w:val="00076EDB"/>
    <w:rsid w:val="00076F76"/>
    <w:rsid w:val="00077128"/>
    <w:rsid w:val="00077480"/>
    <w:rsid w:val="0008016B"/>
    <w:rsid w:val="000808F1"/>
    <w:rsid w:val="00080AAB"/>
    <w:rsid w:val="000810EB"/>
    <w:rsid w:val="000816CB"/>
    <w:rsid w:val="000819DC"/>
    <w:rsid w:val="00081D6B"/>
    <w:rsid w:val="000822D0"/>
    <w:rsid w:val="0008239B"/>
    <w:rsid w:val="000823C3"/>
    <w:rsid w:val="00082948"/>
    <w:rsid w:val="000830A4"/>
    <w:rsid w:val="0008332D"/>
    <w:rsid w:val="0008363D"/>
    <w:rsid w:val="00083D32"/>
    <w:rsid w:val="00084B22"/>
    <w:rsid w:val="000851FE"/>
    <w:rsid w:val="0008557E"/>
    <w:rsid w:val="000857BC"/>
    <w:rsid w:val="00085838"/>
    <w:rsid w:val="000859B6"/>
    <w:rsid w:val="00085E11"/>
    <w:rsid w:val="0008609E"/>
    <w:rsid w:val="00086855"/>
    <w:rsid w:val="00086AD3"/>
    <w:rsid w:val="00086E3F"/>
    <w:rsid w:val="00087195"/>
    <w:rsid w:val="00087655"/>
    <w:rsid w:val="00090781"/>
    <w:rsid w:val="0009098F"/>
    <w:rsid w:val="00090BC2"/>
    <w:rsid w:val="000919B4"/>
    <w:rsid w:val="00091F63"/>
    <w:rsid w:val="0009290A"/>
    <w:rsid w:val="00093237"/>
    <w:rsid w:val="00093327"/>
    <w:rsid w:val="0009363A"/>
    <w:rsid w:val="00093EC3"/>
    <w:rsid w:val="00093EE5"/>
    <w:rsid w:val="00094796"/>
    <w:rsid w:val="00094B03"/>
    <w:rsid w:val="000950FB"/>
    <w:rsid w:val="000953B3"/>
    <w:rsid w:val="00095DCF"/>
    <w:rsid w:val="000961BC"/>
    <w:rsid w:val="00096620"/>
    <w:rsid w:val="00096D38"/>
    <w:rsid w:val="000973BC"/>
    <w:rsid w:val="0009757D"/>
    <w:rsid w:val="000A00E6"/>
    <w:rsid w:val="000A0D8F"/>
    <w:rsid w:val="000A10C0"/>
    <w:rsid w:val="000A19E2"/>
    <w:rsid w:val="000A1AD7"/>
    <w:rsid w:val="000A1F81"/>
    <w:rsid w:val="000A1FAF"/>
    <w:rsid w:val="000A26DB"/>
    <w:rsid w:val="000A2B8E"/>
    <w:rsid w:val="000A2B92"/>
    <w:rsid w:val="000A341E"/>
    <w:rsid w:val="000A4219"/>
    <w:rsid w:val="000A421E"/>
    <w:rsid w:val="000A48FE"/>
    <w:rsid w:val="000A4ADA"/>
    <w:rsid w:val="000A51EE"/>
    <w:rsid w:val="000A544B"/>
    <w:rsid w:val="000A5651"/>
    <w:rsid w:val="000A5833"/>
    <w:rsid w:val="000A5BE0"/>
    <w:rsid w:val="000A5C91"/>
    <w:rsid w:val="000A5DB5"/>
    <w:rsid w:val="000A5F55"/>
    <w:rsid w:val="000A6132"/>
    <w:rsid w:val="000A6E75"/>
    <w:rsid w:val="000A7532"/>
    <w:rsid w:val="000A77FB"/>
    <w:rsid w:val="000A7B46"/>
    <w:rsid w:val="000A7CFC"/>
    <w:rsid w:val="000B1AE8"/>
    <w:rsid w:val="000B1EA1"/>
    <w:rsid w:val="000B1F44"/>
    <w:rsid w:val="000B1FBC"/>
    <w:rsid w:val="000B22D4"/>
    <w:rsid w:val="000B27CB"/>
    <w:rsid w:val="000B2B03"/>
    <w:rsid w:val="000B3278"/>
    <w:rsid w:val="000B35B8"/>
    <w:rsid w:val="000B389B"/>
    <w:rsid w:val="000B3D67"/>
    <w:rsid w:val="000B3ED6"/>
    <w:rsid w:val="000B423E"/>
    <w:rsid w:val="000B4313"/>
    <w:rsid w:val="000B4BAC"/>
    <w:rsid w:val="000B4EFD"/>
    <w:rsid w:val="000B50B9"/>
    <w:rsid w:val="000B63F4"/>
    <w:rsid w:val="000B65E5"/>
    <w:rsid w:val="000B6B0F"/>
    <w:rsid w:val="000B6B43"/>
    <w:rsid w:val="000B6B5F"/>
    <w:rsid w:val="000B785D"/>
    <w:rsid w:val="000C0334"/>
    <w:rsid w:val="000C0A0D"/>
    <w:rsid w:val="000C0A9B"/>
    <w:rsid w:val="000C2740"/>
    <w:rsid w:val="000C2E0A"/>
    <w:rsid w:val="000C2F95"/>
    <w:rsid w:val="000C305F"/>
    <w:rsid w:val="000C3B0A"/>
    <w:rsid w:val="000C3F42"/>
    <w:rsid w:val="000C4B7A"/>
    <w:rsid w:val="000C4E6B"/>
    <w:rsid w:val="000C51D4"/>
    <w:rsid w:val="000C582B"/>
    <w:rsid w:val="000C6168"/>
    <w:rsid w:val="000C68E0"/>
    <w:rsid w:val="000C7047"/>
    <w:rsid w:val="000C7531"/>
    <w:rsid w:val="000D0774"/>
    <w:rsid w:val="000D0D23"/>
    <w:rsid w:val="000D1644"/>
    <w:rsid w:val="000D1A07"/>
    <w:rsid w:val="000D2015"/>
    <w:rsid w:val="000D2C10"/>
    <w:rsid w:val="000D3694"/>
    <w:rsid w:val="000D3C42"/>
    <w:rsid w:val="000D43BA"/>
    <w:rsid w:val="000D47FC"/>
    <w:rsid w:val="000D4BAB"/>
    <w:rsid w:val="000D4EC3"/>
    <w:rsid w:val="000D53D3"/>
    <w:rsid w:val="000D5EE1"/>
    <w:rsid w:val="000D6320"/>
    <w:rsid w:val="000D65BC"/>
    <w:rsid w:val="000D72BD"/>
    <w:rsid w:val="000D7530"/>
    <w:rsid w:val="000D7A20"/>
    <w:rsid w:val="000E01B0"/>
    <w:rsid w:val="000E1C45"/>
    <w:rsid w:val="000E1D4A"/>
    <w:rsid w:val="000E1F19"/>
    <w:rsid w:val="000E215B"/>
    <w:rsid w:val="000E3161"/>
    <w:rsid w:val="000E33BC"/>
    <w:rsid w:val="000E3CBC"/>
    <w:rsid w:val="000E437E"/>
    <w:rsid w:val="000E5A3F"/>
    <w:rsid w:val="000E5B08"/>
    <w:rsid w:val="000E60DD"/>
    <w:rsid w:val="000E6152"/>
    <w:rsid w:val="000E6FE4"/>
    <w:rsid w:val="000E744C"/>
    <w:rsid w:val="000E7C26"/>
    <w:rsid w:val="000F030B"/>
    <w:rsid w:val="000F0393"/>
    <w:rsid w:val="000F0A5B"/>
    <w:rsid w:val="000F0F1D"/>
    <w:rsid w:val="000F124F"/>
    <w:rsid w:val="000F1BCB"/>
    <w:rsid w:val="000F2072"/>
    <w:rsid w:val="000F20E4"/>
    <w:rsid w:val="000F23A6"/>
    <w:rsid w:val="000F3184"/>
    <w:rsid w:val="000F35CB"/>
    <w:rsid w:val="000F36A7"/>
    <w:rsid w:val="000F3BB7"/>
    <w:rsid w:val="000F3DE1"/>
    <w:rsid w:val="000F3FEA"/>
    <w:rsid w:val="000F42CA"/>
    <w:rsid w:val="000F5083"/>
    <w:rsid w:val="000F5BD8"/>
    <w:rsid w:val="000F5DC6"/>
    <w:rsid w:val="000F6178"/>
    <w:rsid w:val="000F64A8"/>
    <w:rsid w:val="000F67D4"/>
    <w:rsid w:val="000F6E5C"/>
    <w:rsid w:val="000F7DFC"/>
    <w:rsid w:val="00100550"/>
    <w:rsid w:val="0010091A"/>
    <w:rsid w:val="00100BDB"/>
    <w:rsid w:val="001016A2"/>
    <w:rsid w:val="0010192C"/>
    <w:rsid w:val="0010225C"/>
    <w:rsid w:val="00102489"/>
    <w:rsid w:val="001024FF"/>
    <w:rsid w:val="0010291C"/>
    <w:rsid w:val="00102DDE"/>
    <w:rsid w:val="00102FE7"/>
    <w:rsid w:val="001031EA"/>
    <w:rsid w:val="001033BC"/>
    <w:rsid w:val="001033CB"/>
    <w:rsid w:val="00103485"/>
    <w:rsid w:val="001035B7"/>
    <w:rsid w:val="00103618"/>
    <w:rsid w:val="00103E7A"/>
    <w:rsid w:val="00104697"/>
    <w:rsid w:val="001060F7"/>
    <w:rsid w:val="00106141"/>
    <w:rsid w:val="00106258"/>
    <w:rsid w:val="0010697C"/>
    <w:rsid w:val="00106BCB"/>
    <w:rsid w:val="00107F33"/>
    <w:rsid w:val="00110494"/>
    <w:rsid w:val="0011133A"/>
    <w:rsid w:val="001114B5"/>
    <w:rsid w:val="0011197E"/>
    <w:rsid w:val="00111C17"/>
    <w:rsid w:val="00111E09"/>
    <w:rsid w:val="00111F12"/>
    <w:rsid w:val="001124B7"/>
    <w:rsid w:val="00112B1A"/>
    <w:rsid w:val="00112BDF"/>
    <w:rsid w:val="00113581"/>
    <w:rsid w:val="001135C9"/>
    <w:rsid w:val="00113A32"/>
    <w:rsid w:val="0011463B"/>
    <w:rsid w:val="00114EA8"/>
    <w:rsid w:val="001153A2"/>
    <w:rsid w:val="00115815"/>
    <w:rsid w:val="00116467"/>
    <w:rsid w:val="00116825"/>
    <w:rsid w:val="00117925"/>
    <w:rsid w:val="00117A59"/>
    <w:rsid w:val="00117ACE"/>
    <w:rsid w:val="00120209"/>
    <w:rsid w:val="0012070E"/>
    <w:rsid w:val="00120FD4"/>
    <w:rsid w:val="001217E2"/>
    <w:rsid w:val="00121A67"/>
    <w:rsid w:val="00122D06"/>
    <w:rsid w:val="00122D6D"/>
    <w:rsid w:val="001233F0"/>
    <w:rsid w:val="00124134"/>
    <w:rsid w:val="00124815"/>
    <w:rsid w:val="00124C5A"/>
    <w:rsid w:val="001259BE"/>
    <w:rsid w:val="00126C2D"/>
    <w:rsid w:val="00126CF4"/>
    <w:rsid w:val="00126F05"/>
    <w:rsid w:val="0012736F"/>
    <w:rsid w:val="00127647"/>
    <w:rsid w:val="00127E1E"/>
    <w:rsid w:val="0013055D"/>
    <w:rsid w:val="001306B7"/>
    <w:rsid w:val="00130E16"/>
    <w:rsid w:val="001311B6"/>
    <w:rsid w:val="00132F8A"/>
    <w:rsid w:val="00133005"/>
    <w:rsid w:val="0013373C"/>
    <w:rsid w:val="00133DDC"/>
    <w:rsid w:val="001343EC"/>
    <w:rsid w:val="00134693"/>
    <w:rsid w:val="0013493F"/>
    <w:rsid w:val="00134C45"/>
    <w:rsid w:val="001358F1"/>
    <w:rsid w:val="001360CB"/>
    <w:rsid w:val="001363A5"/>
    <w:rsid w:val="001364B3"/>
    <w:rsid w:val="00136D89"/>
    <w:rsid w:val="001401A2"/>
    <w:rsid w:val="001417A2"/>
    <w:rsid w:val="001420A7"/>
    <w:rsid w:val="001422BE"/>
    <w:rsid w:val="001425DB"/>
    <w:rsid w:val="001425FB"/>
    <w:rsid w:val="00142B9B"/>
    <w:rsid w:val="00142D3D"/>
    <w:rsid w:val="00143B58"/>
    <w:rsid w:val="00143D9E"/>
    <w:rsid w:val="00144004"/>
    <w:rsid w:val="00144CBE"/>
    <w:rsid w:val="001455AD"/>
    <w:rsid w:val="00145612"/>
    <w:rsid w:val="001466EE"/>
    <w:rsid w:val="001467D4"/>
    <w:rsid w:val="00146FD3"/>
    <w:rsid w:val="00147265"/>
    <w:rsid w:val="00147C0C"/>
    <w:rsid w:val="00147E24"/>
    <w:rsid w:val="00147E88"/>
    <w:rsid w:val="001505AF"/>
    <w:rsid w:val="0015145E"/>
    <w:rsid w:val="00151BB9"/>
    <w:rsid w:val="00151C18"/>
    <w:rsid w:val="001522B8"/>
    <w:rsid w:val="001522DE"/>
    <w:rsid w:val="00152310"/>
    <w:rsid w:val="0015245F"/>
    <w:rsid w:val="00152C81"/>
    <w:rsid w:val="00153A72"/>
    <w:rsid w:val="00153D25"/>
    <w:rsid w:val="0015416A"/>
    <w:rsid w:val="00154A59"/>
    <w:rsid w:val="001552AA"/>
    <w:rsid w:val="0015531F"/>
    <w:rsid w:val="00155605"/>
    <w:rsid w:val="001562E1"/>
    <w:rsid w:val="0015704D"/>
    <w:rsid w:val="00157BBB"/>
    <w:rsid w:val="001600AF"/>
    <w:rsid w:val="001600B6"/>
    <w:rsid w:val="00160393"/>
    <w:rsid w:val="001607DC"/>
    <w:rsid w:val="00160891"/>
    <w:rsid w:val="001625A6"/>
    <w:rsid w:val="0016274D"/>
    <w:rsid w:val="001630E2"/>
    <w:rsid w:val="00163195"/>
    <w:rsid w:val="0016398C"/>
    <w:rsid w:val="001642CA"/>
    <w:rsid w:val="001646F4"/>
    <w:rsid w:val="0016488C"/>
    <w:rsid w:val="001649EF"/>
    <w:rsid w:val="00164B80"/>
    <w:rsid w:val="00164D7D"/>
    <w:rsid w:val="00165744"/>
    <w:rsid w:val="00165D0F"/>
    <w:rsid w:val="00165F94"/>
    <w:rsid w:val="00166335"/>
    <w:rsid w:val="0016646E"/>
    <w:rsid w:val="00166EE5"/>
    <w:rsid w:val="00167358"/>
    <w:rsid w:val="00167E7D"/>
    <w:rsid w:val="001702D2"/>
    <w:rsid w:val="00170CD4"/>
    <w:rsid w:val="00170F2C"/>
    <w:rsid w:val="0017191F"/>
    <w:rsid w:val="00171938"/>
    <w:rsid w:val="001719E1"/>
    <w:rsid w:val="00171F7E"/>
    <w:rsid w:val="0017242D"/>
    <w:rsid w:val="001724D3"/>
    <w:rsid w:val="00172DFD"/>
    <w:rsid w:val="00172E29"/>
    <w:rsid w:val="0017335D"/>
    <w:rsid w:val="001739CF"/>
    <w:rsid w:val="001739D1"/>
    <w:rsid w:val="001749F9"/>
    <w:rsid w:val="0017504F"/>
    <w:rsid w:val="001752C0"/>
    <w:rsid w:val="001754D7"/>
    <w:rsid w:val="00175B28"/>
    <w:rsid w:val="00175C85"/>
    <w:rsid w:val="00175D05"/>
    <w:rsid w:val="001764E1"/>
    <w:rsid w:val="001767B8"/>
    <w:rsid w:val="001767F1"/>
    <w:rsid w:val="00176CD4"/>
    <w:rsid w:val="00176E89"/>
    <w:rsid w:val="00176EDA"/>
    <w:rsid w:val="00177E06"/>
    <w:rsid w:val="00180190"/>
    <w:rsid w:val="00180B5D"/>
    <w:rsid w:val="00182000"/>
    <w:rsid w:val="00182411"/>
    <w:rsid w:val="00182AAF"/>
    <w:rsid w:val="00182DE7"/>
    <w:rsid w:val="00183E82"/>
    <w:rsid w:val="001840DA"/>
    <w:rsid w:val="001842A0"/>
    <w:rsid w:val="001846DF"/>
    <w:rsid w:val="00185B33"/>
    <w:rsid w:val="00185E76"/>
    <w:rsid w:val="00186590"/>
    <w:rsid w:val="001866E0"/>
    <w:rsid w:val="00190255"/>
    <w:rsid w:val="00190BCB"/>
    <w:rsid w:val="00191A77"/>
    <w:rsid w:val="00192197"/>
    <w:rsid w:val="00192AB6"/>
    <w:rsid w:val="0019428E"/>
    <w:rsid w:val="00195502"/>
    <w:rsid w:val="0019630B"/>
    <w:rsid w:val="001965D4"/>
    <w:rsid w:val="0019757C"/>
    <w:rsid w:val="00197D27"/>
    <w:rsid w:val="001A0230"/>
    <w:rsid w:val="001A0C61"/>
    <w:rsid w:val="001A226D"/>
    <w:rsid w:val="001A2362"/>
    <w:rsid w:val="001A269D"/>
    <w:rsid w:val="001A3311"/>
    <w:rsid w:val="001A40EF"/>
    <w:rsid w:val="001A5085"/>
    <w:rsid w:val="001A572C"/>
    <w:rsid w:val="001A5A2E"/>
    <w:rsid w:val="001A68F9"/>
    <w:rsid w:val="001A6C44"/>
    <w:rsid w:val="001A78A3"/>
    <w:rsid w:val="001A7CC8"/>
    <w:rsid w:val="001A7FF4"/>
    <w:rsid w:val="001B011F"/>
    <w:rsid w:val="001B0CCE"/>
    <w:rsid w:val="001B1707"/>
    <w:rsid w:val="001B23EE"/>
    <w:rsid w:val="001B2EBB"/>
    <w:rsid w:val="001B3442"/>
    <w:rsid w:val="001B35F9"/>
    <w:rsid w:val="001B3B3E"/>
    <w:rsid w:val="001B45DB"/>
    <w:rsid w:val="001B489A"/>
    <w:rsid w:val="001B4903"/>
    <w:rsid w:val="001B4996"/>
    <w:rsid w:val="001B5A2D"/>
    <w:rsid w:val="001B65BF"/>
    <w:rsid w:val="001B67DB"/>
    <w:rsid w:val="001B68BE"/>
    <w:rsid w:val="001B6E4C"/>
    <w:rsid w:val="001B6E69"/>
    <w:rsid w:val="001B6F30"/>
    <w:rsid w:val="001B7114"/>
    <w:rsid w:val="001B75E2"/>
    <w:rsid w:val="001B7701"/>
    <w:rsid w:val="001B7916"/>
    <w:rsid w:val="001B7BBE"/>
    <w:rsid w:val="001B7D74"/>
    <w:rsid w:val="001C05B9"/>
    <w:rsid w:val="001C1699"/>
    <w:rsid w:val="001C1ECE"/>
    <w:rsid w:val="001C20BF"/>
    <w:rsid w:val="001C2692"/>
    <w:rsid w:val="001C2DFC"/>
    <w:rsid w:val="001C2EFB"/>
    <w:rsid w:val="001C3465"/>
    <w:rsid w:val="001C3F46"/>
    <w:rsid w:val="001C42F9"/>
    <w:rsid w:val="001C43D6"/>
    <w:rsid w:val="001C530D"/>
    <w:rsid w:val="001C5312"/>
    <w:rsid w:val="001C538F"/>
    <w:rsid w:val="001C5E48"/>
    <w:rsid w:val="001C6094"/>
    <w:rsid w:val="001C6969"/>
    <w:rsid w:val="001C6C59"/>
    <w:rsid w:val="001D03C2"/>
    <w:rsid w:val="001D04D4"/>
    <w:rsid w:val="001D0F0B"/>
    <w:rsid w:val="001D1EBF"/>
    <w:rsid w:val="001D243E"/>
    <w:rsid w:val="001D27AE"/>
    <w:rsid w:val="001D4EFA"/>
    <w:rsid w:val="001D51B9"/>
    <w:rsid w:val="001D5C56"/>
    <w:rsid w:val="001D6321"/>
    <w:rsid w:val="001D64F6"/>
    <w:rsid w:val="001D6C5C"/>
    <w:rsid w:val="001D6C68"/>
    <w:rsid w:val="001D75E6"/>
    <w:rsid w:val="001D7CE2"/>
    <w:rsid w:val="001E0194"/>
    <w:rsid w:val="001E081B"/>
    <w:rsid w:val="001E11CF"/>
    <w:rsid w:val="001E131A"/>
    <w:rsid w:val="001E1624"/>
    <w:rsid w:val="001E1699"/>
    <w:rsid w:val="001E1853"/>
    <w:rsid w:val="001E1B1A"/>
    <w:rsid w:val="001E1FE6"/>
    <w:rsid w:val="001E216A"/>
    <w:rsid w:val="001E2B9F"/>
    <w:rsid w:val="001E3616"/>
    <w:rsid w:val="001E3979"/>
    <w:rsid w:val="001E3A0F"/>
    <w:rsid w:val="001E3FA9"/>
    <w:rsid w:val="001E403B"/>
    <w:rsid w:val="001E4081"/>
    <w:rsid w:val="001E41B6"/>
    <w:rsid w:val="001E5088"/>
    <w:rsid w:val="001E752A"/>
    <w:rsid w:val="001E7BAA"/>
    <w:rsid w:val="001E7DA1"/>
    <w:rsid w:val="001F0091"/>
    <w:rsid w:val="001F0D2C"/>
    <w:rsid w:val="001F1661"/>
    <w:rsid w:val="001F1C4A"/>
    <w:rsid w:val="001F2B87"/>
    <w:rsid w:val="001F2E9C"/>
    <w:rsid w:val="001F34E8"/>
    <w:rsid w:val="001F35B6"/>
    <w:rsid w:val="001F3787"/>
    <w:rsid w:val="001F37B9"/>
    <w:rsid w:val="001F4C11"/>
    <w:rsid w:val="001F51F1"/>
    <w:rsid w:val="001F5878"/>
    <w:rsid w:val="001F595B"/>
    <w:rsid w:val="001F5AE8"/>
    <w:rsid w:val="001F7A37"/>
    <w:rsid w:val="001F7D09"/>
    <w:rsid w:val="001F7D7B"/>
    <w:rsid w:val="00200F59"/>
    <w:rsid w:val="0020152B"/>
    <w:rsid w:val="002015A2"/>
    <w:rsid w:val="002020DE"/>
    <w:rsid w:val="00203111"/>
    <w:rsid w:val="00204225"/>
    <w:rsid w:val="002043FD"/>
    <w:rsid w:val="002044EE"/>
    <w:rsid w:val="00204B13"/>
    <w:rsid w:val="00205E97"/>
    <w:rsid w:val="00205F56"/>
    <w:rsid w:val="0020623C"/>
    <w:rsid w:val="0020636E"/>
    <w:rsid w:val="0020645E"/>
    <w:rsid w:val="00206747"/>
    <w:rsid w:val="0020679B"/>
    <w:rsid w:val="00206B78"/>
    <w:rsid w:val="00206BF1"/>
    <w:rsid w:val="00206F4A"/>
    <w:rsid w:val="0020702C"/>
    <w:rsid w:val="00207295"/>
    <w:rsid w:val="002078CE"/>
    <w:rsid w:val="002108EC"/>
    <w:rsid w:val="00211484"/>
    <w:rsid w:val="0021167D"/>
    <w:rsid w:val="00212E65"/>
    <w:rsid w:val="00213077"/>
    <w:rsid w:val="00213463"/>
    <w:rsid w:val="0021367A"/>
    <w:rsid w:val="00214788"/>
    <w:rsid w:val="00215143"/>
    <w:rsid w:val="00215284"/>
    <w:rsid w:val="002159F3"/>
    <w:rsid w:val="002169E5"/>
    <w:rsid w:val="00216C1F"/>
    <w:rsid w:val="00220A8F"/>
    <w:rsid w:val="00221022"/>
    <w:rsid w:val="0022186B"/>
    <w:rsid w:val="00222200"/>
    <w:rsid w:val="00222807"/>
    <w:rsid w:val="0022368A"/>
    <w:rsid w:val="00223733"/>
    <w:rsid w:val="00223A2B"/>
    <w:rsid w:val="00223A35"/>
    <w:rsid w:val="00223EA4"/>
    <w:rsid w:val="00225D7C"/>
    <w:rsid w:val="00225FC4"/>
    <w:rsid w:val="002263B5"/>
    <w:rsid w:val="00226F92"/>
    <w:rsid w:val="0022703B"/>
    <w:rsid w:val="00227C08"/>
    <w:rsid w:val="00227E18"/>
    <w:rsid w:val="002308E2"/>
    <w:rsid w:val="00230AE0"/>
    <w:rsid w:val="00230B9D"/>
    <w:rsid w:val="0023112D"/>
    <w:rsid w:val="00231251"/>
    <w:rsid w:val="002318D1"/>
    <w:rsid w:val="00231A17"/>
    <w:rsid w:val="002323B4"/>
    <w:rsid w:val="00233629"/>
    <w:rsid w:val="00233788"/>
    <w:rsid w:val="00233BD5"/>
    <w:rsid w:val="00233C4B"/>
    <w:rsid w:val="002348E3"/>
    <w:rsid w:val="002349D1"/>
    <w:rsid w:val="00235640"/>
    <w:rsid w:val="00236265"/>
    <w:rsid w:val="00236392"/>
    <w:rsid w:val="0023639D"/>
    <w:rsid w:val="00236D14"/>
    <w:rsid w:val="00237364"/>
    <w:rsid w:val="0024035E"/>
    <w:rsid w:val="00240D16"/>
    <w:rsid w:val="00241739"/>
    <w:rsid w:val="00243972"/>
    <w:rsid w:val="002439FC"/>
    <w:rsid w:val="00244688"/>
    <w:rsid w:val="00244A17"/>
    <w:rsid w:val="0024640F"/>
    <w:rsid w:val="002466D5"/>
    <w:rsid w:val="00246C81"/>
    <w:rsid w:val="00247607"/>
    <w:rsid w:val="00247AF9"/>
    <w:rsid w:val="00250B3B"/>
    <w:rsid w:val="0025103F"/>
    <w:rsid w:val="00251250"/>
    <w:rsid w:val="00252049"/>
    <w:rsid w:val="00252184"/>
    <w:rsid w:val="00252E23"/>
    <w:rsid w:val="00254B17"/>
    <w:rsid w:val="00254F0A"/>
    <w:rsid w:val="00255B7B"/>
    <w:rsid w:val="00256055"/>
    <w:rsid w:val="00256194"/>
    <w:rsid w:val="0025696F"/>
    <w:rsid w:val="002573DC"/>
    <w:rsid w:val="00257AE0"/>
    <w:rsid w:val="0026028D"/>
    <w:rsid w:val="002606CB"/>
    <w:rsid w:val="0026179B"/>
    <w:rsid w:val="00262DBF"/>
    <w:rsid w:val="00263078"/>
    <w:rsid w:val="002639EC"/>
    <w:rsid w:val="002647EC"/>
    <w:rsid w:val="0026489D"/>
    <w:rsid w:val="00264E21"/>
    <w:rsid w:val="00265930"/>
    <w:rsid w:val="00265941"/>
    <w:rsid w:val="002663C6"/>
    <w:rsid w:val="00266958"/>
    <w:rsid w:val="00267827"/>
    <w:rsid w:val="002703CB"/>
    <w:rsid w:val="002704B9"/>
    <w:rsid w:val="002709E0"/>
    <w:rsid w:val="0027139E"/>
    <w:rsid w:val="0027144A"/>
    <w:rsid w:val="002716E8"/>
    <w:rsid w:val="00271EB0"/>
    <w:rsid w:val="0027208C"/>
    <w:rsid w:val="00272272"/>
    <w:rsid w:val="002738B7"/>
    <w:rsid w:val="00273ABD"/>
    <w:rsid w:val="00273C90"/>
    <w:rsid w:val="00274B4E"/>
    <w:rsid w:val="00275DEF"/>
    <w:rsid w:val="00276630"/>
    <w:rsid w:val="0027696C"/>
    <w:rsid w:val="00277147"/>
    <w:rsid w:val="00277949"/>
    <w:rsid w:val="00277A62"/>
    <w:rsid w:val="00280DA8"/>
    <w:rsid w:val="00280F67"/>
    <w:rsid w:val="00281050"/>
    <w:rsid w:val="002817AF"/>
    <w:rsid w:val="002817DD"/>
    <w:rsid w:val="00281957"/>
    <w:rsid w:val="00281C4F"/>
    <w:rsid w:val="00282407"/>
    <w:rsid w:val="00282574"/>
    <w:rsid w:val="00282CB1"/>
    <w:rsid w:val="00282E92"/>
    <w:rsid w:val="00283782"/>
    <w:rsid w:val="002839C0"/>
    <w:rsid w:val="00283BE6"/>
    <w:rsid w:val="00283F99"/>
    <w:rsid w:val="002840F9"/>
    <w:rsid w:val="00285373"/>
    <w:rsid w:val="00286472"/>
    <w:rsid w:val="002870B6"/>
    <w:rsid w:val="002878A4"/>
    <w:rsid w:val="00287AFC"/>
    <w:rsid w:val="00290204"/>
    <w:rsid w:val="0029024F"/>
    <w:rsid w:val="0029051E"/>
    <w:rsid w:val="002906DD"/>
    <w:rsid w:val="0029086D"/>
    <w:rsid w:val="0029099B"/>
    <w:rsid w:val="00290E22"/>
    <w:rsid w:val="00291019"/>
    <w:rsid w:val="0029101D"/>
    <w:rsid w:val="00291739"/>
    <w:rsid w:val="00292448"/>
    <w:rsid w:val="00292C70"/>
    <w:rsid w:val="0029365F"/>
    <w:rsid w:val="00293A98"/>
    <w:rsid w:val="00295627"/>
    <w:rsid w:val="00295986"/>
    <w:rsid w:val="0029684D"/>
    <w:rsid w:val="00296FC9"/>
    <w:rsid w:val="002A0023"/>
    <w:rsid w:val="002A07D0"/>
    <w:rsid w:val="002A0E88"/>
    <w:rsid w:val="002A1026"/>
    <w:rsid w:val="002A1642"/>
    <w:rsid w:val="002A1876"/>
    <w:rsid w:val="002A192A"/>
    <w:rsid w:val="002A2150"/>
    <w:rsid w:val="002A2242"/>
    <w:rsid w:val="002A24C3"/>
    <w:rsid w:val="002A27D6"/>
    <w:rsid w:val="002A30B2"/>
    <w:rsid w:val="002A31DC"/>
    <w:rsid w:val="002A34CC"/>
    <w:rsid w:val="002A3BBE"/>
    <w:rsid w:val="002A3C21"/>
    <w:rsid w:val="002A3D1A"/>
    <w:rsid w:val="002A4274"/>
    <w:rsid w:val="002A45F7"/>
    <w:rsid w:val="002A48E7"/>
    <w:rsid w:val="002A4AD3"/>
    <w:rsid w:val="002A4FE3"/>
    <w:rsid w:val="002A50C5"/>
    <w:rsid w:val="002A651D"/>
    <w:rsid w:val="002A6D5A"/>
    <w:rsid w:val="002A6E66"/>
    <w:rsid w:val="002A72C3"/>
    <w:rsid w:val="002A7799"/>
    <w:rsid w:val="002B0621"/>
    <w:rsid w:val="002B0DBD"/>
    <w:rsid w:val="002B10ED"/>
    <w:rsid w:val="002B1267"/>
    <w:rsid w:val="002B249C"/>
    <w:rsid w:val="002B2502"/>
    <w:rsid w:val="002B2634"/>
    <w:rsid w:val="002B2689"/>
    <w:rsid w:val="002B28F5"/>
    <w:rsid w:val="002B294F"/>
    <w:rsid w:val="002B2F8A"/>
    <w:rsid w:val="002B3036"/>
    <w:rsid w:val="002B315D"/>
    <w:rsid w:val="002B3D91"/>
    <w:rsid w:val="002B4198"/>
    <w:rsid w:val="002B42C5"/>
    <w:rsid w:val="002B45AF"/>
    <w:rsid w:val="002B460F"/>
    <w:rsid w:val="002B54C4"/>
    <w:rsid w:val="002B6118"/>
    <w:rsid w:val="002B6CAF"/>
    <w:rsid w:val="002B6D8E"/>
    <w:rsid w:val="002B7062"/>
    <w:rsid w:val="002B7180"/>
    <w:rsid w:val="002B7ED1"/>
    <w:rsid w:val="002C07B7"/>
    <w:rsid w:val="002C07EA"/>
    <w:rsid w:val="002C0A8D"/>
    <w:rsid w:val="002C1BD4"/>
    <w:rsid w:val="002C2265"/>
    <w:rsid w:val="002C2DF3"/>
    <w:rsid w:val="002C2E33"/>
    <w:rsid w:val="002C3415"/>
    <w:rsid w:val="002C46D9"/>
    <w:rsid w:val="002C6E87"/>
    <w:rsid w:val="002C776C"/>
    <w:rsid w:val="002D037E"/>
    <w:rsid w:val="002D1165"/>
    <w:rsid w:val="002D1606"/>
    <w:rsid w:val="002D16C5"/>
    <w:rsid w:val="002D1B45"/>
    <w:rsid w:val="002D2261"/>
    <w:rsid w:val="002D2C69"/>
    <w:rsid w:val="002D46A5"/>
    <w:rsid w:val="002D5AC0"/>
    <w:rsid w:val="002D6816"/>
    <w:rsid w:val="002D6A05"/>
    <w:rsid w:val="002D6C40"/>
    <w:rsid w:val="002D6DC0"/>
    <w:rsid w:val="002D6DFE"/>
    <w:rsid w:val="002D705B"/>
    <w:rsid w:val="002D7B65"/>
    <w:rsid w:val="002E071F"/>
    <w:rsid w:val="002E0DE7"/>
    <w:rsid w:val="002E1EBA"/>
    <w:rsid w:val="002E2B5B"/>
    <w:rsid w:val="002E39CD"/>
    <w:rsid w:val="002E3C9D"/>
    <w:rsid w:val="002E3E61"/>
    <w:rsid w:val="002E455B"/>
    <w:rsid w:val="002E4763"/>
    <w:rsid w:val="002E4D17"/>
    <w:rsid w:val="002E53E8"/>
    <w:rsid w:val="002E5B80"/>
    <w:rsid w:val="002E5BD4"/>
    <w:rsid w:val="002E617A"/>
    <w:rsid w:val="002E6413"/>
    <w:rsid w:val="002E6DFE"/>
    <w:rsid w:val="002E7555"/>
    <w:rsid w:val="002E79EA"/>
    <w:rsid w:val="002E7CAD"/>
    <w:rsid w:val="002F005C"/>
    <w:rsid w:val="002F0FBC"/>
    <w:rsid w:val="002F182C"/>
    <w:rsid w:val="002F2E4F"/>
    <w:rsid w:val="002F2F42"/>
    <w:rsid w:val="002F414E"/>
    <w:rsid w:val="002F4C49"/>
    <w:rsid w:val="002F5B92"/>
    <w:rsid w:val="002F5E1F"/>
    <w:rsid w:val="002F724E"/>
    <w:rsid w:val="002F7BB3"/>
    <w:rsid w:val="003007E3"/>
    <w:rsid w:val="003019FB"/>
    <w:rsid w:val="00301E78"/>
    <w:rsid w:val="003022B2"/>
    <w:rsid w:val="00302371"/>
    <w:rsid w:val="0030246D"/>
    <w:rsid w:val="003028B2"/>
    <w:rsid w:val="003029B2"/>
    <w:rsid w:val="00302ABE"/>
    <w:rsid w:val="0030380C"/>
    <w:rsid w:val="00303A69"/>
    <w:rsid w:val="00304272"/>
    <w:rsid w:val="00304591"/>
    <w:rsid w:val="00305835"/>
    <w:rsid w:val="00305848"/>
    <w:rsid w:val="003058EC"/>
    <w:rsid w:val="00305F69"/>
    <w:rsid w:val="00305FCA"/>
    <w:rsid w:val="003061D2"/>
    <w:rsid w:val="0030629E"/>
    <w:rsid w:val="00306621"/>
    <w:rsid w:val="00306821"/>
    <w:rsid w:val="00306C2B"/>
    <w:rsid w:val="003074BF"/>
    <w:rsid w:val="00307B16"/>
    <w:rsid w:val="00307B64"/>
    <w:rsid w:val="003102D0"/>
    <w:rsid w:val="003108F8"/>
    <w:rsid w:val="00310932"/>
    <w:rsid w:val="0031097A"/>
    <w:rsid w:val="00311125"/>
    <w:rsid w:val="0031168B"/>
    <w:rsid w:val="00311D9F"/>
    <w:rsid w:val="00312DA0"/>
    <w:rsid w:val="00312E5E"/>
    <w:rsid w:val="00313024"/>
    <w:rsid w:val="00314F35"/>
    <w:rsid w:val="003150CE"/>
    <w:rsid w:val="00315807"/>
    <w:rsid w:val="00315DEA"/>
    <w:rsid w:val="00315FCC"/>
    <w:rsid w:val="00317666"/>
    <w:rsid w:val="003179E3"/>
    <w:rsid w:val="00317C29"/>
    <w:rsid w:val="0032119E"/>
    <w:rsid w:val="003229BA"/>
    <w:rsid w:val="00322D14"/>
    <w:rsid w:val="00324DBF"/>
    <w:rsid w:val="00324F5E"/>
    <w:rsid w:val="003254FF"/>
    <w:rsid w:val="00325C1C"/>
    <w:rsid w:val="00325C6F"/>
    <w:rsid w:val="00326E63"/>
    <w:rsid w:val="0032782C"/>
    <w:rsid w:val="003278BB"/>
    <w:rsid w:val="00327C18"/>
    <w:rsid w:val="0033079D"/>
    <w:rsid w:val="00330CD4"/>
    <w:rsid w:val="00331451"/>
    <w:rsid w:val="003315D0"/>
    <w:rsid w:val="00331640"/>
    <w:rsid w:val="00331CDF"/>
    <w:rsid w:val="00332004"/>
    <w:rsid w:val="00332422"/>
    <w:rsid w:val="00332904"/>
    <w:rsid w:val="00332A16"/>
    <w:rsid w:val="00333107"/>
    <w:rsid w:val="003337E7"/>
    <w:rsid w:val="0033395A"/>
    <w:rsid w:val="00334496"/>
    <w:rsid w:val="00334ABC"/>
    <w:rsid w:val="00334B99"/>
    <w:rsid w:val="00334C19"/>
    <w:rsid w:val="00334C54"/>
    <w:rsid w:val="003350F7"/>
    <w:rsid w:val="003357D4"/>
    <w:rsid w:val="003359F4"/>
    <w:rsid w:val="0033648B"/>
    <w:rsid w:val="00337265"/>
    <w:rsid w:val="0033744E"/>
    <w:rsid w:val="0034097F"/>
    <w:rsid w:val="0034099B"/>
    <w:rsid w:val="00340A36"/>
    <w:rsid w:val="00340A60"/>
    <w:rsid w:val="00340D4E"/>
    <w:rsid w:val="00340FEB"/>
    <w:rsid w:val="0034120E"/>
    <w:rsid w:val="0034164D"/>
    <w:rsid w:val="00341724"/>
    <w:rsid w:val="00342B25"/>
    <w:rsid w:val="00343032"/>
    <w:rsid w:val="00343200"/>
    <w:rsid w:val="00343530"/>
    <w:rsid w:val="00343AE4"/>
    <w:rsid w:val="00343CB7"/>
    <w:rsid w:val="00344119"/>
    <w:rsid w:val="003452B6"/>
    <w:rsid w:val="00345C55"/>
    <w:rsid w:val="00346DCC"/>
    <w:rsid w:val="00347212"/>
    <w:rsid w:val="003479CF"/>
    <w:rsid w:val="00347DF9"/>
    <w:rsid w:val="00347FB6"/>
    <w:rsid w:val="003510E8"/>
    <w:rsid w:val="00352C48"/>
    <w:rsid w:val="0035431F"/>
    <w:rsid w:val="00354CBC"/>
    <w:rsid w:val="003565E5"/>
    <w:rsid w:val="00356993"/>
    <w:rsid w:val="003572AC"/>
    <w:rsid w:val="00357942"/>
    <w:rsid w:val="003579D8"/>
    <w:rsid w:val="0036084F"/>
    <w:rsid w:val="003613C6"/>
    <w:rsid w:val="00361C44"/>
    <w:rsid w:val="00362AC7"/>
    <w:rsid w:val="00362C99"/>
    <w:rsid w:val="003642A2"/>
    <w:rsid w:val="00364A07"/>
    <w:rsid w:val="00364CBF"/>
    <w:rsid w:val="003650A3"/>
    <w:rsid w:val="0036543A"/>
    <w:rsid w:val="00365552"/>
    <w:rsid w:val="0036563E"/>
    <w:rsid w:val="00365812"/>
    <w:rsid w:val="00365D00"/>
    <w:rsid w:val="00365D91"/>
    <w:rsid w:val="00366B48"/>
    <w:rsid w:val="00366CFD"/>
    <w:rsid w:val="00370139"/>
    <w:rsid w:val="00370331"/>
    <w:rsid w:val="00371E81"/>
    <w:rsid w:val="003722C1"/>
    <w:rsid w:val="00373B70"/>
    <w:rsid w:val="003742C0"/>
    <w:rsid w:val="003747DA"/>
    <w:rsid w:val="0037516B"/>
    <w:rsid w:val="00375383"/>
    <w:rsid w:val="003755B3"/>
    <w:rsid w:val="0037685E"/>
    <w:rsid w:val="003769DF"/>
    <w:rsid w:val="00377ED2"/>
    <w:rsid w:val="00377F53"/>
    <w:rsid w:val="00381025"/>
    <w:rsid w:val="003810CC"/>
    <w:rsid w:val="00381289"/>
    <w:rsid w:val="0038219A"/>
    <w:rsid w:val="003821EB"/>
    <w:rsid w:val="00382732"/>
    <w:rsid w:val="00382AA5"/>
    <w:rsid w:val="00382E39"/>
    <w:rsid w:val="00383986"/>
    <w:rsid w:val="00383988"/>
    <w:rsid w:val="00383CFB"/>
    <w:rsid w:val="00383E21"/>
    <w:rsid w:val="00383F20"/>
    <w:rsid w:val="00384BB4"/>
    <w:rsid w:val="00384E1E"/>
    <w:rsid w:val="00384EB8"/>
    <w:rsid w:val="00385151"/>
    <w:rsid w:val="00385907"/>
    <w:rsid w:val="00385D14"/>
    <w:rsid w:val="00386211"/>
    <w:rsid w:val="0038693D"/>
    <w:rsid w:val="00386CD7"/>
    <w:rsid w:val="00387214"/>
    <w:rsid w:val="003874F8"/>
    <w:rsid w:val="00387558"/>
    <w:rsid w:val="00387625"/>
    <w:rsid w:val="00387AAD"/>
    <w:rsid w:val="00387FA6"/>
    <w:rsid w:val="0039025C"/>
    <w:rsid w:val="0039097A"/>
    <w:rsid w:val="00391055"/>
    <w:rsid w:val="0039187A"/>
    <w:rsid w:val="00392020"/>
    <w:rsid w:val="00392A9A"/>
    <w:rsid w:val="003933F2"/>
    <w:rsid w:val="00393AA3"/>
    <w:rsid w:val="00393ADE"/>
    <w:rsid w:val="00393F54"/>
    <w:rsid w:val="0039484C"/>
    <w:rsid w:val="00394A5D"/>
    <w:rsid w:val="0039577B"/>
    <w:rsid w:val="00396BE4"/>
    <w:rsid w:val="00397140"/>
    <w:rsid w:val="00397A8D"/>
    <w:rsid w:val="003A07BA"/>
    <w:rsid w:val="003A0DF4"/>
    <w:rsid w:val="003A0F5F"/>
    <w:rsid w:val="003A10A4"/>
    <w:rsid w:val="003A133F"/>
    <w:rsid w:val="003A1656"/>
    <w:rsid w:val="003A2BFF"/>
    <w:rsid w:val="003A2CE0"/>
    <w:rsid w:val="003A3356"/>
    <w:rsid w:val="003A4211"/>
    <w:rsid w:val="003A47C3"/>
    <w:rsid w:val="003A516E"/>
    <w:rsid w:val="003A5B66"/>
    <w:rsid w:val="003A5D84"/>
    <w:rsid w:val="003A62CD"/>
    <w:rsid w:val="003A65BD"/>
    <w:rsid w:val="003A6980"/>
    <w:rsid w:val="003A6A9E"/>
    <w:rsid w:val="003A6BB8"/>
    <w:rsid w:val="003A6D21"/>
    <w:rsid w:val="003A6D97"/>
    <w:rsid w:val="003A6F23"/>
    <w:rsid w:val="003A7201"/>
    <w:rsid w:val="003A776A"/>
    <w:rsid w:val="003A7D1A"/>
    <w:rsid w:val="003B08EB"/>
    <w:rsid w:val="003B0F15"/>
    <w:rsid w:val="003B115A"/>
    <w:rsid w:val="003B1302"/>
    <w:rsid w:val="003B3477"/>
    <w:rsid w:val="003B35B2"/>
    <w:rsid w:val="003B362E"/>
    <w:rsid w:val="003B3647"/>
    <w:rsid w:val="003B3F20"/>
    <w:rsid w:val="003B4254"/>
    <w:rsid w:val="003B451B"/>
    <w:rsid w:val="003B454C"/>
    <w:rsid w:val="003B472E"/>
    <w:rsid w:val="003B47AF"/>
    <w:rsid w:val="003B4A0E"/>
    <w:rsid w:val="003B516F"/>
    <w:rsid w:val="003B531C"/>
    <w:rsid w:val="003B53BC"/>
    <w:rsid w:val="003B56E2"/>
    <w:rsid w:val="003B57EA"/>
    <w:rsid w:val="003B5D92"/>
    <w:rsid w:val="003B6FA5"/>
    <w:rsid w:val="003C019A"/>
    <w:rsid w:val="003C0292"/>
    <w:rsid w:val="003C0579"/>
    <w:rsid w:val="003C0645"/>
    <w:rsid w:val="003C0C60"/>
    <w:rsid w:val="003C1452"/>
    <w:rsid w:val="003C1717"/>
    <w:rsid w:val="003C1B47"/>
    <w:rsid w:val="003C1D8B"/>
    <w:rsid w:val="003C1F8F"/>
    <w:rsid w:val="003C26C5"/>
    <w:rsid w:val="003C2B03"/>
    <w:rsid w:val="003C2F6F"/>
    <w:rsid w:val="003C3DCD"/>
    <w:rsid w:val="003C43D3"/>
    <w:rsid w:val="003C4893"/>
    <w:rsid w:val="003C4AA2"/>
    <w:rsid w:val="003C53E3"/>
    <w:rsid w:val="003C68E1"/>
    <w:rsid w:val="003C6E5B"/>
    <w:rsid w:val="003C71A3"/>
    <w:rsid w:val="003C734F"/>
    <w:rsid w:val="003C7470"/>
    <w:rsid w:val="003C757E"/>
    <w:rsid w:val="003C7724"/>
    <w:rsid w:val="003D004C"/>
    <w:rsid w:val="003D0824"/>
    <w:rsid w:val="003D0A07"/>
    <w:rsid w:val="003D0A2F"/>
    <w:rsid w:val="003D0E6E"/>
    <w:rsid w:val="003D137F"/>
    <w:rsid w:val="003D1E20"/>
    <w:rsid w:val="003D3044"/>
    <w:rsid w:val="003D357F"/>
    <w:rsid w:val="003D3D4F"/>
    <w:rsid w:val="003D409C"/>
    <w:rsid w:val="003D4224"/>
    <w:rsid w:val="003D4400"/>
    <w:rsid w:val="003D4933"/>
    <w:rsid w:val="003D5878"/>
    <w:rsid w:val="003D58C5"/>
    <w:rsid w:val="003D6662"/>
    <w:rsid w:val="003D6A02"/>
    <w:rsid w:val="003E02A4"/>
    <w:rsid w:val="003E0879"/>
    <w:rsid w:val="003E08C6"/>
    <w:rsid w:val="003E0D32"/>
    <w:rsid w:val="003E0FC0"/>
    <w:rsid w:val="003E17C4"/>
    <w:rsid w:val="003E2227"/>
    <w:rsid w:val="003E2576"/>
    <w:rsid w:val="003E3613"/>
    <w:rsid w:val="003E3D78"/>
    <w:rsid w:val="003E43C2"/>
    <w:rsid w:val="003E4A87"/>
    <w:rsid w:val="003E4F75"/>
    <w:rsid w:val="003E5087"/>
    <w:rsid w:val="003E53BA"/>
    <w:rsid w:val="003E657C"/>
    <w:rsid w:val="003E69BF"/>
    <w:rsid w:val="003E7999"/>
    <w:rsid w:val="003E7C85"/>
    <w:rsid w:val="003F0187"/>
    <w:rsid w:val="003F0312"/>
    <w:rsid w:val="003F03EC"/>
    <w:rsid w:val="003F07A4"/>
    <w:rsid w:val="003F0877"/>
    <w:rsid w:val="003F25DB"/>
    <w:rsid w:val="003F25F6"/>
    <w:rsid w:val="003F2A04"/>
    <w:rsid w:val="003F33CC"/>
    <w:rsid w:val="003F47FE"/>
    <w:rsid w:val="003F4B0E"/>
    <w:rsid w:val="003F5306"/>
    <w:rsid w:val="003F5BA5"/>
    <w:rsid w:val="003F5F0F"/>
    <w:rsid w:val="003F634A"/>
    <w:rsid w:val="003F6475"/>
    <w:rsid w:val="003F6E8E"/>
    <w:rsid w:val="003F7688"/>
    <w:rsid w:val="003F7748"/>
    <w:rsid w:val="004002C0"/>
    <w:rsid w:val="00400AF9"/>
    <w:rsid w:val="00401B1E"/>
    <w:rsid w:val="00402997"/>
    <w:rsid w:val="00403004"/>
    <w:rsid w:val="00403982"/>
    <w:rsid w:val="00403E93"/>
    <w:rsid w:val="0040456A"/>
    <w:rsid w:val="00404B73"/>
    <w:rsid w:val="00404C98"/>
    <w:rsid w:val="00405838"/>
    <w:rsid w:val="00406B9A"/>
    <w:rsid w:val="00406C12"/>
    <w:rsid w:val="00406E81"/>
    <w:rsid w:val="004079C8"/>
    <w:rsid w:val="00407EB3"/>
    <w:rsid w:val="00410C9A"/>
    <w:rsid w:val="00410DC7"/>
    <w:rsid w:val="00411832"/>
    <w:rsid w:val="00411A8D"/>
    <w:rsid w:val="00411E3F"/>
    <w:rsid w:val="004120D5"/>
    <w:rsid w:val="0041212B"/>
    <w:rsid w:val="00412C78"/>
    <w:rsid w:val="00413394"/>
    <w:rsid w:val="0041409A"/>
    <w:rsid w:val="0041417D"/>
    <w:rsid w:val="004143B6"/>
    <w:rsid w:val="00416785"/>
    <w:rsid w:val="00416C39"/>
    <w:rsid w:val="00417DDB"/>
    <w:rsid w:val="00420A20"/>
    <w:rsid w:val="00420C2B"/>
    <w:rsid w:val="00421303"/>
    <w:rsid w:val="004215E9"/>
    <w:rsid w:val="00421847"/>
    <w:rsid w:val="0042333A"/>
    <w:rsid w:val="0042360A"/>
    <w:rsid w:val="004236F3"/>
    <w:rsid w:val="00423B1F"/>
    <w:rsid w:val="00424F0F"/>
    <w:rsid w:val="0042505D"/>
    <w:rsid w:val="004251B8"/>
    <w:rsid w:val="0042527F"/>
    <w:rsid w:val="004259A2"/>
    <w:rsid w:val="00425B2A"/>
    <w:rsid w:val="00425D02"/>
    <w:rsid w:val="00425ECC"/>
    <w:rsid w:val="00425F97"/>
    <w:rsid w:val="004263C2"/>
    <w:rsid w:val="00426444"/>
    <w:rsid w:val="004266AD"/>
    <w:rsid w:val="004271D7"/>
    <w:rsid w:val="0042729C"/>
    <w:rsid w:val="004279F6"/>
    <w:rsid w:val="00430145"/>
    <w:rsid w:val="00430971"/>
    <w:rsid w:val="00430E46"/>
    <w:rsid w:val="004314AB"/>
    <w:rsid w:val="00431568"/>
    <w:rsid w:val="00431C13"/>
    <w:rsid w:val="004327D4"/>
    <w:rsid w:val="00432E3E"/>
    <w:rsid w:val="00433481"/>
    <w:rsid w:val="00434634"/>
    <w:rsid w:val="00434805"/>
    <w:rsid w:val="00434F82"/>
    <w:rsid w:val="004351A3"/>
    <w:rsid w:val="0043554B"/>
    <w:rsid w:val="00436CD8"/>
    <w:rsid w:val="004371F7"/>
    <w:rsid w:val="00437528"/>
    <w:rsid w:val="004406B9"/>
    <w:rsid w:val="00440776"/>
    <w:rsid w:val="0044089F"/>
    <w:rsid w:val="0044201C"/>
    <w:rsid w:val="00442714"/>
    <w:rsid w:val="00442A2B"/>
    <w:rsid w:val="00443A11"/>
    <w:rsid w:val="004440A9"/>
    <w:rsid w:val="004440F2"/>
    <w:rsid w:val="00444847"/>
    <w:rsid w:val="004449F0"/>
    <w:rsid w:val="0044516C"/>
    <w:rsid w:val="004458ED"/>
    <w:rsid w:val="004468D6"/>
    <w:rsid w:val="0044698B"/>
    <w:rsid w:val="00446A21"/>
    <w:rsid w:val="00446E31"/>
    <w:rsid w:val="00447B93"/>
    <w:rsid w:val="00450B74"/>
    <w:rsid w:val="004529DD"/>
    <w:rsid w:val="00452F5F"/>
    <w:rsid w:val="00452F9C"/>
    <w:rsid w:val="00453051"/>
    <w:rsid w:val="004535B9"/>
    <w:rsid w:val="00453AF3"/>
    <w:rsid w:val="00453E86"/>
    <w:rsid w:val="00454A1B"/>
    <w:rsid w:val="00455008"/>
    <w:rsid w:val="00455056"/>
    <w:rsid w:val="0045536E"/>
    <w:rsid w:val="00455EA6"/>
    <w:rsid w:val="004560B5"/>
    <w:rsid w:val="004565CF"/>
    <w:rsid w:val="004565D3"/>
    <w:rsid w:val="00456C4F"/>
    <w:rsid w:val="00456DC2"/>
    <w:rsid w:val="004574F4"/>
    <w:rsid w:val="004577F5"/>
    <w:rsid w:val="00460FC2"/>
    <w:rsid w:val="00461236"/>
    <w:rsid w:val="00461B12"/>
    <w:rsid w:val="00461CAB"/>
    <w:rsid w:val="00461DBB"/>
    <w:rsid w:val="00461EDA"/>
    <w:rsid w:val="00462187"/>
    <w:rsid w:val="0046236D"/>
    <w:rsid w:val="00462E90"/>
    <w:rsid w:val="004631DB"/>
    <w:rsid w:val="00463844"/>
    <w:rsid w:val="00464926"/>
    <w:rsid w:val="004649C1"/>
    <w:rsid w:val="00464D11"/>
    <w:rsid w:val="00465068"/>
    <w:rsid w:val="0046522A"/>
    <w:rsid w:val="00465E01"/>
    <w:rsid w:val="004663B3"/>
    <w:rsid w:val="0046764D"/>
    <w:rsid w:val="00467D0E"/>
    <w:rsid w:val="00470073"/>
    <w:rsid w:val="004705E8"/>
    <w:rsid w:val="00470784"/>
    <w:rsid w:val="00470F98"/>
    <w:rsid w:val="0047178C"/>
    <w:rsid w:val="00471B11"/>
    <w:rsid w:val="004727B4"/>
    <w:rsid w:val="004734EE"/>
    <w:rsid w:val="004741A5"/>
    <w:rsid w:val="004741F1"/>
    <w:rsid w:val="004746D9"/>
    <w:rsid w:val="00474C6C"/>
    <w:rsid w:val="0047501E"/>
    <w:rsid w:val="0047510F"/>
    <w:rsid w:val="0047512C"/>
    <w:rsid w:val="0047545E"/>
    <w:rsid w:val="00475E06"/>
    <w:rsid w:val="004762FE"/>
    <w:rsid w:val="004763EB"/>
    <w:rsid w:val="0047648E"/>
    <w:rsid w:val="004765DC"/>
    <w:rsid w:val="00477422"/>
    <w:rsid w:val="004774C5"/>
    <w:rsid w:val="00477BD4"/>
    <w:rsid w:val="00480A33"/>
    <w:rsid w:val="004817F2"/>
    <w:rsid w:val="00481BC7"/>
    <w:rsid w:val="00482606"/>
    <w:rsid w:val="004828FE"/>
    <w:rsid w:val="0048364D"/>
    <w:rsid w:val="004838A1"/>
    <w:rsid w:val="00483BE8"/>
    <w:rsid w:val="0048408C"/>
    <w:rsid w:val="004842D6"/>
    <w:rsid w:val="0048491D"/>
    <w:rsid w:val="00485289"/>
    <w:rsid w:val="004854E5"/>
    <w:rsid w:val="00485D32"/>
    <w:rsid w:val="004863BC"/>
    <w:rsid w:val="00491034"/>
    <w:rsid w:val="0049176E"/>
    <w:rsid w:val="004918DF"/>
    <w:rsid w:val="00491B72"/>
    <w:rsid w:val="00491CA8"/>
    <w:rsid w:val="00491D71"/>
    <w:rsid w:val="00491F74"/>
    <w:rsid w:val="0049206D"/>
    <w:rsid w:val="00493833"/>
    <w:rsid w:val="0049397E"/>
    <w:rsid w:val="00494683"/>
    <w:rsid w:val="00494775"/>
    <w:rsid w:val="00494D5B"/>
    <w:rsid w:val="004951A9"/>
    <w:rsid w:val="00495898"/>
    <w:rsid w:val="0049591F"/>
    <w:rsid w:val="0049598C"/>
    <w:rsid w:val="004959C5"/>
    <w:rsid w:val="00496EA2"/>
    <w:rsid w:val="0049770D"/>
    <w:rsid w:val="004A04F1"/>
    <w:rsid w:val="004A05D0"/>
    <w:rsid w:val="004A1BD6"/>
    <w:rsid w:val="004A1D50"/>
    <w:rsid w:val="004A324B"/>
    <w:rsid w:val="004A33B6"/>
    <w:rsid w:val="004A344D"/>
    <w:rsid w:val="004A3652"/>
    <w:rsid w:val="004A5018"/>
    <w:rsid w:val="004A5D4B"/>
    <w:rsid w:val="004A63E4"/>
    <w:rsid w:val="004A6CA1"/>
    <w:rsid w:val="004A7040"/>
    <w:rsid w:val="004A761D"/>
    <w:rsid w:val="004A7965"/>
    <w:rsid w:val="004A79E1"/>
    <w:rsid w:val="004B00C2"/>
    <w:rsid w:val="004B04B7"/>
    <w:rsid w:val="004B07BB"/>
    <w:rsid w:val="004B0A9D"/>
    <w:rsid w:val="004B1FE1"/>
    <w:rsid w:val="004B3962"/>
    <w:rsid w:val="004B3C34"/>
    <w:rsid w:val="004B3C56"/>
    <w:rsid w:val="004B43F2"/>
    <w:rsid w:val="004B4515"/>
    <w:rsid w:val="004B4941"/>
    <w:rsid w:val="004B5BF1"/>
    <w:rsid w:val="004B5FE7"/>
    <w:rsid w:val="004B6BE9"/>
    <w:rsid w:val="004B730D"/>
    <w:rsid w:val="004B7C02"/>
    <w:rsid w:val="004C0CA1"/>
    <w:rsid w:val="004C1EC5"/>
    <w:rsid w:val="004C1F94"/>
    <w:rsid w:val="004C4055"/>
    <w:rsid w:val="004C481B"/>
    <w:rsid w:val="004C4926"/>
    <w:rsid w:val="004C4DB9"/>
    <w:rsid w:val="004C529C"/>
    <w:rsid w:val="004C5873"/>
    <w:rsid w:val="004C5986"/>
    <w:rsid w:val="004C5DA2"/>
    <w:rsid w:val="004C6154"/>
    <w:rsid w:val="004C6677"/>
    <w:rsid w:val="004C6EE9"/>
    <w:rsid w:val="004C7041"/>
    <w:rsid w:val="004D0913"/>
    <w:rsid w:val="004D1A7A"/>
    <w:rsid w:val="004D1A80"/>
    <w:rsid w:val="004D1CF3"/>
    <w:rsid w:val="004D2319"/>
    <w:rsid w:val="004D231C"/>
    <w:rsid w:val="004D2A2E"/>
    <w:rsid w:val="004D2ED8"/>
    <w:rsid w:val="004D3AB6"/>
    <w:rsid w:val="004D49EF"/>
    <w:rsid w:val="004D5219"/>
    <w:rsid w:val="004D592D"/>
    <w:rsid w:val="004D5A09"/>
    <w:rsid w:val="004D5DEC"/>
    <w:rsid w:val="004D6013"/>
    <w:rsid w:val="004D6661"/>
    <w:rsid w:val="004D675E"/>
    <w:rsid w:val="004D6A18"/>
    <w:rsid w:val="004D6D77"/>
    <w:rsid w:val="004D75A7"/>
    <w:rsid w:val="004D7B18"/>
    <w:rsid w:val="004E000B"/>
    <w:rsid w:val="004E01BE"/>
    <w:rsid w:val="004E01D5"/>
    <w:rsid w:val="004E0B85"/>
    <w:rsid w:val="004E0F70"/>
    <w:rsid w:val="004E1C9D"/>
    <w:rsid w:val="004E2604"/>
    <w:rsid w:val="004E309D"/>
    <w:rsid w:val="004E35BE"/>
    <w:rsid w:val="004E3C24"/>
    <w:rsid w:val="004E3D4D"/>
    <w:rsid w:val="004E40C5"/>
    <w:rsid w:val="004E54E7"/>
    <w:rsid w:val="004E561D"/>
    <w:rsid w:val="004E5B7B"/>
    <w:rsid w:val="004E7538"/>
    <w:rsid w:val="004E7672"/>
    <w:rsid w:val="004F02EA"/>
    <w:rsid w:val="004F0819"/>
    <w:rsid w:val="004F0D17"/>
    <w:rsid w:val="004F1358"/>
    <w:rsid w:val="004F1A22"/>
    <w:rsid w:val="004F1E8C"/>
    <w:rsid w:val="004F2601"/>
    <w:rsid w:val="004F3406"/>
    <w:rsid w:val="004F3EDD"/>
    <w:rsid w:val="004F48AD"/>
    <w:rsid w:val="004F51FB"/>
    <w:rsid w:val="004F5694"/>
    <w:rsid w:val="004F5AAE"/>
    <w:rsid w:val="004F6402"/>
    <w:rsid w:val="004F65E9"/>
    <w:rsid w:val="004F6F30"/>
    <w:rsid w:val="004F76C8"/>
    <w:rsid w:val="005003C6"/>
    <w:rsid w:val="00501A10"/>
    <w:rsid w:val="00503E8E"/>
    <w:rsid w:val="005040BD"/>
    <w:rsid w:val="0050485E"/>
    <w:rsid w:val="005053C8"/>
    <w:rsid w:val="00505417"/>
    <w:rsid w:val="00505E1A"/>
    <w:rsid w:val="00505ECF"/>
    <w:rsid w:val="0050614C"/>
    <w:rsid w:val="00506B58"/>
    <w:rsid w:val="00506C7B"/>
    <w:rsid w:val="00507D2D"/>
    <w:rsid w:val="00507D8D"/>
    <w:rsid w:val="00510C66"/>
    <w:rsid w:val="00511D98"/>
    <w:rsid w:val="005127E2"/>
    <w:rsid w:val="00513210"/>
    <w:rsid w:val="00513337"/>
    <w:rsid w:val="005141D9"/>
    <w:rsid w:val="00515397"/>
    <w:rsid w:val="0051648B"/>
    <w:rsid w:val="00521CCC"/>
    <w:rsid w:val="00521CF6"/>
    <w:rsid w:val="00521F0A"/>
    <w:rsid w:val="0052201F"/>
    <w:rsid w:val="00522B2F"/>
    <w:rsid w:val="00523067"/>
    <w:rsid w:val="00523963"/>
    <w:rsid w:val="00523ECA"/>
    <w:rsid w:val="005242F5"/>
    <w:rsid w:val="00524ED9"/>
    <w:rsid w:val="0052583B"/>
    <w:rsid w:val="00525BE0"/>
    <w:rsid w:val="00525FF3"/>
    <w:rsid w:val="0052719B"/>
    <w:rsid w:val="00527D22"/>
    <w:rsid w:val="00530085"/>
    <w:rsid w:val="0053013E"/>
    <w:rsid w:val="00530162"/>
    <w:rsid w:val="005302FF"/>
    <w:rsid w:val="0053043C"/>
    <w:rsid w:val="0053080D"/>
    <w:rsid w:val="005309E1"/>
    <w:rsid w:val="0053138F"/>
    <w:rsid w:val="00531A00"/>
    <w:rsid w:val="00531F9D"/>
    <w:rsid w:val="00532C78"/>
    <w:rsid w:val="005330B3"/>
    <w:rsid w:val="00533115"/>
    <w:rsid w:val="00533688"/>
    <w:rsid w:val="00533877"/>
    <w:rsid w:val="00533E55"/>
    <w:rsid w:val="00533E82"/>
    <w:rsid w:val="0053438B"/>
    <w:rsid w:val="00534AF9"/>
    <w:rsid w:val="00534EDD"/>
    <w:rsid w:val="005352FA"/>
    <w:rsid w:val="00535C23"/>
    <w:rsid w:val="00535DA1"/>
    <w:rsid w:val="005365F8"/>
    <w:rsid w:val="00536771"/>
    <w:rsid w:val="00536E00"/>
    <w:rsid w:val="00537CD9"/>
    <w:rsid w:val="00540492"/>
    <w:rsid w:val="005408DC"/>
    <w:rsid w:val="00541FB2"/>
    <w:rsid w:val="005425C8"/>
    <w:rsid w:val="00542D39"/>
    <w:rsid w:val="00543A1F"/>
    <w:rsid w:val="0054463F"/>
    <w:rsid w:val="00544C56"/>
    <w:rsid w:val="00545B54"/>
    <w:rsid w:val="00546398"/>
    <w:rsid w:val="00546541"/>
    <w:rsid w:val="00546659"/>
    <w:rsid w:val="005467FC"/>
    <w:rsid w:val="005469A8"/>
    <w:rsid w:val="005470ED"/>
    <w:rsid w:val="00547155"/>
    <w:rsid w:val="005479EE"/>
    <w:rsid w:val="00550022"/>
    <w:rsid w:val="0055098A"/>
    <w:rsid w:val="00550B77"/>
    <w:rsid w:val="005511F2"/>
    <w:rsid w:val="00551377"/>
    <w:rsid w:val="00551505"/>
    <w:rsid w:val="00551FBD"/>
    <w:rsid w:val="005547E9"/>
    <w:rsid w:val="00555409"/>
    <w:rsid w:val="00555883"/>
    <w:rsid w:val="005561EC"/>
    <w:rsid w:val="00556BB3"/>
    <w:rsid w:val="00557C83"/>
    <w:rsid w:val="005600A0"/>
    <w:rsid w:val="0056020D"/>
    <w:rsid w:val="0056050E"/>
    <w:rsid w:val="00560DD6"/>
    <w:rsid w:val="00560F40"/>
    <w:rsid w:val="00560F53"/>
    <w:rsid w:val="00561598"/>
    <w:rsid w:val="00562148"/>
    <w:rsid w:val="005624F3"/>
    <w:rsid w:val="0056277D"/>
    <w:rsid w:val="005631E0"/>
    <w:rsid w:val="00563654"/>
    <w:rsid w:val="00563A66"/>
    <w:rsid w:val="00564277"/>
    <w:rsid w:val="00564439"/>
    <w:rsid w:val="00564723"/>
    <w:rsid w:val="005648B9"/>
    <w:rsid w:val="00564AB1"/>
    <w:rsid w:val="00564CB5"/>
    <w:rsid w:val="00564D54"/>
    <w:rsid w:val="00564D6E"/>
    <w:rsid w:val="00564F3B"/>
    <w:rsid w:val="0056544C"/>
    <w:rsid w:val="005658B7"/>
    <w:rsid w:val="00565B29"/>
    <w:rsid w:val="00565B89"/>
    <w:rsid w:val="00565EB5"/>
    <w:rsid w:val="005667A0"/>
    <w:rsid w:val="0056682F"/>
    <w:rsid w:val="00566A9E"/>
    <w:rsid w:val="00567243"/>
    <w:rsid w:val="0056767C"/>
    <w:rsid w:val="00567BCA"/>
    <w:rsid w:val="00567FE2"/>
    <w:rsid w:val="00570497"/>
    <w:rsid w:val="0057101B"/>
    <w:rsid w:val="00571468"/>
    <w:rsid w:val="0057198A"/>
    <w:rsid w:val="005729AA"/>
    <w:rsid w:val="0057304B"/>
    <w:rsid w:val="00573114"/>
    <w:rsid w:val="00573127"/>
    <w:rsid w:val="00573147"/>
    <w:rsid w:val="00573191"/>
    <w:rsid w:val="005744E4"/>
    <w:rsid w:val="00574796"/>
    <w:rsid w:val="00574BC4"/>
    <w:rsid w:val="00574CBF"/>
    <w:rsid w:val="00575262"/>
    <w:rsid w:val="005752FD"/>
    <w:rsid w:val="00575645"/>
    <w:rsid w:val="00575ABA"/>
    <w:rsid w:val="00576695"/>
    <w:rsid w:val="00576982"/>
    <w:rsid w:val="00580526"/>
    <w:rsid w:val="005808CE"/>
    <w:rsid w:val="00580FE6"/>
    <w:rsid w:val="00581F3F"/>
    <w:rsid w:val="00581FA6"/>
    <w:rsid w:val="0058201D"/>
    <w:rsid w:val="00582700"/>
    <w:rsid w:val="00582827"/>
    <w:rsid w:val="00582985"/>
    <w:rsid w:val="00583497"/>
    <w:rsid w:val="00583690"/>
    <w:rsid w:val="0058370E"/>
    <w:rsid w:val="00583EF8"/>
    <w:rsid w:val="00584CFA"/>
    <w:rsid w:val="00584F7A"/>
    <w:rsid w:val="00585012"/>
    <w:rsid w:val="005850ED"/>
    <w:rsid w:val="0058527E"/>
    <w:rsid w:val="005852D9"/>
    <w:rsid w:val="0058579F"/>
    <w:rsid w:val="00585C7D"/>
    <w:rsid w:val="00586647"/>
    <w:rsid w:val="00586868"/>
    <w:rsid w:val="005868C8"/>
    <w:rsid w:val="00586EFA"/>
    <w:rsid w:val="00587E09"/>
    <w:rsid w:val="005908CC"/>
    <w:rsid w:val="00590E52"/>
    <w:rsid w:val="00590F28"/>
    <w:rsid w:val="005916AD"/>
    <w:rsid w:val="005918B5"/>
    <w:rsid w:val="00592424"/>
    <w:rsid w:val="005925BB"/>
    <w:rsid w:val="00592607"/>
    <w:rsid w:val="00593251"/>
    <w:rsid w:val="005945BC"/>
    <w:rsid w:val="005947DF"/>
    <w:rsid w:val="00594DE5"/>
    <w:rsid w:val="00595725"/>
    <w:rsid w:val="00595973"/>
    <w:rsid w:val="00595A8A"/>
    <w:rsid w:val="00595C35"/>
    <w:rsid w:val="00596259"/>
    <w:rsid w:val="00596750"/>
    <w:rsid w:val="00597D45"/>
    <w:rsid w:val="00597DB6"/>
    <w:rsid w:val="00597E46"/>
    <w:rsid w:val="00597E8C"/>
    <w:rsid w:val="005A1756"/>
    <w:rsid w:val="005A1F2A"/>
    <w:rsid w:val="005A2409"/>
    <w:rsid w:val="005A3046"/>
    <w:rsid w:val="005A3B6F"/>
    <w:rsid w:val="005A5EA2"/>
    <w:rsid w:val="005A6795"/>
    <w:rsid w:val="005A6904"/>
    <w:rsid w:val="005A7318"/>
    <w:rsid w:val="005A73D2"/>
    <w:rsid w:val="005A7536"/>
    <w:rsid w:val="005B046B"/>
    <w:rsid w:val="005B3509"/>
    <w:rsid w:val="005B39C0"/>
    <w:rsid w:val="005B4396"/>
    <w:rsid w:val="005B45B6"/>
    <w:rsid w:val="005B4DF5"/>
    <w:rsid w:val="005B51FF"/>
    <w:rsid w:val="005B5E82"/>
    <w:rsid w:val="005B610B"/>
    <w:rsid w:val="005B64A3"/>
    <w:rsid w:val="005B6604"/>
    <w:rsid w:val="005B67AB"/>
    <w:rsid w:val="005B6B9D"/>
    <w:rsid w:val="005B71ED"/>
    <w:rsid w:val="005B7C21"/>
    <w:rsid w:val="005B7CFC"/>
    <w:rsid w:val="005B7EE7"/>
    <w:rsid w:val="005C0215"/>
    <w:rsid w:val="005C045A"/>
    <w:rsid w:val="005C0636"/>
    <w:rsid w:val="005C08E7"/>
    <w:rsid w:val="005C0CD2"/>
    <w:rsid w:val="005C0F97"/>
    <w:rsid w:val="005C1979"/>
    <w:rsid w:val="005C22C9"/>
    <w:rsid w:val="005C2BB6"/>
    <w:rsid w:val="005C2C33"/>
    <w:rsid w:val="005C2F2C"/>
    <w:rsid w:val="005C3138"/>
    <w:rsid w:val="005C38FC"/>
    <w:rsid w:val="005C4078"/>
    <w:rsid w:val="005C4CAF"/>
    <w:rsid w:val="005C4EAF"/>
    <w:rsid w:val="005C4FD3"/>
    <w:rsid w:val="005C6321"/>
    <w:rsid w:val="005C6585"/>
    <w:rsid w:val="005C696F"/>
    <w:rsid w:val="005C758A"/>
    <w:rsid w:val="005C7874"/>
    <w:rsid w:val="005D00E4"/>
    <w:rsid w:val="005D0407"/>
    <w:rsid w:val="005D069E"/>
    <w:rsid w:val="005D1091"/>
    <w:rsid w:val="005D1891"/>
    <w:rsid w:val="005D3292"/>
    <w:rsid w:val="005D332F"/>
    <w:rsid w:val="005D388A"/>
    <w:rsid w:val="005D487C"/>
    <w:rsid w:val="005D4D26"/>
    <w:rsid w:val="005D50B9"/>
    <w:rsid w:val="005D79F3"/>
    <w:rsid w:val="005E03A8"/>
    <w:rsid w:val="005E0888"/>
    <w:rsid w:val="005E304D"/>
    <w:rsid w:val="005E38F1"/>
    <w:rsid w:val="005E3BF2"/>
    <w:rsid w:val="005E45E2"/>
    <w:rsid w:val="005E4E3E"/>
    <w:rsid w:val="005E52D6"/>
    <w:rsid w:val="005E568B"/>
    <w:rsid w:val="005E602B"/>
    <w:rsid w:val="005E684D"/>
    <w:rsid w:val="005E75DA"/>
    <w:rsid w:val="005F000F"/>
    <w:rsid w:val="005F0861"/>
    <w:rsid w:val="005F21B7"/>
    <w:rsid w:val="005F2F7B"/>
    <w:rsid w:val="005F3023"/>
    <w:rsid w:val="005F33F1"/>
    <w:rsid w:val="005F3B8B"/>
    <w:rsid w:val="005F5244"/>
    <w:rsid w:val="005F54CE"/>
    <w:rsid w:val="005F5F38"/>
    <w:rsid w:val="005F614B"/>
    <w:rsid w:val="005F6A63"/>
    <w:rsid w:val="005F6CC0"/>
    <w:rsid w:val="005F770E"/>
    <w:rsid w:val="005F79D3"/>
    <w:rsid w:val="005F7CDC"/>
    <w:rsid w:val="006006DE"/>
    <w:rsid w:val="006008E4"/>
    <w:rsid w:val="00600921"/>
    <w:rsid w:val="0060139A"/>
    <w:rsid w:val="006015A7"/>
    <w:rsid w:val="006016BA"/>
    <w:rsid w:val="006017B4"/>
    <w:rsid w:val="006018C0"/>
    <w:rsid w:val="00601B7D"/>
    <w:rsid w:val="006032C6"/>
    <w:rsid w:val="0060373D"/>
    <w:rsid w:val="00603EE3"/>
    <w:rsid w:val="006041C0"/>
    <w:rsid w:val="0060425D"/>
    <w:rsid w:val="00604C69"/>
    <w:rsid w:val="006051E0"/>
    <w:rsid w:val="0060635C"/>
    <w:rsid w:val="006066D3"/>
    <w:rsid w:val="00606A53"/>
    <w:rsid w:val="00606B88"/>
    <w:rsid w:val="00607072"/>
    <w:rsid w:val="006071B5"/>
    <w:rsid w:val="0060726B"/>
    <w:rsid w:val="00610117"/>
    <w:rsid w:val="006109E4"/>
    <w:rsid w:val="00610D0F"/>
    <w:rsid w:val="0061186B"/>
    <w:rsid w:val="006125C6"/>
    <w:rsid w:val="00613C73"/>
    <w:rsid w:val="006147B3"/>
    <w:rsid w:val="006159BA"/>
    <w:rsid w:val="00615E38"/>
    <w:rsid w:val="00615E56"/>
    <w:rsid w:val="00616481"/>
    <w:rsid w:val="006169BF"/>
    <w:rsid w:val="00616C5B"/>
    <w:rsid w:val="00616D5B"/>
    <w:rsid w:val="006174F5"/>
    <w:rsid w:val="00620110"/>
    <w:rsid w:val="006202C7"/>
    <w:rsid w:val="00620745"/>
    <w:rsid w:val="00620B02"/>
    <w:rsid w:val="00620CD6"/>
    <w:rsid w:val="00621879"/>
    <w:rsid w:val="00621AFE"/>
    <w:rsid w:val="00621BEF"/>
    <w:rsid w:val="006224F1"/>
    <w:rsid w:val="006228F1"/>
    <w:rsid w:val="00622A76"/>
    <w:rsid w:val="0062369F"/>
    <w:rsid w:val="00623948"/>
    <w:rsid w:val="00623BD7"/>
    <w:rsid w:val="006240A2"/>
    <w:rsid w:val="00624383"/>
    <w:rsid w:val="006245BA"/>
    <w:rsid w:val="00624808"/>
    <w:rsid w:val="006248B6"/>
    <w:rsid w:val="00624FA9"/>
    <w:rsid w:val="00625547"/>
    <w:rsid w:val="00625A65"/>
    <w:rsid w:val="00625F84"/>
    <w:rsid w:val="006269D9"/>
    <w:rsid w:val="00626E2F"/>
    <w:rsid w:val="00627394"/>
    <w:rsid w:val="0062781C"/>
    <w:rsid w:val="00627CCF"/>
    <w:rsid w:val="00630408"/>
    <w:rsid w:val="0063093F"/>
    <w:rsid w:val="00630FDD"/>
    <w:rsid w:val="00631665"/>
    <w:rsid w:val="00631BEC"/>
    <w:rsid w:val="006332BC"/>
    <w:rsid w:val="00633323"/>
    <w:rsid w:val="006337D6"/>
    <w:rsid w:val="00633CEE"/>
    <w:rsid w:val="00633F37"/>
    <w:rsid w:val="0063406F"/>
    <w:rsid w:val="0063542B"/>
    <w:rsid w:val="006357BE"/>
    <w:rsid w:val="0063719A"/>
    <w:rsid w:val="006371CE"/>
    <w:rsid w:val="00637498"/>
    <w:rsid w:val="00637A42"/>
    <w:rsid w:val="00637C26"/>
    <w:rsid w:val="00637D57"/>
    <w:rsid w:val="0064012C"/>
    <w:rsid w:val="0064094E"/>
    <w:rsid w:val="00641F7E"/>
    <w:rsid w:val="00642BF5"/>
    <w:rsid w:val="0064347F"/>
    <w:rsid w:val="006439B9"/>
    <w:rsid w:val="00643AAE"/>
    <w:rsid w:val="00643B89"/>
    <w:rsid w:val="00644738"/>
    <w:rsid w:val="00644A51"/>
    <w:rsid w:val="00644E74"/>
    <w:rsid w:val="00644F44"/>
    <w:rsid w:val="00645094"/>
    <w:rsid w:val="00645E26"/>
    <w:rsid w:val="006460F1"/>
    <w:rsid w:val="00647038"/>
    <w:rsid w:val="00647F97"/>
    <w:rsid w:val="00650615"/>
    <w:rsid w:val="00650986"/>
    <w:rsid w:val="006515F8"/>
    <w:rsid w:val="006517DD"/>
    <w:rsid w:val="00653325"/>
    <w:rsid w:val="006535A8"/>
    <w:rsid w:val="00653B71"/>
    <w:rsid w:val="006549B6"/>
    <w:rsid w:val="00654C85"/>
    <w:rsid w:val="00656352"/>
    <w:rsid w:val="006563FB"/>
    <w:rsid w:val="0065744C"/>
    <w:rsid w:val="00657B16"/>
    <w:rsid w:val="00660804"/>
    <w:rsid w:val="0066124A"/>
    <w:rsid w:val="0066147B"/>
    <w:rsid w:val="0066192B"/>
    <w:rsid w:val="00662066"/>
    <w:rsid w:val="006621A2"/>
    <w:rsid w:val="00662407"/>
    <w:rsid w:val="006624C9"/>
    <w:rsid w:val="00662951"/>
    <w:rsid w:val="00663136"/>
    <w:rsid w:val="0066328B"/>
    <w:rsid w:val="0066456A"/>
    <w:rsid w:val="0066463C"/>
    <w:rsid w:val="006647DF"/>
    <w:rsid w:val="006648F2"/>
    <w:rsid w:val="006650A2"/>
    <w:rsid w:val="006651BB"/>
    <w:rsid w:val="006657BA"/>
    <w:rsid w:val="006663C2"/>
    <w:rsid w:val="00666727"/>
    <w:rsid w:val="0066677C"/>
    <w:rsid w:val="006668F2"/>
    <w:rsid w:val="00666D86"/>
    <w:rsid w:val="00666F1B"/>
    <w:rsid w:val="006675E2"/>
    <w:rsid w:val="0066767E"/>
    <w:rsid w:val="006677FF"/>
    <w:rsid w:val="00667C62"/>
    <w:rsid w:val="00670101"/>
    <w:rsid w:val="006701B1"/>
    <w:rsid w:val="0067097E"/>
    <w:rsid w:val="00670CFF"/>
    <w:rsid w:val="0067128A"/>
    <w:rsid w:val="0067161D"/>
    <w:rsid w:val="00671934"/>
    <w:rsid w:val="00671CA1"/>
    <w:rsid w:val="00672FEF"/>
    <w:rsid w:val="00673394"/>
    <w:rsid w:val="00673724"/>
    <w:rsid w:val="00673A7E"/>
    <w:rsid w:val="00673AB1"/>
    <w:rsid w:val="006740A0"/>
    <w:rsid w:val="0067446F"/>
    <w:rsid w:val="0067455A"/>
    <w:rsid w:val="00674908"/>
    <w:rsid w:val="00674B3C"/>
    <w:rsid w:val="00676006"/>
    <w:rsid w:val="00677679"/>
    <w:rsid w:val="00677C85"/>
    <w:rsid w:val="00677F73"/>
    <w:rsid w:val="00680250"/>
    <w:rsid w:val="006815BE"/>
    <w:rsid w:val="00681814"/>
    <w:rsid w:val="00682314"/>
    <w:rsid w:val="006826C8"/>
    <w:rsid w:val="00684731"/>
    <w:rsid w:val="00684AEF"/>
    <w:rsid w:val="00686D31"/>
    <w:rsid w:val="00686F2B"/>
    <w:rsid w:val="00686F6C"/>
    <w:rsid w:val="006873F8"/>
    <w:rsid w:val="0068761D"/>
    <w:rsid w:val="0068765A"/>
    <w:rsid w:val="00687804"/>
    <w:rsid w:val="0069033C"/>
    <w:rsid w:val="00690426"/>
    <w:rsid w:val="006904A0"/>
    <w:rsid w:val="00690CD3"/>
    <w:rsid w:val="00690DDA"/>
    <w:rsid w:val="006929C0"/>
    <w:rsid w:val="00692ABC"/>
    <w:rsid w:val="00692B2D"/>
    <w:rsid w:val="006936E1"/>
    <w:rsid w:val="00693E24"/>
    <w:rsid w:val="00694BD1"/>
    <w:rsid w:val="00695393"/>
    <w:rsid w:val="0069579E"/>
    <w:rsid w:val="00696147"/>
    <w:rsid w:val="006966D0"/>
    <w:rsid w:val="006977EF"/>
    <w:rsid w:val="0069784A"/>
    <w:rsid w:val="006A00C3"/>
    <w:rsid w:val="006A072E"/>
    <w:rsid w:val="006A08FD"/>
    <w:rsid w:val="006A0916"/>
    <w:rsid w:val="006A097D"/>
    <w:rsid w:val="006A0E53"/>
    <w:rsid w:val="006A2275"/>
    <w:rsid w:val="006A2811"/>
    <w:rsid w:val="006A2F2B"/>
    <w:rsid w:val="006A33D2"/>
    <w:rsid w:val="006A3BEF"/>
    <w:rsid w:val="006A3C0B"/>
    <w:rsid w:val="006A451D"/>
    <w:rsid w:val="006A493B"/>
    <w:rsid w:val="006A49E6"/>
    <w:rsid w:val="006A519F"/>
    <w:rsid w:val="006A53A0"/>
    <w:rsid w:val="006A5B64"/>
    <w:rsid w:val="006A5FCA"/>
    <w:rsid w:val="006A650B"/>
    <w:rsid w:val="006A68DB"/>
    <w:rsid w:val="006A7887"/>
    <w:rsid w:val="006A7A27"/>
    <w:rsid w:val="006A7B35"/>
    <w:rsid w:val="006B0205"/>
    <w:rsid w:val="006B043F"/>
    <w:rsid w:val="006B045D"/>
    <w:rsid w:val="006B0683"/>
    <w:rsid w:val="006B0738"/>
    <w:rsid w:val="006B0EF5"/>
    <w:rsid w:val="006B1344"/>
    <w:rsid w:val="006B1BAD"/>
    <w:rsid w:val="006B1F72"/>
    <w:rsid w:val="006B24BB"/>
    <w:rsid w:val="006B284B"/>
    <w:rsid w:val="006B2C07"/>
    <w:rsid w:val="006B2DA7"/>
    <w:rsid w:val="006B2E14"/>
    <w:rsid w:val="006B3356"/>
    <w:rsid w:val="006B370E"/>
    <w:rsid w:val="006B3821"/>
    <w:rsid w:val="006B3951"/>
    <w:rsid w:val="006B39B4"/>
    <w:rsid w:val="006B3BEF"/>
    <w:rsid w:val="006B4137"/>
    <w:rsid w:val="006B4589"/>
    <w:rsid w:val="006B48A2"/>
    <w:rsid w:val="006B4FE1"/>
    <w:rsid w:val="006B5E92"/>
    <w:rsid w:val="006B60E5"/>
    <w:rsid w:val="006B6B10"/>
    <w:rsid w:val="006B7036"/>
    <w:rsid w:val="006B7396"/>
    <w:rsid w:val="006B7925"/>
    <w:rsid w:val="006C09AE"/>
    <w:rsid w:val="006C1598"/>
    <w:rsid w:val="006C1F98"/>
    <w:rsid w:val="006C2447"/>
    <w:rsid w:val="006C24BD"/>
    <w:rsid w:val="006C2FC1"/>
    <w:rsid w:val="006C40F3"/>
    <w:rsid w:val="006C4519"/>
    <w:rsid w:val="006C4688"/>
    <w:rsid w:val="006C4D42"/>
    <w:rsid w:val="006C5281"/>
    <w:rsid w:val="006C5454"/>
    <w:rsid w:val="006C5B76"/>
    <w:rsid w:val="006C61BA"/>
    <w:rsid w:val="006C652E"/>
    <w:rsid w:val="006C6871"/>
    <w:rsid w:val="006C6F63"/>
    <w:rsid w:val="006C7F96"/>
    <w:rsid w:val="006C7FEF"/>
    <w:rsid w:val="006D0F1C"/>
    <w:rsid w:val="006D1563"/>
    <w:rsid w:val="006D1E48"/>
    <w:rsid w:val="006D1FC9"/>
    <w:rsid w:val="006D2708"/>
    <w:rsid w:val="006D271F"/>
    <w:rsid w:val="006D28D3"/>
    <w:rsid w:val="006D2FCB"/>
    <w:rsid w:val="006D3351"/>
    <w:rsid w:val="006D37BA"/>
    <w:rsid w:val="006D4A7E"/>
    <w:rsid w:val="006D4CAB"/>
    <w:rsid w:val="006D4F0C"/>
    <w:rsid w:val="006D50F4"/>
    <w:rsid w:val="006D53F1"/>
    <w:rsid w:val="006D5C05"/>
    <w:rsid w:val="006D5EBC"/>
    <w:rsid w:val="006D6A0E"/>
    <w:rsid w:val="006D7DA7"/>
    <w:rsid w:val="006E01C1"/>
    <w:rsid w:val="006E1785"/>
    <w:rsid w:val="006E1AE4"/>
    <w:rsid w:val="006E23CB"/>
    <w:rsid w:val="006E2496"/>
    <w:rsid w:val="006E328A"/>
    <w:rsid w:val="006E32F9"/>
    <w:rsid w:val="006E33A7"/>
    <w:rsid w:val="006E388A"/>
    <w:rsid w:val="006E38E5"/>
    <w:rsid w:val="006E3A84"/>
    <w:rsid w:val="006E3AD5"/>
    <w:rsid w:val="006E4CF0"/>
    <w:rsid w:val="006E641D"/>
    <w:rsid w:val="006E6CAC"/>
    <w:rsid w:val="006E6F9F"/>
    <w:rsid w:val="006F056D"/>
    <w:rsid w:val="006F1015"/>
    <w:rsid w:val="006F1344"/>
    <w:rsid w:val="006F14BD"/>
    <w:rsid w:val="006F20E7"/>
    <w:rsid w:val="006F22C5"/>
    <w:rsid w:val="006F35A9"/>
    <w:rsid w:val="006F4504"/>
    <w:rsid w:val="006F4CA2"/>
    <w:rsid w:val="006F5606"/>
    <w:rsid w:val="006F5723"/>
    <w:rsid w:val="006F5E9B"/>
    <w:rsid w:val="006F6122"/>
    <w:rsid w:val="006F634C"/>
    <w:rsid w:val="006F675F"/>
    <w:rsid w:val="006F7233"/>
    <w:rsid w:val="006F783C"/>
    <w:rsid w:val="006F7AE3"/>
    <w:rsid w:val="00700804"/>
    <w:rsid w:val="007010CB"/>
    <w:rsid w:val="007015FA"/>
    <w:rsid w:val="00701DE6"/>
    <w:rsid w:val="00702718"/>
    <w:rsid w:val="00702B89"/>
    <w:rsid w:val="00702D17"/>
    <w:rsid w:val="0070329E"/>
    <w:rsid w:val="007035FD"/>
    <w:rsid w:val="00704B35"/>
    <w:rsid w:val="00705732"/>
    <w:rsid w:val="007057A4"/>
    <w:rsid w:val="007058EA"/>
    <w:rsid w:val="00705CD0"/>
    <w:rsid w:val="00706BC4"/>
    <w:rsid w:val="0070773A"/>
    <w:rsid w:val="007079BC"/>
    <w:rsid w:val="00707E76"/>
    <w:rsid w:val="00710489"/>
    <w:rsid w:val="00710491"/>
    <w:rsid w:val="00710A5D"/>
    <w:rsid w:val="00710B4C"/>
    <w:rsid w:val="00710B6E"/>
    <w:rsid w:val="007115ED"/>
    <w:rsid w:val="00711D4C"/>
    <w:rsid w:val="007147F1"/>
    <w:rsid w:val="0071547B"/>
    <w:rsid w:val="007156CD"/>
    <w:rsid w:val="00715BFA"/>
    <w:rsid w:val="007168ED"/>
    <w:rsid w:val="007170FB"/>
    <w:rsid w:val="00717292"/>
    <w:rsid w:val="00717737"/>
    <w:rsid w:val="007179F6"/>
    <w:rsid w:val="00717A10"/>
    <w:rsid w:val="00720264"/>
    <w:rsid w:val="00720567"/>
    <w:rsid w:val="007213DF"/>
    <w:rsid w:val="00721933"/>
    <w:rsid w:val="00721D3F"/>
    <w:rsid w:val="00721F79"/>
    <w:rsid w:val="007224D3"/>
    <w:rsid w:val="007228F4"/>
    <w:rsid w:val="00722AF3"/>
    <w:rsid w:val="00722EC1"/>
    <w:rsid w:val="00723BFB"/>
    <w:rsid w:val="007243D2"/>
    <w:rsid w:val="00724957"/>
    <w:rsid w:val="00724F0E"/>
    <w:rsid w:val="007252B4"/>
    <w:rsid w:val="00726480"/>
    <w:rsid w:val="0072670D"/>
    <w:rsid w:val="00726AD2"/>
    <w:rsid w:val="007270ED"/>
    <w:rsid w:val="007271B0"/>
    <w:rsid w:val="007275D5"/>
    <w:rsid w:val="0072776A"/>
    <w:rsid w:val="00727B0D"/>
    <w:rsid w:val="00727D09"/>
    <w:rsid w:val="00730051"/>
    <w:rsid w:val="00730947"/>
    <w:rsid w:val="007328F3"/>
    <w:rsid w:val="00732FDD"/>
    <w:rsid w:val="007335B5"/>
    <w:rsid w:val="0073413D"/>
    <w:rsid w:val="007341C4"/>
    <w:rsid w:val="00734391"/>
    <w:rsid w:val="00734C2B"/>
    <w:rsid w:val="00736909"/>
    <w:rsid w:val="00737059"/>
    <w:rsid w:val="00737DA2"/>
    <w:rsid w:val="00737DEF"/>
    <w:rsid w:val="00740B02"/>
    <w:rsid w:val="007416A7"/>
    <w:rsid w:val="007420FE"/>
    <w:rsid w:val="00742454"/>
    <w:rsid w:val="007424D3"/>
    <w:rsid w:val="00742809"/>
    <w:rsid w:val="00742F9C"/>
    <w:rsid w:val="00742FE2"/>
    <w:rsid w:val="007437AD"/>
    <w:rsid w:val="007447A9"/>
    <w:rsid w:val="00744AC3"/>
    <w:rsid w:val="00744E70"/>
    <w:rsid w:val="00745028"/>
    <w:rsid w:val="00745311"/>
    <w:rsid w:val="007457E5"/>
    <w:rsid w:val="007477F8"/>
    <w:rsid w:val="00747BAB"/>
    <w:rsid w:val="0075011F"/>
    <w:rsid w:val="007501E5"/>
    <w:rsid w:val="00750AD0"/>
    <w:rsid w:val="00750CDC"/>
    <w:rsid w:val="00750EFA"/>
    <w:rsid w:val="00751257"/>
    <w:rsid w:val="00751910"/>
    <w:rsid w:val="00752122"/>
    <w:rsid w:val="00752190"/>
    <w:rsid w:val="007521B4"/>
    <w:rsid w:val="007524BD"/>
    <w:rsid w:val="00754068"/>
    <w:rsid w:val="00754C0B"/>
    <w:rsid w:val="00754E74"/>
    <w:rsid w:val="00757915"/>
    <w:rsid w:val="00757994"/>
    <w:rsid w:val="00757F8F"/>
    <w:rsid w:val="0076086E"/>
    <w:rsid w:val="00760894"/>
    <w:rsid w:val="00760928"/>
    <w:rsid w:val="007609EA"/>
    <w:rsid w:val="00761E56"/>
    <w:rsid w:val="007623C3"/>
    <w:rsid w:val="00762469"/>
    <w:rsid w:val="00762604"/>
    <w:rsid w:val="007629EF"/>
    <w:rsid w:val="007645D6"/>
    <w:rsid w:val="00764640"/>
    <w:rsid w:val="00764F68"/>
    <w:rsid w:val="007659CE"/>
    <w:rsid w:val="00766A48"/>
    <w:rsid w:val="00770311"/>
    <w:rsid w:val="007709DE"/>
    <w:rsid w:val="00770A1B"/>
    <w:rsid w:val="00770B36"/>
    <w:rsid w:val="007716A4"/>
    <w:rsid w:val="00771914"/>
    <w:rsid w:val="00771E00"/>
    <w:rsid w:val="00772FCB"/>
    <w:rsid w:val="0077321A"/>
    <w:rsid w:val="007737E9"/>
    <w:rsid w:val="00773CE4"/>
    <w:rsid w:val="0077527D"/>
    <w:rsid w:val="00775521"/>
    <w:rsid w:val="007756A1"/>
    <w:rsid w:val="00776563"/>
    <w:rsid w:val="00776B85"/>
    <w:rsid w:val="007803D5"/>
    <w:rsid w:val="00780FCD"/>
    <w:rsid w:val="007816B3"/>
    <w:rsid w:val="00781846"/>
    <w:rsid w:val="007819DA"/>
    <w:rsid w:val="00781E05"/>
    <w:rsid w:val="0078205F"/>
    <w:rsid w:val="007822E8"/>
    <w:rsid w:val="007824C9"/>
    <w:rsid w:val="007834FC"/>
    <w:rsid w:val="00783DB4"/>
    <w:rsid w:val="00783E4C"/>
    <w:rsid w:val="0078418B"/>
    <w:rsid w:val="00784450"/>
    <w:rsid w:val="00784D5E"/>
    <w:rsid w:val="00785CFA"/>
    <w:rsid w:val="00785D52"/>
    <w:rsid w:val="00786737"/>
    <w:rsid w:val="00786B25"/>
    <w:rsid w:val="00786CB7"/>
    <w:rsid w:val="00787D0B"/>
    <w:rsid w:val="00787F43"/>
    <w:rsid w:val="00790701"/>
    <w:rsid w:val="00791374"/>
    <w:rsid w:val="0079158B"/>
    <w:rsid w:val="00791C7A"/>
    <w:rsid w:val="0079271D"/>
    <w:rsid w:val="00792F61"/>
    <w:rsid w:val="00793BA7"/>
    <w:rsid w:val="00793CDD"/>
    <w:rsid w:val="007941B3"/>
    <w:rsid w:val="007942A5"/>
    <w:rsid w:val="007947A5"/>
    <w:rsid w:val="00796300"/>
    <w:rsid w:val="007967B9"/>
    <w:rsid w:val="0079690C"/>
    <w:rsid w:val="00796AAC"/>
    <w:rsid w:val="00796AC4"/>
    <w:rsid w:val="00796CF7"/>
    <w:rsid w:val="00797021"/>
    <w:rsid w:val="007A038D"/>
    <w:rsid w:val="007A084F"/>
    <w:rsid w:val="007A1007"/>
    <w:rsid w:val="007A1CBD"/>
    <w:rsid w:val="007A1F17"/>
    <w:rsid w:val="007A2D42"/>
    <w:rsid w:val="007A3010"/>
    <w:rsid w:val="007A4211"/>
    <w:rsid w:val="007A4484"/>
    <w:rsid w:val="007A45F1"/>
    <w:rsid w:val="007A4B16"/>
    <w:rsid w:val="007A53AF"/>
    <w:rsid w:val="007A5B28"/>
    <w:rsid w:val="007A5BC6"/>
    <w:rsid w:val="007A5EEA"/>
    <w:rsid w:val="007A5F84"/>
    <w:rsid w:val="007A6561"/>
    <w:rsid w:val="007A7809"/>
    <w:rsid w:val="007B023E"/>
    <w:rsid w:val="007B041D"/>
    <w:rsid w:val="007B0436"/>
    <w:rsid w:val="007B0FCA"/>
    <w:rsid w:val="007B10B5"/>
    <w:rsid w:val="007B1ADA"/>
    <w:rsid w:val="007B1B15"/>
    <w:rsid w:val="007B1CCF"/>
    <w:rsid w:val="007B1D7D"/>
    <w:rsid w:val="007B2000"/>
    <w:rsid w:val="007B20D6"/>
    <w:rsid w:val="007B302C"/>
    <w:rsid w:val="007B312E"/>
    <w:rsid w:val="007B3F54"/>
    <w:rsid w:val="007B4265"/>
    <w:rsid w:val="007B4867"/>
    <w:rsid w:val="007B5188"/>
    <w:rsid w:val="007B5783"/>
    <w:rsid w:val="007B677D"/>
    <w:rsid w:val="007B711C"/>
    <w:rsid w:val="007B728E"/>
    <w:rsid w:val="007B7788"/>
    <w:rsid w:val="007C0809"/>
    <w:rsid w:val="007C0DB2"/>
    <w:rsid w:val="007C1236"/>
    <w:rsid w:val="007C138B"/>
    <w:rsid w:val="007C2AC1"/>
    <w:rsid w:val="007C3155"/>
    <w:rsid w:val="007C3261"/>
    <w:rsid w:val="007C3933"/>
    <w:rsid w:val="007C3D58"/>
    <w:rsid w:val="007C69A7"/>
    <w:rsid w:val="007C7B39"/>
    <w:rsid w:val="007D0222"/>
    <w:rsid w:val="007D1683"/>
    <w:rsid w:val="007D1921"/>
    <w:rsid w:val="007D23A8"/>
    <w:rsid w:val="007D2A6A"/>
    <w:rsid w:val="007D2A9C"/>
    <w:rsid w:val="007D3048"/>
    <w:rsid w:val="007D35FA"/>
    <w:rsid w:val="007D66BE"/>
    <w:rsid w:val="007D774D"/>
    <w:rsid w:val="007D7865"/>
    <w:rsid w:val="007D7CF3"/>
    <w:rsid w:val="007E0C99"/>
    <w:rsid w:val="007E1359"/>
    <w:rsid w:val="007E1566"/>
    <w:rsid w:val="007E204A"/>
    <w:rsid w:val="007E2A1A"/>
    <w:rsid w:val="007E3412"/>
    <w:rsid w:val="007E38EE"/>
    <w:rsid w:val="007E3AAC"/>
    <w:rsid w:val="007E4E50"/>
    <w:rsid w:val="007E4F80"/>
    <w:rsid w:val="007E552B"/>
    <w:rsid w:val="007E5E93"/>
    <w:rsid w:val="007E687A"/>
    <w:rsid w:val="007E6A09"/>
    <w:rsid w:val="007E71D1"/>
    <w:rsid w:val="007E7622"/>
    <w:rsid w:val="007F0201"/>
    <w:rsid w:val="007F07C9"/>
    <w:rsid w:val="007F0908"/>
    <w:rsid w:val="007F0A34"/>
    <w:rsid w:val="007F10A2"/>
    <w:rsid w:val="007F12D5"/>
    <w:rsid w:val="007F16C6"/>
    <w:rsid w:val="007F1AD0"/>
    <w:rsid w:val="007F25D7"/>
    <w:rsid w:val="007F2C38"/>
    <w:rsid w:val="007F43AA"/>
    <w:rsid w:val="007F46F8"/>
    <w:rsid w:val="007F5802"/>
    <w:rsid w:val="007F5D26"/>
    <w:rsid w:val="007F5F64"/>
    <w:rsid w:val="007F6754"/>
    <w:rsid w:val="007F682E"/>
    <w:rsid w:val="007F6A0B"/>
    <w:rsid w:val="007F6BDA"/>
    <w:rsid w:val="007F6C88"/>
    <w:rsid w:val="007F7558"/>
    <w:rsid w:val="007F7EE3"/>
    <w:rsid w:val="0080028D"/>
    <w:rsid w:val="008008CB"/>
    <w:rsid w:val="00800D20"/>
    <w:rsid w:val="00801E83"/>
    <w:rsid w:val="00803199"/>
    <w:rsid w:val="00803FD6"/>
    <w:rsid w:val="008040DD"/>
    <w:rsid w:val="00804AFF"/>
    <w:rsid w:val="00805330"/>
    <w:rsid w:val="008062B2"/>
    <w:rsid w:val="0080687F"/>
    <w:rsid w:val="008069CF"/>
    <w:rsid w:val="00806CAE"/>
    <w:rsid w:val="00806D7F"/>
    <w:rsid w:val="008077C9"/>
    <w:rsid w:val="008079D8"/>
    <w:rsid w:val="00810181"/>
    <w:rsid w:val="00810C20"/>
    <w:rsid w:val="008111AD"/>
    <w:rsid w:val="00811378"/>
    <w:rsid w:val="00811B9E"/>
    <w:rsid w:val="00812498"/>
    <w:rsid w:val="008127DC"/>
    <w:rsid w:val="00812E96"/>
    <w:rsid w:val="00813B88"/>
    <w:rsid w:val="00813F90"/>
    <w:rsid w:val="0081431A"/>
    <w:rsid w:val="00814DE4"/>
    <w:rsid w:val="00814E02"/>
    <w:rsid w:val="00815452"/>
    <w:rsid w:val="00815760"/>
    <w:rsid w:val="00815B76"/>
    <w:rsid w:val="00816013"/>
    <w:rsid w:val="008168B3"/>
    <w:rsid w:val="0081794F"/>
    <w:rsid w:val="00817A23"/>
    <w:rsid w:val="00820FA1"/>
    <w:rsid w:val="008218CE"/>
    <w:rsid w:val="00821B4F"/>
    <w:rsid w:val="008223CC"/>
    <w:rsid w:val="008225B4"/>
    <w:rsid w:val="00822FD6"/>
    <w:rsid w:val="008231CC"/>
    <w:rsid w:val="00823699"/>
    <w:rsid w:val="008237C5"/>
    <w:rsid w:val="00823D67"/>
    <w:rsid w:val="008247BB"/>
    <w:rsid w:val="008250F2"/>
    <w:rsid w:val="0082513F"/>
    <w:rsid w:val="00825B7C"/>
    <w:rsid w:val="00825C0D"/>
    <w:rsid w:val="00826657"/>
    <w:rsid w:val="008266A5"/>
    <w:rsid w:val="008266F3"/>
    <w:rsid w:val="008269CD"/>
    <w:rsid w:val="00826DA0"/>
    <w:rsid w:val="00826E1B"/>
    <w:rsid w:val="008272A0"/>
    <w:rsid w:val="00827E38"/>
    <w:rsid w:val="008301CE"/>
    <w:rsid w:val="00830A9C"/>
    <w:rsid w:val="008314AC"/>
    <w:rsid w:val="00831AD6"/>
    <w:rsid w:val="00831CDA"/>
    <w:rsid w:val="00831EF5"/>
    <w:rsid w:val="00832D6F"/>
    <w:rsid w:val="00832DEE"/>
    <w:rsid w:val="00832FE4"/>
    <w:rsid w:val="008357EE"/>
    <w:rsid w:val="0083585D"/>
    <w:rsid w:val="00836984"/>
    <w:rsid w:val="00837063"/>
    <w:rsid w:val="008370AE"/>
    <w:rsid w:val="00837238"/>
    <w:rsid w:val="00837285"/>
    <w:rsid w:val="00837595"/>
    <w:rsid w:val="00837A0D"/>
    <w:rsid w:val="0084033E"/>
    <w:rsid w:val="00840369"/>
    <w:rsid w:val="0084042F"/>
    <w:rsid w:val="0084062A"/>
    <w:rsid w:val="00841800"/>
    <w:rsid w:val="0084194D"/>
    <w:rsid w:val="0084289F"/>
    <w:rsid w:val="0084291B"/>
    <w:rsid w:val="00842E70"/>
    <w:rsid w:val="00843687"/>
    <w:rsid w:val="008436D3"/>
    <w:rsid w:val="00843A75"/>
    <w:rsid w:val="00843C84"/>
    <w:rsid w:val="00843FBD"/>
    <w:rsid w:val="00844284"/>
    <w:rsid w:val="00844EA2"/>
    <w:rsid w:val="008450B7"/>
    <w:rsid w:val="008454E5"/>
    <w:rsid w:val="0084636E"/>
    <w:rsid w:val="0084723C"/>
    <w:rsid w:val="00847311"/>
    <w:rsid w:val="00850F25"/>
    <w:rsid w:val="00851A12"/>
    <w:rsid w:val="00851A5C"/>
    <w:rsid w:val="00853512"/>
    <w:rsid w:val="0085353B"/>
    <w:rsid w:val="0085450D"/>
    <w:rsid w:val="008549D6"/>
    <w:rsid w:val="00856575"/>
    <w:rsid w:val="00856B3F"/>
    <w:rsid w:val="00857473"/>
    <w:rsid w:val="0085762A"/>
    <w:rsid w:val="00857744"/>
    <w:rsid w:val="00860394"/>
    <w:rsid w:val="0086068E"/>
    <w:rsid w:val="00861072"/>
    <w:rsid w:val="00861D53"/>
    <w:rsid w:val="008626B0"/>
    <w:rsid w:val="00862B51"/>
    <w:rsid w:val="008632CF"/>
    <w:rsid w:val="00865898"/>
    <w:rsid w:val="00865CF0"/>
    <w:rsid w:val="00865D87"/>
    <w:rsid w:val="00866D4A"/>
    <w:rsid w:val="008670CA"/>
    <w:rsid w:val="008671FB"/>
    <w:rsid w:val="00867BE7"/>
    <w:rsid w:val="00867BFF"/>
    <w:rsid w:val="00867C80"/>
    <w:rsid w:val="00870C0F"/>
    <w:rsid w:val="008710C9"/>
    <w:rsid w:val="008715BC"/>
    <w:rsid w:val="0087189E"/>
    <w:rsid w:val="00871BBA"/>
    <w:rsid w:val="00871D6E"/>
    <w:rsid w:val="0087204F"/>
    <w:rsid w:val="0087259A"/>
    <w:rsid w:val="00873DC1"/>
    <w:rsid w:val="00873E15"/>
    <w:rsid w:val="00873EF8"/>
    <w:rsid w:val="00874D78"/>
    <w:rsid w:val="008756D3"/>
    <w:rsid w:val="00875998"/>
    <w:rsid w:val="00875B06"/>
    <w:rsid w:val="00875C84"/>
    <w:rsid w:val="0087692C"/>
    <w:rsid w:val="00876EDA"/>
    <w:rsid w:val="00877662"/>
    <w:rsid w:val="00877931"/>
    <w:rsid w:val="0088067E"/>
    <w:rsid w:val="008806E3"/>
    <w:rsid w:val="008808DF"/>
    <w:rsid w:val="00880D73"/>
    <w:rsid w:val="00880F55"/>
    <w:rsid w:val="008821EA"/>
    <w:rsid w:val="008823EC"/>
    <w:rsid w:val="008826EB"/>
    <w:rsid w:val="008837C0"/>
    <w:rsid w:val="00883C9A"/>
    <w:rsid w:val="00884231"/>
    <w:rsid w:val="0088438A"/>
    <w:rsid w:val="00884480"/>
    <w:rsid w:val="00884915"/>
    <w:rsid w:val="00884A6B"/>
    <w:rsid w:val="008859A5"/>
    <w:rsid w:val="008860BC"/>
    <w:rsid w:val="008863B3"/>
    <w:rsid w:val="00886B56"/>
    <w:rsid w:val="00886D01"/>
    <w:rsid w:val="0088778B"/>
    <w:rsid w:val="00887E1B"/>
    <w:rsid w:val="008901D8"/>
    <w:rsid w:val="00890211"/>
    <w:rsid w:val="00890942"/>
    <w:rsid w:val="00890A99"/>
    <w:rsid w:val="00890EAE"/>
    <w:rsid w:val="008911A1"/>
    <w:rsid w:val="008911F3"/>
    <w:rsid w:val="00892678"/>
    <w:rsid w:val="0089271B"/>
    <w:rsid w:val="008928A8"/>
    <w:rsid w:val="00892B3B"/>
    <w:rsid w:val="00892D75"/>
    <w:rsid w:val="00892E55"/>
    <w:rsid w:val="00892EBC"/>
    <w:rsid w:val="00892F90"/>
    <w:rsid w:val="0089323D"/>
    <w:rsid w:val="00893437"/>
    <w:rsid w:val="00893C34"/>
    <w:rsid w:val="008945BB"/>
    <w:rsid w:val="008946B4"/>
    <w:rsid w:val="00895135"/>
    <w:rsid w:val="008954AF"/>
    <w:rsid w:val="008955ED"/>
    <w:rsid w:val="0089570E"/>
    <w:rsid w:val="00895F18"/>
    <w:rsid w:val="00896072"/>
    <w:rsid w:val="00896AB8"/>
    <w:rsid w:val="00897B69"/>
    <w:rsid w:val="00897BC9"/>
    <w:rsid w:val="008A0458"/>
    <w:rsid w:val="008A143A"/>
    <w:rsid w:val="008A1879"/>
    <w:rsid w:val="008A2372"/>
    <w:rsid w:val="008A260D"/>
    <w:rsid w:val="008A2733"/>
    <w:rsid w:val="008A323E"/>
    <w:rsid w:val="008A3FC8"/>
    <w:rsid w:val="008A3FFD"/>
    <w:rsid w:val="008A4A01"/>
    <w:rsid w:val="008A4AB4"/>
    <w:rsid w:val="008A4B14"/>
    <w:rsid w:val="008A4B46"/>
    <w:rsid w:val="008A5E01"/>
    <w:rsid w:val="008A7131"/>
    <w:rsid w:val="008A7174"/>
    <w:rsid w:val="008B007B"/>
    <w:rsid w:val="008B0361"/>
    <w:rsid w:val="008B057A"/>
    <w:rsid w:val="008B0D03"/>
    <w:rsid w:val="008B199C"/>
    <w:rsid w:val="008B2009"/>
    <w:rsid w:val="008B2A33"/>
    <w:rsid w:val="008B3143"/>
    <w:rsid w:val="008B34E8"/>
    <w:rsid w:val="008B3500"/>
    <w:rsid w:val="008B3B1B"/>
    <w:rsid w:val="008B43DB"/>
    <w:rsid w:val="008B467B"/>
    <w:rsid w:val="008B46DC"/>
    <w:rsid w:val="008B5105"/>
    <w:rsid w:val="008B51AF"/>
    <w:rsid w:val="008B52F5"/>
    <w:rsid w:val="008B559F"/>
    <w:rsid w:val="008B5D2A"/>
    <w:rsid w:val="008B5DA2"/>
    <w:rsid w:val="008B6134"/>
    <w:rsid w:val="008B61C6"/>
    <w:rsid w:val="008B63BC"/>
    <w:rsid w:val="008B6A30"/>
    <w:rsid w:val="008B6B9F"/>
    <w:rsid w:val="008B7109"/>
    <w:rsid w:val="008B788C"/>
    <w:rsid w:val="008B78DF"/>
    <w:rsid w:val="008C00E1"/>
    <w:rsid w:val="008C054B"/>
    <w:rsid w:val="008C1DE7"/>
    <w:rsid w:val="008C2495"/>
    <w:rsid w:val="008C25CE"/>
    <w:rsid w:val="008C25E3"/>
    <w:rsid w:val="008C3687"/>
    <w:rsid w:val="008C3D9E"/>
    <w:rsid w:val="008C449D"/>
    <w:rsid w:val="008C44A8"/>
    <w:rsid w:val="008C4564"/>
    <w:rsid w:val="008C4A5D"/>
    <w:rsid w:val="008C4AFD"/>
    <w:rsid w:val="008C4EC2"/>
    <w:rsid w:val="008C5AA8"/>
    <w:rsid w:val="008C5B5D"/>
    <w:rsid w:val="008C5D80"/>
    <w:rsid w:val="008C60D9"/>
    <w:rsid w:val="008C621C"/>
    <w:rsid w:val="008C64AD"/>
    <w:rsid w:val="008C6524"/>
    <w:rsid w:val="008C7179"/>
    <w:rsid w:val="008C754F"/>
    <w:rsid w:val="008D0B98"/>
    <w:rsid w:val="008D1074"/>
    <w:rsid w:val="008D1A01"/>
    <w:rsid w:val="008D32D4"/>
    <w:rsid w:val="008D3B99"/>
    <w:rsid w:val="008D438B"/>
    <w:rsid w:val="008D4423"/>
    <w:rsid w:val="008D44B0"/>
    <w:rsid w:val="008D4E33"/>
    <w:rsid w:val="008D4F73"/>
    <w:rsid w:val="008D5C94"/>
    <w:rsid w:val="008D6343"/>
    <w:rsid w:val="008D6462"/>
    <w:rsid w:val="008D6617"/>
    <w:rsid w:val="008D698D"/>
    <w:rsid w:val="008D6B62"/>
    <w:rsid w:val="008D6B82"/>
    <w:rsid w:val="008D6F52"/>
    <w:rsid w:val="008D7046"/>
    <w:rsid w:val="008D7E66"/>
    <w:rsid w:val="008E0449"/>
    <w:rsid w:val="008E096D"/>
    <w:rsid w:val="008E0C25"/>
    <w:rsid w:val="008E0D9A"/>
    <w:rsid w:val="008E0E3B"/>
    <w:rsid w:val="008E1A1A"/>
    <w:rsid w:val="008E2FB3"/>
    <w:rsid w:val="008E4ADB"/>
    <w:rsid w:val="008E4E92"/>
    <w:rsid w:val="008E505C"/>
    <w:rsid w:val="008E50B8"/>
    <w:rsid w:val="008E59E9"/>
    <w:rsid w:val="008E5A0D"/>
    <w:rsid w:val="008E5B94"/>
    <w:rsid w:val="008E5C12"/>
    <w:rsid w:val="008E6095"/>
    <w:rsid w:val="008E692E"/>
    <w:rsid w:val="008E6DBF"/>
    <w:rsid w:val="008E7016"/>
    <w:rsid w:val="008F0906"/>
    <w:rsid w:val="008F1798"/>
    <w:rsid w:val="008F1E85"/>
    <w:rsid w:val="008F20EA"/>
    <w:rsid w:val="008F2369"/>
    <w:rsid w:val="008F253C"/>
    <w:rsid w:val="008F2C76"/>
    <w:rsid w:val="008F320C"/>
    <w:rsid w:val="008F388A"/>
    <w:rsid w:val="008F3B62"/>
    <w:rsid w:val="008F4836"/>
    <w:rsid w:val="008F50B8"/>
    <w:rsid w:val="008F5794"/>
    <w:rsid w:val="008F5A28"/>
    <w:rsid w:val="008F60AE"/>
    <w:rsid w:val="008F664C"/>
    <w:rsid w:val="008F6E86"/>
    <w:rsid w:val="008F76DC"/>
    <w:rsid w:val="008F7A80"/>
    <w:rsid w:val="00900254"/>
    <w:rsid w:val="009004DB"/>
    <w:rsid w:val="00900941"/>
    <w:rsid w:val="00901779"/>
    <w:rsid w:val="00901791"/>
    <w:rsid w:val="00901991"/>
    <w:rsid w:val="00902045"/>
    <w:rsid w:val="00903398"/>
    <w:rsid w:val="009033FB"/>
    <w:rsid w:val="00903A5A"/>
    <w:rsid w:val="00903F05"/>
    <w:rsid w:val="00904CFB"/>
    <w:rsid w:val="00905ECA"/>
    <w:rsid w:val="009064D0"/>
    <w:rsid w:val="0090662F"/>
    <w:rsid w:val="0090790D"/>
    <w:rsid w:val="00907F9A"/>
    <w:rsid w:val="0091060C"/>
    <w:rsid w:val="00910E6B"/>
    <w:rsid w:val="009111E6"/>
    <w:rsid w:val="0091189A"/>
    <w:rsid w:val="00911EBE"/>
    <w:rsid w:val="00912979"/>
    <w:rsid w:val="00912C73"/>
    <w:rsid w:val="0091315D"/>
    <w:rsid w:val="00913547"/>
    <w:rsid w:val="00913697"/>
    <w:rsid w:val="0091377D"/>
    <w:rsid w:val="0091389D"/>
    <w:rsid w:val="00913AEE"/>
    <w:rsid w:val="0091420A"/>
    <w:rsid w:val="00914284"/>
    <w:rsid w:val="0091451B"/>
    <w:rsid w:val="00914522"/>
    <w:rsid w:val="00914974"/>
    <w:rsid w:val="00914BE7"/>
    <w:rsid w:val="00914D3E"/>
    <w:rsid w:val="00914ED6"/>
    <w:rsid w:val="00914EFC"/>
    <w:rsid w:val="00914F94"/>
    <w:rsid w:val="00914FD0"/>
    <w:rsid w:val="009156D7"/>
    <w:rsid w:val="009171C2"/>
    <w:rsid w:val="0091732F"/>
    <w:rsid w:val="00917DBE"/>
    <w:rsid w:val="00917E71"/>
    <w:rsid w:val="009213B2"/>
    <w:rsid w:val="00921463"/>
    <w:rsid w:val="00921732"/>
    <w:rsid w:val="0092176C"/>
    <w:rsid w:val="0092180E"/>
    <w:rsid w:val="00921AEE"/>
    <w:rsid w:val="00921B8D"/>
    <w:rsid w:val="00921C44"/>
    <w:rsid w:val="00921EA7"/>
    <w:rsid w:val="0092246A"/>
    <w:rsid w:val="009225C7"/>
    <w:rsid w:val="00922868"/>
    <w:rsid w:val="009229B4"/>
    <w:rsid w:val="00922AC9"/>
    <w:rsid w:val="0092327C"/>
    <w:rsid w:val="009232AD"/>
    <w:rsid w:val="009237CC"/>
    <w:rsid w:val="00924101"/>
    <w:rsid w:val="00924D9E"/>
    <w:rsid w:val="0092635B"/>
    <w:rsid w:val="009268FE"/>
    <w:rsid w:val="00926AE6"/>
    <w:rsid w:val="00926FDB"/>
    <w:rsid w:val="00927111"/>
    <w:rsid w:val="00927DDA"/>
    <w:rsid w:val="00930240"/>
    <w:rsid w:val="009308A4"/>
    <w:rsid w:val="0093095A"/>
    <w:rsid w:val="009310BF"/>
    <w:rsid w:val="009315D9"/>
    <w:rsid w:val="0093170A"/>
    <w:rsid w:val="0093173C"/>
    <w:rsid w:val="009320B9"/>
    <w:rsid w:val="009326CF"/>
    <w:rsid w:val="00932F43"/>
    <w:rsid w:val="009338CB"/>
    <w:rsid w:val="009348D4"/>
    <w:rsid w:val="00934904"/>
    <w:rsid w:val="0093490E"/>
    <w:rsid w:val="0093615C"/>
    <w:rsid w:val="00936636"/>
    <w:rsid w:val="0093667F"/>
    <w:rsid w:val="00937291"/>
    <w:rsid w:val="00937BBE"/>
    <w:rsid w:val="009400D5"/>
    <w:rsid w:val="00940492"/>
    <w:rsid w:val="00940968"/>
    <w:rsid w:val="0094144E"/>
    <w:rsid w:val="00942630"/>
    <w:rsid w:val="009427B9"/>
    <w:rsid w:val="009427E0"/>
    <w:rsid w:val="009430DF"/>
    <w:rsid w:val="00943238"/>
    <w:rsid w:val="009444BE"/>
    <w:rsid w:val="00944A64"/>
    <w:rsid w:val="00944B43"/>
    <w:rsid w:val="00944BF7"/>
    <w:rsid w:val="00944C77"/>
    <w:rsid w:val="00945A70"/>
    <w:rsid w:val="00946067"/>
    <w:rsid w:val="009472C7"/>
    <w:rsid w:val="00947A4F"/>
    <w:rsid w:val="00947C63"/>
    <w:rsid w:val="00947F2A"/>
    <w:rsid w:val="0095016E"/>
    <w:rsid w:val="009506C1"/>
    <w:rsid w:val="0095162F"/>
    <w:rsid w:val="009522B8"/>
    <w:rsid w:val="009538D3"/>
    <w:rsid w:val="00953EE8"/>
    <w:rsid w:val="00954129"/>
    <w:rsid w:val="009541D7"/>
    <w:rsid w:val="0095487D"/>
    <w:rsid w:val="00955411"/>
    <w:rsid w:val="00955D3F"/>
    <w:rsid w:val="00955DEF"/>
    <w:rsid w:val="009569A6"/>
    <w:rsid w:val="00956A02"/>
    <w:rsid w:val="00956A23"/>
    <w:rsid w:val="009576E7"/>
    <w:rsid w:val="00957B63"/>
    <w:rsid w:val="00957C03"/>
    <w:rsid w:val="009609C6"/>
    <w:rsid w:val="0096151C"/>
    <w:rsid w:val="00961542"/>
    <w:rsid w:val="0096172A"/>
    <w:rsid w:val="009624D0"/>
    <w:rsid w:val="00962556"/>
    <w:rsid w:val="009625ED"/>
    <w:rsid w:val="00962B73"/>
    <w:rsid w:val="00962ECF"/>
    <w:rsid w:val="00963CAE"/>
    <w:rsid w:val="00964A5B"/>
    <w:rsid w:val="009652B6"/>
    <w:rsid w:val="00965B1F"/>
    <w:rsid w:val="00965BB7"/>
    <w:rsid w:val="009668F9"/>
    <w:rsid w:val="00966954"/>
    <w:rsid w:val="00966B7E"/>
    <w:rsid w:val="00966BB0"/>
    <w:rsid w:val="0096765B"/>
    <w:rsid w:val="00967A2E"/>
    <w:rsid w:val="00970963"/>
    <w:rsid w:val="00970D68"/>
    <w:rsid w:val="00970F65"/>
    <w:rsid w:val="009726E5"/>
    <w:rsid w:val="00972A8F"/>
    <w:rsid w:val="00972EC0"/>
    <w:rsid w:val="00972F16"/>
    <w:rsid w:val="009731D9"/>
    <w:rsid w:val="009734AD"/>
    <w:rsid w:val="009736F0"/>
    <w:rsid w:val="0097379B"/>
    <w:rsid w:val="00974652"/>
    <w:rsid w:val="009746AC"/>
    <w:rsid w:val="0097485D"/>
    <w:rsid w:val="00974AD9"/>
    <w:rsid w:val="00974DAE"/>
    <w:rsid w:val="00974EB8"/>
    <w:rsid w:val="009758CA"/>
    <w:rsid w:val="0097648B"/>
    <w:rsid w:val="00976660"/>
    <w:rsid w:val="00976C3B"/>
    <w:rsid w:val="00976E77"/>
    <w:rsid w:val="0097718B"/>
    <w:rsid w:val="0097774A"/>
    <w:rsid w:val="0098006E"/>
    <w:rsid w:val="00980D2A"/>
    <w:rsid w:val="00981B51"/>
    <w:rsid w:val="009826D8"/>
    <w:rsid w:val="0098281F"/>
    <w:rsid w:val="00983B56"/>
    <w:rsid w:val="00983C37"/>
    <w:rsid w:val="0098402F"/>
    <w:rsid w:val="009844AD"/>
    <w:rsid w:val="00984E1A"/>
    <w:rsid w:val="00984ED8"/>
    <w:rsid w:val="00984F3E"/>
    <w:rsid w:val="00985124"/>
    <w:rsid w:val="00985B4B"/>
    <w:rsid w:val="00985C7A"/>
    <w:rsid w:val="00986781"/>
    <w:rsid w:val="009867CB"/>
    <w:rsid w:val="0098697F"/>
    <w:rsid w:val="009869A2"/>
    <w:rsid w:val="00986D1B"/>
    <w:rsid w:val="0098759A"/>
    <w:rsid w:val="009877AA"/>
    <w:rsid w:val="00990D98"/>
    <w:rsid w:val="009914AB"/>
    <w:rsid w:val="00992794"/>
    <w:rsid w:val="00993276"/>
    <w:rsid w:val="00993BC6"/>
    <w:rsid w:val="00994291"/>
    <w:rsid w:val="00994BDB"/>
    <w:rsid w:val="009951CD"/>
    <w:rsid w:val="00995831"/>
    <w:rsid w:val="009958E4"/>
    <w:rsid w:val="00995AB5"/>
    <w:rsid w:val="0099664E"/>
    <w:rsid w:val="0099705B"/>
    <w:rsid w:val="00997FB4"/>
    <w:rsid w:val="009A02D0"/>
    <w:rsid w:val="009A04B1"/>
    <w:rsid w:val="009A0A68"/>
    <w:rsid w:val="009A170D"/>
    <w:rsid w:val="009A3083"/>
    <w:rsid w:val="009A36D5"/>
    <w:rsid w:val="009A3B7C"/>
    <w:rsid w:val="009A4A18"/>
    <w:rsid w:val="009A4D2C"/>
    <w:rsid w:val="009A539E"/>
    <w:rsid w:val="009A587C"/>
    <w:rsid w:val="009A5AB2"/>
    <w:rsid w:val="009A5C56"/>
    <w:rsid w:val="009A64FD"/>
    <w:rsid w:val="009A65E0"/>
    <w:rsid w:val="009A6FE9"/>
    <w:rsid w:val="009A7699"/>
    <w:rsid w:val="009B040F"/>
    <w:rsid w:val="009B1BA8"/>
    <w:rsid w:val="009B1D55"/>
    <w:rsid w:val="009B1F00"/>
    <w:rsid w:val="009B1F64"/>
    <w:rsid w:val="009B2A77"/>
    <w:rsid w:val="009B3807"/>
    <w:rsid w:val="009B44B8"/>
    <w:rsid w:val="009B5313"/>
    <w:rsid w:val="009B54D3"/>
    <w:rsid w:val="009B563D"/>
    <w:rsid w:val="009B5717"/>
    <w:rsid w:val="009B5A18"/>
    <w:rsid w:val="009B5A88"/>
    <w:rsid w:val="009B6711"/>
    <w:rsid w:val="009B6CFA"/>
    <w:rsid w:val="009B7414"/>
    <w:rsid w:val="009B7531"/>
    <w:rsid w:val="009C00A6"/>
    <w:rsid w:val="009C0CE1"/>
    <w:rsid w:val="009C0D9A"/>
    <w:rsid w:val="009C0FAB"/>
    <w:rsid w:val="009C135E"/>
    <w:rsid w:val="009C19D2"/>
    <w:rsid w:val="009C1AF2"/>
    <w:rsid w:val="009C20E5"/>
    <w:rsid w:val="009C282E"/>
    <w:rsid w:val="009C3110"/>
    <w:rsid w:val="009C3B1C"/>
    <w:rsid w:val="009C41E6"/>
    <w:rsid w:val="009C4886"/>
    <w:rsid w:val="009C4EA4"/>
    <w:rsid w:val="009C5166"/>
    <w:rsid w:val="009C7043"/>
    <w:rsid w:val="009D0440"/>
    <w:rsid w:val="009D1C0A"/>
    <w:rsid w:val="009D1D75"/>
    <w:rsid w:val="009D2904"/>
    <w:rsid w:val="009D2A63"/>
    <w:rsid w:val="009D2C4B"/>
    <w:rsid w:val="009D3A78"/>
    <w:rsid w:val="009D58B8"/>
    <w:rsid w:val="009D5CAF"/>
    <w:rsid w:val="009D5DE3"/>
    <w:rsid w:val="009D642C"/>
    <w:rsid w:val="009D6776"/>
    <w:rsid w:val="009D7A38"/>
    <w:rsid w:val="009D7A57"/>
    <w:rsid w:val="009D7BCB"/>
    <w:rsid w:val="009E0253"/>
    <w:rsid w:val="009E0289"/>
    <w:rsid w:val="009E0ACD"/>
    <w:rsid w:val="009E0B65"/>
    <w:rsid w:val="009E1418"/>
    <w:rsid w:val="009E1887"/>
    <w:rsid w:val="009E25CC"/>
    <w:rsid w:val="009E274B"/>
    <w:rsid w:val="009E2A39"/>
    <w:rsid w:val="009E3F70"/>
    <w:rsid w:val="009E3F7D"/>
    <w:rsid w:val="009E50D8"/>
    <w:rsid w:val="009E58BF"/>
    <w:rsid w:val="009E5E88"/>
    <w:rsid w:val="009E63F6"/>
    <w:rsid w:val="009E6522"/>
    <w:rsid w:val="009E68C3"/>
    <w:rsid w:val="009E6E1F"/>
    <w:rsid w:val="009E7B84"/>
    <w:rsid w:val="009E7BE8"/>
    <w:rsid w:val="009F0090"/>
    <w:rsid w:val="009F02E4"/>
    <w:rsid w:val="009F0635"/>
    <w:rsid w:val="009F1B36"/>
    <w:rsid w:val="009F1C85"/>
    <w:rsid w:val="009F2009"/>
    <w:rsid w:val="009F21FA"/>
    <w:rsid w:val="009F27B1"/>
    <w:rsid w:val="009F2B65"/>
    <w:rsid w:val="009F3743"/>
    <w:rsid w:val="009F378E"/>
    <w:rsid w:val="009F43F5"/>
    <w:rsid w:val="009F538C"/>
    <w:rsid w:val="009F5D78"/>
    <w:rsid w:val="009F61F7"/>
    <w:rsid w:val="009F6A52"/>
    <w:rsid w:val="009F6BC8"/>
    <w:rsid w:val="009F6F10"/>
    <w:rsid w:val="00A006D1"/>
    <w:rsid w:val="00A007E4"/>
    <w:rsid w:val="00A010F4"/>
    <w:rsid w:val="00A01C2F"/>
    <w:rsid w:val="00A01E5E"/>
    <w:rsid w:val="00A035F0"/>
    <w:rsid w:val="00A04904"/>
    <w:rsid w:val="00A04C90"/>
    <w:rsid w:val="00A04CA8"/>
    <w:rsid w:val="00A06522"/>
    <w:rsid w:val="00A065DE"/>
    <w:rsid w:val="00A07538"/>
    <w:rsid w:val="00A0754F"/>
    <w:rsid w:val="00A075EB"/>
    <w:rsid w:val="00A0791E"/>
    <w:rsid w:val="00A10390"/>
    <w:rsid w:val="00A109DC"/>
    <w:rsid w:val="00A10C43"/>
    <w:rsid w:val="00A116D2"/>
    <w:rsid w:val="00A12197"/>
    <w:rsid w:val="00A124BF"/>
    <w:rsid w:val="00A12873"/>
    <w:rsid w:val="00A12947"/>
    <w:rsid w:val="00A12A9F"/>
    <w:rsid w:val="00A12C8E"/>
    <w:rsid w:val="00A13808"/>
    <w:rsid w:val="00A141E5"/>
    <w:rsid w:val="00A15200"/>
    <w:rsid w:val="00A15CEF"/>
    <w:rsid w:val="00A16115"/>
    <w:rsid w:val="00A17739"/>
    <w:rsid w:val="00A17BF7"/>
    <w:rsid w:val="00A20595"/>
    <w:rsid w:val="00A20924"/>
    <w:rsid w:val="00A21848"/>
    <w:rsid w:val="00A21A24"/>
    <w:rsid w:val="00A21B3A"/>
    <w:rsid w:val="00A21D55"/>
    <w:rsid w:val="00A21DF6"/>
    <w:rsid w:val="00A221EE"/>
    <w:rsid w:val="00A224EC"/>
    <w:rsid w:val="00A22C5D"/>
    <w:rsid w:val="00A23AC2"/>
    <w:rsid w:val="00A23D0D"/>
    <w:rsid w:val="00A24BAE"/>
    <w:rsid w:val="00A25913"/>
    <w:rsid w:val="00A25B2D"/>
    <w:rsid w:val="00A26726"/>
    <w:rsid w:val="00A267D9"/>
    <w:rsid w:val="00A26D04"/>
    <w:rsid w:val="00A26E24"/>
    <w:rsid w:val="00A2756B"/>
    <w:rsid w:val="00A27F43"/>
    <w:rsid w:val="00A30313"/>
    <w:rsid w:val="00A30801"/>
    <w:rsid w:val="00A3097E"/>
    <w:rsid w:val="00A31267"/>
    <w:rsid w:val="00A326E6"/>
    <w:rsid w:val="00A329E3"/>
    <w:rsid w:val="00A3478D"/>
    <w:rsid w:val="00A34A2C"/>
    <w:rsid w:val="00A34FE6"/>
    <w:rsid w:val="00A350CA"/>
    <w:rsid w:val="00A35114"/>
    <w:rsid w:val="00A35136"/>
    <w:rsid w:val="00A359EF"/>
    <w:rsid w:val="00A35E99"/>
    <w:rsid w:val="00A36211"/>
    <w:rsid w:val="00A3698E"/>
    <w:rsid w:val="00A36C7F"/>
    <w:rsid w:val="00A37651"/>
    <w:rsid w:val="00A37B73"/>
    <w:rsid w:val="00A37F1F"/>
    <w:rsid w:val="00A4021E"/>
    <w:rsid w:val="00A40611"/>
    <w:rsid w:val="00A40769"/>
    <w:rsid w:val="00A40DB1"/>
    <w:rsid w:val="00A4235F"/>
    <w:rsid w:val="00A42513"/>
    <w:rsid w:val="00A42A6C"/>
    <w:rsid w:val="00A42C91"/>
    <w:rsid w:val="00A43895"/>
    <w:rsid w:val="00A44494"/>
    <w:rsid w:val="00A445A8"/>
    <w:rsid w:val="00A44812"/>
    <w:rsid w:val="00A44A96"/>
    <w:rsid w:val="00A45391"/>
    <w:rsid w:val="00A45735"/>
    <w:rsid w:val="00A4777C"/>
    <w:rsid w:val="00A4782C"/>
    <w:rsid w:val="00A47875"/>
    <w:rsid w:val="00A501A9"/>
    <w:rsid w:val="00A50574"/>
    <w:rsid w:val="00A50C02"/>
    <w:rsid w:val="00A516EF"/>
    <w:rsid w:val="00A51A26"/>
    <w:rsid w:val="00A51EEB"/>
    <w:rsid w:val="00A52727"/>
    <w:rsid w:val="00A52C50"/>
    <w:rsid w:val="00A52D54"/>
    <w:rsid w:val="00A52D9D"/>
    <w:rsid w:val="00A52DD2"/>
    <w:rsid w:val="00A532B7"/>
    <w:rsid w:val="00A5350F"/>
    <w:rsid w:val="00A53607"/>
    <w:rsid w:val="00A53F1F"/>
    <w:rsid w:val="00A542DD"/>
    <w:rsid w:val="00A555DD"/>
    <w:rsid w:val="00A57613"/>
    <w:rsid w:val="00A57693"/>
    <w:rsid w:val="00A5778E"/>
    <w:rsid w:val="00A57D21"/>
    <w:rsid w:val="00A6125B"/>
    <w:rsid w:val="00A6149A"/>
    <w:rsid w:val="00A61852"/>
    <w:rsid w:val="00A61925"/>
    <w:rsid w:val="00A61AD5"/>
    <w:rsid w:val="00A61B2F"/>
    <w:rsid w:val="00A61BBD"/>
    <w:rsid w:val="00A620F5"/>
    <w:rsid w:val="00A63324"/>
    <w:rsid w:val="00A640E9"/>
    <w:rsid w:val="00A64455"/>
    <w:rsid w:val="00A66562"/>
    <w:rsid w:val="00A667C2"/>
    <w:rsid w:val="00A66C28"/>
    <w:rsid w:val="00A66C42"/>
    <w:rsid w:val="00A67577"/>
    <w:rsid w:val="00A67763"/>
    <w:rsid w:val="00A70854"/>
    <w:rsid w:val="00A70BDD"/>
    <w:rsid w:val="00A716C0"/>
    <w:rsid w:val="00A71957"/>
    <w:rsid w:val="00A7203C"/>
    <w:rsid w:val="00A725C7"/>
    <w:rsid w:val="00A72D0B"/>
    <w:rsid w:val="00A72E5F"/>
    <w:rsid w:val="00A72F19"/>
    <w:rsid w:val="00A74173"/>
    <w:rsid w:val="00A74E3F"/>
    <w:rsid w:val="00A7571B"/>
    <w:rsid w:val="00A7583D"/>
    <w:rsid w:val="00A75BB5"/>
    <w:rsid w:val="00A7619A"/>
    <w:rsid w:val="00A76381"/>
    <w:rsid w:val="00A76598"/>
    <w:rsid w:val="00A76648"/>
    <w:rsid w:val="00A76AF2"/>
    <w:rsid w:val="00A80F6D"/>
    <w:rsid w:val="00A81360"/>
    <w:rsid w:val="00A816FB"/>
    <w:rsid w:val="00A81BB3"/>
    <w:rsid w:val="00A820A1"/>
    <w:rsid w:val="00A84654"/>
    <w:rsid w:val="00A84681"/>
    <w:rsid w:val="00A84D07"/>
    <w:rsid w:val="00A850B0"/>
    <w:rsid w:val="00A85B02"/>
    <w:rsid w:val="00A85B28"/>
    <w:rsid w:val="00A866DD"/>
    <w:rsid w:val="00A8700F"/>
    <w:rsid w:val="00A87935"/>
    <w:rsid w:val="00A901F0"/>
    <w:rsid w:val="00A90428"/>
    <w:rsid w:val="00A90977"/>
    <w:rsid w:val="00A910CE"/>
    <w:rsid w:val="00A910D3"/>
    <w:rsid w:val="00A9173F"/>
    <w:rsid w:val="00A919AA"/>
    <w:rsid w:val="00A926FA"/>
    <w:rsid w:val="00A931C4"/>
    <w:rsid w:val="00A93220"/>
    <w:rsid w:val="00A93ED4"/>
    <w:rsid w:val="00A94984"/>
    <w:rsid w:val="00A94D98"/>
    <w:rsid w:val="00A94E1E"/>
    <w:rsid w:val="00A962E3"/>
    <w:rsid w:val="00A963A7"/>
    <w:rsid w:val="00A9651C"/>
    <w:rsid w:val="00A96BC6"/>
    <w:rsid w:val="00A97DCC"/>
    <w:rsid w:val="00AA02F0"/>
    <w:rsid w:val="00AA0755"/>
    <w:rsid w:val="00AA1330"/>
    <w:rsid w:val="00AA17AC"/>
    <w:rsid w:val="00AA21C6"/>
    <w:rsid w:val="00AA2268"/>
    <w:rsid w:val="00AA2B57"/>
    <w:rsid w:val="00AA2C2F"/>
    <w:rsid w:val="00AA3373"/>
    <w:rsid w:val="00AA38F9"/>
    <w:rsid w:val="00AA42FD"/>
    <w:rsid w:val="00AA4616"/>
    <w:rsid w:val="00AA4BB0"/>
    <w:rsid w:val="00AA554E"/>
    <w:rsid w:val="00AA5BBC"/>
    <w:rsid w:val="00AA5C33"/>
    <w:rsid w:val="00AA6712"/>
    <w:rsid w:val="00AA6EE7"/>
    <w:rsid w:val="00AA7257"/>
    <w:rsid w:val="00AA73D3"/>
    <w:rsid w:val="00AB02E7"/>
    <w:rsid w:val="00AB0482"/>
    <w:rsid w:val="00AB04CF"/>
    <w:rsid w:val="00AB11B4"/>
    <w:rsid w:val="00AB1A56"/>
    <w:rsid w:val="00AB1DAD"/>
    <w:rsid w:val="00AB2856"/>
    <w:rsid w:val="00AB328B"/>
    <w:rsid w:val="00AB3BB0"/>
    <w:rsid w:val="00AB45C5"/>
    <w:rsid w:val="00AB494A"/>
    <w:rsid w:val="00AB4BA2"/>
    <w:rsid w:val="00AB4C68"/>
    <w:rsid w:val="00AB502D"/>
    <w:rsid w:val="00AB5404"/>
    <w:rsid w:val="00AB62C7"/>
    <w:rsid w:val="00AB6B00"/>
    <w:rsid w:val="00AC01AC"/>
    <w:rsid w:val="00AC07A0"/>
    <w:rsid w:val="00AC0910"/>
    <w:rsid w:val="00AC1302"/>
    <w:rsid w:val="00AC1489"/>
    <w:rsid w:val="00AC151F"/>
    <w:rsid w:val="00AC2252"/>
    <w:rsid w:val="00AC2CBE"/>
    <w:rsid w:val="00AC2CF4"/>
    <w:rsid w:val="00AC3681"/>
    <w:rsid w:val="00AC36F8"/>
    <w:rsid w:val="00AC41DC"/>
    <w:rsid w:val="00AC43E0"/>
    <w:rsid w:val="00AC6C9F"/>
    <w:rsid w:val="00AC6E21"/>
    <w:rsid w:val="00AC70ED"/>
    <w:rsid w:val="00AC7595"/>
    <w:rsid w:val="00AC79A8"/>
    <w:rsid w:val="00AC7C36"/>
    <w:rsid w:val="00AD0106"/>
    <w:rsid w:val="00AD05D3"/>
    <w:rsid w:val="00AD0606"/>
    <w:rsid w:val="00AD0771"/>
    <w:rsid w:val="00AD0944"/>
    <w:rsid w:val="00AD15DC"/>
    <w:rsid w:val="00AD230E"/>
    <w:rsid w:val="00AD28D5"/>
    <w:rsid w:val="00AD2CA0"/>
    <w:rsid w:val="00AD2DCB"/>
    <w:rsid w:val="00AD3B89"/>
    <w:rsid w:val="00AD4089"/>
    <w:rsid w:val="00AD48AC"/>
    <w:rsid w:val="00AD4BF8"/>
    <w:rsid w:val="00AD55B1"/>
    <w:rsid w:val="00AD5DFB"/>
    <w:rsid w:val="00AD62A6"/>
    <w:rsid w:val="00AD6637"/>
    <w:rsid w:val="00AD69DF"/>
    <w:rsid w:val="00AD6DCB"/>
    <w:rsid w:val="00AD6EC8"/>
    <w:rsid w:val="00AD77ED"/>
    <w:rsid w:val="00AD7C8C"/>
    <w:rsid w:val="00AE1A05"/>
    <w:rsid w:val="00AE20C6"/>
    <w:rsid w:val="00AE286E"/>
    <w:rsid w:val="00AE2950"/>
    <w:rsid w:val="00AE2C5E"/>
    <w:rsid w:val="00AE32F2"/>
    <w:rsid w:val="00AE3B3F"/>
    <w:rsid w:val="00AE3E74"/>
    <w:rsid w:val="00AE459E"/>
    <w:rsid w:val="00AE4D7E"/>
    <w:rsid w:val="00AE50E4"/>
    <w:rsid w:val="00AE6537"/>
    <w:rsid w:val="00AE6800"/>
    <w:rsid w:val="00AE6F23"/>
    <w:rsid w:val="00AE7485"/>
    <w:rsid w:val="00AF09DD"/>
    <w:rsid w:val="00AF11D4"/>
    <w:rsid w:val="00AF1651"/>
    <w:rsid w:val="00AF1F16"/>
    <w:rsid w:val="00AF1F20"/>
    <w:rsid w:val="00AF25FC"/>
    <w:rsid w:val="00AF2C22"/>
    <w:rsid w:val="00AF3507"/>
    <w:rsid w:val="00AF3C19"/>
    <w:rsid w:val="00AF4952"/>
    <w:rsid w:val="00AF5619"/>
    <w:rsid w:val="00AF5A76"/>
    <w:rsid w:val="00AF5E5C"/>
    <w:rsid w:val="00AF62E7"/>
    <w:rsid w:val="00AF6451"/>
    <w:rsid w:val="00AF6568"/>
    <w:rsid w:val="00AF69DC"/>
    <w:rsid w:val="00AF6AFA"/>
    <w:rsid w:val="00AF764D"/>
    <w:rsid w:val="00AF7A5A"/>
    <w:rsid w:val="00AF7B85"/>
    <w:rsid w:val="00AF7BC2"/>
    <w:rsid w:val="00B00139"/>
    <w:rsid w:val="00B0167E"/>
    <w:rsid w:val="00B01912"/>
    <w:rsid w:val="00B01D8A"/>
    <w:rsid w:val="00B022A1"/>
    <w:rsid w:val="00B02590"/>
    <w:rsid w:val="00B029D9"/>
    <w:rsid w:val="00B02B22"/>
    <w:rsid w:val="00B02DA1"/>
    <w:rsid w:val="00B034F2"/>
    <w:rsid w:val="00B036A2"/>
    <w:rsid w:val="00B03CF8"/>
    <w:rsid w:val="00B03E35"/>
    <w:rsid w:val="00B04F09"/>
    <w:rsid w:val="00B05766"/>
    <w:rsid w:val="00B05DF4"/>
    <w:rsid w:val="00B062E7"/>
    <w:rsid w:val="00B06A8D"/>
    <w:rsid w:val="00B07586"/>
    <w:rsid w:val="00B075F3"/>
    <w:rsid w:val="00B077ED"/>
    <w:rsid w:val="00B07C81"/>
    <w:rsid w:val="00B07D25"/>
    <w:rsid w:val="00B07E3D"/>
    <w:rsid w:val="00B10067"/>
    <w:rsid w:val="00B103A9"/>
    <w:rsid w:val="00B10B13"/>
    <w:rsid w:val="00B11913"/>
    <w:rsid w:val="00B11B4C"/>
    <w:rsid w:val="00B11D48"/>
    <w:rsid w:val="00B11D63"/>
    <w:rsid w:val="00B12035"/>
    <w:rsid w:val="00B12201"/>
    <w:rsid w:val="00B125D4"/>
    <w:rsid w:val="00B1269C"/>
    <w:rsid w:val="00B1295A"/>
    <w:rsid w:val="00B13141"/>
    <w:rsid w:val="00B1321D"/>
    <w:rsid w:val="00B13620"/>
    <w:rsid w:val="00B13769"/>
    <w:rsid w:val="00B1422D"/>
    <w:rsid w:val="00B1467D"/>
    <w:rsid w:val="00B14841"/>
    <w:rsid w:val="00B14D50"/>
    <w:rsid w:val="00B155A8"/>
    <w:rsid w:val="00B15BB3"/>
    <w:rsid w:val="00B15D01"/>
    <w:rsid w:val="00B1618F"/>
    <w:rsid w:val="00B1640F"/>
    <w:rsid w:val="00B16E1B"/>
    <w:rsid w:val="00B16F07"/>
    <w:rsid w:val="00B17270"/>
    <w:rsid w:val="00B17FEF"/>
    <w:rsid w:val="00B20255"/>
    <w:rsid w:val="00B20282"/>
    <w:rsid w:val="00B20DAF"/>
    <w:rsid w:val="00B216E3"/>
    <w:rsid w:val="00B218E6"/>
    <w:rsid w:val="00B21FF4"/>
    <w:rsid w:val="00B228CC"/>
    <w:rsid w:val="00B229D0"/>
    <w:rsid w:val="00B23A2E"/>
    <w:rsid w:val="00B23B78"/>
    <w:rsid w:val="00B23CFB"/>
    <w:rsid w:val="00B23DD8"/>
    <w:rsid w:val="00B23FB0"/>
    <w:rsid w:val="00B241F0"/>
    <w:rsid w:val="00B24AC9"/>
    <w:rsid w:val="00B24E92"/>
    <w:rsid w:val="00B2509F"/>
    <w:rsid w:val="00B25957"/>
    <w:rsid w:val="00B25976"/>
    <w:rsid w:val="00B25ACD"/>
    <w:rsid w:val="00B25B85"/>
    <w:rsid w:val="00B25D99"/>
    <w:rsid w:val="00B25ED3"/>
    <w:rsid w:val="00B2666B"/>
    <w:rsid w:val="00B26E37"/>
    <w:rsid w:val="00B2756E"/>
    <w:rsid w:val="00B2767B"/>
    <w:rsid w:val="00B3012C"/>
    <w:rsid w:val="00B30692"/>
    <w:rsid w:val="00B30E76"/>
    <w:rsid w:val="00B31024"/>
    <w:rsid w:val="00B3144D"/>
    <w:rsid w:val="00B3155B"/>
    <w:rsid w:val="00B31A91"/>
    <w:rsid w:val="00B32384"/>
    <w:rsid w:val="00B3283D"/>
    <w:rsid w:val="00B331CD"/>
    <w:rsid w:val="00B336BC"/>
    <w:rsid w:val="00B3448D"/>
    <w:rsid w:val="00B35501"/>
    <w:rsid w:val="00B35B9E"/>
    <w:rsid w:val="00B35C26"/>
    <w:rsid w:val="00B36687"/>
    <w:rsid w:val="00B36D7E"/>
    <w:rsid w:val="00B37193"/>
    <w:rsid w:val="00B37435"/>
    <w:rsid w:val="00B37539"/>
    <w:rsid w:val="00B37841"/>
    <w:rsid w:val="00B378D5"/>
    <w:rsid w:val="00B37AEE"/>
    <w:rsid w:val="00B37B78"/>
    <w:rsid w:val="00B37CC0"/>
    <w:rsid w:val="00B37E0C"/>
    <w:rsid w:val="00B37F5C"/>
    <w:rsid w:val="00B41E2A"/>
    <w:rsid w:val="00B41FC5"/>
    <w:rsid w:val="00B422E2"/>
    <w:rsid w:val="00B428F0"/>
    <w:rsid w:val="00B4315A"/>
    <w:rsid w:val="00B43E7D"/>
    <w:rsid w:val="00B44065"/>
    <w:rsid w:val="00B45281"/>
    <w:rsid w:val="00B4588C"/>
    <w:rsid w:val="00B45E90"/>
    <w:rsid w:val="00B46380"/>
    <w:rsid w:val="00B46975"/>
    <w:rsid w:val="00B46BB6"/>
    <w:rsid w:val="00B46C7F"/>
    <w:rsid w:val="00B47E4C"/>
    <w:rsid w:val="00B51072"/>
    <w:rsid w:val="00B51328"/>
    <w:rsid w:val="00B51549"/>
    <w:rsid w:val="00B516FC"/>
    <w:rsid w:val="00B518BD"/>
    <w:rsid w:val="00B519DA"/>
    <w:rsid w:val="00B5220F"/>
    <w:rsid w:val="00B5273B"/>
    <w:rsid w:val="00B5338E"/>
    <w:rsid w:val="00B549BA"/>
    <w:rsid w:val="00B54D2D"/>
    <w:rsid w:val="00B55893"/>
    <w:rsid w:val="00B5643A"/>
    <w:rsid w:val="00B56580"/>
    <w:rsid w:val="00B56F26"/>
    <w:rsid w:val="00B573F5"/>
    <w:rsid w:val="00B57AD3"/>
    <w:rsid w:val="00B60023"/>
    <w:rsid w:val="00B606F0"/>
    <w:rsid w:val="00B616DC"/>
    <w:rsid w:val="00B62855"/>
    <w:rsid w:val="00B62B92"/>
    <w:rsid w:val="00B63A2C"/>
    <w:rsid w:val="00B63A3C"/>
    <w:rsid w:val="00B63FDC"/>
    <w:rsid w:val="00B64152"/>
    <w:rsid w:val="00B64B36"/>
    <w:rsid w:val="00B64D02"/>
    <w:rsid w:val="00B64E1B"/>
    <w:rsid w:val="00B64F97"/>
    <w:rsid w:val="00B65916"/>
    <w:rsid w:val="00B661D1"/>
    <w:rsid w:val="00B66516"/>
    <w:rsid w:val="00B665B3"/>
    <w:rsid w:val="00B666C3"/>
    <w:rsid w:val="00B66B81"/>
    <w:rsid w:val="00B66D65"/>
    <w:rsid w:val="00B66DB3"/>
    <w:rsid w:val="00B66F28"/>
    <w:rsid w:val="00B67C4E"/>
    <w:rsid w:val="00B67E37"/>
    <w:rsid w:val="00B701B5"/>
    <w:rsid w:val="00B7048E"/>
    <w:rsid w:val="00B70874"/>
    <w:rsid w:val="00B716F9"/>
    <w:rsid w:val="00B717E5"/>
    <w:rsid w:val="00B71E3B"/>
    <w:rsid w:val="00B721AD"/>
    <w:rsid w:val="00B726E2"/>
    <w:rsid w:val="00B72ED1"/>
    <w:rsid w:val="00B73366"/>
    <w:rsid w:val="00B73C3C"/>
    <w:rsid w:val="00B73CFC"/>
    <w:rsid w:val="00B745B2"/>
    <w:rsid w:val="00B749C3"/>
    <w:rsid w:val="00B74B3F"/>
    <w:rsid w:val="00B75032"/>
    <w:rsid w:val="00B76483"/>
    <w:rsid w:val="00B7669E"/>
    <w:rsid w:val="00B767BD"/>
    <w:rsid w:val="00B76BA8"/>
    <w:rsid w:val="00B76D7F"/>
    <w:rsid w:val="00B807F5"/>
    <w:rsid w:val="00B80F89"/>
    <w:rsid w:val="00B815F0"/>
    <w:rsid w:val="00B81AB4"/>
    <w:rsid w:val="00B81D4A"/>
    <w:rsid w:val="00B82096"/>
    <w:rsid w:val="00B82229"/>
    <w:rsid w:val="00B829A9"/>
    <w:rsid w:val="00B82CE0"/>
    <w:rsid w:val="00B8376F"/>
    <w:rsid w:val="00B83E47"/>
    <w:rsid w:val="00B83F57"/>
    <w:rsid w:val="00B84628"/>
    <w:rsid w:val="00B84E0C"/>
    <w:rsid w:val="00B85280"/>
    <w:rsid w:val="00B853D5"/>
    <w:rsid w:val="00B855D3"/>
    <w:rsid w:val="00B865F2"/>
    <w:rsid w:val="00B87932"/>
    <w:rsid w:val="00B87CCF"/>
    <w:rsid w:val="00B87E20"/>
    <w:rsid w:val="00B87FB2"/>
    <w:rsid w:val="00B9011B"/>
    <w:rsid w:val="00B905C8"/>
    <w:rsid w:val="00B90C42"/>
    <w:rsid w:val="00B912BF"/>
    <w:rsid w:val="00B91D80"/>
    <w:rsid w:val="00B93C95"/>
    <w:rsid w:val="00B9442A"/>
    <w:rsid w:val="00B94F95"/>
    <w:rsid w:val="00B9502A"/>
    <w:rsid w:val="00B95495"/>
    <w:rsid w:val="00B955F4"/>
    <w:rsid w:val="00B95D5C"/>
    <w:rsid w:val="00B95DB1"/>
    <w:rsid w:val="00B96CDE"/>
    <w:rsid w:val="00BA0901"/>
    <w:rsid w:val="00BA098D"/>
    <w:rsid w:val="00BA0A18"/>
    <w:rsid w:val="00BA116D"/>
    <w:rsid w:val="00BA173D"/>
    <w:rsid w:val="00BA1EAA"/>
    <w:rsid w:val="00BA1F98"/>
    <w:rsid w:val="00BA2DCA"/>
    <w:rsid w:val="00BA2FAA"/>
    <w:rsid w:val="00BA3C96"/>
    <w:rsid w:val="00BA44F0"/>
    <w:rsid w:val="00BA4B37"/>
    <w:rsid w:val="00BA4B82"/>
    <w:rsid w:val="00BA4EDA"/>
    <w:rsid w:val="00BA5AD3"/>
    <w:rsid w:val="00BA6102"/>
    <w:rsid w:val="00BA62C2"/>
    <w:rsid w:val="00BA6426"/>
    <w:rsid w:val="00BA6EA2"/>
    <w:rsid w:val="00BA71C4"/>
    <w:rsid w:val="00BA781B"/>
    <w:rsid w:val="00BA7A42"/>
    <w:rsid w:val="00BB0C55"/>
    <w:rsid w:val="00BB0FAE"/>
    <w:rsid w:val="00BB11B5"/>
    <w:rsid w:val="00BB13C5"/>
    <w:rsid w:val="00BB1475"/>
    <w:rsid w:val="00BB1A66"/>
    <w:rsid w:val="00BB1ADC"/>
    <w:rsid w:val="00BB2397"/>
    <w:rsid w:val="00BB321F"/>
    <w:rsid w:val="00BB3A65"/>
    <w:rsid w:val="00BB4329"/>
    <w:rsid w:val="00BB4358"/>
    <w:rsid w:val="00BB4520"/>
    <w:rsid w:val="00BB4AF6"/>
    <w:rsid w:val="00BB4C93"/>
    <w:rsid w:val="00BB571B"/>
    <w:rsid w:val="00BB59A1"/>
    <w:rsid w:val="00BB5D0E"/>
    <w:rsid w:val="00BB6251"/>
    <w:rsid w:val="00BB65CB"/>
    <w:rsid w:val="00BB6698"/>
    <w:rsid w:val="00BB6896"/>
    <w:rsid w:val="00BB6BBE"/>
    <w:rsid w:val="00BB71FD"/>
    <w:rsid w:val="00BB756B"/>
    <w:rsid w:val="00BB787A"/>
    <w:rsid w:val="00BB7A7B"/>
    <w:rsid w:val="00BB7E42"/>
    <w:rsid w:val="00BC00CB"/>
    <w:rsid w:val="00BC05F1"/>
    <w:rsid w:val="00BC1563"/>
    <w:rsid w:val="00BC1693"/>
    <w:rsid w:val="00BC17FC"/>
    <w:rsid w:val="00BC1E86"/>
    <w:rsid w:val="00BC1EA8"/>
    <w:rsid w:val="00BC23EB"/>
    <w:rsid w:val="00BC26D2"/>
    <w:rsid w:val="00BC2B00"/>
    <w:rsid w:val="00BC2FC2"/>
    <w:rsid w:val="00BC3CDC"/>
    <w:rsid w:val="00BC41AB"/>
    <w:rsid w:val="00BC4984"/>
    <w:rsid w:val="00BC4B96"/>
    <w:rsid w:val="00BC4F80"/>
    <w:rsid w:val="00BC60B3"/>
    <w:rsid w:val="00BC635A"/>
    <w:rsid w:val="00BC653F"/>
    <w:rsid w:val="00BC747C"/>
    <w:rsid w:val="00BC76FF"/>
    <w:rsid w:val="00BC7E1D"/>
    <w:rsid w:val="00BD09C6"/>
    <w:rsid w:val="00BD0B24"/>
    <w:rsid w:val="00BD13F2"/>
    <w:rsid w:val="00BD1764"/>
    <w:rsid w:val="00BD1D29"/>
    <w:rsid w:val="00BD21A8"/>
    <w:rsid w:val="00BD30A9"/>
    <w:rsid w:val="00BD3636"/>
    <w:rsid w:val="00BD3755"/>
    <w:rsid w:val="00BD3F89"/>
    <w:rsid w:val="00BD46D7"/>
    <w:rsid w:val="00BD6CD1"/>
    <w:rsid w:val="00BD7587"/>
    <w:rsid w:val="00BD78B0"/>
    <w:rsid w:val="00BD7DA6"/>
    <w:rsid w:val="00BE0011"/>
    <w:rsid w:val="00BE0A85"/>
    <w:rsid w:val="00BE10B4"/>
    <w:rsid w:val="00BE14E8"/>
    <w:rsid w:val="00BE1F61"/>
    <w:rsid w:val="00BE2CD9"/>
    <w:rsid w:val="00BE3042"/>
    <w:rsid w:val="00BE36CA"/>
    <w:rsid w:val="00BE3A25"/>
    <w:rsid w:val="00BE3E9A"/>
    <w:rsid w:val="00BE3F93"/>
    <w:rsid w:val="00BE4326"/>
    <w:rsid w:val="00BE4A89"/>
    <w:rsid w:val="00BE4E19"/>
    <w:rsid w:val="00BE4F51"/>
    <w:rsid w:val="00BE5205"/>
    <w:rsid w:val="00BE53F3"/>
    <w:rsid w:val="00BE5EA9"/>
    <w:rsid w:val="00BE60B7"/>
    <w:rsid w:val="00BE6CB2"/>
    <w:rsid w:val="00BE6E23"/>
    <w:rsid w:val="00BE6F95"/>
    <w:rsid w:val="00BF04E3"/>
    <w:rsid w:val="00BF0B35"/>
    <w:rsid w:val="00BF1727"/>
    <w:rsid w:val="00BF1F26"/>
    <w:rsid w:val="00BF22A1"/>
    <w:rsid w:val="00BF2C26"/>
    <w:rsid w:val="00BF2C60"/>
    <w:rsid w:val="00BF2CAA"/>
    <w:rsid w:val="00BF349F"/>
    <w:rsid w:val="00BF34EF"/>
    <w:rsid w:val="00BF37E0"/>
    <w:rsid w:val="00BF389D"/>
    <w:rsid w:val="00BF3DF1"/>
    <w:rsid w:val="00BF40E5"/>
    <w:rsid w:val="00BF4209"/>
    <w:rsid w:val="00BF43F0"/>
    <w:rsid w:val="00BF44C5"/>
    <w:rsid w:val="00BF50D8"/>
    <w:rsid w:val="00BF5256"/>
    <w:rsid w:val="00BF5484"/>
    <w:rsid w:val="00BF54B5"/>
    <w:rsid w:val="00BF5FB1"/>
    <w:rsid w:val="00BF684E"/>
    <w:rsid w:val="00BF6A09"/>
    <w:rsid w:val="00BF74C5"/>
    <w:rsid w:val="00BF77F5"/>
    <w:rsid w:val="00BF7E25"/>
    <w:rsid w:val="00C000E2"/>
    <w:rsid w:val="00C002BC"/>
    <w:rsid w:val="00C00894"/>
    <w:rsid w:val="00C00AAA"/>
    <w:rsid w:val="00C00B2E"/>
    <w:rsid w:val="00C018DE"/>
    <w:rsid w:val="00C0205F"/>
    <w:rsid w:val="00C03116"/>
    <w:rsid w:val="00C031A1"/>
    <w:rsid w:val="00C033AC"/>
    <w:rsid w:val="00C0415F"/>
    <w:rsid w:val="00C05347"/>
    <w:rsid w:val="00C05B97"/>
    <w:rsid w:val="00C0776B"/>
    <w:rsid w:val="00C07BF6"/>
    <w:rsid w:val="00C10382"/>
    <w:rsid w:val="00C107FA"/>
    <w:rsid w:val="00C10C95"/>
    <w:rsid w:val="00C10E53"/>
    <w:rsid w:val="00C11331"/>
    <w:rsid w:val="00C1145D"/>
    <w:rsid w:val="00C11C6A"/>
    <w:rsid w:val="00C11CAD"/>
    <w:rsid w:val="00C11D4B"/>
    <w:rsid w:val="00C120A3"/>
    <w:rsid w:val="00C12482"/>
    <w:rsid w:val="00C146E0"/>
    <w:rsid w:val="00C14E24"/>
    <w:rsid w:val="00C14FEE"/>
    <w:rsid w:val="00C15023"/>
    <w:rsid w:val="00C1515A"/>
    <w:rsid w:val="00C15801"/>
    <w:rsid w:val="00C15C31"/>
    <w:rsid w:val="00C15C3C"/>
    <w:rsid w:val="00C15F53"/>
    <w:rsid w:val="00C161BA"/>
    <w:rsid w:val="00C172FF"/>
    <w:rsid w:val="00C17330"/>
    <w:rsid w:val="00C17450"/>
    <w:rsid w:val="00C178D6"/>
    <w:rsid w:val="00C1794B"/>
    <w:rsid w:val="00C1794E"/>
    <w:rsid w:val="00C17C79"/>
    <w:rsid w:val="00C2075A"/>
    <w:rsid w:val="00C20830"/>
    <w:rsid w:val="00C20B52"/>
    <w:rsid w:val="00C20C38"/>
    <w:rsid w:val="00C20C7D"/>
    <w:rsid w:val="00C2147F"/>
    <w:rsid w:val="00C2246A"/>
    <w:rsid w:val="00C22B45"/>
    <w:rsid w:val="00C23CC5"/>
    <w:rsid w:val="00C23D66"/>
    <w:rsid w:val="00C240E0"/>
    <w:rsid w:val="00C246A7"/>
    <w:rsid w:val="00C24E0D"/>
    <w:rsid w:val="00C24F60"/>
    <w:rsid w:val="00C24F80"/>
    <w:rsid w:val="00C2542A"/>
    <w:rsid w:val="00C254DE"/>
    <w:rsid w:val="00C259CD"/>
    <w:rsid w:val="00C25CAE"/>
    <w:rsid w:val="00C26CC2"/>
    <w:rsid w:val="00C26CE0"/>
    <w:rsid w:val="00C27595"/>
    <w:rsid w:val="00C3010F"/>
    <w:rsid w:val="00C30753"/>
    <w:rsid w:val="00C30823"/>
    <w:rsid w:val="00C30891"/>
    <w:rsid w:val="00C30A31"/>
    <w:rsid w:val="00C312FE"/>
    <w:rsid w:val="00C318B1"/>
    <w:rsid w:val="00C321D3"/>
    <w:rsid w:val="00C3268C"/>
    <w:rsid w:val="00C32934"/>
    <w:rsid w:val="00C32B58"/>
    <w:rsid w:val="00C32E74"/>
    <w:rsid w:val="00C32ED0"/>
    <w:rsid w:val="00C34063"/>
    <w:rsid w:val="00C344EF"/>
    <w:rsid w:val="00C34C3F"/>
    <w:rsid w:val="00C35713"/>
    <w:rsid w:val="00C35ABB"/>
    <w:rsid w:val="00C361B4"/>
    <w:rsid w:val="00C364C7"/>
    <w:rsid w:val="00C36500"/>
    <w:rsid w:val="00C369EC"/>
    <w:rsid w:val="00C37065"/>
    <w:rsid w:val="00C40A94"/>
    <w:rsid w:val="00C40BCC"/>
    <w:rsid w:val="00C41598"/>
    <w:rsid w:val="00C42145"/>
    <w:rsid w:val="00C43075"/>
    <w:rsid w:val="00C431F1"/>
    <w:rsid w:val="00C43AEA"/>
    <w:rsid w:val="00C43E70"/>
    <w:rsid w:val="00C43EFA"/>
    <w:rsid w:val="00C4412D"/>
    <w:rsid w:val="00C44A68"/>
    <w:rsid w:val="00C44B77"/>
    <w:rsid w:val="00C45439"/>
    <w:rsid w:val="00C4620E"/>
    <w:rsid w:val="00C4637B"/>
    <w:rsid w:val="00C46A21"/>
    <w:rsid w:val="00C46BA3"/>
    <w:rsid w:val="00C46F92"/>
    <w:rsid w:val="00C47909"/>
    <w:rsid w:val="00C5094F"/>
    <w:rsid w:val="00C50D4A"/>
    <w:rsid w:val="00C50F5A"/>
    <w:rsid w:val="00C514AC"/>
    <w:rsid w:val="00C51647"/>
    <w:rsid w:val="00C518DC"/>
    <w:rsid w:val="00C51CDA"/>
    <w:rsid w:val="00C51D1E"/>
    <w:rsid w:val="00C52CBF"/>
    <w:rsid w:val="00C53D53"/>
    <w:rsid w:val="00C543DB"/>
    <w:rsid w:val="00C54E04"/>
    <w:rsid w:val="00C55958"/>
    <w:rsid w:val="00C56158"/>
    <w:rsid w:val="00C563DC"/>
    <w:rsid w:val="00C56821"/>
    <w:rsid w:val="00C5685E"/>
    <w:rsid w:val="00C56A06"/>
    <w:rsid w:val="00C56B21"/>
    <w:rsid w:val="00C56B82"/>
    <w:rsid w:val="00C579A0"/>
    <w:rsid w:val="00C60061"/>
    <w:rsid w:val="00C60765"/>
    <w:rsid w:val="00C60EFF"/>
    <w:rsid w:val="00C6114C"/>
    <w:rsid w:val="00C61CDF"/>
    <w:rsid w:val="00C62328"/>
    <w:rsid w:val="00C62727"/>
    <w:rsid w:val="00C62B68"/>
    <w:rsid w:val="00C6361C"/>
    <w:rsid w:val="00C63C37"/>
    <w:rsid w:val="00C643C1"/>
    <w:rsid w:val="00C64496"/>
    <w:rsid w:val="00C658C9"/>
    <w:rsid w:val="00C66934"/>
    <w:rsid w:val="00C66BA4"/>
    <w:rsid w:val="00C66C66"/>
    <w:rsid w:val="00C675B3"/>
    <w:rsid w:val="00C701E2"/>
    <w:rsid w:val="00C70236"/>
    <w:rsid w:val="00C703C4"/>
    <w:rsid w:val="00C70726"/>
    <w:rsid w:val="00C7084A"/>
    <w:rsid w:val="00C70956"/>
    <w:rsid w:val="00C7186A"/>
    <w:rsid w:val="00C71893"/>
    <w:rsid w:val="00C746AE"/>
    <w:rsid w:val="00C759B4"/>
    <w:rsid w:val="00C75CD9"/>
    <w:rsid w:val="00C7620E"/>
    <w:rsid w:val="00C7689D"/>
    <w:rsid w:val="00C769B5"/>
    <w:rsid w:val="00C76C44"/>
    <w:rsid w:val="00C76F9C"/>
    <w:rsid w:val="00C77A87"/>
    <w:rsid w:val="00C8044B"/>
    <w:rsid w:val="00C81188"/>
    <w:rsid w:val="00C81649"/>
    <w:rsid w:val="00C82031"/>
    <w:rsid w:val="00C823EE"/>
    <w:rsid w:val="00C82781"/>
    <w:rsid w:val="00C82991"/>
    <w:rsid w:val="00C83348"/>
    <w:rsid w:val="00C83E73"/>
    <w:rsid w:val="00C84C04"/>
    <w:rsid w:val="00C84E4B"/>
    <w:rsid w:val="00C85410"/>
    <w:rsid w:val="00C858F9"/>
    <w:rsid w:val="00C85C4B"/>
    <w:rsid w:val="00C86971"/>
    <w:rsid w:val="00C86CFC"/>
    <w:rsid w:val="00C86FA2"/>
    <w:rsid w:val="00C8732F"/>
    <w:rsid w:val="00C8752D"/>
    <w:rsid w:val="00C87E25"/>
    <w:rsid w:val="00C90247"/>
    <w:rsid w:val="00C91622"/>
    <w:rsid w:val="00C919C0"/>
    <w:rsid w:val="00C91BFE"/>
    <w:rsid w:val="00C92CD0"/>
    <w:rsid w:val="00C94792"/>
    <w:rsid w:val="00C953D1"/>
    <w:rsid w:val="00C95DD2"/>
    <w:rsid w:val="00C96323"/>
    <w:rsid w:val="00C97FA6"/>
    <w:rsid w:val="00CA00DB"/>
    <w:rsid w:val="00CA0BB4"/>
    <w:rsid w:val="00CA2455"/>
    <w:rsid w:val="00CA25C5"/>
    <w:rsid w:val="00CA2728"/>
    <w:rsid w:val="00CA2D61"/>
    <w:rsid w:val="00CA335B"/>
    <w:rsid w:val="00CA425D"/>
    <w:rsid w:val="00CA45F0"/>
    <w:rsid w:val="00CA4EB8"/>
    <w:rsid w:val="00CA5044"/>
    <w:rsid w:val="00CA5FD3"/>
    <w:rsid w:val="00CA6CAD"/>
    <w:rsid w:val="00CA6DFB"/>
    <w:rsid w:val="00CA7063"/>
    <w:rsid w:val="00CA7DB3"/>
    <w:rsid w:val="00CB0E99"/>
    <w:rsid w:val="00CB11E9"/>
    <w:rsid w:val="00CB1EB1"/>
    <w:rsid w:val="00CB31F5"/>
    <w:rsid w:val="00CB37DF"/>
    <w:rsid w:val="00CB7E96"/>
    <w:rsid w:val="00CC0377"/>
    <w:rsid w:val="00CC0451"/>
    <w:rsid w:val="00CC246F"/>
    <w:rsid w:val="00CC26FF"/>
    <w:rsid w:val="00CC2910"/>
    <w:rsid w:val="00CC2CC1"/>
    <w:rsid w:val="00CC2D48"/>
    <w:rsid w:val="00CC3702"/>
    <w:rsid w:val="00CC3E05"/>
    <w:rsid w:val="00CC3F2E"/>
    <w:rsid w:val="00CC5467"/>
    <w:rsid w:val="00CC65F8"/>
    <w:rsid w:val="00CC6A19"/>
    <w:rsid w:val="00CC71E9"/>
    <w:rsid w:val="00CC73E5"/>
    <w:rsid w:val="00CC7C27"/>
    <w:rsid w:val="00CD02C5"/>
    <w:rsid w:val="00CD06AD"/>
    <w:rsid w:val="00CD0A0E"/>
    <w:rsid w:val="00CD0CC0"/>
    <w:rsid w:val="00CD10E0"/>
    <w:rsid w:val="00CD124C"/>
    <w:rsid w:val="00CD154C"/>
    <w:rsid w:val="00CD1BB8"/>
    <w:rsid w:val="00CD2363"/>
    <w:rsid w:val="00CD29FD"/>
    <w:rsid w:val="00CD2E71"/>
    <w:rsid w:val="00CD2E7B"/>
    <w:rsid w:val="00CD33B6"/>
    <w:rsid w:val="00CD34AA"/>
    <w:rsid w:val="00CD3A14"/>
    <w:rsid w:val="00CD3B59"/>
    <w:rsid w:val="00CD3B5C"/>
    <w:rsid w:val="00CD3FE7"/>
    <w:rsid w:val="00CD4178"/>
    <w:rsid w:val="00CD5D26"/>
    <w:rsid w:val="00CD61F1"/>
    <w:rsid w:val="00CD631D"/>
    <w:rsid w:val="00CD6BC5"/>
    <w:rsid w:val="00CD6DB7"/>
    <w:rsid w:val="00CD7488"/>
    <w:rsid w:val="00CE090B"/>
    <w:rsid w:val="00CE095A"/>
    <w:rsid w:val="00CE0A9B"/>
    <w:rsid w:val="00CE296B"/>
    <w:rsid w:val="00CE2E7F"/>
    <w:rsid w:val="00CE2FB2"/>
    <w:rsid w:val="00CE3024"/>
    <w:rsid w:val="00CE3CC2"/>
    <w:rsid w:val="00CE3E1E"/>
    <w:rsid w:val="00CE422E"/>
    <w:rsid w:val="00CE4267"/>
    <w:rsid w:val="00CE5C4C"/>
    <w:rsid w:val="00CE600A"/>
    <w:rsid w:val="00CE633F"/>
    <w:rsid w:val="00CE6711"/>
    <w:rsid w:val="00CE6CDE"/>
    <w:rsid w:val="00CE76F3"/>
    <w:rsid w:val="00CE7948"/>
    <w:rsid w:val="00CF0A89"/>
    <w:rsid w:val="00CF1248"/>
    <w:rsid w:val="00CF1415"/>
    <w:rsid w:val="00CF1C44"/>
    <w:rsid w:val="00CF205D"/>
    <w:rsid w:val="00CF35B3"/>
    <w:rsid w:val="00CF37F7"/>
    <w:rsid w:val="00CF3A9C"/>
    <w:rsid w:val="00CF4D29"/>
    <w:rsid w:val="00CF4E76"/>
    <w:rsid w:val="00CF5923"/>
    <w:rsid w:val="00CF612E"/>
    <w:rsid w:val="00CF7309"/>
    <w:rsid w:val="00CF760A"/>
    <w:rsid w:val="00CF7A07"/>
    <w:rsid w:val="00D006CE"/>
    <w:rsid w:val="00D00DEB"/>
    <w:rsid w:val="00D01D97"/>
    <w:rsid w:val="00D02487"/>
    <w:rsid w:val="00D02882"/>
    <w:rsid w:val="00D02A15"/>
    <w:rsid w:val="00D02B6C"/>
    <w:rsid w:val="00D02E2C"/>
    <w:rsid w:val="00D02F0B"/>
    <w:rsid w:val="00D035AF"/>
    <w:rsid w:val="00D03C86"/>
    <w:rsid w:val="00D048D8"/>
    <w:rsid w:val="00D04BA2"/>
    <w:rsid w:val="00D057A1"/>
    <w:rsid w:val="00D060A8"/>
    <w:rsid w:val="00D06C6B"/>
    <w:rsid w:val="00D06D88"/>
    <w:rsid w:val="00D06FD0"/>
    <w:rsid w:val="00D0736B"/>
    <w:rsid w:val="00D0772A"/>
    <w:rsid w:val="00D07BFF"/>
    <w:rsid w:val="00D10385"/>
    <w:rsid w:val="00D108C8"/>
    <w:rsid w:val="00D108D2"/>
    <w:rsid w:val="00D1134A"/>
    <w:rsid w:val="00D11A25"/>
    <w:rsid w:val="00D11B44"/>
    <w:rsid w:val="00D127A3"/>
    <w:rsid w:val="00D1459B"/>
    <w:rsid w:val="00D14878"/>
    <w:rsid w:val="00D15416"/>
    <w:rsid w:val="00D15578"/>
    <w:rsid w:val="00D15D33"/>
    <w:rsid w:val="00D15DDA"/>
    <w:rsid w:val="00D15F08"/>
    <w:rsid w:val="00D162E8"/>
    <w:rsid w:val="00D16548"/>
    <w:rsid w:val="00D166F3"/>
    <w:rsid w:val="00D16836"/>
    <w:rsid w:val="00D16BB3"/>
    <w:rsid w:val="00D16BBC"/>
    <w:rsid w:val="00D170AC"/>
    <w:rsid w:val="00D17D34"/>
    <w:rsid w:val="00D20A4D"/>
    <w:rsid w:val="00D20B99"/>
    <w:rsid w:val="00D20EFA"/>
    <w:rsid w:val="00D212FA"/>
    <w:rsid w:val="00D219EE"/>
    <w:rsid w:val="00D21C2D"/>
    <w:rsid w:val="00D21E90"/>
    <w:rsid w:val="00D21FAF"/>
    <w:rsid w:val="00D22E1E"/>
    <w:rsid w:val="00D22EB5"/>
    <w:rsid w:val="00D232C7"/>
    <w:rsid w:val="00D23FBC"/>
    <w:rsid w:val="00D26D57"/>
    <w:rsid w:val="00D276F8"/>
    <w:rsid w:val="00D27EC9"/>
    <w:rsid w:val="00D3124A"/>
    <w:rsid w:val="00D31343"/>
    <w:rsid w:val="00D31580"/>
    <w:rsid w:val="00D31C06"/>
    <w:rsid w:val="00D31F92"/>
    <w:rsid w:val="00D327E4"/>
    <w:rsid w:val="00D33E6D"/>
    <w:rsid w:val="00D3429A"/>
    <w:rsid w:val="00D34374"/>
    <w:rsid w:val="00D34B65"/>
    <w:rsid w:val="00D34FF7"/>
    <w:rsid w:val="00D35E4F"/>
    <w:rsid w:val="00D3619E"/>
    <w:rsid w:val="00D363BE"/>
    <w:rsid w:val="00D363E6"/>
    <w:rsid w:val="00D367AE"/>
    <w:rsid w:val="00D367D4"/>
    <w:rsid w:val="00D3703E"/>
    <w:rsid w:val="00D376E8"/>
    <w:rsid w:val="00D379A9"/>
    <w:rsid w:val="00D37AD0"/>
    <w:rsid w:val="00D37D56"/>
    <w:rsid w:val="00D37DA4"/>
    <w:rsid w:val="00D40163"/>
    <w:rsid w:val="00D402D0"/>
    <w:rsid w:val="00D4099A"/>
    <w:rsid w:val="00D40AA2"/>
    <w:rsid w:val="00D412C2"/>
    <w:rsid w:val="00D41844"/>
    <w:rsid w:val="00D42812"/>
    <w:rsid w:val="00D4291C"/>
    <w:rsid w:val="00D43273"/>
    <w:rsid w:val="00D4346A"/>
    <w:rsid w:val="00D439BF"/>
    <w:rsid w:val="00D43A70"/>
    <w:rsid w:val="00D43BD5"/>
    <w:rsid w:val="00D43CF4"/>
    <w:rsid w:val="00D443B7"/>
    <w:rsid w:val="00D4447D"/>
    <w:rsid w:val="00D44556"/>
    <w:rsid w:val="00D452AD"/>
    <w:rsid w:val="00D45690"/>
    <w:rsid w:val="00D46146"/>
    <w:rsid w:val="00D479EA"/>
    <w:rsid w:val="00D47DD1"/>
    <w:rsid w:val="00D47FDB"/>
    <w:rsid w:val="00D50CFD"/>
    <w:rsid w:val="00D50E02"/>
    <w:rsid w:val="00D51079"/>
    <w:rsid w:val="00D51502"/>
    <w:rsid w:val="00D51953"/>
    <w:rsid w:val="00D52118"/>
    <w:rsid w:val="00D5264E"/>
    <w:rsid w:val="00D52A73"/>
    <w:rsid w:val="00D53FC1"/>
    <w:rsid w:val="00D558BF"/>
    <w:rsid w:val="00D55D80"/>
    <w:rsid w:val="00D55E63"/>
    <w:rsid w:val="00D5601D"/>
    <w:rsid w:val="00D5668A"/>
    <w:rsid w:val="00D56B65"/>
    <w:rsid w:val="00D56C60"/>
    <w:rsid w:val="00D5787A"/>
    <w:rsid w:val="00D57884"/>
    <w:rsid w:val="00D601B0"/>
    <w:rsid w:val="00D61BC9"/>
    <w:rsid w:val="00D61CA6"/>
    <w:rsid w:val="00D627A8"/>
    <w:rsid w:val="00D6297B"/>
    <w:rsid w:val="00D636FB"/>
    <w:rsid w:val="00D63924"/>
    <w:rsid w:val="00D63B4D"/>
    <w:rsid w:val="00D6475F"/>
    <w:rsid w:val="00D648D6"/>
    <w:rsid w:val="00D64C6C"/>
    <w:rsid w:val="00D64D26"/>
    <w:rsid w:val="00D64D5B"/>
    <w:rsid w:val="00D65213"/>
    <w:rsid w:val="00D659D7"/>
    <w:rsid w:val="00D662D4"/>
    <w:rsid w:val="00D66814"/>
    <w:rsid w:val="00D66C5E"/>
    <w:rsid w:val="00D67AEF"/>
    <w:rsid w:val="00D67C73"/>
    <w:rsid w:val="00D71401"/>
    <w:rsid w:val="00D71456"/>
    <w:rsid w:val="00D7208C"/>
    <w:rsid w:val="00D72B91"/>
    <w:rsid w:val="00D73537"/>
    <w:rsid w:val="00D737F5"/>
    <w:rsid w:val="00D75211"/>
    <w:rsid w:val="00D75A2F"/>
    <w:rsid w:val="00D75ABE"/>
    <w:rsid w:val="00D75E45"/>
    <w:rsid w:val="00D769C5"/>
    <w:rsid w:val="00D76ABE"/>
    <w:rsid w:val="00D76ED6"/>
    <w:rsid w:val="00D77493"/>
    <w:rsid w:val="00D779B3"/>
    <w:rsid w:val="00D77BEF"/>
    <w:rsid w:val="00D80035"/>
    <w:rsid w:val="00D816D2"/>
    <w:rsid w:val="00D81B4A"/>
    <w:rsid w:val="00D81CE5"/>
    <w:rsid w:val="00D82F7B"/>
    <w:rsid w:val="00D83D60"/>
    <w:rsid w:val="00D84F74"/>
    <w:rsid w:val="00D85598"/>
    <w:rsid w:val="00D866DD"/>
    <w:rsid w:val="00D87929"/>
    <w:rsid w:val="00D87CB9"/>
    <w:rsid w:val="00D9006C"/>
    <w:rsid w:val="00D9050F"/>
    <w:rsid w:val="00D91A9B"/>
    <w:rsid w:val="00D91B0A"/>
    <w:rsid w:val="00D928F3"/>
    <w:rsid w:val="00D929BB"/>
    <w:rsid w:val="00D935B2"/>
    <w:rsid w:val="00D93C23"/>
    <w:rsid w:val="00D93FD0"/>
    <w:rsid w:val="00D95950"/>
    <w:rsid w:val="00D961E6"/>
    <w:rsid w:val="00D962B7"/>
    <w:rsid w:val="00D965BE"/>
    <w:rsid w:val="00D96B9C"/>
    <w:rsid w:val="00D96DAC"/>
    <w:rsid w:val="00D97945"/>
    <w:rsid w:val="00D97AB7"/>
    <w:rsid w:val="00D97B68"/>
    <w:rsid w:val="00D97DAC"/>
    <w:rsid w:val="00DA03E0"/>
    <w:rsid w:val="00DA0585"/>
    <w:rsid w:val="00DA09FD"/>
    <w:rsid w:val="00DA20E9"/>
    <w:rsid w:val="00DA23FD"/>
    <w:rsid w:val="00DA2B1F"/>
    <w:rsid w:val="00DA3037"/>
    <w:rsid w:val="00DA384B"/>
    <w:rsid w:val="00DA4515"/>
    <w:rsid w:val="00DA4A88"/>
    <w:rsid w:val="00DA4C3A"/>
    <w:rsid w:val="00DA4EDD"/>
    <w:rsid w:val="00DA4F87"/>
    <w:rsid w:val="00DA673A"/>
    <w:rsid w:val="00DA721E"/>
    <w:rsid w:val="00DA77B9"/>
    <w:rsid w:val="00DA7911"/>
    <w:rsid w:val="00DA7D03"/>
    <w:rsid w:val="00DA7F52"/>
    <w:rsid w:val="00DB02C6"/>
    <w:rsid w:val="00DB11FB"/>
    <w:rsid w:val="00DB12DC"/>
    <w:rsid w:val="00DB1916"/>
    <w:rsid w:val="00DB19D9"/>
    <w:rsid w:val="00DB2033"/>
    <w:rsid w:val="00DB239E"/>
    <w:rsid w:val="00DB26DC"/>
    <w:rsid w:val="00DB2C15"/>
    <w:rsid w:val="00DB2D73"/>
    <w:rsid w:val="00DB2E65"/>
    <w:rsid w:val="00DB304D"/>
    <w:rsid w:val="00DB31D7"/>
    <w:rsid w:val="00DB32C9"/>
    <w:rsid w:val="00DB3EAE"/>
    <w:rsid w:val="00DB3FA3"/>
    <w:rsid w:val="00DB466D"/>
    <w:rsid w:val="00DB4AD0"/>
    <w:rsid w:val="00DB5295"/>
    <w:rsid w:val="00DB5C60"/>
    <w:rsid w:val="00DB63FB"/>
    <w:rsid w:val="00DB68AC"/>
    <w:rsid w:val="00DB6BB4"/>
    <w:rsid w:val="00DB71AD"/>
    <w:rsid w:val="00DB71C7"/>
    <w:rsid w:val="00DB7665"/>
    <w:rsid w:val="00DC0FE4"/>
    <w:rsid w:val="00DC174C"/>
    <w:rsid w:val="00DC2431"/>
    <w:rsid w:val="00DC29BB"/>
    <w:rsid w:val="00DC2BC4"/>
    <w:rsid w:val="00DC2E61"/>
    <w:rsid w:val="00DC32E7"/>
    <w:rsid w:val="00DC35BA"/>
    <w:rsid w:val="00DC37C6"/>
    <w:rsid w:val="00DC3CD6"/>
    <w:rsid w:val="00DC430A"/>
    <w:rsid w:val="00DC4618"/>
    <w:rsid w:val="00DC47AD"/>
    <w:rsid w:val="00DC47DB"/>
    <w:rsid w:val="00DC49F2"/>
    <w:rsid w:val="00DC4EA4"/>
    <w:rsid w:val="00DC502F"/>
    <w:rsid w:val="00DC58A5"/>
    <w:rsid w:val="00DC5943"/>
    <w:rsid w:val="00DC65B8"/>
    <w:rsid w:val="00DC6690"/>
    <w:rsid w:val="00DC70B3"/>
    <w:rsid w:val="00DC76CF"/>
    <w:rsid w:val="00DC7A36"/>
    <w:rsid w:val="00DC7D50"/>
    <w:rsid w:val="00DD0406"/>
    <w:rsid w:val="00DD044D"/>
    <w:rsid w:val="00DD0F9F"/>
    <w:rsid w:val="00DD18AF"/>
    <w:rsid w:val="00DD1E30"/>
    <w:rsid w:val="00DD1E32"/>
    <w:rsid w:val="00DD1EDB"/>
    <w:rsid w:val="00DD20F9"/>
    <w:rsid w:val="00DD2252"/>
    <w:rsid w:val="00DD352B"/>
    <w:rsid w:val="00DD389F"/>
    <w:rsid w:val="00DD3C96"/>
    <w:rsid w:val="00DD456D"/>
    <w:rsid w:val="00DD478C"/>
    <w:rsid w:val="00DD47D7"/>
    <w:rsid w:val="00DD48A3"/>
    <w:rsid w:val="00DD5481"/>
    <w:rsid w:val="00DD5B44"/>
    <w:rsid w:val="00DD5ED9"/>
    <w:rsid w:val="00DD5EEC"/>
    <w:rsid w:val="00DD68D4"/>
    <w:rsid w:val="00DD6B63"/>
    <w:rsid w:val="00DD714E"/>
    <w:rsid w:val="00DD7DC5"/>
    <w:rsid w:val="00DD7DE0"/>
    <w:rsid w:val="00DE05A8"/>
    <w:rsid w:val="00DE0993"/>
    <w:rsid w:val="00DE0F6B"/>
    <w:rsid w:val="00DE151E"/>
    <w:rsid w:val="00DE1E2E"/>
    <w:rsid w:val="00DE2A9A"/>
    <w:rsid w:val="00DE3258"/>
    <w:rsid w:val="00DE36DA"/>
    <w:rsid w:val="00DE3C34"/>
    <w:rsid w:val="00DE3DCB"/>
    <w:rsid w:val="00DE3E39"/>
    <w:rsid w:val="00DE3F52"/>
    <w:rsid w:val="00DE43D9"/>
    <w:rsid w:val="00DE4BFE"/>
    <w:rsid w:val="00DE5931"/>
    <w:rsid w:val="00DE6260"/>
    <w:rsid w:val="00DE627F"/>
    <w:rsid w:val="00DE672E"/>
    <w:rsid w:val="00DE6F6F"/>
    <w:rsid w:val="00DE7098"/>
    <w:rsid w:val="00DE70C4"/>
    <w:rsid w:val="00DE7D01"/>
    <w:rsid w:val="00DE7D69"/>
    <w:rsid w:val="00DE7F39"/>
    <w:rsid w:val="00DF07AE"/>
    <w:rsid w:val="00DF2151"/>
    <w:rsid w:val="00DF2177"/>
    <w:rsid w:val="00DF2BA5"/>
    <w:rsid w:val="00DF2C15"/>
    <w:rsid w:val="00DF2EC3"/>
    <w:rsid w:val="00DF4209"/>
    <w:rsid w:val="00DF4505"/>
    <w:rsid w:val="00DF4800"/>
    <w:rsid w:val="00DF4BFF"/>
    <w:rsid w:val="00DF52DE"/>
    <w:rsid w:val="00DF53FC"/>
    <w:rsid w:val="00DF584F"/>
    <w:rsid w:val="00DF6099"/>
    <w:rsid w:val="00DF6E21"/>
    <w:rsid w:val="00DF6F72"/>
    <w:rsid w:val="00DF76B0"/>
    <w:rsid w:val="00DF7C98"/>
    <w:rsid w:val="00E006CF"/>
    <w:rsid w:val="00E016E6"/>
    <w:rsid w:val="00E021FD"/>
    <w:rsid w:val="00E022F3"/>
    <w:rsid w:val="00E03150"/>
    <w:rsid w:val="00E03AD2"/>
    <w:rsid w:val="00E041A7"/>
    <w:rsid w:val="00E0431B"/>
    <w:rsid w:val="00E05375"/>
    <w:rsid w:val="00E05724"/>
    <w:rsid w:val="00E057DC"/>
    <w:rsid w:val="00E05A21"/>
    <w:rsid w:val="00E05EF2"/>
    <w:rsid w:val="00E06ADC"/>
    <w:rsid w:val="00E0796F"/>
    <w:rsid w:val="00E104EC"/>
    <w:rsid w:val="00E105C3"/>
    <w:rsid w:val="00E10E60"/>
    <w:rsid w:val="00E10F02"/>
    <w:rsid w:val="00E10F61"/>
    <w:rsid w:val="00E1194B"/>
    <w:rsid w:val="00E1247E"/>
    <w:rsid w:val="00E128A1"/>
    <w:rsid w:val="00E134C0"/>
    <w:rsid w:val="00E13ECC"/>
    <w:rsid w:val="00E145BB"/>
    <w:rsid w:val="00E14BAD"/>
    <w:rsid w:val="00E14DF4"/>
    <w:rsid w:val="00E15CC0"/>
    <w:rsid w:val="00E169BC"/>
    <w:rsid w:val="00E16AD6"/>
    <w:rsid w:val="00E16E90"/>
    <w:rsid w:val="00E179D0"/>
    <w:rsid w:val="00E203F6"/>
    <w:rsid w:val="00E21203"/>
    <w:rsid w:val="00E21A00"/>
    <w:rsid w:val="00E21D3C"/>
    <w:rsid w:val="00E22232"/>
    <w:rsid w:val="00E227DB"/>
    <w:rsid w:val="00E22B4B"/>
    <w:rsid w:val="00E23562"/>
    <w:rsid w:val="00E2423C"/>
    <w:rsid w:val="00E24A4A"/>
    <w:rsid w:val="00E24AED"/>
    <w:rsid w:val="00E24B0D"/>
    <w:rsid w:val="00E24CD8"/>
    <w:rsid w:val="00E254D3"/>
    <w:rsid w:val="00E257A2"/>
    <w:rsid w:val="00E26615"/>
    <w:rsid w:val="00E2781B"/>
    <w:rsid w:val="00E27AF8"/>
    <w:rsid w:val="00E310EC"/>
    <w:rsid w:val="00E31138"/>
    <w:rsid w:val="00E3120C"/>
    <w:rsid w:val="00E3181F"/>
    <w:rsid w:val="00E3250A"/>
    <w:rsid w:val="00E3264D"/>
    <w:rsid w:val="00E32781"/>
    <w:rsid w:val="00E34C58"/>
    <w:rsid w:val="00E34D92"/>
    <w:rsid w:val="00E35111"/>
    <w:rsid w:val="00E356FA"/>
    <w:rsid w:val="00E358B1"/>
    <w:rsid w:val="00E35EBD"/>
    <w:rsid w:val="00E360C9"/>
    <w:rsid w:val="00E363E3"/>
    <w:rsid w:val="00E36470"/>
    <w:rsid w:val="00E3720E"/>
    <w:rsid w:val="00E37C83"/>
    <w:rsid w:val="00E4008A"/>
    <w:rsid w:val="00E408A1"/>
    <w:rsid w:val="00E40C21"/>
    <w:rsid w:val="00E4175F"/>
    <w:rsid w:val="00E41791"/>
    <w:rsid w:val="00E41D94"/>
    <w:rsid w:val="00E42FF1"/>
    <w:rsid w:val="00E4349F"/>
    <w:rsid w:val="00E43584"/>
    <w:rsid w:val="00E4360C"/>
    <w:rsid w:val="00E43F08"/>
    <w:rsid w:val="00E44AC5"/>
    <w:rsid w:val="00E45186"/>
    <w:rsid w:val="00E4537B"/>
    <w:rsid w:val="00E454F1"/>
    <w:rsid w:val="00E45673"/>
    <w:rsid w:val="00E45B96"/>
    <w:rsid w:val="00E45E3C"/>
    <w:rsid w:val="00E45FFC"/>
    <w:rsid w:val="00E462B2"/>
    <w:rsid w:val="00E47886"/>
    <w:rsid w:val="00E47BB1"/>
    <w:rsid w:val="00E47E24"/>
    <w:rsid w:val="00E50361"/>
    <w:rsid w:val="00E504D0"/>
    <w:rsid w:val="00E510A8"/>
    <w:rsid w:val="00E511CB"/>
    <w:rsid w:val="00E512B8"/>
    <w:rsid w:val="00E516BC"/>
    <w:rsid w:val="00E517CD"/>
    <w:rsid w:val="00E522BB"/>
    <w:rsid w:val="00E52B1E"/>
    <w:rsid w:val="00E52EEB"/>
    <w:rsid w:val="00E53886"/>
    <w:rsid w:val="00E53C5E"/>
    <w:rsid w:val="00E54153"/>
    <w:rsid w:val="00E54469"/>
    <w:rsid w:val="00E54BB4"/>
    <w:rsid w:val="00E55555"/>
    <w:rsid w:val="00E5601A"/>
    <w:rsid w:val="00E566A2"/>
    <w:rsid w:val="00E56C64"/>
    <w:rsid w:val="00E572AB"/>
    <w:rsid w:val="00E5744F"/>
    <w:rsid w:val="00E5759A"/>
    <w:rsid w:val="00E604DD"/>
    <w:rsid w:val="00E60556"/>
    <w:rsid w:val="00E608E4"/>
    <w:rsid w:val="00E608EA"/>
    <w:rsid w:val="00E60DD3"/>
    <w:rsid w:val="00E61567"/>
    <w:rsid w:val="00E617CF"/>
    <w:rsid w:val="00E619CF"/>
    <w:rsid w:val="00E61E79"/>
    <w:rsid w:val="00E62D98"/>
    <w:rsid w:val="00E62E67"/>
    <w:rsid w:val="00E63195"/>
    <w:rsid w:val="00E632F5"/>
    <w:rsid w:val="00E63444"/>
    <w:rsid w:val="00E6345D"/>
    <w:rsid w:val="00E63558"/>
    <w:rsid w:val="00E64676"/>
    <w:rsid w:val="00E64BEE"/>
    <w:rsid w:val="00E65A4D"/>
    <w:rsid w:val="00E65AAB"/>
    <w:rsid w:val="00E65B40"/>
    <w:rsid w:val="00E66793"/>
    <w:rsid w:val="00E667C4"/>
    <w:rsid w:val="00E67450"/>
    <w:rsid w:val="00E677E3"/>
    <w:rsid w:val="00E7017A"/>
    <w:rsid w:val="00E7030B"/>
    <w:rsid w:val="00E70E4E"/>
    <w:rsid w:val="00E71215"/>
    <w:rsid w:val="00E71523"/>
    <w:rsid w:val="00E71AF2"/>
    <w:rsid w:val="00E71D79"/>
    <w:rsid w:val="00E72B67"/>
    <w:rsid w:val="00E731DA"/>
    <w:rsid w:val="00E74878"/>
    <w:rsid w:val="00E75586"/>
    <w:rsid w:val="00E75E5C"/>
    <w:rsid w:val="00E76277"/>
    <w:rsid w:val="00E76542"/>
    <w:rsid w:val="00E7695A"/>
    <w:rsid w:val="00E779AB"/>
    <w:rsid w:val="00E77A37"/>
    <w:rsid w:val="00E77F3C"/>
    <w:rsid w:val="00E8063E"/>
    <w:rsid w:val="00E8064F"/>
    <w:rsid w:val="00E8069B"/>
    <w:rsid w:val="00E80981"/>
    <w:rsid w:val="00E809D9"/>
    <w:rsid w:val="00E80A78"/>
    <w:rsid w:val="00E80CAC"/>
    <w:rsid w:val="00E81314"/>
    <w:rsid w:val="00E81F21"/>
    <w:rsid w:val="00E826AB"/>
    <w:rsid w:val="00E8283D"/>
    <w:rsid w:val="00E828B7"/>
    <w:rsid w:val="00E82D19"/>
    <w:rsid w:val="00E83742"/>
    <w:rsid w:val="00E83973"/>
    <w:rsid w:val="00E83E1E"/>
    <w:rsid w:val="00E83FB0"/>
    <w:rsid w:val="00E84DC7"/>
    <w:rsid w:val="00E85C33"/>
    <w:rsid w:val="00E85E2B"/>
    <w:rsid w:val="00E861A7"/>
    <w:rsid w:val="00E86393"/>
    <w:rsid w:val="00E865C2"/>
    <w:rsid w:val="00E86BCD"/>
    <w:rsid w:val="00E90AE0"/>
    <w:rsid w:val="00E90D3E"/>
    <w:rsid w:val="00E9159B"/>
    <w:rsid w:val="00E916D0"/>
    <w:rsid w:val="00E92993"/>
    <w:rsid w:val="00E9346D"/>
    <w:rsid w:val="00E94E6A"/>
    <w:rsid w:val="00E95445"/>
    <w:rsid w:val="00E959E9"/>
    <w:rsid w:val="00E95ABF"/>
    <w:rsid w:val="00E95F32"/>
    <w:rsid w:val="00E96099"/>
    <w:rsid w:val="00E96A46"/>
    <w:rsid w:val="00E96B95"/>
    <w:rsid w:val="00E96CC1"/>
    <w:rsid w:val="00E9734E"/>
    <w:rsid w:val="00E976EF"/>
    <w:rsid w:val="00EA0020"/>
    <w:rsid w:val="00EA08E3"/>
    <w:rsid w:val="00EA172D"/>
    <w:rsid w:val="00EA18D1"/>
    <w:rsid w:val="00EA222C"/>
    <w:rsid w:val="00EA24ED"/>
    <w:rsid w:val="00EA4D31"/>
    <w:rsid w:val="00EA5AD8"/>
    <w:rsid w:val="00EA640B"/>
    <w:rsid w:val="00EA6CF7"/>
    <w:rsid w:val="00EA6D56"/>
    <w:rsid w:val="00EA72B4"/>
    <w:rsid w:val="00EA7D4E"/>
    <w:rsid w:val="00EB00D6"/>
    <w:rsid w:val="00EB0347"/>
    <w:rsid w:val="00EB0629"/>
    <w:rsid w:val="00EB146E"/>
    <w:rsid w:val="00EB1AC4"/>
    <w:rsid w:val="00EB2703"/>
    <w:rsid w:val="00EB38C9"/>
    <w:rsid w:val="00EB423E"/>
    <w:rsid w:val="00EB43C1"/>
    <w:rsid w:val="00EB4783"/>
    <w:rsid w:val="00EB47ED"/>
    <w:rsid w:val="00EB4D55"/>
    <w:rsid w:val="00EB4FBD"/>
    <w:rsid w:val="00EB5891"/>
    <w:rsid w:val="00EB61E8"/>
    <w:rsid w:val="00EB6422"/>
    <w:rsid w:val="00EB6945"/>
    <w:rsid w:val="00EB69AF"/>
    <w:rsid w:val="00EB6AE8"/>
    <w:rsid w:val="00EB726B"/>
    <w:rsid w:val="00EB7299"/>
    <w:rsid w:val="00EB7342"/>
    <w:rsid w:val="00EB7EDD"/>
    <w:rsid w:val="00EC339D"/>
    <w:rsid w:val="00EC3E6A"/>
    <w:rsid w:val="00EC45C0"/>
    <w:rsid w:val="00EC4FB8"/>
    <w:rsid w:val="00EC5F29"/>
    <w:rsid w:val="00EC671D"/>
    <w:rsid w:val="00EC6D8A"/>
    <w:rsid w:val="00EC70F3"/>
    <w:rsid w:val="00EC7B9F"/>
    <w:rsid w:val="00ED06A3"/>
    <w:rsid w:val="00ED0D47"/>
    <w:rsid w:val="00ED0E85"/>
    <w:rsid w:val="00ED1BC5"/>
    <w:rsid w:val="00ED33A6"/>
    <w:rsid w:val="00ED3B06"/>
    <w:rsid w:val="00ED3B60"/>
    <w:rsid w:val="00ED3DFE"/>
    <w:rsid w:val="00ED3E71"/>
    <w:rsid w:val="00ED3E9C"/>
    <w:rsid w:val="00ED4004"/>
    <w:rsid w:val="00ED4636"/>
    <w:rsid w:val="00ED4867"/>
    <w:rsid w:val="00ED4926"/>
    <w:rsid w:val="00ED49EF"/>
    <w:rsid w:val="00ED4E44"/>
    <w:rsid w:val="00ED4E99"/>
    <w:rsid w:val="00ED562B"/>
    <w:rsid w:val="00ED5A98"/>
    <w:rsid w:val="00ED5CA3"/>
    <w:rsid w:val="00ED5FA2"/>
    <w:rsid w:val="00ED695A"/>
    <w:rsid w:val="00ED6E18"/>
    <w:rsid w:val="00ED7289"/>
    <w:rsid w:val="00ED73BF"/>
    <w:rsid w:val="00ED73D5"/>
    <w:rsid w:val="00ED7988"/>
    <w:rsid w:val="00ED7BB8"/>
    <w:rsid w:val="00ED7F32"/>
    <w:rsid w:val="00EE01D9"/>
    <w:rsid w:val="00EE0DC1"/>
    <w:rsid w:val="00EE23E0"/>
    <w:rsid w:val="00EE2759"/>
    <w:rsid w:val="00EE27D7"/>
    <w:rsid w:val="00EE298B"/>
    <w:rsid w:val="00EE2F5C"/>
    <w:rsid w:val="00EE2F9A"/>
    <w:rsid w:val="00EE3124"/>
    <w:rsid w:val="00EE347F"/>
    <w:rsid w:val="00EE438E"/>
    <w:rsid w:val="00EE4C1C"/>
    <w:rsid w:val="00EE4E8E"/>
    <w:rsid w:val="00EE5250"/>
    <w:rsid w:val="00EE6357"/>
    <w:rsid w:val="00EE6637"/>
    <w:rsid w:val="00EE6F07"/>
    <w:rsid w:val="00EE7023"/>
    <w:rsid w:val="00EE7F3F"/>
    <w:rsid w:val="00EF03E0"/>
    <w:rsid w:val="00EF0814"/>
    <w:rsid w:val="00EF1294"/>
    <w:rsid w:val="00EF1F3C"/>
    <w:rsid w:val="00EF2AE5"/>
    <w:rsid w:val="00EF2ED1"/>
    <w:rsid w:val="00EF3256"/>
    <w:rsid w:val="00EF3711"/>
    <w:rsid w:val="00EF396D"/>
    <w:rsid w:val="00EF44B0"/>
    <w:rsid w:val="00EF54E5"/>
    <w:rsid w:val="00EF5645"/>
    <w:rsid w:val="00EF598B"/>
    <w:rsid w:val="00EF5F1D"/>
    <w:rsid w:val="00EF715A"/>
    <w:rsid w:val="00EF7764"/>
    <w:rsid w:val="00EF7871"/>
    <w:rsid w:val="00F000B9"/>
    <w:rsid w:val="00F01112"/>
    <w:rsid w:val="00F0142B"/>
    <w:rsid w:val="00F01432"/>
    <w:rsid w:val="00F01BC2"/>
    <w:rsid w:val="00F01D47"/>
    <w:rsid w:val="00F027C3"/>
    <w:rsid w:val="00F02D87"/>
    <w:rsid w:val="00F02F18"/>
    <w:rsid w:val="00F032A0"/>
    <w:rsid w:val="00F0391C"/>
    <w:rsid w:val="00F042B4"/>
    <w:rsid w:val="00F04321"/>
    <w:rsid w:val="00F04A21"/>
    <w:rsid w:val="00F05411"/>
    <w:rsid w:val="00F055FE"/>
    <w:rsid w:val="00F05D45"/>
    <w:rsid w:val="00F05E5D"/>
    <w:rsid w:val="00F06CE5"/>
    <w:rsid w:val="00F07083"/>
    <w:rsid w:val="00F0723E"/>
    <w:rsid w:val="00F0724C"/>
    <w:rsid w:val="00F0757F"/>
    <w:rsid w:val="00F07850"/>
    <w:rsid w:val="00F07DF9"/>
    <w:rsid w:val="00F11774"/>
    <w:rsid w:val="00F11F34"/>
    <w:rsid w:val="00F12FCD"/>
    <w:rsid w:val="00F130F4"/>
    <w:rsid w:val="00F135ED"/>
    <w:rsid w:val="00F13747"/>
    <w:rsid w:val="00F1411D"/>
    <w:rsid w:val="00F15A89"/>
    <w:rsid w:val="00F17434"/>
    <w:rsid w:val="00F17844"/>
    <w:rsid w:val="00F17D48"/>
    <w:rsid w:val="00F202D7"/>
    <w:rsid w:val="00F2071A"/>
    <w:rsid w:val="00F207D3"/>
    <w:rsid w:val="00F213FA"/>
    <w:rsid w:val="00F214A9"/>
    <w:rsid w:val="00F2189E"/>
    <w:rsid w:val="00F21931"/>
    <w:rsid w:val="00F21DDB"/>
    <w:rsid w:val="00F21E3D"/>
    <w:rsid w:val="00F21E71"/>
    <w:rsid w:val="00F2225A"/>
    <w:rsid w:val="00F23221"/>
    <w:rsid w:val="00F243A9"/>
    <w:rsid w:val="00F24CB5"/>
    <w:rsid w:val="00F24E3E"/>
    <w:rsid w:val="00F25226"/>
    <w:rsid w:val="00F25A43"/>
    <w:rsid w:val="00F27076"/>
    <w:rsid w:val="00F2707F"/>
    <w:rsid w:val="00F3043D"/>
    <w:rsid w:val="00F305D9"/>
    <w:rsid w:val="00F30842"/>
    <w:rsid w:val="00F30F12"/>
    <w:rsid w:val="00F31325"/>
    <w:rsid w:val="00F31C1F"/>
    <w:rsid w:val="00F31ECA"/>
    <w:rsid w:val="00F32004"/>
    <w:rsid w:val="00F32298"/>
    <w:rsid w:val="00F3255B"/>
    <w:rsid w:val="00F32D00"/>
    <w:rsid w:val="00F33125"/>
    <w:rsid w:val="00F340C8"/>
    <w:rsid w:val="00F34155"/>
    <w:rsid w:val="00F34372"/>
    <w:rsid w:val="00F34425"/>
    <w:rsid w:val="00F347B4"/>
    <w:rsid w:val="00F34A80"/>
    <w:rsid w:val="00F3549D"/>
    <w:rsid w:val="00F356AF"/>
    <w:rsid w:val="00F36780"/>
    <w:rsid w:val="00F36B05"/>
    <w:rsid w:val="00F37193"/>
    <w:rsid w:val="00F37458"/>
    <w:rsid w:val="00F3754C"/>
    <w:rsid w:val="00F3754D"/>
    <w:rsid w:val="00F37F0B"/>
    <w:rsid w:val="00F400FB"/>
    <w:rsid w:val="00F4131E"/>
    <w:rsid w:val="00F41397"/>
    <w:rsid w:val="00F423B6"/>
    <w:rsid w:val="00F4363C"/>
    <w:rsid w:val="00F43DE4"/>
    <w:rsid w:val="00F44FDB"/>
    <w:rsid w:val="00F45162"/>
    <w:rsid w:val="00F45494"/>
    <w:rsid w:val="00F454CB"/>
    <w:rsid w:val="00F45835"/>
    <w:rsid w:val="00F47EC8"/>
    <w:rsid w:val="00F50E7A"/>
    <w:rsid w:val="00F5122F"/>
    <w:rsid w:val="00F51590"/>
    <w:rsid w:val="00F521E3"/>
    <w:rsid w:val="00F5359E"/>
    <w:rsid w:val="00F53F33"/>
    <w:rsid w:val="00F556A1"/>
    <w:rsid w:val="00F55802"/>
    <w:rsid w:val="00F560A9"/>
    <w:rsid w:val="00F560D4"/>
    <w:rsid w:val="00F56145"/>
    <w:rsid w:val="00F56ACA"/>
    <w:rsid w:val="00F56CBC"/>
    <w:rsid w:val="00F57AFF"/>
    <w:rsid w:val="00F60215"/>
    <w:rsid w:val="00F60798"/>
    <w:rsid w:val="00F624F3"/>
    <w:rsid w:val="00F62C80"/>
    <w:rsid w:val="00F63008"/>
    <w:rsid w:val="00F6367C"/>
    <w:rsid w:val="00F63EFC"/>
    <w:rsid w:val="00F64582"/>
    <w:rsid w:val="00F649B1"/>
    <w:rsid w:val="00F64DD6"/>
    <w:rsid w:val="00F6537D"/>
    <w:rsid w:val="00F6587F"/>
    <w:rsid w:val="00F66316"/>
    <w:rsid w:val="00F66550"/>
    <w:rsid w:val="00F6660D"/>
    <w:rsid w:val="00F6669E"/>
    <w:rsid w:val="00F66D8E"/>
    <w:rsid w:val="00F6710B"/>
    <w:rsid w:val="00F67E1F"/>
    <w:rsid w:val="00F700A5"/>
    <w:rsid w:val="00F715FB"/>
    <w:rsid w:val="00F71FBA"/>
    <w:rsid w:val="00F722AD"/>
    <w:rsid w:val="00F72B66"/>
    <w:rsid w:val="00F72C01"/>
    <w:rsid w:val="00F73384"/>
    <w:rsid w:val="00F73529"/>
    <w:rsid w:val="00F73916"/>
    <w:rsid w:val="00F748FE"/>
    <w:rsid w:val="00F7547F"/>
    <w:rsid w:val="00F75BEF"/>
    <w:rsid w:val="00F75D01"/>
    <w:rsid w:val="00F76A49"/>
    <w:rsid w:val="00F76AE1"/>
    <w:rsid w:val="00F76DDF"/>
    <w:rsid w:val="00F76FC7"/>
    <w:rsid w:val="00F77479"/>
    <w:rsid w:val="00F77842"/>
    <w:rsid w:val="00F802E9"/>
    <w:rsid w:val="00F80A6D"/>
    <w:rsid w:val="00F80D30"/>
    <w:rsid w:val="00F80F94"/>
    <w:rsid w:val="00F81BD5"/>
    <w:rsid w:val="00F81E04"/>
    <w:rsid w:val="00F82573"/>
    <w:rsid w:val="00F82A22"/>
    <w:rsid w:val="00F82AE7"/>
    <w:rsid w:val="00F82D1A"/>
    <w:rsid w:val="00F82DBF"/>
    <w:rsid w:val="00F8307A"/>
    <w:rsid w:val="00F836C9"/>
    <w:rsid w:val="00F838B1"/>
    <w:rsid w:val="00F83AF2"/>
    <w:rsid w:val="00F8482D"/>
    <w:rsid w:val="00F8528F"/>
    <w:rsid w:val="00F8576E"/>
    <w:rsid w:val="00F85BC0"/>
    <w:rsid w:val="00F85BE6"/>
    <w:rsid w:val="00F85D81"/>
    <w:rsid w:val="00F863C7"/>
    <w:rsid w:val="00F86579"/>
    <w:rsid w:val="00F86EE2"/>
    <w:rsid w:val="00F874C4"/>
    <w:rsid w:val="00F87513"/>
    <w:rsid w:val="00F87822"/>
    <w:rsid w:val="00F87E62"/>
    <w:rsid w:val="00F90081"/>
    <w:rsid w:val="00F90BFF"/>
    <w:rsid w:val="00F9121D"/>
    <w:rsid w:val="00F912B0"/>
    <w:rsid w:val="00F9192C"/>
    <w:rsid w:val="00F91A6B"/>
    <w:rsid w:val="00F9204C"/>
    <w:rsid w:val="00F92166"/>
    <w:rsid w:val="00F92B8E"/>
    <w:rsid w:val="00F93AD3"/>
    <w:rsid w:val="00F93D80"/>
    <w:rsid w:val="00F93E06"/>
    <w:rsid w:val="00F9423C"/>
    <w:rsid w:val="00F943D0"/>
    <w:rsid w:val="00F950B7"/>
    <w:rsid w:val="00F95969"/>
    <w:rsid w:val="00F95EF6"/>
    <w:rsid w:val="00F96962"/>
    <w:rsid w:val="00F96D45"/>
    <w:rsid w:val="00FA0AD3"/>
    <w:rsid w:val="00FA0B96"/>
    <w:rsid w:val="00FA0CC7"/>
    <w:rsid w:val="00FA122A"/>
    <w:rsid w:val="00FA1829"/>
    <w:rsid w:val="00FA1A1B"/>
    <w:rsid w:val="00FA1D0B"/>
    <w:rsid w:val="00FA2997"/>
    <w:rsid w:val="00FA309F"/>
    <w:rsid w:val="00FA34EF"/>
    <w:rsid w:val="00FA36B0"/>
    <w:rsid w:val="00FA45A4"/>
    <w:rsid w:val="00FA4932"/>
    <w:rsid w:val="00FA52C2"/>
    <w:rsid w:val="00FA52CC"/>
    <w:rsid w:val="00FA59AE"/>
    <w:rsid w:val="00FA5B84"/>
    <w:rsid w:val="00FA5DBD"/>
    <w:rsid w:val="00FA5E7C"/>
    <w:rsid w:val="00FA6460"/>
    <w:rsid w:val="00FA7BD8"/>
    <w:rsid w:val="00FA7DED"/>
    <w:rsid w:val="00FB0063"/>
    <w:rsid w:val="00FB04D4"/>
    <w:rsid w:val="00FB0969"/>
    <w:rsid w:val="00FB0B4E"/>
    <w:rsid w:val="00FB0BEE"/>
    <w:rsid w:val="00FB0D43"/>
    <w:rsid w:val="00FB0E6B"/>
    <w:rsid w:val="00FB1514"/>
    <w:rsid w:val="00FB1E27"/>
    <w:rsid w:val="00FB2758"/>
    <w:rsid w:val="00FB2AD8"/>
    <w:rsid w:val="00FB2BE8"/>
    <w:rsid w:val="00FB31C1"/>
    <w:rsid w:val="00FB3767"/>
    <w:rsid w:val="00FB3CA7"/>
    <w:rsid w:val="00FB43FB"/>
    <w:rsid w:val="00FB444A"/>
    <w:rsid w:val="00FB48F6"/>
    <w:rsid w:val="00FB4990"/>
    <w:rsid w:val="00FB4DB9"/>
    <w:rsid w:val="00FB52D4"/>
    <w:rsid w:val="00FB63EA"/>
    <w:rsid w:val="00FB65E6"/>
    <w:rsid w:val="00FB682A"/>
    <w:rsid w:val="00FB6839"/>
    <w:rsid w:val="00FB6975"/>
    <w:rsid w:val="00FB72E1"/>
    <w:rsid w:val="00FB7763"/>
    <w:rsid w:val="00FB779F"/>
    <w:rsid w:val="00FB785C"/>
    <w:rsid w:val="00FC0CF5"/>
    <w:rsid w:val="00FC0DB8"/>
    <w:rsid w:val="00FC1039"/>
    <w:rsid w:val="00FC1A5F"/>
    <w:rsid w:val="00FC1B77"/>
    <w:rsid w:val="00FC1FEB"/>
    <w:rsid w:val="00FC241E"/>
    <w:rsid w:val="00FC2A78"/>
    <w:rsid w:val="00FC2AC7"/>
    <w:rsid w:val="00FC2C05"/>
    <w:rsid w:val="00FC4069"/>
    <w:rsid w:val="00FC4255"/>
    <w:rsid w:val="00FC452C"/>
    <w:rsid w:val="00FC453E"/>
    <w:rsid w:val="00FC4D75"/>
    <w:rsid w:val="00FC519D"/>
    <w:rsid w:val="00FC57D6"/>
    <w:rsid w:val="00FC583B"/>
    <w:rsid w:val="00FC586D"/>
    <w:rsid w:val="00FC598D"/>
    <w:rsid w:val="00FC5E56"/>
    <w:rsid w:val="00FC6E05"/>
    <w:rsid w:val="00FC6EA7"/>
    <w:rsid w:val="00FC721D"/>
    <w:rsid w:val="00FC7348"/>
    <w:rsid w:val="00FC7A21"/>
    <w:rsid w:val="00FC7BF5"/>
    <w:rsid w:val="00FC7DBE"/>
    <w:rsid w:val="00FD0637"/>
    <w:rsid w:val="00FD0977"/>
    <w:rsid w:val="00FD0EFE"/>
    <w:rsid w:val="00FD1284"/>
    <w:rsid w:val="00FD1A55"/>
    <w:rsid w:val="00FD20EB"/>
    <w:rsid w:val="00FD25CE"/>
    <w:rsid w:val="00FD2A13"/>
    <w:rsid w:val="00FD2F72"/>
    <w:rsid w:val="00FD3214"/>
    <w:rsid w:val="00FD34AE"/>
    <w:rsid w:val="00FD4366"/>
    <w:rsid w:val="00FD5342"/>
    <w:rsid w:val="00FD53E9"/>
    <w:rsid w:val="00FD5550"/>
    <w:rsid w:val="00FD578C"/>
    <w:rsid w:val="00FD5BFC"/>
    <w:rsid w:val="00FD5DC0"/>
    <w:rsid w:val="00FD61C5"/>
    <w:rsid w:val="00FD645D"/>
    <w:rsid w:val="00FD6CBF"/>
    <w:rsid w:val="00FD755B"/>
    <w:rsid w:val="00FD7620"/>
    <w:rsid w:val="00FD7C0A"/>
    <w:rsid w:val="00FD7D8E"/>
    <w:rsid w:val="00FD7DC2"/>
    <w:rsid w:val="00FD7F26"/>
    <w:rsid w:val="00FE0294"/>
    <w:rsid w:val="00FE0487"/>
    <w:rsid w:val="00FE0639"/>
    <w:rsid w:val="00FE07FE"/>
    <w:rsid w:val="00FE22E5"/>
    <w:rsid w:val="00FE2FC9"/>
    <w:rsid w:val="00FE3A09"/>
    <w:rsid w:val="00FE3A77"/>
    <w:rsid w:val="00FE3B48"/>
    <w:rsid w:val="00FE3C24"/>
    <w:rsid w:val="00FE3C5A"/>
    <w:rsid w:val="00FE3E11"/>
    <w:rsid w:val="00FE3F78"/>
    <w:rsid w:val="00FE4037"/>
    <w:rsid w:val="00FE46EE"/>
    <w:rsid w:val="00FE48EB"/>
    <w:rsid w:val="00FE5A7F"/>
    <w:rsid w:val="00FE67F1"/>
    <w:rsid w:val="00FE6A1B"/>
    <w:rsid w:val="00FE6B10"/>
    <w:rsid w:val="00FE6CC6"/>
    <w:rsid w:val="00FE72B6"/>
    <w:rsid w:val="00FE7AE5"/>
    <w:rsid w:val="00FF02C0"/>
    <w:rsid w:val="00FF03E9"/>
    <w:rsid w:val="00FF0C8C"/>
    <w:rsid w:val="00FF15A3"/>
    <w:rsid w:val="00FF172B"/>
    <w:rsid w:val="00FF181F"/>
    <w:rsid w:val="00FF2AD9"/>
    <w:rsid w:val="00FF2BA5"/>
    <w:rsid w:val="00FF2BF7"/>
    <w:rsid w:val="00FF3D06"/>
    <w:rsid w:val="00FF44BB"/>
    <w:rsid w:val="00FF4D0E"/>
    <w:rsid w:val="00FF4E30"/>
    <w:rsid w:val="00FF6095"/>
    <w:rsid w:val="00FF6382"/>
    <w:rsid w:val="00FF68FB"/>
    <w:rsid w:val="00FF6A0F"/>
    <w:rsid w:val="00FF7010"/>
    <w:rsid w:val="00FF710E"/>
    <w:rsid w:val="00FF72CC"/>
    <w:rsid w:val="00FF7542"/>
    <w:rsid w:val="00FF7626"/>
    <w:rsid w:val="00FF763E"/>
    <w:rsid w:val="00FF76DF"/>
    <w:rsid w:val="0155000C"/>
    <w:rsid w:val="01A30E8B"/>
    <w:rsid w:val="01BC1977"/>
    <w:rsid w:val="01D32DCE"/>
    <w:rsid w:val="01D628BE"/>
    <w:rsid w:val="01D83FD8"/>
    <w:rsid w:val="02207381"/>
    <w:rsid w:val="026F366B"/>
    <w:rsid w:val="02F939CD"/>
    <w:rsid w:val="04043713"/>
    <w:rsid w:val="041119BC"/>
    <w:rsid w:val="04D72BD5"/>
    <w:rsid w:val="04E11CA6"/>
    <w:rsid w:val="05121CD7"/>
    <w:rsid w:val="051A3777"/>
    <w:rsid w:val="05433393"/>
    <w:rsid w:val="055E6E53"/>
    <w:rsid w:val="05734EEE"/>
    <w:rsid w:val="05882122"/>
    <w:rsid w:val="059F4B0F"/>
    <w:rsid w:val="071073F0"/>
    <w:rsid w:val="076B3AA9"/>
    <w:rsid w:val="07B37FAF"/>
    <w:rsid w:val="07B90B80"/>
    <w:rsid w:val="07D04313"/>
    <w:rsid w:val="08783C2B"/>
    <w:rsid w:val="08857D3F"/>
    <w:rsid w:val="088D5BC1"/>
    <w:rsid w:val="08DB4C34"/>
    <w:rsid w:val="08DE068D"/>
    <w:rsid w:val="08EA050C"/>
    <w:rsid w:val="091C7001"/>
    <w:rsid w:val="099F7A3A"/>
    <w:rsid w:val="09D942A6"/>
    <w:rsid w:val="0A0D3022"/>
    <w:rsid w:val="0A3C1C36"/>
    <w:rsid w:val="0A4D56E8"/>
    <w:rsid w:val="0A6429F3"/>
    <w:rsid w:val="0A7B4003"/>
    <w:rsid w:val="0A9F6ABE"/>
    <w:rsid w:val="0ABF6006"/>
    <w:rsid w:val="0B176700"/>
    <w:rsid w:val="0B63125F"/>
    <w:rsid w:val="0B6916F5"/>
    <w:rsid w:val="0B802380"/>
    <w:rsid w:val="0BCA5242"/>
    <w:rsid w:val="0BD20A6A"/>
    <w:rsid w:val="0BF974EE"/>
    <w:rsid w:val="0CA072C0"/>
    <w:rsid w:val="0CCA3222"/>
    <w:rsid w:val="0CEF5F4F"/>
    <w:rsid w:val="0D0212B4"/>
    <w:rsid w:val="0D2210AE"/>
    <w:rsid w:val="0D3075E5"/>
    <w:rsid w:val="0D470B14"/>
    <w:rsid w:val="0D9F49C0"/>
    <w:rsid w:val="0DA41AC3"/>
    <w:rsid w:val="0E0757FD"/>
    <w:rsid w:val="0E216254"/>
    <w:rsid w:val="0E755AB4"/>
    <w:rsid w:val="0EFF7C61"/>
    <w:rsid w:val="0F0F7410"/>
    <w:rsid w:val="0F7C471F"/>
    <w:rsid w:val="0F851480"/>
    <w:rsid w:val="0F955B67"/>
    <w:rsid w:val="0FA07C17"/>
    <w:rsid w:val="0FB75ADD"/>
    <w:rsid w:val="0FC471E7"/>
    <w:rsid w:val="0FFB5300"/>
    <w:rsid w:val="101148A2"/>
    <w:rsid w:val="10274CB3"/>
    <w:rsid w:val="10417FA5"/>
    <w:rsid w:val="10725281"/>
    <w:rsid w:val="10824531"/>
    <w:rsid w:val="10B92613"/>
    <w:rsid w:val="10BC4481"/>
    <w:rsid w:val="111C0266"/>
    <w:rsid w:val="116C0DFA"/>
    <w:rsid w:val="117930F7"/>
    <w:rsid w:val="117C5254"/>
    <w:rsid w:val="11B22EC3"/>
    <w:rsid w:val="11FA7F03"/>
    <w:rsid w:val="122E2022"/>
    <w:rsid w:val="12477073"/>
    <w:rsid w:val="12541D09"/>
    <w:rsid w:val="126B0E01"/>
    <w:rsid w:val="126F0272"/>
    <w:rsid w:val="12B16627"/>
    <w:rsid w:val="12D859C5"/>
    <w:rsid w:val="13076C62"/>
    <w:rsid w:val="131A5C66"/>
    <w:rsid w:val="13631911"/>
    <w:rsid w:val="139F6FB4"/>
    <w:rsid w:val="13FD017F"/>
    <w:rsid w:val="14196128"/>
    <w:rsid w:val="14357688"/>
    <w:rsid w:val="14524026"/>
    <w:rsid w:val="14622BB3"/>
    <w:rsid w:val="148B7FCD"/>
    <w:rsid w:val="15357CCE"/>
    <w:rsid w:val="15540AA2"/>
    <w:rsid w:val="15592B89"/>
    <w:rsid w:val="155B6F0B"/>
    <w:rsid w:val="15934E43"/>
    <w:rsid w:val="159E093E"/>
    <w:rsid w:val="15C01464"/>
    <w:rsid w:val="15C56A7A"/>
    <w:rsid w:val="15CB41CE"/>
    <w:rsid w:val="16084EC1"/>
    <w:rsid w:val="166376CB"/>
    <w:rsid w:val="168325D9"/>
    <w:rsid w:val="16866CD6"/>
    <w:rsid w:val="16915C96"/>
    <w:rsid w:val="169A3A63"/>
    <w:rsid w:val="16A30C06"/>
    <w:rsid w:val="16BB5BE3"/>
    <w:rsid w:val="16CA07EC"/>
    <w:rsid w:val="17171557"/>
    <w:rsid w:val="17401597"/>
    <w:rsid w:val="17597BDC"/>
    <w:rsid w:val="177C5CC0"/>
    <w:rsid w:val="180D0283"/>
    <w:rsid w:val="181664E2"/>
    <w:rsid w:val="181C752C"/>
    <w:rsid w:val="184E71FB"/>
    <w:rsid w:val="18616F2E"/>
    <w:rsid w:val="18766D6B"/>
    <w:rsid w:val="189060C9"/>
    <w:rsid w:val="18CD4A8F"/>
    <w:rsid w:val="18EA7359"/>
    <w:rsid w:val="191F46F3"/>
    <w:rsid w:val="194C7105"/>
    <w:rsid w:val="195D472D"/>
    <w:rsid w:val="196A0064"/>
    <w:rsid w:val="1984247F"/>
    <w:rsid w:val="19F4792E"/>
    <w:rsid w:val="1A187C68"/>
    <w:rsid w:val="1A3D267B"/>
    <w:rsid w:val="1A443AFF"/>
    <w:rsid w:val="1B4951D2"/>
    <w:rsid w:val="1B600660"/>
    <w:rsid w:val="1BA710FC"/>
    <w:rsid w:val="1BE13EE2"/>
    <w:rsid w:val="1C73082E"/>
    <w:rsid w:val="1D404EFA"/>
    <w:rsid w:val="1D4C3B5F"/>
    <w:rsid w:val="1D606DA0"/>
    <w:rsid w:val="1D876420"/>
    <w:rsid w:val="1DB42FB2"/>
    <w:rsid w:val="1DBC3FDD"/>
    <w:rsid w:val="1DCD5426"/>
    <w:rsid w:val="1E2C3763"/>
    <w:rsid w:val="1E7F6863"/>
    <w:rsid w:val="1F0423C1"/>
    <w:rsid w:val="1F570CF5"/>
    <w:rsid w:val="1F7A08D5"/>
    <w:rsid w:val="1FAA3C51"/>
    <w:rsid w:val="1FCE4408"/>
    <w:rsid w:val="1FDB4CED"/>
    <w:rsid w:val="1FDE0E64"/>
    <w:rsid w:val="1FFE3146"/>
    <w:rsid w:val="20144D88"/>
    <w:rsid w:val="20324312"/>
    <w:rsid w:val="207900AE"/>
    <w:rsid w:val="20C4702E"/>
    <w:rsid w:val="211A4F62"/>
    <w:rsid w:val="214D39EE"/>
    <w:rsid w:val="216D719B"/>
    <w:rsid w:val="219F2F2F"/>
    <w:rsid w:val="21C66054"/>
    <w:rsid w:val="222E45A7"/>
    <w:rsid w:val="227930C6"/>
    <w:rsid w:val="229D673C"/>
    <w:rsid w:val="22B92E3D"/>
    <w:rsid w:val="236F0983"/>
    <w:rsid w:val="23732D21"/>
    <w:rsid w:val="23D5794E"/>
    <w:rsid w:val="24016A11"/>
    <w:rsid w:val="247C6F4A"/>
    <w:rsid w:val="24A76A30"/>
    <w:rsid w:val="24BE1264"/>
    <w:rsid w:val="253147D3"/>
    <w:rsid w:val="253E5283"/>
    <w:rsid w:val="257351F4"/>
    <w:rsid w:val="258067C5"/>
    <w:rsid w:val="25F24061"/>
    <w:rsid w:val="265A1D83"/>
    <w:rsid w:val="26716659"/>
    <w:rsid w:val="26DD497B"/>
    <w:rsid w:val="26EB0D9A"/>
    <w:rsid w:val="26F57C52"/>
    <w:rsid w:val="27005B64"/>
    <w:rsid w:val="274A4534"/>
    <w:rsid w:val="283D1BDA"/>
    <w:rsid w:val="28846321"/>
    <w:rsid w:val="28E31FA8"/>
    <w:rsid w:val="28ED1885"/>
    <w:rsid w:val="28F17634"/>
    <w:rsid w:val="2903780B"/>
    <w:rsid w:val="291338B4"/>
    <w:rsid w:val="296E14AB"/>
    <w:rsid w:val="296E7010"/>
    <w:rsid w:val="29C278B5"/>
    <w:rsid w:val="29D11A3A"/>
    <w:rsid w:val="2AA304C2"/>
    <w:rsid w:val="2ACB4FAC"/>
    <w:rsid w:val="2AD628F9"/>
    <w:rsid w:val="2AE51437"/>
    <w:rsid w:val="2AF92FF6"/>
    <w:rsid w:val="2B261F8C"/>
    <w:rsid w:val="2B2F024F"/>
    <w:rsid w:val="2B5B105D"/>
    <w:rsid w:val="2B787679"/>
    <w:rsid w:val="2B794B6A"/>
    <w:rsid w:val="2B805C0F"/>
    <w:rsid w:val="2B913320"/>
    <w:rsid w:val="2B944ACD"/>
    <w:rsid w:val="2BCF189C"/>
    <w:rsid w:val="2BE72193"/>
    <w:rsid w:val="2BF832AE"/>
    <w:rsid w:val="2C02412C"/>
    <w:rsid w:val="2C435E4C"/>
    <w:rsid w:val="2C736DD8"/>
    <w:rsid w:val="2CAD75FD"/>
    <w:rsid w:val="2D4633B9"/>
    <w:rsid w:val="2D4879C5"/>
    <w:rsid w:val="2D904807"/>
    <w:rsid w:val="2DB15E0A"/>
    <w:rsid w:val="2E207658"/>
    <w:rsid w:val="2E563CC3"/>
    <w:rsid w:val="2E5E5238"/>
    <w:rsid w:val="2EDA6C9B"/>
    <w:rsid w:val="2F05640D"/>
    <w:rsid w:val="2F45729E"/>
    <w:rsid w:val="2F537522"/>
    <w:rsid w:val="2F5838B9"/>
    <w:rsid w:val="2F6B28A2"/>
    <w:rsid w:val="30390717"/>
    <w:rsid w:val="303A20C0"/>
    <w:rsid w:val="309A110F"/>
    <w:rsid w:val="30BE76D2"/>
    <w:rsid w:val="30E955F1"/>
    <w:rsid w:val="311C17EC"/>
    <w:rsid w:val="311C39AA"/>
    <w:rsid w:val="31AF08B2"/>
    <w:rsid w:val="31BC0566"/>
    <w:rsid w:val="31C205E6"/>
    <w:rsid w:val="31D27199"/>
    <w:rsid w:val="3201558E"/>
    <w:rsid w:val="323668DE"/>
    <w:rsid w:val="32AC22E8"/>
    <w:rsid w:val="32C6442A"/>
    <w:rsid w:val="32E265A1"/>
    <w:rsid w:val="33017C86"/>
    <w:rsid w:val="33164B0C"/>
    <w:rsid w:val="33266952"/>
    <w:rsid w:val="3343195F"/>
    <w:rsid w:val="3365229D"/>
    <w:rsid w:val="33C311F8"/>
    <w:rsid w:val="33D23240"/>
    <w:rsid w:val="342D53FC"/>
    <w:rsid w:val="345511FB"/>
    <w:rsid w:val="34CE1931"/>
    <w:rsid w:val="34EC3BCC"/>
    <w:rsid w:val="3504169F"/>
    <w:rsid w:val="354B27BC"/>
    <w:rsid w:val="35775D1C"/>
    <w:rsid w:val="359F479A"/>
    <w:rsid w:val="35A65B28"/>
    <w:rsid w:val="35DE4F7A"/>
    <w:rsid w:val="35EB67D0"/>
    <w:rsid w:val="36766F33"/>
    <w:rsid w:val="36926FA8"/>
    <w:rsid w:val="36E24691"/>
    <w:rsid w:val="372E12FC"/>
    <w:rsid w:val="37316F32"/>
    <w:rsid w:val="37396991"/>
    <w:rsid w:val="379F627F"/>
    <w:rsid w:val="37CF0C0B"/>
    <w:rsid w:val="386231EC"/>
    <w:rsid w:val="38660322"/>
    <w:rsid w:val="38777248"/>
    <w:rsid w:val="389B2AFF"/>
    <w:rsid w:val="38B028DE"/>
    <w:rsid w:val="38EA0185"/>
    <w:rsid w:val="38F44DFD"/>
    <w:rsid w:val="38FA3A19"/>
    <w:rsid w:val="390414E4"/>
    <w:rsid w:val="391712E2"/>
    <w:rsid w:val="39416F75"/>
    <w:rsid w:val="394E754B"/>
    <w:rsid w:val="397523E2"/>
    <w:rsid w:val="3A2E1A52"/>
    <w:rsid w:val="3ACE686A"/>
    <w:rsid w:val="3B457B92"/>
    <w:rsid w:val="3BCA58E5"/>
    <w:rsid w:val="3C3A6A02"/>
    <w:rsid w:val="3C666012"/>
    <w:rsid w:val="3C8212AC"/>
    <w:rsid w:val="3CCC2935"/>
    <w:rsid w:val="3D4C6D47"/>
    <w:rsid w:val="3D4D2D2E"/>
    <w:rsid w:val="3D5E790C"/>
    <w:rsid w:val="3D661473"/>
    <w:rsid w:val="3D7D298A"/>
    <w:rsid w:val="3DAC3EF8"/>
    <w:rsid w:val="3DB71F41"/>
    <w:rsid w:val="3DC11132"/>
    <w:rsid w:val="3E010EB2"/>
    <w:rsid w:val="3E0D0E3B"/>
    <w:rsid w:val="3E1A0F74"/>
    <w:rsid w:val="3E242390"/>
    <w:rsid w:val="3E38417B"/>
    <w:rsid w:val="3E3C46AD"/>
    <w:rsid w:val="3E564A5E"/>
    <w:rsid w:val="3E5F0F6A"/>
    <w:rsid w:val="3E89735C"/>
    <w:rsid w:val="3EE5603F"/>
    <w:rsid w:val="3F47037C"/>
    <w:rsid w:val="3F651F0A"/>
    <w:rsid w:val="3F852C53"/>
    <w:rsid w:val="3FC87596"/>
    <w:rsid w:val="3FDF2B95"/>
    <w:rsid w:val="3FF821EC"/>
    <w:rsid w:val="3FFA4812"/>
    <w:rsid w:val="407C34E7"/>
    <w:rsid w:val="40AB66D1"/>
    <w:rsid w:val="40AC3751"/>
    <w:rsid w:val="40E536D9"/>
    <w:rsid w:val="40F005A0"/>
    <w:rsid w:val="40F57964"/>
    <w:rsid w:val="41077813"/>
    <w:rsid w:val="414035D0"/>
    <w:rsid w:val="41405083"/>
    <w:rsid w:val="418F30E0"/>
    <w:rsid w:val="42047D19"/>
    <w:rsid w:val="427D6E52"/>
    <w:rsid w:val="42862F6A"/>
    <w:rsid w:val="42CE66BF"/>
    <w:rsid w:val="42E034C9"/>
    <w:rsid w:val="433724B6"/>
    <w:rsid w:val="4345608A"/>
    <w:rsid w:val="43552699"/>
    <w:rsid w:val="435F3C42"/>
    <w:rsid w:val="439F7C46"/>
    <w:rsid w:val="43E72F67"/>
    <w:rsid w:val="43F16E48"/>
    <w:rsid w:val="44056110"/>
    <w:rsid w:val="440D760F"/>
    <w:rsid w:val="441B65CB"/>
    <w:rsid w:val="443A225E"/>
    <w:rsid w:val="446948F1"/>
    <w:rsid w:val="449733A3"/>
    <w:rsid w:val="44993616"/>
    <w:rsid w:val="449A3E2B"/>
    <w:rsid w:val="44CE4247"/>
    <w:rsid w:val="452B067D"/>
    <w:rsid w:val="454540FC"/>
    <w:rsid w:val="45585F0F"/>
    <w:rsid w:val="456973A7"/>
    <w:rsid w:val="45732A1A"/>
    <w:rsid w:val="459E2EC4"/>
    <w:rsid w:val="45BC7ABD"/>
    <w:rsid w:val="45C9535A"/>
    <w:rsid w:val="45E311AC"/>
    <w:rsid w:val="45F823D0"/>
    <w:rsid w:val="46121968"/>
    <w:rsid w:val="463F2B59"/>
    <w:rsid w:val="46B70DFC"/>
    <w:rsid w:val="471B05F1"/>
    <w:rsid w:val="47290367"/>
    <w:rsid w:val="473632F0"/>
    <w:rsid w:val="475D11DE"/>
    <w:rsid w:val="47952D77"/>
    <w:rsid w:val="47F22E4F"/>
    <w:rsid w:val="483C6FDD"/>
    <w:rsid w:val="48426715"/>
    <w:rsid w:val="48547666"/>
    <w:rsid w:val="488857A8"/>
    <w:rsid w:val="489A0ABB"/>
    <w:rsid w:val="48AF2AEE"/>
    <w:rsid w:val="48C04CFB"/>
    <w:rsid w:val="48D72D64"/>
    <w:rsid w:val="49357497"/>
    <w:rsid w:val="493C40AD"/>
    <w:rsid w:val="49885819"/>
    <w:rsid w:val="49A87CEB"/>
    <w:rsid w:val="49D56DC9"/>
    <w:rsid w:val="4A7B2E7F"/>
    <w:rsid w:val="4B3B5C13"/>
    <w:rsid w:val="4BA925DA"/>
    <w:rsid w:val="4BCE77FD"/>
    <w:rsid w:val="4C08460C"/>
    <w:rsid w:val="4C0B1D66"/>
    <w:rsid w:val="4C2E3E9D"/>
    <w:rsid w:val="4C60482B"/>
    <w:rsid w:val="4C72630D"/>
    <w:rsid w:val="4C8449BE"/>
    <w:rsid w:val="4CEA2347"/>
    <w:rsid w:val="4D020930"/>
    <w:rsid w:val="4D0C3661"/>
    <w:rsid w:val="4D3C0277"/>
    <w:rsid w:val="4D6A2255"/>
    <w:rsid w:val="4DAB5F7A"/>
    <w:rsid w:val="4DAB6429"/>
    <w:rsid w:val="4DB850FC"/>
    <w:rsid w:val="4E1B63C8"/>
    <w:rsid w:val="4E8A3DE2"/>
    <w:rsid w:val="4EB86183"/>
    <w:rsid w:val="4F3A5808"/>
    <w:rsid w:val="4F534CB9"/>
    <w:rsid w:val="4F5F48F4"/>
    <w:rsid w:val="4F6E54B1"/>
    <w:rsid w:val="4FC83032"/>
    <w:rsid w:val="4FE51205"/>
    <w:rsid w:val="5012408F"/>
    <w:rsid w:val="503F0BFC"/>
    <w:rsid w:val="50482525"/>
    <w:rsid w:val="50587360"/>
    <w:rsid w:val="50615016"/>
    <w:rsid w:val="50722D7F"/>
    <w:rsid w:val="50A30CCB"/>
    <w:rsid w:val="50FD17FF"/>
    <w:rsid w:val="51535CF6"/>
    <w:rsid w:val="518A011B"/>
    <w:rsid w:val="51AD078B"/>
    <w:rsid w:val="51C4366E"/>
    <w:rsid w:val="51C97AB5"/>
    <w:rsid w:val="5212481A"/>
    <w:rsid w:val="525840E8"/>
    <w:rsid w:val="52852D6E"/>
    <w:rsid w:val="52A64F62"/>
    <w:rsid w:val="52EB0BC7"/>
    <w:rsid w:val="5325057D"/>
    <w:rsid w:val="532B759A"/>
    <w:rsid w:val="53402AC0"/>
    <w:rsid w:val="538928BA"/>
    <w:rsid w:val="53C716C0"/>
    <w:rsid w:val="53CD05AE"/>
    <w:rsid w:val="53EA633D"/>
    <w:rsid w:val="53F2321D"/>
    <w:rsid w:val="542B56EB"/>
    <w:rsid w:val="5449029B"/>
    <w:rsid w:val="545729B8"/>
    <w:rsid w:val="546A39E1"/>
    <w:rsid w:val="54923440"/>
    <w:rsid w:val="54AC3E88"/>
    <w:rsid w:val="54B26621"/>
    <w:rsid w:val="54D46917"/>
    <w:rsid w:val="54E52957"/>
    <w:rsid w:val="54F621D1"/>
    <w:rsid w:val="555719C0"/>
    <w:rsid w:val="557B4FC6"/>
    <w:rsid w:val="55B6370E"/>
    <w:rsid w:val="560B1779"/>
    <w:rsid w:val="5632548A"/>
    <w:rsid w:val="568944D0"/>
    <w:rsid w:val="56AA7573"/>
    <w:rsid w:val="56B32F5C"/>
    <w:rsid w:val="56E209C5"/>
    <w:rsid w:val="571526B6"/>
    <w:rsid w:val="5766324B"/>
    <w:rsid w:val="576D7F8B"/>
    <w:rsid w:val="5782702B"/>
    <w:rsid w:val="57882E88"/>
    <w:rsid w:val="57BE341C"/>
    <w:rsid w:val="57E04765"/>
    <w:rsid w:val="584A5057"/>
    <w:rsid w:val="587D5E48"/>
    <w:rsid w:val="58F20F01"/>
    <w:rsid w:val="58F5275D"/>
    <w:rsid w:val="59116A8F"/>
    <w:rsid w:val="59684EED"/>
    <w:rsid w:val="598F04FE"/>
    <w:rsid w:val="59A10231"/>
    <w:rsid w:val="59CC3F64"/>
    <w:rsid w:val="5A7B7A6E"/>
    <w:rsid w:val="5AAF3B26"/>
    <w:rsid w:val="5ABA15AB"/>
    <w:rsid w:val="5B176DBD"/>
    <w:rsid w:val="5B55222C"/>
    <w:rsid w:val="5B5E0630"/>
    <w:rsid w:val="5B800635"/>
    <w:rsid w:val="5B9B6B02"/>
    <w:rsid w:val="5BAC65FF"/>
    <w:rsid w:val="5BB311C3"/>
    <w:rsid w:val="5C027618"/>
    <w:rsid w:val="5C505D8A"/>
    <w:rsid w:val="5C6A0471"/>
    <w:rsid w:val="5C815BC9"/>
    <w:rsid w:val="5C897B26"/>
    <w:rsid w:val="5CC10F0B"/>
    <w:rsid w:val="5CE13766"/>
    <w:rsid w:val="5CEE19DF"/>
    <w:rsid w:val="5CFC02FC"/>
    <w:rsid w:val="5D1F603D"/>
    <w:rsid w:val="5D3E102F"/>
    <w:rsid w:val="5D5C60F4"/>
    <w:rsid w:val="5D7F329C"/>
    <w:rsid w:val="5D88566D"/>
    <w:rsid w:val="5DC00F91"/>
    <w:rsid w:val="5DF928C1"/>
    <w:rsid w:val="5E193619"/>
    <w:rsid w:val="5E516744"/>
    <w:rsid w:val="5E7F014B"/>
    <w:rsid w:val="5F0B7335"/>
    <w:rsid w:val="5F931FB8"/>
    <w:rsid w:val="5FB35D2D"/>
    <w:rsid w:val="5FDB6B6B"/>
    <w:rsid w:val="5FF72267"/>
    <w:rsid w:val="60396BAB"/>
    <w:rsid w:val="6042739B"/>
    <w:rsid w:val="6068793B"/>
    <w:rsid w:val="607F6520"/>
    <w:rsid w:val="60822B6A"/>
    <w:rsid w:val="608915BE"/>
    <w:rsid w:val="60D95B61"/>
    <w:rsid w:val="61480D21"/>
    <w:rsid w:val="614B38A4"/>
    <w:rsid w:val="61706E67"/>
    <w:rsid w:val="618A000B"/>
    <w:rsid w:val="61B4294C"/>
    <w:rsid w:val="62092E18"/>
    <w:rsid w:val="6220263B"/>
    <w:rsid w:val="62287742"/>
    <w:rsid w:val="623B6115"/>
    <w:rsid w:val="62423B73"/>
    <w:rsid w:val="62E529E5"/>
    <w:rsid w:val="6302649F"/>
    <w:rsid w:val="631E458C"/>
    <w:rsid w:val="633A0610"/>
    <w:rsid w:val="633A466C"/>
    <w:rsid w:val="63AB23D8"/>
    <w:rsid w:val="64191A38"/>
    <w:rsid w:val="64382184"/>
    <w:rsid w:val="647363C8"/>
    <w:rsid w:val="651A5CA3"/>
    <w:rsid w:val="653634E7"/>
    <w:rsid w:val="653943E1"/>
    <w:rsid w:val="658F3D8C"/>
    <w:rsid w:val="65A753BA"/>
    <w:rsid w:val="65CE0600"/>
    <w:rsid w:val="65CF5884"/>
    <w:rsid w:val="65DD6770"/>
    <w:rsid w:val="66666BCA"/>
    <w:rsid w:val="668469F0"/>
    <w:rsid w:val="66955D24"/>
    <w:rsid w:val="66B6078F"/>
    <w:rsid w:val="66E14363"/>
    <w:rsid w:val="66F9345B"/>
    <w:rsid w:val="674B791B"/>
    <w:rsid w:val="674D23EE"/>
    <w:rsid w:val="677EB1B6"/>
    <w:rsid w:val="679663BA"/>
    <w:rsid w:val="67DF0F40"/>
    <w:rsid w:val="68107C0C"/>
    <w:rsid w:val="68692862"/>
    <w:rsid w:val="689246CF"/>
    <w:rsid w:val="68A82589"/>
    <w:rsid w:val="69395E30"/>
    <w:rsid w:val="69C31A96"/>
    <w:rsid w:val="69DB153D"/>
    <w:rsid w:val="69EB70E4"/>
    <w:rsid w:val="6A932A9F"/>
    <w:rsid w:val="6AB12D26"/>
    <w:rsid w:val="6ADC0FDC"/>
    <w:rsid w:val="6AFE6FAA"/>
    <w:rsid w:val="6B030D4C"/>
    <w:rsid w:val="6B4B624F"/>
    <w:rsid w:val="6BAE6EDA"/>
    <w:rsid w:val="6BB73E7B"/>
    <w:rsid w:val="6BE34EA2"/>
    <w:rsid w:val="6C47114D"/>
    <w:rsid w:val="6C701A4E"/>
    <w:rsid w:val="6C8C1A3D"/>
    <w:rsid w:val="6C8D155B"/>
    <w:rsid w:val="6CE8644B"/>
    <w:rsid w:val="6D0C16B7"/>
    <w:rsid w:val="6D615124"/>
    <w:rsid w:val="6D65789F"/>
    <w:rsid w:val="6DCF3167"/>
    <w:rsid w:val="6DF42366"/>
    <w:rsid w:val="6DF77920"/>
    <w:rsid w:val="6E1868BC"/>
    <w:rsid w:val="6E3635B6"/>
    <w:rsid w:val="6E5D73F4"/>
    <w:rsid w:val="6E9F3D15"/>
    <w:rsid w:val="6EA907DC"/>
    <w:rsid w:val="6EFF5102"/>
    <w:rsid w:val="6F086AF9"/>
    <w:rsid w:val="6F435EB0"/>
    <w:rsid w:val="6F524050"/>
    <w:rsid w:val="6F5622AD"/>
    <w:rsid w:val="6FB797B4"/>
    <w:rsid w:val="6FDE59DA"/>
    <w:rsid w:val="6FE400BA"/>
    <w:rsid w:val="6FFE999D"/>
    <w:rsid w:val="70075C81"/>
    <w:rsid w:val="702020CF"/>
    <w:rsid w:val="704851DE"/>
    <w:rsid w:val="707F5065"/>
    <w:rsid w:val="70B02F9B"/>
    <w:rsid w:val="71325EE7"/>
    <w:rsid w:val="71514F9A"/>
    <w:rsid w:val="717242CE"/>
    <w:rsid w:val="71924BD7"/>
    <w:rsid w:val="71B9489E"/>
    <w:rsid w:val="71EF5B86"/>
    <w:rsid w:val="722D15D1"/>
    <w:rsid w:val="7263693A"/>
    <w:rsid w:val="72641AD5"/>
    <w:rsid w:val="729329B5"/>
    <w:rsid w:val="7299057D"/>
    <w:rsid w:val="72A5093A"/>
    <w:rsid w:val="72DE0036"/>
    <w:rsid w:val="73090EC9"/>
    <w:rsid w:val="733367CD"/>
    <w:rsid w:val="734D39EB"/>
    <w:rsid w:val="73787197"/>
    <w:rsid w:val="73D44BF1"/>
    <w:rsid w:val="742F670E"/>
    <w:rsid w:val="743628D2"/>
    <w:rsid w:val="7454713B"/>
    <w:rsid w:val="747704BC"/>
    <w:rsid w:val="74962C31"/>
    <w:rsid w:val="74B65081"/>
    <w:rsid w:val="7505761C"/>
    <w:rsid w:val="751C3363"/>
    <w:rsid w:val="753A448C"/>
    <w:rsid w:val="754849C9"/>
    <w:rsid w:val="75596138"/>
    <w:rsid w:val="758D1939"/>
    <w:rsid w:val="75955E11"/>
    <w:rsid w:val="75982C92"/>
    <w:rsid w:val="75D23CED"/>
    <w:rsid w:val="760A7432"/>
    <w:rsid w:val="763B70FF"/>
    <w:rsid w:val="764F3ACF"/>
    <w:rsid w:val="76500388"/>
    <w:rsid w:val="76647EBA"/>
    <w:rsid w:val="76E33C4B"/>
    <w:rsid w:val="76EC6F1F"/>
    <w:rsid w:val="76F0260D"/>
    <w:rsid w:val="777D5757"/>
    <w:rsid w:val="77974CF6"/>
    <w:rsid w:val="77CD4BBB"/>
    <w:rsid w:val="780D4370"/>
    <w:rsid w:val="785E00D6"/>
    <w:rsid w:val="78BC0481"/>
    <w:rsid w:val="78D673A6"/>
    <w:rsid w:val="78EC2C25"/>
    <w:rsid w:val="792B40FE"/>
    <w:rsid w:val="793B1C09"/>
    <w:rsid w:val="798F1920"/>
    <w:rsid w:val="79C66DA1"/>
    <w:rsid w:val="7A077D07"/>
    <w:rsid w:val="7A49776D"/>
    <w:rsid w:val="7A7F44F0"/>
    <w:rsid w:val="7AC22E16"/>
    <w:rsid w:val="7B2A7C2F"/>
    <w:rsid w:val="7B641393"/>
    <w:rsid w:val="7B65510B"/>
    <w:rsid w:val="7B8B0D95"/>
    <w:rsid w:val="7BB125A5"/>
    <w:rsid w:val="7BB80A08"/>
    <w:rsid w:val="7C3B0236"/>
    <w:rsid w:val="7C3E67FC"/>
    <w:rsid w:val="7C4116D4"/>
    <w:rsid w:val="7C7A330D"/>
    <w:rsid w:val="7C9E463B"/>
    <w:rsid w:val="7CB0778F"/>
    <w:rsid w:val="7CFB5D27"/>
    <w:rsid w:val="7D2851D8"/>
    <w:rsid w:val="7DAB151E"/>
    <w:rsid w:val="7DB47EC7"/>
    <w:rsid w:val="7DD7216E"/>
    <w:rsid w:val="7E172ED6"/>
    <w:rsid w:val="7E7A6940"/>
    <w:rsid w:val="7E9142D6"/>
    <w:rsid w:val="7E9D3780"/>
    <w:rsid w:val="7EE372F0"/>
    <w:rsid w:val="7EF644EA"/>
    <w:rsid w:val="7EF96296"/>
    <w:rsid w:val="7F057ACA"/>
    <w:rsid w:val="7F0864D9"/>
    <w:rsid w:val="7F1D2B22"/>
    <w:rsid w:val="7F313B4B"/>
    <w:rsid w:val="7F3D43D5"/>
    <w:rsid w:val="7F5259A6"/>
    <w:rsid w:val="7F596D35"/>
    <w:rsid w:val="7F6649A7"/>
    <w:rsid w:val="7F7508EB"/>
    <w:rsid w:val="7F7B314F"/>
    <w:rsid w:val="7FAA57E2"/>
    <w:rsid w:val="EABF5C2A"/>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39" w:semiHidden="0" w:name="toc 2"/>
    <w:lsdException w:qFormat="1" w:unhideWhenUsed="0" w:uiPriority="0" w:name="toc 3"/>
    <w:lsdException w:qFormat="1" w:uiPriority="0" w:name="toc 4"/>
    <w:lsdException w:qFormat="1" w:uiPriority="39" w:semiHidden="0" w:name="toc 5"/>
    <w:lsdException w:uiPriority="0" w:name="toc 6"/>
    <w:lsdException w:uiPriority="0" w:name="toc 7"/>
    <w:lsdException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autoRedefine/>
    <w:qFormat/>
    <w:uiPriority w:val="0"/>
    <w:pPr>
      <w:keepNext/>
      <w:keepLines/>
      <w:tabs>
        <w:tab w:val="left" w:pos="360"/>
      </w:tabs>
      <w:adjustRightInd w:val="0"/>
      <w:spacing w:before="120" w:line="360" w:lineRule="auto"/>
      <w:ind w:left="284" w:hanging="284"/>
      <w:textAlignment w:val="baseline"/>
      <w:outlineLvl w:val="0"/>
    </w:pPr>
    <w:rPr>
      <w:rFonts w:eastAsia="黑体"/>
      <w:b/>
      <w:kern w:val="44"/>
      <w:sz w:val="28"/>
      <w:szCs w:val="20"/>
      <w:lang w:val="zh-CN"/>
    </w:rPr>
  </w:style>
  <w:style w:type="paragraph" w:styleId="3">
    <w:name w:val="heading 2"/>
    <w:basedOn w:val="1"/>
    <w:next w:val="4"/>
    <w:link w:val="54"/>
    <w:autoRedefine/>
    <w:qFormat/>
    <w:uiPriority w:val="0"/>
    <w:pPr>
      <w:keepNext/>
      <w:numPr>
        <w:ilvl w:val="1"/>
        <w:numId w:val="1"/>
      </w:numPr>
      <w:adjustRightInd w:val="0"/>
      <w:spacing w:before="120" w:line="360" w:lineRule="auto"/>
      <w:textAlignment w:val="baseline"/>
      <w:outlineLvl w:val="1"/>
    </w:pPr>
    <w:rPr>
      <w:rFonts w:eastAsia="黑体"/>
      <w:b/>
      <w:kern w:val="0"/>
      <w:sz w:val="28"/>
      <w:szCs w:val="20"/>
      <w:lang w:val="zh-CN"/>
    </w:rPr>
  </w:style>
  <w:style w:type="paragraph" w:styleId="5">
    <w:name w:val="heading 3"/>
    <w:basedOn w:val="1"/>
    <w:next w:val="1"/>
    <w:link w:val="55"/>
    <w:autoRedefine/>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lang w:val="zh-CN"/>
    </w:rPr>
  </w:style>
  <w:style w:type="paragraph" w:styleId="6">
    <w:name w:val="heading 4"/>
    <w:basedOn w:val="1"/>
    <w:next w:val="1"/>
    <w:autoRedefine/>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7">
    <w:name w:val="heading 5"/>
    <w:basedOn w:val="1"/>
    <w:next w:val="1"/>
    <w:link w:val="56"/>
    <w:autoRedefine/>
    <w:qFormat/>
    <w:uiPriority w:val="0"/>
    <w:pPr>
      <w:keepNext/>
      <w:keepLines/>
      <w:numPr>
        <w:ilvl w:val="4"/>
        <w:numId w:val="2"/>
      </w:numPr>
      <w:adjustRightInd w:val="0"/>
      <w:spacing w:before="280" w:after="290" w:line="376" w:lineRule="atLeast"/>
      <w:textAlignment w:val="baseline"/>
      <w:outlineLvl w:val="4"/>
    </w:pPr>
    <w:rPr>
      <w:b/>
      <w:kern w:val="0"/>
      <w:sz w:val="28"/>
      <w:lang w:val="zh-CN"/>
    </w:rPr>
  </w:style>
  <w:style w:type="paragraph" w:styleId="8">
    <w:name w:val="heading 6"/>
    <w:basedOn w:val="1"/>
    <w:next w:val="1"/>
    <w:link w:val="57"/>
    <w:autoRedefine/>
    <w:qFormat/>
    <w:uiPriority w:val="0"/>
    <w:pPr>
      <w:keepNext/>
      <w:keepLines/>
      <w:spacing w:before="240" w:after="64" w:line="320" w:lineRule="auto"/>
      <w:outlineLvl w:val="5"/>
    </w:pPr>
    <w:rPr>
      <w:rFonts w:ascii="Cambria" w:hAnsi="Cambria"/>
      <w:b/>
      <w:bCs/>
      <w:sz w:val="24"/>
      <w:lang w:val="zh-CN"/>
    </w:rPr>
  </w:style>
  <w:style w:type="paragraph" w:styleId="9">
    <w:name w:val="heading 9"/>
    <w:basedOn w:val="1"/>
    <w:next w:val="1"/>
    <w:link w:val="58"/>
    <w:autoRedefine/>
    <w:qFormat/>
    <w:uiPriority w:val="0"/>
    <w:pPr>
      <w:keepNext/>
      <w:widowControl/>
      <w:numPr>
        <w:ilvl w:val="0"/>
        <w:numId w:val="1"/>
      </w:numPr>
      <w:tabs>
        <w:tab w:val="left" w:pos="1440"/>
      </w:tabs>
      <w:overflowPunct w:val="0"/>
      <w:autoSpaceDE w:val="0"/>
      <w:autoSpaceDN w:val="0"/>
      <w:adjustRightInd w:val="0"/>
      <w:spacing w:line="360" w:lineRule="auto"/>
      <w:ind w:left="1418" w:hanging="1418"/>
      <w:jc w:val="left"/>
      <w:textAlignment w:val="baseline"/>
      <w:outlineLvl w:val="8"/>
    </w:pPr>
    <w:rPr>
      <w:rFonts w:ascii="Arial" w:hAnsi="Arial"/>
      <w:kern w:val="0"/>
      <w:sz w:val="24"/>
      <w:szCs w:val="20"/>
      <w:lang w:val="zh-CN"/>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1"/>
    <w:link w:val="59"/>
    <w:autoRedefine/>
    <w:qFormat/>
    <w:uiPriority w:val="0"/>
    <w:pPr>
      <w:widowControl/>
      <w:ind w:firstLine="420" w:firstLineChars="200"/>
      <w:jc w:val="left"/>
    </w:pPr>
    <w:rPr>
      <w:kern w:val="0"/>
      <w:sz w:val="20"/>
      <w:szCs w:val="20"/>
    </w:rPr>
  </w:style>
  <w:style w:type="paragraph" w:styleId="10">
    <w:name w:val="caption"/>
    <w:basedOn w:val="1"/>
    <w:next w:val="1"/>
    <w:autoRedefine/>
    <w:qFormat/>
    <w:uiPriority w:val="0"/>
    <w:pPr>
      <w:widowControl/>
      <w:jc w:val="left"/>
    </w:pPr>
    <w:rPr>
      <w:rFonts w:ascii="Arial" w:hAnsi="Arial" w:eastAsia="黑体" w:cs="Arial"/>
      <w:kern w:val="0"/>
      <w:sz w:val="20"/>
      <w:szCs w:val="20"/>
    </w:rPr>
  </w:style>
  <w:style w:type="paragraph" w:styleId="11">
    <w:name w:val="Document Map"/>
    <w:basedOn w:val="1"/>
    <w:next w:val="12"/>
    <w:autoRedefine/>
    <w:semiHidden/>
    <w:qFormat/>
    <w:uiPriority w:val="0"/>
    <w:pPr>
      <w:shd w:val="clear" w:color="auto" w:fill="000080"/>
    </w:pPr>
  </w:style>
  <w:style w:type="paragraph" w:styleId="12">
    <w:name w:val="Title"/>
    <w:basedOn w:val="1"/>
    <w:next w:val="1"/>
    <w:link w:val="72"/>
    <w:autoRedefine/>
    <w:qFormat/>
    <w:uiPriority w:val="0"/>
    <w:pPr>
      <w:spacing w:before="240" w:after="60"/>
      <w:jc w:val="center"/>
      <w:outlineLvl w:val="0"/>
    </w:pPr>
    <w:rPr>
      <w:rFonts w:ascii="Cambria" w:hAnsi="Cambria"/>
      <w:b/>
      <w:bCs/>
      <w:sz w:val="32"/>
      <w:szCs w:val="32"/>
      <w:lang w:val="zh-CN"/>
    </w:rPr>
  </w:style>
  <w:style w:type="paragraph" w:styleId="13">
    <w:name w:val="toa heading"/>
    <w:basedOn w:val="1"/>
    <w:next w:val="1"/>
    <w:autoRedefine/>
    <w:semiHidden/>
    <w:qFormat/>
    <w:uiPriority w:val="0"/>
    <w:pPr>
      <w:spacing w:before="120"/>
    </w:pPr>
    <w:rPr>
      <w:rFonts w:ascii="Arial" w:hAnsi="Arial" w:cs="Arial"/>
      <w:sz w:val="24"/>
    </w:rPr>
  </w:style>
  <w:style w:type="paragraph" w:styleId="14">
    <w:name w:val="annotation text"/>
    <w:basedOn w:val="1"/>
    <w:link w:val="60"/>
    <w:autoRedefine/>
    <w:qFormat/>
    <w:uiPriority w:val="99"/>
    <w:pPr>
      <w:widowControl/>
      <w:jc w:val="left"/>
    </w:pPr>
    <w:rPr>
      <w:rFonts w:ascii="Calibri" w:hAnsi="Calibri"/>
      <w:kern w:val="0"/>
      <w:sz w:val="20"/>
      <w:szCs w:val="20"/>
    </w:rPr>
  </w:style>
  <w:style w:type="paragraph" w:styleId="15">
    <w:name w:val="Body Text 3"/>
    <w:basedOn w:val="1"/>
    <w:link w:val="61"/>
    <w:autoRedefine/>
    <w:qFormat/>
    <w:uiPriority w:val="0"/>
    <w:pPr>
      <w:spacing w:after="120"/>
    </w:pPr>
    <w:rPr>
      <w:sz w:val="16"/>
      <w:szCs w:val="16"/>
      <w:lang w:val="zh-CN"/>
    </w:rPr>
  </w:style>
  <w:style w:type="paragraph" w:styleId="16">
    <w:name w:val="Body Text"/>
    <w:basedOn w:val="1"/>
    <w:next w:val="17"/>
    <w:link w:val="53"/>
    <w:autoRedefine/>
    <w:qFormat/>
    <w:uiPriority w:val="0"/>
    <w:pPr>
      <w:spacing w:after="120"/>
    </w:pPr>
    <w:rPr>
      <w:lang w:val="zh-CN"/>
    </w:rPr>
  </w:style>
  <w:style w:type="paragraph" w:styleId="17">
    <w:name w:val="toc 5"/>
    <w:basedOn w:val="1"/>
    <w:next w:val="1"/>
    <w:autoRedefine/>
    <w:unhideWhenUsed/>
    <w:qFormat/>
    <w:uiPriority w:val="39"/>
    <w:pPr>
      <w:ind w:left="840"/>
    </w:pPr>
    <w:rPr>
      <w:rFonts w:ascii="Calibri" w:hAnsi="Calibri" w:cs="Calibri"/>
      <w:sz w:val="18"/>
      <w:szCs w:val="18"/>
    </w:rPr>
  </w:style>
  <w:style w:type="paragraph" w:styleId="18">
    <w:name w:val="Body Text Indent"/>
    <w:basedOn w:val="1"/>
    <w:next w:val="1"/>
    <w:autoRedefine/>
    <w:qFormat/>
    <w:uiPriority w:val="0"/>
    <w:pPr>
      <w:spacing w:after="120"/>
      <w:ind w:left="420" w:leftChars="200"/>
    </w:pPr>
  </w:style>
  <w:style w:type="paragraph" w:styleId="19">
    <w:name w:val="toc 3"/>
    <w:basedOn w:val="1"/>
    <w:next w:val="1"/>
    <w:autoRedefine/>
    <w:semiHidden/>
    <w:qFormat/>
    <w:uiPriority w:val="0"/>
    <w:pPr>
      <w:widowControl/>
      <w:ind w:left="840" w:leftChars="400"/>
      <w:jc w:val="left"/>
    </w:pPr>
    <w:rPr>
      <w:kern w:val="0"/>
      <w:sz w:val="20"/>
      <w:szCs w:val="20"/>
    </w:rPr>
  </w:style>
  <w:style w:type="paragraph" w:styleId="20">
    <w:name w:val="Plain Text"/>
    <w:basedOn w:val="1"/>
    <w:link w:val="62"/>
    <w:autoRedefine/>
    <w:qFormat/>
    <w:uiPriority w:val="0"/>
    <w:rPr>
      <w:rFonts w:ascii="宋体"/>
      <w:szCs w:val="20"/>
    </w:rPr>
  </w:style>
  <w:style w:type="paragraph" w:styleId="21">
    <w:name w:val="Date"/>
    <w:basedOn w:val="1"/>
    <w:next w:val="1"/>
    <w:link w:val="63"/>
    <w:autoRedefine/>
    <w:qFormat/>
    <w:uiPriority w:val="0"/>
    <w:pPr>
      <w:ind w:left="100" w:leftChars="2500"/>
    </w:pPr>
    <w:rPr>
      <w:lang w:val="zh-CN"/>
    </w:rPr>
  </w:style>
  <w:style w:type="paragraph" w:styleId="22">
    <w:name w:val="Body Text Indent 2"/>
    <w:basedOn w:val="1"/>
    <w:link w:val="64"/>
    <w:autoRedefine/>
    <w:qFormat/>
    <w:uiPriority w:val="0"/>
    <w:pPr>
      <w:spacing w:after="120" w:line="480" w:lineRule="auto"/>
      <w:ind w:left="200" w:leftChars="200"/>
    </w:pPr>
    <w:rPr>
      <w:lang w:val="zh-CN"/>
    </w:rPr>
  </w:style>
  <w:style w:type="paragraph" w:styleId="23">
    <w:name w:val="Balloon Text"/>
    <w:basedOn w:val="1"/>
    <w:link w:val="65"/>
    <w:autoRedefine/>
    <w:semiHidden/>
    <w:qFormat/>
    <w:uiPriority w:val="99"/>
    <w:rPr>
      <w:sz w:val="18"/>
      <w:szCs w:val="18"/>
      <w:lang w:val="zh-CN"/>
    </w:rPr>
  </w:style>
  <w:style w:type="paragraph" w:styleId="24">
    <w:name w:val="footer"/>
    <w:basedOn w:val="1"/>
    <w:link w:val="66"/>
    <w:autoRedefine/>
    <w:qFormat/>
    <w:uiPriority w:val="99"/>
    <w:pPr>
      <w:tabs>
        <w:tab w:val="center" w:pos="4153"/>
        <w:tab w:val="right" w:pos="8306"/>
      </w:tabs>
      <w:snapToGrid w:val="0"/>
      <w:jc w:val="left"/>
    </w:pPr>
    <w:rPr>
      <w:rFonts w:ascii="宋体"/>
      <w:sz w:val="18"/>
      <w:szCs w:val="20"/>
      <w:lang w:val="zh-CN"/>
    </w:rPr>
  </w:style>
  <w:style w:type="paragraph" w:styleId="25">
    <w:name w:val="header"/>
    <w:basedOn w:val="1"/>
    <w:link w:val="67"/>
    <w:autoRedefine/>
    <w:qFormat/>
    <w:uiPriority w:val="99"/>
    <w:pPr>
      <w:pBdr>
        <w:bottom w:val="single" w:color="auto" w:sz="6" w:space="1"/>
      </w:pBdr>
      <w:tabs>
        <w:tab w:val="center" w:pos="4153"/>
        <w:tab w:val="right" w:pos="8306"/>
      </w:tabs>
      <w:snapToGrid w:val="0"/>
      <w:jc w:val="center"/>
    </w:pPr>
    <w:rPr>
      <w:sz w:val="18"/>
      <w:szCs w:val="18"/>
      <w:lang w:val="zh-CN"/>
    </w:rPr>
  </w:style>
  <w:style w:type="paragraph" w:styleId="26">
    <w:name w:val="toc 1"/>
    <w:basedOn w:val="1"/>
    <w:next w:val="1"/>
    <w:autoRedefine/>
    <w:qFormat/>
    <w:uiPriority w:val="0"/>
    <w:pPr>
      <w:tabs>
        <w:tab w:val="right" w:leader="dot" w:pos="9628"/>
      </w:tabs>
      <w:spacing w:before="120" w:after="120"/>
      <w:ind w:firstLine="74" w:firstLineChars="74"/>
      <w:jc w:val="left"/>
    </w:pPr>
    <w:rPr>
      <w:b/>
      <w:bCs/>
      <w:caps/>
      <w:sz w:val="20"/>
      <w:szCs w:val="20"/>
    </w:rPr>
  </w:style>
  <w:style w:type="paragraph" w:styleId="27">
    <w:name w:val="toc 4"/>
    <w:basedOn w:val="1"/>
    <w:next w:val="1"/>
    <w:autoRedefine/>
    <w:semiHidden/>
    <w:unhideWhenUsed/>
    <w:qFormat/>
    <w:uiPriority w:val="0"/>
    <w:pPr>
      <w:ind w:left="1260" w:leftChars="600"/>
    </w:pPr>
  </w:style>
  <w:style w:type="paragraph" w:styleId="28">
    <w:name w:val="Subtitle"/>
    <w:basedOn w:val="1"/>
    <w:next w:val="1"/>
    <w:link w:val="68"/>
    <w:autoRedefine/>
    <w:qFormat/>
    <w:uiPriority w:val="11"/>
    <w:pPr>
      <w:widowControl/>
      <w:jc w:val="right"/>
    </w:pPr>
    <w:rPr>
      <w:rFonts w:ascii="Arial" w:hAnsi="Arial"/>
      <w:iCs/>
      <w:kern w:val="0"/>
      <w:sz w:val="14"/>
      <w:lang w:val="nl-NL" w:eastAsia="en-US"/>
    </w:rPr>
  </w:style>
  <w:style w:type="paragraph" w:styleId="29">
    <w:name w:val="footnote text"/>
    <w:basedOn w:val="1"/>
    <w:link w:val="69"/>
    <w:autoRedefine/>
    <w:qFormat/>
    <w:uiPriority w:val="0"/>
    <w:pPr>
      <w:widowControl/>
      <w:snapToGrid w:val="0"/>
      <w:jc w:val="left"/>
    </w:pPr>
    <w:rPr>
      <w:kern w:val="0"/>
      <w:sz w:val="18"/>
      <w:szCs w:val="18"/>
      <w:lang w:val="zh-CN"/>
    </w:rPr>
  </w:style>
  <w:style w:type="paragraph" w:styleId="30">
    <w:name w:val="Body Text Indent 3"/>
    <w:basedOn w:val="1"/>
    <w:link w:val="70"/>
    <w:autoRedefine/>
    <w:qFormat/>
    <w:uiPriority w:val="0"/>
    <w:pPr>
      <w:widowControl/>
      <w:spacing w:after="120"/>
      <w:ind w:left="420" w:leftChars="200"/>
      <w:jc w:val="left"/>
    </w:pPr>
    <w:rPr>
      <w:kern w:val="0"/>
      <w:sz w:val="16"/>
      <w:szCs w:val="16"/>
      <w:lang w:val="zh-CN"/>
    </w:rPr>
  </w:style>
  <w:style w:type="paragraph" w:styleId="31">
    <w:name w:val="toc 2"/>
    <w:basedOn w:val="1"/>
    <w:next w:val="1"/>
    <w:autoRedefine/>
    <w:qFormat/>
    <w:uiPriority w:val="39"/>
    <w:pPr>
      <w:tabs>
        <w:tab w:val="right" w:leader="dot" w:pos="9628"/>
      </w:tabs>
      <w:spacing w:line="260" w:lineRule="exact"/>
      <w:ind w:left="210"/>
      <w:jc w:val="left"/>
    </w:pPr>
    <w:rPr>
      <w:smallCaps/>
      <w:sz w:val="20"/>
      <w:szCs w:val="20"/>
    </w:rPr>
  </w:style>
  <w:style w:type="paragraph" w:styleId="32">
    <w:name w:val="toc 9"/>
    <w:basedOn w:val="1"/>
    <w:next w:val="1"/>
    <w:autoRedefine/>
    <w:semiHidden/>
    <w:qFormat/>
    <w:uiPriority w:val="0"/>
    <w:pPr>
      <w:ind w:left="1680"/>
      <w:jc w:val="left"/>
    </w:pPr>
    <w:rPr>
      <w:sz w:val="18"/>
      <w:szCs w:val="18"/>
    </w:rPr>
  </w:style>
  <w:style w:type="paragraph" w:styleId="33">
    <w:name w:val="Body Text 2"/>
    <w:basedOn w:val="1"/>
    <w:link w:val="71"/>
    <w:autoRedefine/>
    <w:qFormat/>
    <w:uiPriority w:val="0"/>
    <w:pPr>
      <w:spacing w:after="120" w:line="480" w:lineRule="auto"/>
    </w:pPr>
    <w:rPr>
      <w:lang w:val="zh-CN"/>
    </w:rPr>
  </w:style>
  <w:style w:type="paragraph" w:styleId="34">
    <w:name w:val="Normal (Web)"/>
    <w:basedOn w:val="1"/>
    <w:autoRedefine/>
    <w:qFormat/>
    <w:uiPriority w:val="99"/>
    <w:pPr>
      <w:widowControl/>
      <w:spacing w:before="100" w:beforeAutospacing="1" w:after="100" w:afterAutospacing="1"/>
      <w:jc w:val="left"/>
    </w:pPr>
    <w:rPr>
      <w:rFonts w:ascii="宋体" w:hAnsi="宋体"/>
      <w:kern w:val="0"/>
      <w:sz w:val="24"/>
    </w:rPr>
  </w:style>
  <w:style w:type="paragraph" w:styleId="35">
    <w:name w:val="annotation subject"/>
    <w:basedOn w:val="14"/>
    <w:next w:val="14"/>
    <w:link w:val="73"/>
    <w:autoRedefine/>
    <w:qFormat/>
    <w:uiPriority w:val="0"/>
    <w:rPr>
      <w:rFonts w:ascii="Times New Roman" w:hAnsi="Times New Roman"/>
      <w:b/>
      <w:bCs/>
      <w:lang w:val="zh-CN"/>
    </w:rPr>
  </w:style>
  <w:style w:type="paragraph" w:styleId="36">
    <w:name w:val="Body Text First Indent"/>
    <w:basedOn w:val="16"/>
    <w:link w:val="74"/>
    <w:autoRedefine/>
    <w:qFormat/>
    <w:uiPriority w:val="99"/>
    <w:pPr>
      <w:widowControl/>
      <w:spacing w:after="0" w:line="360" w:lineRule="auto"/>
      <w:ind w:firstLine="420" w:firstLineChars="100"/>
    </w:pPr>
    <w:rPr>
      <w:rFonts w:ascii="Calibri" w:hAnsi="Calibri"/>
      <w:color w:val="FF0000"/>
    </w:rPr>
  </w:style>
  <w:style w:type="table" w:styleId="38">
    <w:name w:val="Table Grid"/>
    <w:basedOn w:val="3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autoRedefine/>
    <w:qFormat/>
    <w:uiPriority w:val="22"/>
    <w:rPr>
      <w:b/>
      <w:bCs/>
    </w:rPr>
  </w:style>
  <w:style w:type="character" w:styleId="41">
    <w:name w:val="page number"/>
    <w:autoRedefine/>
    <w:qFormat/>
    <w:uiPriority w:val="0"/>
  </w:style>
  <w:style w:type="character" w:styleId="42">
    <w:name w:val="FollowedHyperlink"/>
    <w:autoRedefine/>
    <w:unhideWhenUsed/>
    <w:qFormat/>
    <w:uiPriority w:val="99"/>
    <w:rPr>
      <w:color w:val="800080"/>
      <w:u w:val="single"/>
    </w:rPr>
  </w:style>
  <w:style w:type="character" w:styleId="43">
    <w:name w:val="Emphasis"/>
    <w:autoRedefine/>
    <w:qFormat/>
    <w:uiPriority w:val="0"/>
    <w:rPr>
      <w:color w:val="CC0000"/>
    </w:rPr>
  </w:style>
  <w:style w:type="character" w:styleId="44">
    <w:name w:val="Hyperlink"/>
    <w:autoRedefine/>
    <w:qFormat/>
    <w:uiPriority w:val="99"/>
    <w:rPr>
      <w:color w:val="0000FF"/>
      <w:u w:val="single"/>
    </w:rPr>
  </w:style>
  <w:style w:type="character" w:styleId="45">
    <w:name w:val="annotation reference"/>
    <w:autoRedefine/>
    <w:qFormat/>
    <w:uiPriority w:val="0"/>
    <w:rPr>
      <w:sz w:val="21"/>
      <w:szCs w:val="21"/>
    </w:rPr>
  </w:style>
  <w:style w:type="character" w:styleId="46">
    <w:name w:val="HTML Cite"/>
    <w:autoRedefine/>
    <w:qFormat/>
    <w:uiPriority w:val="0"/>
    <w:rPr>
      <w:color w:val="008000"/>
    </w:rPr>
  </w:style>
  <w:style w:type="character" w:styleId="47">
    <w:name w:val="footnote reference"/>
    <w:autoRedefine/>
    <w:qFormat/>
    <w:uiPriority w:val="0"/>
    <w:rPr>
      <w:vertAlign w:val="superscript"/>
    </w:rPr>
  </w:style>
  <w:style w:type="character" w:customStyle="1" w:styleId="48">
    <w:name w:val="标题 2 Char"/>
    <w:autoRedefine/>
    <w:qFormat/>
    <w:uiPriority w:val="0"/>
    <w:rPr>
      <w:rFonts w:ascii="Arial" w:hAnsi="Arial" w:eastAsia="黑体"/>
      <w:b/>
      <w:bCs/>
      <w:sz w:val="32"/>
      <w:szCs w:val="32"/>
    </w:rPr>
  </w:style>
  <w:style w:type="character" w:customStyle="1" w:styleId="49">
    <w:name w:val="标题 3 Char"/>
    <w:autoRedefine/>
    <w:qFormat/>
    <w:uiPriority w:val="0"/>
    <w:rPr>
      <w:rFonts w:eastAsia="宋体"/>
      <w:b/>
      <w:bCs/>
      <w:kern w:val="2"/>
      <w:sz w:val="32"/>
      <w:szCs w:val="32"/>
      <w:lang w:val="en-US" w:eastAsia="zh-CN" w:bidi="ar-SA"/>
    </w:rPr>
  </w:style>
  <w:style w:type="character" w:customStyle="1" w:styleId="50">
    <w:name w:val="标题 1 Char"/>
    <w:link w:val="2"/>
    <w:autoRedefine/>
    <w:qFormat/>
    <w:uiPriority w:val="0"/>
    <w:rPr>
      <w:rFonts w:eastAsia="黑体"/>
      <w:b/>
      <w:kern w:val="44"/>
      <w:sz w:val="28"/>
    </w:rPr>
  </w:style>
  <w:style w:type="paragraph" w:customStyle="1" w:styleId="5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_Style 3"/>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53">
    <w:name w:val="正文文本 Char1"/>
    <w:link w:val="16"/>
    <w:autoRedefine/>
    <w:qFormat/>
    <w:uiPriority w:val="0"/>
    <w:rPr>
      <w:kern w:val="2"/>
      <w:sz w:val="21"/>
      <w:szCs w:val="24"/>
    </w:rPr>
  </w:style>
  <w:style w:type="character" w:customStyle="1" w:styleId="54">
    <w:name w:val="标题 2 Char1"/>
    <w:link w:val="3"/>
    <w:autoRedefine/>
    <w:qFormat/>
    <w:uiPriority w:val="0"/>
    <w:rPr>
      <w:rFonts w:eastAsia="黑体"/>
      <w:b/>
      <w:sz w:val="28"/>
    </w:rPr>
  </w:style>
  <w:style w:type="character" w:customStyle="1" w:styleId="55">
    <w:name w:val="标题 3 Char2"/>
    <w:link w:val="5"/>
    <w:autoRedefine/>
    <w:qFormat/>
    <w:uiPriority w:val="0"/>
    <w:rPr>
      <w:rFonts w:eastAsia="黑体"/>
      <w:b/>
      <w:sz w:val="28"/>
    </w:rPr>
  </w:style>
  <w:style w:type="character" w:customStyle="1" w:styleId="56">
    <w:name w:val="标题 5 Char"/>
    <w:link w:val="7"/>
    <w:autoRedefine/>
    <w:qFormat/>
    <w:uiPriority w:val="0"/>
    <w:rPr>
      <w:b/>
      <w:sz w:val="28"/>
      <w:szCs w:val="24"/>
    </w:rPr>
  </w:style>
  <w:style w:type="character" w:customStyle="1" w:styleId="57">
    <w:name w:val="标题 6 Char"/>
    <w:link w:val="8"/>
    <w:autoRedefine/>
    <w:qFormat/>
    <w:uiPriority w:val="0"/>
    <w:rPr>
      <w:rFonts w:ascii="Cambria" w:hAnsi="Cambria" w:eastAsia="宋体" w:cs="Times New Roman"/>
      <w:b/>
      <w:bCs/>
      <w:kern w:val="2"/>
      <w:sz w:val="24"/>
      <w:szCs w:val="24"/>
    </w:rPr>
  </w:style>
  <w:style w:type="character" w:customStyle="1" w:styleId="58">
    <w:name w:val="标题 9 Char"/>
    <w:link w:val="9"/>
    <w:autoRedefine/>
    <w:qFormat/>
    <w:uiPriority w:val="0"/>
    <w:rPr>
      <w:rFonts w:ascii="Arial" w:hAnsi="Arial" w:eastAsia="宋体" w:cs="Times New Roman"/>
      <w:sz w:val="24"/>
    </w:rPr>
  </w:style>
  <w:style w:type="character" w:customStyle="1" w:styleId="59">
    <w:name w:val="正文缩进 Char1"/>
    <w:link w:val="4"/>
    <w:autoRedefine/>
    <w:qFormat/>
    <w:uiPriority w:val="0"/>
  </w:style>
  <w:style w:type="character" w:customStyle="1" w:styleId="60">
    <w:name w:val="批注文字 Char"/>
    <w:link w:val="14"/>
    <w:autoRedefine/>
    <w:qFormat/>
    <w:uiPriority w:val="99"/>
  </w:style>
  <w:style w:type="character" w:customStyle="1" w:styleId="61">
    <w:name w:val="正文文本 3 Char"/>
    <w:link w:val="15"/>
    <w:autoRedefine/>
    <w:qFormat/>
    <w:uiPriority w:val="0"/>
    <w:rPr>
      <w:kern w:val="2"/>
      <w:sz w:val="16"/>
      <w:szCs w:val="16"/>
    </w:rPr>
  </w:style>
  <w:style w:type="character" w:customStyle="1" w:styleId="62">
    <w:name w:val="纯文本 Char3"/>
    <w:link w:val="20"/>
    <w:autoRedefine/>
    <w:qFormat/>
    <w:uiPriority w:val="0"/>
    <w:rPr>
      <w:rFonts w:ascii="宋体" w:eastAsia="宋体"/>
      <w:kern w:val="2"/>
      <w:sz w:val="21"/>
      <w:lang w:val="en-US" w:eastAsia="zh-CN" w:bidi="ar-SA"/>
    </w:rPr>
  </w:style>
  <w:style w:type="character" w:customStyle="1" w:styleId="63">
    <w:name w:val="日期 Char"/>
    <w:link w:val="21"/>
    <w:autoRedefine/>
    <w:qFormat/>
    <w:uiPriority w:val="0"/>
    <w:rPr>
      <w:kern w:val="2"/>
      <w:sz w:val="21"/>
      <w:szCs w:val="24"/>
    </w:rPr>
  </w:style>
  <w:style w:type="character" w:customStyle="1" w:styleId="64">
    <w:name w:val="正文文本缩进 2 Char1"/>
    <w:link w:val="22"/>
    <w:autoRedefine/>
    <w:qFormat/>
    <w:uiPriority w:val="0"/>
    <w:rPr>
      <w:kern w:val="2"/>
      <w:sz w:val="21"/>
      <w:szCs w:val="24"/>
    </w:rPr>
  </w:style>
  <w:style w:type="character" w:customStyle="1" w:styleId="65">
    <w:name w:val="批注框文本 Char"/>
    <w:link w:val="23"/>
    <w:autoRedefine/>
    <w:semiHidden/>
    <w:qFormat/>
    <w:uiPriority w:val="99"/>
    <w:rPr>
      <w:kern w:val="2"/>
      <w:sz w:val="18"/>
      <w:szCs w:val="18"/>
    </w:rPr>
  </w:style>
  <w:style w:type="character" w:customStyle="1" w:styleId="66">
    <w:name w:val="页脚 Char1"/>
    <w:link w:val="24"/>
    <w:autoRedefine/>
    <w:qFormat/>
    <w:uiPriority w:val="99"/>
    <w:rPr>
      <w:rFonts w:ascii="宋体"/>
      <w:kern w:val="2"/>
      <w:sz w:val="18"/>
    </w:rPr>
  </w:style>
  <w:style w:type="character" w:customStyle="1" w:styleId="67">
    <w:name w:val="页眉 Char"/>
    <w:link w:val="25"/>
    <w:autoRedefine/>
    <w:qFormat/>
    <w:uiPriority w:val="99"/>
    <w:rPr>
      <w:rFonts w:ascii="Times New Roman" w:hAnsi="Times New Roman" w:eastAsia="宋体" w:cs="Times New Roman"/>
      <w:kern w:val="2"/>
      <w:sz w:val="18"/>
      <w:szCs w:val="18"/>
    </w:rPr>
  </w:style>
  <w:style w:type="character" w:customStyle="1" w:styleId="68">
    <w:name w:val="副标题 Char1"/>
    <w:link w:val="28"/>
    <w:autoRedefine/>
    <w:qFormat/>
    <w:uiPriority w:val="11"/>
    <w:rPr>
      <w:rFonts w:ascii="Arial" w:hAnsi="Arial"/>
      <w:iCs/>
      <w:sz w:val="14"/>
      <w:szCs w:val="24"/>
      <w:lang w:val="nl-NL" w:eastAsia="en-US"/>
    </w:rPr>
  </w:style>
  <w:style w:type="character" w:customStyle="1" w:styleId="69">
    <w:name w:val="脚注文本 Char"/>
    <w:link w:val="29"/>
    <w:autoRedefine/>
    <w:qFormat/>
    <w:uiPriority w:val="0"/>
    <w:rPr>
      <w:sz w:val="18"/>
      <w:szCs w:val="18"/>
    </w:rPr>
  </w:style>
  <w:style w:type="character" w:customStyle="1" w:styleId="70">
    <w:name w:val="正文文本缩进 3 Char"/>
    <w:link w:val="30"/>
    <w:autoRedefine/>
    <w:qFormat/>
    <w:uiPriority w:val="0"/>
    <w:rPr>
      <w:rFonts w:ascii="Times New Roman" w:hAnsi="Times New Roman" w:eastAsia="宋体" w:cs="Times New Roman"/>
      <w:sz w:val="16"/>
      <w:szCs w:val="16"/>
    </w:rPr>
  </w:style>
  <w:style w:type="character" w:customStyle="1" w:styleId="71">
    <w:name w:val="正文文本 2 Char1"/>
    <w:link w:val="33"/>
    <w:autoRedefine/>
    <w:qFormat/>
    <w:uiPriority w:val="0"/>
    <w:rPr>
      <w:kern w:val="2"/>
      <w:sz w:val="21"/>
      <w:szCs w:val="24"/>
    </w:rPr>
  </w:style>
  <w:style w:type="character" w:customStyle="1" w:styleId="72">
    <w:name w:val="标题 Char"/>
    <w:link w:val="12"/>
    <w:autoRedefine/>
    <w:qFormat/>
    <w:uiPriority w:val="0"/>
    <w:rPr>
      <w:rFonts w:ascii="Cambria" w:hAnsi="Cambria" w:cs="Times New Roman"/>
      <w:b/>
      <w:bCs/>
      <w:kern w:val="2"/>
      <w:sz w:val="32"/>
      <w:szCs w:val="32"/>
    </w:rPr>
  </w:style>
  <w:style w:type="character" w:customStyle="1" w:styleId="73">
    <w:name w:val="批注主题 Char"/>
    <w:link w:val="35"/>
    <w:autoRedefine/>
    <w:qFormat/>
    <w:uiPriority w:val="0"/>
    <w:rPr>
      <w:b/>
      <w:bCs/>
    </w:rPr>
  </w:style>
  <w:style w:type="character" w:customStyle="1" w:styleId="74">
    <w:name w:val="正文首行缩进 Char"/>
    <w:link w:val="36"/>
    <w:autoRedefine/>
    <w:qFormat/>
    <w:uiPriority w:val="99"/>
    <w:rPr>
      <w:rFonts w:ascii="Calibri" w:hAnsi="Calibri" w:cs="Calibri"/>
      <w:color w:val="FF0000"/>
      <w:kern w:val="2"/>
      <w:sz w:val="21"/>
      <w:szCs w:val="24"/>
    </w:rPr>
  </w:style>
  <w:style w:type="character" w:customStyle="1" w:styleId="75">
    <w:name w:val="dy_biao_content1"/>
    <w:autoRedefine/>
    <w:qFormat/>
    <w:uiPriority w:val="0"/>
    <w:rPr>
      <w:rFonts w:hint="eastAsia" w:ascii="宋体" w:hAnsi="宋体" w:eastAsia="宋体"/>
      <w:sz w:val="24"/>
      <w:szCs w:val="24"/>
    </w:rPr>
  </w:style>
  <w:style w:type="character" w:customStyle="1" w:styleId="76">
    <w:name w:val="纯文本 Char1"/>
    <w:autoRedefine/>
    <w:qFormat/>
    <w:uiPriority w:val="0"/>
    <w:rPr>
      <w:rFonts w:ascii="宋体" w:eastAsia="宋体"/>
      <w:kern w:val="2"/>
      <w:sz w:val="21"/>
      <w:lang w:val="en-US" w:eastAsia="zh-CN" w:bidi="ar-SA"/>
    </w:rPr>
  </w:style>
  <w:style w:type="character" w:customStyle="1" w:styleId="77">
    <w:name w:val="页脚 Char"/>
    <w:autoRedefine/>
    <w:qFormat/>
    <w:locked/>
    <w:uiPriority w:val="0"/>
    <w:rPr>
      <w:sz w:val="18"/>
    </w:rPr>
  </w:style>
  <w:style w:type="character" w:customStyle="1" w:styleId="78">
    <w:name w:val="纯文本 Char2"/>
    <w:autoRedefine/>
    <w:qFormat/>
    <w:uiPriority w:val="0"/>
    <w:rPr>
      <w:rFonts w:ascii="宋体" w:hAnsi="Times New Roman" w:eastAsia="宋体" w:cs="Times New Roman"/>
      <w:kern w:val="2"/>
      <w:sz w:val="21"/>
      <w:lang w:val="en-US" w:eastAsia="zh-CN" w:bidi="ar-SA"/>
    </w:rPr>
  </w:style>
  <w:style w:type="character" w:customStyle="1" w:styleId="79">
    <w:name w:val="页脚 字符"/>
    <w:autoRedefine/>
    <w:qFormat/>
    <w:uiPriority w:val="99"/>
    <w:rPr>
      <w:kern w:val="2"/>
      <w:sz w:val="18"/>
      <w:szCs w:val="18"/>
    </w:rPr>
  </w:style>
  <w:style w:type="character" w:customStyle="1" w:styleId="80">
    <w:name w:val="正文文本 2 Char"/>
    <w:autoRedefine/>
    <w:qFormat/>
    <w:uiPriority w:val="0"/>
    <w:rPr>
      <w:rFonts w:ascii="宋体"/>
      <w:color w:val="000000"/>
      <w:sz w:val="28"/>
      <w:lang w:val="en-GB"/>
    </w:rPr>
  </w:style>
  <w:style w:type="character" w:customStyle="1" w:styleId="81">
    <w:name w:val="纯文本 Char"/>
    <w:autoRedefine/>
    <w:qFormat/>
    <w:uiPriority w:val="0"/>
    <w:rPr>
      <w:rFonts w:ascii="宋体" w:eastAsia="宋体"/>
      <w:kern w:val="2"/>
      <w:sz w:val="21"/>
      <w:lang w:val="en-US" w:eastAsia="zh-CN" w:bidi="ar-SA"/>
    </w:rPr>
  </w:style>
  <w:style w:type="character" w:customStyle="1" w:styleId="82">
    <w:name w:val="Date Char Char"/>
    <w:link w:val="83"/>
    <w:autoRedefine/>
    <w:qFormat/>
    <w:uiPriority w:val="0"/>
    <w:rPr>
      <w:kern w:val="2"/>
      <w:sz w:val="21"/>
    </w:rPr>
  </w:style>
  <w:style w:type="paragraph" w:customStyle="1" w:styleId="83">
    <w:name w:val="日期1"/>
    <w:basedOn w:val="1"/>
    <w:next w:val="1"/>
    <w:link w:val="82"/>
    <w:autoRedefine/>
    <w:qFormat/>
    <w:uiPriority w:val="0"/>
    <w:rPr>
      <w:szCs w:val="20"/>
      <w:lang w:val="zh-CN"/>
    </w:rPr>
  </w:style>
  <w:style w:type="character" w:customStyle="1" w:styleId="84">
    <w:name w:val="ft1"/>
    <w:autoRedefine/>
    <w:qFormat/>
    <w:uiPriority w:val="0"/>
  </w:style>
  <w:style w:type="character" w:customStyle="1" w:styleId="85">
    <w:name w:val="ft5"/>
    <w:autoRedefine/>
    <w:qFormat/>
    <w:uiPriority w:val="0"/>
  </w:style>
  <w:style w:type="character" w:customStyle="1" w:styleId="86">
    <w:name w:val="批注文字 字符"/>
    <w:autoRedefine/>
    <w:semiHidden/>
    <w:qFormat/>
    <w:uiPriority w:val="0"/>
    <w:rPr>
      <w:rFonts w:ascii="Times New Roman" w:hAnsi="Times New Roman" w:eastAsia="宋体" w:cs="Times New Roman"/>
      <w:kern w:val="2"/>
      <w:sz w:val="21"/>
      <w:szCs w:val="24"/>
    </w:rPr>
  </w:style>
  <w:style w:type="character" w:customStyle="1" w:styleId="87">
    <w:name w:val="脚注文本 字符"/>
    <w:autoRedefine/>
    <w:semiHidden/>
    <w:qFormat/>
    <w:uiPriority w:val="0"/>
    <w:rPr>
      <w:rFonts w:ascii="Times New Roman" w:hAnsi="Times New Roman" w:eastAsia="宋体" w:cs="Times New Roman"/>
      <w:kern w:val="2"/>
      <w:sz w:val="18"/>
      <w:szCs w:val="18"/>
    </w:rPr>
  </w:style>
  <w:style w:type="character" w:customStyle="1" w:styleId="88">
    <w:name w:val="grame"/>
    <w:autoRedefine/>
    <w:qFormat/>
    <w:uiPriority w:val="0"/>
  </w:style>
  <w:style w:type="character" w:customStyle="1" w:styleId="89">
    <w:name w:val="_Style 58"/>
    <w:autoRedefine/>
    <w:qFormat/>
    <w:uiPriority w:val="0"/>
    <w:rPr>
      <w:rFonts w:eastAsia="仿宋_GB2312"/>
      <w:iCs/>
      <w:color w:val="auto"/>
      <w:sz w:val="24"/>
    </w:rPr>
  </w:style>
  <w:style w:type="character" w:customStyle="1" w:styleId="90">
    <w:name w:val="孙普文字 Char"/>
    <w:autoRedefine/>
    <w:qFormat/>
    <w:uiPriority w:val="0"/>
    <w:rPr>
      <w:rFonts w:ascii="宋体" w:hAnsi="Times New Roman" w:eastAsia="宋体" w:cs="Times New Roman"/>
      <w:szCs w:val="20"/>
    </w:rPr>
  </w:style>
  <w:style w:type="character" w:customStyle="1" w:styleId="91">
    <w:name w:val="标题 3 Char1"/>
    <w:autoRedefine/>
    <w:qFormat/>
    <w:uiPriority w:val="0"/>
    <w:rPr>
      <w:rFonts w:eastAsia="宋体"/>
      <w:b/>
      <w:bCs/>
      <w:kern w:val="2"/>
      <w:sz w:val="32"/>
      <w:szCs w:val="32"/>
      <w:lang w:val="en-US" w:eastAsia="zh-CN" w:bidi="ar-SA"/>
    </w:rPr>
  </w:style>
  <w:style w:type="character" w:customStyle="1" w:styleId="92">
    <w:name w:val="列出段落 Char"/>
    <w:link w:val="93"/>
    <w:autoRedefine/>
    <w:qFormat/>
    <w:uiPriority w:val="0"/>
    <w:rPr>
      <w:kern w:val="2"/>
      <w:sz w:val="21"/>
      <w:szCs w:val="24"/>
    </w:rPr>
  </w:style>
  <w:style w:type="paragraph" w:styleId="93">
    <w:name w:val="List Paragraph"/>
    <w:basedOn w:val="1"/>
    <w:link w:val="92"/>
    <w:autoRedefine/>
    <w:qFormat/>
    <w:uiPriority w:val="0"/>
    <w:pPr>
      <w:ind w:firstLine="420" w:firstLineChars="200"/>
    </w:pPr>
    <w:rPr>
      <w:lang w:val="zh-CN"/>
    </w:rPr>
  </w:style>
  <w:style w:type="character" w:customStyle="1" w:styleId="94">
    <w:name w:val="承康医疗 Char"/>
    <w:link w:val="95"/>
    <w:autoRedefine/>
    <w:qFormat/>
    <w:uiPriority w:val="0"/>
    <w:rPr>
      <w:rFonts w:ascii="微软雅黑" w:hAnsi="微软雅黑" w:eastAsia="微软雅黑"/>
      <w:sz w:val="21"/>
      <w:szCs w:val="21"/>
    </w:rPr>
  </w:style>
  <w:style w:type="paragraph" w:customStyle="1" w:styleId="95">
    <w:name w:val="承康医疗"/>
    <w:basedOn w:val="1"/>
    <w:link w:val="94"/>
    <w:autoRedefine/>
    <w:qFormat/>
    <w:uiPriority w:val="0"/>
    <w:pPr>
      <w:widowControl/>
      <w:jc w:val="left"/>
    </w:pPr>
    <w:rPr>
      <w:rFonts w:ascii="微软雅黑" w:hAnsi="微软雅黑" w:eastAsia="微软雅黑"/>
      <w:kern w:val="0"/>
      <w:szCs w:val="21"/>
      <w:lang w:val="zh-CN"/>
    </w:rPr>
  </w:style>
  <w:style w:type="character" w:customStyle="1" w:styleId="96">
    <w:name w:val="纯文本 字符1"/>
    <w:autoRedefine/>
    <w:qFormat/>
    <w:uiPriority w:val="0"/>
    <w:rPr>
      <w:rFonts w:ascii="宋体" w:eastAsia="宋体"/>
      <w:kern w:val="2"/>
      <w:sz w:val="21"/>
      <w:lang w:val="en-US" w:eastAsia="zh-CN" w:bidi="ar-SA"/>
    </w:rPr>
  </w:style>
  <w:style w:type="character" w:customStyle="1" w:styleId="97">
    <w:name w:val="列出段落 字符"/>
    <w:autoRedefine/>
    <w:qFormat/>
    <w:uiPriority w:val="0"/>
    <w:rPr>
      <w:rFonts w:ascii="Times New Roman" w:hAnsi="Times New Roman" w:eastAsia="宋体" w:cs="Times New Roman"/>
      <w:kern w:val="2"/>
      <w:sz w:val="21"/>
      <w:szCs w:val="24"/>
    </w:rPr>
  </w:style>
  <w:style w:type="character" w:customStyle="1" w:styleId="98">
    <w:name w:val="正文文本 2 字符"/>
    <w:autoRedefine/>
    <w:qFormat/>
    <w:uiPriority w:val="0"/>
    <w:rPr>
      <w:kern w:val="2"/>
      <w:sz w:val="21"/>
      <w:szCs w:val="24"/>
    </w:rPr>
  </w:style>
  <w:style w:type="character" w:customStyle="1" w:styleId="99">
    <w:name w:val="正文文本 3 字符"/>
    <w:autoRedefine/>
    <w:qFormat/>
    <w:uiPriority w:val="0"/>
    <w:rPr>
      <w:kern w:val="2"/>
      <w:sz w:val="16"/>
      <w:szCs w:val="16"/>
    </w:rPr>
  </w:style>
  <w:style w:type="character" w:customStyle="1" w:styleId="100">
    <w:name w:val="A6"/>
    <w:autoRedefine/>
    <w:qFormat/>
    <w:uiPriority w:val="99"/>
    <w:rPr>
      <w:rFonts w:cs="MetaPlusNormal-Caps"/>
      <w:color w:val="000000"/>
      <w:sz w:val="16"/>
      <w:szCs w:val="16"/>
    </w:rPr>
  </w:style>
  <w:style w:type="character" w:customStyle="1" w:styleId="101">
    <w:name w:val="c-icon13"/>
    <w:autoRedefine/>
    <w:qFormat/>
    <w:uiPriority w:val="0"/>
  </w:style>
  <w:style w:type="character" w:customStyle="1" w:styleId="102">
    <w:name w:val="font01"/>
    <w:autoRedefine/>
    <w:qFormat/>
    <w:uiPriority w:val="0"/>
    <w:rPr>
      <w:rFonts w:ascii="Calibri" w:hAnsi="Calibri" w:cs="Calibri"/>
      <w:color w:val="000000"/>
      <w:sz w:val="21"/>
      <w:szCs w:val="21"/>
      <w:u w:val="none"/>
    </w:rPr>
  </w:style>
  <w:style w:type="character" w:customStyle="1" w:styleId="103">
    <w:name w:val="标题 9 字符"/>
    <w:autoRedefine/>
    <w:semiHidden/>
    <w:qFormat/>
    <w:uiPriority w:val="0"/>
    <w:rPr>
      <w:rFonts w:ascii="Cambria" w:hAnsi="Cambria" w:eastAsia="宋体" w:cs="Times New Roman"/>
      <w:kern w:val="2"/>
      <w:sz w:val="21"/>
      <w:szCs w:val="21"/>
    </w:rPr>
  </w:style>
  <w:style w:type="character" w:customStyle="1" w:styleId="104">
    <w:name w:val="ft12"/>
    <w:autoRedefine/>
    <w:qFormat/>
    <w:uiPriority w:val="0"/>
  </w:style>
  <w:style w:type="character" w:customStyle="1" w:styleId="105">
    <w:name w:val="SP箇条書き Char"/>
    <w:link w:val="106"/>
    <w:autoRedefine/>
    <w:qFormat/>
    <w:uiPriority w:val="0"/>
    <w:rPr>
      <w:rFonts w:ascii="MS PGothic" w:hAnsi="Arial" w:eastAsia="MS PGothic"/>
      <w:color w:val="000000"/>
      <w:sz w:val="21"/>
      <w:lang w:eastAsia="ja-JP"/>
    </w:rPr>
  </w:style>
  <w:style w:type="paragraph" w:customStyle="1" w:styleId="106">
    <w:name w:val="SP箇条書き"/>
    <w:basedOn w:val="1"/>
    <w:link w:val="105"/>
    <w:autoRedefine/>
    <w:qFormat/>
    <w:uiPriority w:val="0"/>
    <w:pPr>
      <w:tabs>
        <w:tab w:val="left" w:pos="284"/>
        <w:tab w:val="left" w:pos="567"/>
        <w:tab w:val="left" w:pos="851"/>
        <w:tab w:val="left" w:pos="1134"/>
        <w:tab w:val="left" w:pos="1701"/>
        <w:tab w:val="left" w:pos="2835"/>
        <w:tab w:val="left" w:pos="3969"/>
      </w:tabs>
      <w:autoSpaceDE w:val="0"/>
      <w:autoSpaceDN w:val="0"/>
      <w:adjustRightInd w:val="0"/>
      <w:spacing w:line="300" w:lineRule="exact"/>
      <w:jc w:val="left"/>
    </w:pPr>
    <w:rPr>
      <w:rFonts w:ascii="MS PGothic" w:hAnsi="Arial" w:eastAsia="MS PGothic"/>
      <w:color w:val="000000"/>
      <w:kern w:val="0"/>
      <w:szCs w:val="20"/>
      <w:lang w:val="zh-CN" w:eastAsia="ja-JP"/>
    </w:rPr>
  </w:style>
  <w:style w:type="character" w:customStyle="1" w:styleId="107">
    <w:name w:val="正文文本缩进 2 Char"/>
    <w:autoRedefine/>
    <w:qFormat/>
    <w:uiPriority w:val="0"/>
    <w:rPr>
      <w:kern w:val="2"/>
      <w:sz w:val="21"/>
      <w:szCs w:val="24"/>
    </w:rPr>
  </w:style>
  <w:style w:type="character" w:customStyle="1" w:styleId="108">
    <w:name w:val="正文缩进 Char"/>
    <w:autoRedefine/>
    <w:qFormat/>
    <w:locked/>
    <w:uiPriority w:val="0"/>
    <w:rPr>
      <w:kern w:val="2"/>
      <w:sz w:val="21"/>
    </w:rPr>
  </w:style>
  <w:style w:type="character" w:customStyle="1" w:styleId="109">
    <w:name w:val="Anrede1IhrZeichen"/>
    <w:autoRedefine/>
    <w:qFormat/>
    <w:uiPriority w:val="0"/>
    <w:rPr>
      <w:rFonts w:ascii="Arial" w:hAnsi="Arial"/>
      <w:sz w:val="20"/>
    </w:rPr>
  </w:style>
  <w:style w:type="character" w:customStyle="1" w:styleId="110">
    <w:name w:val="正文文本 Char"/>
    <w:autoRedefine/>
    <w:qFormat/>
    <w:uiPriority w:val="0"/>
  </w:style>
  <w:style w:type="character" w:customStyle="1" w:styleId="111">
    <w:name w:val="批注主题 字符"/>
    <w:autoRedefine/>
    <w:semiHidden/>
    <w:qFormat/>
    <w:uiPriority w:val="0"/>
    <w:rPr>
      <w:rFonts w:ascii="Times New Roman" w:hAnsi="Times New Roman" w:eastAsia="宋体" w:cs="Times New Roman"/>
      <w:b/>
      <w:bCs/>
      <w:kern w:val="2"/>
      <w:sz w:val="21"/>
      <w:szCs w:val="24"/>
    </w:rPr>
  </w:style>
  <w:style w:type="paragraph" w:customStyle="1" w:styleId="112">
    <w:name w:val="Absatz2AL"/>
    <w:basedOn w:val="16"/>
    <w:next w:val="1"/>
    <w:autoRedefine/>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113">
    <w:name w:val="缺省文本"/>
    <w:basedOn w:val="1"/>
    <w:autoRedefine/>
    <w:qFormat/>
    <w:uiPriority w:val="0"/>
    <w:pPr>
      <w:autoSpaceDE w:val="0"/>
      <w:autoSpaceDN w:val="0"/>
      <w:adjustRightInd w:val="0"/>
      <w:jc w:val="left"/>
    </w:pPr>
    <w:rPr>
      <w:kern w:val="0"/>
      <w:sz w:val="24"/>
      <w:szCs w:val="20"/>
    </w:rPr>
  </w:style>
  <w:style w:type="paragraph" w:customStyle="1" w:styleId="114">
    <w:name w:val="Free Form"/>
    <w:autoRedefine/>
    <w:qFormat/>
    <w:uiPriority w:val="0"/>
    <w:rPr>
      <w:rFonts w:ascii="Helvetica" w:hAnsi="Helvetica" w:eastAsia="ヒラギノ角ゴ Pro W3" w:cs="Times New Roman"/>
      <w:color w:val="000000"/>
      <w:sz w:val="24"/>
      <w:lang w:val="en-US" w:eastAsia="en-US" w:bidi="ar-SA"/>
    </w:rPr>
  </w:style>
  <w:style w:type="paragraph" w:customStyle="1" w:styleId="115">
    <w:name w:val="Char Char Char Char Char Char"/>
    <w:basedOn w:val="1"/>
    <w:autoRedefine/>
    <w:qFormat/>
    <w:uiPriority w:val="0"/>
    <w:rPr>
      <w:rFonts w:ascii="Tahoma" w:hAnsi="Tahoma"/>
      <w:sz w:val="24"/>
      <w:szCs w:val="20"/>
    </w:rPr>
  </w:style>
  <w:style w:type="paragraph" w:customStyle="1" w:styleId="116">
    <w:name w:val="Char"/>
    <w:basedOn w:val="1"/>
    <w:autoRedefine/>
    <w:qFormat/>
    <w:uiPriority w:val="0"/>
  </w:style>
  <w:style w:type="paragraph" w:customStyle="1" w:styleId="117">
    <w:name w:val="表格"/>
    <w:basedOn w:val="1"/>
    <w:autoRedefine/>
    <w:qFormat/>
    <w:uiPriority w:val="0"/>
    <w:pPr>
      <w:tabs>
        <w:tab w:val="left" w:pos="1200"/>
      </w:tabs>
      <w:spacing w:line="500" w:lineRule="exact"/>
      <w:jc w:val="center"/>
    </w:pPr>
    <w:rPr>
      <w:rFonts w:ascii="宋体"/>
      <w:sz w:val="24"/>
      <w:szCs w:val="18"/>
    </w:rPr>
  </w:style>
  <w:style w:type="paragraph" w:customStyle="1" w:styleId="118">
    <w:name w:val="样式2"/>
    <w:basedOn w:val="1"/>
    <w:link w:val="119"/>
    <w:autoRedefine/>
    <w:qFormat/>
    <w:uiPriority w:val="0"/>
    <w:pPr>
      <w:spacing w:line="360" w:lineRule="auto"/>
    </w:pPr>
    <w:rPr>
      <w:rFonts w:ascii="Century Gothic" w:hAnsi="Century Gothic" w:eastAsia="黑体"/>
      <w:b/>
      <w:sz w:val="32"/>
      <w:szCs w:val="30"/>
      <w:lang w:val="zh-CN"/>
    </w:rPr>
  </w:style>
  <w:style w:type="character" w:customStyle="1" w:styleId="119">
    <w:name w:val="样式2 Char Char"/>
    <w:link w:val="118"/>
    <w:autoRedefine/>
    <w:qFormat/>
    <w:uiPriority w:val="0"/>
    <w:rPr>
      <w:rFonts w:ascii="Century Gothic" w:hAnsi="Century Gothic" w:eastAsia="黑体"/>
      <w:b/>
      <w:kern w:val="2"/>
      <w:sz w:val="32"/>
      <w:szCs w:val="30"/>
    </w:rPr>
  </w:style>
  <w:style w:type="paragraph" w:customStyle="1" w:styleId="120">
    <w:name w:val="Char Char1 Char Char"/>
    <w:basedOn w:val="1"/>
    <w:autoRedefine/>
    <w:qFormat/>
    <w:uiPriority w:val="0"/>
    <w:pPr>
      <w:tabs>
        <w:tab w:val="left" w:pos="360"/>
      </w:tabs>
    </w:pPr>
    <w:rPr>
      <w:szCs w:val="20"/>
    </w:rPr>
  </w:style>
  <w:style w:type="paragraph" w:customStyle="1" w:styleId="121">
    <w:name w:val="xl23"/>
    <w:next w:val="32"/>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22">
    <w:name w:val="Char2 Char Char Char Char Char Char"/>
    <w:basedOn w:val="11"/>
    <w:autoRedefine/>
    <w:qFormat/>
    <w:uiPriority w:val="0"/>
    <w:rPr>
      <w:rFonts w:ascii="Tahoma" w:hAnsi="Tahoma"/>
      <w:sz w:val="24"/>
    </w:rPr>
  </w:style>
  <w:style w:type="paragraph" w:customStyle="1" w:styleId="123">
    <w:name w:val="Char13"/>
    <w:basedOn w:val="1"/>
    <w:autoRedefine/>
    <w:qFormat/>
    <w:uiPriority w:val="0"/>
  </w:style>
  <w:style w:type="paragraph" w:customStyle="1" w:styleId="124">
    <w:name w:val="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125">
    <w:name w:val="Char Char Char"/>
    <w:basedOn w:val="1"/>
    <w:autoRedefine/>
    <w:qFormat/>
    <w:uiPriority w:val="0"/>
    <w:pPr>
      <w:ind w:firstLine="200" w:firstLineChars="200"/>
    </w:pPr>
    <w:rPr>
      <w:sz w:val="24"/>
    </w:rPr>
  </w:style>
  <w:style w:type="paragraph" w:customStyle="1" w:styleId="126">
    <w:name w:val="列出段落1"/>
    <w:basedOn w:val="1"/>
    <w:autoRedefine/>
    <w:qFormat/>
    <w:uiPriority w:val="34"/>
    <w:pPr>
      <w:ind w:firstLine="420" w:firstLineChars="200"/>
    </w:pPr>
    <w:rPr>
      <w:szCs w:val="21"/>
    </w:rPr>
  </w:style>
  <w:style w:type="paragraph" w:styleId="127">
    <w:name w:val="No Spacing"/>
    <w:link w:val="128"/>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28">
    <w:name w:val="无间隔 Char"/>
    <w:link w:val="127"/>
    <w:autoRedefine/>
    <w:qFormat/>
    <w:uiPriority w:val="1"/>
    <w:rPr>
      <w:kern w:val="2"/>
      <w:sz w:val="21"/>
      <w:szCs w:val="24"/>
      <w:lang w:bidi="ar-SA"/>
    </w:rPr>
  </w:style>
  <w:style w:type="paragraph" w:customStyle="1" w:styleId="129">
    <w:name w:val="正文五号"/>
    <w:basedOn w:val="1"/>
    <w:autoRedefine/>
    <w:qFormat/>
    <w:uiPriority w:val="0"/>
    <w:rPr>
      <w:rFonts w:ascii="宋体" w:eastAsia="仿宋_GB2312"/>
      <w:szCs w:val="20"/>
    </w:rPr>
  </w:style>
  <w:style w:type="paragraph" w:customStyle="1" w:styleId="130">
    <w:name w:val="p0"/>
    <w:basedOn w:val="1"/>
    <w:autoRedefine/>
    <w:qFormat/>
    <w:uiPriority w:val="0"/>
    <w:pPr>
      <w:widowControl/>
    </w:pPr>
    <w:rPr>
      <w:kern w:val="0"/>
      <w:szCs w:val="21"/>
    </w:rPr>
  </w:style>
  <w:style w:type="paragraph" w:customStyle="1" w:styleId="131">
    <w:name w:val="Char1"/>
    <w:basedOn w:val="1"/>
    <w:autoRedefine/>
    <w:qFormat/>
    <w:uiPriority w:val="0"/>
    <w:pPr>
      <w:ind w:firstLine="200" w:firstLineChars="200"/>
    </w:pPr>
  </w:style>
  <w:style w:type="paragraph" w:customStyle="1" w:styleId="132">
    <w:name w:val="5"/>
    <w:basedOn w:val="1"/>
    <w:autoRedefine/>
    <w:qFormat/>
    <w:uiPriority w:val="0"/>
    <w:pPr>
      <w:tabs>
        <w:tab w:val="right" w:pos="-2120"/>
      </w:tabs>
      <w:snapToGrid w:val="0"/>
    </w:pPr>
    <w:rPr>
      <w:rFonts w:ascii="Tahoma" w:hAnsi="Tahoma"/>
      <w:spacing w:val="6"/>
      <w:sz w:val="24"/>
      <w:szCs w:val="20"/>
    </w:rPr>
  </w:style>
  <w:style w:type="paragraph" w:customStyle="1" w:styleId="133">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134">
    <w:name w:val="抬头"/>
    <w:basedOn w:val="1"/>
    <w:autoRedefine/>
    <w:qFormat/>
    <w:uiPriority w:val="0"/>
    <w:pPr>
      <w:spacing w:beforeLines="50" w:line="360" w:lineRule="auto"/>
    </w:pPr>
    <w:rPr>
      <w:rFonts w:ascii="宋体"/>
      <w:sz w:val="24"/>
    </w:rPr>
  </w:style>
  <w:style w:type="paragraph" w:customStyle="1" w:styleId="135">
    <w:name w:val="无间隔1"/>
    <w:basedOn w:val="1"/>
    <w:autoRedefine/>
    <w:qFormat/>
    <w:uiPriority w:val="0"/>
    <w:pPr>
      <w:widowControl/>
      <w:jc w:val="left"/>
    </w:pPr>
    <w:rPr>
      <w:kern w:val="0"/>
      <w:sz w:val="22"/>
      <w:szCs w:val="20"/>
      <w:lang w:eastAsia="en-US" w:bidi="en-US"/>
    </w:rPr>
  </w:style>
  <w:style w:type="paragraph" w:customStyle="1" w:styleId="136">
    <w:name w:val="List Paragraph1"/>
    <w:basedOn w:val="1"/>
    <w:autoRedefine/>
    <w:qFormat/>
    <w:uiPriority w:val="34"/>
    <w:pPr>
      <w:widowControl/>
      <w:ind w:left="708"/>
      <w:jc w:val="left"/>
    </w:pPr>
    <w:rPr>
      <w:rFonts w:ascii="RotisSansSerif" w:hAnsi="RotisSansSerif" w:cs="Arial"/>
      <w:kern w:val="0"/>
      <w:sz w:val="24"/>
      <w:lang w:val="de-DE"/>
    </w:rPr>
  </w:style>
  <w:style w:type="paragraph" w:customStyle="1" w:styleId="137">
    <w:name w:val="彩色列表 - 强调文字颜色 11"/>
    <w:basedOn w:val="1"/>
    <w:autoRedefine/>
    <w:qFormat/>
    <w:uiPriority w:val="34"/>
    <w:pPr>
      <w:ind w:firstLine="420" w:firstLineChars="200"/>
    </w:pPr>
    <w:rPr>
      <w:rFonts w:ascii="Cambria" w:hAnsi="Cambria"/>
      <w:sz w:val="24"/>
    </w:rPr>
  </w:style>
  <w:style w:type="paragraph" w:customStyle="1" w:styleId="138">
    <w:name w:val="xl6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39">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color w:val="000000"/>
      <w:kern w:val="0"/>
      <w:sz w:val="24"/>
    </w:rPr>
  </w:style>
  <w:style w:type="paragraph" w:customStyle="1" w:styleId="140">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cs="宋体"/>
      <w:kern w:val="0"/>
      <w:sz w:val="24"/>
    </w:rPr>
  </w:style>
  <w:style w:type="paragraph" w:customStyle="1" w:styleId="141">
    <w:name w:val="font18"/>
    <w:basedOn w:val="1"/>
    <w:autoRedefine/>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142">
    <w:name w:val="Table Paragraph"/>
    <w:basedOn w:val="1"/>
    <w:autoRedefine/>
    <w:qFormat/>
    <w:uiPriority w:val="1"/>
    <w:pPr>
      <w:autoSpaceDE w:val="0"/>
      <w:autoSpaceDN w:val="0"/>
      <w:ind w:left="108"/>
      <w:jc w:val="left"/>
    </w:pPr>
    <w:rPr>
      <w:rFonts w:ascii="Calibri" w:hAnsi="Calibri" w:eastAsia="Calibri" w:cs="Calibri"/>
      <w:kern w:val="0"/>
      <w:sz w:val="22"/>
      <w:szCs w:val="22"/>
      <w:lang w:val="zh-CN" w:bidi="zh-CN"/>
    </w:rPr>
  </w:style>
  <w:style w:type="paragraph" w:customStyle="1" w:styleId="14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center"/>
    </w:pPr>
    <w:rPr>
      <w:rFonts w:ascii="宋体" w:hAnsi="宋体" w:cs="宋体"/>
      <w:color w:val="000000"/>
      <w:kern w:val="0"/>
      <w:sz w:val="24"/>
    </w:rPr>
  </w:style>
  <w:style w:type="paragraph" w:customStyle="1" w:styleId="144">
    <w:name w:val="xl74"/>
    <w:basedOn w:val="1"/>
    <w:autoRedefine/>
    <w:qFormat/>
    <w:uiPriority w:val="0"/>
    <w:pPr>
      <w:widowControl/>
      <w:pBdr>
        <w:top w:val="single" w:color="auto" w:sz="4" w:space="0"/>
        <w:left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45">
    <w:name w:val="xl76"/>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46">
    <w:name w:val="font15"/>
    <w:basedOn w:val="1"/>
    <w:autoRedefine/>
    <w:qFormat/>
    <w:uiPriority w:val="0"/>
    <w:pPr>
      <w:widowControl/>
      <w:spacing w:before="100" w:beforeAutospacing="1" w:after="100" w:afterAutospacing="1"/>
      <w:jc w:val="left"/>
    </w:pPr>
    <w:rPr>
      <w:kern w:val="0"/>
      <w:sz w:val="28"/>
      <w:szCs w:val="28"/>
    </w:rPr>
  </w:style>
  <w:style w:type="paragraph" w:customStyle="1" w:styleId="147">
    <w:name w:val="font14"/>
    <w:basedOn w:val="1"/>
    <w:autoRedefine/>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148">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center"/>
    </w:pPr>
    <w:rPr>
      <w:rFonts w:ascii="宋体" w:hAnsi="宋体" w:cs="宋体"/>
      <w:kern w:val="0"/>
      <w:sz w:val="24"/>
    </w:rPr>
  </w:style>
  <w:style w:type="paragraph" w:customStyle="1" w:styleId="149">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150">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FF0000"/>
      <w:kern w:val="0"/>
      <w:sz w:val="24"/>
    </w:rPr>
  </w:style>
  <w:style w:type="paragraph" w:customStyle="1" w:styleId="151">
    <w:name w:val="xl97"/>
    <w:basedOn w:val="1"/>
    <w:autoRedefine/>
    <w:qFormat/>
    <w:uiPriority w:val="0"/>
    <w:pPr>
      <w:widowControl/>
      <w:pBdr>
        <w:top w:val="single" w:color="auto" w:sz="4" w:space="0"/>
        <w:lef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5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textAlignment w:val="center"/>
    </w:pPr>
    <w:rPr>
      <w:color w:val="000000"/>
      <w:kern w:val="0"/>
      <w:sz w:val="24"/>
    </w:rPr>
  </w:style>
  <w:style w:type="paragraph" w:customStyle="1" w:styleId="153">
    <w:name w:val="Char Char Char Char Char Char Char Char Char Char"/>
    <w:basedOn w:val="1"/>
    <w:autoRedefine/>
    <w:qFormat/>
    <w:uiPriority w:val="0"/>
    <w:rPr>
      <w:rFonts w:ascii="Tahoma" w:hAnsi="Tahoma"/>
      <w:sz w:val="24"/>
      <w:szCs w:val="20"/>
    </w:rPr>
  </w:style>
  <w:style w:type="paragraph" w:customStyle="1" w:styleId="154">
    <w:name w:val="样式1"/>
    <w:basedOn w:val="1"/>
    <w:autoRedefine/>
    <w:qFormat/>
    <w:uiPriority w:val="0"/>
    <w:pPr>
      <w:adjustRightInd w:val="0"/>
      <w:spacing w:line="480" w:lineRule="atLeast"/>
      <w:ind w:firstLine="480"/>
      <w:textAlignment w:val="baseline"/>
    </w:pPr>
    <w:rPr>
      <w:kern w:val="0"/>
      <w:sz w:val="24"/>
      <w:szCs w:val="20"/>
    </w:rPr>
  </w:style>
  <w:style w:type="paragraph" w:customStyle="1" w:styleId="155">
    <w:name w:val="图片"/>
    <w:basedOn w:val="1"/>
    <w:next w:val="10"/>
    <w:autoRedefine/>
    <w:qFormat/>
    <w:uiPriority w:val="0"/>
    <w:pPr>
      <w:keepNext/>
      <w:widowControl/>
      <w:jc w:val="left"/>
    </w:pPr>
    <w:rPr>
      <w:rFonts w:ascii="Garamond" w:hAnsi="Garamond"/>
      <w:kern w:val="0"/>
      <w:szCs w:val="20"/>
    </w:rPr>
  </w:style>
  <w:style w:type="paragraph" w:customStyle="1" w:styleId="156">
    <w:name w:val="font16"/>
    <w:basedOn w:val="1"/>
    <w:autoRedefine/>
    <w:qFormat/>
    <w:uiPriority w:val="0"/>
    <w:pPr>
      <w:widowControl/>
      <w:spacing w:before="100" w:beforeAutospacing="1" w:after="100" w:afterAutospacing="1"/>
      <w:jc w:val="left"/>
    </w:pPr>
    <w:rPr>
      <w:rFonts w:ascii="宋体" w:hAnsi="宋体" w:cs="宋体"/>
      <w:kern w:val="0"/>
      <w:sz w:val="28"/>
      <w:szCs w:val="28"/>
    </w:rPr>
  </w:style>
  <w:style w:type="paragraph" w:customStyle="1" w:styleId="157">
    <w:name w:val="xl7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58">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59">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kern w:val="0"/>
      <w:sz w:val="24"/>
    </w:rPr>
  </w:style>
  <w:style w:type="paragraph" w:customStyle="1" w:styleId="160">
    <w:name w:val="xl77"/>
    <w:basedOn w:val="1"/>
    <w:autoRedefine/>
    <w:qFormat/>
    <w:uiPriority w:val="0"/>
    <w:pPr>
      <w:widowControl/>
      <w:pBdr>
        <w:top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61">
    <w:name w:val="font12"/>
    <w:basedOn w:val="1"/>
    <w:autoRedefine/>
    <w:qFormat/>
    <w:uiPriority w:val="0"/>
    <w:pPr>
      <w:widowControl/>
      <w:spacing w:before="100" w:beforeAutospacing="1" w:after="100" w:afterAutospacing="1"/>
      <w:jc w:val="left"/>
    </w:pPr>
    <w:rPr>
      <w:rFonts w:ascii="Arial" w:hAnsi="Arial" w:cs="Arial"/>
      <w:kern w:val="0"/>
      <w:sz w:val="24"/>
    </w:rPr>
  </w:style>
  <w:style w:type="paragraph" w:customStyle="1" w:styleId="162">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kern w:val="0"/>
      <w:szCs w:val="21"/>
    </w:rPr>
  </w:style>
  <w:style w:type="paragraph" w:customStyle="1" w:styleId="163">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4"/>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textAlignment w:val="top"/>
    </w:pPr>
    <w:rPr>
      <w:rFonts w:ascii="宋体" w:hAnsi="宋体" w:cs="宋体"/>
      <w:kern w:val="0"/>
      <w:sz w:val="24"/>
    </w:rPr>
  </w:style>
  <w:style w:type="paragraph" w:customStyle="1" w:styleId="165">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textAlignment w:val="center"/>
    </w:pPr>
    <w:rPr>
      <w:kern w:val="0"/>
      <w:sz w:val="24"/>
    </w:rPr>
  </w:style>
  <w:style w:type="paragraph" w:customStyle="1" w:styleId="166">
    <w:name w:val="font17"/>
    <w:basedOn w:val="1"/>
    <w:autoRedefine/>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167">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16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69">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70">
    <w:name w:val="xl104"/>
    <w:basedOn w:val="1"/>
    <w:autoRedefine/>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71">
    <w:name w:val="xl96"/>
    <w:basedOn w:val="1"/>
    <w:autoRedefine/>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72">
    <w:name w:val="font6"/>
    <w:basedOn w:val="1"/>
    <w:autoRedefine/>
    <w:qFormat/>
    <w:uiPriority w:val="0"/>
    <w:pPr>
      <w:widowControl/>
      <w:spacing w:before="100" w:beforeAutospacing="1" w:after="100" w:afterAutospacing="1"/>
      <w:jc w:val="left"/>
    </w:pPr>
    <w:rPr>
      <w:kern w:val="0"/>
      <w:sz w:val="24"/>
    </w:rPr>
  </w:style>
  <w:style w:type="paragraph" w:customStyle="1" w:styleId="173">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000000"/>
      <w:kern w:val="0"/>
      <w:sz w:val="24"/>
    </w:rPr>
  </w:style>
  <w:style w:type="paragraph" w:customStyle="1" w:styleId="174">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175">
    <w:name w:val="font13"/>
    <w:basedOn w:val="1"/>
    <w:autoRedefine/>
    <w:qFormat/>
    <w:uiPriority w:val="0"/>
    <w:pPr>
      <w:widowControl/>
      <w:spacing w:before="100" w:beforeAutospacing="1" w:after="100" w:afterAutospacing="1"/>
      <w:jc w:val="left"/>
    </w:pPr>
    <w:rPr>
      <w:color w:val="FF0000"/>
      <w:kern w:val="0"/>
      <w:sz w:val="24"/>
    </w:rPr>
  </w:style>
  <w:style w:type="paragraph" w:customStyle="1" w:styleId="17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77">
    <w:name w:val="font8"/>
    <w:basedOn w:val="1"/>
    <w:autoRedefine/>
    <w:qFormat/>
    <w:uiPriority w:val="0"/>
    <w:pPr>
      <w:widowControl/>
      <w:spacing w:before="100" w:beforeAutospacing="1" w:after="100" w:afterAutospacing="1"/>
      <w:jc w:val="left"/>
    </w:pPr>
    <w:rPr>
      <w:rFonts w:ascii="Arial" w:hAnsi="Arial" w:cs="Arial"/>
      <w:kern w:val="0"/>
      <w:szCs w:val="21"/>
    </w:rPr>
  </w:style>
  <w:style w:type="paragraph" w:customStyle="1" w:styleId="178">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79">
    <w:name w:val="xl99"/>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80">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81">
    <w:name w:val="xl75"/>
    <w:basedOn w:val="1"/>
    <w:autoRedefine/>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82">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top"/>
    </w:pPr>
    <w:rPr>
      <w:kern w:val="0"/>
      <w:sz w:val="24"/>
    </w:rPr>
  </w:style>
  <w:style w:type="paragraph" w:customStyle="1" w:styleId="183">
    <w:name w:val="Char2"/>
    <w:basedOn w:val="1"/>
    <w:autoRedefine/>
    <w:qFormat/>
    <w:uiPriority w:val="0"/>
    <w:pPr>
      <w:tabs>
        <w:tab w:val="left" w:pos="360"/>
      </w:tabs>
      <w:ind w:left="360" w:hanging="360"/>
    </w:pPr>
    <w:rPr>
      <w:sz w:val="24"/>
    </w:rPr>
  </w:style>
  <w:style w:type="paragraph" w:customStyle="1" w:styleId="184">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textAlignment w:val="center"/>
    </w:pPr>
    <w:rPr>
      <w:rFonts w:ascii="宋体" w:hAnsi="宋体" w:cs="宋体"/>
      <w:color w:val="000000"/>
      <w:kern w:val="0"/>
      <w:sz w:val="24"/>
    </w:rPr>
  </w:style>
  <w:style w:type="paragraph" w:customStyle="1" w:styleId="185">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86">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center"/>
    </w:pPr>
    <w:rPr>
      <w:rFonts w:ascii="宋体" w:hAnsi="宋体" w:cs="宋体"/>
      <w:kern w:val="0"/>
      <w:sz w:val="24"/>
    </w:rPr>
  </w:style>
  <w:style w:type="paragraph" w:customStyle="1" w:styleId="187">
    <w:name w:val="font7"/>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88">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9">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cs="宋体"/>
      <w:kern w:val="0"/>
      <w:sz w:val="24"/>
    </w:rPr>
  </w:style>
  <w:style w:type="paragraph" w:customStyle="1" w:styleId="190">
    <w:name w:val="font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1">
    <w:name w:val="font11"/>
    <w:basedOn w:val="1"/>
    <w:autoRedefine/>
    <w:qFormat/>
    <w:uiPriority w:val="0"/>
    <w:pPr>
      <w:widowControl/>
      <w:spacing w:before="100" w:beforeAutospacing="1" w:after="100" w:afterAutospacing="1"/>
      <w:jc w:val="left"/>
    </w:pPr>
    <w:rPr>
      <w:rFonts w:ascii="Calibri" w:hAnsi="Calibri" w:cs="宋体"/>
      <w:kern w:val="0"/>
      <w:sz w:val="24"/>
    </w:rPr>
  </w:style>
  <w:style w:type="paragraph" w:customStyle="1" w:styleId="192">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193">
    <w:name w:val="font10"/>
    <w:basedOn w:val="1"/>
    <w:autoRedefine/>
    <w:qFormat/>
    <w:uiPriority w:val="0"/>
    <w:pPr>
      <w:widowControl/>
      <w:spacing w:before="100" w:beforeAutospacing="1" w:after="100" w:afterAutospacing="1"/>
      <w:jc w:val="left"/>
    </w:pPr>
    <w:rPr>
      <w:color w:val="000000"/>
      <w:kern w:val="0"/>
      <w:sz w:val="24"/>
    </w:rPr>
  </w:style>
  <w:style w:type="paragraph" w:customStyle="1" w:styleId="194">
    <w:name w:val="xl10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95">
    <w:name w:val="xl10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96">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4"/>
    </w:rPr>
  </w:style>
  <w:style w:type="paragraph" w:customStyle="1" w:styleId="197">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4"/>
    </w:rPr>
  </w:style>
  <w:style w:type="character" w:customStyle="1" w:styleId="198">
    <w:name w:val="纯文本 字符"/>
    <w:autoRedefine/>
    <w:qFormat/>
    <w:uiPriority w:val="0"/>
    <w:rPr>
      <w:rFonts w:ascii="宋体" w:eastAsia="宋体"/>
      <w:kern w:val="2"/>
      <w:sz w:val="21"/>
      <w:lang w:val="en-US" w:eastAsia="zh-CN" w:bidi="ar-SA"/>
    </w:rPr>
  </w:style>
  <w:style w:type="character" w:customStyle="1" w:styleId="199">
    <w:name w:val="正文文本缩进 2 Char2"/>
    <w:autoRedefine/>
    <w:semiHidden/>
    <w:qFormat/>
    <w:uiPriority w:val="99"/>
    <w:rPr>
      <w:kern w:val="2"/>
      <w:sz w:val="21"/>
      <w:szCs w:val="24"/>
    </w:rPr>
  </w:style>
  <w:style w:type="character" w:customStyle="1" w:styleId="200">
    <w:name w:val="标题 3 字符"/>
    <w:autoRedefine/>
    <w:qFormat/>
    <w:uiPriority w:val="0"/>
    <w:rPr>
      <w:rFonts w:eastAsia="黑体"/>
      <w:b/>
      <w:sz w:val="28"/>
    </w:rPr>
  </w:style>
  <w:style w:type="character" w:customStyle="1" w:styleId="201">
    <w:name w:val="副标题 Char"/>
    <w:autoRedefine/>
    <w:qFormat/>
    <w:uiPriority w:val="0"/>
    <w:rPr>
      <w:rFonts w:ascii="Calibri Light" w:hAnsi="Calibri Light" w:cs="Times New Roman"/>
      <w:b/>
      <w:bCs/>
      <w:kern w:val="28"/>
      <w:sz w:val="32"/>
      <w:szCs w:val="32"/>
    </w:rPr>
  </w:style>
  <w:style w:type="paragraph" w:customStyle="1" w:styleId="202">
    <w:name w:val="修订1"/>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203">
    <w:name w:val="p1"/>
    <w:basedOn w:val="1"/>
    <w:autoRedefine/>
    <w:qFormat/>
    <w:uiPriority w:val="0"/>
    <w:pPr>
      <w:spacing w:line="20" w:lineRule="atLeast"/>
      <w:jc w:val="center"/>
    </w:pPr>
    <w:rPr>
      <w:rFonts w:hint="eastAsia" w:ascii="宋体" w:hAnsi="宋体"/>
      <w:kern w:val="0"/>
      <w:sz w:val="28"/>
      <w:szCs w:val="28"/>
    </w:rPr>
  </w:style>
  <w:style w:type="character" w:customStyle="1" w:styleId="204">
    <w:name w:val="font41"/>
    <w:basedOn w:val="39"/>
    <w:autoRedefine/>
    <w:qFormat/>
    <w:uiPriority w:val="0"/>
    <w:rPr>
      <w:rFonts w:ascii="BatangChe" w:hAnsi="BatangChe" w:eastAsia="BatangChe" w:cs="BatangChe"/>
      <w:color w:val="000000"/>
      <w:sz w:val="18"/>
      <w:szCs w:val="18"/>
      <w:u w:val="none"/>
    </w:rPr>
  </w:style>
  <w:style w:type="character" w:customStyle="1" w:styleId="205">
    <w:name w:val="font21"/>
    <w:basedOn w:val="39"/>
    <w:autoRedefine/>
    <w:qFormat/>
    <w:uiPriority w:val="0"/>
    <w:rPr>
      <w:rFonts w:hint="eastAsia" w:ascii="宋体" w:hAnsi="宋体" w:eastAsia="宋体" w:cs="宋体"/>
      <w:color w:val="000000"/>
      <w:sz w:val="18"/>
      <w:szCs w:val="18"/>
      <w:u w:val="none"/>
    </w:rPr>
  </w:style>
  <w:style w:type="character" w:customStyle="1" w:styleId="206">
    <w:name w:val="font61"/>
    <w:basedOn w:val="39"/>
    <w:autoRedefine/>
    <w:qFormat/>
    <w:uiPriority w:val="0"/>
    <w:rPr>
      <w:rFonts w:ascii="BatangChe" w:hAnsi="BatangChe" w:eastAsia="BatangChe" w:cs="BatangChe"/>
      <w:color w:val="000000"/>
      <w:sz w:val="18"/>
      <w:szCs w:val="18"/>
      <w:u w:val="none"/>
    </w:rPr>
  </w:style>
  <w:style w:type="paragraph" w:customStyle="1" w:styleId="207">
    <w:name w:val="列表段落1"/>
    <w:basedOn w:val="1"/>
    <w:autoRedefine/>
    <w:qFormat/>
    <w:uiPriority w:val="0"/>
    <w:pPr>
      <w:ind w:firstLine="420" w:firstLineChars="200"/>
    </w:pPr>
    <w:rPr>
      <w:rFonts w:ascii="Cambria" w:hAnsi="Cambria"/>
      <w:sz w:val="24"/>
    </w:rPr>
  </w:style>
  <w:style w:type="paragraph" w:customStyle="1" w:styleId="208">
    <w:name w:val="表格内容居中"/>
    <w:next w:val="1"/>
    <w:autoRedefine/>
    <w:qFormat/>
    <w:uiPriority w:val="0"/>
    <w:pPr>
      <w:jc w:val="center"/>
    </w:pPr>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93</Pages>
  <Words>5420</Words>
  <Characters>6152</Characters>
  <Lines>82</Lines>
  <Paragraphs>83</Paragraphs>
  <TotalTime>250</TotalTime>
  <ScaleCrop>false</ScaleCrop>
  <LinksUpToDate>false</LinksUpToDate>
  <CharactersWithSpaces>6258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2020-04-17T10:26:00Z</dcterms:created>
  <dc:creator>User</dc:creator>
  <cp:lastModifiedBy>小人物</cp:lastModifiedBy>
  <cp:lastPrinted>2024-10-25T06:30:00Z</cp:lastPrinted>
  <dcterms:modified xsi:type="dcterms:W3CDTF">2024-12-04T02:59:16Z</dcterms:modified>
  <dc:title>云南省第一人民医院</dc:title>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B42FF11FD4CE4A9D84CAD5EF841427A3_13</vt:lpwstr>
  </property>
  <property fmtid="{D5CDD505-2E9C-101B-9397-08002B2CF9AE}" pid="3" name="KSOProductBuildVer">
    <vt:lpwstr>2052-12.1.0.19302</vt:lpwstr>
  </property>
</Properties>
</file>