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42B0D5">
      <w:pPr>
        <w:pStyle w:val="37"/>
        <w:keepNext w:val="0"/>
        <w:keepLines w:val="0"/>
        <w:pageBreakBefore w:val="0"/>
        <w:widowControl w:val="0"/>
        <w:tabs>
          <w:tab w:val="clear" w:pos="6195"/>
        </w:tabs>
        <w:kinsoku/>
        <w:wordWrap/>
        <w:overflowPunct/>
        <w:topLinePunct w:val="0"/>
        <w:autoSpaceDE w:val="0"/>
        <w:autoSpaceDN w:val="0"/>
        <w:bidi w:val="0"/>
        <w:adjustRightInd/>
        <w:snapToGrid/>
        <w:spacing w:beforeAutospacing="0" w:afterAutospacing="0" w:line="360" w:lineRule="auto"/>
        <w:textAlignment w:val="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lang w:eastAsia="zh-CN"/>
        </w:rPr>
        <w:t>超高效液相色谱三重四级杆质谱联用仪</w:t>
      </w:r>
    </w:p>
    <w:p w14:paraId="541A517C">
      <w:pPr>
        <w:pStyle w:val="37"/>
        <w:pageBreakBefore w:val="0"/>
        <w:tabs>
          <w:tab w:val="clear" w:pos="6195"/>
        </w:tabs>
        <w:kinsoku/>
        <w:overflowPunct/>
        <w:topLinePunct w:val="0"/>
        <w:bidi w:val="0"/>
        <w:adjustRightInd/>
        <w:spacing w:beforeAutospacing="0" w:afterAutospacing="0" w:line="360" w:lineRule="auto"/>
        <w:jc w:val="both"/>
        <w:rPr>
          <w:rFonts w:hint="eastAsia" w:ascii="宋体" w:hAnsi="宋体" w:eastAsia="宋体" w:cs="宋体"/>
          <w:b/>
          <w:bCs/>
          <w:color w:val="auto"/>
          <w:sz w:val="96"/>
          <w:szCs w:val="96"/>
          <w:highlight w:val="none"/>
        </w:rPr>
      </w:pPr>
    </w:p>
    <w:p w14:paraId="7B4F60AB">
      <w:pPr>
        <w:pStyle w:val="37"/>
        <w:pageBreakBefore w:val="0"/>
        <w:tabs>
          <w:tab w:val="clear" w:pos="6195"/>
        </w:tabs>
        <w:kinsoku/>
        <w:overflowPunct/>
        <w:topLinePunct w:val="0"/>
        <w:bidi w:val="0"/>
        <w:adjustRightInd/>
        <w:spacing w:beforeAutospacing="0" w:afterAutospacing="0" w:line="360" w:lineRule="auto"/>
        <w:jc w:val="both"/>
        <w:rPr>
          <w:rFonts w:hint="eastAsia" w:ascii="宋体" w:hAnsi="宋体" w:eastAsia="宋体" w:cs="宋体"/>
          <w:bCs/>
          <w:color w:val="auto"/>
          <w:szCs w:val="21"/>
          <w:highlight w:val="none"/>
        </w:rPr>
      </w:pPr>
    </w:p>
    <w:p w14:paraId="6839CA98">
      <w:pPr>
        <w:pStyle w:val="37"/>
        <w:pageBreakBefore w:val="0"/>
        <w:tabs>
          <w:tab w:val="clear" w:pos="6195"/>
        </w:tabs>
        <w:kinsoku/>
        <w:overflowPunct/>
        <w:topLinePunct w:val="0"/>
        <w:bidi w:val="0"/>
        <w:adjustRightInd/>
        <w:spacing w:beforeAutospacing="0" w:afterAutospacing="0" w:line="360" w:lineRule="auto"/>
        <w:jc w:val="both"/>
        <w:rPr>
          <w:rFonts w:hint="eastAsia" w:ascii="宋体" w:hAnsi="宋体" w:eastAsia="宋体" w:cs="宋体"/>
          <w:bCs/>
          <w:color w:val="auto"/>
          <w:szCs w:val="21"/>
          <w:highlight w:val="none"/>
        </w:rPr>
      </w:pPr>
    </w:p>
    <w:p w14:paraId="0C5B80EC">
      <w:pPr>
        <w:pStyle w:val="37"/>
        <w:pageBreakBefore w:val="0"/>
        <w:tabs>
          <w:tab w:val="clear" w:pos="6195"/>
        </w:tabs>
        <w:kinsoku/>
        <w:overflowPunct/>
        <w:topLinePunct w:val="0"/>
        <w:bidi w:val="0"/>
        <w:adjustRightInd/>
        <w:spacing w:beforeAutospacing="0" w:afterAutospacing="0" w:line="360" w:lineRule="auto"/>
        <w:jc w:val="both"/>
        <w:rPr>
          <w:rFonts w:hint="eastAsia" w:ascii="宋体" w:hAnsi="宋体" w:eastAsia="宋体" w:cs="宋体"/>
          <w:bCs/>
          <w:color w:val="auto"/>
          <w:szCs w:val="21"/>
          <w:highlight w:val="none"/>
        </w:rPr>
      </w:pPr>
    </w:p>
    <w:p w14:paraId="4A1B1FCD">
      <w:pPr>
        <w:pStyle w:val="37"/>
        <w:pageBreakBefore w:val="0"/>
        <w:tabs>
          <w:tab w:val="clear" w:pos="6195"/>
        </w:tabs>
        <w:kinsoku/>
        <w:overflowPunct/>
        <w:topLinePunct w:val="0"/>
        <w:bidi w:val="0"/>
        <w:adjustRightInd/>
        <w:spacing w:beforeAutospacing="0" w:afterAutospacing="0" w:line="360" w:lineRule="auto"/>
        <w:jc w:val="both"/>
        <w:rPr>
          <w:rFonts w:hint="eastAsia" w:ascii="宋体" w:hAnsi="宋体" w:eastAsia="宋体" w:cs="宋体"/>
          <w:bCs/>
          <w:color w:val="auto"/>
          <w:sz w:val="22"/>
          <w:highlight w:val="none"/>
        </w:rPr>
      </w:pPr>
    </w:p>
    <w:p w14:paraId="3C4F0063">
      <w:pPr>
        <w:pStyle w:val="37"/>
        <w:pageBreakBefore w:val="0"/>
        <w:tabs>
          <w:tab w:val="clear" w:pos="6195"/>
        </w:tabs>
        <w:kinsoku/>
        <w:overflowPunct/>
        <w:topLinePunct w:val="0"/>
        <w:bidi w:val="0"/>
        <w:adjustRightInd/>
        <w:spacing w:beforeAutospacing="0" w:afterAutospacing="0" w:line="360" w:lineRule="auto"/>
        <w:jc w:val="both"/>
        <w:rPr>
          <w:rFonts w:hint="eastAsia" w:ascii="宋体" w:hAnsi="宋体" w:eastAsia="宋体" w:cs="宋体"/>
          <w:bCs/>
          <w:color w:val="auto"/>
          <w:sz w:val="22"/>
          <w:highlight w:val="none"/>
        </w:rPr>
      </w:pPr>
    </w:p>
    <w:p w14:paraId="1B9405A3">
      <w:pPr>
        <w:pageBreakBefore w:val="0"/>
        <w:kinsoku/>
        <w:overflowPunct/>
        <w:topLinePunct w:val="0"/>
        <w:bidi w:val="0"/>
        <w:spacing w:beforeAutospacing="0" w:afterAutospacing="0" w:line="360" w:lineRule="auto"/>
        <w:jc w:val="center"/>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招标文件</w:t>
      </w:r>
    </w:p>
    <w:p w14:paraId="62A51DEC">
      <w:pPr>
        <w:pageBreakBefore w:val="0"/>
        <w:kinsoku/>
        <w:overflowPunct/>
        <w:topLinePunct w:val="0"/>
        <w:bidi w:val="0"/>
        <w:spacing w:beforeAutospacing="0" w:afterAutospacing="0" w:line="360" w:lineRule="auto"/>
        <w:jc w:val="center"/>
        <w:rPr>
          <w:rFonts w:hint="eastAsia" w:ascii="宋体" w:hAnsi="宋体" w:eastAsia="宋体" w:cs="宋体"/>
          <w:b/>
          <w:bCs/>
          <w:color w:val="auto"/>
          <w:sz w:val="32"/>
          <w:szCs w:val="36"/>
          <w:highlight w:val="none"/>
          <w:lang w:eastAsia="zh-CN"/>
        </w:rPr>
      </w:pPr>
      <w:r>
        <w:rPr>
          <w:rFonts w:hint="eastAsia" w:ascii="宋体" w:hAnsi="宋体" w:eastAsia="宋体" w:cs="宋体"/>
          <w:b/>
          <w:bCs/>
          <w:color w:val="auto"/>
          <w:sz w:val="32"/>
          <w:szCs w:val="36"/>
          <w:highlight w:val="none"/>
        </w:rPr>
        <w:t>项目编号：</w:t>
      </w:r>
      <w:r>
        <w:rPr>
          <w:rFonts w:hint="eastAsia" w:ascii="宋体" w:hAnsi="宋体" w:cs="宋体"/>
          <w:b/>
          <w:bCs/>
          <w:color w:val="auto"/>
          <w:sz w:val="32"/>
          <w:szCs w:val="36"/>
          <w:highlight w:val="none"/>
          <w:lang w:eastAsia="zh-CN"/>
        </w:rPr>
        <w:t>YNZC2025-G1-03229-YNGH-0168</w:t>
      </w:r>
    </w:p>
    <w:p w14:paraId="6B2864BE">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p>
    <w:p w14:paraId="30969027">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p>
    <w:p w14:paraId="3E98643C">
      <w:pPr>
        <w:pStyle w:val="33"/>
        <w:pageBreakBefore w:val="0"/>
        <w:kinsoku/>
        <w:overflowPunct/>
        <w:topLinePunct w:val="0"/>
        <w:bidi w:val="0"/>
        <w:spacing w:beforeAutospacing="0" w:afterAutospacing="0" w:line="360" w:lineRule="auto"/>
        <w:outlineLvl w:val="9"/>
        <w:rPr>
          <w:rFonts w:hint="eastAsia" w:ascii="宋体" w:hAnsi="宋体" w:eastAsia="宋体" w:cs="宋体"/>
          <w:color w:val="auto"/>
          <w:sz w:val="28"/>
          <w:szCs w:val="28"/>
          <w:highlight w:val="none"/>
        </w:rPr>
      </w:pPr>
    </w:p>
    <w:p w14:paraId="1447A302">
      <w:pPr>
        <w:pStyle w:val="5"/>
        <w:pageBreakBefore w:val="0"/>
        <w:kinsoku/>
        <w:overflowPunct/>
        <w:topLinePunct w:val="0"/>
        <w:bidi w:val="0"/>
        <w:spacing w:beforeLines="0" w:beforeAutospacing="0" w:afterAutospacing="0" w:line="360" w:lineRule="auto"/>
        <w:ind w:left="0" w:leftChars="0" w:firstLine="0" w:firstLineChars="0"/>
        <w:rPr>
          <w:rFonts w:hint="eastAsia" w:ascii="宋体" w:hAnsi="宋体" w:eastAsia="宋体" w:cs="宋体"/>
          <w:color w:val="auto"/>
          <w:highlight w:val="none"/>
        </w:rPr>
      </w:pPr>
    </w:p>
    <w:p w14:paraId="3744FB91">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p>
    <w:p w14:paraId="2B2E09D0">
      <w:pPr>
        <w:pageBreakBefore w:val="0"/>
        <w:kinsoku/>
        <w:overflowPunct/>
        <w:topLinePunct w:val="0"/>
        <w:bidi w:val="0"/>
        <w:spacing w:beforeAutospacing="0" w:afterAutospacing="0" w:line="360" w:lineRule="auto"/>
        <w:jc w:val="center"/>
        <w:rPr>
          <w:rFonts w:hint="eastAsia" w:ascii="宋体" w:hAnsi="宋体" w:eastAsia="宋体" w:cs="宋体"/>
          <w:b/>
          <w:bCs/>
          <w:color w:val="auto"/>
          <w:sz w:val="32"/>
          <w:highlight w:val="none"/>
        </w:rPr>
      </w:pPr>
    </w:p>
    <w:p w14:paraId="1E53CF57">
      <w:pPr>
        <w:pageBreakBefore w:val="0"/>
        <w:kinsoku/>
        <w:overflowPunct/>
        <w:topLinePunct w:val="0"/>
        <w:bidi w:val="0"/>
        <w:spacing w:beforeAutospacing="0" w:afterAutospacing="0" w:line="360" w:lineRule="auto"/>
        <w:jc w:val="center"/>
        <w:rPr>
          <w:rFonts w:hint="eastAsia" w:ascii="宋体" w:hAnsi="宋体" w:cs="宋体"/>
          <w:b/>
          <w:bCs/>
          <w:color w:val="auto"/>
          <w:sz w:val="32"/>
          <w:highlight w:val="none"/>
          <w:lang w:eastAsia="zh-CN"/>
        </w:rPr>
      </w:pPr>
      <w:r>
        <w:rPr>
          <w:rFonts w:hint="eastAsia" w:ascii="宋体" w:hAnsi="宋体" w:eastAsia="宋体" w:cs="宋体"/>
          <w:b/>
          <w:bCs/>
          <w:color w:val="auto"/>
          <w:sz w:val="32"/>
          <w:highlight w:val="none"/>
        </w:rPr>
        <w:t>采购人：</w:t>
      </w:r>
      <w:r>
        <w:rPr>
          <w:rFonts w:hint="eastAsia" w:ascii="宋体" w:hAnsi="宋体" w:cs="宋体"/>
          <w:b/>
          <w:bCs/>
          <w:color w:val="auto"/>
          <w:sz w:val="32"/>
          <w:highlight w:val="none"/>
          <w:lang w:eastAsia="zh-CN"/>
        </w:rPr>
        <w:t>云南省地质矿产勘查开发局中心实验室（自然资源部</w:t>
      </w:r>
    </w:p>
    <w:p w14:paraId="20F07F12">
      <w:pPr>
        <w:pageBreakBefore w:val="0"/>
        <w:kinsoku/>
        <w:overflowPunct/>
        <w:topLinePunct w:val="0"/>
        <w:bidi w:val="0"/>
        <w:spacing w:beforeAutospacing="0" w:afterAutospacing="0" w:line="360" w:lineRule="auto"/>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lang w:eastAsia="zh-CN"/>
        </w:rPr>
        <w:t>昆明矿产资源检测中心）</w:t>
      </w:r>
    </w:p>
    <w:p w14:paraId="6CA3BF41">
      <w:pPr>
        <w:pageBreakBefore w:val="0"/>
        <w:kinsoku/>
        <w:overflowPunct/>
        <w:topLinePunct w:val="0"/>
        <w:bidi w:val="0"/>
        <w:spacing w:beforeAutospacing="0" w:afterAutospacing="0" w:line="360" w:lineRule="auto"/>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采购代理机构：云南国合建设招标咨询有限公司</w:t>
      </w:r>
    </w:p>
    <w:p w14:paraId="66E298CE">
      <w:pPr>
        <w:pageBreakBefore w:val="0"/>
        <w:kinsoku/>
        <w:overflowPunct/>
        <w:topLinePunct w:val="0"/>
        <w:bidi w:val="0"/>
        <w:spacing w:beforeAutospacing="0" w:afterAutospacing="0" w:line="360" w:lineRule="auto"/>
        <w:ind w:firstLine="803" w:firstLineChars="250"/>
        <w:jc w:val="center"/>
        <w:rPr>
          <w:rFonts w:hint="eastAsia" w:ascii="宋体" w:hAnsi="宋体" w:eastAsia="宋体" w:cs="宋体"/>
          <w:b/>
          <w:bCs/>
          <w:color w:val="auto"/>
          <w:sz w:val="32"/>
          <w:highlight w:val="none"/>
        </w:rPr>
      </w:pPr>
      <w:bookmarkStart w:id="0" w:name="_Toc175477161"/>
      <w:bookmarkStart w:id="1" w:name="_Toc184440884"/>
      <w:bookmarkStart w:id="2" w:name="_Toc180579126"/>
      <w:bookmarkStart w:id="3" w:name="_Toc192647764"/>
      <w:bookmarkStart w:id="4" w:name="_Toc184440680"/>
      <w:r>
        <w:rPr>
          <w:rFonts w:hint="eastAsia" w:ascii="宋体" w:hAnsi="宋体" w:eastAsia="宋体" w:cs="宋体"/>
          <w:b/>
          <w:bCs/>
          <w:color w:val="auto"/>
          <w:sz w:val="32"/>
          <w:highlight w:val="none"/>
        </w:rPr>
        <w:t>二○二</w:t>
      </w:r>
      <w:r>
        <w:rPr>
          <w:rFonts w:hint="eastAsia" w:ascii="宋体" w:hAnsi="宋体" w:cs="宋体"/>
          <w:b/>
          <w:bCs/>
          <w:color w:val="auto"/>
          <w:sz w:val="32"/>
          <w:highlight w:val="none"/>
          <w:lang w:val="en-US" w:eastAsia="zh-CN"/>
        </w:rPr>
        <w:t>五</w:t>
      </w:r>
      <w:r>
        <w:rPr>
          <w:rFonts w:hint="eastAsia" w:ascii="宋体" w:hAnsi="宋体" w:eastAsia="宋体" w:cs="宋体"/>
          <w:b/>
          <w:bCs/>
          <w:color w:val="auto"/>
          <w:sz w:val="32"/>
          <w:highlight w:val="none"/>
        </w:rPr>
        <w:t>年</w:t>
      </w:r>
      <w:r>
        <w:rPr>
          <w:rFonts w:hint="eastAsia" w:ascii="宋体" w:hAnsi="宋体" w:cs="宋体"/>
          <w:b/>
          <w:bCs/>
          <w:color w:val="auto"/>
          <w:sz w:val="32"/>
          <w:highlight w:val="none"/>
          <w:lang w:val="en-US" w:eastAsia="zh-CN"/>
        </w:rPr>
        <w:t>六</w:t>
      </w:r>
      <w:r>
        <w:rPr>
          <w:rFonts w:hint="eastAsia" w:ascii="宋体" w:hAnsi="宋体" w:eastAsia="宋体" w:cs="宋体"/>
          <w:b/>
          <w:bCs/>
          <w:color w:val="auto"/>
          <w:sz w:val="32"/>
          <w:highlight w:val="none"/>
        </w:rPr>
        <w:t>月</w:t>
      </w:r>
      <w:bookmarkEnd w:id="0"/>
      <w:bookmarkEnd w:id="1"/>
      <w:bookmarkEnd w:id="2"/>
      <w:bookmarkEnd w:id="3"/>
      <w:bookmarkEnd w:id="4"/>
    </w:p>
    <w:p w14:paraId="3AC07826">
      <w:pPr>
        <w:pStyle w:val="62"/>
        <w:pageBreakBefore w:val="0"/>
        <w:kinsoku/>
        <w:overflowPunct/>
        <w:topLinePunct w:val="0"/>
        <w:bidi w:val="0"/>
        <w:spacing w:before="0" w:beforeAutospacing="0" w:afterAutospacing="0" w:line="360" w:lineRule="auto"/>
        <w:jc w:val="center"/>
        <w:rPr>
          <w:rFonts w:hint="eastAsia" w:ascii="宋体" w:hAnsi="宋体" w:eastAsia="宋体" w:cs="宋体"/>
          <w:color w:val="auto"/>
          <w:kern w:val="2"/>
          <w:sz w:val="21"/>
          <w:szCs w:val="22"/>
          <w:highlight w:val="none"/>
          <w:lang w:val="zh-CN"/>
        </w:rPr>
        <w:sectPr>
          <w:headerReference r:id="rId4" w:type="first"/>
          <w:headerReference r:id="rId3" w:type="default"/>
          <w:footerReference r:id="rId5" w:type="default"/>
          <w:pgSz w:w="11906" w:h="16838"/>
          <w:pgMar w:top="1247" w:right="1134" w:bottom="1247" w:left="1247" w:header="851" w:footer="992" w:gutter="0"/>
          <w:pgBorders>
            <w:top w:val="none" w:sz="0" w:space="0"/>
            <w:left w:val="none" w:sz="0" w:space="0"/>
            <w:bottom w:val="none" w:sz="0" w:space="0"/>
            <w:right w:val="none" w:sz="0" w:space="0"/>
          </w:pgBorders>
          <w:cols w:space="0" w:num="1"/>
          <w:docGrid w:type="lines" w:linePitch="312" w:charSpace="0"/>
        </w:sect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1990"/>
        <w:gridCol w:w="1700"/>
        <w:gridCol w:w="4613"/>
      </w:tblGrid>
      <w:tr w14:paraId="6D29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2" w:hRule="atLeast"/>
          <w:jc w:val="center"/>
        </w:trPr>
        <w:tc>
          <w:tcPr>
            <w:tcW w:w="9601" w:type="dxa"/>
            <w:gridSpan w:val="4"/>
            <w:noWrap w:val="0"/>
            <w:vAlign w:val="top"/>
          </w:tcPr>
          <w:p w14:paraId="0707EB4E">
            <w:pPr>
              <w:pStyle w:val="37"/>
              <w:keepNext w:val="0"/>
              <w:keepLines w:val="0"/>
              <w:pageBreakBefore w:val="0"/>
              <w:widowControl w:val="0"/>
              <w:tabs>
                <w:tab w:val="clear" w:pos="6195"/>
              </w:tabs>
              <w:kinsoku/>
              <w:wordWrap/>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b/>
                <w:bCs/>
                <w:color w:val="auto"/>
                <w:spacing w:val="0"/>
                <w:sz w:val="52"/>
                <w:szCs w:val="52"/>
                <w:highlight w:val="none"/>
                <w:lang w:val="en-US" w:eastAsia="zh-CN"/>
              </w:rPr>
            </w:pPr>
            <w:r>
              <w:rPr>
                <w:rFonts w:hint="eastAsia" w:ascii="宋体" w:hAnsi="宋体" w:eastAsia="宋体" w:cs="宋体"/>
                <w:b/>
                <w:bCs/>
                <w:color w:val="auto"/>
                <w:spacing w:val="0"/>
                <w:sz w:val="52"/>
                <w:szCs w:val="52"/>
                <w:highlight w:val="none"/>
                <w:lang w:val="en-US" w:eastAsia="zh-CN"/>
              </w:rPr>
              <w:t>超高效液相色谱三重四级杆质谱联用仪</w:t>
            </w:r>
          </w:p>
          <w:p w14:paraId="427266CA">
            <w:pPr>
              <w:pStyle w:val="33"/>
              <w:pageBreakBefore w:val="0"/>
              <w:kinsoku/>
              <w:overflowPunct/>
              <w:topLinePunct w:val="0"/>
              <w:bidi w:val="0"/>
              <w:spacing w:beforeAutospacing="0" w:afterAutospacing="0" w:line="360" w:lineRule="auto"/>
              <w:jc w:val="both"/>
              <w:outlineLvl w:val="9"/>
              <w:rPr>
                <w:rFonts w:hint="eastAsia" w:ascii="宋体" w:hAnsi="宋体" w:eastAsia="宋体" w:cs="宋体"/>
                <w:color w:val="auto"/>
                <w:spacing w:val="0"/>
                <w:highlight w:val="none"/>
                <w:vertAlign w:val="baseline"/>
                <w:lang w:val="en-US" w:eastAsia="zh-CN"/>
              </w:rPr>
            </w:pPr>
          </w:p>
          <w:p w14:paraId="60547C06">
            <w:pPr>
              <w:pStyle w:val="33"/>
              <w:pageBreakBefore w:val="0"/>
              <w:kinsoku/>
              <w:overflowPunct/>
              <w:topLinePunct w:val="0"/>
              <w:bidi w:val="0"/>
              <w:spacing w:beforeAutospacing="0" w:afterAutospacing="0" w:line="360" w:lineRule="auto"/>
              <w:jc w:val="both"/>
              <w:outlineLvl w:val="9"/>
              <w:rPr>
                <w:rFonts w:hint="eastAsia" w:ascii="宋体" w:hAnsi="宋体" w:eastAsia="宋体" w:cs="宋体"/>
                <w:color w:val="auto"/>
                <w:spacing w:val="0"/>
                <w:highlight w:val="none"/>
                <w:vertAlign w:val="baseline"/>
                <w:lang w:val="en-US" w:eastAsia="zh-CN"/>
              </w:rPr>
            </w:pPr>
          </w:p>
          <w:p w14:paraId="3936E9F5">
            <w:pPr>
              <w:pStyle w:val="10"/>
              <w:pageBreakBefore w:val="0"/>
              <w:kinsoku/>
              <w:overflowPunct/>
              <w:topLinePunct w:val="0"/>
              <w:bidi w:val="0"/>
              <w:spacing w:beforeAutospacing="0" w:afterAutospacing="0" w:line="360" w:lineRule="auto"/>
              <w:outlineLvl w:val="9"/>
              <w:rPr>
                <w:rFonts w:hint="eastAsia" w:ascii="宋体" w:hAnsi="宋体" w:eastAsia="宋体" w:cs="宋体"/>
                <w:color w:val="auto"/>
                <w:highlight w:val="none"/>
              </w:rPr>
            </w:pPr>
          </w:p>
          <w:p w14:paraId="0FD79E65">
            <w:pPr>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lang w:val="en-US" w:eastAsia="zh-CN"/>
              </w:rPr>
              <w:t>招标</w:t>
            </w:r>
            <w:r>
              <w:rPr>
                <w:rFonts w:hint="eastAsia" w:ascii="宋体" w:hAnsi="宋体" w:eastAsia="宋体" w:cs="宋体"/>
                <w:b/>
                <w:bCs/>
                <w:color w:val="auto"/>
                <w:spacing w:val="0"/>
                <w:sz w:val="72"/>
                <w:szCs w:val="72"/>
                <w:highlight w:val="none"/>
              </w:rPr>
              <w:t>文件</w:t>
            </w:r>
          </w:p>
          <w:p w14:paraId="5636A4EA">
            <w:pPr>
              <w:pageBreakBefore w:val="0"/>
              <w:kinsoku/>
              <w:overflowPunct/>
              <w:topLinePunct w:val="0"/>
              <w:bidi w:val="0"/>
              <w:spacing w:beforeAutospacing="0" w:afterAutospacing="0" w:line="360" w:lineRule="auto"/>
              <w:jc w:val="center"/>
              <w:outlineLvl w:val="9"/>
              <w:rPr>
                <w:rFonts w:hint="eastAsia" w:ascii="宋体" w:hAnsi="宋体" w:eastAsia="宋体" w:cs="宋体"/>
                <w:color w:val="auto"/>
                <w:spacing w:val="0"/>
                <w:szCs w:val="21"/>
                <w:highlight w:val="none"/>
                <w:lang w:val="en-US" w:eastAsia="zh-CN"/>
              </w:rPr>
            </w:pPr>
            <w:r>
              <w:rPr>
                <w:rFonts w:hint="eastAsia" w:ascii="宋体" w:hAnsi="宋体" w:eastAsia="宋体" w:cs="宋体"/>
                <w:b/>
                <w:bCs/>
                <w:color w:val="auto"/>
                <w:spacing w:val="0"/>
                <w:sz w:val="36"/>
                <w:szCs w:val="36"/>
                <w:highlight w:val="none"/>
              </w:rPr>
              <w:t>项目编号：</w:t>
            </w:r>
            <w:r>
              <w:rPr>
                <w:rFonts w:hint="eastAsia" w:ascii="宋体" w:hAnsi="宋体" w:cs="宋体"/>
                <w:b/>
                <w:bCs/>
                <w:color w:val="auto"/>
                <w:spacing w:val="0"/>
                <w:sz w:val="36"/>
                <w:szCs w:val="36"/>
                <w:highlight w:val="none"/>
                <w:lang w:eastAsia="zh-CN"/>
              </w:rPr>
              <w:t>YNZC2025-G1-03229-YNGH-0168</w:t>
            </w:r>
          </w:p>
          <w:p w14:paraId="7DCA1A04">
            <w:pPr>
              <w:pStyle w:val="33"/>
              <w:pageBreakBefore w:val="0"/>
              <w:kinsoku/>
              <w:overflowPunct/>
              <w:topLinePunct w:val="0"/>
              <w:bidi w:val="0"/>
              <w:spacing w:beforeAutospacing="0" w:afterAutospacing="0" w:line="360" w:lineRule="auto"/>
              <w:jc w:val="both"/>
              <w:outlineLvl w:val="9"/>
              <w:rPr>
                <w:rFonts w:hint="eastAsia" w:ascii="宋体" w:hAnsi="宋体" w:eastAsia="宋体" w:cs="宋体"/>
                <w:color w:val="auto"/>
                <w:spacing w:val="0"/>
                <w:highlight w:val="none"/>
                <w:vertAlign w:val="baseline"/>
                <w:lang w:val="en-US" w:eastAsia="zh-CN"/>
              </w:rPr>
            </w:pPr>
          </w:p>
        </w:tc>
      </w:tr>
      <w:tr w14:paraId="49B48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98" w:type="dxa"/>
            <w:noWrap w:val="0"/>
            <w:vAlign w:val="center"/>
          </w:tcPr>
          <w:p w14:paraId="11703A32">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highlight w:val="none"/>
                <w:vertAlign w:val="baseline"/>
                <w:lang w:val="en-US" w:eastAsia="zh-CN"/>
              </w:rPr>
            </w:pPr>
            <w:bookmarkStart w:id="5" w:name="_Toc16852"/>
            <w:bookmarkStart w:id="6" w:name="_Toc22360"/>
            <w:bookmarkStart w:id="7" w:name="_Toc18505"/>
            <w:r>
              <w:rPr>
                <w:rFonts w:hint="eastAsia" w:ascii="宋体" w:hAnsi="宋体" w:eastAsia="宋体" w:cs="宋体"/>
                <w:b/>
                <w:bCs/>
                <w:color w:val="auto"/>
                <w:spacing w:val="0"/>
                <w:highlight w:val="none"/>
                <w:vertAlign w:val="baseline"/>
                <w:lang w:val="en-US" w:eastAsia="zh-CN"/>
              </w:rPr>
              <w:t>部门</w:t>
            </w:r>
            <w:bookmarkEnd w:id="5"/>
            <w:bookmarkEnd w:id="6"/>
            <w:bookmarkEnd w:id="7"/>
          </w:p>
        </w:tc>
        <w:tc>
          <w:tcPr>
            <w:tcW w:w="1990" w:type="dxa"/>
            <w:noWrap w:val="0"/>
            <w:vAlign w:val="center"/>
          </w:tcPr>
          <w:p w14:paraId="3D1CB72C">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color w:val="auto"/>
                <w:spacing w:val="0"/>
                <w:highlight w:val="none"/>
                <w:vertAlign w:val="baseline"/>
                <w:lang w:val="en-US" w:eastAsia="zh-CN"/>
              </w:rPr>
            </w:pPr>
            <w:bookmarkStart w:id="8" w:name="_Toc1085"/>
            <w:bookmarkStart w:id="9" w:name="_Toc29519"/>
            <w:bookmarkStart w:id="10" w:name="_Toc931"/>
            <w:r>
              <w:rPr>
                <w:rFonts w:hint="eastAsia" w:ascii="宋体" w:hAnsi="宋体" w:eastAsia="宋体" w:cs="宋体"/>
                <w:color w:val="auto"/>
                <w:spacing w:val="0"/>
                <w:highlight w:val="none"/>
                <w:vertAlign w:val="baseline"/>
                <w:lang w:val="en-US" w:eastAsia="zh-CN"/>
              </w:rPr>
              <w:t>项目部</w:t>
            </w:r>
            <w:bookmarkEnd w:id="8"/>
            <w:bookmarkEnd w:id="9"/>
            <w:bookmarkEnd w:id="10"/>
          </w:p>
        </w:tc>
        <w:tc>
          <w:tcPr>
            <w:tcW w:w="1700" w:type="dxa"/>
            <w:noWrap w:val="0"/>
            <w:vAlign w:val="center"/>
          </w:tcPr>
          <w:p w14:paraId="20F75DB5">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highlight w:val="none"/>
                <w:vertAlign w:val="baseline"/>
                <w:lang w:val="en-US" w:eastAsia="zh-CN"/>
              </w:rPr>
            </w:pPr>
            <w:bookmarkStart w:id="11" w:name="_Toc31219"/>
            <w:bookmarkStart w:id="12" w:name="_Toc23894"/>
            <w:bookmarkStart w:id="13" w:name="_Toc20421"/>
            <w:r>
              <w:rPr>
                <w:rFonts w:hint="eastAsia" w:ascii="宋体" w:hAnsi="宋体" w:eastAsia="宋体" w:cs="宋体"/>
                <w:b/>
                <w:bCs/>
                <w:color w:val="auto"/>
                <w:spacing w:val="0"/>
                <w:highlight w:val="none"/>
                <w:vertAlign w:val="baseline"/>
                <w:lang w:val="en-US" w:eastAsia="zh-CN"/>
              </w:rPr>
              <w:t>项目名称</w:t>
            </w:r>
            <w:bookmarkEnd w:id="11"/>
            <w:bookmarkEnd w:id="12"/>
            <w:bookmarkEnd w:id="13"/>
          </w:p>
        </w:tc>
        <w:tc>
          <w:tcPr>
            <w:tcW w:w="4613" w:type="dxa"/>
            <w:noWrap w:val="0"/>
            <w:vAlign w:val="center"/>
          </w:tcPr>
          <w:p w14:paraId="2DA8DDD4">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color w:val="auto"/>
                <w:spacing w:val="0"/>
                <w:highlight w:val="none"/>
                <w:vertAlign w:val="baseline"/>
                <w:lang w:val="en-US" w:eastAsia="zh-CN"/>
              </w:rPr>
            </w:pPr>
            <w:bookmarkStart w:id="14" w:name="_Toc15642"/>
            <w:r>
              <w:rPr>
                <w:rFonts w:hint="eastAsia" w:hAnsi="宋体" w:cs="宋体"/>
                <w:color w:val="auto"/>
                <w:spacing w:val="0"/>
                <w:highlight w:val="none"/>
                <w:vertAlign w:val="baseline"/>
                <w:lang w:val="en-US" w:eastAsia="zh-CN"/>
              </w:rPr>
              <w:t>超高效液相色谱三重四级杆质谱联用仪</w:t>
            </w:r>
            <w:bookmarkEnd w:id="14"/>
          </w:p>
        </w:tc>
      </w:tr>
      <w:tr w14:paraId="2103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98" w:type="dxa"/>
            <w:noWrap w:val="0"/>
            <w:vAlign w:val="center"/>
          </w:tcPr>
          <w:p w14:paraId="6C8AAA43">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highlight w:val="none"/>
                <w:vertAlign w:val="baseline"/>
                <w:lang w:val="en-US" w:eastAsia="zh-CN"/>
              </w:rPr>
            </w:pPr>
            <w:bookmarkStart w:id="15" w:name="_Toc28340"/>
            <w:bookmarkStart w:id="16" w:name="_Toc31327"/>
            <w:bookmarkStart w:id="17" w:name="_Toc28256"/>
            <w:r>
              <w:rPr>
                <w:rFonts w:hint="eastAsia" w:ascii="宋体" w:hAnsi="宋体" w:eastAsia="宋体" w:cs="宋体"/>
                <w:b/>
                <w:bCs/>
                <w:color w:val="auto"/>
                <w:spacing w:val="0"/>
                <w:highlight w:val="none"/>
                <w:vertAlign w:val="baseline"/>
                <w:lang w:val="en-US" w:eastAsia="zh-CN"/>
              </w:rPr>
              <w:t>编制</w:t>
            </w:r>
            <w:bookmarkEnd w:id="15"/>
            <w:bookmarkEnd w:id="16"/>
            <w:bookmarkEnd w:id="17"/>
          </w:p>
        </w:tc>
        <w:tc>
          <w:tcPr>
            <w:tcW w:w="1990" w:type="dxa"/>
            <w:noWrap w:val="0"/>
            <w:vAlign w:val="center"/>
          </w:tcPr>
          <w:p w14:paraId="0C6D5500">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color w:val="auto"/>
                <w:spacing w:val="0"/>
                <w:highlight w:val="none"/>
                <w:vertAlign w:val="baseline"/>
                <w:lang w:val="en-US"/>
              </w:rPr>
            </w:pPr>
            <w:bookmarkStart w:id="18" w:name="_Toc19093"/>
            <w:r>
              <w:rPr>
                <w:rFonts w:hint="eastAsia" w:hAnsi="宋体" w:cs="宋体"/>
                <w:color w:val="auto"/>
                <w:sz w:val="24"/>
                <w:szCs w:val="24"/>
                <w:highlight w:val="none"/>
                <w:lang w:val="en-US" w:eastAsia="zh-CN"/>
              </w:rPr>
              <w:t>蒋立</w:t>
            </w:r>
            <w:bookmarkEnd w:id="18"/>
          </w:p>
        </w:tc>
        <w:tc>
          <w:tcPr>
            <w:tcW w:w="1700" w:type="dxa"/>
            <w:noWrap w:val="0"/>
            <w:vAlign w:val="center"/>
          </w:tcPr>
          <w:p w14:paraId="76666F81">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highlight w:val="none"/>
                <w:vertAlign w:val="baseline"/>
                <w:lang w:val="en-US" w:eastAsia="zh-CN"/>
              </w:rPr>
            </w:pPr>
            <w:bookmarkStart w:id="19" w:name="_Toc15031"/>
            <w:bookmarkStart w:id="20" w:name="_Toc11946"/>
            <w:bookmarkStart w:id="21" w:name="_Toc11606"/>
            <w:r>
              <w:rPr>
                <w:rFonts w:hint="eastAsia" w:ascii="宋体" w:hAnsi="宋体" w:eastAsia="宋体" w:cs="宋体"/>
                <w:b/>
                <w:bCs/>
                <w:color w:val="auto"/>
                <w:spacing w:val="0"/>
                <w:highlight w:val="none"/>
                <w:vertAlign w:val="baseline"/>
                <w:lang w:val="en-US" w:eastAsia="zh-CN"/>
              </w:rPr>
              <w:t>采购人</w:t>
            </w:r>
            <w:bookmarkEnd w:id="19"/>
            <w:bookmarkEnd w:id="20"/>
            <w:bookmarkEnd w:id="21"/>
          </w:p>
        </w:tc>
        <w:tc>
          <w:tcPr>
            <w:tcW w:w="4613" w:type="dxa"/>
            <w:noWrap w:val="0"/>
            <w:vAlign w:val="center"/>
          </w:tcPr>
          <w:p w14:paraId="792A3372">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color w:val="auto"/>
                <w:spacing w:val="0"/>
                <w:highlight w:val="none"/>
                <w:vertAlign w:val="baseline"/>
                <w:lang w:val="en-US" w:eastAsia="zh-CN"/>
              </w:rPr>
            </w:pPr>
            <w:bookmarkStart w:id="22" w:name="_Toc2200"/>
            <w:r>
              <w:rPr>
                <w:rFonts w:hint="eastAsia" w:hAnsi="宋体" w:cs="宋体"/>
                <w:color w:val="auto"/>
                <w:spacing w:val="0"/>
                <w:highlight w:val="none"/>
                <w:vertAlign w:val="baseline"/>
                <w:lang w:val="en-US" w:eastAsia="zh-CN"/>
              </w:rPr>
              <w:t>云南省地质矿产勘查开发局中心实验室（自然资源部昆明矿产资源检测中心）</w:t>
            </w:r>
            <w:bookmarkEnd w:id="22"/>
          </w:p>
        </w:tc>
      </w:tr>
      <w:tr w14:paraId="0B12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98" w:type="dxa"/>
            <w:noWrap w:val="0"/>
            <w:vAlign w:val="center"/>
          </w:tcPr>
          <w:p w14:paraId="60348773">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highlight w:val="none"/>
                <w:vertAlign w:val="baseline"/>
                <w:lang w:val="en-US" w:eastAsia="zh-CN"/>
              </w:rPr>
            </w:pPr>
            <w:bookmarkStart w:id="23" w:name="_Toc13517"/>
            <w:bookmarkStart w:id="24" w:name="_Toc13105"/>
            <w:bookmarkStart w:id="25" w:name="_Toc6950"/>
            <w:r>
              <w:rPr>
                <w:rFonts w:hint="eastAsia" w:ascii="宋体" w:hAnsi="宋体" w:eastAsia="宋体" w:cs="宋体"/>
                <w:b/>
                <w:bCs/>
                <w:color w:val="auto"/>
                <w:spacing w:val="0"/>
                <w:highlight w:val="none"/>
                <w:vertAlign w:val="baseline"/>
                <w:lang w:val="en-US" w:eastAsia="zh-CN"/>
              </w:rPr>
              <w:t>校核</w:t>
            </w:r>
            <w:bookmarkEnd w:id="23"/>
            <w:bookmarkEnd w:id="24"/>
            <w:bookmarkEnd w:id="25"/>
          </w:p>
        </w:tc>
        <w:tc>
          <w:tcPr>
            <w:tcW w:w="1990" w:type="dxa"/>
            <w:noWrap w:val="0"/>
            <w:vAlign w:val="center"/>
          </w:tcPr>
          <w:p w14:paraId="7EB64209">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color w:val="auto"/>
                <w:spacing w:val="0"/>
                <w:highlight w:val="none"/>
                <w:vertAlign w:val="baseline"/>
                <w:lang w:val="en-US" w:eastAsia="zh-CN"/>
              </w:rPr>
            </w:pPr>
            <w:bookmarkStart w:id="26" w:name="_Toc12938"/>
            <w:bookmarkStart w:id="27" w:name="_Toc26995"/>
            <w:bookmarkStart w:id="28" w:name="_Toc19230"/>
            <w:r>
              <w:rPr>
                <w:rFonts w:hint="eastAsia" w:ascii="宋体" w:hAnsi="宋体" w:eastAsia="宋体" w:cs="宋体"/>
                <w:color w:val="auto"/>
                <w:spacing w:val="0"/>
                <w:highlight w:val="none"/>
                <w:vertAlign w:val="baseline"/>
                <w:lang w:val="en-US" w:eastAsia="zh-CN"/>
              </w:rPr>
              <w:t>杨云鹏</w:t>
            </w:r>
            <w:bookmarkEnd w:id="26"/>
            <w:bookmarkEnd w:id="27"/>
            <w:bookmarkEnd w:id="28"/>
          </w:p>
        </w:tc>
        <w:tc>
          <w:tcPr>
            <w:tcW w:w="1700" w:type="dxa"/>
            <w:noWrap w:val="0"/>
            <w:vAlign w:val="center"/>
          </w:tcPr>
          <w:p w14:paraId="49755F5D">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highlight w:val="none"/>
                <w:vertAlign w:val="baseline"/>
                <w:lang w:val="en-US" w:eastAsia="zh-CN"/>
              </w:rPr>
            </w:pPr>
            <w:bookmarkStart w:id="29" w:name="_Toc8951"/>
            <w:bookmarkStart w:id="30" w:name="_Toc12022"/>
            <w:bookmarkStart w:id="31" w:name="_Toc25064"/>
            <w:r>
              <w:rPr>
                <w:rFonts w:hint="eastAsia" w:ascii="宋体" w:hAnsi="宋体" w:eastAsia="宋体" w:cs="宋体"/>
                <w:b/>
                <w:bCs/>
                <w:color w:val="auto"/>
                <w:spacing w:val="0"/>
                <w:highlight w:val="none"/>
                <w:vertAlign w:val="baseline"/>
                <w:lang w:val="en-US" w:eastAsia="zh-CN"/>
              </w:rPr>
              <w:t>项目编号</w:t>
            </w:r>
            <w:bookmarkEnd w:id="29"/>
            <w:bookmarkEnd w:id="30"/>
            <w:bookmarkEnd w:id="31"/>
          </w:p>
        </w:tc>
        <w:tc>
          <w:tcPr>
            <w:tcW w:w="4613" w:type="dxa"/>
            <w:noWrap w:val="0"/>
            <w:vAlign w:val="center"/>
          </w:tcPr>
          <w:p w14:paraId="549420FD">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color w:val="auto"/>
                <w:spacing w:val="0"/>
                <w:highlight w:val="none"/>
                <w:vertAlign w:val="baseline"/>
              </w:rPr>
            </w:pPr>
            <w:r>
              <w:rPr>
                <w:rFonts w:hint="eastAsia" w:hAnsi="宋体" w:cs="宋体"/>
                <w:color w:val="auto"/>
                <w:spacing w:val="0"/>
                <w:highlight w:val="none"/>
                <w:vertAlign w:val="baseline"/>
                <w:lang w:val="en-US" w:eastAsia="zh-CN"/>
              </w:rPr>
              <w:t>YNZC2025-G1-03229-YNGH-0168</w:t>
            </w:r>
          </w:p>
        </w:tc>
      </w:tr>
      <w:tr w14:paraId="3D23D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98" w:type="dxa"/>
            <w:noWrap w:val="0"/>
            <w:vAlign w:val="center"/>
          </w:tcPr>
          <w:p w14:paraId="5C0E3B78">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highlight w:val="none"/>
                <w:vertAlign w:val="baseline"/>
                <w:lang w:val="en-US" w:eastAsia="zh-CN"/>
              </w:rPr>
            </w:pPr>
            <w:bookmarkStart w:id="32" w:name="_Toc24315"/>
            <w:bookmarkStart w:id="33" w:name="_Toc13624"/>
            <w:bookmarkStart w:id="34" w:name="_Toc32477"/>
            <w:r>
              <w:rPr>
                <w:rFonts w:hint="eastAsia" w:ascii="宋体" w:hAnsi="宋体" w:eastAsia="宋体" w:cs="宋体"/>
                <w:b/>
                <w:bCs/>
                <w:color w:val="auto"/>
                <w:spacing w:val="0"/>
                <w:highlight w:val="none"/>
                <w:vertAlign w:val="baseline"/>
                <w:lang w:val="en-US" w:eastAsia="zh-CN"/>
              </w:rPr>
              <w:t>批准</w:t>
            </w:r>
            <w:bookmarkEnd w:id="32"/>
            <w:bookmarkEnd w:id="33"/>
            <w:bookmarkEnd w:id="34"/>
          </w:p>
        </w:tc>
        <w:tc>
          <w:tcPr>
            <w:tcW w:w="1990" w:type="dxa"/>
            <w:noWrap w:val="0"/>
            <w:vAlign w:val="center"/>
          </w:tcPr>
          <w:p w14:paraId="6C9C5833">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color w:val="auto"/>
                <w:spacing w:val="0"/>
                <w:highlight w:val="none"/>
                <w:vertAlign w:val="baseline"/>
                <w:lang w:val="en-US" w:eastAsia="zh-CN"/>
              </w:rPr>
            </w:pPr>
            <w:bookmarkStart w:id="35" w:name="_Toc14293"/>
            <w:bookmarkStart w:id="36" w:name="_Toc7985"/>
            <w:bookmarkStart w:id="37" w:name="_Toc8123"/>
            <w:r>
              <w:rPr>
                <w:rFonts w:hint="eastAsia" w:ascii="宋体" w:hAnsi="宋体" w:eastAsia="宋体" w:cs="宋体"/>
                <w:color w:val="auto"/>
                <w:spacing w:val="0"/>
                <w:highlight w:val="none"/>
                <w:vertAlign w:val="baseline"/>
                <w:lang w:val="en-US" w:eastAsia="zh-CN"/>
              </w:rPr>
              <w:t>张正举</w:t>
            </w:r>
            <w:bookmarkEnd w:id="35"/>
            <w:bookmarkEnd w:id="36"/>
            <w:bookmarkEnd w:id="37"/>
          </w:p>
        </w:tc>
        <w:tc>
          <w:tcPr>
            <w:tcW w:w="1700" w:type="dxa"/>
            <w:noWrap w:val="0"/>
            <w:vAlign w:val="center"/>
          </w:tcPr>
          <w:p w14:paraId="26321369">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highlight w:val="none"/>
                <w:vertAlign w:val="baseline"/>
                <w:lang w:val="en-US" w:eastAsia="zh-CN"/>
              </w:rPr>
            </w:pPr>
            <w:bookmarkStart w:id="38" w:name="_Toc17896"/>
            <w:bookmarkStart w:id="39" w:name="_Toc3281"/>
            <w:bookmarkStart w:id="40" w:name="_Toc22463"/>
            <w:r>
              <w:rPr>
                <w:rFonts w:hint="eastAsia" w:ascii="宋体" w:hAnsi="宋体" w:eastAsia="宋体" w:cs="宋体"/>
                <w:b/>
                <w:bCs/>
                <w:color w:val="auto"/>
                <w:spacing w:val="0"/>
                <w:highlight w:val="none"/>
                <w:vertAlign w:val="baseline"/>
                <w:lang w:val="en-US" w:eastAsia="zh-CN"/>
              </w:rPr>
              <w:t>采购人联系人</w:t>
            </w:r>
            <w:bookmarkEnd w:id="38"/>
            <w:bookmarkEnd w:id="39"/>
            <w:bookmarkEnd w:id="40"/>
          </w:p>
        </w:tc>
        <w:tc>
          <w:tcPr>
            <w:tcW w:w="4613" w:type="dxa"/>
            <w:noWrap w:val="0"/>
            <w:vAlign w:val="center"/>
          </w:tcPr>
          <w:p w14:paraId="0135BFA0">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color w:val="auto"/>
                <w:spacing w:val="0"/>
                <w:highlight w:val="none"/>
                <w:vertAlign w:val="baseline"/>
                <w:lang w:val="en-US" w:eastAsia="zh-CN"/>
              </w:rPr>
            </w:pPr>
            <w:bookmarkStart w:id="41" w:name="_Toc11372"/>
            <w:r>
              <w:rPr>
                <w:rFonts w:hint="eastAsia" w:ascii="宋体" w:hAnsi="宋体" w:eastAsia="宋体" w:cs="宋体"/>
                <w:color w:val="auto"/>
                <w:spacing w:val="0"/>
                <w:highlight w:val="none"/>
                <w:vertAlign w:val="baseline"/>
                <w:lang w:val="en-US" w:eastAsia="zh-CN"/>
              </w:rPr>
              <w:t>武老师  0871-67211989</w:t>
            </w:r>
            <w:bookmarkEnd w:id="41"/>
          </w:p>
        </w:tc>
      </w:tr>
      <w:tr w14:paraId="59188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98" w:type="dxa"/>
            <w:noWrap w:val="0"/>
            <w:vAlign w:val="center"/>
          </w:tcPr>
          <w:p w14:paraId="4B021A3B">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highlight w:val="none"/>
                <w:vertAlign w:val="baseline"/>
                <w:lang w:val="en-US" w:eastAsia="zh-CN"/>
              </w:rPr>
            </w:pPr>
            <w:bookmarkStart w:id="42" w:name="_Toc22918"/>
            <w:bookmarkStart w:id="43" w:name="_Toc15073"/>
            <w:bookmarkStart w:id="44" w:name="_Toc21399"/>
            <w:r>
              <w:rPr>
                <w:rFonts w:hint="eastAsia" w:ascii="宋体" w:hAnsi="宋体" w:eastAsia="宋体" w:cs="宋体"/>
                <w:b/>
                <w:bCs/>
                <w:color w:val="auto"/>
                <w:spacing w:val="0"/>
                <w:highlight w:val="none"/>
                <w:vertAlign w:val="baseline"/>
                <w:lang w:val="en-US" w:eastAsia="zh-CN"/>
              </w:rPr>
              <w:t>日期</w:t>
            </w:r>
            <w:bookmarkEnd w:id="42"/>
            <w:bookmarkEnd w:id="43"/>
            <w:bookmarkEnd w:id="44"/>
          </w:p>
        </w:tc>
        <w:tc>
          <w:tcPr>
            <w:tcW w:w="1990" w:type="dxa"/>
            <w:noWrap w:val="0"/>
            <w:vAlign w:val="center"/>
          </w:tcPr>
          <w:p w14:paraId="7B67B189">
            <w:pPr>
              <w:pStyle w:val="33"/>
              <w:pageBreakBefore w:val="0"/>
              <w:kinsoku/>
              <w:overflowPunct/>
              <w:topLinePunct w:val="0"/>
              <w:bidi w:val="0"/>
              <w:spacing w:beforeAutospacing="0" w:afterAutospacing="0" w:line="360" w:lineRule="auto"/>
              <w:jc w:val="center"/>
              <w:outlineLvl w:val="9"/>
              <w:rPr>
                <w:rFonts w:hint="default" w:ascii="宋体" w:hAnsi="宋体" w:eastAsia="宋体" w:cs="宋体"/>
                <w:color w:val="auto"/>
                <w:spacing w:val="0"/>
                <w:highlight w:val="none"/>
                <w:vertAlign w:val="baseline"/>
                <w:lang w:val="en-US" w:eastAsia="zh-CN"/>
              </w:rPr>
            </w:pPr>
            <w:bookmarkStart w:id="45" w:name="_Toc26245"/>
            <w:bookmarkStart w:id="46" w:name="_Toc9353"/>
            <w:bookmarkStart w:id="47" w:name="_Toc26408"/>
            <w:r>
              <w:rPr>
                <w:rFonts w:hint="eastAsia" w:ascii="宋体" w:hAnsi="宋体" w:eastAsia="宋体" w:cs="宋体"/>
                <w:b/>
                <w:bCs/>
                <w:color w:val="auto"/>
                <w:spacing w:val="0"/>
                <w:sz w:val="24"/>
                <w:highlight w:val="none"/>
                <w:vertAlign w:val="baseline"/>
                <w:lang w:val="en-US" w:eastAsia="zh-CN"/>
              </w:rPr>
              <w:t>202</w:t>
            </w:r>
            <w:r>
              <w:rPr>
                <w:rFonts w:hint="eastAsia" w:hAnsi="宋体" w:cs="宋体"/>
                <w:b/>
                <w:bCs/>
                <w:color w:val="auto"/>
                <w:spacing w:val="0"/>
                <w:sz w:val="24"/>
                <w:highlight w:val="none"/>
                <w:vertAlign w:val="baseline"/>
                <w:lang w:val="en-US" w:eastAsia="zh-CN"/>
              </w:rPr>
              <w:t>5</w:t>
            </w:r>
            <w:r>
              <w:rPr>
                <w:rFonts w:hint="eastAsia" w:ascii="宋体" w:hAnsi="宋体" w:eastAsia="宋体" w:cs="宋体"/>
                <w:b/>
                <w:bCs/>
                <w:color w:val="auto"/>
                <w:spacing w:val="0"/>
                <w:sz w:val="24"/>
                <w:highlight w:val="none"/>
                <w:vertAlign w:val="baseline"/>
                <w:lang w:val="en-US" w:eastAsia="zh-CN"/>
              </w:rPr>
              <w:t>.</w:t>
            </w:r>
            <w:r>
              <w:rPr>
                <w:rFonts w:hint="eastAsia" w:hAnsi="宋体" w:cs="宋体"/>
                <w:b/>
                <w:bCs/>
                <w:color w:val="auto"/>
                <w:spacing w:val="0"/>
                <w:sz w:val="24"/>
                <w:highlight w:val="none"/>
                <w:vertAlign w:val="baseline"/>
                <w:lang w:val="en-US" w:eastAsia="zh-CN"/>
              </w:rPr>
              <w:t>6</w:t>
            </w:r>
            <w:r>
              <w:rPr>
                <w:rFonts w:hint="eastAsia" w:ascii="宋体" w:hAnsi="宋体" w:eastAsia="宋体" w:cs="宋体"/>
                <w:b/>
                <w:bCs/>
                <w:color w:val="auto"/>
                <w:spacing w:val="0"/>
                <w:sz w:val="24"/>
                <w:highlight w:val="none"/>
                <w:vertAlign w:val="baseline"/>
                <w:lang w:val="en-US" w:eastAsia="zh-CN"/>
              </w:rPr>
              <w:t>.</w:t>
            </w:r>
            <w:bookmarkEnd w:id="45"/>
            <w:bookmarkEnd w:id="46"/>
            <w:bookmarkEnd w:id="47"/>
            <w:r>
              <w:rPr>
                <w:rFonts w:hint="eastAsia" w:hAnsi="宋体" w:cs="宋体"/>
                <w:b/>
                <w:bCs/>
                <w:color w:val="auto"/>
                <w:spacing w:val="0"/>
                <w:sz w:val="24"/>
                <w:highlight w:val="none"/>
                <w:vertAlign w:val="baseline"/>
                <w:lang w:val="en-US" w:eastAsia="zh-CN"/>
              </w:rPr>
              <w:t>09</w:t>
            </w:r>
          </w:p>
        </w:tc>
        <w:tc>
          <w:tcPr>
            <w:tcW w:w="1700" w:type="dxa"/>
            <w:noWrap w:val="0"/>
            <w:vAlign w:val="center"/>
          </w:tcPr>
          <w:p w14:paraId="3D21E8FD">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pacing w:val="0"/>
                <w:highlight w:val="none"/>
                <w:vertAlign w:val="baseline"/>
                <w:lang w:val="en-US" w:eastAsia="zh-CN"/>
              </w:rPr>
            </w:pPr>
            <w:bookmarkStart w:id="48" w:name="_Toc1453"/>
            <w:bookmarkStart w:id="49" w:name="_Toc20966"/>
            <w:bookmarkStart w:id="50" w:name="_Toc22429"/>
            <w:r>
              <w:rPr>
                <w:rFonts w:hint="eastAsia" w:ascii="宋体" w:hAnsi="宋体" w:eastAsia="宋体" w:cs="宋体"/>
                <w:b/>
                <w:bCs/>
                <w:color w:val="auto"/>
                <w:spacing w:val="0"/>
                <w:highlight w:val="none"/>
                <w:vertAlign w:val="baseline"/>
                <w:lang w:val="en-US" w:eastAsia="zh-CN"/>
              </w:rPr>
              <w:t>文件版次</w:t>
            </w:r>
            <w:bookmarkEnd w:id="48"/>
            <w:bookmarkEnd w:id="49"/>
            <w:bookmarkEnd w:id="50"/>
          </w:p>
        </w:tc>
        <w:tc>
          <w:tcPr>
            <w:tcW w:w="4613" w:type="dxa"/>
            <w:noWrap w:val="0"/>
            <w:vAlign w:val="center"/>
          </w:tcPr>
          <w:p w14:paraId="14687371">
            <w:pPr>
              <w:pStyle w:val="33"/>
              <w:pageBreakBefore w:val="0"/>
              <w:kinsoku/>
              <w:overflowPunct/>
              <w:topLinePunct w:val="0"/>
              <w:bidi w:val="0"/>
              <w:spacing w:beforeAutospacing="0" w:afterAutospacing="0" w:line="360" w:lineRule="auto"/>
              <w:jc w:val="center"/>
              <w:outlineLvl w:val="9"/>
              <w:rPr>
                <w:rFonts w:hint="eastAsia" w:ascii="宋体" w:hAnsi="宋体" w:eastAsia="宋体" w:cs="宋体"/>
                <w:color w:val="auto"/>
                <w:spacing w:val="0"/>
                <w:highlight w:val="none"/>
                <w:vertAlign w:val="baseline"/>
                <w:lang w:val="en-US" w:eastAsia="zh-CN"/>
              </w:rPr>
            </w:pPr>
            <w:bookmarkStart w:id="51" w:name="_Toc29954"/>
            <w:bookmarkStart w:id="52" w:name="_Toc22863"/>
            <w:bookmarkStart w:id="53" w:name="_Toc291"/>
            <w:r>
              <w:rPr>
                <w:rFonts w:hint="eastAsia" w:ascii="宋体" w:hAnsi="宋体" w:eastAsia="宋体" w:cs="宋体"/>
                <w:b/>
                <w:bCs/>
                <w:color w:val="auto"/>
                <w:spacing w:val="0"/>
                <w:highlight w:val="none"/>
                <w:vertAlign w:val="baseline"/>
                <w:lang w:val="en-US" w:eastAsia="zh-CN"/>
              </w:rPr>
              <w:t>0</w:t>
            </w:r>
            <w:r>
              <w:rPr>
                <w:rFonts w:hint="eastAsia" w:hAnsi="宋体" w:cs="宋体"/>
                <w:b/>
                <w:bCs/>
                <w:color w:val="auto"/>
                <w:spacing w:val="0"/>
                <w:highlight w:val="none"/>
                <w:vertAlign w:val="baseline"/>
                <w:lang w:val="en-US" w:eastAsia="zh-CN"/>
              </w:rPr>
              <w:t>609</w:t>
            </w:r>
            <w:r>
              <w:rPr>
                <w:rFonts w:hint="eastAsia" w:ascii="宋体" w:hAnsi="宋体" w:eastAsia="宋体" w:cs="宋体"/>
                <w:b/>
                <w:bCs/>
                <w:color w:val="auto"/>
                <w:spacing w:val="0"/>
                <w:highlight w:val="none"/>
                <w:vertAlign w:val="baseline"/>
                <w:lang w:val="en-US" w:eastAsia="zh-CN"/>
              </w:rPr>
              <w:t>版</w:t>
            </w:r>
            <w:bookmarkEnd w:id="51"/>
            <w:bookmarkEnd w:id="52"/>
            <w:bookmarkEnd w:id="53"/>
          </w:p>
        </w:tc>
      </w:tr>
    </w:tbl>
    <w:p w14:paraId="73FEF06A">
      <w:pPr>
        <w:pageBreakBefore w:val="0"/>
        <w:kinsoku/>
        <w:overflowPunct/>
        <w:topLinePunct w:val="0"/>
        <w:bidi w:val="0"/>
        <w:spacing w:beforeAutospacing="0" w:afterAutospacing="0" w:line="360" w:lineRule="auto"/>
        <w:rPr>
          <w:rFonts w:hint="eastAsia" w:ascii="宋体" w:hAnsi="宋体" w:eastAsia="宋体" w:cs="宋体"/>
          <w:color w:val="auto"/>
          <w:highlight w:val="none"/>
          <w:lang w:val="zh-CN"/>
        </w:rPr>
        <w:sectPr>
          <w:pgSz w:w="11906" w:h="16838"/>
          <w:pgMar w:top="1247" w:right="1134" w:bottom="1247" w:left="1247" w:header="851" w:footer="992" w:gutter="0"/>
          <w:pgBorders>
            <w:top w:val="none" w:sz="0" w:space="0"/>
            <w:left w:val="none" w:sz="0" w:space="0"/>
            <w:bottom w:val="none" w:sz="0" w:space="0"/>
            <w:right w:val="none" w:sz="0" w:space="0"/>
          </w:pgBorders>
          <w:cols w:space="0" w:num="1"/>
          <w:docGrid w:type="lines" w:linePitch="312" w:charSpace="0"/>
        </w:sectPr>
      </w:pPr>
    </w:p>
    <w:p w14:paraId="72172B0E">
      <w:pPr>
        <w:pStyle w:val="62"/>
        <w:pageBreakBefore w:val="0"/>
        <w:kinsoku/>
        <w:overflowPunct/>
        <w:topLinePunct w:val="0"/>
        <w:bidi w:val="0"/>
        <w:spacing w:before="0" w:beforeAutospacing="0" w:afterAutospacing="0" w:line="360" w:lineRule="auto"/>
        <w:jc w:val="center"/>
        <w:rPr>
          <w:rFonts w:hint="eastAsia" w:ascii="宋体" w:hAnsi="宋体" w:eastAsia="宋体" w:cs="宋体"/>
          <w:b/>
          <w:bCs/>
          <w:iCs/>
          <w:color w:val="auto"/>
          <w:sz w:val="40"/>
          <w:szCs w:val="32"/>
          <w:highlight w:val="none"/>
          <w:lang w:val="en-US" w:eastAsia="zh-CN"/>
        </w:rPr>
      </w:pPr>
      <w:bookmarkStart w:id="54" w:name="_Toc62031133"/>
      <w:r>
        <w:rPr>
          <w:rFonts w:hint="eastAsia" w:ascii="宋体" w:hAnsi="宋体" w:eastAsia="宋体" w:cs="宋体"/>
          <w:b/>
          <w:bCs/>
          <w:iCs/>
          <w:color w:val="auto"/>
          <w:sz w:val="40"/>
          <w:szCs w:val="32"/>
          <w:highlight w:val="none"/>
          <w:lang w:val="en-US" w:eastAsia="zh-CN"/>
        </w:rPr>
        <w:t>目录</w:t>
      </w:r>
    </w:p>
    <w:p w14:paraId="71225B08">
      <w:pPr>
        <w:pStyle w:val="19"/>
        <w:tabs>
          <w:tab w:val="right" w:leader="dot" w:pos="9746"/>
        </w:tabs>
      </w:pPr>
      <w:r>
        <w:rPr>
          <w:rFonts w:hint="eastAsia" w:ascii="宋体" w:hAnsi="宋体" w:eastAsia="宋体" w:cs="宋体"/>
          <w:b/>
          <w:bCs/>
          <w:color w:val="auto"/>
          <w:sz w:val="24"/>
          <w:szCs w:val="24"/>
          <w:highlight w:val="none"/>
          <w:lang w:val="en-US" w:eastAsia="zh-CN"/>
        </w:rPr>
        <w:fldChar w:fldCharType="begin"/>
      </w:r>
      <w:r>
        <w:rPr>
          <w:rFonts w:hint="eastAsia" w:ascii="宋体" w:hAnsi="宋体" w:eastAsia="宋体" w:cs="宋体"/>
          <w:b/>
          <w:bCs/>
          <w:color w:val="auto"/>
          <w:sz w:val="24"/>
          <w:szCs w:val="24"/>
          <w:highlight w:val="none"/>
          <w:lang w:val="en-US" w:eastAsia="zh-CN"/>
        </w:rPr>
        <w:instrText xml:space="preserve">TOC \o "1-3" \h \u </w:instrText>
      </w:r>
      <w:r>
        <w:rPr>
          <w:rFonts w:hint="eastAsia" w:ascii="宋体" w:hAnsi="宋体" w:eastAsia="宋体" w:cs="宋体"/>
          <w:b/>
          <w:bCs/>
          <w:color w:val="auto"/>
          <w:sz w:val="24"/>
          <w:szCs w:val="24"/>
          <w:highlight w:val="none"/>
          <w:lang w:val="en-US" w:eastAsia="zh-CN"/>
        </w:rPr>
        <w:fldChar w:fldCharType="separate"/>
      </w:r>
    </w:p>
    <w:p w14:paraId="739F4EAF">
      <w:pPr>
        <w:pStyle w:val="19"/>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_Toc8610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iCs/>
          <w:szCs w:val="32"/>
          <w:highlight w:val="none"/>
        </w:rPr>
        <w:t>第一章  招标公告</w:t>
      </w:r>
      <w:r>
        <w:tab/>
      </w:r>
      <w:r>
        <w:fldChar w:fldCharType="begin"/>
      </w:r>
      <w:r>
        <w:instrText xml:space="preserve"> PAGEREF _Toc8610 \h </w:instrText>
      </w:r>
      <w:r>
        <w:fldChar w:fldCharType="separate"/>
      </w:r>
      <w:r>
        <w:t>1</w:t>
      </w:r>
      <w:r>
        <w:fldChar w:fldCharType="end"/>
      </w:r>
      <w:r>
        <w:rPr>
          <w:rFonts w:hint="eastAsia" w:ascii="宋体" w:hAnsi="宋体" w:eastAsia="宋体" w:cs="宋体"/>
          <w:bCs/>
          <w:color w:val="auto"/>
          <w:szCs w:val="24"/>
          <w:highlight w:val="none"/>
          <w:lang w:val="en-US" w:eastAsia="zh-CN"/>
        </w:rPr>
        <w:fldChar w:fldCharType="end"/>
      </w:r>
    </w:p>
    <w:p w14:paraId="4358C417">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_Toc32692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一、项目基本情况</w:t>
      </w:r>
      <w:r>
        <w:tab/>
      </w:r>
      <w:r>
        <w:fldChar w:fldCharType="begin"/>
      </w:r>
      <w:r>
        <w:instrText xml:space="preserve"> PAGEREF _Toc32692 \h </w:instrText>
      </w:r>
      <w:r>
        <w:fldChar w:fldCharType="separate"/>
      </w:r>
      <w:r>
        <w:t>1</w:t>
      </w:r>
      <w:r>
        <w:fldChar w:fldCharType="end"/>
      </w:r>
      <w:r>
        <w:rPr>
          <w:rFonts w:hint="eastAsia" w:ascii="宋体" w:hAnsi="宋体" w:eastAsia="宋体" w:cs="宋体"/>
          <w:bCs/>
          <w:color w:val="auto"/>
          <w:szCs w:val="24"/>
          <w:highlight w:val="none"/>
          <w:lang w:val="en-US" w:eastAsia="zh-CN"/>
        </w:rPr>
        <w:fldChar w:fldCharType="end"/>
      </w:r>
    </w:p>
    <w:p w14:paraId="56B56FC5">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_Toc32320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二、申请人的资格要求：</w:t>
      </w:r>
      <w:r>
        <w:tab/>
      </w:r>
      <w:r>
        <w:fldChar w:fldCharType="begin"/>
      </w:r>
      <w:r>
        <w:instrText xml:space="preserve"> PAGEREF _Toc32320 \h </w:instrText>
      </w:r>
      <w:r>
        <w:fldChar w:fldCharType="separate"/>
      </w:r>
      <w:r>
        <w:t>1</w:t>
      </w:r>
      <w:r>
        <w:fldChar w:fldCharType="end"/>
      </w:r>
      <w:r>
        <w:rPr>
          <w:rFonts w:hint="eastAsia" w:ascii="宋体" w:hAnsi="宋体" w:eastAsia="宋体" w:cs="宋体"/>
          <w:bCs/>
          <w:color w:val="auto"/>
          <w:szCs w:val="24"/>
          <w:highlight w:val="none"/>
          <w:lang w:val="en-US" w:eastAsia="zh-CN"/>
        </w:rPr>
        <w:fldChar w:fldCharType="end"/>
      </w:r>
    </w:p>
    <w:p w14:paraId="61713875">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_Toc29187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三、获取招标文件</w:t>
      </w:r>
      <w:r>
        <w:tab/>
      </w:r>
      <w:r>
        <w:fldChar w:fldCharType="begin"/>
      </w:r>
      <w:r>
        <w:instrText xml:space="preserve"> PAGEREF _Toc29187 \h </w:instrText>
      </w:r>
      <w:r>
        <w:fldChar w:fldCharType="separate"/>
      </w:r>
      <w:r>
        <w:t>2</w:t>
      </w:r>
      <w:r>
        <w:fldChar w:fldCharType="end"/>
      </w:r>
      <w:r>
        <w:rPr>
          <w:rFonts w:hint="eastAsia" w:ascii="宋体" w:hAnsi="宋体" w:eastAsia="宋体" w:cs="宋体"/>
          <w:bCs/>
          <w:color w:val="auto"/>
          <w:szCs w:val="24"/>
          <w:highlight w:val="none"/>
          <w:lang w:val="en-US" w:eastAsia="zh-CN"/>
        </w:rPr>
        <w:fldChar w:fldCharType="end"/>
      </w:r>
    </w:p>
    <w:p w14:paraId="1FCCD059">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_Toc23411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四、提交</w:t>
      </w:r>
      <w:r>
        <w:rPr>
          <w:rFonts w:hint="eastAsia" w:ascii="宋体" w:hAnsi="宋体" w:eastAsia="宋体" w:cs="宋体"/>
          <w:bCs/>
          <w:szCs w:val="24"/>
          <w:highlight w:val="none"/>
          <w:lang w:val="en-US" w:eastAsia="zh-CN"/>
        </w:rPr>
        <w:t>投标</w:t>
      </w:r>
      <w:r>
        <w:rPr>
          <w:rFonts w:hint="eastAsia" w:ascii="宋体" w:hAnsi="宋体" w:eastAsia="宋体" w:cs="宋体"/>
          <w:bCs/>
          <w:szCs w:val="24"/>
          <w:highlight w:val="none"/>
        </w:rPr>
        <w:t>文件截止时间、开标时间和地点</w:t>
      </w:r>
      <w:r>
        <w:tab/>
      </w:r>
      <w:r>
        <w:fldChar w:fldCharType="begin"/>
      </w:r>
      <w:r>
        <w:instrText xml:space="preserve"> PAGEREF _Toc23411 \h </w:instrText>
      </w:r>
      <w:r>
        <w:fldChar w:fldCharType="separate"/>
      </w:r>
      <w:r>
        <w:t>2</w:t>
      </w:r>
      <w:r>
        <w:fldChar w:fldCharType="end"/>
      </w:r>
      <w:r>
        <w:rPr>
          <w:rFonts w:hint="eastAsia" w:ascii="宋体" w:hAnsi="宋体" w:eastAsia="宋体" w:cs="宋体"/>
          <w:bCs/>
          <w:color w:val="auto"/>
          <w:szCs w:val="24"/>
          <w:highlight w:val="none"/>
          <w:lang w:val="en-US" w:eastAsia="zh-CN"/>
        </w:rPr>
        <w:fldChar w:fldCharType="end"/>
      </w:r>
    </w:p>
    <w:p w14:paraId="18E4694F">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_Toc22572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lang w:val="en-US" w:eastAsia="zh-CN"/>
        </w:rPr>
        <w:t>五</w:t>
      </w:r>
      <w:r>
        <w:rPr>
          <w:rFonts w:hint="eastAsia" w:ascii="宋体" w:hAnsi="宋体" w:eastAsia="宋体" w:cs="宋体"/>
          <w:bCs/>
          <w:szCs w:val="24"/>
          <w:highlight w:val="none"/>
        </w:rPr>
        <w:t>、公告期限</w:t>
      </w:r>
      <w:r>
        <w:tab/>
      </w:r>
      <w:r>
        <w:fldChar w:fldCharType="begin"/>
      </w:r>
      <w:r>
        <w:instrText xml:space="preserve"> PAGEREF _Toc22572 \h </w:instrText>
      </w:r>
      <w:r>
        <w:fldChar w:fldCharType="separate"/>
      </w:r>
      <w:r>
        <w:t>2</w:t>
      </w:r>
      <w:r>
        <w:fldChar w:fldCharType="end"/>
      </w:r>
      <w:r>
        <w:rPr>
          <w:rFonts w:hint="eastAsia" w:ascii="宋体" w:hAnsi="宋体" w:eastAsia="宋体" w:cs="宋体"/>
          <w:bCs/>
          <w:color w:val="auto"/>
          <w:szCs w:val="24"/>
          <w:highlight w:val="none"/>
          <w:lang w:val="en-US" w:eastAsia="zh-CN"/>
        </w:rPr>
        <w:fldChar w:fldCharType="end"/>
      </w:r>
    </w:p>
    <w:p w14:paraId="1E685577">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_Toc24921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lang w:val="en-US" w:eastAsia="zh-CN"/>
        </w:rPr>
        <w:t>六</w:t>
      </w:r>
      <w:r>
        <w:rPr>
          <w:rFonts w:hint="eastAsia" w:ascii="宋体" w:hAnsi="宋体" w:eastAsia="宋体" w:cs="宋体"/>
          <w:bCs/>
          <w:szCs w:val="24"/>
          <w:highlight w:val="none"/>
        </w:rPr>
        <w:t>、其他补充事宜</w:t>
      </w:r>
      <w:r>
        <w:tab/>
      </w:r>
      <w:r>
        <w:fldChar w:fldCharType="begin"/>
      </w:r>
      <w:r>
        <w:instrText xml:space="preserve"> PAGEREF _Toc24921 \h </w:instrText>
      </w:r>
      <w:r>
        <w:fldChar w:fldCharType="separate"/>
      </w:r>
      <w:r>
        <w:t>2</w:t>
      </w:r>
      <w:r>
        <w:fldChar w:fldCharType="end"/>
      </w:r>
      <w:r>
        <w:rPr>
          <w:rFonts w:hint="eastAsia" w:ascii="宋体" w:hAnsi="宋体" w:eastAsia="宋体" w:cs="宋体"/>
          <w:bCs/>
          <w:color w:val="auto"/>
          <w:szCs w:val="24"/>
          <w:highlight w:val="none"/>
          <w:lang w:val="en-US" w:eastAsia="zh-CN"/>
        </w:rPr>
        <w:fldChar w:fldCharType="end"/>
      </w:r>
    </w:p>
    <w:p w14:paraId="63F8FBAB">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_Toc2169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lang w:val="en-US" w:eastAsia="zh-CN"/>
        </w:rPr>
        <w:t>七</w:t>
      </w:r>
      <w:r>
        <w:rPr>
          <w:rFonts w:hint="eastAsia" w:ascii="宋体" w:hAnsi="宋体" w:eastAsia="宋体" w:cs="宋体"/>
          <w:bCs/>
          <w:szCs w:val="24"/>
          <w:highlight w:val="none"/>
        </w:rPr>
        <w:t>、对本次招标提出询问，请按以下方式联系</w:t>
      </w:r>
      <w:r>
        <w:tab/>
      </w:r>
      <w:r>
        <w:fldChar w:fldCharType="begin"/>
      </w:r>
      <w:r>
        <w:instrText xml:space="preserve"> PAGEREF _Toc2169 \h </w:instrText>
      </w:r>
      <w:r>
        <w:fldChar w:fldCharType="separate"/>
      </w:r>
      <w:r>
        <w:t>3</w:t>
      </w:r>
      <w:r>
        <w:fldChar w:fldCharType="end"/>
      </w:r>
      <w:r>
        <w:rPr>
          <w:rFonts w:hint="eastAsia" w:ascii="宋体" w:hAnsi="宋体" w:eastAsia="宋体" w:cs="宋体"/>
          <w:bCs/>
          <w:color w:val="auto"/>
          <w:szCs w:val="24"/>
          <w:highlight w:val="none"/>
          <w:lang w:val="en-US" w:eastAsia="zh-CN"/>
        </w:rPr>
        <w:fldChar w:fldCharType="end"/>
      </w:r>
    </w:p>
    <w:p w14:paraId="6186814C">
      <w:pPr>
        <w:pStyle w:val="19"/>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_Toc18707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iCs/>
          <w:kern w:val="2"/>
          <w:szCs w:val="44"/>
          <w:highlight w:val="none"/>
          <w:lang w:val="en-US" w:eastAsia="zh-CN" w:bidi="ar-SA"/>
        </w:rPr>
        <w:t>第二章</w:t>
      </w:r>
      <w:r>
        <w:rPr>
          <w:rFonts w:hint="eastAsia" w:ascii="宋体" w:hAnsi="宋体" w:eastAsia="宋体" w:cs="宋体"/>
          <w:iCs/>
          <w:szCs w:val="44"/>
          <w:highlight w:val="none"/>
        </w:rPr>
        <w:t xml:space="preserve"> </w:t>
      </w:r>
      <w:r>
        <w:rPr>
          <w:rFonts w:hint="eastAsia" w:ascii="宋体" w:hAnsi="宋体" w:eastAsia="宋体" w:cs="宋体"/>
          <w:iCs/>
          <w:szCs w:val="44"/>
          <w:highlight w:val="none"/>
          <w:lang w:eastAsia="zh-CN"/>
        </w:rPr>
        <w:t>投标人</w:t>
      </w:r>
      <w:r>
        <w:rPr>
          <w:rFonts w:hint="eastAsia" w:ascii="宋体" w:hAnsi="宋体" w:eastAsia="宋体" w:cs="宋体"/>
          <w:iCs/>
          <w:szCs w:val="44"/>
          <w:highlight w:val="none"/>
        </w:rPr>
        <w:t>须知</w:t>
      </w:r>
      <w:r>
        <w:tab/>
      </w:r>
      <w:r>
        <w:fldChar w:fldCharType="begin"/>
      </w:r>
      <w:r>
        <w:instrText xml:space="preserve"> PAGEREF _Toc18707 \h </w:instrText>
      </w:r>
      <w:r>
        <w:fldChar w:fldCharType="separate"/>
      </w:r>
      <w:r>
        <w:t>4</w:t>
      </w:r>
      <w:r>
        <w:fldChar w:fldCharType="end"/>
      </w:r>
      <w:r>
        <w:rPr>
          <w:rFonts w:hint="eastAsia" w:ascii="宋体" w:hAnsi="宋体" w:eastAsia="宋体" w:cs="宋体"/>
          <w:bCs/>
          <w:color w:val="auto"/>
          <w:szCs w:val="24"/>
          <w:highlight w:val="none"/>
          <w:lang w:val="en-US" w:eastAsia="zh-CN"/>
        </w:rPr>
        <w:fldChar w:fldCharType="end"/>
      </w:r>
    </w:p>
    <w:p w14:paraId="4E8B8C20">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_Toc11139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32"/>
          <w:highlight w:val="none"/>
          <w:lang w:eastAsia="zh-CN"/>
        </w:rPr>
        <w:t>投标人</w:t>
      </w:r>
      <w:r>
        <w:rPr>
          <w:rFonts w:hint="eastAsia" w:ascii="宋体" w:hAnsi="宋体" w:eastAsia="宋体" w:cs="宋体"/>
          <w:szCs w:val="32"/>
          <w:highlight w:val="none"/>
        </w:rPr>
        <w:t>须知前附表</w:t>
      </w:r>
      <w:r>
        <w:tab/>
      </w:r>
      <w:r>
        <w:fldChar w:fldCharType="begin"/>
      </w:r>
      <w:r>
        <w:instrText xml:space="preserve"> PAGEREF _Toc11139 \h </w:instrText>
      </w:r>
      <w:r>
        <w:fldChar w:fldCharType="separate"/>
      </w:r>
      <w:r>
        <w:t>4</w:t>
      </w:r>
      <w:r>
        <w:fldChar w:fldCharType="end"/>
      </w:r>
      <w:r>
        <w:rPr>
          <w:rFonts w:hint="eastAsia" w:ascii="宋体" w:hAnsi="宋体" w:eastAsia="宋体" w:cs="宋体"/>
          <w:bCs/>
          <w:color w:val="auto"/>
          <w:szCs w:val="24"/>
          <w:highlight w:val="none"/>
          <w:lang w:val="en-US" w:eastAsia="zh-CN"/>
        </w:rPr>
        <w:fldChar w:fldCharType="end"/>
      </w:r>
    </w:p>
    <w:p w14:paraId="6E6ADBB0">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_Toc1259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一、总  则</w:t>
      </w:r>
      <w:r>
        <w:tab/>
      </w:r>
      <w:r>
        <w:fldChar w:fldCharType="begin"/>
      </w:r>
      <w:r>
        <w:instrText xml:space="preserve"> PAGEREF _Toc1259 \h </w:instrText>
      </w:r>
      <w:r>
        <w:fldChar w:fldCharType="separate"/>
      </w:r>
      <w:r>
        <w:t>10</w:t>
      </w:r>
      <w:r>
        <w:fldChar w:fldCharType="end"/>
      </w:r>
      <w:r>
        <w:rPr>
          <w:rFonts w:hint="eastAsia" w:ascii="宋体" w:hAnsi="宋体" w:eastAsia="宋体" w:cs="宋体"/>
          <w:bCs/>
          <w:color w:val="auto"/>
          <w:szCs w:val="24"/>
          <w:highlight w:val="none"/>
          <w:lang w:val="en-US" w:eastAsia="zh-CN"/>
        </w:rPr>
        <w:fldChar w:fldCharType="end"/>
      </w:r>
    </w:p>
    <w:p w14:paraId="6BEC2BC8">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_Toc28213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 </w:t>
      </w:r>
      <w:r>
        <w:rPr>
          <w:rFonts w:hint="eastAsia" w:ascii="宋体" w:hAnsi="宋体" w:eastAsia="宋体" w:cs="宋体"/>
          <w:szCs w:val="24"/>
          <w:highlight w:val="none"/>
        </w:rPr>
        <w:t>项目概况</w:t>
      </w:r>
      <w:r>
        <w:tab/>
      </w:r>
      <w:r>
        <w:fldChar w:fldCharType="begin"/>
      </w:r>
      <w:r>
        <w:instrText xml:space="preserve"> PAGEREF _Toc28213 \h </w:instrText>
      </w:r>
      <w:r>
        <w:fldChar w:fldCharType="separate"/>
      </w:r>
      <w:r>
        <w:t>10</w:t>
      </w:r>
      <w:r>
        <w:fldChar w:fldCharType="end"/>
      </w:r>
      <w:r>
        <w:rPr>
          <w:rFonts w:hint="eastAsia" w:ascii="宋体" w:hAnsi="宋体" w:eastAsia="宋体" w:cs="宋体"/>
          <w:bCs/>
          <w:color w:val="auto"/>
          <w:szCs w:val="24"/>
          <w:highlight w:val="none"/>
          <w:lang w:val="en-US" w:eastAsia="zh-CN"/>
        </w:rPr>
        <w:fldChar w:fldCharType="end"/>
      </w:r>
    </w:p>
    <w:p w14:paraId="1F0CE9E2">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_Toc10949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 </w:t>
      </w:r>
      <w:r>
        <w:rPr>
          <w:rFonts w:hint="eastAsia" w:ascii="宋体" w:hAnsi="宋体" w:eastAsia="宋体" w:cs="宋体"/>
          <w:szCs w:val="24"/>
          <w:highlight w:val="none"/>
        </w:rPr>
        <w:t>资金来源</w:t>
      </w:r>
      <w:r>
        <w:tab/>
      </w:r>
      <w:r>
        <w:fldChar w:fldCharType="begin"/>
      </w:r>
      <w:r>
        <w:instrText xml:space="preserve"> PAGEREF _Toc10949 \h </w:instrText>
      </w:r>
      <w:r>
        <w:fldChar w:fldCharType="separate"/>
      </w:r>
      <w:r>
        <w:t>10</w:t>
      </w:r>
      <w:r>
        <w:fldChar w:fldCharType="end"/>
      </w:r>
      <w:r>
        <w:rPr>
          <w:rFonts w:hint="eastAsia" w:ascii="宋体" w:hAnsi="宋体" w:eastAsia="宋体" w:cs="宋体"/>
          <w:bCs/>
          <w:color w:val="auto"/>
          <w:szCs w:val="24"/>
          <w:highlight w:val="none"/>
          <w:lang w:val="en-US" w:eastAsia="zh-CN"/>
        </w:rPr>
        <w:fldChar w:fldCharType="end"/>
      </w:r>
    </w:p>
    <w:p w14:paraId="6D0D570D">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_Toc16642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3. </w:t>
      </w:r>
      <w:r>
        <w:rPr>
          <w:rFonts w:hint="eastAsia" w:ascii="宋体" w:hAnsi="宋体" w:eastAsia="宋体" w:cs="宋体"/>
          <w:szCs w:val="24"/>
          <w:highlight w:val="none"/>
        </w:rPr>
        <w:t>采购内容及合同履行期限</w:t>
      </w:r>
      <w:r>
        <w:tab/>
      </w:r>
      <w:r>
        <w:fldChar w:fldCharType="begin"/>
      </w:r>
      <w:r>
        <w:instrText xml:space="preserve"> PAGEREF _Toc16642 \h </w:instrText>
      </w:r>
      <w:r>
        <w:fldChar w:fldCharType="separate"/>
      </w:r>
      <w:r>
        <w:t>10</w:t>
      </w:r>
      <w:r>
        <w:fldChar w:fldCharType="end"/>
      </w:r>
      <w:r>
        <w:rPr>
          <w:rFonts w:hint="eastAsia" w:ascii="宋体" w:hAnsi="宋体" w:eastAsia="宋体" w:cs="宋体"/>
          <w:bCs/>
          <w:color w:val="auto"/>
          <w:szCs w:val="24"/>
          <w:highlight w:val="none"/>
          <w:lang w:val="en-US" w:eastAsia="zh-CN"/>
        </w:rPr>
        <w:fldChar w:fldCharType="end"/>
      </w:r>
    </w:p>
    <w:p w14:paraId="11ECFB34">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_Toc15090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4. </w:t>
      </w:r>
      <w:r>
        <w:rPr>
          <w:rFonts w:hint="eastAsia" w:ascii="宋体" w:hAnsi="宋体" w:eastAsia="宋体" w:cs="宋体"/>
          <w:szCs w:val="24"/>
          <w:highlight w:val="none"/>
        </w:rPr>
        <w:t>合格的</w:t>
      </w:r>
      <w:r>
        <w:rPr>
          <w:rFonts w:hint="eastAsia" w:ascii="宋体" w:hAnsi="宋体" w:eastAsia="宋体" w:cs="宋体"/>
          <w:szCs w:val="24"/>
          <w:highlight w:val="none"/>
          <w:lang w:eastAsia="zh-CN"/>
        </w:rPr>
        <w:t>投标人</w:t>
      </w:r>
      <w:r>
        <w:tab/>
      </w:r>
      <w:r>
        <w:fldChar w:fldCharType="begin"/>
      </w:r>
      <w:r>
        <w:instrText xml:space="preserve"> PAGEREF _Toc15090 \h </w:instrText>
      </w:r>
      <w:r>
        <w:fldChar w:fldCharType="separate"/>
      </w:r>
      <w:r>
        <w:t>10</w:t>
      </w:r>
      <w:r>
        <w:fldChar w:fldCharType="end"/>
      </w:r>
      <w:r>
        <w:rPr>
          <w:rFonts w:hint="eastAsia" w:ascii="宋体" w:hAnsi="宋体" w:eastAsia="宋体" w:cs="宋体"/>
          <w:bCs/>
          <w:color w:val="auto"/>
          <w:szCs w:val="24"/>
          <w:highlight w:val="none"/>
          <w:lang w:val="en-US" w:eastAsia="zh-CN"/>
        </w:rPr>
        <w:fldChar w:fldCharType="end"/>
      </w:r>
    </w:p>
    <w:p w14:paraId="1F204E60">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_Toc30170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5. </w:t>
      </w:r>
      <w:r>
        <w:rPr>
          <w:rFonts w:hint="eastAsia" w:ascii="宋体" w:hAnsi="宋体" w:eastAsia="宋体" w:cs="宋体"/>
          <w:szCs w:val="24"/>
          <w:highlight w:val="none"/>
        </w:rPr>
        <w:t>投标费用</w:t>
      </w:r>
      <w:r>
        <w:tab/>
      </w:r>
      <w:r>
        <w:fldChar w:fldCharType="begin"/>
      </w:r>
      <w:r>
        <w:instrText xml:space="preserve"> PAGEREF _Toc30170 \h </w:instrText>
      </w:r>
      <w:r>
        <w:fldChar w:fldCharType="separate"/>
      </w:r>
      <w:r>
        <w:t>11</w:t>
      </w:r>
      <w:r>
        <w:fldChar w:fldCharType="end"/>
      </w:r>
      <w:r>
        <w:rPr>
          <w:rFonts w:hint="eastAsia" w:ascii="宋体" w:hAnsi="宋体" w:eastAsia="宋体" w:cs="宋体"/>
          <w:bCs/>
          <w:color w:val="auto"/>
          <w:szCs w:val="24"/>
          <w:highlight w:val="none"/>
          <w:lang w:val="en-US" w:eastAsia="zh-CN"/>
        </w:rPr>
        <w:fldChar w:fldCharType="end"/>
      </w:r>
    </w:p>
    <w:p w14:paraId="7A6AD13C">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_Toc28393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6. </w:t>
      </w:r>
      <w:r>
        <w:rPr>
          <w:rFonts w:hint="eastAsia" w:ascii="宋体" w:hAnsi="宋体" w:eastAsia="宋体" w:cs="宋体"/>
          <w:szCs w:val="24"/>
          <w:highlight w:val="none"/>
        </w:rPr>
        <w:t>质疑和投诉</w:t>
      </w:r>
      <w:r>
        <w:tab/>
      </w:r>
      <w:r>
        <w:fldChar w:fldCharType="begin"/>
      </w:r>
      <w:r>
        <w:instrText xml:space="preserve"> PAGEREF _Toc28393 \h </w:instrText>
      </w:r>
      <w:r>
        <w:fldChar w:fldCharType="separate"/>
      </w:r>
      <w:r>
        <w:t>11</w:t>
      </w:r>
      <w:r>
        <w:fldChar w:fldCharType="end"/>
      </w:r>
      <w:r>
        <w:rPr>
          <w:rFonts w:hint="eastAsia" w:ascii="宋体" w:hAnsi="宋体" w:eastAsia="宋体" w:cs="宋体"/>
          <w:bCs/>
          <w:color w:val="auto"/>
          <w:szCs w:val="24"/>
          <w:highlight w:val="none"/>
          <w:lang w:val="en-US" w:eastAsia="zh-CN"/>
        </w:rPr>
        <w:fldChar w:fldCharType="end"/>
      </w:r>
    </w:p>
    <w:p w14:paraId="7078B343">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_Toc23192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二、招标文件</w:t>
      </w:r>
      <w:r>
        <w:tab/>
      </w:r>
      <w:r>
        <w:fldChar w:fldCharType="begin"/>
      </w:r>
      <w:r>
        <w:instrText xml:space="preserve"> PAGEREF _Toc23192 \h </w:instrText>
      </w:r>
      <w:r>
        <w:fldChar w:fldCharType="separate"/>
      </w:r>
      <w:r>
        <w:t>12</w:t>
      </w:r>
      <w:r>
        <w:fldChar w:fldCharType="end"/>
      </w:r>
      <w:r>
        <w:rPr>
          <w:rFonts w:hint="eastAsia" w:ascii="宋体" w:hAnsi="宋体" w:eastAsia="宋体" w:cs="宋体"/>
          <w:bCs/>
          <w:color w:val="auto"/>
          <w:szCs w:val="24"/>
          <w:highlight w:val="none"/>
          <w:lang w:val="en-US" w:eastAsia="zh-CN"/>
        </w:rPr>
        <w:fldChar w:fldCharType="end"/>
      </w:r>
    </w:p>
    <w:p w14:paraId="72BF2A8C">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_Toc22124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7. </w:t>
      </w:r>
      <w:r>
        <w:rPr>
          <w:rFonts w:hint="eastAsia" w:ascii="宋体" w:hAnsi="宋体" w:eastAsia="宋体" w:cs="宋体"/>
          <w:szCs w:val="24"/>
          <w:highlight w:val="none"/>
        </w:rPr>
        <w:t>招标文件构成</w:t>
      </w:r>
      <w:r>
        <w:tab/>
      </w:r>
      <w:r>
        <w:fldChar w:fldCharType="begin"/>
      </w:r>
      <w:r>
        <w:instrText xml:space="preserve"> PAGEREF _Toc22124 \h </w:instrText>
      </w:r>
      <w:r>
        <w:fldChar w:fldCharType="separate"/>
      </w:r>
      <w:r>
        <w:t>12</w:t>
      </w:r>
      <w:r>
        <w:fldChar w:fldCharType="end"/>
      </w:r>
      <w:r>
        <w:rPr>
          <w:rFonts w:hint="eastAsia" w:ascii="宋体" w:hAnsi="宋体" w:eastAsia="宋体" w:cs="宋体"/>
          <w:bCs/>
          <w:color w:val="auto"/>
          <w:szCs w:val="24"/>
          <w:highlight w:val="none"/>
          <w:lang w:val="en-US" w:eastAsia="zh-CN"/>
        </w:rPr>
        <w:fldChar w:fldCharType="end"/>
      </w:r>
    </w:p>
    <w:p w14:paraId="686CD2DC">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_Toc7162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8. </w:t>
      </w:r>
      <w:r>
        <w:rPr>
          <w:rFonts w:hint="eastAsia" w:ascii="宋体" w:hAnsi="宋体" w:eastAsia="宋体" w:cs="宋体"/>
          <w:szCs w:val="24"/>
          <w:highlight w:val="none"/>
        </w:rPr>
        <w:t>招标文件的澄清</w:t>
      </w:r>
      <w:r>
        <w:tab/>
      </w:r>
      <w:r>
        <w:fldChar w:fldCharType="begin"/>
      </w:r>
      <w:r>
        <w:instrText xml:space="preserve"> PAGEREF _Toc7162 \h </w:instrText>
      </w:r>
      <w:r>
        <w:fldChar w:fldCharType="separate"/>
      </w:r>
      <w:r>
        <w:t>13</w:t>
      </w:r>
      <w:r>
        <w:fldChar w:fldCharType="end"/>
      </w:r>
      <w:r>
        <w:rPr>
          <w:rFonts w:hint="eastAsia" w:ascii="宋体" w:hAnsi="宋体" w:eastAsia="宋体" w:cs="宋体"/>
          <w:bCs/>
          <w:color w:val="auto"/>
          <w:szCs w:val="24"/>
          <w:highlight w:val="none"/>
          <w:lang w:val="en-US" w:eastAsia="zh-CN"/>
        </w:rPr>
        <w:fldChar w:fldCharType="end"/>
      </w:r>
    </w:p>
    <w:p w14:paraId="2365B229">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_Toc32544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9. </w:t>
      </w:r>
      <w:r>
        <w:rPr>
          <w:rFonts w:hint="eastAsia" w:ascii="宋体" w:hAnsi="宋体" w:eastAsia="宋体" w:cs="宋体"/>
          <w:szCs w:val="24"/>
          <w:highlight w:val="none"/>
        </w:rPr>
        <w:t>招标文件的修改</w:t>
      </w:r>
      <w:r>
        <w:tab/>
      </w:r>
      <w:r>
        <w:fldChar w:fldCharType="begin"/>
      </w:r>
      <w:r>
        <w:instrText xml:space="preserve"> PAGEREF _Toc32544 \h </w:instrText>
      </w:r>
      <w:r>
        <w:fldChar w:fldCharType="separate"/>
      </w:r>
      <w:r>
        <w:t>13</w:t>
      </w:r>
      <w:r>
        <w:fldChar w:fldCharType="end"/>
      </w:r>
      <w:r>
        <w:rPr>
          <w:rFonts w:hint="eastAsia" w:ascii="宋体" w:hAnsi="宋体" w:eastAsia="宋体" w:cs="宋体"/>
          <w:bCs/>
          <w:color w:val="auto"/>
          <w:szCs w:val="24"/>
          <w:highlight w:val="none"/>
          <w:lang w:val="en-US" w:eastAsia="zh-CN"/>
        </w:rPr>
        <w:fldChar w:fldCharType="end"/>
      </w:r>
    </w:p>
    <w:p w14:paraId="098BF479">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_Toc23921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三、投标文件的编制</w:t>
      </w:r>
      <w:r>
        <w:tab/>
      </w:r>
      <w:r>
        <w:fldChar w:fldCharType="begin"/>
      </w:r>
      <w:r>
        <w:instrText xml:space="preserve"> PAGEREF _Toc23921 \h </w:instrText>
      </w:r>
      <w:r>
        <w:fldChar w:fldCharType="separate"/>
      </w:r>
      <w:r>
        <w:t>13</w:t>
      </w:r>
      <w:r>
        <w:fldChar w:fldCharType="end"/>
      </w:r>
      <w:r>
        <w:rPr>
          <w:rFonts w:hint="eastAsia" w:ascii="宋体" w:hAnsi="宋体" w:eastAsia="宋体" w:cs="宋体"/>
          <w:bCs/>
          <w:color w:val="auto"/>
          <w:szCs w:val="24"/>
          <w:highlight w:val="none"/>
          <w:lang w:val="en-US" w:eastAsia="zh-CN"/>
        </w:rPr>
        <w:fldChar w:fldCharType="end"/>
      </w:r>
    </w:p>
    <w:p w14:paraId="0B44C296">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_Toc421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10. </w:t>
      </w:r>
      <w:r>
        <w:rPr>
          <w:rFonts w:hint="eastAsia" w:ascii="宋体" w:hAnsi="宋体" w:eastAsia="宋体" w:cs="宋体"/>
          <w:szCs w:val="24"/>
          <w:highlight w:val="none"/>
        </w:rPr>
        <w:t>投标文件编写注意事项</w:t>
      </w:r>
      <w:r>
        <w:tab/>
      </w:r>
      <w:r>
        <w:fldChar w:fldCharType="begin"/>
      </w:r>
      <w:r>
        <w:instrText xml:space="preserve"> PAGEREF _Toc421 \h </w:instrText>
      </w:r>
      <w:r>
        <w:fldChar w:fldCharType="separate"/>
      </w:r>
      <w:r>
        <w:t>13</w:t>
      </w:r>
      <w:r>
        <w:fldChar w:fldCharType="end"/>
      </w:r>
      <w:r>
        <w:rPr>
          <w:rFonts w:hint="eastAsia" w:ascii="宋体" w:hAnsi="宋体" w:eastAsia="宋体" w:cs="宋体"/>
          <w:bCs/>
          <w:color w:val="auto"/>
          <w:szCs w:val="24"/>
          <w:highlight w:val="none"/>
          <w:lang w:val="en-US" w:eastAsia="zh-CN"/>
        </w:rPr>
        <w:fldChar w:fldCharType="end"/>
      </w:r>
    </w:p>
    <w:p w14:paraId="2E147E6F">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_Toc5185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11. </w:t>
      </w:r>
      <w:r>
        <w:rPr>
          <w:rFonts w:hint="eastAsia" w:ascii="宋体" w:hAnsi="宋体" w:eastAsia="宋体" w:cs="宋体"/>
          <w:szCs w:val="24"/>
          <w:highlight w:val="none"/>
        </w:rPr>
        <w:t>投标的语言及计量单位</w:t>
      </w:r>
      <w:r>
        <w:tab/>
      </w:r>
      <w:r>
        <w:fldChar w:fldCharType="begin"/>
      </w:r>
      <w:r>
        <w:instrText xml:space="preserve"> PAGEREF _Toc5185 \h </w:instrText>
      </w:r>
      <w:r>
        <w:fldChar w:fldCharType="separate"/>
      </w:r>
      <w:r>
        <w:t>13</w:t>
      </w:r>
      <w:r>
        <w:fldChar w:fldCharType="end"/>
      </w:r>
      <w:r>
        <w:rPr>
          <w:rFonts w:hint="eastAsia" w:ascii="宋体" w:hAnsi="宋体" w:eastAsia="宋体" w:cs="宋体"/>
          <w:bCs/>
          <w:color w:val="auto"/>
          <w:szCs w:val="24"/>
          <w:highlight w:val="none"/>
          <w:lang w:val="en-US" w:eastAsia="zh-CN"/>
        </w:rPr>
        <w:fldChar w:fldCharType="end"/>
      </w:r>
    </w:p>
    <w:p w14:paraId="295DE3A5">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_Toc26801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12. </w:t>
      </w:r>
      <w:r>
        <w:rPr>
          <w:rFonts w:hint="eastAsia" w:ascii="宋体" w:hAnsi="宋体" w:eastAsia="宋体" w:cs="宋体"/>
          <w:szCs w:val="24"/>
          <w:highlight w:val="none"/>
        </w:rPr>
        <w:t>投标文件构成</w:t>
      </w:r>
      <w:r>
        <w:tab/>
      </w:r>
      <w:r>
        <w:fldChar w:fldCharType="begin"/>
      </w:r>
      <w:r>
        <w:instrText xml:space="preserve"> PAGEREF _Toc26801 \h </w:instrText>
      </w:r>
      <w:r>
        <w:fldChar w:fldCharType="separate"/>
      </w:r>
      <w:r>
        <w:t>14</w:t>
      </w:r>
      <w:r>
        <w:fldChar w:fldCharType="end"/>
      </w:r>
      <w:r>
        <w:rPr>
          <w:rFonts w:hint="eastAsia" w:ascii="宋体" w:hAnsi="宋体" w:eastAsia="宋体" w:cs="宋体"/>
          <w:bCs/>
          <w:color w:val="auto"/>
          <w:szCs w:val="24"/>
          <w:highlight w:val="none"/>
          <w:lang w:val="en-US" w:eastAsia="zh-CN"/>
        </w:rPr>
        <w:fldChar w:fldCharType="end"/>
      </w:r>
    </w:p>
    <w:p w14:paraId="49411BA2">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_Toc26825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13. </w:t>
      </w:r>
      <w:r>
        <w:rPr>
          <w:rFonts w:hint="eastAsia" w:ascii="宋体" w:hAnsi="宋体" w:eastAsia="宋体" w:cs="宋体"/>
          <w:szCs w:val="24"/>
          <w:highlight w:val="none"/>
        </w:rPr>
        <w:t>投标文件的格式要求</w:t>
      </w:r>
      <w:r>
        <w:tab/>
      </w:r>
      <w:r>
        <w:fldChar w:fldCharType="begin"/>
      </w:r>
      <w:r>
        <w:instrText xml:space="preserve"> PAGEREF _Toc26825 \h </w:instrText>
      </w:r>
      <w:r>
        <w:fldChar w:fldCharType="separate"/>
      </w:r>
      <w:r>
        <w:t>14</w:t>
      </w:r>
      <w:r>
        <w:fldChar w:fldCharType="end"/>
      </w:r>
      <w:r>
        <w:rPr>
          <w:rFonts w:hint="eastAsia" w:ascii="宋体" w:hAnsi="宋体" w:eastAsia="宋体" w:cs="宋体"/>
          <w:bCs/>
          <w:color w:val="auto"/>
          <w:szCs w:val="24"/>
          <w:highlight w:val="none"/>
          <w:lang w:val="en-US" w:eastAsia="zh-CN"/>
        </w:rPr>
        <w:fldChar w:fldCharType="end"/>
      </w:r>
    </w:p>
    <w:p w14:paraId="5D238D46">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_Toc18872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14. </w:t>
      </w:r>
      <w:r>
        <w:rPr>
          <w:rFonts w:hint="eastAsia" w:ascii="宋体" w:hAnsi="宋体" w:eastAsia="宋体" w:cs="宋体"/>
          <w:szCs w:val="24"/>
          <w:highlight w:val="none"/>
        </w:rPr>
        <w:t>投标报价</w:t>
      </w:r>
      <w:r>
        <w:tab/>
      </w:r>
      <w:r>
        <w:fldChar w:fldCharType="begin"/>
      </w:r>
      <w:r>
        <w:instrText xml:space="preserve"> PAGEREF _Toc18872 \h </w:instrText>
      </w:r>
      <w:r>
        <w:fldChar w:fldCharType="separate"/>
      </w:r>
      <w:r>
        <w:t>14</w:t>
      </w:r>
      <w:r>
        <w:fldChar w:fldCharType="end"/>
      </w:r>
      <w:r>
        <w:rPr>
          <w:rFonts w:hint="eastAsia" w:ascii="宋体" w:hAnsi="宋体" w:eastAsia="宋体" w:cs="宋体"/>
          <w:bCs/>
          <w:color w:val="auto"/>
          <w:szCs w:val="24"/>
          <w:highlight w:val="none"/>
          <w:lang w:val="en-US" w:eastAsia="zh-CN"/>
        </w:rPr>
        <w:fldChar w:fldCharType="end"/>
      </w:r>
    </w:p>
    <w:p w14:paraId="7B76CE06">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_Toc14064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15. </w:t>
      </w:r>
      <w:r>
        <w:rPr>
          <w:rFonts w:hint="eastAsia" w:ascii="宋体" w:hAnsi="宋体" w:eastAsia="宋体" w:cs="宋体"/>
          <w:szCs w:val="24"/>
          <w:highlight w:val="none"/>
        </w:rPr>
        <w:t>投标货币</w:t>
      </w:r>
      <w:r>
        <w:tab/>
      </w:r>
      <w:r>
        <w:fldChar w:fldCharType="begin"/>
      </w:r>
      <w:r>
        <w:instrText xml:space="preserve"> PAGEREF _Toc14064 \h </w:instrText>
      </w:r>
      <w:r>
        <w:fldChar w:fldCharType="separate"/>
      </w:r>
      <w:r>
        <w:t>14</w:t>
      </w:r>
      <w:r>
        <w:fldChar w:fldCharType="end"/>
      </w:r>
      <w:r>
        <w:rPr>
          <w:rFonts w:hint="eastAsia" w:ascii="宋体" w:hAnsi="宋体" w:eastAsia="宋体" w:cs="宋体"/>
          <w:bCs/>
          <w:color w:val="auto"/>
          <w:szCs w:val="24"/>
          <w:highlight w:val="none"/>
          <w:lang w:val="en-US" w:eastAsia="zh-CN"/>
        </w:rPr>
        <w:fldChar w:fldCharType="end"/>
      </w:r>
    </w:p>
    <w:p w14:paraId="5862EC45">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_Toc25643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16. </w:t>
      </w:r>
      <w:r>
        <w:rPr>
          <w:rFonts w:hint="eastAsia" w:ascii="宋体" w:hAnsi="宋体" w:eastAsia="宋体" w:cs="宋体"/>
          <w:szCs w:val="24"/>
          <w:highlight w:val="none"/>
        </w:rPr>
        <w:t>投标有效期</w:t>
      </w:r>
      <w:r>
        <w:tab/>
      </w:r>
      <w:r>
        <w:fldChar w:fldCharType="begin"/>
      </w:r>
      <w:r>
        <w:instrText xml:space="preserve"> PAGEREF _Toc25643 \h </w:instrText>
      </w:r>
      <w:r>
        <w:fldChar w:fldCharType="separate"/>
      </w:r>
      <w:r>
        <w:t>14</w:t>
      </w:r>
      <w:r>
        <w:fldChar w:fldCharType="end"/>
      </w:r>
      <w:r>
        <w:rPr>
          <w:rFonts w:hint="eastAsia" w:ascii="宋体" w:hAnsi="宋体" w:eastAsia="宋体" w:cs="宋体"/>
          <w:bCs/>
          <w:color w:val="auto"/>
          <w:szCs w:val="24"/>
          <w:highlight w:val="none"/>
          <w:lang w:val="en-US" w:eastAsia="zh-CN"/>
        </w:rPr>
        <w:fldChar w:fldCharType="end"/>
      </w:r>
    </w:p>
    <w:p w14:paraId="1B4D23E2">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_Toc20227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17. </w:t>
      </w:r>
      <w:r>
        <w:rPr>
          <w:rFonts w:hint="eastAsia" w:ascii="宋体" w:hAnsi="宋体" w:eastAsia="宋体" w:cs="宋体"/>
          <w:szCs w:val="24"/>
          <w:highlight w:val="none"/>
        </w:rPr>
        <w:t>投标文件的签章及递交要求</w:t>
      </w:r>
      <w:r>
        <w:tab/>
      </w:r>
      <w:r>
        <w:fldChar w:fldCharType="begin"/>
      </w:r>
      <w:r>
        <w:instrText xml:space="preserve"> PAGEREF _Toc20227 \h </w:instrText>
      </w:r>
      <w:r>
        <w:fldChar w:fldCharType="separate"/>
      </w:r>
      <w:r>
        <w:t>14</w:t>
      </w:r>
      <w:r>
        <w:fldChar w:fldCharType="end"/>
      </w:r>
      <w:r>
        <w:rPr>
          <w:rFonts w:hint="eastAsia" w:ascii="宋体" w:hAnsi="宋体" w:eastAsia="宋体" w:cs="宋体"/>
          <w:bCs/>
          <w:color w:val="auto"/>
          <w:szCs w:val="24"/>
          <w:highlight w:val="none"/>
          <w:lang w:val="en-US" w:eastAsia="zh-CN"/>
        </w:rPr>
        <w:fldChar w:fldCharType="end"/>
      </w:r>
    </w:p>
    <w:p w14:paraId="4C750E9D">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_Toc851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18. </w:t>
      </w:r>
      <w:r>
        <w:rPr>
          <w:rFonts w:hint="eastAsia" w:ascii="宋体" w:hAnsi="宋体" w:eastAsia="宋体" w:cs="宋体"/>
          <w:szCs w:val="24"/>
          <w:highlight w:val="none"/>
        </w:rPr>
        <w:t>投标保证金</w:t>
      </w:r>
      <w:r>
        <w:tab/>
      </w:r>
      <w:r>
        <w:fldChar w:fldCharType="begin"/>
      </w:r>
      <w:r>
        <w:instrText xml:space="preserve"> PAGEREF _Toc851 \h </w:instrText>
      </w:r>
      <w:r>
        <w:fldChar w:fldCharType="separate"/>
      </w:r>
      <w:r>
        <w:t>15</w:t>
      </w:r>
      <w:r>
        <w:fldChar w:fldCharType="end"/>
      </w:r>
      <w:r>
        <w:rPr>
          <w:rFonts w:hint="eastAsia" w:ascii="宋体" w:hAnsi="宋体" w:eastAsia="宋体" w:cs="宋体"/>
          <w:bCs/>
          <w:color w:val="auto"/>
          <w:szCs w:val="24"/>
          <w:highlight w:val="none"/>
          <w:lang w:val="en-US" w:eastAsia="zh-CN"/>
        </w:rPr>
        <w:fldChar w:fldCharType="end"/>
      </w:r>
    </w:p>
    <w:p w14:paraId="71F4BE8C">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_Toc25229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四、投标文件的提交</w:t>
      </w:r>
      <w:r>
        <w:tab/>
      </w:r>
      <w:r>
        <w:fldChar w:fldCharType="begin"/>
      </w:r>
      <w:r>
        <w:instrText xml:space="preserve"> PAGEREF _Toc25229 \h </w:instrText>
      </w:r>
      <w:r>
        <w:fldChar w:fldCharType="separate"/>
      </w:r>
      <w:r>
        <w:t>15</w:t>
      </w:r>
      <w:r>
        <w:fldChar w:fldCharType="end"/>
      </w:r>
      <w:r>
        <w:rPr>
          <w:rFonts w:hint="eastAsia" w:ascii="宋体" w:hAnsi="宋体" w:eastAsia="宋体" w:cs="宋体"/>
          <w:bCs/>
          <w:color w:val="auto"/>
          <w:szCs w:val="24"/>
          <w:highlight w:val="none"/>
          <w:lang w:val="en-US" w:eastAsia="zh-CN"/>
        </w:rPr>
        <w:fldChar w:fldCharType="end"/>
      </w:r>
    </w:p>
    <w:p w14:paraId="2AD5ED0F">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_Toc76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19. </w:t>
      </w:r>
      <w:r>
        <w:rPr>
          <w:rFonts w:hint="eastAsia" w:ascii="宋体" w:hAnsi="宋体" w:eastAsia="宋体" w:cs="宋体"/>
          <w:szCs w:val="24"/>
          <w:highlight w:val="none"/>
        </w:rPr>
        <w:t>投标文件的加密</w:t>
      </w:r>
      <w:r>
        <w:tab/>
      </w:r>
      <w:r>
        <w:fldChar w:fldCharType="begin"/>
      </w:r>
      <w:r>
        <w:instrText xml:space="preserve"> PAGEREF _Toc76 \h </w:instrText>
      </w:r>
      <w:r>
        <w:fldChar w:fldCharType="separate"/>
      </w:r>
      <w:r>
        <w:t>15</w:t>
      </w:r>
      <w:r>
        <w:fldChar w:fldCharType="end"/>
      </w:r>
      <w:r>
        <w:rPr>
          <w:rFonts w:hint="eastAsia" w:ascii="宋体" w:hAnsi="宋体" w:eastAsia="宋体" w:cs="宋体"/>
          <w:bCs/>
          <w:color w:val="auto"/>
          <w:szCs w:val="24"/>
          <w:highlight w:val="none"/>
          <w:lang w:val="en-US" w:eastAsia="zh-CN"/>
        </w:rPr>
        <w:fldChar w:fldCharType="end"/>
      </w:r>
    </w:p>
    <w:p w14:paraId="5E6785B8">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_Toc9461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20. </w:t>
      </w:r>
      <w:r>
        <w:rPr>
          <w:rFonts w:hint="eastAsia" w:ascii="宋体" w:hAnsi="宋体" w:eastAsia="宋体" w:cs="宋体"/>
          <w:szCs w:val="24"/>
          <w:highlight w:val="none"/>
        </w:rPr>
        <w:t>提交投标文件的截止时间和地点</w:t>
      </w:r>
      <w:r>
        <w:tab/>
      </w:r>
      <w:r>
        <w:fldChar w:fldCharType="begin"/>
      </w:r>
      <w:r>
        <w:instrText xml:space="preserve"> PAGEREF _Toc9461 \h </w:instrText>
      </w:r>
      <w:r>
        <w:fldChar w:fldCharType="separate"/>
      </w:r>
      <w:r>
        <w:t>15</w:t>
      </w:r>
      <w:r>
        <w:fldChar w:fldCharType="end"/>
      </w:r>
      <w:r>
        <w:rPr>
          <w:rFonts w:hint="eastAsia" w:ascii="宋体" w:hAnsi="宋体" w:eastAsia="宋体" w:cs="宋体"/>
          <w:bCs/>
          <w:color w:val="auto"/>
          <w:szCs w:val="24"/>
          <w:highlight w:val="none"/>
          <w:lang w:val="en-US" w:eastAsia="zh-CN"/>
        </w:rPr>
        <w:fldChar w:fldCharType="end"/>
      </w:r>
    </w:p>
    <w:p w14:paraId="39F916A9">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_Toc27834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五、开标与评标</w:t>
      </w:r>
      <w:r>
        <w:tab/>
      </w:r>
      <w:r>
        <w:fldChar w:fldCharType="begin"/>
      </w:r>
      <w:r>
        <w:instrText xml:space="preserve"> PAGEREF _Toc27834 \h </w:instrText>
      </w:r>
      <w:r>
        <w:fldChar w:fldCharType="separate"/>
      </w:r>
      <w:r>
        <w:t>15</w:t>
      </w:r>
      <w:r>
        <w:fldChar w:fldCharType="end"/>
      </w:r>
      <w:r>
        <w:rPr>
          <w:rFonts w:hint="eastAsia" w:ascii="宋体" w:hAnsi="宋体" w:eastAsia="宋体" w:cs="宋体"/>
          <w:bCs/>
          <w:color w:val="auto"/>
          <w:szCs w:val="24"/>
          <w:highlight w:val="none"/>
          <w:lang w:val="en-US" w:eastAsia="zh-CN"/>
        </w:rPr>
        <w:fldChar w:fldCharType="end"/>
      </w:r>
    </w:p>
    <w:p w14:paraId="55D69851">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_Toc9689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21. </w:t>
      </w:r>
      <w:r>
        <w:rPr>
          <w:rFonts w:hint="eastAsia" w:ascii="宋体" w:hAnsi="宋体" w:eastAsia="宋体" w:cs="宋体"/>
          <w:szCs w:val="24"/>
          <w:highlight w:val="none"/>
        </w:rPr>
        <w:t>开标</w:t>
      </w:r>
      <w:r>
        <w:tab/>
      </w:r>
      <w:r>
        <w:fldChar w:fldCharType="begin"/>
      </w:r>
      <w:r>
        <w:instrText xml:space="preserve"> PAGEREF _Toc9689 \h </w:instrText>
      </w:r>
      <w:r>
        <w:fldChar w:fldCharType="separate"/>
      </w:r>
      <w:r>
        <w:t>16</w:t>
      </w:r>
      <w:r>
        <w:fldChar w:fldCharType="end"/>
      </w:r>
      <w:r>
        <w:rPr>
          <w:rFonts w:hint="eastAsia" w:ascii="宋体" w:hAnsi="宋体" w:eastAsia="宋体" w:cs="宋体"/>
          <w:bCs/>
          <w:color w:val="auto"/>
          <w:szCs w:val="24"/>
          <w:highlight w:val="none"/>
          <w:lang w:val="en-US" w:eastAsia="zh-CN"/>
        </w:rPr>
        <w:fldChar w:fldCharType="end"/>
      </w:r>
    </w:p>
    <w:p w14:paraId="477F9D7B">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_Toc29730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22. </w:t>
      </w:r>
      <w:r>
        <w:rPr>
          <w:rFonts w:hint="eastAsia" w:ascii="宋体" w:hAnsi="宋体" w:eastAsia="宋体" w:cs="宋体"/>
          <w:szCs w:val="24"/>
          <w:highlight w:val="none"/>
        </w:rPr>
        <w:t>评标</w:t>
      </w:r>
      <w:r>
        <w:tab/>
      </w:r>
      <w:r>
        <w:fldChar w:fldCharType="begin"/>
      </w:r>
      <w:r>
        <w:instrText xml:space="preserve"> PAGEREF _Toc29730 \h </w:instrText>
      </w:r>
      <w:r>
        <w:fldChar w:fldCharType="separate"/>
      </w:r>
      <w:r>
        <w:t>16</w:t>
      </w:r>
      <w:r>
        <w:fldChar w:fldCharType="end"/>
      </w:r>
      <w:r>
        <w:rPr>
          <w:rFonts w:hint="eastAsia" w:ascii="宋体" w:hAnsi="宋体" w:eastAsia="宋体" w:cs="宋体"/>
          <w:bCs/>
          <w:color w:val="auto"/>
          <w:szCs w:val="24"/>
          <w:highlight w:val="none"/>
          <w:lang w:val="en-US" w:eastAsia="zh-CN"/>
        </w:rPr>
        <w:fldChar w:fldCharType="end"/>
      </w:r>
    </w:p>
    <w:p w14:paraId="46335CFF">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_Toc23431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23. </w:t>
      </w:r>
      <w:r>
        <w:rPr>
          <w:rFonts w:hint="eastAsia" w:ascii="宋体" w:hAnsi="宋体" w:eastAsia="宋体" w:cs="宋体"/>
          <w:szCs w:val="24"/>
          <w:highlight w:val="none"/>
        </w:rPr>
        <w:t>评标过程的保密</w:t>
      </w:r>
      <w:r>
        <w:tab/>
      </w:r>
      <w:r>
        <w:fldChar w:fldCharType="begin"/>
      </w:r>
      <w:r>
        <w:instrText xml:space="preserve"> PAGEREF _Toc23431 \h </w:instrText>
      </w:r>
      <w:r>
        <w:fldChar w:fldCharType="separate"/>
      </w:r>
      <w:r>
        <w:t>17</w:t>
      </w:r>
      <w:r>
        <w:fldChar w:fldCharType="end"/>
      </w:r>
      <w:r>
        <w:rPr>
          <w:rFonts w:hint="eastAsia" w:ascii="宋体" w:hAnsi="宋体" w:eastAsia="宋体" w:cs="宋体"/>
          <w:bCs/>
          <w:color w:val="auto"/>
          <w:szCs w:val="24"/>
          <w:highlight w:val="none"/>
          <w:lang w:val="en-US" w:eastAsia="zh-CN"/>
        </w:rPr>
        <w:fldChar w:fldCharType="end"/>
      </w:r>
    </w:p>
    <w:p w14:paraId="48C815A3">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_Toc12559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24. </w:t>
      </w:r>
      <w:r>
        <w:rPr>
          <w:rFonts w:hint="eastAsia" w:ascii="宋体" w:hAnsi="宋体" w:eastAsia="宋体" w:cs="宋体"/>
          <w:szCs w:val="24"/>
          <w:highlight w:val="none"/>
        </w:rPr>
        <w:t>在招标采购中，出现下列情形之一的，项目废标：</w:t>
      </w:r>
      <w:r>
        <w:tab/>
      </w:r>
      <w:r>
        <w:fldChar w:fldCharType="begin"/>
      </w:r>
      <w:r>
        <w:instrText xml:space="preserve"> PAGEREF _Toc12559 \h </w:instrText>
      </w:r>
      <w:r>
        <w:fldChar w:fldCharType="separate"/>
      </w:r>
      <w:r>
        <w:t>18</w:t>
      </w:r>
      <w:r>
        <w:fldChar w:fldCharType="end"/>
      </w:r>
      <w:r>
        <w:rPr>
          <w:rFonts w:hint="eastAsia" w:ascii="宋体" w:hAnsi="宋体" w:eastAsia="宋体" w:cs="宋体"/>
          <w:bCs/>
          <w:color w:val="auto"/>
          <w:szCs w:val="24"/>
          <w:highlight w:val="none"/>
          <w:lang w:val="en-US" w:eastAsia="zh-CN"/>
        </w:rPr>
        <w:fldChar w:fldCharType="end"/>
      </w:r>
    </w:p>
    <w:p w14:paraId="7D428770">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_Toc17923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六、中标结果</w:t>
      </w:r>
      <w:r>
        <w:tab/>
      </w:r>
      <w:r>
        <w:fldChar w:fldCharType="begin"/>
      </w:r>
      <w:r>
        <w:instrText xml:space="preserve"> PAGEREF _Toc17923 \h </w:instrText>
      </w:r>
      <w:r>
        <w:fldChar w:fldCharType="separate"/>
      </w:r>
      <w:r>
        <w:t>18</w:t>
      </w:r>
      <w:r>
        <w:fldChar w:fldCharType="end"/>
      </w:r>
      <w:r>
        <w:rPr>
          <w:rFonts w:hint="eastAsia" w:ascii="宋体" w:hAnsi="宋体" w:eastAsia="宋体" w:cs="宋体"/>
          <w:bCs/>
          <w:color w:val="auto"/>
          <w:szCs w:val="24"/>
          <w:highlight w:val="none"/>
          <w:lang w:val="en-US" w:eastAsia="zh-CN"/>
        </w:rPr>
        <w:fldChar w:fldCharType="end"/>
      </w:r>
    </w:p>
    <w:p w14:paraId="66D826FB">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_Toc23664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25. </w:t>
      </w:r>
      <w:r>
        <w:rPr>
          <w:rFonts w:hint="eastAsia" w:ascii="宋体" w:hAnsi="宋体" w:eastAsia="宋体" w:cs="宋体"/>
          <w:szCs w:val="24"/>
          <w:highlight w:val="none"/>
        </w:rPr>
        <w:t>中标人的确定</w:t>
      </w:r>
      <w:r>
        <w:tab/>
      </w:r>
      <w:r>
        <w:fldChar w:fldCharType="begin"/>
      </w:r>
      <w:r>
        <w:instrText xml:space="preserve"> PAGEREF _Toc23664 \h </w:instrText>
      </w:r>
      <w:r>
        <w:fldChar w:fldCharType="separate"/>
      </w:r>
      <w:r>
        <w:t>18</w:t>
      </w:r>
      <w:r>
        <w:fldChar w:fldCharType="end"/>
      </w:r>
      <w:r>
        <w:rPr>
          <w:rFonts w:hint="eastAsia" w:ascii="宋体" w:hAnsi="宋体" w:eastAsia="宋体" w:cs="宋体"/>
          <w:bCs/>
          <w:color w:val="auto"/>
          <w:szCs w:val="24"/>
          <w:highlight w:val="none"/>
          <w:lang w:val="en-US" w:eastAsia="zh-CN"/>
        </w:rPr>
        <w:fldChar w:fldCharType="end"/>
      </w:r>
    </w:p>
    <w:p w14:paraId="14605A03">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_Toc6012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26. </w:t>
      </w:r>
      <w:r>
        <w:rPr>
          <w:rFonts w:hint="eastAsia" w:ascii="宋体" w:hAnsi="宋体" w:eastAsia="宋体" w:cs="宋体"/>
          <w:szCs w:val="24"/>
          <w:highlight w:val="none"/>
        </w:rPr>
        <w:t>中标通知书</w:t>
      </w:r>
      <w:r>
        <w:tab/>
      </w:r>
      <w:r>
        <w:fldChar w:fldCharType="begin"/>
      </w:r>
      <w:r>
        <w:instrText xml:space="preserve"> PAGEREF _Toc6012 \h </w:instrText>
      </w:r>
      <w:r>
        <w:fldChar w:fldCharType="separate"/>
      </w:r>
      <w:r>
        <w:t>18</w:t>
      </w:r>
      <w:r>
        <w:fldChar w:fldCharType="end"/>
      </w:r>
      <w:r>
        <w:rPr>
          <w:rFonts w:hint="eastAsia" w:ascii="宋体" w:hAnsi="宋体" w:eastAsia="宋体" w:cs="宋体"/>
          <w:bCs/>
          <w:color w:val="auto"/>
          <w:szCs w:val="24"/>
          <w:highlight w:val="none"/>
          <w:lang w:val="en-US" w:eastAsia="zh-CN"/>
        </w:rPr>
        <w:fldChar w:fldCharType="end"/>
      </w:r>
    </w:p>
    <w:p w14:paraId="65F18A33">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_Toc12496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27. </w:t>
      </w:r>
      <w:r>
        <w:rPr>
          <w:rFonts w:hint="eastAsia" w:ascii="宋体" w:hAnsi="宋体" w:eastAsia="宋体" w:cs="宋体"/>
          <w:szCs w:val="24"/>
          <w:highlight w:val="none"/>
        </w:rPr>
        <w:t>签订合同</w:t>
      </w:r>
      <w:r>
        <w:tab/>
      </w:r>
      <w:r>
        <w:fldChar w:fldCharType="begin"/>
      </w:r>
      <w:r>
        <w:instrText xml:space="preserve"> PAGEREF _Toc12496 \h </w:instrText>
      </w:r>
      <w:r>
        <w:fldChar w:fldCharType="separate"/>
      </w:r>
      <w:r>
        <w:t>18</w:t>
      </w:r>
      <w:r>
        <w:fldChar w:fldCharType="end"/>
      </w:r>
      <w:r>
        <w:rPr>
          <w:rFonts w:hint="eastAsia" w:ascii="宋体" w:hAnsi="宋体" w:eastAsia="宋体" w:cs="宋体"/>
          <w:bCs/>
          <w:color w:val="auto"/>
          <w:szCs w:val="24"/>
          <w:highlight w:val="none"/>
          <w:lang w:val="en-US" w:eastAsia="zh-CN"/>
        </w:rPr>
        <w:fldChar w:fldCharType="end"/>
      </w:r>
    </w:p>
    <w:p w14:paraId="57734D57">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_Toc29979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28. </w:t>
      </w:r>
      <w:r>
        <w:rPr>
          <w:rFonts w:hint="eastAsia" w:ascii="宋体" w:hAnsi="宋体" w:eastAsia="宋体" w:cs="宋体"/>
          <w:szCs w:val="24"/>
          <w:highlight w:val="none"/>
        </w:rPr>
        <w:t>履约保证金</w:t>
      </w:r>
      <w:r>
        <w:tab/>
      </w:r>
      <w:r>
        <w:fldChar w:fldCharType="begin"/>
      </w:r>
      <w:r>
        <w:instrText xml:space="preserve"> PAGEREF _Toc29979 \h </w:instrText>
      </w:r>
      <w:r>
        <w:fldChar w:fldCharType="separate"/>
      </w:r>
      <w:r>
        <w:t>18</w:t>
      </w:r>
      <w:r>
        <w:fldChar w:fldCharType="end"/>
      </w:r>
      <w:r>
        <w:rPr>
          <w:rFonts w:hint="eastAsia" w:ascii="宋体" w:hAnsi="宋体" w:eastAsia="宋体" w:cs="宋体"/>
          <w:bCs/>
          <w:color w:val="auto"/>
          <w:szCs w:val="24"/>
          <w:highlight w:val="none"/>
          <w:lang w:val="en-US" w:eastAsia="zh-CN"/>
        </w:rPr>
        <w:fldChar w:fldCharType="end"/>
      </w:r>
    </w:p>
    <w:p w14:paraId="06463CBA">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_Toc26707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七、其他事项</w:t>
      </w:r>
      <w:r>
        <w:tab/>
      </w:r>
      <w:r>
        <w:fldChar w:fldCharType="begin"/>
      </w:r>
      <w:r>
        <w:instrText xml:space="preserve"> PAGEREF _Toc26707 \h </w:instrText>
      </w:r>
      <w:r>
        <w:fldChar w:fldCharType="separate"/>
      </w:r>
      <w:r>
        <w:t>18</w:t>
      </w:r>
      <w:r>
        <w:fldChar w:fldCharType="end"/>
      </w:r>
      <w:r>
        <w:rPr>
          <w:rFonts w:hint="eastAsia" w:ascii="宋体" w:hAnsi="宋体" w:eastAsia="宋体" w:cs="宋体"/>
          <w:bCs/>
          <w:color w:val="auto"/>
          <w:szCs w:val="24"/>
          <w:highlight w:val="none"/>
          <w:lang w:val="en-US" w:eastAsia="zh-CN"/>
        </w:rPr>
        <w:fldChar w:fldCharType="end"/>
      </w:r>
    </w:p>
    <w:p w14:paraId="3E7F0F62">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_Toc15247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29. </w:t>
      </w:r>
      <w:r>
        <w:rPr>
          <w:rFonts w:hint="eastAsia" w:ascii="宋体" w:hAnsi="宋体" w:eastAsia="宋体" w:cs="宋体"/>
          <w:szCs w:val="24"/>
          <w:highlight w:val="none"/>
        </w:rPr>
        <w:t>中标服务费</w:t>
      </w:r>
      <w:r>
        <w:tab/>
      </w:r>
      <w:r>
        <w:fldChar w:fldCharType="begin"/>
      </w:r>
      <w:r>
        <w:instrText xml:space="preserve"> PAGEREF _Toc15247 \h </w:instrText>
      </w:r>
      <w:r>
        <w:fldChar w:fldCharType="separate"/>
      </w:r>
      <w:r>
        <w:t>19</w:t>
      </w:r>
      <w:r>
        <w:fldChar w:fldCharType="end"/>
      </w:r>
      <w:r>
        <w:rPr>
          <w:rFonts w:hint="eastAsia" w:ascii="宋体" w:hAnsi="宋体" w:eastAsia="宋体" w:cs="宋体"/>
          <w:bCs/>
          <w:color w:val="auto"/>
          <w:szCs w:val="24"/>
          <w:highlight w:val="none"/>
          <w:lang w:val="en-US" w:eastAsia="zh-CN"/>
        </w:rPr>
        <w:fldChar w:fldCharType="end"/>
      </w:r>
    </w:p>
    <w:p w14:paraId="6D82265F">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_Toc13217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30. </w:t>
      </w:r>
      <w:r>
        <w:rPr>
          <w:rFonts w:hint="eastAsia" w:ascii="宋体" w:hAnsi="宋体" w:eastAsia="宋体" w:cs="宋体"/>
          <w:szCs w:val="24"/>
          <w:highlight w:val="none"/>
        </w:rPr>
        <w:t>解释权</w:t>
      </w:r>
      <w:r>
        <w:tab/>
      </w:r>
      <w:r>
        <w:fldChar w:fldCharType="begin"/>
      </w:r>
      <w:r>
        <w:instrText xml:space="preserve"> PAGEREF _Toc13217 \h </w:instrText>
      </w:r>
      <w:r>
        <w:fldChar w:fldCharType="separate"/>
      </w:r>
      <w:r>
        <w:t>19</w:t>
      </w:r>
      <w:r>
        <w:fldChar w:fldCharType="end"/>
      </w:r>
      <w:r>
        <w:rPr>
          <w:rFonts w:hint="eastAsia" w:ascii="宋体" w:hAnsi="宋体" w:eastAsia="宋体" w:cs="宋体"/>
          <w:bCs/>
          <w:color w:val="auto"/>
          <w:szCs w:val="24"/>
          <w:highlight w:val="none"/>
          <w:lang w:val="en-US" w:eastAsia="zh-CN"/>
        </w:rPr>
        <w:fldChar w:fldCharType="end"/>
      </w:r>
    </w:p>
    <w:p w14:paraId="69243313">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_Toc19657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24"/>
        </w:rPr>
        <w:t xml:space="preserve">31. </w:t>
      </w:r>
      <w:r>
        <w:rPr>
          <w:rFonts w:hint="eastAsia" w:ascii="宋体" w:hAnsi="宋体" w:eastAsia="宋体" w:cs="宋体"/>
          <w:szCs w:val="24"/>
          <w:highlight w:val="none"/>
        </w:rPr>
        <w:t>需要补充的其他内容</w:t>
      </w:r>
      <w:r>
        <w:tab/>
      </w:r>
      <w:r>
        <w:fldChar w:fldCharType="begin"/>
      </w:r>
      <w:r>
        <w:instrText xml:space="preserve"> PAGEREF _Toc19657 \h </w:instrText>
      </w:r>
      <w:r>
        <w:fldChar w:fldCharType="separate"/>
      </w:r>
      <w:r>
        <w:t>19</w:t>
      </w:r>
      <w:r>
        <w:fldChar w:fldCharType="end"/>
      </w:r>
      <w:r>
        <w:rPr>
          <w:rFonts w:hint="eastAsia" w:ascii="宋体" w:hAnsi="宋体" w:eastAsia="宋体" w:cs="宋体"/>
          <w:bCs/>
          <w:color w:val="auto"/>
          <w:szCs w:val="24"/>
          <w:highlight w:val="none"/>
          <w:lang w:val="en-US" w:eastAsia="zh-CN"/>
        </w:rPr>
        <w:fldChar w:fldCharType="end"/>
      </w:r>
    </w:p>
    <w:p w14:paraId="3F54B5B7">
      <w:pPr>
        <w:pStyle w:val="19"/>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_Toc14629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iCs/>
          <w:kern w:val="2"/>
          <w:szCs w:val="44"/>
          <w:highlight w:val="none"/>
          <w:lang w:val="en-US" w:eastAsia="zh-CN" w:bidi="ar-SA"/>
        </w:rPr>
        <w:t>第三章</w:t>
      </w:r>
      <w:r>
        <w:rPr>
          <w:rFonts w:hint="eastAsia" w:ascii="宋体" w:hAnsi="宋体" w:eastAsia="宋体" w:cs="宋体"/>
          <w:iCs/>
          <w:szCs w:val="44"/>
          <w:highlight w:val="none"/>
        </w:rPr>
        <w:t xml:space="preserve"> 资格审查</w:t>
      </w:r>
      <w:r>
        <w:tab/>
      </w:r>
      <w:r>
        <w:fldChar w:fldCharType="begin"/>
      </w:r>
      <w:r>
        <w:instrText xml:space="preserve"> PAGEREF _Toc14629 \h </w:instrText>
      </w:r>
      <w:r>
        <w:fldChar w:fldCharType="separate"/>
      </w:r>
      <w:r>
        <w:t>20</w:t>
      </w:r>
      <w:r>
        <w:fldChar w:fldCharType="end"/>
      </w:r>
      <w:r>
        <w:rPr>
          <w:rFonts w:hint="eastAsia" w:ascii="宋体" w:hAnsi="宋体" w:eastAsia="宋体" w:cs="宋体"/>
          <w:bCs/>
          <w:color w:val="auto"/>
          <w:szCs w:val="24"/>
          <w:highlight w:val="none"/>
          <w:lang w:val="en-US" w:eastAsia="zh-CN"/>
        </w:rPr>
        <w:fldChar w:fldCharType="end"/>
      </w:r>
    </w:p>
    <w:p w14:paraId="673310B2">
      <w:pPr>
        <w:pStyle w:val="19"/>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_Toc22722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iCs/>
          <w:szCs w:val="44"/>
          <w:highlight w:val="none"/>
        </w:rPr>
        <w:t>第四章</w:t>
      </w:r>
      <w:r>
        <w:rPr>
          <w:rFonts w:hint="eastAsia" w:ascii="宋体" w:hAnsi="宋体" w:eastAsia="宋体" w:cs="宋体"/>
          <w:szCs w:val="32"/>
          <w:highlight w:val="none"/>
        </w:rPr>
        <w:t xml:space="preserve"> </w:t>
      </w:r>
      <w:r>
        <w:rPr>
          <w:rFonts w:hint="eastAsia" w:ascii="宋体" w:hAnsi="宋体" w:eastAsia="宋体" w:cs="宋体"/>
          <w:iCs/>
          <w:szCs w:val="44"/>
          <w:highlight w:val="none"/>
        </w:rPr>
        <w:t>评标办法（综合评分法）</w:t>
      </w:r>
      <w:r>
        <w:tab/>
      </w:r>
      <w:r>
        <w:fldChar w:fldCharType="begin"/>
      </w:r>
      <w:r>
        <w:instrText xml:space="preserve"> PAGEREF _Toc22722 \h </w:instrText>
      </w:r>
      <w:r>
        <w:fldChar w:fldCharType="separate"/>
      </w:r>
      <w:r>
        <w:t>22</w:t>
      </w:r>
      <w:r>
        <w:fldChar w:fldCharType="end"/>
      </w:r>
      <w:r>
        <w:rPr>
          <w:rFonts w:hint="eastAsia" w:ascii="宋体" w:hAnsi="宋体" w:eastAsia="宋体" w:cs="宋体"/>
          <w:bCs/>
          <w:color w:val="auto"/>
          <w:szCs w:val="24"/>
          <w:highlight w:val="none"/>
          <w:lang w:val="en-US" w:eastAsia="zh-CN"/>
        </w:rPr>
        <w:fldChar w:fldCharType="end"/>
      </w:r>
    </w:p>
    <w:p w14:paraId="1C1745CE">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_Toc26444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一、评标机构</w:t>
      </w:r>
      <w:r>
        <w:tab/>
      </w:r>
      <w:r>
        <w:fldChar w:fldCharType="begin"/>
      </w:r>
      <w:r>
        <w:instrText xml:space="preserve"> PAGEREF _Toc26444 \h </w:instrText>
      </w:r>
      <w:r>
        <w:fldChar w:fldCharType="separate"/>
      </w:r>
      <w:r>
        <w:t>22</w:t>
      </w:r>
      <w:r>
        <w:fldChar w:fldCharType="end"/>
      </w:r>
      <w:r>
        <w:rPr>
          <w:rFonts w:hint="eastAsia" w:ascii="宋体" w:hAnsi="宋体" w:eastAsia="宋体" w:cs="宋体"/>
          <w:bCs/>
          <w:color w:val="auto"/>
          <w:szCs w:val="24"/>
          <w:highlight w:val="none"/>
          <w:lang w:val="en-US" w:eastAsia="zh-CN"/>
        </w:rPr>
        <w:fldChar w:fldCharType="end"/>
      </w:r>
    </w:p>
    <w:p w14:paraId="08192356">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_Toc24895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二、采购人或者采购代理机构职责</w:t>
      </w:r>
      <w:r>
        <w:tab/>
      </w:r>
      <w:r>
        <w:fldChar w:fldCharType="begin"/>
      </w:r>
      <w:r>
        <w:instrText xml:space="preserve"> PAGEREF _Toc24895 \h </w:instrText>
      </w:r>
      <w:r>
        <w:fldChar w:fldCharType="separate"/>
      </w:r>
      <w:r>
        <w:t>22</w:t>
      </w:r>
      <w:r>
        <w:fldChar w:fldCharType="end"/>
      </w:r>
      <w:r>
        <w:rPr>
          <w:rFonts w:hint="eastAsia" w:ascii="宋体" w:hAnsi="宋体" w:eastAsia="宋体" w:cs="宋体"/>
          <w:bCs/>
          <w:color w:val="auto"/>
          <w:szCs w:val="24"/>
          <w:highlight w:val="none"/>
          <w:lang w:val="en-US" w:eastAsia="zh-CN"/>
        </w:rPr>
        <w:fldChar w:fldCharType="end"/>
      </w:r>
    </w:p>
    <w:p w14:paraId="744C9469">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_Toc31138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三、评标委员会职责</w:t>
      </w:r>
      <w:r>
        <w:tab/>
      </w:r>
      <w:r>
        <w:fldChar w:fldCharType="begin"/>
      </w:r>
      <w:r>
        <w:instrText xml:space="preserve"> PAGEREF _Toc31138 \h </w:instrText>
      </w:r>
      <w:r>
        <w:fldChar w:fldCharType="separate"/>
      </w:r>
      <w:r>
        <w:t>22</w:t>
      </w:r>
      <w:r>
        <w:fldChar w:fldCharType="end"/>
      </w:r>
      <w:r>
        <w:rPr>
          <w:rFonts w:hint="eastAsia" w:ascii="宋体" w:hAnsi="宋体" w:eastAsia="宋体" w:cs="宋体"/>
          <w:bCs/>
          <w:color w:val="auto"/>
          <w:szCs w:val="24"/>
          <w:highlight w:val="none"/>
          <w:lang w:val="en-US" w:eastAsia="zh-CN"/>
        </w:rPr>
        <w:fldChar w:fldCharType="end"/>
      </w:r>
    </w:p>
    <w:p w14:paraId="5BF80AB7">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_Toc30963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四、评标纪律</w:t>
      </w:r>
      <w:r>
        <w:tab/>
      </w:r>
      <w:r>
        <w:fldChar w:fldCharType="begin"/>
      </w:r>
      <w:r>
        <w:instrText xml:space="preserve"> PAGEREF _Toc30963 \h </w:instrText>
      </w:r>
      <w:r>
        <w:fldChar w:fldCharType="separate"/>
      </w:r>
      <w:r>
        <w:t>23</w:t>
      </w:r>
      <w:r>
        <w:fldChar w:fldCharType="end"/>
      </w:r>
      <w:r>
        <w:rPr>
          <w:rFonts w:hint="eastAsia" w:ascii="宋体" w:hAnsi="宋体" w:eastAsia="宋体" w:cs="宋体"/>
          <w:bCs/>
          <w:color w:val="auto"/>
          <w:szCs w:val="24"/>
          <w:highlight w:val="none"/>
          <w:lang w:val="en-US" w:eastAsia="zh-CN"/>
        </w:rPr>
        <w:fldChar w:fldCharType="end"/>
      </w:r>
    </w:p>
    <w:p w14:paraId="32F6AD7A">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_Toc20486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五、评标原则</w:t>
      </w:r>
      <w:r>
        <w:tab/>
      </w:r>
      <w:r>
        <w:fldChar w:fldCharType="begin"/>
      </w:r>
      <w:r>
        <w:instrText xml:space="preserve"> PAGEREF _Toc20486 \h </w:instrText>
      </w:r>
      <w:r>
        <w:fldChar w:fldCharType="separate"/>
      </w:r>
      <w:r>
        <w:t>23</w:t>
      </w:r>
      <w:r>
        <w:fldChar w:fldCharType="end"/>
      </w:r>
      <w:r>
        <w:rPr>
          <w:rFonts w:hint="eastAsia" w:ascii="宋体" w:hAnsi="宋体" w:eastAsia="宋体" w:cs="宋体"/>
          <w:bCs/>
          <w:color w:val="auto"/>
          <w:szCs w:val="24"/>
          <w:highlight w:val="none"/>
          <w:lang w:val="en-US" w:eastAsia="zh-CN"/>
        </w:rPr>
        <w:fldChar w:fldCharType="end"/>
      </w:r>
    </w:p>
    <w:p w14:paraId="2006DF30">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_Toc108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rPr>
        <w:t>六、评标程序</w:t>
      </w:r>
      <w:r>
        <w:tab/>
      </w:r>
      <w:r>
        <w:fldChar w:fldCharType="begin"/>
      </w:r>
      <w:r>
        <w:instrText xml:space="preserve"> PAGEREF _Toc108 \h </w:instrText>
      </w:r>
      <w:r>
        <w:fldChar w:fldCharType="separate"/>
      </w:r>
      <w:r>
        <w:t>23</w:t>
      </w:r>
      <w:r>
        <w:fldChar w:fldCharType="end"/>
      </w:r>
      <w:r>
        <w:rPr>
          <w:rFonts w:hint="eastAsia" w:ascii="宋体" w:hAnsi="宋体" w:eastAsia="宋体" w:cs="宋体"/>
          <w:bCs/>
          <w:color w:val="auto"/>
          <w:szCs w:val="24"/>
          <w:highlight w:val="none"/>
          <w:lang w:val="en-US" w:eastAsia="zh-CN"/>
        </w:rPr>
        <w:fldChar w:fldCharType="end"/>
      </w:r>
    </w:p>
    <w:p w14:paraId="50F49DD4">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_Toc28745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lang w:val="en-US" w:eastAsia="zh-CN"/>
        </w:rPr>
        <w:t>七、推荐原则</w:t>
      </w:r>
      <w:r>
        <w:tab/>
      </w:r>
      <w:r>
        <w:fldChar w:fldCharType="begin"/>
      </w:r>
      <w:r>
        <w:instrText xml:space="preserve"> PAGEREF _Toc28745 \h </w:instrText>
      </w:r>
      <w:r>
        <w:fldChar w:fldCharType="separate"/>
      </w:r>
      <w:r>
        <w:t>27</w:t>
      </w:r>
      <w:r>
        <w:fldChar w:fldCharType="end"/>
      </w:r>
      <w:r>
        <w:rPr>
          <w:rFonts w:hint="eastAsia" w:ascii="宋体" w:hAnsi="宋体" w:eastAsia="宋体" w:cs="宋体"/>
          <w:bCs/>
          <w:color w:val="auto"/>
          <w:szCs w:val="24"/>
          <w:highlight w:val="none"/>
          <w:lang w:val="en-US" w:eastAsia="zh-CN"/>
        </w:rPr>
        <w:fldChar w:fldCharType="end"/>
      </w:r>
    </w:p>
    <w:p w14:paraId="2D4D2126">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_Toc8712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lang w:val="en-US" w:eastAsia="zh-CN"/>
        </w:rPr>
        <w:t>八</w:t>
      </w:r>
      <w:r>
        <w:rPr>
          <w:rFonts w:hint="eastAsia" w:ascii="宋体" w:hAnsi="宋体" w:eastAsia="宋体" w:cs="宋体"/>
          <w:bCs/>
          <w:szCs w:val="24"/>
          <w:highlight w:val="none"/>
        </w:rPr>
        <w:t>、评标报告编写</w:t>
      </w:r>
      <w:r>
        <w:tab/>
      </w:r>
      <w:r>
        <w:fldChar w:fldCharType="begin"/>
      </w:r>
      <w:r>
        <w:instrText xml:space="preserve"> PAGEREF _Toc8712 \h </w:instrText>
      </w:r>
      <w:r>
        <w:fldChar w:fldCharType="separate"/>
      </w:r>
      <w:r>
        <w:t>27</w:t>
      </w:r>
      <w:r>
        <w:fldChar w:fldCharType="end"/>
      </w:r>
      <w:r>
        <w:rPr>
          <w:rFonts w:hint="eastAsia" w:ascii="宋体" w:hAnsi="宋体" w:eastAsia="宋体" w:cs="宋体"/>
          <w:bCs/>
          <w:color w:val="auto"/>
          <w:szCs w:val="24"/>
          <w:highlight w:val="none"/>
          <w:lang w:val="en-US" w:eastAsia="zh-CN"/>
        </w:rPr>
        <w:fldChar w:fldCharType="end"/>
      </w:r>
    </w:p>
    <w:p w14:paraId="4963486A">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_Toc18441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4"/>
          <w:highlight w:val="none"/>
          <w:lang w:val="en-US" w:eastAsia="zh-CN"/>
        </w:rPr>
        <w:t>九</w:t>
      </w:r>
      <w:r>
        <w:rPr>
          <w:rFonts w:hint="eastAsia" w:ascii="宋体" w:hAnsi="宋体" w:eastAsia="宋体" w:cs="宋体"/>
          <w:bCs/>
          <w:szCs w:val="24"/>
          <w:highlight w:val="none"/>
        </w:rPr>
        <w:t>、评标结果</w:t>
      </w:r>
      <w:r>
        <w:tab/>
      </w:r>
      <w:r>
        <w:fldChar w:fldCharType="begin"/>
      </w:r>
      <w:r>
        <w:instrText xml:space="preserve"> PAGEREF _Toc18441 \h </w:instrText>
      </w:r>
      <w:r>
        <w:fldChar w:fldCharType="separate"/>
      </w:r>
      <w:r>
        <w:t>28</w:t>
      </w:r>
      <w:r>
        <w:fldChar w:fldCharType="end"/>
      </w:r>
      <w:r>
        <w:rPr>
          <w:rFonts w:hint="eastAsia" w:ascii="宋体" w:hAnsi="宋体" w:eastAsia="宋体" w:cs="宋体"/>
          <w:bCs/>
          <w:color w:val="auto"/>
          <w:szCs w:val="24"/>
          <w:highlight w:val="none"/>
          <w:lang w:val="en-US" w:eastAsia="zh-CN"/>
        </w:rPr>
        <w:fldChar w:fldCharType="end"/>
      </w:r>
    </w:p>
    <w:p w14:paraId="0EBFF719">
      <w:pPr>
        <w:pStyle w:val="19"/>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_Toc28794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44"/>
          <w:highlight w:val="none"/>
        </w:rPr>
        <w:t>第五章  合同书样式及主要条款</w:t>
      </w:r>
      <w:r>
        <w:tab/>
      </w:r>
      <w:r>
        <w:fldChar w:fldCharType="begin"/>
      </w:r>
      <w:r>
        <w:instrText xml:space="preserve"> PAGEREF _Toc28794 \h </w:instrText>
      </w:r>
      <w:r>
        <w:fldChar w:fldCharType="separate"/>
      </w:r>
      <w:r>
        <w:t>29</w:t>
      </w:r>
      <w:r>
        <w:fldChar w:fldCharType="end"/>
      </w:r>
      <w:r>
        <w:rPr>
          <w:rFonts w:hint="eastAsia" w:ascii="宋体" w:hAnsi="宋体" w:eastAsia="宋体" w:cs="宋体"/>
          <w:bCs/>
          <w:color w:val="auto"/>
          <w:szCs w:val="24"/>
          <w:highlight w:val="none"/>
          <w:lang w:val="en-US" w:eastAsia="zh-CN"/>
        </w:rPr>
        <w:fldChar w:fldCharType="end"/>
      </w:r>
    </w:p>
    <w:p w14:paraId="5110F02B">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_Toc571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highlight w:val="none"/>
        </w:rPr>
        <w:t>合同条款前附表</w:t>
      </w:r>
      <w:r>
        <w:tab/>
      </w:r>
      <w:r>
        <w:fldChar w:fldCharType="begin"/>
      </w:r>
      <w:r>
        <w:instrText xml:space="preserve"> PAGEREF _Toc571 \h </w:instrText>
      </w:r>
      <w:r>
        <w:fldChar w:fldCharType="separate"/>
      </w:r>
      <w:r>
        <w:t>29</w:t>
      </w:r>
      <w:r>
        <w:fldChar w:fldCharType="end"/>
      </w:r>
      <w:r>
        <w:rPr>
          <w:rFonts w:hint="eastAsia" w:ascii="宋体" w:hAnsi="宋体" w:eastAsia="宋体" w:cs="宋体"/>
          <w:bCs/>
          <w:color w:val="auto"/>
          <w:szCs w:val="24"/>
          <w:highlight w:val="none"/>
          <w:lang w:val="en-US" w:eastAsia="zh-CN"/>
        </w:rPr>
        <w:fldChar w:fldCharType="end"/>
      </w:r>
    </w:p>
    <w:p w14:paraId="1FCD267A">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_Toc23658 </w:instrText>
      </w:r>
      <w:r>
        <w:rPr>
          <w:rFonts w:hint="eastAsia" w:ascii="宋体" w:hAnsi="宋体" w:eastAsia="宋体" w:cs="宋体"/>
          <w:bCs/>
          <w:szCs w:val="24"/>
          <w:highlight w:val="none"/>
          <w:lang w:val="en-US" w:eastAsia="zh-CN"/>
        </w:rPr>
        <w:fldChar w:fldCharType="separate"/>
      </w:r>
      <w:r>
        <w:rPr>
          <w:rFonts w:hint="eastAsia" w:ascii="仿宋" w:hAnsi="仿宋" w:eastAsia="仿宋" w:cs="仿宋"/>
          <w:bCs/>
          <w:szCs w:val="24"/>
          <w:highlight w:val="none"/>
        </w:rPr>
        <w:t>第一节 政府采购合同协议书</w:t>
      </w:r>
      <w:r>
        <w:tab/>
      </w:r>
      <w:r>
        <w:fldChar w:fldCharType="begin"/>
      </w:r>
      <w:r>
        <w:instrText xml:space="preserve"> PAGEREF _Toc23658 \h </w:instrText>
      </w:r>
      <w:r>
        <w:fldChar w:fldCharType="separate"/>
      </w:r>
      <w:r>
        <w:t>34</w:t>
      </w:r>
      <w:r>
        <w:fldChar w:fldCharType="end"/>
      </w:r>
      <w:r>
        <w:rPr>
          <w:rFonts w:hint="eastAsia" w:ascii="宋体" w:hAnsi="宋体" w:eastAsia="宋体" w:cs="宋体"/>
          <w:bCs/>
          <w:color w:val="auto"/>
          <w:szCs w:val="24"/>
          <w:highlight w:val="none"/>
          <w:lang w:val="en-US" w:eastAsia="zh-CN"/>
        </w:rPr>
        <w:fldChar w:fldCharType="end"/>
      </w:r>
    </w:p>
    <w:p w14:paraId="2FF32160">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_Toc19830 </w:instrText>
      </w:r>
      <w:r>
        <w:rPr>
          <w:rFonts w:hint="eastAsia" w:ascii="宋体" w:hAnsi="宋体" w:eastAsia="宋体" w:cs="宋体"/>
          <w:bCs/>
          <w:szCs w:val="24"/>
          <w:highlight w:val="none"/>
          <w:lang w:val="en-US" w:eastAsia="zh-CN"/>
        </w:rPr>
        <w:fldChar w:fldCharType="separate"/>
      </w:r>
      <w:r>
        <w:rPr>
          <w:rFonts w:hint="eastAsia" w:ascii="仿宋" w:hAnsi="仿宋" w:eastAsia="仿宋" w:cs="仿宋"/>
          <w:bCs/>
          <w:szCs w:val="24"/>
          <w:highlight w:val="none"/>
        </w:rPr>
        <w:t>第二节 政府采购合同通用条款</w:t>
      </w:r>
      <w:r>
        <w:tab/>
      </w:r>
      <w:r>
        <w:fldChar w:fldCharType="begin"/>
      </w:r>
      <w:r>
        <w:instrText xml:space="preserve"> PAGEREF _Toc19830 \h </w:instrText>
      </w:r>
      <w:r>
        <w:fldChar w:fldCharType="separate"/>
      </w:r>
      <w:r>
        <w:t>39</w:t>
      </w:r>
      <w:r>
        <w:fldChar w:fldCharType="end"/>
      </w:r>
      <w:r>
        <w:rPr>
          <w:rFonts w:hint="eastAsia" w:ascii="宋体" w:hAnsi="宋体" w:eastAsia="宋体" w:cs="宋体"/>
          <w:bCs/>
          <w:color w:val="auto"/>
          <w:szCs w:val="24"/>
          <w:highlight w:val="none"/>
          <w:lang w:val="en-US" w:eastAsia="zh-CN"/>
        </w:rPr>
        <w:fldChar w:fldCharType="end"/>
      </w:r>
    </w:p>
    <w:p w14:paraId="4CD7A676">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_Toc12730 </w:instrText>
      </w:r>
      <w:r>
        <w:rPr>
          <w:rFonts w:hint="eastAsia" w:ascii="宋体" w:hAnsi="宋体" w:eastAsia="宋体" w:cs="宋体"/>
          <w:bCs/>
          <w:szCs w:val="24"/>
          <w:highlight w:val="none"/>
          <w:lang w:val="en-US" w:eastAsia="zh-CN"/>
        </w:rPr>
        <w:fldChar w:fldCharType="separate"/>
      </w:r>
      <w:r>
        <w:rPr>
          <w:rFonts w:hint="eastAsia" w:ascii="仿宋" w:hAnsi="仿宋" w:eastAsia="仿宋" w:cs="仿宋"/>
          <w:bCs/>
          <w:szCs w:val="24"/>
          <w:highlight w:val="none"/>
        </w:rPr>
        <w:t>第三节 政府采购合同专用条款</w:t>
      </w:r>
      <w:r>
        <w:tab/>
      </w:r>
      <w:r>
        <w:fldChar w:fldCharType="begin"/>
      </w:r>
      <w:r>
        <w:instrText xml:space="preserve"> PAGEREF _Toc12730 \h </w:instrText>
      </w:r>
      <w:r>
        <w:fldChar w:fldCharType="separate"/>
      </w:r>
      <w:r>
        <w:t>46</w:t>
      </w:r>
      <w:r>
        <w:fldChar w:fldCharType="end"/>
      </w:r>
      <w:r>
        <w:rPr>
          <w:rFonts w:hint="eastAsia" w:ascii="宋体" w:hAnsi="宋体" w:eastAsia="宋体" w:cs="宋体"/>
          <w:bCs/>
          <w:color w:val="auto"/>
          <w:szCs w:val="24"/>
          <w:highlight w:val="none"/>
          <w:lang w:val="en-US" w:eastAsia="zh-CN"/>
        </w:rPr>
        <w:fldChar w:fldCharType="end"/>
      </w:r>
    </w:p>
    <w:p w14:paraId="665444DE">
      <w:pPr>
        <w:pStyle w:val="19"/>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_Toc31780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44"/>
          <w:highlight w:val="none"/>
        </w:rPr>
        <w:t>第六章 采购需求</w:t>
      </w:r>
      <w:r>
        <w:tab/>
      </w:r>
      <w:r>
        <w:fldChar w:fldCharType="begin"/>
      </w:r>
      <w:r>
        <w:instrText xml:space="preserve"> PAGEREF _Toc31780 \h </w:instrText>
      </w:r>
      <w:r>
        <w:fldChar w:fldCharType="separate"/>
      </w:r>
      <w:r>
        <w:t>48</w:t>
      </w:r>
      <w:r>
        <w:fldChar w:fldCharType="end"/>
      </w:r>
      <w:r>
        <w:rPr>
          <w:rFonts w:hint="eastAsia" w:ascii="宋体" w:hAnsi="宋体" w:eastAsia="宋体" w:cs="宋体"/>
          <w:bCs/>
          <w:color w:val="auto"/>
          <w:szCs w:val="24"/>
          <w:highlight w:val="none"/>
          <w:lang w:val="en-US" w:eastAsia="zh-CN"/>
        </w:rPr>
        <w:fldChar w:fldCharType="end"/>
      </w:r>
    </w:p>
    <w:p w14:paraId="21BBBC7B">
      <w:pPr>
        <w:pStyle w:val="19"/>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_Toc7924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44"/>
          <w:highlight w:val="none"/>
        </w:rPr>
        <w:t>第七章  投标文件格式</w:t>
      </w:r>
      <w:bookmarkStart w:id="592" w:name="_GoBack"/>
      <w:bookmarkEnd w:id="592"/>
      <w:r>
        <w:tab/>
      </w:r>
      <w:r>
        <w:fldChar w:fldCharType="begin"/>
      </w:r>
      <w:r>
        <w:instrText xml:space="preserve"> PAGEREF _Toc7924 \h </w:instrText>
      </w:r>
      <w:r>
        <w:fldChar w:fldCharType="separate"/>
      </w:r>
      <w:r>
        <w:t>56</w:t>
      </w:r>
      <w:r>
        <w:fldChar w:fldCharType="end"/>
      </w:r>
      <w:r>
        <w:rPr>
          <w:rFonts w:hint="eastAsia" w:ascii="宋体" w:hAnsi="宋体" w:eastAsia="宋体" w:cs="宋体"/>
          <w:bCs/>
          <w:color w:val="auto"/>
          <w:szCs w:val="24"/>
          <w:highlight w:val="none"/>
          <w:lang w:val="en-US" w:eastAsia="zh-CN"/>
        </w:rPr>
        <w:fldChar w:fldCharType="end"/>
      </w:r>
    </w:p>
    <w:p w14:paraId="3F5C2B10">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_Toc14667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caps w:val="0"/>
          <w:smallCaps w:val="0"/>
          <w:spacing w:val="0"/>
          <w:szCs w:val="44"/>
          <w:lang w:eastAsia="zh-CN"/>
        </w:rPr>
        <w:t>（</w:t>
      </w:r>
      <w:r>
        <w:rPr>
          <w:rFonts w:hint="eastAsia" w:ascii="宋体" w:hAnsi="宋体" w:eastAsia="宋体" w:cs="宋体"/>
          <w:caps w:val="0"/>
          <w:smallCaps w:val="0"/>
          <w:spacing w:val="0"/>
          <w:szCs w:val="44"/>
          <w:lang w:val="en-US" w:eastAsia="zh-CN"/>
        </w:rPr>
        <w:t>资格审查部分</w:t>
      </w:r>
      <w:r>
        <w:rPr>
          <w:rFonts w:hint="eastAsia" w:ascii="宋体" w:hAnsi="宋体" w:eastAsia="宋体" w:cs="宋体"/>
          <w:caps w:val="0"/>
          <w:smallCaps w:val="0"/>
          <w:spacing w:val="0"/>
          <w:szCs w:val="44"/>
          <w:lang w:eastAsia="zh-CN"/>
        </w:rPr>
        <w:t>）</w:t>
      </w:r>
      <w:r>
        <w:tab/>
      </w:r>
      <w:r>
        <w:fldChar w:fldCharType="begin"/>
      </w:r>
      <w:r>
        <w:instrText xml:space="preserve"> PAGEREF _Toc14667 \h </w:instrText>
      </w:r>
      <w:r>
        <w:fldChar w:fldCharType="separate"/>
      </w:r>
      <w:r>
        <w:t>57</w:t>
      </w:r>
      <w:r>
        <w:fldChar w:fldCharType="end"/>
      </w:r>
      <w:r>
        <w:rPr>
          <w:rFonts w:hint="eastAsia" w:ascii="宋体" w:hAnsi="宋体" w:eastAsia="宋体" w:cs="宋体"/>
          <w:bCs/>
          <w:color w:val="auto"/>
          <w:szCs w:val="24"/>
          <w:highlight w:val="none"/>
          <w:lang w:val="en-US" w:eastAsia="zh-CN"/>
        </w:rPr>
        <w:fldChar w:fldCharType="end"/>
      </w:r>
    </w:p>
    <w:p w14:paraId="0B3DFEDB">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_Toc1823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caps w:val="0"/>
          <w:smallCaps w:val="0"/>
          <w:spacing w:val="0"/>
          <w:szCs w:val="44"/>
          <w:lang w:eastAsia="zh-CN"/>
        </w:rPr>
        <w:t>（</w:t>
      </w:r>
      <w:r>
        <w:rPr>
          <w:rFonts w:hint="eastAsia" w:ascii="宋体" w:hAnsi="宋体" w:eastAsia="宋体" w:cs="宋体"/>
          <w:caps w:val="0"/>
          <w:smallCaps w:val="0"/>
          <w:spacing w:val="0"/>
          <w:szCs w:val="44"/>
          <w:lang w:val="en-US" w:eastAsia="zh-CN"/>
        </w:rPr>
        <w:t>投标报价部分</w:t>
      </w:r>
      <w:r>
        <w:rPr>
          <w:rFonts w:hint="eastAsia" w:ascii="宋体" w:hAnsi="宋体" w:eastAsia="宋体" w:cs="宋体"/>
          <w:caps w:val="0"/>
          <w:smallCaps w:val="0"/>
          <w:spacing w:val="0"/>
          <w:szCs w:val="44"/>
          <w:lang w:eastAsia="zh-CN"/>
        </w:rPr>
        <w:t>）</w:t>
      </w:r>
      <w:r>
        <w:tab/>
      </w:r>
      <w:r>
        <w:fldChar w:fldCharType="begin"/>
      </w:r>
      <w:r>
        <w:instrText xml:space="preserve"> PAGEREF _Toc1823 \h </w:instrText>
      </w:r>
      <w:r>
        <w:fldChar w:fldCharType="separate"/>
      </w:r>
      <w:r>
        <w:t>61</w:t>
      </w:r>
      <w:r>
        <w:fldChar w:fldCharType="end"/>
      </w:r>
      <w:r>
        <w:rPr>
          <w:rFonts w:hint="eastAsia" w:ascii="宋体" w:hAnsi="宋体" w:eastAsia="宋体" w:cs="宋体"/>
          <w:bCs/>
          <w:color w:val="auto"/>
          <w:szCs w:val="24"/>
          <w:highlight w:val="none"/>
          <w:lang w:val="en-US" w:eastAsia="zh-CN"/>
        </w:rPr>
        <w:fldChar w:fldCharType="end"/>
      </w:r>
    </w:p>
    <w:p w14:paraId="542E7814">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_Toc6024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32"/>
          <w:highlight w:val="none"/>
          <w:lang w:val="en-US" w:eastAsia="zh-CN"/>
        </w:rPr>
        <w:t>一、</w:t>
      </w:r>
      <w:r>
        <w:rPr>
          <w:rFonts w:hint="eastAsia" w:ascii="宋体" w:hAnsi="宋体" w:eastAsia="宋体" w:cs="宋体"/>
          <w:bCs/>
          <w:szCs w:val="32"/>
          <w:highlight w:val="none"/>
        </w:rPr>
        <w:t>开标一览表</w:t>
      </w:r>
      <w:r>
        <w:tab/>
      </w:r>
      <w:r>
        <w:fldChar w:fldCharType="begin"/>
      </w:r>
      <w:r>
        <w:instrText xml:space="preserve"> PAGEREF _Toc6024 \h </w:instrText>
      </w:r>
      <w:r>
        <w:fldChar w:fldCharType="separate"/>
      </w:r>
      <w:r>
        <w:t>63</w:t>
      </w:r>
      <w:r>
        <w:fldChar w:fldCharType="end"/>
      </w:r>
      <w:r>
        <w:rPr>
          <w:rFonts w:hint="eastAsia" w:ascii="宋体" w:hAnsi="宋体" w:eastAsia="宋体" w:cs="宋体"/>
          <w:bCs/>
          <w:color w:val="auto"/>
          <w:szCs w:val="24"/>
          <w:highlight w:val="none"/>
          <w:lang w:val="en-US" w:eastAsia="zh-CN"/>
        </w:rPr>
        <w:fldChar w:fldCharType="end"/>
      </w:r>
    </w:p>
    <w:p w14:paraId="1D7F549A">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_Toc18256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32"/>
          <w:highlight w:val="none"/>
          <w:lang w:val="en-US" w:eastAsia="zh-CN"/>
        </w:rPr>
        <w:t>二</w:t>
      </w:r>
      <w:r>
        <w:rPr>
          <w:rFonts w:hint="eastAsia" w:ascii="宋体" w:hAnsi="宋体" w:eastAsia="宋体" w:cs="宋体"/>
          <w:szCs w:val="32"/>
          <w:highlight w:val="none"/>
        </w:rPr>
        <w:t>、投标报价明细</w:t>
      </w:r>
      <w:r>
        <w:tab/>
      </w:r>
      <w:r>
        <w:fldChar w:fldCharType="begin"/>
      </w:r>
      <w:r>
        <w:instrText xml:space="preserve"> PAGEREF _Toc18256 \h </w:instrText>
      </w:r>
      <w:r>
        <w:fldChar w:fldCharType="separate"/>
      </w:r>
      <w:r>
        <w:t>64</w:t>
      </w:r>
      <w:r>
        <w:fldChar w:fldCharType="end"/>
      </w:r>
      <w:r>
        <w:rPr>
          <w:rFonts w:hint="eastAsia" w:ascii="宋体" w:hAnsi="宋体" w:eastAsia="宋体" w:cs="宋体"/>
          <w:bCs/>
          <w:color w:val="auto"/>
          <w:szCs w:val="24"/>
          <w:highlight w:val="none"/>
          <w:lang w:val="en-US" w:eastAsia="zh-CN"/>
        </w:rPr>
        <w:fldChar w:fldCharType="end"/>
      </w:r>
    </w:p>
    <w:p w14:paraId="4F96CB3F">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_Toc26845 </w:instrText>
      </w:r>
      <w:r>
        <w:rPr>
          <w:rFonts w:hint="eastAsia" w:ascii="宋体" w:hAnsi="宋体" w:eastAsia="宋体" w:cs="宋体"/>
          <w:bCs/>
          <w:szCs w:val="24"/>
          <w:highlight w:val="none"/>
          <w:lang w:val="en-US" w:eastAsia="zh-CN"/>
        </w:rPr>
        <w:fldChar w:fldCharType="separate"/>
      </w:r>
      <w:r>
        <w:rPr>
          <w:rFonts w:hint="eastAsia" w:ascii="仿宋" w:hAnsi="仿宋" w:eastAsia="仿宋" w:cs="仿宋"/>
          <w:bCs/>
          <w:spacing w:val="0"/>
          <w:kern w:val="2"/>
          <w:szCs w:val="28"/>
          <w:lang w:val="en-US" w:eastAsia="zh-CN" w:bidi="ar-SA"/>
        </w:rPr>
        <w:t>三、</w:t>
      </w:r>
      <w:r>
        <w:rPr>
          <w:rFonts w:hint="eastAsia" w:ascii="宋体" w:hAnsi="宋体" w:eastAsia="宋体" w:cs="宋体"/>
          <w:kern w:val="2"/>
          <w:szCs w:val="32"/>
          <w:highlight w:val="none"/>
          <w:lang w:val="en-US" w:eastAsia="zh-CN" w:bidi="ar-SA"/>
        </w:rPr>
        <w:t>供应商落实政府采购政策的证明材料</w:t>
      </w:r>
      <w:r>
        <w:tab/>
      </w:r>
      <w:r>
        <w:fldChar w:fldCharType="begin"/>
      </w:r>
      <w:r>
        <w:instrText xml:space="preserve"> PAGEREF _Toc26845 \h </w:instrText>
      </w:r>
      <w:r>
        <w:fldChar w:fldCharType="separate"/>
      </w:r>
      <w:r>
        <w:t>65</w:t>
      </w:r>
      <w:r>
        <w:fldChar w:fldCharType="end"/>
      </w:r>
      <w:r>
        <w:rPr>
          <w:rFonts w:hint="eastAsia" w:ascii="宋体" w:hAnsi="宋体" w:eastAsia="宋体" w:cs="宋体"/>
          <w:bCs/>
          <w:color w:val="auto"/>
          <w:szCs w:val="24"/>
          <w:highlight w:val="none"/>
          <w:lang w:val="en-US" w:eastAsia="zh-CN"/>
        </w:rPr>
        <w:fldChar w:fldCharType="end"/>
      </w:r>
    </w:p>
    <w:p w14:paraId="3C231EBB">
      <w:pPr>
        <w:pStyle w:val="21"/>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_Toc13756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caps w:val="0"/>
          <w:smallCaps w:val="0"/>
          <w:spacing w:val="0"/>
          <w:szCs w:val="44"/>
          <w:lang w:eastAsia="zh-CN"/>
        </w:rPr>
        <w:t>（</w:t>
      </w:r>
      <w:r>
        <w:rPr>
          <w:rFonts w:hint="eastAsia" w:ascii="宋体" w:hAnsi="宋体" w:eastAsia="宋体" w:cs="宋体"/>
          <w:caps w:val="0"/>
          <w:smallCaps w:val="0"/>
          <w:spacing w:val="0"/>
          <w:szCs w:val="44"/>
          <w:lang w:val="en-US" w:eastAsia="zh-CN"/>
        </w:rPr>
        <w:t>商务技术部分</w:t>
      </w:r>
      <w:r>
        <w:rPr>
          <w:rFonts w:hint="eastAsia" w:ascii="宋体" w:hAnsi="宋体" w:eastAsia="宋体" w:cs="宋体"/>
          <w:caps w:val="0"/>
          <w:smallCaps w:val="0"/>
          <w:spacing w:val="0"/>
          <w:szCs w:val="44"/>
          <w:lang w:eastAsia="zh-CN"/>
        </w:rPr>
        <w:t>）</w:t>
      </w:r>
      <w:r>
        <w:tab/>
      </w:r>
      <w:r>
        <w:fldChar w:fldCharType="begin"/>
      </w:r>
      <w:r>
        <w:instrText xml:space="preserve"> PAGEREF _Toc13756 \h </w:instrText>
      </w:r>
      <w:r>
        <w:fldChar w:fldCharType="separate"/>
      </w:r>
      <w:r>
        <w:t>70</w:t>
      </w:r>
      <w:r>
        <w:fldChar w:fldCharType="end"/>
      </w:r>
      <w:r>
        <w:rPr>
          <w:rFonts w:hint="eastAsia" w:ascii="宋体" w:hAnsi="宋体" w:eastAsia="宋体" w:cs="宋体"/>
          <w:bCs/>
          <w:color w:val="auto"/>
          <w:szCs w:val="24"/>
          <w:highlight w:val="none"/>
          <w:lang w:val="en-US" w:eastAsia="zh-CN"/>
        </w:rPr>
        <w:fldChar w:fldCharType="end"/>
      </w:r>
    </w:p>
    <w:p w14:paraId="33F5B96A">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_Toc11773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32"/>
          <w:highlight w:val="none"/>
          <w:lang w:val="en-US" w:eastAsia="zh-CN"/>
        </w:rPr>
        <w:t>一</w:t>
      </w:r>
      <w:r>
        <w:rPr>
          <w:rFonts w:hint="eastAsia" w:ascii="宋体" w:hAnsi="宋体" w:eastAsia="宋体" w:cs="宋体"/>
          <w:szCs w:val="32"/>
          <w:highlight w:val="none"/>
        </w:rPr>
        <w:t>、投标函</w:t>
      </w:r>
      <w:r>
        <w:tab/>
      </w:r>
      <w:r>
        <w:fldChar w:fldCharType="begin"/>
      </w:r>
      <w:r>
        <w:instrText xml:space="preserve"> PAGEREF _Toc11773 \h </w:instrText>
      </w:r>
      <w:r>
        <w:fldChar w:fldCharType="separate"/>
      </w:r>
      <w:r>
        <w:t>72</w:t>
      </w:r>
      <w:r>
        <w:fldChar w:fldCharType="end"/>
      </w:r>
      <w:r>
        <w:rPr>
          <w:rFonts w:hint="eastAsia" w:ascii="宋体" w:hAnsi="宋体" w:eastAsia="宋体" w:cs="宋体"/>
          <w:bCs/>
          <w:color w:val="auto"/>
          <w:szCs w:val="24"/>
          <w:highlight w:val="none"/>
          <w:lang w:val="en-US" w:eastAsia="zh-CN"/>
        </w:rPr>
        <w:fldChar w:fldCharType="end"/>
      </w:r>
    </w:p>
    <w:p w14:paraId="59047081">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_Toc3665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iCs/>
          <w:szCs w:val="32"/>
          <w:highlight w:val="none"/>
          <w:lang w:val="en-US" w:eastAsia="zh-CN"/>
        </w:rPr>
        <w:t>二</w:t>
      </w:r>
      <w:r>
        <w:rPr>
          <w:rFonts w:hint="eastAsia" w:ascii="宋体" w:hAnsi="宋体" w:eastAsia="宋体" w:cs="宋体"/>
          <w:bCs/>
          <w:iCs/>
          <w:szCs w:val="32"/>
          <w:highlight w:val="none"/>
        </w:rPr>
        <w:t>、法定代表人身份证明书及授权委托书</w:t>
      </w:r>
      <w:r>
        <w:tab/>
      </w:r>
      <w:r>
        <w:fldChar w:fldCharType="begin"/>
      </w:r>
      <w:r>
        <w:instrText xml:space="preserve"> PAGEREF _Toc3665 \h </w:instrText>
      </w:r>
      <w:r>
        <w:fldChar w:fldCharType="separate"/>
      </w:r>
      <w:r>
        <w:t>73</w:t>
      </w:r>
      <w:r>
        <w:fldChar w:fldCharType="end"/>
      </w:r>
      <w:r>
        <w:rPr>
          <w:rFonts w:hint="eastAsia" w:ascii="宋体" w:hAnsi="宋体" w:eastAsia="宋体" w:cs="宋体"/>
          <w:bCs/>
          <w:color w:val="auto"/>
          <w:szCs w:val="24"/>
          <w:highlight w:val="none"/>
          <w:lang w:val="en-US" w:eastAsia="zh-CN"/>
        </w:rPr>
        <w:fldChar w:fldCharType="end"/>
      </w:r>
    </w:p>
    <w:p w14:paraId="295AB5D2">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_Toc8448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8"/>
          <w:highlight w:val="none"/>
          <w:lang w:val="en-US" w:eastAsia="zh-CN"/>
        </w:rPr>
        <w:t>三</w:t>
      </w:r>
      <w:r>
        <w:rPr>
          <w:rFonts w:hint="eastAsia" w:ascii="宋体" w:hAnsi="宋体" w:eastAsia="宋体" w:cs="宋体"/>
          <w:bCs/>
          <w:szCs w:val="28"/>
          <w:highlight w:val="none"/>
        </w:rPr>
        <w:t>、商务条款偏离表</w:t>
      </w:r>
      <w:r>
        <w:tab/>
      </w:r>
      <w:r>
        <w:fldChar w:fldCharType="begin"/>
      </w:r>
      <w:r>
        <w:instrText xml:space="preserve"> PAGEREF _Toc8448 \h </w:instrText>
      </w:r>
      <w:r>
        <w:fldChar w:fldCharType="separate"/>
      </w:r>
      <w:r>
        <w:t>75</w:t>
      </w:r>
      <w:r>
        <w:fldChar w:fldCharType="end"/>
      </w:r>
      <w:r>
        <w:rPr>
          <w:rFonts w:hint="eastAsia" w:ascii="宋体" w:hAnsi="宋体" w:eastAsia="宋体" w:cs="宋体"/>
          <w:bCs/>
          <w:color w:val="auto"/>
          <w:szCs w:val="24"/>
          <w:highlight w:val="none"/>
          <w:lang w:val="en-US" w:eastAsia="zh-CN"/>
        </w:rPr>
        <w:fldChar w:fldCharType="end"/>
      </w:r>
    </w:p>
    <w:p w14:paraId="10C71826">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_Toc24865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32"/>
          <w:highlight w:val="none"/>
          <w:lang w:val="en-US" w:eastAsia="zh-CN"/>
        </w:rPr>
        <w:t>四</w:t>
      </w:r>
      <w:r>
        <w:rPr>
          <w:rFonts w:hint="eastAsia" w:ascii="宋体" w:hAnsi="宋体" w:eastAsia="宋体" w:cs="宋体"/>
          <w:szCs w:val="32"/>
          <w:highlight w:val="none"/>
        </w:rPr>
        <w:t>、技术部分</w:t>
      </w:r>
      <w:r>
        <w:tab/>
      </w:r>
      <w:r>
        <w:fldChar w:fldCharType="begin"/>
      </w:r>
      <w:r>
        <w:instrText xml:space="preserve"> PAGEREF _Toc24865 \h </w:instrText>
      </w:r>
      <w:r>
        <w:fldChar w:fldCharType="separate"/>
      </w:r>
      <w:r>
        <w:t>76</w:t>
      </w:r>
      <w:r>
        <w:fldChar w:fldCharType="end"/>
      </w:r>
      <w:r>
        <w:rPr>
          <w:rFonts w:hint="eastAsia" w:ascii="宋体" w:hAnsi="宋体" w:eastAsia="宋体" w:cs="宋体"/>
          <w:bCs/>
          <w:color w:val="auto"/>
          <w:szCs w:val="24"/>
          <w:highlight w:val="none"/>
          <w:lang w:val="en-US" w:eastAsia="zh-CN"/>
        </w:rPr>
        <w:fldChar w:fldCharType="end"/>
      </w:r>
    </w:p>
    <w:p w14:paraId="016A1221">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_Toc16032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szCs w:val="32"/>
          <w:lang w:val="en-US" w:eastAsia="zh-CN"/>
        </w:rPr>
        <w:t>五</w:t>
      </w:r>
      <w:r>
        <w:rPr>
          <w:rFonts w:hint="eastAsia" w:ascii="宋体" w:hAnsi="宋体" w:eastAsia="宋体" w:cs="宋体"/>
          <w:szCs w:val="32"/>
        </w:rPr>
        <w:t>、服务部分</w:t>
      </w:r>
      <w:r>
        <w:tab/>
      </w:r>
      <w:r>
        <w:fldChar w:fldCharType="begin"/>
      </w:r>
      <w:r>
        <w:instrText xml:space="preserve"> PAGEREF _Toc16032 \h </w:instrText>
      </w:r>
      <w:r>
        <w:fldChar w:fldCharType="separate"/>
      </w:r>
      <w:r>
        <w:t>81</w:t>
      </w:r>
      <w:r>
        <w:fldChar w:fldCharType="end"/>
      </w:r>
      <w:r>
        <w:rPr>
          <w:rFonts w:hint="eastAsia" w:ascii="宋体" w:hAnsi="宋体" w:eastAsia="宋体" w:cs="宋体"/>
          <w:bCs/>
          <w:color w:val="auto"/>
          <w:szCs w:val="24"/>
          <w:highlight w:val="none"/>
          <w:lang w:val="en-US" w:eastAsia="zh-CN"/>
        </w:rPr>
        <w:fldChar w:fldCharType="end"/>
      </w:r>
    </w:p>
    <w:p w14:paraId="570E01CE">
      <w:pPr>
        <w:pStyle w:val="13"/>
        <w:tabs>
          <w:tab w:val="right" w:leader="dot" w:pos="9746"/>
        </w:tabs>
      </w:pPr>
      <w:r>
        <w:rPr>
          <w:rFonts w:hint="eastAsia" w:ascii="宋体" w:hAnsi="宋体" w:eastAsia="宋体" w:cs="宋体"/>
          <w:bCs/>
          <w:color w:val="auto"/>
          <w:szCs w:val="24"/>
          <w:highlight w:val="none"/>
          <w:lang w:val="en-US" w:eastAsia="zh-CN"/>
        </w:rPr>
        <w:fldChar w:fldCharType="begin"/>
      </w:r>
      <w:r>
        <w:rPr>
          <w:rFonts w:hint="eastAsia" w:ascii="宋体" w:hAnsi="宋体" w:eastAsia="宋体" w:cs="宋体"/>
          <w:bCs/>
          <w:szCs w:val="24"/>
          <w:highlight w:val="none"/>
          <w:lang w:val="en-US" w:eastAsia="zh-CN"/>
        </w:rPr>
        <w:instrText xml:space="preserve"> HYPERLINK \l _Toc31017 </w:instrText>
      </w:r>
      <w:r>
        <w:rPr>
          <w:rFonts w:hint="eastAsia" w:ascii="宋体" w:hAnsi="宋体" w:eastAsia="宋体" w:cs="宋体"/>
          <w:bCs/>
          <w:szCs w:val="24"/>
          <w:highlight w:val="none"/>
          <w:lang w:val="en-US" w:eastAsia="zh-CN"/>
        </w:rPr>
        <w:fldChar w:fldCharType="separate"/>
      </w:r>
      <w:r>
        <w:rPr>
          <w:rFonts w:hint="eastAsia" w:ascii="宋体" w:hAnsi="宋体" w:eastAsia="宋体" w:cs="宋体"/>
          <w:bCs/>
          <w:szCs w:val="28"/>
          <w:highlight w:val="none"/>
          <w:lang w:val="en-US" w:eastAsia="zh-CN"/>
        </w:rPr>
        <w:t>六</w:t>
      </w:r>
      <w:r>
        <w:rPr>
          <w:rFonts w:hint="eastAsia" w:ascii="宋体" w:hAnsi="宋体" w:eastAsia="宋体" w:cs="宋体"/>
          <w:bCs/>
          <w:szCs w:val="28"/>
          <w:highlight w:val="none"/>
        </w:rPr>
        <w:t>、构成投标文件的其它资料</w:t>
      </w:r>
      <w:r>
        <w:tab/>
      </w:r>
      <w:r>
        <w:fldChar w:fldCharType="begin"/>
      </w:r>
      <w:r>
        <w:instrText xml:space="preserve"> PAGEREF _Toc31017 \h </w:instrText>
      </w:r>
      <w:r>
        <w:fldChar w:fldCharType="separate"/>
      </w:r>
      <w:r>
        <w:t>84</w:t>
      </w:r>
      <w:r>
        <w:fldChar w:fldCharType="end"/>
      </w:r>
      <w:r>
        <w:rPr>
          <w:rFonts w:hint="eastAsia" w:ascii="宋体" w:hAnsi="宋体" w:eastAsia="宋体" w:cs="宋体"/>
          <w:bCs/>
          <w:color w:val="auto"/>
          <w:szCs w:val="24"/>
          <w:highlight w:val="none"/>
          <w:lang w:val="en-US" w:eastAsia="zh-CN"/>
        </w:rPr>
        <w:fldChar w:fldCharType="end"/>
      </w:r>
    </w:p>
    <w:p w14:paraId="128CC876">
      <w:pPr>
        <w:keepNext w:val="0"/>
        <w:keepLines w:val="0"/>
        <w:pageBreakBefore w:val="0"/>
        <w:widowControl w:val="0"/>
        <w:kinsoku/>
        <w:wordWrap/>
        <w:overflowPunct/>
        <w:topLinePunct w:val="0"/>
        <w:autoSpaceDE/>
        <w:autoSpaceDN/>
        <w:bidi w:val="0"/>
        <w:snapToGrid/>
        <w:spacing w:beforeAutospacing="0" w:afterAutospacing="0" w:line="360" w:lineRule="auto"/>
        <w:rPr>
          <w:rFonts w:hint="eastAsia" w:ascii="宋体" w:hAnsi="宋体" w:eastAsia="宋体" w:cs="宋体"/>
          <w:color w:val="auto"/>
          <w:highlight w:val="none"/>
          <w:lang w:val="en-US" w:eastAsia="zh-CN"/>
        </w:rPr>
        <w:sectPr>
          <w:headerReference r:id="rId6" w:type="default"/>
          <w:footerReference r:id="rId7"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0" w:num="1"/>
          <w:docGrid w:type="lines" w:linePitch="312" w:charSpace="0"/>
        </w:sectPr>
      </w:pPr>
      <w:r>
        <w:rPr>
          <w:rFonts w:hint="eastAsia" w:ascii="宋体" w:hAnsi="宋体" w:eastAsia="宋体" w:cs="宋体"/>
          <w:bCs/>
          <w:color w:val="auto"/>
          <w:szCs w:val="24"/>
          <w:highlight w:val="none"/>
          <w:lang w:val="en-US" w:eastAsia="zh-CN"/>
        </w:rPr>
        <w:fldChar w:fldCharType="end"/>
      </w:r>
    </w:p>
    <w:p w14:paraId="2349AB8C">
      <w:pPr>
        <w:pStyle w:val="2"/>
        <w:pageBreakBefore w:val="0"/>
        <w:numPr>
          <w:ilvl w:val="3"/>
          <w:numId w:val="0"/>
        </w:numPr>
        <w:kinsoku/>
        <w:overflowPunct/>
        <w:topLinePunct w:val="0"/>
        <w:bidi w:val="0"/>
        <w:snapToGrid w:val="0"/>
        <w:spacing w:beforeAutospacing="0" w:afterAutospacing="0" w:line="360" w:lineRule="auto"/>
        <w:jc w:val="center"/>
        <w:rPr>
          <w:rFonts w:hint="eastAsia" w:ascii="宋体" w:hAnsi="宋体" w:eastAsia="宋体" w:cs="宋体"/>
          <w:iCs/>
          <w:color w:val="auto"/>
          <w:sz w:val="40"/>
          <w:szCs w:val="32"/>
          <w:highlight w:val="none"/>
        </w:rPr>
      </w:pPr>
      <w:bookmarkStart w:id="55" w:name="_Toc7305"/>
      <w:bookmarkStart w:id="56" w:name="_Toc21102"/>
      <w:bookmarkStart w:id="57" w:name="_Toc8610"/>
      <w:bookmarkStart w:id="58" w:name="_Toc23503"/>
      <w:r>
        <w:rPr>
          <w:rFonts w:hint="eastAsia" w:ascii="宋体" w:hAnsi="宋体" w:eastAsia="宋体" w:cs="宋体"/>
          <w:iCs/>
          <w:color w:val="auto"/>
          <w:sz w:val="40"/>
          <w:szCs w:val="32"/>
          <w:highlight w:val="none"/>
        </w:rPr>
        <w:t>第一章  招标公告</w:t>
      </w:r>
      <w:bookmarkEnd w:id="54"/>
      <w:bookmarkEnd w:id="55"/>
      <w:bookmarkEnd w:id="56"/>
      <w:bookmarkEnd w:id="57"/>
      <w:bookmarkEnd w:id="58"/>
    </w:p>
    <w:p w14:paraId="5D171E74">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bCs/>
          <w:color w:val="auto"/>
          <w:sz w:val="32"/>
          <w:szCs w:val="32"/>
          <w:highlight w:val="none"/>
          <w:lang w:eastAsia="zh-CN"/>
        </w:rPr>
        <w:t>云南省地质矿产勘查开发局中心实验室（自然资源部昆明矿产资源检测中心）</w:t>
      </w:r>
      <w:r>
        <w:rPr>
          <w:rFonts w:hint="eastAsia" w:ascii="宋体" w:hAnsi="宋体" w:cs="宋体"/>
          <w:b/>
          <w:bCs/>
          <w:color w:val="auto"/>
          <w:sz w:val="32"/>
          <w:szCs w:val="32"/>
          <w:highlight w:val="none"/>
          <w:lang w:val="en-US" w:eastAsia="zh-CN"/>
        </w:rPr>
        <w:t>超高效液相色谱三重四级杆质谱联用仪</w:t>
      </w:r>
      <w:r>
        <w:rPr>
          <w:rFonts w:hint="eastAsia" w:ascii="宋体" w:hAnsi="宋体" w:eastAsia="宋体" w:cs="宋体"/>
          <w:b/>
          <w:bCs/>
          <w:color w:val="auto"/>
          <w:sz w:val="32"/>
          <w:szCs w:val="32"/>
          <w:highlight w:val="none"/>
        </w:rPr>
        <w:t>公开招标公告</w:t>
      </w:r>
    </w:p>
    <w:p w14:paraId="285E5A60">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1F2A634">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u w:val="single"/>
          <w:lang w:eastAsia="zh-CN"/>
        </w:rPr>
        <w:t>超高效液相色谱三重四级杆质谱联用仪</w:t>
      </w:r>
      <w:r>
        <w:rPr>
          <w:rFonts w:hint="eastAsia" w:ascii="宋体" w:hAnsi="宋体" w:eastAsia="宋体" w:cs="宋体"/>
          <w:color w:val="auto"/>
          <w:sz w:val="24"/>
          <w:szCs w:val="24"/>
          <w:highlight w:val="none"/>
        </w:rPr>
        <w:t>的潜在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u w:val="single"/>
        </w:rPr>
        <w:t>政采云平台（https://www.zcygov.cn/）线上（下载）</w:t>
      </w:r>
      <w:r>
        <w:rPr>
          <w:rFonts w:hint="eastAsia" w:ascii="宋体" w:hAnsi="宋体" w:eastAsia="宋体" w:cs="宋体"/>
          <w:color w:val="auto"/>
          <w:sz w:val="24"/>
          <w:szCs w:val="24"/>
          <w:highlight w:val="none"/>
        </w:rPr>
        <w:t>获取招标文件，并于</w:t>
      </w:r>
      <w:r>
        <w:rPr>
          <w:rFonts w:hint="eastAsia" w:ascii="宋体" w:hAnsi="宋体" w:eastAsia="宋体" w:cs="宋体"/>
          <w:color w:val="auto"/>
          <w:sz w:val="24"/>
          <w:szCs w:val="24"/>
          <w:highlight w:val="none"/>
          <w:u w:val="single"/>
          <w:lang w:eastAsia="zh-CN"/>
        </w:rPr>
        <w:t>202</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eastAsia="zh-CN"/>
        </w:rPr>
        <w:t>年</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月</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lang w:eastAsia="zh-CN"/>
        </w:rPr>
        <w:t>日</w:t>
      </w:r>
      <w:r>
        <w:rPr>
          <w:rFonts w:hint="eastAsia" w:ascii="宋体" w:hAnsi="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lang w:eastAsia="zh-CN"/>
        </w:rPr>
        <w:t>时</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lang w:eastAsia="zh-CN"/>
        </w:rPr>
        <w:t>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3CE599B9">
      <w:pPr>
        <w:keepNext w:val="0"/>
        <w:keepLines w:val="0"/>
        <w:pageBreakBefore w:val="0"/>
        <w:widowControl w:val="0"/>
        <w:kinsoku/>
        <w:wordWrap/>
        <w:overflowPunct/>
        <w:topLinePunct w:val="0"/>
        <w:autoSpaceDE/>
        <w:autoSpaceDN/>
        <w:bidi w:val="0"/>
        <w:adjustRightInd/>
        <w:snapToGrid/>
        <w:spacing w:beforeAutospacing="0" w:afterAutospacing="0" w:line="440" w:lineRule="exact"/>
        <w:textAlignment w:val="auto"/>
        <w:outlineLvl w:val="1"/>
        <w:rPr>
          <w:rFonts w:hint="eastAsia" w:ascii="宋体" w:hAnsi="宋体" w:eastAsia="宋体" w:cs="宋体"/>
          <w:b/>
          <w:bCs/>
          <w:color w:val="auto"/>
          <w:sz w:val="24"/>
          <w:szCs w:val="24"/>
          <w:highlight w:val="none"/>
        </w:rPr>
      </w:pPr>
      <w:bookmarkStart w:id="59" w:name="_Toc35393621"/>
      <w:bookmarkStart w:id="60" w:name="_Toc28359002"/>
      <w:bookmarkStart w:id="61" w:name="_Toc35393790"/>
      <w:bookmarkStart w:id="62" w:name="_Toc4426"/>
      <w:bookmarkStart w:id="63" w:name="_Toc15511"/>
      <w:bookmarkStart w:id="64" w:name="_Toc32692"/>
      <w:bookmarkStart w:id="65" w:name="_Toc28359079"/>
      <w:bookmarkStart w:id="66" w:name="_Toc23798"/>
      <w:bookmarkStart w:id="67" w:name="_Hlk24379207"/>
      <w:r>
        <w:rPr>
          <w:rFonts w:hint="eastAsia" w:ascii="宋体" w:hAnsi="宋体" w:eastAsia="宋体" w:cs="宋体"/>
          <w:b/>
          <w:bCs/>
          <w:color w:val="auto"/>
          <w:sz w:val="24"/>
          <w:szCs w:val="24"/>
          <w:highlight w:val="none"/>
        </w:rPr>
        <w:t>一、项目基本情况</w:t>
      </w:r>
      <w:bookmarkEnd w:id="59"/>
      <w:bookmarkEnd w:id="60"/>
      <w:bookmarkEnd w:id="61"/>
      <w:bookmarkEnd w:id="62"/>
      <w:bookmarkEnd w:id="63"/>
      <w:bookmarkEnd w:id="64"/>
      <w:bookmarkEnd w:id="65"/>
      <w:bookmarkEnd w:id="66"/>
    </w:p>
    <w:p w14:paraId="712B756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1.项目编号：</w:t>
      </w:r>
      <w:r>
        <w:rPr>
          <w:rFonts w:hint="eastAsia" w:ascii="宋体" w:hAnsi="宋体" w:cs="宋体"/>
          <w:color w:val="auto"/>
          <w:sz w:val="24"/>
          <w:szCs w:val="24"/>
          <w:highlight w:val="none"/>
          <w:lang w:eastAsia="zh-CN"/>
        </w:rPr>
        <w:t>YNZC2025-G1-03229-YNGH-0168</w:t>
      </w:r>
      <w:r>
        <w:rPr>
          <w:rFonts w:hint="eastAsia" w:ascii="宋体" w:hAnsi="宋体" w:eastAsia="宋体" w:cs="宋体"/>
          <w:color w:val="auto"/>
          <w:sz w:val="24"/>
          <w:szCs w:val="24"/>
          <w:highlight w:val="none"/>
        </w:rPr>
        <w:t>；</w:t>
      </w:r>
    </w:p>
    <w:p w14:paraId="0E84E906">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2.项目名称：</w:t>
      </w:r>
      <w:r>
        <w:rPr>
          <w:rFonts w:hint="eastAsia" w:ascii="宋体" w:hAnsi="宋体" w:cs="宋体"/>
          <w:color w:val="auto"/>
          <w:sz w:val="24"/>
          <w:szCs w:val="24"/>
          <w:highlight w:val="none"/>
          <w:lang w:eastAsia="zh-CN"/>
        </w:rPr>
        <w:t>超高效液相色谱三重四级杆质谱联用仪</w:t>
      </w:r>
      <w:r>
        <w:rPr>
          <w:rFonts w:hint="eastAsia" w:ascii="宋体" w:hAnsi="宋体" w:eastAsia="宋体" w:cs="宋体"/>
          <w:color w:val="auto"/>
          <w:sz w:val="24"/>
          <w:szCs w:val="24"/>
          <w:highlight w:val="none"/>
        </w:rPr>
        <w:t>；</w:t>
      </w:r>
    </w:p>
    <w:bookmarkEnd w:id="67"/>
    <w:p w14:paraId="3717FF9F">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3.预算金额：</w:t>
      </w:r>
      <w:r>
        <w:rPr>
          <w:rFonts w:hint="eastAsia" w:ascii="宋体" w:hAnsi="宋体" w:cs="宋体"/>
          <w:color w:val="auto"/>
          <w:sz w:val="24"/>
          <w:szCs w:val="24"/>
          <w:highlight w:val="none"/>
          <w:lang w:val="en-US" w:eastAsia="zh-CN"/>
        </w:rPr>
        <w:t>叁佰伍拾伍万元整</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3550000.00</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w:t>
      </w:r>
    </w:p>
    <w:p w14:paraId="3CA7806A">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4.最高限价：</w:t>
      </w:r>
      <w:r>
        <w:rPr>
          <w:rFonts w:hint="eastAsia" w:ascii="宋体" w:hAnsi="宋体" w:cs="宋体"/>
          <w:b w:val="0"/>
          <w:bCs w:val="0"/>
          <w:color w:val="auto"/>
          <w:sz w:val="24"/>
          <w:szCs w:val="24"/>
          <w:highlight w:val="none"/>
          <w:lang w:val="en-US" w:eastAsia="zh-CN"/>
        </w:rPr>
        <w:t>叁佰伍拾伍万元整（¥3550000.00元）</w:t>
      </w:r>
      <w:r>
        <w:rPr>
          <w:rFonts w:hint="eastAsia" w:ascii="宋体" w:hAnsi="宋体" w:eastAsia="宋体" w:cs="宋体"/>
          <w:b w:val="0"/>
          <w:bCs w:val="0"/>
          <w:color w:val="auto"/>
          <w:sz w:val="24"/>
          <w:szCs w:val="24"/>
          <w:highlight w:val="none"/>
        </w:rPr>
        <w:t>；</w:t>
      </w:r>
    </w:p>
    <w:p w14:paraId="0F2F560C">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bCs/>
          <w:color w:val="auto"/>
          <w:sz w:val="24"/>
          <w:szCs w:val="24"/>
          <w:highlight w:val="none"/>
          <w:lang w:val="zh-CN"/>
        </w:rPr>
        <w:t>5.采购需求：</w:t>
      </w:r>
      <w:r>
        <w:rPr>
          <w:rFonts w:hint="eastAsia" w:ascii="宋体" w:hAnsi="宋体" w:cs="宋体"/>
          <w:b w:val="0"/>
          <w:bCs w:val="0"/>
          <w:color w:val="auto"/>
          <w:sz w:val="24"/>
          <w:szCs w:val="24"/>
          <w:highlight w:val="none"/>
          <w:lang w:val="en-US" w:eastAsia="zh-CN"/>
        </w:rPr>
        <w:t>拟</w:t>
      </w:r>
      <w:r>
        <w:rPr>
          <w:rFonts w:hint="eastAsia" w:ascii="宋体" w:hAnsi="宋体" w:cs="宋体"/>
          <w:b w:val="0"/>
          <w:bCs w:val="0"/>
          <w:color w:val="auto"/>
          <w:sz w:val="24"/>
          <w:szCs w:val="24"/>
          <w:highlight w:val="none"/>
          <w:lang w:val="zh-CN"/>
        </w:rPr>
        <w:t>采购</w:t>
      </w:r>
      <w:r>
        <w:rPr>
          <w:rFonts w:hint="eastAsia" w:ascii="宋体" w:hAnsi="宋体" w:cs="宋体"/>
          <w:b w:val="0"/>
          <w:bCs w:val="0"/>
          <w:color w:val="auto"/>
          <w:sz w:val="24"/>
          <w:szCs w:val="24"/>
          <w:highlight w:val="none"/>
          <w:lang w:val="en-US" w:eastAsia="zh-CN"/>
        </w:rPr>
        <w:t>1套</w:t>
      </w:r>
      <w:r>
        <w:rPr>
          <w:rFonts w:hint="eastAsia" w:ascii="宋体" w:hAnsi="宋体" w:cs="宋体"/>
          <w:b w:val="0"/>
          <w:bCs w:val="0"/>
          <w:color w:val="auto"/>
          <w:sz w:val="24"/>
          <w:szCs w:val="24"/>
          <w:highlight w:val="none"/>
          <w:lang w:val="zh-CN" w:eastAsia="zh-CN"/>
        </w:rPr>
        <w:t>超高效液相色谱三重四级杆质谱联用仪</w:t>
      </w:r>
      <w:r>
        <w:rPr>
          <w:rFonts w:hint="eastAsia" w:ascii="宋体" w:hAnsi="宋体" w:cs="宋体"/>
          <w:b w:val="0"/>
          <w:bCs w:val="0"/>
          <w:color w:val="auto"/>
          <w:sz w:val="24"/>
          <w:szCs w:val="24"/>
          <w:highlight w:val="none"/>
          <w:lang w:val="zh-CN"/>
        </w:rPr>
        <w:t>。</w:t>
      </w:r>
    </w:p>
    <w:p w14:paraId="07775B6D">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highlight w:val="none"/>
        </w:rPr>
        <w:t>★注：（1）本项目</w:t>
      </w:r>
      <w:r>
        <w:rPr>
          <w:rFonts w:hint="eastAsia" w:ascii="宋体" w:hAnsi="宋体" w:eastAsia="宋体" w:cs="宋体"/>
          <w:b/>
          <w:bCs/>
          <w:color w:val="auto"/>
          <w:sz w:val="24"/>
          <w:highlight w:val="none"/>
          <w:lang w:eastAsia="zh-CN"/>
        </w:rPr>
        <w:t>投标人</w:t>
      </w:r>
      <w:r>
        <w:rPr>
          <w:rFonts w:hint="eastAsia" w:ascii="宋体" w:hAnsi="宋体" w:eastAsia="宋体" w:cs="宋体"/>
          <w:b/>
          <w:bCs/>
          <w:color w:val="auto"/>
          <w:sz w:val="24"/>
          <w:highlight w:val="none"/>
        </w:rPr>
        <w:t>须对项目进行整体报价，不得缺项、漏项，否则</w:t>
      </w:r>
      <w:r>
        <w:rPr>
          <w:rFonts w:hint="eastAsia" w:ascii="宋体" w:hAnsi="宋体" w:eastAsia="宋体" w:cs="宋体"/>
          <w:b/>
          <w:bCs/>
          <w:color w:val="auto"/>
          <w:sz w:val="24"/>
          <w:highlight w:val="none"/>
          <w:lang w:eastAsia="zh-CN"/>
        </w:rPr>
        <w:t>投标文件</w:t>
      </w:r>
      <w:r>
        <w:rPr>
          <w:rFonts w:hint="eastAsia" w:ascii="宋体" w:hAnsi="宋体" w:eastAsia="宋体" w:cs="宋体"/>
          <w:b/>
          <w:bCs/>
          <w:color w:val="auto"/>
          <w:sz w:val="24"/>
          <w:highlight w:val="none"/>
        </w:rPr>
        <w:t>无效；（2）</w:t>
      </w:r>
      <w:r>
        <w:rPr>
          <w:rFonts w:hint="eastAsia" w:ascii="宋体" w:hAnsi="宋体" w:eastAsia="宋体" w:cs="宋体"/>
          <w:b/>
          <w:bCs/>
          <w:color w:val="auto"/>
          <w:sz w:val="24"/>
          <w:highlight w:val="none"/>
          <w:lang w:eastAsia="zh-CN"/>
        </w:rPr>
        <w:t>投标人</w:t>
      </w:r>
      <w:r>
        <w:rPr>
          <w:rFonts w:hint="eastAsia" w:ascii="宋体" w:hAnsi="宋体" w:eastAsia="宋体" w:cs="宋体"/>
          <w:b/>
          <w:bCs/>
          <w:color w:val="auto"/>
          <w:sz w:val="24"/>
          <w:highlight w:val="none"/>
        </w:rPr>
        <w:t>须保证本项目中所投设备（产品）配套（产品）及预装的所有设备（产品）均为全新设备（产品）；（3）本项目不接受进口产品，进口产品是指通过中国海关报关验放进入中国境内且产自关境外的产品。</w:t>
      </w:r>
    </w:p>
    <w:p w14:paraId="10C30534">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highlight w:val="none"/>
        </w:rPr>
        <w:t>★</w:t>
      </w: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val="en-US" w:eastAsia="zh-CN"/>
        </w:rPr>
        <w:t>合同履行期限</w:t>
      </w:r>
      <w:r>
        <w:rPr>
          <w:rFonts w:hint="eastAsia" w:ascii="宋体" w:hAnsi="宋体" w:eastAsia="宋体" w:cs="宋体"/>
          <w:b/>
          <w:bCs/>
          <w:color w:val="auto"/>
          <w:sz w:val="24"/>
          <w:szCs w:val="24"/>
          <w:highlight w:val="none"/>
        </w:rPr>
        <w:t>：</w:t>
      </w:r>
      <w:r>
        <w:rPr>
          <w:rFonts w:hint="eastAsia" w:ascii="宋体" w:hAnsi="宋体" w:cs="宋体"/>
          <w:b w:val="0"/>
          <w:bCs w:val="0"/>
          <w:color w:val="auto"/>
          <w:sz w:val="24"/>
          <w:szCs w:val="24"/>
          <w:highlight w:val="none"/>
          <w:lang w:val="en-US" w:eastAsia="zh-CN"/>
        </w:rPr>
        <w:t>合同签订生效后45日历天内完成供货及安装调试并交付使用</w:t>
      </w:r>
      <w:r>
        <w:rPr>
          <w:rFonts w:hint="eastAsia" w:ascii="宋体" w:hAnsi="宋体" w:eastAsia="宋体" w:cs="宋体"/>
          <w:color w:val="auto"/>
          <w:sz w:val="24"/>
          <w:szCs w:val="24"/>
          <w:highlight w:val="none"/>
        </w:rPr>
        <w:t>；</w:t>
      </w:r>
    </w:p>
    <w:p w14:paraId="262FE08E">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7.交付地点：</w:t>
      </w:r>
      <w:r>
        <w:rPr>
          <w:rFonts w:hint="eastAsia" w:ascii="宋体" w:hAnsi="宋体" w:cs="宋体"/>
          <w:b w:val="0"/>
          <w:bCs w:val="0"/>
          <w:color w:val="auto"/>
          <w:sz w:val="24"/>
          <w:szCs w:val="24"/>
          <w:highlight w:val="none"/>
          <w:lang w:val="en-US" w:eastAsia="zh-CN"/>
        </w:rPr>
        <w:t>云南省昆明市</w:t>
      </w:r>
      <w:r>
        <w:rPr>
          <w:rFonts w:hint="eastAsia" w:ascii="宋体" w:hAnsi="宋体" w:eastAsia="宋体" w:cs="宋体"/>
          <w:b w:val="0"/>
          <w:bCs w:val="0"/>
          <w:color w:val="auto"/>
          <w:sz w:val="24"/>
          <w:szCs w:val="24"/>
          <w:highlight w:val="none"/>
        </w:rPr>
        <w:t>；</w:t>
      </w:r>
    </w:p>
    <w:p w14:paraId="27192295">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8.质量要求：</w:t>
      </w:r>
      <w:r>
        <w:rPr>
          <w:rFonts w:hint="eastAsia" w:ascii="宋体" w:hAnsi="宋体" w:eastAsia="宋体" w:cs="宋体"/>
          <w:b w:val="0"/>
          <w:bCs w:val="0"/>
          <w:color w:val="auto"/>
          <w:sz w:val="24"/>
          <w:szCs w:val="24"/>
          <w:highlight w:val="none"/>
          <w:lang w:val="en-US" w:eastAsia="zh-CN"/>
        </w:rPr>
        <w:t>保证提供的产品（货物）是全新的、符合采购需求、符合国家质量检测标准和产品出厂标准的正品产品（货物）</w:t>
      </w:r>
      <w:r>
        <w:rPr>
          <w:rFonts w:hint="eastAsia" w:ascii="宋体" w:hAnsi="宋体" w:cs="宋体"/>
          <w:b w:val="0"/>
          <w:bCs w:val="0"/>
          <w:color w:val="auto"/>
          <w:sz w:val="24"/>
          <w:szCs w:val="24"/>
          <w:highlight w:val="none"/>
          <w:lang w:val="en-US" w:eastAsia="zh-CN"/>
        </w:rPr>
        <w:t>；</w:t>
      </w:r>
    </w:p>
    <w:p w14:paraId="04E2C490">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.本项目不接受联合体参与投标。</w:t>
      </w:r>
    </w:p>
    <w:p w14:paraId="581C79EF">
      <w:pPr>
        <w:keepNext w:val="0"/>
        <w:keepLines w:val="0"/>
        <w:pageBreakBefore w:val="0"/>
        <w:widowControl w:val="0"/>
        <w:kinsoku/>
        <w:wordWrap/>
        <w:overflowPunct/>
        <w:topLinePunct w:val="0"/>
        <w:autoSpaceDE/>
        <w:autoSpaceDN/>
        <w:bidi w:val="0"/>
        <w:adjustRightInd/>
        <w:snapToGrid/>
        <w:spacing w:beforeAutospacing="0" w:afterAutospacing="0" w:line="440" w:lineRule="exact"/>
        <w:textAlignment w:val="auto"/>
        <w:outlineLvl w:val="1"/>
        <w:rPr>
          <w:rFonts w:hint="eastAsia" w:ascii="宋体" w:hAnsi="宋体" w:eastAsia="宋体" w:cs="宋体"/>
          <w:b/>
          <w:bCs/>
          <w:color w:val="auto"/>
          <w:sz w:val="24"/>
          <w:szCs w:val="24"/>
          <w:highlight w:val="none"/>
        </w:rPr>
      </w:pPr>
      <w:bookmarkStart w:id="68" w:name="_Toc4992"/>
      <w:bookmarkStart w:id="69" w:name="_Toc28359080"/>
      <w:bookmarkStart w:id="70" w:name="_Toc32320"/>
      <w:bookmarkStart w:id="71" w:name="_Toc16883"/>
      <w:bookmarkStart w:id="72" w:name="_Toc35393622"/>
      <w:bookmarkStart w:id="73" w:name="_Toc28359003"/>
      <w:bookmarkStart w:id="74" w:name="_Toc35393791"/>
      <w:bookmarkStart w:id="75" w:name="_Toc5926"/>
      <w:r>
        <w:rPr>
          <w:rFonts w:hint="eastAsia" w:ascii="宋体" w:hAnsi="宋体" w:eastAsia="宋体" w:cs="宋体"/>
          <w:b/>
          <w:bCs/>
          <w:color w:val="auto"/>
          <w:sz w:val="24"/>
          <w:szCs w:val="24"/>
          <w:highlight w:val="none"/>
        </w:rPr>
        <w:t>二、申请人的资格要求：</w:t>
      </w:r>
      <w:bookmarkEnd w:id="68"/>
      <w:bookmarkEnd w:id="69"/>
      <w:bookmarkEnd w:id="70"/>
      <w:bookmarkEnd w:id="71"/>
      <w:bookmarkEnd w:id="72"/>
      <w:bookmarkEnd w:id="73"/>
      <w:bookmarkEnd w:id="74"/>
      <w:bookmarkEnd w:id="75"/>
    </w:p>
    <w:p w14:paraId="049A3E84">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1.满足《中华人民共和国政府采购法》第二十二条规定：</w:t>
      </w:r>
      <w:r>
        <w:rPr>
          <w:rFonts w:hint="eastAsia" w:ascii="宋体" w:hAnsi="宋体" w:eastAsia="宋体" w:cs="宋体"/>
          <w:color w:val="auto"/>
          <w:sz w:val="24"/>
          <w:szCs w:val="24"/>
          <w:highlight w:val="none"/>
        </w:rPr>
        <w:t>（1）具有独立承担民事责任的能力；（2）具有良好的商业信誉和健全的财务会计制度；（3）具有履行合同所必需的设备和专业技术能力；（4）有依法缴纳税收和社会保障资金的良好记录；（5）参加政府采购活动前三年内，在经营活动中没有重大违法记录；（6）法律、行政法规规定的其他条件。</w:t>
      </w:r>
    </w:p>
    <w:p w14:paraId="31407430">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highlight w:val="none"/>
        </w:rPr>
      </w:pPr>
      <w:bookmarkStart w:id="76" w:name="_Toc28359004"/>
      <w:bookmarkStart w:id="77" w:name="_Toc28359081"/>
      <w:r>
        <w:rPr>
          <w:rFonts w:hint="eastAsia" w:ascii="宋体" w:hAnsi="宋体" w:eastAsia="宋体" w:cs="宋体"/>
          <w:b/>
          <w:bCs/>
          <w:color w:val="auto"/>
          <w:sz w:val="24"/>
          <w:szCs w:val="24"/>
          <w:highlight w:val="none"/>
        </w:rPr>
        <w:t>2.落实政府采购政策需满足的资格要求：</w:t>
      </w:r>
      <w:r>
        <w:rPr>
          <w:rFonts w:hint="eastAsia" w:ascii="宋体" w:hAnsi="宋体" w:cs="宋体"/>
          <w:color w:val="auto"/>
          <w:sz w:val="24"/>
          <w:szCs w:val="24"/>
          <w:highlight w:val="none"/>
          <w:lang w:eastAsia="zh-CN"/>
        </w:rPr>
        <w:t>本项目属于非专门面向中小微企业采购的项目</w:t>
      </w:r>
      <w:r>
        <w:rPr>
          <w:rFonts w:hint="eastAsia" w:ascii="宋体" w:hAnsi="宋体" w:eastAsia="宋体" w:cs="宋体"/>
          <w:color w:val="auto"/>
          <w:sz w:val="24"/>
          <w:szCs w:val="24"/>
          <w:highlight w:val="none"/>
        </w:rPr>
        <w:t>。</w:t>
      </w:r>
    </w:p>
    <w:p w14:paraId="4176D7AB">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3.本项目的特定资格要求</w:t>
      </w:r>
      <w:bookmarkStart w:id="78" w:name="_Toc35393623"/>
      <w:bookmarkStart w:id="79" w:name="_Toc35393792"/>
      <w:r>
        <w:rPr>
          <w:rFonts w:hint="eastAsia" w:ascii="宋体" w:hAnsi="宋体" w:eastAsia="宋体" w:cs="宋体"/>
          <w:b/>
          <w:bCs/>
          <w:color w:val="auto"/>
          <w:sz w:val="24"/>
          <w:szCs w:val="24"/>
          <w:highlight w:val="none"/>
        </w:rPr>
        <w:t>：</w:t>
      </w:r>
      <w:r>
        <w:rPr>
          <w:rFonts w:hint="eastAsia" w:ascii="宋体" w:hAnsi="宋体" w:eastAsia="宋体" w:cs="宋体"/>
          <w:b w:val="0"/>
          <w:bCs w:val="0"/>
          <w:color w:val="auto"/>
          <w:sz w:val="24"/>
          <w:szCs w:val="24"/>
          <w:highlight w:val="none"/>
          <w:lang w:val="en-US" w:eastAsia="zh-CN"/>
        </w:rPr>
        <w:t>无</w:t>
      </w:r>
      <w:r>
        <w:rPr>
          <w:rFonts w:hint="eastAsia" w:ascii="宋体" w:hAnsi="宋体" w:eastAsia="宋体" w:cs="宋体"/>
          <w:color w:val="auto"/>
          <w:sz w:val="24"/>
          <w:szCs w:val="24"/>
          <w:highlight w:val="none"/>
          <w:lang w:eastAsia="zh-CN"/>
        </w:rPr>
        <w:t>。</w:t>
      </w:r>
    </w:p>
    <w:p w14:paraId="753DCBA4">
      <w:pPr>
        <w:keepNext w:val="0"/>
        <w:keepLines w:val="0"/>
        <w:pageBreakBefore w:val="0"/>
        <w:widowControl w:val="0"/>
        <w:kinsoku/>
        <w:wordWrap/>
        <w:overflowPunct/>
        <w:topLinePunct w:val="0"/>
        <w:autoSpaceDE/>
        <w:autoSpaceDN/>
        <w:bidi w:val="0"/>
        <w:adjustRightInd/>
        <w:snapToGrid/>
        <w:spacing w:beforeAutospacing="0" w:afterAutospacing="0" w:line="440" w:lineRule="exact"/>
        <w:textAlignment w:val="auto"/>
        <w:outlineLvl w:val="1"/>
        <w:rPr>
          <w:rFonts w:hint="eastAsia" w:ascii="宋体" w:hAnsi="宋体" w:eastAsia="宋体" w:cs="宋体"/>
          <w:b/>
          <w:bCs/>
          <w:color w:val="auto"/>
          <w:sz w:val="24"/>
          <w:szCs w:val="24"/>
          <w:highlight w:val="none"/>
        </w:rPr>
      </w:pPr>
      <w:bookmarkStart w:id="80" w:name="_Toc21809"/>
      <w:bookmarkStart w:id="81" w:name="_Toc12161"/>
      <w:bookmarkStart w:id="82" w:name="_Toc29187"/>
      <w:bookmarkStart w:id="83" w:name="_Toc13597"/>
      <w:r>
        <w:rPr>
          <w:rFonts w:hint="eastAsia" w:ascii="宋体" w:hAnsi="宋体" w:eastAsia="宋体" w:cs="宋体"/>
          <w:b/>
          <w:bCs/>
          <w:color w:val="auto"/>
          <w:sz w:val="24"/>
          <w:szCs w:val="24"/>
          <w:highlight w:val="none"/>
        </w:rPr>
        <w:t>三、获取招标文件</w:t>
      </w:r>
      <w:bookmarkEnd w:id="76"/>
      <w:bookmarkEnd w:id="77"/>
      <w:bookmarkEnd w:id="78"/>
      <w:bookmarkEnd w:id="79"/>
      <w:bookmarkEnd w:id="80"/>
      <w:bookmarkEnd w:id="81"/>
      <w:bookmarkEnd w:id="82"/>
      <w:bookmarkEnd w:id="83"/>
    </w:p>
    <w:p w14:paraId="65B09F2E">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color w:val="auto"/>
          <w:sz w:val="24"/>
          <w:szCs w:val="24"/>
          <w:highlight w:val="none"/>
        </w:rPr>
      </w:pPr>
      <w:bookmarkStart w:id="84" w:name="_Toc35393624"/>
      <w:bookmarkStart w:id="85" w:name="_Toc28359005"/>
      <w:bookmarkStart w:id="86" w:name="_Toc28359082"/>
      <w:bookmarkStart w:id="87" w:name="_Toc35393793"/>
      <w:r>
        <w:rPr>
          <w:rFonts w:hint="eastAsia" w:ascii="宋体" w:hAnsi="宋体" w:eastAsia="宋体" w:cs="宋体"/>
          <w:b/>
          <w:bCs/>
          <w:color w:val="auto"/>
          <w:sz w:val="24"/>
          <w:szCs w:val="24"/>
          <w:highlight w:val="none"/>
        </w:rPr>
        <w:t>1.时间：</w:t>
      </w:r>
      <w:r>
        <w:rPr>
          <w:rFonts w:hint="eastAsia" w:ascii="宋体" w:hAnsi="宋体" w:eastAsia="宋体" w:cs="宋体"/>
          <w:color w:val="auto"/>
          <w:sz w:val="24"/>
          <w:szCs w:val="24"/>
          <w:highlight w:val="none"/>
          <w:u w:val="single"/>
          <w:lang w:eastAsia="zh-CN"/>
        </w:rPr>
        <w:t>202</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u w:val="single"/>
          <w:lang w:val="en-US" w:eastAsia="zh-CN"/>
        </w:rPr>
        <w:t xml:space="preserve"> 6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u w:val="single"/>
          <w:lang w:val="en-US" w:eastAsia="zh-CN"/>
        </w:rPr>
        <w:t xml:space="preserve"> 10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lang w:eastAsia="zh-CN"/>
        </w:rPr>
        <w:t>202</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u w:val="single"/>
          <w:lang w:val="en-US" w:eastAsia="zh-CN"/>
        </w:rPr>
        <w:t xml:space="preserve"> 6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u w:val="single"/>
          <w:lang w:val="en-US" w:eastAsia="zh-CN"/>
        </w:rPr>
        <w:t xml:space="preserve"> 17 </w:t>
      </w:r>
      <w:r>
        <w:rPr>
          <w:rFonts w:hint="eastAsia" w:ascii="宋体" w:hAnsi="宋体" w:eastAsia="宋体" w:cs="宋体"/>
          <w:color w:val="auto"/>
          <w:sz w:val="24"/>
          <w:szCs w:val="24"/>
          <w:highlight w:val="none"/>
        </w:rPr>
        <w:t>日，每天</w:t>
      </w:r>
      <w:r>
        <w:rPr>
          <w:rFonts w:hint="eastAsia" w:ascii="宋体" w:hAnsi="宋体" w:eastAsia="宋体" w:cs="宋体"/>
          <w:color w:val="auto"/>
          <w:sz w:val="24"/>
          <w:szCs w:val="24"/>
          <w:highlight w:val="none"/>
          <w:u w:val="single"/>
          <w:lang w:val="en-US" w:eastAsia="zh-CN"/>
        </w:rPr>
        <w:t>0</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：00时</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u w:val="single"/>
          <w:lang w:val="en-US" w:eastAsia="zh-CN"/>
        </w:rPr>
        <w:t>23</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59</w:t>
      </w:r>
      <w:r>
        <w:rPr>
          <w:rFonts w:hint="eastAsia" w:ascii="宋体" w:hAnsi="宋体" w:eastAsia="宋体" w:cs="宋体"/>
          <w:color w:val="auto"/>
          <w:sz w:val="24"/>
          <w:szCs w:val="24"/>
          <w:highlight w:val="none"/>
          <w:u w:val="single"/>
        </w:rPr>
        <w:t>时</w:t>
      </w:r>
      <w:r>
        <w:rPr>
          <w:rFonts w:hint="eastAsia" w:ascii="宋体" w:hAnsi="宋体" w:eastAsia="宋体" w:cs="宋体"/>
          <w:color w:val="auto"/>
          <w:sz w:val="24"/>
          <w:szCs w:val="24"/>
          <w:highlight w:val="none"/>
        </w:rPr>
        <w:t>（北京时间，法定节假日除外）；</w:t>
      </w:r>
    </w:p>
    <w:p w14:paraId="14F0B27E">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8"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rPr>
        <w:t>2.地点：</w:t>
      </w:r>
      <w:r>
        <w:rPr>
          <w:rFonts w:hint="eastAsia" w:ascii="宋体" w:hAnsi="宋体" w:eastAsia="宋体" w:cs="宋体"/>
          <w:color w:val="auto"/>
          <w:spacing w:val="-6"/>
          <w:sz w:val="24"/>
          <w:szCs w:val="24"/>
          <w:highlight w:val="none"/>
        </w:rPr>
        <w:t>投标人须在“政采云”平台 （https://www.zcygov.cn）下载采购文件（操作路径：登录“政采云”平台-项目采购-获取采购文件-找到本项目-点击“申请获取采购文件”）；</w:t>
      </w:r>
    </w:p>
    <w:p w14:paraId="501C82AA">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8"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rPr>
        <w:t>3.方式：</w:t>
      </w:r>
      <w:r>
        <w:rPr>
          <w:rFonts w:hint="eastAsia" w:ascii="宋体" w:hAnsi="宋体" w:eastAsia="宋体" w:cs="宋体"/>
          <w:color w:val="auto"/>
          <w:spacing w:val="-6"/>
          <w:sz w:val="24"/>
          <w:szCs w:val="24"/>
          <w:highlight w:val="none"/>
        </w:rPr>
        <w:t>凡有意参加投标者，须在政采云平台办理数字证书（CA)，CA申领链接http://yzt.ynsmartcert.cn/cms/yztynghjs.html，数字证书（CA）办理完成后需在政采云平台绑定数字证书(CA)并在平台获取采购文件及其它采购资料。</w:t>
      </w:r>
    </w:p>
    <w:p w14:paraId="077FCDC4">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注:按上述要求获取文件的投标人视为合法获取了本项目采购文件，具备本项目的投标资格。各投标人应在开标前确保成为政采云平台供应商，并完成CA数字证书申领。因未注册入库，未办理CA数字证书等原因造成无法投标或投标失败等由投标人自行承担,有意参加投标的投标人，须在政采云平办理数字证书(CA) ，CA申领链接: http://yzt.ynsmartcert.cn/cms/yztynghjs.html。</w:t>
      </w:r>
    </w:p>
    <w:p w14:paraId="57F52A10">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（1）如有问题可拨打政采云客户服务热线95763进一咨询，数字证书问题可咨询云南壹证通CA：0871-67276028（紧急可拨19988166369）。</w:t>
      </w:r>
    </w:p>
    <w:p w14:paraId="6B55E39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如因投标人自身原因导致在规定时间内无法正常解密的(如:浏览器故障、未安装相关驱动、网络故障、加密CA与解密CA不一致等），视为投标人自动弃标，代理机构不予处理。</w:t>
      </w:r>
    </w:p>
    <w:p w14:paraId="10A2C3A6">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（2）云南本地投标人如之前已在云南CA在线数字证书办理网进行过注册并办理过企业数字证书（CA），直接绑定即可，无需重复办理（2022年1月1日前办理的云南CA需到云南CA办理处进行升级。</w:t>
      </w:r>
    </w:p>
    <w:p w14:paraId="49F3ACA6">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8"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rPr>
        <w:t>4.售价：</w:t>
      </w:r>
      <w:r>
        <w:rPr>
          <w:rFonts w:hint="eastAsia" w:ascii="宋体" w:hAnsi="宋体" w:eastAsia="宋体" w:cs="宋体"/>
          <w:color w:val="auto"/>
          <w:spacing w:val="-6"/>
          <w:sz w:val="24"/>
          <w:szCs w:val="24"/>
          <w:highlight w:val="none"/>
        </w:rPr>
        <w:t>0.00元。</w:t>
      </w:r>
    </w:p>
    <w:bookmarkEnd w:id="84"/>
    <w:bookmarkEnd w:id="85"/>
    <w:bookmarkEnd w:id="86"/>
    <w:bookmarkEnd w:id="87"/>
    <w:p w14:paraId="2DE06889">
      <w:pPr>
        <w:keepNext w:val="0"/>
        <w:keepLines w:val="0"/>
        <w:pageBreakBefore w:val="0"/>
        <w:widowControl w:val="0"/>
        <w:kinsoku/>
        <w:wordWrap/>
        <w:overflowPunct/>
        <w:topLinePunct w:val="0"/>
        <w:autoSpaceDE/>
        <w:autoSpaceDN/>
        <w:bidi w:val="0"/>
        <w:adjustRightInd/>
        <w:snapToGrid/>
        <w:spacing w:beforeAutospacing="0" w:afterAutospacing="0" w:line="440" w:lineRule="exact"/>
        <w:textAlignment w:val="auto"/>
        <w:outlineLvl w:val="1"/>
        <w:rPr>
          <w:rFonts w:hint="eastAsia" w:ascii="宋体" w:hAnsi="宋体" w:eastAsia="宋体" w:cs="宋体"/>
          <w:b/>
          <w:bCs/>
          <w:color w:val="auto"/>
          <w:sz w:val="24"/>
          <w:szCs w:val="24"/>
          <w:highlight w:val="none"/>
        </w:rPr>
      </w:pPr>
      <w:bookmarkStart w:id="88" w:name="_Toc35393632"/>
      <w:bookmarkStart w:id="89" w:name="_Toc9478"/>
      <w:bookmarkStart w:id="90" w:name="_Toc35393801"/>
      <w:bookmarkStart w:id="91" w:name="_Toc28359092"/>
      <w:bookmarkStart w:id="92" w:name="_Toc28359015"/>
      <w:bookmarkStart w:id="93" w:name="_Toc9675"/>
      <w:bookmarkStart w:id="94" w:name="_Toc26366"/>
      <w:bookmarkStart w:id="95" w:name="_Toc23411"/>
      <w:bookmarkStart w:id="96" w:name="_Toc28359084"/>
      <w:bookmarkStart w:id="97" w:name="_Toc35393625"/>
      <w:bookmarkStart w:id="98" w:name="_Toc35393794"/>
      <w:bookmarkStart w:id="99" w:name="_Toc28359007"/>
      <w:r>
        <w:rPr>
          <w:rFonts w:hint="eastAsia" w:ascii="宋体" w:hAnsi="宋体" w:eastAsia="宋体" w:cs="宋体"/>
          <w:b/>
          <w:bCs/>
          <w:color w:val="auto"/>
          <w:sz w:val="24"/>
          <w:szCs w:val="24"/>
          <w:highlight w:val="none"/>
        </w:rPr>
        <w:t>四、</w:t>
      </w:r>
      <w:bookmarkEnd w:id="88"/>
      <w:bookmarkEnd w:id="89"/>
      <w:bookmarkEnd w:id="90"/>
      <w:bookmarkEnd w:id="91"/>
      <w:bookmarkEnd w:id="92"/>
      <w:r>
        <w:rPr>
          <w:rFonts w:hint="eastAsia" w:ascii="宋体" w:hAnsi="宋体" w:eastAsia="宋体" w:cs="宋体"/>
          <w:b/>
          <w:bCs/>
          <w:color w:val="auto"/>
          <w:sz w:val="24"/>
          <w:szCs w:val="24"/>
          <w:highlight w:val="none"/>
        </w:rPr>
        <w:t>提交</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文件截止时间、开标时间和地点</w:t>
      </w:r>
      <w:bookmarkEnd w:id="93"/>
      <w:bookmarkEnd w:id="94"/>
      <w:bookmarkEnd w:id="95"/>
    </w:p>
    <w:p w14:paraId="12402720">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szCs w:val="24"/>
          <w:highlight w:val="none"/>
        </w:rPr>
        <w:t>提交</w:t>
      </w:r>
      <w:r>
        <w:rPr>
          <w:rFonts w:hint="eastAsia" w:ascii="宋体" w:hAnsi="宋体" w:eastAsia="宋体" w:cs="宋体"/>
          <w:b/>
          <w:bCs/>
          <w:color w:val="auto"/>
          <w:sz w:val="24"/>
          <w:highlight w:val="none"/>
        </w:rPr>
        <w:t>投标文件截止时间：</w:t>
      </w:r>
      <w:r>
        <w:rPr>
          <w:rFonts w:hint="eastAsia" w:ascii="宋体" w:hAnsi="宋体" w:eastAsia="宋体" w:cs="宋体"/>
          <w:b w:val="0"/>
          <w:bCs w:val="0"/>
          <w:color w:val="auto"/>
          <w:sz w:val="24"/>
          <w:highlight w:val="none"/>
          <w:u w:val="single"/>
          <w:lang w:eastAsia="zh-CN"/>
        </w:rPr>
        <w:t>202</w:t>
      </w:r>
      <w:r>
        <w:rPr>
          <w:rFonts w:hint="eastAsia" w:ascii="宋体" w:hAnsi="宋体" w:cs="宋体"/>
          <w:b w:val="0"/>
          <w:bCs w:val="0"/>
          <w:color w:val="auto"/>
          <w:sz w:val="24"/>
          <w:highlight w:val="none"/>
          <w:u w:val="single"/>
          <w:lang w:val="en-US" w:eastAsia="zh-CN"/>
        </w:rPr>
        <w:t>5</w:t>
      </w:r>
      <w:r>
        <w:rPr>
          <w:rFonts w:hint="eastAsia" w:ascii="宋体" w:hAnsi="宋体" w:eastAsia="宋体" w:cs="宋体"/>
          <w:b w:val="0"/>
          <w:bCs w:val="0"/>
          <w:color w:val="auto"/>
          <w:sz w:val="24"/>
          <w:highlight w:val="none"/>
          <w:u w:val="single"/>
          <w:lang w:eastAsia="zh-CN"/>
        </w:rPr>
        <w:t>年</w:t>
      </w:r>
      <w:r>
        <w:rPr>
          <w:rFonts w:hint="eastAsia" w:ascii="宋体" w:hAnsi="宋体" w:cs="宋体"/>
          <w:b w:val="0"/>
          <w:bCs w:val="0"/>
          <w:color w:val="auto"/>
          <w:sz w:val="24"/>
          <w:highlight w:val="none"/>
          <w:u w:val="single"/>
          <w:lang w:val="en-US" w:eastAsia="zh-CN"/>
        </w:rPr>
        <w:t>6</w:t>
      </w:r>
      <w:r>
        <w:rPr>
          <w:rFonts w:hint="eastAsia" w:ascii="宋体" w:hAnsi="宋体" w:eastAsia="宋体" w:cs="宋体"/>
          <w:b w:val="0"/>
          <w:bCs w:val="0"/>
          <w:color w:val="auto"/>
          <w:sz w:val="24"/>
          <w:highlight w:val="none"/>
          <w:u w:val="single"/>
          <w:lang w:eastAsia="zh-CN"/>
        </w:rPr>
        <w:t>月</w:t>
      </w:r>
      <w:r>
        <w:rPr>
          <w:rFonts w:hint="eastAsia" w:ascii="宋体" w:hAnsi="宋体" w:cs="宋体"/>
          <w:b w:val="0"/>
          <w:bCs w:val="0"/>
          <w:color w:val="auto"/>
          <w:sz w:val="24"/>
          <w:highlight w:val="none"/>
          <w:u w:val="single"/>
          <w:lang w:val="en-US" w:eastAsia="zh-CN"/>
        </w:rPr>
        <w:t xml:space="preserve"> 30 </w:t>
      </w:r>
      <w:r>
        <w:rPr>
          <w:rFonts w:hint="eastAsia" w:ascii="宋体" w:hAnsi="宋体" w:eastAsia="宋体" w:cs="宋体"/>
          <w:b w:val="0"/>
          <w:bCs w:val="0"/>
          <w:color w:val="auto"/>
          <w:sz w:val="24"/>
          <w:highlight w:val="none"/>
          <w:u w:val="single"/>
          <w:lang w:eastAsia="zh-CN"/>
        </w:rPr>
        <w:t>日</w:t>
      </w:r>
      <w:r>
        <w:rPr>
          <w:rFonts w:hint="eastAsia" w:ascii="宋体" w:hAnsi="宋体" w:cs="宋体"/>
          <w:b w:val="0"/>
          <w:bCs w:val="0"/>
          <w:color w:val="auto"/>
          <w:sz w:val="24"/>
          <w:highlight w:val="none"/>
          <w:u w:val="single"/>
          <w:lang w:val="en-US" w:eastAsia="zh-CN"/>
        </w:rPr>
        <w:t>09</w:t>
      </w:r>
      <w:r>
        <w:rPr>
          <w:rFonts w:hint="eastAsia" w:ascii="宋体" w:hAnsi="宋体" w:eastAsia="宋体" w:cs="宋体"/>
          <w:b w:val="0"/>
          <w:bCs w:val="0"/>
          <w:color w:val="auto"/>
          <w:sz w:val="24"/>
          <w:highlight w:val="none"/>
          <w:u w:val="single"/>
          <w:lang w:eastAsia="zh-CN"/>
        </w:rPr>
        <w:t>时</w:t>
      </w:r>
      <w:r>
        <w:rPr>
          <w:rFonts w:hint="eastAsia" w:ascii="宋体" w:hAnsi="宋体" w:cs="宋体"/>
          <w:b w:val="0"/>
          <w:bCs w:val="0"/>
          <w:color w:val="auto"/>
          <w:sz w:val="24"/>
          <w:highlight w:val="none"/>
          <w:u w:val="single"/>
          <w:lang w:val="en-US" w:eastAsia="zh-CN"/>
        </w:rPr>
        <w:t>30</w:t>
      </w:r>
      <w:r>
        <w:rPr>
          <w:rFonts w:hint="eastAsia" w:ascii="宋体" w:hAnsi="宋体" w:eastAsia="宋体" w:cs="宋体"/>
          <w:b w:val="0"/>
          <w:bCs w:val="0"/>
          <w:color w:val="auto"/>
          <w:sz w:val="24"/>
          <w:highlight w:val="none"/>
          <w:u w:val="single"/>
          <w:lang w:eastAsia="zh-CN"/>
        </w:rPr>
        <w:t>分</w:t>
      </w:r>
      <w:r>
        <w:rPr>
          <w:rFonts w:hint="eastAsia" w:ascii="宋体" w:hAnsi="宋体" w:eastAsia="宋体" w:cs="宋体"/>
          <w:b w:val="0"/>
          <w:bCs w:val="0"/>
          <w:color w:val="auto"/>
          <w:sz w:val="24"/>
          <w:highlight w:val="none"/>
        </w:rPr>
        <w:t>（北京时间）</w:t>
      </w:r>
    </w:p>
    <w:p w14:paraId="0DDF23DA">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2.开标时间：</w:t>
      </w:r>
      <w:r>
        <w:rPr>
          <w:rFonts w:hint="eastAsia" w:ascii="宋体" w:hAnsi="宋体" w:cs="宋体"/>
          <w:b w:val="0"/>
          <w:bCs w:val="0"/>
          <w:color w:val="auto"/>
          <w:sz w:val="24"/>
          <w:highlight w:val="none"/>
          <w:u w:val="single"/>
          <w:lang w:eastAsia="zh-CN"/>
        </w:rPr>
        <w:t>2025年</w:t>
      </w:r>
      <w:r>
        <w:rPr>
          <w:rFonts w:hint="eastAsia" w:ascii="宋体" w:hAnsi="宋体" w:cs="宋体"/>
          <w:b w:val="0"/>
          <w:bCs w:val="0"/>
          <w:color w:val="auto"/>
          <w:sz w:val="24"/>
          <w:highlight w:val="none"/>
          <w:u w:val="single"/>
          <w:lang w:val="en-US" w:eastAsia="zh-CN"/>
        </w:rPr>
        <w:t>6</w:t>
      </w:r>
      <w:r>
        <w:rPr>
          <w:rFonts w:hint="eastAsia" w:ascii="宋体" w:hAnsi="宋体" w:eastAsia="宋体" w:cs="宋体"/>
          <w:b w:val="0"/>
          <w:bCs w:val="0"/>
          <w:color w:val="auto"/>
          <w:sz w:val="24"/>
          <w:highlight w:val="none"/>
          <w:u w:val="single"/>
          <w:lang w:eastAsia="zh-CN"/>
        </w:rPr>
        <w:t>月</w:t>
      </w:r>
      <w:r>
        <w:rPr>
          <w:rFonts w:hint="eastAsia" w:ascii="宋体" w:hAnsi="宋体" w:cs="宋体"/>
          <w:b w:val="0"/>
          <w:bCs w:val="0"/>
          <w:color w:val="auto"/>
          <w:sz w:val="24"/>
          <w:highlight w:val="none"/>
          <w:u w:val="single"/>
          <w:lang w:val="en-US" w:eastAsia="zh-CN"/>
        </w:rPr>
        <w:t xml:space="preserve"> 30 </w:t>
      </w:r>
      <w:r>
        <w:rPr>
          <w:rFonts w:hint="eastAsia" w:ascii="宋体" w:hAnsi="宋体" w:eastAsia="宋体" w:cs="宋体"/>
          <w:b w:val="0"/>
          <w:bCs w:val="0"/>
          <w:color w:val="auto"/>
          <w:sz w:val="24"/>
          <w:highlight w:val="none"/>
          <w:u w:val="single"/>
          <w:lang w:eastAsia="zh-CN"/>
        </w:rPr>
        <w:t>日</w:t>
      </w:r>
      <w:r>
        <w:rPr>
          <w:rFonts w:hint="eastAsia" w:ascii="宋体" w:hAnsi="宋体" w:cs="宋体"/>
          <w:b w:val="0"/>
          <w:bCs w:val="0"/>
          <w:color w:val="auto"/>
          <w:sz w:val="24"/>
          <w:highlight w:val="none"/>
          <w:u w:val="single"/>
          <w:lang w:val="en-US" w:eastAsia="zh-CN"/>
        </w:rPr>
        <w:t>09</w:t>
      </w:r>
      <w:r>
        <w:rPr>
          <w:rFonts w:hint="eastAsia" w:ascii="宋体" w:hAnsi="宋体" w:eastAsia="宋体" w:cs="宋体"/>
          <w:b w:val="0"/>
          <w:bCs w:val="0"/>
          <w:color w:val="auto"/>
          <w:sz w:val="24"/>
          <w:highlight w:val="none"/>
          <w:u w:val="single"/>
          <w:lang w:eastAsia="zh-CN"/>
        </w:rPr>
        <w:t>时</w:t>
      </w:r>
      <w:r>
        <w:rPr>
          <w:rFonts w:hint="eastAsia" w:ascii="宋体" w:hAnsi="宋体" w:cs="宋体"/>
          <w:b w:val="0"/>
          <w:bCs w:val="0"/>
          <w:color w:val="auto"/>
          <w:sz w:val="24"/>
          <w:highlight w:val="none"/>
          <w:u w:val="single"/>
          <w:lang w:val="en-US" w:eastAsia="zh-CN"/>
        </w:rPr>
        <w:t>30</w:t>
      </w:r>
      <w:r>
        <w:rPr>
          <w:rFonts w:hint="eastAsia" w:ascii="宋体" w:hAnsi="宋体" w:eastAsia="宋体" w:cs="宋体"/>
          <w:b w:val="0"/>
          <w:bCs w:val="0"/>
          <w:color w:val="auto"/>
          <w:sz w:val="24"/>
          <w:highlight w:val="none"/>
          <w:u w:val="single"/>
          <w:lang w:eastAsia="zh-CN"/>
        </w:rPr>
        <w:t>分</w:t>
      </w:r>
      <w:r>
        <w:rPr>
          <w:rFonts w:hint="eastAsia" w:ascii="宋体" w:hAnsi="宋体" w:eastAsia="宋体" w:cs="宋体"/>
          <w:b w:val="0"/>
          <w:bCs w:val="0"/>
          <w:color w:val="auto"/>
          <w:sz w:val="24"/>
          <w:highlight w:val="none"/>
        </w:rPr>
        <w:t>（北京时间）</w:t>
      </w:r>
    </w:p>
    <w:p w14:paraId="49CA6680">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bCs/>
          <w:color w:val="auto"/>
          <w:spacing w:val="-6"/>
          <w:sz w:val="24"/>
          <w:highlight w:val="none"/>
          <w:u w:val="single"/>
          <w:lang w:eastAsia="zh-CN"/>
        </w:rPr>
      </w:pPr>
      <w:r>
        <w:rPr>
          <w:rFonts w:hint="eastAsia" w:ascii="宋体" w:hAnsi="宋体" w:eastAsia="宋体" w:cs="宋体"/>
          <w:b/>
          <w:bCs/>
          <w:color w:val="auto"/>
          <w:sz w:val="24"/>
          <w:highlight w:val="none"/>
        </w:rPr>
        <w:t>3.地点：</w:t>
      </w:r>
      <w:r>
        <w:rPr>
          <w:rFonts w:hint="eastAsia" w:ascii="宋体" w:hAnsi="宋体" w:eastAsia="宋体" w:cs="宋体"/>
          <w:b w:val="0"/>
          <w:bCs w:val="0"/>
          <w:color w:val="auto"/>
          <w:sz w:val="24"/>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29DB3401">
      <w:pPr>
        <w:keepNext w:val="0"/>
        <w:keepLines w:val="0"/>
        <w:pageBreakBefore w:val="0"/>
        <w:widowControl w:val="0"/>
        <w:kinsoku/>
        <w:wordWrap/>
        <w:overflowPunct/>
        <w:topLinePunct w:val="0"/>
        <w:autoSpaceDE/>
        <w:autoSpaceDN/>
        <w:bidi w:val="0"/>
        <w:adjustRightInd/>
        <w:snapToGrid/>
        <w:spacing w:beforeAutospacing="0" w:afterAutospacing="0" w:line="440" w:lineRule="exact"/>
        <w:textAlignment w:val="auto"/>
        <w:outlineLvl w:val="1"/>
        <w:rPr>
          <w:rFonts w:hint="eastAsia" w:ascii="宋体" w:hAnsi="宋体" w:eastAsia="宋体" w:cs="宋体"/>
          <w:b/>
          <w:bCs/>
          <w:color w:val="auto"/>
          <w:sz w:val="24"/>
          <w:szCs w:val="24"/>
          <w:highlight w:val="none"/>
        </w:rPr>
      </w:pPr>
      <w:bookmarkStart w:id="100" w:name="_Toc7821"/>
      <w:bookmarkStart w:id="101" w:name="_Toc22472"/>
      <w:bookmarkStart w:id="102" w:name="_Toc7904"/>
      <w:bookmarkStart w:id="103" w:name="_Toc22572"/>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、公告期限</w:t>
      </w:r>
      <w:bookmarkEnd w:id="96"/>
      <w:bookmarkEnd w:id="97"/>
      <w:bookmarkEnd w:id="98"/>
      <w:bookmarkEnd w:id="99"/>
      <w:bookmarkEnd w:id="100"/>
      <w:bookmarkEnd w:id="101"/>
      <w:bookmarkEnd w:id="102"/>
      <w:bookmarkEnd w:id="103"/>
    </w:p>
    <w:p w14:paraId="1525311D">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自本公告发布之日起5个工作日。</w:t>
      </w:r>
    </w:p>
    <w:p w14:paraId="02D945E3">
      <w:pPr>
        <w:keepNext w:val="0"/>
        <w:keepLines w:val="0"/>
        <w:pageBreakBefore w:val="0"/>
        <w:widowControl w:val="0"/>
        <w:kinsoku/>
        <w:wordWrap/>
        <w:overflowPunct/>
        <w:topLinePunct w:val="0"/>
        <w:autoSpaceDE/>
        <w:autoSpaceDN/>
        <w:bidi w:val="0"/>
        <w:adjustRightInd/>
        <w:snapToGrid/>
        <w:spacing w:beforeAutospacing="0" w:afterAutospacing="0" w:line="440" w:lineRule="exact"/>
        <w:textAlignment w:val="auto"/>
        <w:outlineLvl w:val="1"/>
        <w:rPr>
          <w:rFonts w:hint="eastAsia" w:ascii="宋体" w:hAnsi="宋体" w:eastAsia="宋体" w:cs="宋体"/>
          <w:b/>
          <w:bCs/>
          <w:color w:val="auto"/>
          <w:sz w:val="24"/>
          <w:szCs w:val="24"/>
          <w:highlight w:val="none"/>
        </w:rPr>
      </w:pPr>
      <w:bookmarkStart w:id="104" w:name="_Toc6552"/>
      <w:bookmarkStart w:id="105" w:name="_Toc10318"/>
      <w:bookmarkStart w:id="106" w:name="_Toc35393795"/>
      <w:bookmarkStart w:id="107" w:name="_Toc35393626"/>
      <w:bookmarkStart w:id="108" w:name="_Toc24921"/>
      <w:bookmarkStart w:id="109" w:name="_Toc5207"/>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、其他补充事宜</w:t>
      </w:r>
      <w:bookmarkEnd w:id="104"/>
      <w:bookmarkEnd w:id="105"/>
      <w:bookmarkEnd w:id="106"/>
      <w:bookmarkEnd w:id="107"/>
      <w:bookmarkEnd w:id="108"/>
      <w:bookmarkEnd w:id="109"/>
    </w:p>
    <w:p w14:paraId="7E8DC95A">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6" w:firstLineChars="200"/>
        <w:textAlignment w:val="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1.开标方式：</w:t>
      </w:r>
      <w:r>
        <w:rPr>
          <w:rFonts w:hint="eastAsia" w:ascii="宋体" w:hAnsi="宋体" w:cs="宋体"/>
          <w:color w:val="auto"/>
          <w:spacing w:val="-6"/>
          <w:sz w:val="24"/>
          <w:highlight w:val="none"/>
          <w:lang w:val="en-US" w:eastAsia="zh-CN"/>
        </w:rPr>
        <w:t>网上</w:t>
      </w:r>
      <w:r>
        <w:rPr>
          <w:rFonts w:hint="eastAsia" w:ascii="宋体" w:hAnsi="宋体" w:eastAsia="宋体" w:cs="宋体"/>
          <w:color w:val="auto"/>
          <w:spacing w:val="-6"/>
          <w:sz w:val="24"/>
          <w:highlight w:val="none"/>
        </w:rPr>
        <w:t>开标</w:t>
      </w:r>
    </w:p>
    <w:p w14:paraId="7AEA32D7">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6" w:firstLineChars="200"/>
        <w:textAlignment w:val="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2.是否需要缴纳投标保证金：</w:t>
      </w:r>
      <w:r>
        <w:rPr>
          <w:rFonts w:hint="eastAsia" w:ascii="宋体" w:hAnsi="宋体" w:eastAsia="宋体" w:cs="宋体"/>
          <w:color w:val="auto"/>
          <w:spacing w:val="-6"/>
          <w:sz w:val="24"/>
          <w:highlight w:val="none"/>
          <w:lang w:val="en-US" w:eastAsia="zh-CN"/>
        </w:rPr>
        <w:t>是</w:t>
      </w:r>
    </w:p>
    <w:p w14:paraId="3AB7DCF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6" w:firstLineChars="200"/>
        <w:textAlignment w:val="auto"/>
        <w:rPr>
          <w:rFonts w:hint="eastAsia" w:ascii="宋体" w:hAnsi="宋体" w:eastAsia="宋体" w:cs="宋体"/>
          <w:color w:val="auto"/>
          <w:spacing w:val="-6"/>
          <w:sz w:val="24"/>
          <w:highlight w:val="none"/>
          <w:lang w:val="en-US"/>
        </w:rPr>
      </w:pPr>
      <w:r>
        <w:rPr>
          <w:rFonts w:hint="eastAsia" w:ascii="宋体" w:hAnsi="宋体" w:eastAsia="宋体" w:cs="宋体"/>
          <w:color w:val="auto"/>
          <w:spacing w:val="-6"/>
          <w:sz w:val="24"/>
          <w:highlight w:val="none"/>
        </w:rPr>
        <w:t>3.投标保证金金额：</w:t>
      </w:r>
      <w:r>
        <w:rPr>
          <w:rFonts w:hint="eastAsia" w:ascii="宋体" w:hAnsi="宋体" w:eastAsia="宋体" w:cs="宋体"/>
          <w:color w:val="auto"/>
          <w:spacing w:val="-6"/>
          <w:sz w:val="24"/>
          <w:highlight w:val="none"/>
          <w:lang w:val="en-US" w:eastAsia="zh-CN"/>
        </w:rPr>
        <w:t>¥</w:t>
      </w:r>
      <w:r>
        <w:rPr>
          <w:rFonts w:hint="eastAsia" w:ascii="宋体" w:hAnsi="宋体" w:cs="宋体"/>
          <w:color w:val="auto"/>
          <w:spacing w:val="-6"/>
          <w:sz w:val="24"/>
          <w:highlight w:val="none"/>
          <w:lang w:val="en-US" w:eastAsia="zh-CN"/>
        </w:rPr>
        <w:t>30</w:t>
      </w:r>
      <w:r>
        <w:rPr>
          <w:rFonts w:hint="eastAsia" w:ascii="宋体" w:hAnsi="宋体" w:eastAsia="宋体" w:cs="宋体"/>
          <w:color w:val="auto"/>
          <w:spacing w:val="-6"/>
          <w:sz w:val="24"/>
          <w:highlight w:val="none"/>
          <w:lang w:val="en-US" w:eastAsia="zh-CN"/>
        </w:rPr>
        <w:t>000.00元</w:t>
      </w:r>
    </w:p>
    <w:p w14:paraId="580C92C8">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6" w:firstLineChars="200"/>
        <w:textAlignment w:val="auto"/>
        <w:rPr>
          <w:rFonts w:hint="eastAsia" w:ascii="宋体" w:hAnsi="宋体" w:eastAsia="宋体" w:cs="宋体"/>
          <w:color w:val="auto"/>
          <w:spacing w:val="-6"/>
          <w:sz w:val="24"/>
          <w:highlight w:val="none"/>
          <w:lang w:val="en-US" w:eastAsia="zh-CN"/>
        </w:rPr>
      </w:pPr>
      <w:r>
        <w:rPr>
          <w:rFonts w:hint="eastAsia" w:ascii="宋体" w:hAnsi="宋体" w:eastAsia="宋体" w:cs="宋体"/>
          <w:color w:val="auto"/>
          <w:spacing w:val="-6"/>
          <w:sz w:val="24"/>
          <w:highlight w:val="none"/>
        </w:rPr>
        <w:t>4.</w:t>
      </w:r>
      <w:r>
        <w:rPr>
          <w:rFonts w:hint="eastAsia" w:ascii="宋体" w:hAnsi="宋体" w:eastAsia="宋体" w:cs="宋体"/>
          <w:color w:val="auto"/>
          <w:spacing w:val="-6"/>
          <w:sz w:val="24"/>
          <w:highlight w:val="none"/>
          <w:lang w:eastAsia="zh-CN"/>
        </w:rPr>
        <w:t>投标保证金</w:t>
      </w:r>
      <w:r>
        <w:rPr>
          <w:rFonts w:hint="eastAsia" w:ascii="宋体" w:hAnsi="宋体" w:eastAsia="宋体" w:cs="宋体"/>
          <w:color w:val="auto"/>
          <w:spacing w:val="-6"/>
          <w:sz w:val="24"/>
          <w:highlight w:val="none"/>
        </w:rPr>
        <w:t>缴纳方式：</w:t>
      </w:r>
      <w:r>
        <w:rPr>
          <w:rFonts w:hint="eastAsia" w:ascii="宋体" w:hAnsi="宋体" w:eastAsia="宋体" w:cs="宋体"/>
          <w:color w:val="auto"/>
          <w:spacing w:val="-6"/>
          <w:sz w:val="24"/>
          <w:highlight w:val="none"/>
          <w:lang w:val="en-US" w:eastAsia="zh-CN"/>
        </w:rPr>
        <w:t>以电汇、网银、支票、汇票、本票或者金融机构、担保机构出具的保函等非现金形式提交</w:t>
      </w:r>
    </w:p>
    <w:p w14:paraId="7DD23DD0">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6" w:firstLineChars="200"/>
        <w:textAlignment w:val="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5.</w:t>
      </w:r>
      <w:r>
        <w:rPr>
          <w:rFonts w:hint="eastAsia" w:ascii="宋体" w:hAnsi="宋体" w:eastAsia="宋体" w:cs="宋体"/>
          <w:color w:val="auto"/>
          <w:spacing w:val="-6"/>
          <w:sz w:val="24"/>
          <w:highlight w:val="none"/>
          <w:lang w:eastAsia="zh-CN"/>
        </w:rPr>
        <w:t>投标保证金</w:t>
      </w:r>
      <w:r>
        <w:rPr>
          <w:rFonts w:hint="eastAsia" w:ascii="宋体" w:hAnsi="宋体" w:eastAsia="宋体" w:cs="宋体"/>
          <w:color w:val="auto"/>
          <w:spacing w:val="-6"/>
          <w:sz w:val="24"/>
          <w:highlight w:val="none"/>
        </w:rPr>
        <w:t>缴纳截止时间：</w:t>
      </w:r>
      <w:r>
        <w:rPr>
          <w:rFonts w:hint="eastAsia" w:ascii="宋体" w:hAnsi="宋体" w:eastAsia="宋体" w:cs="宋体"/>
          <w:color w:val="auto"/>
          <w:spacing w:val="-6"/>
          <w:sz w:val="24"/>
          <w:highlight w:val="none"/>
          <w:lang w:val="en-US" w:eastAsia="zh-CN"/>
        </w:rPr>
        <w:t>同投标文件</w:t>
      </w:r>
      <w:r>
        <w:rPr>
          <w:rFonts w:hint="eastAsia" w:ascii="宋体" w:hAnsi="宋体" w:cs="宋体"/>
          <w:color w:val="auto"/>
          <w:spacing w:val="-6"/>
          <w:sz w:val="24"/>
          <w:highlight w:val="none"/>
          <w:lang w:val="en-US" w:eastAsia="zh-CN"/>
        </w:rPr>
        <w:t>递交</w:t>
      </w:r>
      <w:r>
        <w:rPr>
          <w:rFonts w:hint="eastAsia" w:ascii="宋体" w:hAnsi="宋体" w:eastAsia="宋体" w:cs="宋体"/>
          <w:color w:val="auto"/>
          <w:spacing w:val="-6"/>
          <w:sz w:val="24"/>
          <w:highlight w:val="none"/>
          <w:lang w:val="en-US" w:eastAsia="zh-CN"/>
        </w:rPr>
        <w:t>截止时间</w:t>
      </w:r>
    </w:p>
    <w:p w14:paraId="59A061A1">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56" w:firstLineChars="200"/>
        <w:textAlignment w:val="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6.其他：采购信息、</w:t>
      </w:r>
      <w:r>
        <w:rPr>
          <w:rFonts w:hint="eastAsia" w:ascii="宋体" w:hAnsi="宋体" w:cs="宋体"/>
          <w:color w:val="auto"/>
          <w:spacing w:val="-6"/>
          <w:sz w:val="24"/>
          <w:highlight w:val="none"/>
          <w:lang w:val="en-US" w:eastAsia="zh-CN"/>
        </w:rPr>
        <w:t>中标</w:t>
      </w:r>
      <w:r>
        <w:rPr>
          <w:rFonts w:hint="eastAsia" w:ascii="宋体" w:hAnsi="宋体" w:eastAsia="宋体" w:cs="宋体"/>
          <w:color w:val="auto"/>
          <w:spacing w:val="-6"/>
          <w:sz w:val="24"/>
          <w:highlight w:val="none"/>
        </w:rPr>
        <w:t>公告均仅在云南省政府采购网（www.yngp.com）发布</w:t>
      </w:r>
      <w:r>
        <w:rPr>
          <w:rFonts w:hint="eastAsia" w:ascii="宋体" w:hAnsi="宋体" w:eastAsia="宋体" w:cs="宋体"/>
          <w:color w:val="auto"/>
          <w:spacing w:val="-6"/>
          <w:sz w:val="24"/>
          <w:highlight w:val="none"/>
          <w:lang w:eastAsia="zh-CN"/>
        </w:rPr>
        <w:t>，采购人及采购代理机构对其他网站或媒体转载的公告及公告内容不承担任何责任。</w:t>
      </w:r>
    </w:p>
    <w:p w14:paraId="7F2CEBF9">
      <w:pPr>
        <w:keepNext w:val="0"/>
        <w:keepLines w:val="0"/>
        <w:pageBreakBefore w:val="0"/>
        <w:widowControl w:val="0"/>
        <w:kinsoku/>
        <w:wordWrap/>
        <w:overflowPunct/>
        <w:topLinePunct w:val="0"/>
        <w:autoSpaceDE/>
        <w:autoSpaceDN/>
        <w:bidi w:val="0"/>
        <w:adjustRightInd/>
        <w:snapToGrid/>
        <w:spacing w:beforeAutospacing="0" w:afterAutospacing="0" w:line="440" w:lineRule="exact"/>
        <w:textAlignment w:val="auto"/>
        <w:outlineLvl w:val="1"/>
        <w:rPr>
          <w:rFonts w:hint="eastAsia" w:ascii="宋体" w:hAnsi="宋体" w:eastAsia="宋体" w:cs="宋体"/>
          <w:b/>
          <w:bCs/>
          <w:color w:val="auto"/>
          <w:sz w:val="24"/>
          <w:szCs w:val="24"/>
          <w:highlight w:val="none"/>
        </w:rPr>
      </w:pPr>
      <w:bookmarkStart w:id="110" w:name="_Toc24966"/>
      <w:bookmarkStart w:id="111" w:name="_Toc14625"/>
      <w:bookmarkStart w:id="112" w:name="_Toc28359085"/>
      <w:bookmarkStart w:id="113" w:name="_Toc35393796"/>
      <w:bookmarkStart w:id="114" w:name="_Toc2169"/>
      <w:bookmarkStart w:id="115" w:name="_Toc31223"/>
      <w:bookmarkStart w:id="116" w:name="_Toc35393627"/>
      <w:bookmarkStart w:id="117" w:name="_Toc28359008"/>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、对本次招标提出询问，请按以下方式联系</w:t>
      </w:r>
      <w:bookmarkEnd w:id="110"/>
      <w:bookmarkEnd w:id="111"/>
      <w:bookmarkEnd w:id="112"/>
      <w:bookmarkEnd w:id="113"/>
      <w:bookmarkEnd w:id="114"/>
      <w:bookmarkEnd w:id="115"/>
      <w:bookmarkEnd w:id="116"/>
      <w:bookmarkEnd w:id="117"/>
    </w:p>
    <w:p w14:paraId="42235CA5">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1.采购人信息</w:t>
      </w:r>
    </w:p>
    <w:p w14:paraId="05730151">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云南省地质矿产勘查开发局中心实验室（自然资源部昆明矿产资源检测中心）</w:t>
      </w:r>
    </w:p>
    <w:p w14:paraId="5030A97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昆明市经开区阿拉街道办事处白水塘</w:t>
      </w:r>
    </w:p>
    <w:p w14:paraId="2477EFE0">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联系方式：</w:t>
      </w:r>
      <w:bookmarkStart w:id="118" w:name="_Toc28359009"/>
      <w:bookmarkStart w:id="119" w:name="_Toc28359086"/>
      <w:r>
        <w:rPr>
          <w:rFonts w:hint="eastAsia" w:ascii="宋体" w:hAnsi="宋体" w:eastAsia="宋体" w:cs="宋体"/>
          <w:color w:val="auto"/>
          <w:sz w:val="24"/>
          <w:szCs w:val="24"/>
          <w:highlight w:val="none"/>
          <w:lang w:eastAsia="zh-CN"/>
        </w:rPr>
        <w:t>武老师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0871-67211989</w:t>
      </w:r>
    </w:p>
    <w:p w14:paraId="4C063C86">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2.采购代理机构信息</w:t>
      </w:r>
      <w:bookmarkEnd w:id="118"/>
      <w:bookmarkEnd w:id="119"/>
    </w:p>
    <w:p w14:paraId="349FBA0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color w:val="auto"/>
          <w:sz w:val="24"/>
          <w:szCs w:val="24"/>
          <w:highlight w:val="none"/>
        </w:rPr>
      </w:pPr>
      <w:bookmarkStart w:id="120" w:name="_Toc28359087"/>
      <w:bookmarkStart w:id="121" w:name="_Toc28359010"/>
      <w:r>
        <w:rPr>
          <w:rFonts w:hint="eastAsia" w:ascii="宋体" w:hAnsi="宋体" w:eastAsia="宋体" w:cs="宋体"/>
          <w:color w:val="auto"/>
          <w:sz w:val="24"/>
          <w:szCs w:val="24"/>
          <w:highlight w:val="none"/>
        </w:rPr>
        <w:t>名    称：云南国合建设招标咨询有限公司</w:t>
      </w:r>
    </w:p>
    <w:p w14:paraId="1791AB1D">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昆明市盘龙区长青路94号现代广场16楼</w:t>
      </w:r>
    </w:p>
    <w:p w14:paraId="7C6EC86A">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eastAsia="zh-CN"/>
        </w:rPr>
        <w:t>蒋立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武江艳、张正举、夏伟</w:t>
      </w:r>
      <w:r>
        <w:rPr>
          <w:rFonts w:hint="eastAsia" w:ascii="宋体" w:hAnsi="宋体" w:cs="宋体"/>
          <w:color w:val="auto"/>
          <w:sz w:val="24"/>
          <w:szCs w:val="24"/>
          <w:highlight w:val="none"/>
          <w:lang w:val="en-US" w:eastAsia="zh-CN"/>
        </w:rPr>
        <w:t>、杨云鹏</w:t>
      </w:r>
    </w:p>
    <w:p w14:paraId="548300EE">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1680" w:firstLineChars="7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5209257830</w:t>
      </w:r>
      <w:r>
        <w:rPr>
          <w:rFonts w:hint="eastAsia" w:ascii="宋体" w:hAnsi="宋体" w:eastAsia="宋体" w:cs="宋体"/>
          <w:color w:val="auto"/>
          <w:sz w:val="24"/>
          <w:szCs w:val="24"/>
          <w:highlight w:val="none"/>
          <w:lang w:val="en-US" w:eastAsia="zh-CN"/>
        </w:rPr>
        <w:t>、0871-63815951</w:t>
      </w:r>
    </w:p>
    <w:p w14:paraId="27829E54">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3.项目联系方式</w:t>
      </w:r>
    </w:p>
    <w:bookmarkEnd w:id="120"/>
    <w:bookmarkEnd w:id="121"/>
    <w:p w14:paraId="35A57F2C">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项目联系人：</w:t>
      </w:r>
      <w:r>
        <w:rPr>
          <w:rFonts w:hint="eastAsia" w:ascii="宋体" w:hAnsi="宋体" w:cs="宋体"/>
          <w:color w:val="auto"/>
          <w:kern w:val="0"/>
          <w:sz w:val="24"/>
          <w:szCs w:val="24"/>
          <w:highlight w:val="none"/>
          <w:lang w:eastAsia="zh-CN"/>
        </w:rPr>
        <w:t>蒋立</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武江艳、张正举、夏伟</w:t>
      </w:r>
      <w:r>
        <w:rPr>
          <w:rFonts w:hint="eastAsia" w:ascii="宋体" w:hAnsi="宋体" w:cs="宋体"/>
          <w:color w:val="auto"/>
          <w:sz w:val="24"/>
          <w:szCs w:val="24"/>
          <w:highlight w:val="none"/>
          <w:lang w:val="en-US" w:eastAsia="zh-CN"/>
        </w:rPr>
        <w:t>、杨云鹏</w:t>
      </w:r>
    </w:p>
    <w:p w14:paraId="1CDDEAF2">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lang w:val="en-US" w:eastAsia="zh-CN"/>
        </w:rPr>
        <w:t>15209257830、0871-63815951</w:t>
      </w:r>
    </w:p>
    <w:p w14:paraId="34EFBAC1">
      <w:pPr>
        <w:pageBreakBefore w:val="0"/>
        <w:kinsoku/>
        <w:overflowPunct/>
        <w:topLinePunct w:val="0"/>
        <w:bidi w:val="0"/>
        <w:spacing w:beforeAutospacing="0" w:afterAutospacing="0" w:line="360" w:lineRule="auto"/>
        <w:rPr>
          <w:rFonts w:hint="eastAsia" w:ascii="宋体" w:hAnsi="宋体" w:eastAsia="宋体" w:cs="宋体"/>
          <w:iCs/>
          <w:color w:val="auto"/>
          <w:sz w:val="44"/>
          <w:szCs w:val="44"/>
          <w:highlight w:val="none"/>
        </w:rPr>
      </w:pPr>
      <w:r>
        <w:rPr>
          <w:rFonts w:hint="eastAsia" w:ascii="宋体" w:hAnsi="宋体" w:eastAsia="宋体" w:cs="宋体"/>
          <w:iCs/>
          <w:color w:val="auto"/>
          <w:sz w:val="44"/>
          <w:szCs w:val="44"/>
          <w:highlight w:val="none"/>
        </w:rPr>
        <w:br w:type="page"/>
      </w:r>
    </w:p>
    <w:p w14:paraId="2C782133">
      <w:pPr>
        <w:pStyle w:val="2"/>
        <w:pageBreakBefore w:val="0"/>
        <w:numPr>
          <w:ilvl w:val="0"/>
          <w:numId w:val="0"/>
        </w:numPr>
        <w:kinsoku/>
        <w:overflowPunct/>
        <w:topLinePunct w:val="0"/>
        <w:bidi w:val="0"/>
        <w:snapToGrid w:val="0"/>
        <w:spacing w:beforeAutospacing="0" w:afterAutospacing="0" w:line="360" w:lineRule="auto"/>
        <w:ind w:left="720" w:leftChars="0" w:hanging="720" w:firstLineChars="0"/>
        <w:jc w:val="center"/>
        <w:rPr>
          <w:rFonts w:hint="eastAsia" w:ascii="宋体" w:hAnsi="宋体" w:eastAsia="宋体" w:cs="宋体"/>
          <w:iCs/>
          <w:color w:val="auto"/>
          <w:sz w:val="44"/>
          <w:szCs w:val="44"/>
          <w:highlight w:val="none"/>
        </w:rPr>
      </w:pPr>
      <w:bookmarkStart w:id="122" w:name="_Toc18707"/>
      <w:bookmarkStart w:id="123" w:name="_Toc32392"/>
      <w:bookmarkStart w:id="124" w:name="_Toc17386"/>
      <w:bookmarkStart w:id="125" w:name="_Toc62031134"/>
      <w:r>
        <w:rPr>
          <w:rFonts w:hint="eastAsia" w:ascii="宋体" w:hAnsi="宋体" w:eastAsia="宋体" w:cs="宋体"/>
          <w:b/>
          <w:bCs/>
          <w:iCs/>
          <w:color w:val="auto"/>
          <w:kern w:val="2"/>
          <w:sz w:val="44"/>
          <w:szCs w:val="44"/>
          <w:highlight w:val="none"/>
          <w:lang w:val="en-US" w:eastAsia="zh-CN" w:bidi="ar-SA"/>
        </w:rPr>
        <w:t>第二章</w:t>
      </w:r>
      <w:r>
        <w:rPr>
          <w:rFonts w:hint="eastAsia" w:ascii="宋体" w:hAnsi="宋体" w:eastAsia="宋体" w:cs="宋体"/>
          <w:iCs/>
          <w:color w:val="auto"/>
          <w:sz w:val="44"/>
          <w:szCs w:val="44"/>
          <w:highlight w:val="none"/>
        </w:rPr>
        <w:t xml:space="preserve"> </w:t>
      </w:r>
      <w:bookmarkStart w:id="126" w:name="_Toc8678"/>
      <w:r>
        <w:rPr>
          <w:rFonts w:hint="eastAsia" w:ascii="宋体" w:hAnsi="宋体" w:eastAsia="宋体" w:cs="宋体"/>
          <w:iCs/>
          <w:color w:val="auto"/>
          <w:sz w:val="44"/>
          <w:szCs w:val="44"/>
          <w:highlight w:val="none"/>
          <w:lang w:eastAsia="zh-CN"/>
        </w:rPr>
        <w:t>投标人</w:t>
      </w:r>
      <w:r>
        <w:rPr>
          <w:rFonts w:hint="eastAsia" w:ascii="宋体" w:hAnsi="宋体" w:eastAsia="宋体" w:cs="宋体"/>
          <w:iCs/>
          <w:color w:val="auto"/>
          <w:sz w:val="44"/>
          <w:szCs w:val="44"/>
          <w:highlight w:val="none"/>
        </w:rPr>
        <w:t>须知</w:t>
      </w:r>
      <w:bookmarkEnd w:id="122"/>
      <w:bookmarkEnd w:id="123"/>
      <w:bookmarkEnd w:id="124"/>
      <w:bookmarkEnd w:id="125"/>
      <w:bookmarkEnd w:id="126"/>
    </w:p>
    <w:p w14:paraId="5BEAFE53">
      <w:pPr>
        <w:pStyle w:val="3"/>
        <w:keepLines w:val="0"/>
        <w:pageBreakBefore w:val="0"/>
        <w:numPr>
          <w:ilvl w:val="3"/>
          <w:numId w:val="0"/>
        </w:numPr>
        <w:tabs>
          <w:tab w:val="clear" w:pos="3690"/>
        </w:tabs>
        <w:kinsoku/>
        <w:overflowPunct/>
        <w:topLinePunct w:val="0"/>
        <w:bidi w:val="0"/>
        <w:adjustRightInd/>
        <w:snapToGrid w:val="0"/>
        <w:spacing w:before="0" w:beforeAutospacing="0" w:after="0" w:afterAutospacing="0" w:line="360" w:lineRule="auto"/>
        <w:jc w:val="center"/>
        <w:textAlignment w:val="auto"/>
        <w:rPr>
          <w:rFonts w:hint="eastAsia" w:ascii="宋体" w:hAnsi="宋体" w:eastAsia="宋体" w:cs="宋体"/>
          <w:color w:val="auto"/>
          <w:sz w:val="28"/>
          <w:szCs w:val="32"/>
          <w:highlight w:val="none"/>
        </w:rPr>
      </w:pPr>
      <w:bookmarkStart w:id="127" w:name="_Toc28299"/>
      <w:bookmarkStart w:id="128" w:name="_Toc11139"/>
      <w:bookmarkStart w:id="129" w:name="_Toc1762"/>
      <w:bookmarkStart w:id="130" w:name="_Toc28981"/>
      <w:bookmarkStart w:id="131" w:name="_Toc62031135"/>
      <w:r>
        <w:rPr>
          <w:rFonts w:hint="eastAsia" w:ascii="宋体" w:hAnsi="宋体" w:eastAsia="宋体" w:cs="宋体"/>
          <w:color w:val="auto"/>
          <w:sz w:val="28"/>
          <w:szCs w:val="32"/>
          <w:highlight w:val="none"/>
          <w:lang w:eastAsia="zh-CN"/>
        </w:rPr>
        <w:t>投标人</w:t>
      </w:r>
      <w:r>
        <w:rPr>
          <w:rFonts w:hint="eastAsia" w:ascii="宋体" w:hAnsi="宋体" w:eastAsia="宋体" w:cs="宋体"/>
          <w:color w:val="auto"/>
          <w:sz w:val="28"/>
          <w:szCs w:val="32"/>
          <w:highlight w:val="none"/>
        </w:rPr>
        <w:t>须知前附表</w:t>
      </w:r>
      <w:bookmarkEnd w:id="127"/>
      <w:bookmarkEnd w:id="128"/>
      <w:bookmarkEnd w:id="129"/>
      <w:bookmarkEnd w:id="130"/>
      <w:bookmarkEnd w:id="131"/>
    </w:p>
    <w:tbl>
      <w:tblPr>
        <w:tblStyle w:val="25"/>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326"/>
        <w:gridCol w:w="7903"/>
      </w:tblGrid>
      <w:tr w14:paraId="5188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7CFD058D">
            <w:pPr>
              <w:pStyle w:val="14"/>
              <w:pageBreakBefore w:val="0"/>
              <w:kinsoku/>
              <w:overflowPunct/>
              <w:topLinePunct w:val="0"/>
              <w:bidi w:val="0"/>
              <w:spacing w:beforeAutospacing="0" w:afterAutospacing="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326" w:type="dxa"/>
            <w:vAlign w:val="center"/>
          </w:tcPr>
          <w:p w14:paraId="1839C4E1">
            <w:pPr>
              <w:pStyle w:val="14"/>
              <w:pageBreakBefore w:val="0"/>
              <w:kinsoku/>
              <w:overflowPunct/>
              <w:topLinePunct w:val="0"/>
              <w:bidi w:val="0"/>
              <w:spacing w:beforeAutospacing="0" w:afterAutospacing="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 款 名 称</w:t>
            </w:r>
          </w:p>
        </w:tc>
        <w:tc>
          <w:tcPr>
            <w:tcW w:w="7903" w:type="dxa"/>
            <w:vAlign w:val="center"/>
          </w:tcPr>
          <w:p w14:paraId="18EE6087">
            <w:pPr>
              <w:pStyle w:val="14"/>
              <w:pageBreakBefore w:val="0"/>
              <w:kinsoku/>
              <w:overflowPunct/>
              <w:topLinePunct w:val="0"/>
              <w:bidi w:val="0"/>
              <w:spacing w:beforeAutospacing="0" w:afterAutospacing="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编 列 内 容</w:t>
            </w:r>
          </w:p>
        </w:tc>
      </w:tr>
      <w:tr w14:paraId="3D70D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restart"/>
            <w:vAlign w:val="center"/>
          </w:tcPr>
          <w:p w14:paraId="20043DB3">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326" w:type="dxa"/>
            <w:vAlign w:val="center"/>
          </w:tcPr>
          <w:p w14:paraId="54FA1DB6">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采购人</w:t>
            </w:r>
          </w:p>
        </w:tc>
        <w:tc>
          <w:tcPr>
            <w:tcW w:w="7903" w:type="dxa"/>
            <w:vAlign w:val="center"/>
          </w:tcPr>
          <w:p w14:paraId="4F8CD8D2">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采购人：</w:t>
            </w:r>
            <w:r>
              <w:rPr>
                <w:rFonts w:hint="eastAsia" w:ascii="宋体" w:hAnsi="宋体" w:cs="宋体"/>
                <w:color w:val="auto"/>
                <w:szCs w:val="21"/>
                <w:highlight w:val="none"/>
                <w:lang w:eastAsia="zh-CN"/>
              </w:rPr>
              <w:t>云南省地质矿产勘查开发局中心实验室（自然资源部昆明矿产资源检测中心）</w:t>
            </w:r>
          </w:p>
          <w:p w14:paraId="4CA155D2">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  址：</w:t>
            </w:r>
            <w:r>
              <w:rPr>
                <w:rFonts w:hint="eastAsia" w:ascii="宋体" w:hAnsi="宋体" w:cs="宋体"/>
                <w:color w:val="auto"/>
                <w:szCs w:val="21"/>
                <w:highlight w:val="none"/>
                <w:lang w:eastAsia="zh-CN"/>
              </w:rPr>
              <w:t>昆明市经开区阿拉街道办事处白水塘</w:t>
            </w:r>
          </w:p>
          <w:p w14:paraId="3FF11809">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r>
              <w:rPr>
                <w:rFonts w:hint="eastAsia" w:ascii="宋体" w:hAnsi="宋体" w:eastAsia="宋体" w:cs="宋体"/>
                <w:color w:val="auto"/>
                <w:szCs w:val="21"/>
                <w:highlight w:val="none"/>
                <w:lang w:eastAsia="zh-CN"/>
              </w:rPr>
              <w:t>武老师</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0871-67211989</w:t>
            </w:r>
          </w:p>
        </w:tc>
      </w:tr>
      <w:tr w14:paraId="5456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2AD7E20D">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p>
        </w:tc>
        <w:tc>
          <w:tcPr>
            <w:tcW w:w="1326" w:type="dxa"/>
            <w:vAlign w:val="center"/>
          </w:tcPr>
          <w:p w14:paraId="7090DDE5">
            <w:pPr>
              <w:pStyle w:val="14"/>
              <w:pageBreakBefore w:val="0"/>
              <w:kinsoku/>
              <w:overflowPunct/>
              <w:topLinePunct w:val="0"/>
              <w:bidi w:val="0"/>
              <w:spacing w:beforeAutospacing="0" w:afterAutospacing="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采购代理机构</w:t>
            </w:r>
          </w:p>
        </w:tc>
        <w:tc>
          <w:tcPr>
            <w:tcW w:w="7903" w:type="dxa"/>
            <w:vAlign w:val="center"/>
          </w:tcPr>
          <w:p w14:paraId="192679DE">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采购代理机构：云南国合建设招标咨询有限公司</w:t>
            </w:r>
          </w:p>
          <w:p w14:paraId="3935F2D9">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  址：</w:t>
            </w:r>
            <w:r>
              <w:rPr>
                <w:rFonts w:hint="eastAsia" w:ascii="宋体" w:hAnsi="宋体" w:cs="宋体"/>
                <w:color w:val="auto"/>
                <w:szCs w:val="21"/>
                <w:highlight w:val="none"/>
                <w:lang w:eastAsia="zh-CN"/>
              </w:rPr>
              <w:t>昆明市盘龙区长青路94号现代广场16楼</w:t>
            </w:r>
          </w:p>
          <w:p w14:paraId="3B7EFC74">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联系人：</w:t>
            </w:r>
            <w:r>
              <w:rPr>
                <w:rFonts w:hint="eastAsia" w:ascii="宋体" w:hAnsi="宋体" w:cs="宋体"/>
                <w:color w:val="auto"/>
                <w:szCs w:val="21"/>
                <w:highlight w:val="none"/>
                <w:lang w:eastAsia="zh-CN"/>
              </w:rPr>
              <w:t>蒋立</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武江艳、张正举、夏伟、杨云鹏</w:t>
            </w:r>
          </w:p>
          <w:p w14:paraId="695B0556">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lang w:val="en-US" w:eastAsia="zh-CN"/>
              </w:rPr>
              <w:t>15209257830、0871-63815951</w:t>
            </w:r>
          </w:p>
        </w:tc>
      </w:tr>
      <w:tr w14:paraId="02B5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6D0D0762">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p>
        </w:tc>
        <w:tc>
          <w:tcPr>
            <w:tcW w:w="1326" w:type="dxa"/>
            <w:vAlign w:val="center"/>
          </w:tcPr>
          <w:p w14:paraId="57018A60">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7903" w:type="dxa"/>
            <w:vAlign w:val="center"/>
          </w:tcPr>
          <w:p w14:paraId="4BB4C6A2">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超高效液相色谱三重四级杆质谱联用仪</w:t>
            </w:r>
          </w:p>
        </w:tc>
      </w:tr>
      <w:tr w14:paraId="6296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566C566D">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p>
        </w:tc>
        <w:tc>
          <w:tcPr>
            <w:tcW w:w="1326" w:type="dxa"/>
            <w:vAlign w:val="center"/>
          </w:tcPr>
          <w:p w14:paraId="7EC4DFD3">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p>
        </w:tc>
        <w:tc>
          <w:tcPr>
            <w:tcW w:w="7903" w:type="dxa"/>
            <w:vAlign w:val="center"/>
          </w:tcPr>
          <w:p w14:paraId="6729EC0F">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YNZC2025-G1-03229-YNGH-0168</w:t>
            </w:r>
          </w:p>
        </w:tc>
      </w:tr>
      <w:tr w14:paraId="771FC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3E7F4001">
            <w:pPr>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1326" w:type="dxa"/>
            <w:vAlign w:val="center"/>
          </w:tcPr>
          <w:p w14:paraId="0362FD0A">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资金来源</w:t>
            </w:r>
          </w:p>
        </w:tc>
        <w:tc>
          <w:tcPr>
            <w:tcW w:w="7903" w:type="dxa"/>
            <w:vAlign w:val="center"/>
          </w:tcPr>
          <w:p w14:paraId="75B797D4">
            <w:pPr>
              <w:pageBreakBefore w:val="0"/>
              <w:kinsoku/>
              <w:overflowPunct/>
              <w:topLinePunct w:val="0"/>
              <w:bidi w:val="0"/>
              <w:spacing w:beforeAutospacing="0" w:afterAutospacing="0"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已落实</w:t>
            </w:r>
          </w:p>
        </w:tc>
      </w:tr>
      <w:tr w14:paraId="10B05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DCB0096">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p>
        </w:tc>
        <w:tc>
          <w:tcPr>
            <w:tcW w:w="1326" w:type="dxa"/>
            <w:vAlign w:val="center"/>
          </w:tcPr>
          <w:p w14:paraId="3FF3D2A1">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采购内容</w:t>
            </w:r>
          </w:p>
        </w:tc>
        <w:tc>
          <w:tcPr>
            <w:tcW w:w="7903" w:type="dxa"/>
            <w:vAlign w:val="center"/>
          </w:tcPr>
          <w:p w14:paraId="26404969">
            <w:pPr>
              <w:pageBreakBefore w:val="0"/>
              <w:kinsoku/>
              <w:overflowPunct/>
              <w:topLinePunct w:val="0"/>
              <w:bidi w:val="0"/>
              <w:spacing w:beforeAutospacing="0" w:afterAutospacing="0" w:line="360" w:lineRule="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val="en-US" w:eastAsia="zh-CN"/>
              </w:rPr>
              <w:t>拟采购1套超高效液相色谱三重四级杆质谱联用仪。</w:t>
            </w:r>
            <w:r>
              <w:rPr>
                <w:rFonts w:hint="eastAsia" w:ascii="宋体" w:hAnsi="宋体" w:eastAsia="宋体" w:cs="宋体"/>
                <w:b w:val="0"/>
                <w:bCs w:val="0"/>
                <w:color w:val="auto"/>
                <w:szCs w:val="21"/>
                <w:highlight w:val="none"/>
                <w:lang w:eastAsia="zh-CN"/>
              </w:rPr>
              <w:t>具体技术参数及性能要求等内容详见第</w:t>
            </w:r>
            <w:r>
              <w:rPr>
                <w:rFonts w:hint="eastAsia" w:ascii="宋体" w:hAnsi="宋体" w:eastAsia="宋体" w:cs="宋体"/>
                <w:b w:val="0"/>
                <w:bCs w:val="0"/>
                <w:color w:val="auto"/>
                <w:szCs w:val="21"/>
                <w:highlight w:val="none"/>
                <w:lang w:val="en-US" w:eastAsia="zh-CN"/>
              </w:rPr>
              <w:t>六</w:t>
            </w:r>
            <w:r>
              <w:rPr>
                <w:rFonts w:hint="eastAsia" w:ascii="宋体" w:hAnsi="宋体" w:eastAsia="宋体" w:cs="宋体"/>
                <w:b w:val="0"/>
                <w:bCs w:val="0"/>
                <w:color w:val="auto"/>
                <w:szCs w:val="21"/>
                <w:highlight w:val="none"/>
                <w:lang w:val="zh-CN" w:eastAsia="zh-CN"/>
              </w:rPr>
              <w:t>章采购需求</w:t>
            </w:r>
            <w:r>
              <w:rPr>
                <w:rFonts w:hint="eastAsia" w:ascii="宋体" w:hAnsi="宋体" w:eastAsia="宋体" w:cs="宋体"/>
                <w:b w:val="0"/>
                <w:bCs w:val="0"/>
                <w:color w:val="auto"/>
                <w:szCs w:val="21"/>
                <w:highlight w:val="none"/>
                <w:lang w:eastAsia="zh-CN"/>
              </w:rPr>
              <w:t>。</w:t>
            </w:r>
          </w:p>
        </w:tc>
      </w:tr>
      <w:tr w14:paraId="5F881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221E2B5">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p>
        </w:tc>
        <w:tc>
          <w:tcPr>
            <w:tcW w:w="1326" w:type="dxa"/>
            <w:vAlign w:val="center"/>
          </w:tcPr>
          <w:p w14:paraId="5A7F2904">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合同履行期限</w:t>
            </w:r>
          </w:p>
        </w:tc>
        <w:tc>
          <w:tcPr>
            <w:tcW w:w="7903" w:type="dxa"/>
            <w:vAlign w:val="center"/>
          </w:tcPr>
          <w:p w14:paraId="3F705E31">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合同签订生效后45日历天内完成供货及安装调试并交付使用</w:t>
            </w:r>
            <w:r>
              <w:rPr>
                <w:rFonts w:hint="eastAsia" w:ascii="宋体" w:hAnsi="宋体" w:eastAsia="宋体" w:cs="宋体"/>
                <w:color w:val="auto"/>
                <w:szCs w:val="21"/>
                <w:highlight w:val="none"/>
              </w:rPr>
              <w:t>。</w:t>
            </w:r>
          </w:p>
        </w:tc>
      </w:tr>
      <w:tr w14:paraId="23801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BFF4E87">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4.1</w:t>
            </w:r>
          </w:p>
        </w:tc>
        <w:tc>
          <w:tcPr>
            <w:tcW w:w="1326" w:type="dxa"/>
            <w:vAlign w:val="center"/>
          </w:tcPr>
          <w:p w14:paraId="624C547C">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资格条件</w:t>
            </w:r>
          </w:p>
        </w:tc>
        <w:tc>
          <w:tcPr>
            <w:tcW w:w="7903" w:type="dxa"/>
            <w:vAlign w:val="center"/>
          </w:tcPr>
          <w:p w14:paraId="38BED1BF">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应满足《中华人民共和国政府采购法》第二十二条规定及《中华人民共和国政府采购法实施条例》第十七条的要求：</w:t>
            </w:r>
          </w:p>
          <w:p w14:paraId="4F4BF840">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（1）具有独立承担民事责任的能力：</w:t>
            </w:r>
            <w:r>
              <w:rPr>
                <w:rFonts w:hint="eastAsia" w:ascii="宋体" w:hAnsi="宋体" w:eastAsia="宋体" w:cs="宋体"/>
                <w:color w:val="auto"/>
                <w:szCs w:val="21"/>
                <w:highlight w:val="none"/>
                <w:lang w:eastAsia="zh-CN"/>
              </w:rPr>
              <w:t>投标人为法人、其他组织或者自然人，提供有效的营业执照或事业单位法人证书或民办非企业登记证书或执业许可证或社会团体登记证或自然人身份证明</w:t>
            </w:r>
            <w:r>
              <w:rPr>
                <w:rFonts w:hint="eastAsia" w:ascii="宋体" w:hAnsi="宋体" w:eastAsia="宋体" w:cs="宋体"/>
                <w:color w:val="auto"/>
                <w:szCs w:val="21"/>
                <w:highlight w:val="none"/>
              </w:rPr>
              <w:t>；</w:t>
            </w:r>
          </w:p>
          <w:p w14:paraId="3351E1D1">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（2）具有良好的商业信誉和健全的财务会计制度：①</w:t>
            </w:r>
            <w:r>
              <w:rPr>
                <w:rFonts w:hint="eastAsia" w:ascii="宋体" w:hAnsi="宋体" w:eastAsia="宋体" w:cs="宋体"/>
                <w:color w:val="auto"/>
                <w:szCs w:val="21"/>
                <w:highlight w:val="none"/>
                <w:lang w:eastAsia="zh-CN"/>
              </w:rPr>
              <w:t>在国家企业信用信息公示系统（www.gsxt.gov.cn）中未出现列入严重违法失信企业名单（黑名单）</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eastAsia="zh-CN"/>
              </w:rPr>
              <w:t>参与本项目的投标人信用查询截止时点：投标文件递交截止当天查询（查询结果以采购人、采购代理机构查询结果为准，投标人无需提供，并将查询记录和证据留存）</w:t>
            </w:r>
            <w:r>
              <w:rPr>
                <w:rFonts w:hint="eastAsia" w:ascii="宋体" w:hAnsi="宋体" w:eastAsia="宋体" w:cs="宋体"/>
                <w:color w:val="auto"/>
                <w:szCs w:val="21"/>
                <w:highlight w:val="none"/>
              </w:rPr>
              <w:t>；②</w:t>
            </w:r>
            <w:r>
              <w:rPr>
                <w:rFonts w:hint="eastAsia" w:ascii="宋体" w:hAnsi="宋体" w:eastAsia="宋体" w:cs="宋体"/>
                <w:color w:val="auto"/>
                <w:szCs w:val="21"/>
                <w:highlight w:val="none"/>
                <w:lang w:eastAsia="zh-CN"/>
              </w:rPr>
              <w:t>提供2022年至2024年任一年度经第三方审计的财务报告及报表（报表至少包括资产负债表、利润表、现金流量表，</w:t>
            </w:r>
            <w:r>
              <w:rPr>
                <w:rFonts w:hint="eastAsia" w:ascii="宋体" w:hAnsi="宋体" w:cs="宋体"/>
                <w:color w:val="auto"/>
                <w:szCs w:val="21"/>
                <w:highlight w:val="none"/>
                <w:lang w:eastAsia="zh-CN"/>
              </w:rPr>
              <w:t>2023或2024年审计报告须附注册会计师行业统一监管平台验证码</w:t>
            </w:r>
            <w:r>
              <w:rPr>
                <w:rFonts w:hint="eastAsia" w:ascii="宋体" w:hAnsi="宋体" w:eastAsia="宋体" w:cs="宋体"/>
                <w:color w:val="auto"/>
                <w:szCs w:val="21"/>
                <w:highlight w:val="none"/>
                <w:lang w:eastAsia="zh-CN"/>
              </w:rPr>
              <w:t>），事业单位可提供内部财务报表，未经审计或成立时间不足一年的，可提供自</w:t>
            </w:r>
            <w:r>
              <w:rPr>
                <w:rFonts w:hint="eastAsia" w:ascii="宋体" w:hAnsi="宋体" w:cs="宋体"/>
                <w:color w:val="auto"/>
                <w:szCs w:val="21"/>
                <w:highlight w:val="none"/>
                <w:lang w:val="en-US" w:eastAsia="zh-CN"/>
              </w:rPr>
              <w:t>投标</w:t>
            </w:r>
            <w:r>
              <w:rPr>
                <w:rFonts w:hint="eastAsia" w:ascii="宋体" w:hAnsi="宋体" w:eastAsia="宋体" w:cs="宋体"/>
                <w:color w:val="auto"/>
                <w:szCs w:val="21"/>
                <w:highlight w:val="none"/>
                <w:lang w:eastAsia="zh-CN"/>
              </w:rPr>
              <w:t>文件提交截止时间前三个月内银行出具的资信证明</w:t>
            </w:r>
            <w:r>
              <w:rPr>
                <w:rFonts w:hint="eastAsia" w:ascii="宋体" w:hAnsi="宋体" w:eastAsia="宋体" w:cs="宋体"/>
                <w:color w:val="auto"/>
                <w:szCs w:val="21"/>
                <w:highlight w:val="none"/>
              </w:rPr>
              <w:t>；</w:t>
            </w:r>
          </w:p>
          <w:p w14:paraId="17596E67">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（3）具有履行合同所必需的设备和专业技术能力：提供相关证明材料或书面声明；</w:t>
            </w:r>
          </w:p>
          <w:p w14:paraId="3D44E71E">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（4）有依法缴纳税收和社会保障资金的良好记录：提供</w:t>
            </w:r>
            <w:r>
              <w:rPr>
                <w:rFonts w:hint="eastAsia" w:ascii="宋体" w:hAnsi="宋体" w:cs="宋体"/>
                <w:color w:val="auto"/>
                <w:szCs w:val="21"/>
                <w:highlight w:val="none"/>
                <w:lang w:val="en-US" w:eastAsia="zh-CN"/>
              </w:rPr>
              <w:t>2024</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月至今任意2个月依法缴纳税收和缴纳社会保障资金的证明(成立未满2个月的提供成立以来的税收和社会保障资金缴纳凭证或相关情况说明；依法免税或不需要缴纳社会保障资金的，应提供相应文件证明其依法免税或不需要缴纳社会保障资金)。</w:t>
            </w:r>
          </w:p>
          <w:p w14:paraId="69F59860">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（5）参加政府采购活动前三年内，在经营活动中没有重大违法记录，提供参加本次政府采购活动前三年内在经营活动中没有重大违法记录的书面声明；</w:t>
            </w:r>
          </w:p>
          <w:p w14:paraId="6F09C73C">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（6）法律、行政法规规定的其他条件。</w:t>
            </w:r>
          </w:p>
          <w:p w14:paraId="0BF129C8">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参与本项目的投标人信用查询截止时点：投标文件递交截止当天查询（查询结果以采购人、采购代理机构查询结果为准，投标人无需提供，并将查询记录和证据留存）；</w:t>
            </w:r>
          </w:p>
          <w:p w14:paraId="0963D298">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②本次招标不接受联合体投标：提供承诺或书面声明；</w:t>
            </w:r>
          </w:p>
          <w:p w14:paraId="5C129CAB">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不存在《中华人民共和国政府采购法实施条例》第十八条规定情形：即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tc>
      </w:tr>
      <w:tr w14:paraId="7AB18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2D3A918">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4.2</w:t>
            </w:r>
          </w:p>
        </w:tc>
        <w:tc>
          <w:tcPr>
            <w:tcW w:w="1326" w:type="dxa"/>
            <w:vAlign w:val="center"/>
          </w:tcPr>
          <w:p w14:paraId="6F8618C4">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★本项目的特定资格要求</w:t>
            </w:r>
          </w:p>
        </w:tc>
        <w:tc>
          <w:tcPr>
            <w:tcW w:w="7903" w:type="dxa"/>
            <w:vAlign w:val="center"/>
          </w:tcPr>
          <w:p w14:paraId="6AA975B5">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无</w:t>
            </w:r>
          </w:p>
        </w:tc>
      </w:tr>
      <w:tr w14:paraId="719F8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F121BC8">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w:t>
            </w:r>
          </w:p>
        </w:tc>
        <w:tc>
          <w:tcPr>
            <w:tcW w:w="1326" w:type="dxa"/>
            <w:vAlign w:val="center"/>
          </w:tcPr>
          <w:p w14:paraId="1577AB33">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招标文件澄清截止时间</w:t>
            </w:r>
          </w:p>
        </w:tc>
        <w:tc>
          <w:tcPr>
            <w:tcW w:w="7903" w:type="dxa"/>
            <w:vAlign w:val="center"/>
          </w:tcPr>
          <w:p w14:paraId="0A48DEF2">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提交投标文件的截止日期15日前</w:t>
            </w:r>
          </w:p>
        </w:tc>
      </w:tr>
      <w:tr w14:paraId="534C7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0485A7E">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.3</w:t>
            </w:r>
          </w:p>
        </w:tc>
        <w:tc>
          <w:tcPr>
            <w:tcW w:w="1326" w:type="dxa"/>
            <w:vAlign w:val="center"/>
          </w:tcPr>
          <w:p w14:paraId="0EC2AEF3">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招标文件澄清联系方式</w:t>
            </w:r>
          </w:p>
        </w:tc>
        <w:tc>
          <w:tcPr>
            <w:tcW w:w="7903" w:type="dxa"/>
            <w:vAlign w:val="center"/>
          </w:tcPr>
          <w:p w14:paraId="026D2427">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澄清联系人：</w:t>
            </w:r>
            <w:r>
              <w:rPr>
                <w:rFonts w:hint="eastAsia" w:ascii="宋体" w:hAnsi="宋体" w:cs="宋体"/>
                <w:color w:val="auto"/>
                <w:szCs w:val="21"/>
                <w:highlight w:val="none"/>
                <w:lang w:val="en-US" w:eastAsia="zh-CN"/>
              </w:rPr>
              <w:t>蒋立</w:t>
            </w:r>
          </w:p>
          <w:p w14:paraId="5E1B147E">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r>
              <w:rPr>
                <w:rFonts w:hint="eastAsia" w:ascii="宋体" w:hAnsi="宋体" w:cs="宋体"/>
                <w:color w:val="auto"/>
                <w:szCs w:val="21"/>
                <w:highlight w:val="none"/>
                <w:lang w:val="en-US" w:eastAsia="zh-CN"/>
              </w:rPr>
              <w:t>15209257830</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传真：0871-63815951 </w:t>
            </w:r>
          </w:p>
        </w:tc>
      </w:tr>
      <w:tr w14:paraId="5088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62D8CF5">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10.3</w:t>
            </w:r>
          </w:p>
        </w:tc>
        <w:tc>
          <w:tcPr>
            <w:tcW w:w="1326" w:type="dxa"/>
            <w:vAlign w:val="center"/>
          </w:tcPr>
          <w:p w14:paraId="2E23105E">
            <w:pPr>
              <w:pageBreakBefore w:val="0"/>
              <w:kinsoku/>
              <w:overflowPunct/>
              <w:topLinePunct w:val="0"/>
              <w:autoSpaceDE w:val="0"/>
              <w:autoSpaceDN w:val="0"/>
              <w:bidi w:val="0"/>
              <w:snapToGrid w:val="0"/>
              <w:spacing w:beforeAutospacing="0" w:afterAutospacing="0" w:line="360" w:lineRule="auto"/>
              <w:textAlignment w:val="bottom"/>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highlight w:val="none"/>
              </w:rPr>
              <w:t>实质性要求和条件</w:t>
            </w:r>
          </w:p>
        </w:tc>
        <w:tc>
          <w:tcPr>
            <w:tcW w:w="7903" w:type="dxa"/>
            <w:vAlign w:val="center"/>
          </w:tcPr>
          <w:p w14:paraId="08ACC9DA">
            <w:pPr>
              <w:pageBreakBefore w:val="0"/>
              <w:kinsoku/>
              <w:overflowPunct/>
              <w:topLinePunct w:val="0"/>
              <w:autoSpaceDE w:val="0"/>
              <w:autoSpaceDN w:val="0"/>
              <w:bidi w:val="0"/>
              <w:snapToGrid w:val="0"/>
              <w:spacing w:beforeAutospacing="0" w:afterAutospacing="0" w:line="360" w:lineRule="auto"/>
              <w:textAlignment w:val="bottom"/>
              <w:rPr>
                <w:rFonts w:hint="eastAsia" w:ascii="宋体" w:hAnsi="宋体" w:eastAsia="宋体" w:cs="宋体"/>
                <w:b/>
                <w:bCs/>
                <w:color w:val="auto"/>
                <w:kern w:val="2"/>
                <w:sz w:val="21"/>
                <w:szCs w:val="22"/>
                <w:highlight w:val="none"/>
                <w:lang w:val="en-US" w:eastAsia="zh-CN" w:bidi="ar-SA"/>
              </w:rPr>
            </w:pPr>
            <w:r>
              <w:rPr>
                <w:rFonts w:hint="eastAsia" w:ascii="宋体" w:hAnsi="宋体" w:eastAsia="宋体" w:cs="宋体"/>
                <w:color w:val="auto"/>
                <w:highlight w:val="none"/>
              </w:rPr>
              <w:t>第四章“评标办法”符合性评审标准规定的内容及本招标文件中标注★号的其他条款为实质性要求和条件，不满足任何一条将导致投标无效。请各</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仔细阅读符合性评审标准和★号条款。</w:t>
            </w:r>
          </w:p>
        </w:tc>
      </w:tr>
      <w:tr w14:paraId="1B962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2C41504">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w:t>
            </w:r>
          </w:p>
        </w:tc>
        <w:tc>
          <w:tcPr>
            <w:tcW w:w="1326" w:type="dxa"/>
            <w:vAlign w:val="center"/>
          </w:tcPr>
          <w:p w14:paraId="15B48CC1">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7903" w:type="dxa"/>
            <w:vAlign w:val="center"/>
          </w:tcPr>
          <w:p w14:paraId="3B71C4AD">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投标截止日期后 90 天</w:t>
            </w:r>
          </w:p>
        </w:tc>
      </w:tr>
      <w:tr w14:paraId="5DE3D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04F7B24">
            <w:pPr>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w:t>
            </w:r>
          </w:p>
        </w:tc>
        <w:tc>
          <w:tcPr>
            <w:tcW w:w="1326" w:type="dxa"/>
            <w:vAlign w:val="center"/>
          </w:tcPr>
          <w:p w14:paraId="643FFBA1">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投标文件签字及盖章要求</w:t>
            </w:r>
          </w:p>
        </w:tc>
        <w:tc>
          <w:tcPr>
            <w:tcW w:w="7903" w:type="dxa"/>
            <w:vAlign w:val="center"/>
          </w:tcPr>
          <w:p w14:paraId="311B7757">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按照投标文件格式要求由投标人的法定代表人或其委托代理人签字或盖章。委托代理人签字的，投标文件应附法定代表人签署的授权委托书</w:t>
            </w:r>
            <w:r>
              <w:rPr>
                <w:rFonts w:hint="eastAsia" w:ascii="宋体" w:hAnsi="宋体" w:eastAsia="宋体" w:cs="宋体"/>
                <w:color w:val="auto"/>
                <w:szCs w:val="21"/>
                <w:highlight w:val="none"/>
              </w:rPr>
              <w:t>。</w:t>
            </w:r>
          </w:p>
        </w:tc>
      </w:tr>
      <w:tr w14:paraId="7BC5E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935E821">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p>
        </w:tc>
        <w:tc>
          <w:tcPr>
            <w:tcW w:w="1326" w:type="dxa"/>
            <w:vAlign w:val="center"/>
          </w:tcPr>
          <w:p w14:paraId="0D8B979A">
            <w:pPr>
              <w:pageBreakBefore w:val="0"/>
              <w:kinsoku/>
              <w:overflowPunct/>
              <w:topLinePunct w:val="0"/>
              <w:bidi w:val="0"/>
              <w:spacing w:beforeAutospacing="0" w:afterAutospacing="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电子投标文件的递交</w:t>
            </w:r>
          </w:p>
        </w:tc>
        <w:tc>
          <w:tcPr>
            <w:tcW w:w="7903" w:type="dxa"/>
            <w:vAlign w:val="center"/>
          </w:tcPr>
          <w:p w14:paraId="2BF62C14">
            <w:pPr>
              <w:pageBreakBefore w:val="0"/>
              <w:kinsoku/>
              <w:overflowPunct/>
              <w:topLinePunct w:val="0"/>
              <w:bidi w:val="0"/>
              <w:spacing w:beforeAutospacing="0" w:afterAutospacing="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15C74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F11D3F4">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w:t>
            </w:r>
          </w:p>
        </w:tc>
        <w:tc>
          <w:tcPr>
            <w:tcW w:w="1326" w:type="dxa"/>
            <w:vAlign w:val="center"/>
          </w:tcPr>
          <w:p w14:paraId="27766951">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7903" w:type="dxa"/>
            <w:vAlign w:val="center"/>
          </w:tcPr>
          <w:p w14:paraId="2741541B">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金额：</w:t>
            </w:r>
            <w:r>
              <w:rPr>
                <w:rFonts w:hint="eastAsia" w:ascii="宋体" w:hAnsi="宋体" w:cs="宋体"/>
                <w:color w:val="auto"/>
                <w:szCs w:val="21"/>
                <w:highlight w:val="none"/>
                <w:lang w:val="en-US" w:eastAsia="zh-CN"/>
              </w:rPr>
              <w:t>叁万元整</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lang w:val="en-US" w:eastAsia="zh-CN"/>
              </w:rPr>
              <w:t>000</w:t>
            </w:r>
            <w:r>
              <w:rPr>
                <w:rFonts w:hint="eastAsia" w:ascii="宋体" w:hAnsi="宋体" w:eastAsia="宋体" w:cs="宋体"/>
                <w:color w:val="auto"/>
                <w:szCs w:val="21"/>
                <w:highlight w:val="none"/>
              </w:rPr>
              <w:t>.00元）</w:t>
            </w:r>
          </w:p>
          <w:p w14:paraId="5920A376">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收款单位：云南国合建设招标咨询有限公司</w:t>
            </w:r>
          </w:p>
          <w:p w14:paraId="16E41B97">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开户行：招商银行昆明铂金大道支行</w:t>
            </w:r>
          </w:p>
          <w:p w14:paraId="72015AF5">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账号：871912662810501</w:t>
            </w:r>
          </w:p>
          <w:p w14:paraId="6B7D288F">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备注：</w:t>
            </w:r>
            <w:r>
              <w:rPr>
                <w:rFonts w:hint="eastAsia" w:ascii="宋体" w:hAnsi="宋体" w:cs="宋体"/>
                <w:color w:val="auto"/>
                <w:szCs w:val="21"/>
                <w:highlight w:val="none"/>
                <w:lang w:eastAsia="zh-CN"/>
              </w:rPr>
              <w:t>YNZC2025-G1-03229-YNGH-0168</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投标保证金</w:t>
            </w:r>
          </w:p>
          <w:p w14:paraId="6A2D09F4">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截止时间:</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到账截止时间为递交</w:t>
            </w: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的截止时间，到帐时间以实际到达专用账户时间为准。未按时到账的</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视为未提交。</w:t>
            </w:r>
          </w:p>
          <w:p w14:paraId="483ABEA3">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以电汇、网银、支票、汇票、本票或者金融机构、担保机构出具的保函等非现金形式提交（注：1.支票、汇票、本票需留2天给予代理机构办理进账；2.金融机构、担保机构出具的保函等非现金需提前1天通知代理机构）。请各</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自行考虑款项及信息到代理机构指定账户的时间，提前办理！</w:t>
            </w:r>
          </w:p>
          <w:p w14:paraId="6F68F170">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交款截止时间:</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到账截止时间为递交</w:t>
            </w: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的截止时间，到账时间以实际到达专用账户时间为准。未按时到账的</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视为未提交。</w:t>
            </w:r>
          </w:p>
          <w:p w14:paraId="20C771A6">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14:paraId="1E603B3E">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1.交纳</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时必须在汇款备注栏填写：</w:t>
            </w:r>
            <w:r>
              <w:rPr>
                <w:rFonts w:hint="eastAsia" w:ascii="宋体" w:hAnsi="宋体" w:cs="宋体"/>
                <w:color w:val="auto"/>
                <w:szCs w:val="21"/>
                <w:highlight w:val="none"/>
                <w:lang w:eastAsia="zh-CN"/>
              </w:rPr>
              <w:t>YNZC2025-G1-03229-YNGH-0168</w:t>
            </w:r>
            <w:r>
              <w:rPr>
                <w:rFonts w:hint="eastAsia" w:ascii="宋体" w:hAnsi="宋体" w:eastAsia="宋体" w:cs="宋体"/>
                <w:color w:val="auto"/>
                <w:szCs w:val="21"/>
                <w:highlight w:val="none"/>
                <w:lang w:eastAsia="zh-CN"/>
              </w:rPr>
              <w:t>投标保证金</w:t>
            </w:r>
          </w:p>
          <w:p w14:paraId="39E3A286">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通过电汇、网银、支票、汇票、本票的，其出款账户只能为基本账户，退还也为基本账户。</w:t>
            </w:r>
          </w:p>
          <w:p w14:paraId="48CFCA74">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3.未中标</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（通过电汇、网银、支票、汇票、本票的缴纳</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将在发布结果公示后5个工作日内以网银转账方式退回；中标</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（通过电汇、网银、支票、汇票、本票的缴纳</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）携带合同原件交至采购代理机构办理</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退还手续。</w:t>
            </w:r>
          </w:p>
          <w:p w14:paraId="18BF8704">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财务部联系人：杨天秀  电话：15288221148、0871-63815951。</w:t>
            </w:r>
          </w:p>
        </w:tc>
      </w:tr>
      <w:tr w14:paraId="15D64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07CE5E6E">
            <w:pPr>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19</w:t>
            </w:r>
          </w:p>
        </w:tc>
        <w:tc>
          <w:tcPr>
            <w:tcW w:w="1326" w:type="dxa"/>
            <w:vAlign w:val="center"/>
          </w:tcPr>
          <w:p w14:paraId="2796C9FB">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文件的加密</w:t>
            </w:r>
          </w:p>
        </w:tc>
        <w:tc>
          <w:tcPr>
            <w:tcW w:w="7903" w:type="dxa"/>
            <w:vAlign w:val="center"/>
          </w:tcPr>
          <w:p w14:paraId="5F255B68">
            <w:pPr>
              <w:pageBreakBefore w:val="0"/>
              <w:kinsoku/>
              <w:overflowPunct/>
              <w:topLinePunct w:val="0"/>
              <w:bidi w:val="0"/>
              <w:spacing w:beforeAutospacing="0" w:afterAutospacing="0" w:line="360" w:lineRule="auto"/>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u w:val="none"/>
              </w:rPr>
              <w:t>按照“政采云”平台的要求编制、加密后在</w:t>
            </w:r>
            <w:r>
              <w:rPr>
                <w:rFonts w:hint="eastAsia" w:ascii="宋体" w:hAnsi="宋体" w:eastAsia="宋体" w:cs="宋体"/>
                <w:color w:val="auto"/>
                <w:szCs w:val="21"/>
                <w:highlight w:val="none"/>
                <w:u w:val="none"/>
                <w:lang w:val="en-US" w:eastAsia="zh-CN"/>
              </w:rPr>
              <w:t>投标</w:t>
            </w:r>
            <w:r>
              <w:rPr>
                <w:rFonts w:hint="eastAsia" w:ascii="宋体" w:hAnsi="宋体" w:eastAsia="宋体" w:cs="宋体"/>
                <w:color w:val="auto"/>
                <w:szCs w:val="21"/>
                <w:highlight w:val="none"/>
                <w:u w:val="none"/>
              </w:rPr>
              <w:t>文件提交截止时间前上传至“政采云”平台，</w:t>
            </w:r>
            <w:r>
              <w:rPr>
                <w:rFonts w:hint="eastAsia" w:ascii="宋体" w:hAnsi="宋体" w:eastAsia="宋体" w:cs="宋体"/>
                <w:color w:val="auto"/>
                <w:szCs w:val="21"/>
                <w:highlight w:val="none"/>
                <w:u w:val="none"/>
                <w:lang w:val="en-US" w:eastAsia="zh-CN"/>
              </w:rPr>
              <w:t>投标</w:t>
            </w:r>
            <w:r>
              <w:rPr>
                <w:rFonts w:hint="eastAsia" w:ascii="宋体" w:hAnsi="宋体" w:eastAsia="宋体" w:cs="宋体"/>
                <w:color w:val="auto"/>
                <w:szCs w:val="21"/>
                <w:highlight w:val="none"/>
                <w:u w:val="none"/>
              </w:rPr>
              <w:t>文件提交截止时间前未完成</w:t>
            </w:r>
            <w:r>
              <w:rPr>
                <w:rFonts w:hint="eastAsia" w:ascii="宋体" w:hAnsi="宋体" w:eastAsia="宋体" w:cs="宋体"/>
                <w:color w:val="auto"/>
                <w:szCs w:val="21"/>
                <w:highlight w:val="none"/>
                <w:u w:val="none"/>
                <w:lang w:val="en-US" w:eastAsia="zh-CN"/>
              </w:rPr>
              <w:t>投标</w:t>
            </w:r>
            <w:r>
              <w:rPr>
                <w:rFonts w:hint="eastAsia" w:ascii="宋体" w:hAnsi="宋体" w:eastAsia="宋体" w:cs="宋体"/>
                <w:color w:val="auto"/>
                <w:szCs w:val="21"/>
                <w:highlight w:val="none"/>
                <w:u w:val="none"/>
              </w:rPr>
              <w:t>文件上传的，视为撤回</w:t>
            </w:r>
            <w:r>
              <w:rPr>
                <w:rFonts w:hint="eastAsia" w:ascii="宋体" w:hAnsi="宋体" w:eastAsia="宋体" w:cs="宋体"/>
                <w:color w:val="auto"/>
                <w:szCs w:val="21"/>
                <w:highlight w:val="none"/>
                <w:u w:val="none"/>
                <w:lang w:val="en-US" w:eastAsia="zh-CN"/>
              </w:rPr>
              <w:t>投标</w:t>
            </w:r>
            <w:r>
              <w:rPr>
                <w:rFonts w:hint="eastAsia" w:ascii="宋体" w:hAnsi="宋体" w:eastAsia="宋体" w:cs="宋体"/>
                <w:color w:val="auto"/>
                <w:szCs w:val="21"/>
                <w:highlight w:val="none"/>
                <w:u w:val="none"/>
              </w:rPr>
              <w:t>文件。</w:t>
            </w:r>
            <w:r>
              <w:rPr>
                <w:rFonts w:hint="eastAsia" w:ascii="宋体" w:hAnsi="宋体" w:eastAsia="宋体" w:cs="宋体"/>
                <w:color w:val="auto"/>
                <w:szCs w:val="21"/>
                <w:highlight w:val="none"/>
                <w:u w:val="none"/>
                <w:lang w:eastAsia="zh-CN"/>
              </w:rPr>
              <w:t>投标人</w:t>
            </w:r>
            <w:r>
              <w:rPr>
                <w:rFonts w:hint="eastAsia" w:ascii="宋体" w:hAnsi="宋体" w:eastAsia="宋体" w:cs="宋体"/>
                <w:color w:val="auto"/>
                <w:szCs w:val="21"/>
                <w:highlight w:val="none"/>
                <w:u w:val="none"/>
              </w:rPr>
              <w:t>在“政采云”平台提交电子版</w:t>
            </w:r>
            <w:r>
              <w:rPr>
                <w:rFonts w:hint="eastAsia" w:ascii="宋体" w:hAnsi="宋体" w:eastAsia="宋体" w:cs="宋体"/>
                <w:color w:val="auto"/>
                <w:szCs w:val="21"/>
                <w:highlight w:val="none"/>
                <w:u w:val="none"/>
                <w:lang w:val="en-US" w:eastAsia="zh-CN"/>
              </w:rPr>
              <w:t>投标</w:t>
            </w:r>
            <w:r>
              <w:rPr>
                <w:rFonts w:hint="eastAsia" w:ascii="宋体" w:hAnsi="宋体" w:eastAsia="宋体" w:cs="宋体"/>
                <w:color w:val="auto"/>
                <w:szCs w:val="21"/>
                <w:highlight w:val="none"/>
                <w:u w:val="none"/>
              </w:rPr>
              <w:t>文件时，请填写参加远程采购活动经办人联系方式。</w:t>
            </w:r>
          </w:p>
        </w:tc>
      </w:tr>
      <w:tr w14:paraId="06005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2C1FBC3">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20.1</w:t>
            </w:r>
          </w:p>
        </w:tc>
        <w:tc>
          <w:tcPr>
            <w:tcW w:w="1326" w:type="dxa"/>
            <w:vAlign w:val="center"/>
          </w:tcPr>
          <w:p w14:paraId="22A6987E">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递交投标文件的截止时间（同投标截止时间）</w:t>
            </w:r>
          </w:p>
        </w:tc>
        <w:tc>
          <w:tcPr>
            <w:tcW w:w="7903" w:type="dxa"/>
            <w:vAlign w:val="center"/>
          </w:tcPr>
          <w:p w14:paraId="5AE9FDA7">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202</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u w:val="single"/>
                <w:lang w:eastAsia="zh-CN"/>
              </w:rPr>
              <w:t>年</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lang w:eastAsia="zh-CN"/>
              </w:rPr>
              <w:t>月</w:t>
            </w:r>
            <w:r>
              <w:rPr>
                <w:rFonts w:hint="eastAsia" w:ascii="宋体" w:hAnsi="宋体" w:cs="宋体"/>
                <w:color w:val="auto"/>
                <w:szCs w:val="21"/>
                <w:highlight w:val="none"/>
                <w:u w:val="single"/>
                <w:lang w:val="en-US" w:eastAsia="zh-CN"/>
              </w:rPr>
              <w:t xml:space="preserve"> 30 </w:t>
            </w:r>
            <w:r>
              <w:rPr>
                <w:rFonts w:hint="eastAsia" w:ascii="宋体" w:hAnsi="宋体" w:eastAsia="宋体" w:cs="宋体"/>
                <w:color w:val="auto"/>
                <w:szCs w:val="21"/>
                <w:highlight w:val="none"/>
                <w:u w:val="single"/>
                <w:lang w:eastAsia="zh-CN"/>
              </w:rPr>
              <w:t>日</w:t>
            </w:r>
            <w:r>
              <w:rPr>
                <w:rFonts w:hint="eastAsia" w:ascii="宋体" w:hAnsi="宋体" w:cs="宋体"/>
                <w:color w:val="auto"/>
                <w:szCs w:val="21"/>
                <w:highlight w:val="none"/>
                <w:u w:val="single"/>
                <w:lang w:val="en-US" w:eastAsia="zh-CN"/>
              </w:rPr>
              <w:t>09</w:t>
            </w:r>
            <w:r>
              <w:rPr>
                <w:rFonts w:hint="eastAsia" w:ascii="宋体" w:hAnsi="宋体" w:eastAsia="宋体" w:cs="宋体"/>
                <w:color w:val="auto"/>
                <w:szCs w:val="21"/>
                <w:highlight w:val="none"/>
                <w:u w:val="single"/>
                <w:lang w:eastAsia="zh-CN"/>
              </w:rPr>
              <w:t>时</w:t>
            </w:r>
            <w:r>
              <w:rPr>
                <w:rFonts w:hint="eastAsia" w:ascii="宋体" w:hAnsi="宋体" w:cs="宋体"/>
                <w:color w:val="auto"/>
                <w:szCs w:val="21"/>
                <w:highlight w:val="none"/>
                <w:u w:val="single"/>
                <w:lang w:val="en-US" w:eastAsia="zh-CN"/>
              </w:rPr>
              <w:t>30</w:t>
            </w:r>
            <w:r>
              <w:rPr>
                <w:rFonts w:hint="eastAsia" w:ascii="宋体" w:hAnsi="宋体" w:eastAsia="宋体" w:cs="宋体"/>
                <w:color w:val="auto"/>
                <w:szCs w:val="21"/>
                <w:highlight w:val="none"/>
                <w:u w:val="single"/>
                <w:lang w:eastAsia="zh-CN"/>
              </w:rPr>
              <w:t>分</w:t>
            </w:r>
          </w:p>
        </w:tc>
      </w:tr>
      <w:tr w14:paraId="7F8D0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D2B1B77">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.2</w:t>
            </w:r>
          </w:p>
        </w:tc>
        <w:tc>
          <w:tcPr>
            <w:tcW w:w="1326" w:type="dxa"/>
            <w:vAlign w:val="center"/>
          </w:tcPr>
          <w:p w14:paraId="2AC3C6C5">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递交投标文件地点</w:t>
            </w:r>
          </w:p>
        </w:tc>
        <w:tc>
          <w:tcPr>
            <w:tcW w:w="7903" w:type="dxa"/>
            <w:vAlign w:val="center"/>
          </w:tcPr>
          <w:p w14:paraId="4D94F4F2">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政采云平台</w:t>
            </w:r>
          </w:p>
        </w:tc>
      </w:tr>
      <w:tr w14:paraId="1A1BF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E27C6EE">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.3</w:t>
            </w:r>
          </w:p>
        </w:tc>
        <w:tc>
          <w:tcPr>
            <w:tcW w:w="1326" w:type="dxa"/>
            <w:vAlign w:val="center"/>
          </w:tcPr>
          <w:p w14:paraId="1461D1F8">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是否退还投标文件</w:t>
            </w:r>
          </w:p>
        </w:tc>
        <w:tc>
          <w:tcPr>
            <w:tcW w:w="7903" w:type="dxa"/>
            <w:vAlign w:val="center"/>
          </w:tcPr>
          <w:p w14:paraId="062B8FF0">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EQ \o(</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szCs w:val="21"/>
                <w:highlight w:val="none"/>
              </w:rPr>
              <w:instrText xml:space="preserve">,√)</w:instrTex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否</w:t>
            </w:r>
          </w:p>
        </w:tc>
      </w:tr>
      <w:tr w14:paraId="30885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8DAE4C9">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.1</w:t>
            </w:r>
          </w:p>
        </w:tc>
        <w:tc>
          <w:tcPr>
            <w:tcW w:w="1326" w:type="dxa"/>
            <w:vAlign w:val="center"/>
          </w:tcPr>
          <w:p w14:paraId="64970929">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开标时间和地点</w:t>
            </w:r>
          </w:p>
        </w:tc>
        <w:tc>
          <w:tcPr>
            <w:tcW w:w="7903" w:type="dxa"/>
            <w:vAlign w:val="center"/>
          </w:tcPr>
          <w:p w14:paraId="028DC901">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开标时间：同投标截止时间</w:t>
            </w:r>
          </w:p>
          <w:p w14:paraId="4D9107BA">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开标地点：</w:t>
            </w:r>
            <w:r>
              <w:rPr>
                <w:rFonts w:hint="eastAsia" w:ascii="宋体" w:hAnsi="宋体" w:eastAsia="宋体" w:cs="宋体"/>
                <w:color w:val="auto"/>
                <w:sz w:val="21"/>
                <w:szCs w:val="21"/>
                <w:highlight w:val="none"/>
              </w:rPr>
              <w:t>政采云平台</w:t>
            </w:r>
          </w:p>
        </w:tc>
      </w:tr>
      <w:tr w14:paraId="6712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7" w:hRule="atLeast"/>
          <w:jc w:val="center"/>
        </w:trPr>
        <w:tc>
          <w:tcPr>
            <w:tcW w:w="973" w:type="dxa"/>
            <w:vAlign w:val="center"/>
          </w:tcPr>
          <w:p w14:paraId="6078C281">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.1</w:t>
            </w:r>
          </w:p>
        </w:tc>
        <w:tc>
          <w:tcPr>
            <w:tcW w:w="1326" w:type="dxa"/>
            <w:vAlign w:val="center"/>
          </w:tcPr>
          <w:p w14:paraId="5F2A239E">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评标委员会组成</w:t>
            </w:r>
          </w:p>
        </w:tc>
        <w:tc>
          <w:tcPr>
            <w:tcW w:w="7903" w:type="dxa"/>
            <w:vAlign w:val="center"/>
          </w:tcPr>
          <w:p w14:paraId="36AE9D7A">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评标由采购人依法组建的评标委员会负责。评标委员会由采购人代表和评审专家组成，成员人数应当为5人及以上单数，其中评审专家不得少于成员总数的三分之二</w:t>
            </w:r>
          </w:p>
        </w:tc>
      </w:tr>
      <w:tr w14:paraId="73E6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0E2668B">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.5</w:t>
            </w:r>
          </w:p>
        </w:tc>
        <w:tc>
          <w:tcPr>
            <w:tcW w:w="1326" w:type="dxa"/>
            <w:vAlign w:val="center"/>
          </w:tcPr>
          <w:p w14:paraId="6B2953BA">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评标办法</w:t>
            </w:r>
          </w:p>
        </w:tc>
        <w:tc>
          <w:tcPr>
            <w:tcW w:w="7903" w:type="dxa"/>
            <w:vAlign w:val="center"/>
          </w:tcPr>
          <w:p w14:paraId="7F8B9E2E">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EQ \o(</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szCs w:val="21"/>
                <w:highlight w:val="none"/>
              </w:rPr>
              <w:instrText xml:space="preserve">,√)</w:instrTex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综合评分法</w:t>
            </w:r>
          </w:p>
          <w:p w14:paraId="14DF5A23">
            <w:pPr>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kern w:val="0"/>
                <w:sz w:val="21"/>
                <w:szCs w:val="21"/>
                <w:highlight w:val="none"/>
                <w:lang w:val="en-US" w:eastAsia="zh-CN" w:bidi="ar-SA"/>
              </w:rPr>
              <w:t>评标委员会推荐中标候选人的人数:3名</w:t>
            </w:r>
          </w:p>
        </w:tc>
      </w:tr>
      <w:tr w14:paraId="5C053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C3862E1">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w:t>
            </w:r>
          </w:p>
        </w:tc>
        <w:tc>
          <w:tcPr>
            <w:tcW w:w="1326" w:type="dxa"/>
            <w:vAlign w:val="center"/>
          </w:tcPr>
          <w:p w14:paraId="275BD424">
            <w:pPr>
              <w:pStyle w:val="14"/>
              <w:pageBreakBefore w:val="0"/>
              <w:kinsoku/>
              <w:overflowPunct/>
              <w:topLinePunct w:val="0"/>
              <w:bidi w:val="0"/>
              <w:spacing w:beforeAutospacing="0" w:afterAutospacing="0" w:line="360" w:lineRule="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履约保证金金额</w:t>
            </w:r>
          </w:p>
        </w:tc>
        <w:tc>
          <w:tcPr>
            <w:tcW w:w="7903" w:type="dxa"/>
            <w:vAlign w:val="center"/>
          </w:tcPr>
          <w:p w14:paraId="3D05E4E7">
            <w:pPr>
              <w:pStyle w:val="14"/>
              <w:pageBreakBefore w:val="0"/>
              <w:kinsoku/>
              <w:overflowPunct/>
              <w:topLinePunct w:val="0"/>
              <w:bidi w:val="0"/>
              <w:spacing w:beforeAutospacing="0" w:afterAutospacing="0" w:line="360" w:lineRule="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履约担保的金额：中标合同价的5%；</w:t>
            </w:r>
          </w:p>
          <w:p w14:paraId="18C028EF">
            <w:pPr>
              <w:pStyle w:val="14"/>
              <w:pageBreakBefore w:val="0"/>
              <w:kinsoku/>
              <w:overflowPunct/>
              <w:topLinePunct w:val="0"/>
              <w:bidi w:val="0"/>
              <w:spacing w:beforeAutospacing="0" w:afterAutospacing="0" w:line="360" w:lineRule="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履约担保的形式：支票、汇票、本票或者金融机构、担保机构出具的保函等非现金形式；</w:t>
            </w:r>
          </w:p>
          <w:p w14:paraId="736327A2">
            <w:pPr>
              <w:pStyle w:val="14"/>
              <w:pageBreakBefore w:val="0"/>
              <w:kinsoku/>
              <w:overflowPunct/>
              <w:topLinePunct w:val="0"/>
              <w:bidi w:val="0"/>
              <w:spacing w:beforeAutospacing="0" w:afterAutospacing="0" w:line="360" w:lineRule="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给采购人造成的损失超过履约保证金数额的，中标人还应当对超过部分予以赔偿。</w:t>
            </w:r>
          </w:p>
        </w:tc>
      </w:tr>
      <w:tr w14:paraId="23F9E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32725D3">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p>
        </w:tc>
        <w:tc>
          <w:tcPr>
            <w:tcW w:w="1326" w:type="dxa"/>
            <w:vAlign w:val="center"/>
          </w:tcPr>
          <w:p w14:paraId="33A8860B">
            <w:pPr>
              <w:pStyle w:val="14"/>
              <w:pageBreakBefore w:val="0"/>
              <w:kinsoku/>
              <w:overflowPunct/>
              <w:topLinePunct w:val="0"/>
              <w:bidi w:val="0"/>
              <w:spacing w:beforeAutospacing="0" w:afterAutospacing="0" w:line="360" w:lineRule="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履约保证金退还时间</w:t>
            </w:r>
          </w:p>
        </w:tc>
        <w:tc>
          <w:tcPr>
            <w:tcW w:w="7903" w:type="dxa"/>
            <w:vAlign w:val="center"/>
          </w:tcPr>
          <w:p w14:paraId="275CA68A">
            <w:pPr>
              <w:pStyle w:val="14"/>
              <w:pageBreakBefore w:val="0"/>
              <w:kinsoku/>
              <w:overflowPunct/>
              <w:topLinePunct w:val="0"/>
              <w:bidi w:val="0"/>
              <w:spacing w:beforeAutospacing="0" w:afterAutospacing="0" w:line="360" w:lineRule="auto"/>
              <w:rPr>
                <w:rFonts w:hint="eastAsia" w:ascii="宋体" w:hAnsi="宋体" w:eastAsia="宋体" w:cs="宋体"/>
                <w:color w:val="auto"/>
                <w:kern w:val="0"/>
                <w:szCs w:val="21"/>
                <w:highlight w:val="none"/>
                <w:lang w:val="zh-CN" w:eastAsia="zh-CN"/>
              </w:rPr>
            </w:pPr>
            <w:r>
              <w:rPr>
                <w:rFonts w:hint="eastAsia" w:ascii="宋体" w:hAnsi="宋体" w:eastAsia="宋体" w:cs="宋体"/>
                <w:color w:val="auto"/>
                <w:kern w:val="0"/>
                <w:szCs w:val="21"/>
                <w:highlight w:val="none"/>
                <w:lang w:val="zh-CN" w:eastAsia="zh-CN"/>
              </w:rPr>
              <w:t>交货验收合格后</w:t>
            </w:r>
            <w:r>
              <w:rPr>
                <w:rFonts w:hint="eastAsia" w:hAnsi="宋体" w:cs="宋体"/>
                <w:color w:val="auto"/>
                <w:kern w:val="0"/>
                <w:szCs w:val="21"/>
                <w:highlight w:val="none"/>
                <w:lang w:val="en-US" w:eastAsia="zh-CN"/>
              </w:rPr>
              <w:t>30</w:t>
            </w:r>
            <w:r>
              <w:rPr>
                <w:rFonts w:hint="eastAsia" w:ascii="宋体" w:hAnsi="宋体" w:eastAsia="宋体" w:cs="宋体"/>
                <w:color w:val="auto"/>
                <w:kern w:val="0"/>
                <w:szCs w:val="21"/>
                <w:highlight w:val="none"/>
                <w:lang w:val="zh-CN" w:eastAsia="zh-CN"/>
              </w:rPr>
              <w:t>个工作日内一次性无息退还。</w:t>
            </w:r>
          </w:p>
        </w:tc>
      </w:tr>
      <w:tr w14:paraId="09A8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2D7A03B">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29</w:t>
            </w:r>
            <w:r>
              <w:rPr>
                <w:rFonts w:hint="eastAsia" w:ascii="宋体" w:hAnsi="宋体" w:eastAsia="宋体" w:cs="宋体"/>
                <w:color w:val="auto"/>
                <w:szCs w:val="21"/>
                <w:highlight w:val="none"/>
              </w:rPr>
              <w:t>.1</w:t>
            </w:r>
          </w:p>
        </w:tc>
        <w:tc>
          <w:tcPr>
            <w:tcW w:w="1326" w:type="dxa"/>
            <w:vAlign w:val="center"/>
          </w:tcPr>
          <w:p w14:paraId="72146858">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中标服务费</w:t>
            </w:r>
          </w:p>
        </w:tc>
        <w:tc>
          <w:tcPr>
            <w:tcW w:w="7903" w:type="dxa"/>
            <w:vAlign w:val="center"/>
          </w:tcPr>
          <w:p w14:paraId="7255CB78">
            <w:pPr>
              <w:pageBreakBefore w:val="0"/>
              <w:kinsoku/>
              <w:overflowPunct/>
              <w:topLinePunct w:val="0"/>
              <w:bidi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val="0"/>
                <w:bCs w:val="0"/>
                <w:color w:val="auto"/>
                <w:szCs w:val="21"/>
                <w:highlight w:val="none"/>
              </w:rPr>
              <w:t>参照原国家计委《关于印发&lt;招标代理服务收费管理暂行办法&gt;的通知》(计价格[2002]1980号)收费标准</w:t>
            </w:r>
            <w:r>
              <w:rPr>
                <w:rFonts w:hint="eastAsia" w:ascii="宋体" w:hAnsi="宋体" w:cs="宋体"/>
                <w:b w:val="0"/>
                <w:bCs w:val="0"/>
                <w:color w:val="auto"/>
                <w:szCs w:val="21"/>
                <w:highlight w:val="none"/>
                <w:lang w:val="en-US" w:eastAsia="zh-CN"/>
              </w:rPr>
              <w:t>货物类</w:t>
            </w:r>
            <w:r>
              <w:rPr>
                <w:rFonts w:hint="eastAsia" w:ascii="宋体" w:hAnsi="宋体" w:eastAsia="宋体" w:cs="宋体"/>
                <w:b w:val="0"/>
                <w:bCs w:val="0"/>
                <w:color w:val="auto"/>
                <w:szCs w:val="21"/>
                <w:highlight w:val="none"/>
              </w:rPr>
              <w:t>收取，</w:t>
            </w:r>
            <w:r>
              <w:rPr>
                <w:rFonts w:hint="eastAsia" w:ascii="宋体" w:hAnsi="宋体" w:cs="宋体"/>
                <w:b w:val="0"/>
                <w:bCs w:val="0"/>
                <w:color w:val="auto"/>
                <w:szCs w:val="21"/>
                <w:highlight w:val="none"/>
                <w:lang w:val="en-US" w:eastAsia="zh-CN"/>
              </w:rPr>
              <w:t>计算基数为中标金额，</w:t>
            </w:r>
            <w:r>
              <w:rPr>
                <w:rFonts w:hint="eastAsia" w:ascii="宋体" w:hAnsi="宋体" w:eastAsia="宋体" w:cs="宋体"/>
                <w:b w:val="0"/>
                <w:bCs w:val="0"/>
                <w:color w:val="auto"/>
                <w:szCs w:val="21"/>
                <w:highlight w:val="none"/>
              </w:rPr>
              <w:t>由</w:t>
            </w:r>
            <w:r>
              <w:rPr>
                <w:rFonts w:hint="eastAsia" w:ascii="宋体" w:hAnsi="宋体" w:eastAsia="宋体" w:cs="宋体"/>
                <w:b w:val="0"/>
                <w:bCs w:val="0"/>
                <w:color w:val="auto"/>
                <w:szCs w:val="21"/>
                <w:highlight w:val="none"/>
                <w:lang w:val="en-US" w:eastAsia="zh-CN"/>
              </w:rPr>
              <w:t>中标</w:t>
            </w:r>
            <w:r>
              <w:rPr>
                <w:rFonts w:hint="eastAsia" w:ascii="宋体" w:hAnsi="宋体" w:eastAsia="宋体" w:cs="宋体"/>
                <w:b w:val="0"/>
                <w:bCs w:val="0"/>
                <w:color w:val="auto"/>
                <w:szCs w:val="21"/>
                <w:highlight w:val="none"/>
              </w:rPr>
              <w:t>单位领取</w:t>
            </w:r>
            <w:r>
              <w:rPr>
                <w:rFonts w:hint="eastAsia" w:ascii="宋体" w:hAnsi="宋体" w:eastAsia="宋体" w:cs="宋体"/>
                <w:b w:val="0"/>
                <w:bCs w:val="0"/>
                <w:color w:val="auto"/>
                <w:szCs w:val="21"/>
                <w:highlight w:val="none"/>
                <w:lang w:val="en-US" w:eastAsia="zh-CN"/>
              </w:rPr>
              <w:t>中标</w:t>
            </w:r>
            <w:r>
              <w:rPr>
                <w:rFonts w:hint="eastAsia" w:ascii="宋体" w:hAnsi="宋体" w:eastAsia="宋体" w:cs="宋体"/>
                <w:b w:val="0"/>
                <w:bCs w:val="0"/>
                <w:color w:val="auto"/>
                <w:szCs w:val="21"/>
                <w:highlight w:val="none"/>
              </w:rPr>
              <w:t>通知书时一次性付清。</w:t>
            </w:r>
          </w:p>
          <w:p w14:paraId="0EABB616">
            <w:pPr>
              <w:pageBreakBefore w:val="0"/>
              <w:kinsoku/>
              <w:overflowPunct/>
              <w:topLinePunct w:val="0"/>
              <w:bidi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收款单位：云南国合建设招标咨询有限公司</w:t>
            </w:r>
          </w:p>
          <w:p w14:paraId="75EF0912">
            <w:pPr>
              <w:pageBreakBefore w:val="0"/>
              <w:kinsoku/>
              <w:overflowPunct/>
              <w:topLinePunct w:val="0"/>
              <w:bidi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开户行：中国农业银行昆明市白龙寺支行</w:t>
            </w:r>
          </w:p>
          <w:p w14:paraId="3B761BFE">
            <w:pPr>
              <w:pageBreakBefore w:val="0"/>
              <w:kinsoku/>
              <w:overflowPunct/>
              <w:topLinePunct w:val="0"/>
              <w:bidi w:val="0"/>
              <w:spacing w:beforeAutospacing="0" w:afterAutospacing="0"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账号：24019001040006899</w:t>
            </w:r>
          </w:p>
          <w:p w14:paraId="3C06BE3A">
            <w:pPr>
              <w:pageBreakBefore w:val="0"/>
              <w:kinsoku/>
              <w:overflowPunct/>
              <w:topLinePunct w:val="0"/>
              <w:bidi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bCs/>
                <w:color w:val="auto"/>
                <w:sz w:val="21"/>
                <w:szCs w:val="21"/>
                <w:highlight w:val="none"/>
              </w:rPr>
              <w:t>注：中标服务费由中标</w:t>
            </w:r>
            <w:r>
              <w:rPr>
                <w:rFonts w:hint="eastAsia" w:ascii="宋体" w:hAnsi="宋体" w:eastAsia="宋体" w:cs="宋体"/>
                <w:b/>
                <w:bCs/>
                <w:color w:val="auto"/>
                <w:sz w:val="21"/>
                <w:szCs w:val="21"/>
                <w:highlight w:val="none"/>
                <w:lang w:eastAsia="zh-CN"/>
              </w:rPr>
              <w:t>投标人</w:t>
            </w:r>
            <w:r>
              <w:rPr>
                <w:rFonts w:hint="eastAsia" w:ascii="宋体" w:hAnsi="宋体" w:eastAsia="宋体" w:cs="宋体"/>
                <w:b/>
                <w:bCs/>
                <w:color w:val="auto"/>
                <w:sz w:val="21"/>
                <w:szCs w:val="21"/>
                <w:highlight w:val="none"/>
              </w:rPr>
              <w:t>支付，</w:t>
            </w:r>
            <w:r>
              <w:rPr>
                <w:rFonts w:hint="eastAsia" w:ascii="宋体" w:hAnsi="宋体" w:eastAsia="宋体" w:cs="宋体"/>
                <w:b/>
                <w:bCs/>
                <w:color w:val="auto"/>
                <w:sz w:val="21"/>
                <w:szCs w:val="21"/>
                <w:highlight w:val="none"/>
                <w:lang w:eastAsia="zh-CN"/>
              </w:rPr>
              <w:t>投标人</w:t>
            </w:r>
            <w:r>
              <w:rPr>
                <w:rFonts w:hint="eastAsia" w:ascii="宋体" w:hAnsi="宋体" w:eastAsia="宋体" w:cs="宋体"/>
                <w:b/>
                <w:bCs/>
                <w:color w:val="auto"/>
                <w:sz w:val="21"/>
                <w:szCs w:val="21"/>
                <w:highlight w:val="none"/>
              </w:rPr>
              <w:t>报价应包含中标服务费</w:t>
            </w:r>
          </w:p>
        </w:tc>
      </w:tr>
      <w:tr w14:paraId="1926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68902DA">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.1</w:t>
            </w:r>
          </w:p>
        </w:tc>
        <w:tc>
          <w:tcPr>
            <w:tcW w:w="9229" w:type="dxa"/>
            <w:gridSpan w:val="2"/>
            <w:vAlign w:val="center"/>
          </w:tcPr>
          <w:p w14:paraId="56E64468">
            <w:pPr>
              <w:pStyle w:val="14"/>
              <w:pageBreakBefore w:val="0"/>
              <w:kinsoku/>
              <w:overflowPunct/>
              <w:topLinePunct w:val="0"/>
              <w:bidi w:val="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需要补充的其他内容</w:t>
            </w:r>
          </w:p>
        </w:tc>
      </w:tr>
      <w:tr w14:paraId="5E081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FAFC693">
            <w:pPr>
              <w:pageBreakBefore w:val="0"/>
              <w:kinsoku/>
              <w:overflowPunct/>
              <w:topLinePunct w:val="0"/>
              <w:bidi w:val="0"/>
              <w:spacing w:beforeAutospacing="0" w:afterAutospacing="0"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lang w:val="zh-CN"/>
              </w:rPr>
              <w:t>）</w:t>
            </w:r>
          </w:p>
        </w:tc>
        <w:tc>
          <w:tcPr>
            <w:tcW w:w="9229" w:type="dxa"/>
            <w:gridSpan w:val="2"/>
            <w:vAlign w:val="center"/>
          </w:tcPr>
          <w:p w14:paraId="7AD1581B">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政府采购政策响应：</w:t>
            </w:r>
          </w:p>
          <w:p w14:paraId="79BDAE96">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1、小型和微型企业价格评分优惠政策</w:t>
            </w:r>
          </w:p>
          <w:p w14:paraId="45F5060F">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w:t>
            </w:r>
            <w:r>
              <w:rPr>
                <w:rFonts w:hint="eastAsia" w:ascii="宋体" w:hAnsi="宋体" w:eastAsia="宋体" w:cs="宋体"/>
                <w:color w:val="auto"/>
                <w:kern w:val="0"/>
                <w:szCs w:val="21"/>
                <w:highlight w:val="none"/>
                <w:lang w:val="zh-CN" w:eastAsia="zh-CN"/>
              </w:rPr>
              <w:t>中小企业是指在中华人民共和国境内依法设立，依据国务院批准的中小企业划分标准确定的中型企业、小型企业和微型企业，但与大企业的负责人为同一人，或者与大企业存在直接控股、管理系的除外。符合中小企业划分标准的个体工商户，在政府采购活动中视同中小企业。</w:t>
            </w:r>
          </w:p>
          <w:p w14:paraId="1CCAB49D">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对符合条件的小型、微型企业，在投标报价评分时给予投标报价10%的扣除，用扣除后的投标报价参与投标报价评审。</w:t>
            </w:r>
          </w:p>
          <w:p w14:paraId="06F4677D">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2、监狱企业优惠政策</w:t>
            </w:r>
          </w:p>
          <w:p w14:paraId="09C82D7C">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1EDCBF24">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3、残疾人福利性单位优惠政策</w:t>
            </w:r>
          </w:p>
          <w:p w14:paraId="2CD3601A">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1C108076">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4、环保节能政策</w:t>
            </w:r>
          </w:p>
          <w:p w14:paraId="0D7AD69F">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1ED555E8">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5、进口产品政策</w:t>
            </w:r>
          </w:p>
          <w:p w14:paraId="52519D4C">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根据《政府采购进口产品管理办法》(财库〔2007〕119号)、《关于政府采购进口产品管理有关问题的通知》(财办库〔2008〕248号)的规定，实施进口产品采购。</w:t>
            </w:r>
          </w:p>
        </w:tc>
      </w:tr>
      <w:tr w14:paraId="4B04D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FD5DF9B">
            <w:pPr>
              <w:pStyle w:val="14"/>
              <w:pageBreakBefore w:val="0"/>
              <w:shd w:val="clear"/>
              <w:kinsoku/>
              <w:overflowPunct/>
              <w:topLinePunct w:val="0"/>
              <w:bidi w:val="0"/>
              <w:spacing w:beforeAutospacing="0" w:afterAutospacing="0" w:line="360" w:lineRule="auto"/>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p>
        </w:tc>
        <w:tc>
          <w:tcPr>
            <w:tcW w:w="9229" w:type="dxa"/>
            <w:gridSpan w:val="2"/>
            <w:vAlign w:val="center"/>
          </w:tcPr>
          <w:p w14:paraId="65C78AD0">
            <w:pPr>
              <w:pStyle w:val="14"/>
              <w:pageBreakBefore w:val="0"/>
              <w:shd w:val="clear"/>
              <w:kinsoku/>
              <w:overflowPunct/>
              <w:topLinePunct w:val="0"/>
              <w:bidi w:val="0"/>
              <w:spacing w:beforeAutospacing="0" w:afterAutospacing="0" w:line="360" w:lineRule="auto"/>
              <w:rPr>
                <w:rFonts w:hint="eastAsia" w:ascii="宋体" w:hAnsi="宋体" w:eastAsia="宋体" w:cs="宋体"/>
                <w:color w:val="auto"/>
                <w:sz w:val="21"/>
                <w:szCs w:val="21"/>
                <w:highlight w:val="none"/>
              </w:rPr>
            </w:pPr>
            <w:r>
              <w:rPr>
                <w:rFonts w:hint="eastAsia" w:hAnsi="宋体" w:cs="宋体"/>
                <w:b/>
                <w:bCs/>
                <w:color w:val="auto"/>
                <w:sz w:val="21"/>
                <w:szCs w:val="21"/>
                <w:highlight w:val="none"/>
                <w:lang w:val="en-US" w:eastAsia="zh-CN"/>
              </w:rPr>
              <w:t>本项目核心产品：超高效液相色谱三重四级杆质谱联用仪</w:t>
            </w:r>
          </w:p>
          <w:p w14:paraId="63CF0E0D">
            <w:pPr>
              <w:pStyle w:val="14"/>
              <w:pageBreakBefore w:val="0"/>
              <w:shd w:val="clear"/>
              <w:kinsoku/>
              <w:overflowPunct/>
              <w:topLinePunct w:val="0"/>
              <w:bidi w:val="0"/>
              <w:spacing w:beforeAutospacing="0" w:afterAutospacing="0" w:line="360" w:lineRule="auto"/>
              <w:rPr>
                <w:rFonts w:hint="eastAsia" w:ascii="宋体" w:hAnsi="宋体" w:eastAsia="宋体" w:cs="宋体"/>
                <w:color w:val="auto"/>
                <w:kern w:val="2"/>
                <w:sz w:val="21"/>
                <w:szCs w:val="22"/>
                <w:highlight w:val="none"/>
                <w:lang w:val="zh-CN" w:eastAsia="zh-CN" w:bidi="ar-SA"/>
              </w:rPr>
            </w:pPr>
            <w:r>
              <w:rPr>
                <w:rFonts w:hint="eastAsia" w:ascii="宋体" w:hAnsi="宋体" w:eastAsia="宋体" w:cs="宋体"/>
                <w:color w:val="auto"/>
                <w:sz w:val="21"/>
                <w:szCs w:val="21"/>
                <w:highlight w:val="none"/>
              </w:rPr>
              <w:t>同品牌产品的处理：多家</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提供相同品牌产品</w:t>
            </w:r>
            <w:r>
              <w:rPr>
                <w:rFonts w:hint="eastAsia" w:ascii="宋体" w:hAnsi="宋体" w:cs="宋体"/>
                <w:color w:val="000000"/>
                <w:kern w:val="0"/>
                <w:sz w:val="24"/>
                <w:lang w:bidi="ar"/>
              </w:rPr>
              <w:t>（或提供的核心产品品牌相</w:t>
            </w:r>
            <w:r>
              <w:rPr>
                <w:rFonts w:hint="eastAsia" w:ascii="宋体" w:hAnsi="宋体" w:cs="宋体"/>
                <w:color w:val="auto"/>
                <w:kern w:val="0"/>
                <w:sz w:val="24"/>
                <w:lang w:bidi="ar"/>
              </w:rPr>
              <w:t>同）</w:t>
            </w:r>
            <w:r>
              <w:rPr>
                <w:rFonts w:hint="eastAsia" w:ascii="宋体" w:hAnsi="宋体" w:eastAsia="宋体" w:cs="宋体"/>
                <w:color w:val="auto"/>
                <w:sz w:val="21"/>
                <w:szCs w:val="21"/>
                <w:highlight w:val="none"/>
              </w:rPr>
              <w:t>且通过资格审查、符合性审查的不同</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参加同一合同项下投标的，按一家</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计算，评审后得分最高的同品牌</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获得中标人推荐资格；评审得分相同的，由采购人或者采购人委托评标委员会按照招标文件规定的方式确定一个</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获得中标人推荐资格，招标文件未规定的采取随机抽取方式确定，其他同品牌</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不作为中标候选人。</w:t>
            </w:r>
          </w:p>
        </w:tc>
      </w:tr>
      <w:tr w14:paraId="6701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D456B4F">
            <w:pPr>
              <w:pStyle w:val="14"/>
              <w:pageBreakBefore w:val="0"/>
              <w:shd w:val="clear"/>
              <w:kinsoku/>
              <w:overflowPunct/>
              <w:topLinePunct w:val="0"/>
              <w:bidi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p>
        </w:tc>
        <w:tc>
          <w:tcPr>
            <w:tcW w:w="9229" w:type="dxa"/>
            <w:gridSpan w:val="2"/>
            <w:vAlign w:val="center"/>
          </w:tcPr>
          <w:p w14:paraId="242E1DBE">
            <w:pPr>
              <w:pStyle w:val="14"/>
              <w:pageBreakBefore w:val="0"/>
              <w:shd w:val="clear"/>
              <w:kinsoku/>
              <w:overflowPunct/>
              <w:topLinePunct w:val="0"/>
              <w:bidi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本项目为电子标，投标文件格式中要求签字或盖章的地方均可以进行电子签章</w:t>
            </w:r>
          </w:p>
        </w:tc>
      </w:tr>
    </w:tbl>
    <w:p w14:paraId="7E034BC1">
      <w:pPr>
        <w:pageBreakBefore w:val="0"/>
        <w:kinsoku/>
        <w:overflowPunct/>
        <w:topLinePunct w:val="0"/>
        <w:bidi w:val="0"/>
        <w:spacing w:beforeAutospacing="0" w:afterAutospacing="0" w:line="360" w:lineRule="auto"/>
        <w:rPr>
          <w:rFonts w:hint="eastAsia" w:ascii="宋体" w:hAnsi="宋体" w:eastAsia="宋体" w:cs="宋体"/>
          <w:color w:val="auto"/>
          <w:highlight w:val="none"/>
        </w:rPr>
      </w:pPr>
    </w:p>
    <w:p w14:paraId="04927CDA">
      <w:pPr>
        <w:rPr>
          <w:rFonts w:hint="eastAsia" w:ascii="宋体" w:hAnsi="宋体" w:eastAsia="宋体" w:cs="宋体"/>
          <w:b/>
          <w:bCs/>
          <w:color w:val="auto"/>
          <w:sz w:val="24"/>
          <w:szCs w:val="24"/>
          <w:highlight w:val="none"/>
        </w:rPr>
      </w:pPr>
      <w:bookmarkStart w:id="132" w:name="_Toc30211"/>
      <w:bookmarkStart w:id="133" w:name="_Toc30077"/>
      <w:bookmarkStart w:id="134" w:name="_Toc10671"/>
      <w:r>
        <w:rPr>
          <w:rFonts w:hint="eastAsia" w:ascii="宋体" w:hAnsi="宋体" w:eastAsia="宋体" w:cs="宋体"/>
          <w:b/>
          <w:bCs/>
          <w:color w:val="auto"/>
          <w:sz w:val="24"/>
          <w:szCs w:val="24"/>
          <w:highlight w:val="none"/>
        </w:rPr>
        <w:br w:type="page"/>
      </w:r>
    </w:p>
    <w:p w14:paraId="6849B42B">
      <w:pPr>
        <w:pageBreakBefore w:val="0"/>
        <w:widowControl/>
        <w:kinsoku/>
        <w:overflowPunct/>
        <w:topLinePunct w:val="0"/>
        <w:bidi w:val="0"/>
        <w:spacing w:beforeAutospacing="0" w:afterAutospacing="0" w:line="360" w:lineRule="auto"/>
        <w:jc w:val="center"/>
        <w:outlineLvl w:val="1"/>
        <w:rPr>
          <w:rFonts w:hint="eastAsia" w:ascii="宋体" w:hAnsi="宋体" w:eastAsia="宋体" w:cs="宋体"/>
          <w:b/>
          <w:bCs/>
          <w:color w:val="auto"/>
          <w:sz w:val="24"/>
          <w:szCs w:val="24"/>
          <w:highlight w:val="none"/>
        </w:rPr>
      </w:pPr>
      <w:bookmarkStart w:id="135" w:name="_Toc1259"/>
      <w:r>
        <w:rPr>
          <w:rFonts w:hint="eastAsia" w:ascii="宋体" w:hAnsi="宋体" w:eastAsia="宋体" w:cs="宋体"/>
          <w:b/>
          <w:bCs/>
          <w:color w:val="auto"/>
          <w:sz w:val="24"/>
          <w:szCs w:val="24"/>
          <w:highlight w:val="none"/>
        </w:rPr>
        <w:t>一、总  则</w:t>
      </w:r>
      <w:bookmarkEnd w:id="132"/>
      <w:bookmarkEnd w:id="133"/>
      <w:bookmarkEnd w:id="134"/>
      <w:bookmarkEnd w:id="135"/>
    </w:p>
    <w:p w14:paraId="2D0BE3BF">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136" w:name="_Toc24918"/>
      <w:bookmarkStart w:id="137" w:name="_Toc30542"/>
      <w:bookmarkStart w:id="138" w:name="_Toc28213"/>
      <w:bookmarkStart w:id="139" w:name="_Toc62031136"/>
      <w:bookmarkStart w:id="140" w:name="_Toc13118"/>
      <w:bookmarkStart w:id="141" w:name="_Toc6270"/>
      <w:r>
        <w:rPr>
          <w:rFonts w:hint="eastAsia" w:ascii="宋体" w:hAnsi="宋体" w:eastAsia="宋体" w:cs="宋体"/>
          <w:color w:val="auto"/>
          <w:sz w:val="24"/>
          <w:szCs w:val="24"/>
          <w:highlight w:val="none"/>
        </w:rPr>
        <w:t>项目概况</w:t>
      </w:r>
      <w:bookmarkEnd w:id="136"/>
      <w:bookmarkEnd w:id="137"/>
      <w:bookmarkEnd w:id="138"/>
      <w:bookmarkEnd w:id="139"/>
      <w:bookmarkEnd w:id="140"/>
      <w:bookmarkEnd w:id="141"/>
    </w:p>
    <w:p w14:paraId="27047A64">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根据《中华人民共和国政府采购法》《中华人民共和国政府采购法</w:t>
      </w:r>
      <w:r>
        <w:rPr>
          <w:rFonts w:hint="eastAsia" w:ascii="宋体" w:hAnsi="宋体" w:eastAsia="宋体" w:cs="宋体"/>
          <w:color w:val="auto"/>
          <w:sz w:val="24"/>
          <w:szCs w:val="24"/>
          <w:highlight w:val="none"/>
          <w:lang w:val="en-US" w:eastAsia="zh-CN"/>
        </w:rPr>
        <w:t>实施条例</w:t>
      </w:r>
      <w:r>
        <w:rPr>
          <w:rFonts w:hint="eastAsia" w:ascii="宋体" w:hAnsi="宋体" w:eastAsia="宋体" w:cs="宋体"/>
          <w:color w:val="auto"/>
          <w:sz w:val="24"/>
          <w:szCs w:val="24"/>
          <w:highlight w:val="none"/>
        </w:rPr>
        <w:t>》《政府采购货物和服务招标投标管理办法》（财政部令第87号）等有关法律、法规和规章的规定，本招标项目已具备招标条件。</w:t>
      </w:r>
    </w:p>
    <w:p w14:paraId="0F04D5FA">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本项目采购人、采购代理机构、项目名称及项目编号：见“</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须知前附表</w:t>
      </w:r>
      <w:r>
        <w:rPr>
          <w:rFonts w:hint="eastAsia" w:ascii="宋体" w:hAnsi="宋体" w:eastAsia="宋体" w:cs="宋体"/>
          <w:color w:val="auto"/>
          <w:sz w:val="24"/>
          <w:szCs w:val="24"/>
          <w:highlight w:val="none"/>
        </w:rPr>
        <w:t>”。</w:t>
      </w:r>
    </w:p>
    <w:p w14:paraId="762859F4">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142" w:name="_Toc19217"/>
      <w:bookmarkStart w:id="143" w:name="_Toc4542"/>
      <w:bookmarkStart w:id="144" w:name="_Toc11017"/>
      <w:bookmarkStart w:id="145" w:name="_Toc7228"/>
      <w:bookmarkStart w:id="146" w:name="_Toc62031137"/>
      <w:bookmarkStart w:id="147" w:name="_Toc10949"/>
      <w:r>
        <w:rPr>
          <w:rFonts w:hint="eastAsia" w:ascii="宋体" w:hAnsi="宋体" w:eastAsia="宋体" w:cs="宋体"/>
          <w:color w:val="auto"/>
          <w:sz w:val="24"/>
          <w:szCs w:val="24"/>
          <w:highlight w:val="none"/>
        </w:rPr>
        <w:t>资金来源</w:t>
      </w:r>
      <w:bookmarkEnd w:id="142"/>
      <w:bookmarkEnd w:id="143"/>
      <w:bookmarkEnd w:id="144"/>
      <w:bookmarkEnd w:id="145"/>
      <w:bookmarkEnd w:id="146"/>
      <w:bookmarkEnd w:id="147"/>
    </w:p>
    <w:p w14:paraId="68B6AADD">
      <w:pPr>
        <w:pageBreakBefore w:val="0"/>
        <w:kinsoku/>
        <w:overflowPunct/>
        <w:topLinePunct w:val="0"/>
        <w:bidi w:val="0"/>
        <w:spacing w:beforeAutospacing="0" w:afterAutospacing="0" w:line="360" w:lineRule="auto"/>
        <w:ind w:firstLine="436" w:firstLineChars="200"/>
        <w:jc w:val="left"/>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rPr>
        <w:t>2.1 “</w:t>
      </w:r>
      <w:r>
        <w:rPr>
          <w:rFonts w:hint="eastAsia" w:ascii="宋体" w:hAnsi="宋体" w:eastAsia="宋体" w:cs="宋体"/>
          <w:b/>
          <w:bCs/>
          <w:color w:val="auto"/>
          <w:spacing w:val="-11"/>
          <w:sz w:val="24"/>
          <w:szCs w:val="24"/>
          <w:highlight w:val="none"/>
          <w:lang w:eastAsia="zh-CN"/>
        </w:rPr>
        <w:t>投标人</w:t>
      </w:r>
      <w:r>
        <w:rPr>
          <w:rFonts w:hint="eastAsia" w:ascii="宋体" w:hAnsi="宋体" w:eastAsia="宋体" w:cs="宋体"/>
          <w:b/>
          <w:bCs/>
          <w:color w:val="auto"/>
          <w:spacing w:val="-11"/>
          <w:sz w:val="24"/>
          <w:szCs w:val="24"/>
          <w:highlight w:val="none"/>
        </w:rPr>
        <w:t>须知前附表</w:t>
      </w:r>
      <w:r>
        <w:rPr>
          <w:rFonts w:hint="eastAsia" w:ascii="宋体" w:hAnsi="宋体" w:eastAsia="宋体" w:cs="宋体"/>
          <w:color w:val="auto"/>
          <w:spacing w:val="-11"/>
          <w:sz w:val="24"/>
          <w:szCs w:val="24"/>
          <w:highlight w:val="none"/>
        </w:rPr>
        <w:t>”中所述的采购人已获得一笔资金，用于采购“</w:t>
      </w:r>
      <w:r>
        <w:rPr>
          <w:rFonts w:hint="eastAsia" w:ascii="宋体" w:hAnsi="宋体" w:eastAsia="宋体" w:cs="宋体"/>
          <w:iCs/>
          <w:color w:val="auto"/>
          <w:spacing w:val="-11"/>
          <w:kern w:val="0"/>
          <w:sz w:val="24"/>
          <w:szCs w:val="24"/>
          <w:highlight w:val="none"/>
        </w:rPr>
        <w:t>采购需求</w:t>
      </w:r>
      <w:r>
        <w:rPr>
          <w:rFonts w:hint="eastAsia" w:ascii="宋体" w:hAnsi="宋体" w:eastAsia="宋体" w:cs="宋体"/>
          <w:color w:val="auto"/>
          <w:spacing w:val="-11"/>
          <w:sz w:val="24"/>
          <w:szCs w:val="24"/>
          <w:highlight w:val="none"/>
        </w:rPr>
        <w:t>”所要求内容。</w:t>
      </w:r>
    </w:p>
    <w:p w14:paraId="69C2A7B1">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148" w:name="_Toc62031138"/>
      <w:bookmarkStart w:id="149" w:name="_Toc30150"/>
      <w:bookmarkStart w:id="150" w:name="_Toc11120"/>
      <w:bookmarkStart w:id="151" w:name="_Toc16361"/>
      <w:bookmarkStart w:id="152" w:name="_Toc16642"/>
      <w:bookmarkStart w:id="153" w:name="_Toc16166"/>
      <w:r>
        <w:rPr>
          <w:rFonts w:hint="eastAsia" w:ascii="宋体" w:hAnsi="宋体" w:eastAsia="宋体" w:cs="宋体"/>
          <w:color w:val="auto"/>
          <w:sz w:val="24"/>
          <w:szCs w:val="24"/>
          <w:highlight w:val="none"/>
        </w:rPr>
        <w:t>采购内容及</w:t>
      </w:r>
      <w:bookmarkEnd w:id="148"/>
      <w:bookmarkEnd w:id="149"/>
      <w:r>
        <w:rPr>
          <w:rFonts w:hint="eastAsia" w:ascii="宋体" w:hAnsi="宋体" w:eastAsia="宋体" w:cs="宋体"/>
          <w:color w:val="auto"/>
          <w:sz w:val="24"/>
          <w:szCs w:val="24"/>
          <w:highlight w:val="none"/>
        </w:rPr>
        <w:t>合同履行期限</w:t>
      </w:r>
      <w:bookmarkEnd w:id="150"/>
      <w:bookmarkEnd w:id="151"/>
      <w:bookmarkEnd w:id="152"/>
      <w:bookmarkEnd w:id="153"/>
    </w:p>
    <w:p w14:paraId="20EA3016">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本项目采购内容：见“</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须知前附表</w:t>
      </w:r>
      <w:r>
        <w:rPr>
          <w:rFonts w:hint="eastAsia" w:ascii="宋体" w:hAnsi="宋体" w:eastAsia="宋体" w:cs="宋体"/>
          <w:color w:val="auto"/>
          <w:sz w:val="24"/>
          <w:szCs w:val="24"/>
          <w:highlight w:val="none"/>
        </w:rPr>
        <w:t>”。</w:t>
      </w:r>
    </w:p>
    <w:p w14:paraId="2C187B6A">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本项目</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：见“</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须知前附表</w:t>
      </w:r>
      <w:r>
        <w:rPr>
          <w:rFonts w:hint="eastAsia" w:ascii="宋体" w:hAnsi="宋体" w:eastAsia="宋体" w:cs="宋体"/>
          <w:color w:val="auto"/>
          <w:sz w:val="24"/>
          <w:szCs w:val="24"/>
          <w:highlight w:val="none"/>
        </w:rPr>
        <w:t>”。</w:t>
      </w:r>
    </w:p>
    <w:p w14:paraId="791B9EF1">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154" w:name="_Toc62031139"/>
      <w:bookmarkStart w:id="155" w:name="_Toc31154"/>
      <w:bookmarkStart w:id="156" w:name="_Toc12296"/>
      <w:bookmarkStart w:id="157" w:name="_Toc10420"/>
      <w:bookmarkStart w:id="158" w:name="_Toc22"/>
      <w:bookmarkStart w:id="159" w:name="_Toc15090"/>
      <w:r>
        <w:rPr>
          <w:rFonts w:hint="eastAsia" w:ascii="宋体" w:hAnsi="宋体" w:eastAsia="宋体" w:cs="宋体"/>
          <w:color w:val="auto"/>
          <w:sz w:val="24"/>
          <w:szCs w:val="24"/>
          <w:highlight w:val="none"/>
        </w:rPr>
        <w:t>合格的</w:t>
      </w:r>
      <w:bookmarkEnd w:id="154"/>
      <w:bookmarkEnd w:id="155"/>
      <w:bookmarkEnd w:id="156"/>
      <w:bookmarkEnd w:id="157"/>
      <w:r>
        <w:rPr>
          <w:rFonts w:hint="eastAsia" w:ascii="宋体" w:hAnsi="宋体" w:eastAsia="宋体" w:cs="宋体"/>
          <w:color w:val="auto"/>
          <w:sz w:val="24"/>
          <w:szCs w:val="24"/>
          <w:highlight w:val="none"/>
          <w:lang w:eastAsia="zh-CN"/>
        </w:rPr>
        <w:t>投标人</w:t>
      </w:r>
      <w:bookmarkEnd w:id="158"/>
      <w:bookmarkEnd w:id="159"/>
    </w:p>
    <w:p w14:paraId="42D1E180">
      <w:pPr>
        <w:pageBreakBefore w:val="0"/>
        <w:kinsoku/>
        <w:overflowPunct/>
        <w:topLinePunct w:val="0"/>
        <w:bidi w:val="0"/>
        <w:spacing w:beforeAutospacing="0" w:afterAutospacing="0" w:line="360" w:lineRule="auto"/>
        <w:ind w:firstLine="436" w:firstLineChars="200"/>
        <w:jc w:val="left"/>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rPr>
        <w:t>4.1</w:t>
      </w:r>
      <w:r>
        <w:rPr>
          <w:rFonts w:hint="eastAsia" w:ascii="宋体" w:hAnsi="宋体" w:eastAsia="宋体" w:cs="宋体"/>
          <w:color w:val="auto"/>
          <w:spacing w:val="-11"/>
          <w:sz w:val="24"/>
          <w:szCs w:val="24"/>
          <w:highlight w:val="none"/>
          <w:lang w:val="en-US" w:eastAsia="zh-CN"/>
        </w:rPr>
        <w:t xml:space="preserve"> </w:t>
      </w:r>
      <w:r>
        <w:rPr>
          <w:rFonts w:hint="eastAsia" w:ascii="宋体" w:hAnsi="宋体" w:eastAsia="宋体" w:cs="宋体"/>
          <w:color w:val="auto"/>
          <w:spacing w:val="-11"/>
          <w:sz w:val="24"/>
          <w:szCs w:val="24"/>
          <w:highlight w:val="none"/>
          <w:lang w:eastAsia="zh-CN"/>
        </w:rPr>
        <w:t>投标人</w:t>
      </w:r>
      <w:r>
        <w:rPr>
          <w:rFonts w:hint="eastAsia" w:ascii="宋体" w:hAnsi="宋体" w:eastAsia="宋体" w:cs="宋体"/>
          <w:color w:val="auto"/>
          <w:spacing w:val="-11"/>
          <w:sz w:val="24"/>
          <w:szCs w:val="24"/>
          <w:highlight w:val="none"/>
        </w:rPr>
        <w:t>应具备《中华人民共和国政府采购法》第二十二条规定的条件见</w:t>
      </w:r>
      <w:r>
        <w:rPr>
          <w:rFonts w:hint="eastAsia" w:ascii="宋体" w:hAnsi="宋体" w:eastAsia="宋体" w:cs="宋体"/>
          <w:b/>
          <w:color w:val="auto"/>
          <w:spacing w:val="-11"/>
          <w:sz w:val="24"/>
          <w:szCs w:val="24"/>
          <w:highlight w:val="none"/>
        </w:rPr>
        <w:t>“</w:t>
      </w:r>
      <w:r>
        <w:rPr>
          <w:rFonts w:hint="eastAsia" w:ascii="宋体" w:hAnsi="宋体" w:eastAsia="宋体" w:cs="宋体"/>
          <w:b/>
          <w:color w:val="auto"/>
          <w:spacing w:val="-11"/>
          <w:sz w:val="24"/>
          <w:szCs w:val="24"/>
          <w:highlight w:val="none"/>
          <w:lang w:eastAsia="zh-CN"/>
        </w:rPr>
        <w:t>投标人</w:t>
      </w:r>
      <w:r>
        <w:rPr>
          <w:rFonts w:hint="eastAsia" w:ascii="宋体" w:hAnsi="宋体" w:eastAsia="宋体" w:cs="宋体"/>
          <w:b/>
          <w:color w:val="auto"/>
          <w:spacing w:val="-11"/>
          <w:sz w:val="24"/>
          <w:szCs w:val="24"/>
          <w:highlight w:val="none"/>
        </w:rPr>
        <w:t>须知前附表”</w:t>
      </w:r>
      <w:r>
        <w:rPr>
          <w:rFonts w:hint="eastAsia" w:ascii="宋体" w:hAnsi="宋体" w:eastAsia="宋体" w:cs="宋体"/>
          <w:color w:val="auto"/>
          <w:spacing w:val="-11"/>
          <w:sz w:val="24"/>
          <w:szCs w:val="24"/>
          <w:highlight w:val="none"/>
        </w:rPr>
        <w:t>。</w:t>
      </w:r>
    </w:p>
    <w:p w14:paraId="785E1039">
      <w:pPr>
        <w:pageBreakBefore w:val="0"/>
        <w:kinsoku/>
        <w:overflowPunct/>
        <w:topLinePunct w:val="0"/>
        <w:bidi w:val="0"/>
        <w:spacing w:beforeAutospacing="0" w:afterAutospacing="0" w:line="360" w:lineRule="auto"/>
        <w:ind w:firstLine="456"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4.2</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lang w:eastAsia="zh-CN"/>
        </w:rPr>
        <w:t>投标人</w:t>
      </w:r>
      <w:r>
        <w:rPr>
          <w:rFonts w:hint="eastAsia" w:ascii="宋体" w:hAnsi="宋体" w:eastAsia="宋体" w:cs="宋体"/>
          <w:color w:val="auto"/>
          <w:spacing w:val="-6"/>
          <w:sz w:val="24"/>
          <w:szCs w:val="24"/>
          <w:highlight w:val="none"/>
        </w:rPr>
        <w:t>应符合采购人根据采购项目的特殊要求规定的特定资格要求见</w:t>
      </w:r>
      <w:r>
        <w:rPr>
          <w:rFonts w:hint="eastAsia" w:ascii="宋体" w:hAnsi="宋体" w:eastAsia="宋体" w:cs="宋体"/>
          <w:b/>
          <w:color w:val="auto"/>
          <w:spacing w:val="-6"/>
          <w:sz w:val="24"/>
          <w:szCs w:val="24"/>
          <w:highlight w:val="none"/>
        </w:rPr>
        <w:t>“</w:t>
      </w:r>
      <w:r>
        <w:rPr>
          <w:rFonts w:hint="eastAsia" w:ascii="宋体" w:hAnsi="宋体" w:eastAsia="宋体" w:cs="宋体"/>
          <w:b/>
          <w:color w:val="auto"/>
          <w:spacing w:val="-6"/>
          <w:sz w:val="24"/>
          <w:szCs w:val="24"/>
          <w:highlight w:val="none"/>
          <w:lang w:eastAsia="zh-CN"/>
        </w:rPr>
        <w:t>投标人</w:t>
      </w:r>
      <w:r>
        <w:rPr>
          <w:rFonts w:hint="eastAsia" w:ascii="宋体" w:hAnsi="宋体" w:eastAsia="宋体" w:cs="宋体"/>
          <w:b/>
          <w:color w:val="auto"/>
          <w:spacing w:val="-6"/>
          <w:sz w:val="24"/>
          <w:szCs w:val="24"/>
          <w:highlight w:val="none"/>
        </w:rPr>
        <w:t>须知前附表”</w:t>
      </w:r>
      <w:r>
        <w:rPr>
          <w:rFonts w:hint="eastAsia" w:ascii="宋体" w:hAnsi="宋体" w:eastAsia="宋体" w:cs="宋体"/>
          <w:color w:val="auto"/>
          <w:spacing w:val="-6"/>
          <w:sz w:val="24"/>
          <w:szCs w:val="24"/>
          <w:highlight w:val="none"/>
        </w:rPr>
        <w:t>。</w:t>
      </w:r>
    </w:p>
    <w:p w14:paraId="21068F4D">
      <w:pPr>
        <w:pageBreakBefore w:val="0"/>
        <w:tabs>
          <w:tab w:val="left" w:pos="1260"/>
        </w:tabs>
        <w:kinsoku/>
        <w:overflowPunct/>
        <w:topLinePunct w:val="0"/>
        <w:bidi w:val="0"/>
        <w:spacing w:beforeAutospacing="0" w:afterAutospacing="0"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存在下列情况之一的，投标无效：</w:t>
      </w:r>
    </w:p>
    <w:p w14:paraId="6E90B759">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(1)未按照招标文件的规定提交投标保证金的；</w:t>
      </w:r>
    </w:p>
    <w:p w14:paraId="1C1C9818">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(2)投标文件未按招标文件要求签署、盖章的；</w:t>
      </w:r>
    </w:p>
    <w:p w14:paraId="160CE7B5">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(3)不具备招标文件中规定的资格要求的；</w:t>
      </w:r>
    </w:p>
    <w:p w14:paraId="4FF888F2">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(4)报价超过招标文件中规定的预算金额或者最高限价的；</w:t>
      </w:r>
    </w:p>
    <w:p w14:paraId="6F86047A">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(5)投标文件含有采购人不能接受的附加条件的；</w:t>
      </w:r>
    </w:p>
    <w:p w14:paraId="27449A6E">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(6)法律、法规和招标文件规定的其他无效情形。</w:t>
      </w:r>
    </w:p>
    <w:p w14:paraId="2A7B2A29">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有下列情形之一的，视为</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串通投标，其投标无效：</w:t>
      </w:r>
    </w:p>
    <w:p w14:paraId="24C76B14">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的投标文件由同一单位或者个人编制；</w:t>
      </w:r>
    </w:p>
    <w:p w14:paraId="3CFBC8F1">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委托同一单位或者个人办理投标事宜；</w:t>
      </w:r>
    </w:p>
    <w:p w14:paraId="1D682E18">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的投标文件载明的项目管理成员或者联系人员为同一人；</w:t>
      </w:r>
    </w:p>
    <w:p w14:paraId="567EAF16">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的投标文件异常一致或者投标报价呈规律性差异；</w:t>
      </w:r>
    </w:p>
    <w:p w14:paraId="606821EA">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的投标文件相互混装；</w:t>
      </w:r>
    </w:p>
    <w:p w14:paraId="3591FCDF">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的投标保证金从同一单位或者个人的账户转出。</w:t>
      </w:r>
    </w:p>
    <w:p w14:paraId="38DE19D5">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符合上述条件的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应承担投标及履约中应承担的全部责任与义务。</w:t>
      </w:r>
    </w:p>
    <w:p w14:paraId="203C8AE6">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160" w:name="_Toc24398"/>
      <w:bookmarkStart w:id="161" w:name="_Toc16398"/>
      <w:bookmarkStart w:id="162" w:name="_Toc5876"/>
      <w:bookmarkStart w:id="163" w:name="_Toc18113"/>
      <w:bookmarkStart w:id="164" w:name="_Toc30170"/>
      <w:r>
        <w:rPr>
          <w:rFonts w:hint="eastAsia" w:ascii="宋体" w:hAnsi="宋体" w:eastAsia="宋体" w:cs="宋体"/>
          <w:color w:val="auto"/>
          <w:sz w:val="24"/>
          <w:szCs w:val="24"/>
          <w:highlight w:val="none"/>
        </w:rPr>
        <w:t>投标费用</w:t>
      </w:r>
      <w:bookmarkEnd w:id="160"/>
      <w:bookmarkEnd w:id="161"/>
      <w:bookmarkEnd w:id="162"/>
      <w:bookmarkEnd w:id="163"/>
      <w:bookmarkEnd w:id="164"/>
    </w:p>
    <w:p w14:paraId="5CE8EAE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不论投标结果如何，</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均应自行承担所有与准备和参加投标活动有关的全部费用。</w:t>
      </w:r>
    </w:p>
    <w:p w14:paraId="0C3FA004">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165" w:name="_Toc23870"/>
      <w:bookmarkStart w:id="166" w:name="_Toc20427"/>
      <w:bookmarkStart w:id="167" w:name="_Toc4698"/>
      <w:bookmarkStart w:id="168" w:name="_Toc22767"/>
      <w:bookmarkStart w:id="169" w:name="_Toc28393"/>
      <w:r>
        <w:rPr>
          <w:rFonts w:hint="eastAsia" w:ascii="宋体" w:hAnsi="宋体" w:eastAsia="宋体" w:cs="宋体"/>
          <w:color w:val="auto"/>
          <w:sz w:val="24"/>
          <w:szCs w:val="24"/>
          <w:highlight w:val="none"/>
        </w:rPr>
        <w:t>质疑和投诉</w:t>
      </w:r>
      <w:bookmarkEnd w:id="165"/>
      <w:bookmarkEnd w:id="166"/>
      <w:bookmarkEnd w:id="167"/>
      <w:bookmarkEnd w:id="168"/>
      <w:bookmarkEnd w:id="169"/>
    </w:p>
    <w:p w14:paraId="25D47257">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认为采购文件、采购过程和中标（成交）结果使自己的权益受到损害的，可以在知道或者应知其权益受到损害之日起7个工作日内，以书面形式向采购人、采购代理机构提出质疑。</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7B8D4341">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知其权益受到损害之日，是指：</w:t>
      </w:r>
    </w:p>
    <w:p w14:paraId="46ED055E">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①对可以质疑的采购文件提出质疑的，为收到采购文件之日或者采购文件公告期限届满之日；</w:t>
      </w:r>
    </w:p>
    <w:p w14:paraId="70620EDA">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②对采购过程提出质疑的，为各采购程序环节结束之日；</w:t>
      </w:r>
    </w:p>
    <w:p w14:paraId="53FF9C36">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③对中标或者成交结果提出质疑的，为中标或者成交结果公告期限届满之日。</w:t>
      </w:r>
    </w:p>
    <w:p w14:paraId="7F34737E">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可以委托代理人进行质疑。其授权委托书应当载明代理人的姓名或者名称、代理事项、具体权限、期限和相关事项。</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为自然人的，应当由本人签字；</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为法人或者其他组织的，应当由法定代表人、主要负责人签字或者盖章，并加盖公章。代理人提出质疑，应当提交</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签署的授权委托书。</w:t>
      </w:r>
    </w:p>
    <w:p w14:paraId="532D0C59">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.4提出质疑的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应当是参与所质疑项目采购活动的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。其中，对采购文件质疑的，应当是已依法获取其可质疑的采购文件的潜在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w:t>
      </w:r>
    </w:p>
    <w:p w14:paraId="2626C02D">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提出质疑应符合《政府采购质疑和投诉办法》（中华人民共和国财政部令第94号）和财政部《政府采购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质疑函范本》的规定。</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提出质疑应当提交质疑函和必要的证明材料。质疑函应当包括下列内容：</w:t>
      </w:r>
    </w:p>
    <w:p w14:paraId="4FB8ABB8">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的姓名或者名称、地址、邮编、联系人及联系电话；</w:t>
      </w:r>
    </w:p>
    <w:p w14:paraId="1A8FE697">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（二）质疑项目的名称、编号；</w:t>
      </w:r>
    </w:p>
    <w:p w14:paraId="67277BA4">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（三）具体、明确的质疑事项和与质疑事项相关的请求；</w:t>
      </w:r>
    </w:p>
    <w:p w14:paraId="678C8EFD">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（四）事实依据；</w:t>
      </w:r>
    </w:p>
    <w:p w14:paraId="5BD58EB9">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（五）必要的法律依据；</w:t>
      </w:r>
    </w:p>
    <w:p w14:paraId="79572612">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（六）提出质疑的日期。</w:t>
      </w:r>
    </w:p>
    <w:p w14:paraId="0BF960FD">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为自然人的，应当由本人签字；</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为法人或者其他组织的，应当由法定代表人、主要负责人，或者其授权代表签字或者盖章，并加盖公章。</w:t>
      </w:r>
    </w:p>
    <w:p w14:paraId="630E10E9">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不得捏造事实、提供虚假材料或者以非法手段取得证明材料。</w:t>
      </w:r>
    </w:p>
    <w:p w14:paraId="7DD956BC">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4C142675">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.9采购人、采购代理机构将在收到</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质疑函后七个工作日内作出答复，但质疑答复的内容不涉及商业秘密。</w:t>
      </w:r>
    </w:p>
    <w:p w14:paraId="5690D4A6">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53644BC4">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.11接收质疑的方式</w:t>
      </w:r>
    </w:p>
    <w:p w14:paraId="52970BC3">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受理质疑部门：云南国合建设招标咨询有限公司</w:t>
      </w:r>
    </w:p>
    <w:p w14:paraId="0E911A57">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通讯地址：</w:t>
      </w:r>
      <w:r>
        <w:rPr>
          <w:rFonts w:hint="eastAsia" w:ascii="宋体" w:hAnsi="宋体" w:cs="宋体"/>
          <w:color w:val="auto"/>
          <w:sz w:val="24"/>
          <w:szCs w:val="24"/>
          <w:highlight w:val="none"/>
          <w:lang w:eastAsia="zh-CN"/>
        </w:rPr>
        <w:t>昆明市盘龙区长青路94号现代广场16楼</w:t>
      </w:r>
    </w:p>
    <w:p w14:paraId="3724B633">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联系人及电话：同本项目公告（邀请书）中明示的联系人及联系电话。</w:t>
      </w:r>
    </w:p>
    <w:p w14:paraId="2E02A29F">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.12投诉人必须首先经过质疑程序，在对采购人、采购代理机构的答复不满意，或者采购人、采购代理机构未在规定的时间内做出答复的，可以在答复期满后十五个工作日内书面向同级政府采购监督管理部门投诉。</w:t>
      </w:r>
    </w:p>
    <w:p w14:paraId="6F5E9828">
      <w:pPr>
        <w:pageBreakBefore w:val="0"/>
        <w:widowControl/>
        <w:kinsoku/>
        <w:overflowPunct/>
        <w:topLinePunct w:val="0"/>
        <w:bidi w:val="0"/>
        <w:spacing w:beforeAutospacing="0" w:afterAutospacing="0" w:line="360" w:lineRule="auto"/>
        <w:jc w:val="center"/>
        <w:outlineLvl w:val="1"/>
        <w:rPr>
          <w:rFonts w:hint="eastAsia" w:ascii="宋体" w:hAnsi="宋体" w:eastAsia="宋体" w:cs="宋体"/>
          <w:b/>
          <w:bCs/>
          <w:color w:val="auto"/>
          <w:sz w:val="24"/>
          <w:szCs w:val="24"/>
          <w:highlight w:val="none"/>
        </w:rPr>
      </w:pPr>
      <w:bookmarkStart w:id="170" w:name="_Toc4772"/>
      <w:bookmarkStart w:id="171" w:name="_Toc1134"/>
      <w:bookmarkStart w:id="172" w:name="_Toc23192"/>
      <w:bookmarkStart w:id="173" w:name="_Toc31257"/>
      <w:r>
        <w:rPr>
          <w:rFonts w:hint="eastAsia" w:ascii="宋体" w:hAnsi="宋体" w:eastAsia="宋体" w:cs="宋体"/>
          <w:b/>
          <w:bCs/>
          <w:color w:val="auto"/>
          <w:sz w:val="24"/>
          <w:szCs w:val="24"/>
          <w:highlight w:val="none"/>
        </w:rPr>
        <w:t>二、招标文件</w:t>
      </w:r>
      <w:bookmarkEnd w:id="170"/>
      <w:bookmarkEnd w:id="171"/>
      <w:bookmarkEnd w:id="172"/>
      <w:bookmarkEnd w:id="173"/>
    </w:p>
    <w:p w14:paraId="6D564E83">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174" w:name="_Toc13436"/>
      <w:bookmarkStart w:id="175" w:name="_Toc22124"/>
      <w:bookmarkStart w:id="176" w:name="_Toc26494"/>
      <w:bookmarkStart w:id="177" w:name="_Toc62031142"/>
      <w:bookmarkStart w:id="178" w:name="_Toc12686"/>
      <w:bookmarkStart w:id="179" w:name="_Toc25548"/>
      <w:r>
        <w:rPr>
          <w:rFonts w:hint="eastAsia" w:ascii="宋体" w:hAnsi="宋体" w:eastAsia="宋体" w:cs="宋体"/>
          <w:color w:val="auto"/>
          <w:sz w:val="24"/>
          <w:szCs w:val="24"/>
          <w:highlight w:val="none"/>
        </w:rPr>
        <w:t>招标文件构成</w:t>
      </w:r>
      <w:bookmarkEnd w:id="174"/>
      <w:bookmarkEnd w:id="175"/>
      <w:bookmarkEnd w:id="176"/>
      <w:bookmarkEnd w:id="177"/>
      <w:bookmarkEnd w:id="178"/>
      <w:bookmarkEnd w:id="179"/>
    </w:p>
    <w:p w14:paraId="6B70FD17">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要求提供的项目、采购过程及合同条款在招标文件中均有说明，招标文件共七章，各章的内容如下：</w:t>
      </w:r>
    </w:p>
    <w:p w14:paraId="00DF7AD2">
      <w:pPr>
        <w:pageBreakBefore w:val="0"/>
        <w:kinsoku/>
        <w:overflowPunct/>
        <w:topLinePunct w:val="0"/>
        <w:bidi w:val="0"/>
        <w:spacing w:beforeAutospacing="0" w:afterAutospacing="0" w:line="360" w:lineRule="auto"/>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招标公告</w:t>
      </w:r>
    </w:p>
    <w:p w14:paraId="5610613C">
      <w:pPr>
        <w:pageBreakBefore w:val="0"/>
        <w:kinsoku/>
        <w:overflowPunct/>
        <w:topLinePunct w:val="0"/>
        <w:bidi w:val="0"/>
        <w:spacing w:beforeAutospacing="0" w:afterAutospacing="0" w:line="360" w:lineRule="auto"/>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w:t>
      </w:r>
    </w:p>
    <w:p w14:paraId="77CF9A9F">
      <w:pPr>
        <w:pageBreakBefore w:val="0"/>
        <w:kinsoku/>
        <w:overflowPunct/>
        <w:topLinePunct w:val="0"/>
        <w:bidi w:val="0"/>
        <w:spacing w:beforeAutospacing="0" w:afterAutospacing="0" w:line="360" w:lineRule="auto"/>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资格审查</w:t>
      </w:r>
    </w:p>
    <w:p w14:paraId="4E307D47">
      <w:pPr>
        <w:pageBreakBefore w:val="0"/>
        <w:kinsoku/>
        <w:overflowPunct/>
        <w:topLinePunct w:val="0"/>
        <w:bidi w:val="0"/>
        <w:spacing w:beforeAutospacing="0" w:afterAutospacing="0" w:line="360" w:lineRule="auto"/>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评标办法</w:t>
      </w:r>
    </w:p>
    <w:p w14:paraId="47A72411">
      <w:pPr>
        <w:pageBreakBefore w:val="0"/>
        <w:kinsoku/>
        <w:overflowPunct/>
        <w:topLinePunct w:val="0"/>
        <w:bidi w:val="0"/>
        <w:spacing w:beforeAutospacing="0" w:afterAutospacing="0" w:line="360" w:lineRule="auto"/>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合同书样式及主要条款</w:t>
      </w:r>
    </w:p>
    <w:p w14:paraId="5900CFA1">
      <w:pPr>
        <w:pageBreakBefore w:val="0"/>
        <w:kinsoku/>
        <w:overflowPunct/>
        <w:topLinePunct w:val="0"/>
        <w:bidi w:val="0"/>
        <w:spacing w:beforeAutospacing="0" w:afterAutospacing="0" w:line="360" w:lineRule="auto"/>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采购需求</w:t>
      </w:r>
    </w:p>
    <w:p w14:paraId="3381C235">
      <w:pPr>
        <w:pageBreakBefore w:val="0"/>
        <w:kinsoku/>
        <w:overflowPunct/>
        <w:topLinePunct w:val="0"/>
        <w:bidi w:val="0"/>
        <w:spacing w:beforeAutospacing="0" w:afterAutospacing="0" w:line="360" w:lineRule="auto"/>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第七章  投标文件格式</w:t>
      </w:r>
    </w:p>
    <w:p w14:paraId="57A96DE5">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180" w:name="_Toc20353"/>
      <w:bookmarkStart w:id="181" w:name="_Toc31397"/>
      <w:bookmarkStart w:id="182" w:name="_Toc6411"/>
      <w:bookmarkStart w:id="183" w:name="_Toc62031143"/>
      <w:bookmarkStart w:id="184" w:name="_Toc30200"/>
      <w:bookmarkStart w:id="185" w:name="_Toc7162"/>
      <w:r>
        <w:rPr>
          <w:rFonts w:hint="eastAsia" w:ascii="宋体" w:hAnsi="宋体" w:eastAsia="宋体" w:cs="宋体"/>
          <w:color w:val="auto"/>
          <w:sz w:val="24"/>
          <w:szCs w:val="24"/>
          <w:highlight w:val="none"/>
        </w:rPr>
        <w:t>招标文件的澄清</w:t>
      </w:r>
      <w:bookmarkEnd w:id="180"/>
      <w:bookmarkEnd w:id="181"/>
      <w:bookmarkEnd w:id="182"/>
      <w:bookmarkEnd w:id="183"/>
      <w:bookmarkEnd w:id="184"/>
      <w:bookmarkEnd w:id="185"/>
    </w:p>
    <w:p w14:paraId="15FBDCA1">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应认真审核第六章“采购需求”中的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内容及要求，如发现</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内容有误或要求不合理的，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必须在“</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须知前附表</w:t>
      </w:r>
      <w:r>
        <w:rPr>
          <w:rFonts w:hint="eastAsia" w:ascii="宋体" w:hAnsi="宋体" w:eastAsia="宋体" w:cs="宋体"/>
          <w:color w:val="auto"/>
          <w:sz w:val="24"/>
          <w:szCs w:val="24"/>
          <w:highlight w:val="none"/>
        </w:rPr>
        <w:t>”规定截止时间前以书面形式（加盖公章）要求采购代理机构澄清，截止时间后送达的澄清要求概不接受，由此产生的后果由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负责。</w:t>
      </w:r>
    </w:p>
    <w:p w14:paraId="003D37FC">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采购代理机构将以书面或网上发布公告形式答复所有获取招标文件的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（答复中不包含问题的来源）要求澄清的问题，其他澄清方式无效。</w:t>
      </w:r>
    </w:p>
    <w:p w14:paraId="30851605">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招标文件澄清联系方式见“</w:t>
      </w:r>
      <w:r>
        <w:rPr>
          <w:rFonts w:hint="eastAsia" w:ascii="宋体" w:hAnsi="宋体" w:eastAsia="宋体" w:cs="宋体"/>
          <w:b/>
          <w:color w:val="auto"/>
          <w:sz w:val="24"/>
          <w:szCs w:val="24"/>
          <w:highlight w:val="none"/>
          <w:lang w:eastAsia="zh-CN"/>
        </w:rPr>
        <w:t>投标人</w:t>
      </w:r>
      <w:r>
        <w:rPr>
          <w:rFonts w:hint="eastAsia" w:ascii="宋体" w:hAnsi="宋体" w:eastAsia="宋体" w:cs="宋体"/>
          <w:b/>
          <w:color w:val="auto"/>
          <w:sz w:val="24"/>
          <w:szCs w:val="24"/>
          <w:highlight w:val="none"/>
        </w:rPr>
        <w:t>须知前附表”。</w:t>
      </w:r>
    </w:p>
    <w:p w14:paraId="4A53E251">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186" w:name="_Toc23990"/>
      <w:bookmarkStart w:id="187" w:name="_Toc62031144"/>
      <w:bookmarkStart w:id="188" w:name="_Toc10674"/>
      <w:bookmarkStart w:id="189" w:name="_Toc7906"/>
      <w:bookmarkStart w:id="190" w:name="_Toc32544"/>
      <w:bookmarkStart w:id="191" w:name="_Toc10529"/>
      <w:r>
        <w:rPr>
          <w:rFonts w:hint="eastAsia" w:ascii="宋体" w:hAnsi="宋体" w:eastAsia="宋体" w:cs="宋体"/>
          <w:color w:val="auto"/>
          <w:sz w:val="24"/>
          <w:szCs w:val="24"/>
          <w:highlight w:val="none"/>
        </w:rPr>
        <w:t>招标文件的修改</w:t>
      </w:r>
      <w:bookmarkEnd w:id="186"/>
      <w:bookmarkEnd w:id="187"/>
      <w:bookmarkEnd w:id="188"/>
      <w:bookmarkEnd w:id="189"/>
      <w:bookmarkEnd w:id="190"/>
      <w:bookmarkEnd w:id="191"/>
    </w:p>
    <w:p w14:paraId="1D2FC88D">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 采购代理机构对已发出的招标文件进行必要澄清或者修改的，于招标文件要求提交投标文件截止时间十五日前，在采购信息发布媒体上发布更正公告，并以书面形式通知所有招标文件收受人。该澄清或者修改的内容为招标文件的组成部分。</w:t>
      </w:r>
    </w:p>
    <w:p w14:paraId="2FFDC17E">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 采购代理机构和采购人可以视采购具体情况，延长投标截止时间和开标时间，但至少在招标文件要求提交投标文件的截止时间三日前，将变更时间书面通知所有招标文件收受人，并在采购信息发布媒体上发布变更公告。</w:t>
      </w:r>
    </w:p>
    <w:p w14:paraId="386449EE">
      <w:pPr>
        <w:pageBreakBefore w:val="0"/>
        <w:widowControl/>
        <w:kinsoku/>
        <w:overflowPunct/>
        <w:topLinePunct w:val="0"/>
        <w:bidi w:val="0"/>
        <w:spacing w:beforeAutospacing="0" w:afterAutospacing="0" w:line="360" w:lineRule="auto"/>
        <w:jc w:val="center"/>
        <w:outlineLvl w:val="1"/>
        <w:rPr>
          <w:rFonts w:hint="eastAsia" w:ascii="宋体" w:hAnsi="宋体" w:eastAsia="宋体" w:cs="宋体"/>
          <w:b/>
          <w:bCs/>
          <w:color w:val="auto"/>
          <w:sz w:val="24"/>
          <w:szCs w:val="24"/>
          <w:highlight w:val="none"/>
        </w:rPr>
      </w:pPr>
      <w:bookmarkStart w:id="192" w:name="_Toc23921"/>
      <w:bookmarkStart w:id="193" w:name="_Toc22405"/>
      <w:bookmarkStart w:id="194" w:name="_Toc28717"/>
      <w:bookmarkStart w:id="195" w:name="_Toc29902"/>
      <w:r>
        <w:rPr>
          <w:rFonts w:hint="eastAsia" w:ascii="宋体" w:hAnsi="宋体" w:eastAsia="宋体" w:cs="宋体"/>
          <w:b/>
          <w:bCs/>
          <w:color w:val="auto"/>
          <w:sz w:val="24"/>
          <w:szCs w:val="24"/>
          <w:highlight w:val="none"/>
        </w:rPr>
        <w:t>三、投标文件的编制</w:t>
      </w:r>
      <w:bookmarkEnd w:id="192"/>
      <w:bookmarkEnd w:id="193"/>
      <w:bookmarkEnd w:id="194"/>
      <w:bookmarkEnd w:id="195"/>
    </w:p>
    <w:p w14:paraId="121DECF5">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196" w:name="_Toc421"/>
      <w:bookmarkStart w:id="197" w:name="_Toc22912"/>
      <w:bookmarkStart w:id="198" w:name="_Toc22528"/>
      <w:bookmarkStart w:id="199" w:name="_Toc62031145"/>
      <w:bookmarkStart w:id="200" w:name="_Toc9589"/>
      <w:bookmarkStart w:id="201" w:name="_Toc11854"/>
      <w:r>
        <w:rPr>
          <w:rFonts w:hint="eastAsia" w:ascii="宋体" w:hAnsi="宋体" w:eastAsia="宋体" w:cs="宋体"/>
          <w:color w:val="auto"/>
          <w:sz w:val="24"/>
          <w:szCs w:val="24"/>
          <w:highlight w:val="none"/>
        </w:rPr>
        <w:t>投标文件编写注意事项</w:t>
      </w:r>
      <w:bookmarkEnd w:id="196"/>
      <w:bookmarkEnd w:id="197"/>
      <w:bookmarkEnd w:id="198"/>
      <w:bookmarkEnd w:id="199"/>
      <w:bookmarkEnd w:id="200"/>
      <w:bookmarkEnd w:id="201"/>
    </w:p>
    <w:p w14:paraId="24D71DB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应仔细阅读招标文件，在完全了解采购的内容、技术性能要求（见第六章“采购需求”）和商务条件后，编写投标文件。如果没有按照招标文件要求提交全部投标文件或者</w:t>
      </w:r>
      <w:r>
        <w:rPr>
          <w:rFonts w:hint="eastAsia" w:ascii="宋体" w:hAnsi="宋体" w:eastAsia="宋体" w:cs="宋体"/>
          <w:color w:val="auto"/>
          <w:spacing w:val="-6"/>
          <w:sz w:val="24"/>
          <w:szCs w:val="24"/>
          <w:highlight w:val="none"/>
        </w:rPr>
        <w:t>资料，没有对招标文件的实质性要求和条件作出响应是</w:t>
      </w:r>
      <w:r>
        <w:rPr>
          <w:rFonts w:hint="eastAsia" w:ascii="宋体" w:hAnsi="宋体" w:eastAsia="宋体" w:cs="宋体"/>
          <w:color w:val="auto"/>
          <w:spacing w:val="-6"/>
          <w:sz w:val="24"/>
          <w:szCs w:val="24"/>
          <w:highlight w:val="none"/>
          <w:lang w:eastAsia="zh-CN"/>
        </w:rPr>
        <w:t>投标人</w:t>
      </w:r>
      <w:r>
        <w:rPr>
          <w:rFonts w:hint="eastAsia" w:ascii="宋体" w:hAnsi="宋体" w:eastAsia="宋体" w:cs="宋体"/>
          <w:color w:val="auto"/>
          <w:spacing w:val="-6"/>
          <w:sz w:val="24"/>
          <w:szCs w:val="24"/>
          <w:highlight w:val="none"/>
        </w:rPr>
        <w:t>的风险，并可能导致该投标被拒绝。</w:t>
      </w:r>
    </w:p>
    <w:p w14:paraId="70741A3B">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.2对招标文件提出的实质性要求和条件作出响应是指</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必须对招标文件中标明</w:t>
      </w:r>
      <w:r>
        <w:rPr>
          <w:rFonts w:hint="eastAsia" w:ascii="宋体" w:hAnsi="宋体" w:eastAsia="宋体" w:cs="宋体"/>
          <w:b/>
          <w:bCs/>
          <w:color w:val="auto"/>
          <w:sz w:val="24"/>
          <w:szCs w:val="24"/>
          <w:highlight w:val="none"/>
        </w:rPr>
        <w:t>的实质性要求和条件、合同主要条款及其它要求等内容作出满足或者优于原要求和条件的承</w:t>
      </w:r>
      <w:r>
        <w:rPr>
          <w:rFonts w:hint="eastAsia" w:ascii="宋体" w:hAnsi="宋体" w:eastAsia="宋体" w:cs="宋体"/>
          <w:color w:val="auto"/>
          <w:sz w:val="24"/>
          <w:szCs w:val="24"/>
          <w:highlight w:val="none"/>
        </w:rPr>
        <w:t>诺。</w:t>
      </w:r>
    </w:p>
    <w:p w14:paraId="197D7FC1">
      <w:pPr>
        <w:pageBreakBefore w:val="0"/>
        <w:kinsoku/>
        <w:overflowPunct/>
        <w:topLinePunct w:val="0"/>
        <w:bidi w:val="0"/>
        <w:spacing w:beforeAutospacing="0" w:afterAutospacing="0" w:line="360" w:lineRule="auto"/>
        <w:ind w:firstLine="470" w:firstLineChars="196"/>
        <w:jc w:val="lef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 xml:space="preserve">.3 </w:t>
      </w:r>
      <w:r>
        <w:rPr>
          <w:rFonts w:hint="eastAsia" w:ascii="宋体" w:hAnsi="宋体" w:eastAsia="宋体" w:cs="宋体"/>
          <w:b w:val="0"/>
          <w:bCs w:val="0"/>
          <w:color w:val="auto"/>
          <w:sz w:val="24"/>
          <w:szCs w:val="24"/>
          <w:highlight w:val="none"/>
        </w:rPr>
        <w:t>招标文件中的实质性要求和条件详见</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 xml:space="preserve">须知前附表”。 </w:t>
      </w:r>
    </w:p>
    <w:p w14:paraId="54121F79">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02" w:name="_Toc3724"/>
      <w:bookmarkStart w:id="203" w:name="_Toc62031146"/>
      <w:bookmarkStart w:id="204" w:name="_Toc5185"/>
      <w:bookmarkStart w:id="205" w:name="_Toc12107"/>
      <w:bookmarkStart w:id="206" w:name="_Toc11322"/>
      <w:bookmarkStart w:id="207" w:name="_Toc15035"/>
      <w:r>
        <w:rPr>
          <w:rFonts w:hint="eastAsia" w:ascii="宋体" w:hAnsi="宋体" w:eastAsia="宋体" w:cs="宋体"/>
          <w:color w:val="auto"/>
          <w:sz w:val="24"/>
          <w:szCs w:val="24"/>
          <w:highlight w:val="none"/>
        </w:rPr>
        <w:t>投标的语言及计量单位</w:t>
      </w:r>
      <w:bookmarkEnd w:id="202"/>
      <w:bookmarkEnd w:id="203"/>
      <w:bookmarkEnd w:id="204"/>
      <w:bookmarkEnd w:id="205"/>
      <w:bookmarkEnd w:id="206"/>
      <w:bookmarkEnd w:id="207"/>
    </w:p>
    <w:p w14:paraId="7544F92D">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的投标文件以及</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与采购代理机构就有关投标的所有来往函电统一使用中文（特别规定除外）。</w:t>
      </w:r>
    </w:p>
    <w:p w14:paraId="01838517">
      <w:pPr>
        <w:pageBreakBefore w:val="0"/>
        <w:kinsoku/>
        <w:overflowPunct/>
        <w:topLinePunct w:val="0"/>
        <w:bidi w:val="0"/>
        <w:spacing w:beforeAutospacing="0" w:afterAutospacing="0" w:line="360" w:lineRule="auto"/>
        <w:ind w:firstLine="456" w:firstLineChars="200"/>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1</w:t>
      </w:r>
      <w:r>
        <w:rPr>
          <w:rFonts w:hint="eastAsia" w:ascii="宋体" w:hAnsi="宋体" w:eastAsia="宋体" w:cs="宋体"/>
          <w:color w:val="auto"/>
          <w:spacing w:val="-6"/>
          <w:sz w:val="24"/>
          <w:szCs w:val="24"/>
          <w:highlight w:val="none"/>
          <w:lang w:val="en-US" w:eastAsia="zh-CN"/>
        </w:rPr>
        <w:t>1</w:t>
      </w:r>
      <w:r>
        <w:rPr>
          <w:rFonts w:hint="eastAsia" w:ascii="宋体" w:hAnsi="宋体" w:eastAsia="宋体" w:cs="宋体"/>
          <w:color w:val="auto"/>
          <w:spacing w:val="-6"/>
          <w:sz w:val="24"/>
          <w:szCs w:val="24"/>
          <w:highlight w:val="none"/>
        </w:rPr>
        <w:t>.2 投标文件中使用的计量单位除招标文件中有特殊规定外，一律使用中国法定计量单位。</w:t>
      </w:r>
    </w:p>
    <w:p w14:paraId="34E0638E">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08" w:name="_Toc20777"/>
      <w:bookmarkStart w:id="209" w:name="_Toc31750"/>
      <w:bookmarkStart w:id="210" w:name="_Toc27745"/>
      <w:bookmarkStart w:id="211" w:name="_Toc26801"/>
      <w:bookmarkStart w:id="212" w:name="_Toc8622"/>
      <w:r>
        <w:rPr>
          <w:rFonts w:hint="eastAsia" w:ascii="宋体" w:hAnsi="宋体" w:eastAsia="宋体" w:cs="宋体"/>
          <w:color w:val="auto"/>
          <w:sz w:val="24"/>
          <w:szCs w:val="24"/>
          <w:highlight w:val="none"/>
        </w:rPr>
        <w:t>投标文件构成</w:t>
      </w:r>
      <w:bookmarkEnd w:id="208"/>
      <w:bookmarkEnd w:id="209"/>
      <w:bookmarkEnd w:id="210"/>
      <w:bookmarkEnd w:id="211"/>
      <w:bookmarkEnd w:id="212"/>
    </w:p>
    <w:p w14:paraId="561F64AE">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.1投标文件构成详见第七章</w:t>
      </w:r>
      <w:r>
        <w:rPr>
          <w:rFonts w:hint="eastAsia" w:ascii="宋体" w:hAnsi="宋体" w:eastAsia="宋体" w:cs="宋体"/>
          <w:b/>
          <w:bCs/>
          <w:color w:val="auto"/>
          <w:sz w:val="24"/>
          <w:szCs w:val="24"/>
          <w:highlight w:val="none"/>
        </w:rPr>
        <w:t>“投标文件格式”</w:t>
      </w:r>
      <w:r>
        <w:rPr>
          <w:rFonts w:hint="eastAsia" w:ascii="宋体" w:hAnsi="宋体" w:eastAsia="宋体" w:cs="宋体"/>
          <w:b/>
          <w:color w:val="auto"/>
          <w:sz w:val="24"/>
          <w:szCs w:val="24"/>
          <w:highlight w:val="none"/>
        </w:rPr>
        <w:t>。</w:t>
      </w:r>
    </w:p>
    <w:p w14:paraId="65C4617F">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未按规定格式填写的</w:t>
      </w:r>
      <w:r>
        <w:rPr>
          <w:rFonts w:hint="eastAsia" w:ascii="宋体" w:hAnsi="宋体" w:eastAsia="宋体" w:cs="宋体"/>
          <w:b/>
          <w:color w:val="auto"/>
          <w:sz w:val="24"/>
          <w:szCs w:val="24"/>
          <w:highlight w:val="none"/>
          <w:lang w:eastAsia="zh-CN"/>
        </w:rPr>
        <w:t>投标人</w:t>
      </w:r>
      <w:r>
        <w:rPr>
          <w:rFonts w:hint="eastAsia" w:ascii="宋体" w:hAnsi="宋体" w:eastAsia="宋体" w:cs="宋体"/>
          <w:b/>
          <w:color w:val="auto"/>
          <w:sz w:val="24"/>
          <w:szCs w:val="24"/>
          <w:highlight w:val="none"/>
        </w:rPr>
        <w:t>将不能通过</w:t>
      </w:r>
      <w:r>
        <w:rPr>
          <w:rFonts w:hint="eastAsia" w:ascii="宋体" w:hAnsi="宋体" w:eastAsia="宋体" w:cs="宋体"/>
          <w:b/>
          <w:color w:val="auto"/>
          <w:sz w:val="24"/>
          <w:szCs w:val="24"/>
          <w:highlight w:val="none"/>
          <w:lang w:eastAsia="zh-CN"/>
        </w:rPr>
        <w:t>符合性评审</w:t>
      </w:r>
      <w:r>
        <w:rPr>
          <w:rFonts w:hint="eastAsia" w:ascii="宋体" w:hAnsi="宋体" w:eastAsia="宋体" w:cs="宋体"/>
          <w:b/>
          <w:color w:val="auto"/>
          <w:sz w:val="24"/>
          <w:szCs w:val="24"/>
          <w:highlight w:val="none"/>
        </w:rPr>
        <w:t>。</w:t>
      </w:r>
    </w:p>
    <w:p w14:paraId="30BD118F">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13" w:name="_Toc26825"/>
      <w:bookmarkStart w:id="214" w:name="_Toc4189"/>
      <w:bookmarkStart w:id="215" w:name="_Toc62031147"/>
      <w:bookmarkStart w:id="216" w:name="_Toc6587"/>
      <w:bookmarkStart w:id="217" w:name="_Toc7808"/>
      <w:bookmarkStart w:id="218" w:name="_Toc11242"/>
      <w:r>
        <w:rPr>
          <w:rFonts w:hint="eastAsia" w:ascii="宋体" w:hAnsi="宋体" w:eastAsia="宋体" w:cs="宋体"/>
          <w:color w:val="auto"/>
          <w:sz w:val="24"/>
          <w:szCs w:val="24"/>
          <w:highlight w:val="none"/>
        </w:rPr>
        <w:t>投标文件的格式要求</w:t>
      </w:r>
      <w:bookmarkEnd w:id="213"/>
      <w:bookmarkEnd w:id="214"/>
      <w:bookmarkEnd w:id="215"/>
      <w:bookmarkEnd w:id="216"/>
      <w:bookmarkEnd w:id="217"/>
      <w:bookmarkEnd w:id="218"/>
    </w:p>
    <w:p w14:paraId="43FDFB42">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应按第七章“</w:t>
      </w:r>
      <w:r>
        <w:rPr>
          <w:rFonts w:hint="eastAsia" w:ascii="宋体" w:hAnsi="宋体" w:eastAsia="宋体" w:cs="宋体"/>
          <w:b/>
          <w:color w:val="auto"/>
          <w:sz w:val="24"/>
          <w:szCs w:val="24"/>
          <w:highlight w:val="none"/>
        </w:rPr>
        <w:t>投标文件格式</w:t>
      </w:r>
      <w:r>
        <w:rPr>
          <w:rFonts w:hint="eastAsia" w:ascii="宋体" w:hAnsi="宋体" w:eastAsia="宋体" w:cs="宋体"/>
          <w:color w:val="auto"/>
          <w:sz w:val="24"/>
          <w:szCs w:val="24"/>
          <w:highlight w:val="none"/>
        </w:rPr>
        <w:t>”提供的格式完整地填写。</w:t>
      </w:r>
    </w:p>
    <w:p w14:paraId="7A4CBF98">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19" w:name="_Toc62031148"/>
      <w:bookmarkStart w:id="220" w:name="_Toc1942"/>
      <w:bookmarkStart w:id="221" w:name="_Toc9255"/>
      <w:bookmarkStart w:id="222" w:name="_Toc19616"/>
      <w:bookmarkStart w:id="223" w:name="_Toc1860"/>
      <w:bookmarkStart w:id="224" w:name="_Toc18872"/>
      <w:r>
        <w:rPr>
          <w:rFonts w:hint="eastAsia" w:ascii="宋体" w:hAnsi="宋体" w:eastAsia="宋体" w:cs="宋体"/>
          <w:color w:val="auto"/>
          <w:sz w:val="24"/>
          <w:szCs w:val="24"/>
          <w:highlight w:val="none"/>
        </w:rPr>
        <w:t>投标报价</w:t>
      </w:r>
      <w:bookmarkEnd w:id="219"/>
      <w:bookmarkEnd w:id="220"/>
      <w:bookmarkEnd w:id="221"/>
      <w:bookmarkEnd w:id="222"/>
      <w:bookmarkEnd w:id="223"/>
      <w:bookmarkEnd w:id="224"/>
    </w:p>
    <w:p w14:paraId="6C919C3F">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.1报价应为人民币含税价（元），应包含设备</w:t>
      </w:r>
      <w:r>
        <w:rPr>
          <w:rFonts w:hint="eastAsia" w:ascii="宋体" w:hAnsi="宋体" w:eastAsia="宋体" w:cs="宋体"/>
          <w:color w:val="auto"/>
          <w:sz w:val="24"/>
          <w:szCs w:val="24"/>
          <w:highlight w:val="none"/>
          <w:lang w:val="en-US" w:eastAsia="zh-CN"/>
        </w:rPr>
        <w:t>原价、备品备件、检验试验、</w:t>
      </w:r>
      <w:r>
        <w:rPr>
          <w:rFonts w:hint="eastAsia" w:ascii="宋体" w:hAnsi="宋体" w:eastAsia="宋体" w:cs="宋体"/>
          <w:color w:val="auto"/>
          <w:sz w:val="24"/>
          <w:szCs w:val="24"/>
          <w:highlight w:val="none"/>
        </w:rPr>
        <w:t>安装、调试、技术培训及服务人员（工资、食宿、餐旅等）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合理利润及合理风险</w:t>
      </w:r>
      <w:r>
        <w:rPr>
          <w:rFonts w:hint="eastAsia" w:ascii="宋体" w:hAnsi="宋体" w:eastAsia="宋体" w:cs="宋体"/>
          <w:color w:val="auto"/>
          <w:sz w:val="24"/>
          <w:szCs w:val="24"/>
          <w:highlight w:val="none"/>
        </w:rPr>
        <w:t>等其它一切完成本项目工作所需的费用。</w:t>
      </w:r>
    </w:p>
    <w:p w14:paraId="78F01EA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须就“</w:t>
      </w:r>
      <w:r>
        <w:rPr>
          <w:rFonts w:hint="eastAsia" w:ascii="宋体" w:hAnsi="宋体" w:eastAsia="宋体" w:cs="宋体"/>
          <w:b/>
          <w:bCs/>
          <w:color w:val="auto"/>
          <w:sz w:val="24"/>
          <w:szCs w:val="24"/>
          <w:highlight w:val="none"/>
        </w:rPr>
        <w:t>采购需求</w:t>
      </w:r>
      <w:r>
        <w:rPr>
          <w:rFonts w:hint="eastAsia" w:ascii="宋体" w:hAnsi="宋体" w:eastAsia="宋体" w:cs="宋体"/>
          <w:color w:val="auto"/>
          <w:sz w:val="24"/>
          <w:szCs w:val="24"/>
          <w:highlight w:val="none"/>
        </w:rPr>
        <w:t>”中的</w:t>
      </w:r>
      <w:r>
        <w:rPr>
          <w:rFonts w:hint="eastAsia" w:ascii="宋体" w:hAnsi="宋体" w:eastAsia="宋体" w:cs="宋体"/>
          <w:b/>
          <w:bCs/>
          <w:color w:val="auto"/>
          <w:sz w:val="24"/>
          <w:szCs w:val="24"/>
          <w:highlight w:val="none"/>
        </w:rPr>
        <w:t>内容作完整唯一报价</w:t>
      </w:r>
      <w:r>
        <w:rPr>
          <w:rFonts w:hint="eastAsia" w:ascii="宋体" w:hAnsi="宋体" w:eastAsia="宋体" w:cs="宋体"/>
          <w:color w:val="auto"/>
          <w:sz w:val="24"/>
          <w:szCs w:val="24"/>
          <w:highlight w:val="none"/>
        </w:rPr>
        <w:t>。</w:t>
      </w:r>
    </w:p>
    <w:p w14:paraId="6C4FE1A6">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的投标报价应依据招标文件的要求及有关资料，执行国家规定的现行技术、经济标准、定额及规范，由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自行测算出现行市场的各类价格。报价包括但不仅限于完成整个项目期间发生的包含设备</w:t>
      </w:r>
      <w:r>
        <w:rPr>
          <w:rFonts w:hint="eastAsia" w:ascii="宋体" w:hAnsi="宋体" w:eastAsia="宋体" w:cs="宋体"/>
          <w:color w:val="auto"/>
          <w:sz w:val="24"/>
          <w:szCs w:val="24"/>
          <w:highlight w:val="none"/>
          <w:lang w:val="en-US" w:eastAsia="zh-CN"/>
        </w:rPr>
        <w:t>原价、备品备件、检验试验、</w:t>
      </w:r>
      <w:r>
        <w:rPr>
          <w:rFonts w:hint="eastAsia" w:ascii="宋体" w:hAnsi="宋体" w:eastAsia="宋体" w:cs="宋体"/>
          <w:color w:val="auto"/>
          <w:sz w:val="24"/>
          <w:szCs w:val="24"/>
          <w:highlight w:val="none"/>
        </w:rPr>
        <w:t>安装、调试、技术培训及服务人员（工资、食宿、餐旅等）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合理利润及合理风险</w:t>
      </w:r>
      <w:r>
        <w:rPr>
          <w:rFonts w:hint="eastAsia" w:ascii="宋体" w:hAnsi="宋体" w:eastAsia="宋体" w:cs="宋体"/>
          <w:color w:val="auto"/>
          <w:sz w:val="24"/>
          <w:szCs w:val="24"/>
          <w:highlight w:val="none"/>
        </w:rPr>
        <w:t>等所有费用的总和等费用，该报价应符合实际情况并能保证投标人完成履行合同所需的一切工作。</w:t>
      </w:r>
      <w:r>
        <w:rPr>
          <w:rFonts w:hint="eastAsia" w:ascii="宋体" w:hAnsi="宋体" w:cs="宋体"/>
          <w:color w:val="auto"/>
          <w:sz w:val="24"/>
          <w:szCs w:val="24"/>
          <w:highlight w:val="none"/>
          <w:lang w:val="en-US" w:eastAsia="zh-CN"/>
        </w:rPr>
        <w:t>此报价为包干价，</w:t>
      </w:r>
      <w:r>
        <w:rPr>
          <w:rFonts w:hint="eastAsia" w:ascii="宋体" w:hAnsi="宋体" w:eastAsia="宋体" w:cs="宋体"/>
          <w:color w:val="auto"/>
          <w:sz w:val="24"/>
          <w:szCs w:val="24"/>
          <w:highlight w:val="none"/>
        </w:rPr>
        <w:t>合同一旦签订，此合同价格在合同执行期间将不因工作量的变化而调整。</w:t>
      </w:r>
    </w:p>
    <w:p w14:paraId="363A0876">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政府采购合同履行中，采购人需追加与合同标的相同的服务的，在不改变合同其他条款的前提下，可以与中标单位签订补充合同，但所有补充合同的采购金额变更不得超过原合同采购金额的10%，其中金额增加需办理合同追加手续。</w:t>
      </w:r>
    </w:p>
    <w:p w14:paraId="3CDF7882">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25" w:name="_Toc62031149"/>
      <w:bookmarkStart w:id="226" w:name="_Toc23348"/>
      <w:bookmarkStart w:id="227" w:name="_Toc14064"/>
      <w:bookmarkStart w:id="228" w:name="_Toc24780"/>
      <w:bookmarkStart w:id="229" w:name="_Toc26157"/>
      <w:bookmarkStart w:id="230" w:name="_Toc4374"/>
      <w:r>
        <w:rPr>
          <w:rFonts w:hint="eastAsia" w:ascii="宋体" w:hAnsi="宋体" w:eastAsia="宋体" w:cs="宋体"/>
          <w:color w:val="auto"/>
          <w:sz w:val="24"/>
          <w:szCs w:val="24"/>
          <w:highlight w:val="none"/>
        </w:rPr>
        <w:t>投标货币</w:t>
      </w:r>
      <w:bookmarkEnd w:id="225"/>
      <w:bookmarkEnd w:id="226"/>
      <w:bookmarkEnd w:id="227"/>
      <w:bookmarkEnd w:id="228"/>
      <w:bookmarkEnd w:id="229"/>
      <w:bookmarkEnd w:id="230"/>
    </w:p>
    <w:p w14:paraId="2685F727">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投标应以人民币报价。</w:t>
      </w:r>
    </w:p>
    <w:p w14:paraId="47D26CDE">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31" w:name="_Toc17468"/>
      <w:bookmarkStart w:id="232" w:name="_Toc6854"/>
      <w:bookmarkStart w:id="233" w:name="_Toc16374"/>
      <w:bookmarkStart w:id="234" w:name="_Toc25643"/>
      <w:bookmarkStart w:id="235" w:name="_Toc62031150"/>
      <w:bookmarkStart w:id="236" w:name="_Toc27945"/>
      <w:r>
        <w:rPr>
          <w:rFonts w:hint="eastAsia" w:ascii="宋体" w:hAnsi="宋体" w:eastAsia="宋体" w:cs="宋体"/>
          <w:color w:val="auto"/>
          <w:sz w:val="24"/>
          <w:szCs w:val="24"/>
          <w:highlight w:val="none"/>
        </w:rPr>
        <w:t>投标有效期</w:t>
      </w:r>
      <w:bookmarkEnd w:id="231"/>
      <w:bookmarkEnd w:id="232"/>
      <w:bookmarkEnd w:id="233"/>
      <w:bookmarkEnd w:id="234"/>
      <w:bookmarkEnd w:id="235"/>
      <w:bookmarkEnd w:id="236"/>
    </w:p>
    <w:p w14:paraId="6761043C">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在“</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须知前附表</w:t>
      </w:r>
      <w:r>
        <w:rPr>
          <w:rFonts w:hint="eastAsia" w:ascii="宋体" w:hAnsi="宋体" w:eastAsia="宋体" w:cs="宋体"/>
          <w:color w:val="auto"/>
          <w:sz w:val="24"/>
          <w:szCs w:val="24"/>
          <w:highlight w:val="none"/>
        </w:rPr>
        <w:t>”规定的投标有效期内，</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不得要求撤销或修改其投标文件。</w:t>
      </w:r>
    </w:p>
    <w:p w14:paraId="5BB85BBD">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因特殊情况需要延长投标有效期的，采购人以书面形式通知所有</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延长投标有效期。</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同意延长的，应相应延长其投标保证金的有效期，但不得要求或被允许修改或撤销其投标文件；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拒绝延长的，其投标失效，但</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有权收回其投标保证金。</w:t>
      </w:r>
    </w:p>
    <w:p w14:paraId="581C8D5C">
      <w:pPr>
        <w:pStyle w:val="4"/>
        <w:keepNext w:val="0"/>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37" w:name="_Toc20227"/>
      <w:bookmarkStart w:id="238" w:name="_Toc1668"/>
      <w:r>
        <w:rPr>
          <w:rFonts w:hint="eastAsia" w:ascii="宋体" w:hAnsi="宋体" w:eastAsia="宋体" w:cs="宋体"/>
          <w:color w:val="auto"/>
          <w:sz w:val="24"/>
          <w:szCs w:val="24"/>
          <w:highlight w:val="none"/>
        </w:rPr>
        <w:t>投标文件的签章及递交要求</w:t>
      </w:r>
      <w:bookmarkEnd w:id="237"/>
      <w:bookmarkEnd w:id="238"/>
    </w:p>
    <w:p w14:paraId="5348CD2A">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bookmarkStart w:id="239" w:name="_Toc17751"/>
      <w:bookmarkStart w:id="240" w:name="_Toc28433"/>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投标文件电子签章及电子签名要求：详见</w:t>
      </w:r>
      <w:r>
        <w:rPr>
          <w:rFonts w:hint="eastAsia" w:ascii="宋体" w:hAnsi="宋体" w:eastAsia="宋体" w:cs="宋体"/>
          <w:b/>
          <w:bCs/>
          <w:color w:val="auto"/>
          <w:sz w:val="24"/>
          <w:szCs w:val="24"/>
          <w:highlight w:val="none"/>
          <w:lang w:eastAsia="zh-CN"/>
        </w:rPr>
        <w:t>“投标人须知前附表”</w:t>
      </w:r>
      <w:r>
        <w:rPr>
          <w:rFonts w:hint="eastAsia" w:ascii="宋体" w:hAnsi="宋体" w:eastAsia="宋体" w:cs="宋体"/>
          <w:color w:val="auto"/>
          <w:sz w:val="24"/>
          <w:szCs w:val="24"/>
          <w:highlight w:val="none"/>
        </w:rPr>
        <w:t>。</w:t>
      </w:r>
      <w:bookmarkEnd w:id="239"/>
      <w:bookmarkEnd w:id="240"/>
    </w:p>
    <w:p w14:paraId="7B6BC3A2">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bookmarkStart w:id="241" w:name="_Toc9368"/>
      <w:bookmarkStart w:id="242" w:name="_Toc17462"/>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.2 </w:t>
      </w:r>
      <w:bookmarkEnd w:id="241"/>
      <w:bookmarkEnd w:id="242"/>
      <w:bookmarkStart w:id="243" w:name="_Toc22630"/>
      <w:bookmarkStart w:id="244" w:name="_Toc9510"/>
      <w:r>
        <w:rPr>
          <w:rFonts w:hint="eastAsia" w:ascii="宋体" w:hAnsi="宋体" w:eastAsia="宋体" w:cs="宋体"/>
          <w:color w:val="auto"/>
          <w:sz w:val="24"/>
          <w:szCs w:val="24"/>
          <w:highlight w:val="none"/>
        </w:rPr>
        <w:t>电子投标文件的递交：详见</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w:t>
      </w:r>
      <w:bookmarkEnd w:id="243"/>
      <w:bookmarkEnd w:id="244"/>
    </w:p>
    <w:p w14:paraId="390C18A6">
      <w:pPr>
        <w:pStyle w:val="4"/>
        <w:keepNext w:val="0"/>
        <w:keepLines w:val="0"/>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45" w:name="_Toc32178"/>
      <w:bookmarkStart w:id="246" w:name="_Toc975"/>
      <w:bookmarkStart w:id="247" w:name="_Toc62031152"/>
      <w:bookmarkStart w:id="248" w:name="_Toc851"/>
      <w:bookmarkStart w:id="249" w:name="_Toc15272"/>
      <w:bookmarkStart w:id="250" w:name="_Toc28375"/>
      <w:r>
        <w:rPr>
          <w:rFonts w:hint="eastAsia" w:ascii="宋体" w:hAnsi="宋体" w:eastAsia="宋体" w:cs="宋体"/>
          <w:color w:val="auto"/>
          <w:sz w:val="24"/>
          <w:szCs w:val="24"/>
          <w:highlight w:val="none"/>
        </w:rPr>
        <w:t>投标保证金</w:t>
      </w:r>
      <w:bookmarkEnd w:id="245"/>
      <w:bookmarkEnd w:id="246"/>
      <w:bookmarkEnd w:id="247"/>
      <w:bookmarkEnd w:id="248"/>
      <w:bookmarkEnd w:id="249"/>
      <w:bookmarkEnd w:id="250"/>
    </w:p>
    <w:p w14:paraId="7058CEE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投标保证金</w:t>
      </w:r>
      <w:r>
        <w:rPr>
          <w:rFonts w:hint="eastAsia" w:ascii="宋体" w:hAnsi="宋体" w:eastAsia="宋体" w:cs="宋体"/>
          <w:color w:val="auto"/>
          <w:sz w:val="24"/>
          <w:szCs w:val="24"/>
          <w:highlight w:val="none"/>
        </w:rPr>
        <w:t>为人民币。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应在递交投标文件截止时间以前按“</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须知前附表”</w:t>
      </w:r>
      <w:r>
        <w:rPr>
          <w:rFonts w:hint="eastAsia" w:ascii="宋体" w:hAnsi="宋体" w:eastAsia="宋体" w:cs="宋体"/>
          <w:color w:val="auto"/>
          <w:sz w:val="24"/>
          <w:szCs w:val="24"/>
          <w:highlight w:val="none"/>
        </w:rPr>
        <w:t>规定的方式及金额交至采购代理机构，并在投标有效期内保持有效。本项目不接受现金形式的</w:t>
      </w:r>
      <w:r>
        <w:rPr>
          <w:rFonts w:hint="eastAsia" w:ascii="宋体" w:hAnsi="宋体" w:eastAsia="宋体" w:cs="宋体"/>
          <w:color w:val="auto"/>
          <w:sz w:val="24"/>
          <w:szCs w:val="24"/>
          <w:highlight w:val="none"/>
          <w:lang w:eastAsia="zh-CN"/>
        </w:rPr>
        <w:t>投标保证金</w:t>
      </w:r>
      <w:r>
        <w:rPr>
          <w:rFonts w:hint="eastAsia" w:ascii="宋体" w:hAnsi="宋体" w:eastAsia="宋体" w:cs="宋体"/>
          <w:color w:val="auto"/>
          <w:sz w:val="24"/>
          <w:szCs w:val="24"/>
          <w:highlight w:val="none"/>
        </w:rPr>
        <w:t>。</w:t>
      </w:r>
    </w:p>
    <w:p w14:paraId="64645694">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办理投标保证金手续时，请务必在银行进账单或电汇单的用途栏或空白栏上注明项目编号。</w:t>
      </w:r>
    </w:p>
    <w:p w14:paraId="6A086F9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未中标的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可在中标公示发出后五个工作日内退还；中标人的投标保证金，在签订合同后将合同原件送至采购代理机构五个工作日内退还。</w:t>
      </w:r>
    </w:p>
    <w:p w14:paraId="40E9311E">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.4有下列情形之一的，投标保证金不予退还：</w:t>
      </w:r>
    </w:p>
    <w:p w14:paraId="4591C0F0">
      <w:pPr>
        <w:pageBreakBefore w:val="0"/>
        <w:kinsoku/>
        <w:overflowPunct/>
        <w:topLinePunct w:val="0"/>
        <w:bidi w:val="0"/>
        <w:spacing w:beforeAutospacing="0" w:afterAutospacing="0" w:line="360" w:lineRule="auto"/>
        <w:ind w:firstLine="480" w:firstLineChars="200"/>
        <w:jc w:val="left"/>
        <w:rPr>
          <w:rFonts w:hint="eastAsia" w:ascii="宋体" w:hAnsi="宋体"/>
          <w:sz w:val="24"/>
          <w:lang w:eastAsia="zh-CN"/>
        </w:rPr>
      </w:pPr>
      <w:r>
        <w:rPr>
          <w:rFonts w:hint="eastAsia" w:ascii="宋体" w:hAnsi="宋体" w:eastAsia="宋体" w:cs="宋体"/>
          <w:color w:val="auto"/>
          <w:sz w:val="24"/>
          <w:szCs w:val="24"/>
          <w:highlight w:val="none"/>
        </w:rPr>
        <w:t>（1）</w:t>
      </w:r>
      <w:r>
        <w:rPr>
          <w:rFonts w:hint="eastAsia" w:ascii="宋体" w:hAnsi="宋体"/>
          <w:sz w:val="24"/>
        </w:rPr>
        <w:t>投标有效期内投标人撤销投标文件的</w:t>
      </w:r>
      <w:r>
        <w:rPr>
          <w:rFonts w:hint="eastAsia" w:ascii="宋体" w:hAnsi="宋体"/>
          <w:sz w:val="24"/>
          <w:lang w:eastAsia="zh-CN"/>
        </w:rPr>
        <w:t>；</w:t>
      </w:r>
    </w:p>
    <w:p w14:paraId="759FEC28">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sz w:val="24"/>
          <w:lang w:eastAsia="zh-CN"/>
        </w:rPr>
        <w:t>（</w:t>
      </w:r>
      <w:r>
        <w:rPr>
          <w:rFonts w:hint="eastAsia" w:ascii="宋体" w:hAnsi="宋体"/>
          <w:sz w:val="24"/>
          <w:lang w:val="en-US" w:eastAsia="zh-CN"/>
        </w:rPr>
        <w:t>2</w:t>
      </w:r>
      <w:r>
        <w:rPr>
          <w:rFonts w:hint="eastAsia" w:ascii="宋体" w:hAnsi="宋体"/>
          <w:sz w:val="24"/>
          <w:lang w:eastAsia="zh-CN"/>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在提交投标文件截止时间后撤回投标文件的；</w:t>
      </w:r>
    </w:p>
    <w:p w14:paraId="5EDE4A44">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在投标文件中提供虚假材料的；</w:t>
      </w:r>
    </w:p>
    <w:p w14:paraId="27667337">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）除因不可抗力或招标文件认可的情形以外，中标</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不与采购人签订合同的；</w:t>
      </w:r>
    </w:p>
    <w:p w14:paraId="00C5F73D">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与采购人、其他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或者采购代理机构恶意串通的；</w:t>
      </w:r>
    </w:p>
    <w:p w14:paraId="0BF5BE96">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）采购文件规定的其他情形。</w:t>
      </w:r>
    </w:p>
    <w:p w14:paraId="3F510FD8">
      <w:pPr>
        <w:pageBreakBefore w:val="0"/>
        <w:widowControl/>
        <w:kinsoku/>
        <w:overflowPunct/>
        <w:topLinePunct w:val="0"/>
        <w:bidi w:val="0"/>
        <w:spacing w:beforeAutospacing="0" w:afterAutospacing="0" w:line="360" w:lineRule="auto"/>
        <w:jc w:val="center"/>
        <w:outlineLvl w:val="1"/>
        <w:rPr>
          <w:rFonts w:hint="eastAsia" w:ascii="宋体" w:hAnsi="宋体" w:eastAsia="宋体" w:cs="宋体"/>
          <w:b/>
          <w:bCs/>
          <w:color w:val="auto"/>
          <w:sz w:val="24"/>
          <w:szCs w:val="24"/>
          <w:highlight w:val="none"/>
        </w:rPr>
      </w:pPr>
      <w:bookmarkStart w:id="251" w:name="_Toc28615"/>
      <w:bookmarkStart w:id="252" w:name="_Toc21352"/>
      <w:bookmarkStart w:id="253" w:name="_Toc26678"/>
      <w:bookmarkStart w:id="254" w:name="_Toc25229"/>
      <w:r>
        <w:rPr>
          <w:rFonts w:hint="eastAsia" w:ascii="宋体" w:hAnsi="宋体" w:eastAsia="宋体" w:cs="宋体"/>
          <w:b/>
          <w:bCs/>
          <w:color w:val="auto"/>
          <w:sz w:val="24"/>
          <w:szCs w:val="24"/>
          <w:highlight w:val="none"/>
        </w:rPr>
        <w:t>四、投标文件的提交</w:t>
      </w:r>
      <w:bookmarkEnd w:id="251"/>
      <w:bookmarkEnd w:id="252"/>
      <w:bookmarkEnd w:id="253"/>
      <w:bookmarkEnd w:id="254"/>
    </w:p>
    <w:p w14:paraId="02A26973">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55" w:name="_Toc1559"/>
      <w:bookmarkStart w:id="256" w:name="_Toc62031153"/>
      <w:bookmarkStart w:id="257" w:name="_Toc3379"/>
      <w:bookmarkStart w:id="258" w:name="_Toc8214"/>
      <w:bookmarkStart w:id="259" w:name="_Toc4952"/>
      <w:bookmarkStart w:id="260" w:name="_Toc76"/>
      <w:r>
        <w:rPr>
          <w:rFonts w:hint="eastAsia" w:ascii="宋体" w:hAnsi="宋体" w:eastAsia="宋体" w:cs="宋体"/>
          <w:color w:val="auto"/>
          <w:sz w:val="24"/>
          <w:szCs w:val="24"/>
          <w:highlight w:val="none"/>
        </w:rPr>
        <w:t>投标文件的</w:t>
      </w:r>
      <w:bookmarkEnd w:id="255"/>
      <w:bookmarkEnd w:id="256"/>
      <w:r>
        <w:rPr>
          <w:rFonts w:hint="eastAsia" w:ascii="宋体" w:hAnsi="宋体" w:eastAsia="宋体" w:cs="宋体"/>
          <w:color w:val="auto"/>
          <w:sz w:val="24"/>
          <w:szCs w:val="24"/>
          <w:highlight w:val="none"/>
        </w:rPr>
        <w:t>加密</w:t>
      </w:r>
      <w:bookmarkEnd w:id="257"/>
      <w:bookmarkEnd w:id="258"/>
      <w:bookmarkEnd w:id="259"/>
      <w:bookmarkEnd w:id="260"/>
    </w:p>
    <w:p w14:paraId="5364305A">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eastAsia="zh-CN"/>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r>
        <w:rPr>
          <w:rFonts w:hint="eastAsia" w:ascii="宋体" w:hAnsi="宋体" w:eastAsia="宋体" w:cs="宋体"/>
          <w:color w:val="auto"/>
          <w:sz w:val="24"/>
          <w:szCs w:val="24"/>
          <w:highlight w:val="none"/>
        </w:rPr>
        <w:t>。</w:t>
      </w:r>
    </w:p>
    <w:p w14:paraId="2FC6B9E9">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61" w:name="_Toc301"/>
      <w:bookmarkStart w:id="262" w:name="_Toc62031154"/>
      <w:bookmarkStart w:id="263" w:name="_Toc9097"/>
      <w:bookmarkStart w:id="264" w:name="_Toc25020"/>
      <w:bookmarkStart w:id="265" w:name="_Toc4192"/>
      <w:bookmarkStart w:id="266" w:name="_Toc9461"/>
      <w:r>
        <w:rPr>
          <w:rFonts w:hint="eastAsia" w:ascii="宋体" w:hAnsi="宋体" w:eastAsia="宋体" w:cs="宋体"/>
          <w:color w:val="auto"/>
          <w:sz w:val="24"/>
          <w:szCs w:val="24"/>
          <w:highlight w:val="none"/>
        </w:rPr>
        <w:t>提交投标文件的截止时间和地点</w:t>
      </w:r>
      <w:bookmarkEnd w:id="261"/>
      <w:bookmarkEnd w:id="262"/>
      <w:bookmarkEnd w:id="263"/>
      <w:bookmarkEnd w:id="264"/>
      <w:bookmarkEnd w:id="265"/>
      <w:bookmarkEnd w:id="266"/>
    </w:p>
    <w:p w14:paraId="6603AB7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 投标文件的提交不得迟于“</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须知前附表</w:t>
      </w:r>
      <w:r>
        <w:rPr>
          <w:rFonts w:hint="eastAsia" w:ascii="宋体" w:hAnsi="宋体" w:eastAsia="宋体" w:cs="宋体"/>
          <w:color w:val="auto"/>
          <w:sz w:val="24"/>
          <w:szCs w:val="24"/>
          <w:highlight w:val="none"/>
        </w:rPr>
        <w:t>”规定的提交投标文件截止时间。</w:t>
      </w:r>
    </w:p>
    <w:p w14:paraId="5F50A991">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必须在规定时间内将投标文件提交到“</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须知前附表</w:t>
      </w:r>
      <w:r>
        <w:rPr>
          <w:rFonts w:hint="eastAsia" w:ascii="宋体" w:hAnsi="宋体" w:eastAsia="宋体" w:cs="宋体"/>
          <w:color w:val="auto"/>
          <w:sz w:val="24"/>
          <w:szCs w:val="24"/>
          <w:highlight w:val="none"/>
        </w:rPr>
        <w:t>”规定的地点。</w:t>
      </w:r>
    </w:p>
    <w:p w14:paraId="3D052D9C">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 除“</w:t>
      </w:r>
      <w:r>
        <w:rPr>
          <w:rFonts w:hint="eastAsia" w:ascii="宋体" w:hAnsi="宋体" w:eastAsia="宋体" w:cs="宋体"/>
          <w:b/>
          <w:color w:val="auto"/>
          <w:sz w:val="24"/>
          <w:szCs w:val="24"/>
          <w:highlight w:val="none"/>
          <w:lang w:eastAsia="zh-CN"/>
        </w:rPr>
        <w:t>投标人</w:t>
      </w:r>
      <w:r>
        <w:rPr>
          <w:rFonts w:hint="eastAsia" w:ascii="宋体" w:hAnsi="宋体" w:eastAsia="宋体" w:cs="宋体"/>
          <w:b/>
          <w:color w:val="auto"/>
          <w:sz w:val="24"/>
          <w:szCs w:val="24"/>
          <w:highlight w:val="none"/>
        </w:rPr>
        <w:t>须知前附表</w:t>
      </w:r>
      <w:r>
        <w:rPr>
          <w:rFonts w:hint="eastAsia" w:ascii="宋体" w:hAnsi="宋体" w:eastAsia="宋体" w:cs="宋体"/>
          <w:color w:val="auto"/>
          <w:sz w:val="24"/>
          <w:szCs w:val="24"/>
          <w:highlight w:val="none"/>
        </w:rPr>
        <w:t>”另有规定外，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所递交的投标文件不予退还。</w:t>
      </w:r>
    </w:p>
    <w:p w14:paraId="11B47762">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.4 逾期</w:t>
      </w:r>
      <w:r>
        <w:rPr>
          <w:rFonts w:hint="eastAsia" w:ascii="宋体" w:hAnsi="宋体" w:eastAsia="宋体" w:cs="宋体"/>
          <w:color w:val="auto"/>
          <w:sz w:val="24"/>
          <w:szCs w:val="24"/>
          <w:highlight w:val="none"/>
          <w:lang w:val="en-US" w:eastAsia="zh-CN"/>
        </w:rPr>
        <w:t>提交</w:t>
      </w:r>
      <w:r>
        <w:rPr>
          <w:rFonts w:hint="eastAsia" w:ascii="宋体" w:hAnsi="宋体" w:eastAsia="宋体" w:cs="宋体"/>
          <w:color w:val="auto"/>
          <w:sz w:val="24"/>
          <w:szCs w:val="24"/>
          <w:highlight w:val="none"/>
        </w:rPr>
        <w:t>的投标文件，采购代理机构不予受理。</w:t>
      </w:r>
    </w:p>
    <w:p w14:paraId="419E5C00">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.5</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提交截止时间前出现下列情况的视为撤回</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：（1）政采云电子平台显示</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未上传</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；（2）因</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原因上传的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在开启文件时无法解密。</w:t>
      </w:r>
    </w:p>
    <w:p w14:paraId="60512D88">
      <w:pPr>
        <w:pageBreakBefore w:val="0"/>
        <w:widowControl/>
        <w:kinsoku/>
        <w:overflowPunct/>
        <w:topLinePunct w:val="0"/>
        <w:bidi w:val="0"/>
        <w:spacing w:beforeAutospacing="0" w:afterAutospacing="0" w:line="360" w:lineRule="auto"/>
        <w:jc w:val="center"/>
        <w:outlineLvl w:val="1"/>
        <w:rPr>
          <w:rFonts w:hint="eastAsia" w:ascii="宋体" w:hAnsi="宋体" w:eastAsia="宋体" w:cs="宋体"/>
          <w:b/>
          <w:bCs/>
          <w:color w:val="auto"/>
          <w:sz w:val="24"/>
          <w:szCs w:val="24"/>
          <w:highlight w:val="none"/>
        </w:rPr>
      </w:pPr>
      <w:bookmarkStart w:id="267" w:name="_Toc27834"/>
      <w:bookmarkStart w:id="268" w:name="_Toc1620"/>
      <w:bookmarkStart w:id="269" w:name="_Toc31151"/>
      <w:bookmarkStart w:id="270" w:name="_Toc4667"/>
      <w:r>
        <w:rPr>
          <w:rFonts w:hint="eastAsia" w:ascii="宋体" w:hAnsi="宋体" w:eastAsia="宋体" w:cs="宋体"/>
          <w:b/>
          <w:bCs/>
          <w:color w:val="auto"/>
          <w:sz w:val="24"/>
          <w:szCs w:val="24"/>
          <w:highlight w:val="none"/>
        </w:rPr>
        <w:t>五、开标与评标</w:t>
      </w:r>
      <w:bookmarkEnd w:id="267"/>
      <w:bookmarkEnd w:id="268"/>
      <w:bookmarkEnd w:id="269"/>
      <w:bookmarkEnd w:id="270"/>
    </w:p>
    <w:p w14:paraId="6D5FF9D2">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71" w:name="_Toc62031155"/>
      <w:bookmarkStart w:id="272" w:name="_Toc23308"/>
      <w:bookmarkStart w:id="273" w:name="_Toc21886"/>
      <w:bookmarkStart w:id="274" w:name="_Toc31264"/>
      <w:bookmarkStart w:id="275" w:name="_Toc9689"/>
      <w:bookmarkStart w:id="276" w:name="_Toc30852"/>
      <w:r>
        <w:rPr>
          <w:rFonts w:hint="eastAsia" w:ascii="宋体" w:hAnsi="宋体" w:eastAsia="宋体" w:cs="宋体"/>
          <w:color w:val="auto"/>
          <w:sz w:val="24"/>
          <w:szCs w:val="24"/>
          <w:highlight w:val="none"/>
        </w:rPr>
        <w:t>开标</w:t>
      </w:r>
      <w:bookmarkEnd w:id="271"/>
      <w:bookmarkEnd w:id="272"/>
      <w:bookmarkEnd w:id="273"/>
      <w:bookmarkEnd w:id="274"/>
      <w:bookmarkEnd w:id="275"/>
      <w:bookmarkEnd w:id="276"/>
    </w:p>
    <w:p w14:paraId="77A933DD">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采购代理机构将在“</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须知前附表</w:t>
      </w:r>
      <w:r>
        <w:rPr>
          <w:rFonts w:hint="eastAsia" w:ascii="宋体" w:hAnsi="宋体" w:eastAsia="宋体" w:cs="宋体"/>
          <w:color w:val="auto"/>
          <w:sz w:val="24"/>
          <w:szCs w:val="24"/>
          <w:highlight w:val="none"/>
        </w:rPr>
        <w:t>”规定的时间和地点进行开标，</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的法定代表人或其委托代理人应参加开标会。</w:t>
      </w:r>
    </w:p>
    <w:p w14:paraId="0DA68530">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开标时</w:t>
      </w:r>
      <w:r>
        <w:rPr>
          <w:rFonts w:hint="eastAsia" w:ascii="宋体" w:hAnsi="宋体" w:eastAsia="宋体" w:cs="宋体"/>
          <w:color w:val="auto"/>
          <w:sz w:val="24"/>
          <w:szCs w:val="24"/>
          <w:highlight w:val="none"/>
          <w:lang w:val="en-US" w:eastAsia="zh-CN"/>
        </w:rPr>
        <w:t>政采云</w:t>
      </w:r>
      <w:r>
        <w:rPr>
          <w:rFonts w:hint="eastAsia" w:ascii="宋体" w:hAnsi="宋体" w:eastAsia="宋体" w:cs="宋体"/>
          <w:color w:val="auto"/>
          <w:sz w:val="24"/>
          <w:szCs w:val="24"/>
          <w:highlight w:val="none"/>
        </w:rPr>
        <w:t>平台提取所有已成功上传的投标文件，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val="en-US" w:eastAsia="zh-CN"/>
        </w:rPr>
        <w:t>政采云</w:t>
      </w:r>
      <w:r>
        <w:rPr>
          <w:rFonts w:hint="eastAsia" w:ascii="宋体" w:hAnsi="宋体" w:eastAsia="宋体" w:cs="宋体"/>
          <w:color w:val="auto"/>
          <w:sz w:val="24"/>
          <w:szCs w:val="24"/>
          <w:highlight w:val="none"/>
        </w:rPr>
        <w:t>平台自动提取的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顺序，使用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编制投标文件时的加密数字证书对投标文件进行解密。</w:t>
      </w:r>
    </w:p>
    <w:p w14:paraId="52CCC076">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 开标程序</w:t>
      </w:r>
    </w:p>
    <w:p w14:paraId="222914C0">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（1）开标会由采购代理机构主持，主持人宣布开标会议开始；</w:t>
      </w:r>
    </w:p>
    <w:p w14:paraId="78DFD64E">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（2）介绍参加开标会的人员名单；</w:t>
      </w:r>
    </w:p>
    <w:p w14:paraId="2D32B72E">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政采云</w:t>
      </w:r>
      <w:r>
        <w:rPr>
          <w:rFonts w:hint="eastAsia" w:ascii="宋体" w:hAnsi="宋体" w:eastAsia="宋体" w:cs="宋体"/>
          <w:color w:val="auto"/>
          <w:sz w:val="24"/>
          <w:szCs w:val="24"/>
          <w:highlight w:val="none"/>
          <w:lang w:eastAsia="zh-CN"/>
        </w:rPr>
        <w:t>平台提取所有已成功上传的投标文件，投标人按照</w:t>
      </w:r>
      <w:r>
        <w:rPr>
          <w:rFonts w:hint="eastAsia" w:ascii="宋体" w:hAnsi="宋体" w:eastAsia="宋体" w:cs="宋体"/>
          <w:color w:val="auto"/>
          <w:sz w:val="24"/>
          <w:szCs w:val="24"/>
          <w:highlight w:val="none"/>
          <w:lang w:val="en-US" w:eastAsia="zh-CN"/>
        </w:rPr>
        <w:t>政采云</w:t>
      </w:r>
      <w:r>
        <w:rPr>
          <w:rFonts w:hint="eastAsia" w:ascii="宋体" w:hAnsi="宋体" w:eastAsia="宋体" w:cs="宋体"/>
          <w:color w:val="auto"/>
          <w:sz w:val="24"/>
          <w:szCs w:val="24"/>
          <w:highlight w:val="none"/>
          <w:lang w:eastAsia="zh-CN"/>
        </w:rPr>
        <w:t>平台自动提取的所有投标人顺序，使用投标人编制投标文件时的加密数字证书对投标文件进行解密，解密完成后导入有效投标人的电子投标文件。所有有效投标文件导入完成后进行唱标，并记录在案。因投标人自身原因导致在规定时间内无法正常解密的(如:浏览器故障、未安装相关驱动、网络故障、加密CA与解密CA不一致等），视为投标人自动弃标，代理机构不予处理。</w:t>
      </w:r>
    </w:p>
    <w:p w14:paraId="198B4AC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）唱标：由系统按照</w:t>
      </w:r>
      <w:r>
        <w:rPr>
          <w:rFonts w:hint="eastAsia" w:ascii="宋体" w:hAnsi="宋体" w:eastAsia="宋体" w:cs="宋体"/>
          <w:color w:val="auto"/>
          <w:sz w:val="24"/>
          <w:szCs w:val="24"/>
          <w:highlight w:val="none"/>
          <w:lang w:val="en-US" w:eastAsia="zh-CN"/>
        </w:rPr>
        <w:t>政采云</w:t>
      </w:r>
      <w:r>
        <w:rPr>
          <w:rFonts w:hint="eastAsia" w:ascii="宋体" w:hAnsi="宋体" w:eastAsia="宋体" w:cs="宋体"/>
          <w:color w:val="auto"/>
          <w:sz w:val="24"/>
          <w:szCs w:val="24"/>
          <w:highlight w:val="none"/>
        </w:rPr>
        <w:t>平台自动提取的所有</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顺序宣读</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在其投标文件中承诺的投标报价、</w:t>
      </w:r>
      <w:r>
        <w:rPr>
          <w:rFonts w:hint="eastAsia" w:ascii="宋体" w:hAnsi="宋体" w:eastAsia="宋体" w:cs="宋体"/>
          <w:color w:val="auto"/>
          <w:sz w:val="24"/>
          <w:szCs w:val="24"/>
          <w:highlight w:val="none"/>
          <w:lang w:val="en-US" w:eastAsia="zh-CN"/>
        </w:rPr>
        <w:t>合同履行</w:t>
      </w:r>
      <w:r>
        <w:rPr>
          <w:rFonts w:hint="eastAsia" w:ascii="宋体" w:hAnsi="宋体" w:eastAsia="宋体" w:cs="宋体"/>
          <w:color w:val="auto"/>
          <w:sz w:val="24"/>
          <w:szCs w:val="24"/>
          <w:highlight w:val="none"/>
        </w:rPr>
        <w:t>期限等以及采购代理机构认为有必要宣读的其他内容；</w:t>
      </w:r>
    </w:p>
    <w:p w14:paraId="26B7084D">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）采购人、纪律监察、</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、采购代理机构有关人员在开标记录上签字确认。</w:t>
      </w:r>
    </w:p>
    <w:p w14:paraId="3158C93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）开标会议结束。</w:t>
      </w:r>
    </w:p>
    <w:p w14:paraId="1FE4978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不足3家的，不得开标。</w:t>
      </w:r>
    </w:p>
    <w:p w14:paraId="4A140D9F">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 投标文件报价出现前后不一致的，除招标文件另有规定外，按照下列规定修正：</w:t>
      </w:r>
    </w:p>
    <w:p w14:paraId="54C6478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45F9E37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5C04BE5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47E47E0F">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4FA949F6">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同时出现两种以上不一致的，按照前款规定的顺序修正。修正后的报价经</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确认后产生约束力，</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不确认的，其投标无效。</w:t>
      </w:r>
    </w:p>
    <w:p w14:paraId="4D39D2AD">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77" w:name="_Toc62031156"/>
      <w:bookmarkStart w:id="278" w:name="_Toc3465"/>
      <w:bookmarkStart w:id="279" w:name="_Toc15873"/>
      <w:bookmarkStart w:id="280" w:name="_Toc32186"/>
      <w:bookmarkStart w:id="281" w:name="_Toc29730"/>
      <w:bookmarkStart w:id="282" w:name="_Toc24947"/>
      <w:r>
        <w:rPr>
          <w:rFonts w:hint="eastAsia" w:ascii="宋体" w:hAnsi="宋体" w:eastAsia="宋体" w:cs="宋体"/>
          <w:color w:val="auto"/>
          <w:sz w:val="24"/>
          <w:szCs w:val="24"/>
          <w:highlight w:val="none"/>
        </w:rPr>
        <w:t>评标</w:t>
      </w:r>
      <w:bookmarkEnd w:id="277"/>
      <w:bookmarkEnd w:id="278"/>
      <w:bookmarkEnd w:id="279"/>
      <w:bookmarkEnd w:id="280"/>
      <w:bookmarkEnd w:id="281"/>
      <w:bookmarkEnd w:id="282"/>
    </w:p>
    <w:p w14:paraId="1C2F478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评标由采购人依法组建的评标委员会负责。评标委员会由采购人代表和评审专家组成，成员人数应当为5人及以上单数，其中评审专家不得少于成员总数的三分之二。</w:t>
      </w:r>
    </w:p>
    <w:p w14:paraId="53783BB2">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 根据《政府采购货物和服务招标投标管理办法》(财政部令第 87 号)规定，评标委员会及其成员不得有下列行为：</w:t>
      </w:r>
    </w:p>
    <w:p w14:paraId="14BD283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（1）确定参与评标至评标结束前私自接触</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w:t>
      </w:r>
    </w:p>
    <w:p w14:paraId="0AB1082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（2）接受</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提出的与投标文件不一致的澄清或者说明，本办法第五十一条规定的情形除外；</w:t>
      </w:r>
    </w:p>
    <w:p w14:paraId="2AA3F45E">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（3）违反评标纪律发表倾向性意见或者征询采购人的倾向性意见；</w:t>
      </w:r>
    </w:p>
    <w:p w14:paraId="4CDB4A0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（4）对需要专业判断的主观评审因素协商评分；</w:t>
      </w:r>
    </w:p>
    <w:p w14:paraId="229E90A0">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（5）在评标过程中擅离职守，影响评标程序正常进行的；</w:t>
      </w:r>
    </w:p>
    <w:p w14:paraId="651DA7AC">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（6）记录、复制或者带走任何评标资料；</w:t>
      </w:r>
    </w:p>
    <w:p w14:paraId="5634F66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（7）其他不遵守评标纪律的行为。</w:t>
      </w:r>
    </w:p>
    <w:p w14:paraId="1210794E">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评标委员会成员有前款前款第（1）至（</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）项行为之一的，其评审意见无效，并不得获取评审劳务报酬和报销异地评审差旅费。</w:t>
      </w:r>
    </w:p>
    <w:p w14:paraId="45480B9B">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 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3BB5D50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.4评标原则</w:t>
      </w:r>
    </w:p>
    <w:p w14:paraId="669BF34F">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评标活动遵循公平、公正、科学和择优的原则。</w:t>
      </w:r>
    </w:p>
    <w:p w14:paraId="1A03919A">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.5评标办法</w:t>
      </w:r>
    </w:p>
    <w:p w14:paraId="35B7670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评标委员会按照第四章“评标办法”规定的方法、评审因素、标准和程序对投标文件进行评审。第四章“评标办法”没有规定的方法、评审因素和标准，不作为评标依据。</w:t>
      </w:r>
    </w:p>
    <w:p w14:paraId="4820A167">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评标完成后，评标委员会应当向采购人提交书面评标报告和中标候选人名单。评标委员会推荐中标候选人的人数见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须知前附表。</w:t>
      </w:r>
    </w:p>
    <w:p w14:paraId="350D4C2A">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83" w:name="_Toc27911"/>
      <w:bookmarkStart w:id="284" w:name="_Toc5678"/>
      <w:bookmarkStart w:id="285" w:name="_Toc2830"/>
      <w:bookmarkStart w:id="286" w:name="_Toc23431"/>
      <w:bookmarkStart w:id="287" w:name="_Toc62031157"/>
      <w:bookmarkStart w:id="288" w:name="_Toc2803"/>
      <w:r>
        <w:rPr>
          <w:rFonts w:hint="eastAsia" w:ascii="宋体" w:hAnsi="宋体" w:eastAsia="宋体" w:cs="宋体"/>
          <w:color w:val="auto"/>
          <w:sz w:val="24"/>
          <w:szCs w:val="24"/>
          <w:highlight w:val="none"/>
        </w:rPr>
        <w:t>评标过程的保密</w:t>
      </w:r>
      <w:bookmarkEnd w:id="283"/>
      <w:bookmarkEnd w:id="284"/>
      <w:bookmarkEnd w:id="285"/>
      <w:bookmarkEnd w:id="286"/>
      <w:bookmarkEnd w:id="287"/>
      <w:bookmarkEnd w:id="288"/>
    </w:p>
    <w:p w14:paraId="43F9C9D2">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开标后，直到授予</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合同止，凡是属于审查、澄清、评审和比较的有关资料以及授标建议等均不得向</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或其他无关的人员透露。</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在评标过程中，所进行的力图影响评标结果的不公正活动，可能导致其投标被拒绝。</w:t>
      </w:r>
    </w:p>
    <w:p w14:paraId="464CFA1C">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89" w:name="_Toc20995"/>
      <w:bookmarkStart w:id="290" w:name="_Toc10390"/>
      <w:bookmarkStart w:id="291" w:name="_Toc26094"/>
      <w:bookmarkStart w:id="292" w:name="_Toc12559"/>
      <w:bookmarkStart w:id="293" w:name="_Toc7845"/>
      <w:bookmarkStart w:id="294" w:name="_Toc62031158"/>
      <w:r>
        <w:rPr>
          <w:rFonts w:hint="eastAsia" w:ascii="宋体" w:hAnsi="宋体" w:eastAsia="宋体" w:cs="宋体"/>
          <w:color w:val="auto"/>
          <w:sz w:val="24"/>
          <w:szCs w:val="24"/>
          <w:highlight w:val="none"/>
        </w:rPr>
        <w:t>在招标采购中，出现下列情形之一的，项目废标：</w:t>
      </w:r>
      <w:bookmarkEnd w:id="289"/>
      <w:bookmarkEnd w:id="290"/>
      <w:bookmarkEnd w:id="291"/>
      <w:bookmarkEnd w:id="292"/>
      <w:bookmarkEnd w:id="293"/>
      <w:bookmarkEnd w:id="294"/>
    </w:p>
    <w:p w14:paraId="7A01E5BA">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或者对招标文件作实质响应的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不足三家的；</w:t>
      </w:r>
    </w:p>
    <w:p w14:paraId="1E4399D8">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37D9C7BA">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（3）投标人的报价均超过了采购预算，采购人不能支付的；</w:t>
      </w:r>
    </w:p>
    <w:p w14:paraId="0649729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34AC85B6">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废标后，采购人应当将废标理由通知所有投标人。</w:t>
      </w:r>
    </w:p>
    <w:p w14:paraId="44F33B06">
      <w:pPr>
        <w:pageBreakBefore w:val="0"/>
        <w:widowControl/>
        <w:kinsoku/>
        <w:overflowPunct/>
        <w:topLinePunct w:val="0"/>
        <w:bidi w:val="0"/>
        <w:spacing w:beforeAutospacing="0" w:afterAutospacing="0" w:line="360" w:lineRule="auto"/>
        <w:jc w:val="center"/>
        <w:outlineLvl w:val="1"/>
        <w:rPr>
          <w:rFonts w:hint="eastAsia" w:ascii="宋体" w:hAnsi="宋体" w:eastAsia="宋体" w:cs="宋体"/>
          <w:b/>
          <w:bCs/>
          <w:color w:val="auto"/>
          <w:sz w:val="24"/>
          <w:szCs w:val="24"/>
          <w:highlight w:val="none"/>
        </w:rPr>
      </w:pPr>
      <w:bookmarkStart w:id="295" w:name="_Toc29047"/>
      <w:bookmarkStart w:id="296" w:name="_Toc17923"/>
      <w:bookmarkStart w:id="297" w:name="_Toc25578"/>
      <w:bookmarkStart w:id="298" w:name="_Toc12852"/>
      <w:r>
        <w:rPr>
          <w:rFonts w:hint="eastAsia" w:ascii="宋体" w:hAnsi="宋体" w:eastAsia="宋体" w:cs="宋体"/>
          <w:b/>
          <w:bCs/>
          <w:color w:val="auto"/>
          <w:sz w:val="24"/>
          <w:szCs w:val="24"/>
          <w:highlight w:val="none"/>
        </w:rPr>
        <w:t>六、中标结果</w:t>
      </w:r>
      <w:bookmarkEnd w:id="295"/>
      <w:bookmarkEnd w:id="296"/>
      <w:bookmarkEnd w:id="297"/>
      <w:bookmarkEnd w:id="298"/>
    </w:p>
    <w:p w14:paraId="3264EE43">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299" w:name="_Toc62031159"/>
      <w:bookmarkStart w:id="300" w:name="_Toc14482"/>
      <w:bookmarkStart w:id="301" w:name="_Toc5839"/>
      <w:bookmarkStart w:id="302" w:name="_Toc28795"/>
      <w:bookmarkStart w:id="303" w:name="_Toc23664"/>
      <w:bookmarkStart w:id="304" w:name="_Toc6888"/>
      <w:r>
        <w:rPr>
          <w:rFonts w:hint="eastAsia" w:ascii="宋体" w:hAnsi="宋体" w:eastAsia="宋体" w:cs="宋体"/>
          <w:color w:val="auto"/>
          <w:sz w:val="24"/>
          <w:szCs w:val="24"/>
          <w:highlight w:val="none"/>
        </w:rPr>
        <w:t>中标人的确定</w:t>
      </w:r>
      <w:bookmarkEnd w:id="299"/>
      <w:bookmarkEnd w:id="300"/>
      <w:bookmarkEnd w:id="301"/>
      <w:bookmarkEnd w:id="302"/>
      <w:bookmarkEnd w:id="303"/>
      <w:bookmarkEnd w:id="304"/>
    </w:p>
    <w:p w14:paraId="4A7FF0FF">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采购代理机构应当在评标结束后二个工作日内将评标报告送采购人。</w:t>
      </w:r>
    </w:p>
    <w:p w14:paraId="24666605">
      <w:pPr>
        <w:pageBreakBefore w:val="0"/>
        <w:kinsoku/>
        <w:overflowPunct/>
        <w:topLinePunct w:val="0"/>
        <w:bidi w:val="0"/>
        <w:spacing w:beforeAutospacing="0" w:afterAutospacing="0" w:line="360" w:lineRule="auto"/>
        <w:ind w:firstLine="456" w:firstLineChars="200"/>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rPr>
        <w:t>.2 采购人应当在收到评标报告后五个工作日内，按照评标报告中推荐的中标人</w:t>
      </w:r>
      <w:r>
        <w:rPr>
          <w:rFonts w:hint="eastAsia" w:ascii="宋体" w:hAnsi="宋体" w:eastAsia="宋体" w:cs="宋体"/>
          <w:color w:val="auto"/>
          <w:spacing w:val="-6"/>
          <w:sz w:val="24"/>
          <w:szCs w:val="24"/>
          <w:highlight w:val="none"/>
          <w:lang w:val="en-US" w:eastAsia="zh-CN"/>
        </w:rPr>
        <w:t>候选人</w:t>
      </w:r>
      <w:r>
        <w:rPr>
          <w:rFonts w:hint="eastAsia" w:ascii="宋体" w:hAnsi="宋体" w:eastAsia="宋体" w:cs="宋体"/>
          <w:color w:val="auto"/>
          <w:spacing w:val="-6"/>
          <w:sz w:val="24"/>
          <w:szCs w:val="24"/>
          <w:highlight w:val="none"/>
        </w:rPr>
        <w:t>顺序确定中标人。</w:t>
      </w:r>
    </w:p>
    <w:p w14:paraId="42D6A993">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305" w:name="_Toc24789"/>
      <w:bookmarkStart w:id="306" w:name="_Toc26126"/>
      <w:bookmarkStart w:id="307" w:name="_Toc62031160"/>
      <w:bookmarkStart w:id="308" w:name="_Toc6012"/>
      <w:bookmarkStart w:id="309" w:name="_Toc5151"/>
      <w:bookmarkStart w:id="310" w:name="_Toc8053"/>
      <w:r>
        <w:rPr>
          <w:rFonts w:hint="eastAsia" w:ascii="宋体" w:hAnsi="宋体" w:eastAsia="宋体" w:cs="宋体"/>
          <w:color w:val="auto"/>
          <w:sz w:val="24"/>
          <w:szCs w:val="24"/>
          <w:highlight w:val="none"/>
        </w:rPr>
        <w:t>中标通知书</w:t>
      </w:r>
      <w:bookmarkEnd w:id="305"/>
      <w:bookmarkEnd w:id="306"/>
      <w:bookmarkEnd w:id="307"/>
      <w:bookmarkEnd w:id="308"/>
      <w:bookmarkEnd w:id="309"/>
      <w:bookmarkEnd w:id="310"/>
    </w:p>
    <w:p w14:paraId="11CEA329">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中标人确定后，中标结果由采购代理机构在公告发布</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媒介上公示,同时向中标人发出中标通知书。</w:t>
      </w:r>
    </w:p>
    <w:p w14:paraId="4C7C897D">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中标通知书是合同的一个组成部分。</w:t>
      </w:r>
    </w:p>
    <w:p w14:paraId="5D11BBE6">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311" w:name="_Toc23737"/>
      <w:bookmarkStart w:id="312" w:name="_Toc62031161"/>
      <w:bookmarkStart w:id="313" w:name="_Toc12402"/>
      <w:bookmarkStart w:id="314" w:name="_Toc12496"/>
      <w:bookmarkStart w:id="315" w:name="_Toc2602"/>
      <w:bookmarkStart w:id="316" w:name="_Toc7391"/>
      <w:r>
        <w:rPr>
          <w:rFonts w:hint="eastAsia" w:ascii="宋体" w:hAnsi="宋体" w:eastAsia="宋体" w:cs="宋体"/>
          <w:color w:val="auto"/>
          <w:sz w:val="24"/>
          <w:szCs w:val="24"/>
          <w:highlight w:val="none"/>
        </w:rPr>
        <w:t>签订合同</w:t>
      </w:r>
      <w:bookmarkEnd w:id="311"/>
      <w:bookmarkEnd w:id="312"/>
      <w:bookmarkEnd w:id="313"/>
      <w:bookmarkEnd w:id="314"/>
      <w:bookmarkEnd w:id="315"/>
      <w:bookmarkEnd w:id="316"/>
    </w:p>
    <w:p w14:paraId="50C62720">
      <w:pPr>
        <w:pageBreakBefore w:val="0"/>
        <w:kinsoku/>
        <w:overflowPunct/>
        <w:topLinePunct w:val="0"/>
        <w:bidi w:val="0"/>
        <w:spacing w:beforeAutospacing="0" w:afterAutospacing="0" w:line="360" w:lineRule="auto"/>
        <w:ind w:firstLine="436"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2</w:t>
      </w:r>
      <w:r>
        <w:rPr>
          <w:rFonts w:hint="eastAsia" w:ascii="宋体" w:hAnsi="宋体" w:eastAsia="宋体" w:cs="宋体"/>
          <w:color w:val="auto"/>
          <w:spacing w:val="-11"/>
          <w:sz w:val="24"/>
          <w:szCs w:val="24"/>
          <w:highlight w:val="none"/>
          <w:lang w:val="en-US" w:eastAsia="zh-CN"/>
        </w:rPr>
        <w:t>7</w:t>
      </w:r>
      <w:r>
        <w:rPr>
          <w:rFonts w:hint="eastAsia" w:ascii="宋体" w:hAnsi="宋体" w:eastAsia="宋体" w:cs="宋体"/>
          <w:color w:val="auto"/>
          <w:spacing w:val="-11"/>
          <w:sz w:val="24"/>
          <w:szCs w:val="24"/>
          <w:highlight w:val="none"/>
        </w:rPr>
        <w:t xml:space="preserve">.1 </w:t>
      </w:r>
      <w:r>
        <w:rPr>
          <w:rFonts w:hint="eastAsia" w:ascii="宋体" w:hAnsi="宋体" w:eastAsia="宋体" w:cs="宋体"/>
          <w:color w:val="auto"/>
          <w:sz w:val="24"/>
          <w:szCs w:val="24"/>
          <w:highlight w:val="none"/>
        </w:rPr>
        <w:t>中标人收到中标通知书后，按招标文件、投标文件及有关澄清承诺书的要求与采购人签订合同。</w:t>
      </w:r>
    </w:p>
    <w:p w14:paraId="7BE6DA2F">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中标人因不可抗力或者自身原因不能履行政府采购合同的，采购人可以与排位在中标人之后第一位的中标候选人签订政府采购合同，以此类推。</w:t>
      </w:r>
    </w:p>
    <w:p w14:paraId="3220F024">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317" w:name="_Toc62031162"/>
      <w:bookmarkStart w:id="318" w:name="_Toc1808"/>
      <w:bookmarkStart w:id="319" w:name="_Toc10122"/>
      <w:bookmarkStart w:id="320" w:name="_Toc21890"/>
      <w:bookmarkStart w:id="321" w:name="_Toc16926"/>
      <w:bookmarkStart w:id="322" w:name="_Toc29979"/>
      <w:r>
        <w:rPr>
          <w:rFonts w:hint="eastAsia" w:ascii="宋体" w:hAnsi="宋体" w:eastAsia="宋体" w:cs="宋体"/>
          <w:color w:val="auto"/>
          <w:sz w:val="24"/>
          <w:szCs w:val="24"/>
          <w:highlight w:val="none"/>
        </w:rPr>
        <w:t>履约保证金</w:t>
      </w:r>
      <w:bookmarkEnd w:id="317"/>
      <w:bookmarkEnd w:id="318"/>
      <w:bookmarkEnd w:id="319"/>
      <w:bookmarkEnd w:id="320"/>
      <w:bookmarkEnd w:id="321"/>
      <w:bookmarkEnd w:id="322"/>
    </w:p>
    <w:p w14:paraId="730A3FDB">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28.1拟签订的合同文本要求中标人提交履约保证金的，投标人应当以支票、汇票、本票或者金融机构、担保机构出具的保函等非现金形式提交。履约保证金的数额详见</w:t>
      </w:r>
      <w:r>
        <w:rPr>
          <w:rFonts w:hint="eastAsia" w:ascii="宋体" w:hAnsi="宋体" w:eastAsia="宋体" w:cs="宋体"/>
          <w:b/>
          <w:bCs/>
          <w:color w:val="auto"/>
          <w:sz w:val="24"/>
          <w:szCs w:val="24"/>
          <w:highlight w:val="none"/>
          <w:lang w:val="en-US" w:eastAsia="zh-CN"/>
        </w:rPr>
        <w:t>“投标人须知前附表”</w:t>
      </w:r>
      <w:r>
        <w:rPr>
          <w:rFonts w:hint="eastAsia" w:ascii="宋体" w:hAnsi="宋体" w:eastAsia="宋体" w:cs="宋体"/>
          <w:color w:val="auto"/>
          <w:sz w:val="24"/>
          <w:szCs w:val="24"/>
          <w:highlight w:val="none"/>
          <w:lang w:val="en-US" w:eastAsia="zh-CN"/>
        </w:rPr>
        <w:t>。</w:t>
      </w:r>
    </w:p>
    <w:p w14:paraId="754246F3">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28.2签订合同后，如中标人不按双方签订合同约定履约，则没收其全部履约保证金，履约保证金不足以赔偿损失的，按实际损失赔偿。</w:t>
      </w:r>
    </w:p>
    <w:p w14:paraId="3D80A74A">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28.3履约保证金按</w:t>
      </w:r>
      <w:r>
        <w:rPr>
          <w:rFonts w:hint="eastAsia" w:ascii="宋体" w:hAnsi="宋体" w:eastAsia="宋体" w:cs="宋体"/>
          <w:b/>
          <w:bCs/>
          <w:color w:val="auto"/>
          <w:sz w:val="24"/>
          <w:szCs w:val="24"/>
          <w:highlight w:val="none"/>
          <w:lang w:val="en-US" w:eastAsia="zh-CN"/>
        </w:rPr>
        <w:t>“投标人须知前附表”</w:t>
      </w:r>
      <w:r>
        <w:rPr>
          <w:rFonts w:hint="eastAsia" w:ascii="宋体" w:hAnsi="宋体" w:eastAsia="宋体" w:cs="宋体"/>
          <w:color w:val="auto"/>
          <w:sz w:val="24"/>
          <w:szCs w:val="24"/>
          <w:highlight w:val="none"/>
          <w:lang w:val="en-US" w:eastAsia="zh-CN"/>
        </w:rPr>
        <w:t>的规定退还。</w:t>
      </w:r>
    </w:p>
    <w:p w14:paraId="66148FC4">
      <w:pPr>
        <w:pageBreakBefore w:val="0"/>
        <w:widowControl/>
        <w:kinsoku/>
        <w:overflowPunct/>
        <w:topLinePunct w:val="0"/>
        <w:bidi w:val="0"/>
        <w:spacing w:beforeAutospacing="0" w:afterAutospacing="0" w:line="360" w:lineRule="auto"/>
        <w:jc w:val="center"/>
        <w:outlineLvl w:val="1"/>
        <w:rPr>
          <w:rFonts w:hint="eastAsia" w:ascii="宋体" w:hAnsi="宋体" w:eastAsia="宋体" w:cs="宋体"/>
          <w:b/>
          <w:bCs/>
          <w:color w:val="auto"/>
          <w:sz w:val="24"/>
          <w:szCs w:val="24"/>
          <w:highlight w:val="none"/>
        </w:rPr>
      </w:pPr>
      <w:bookmarkStart w:id="323" w:name="_Toc25285"/>
      <w:bookmarkStart w:id="324" w:name="_Toc28544"/>
      <w:bookmarkStart w:id="325" w:name="_Toc1863"/>
      <w:bookmarkStart w:id="326" w:name="_Toc26707"/>
      <w:r>
        <w:rPr>
          <w:rFonts w:hint="eastAsia" w:ascii="宋体" w:hAnsi="宋体" w:eastAsia="宋体" w:cs="宋体"/>
          <w:b/>
          <w:bCs/>
          <w:color w:val="auto"/>
          <w:sz w:val="24"/>
          <w:szCs w:val="24"/>
          <w:highlight w:val="none"/>
        </w:rPr>
        <w:t>七、其他事项</w:t>
      </w:r>
      <w:bookmarkEnd w:id="323"/>
      <w:bookmarkEnd w:id="324"/>
      <w:bookmarkEnd w:id="325"/>
      <w:bookmarkEnd w:id="326"/>
    </w:p>
    <w:p w14:paraId="33EB6B92">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327" w:name="_Toc18976"/>
      <w:bookmarkStart w:id="328" w:name="_Toc14899"/>
      <w:bookmarkStart w:id="329" w:name="_Toc23842"/>
      <w:bookmarkStart w:id="330" w:name="_Toc15247"/>
      <w:bookmarkStart w:id="331" w:name="_Toc28495"/>
      <w:r>
        <w:rPr>
          <w:rFonts w:hint="eastAsia" w:ascii="宋体" w:hAnsi="宋体" w:eastAsia="宋体" w:cs="宋体"/>
          <w:color w:val="auto"/>
          <w:sz w:val="24"/>
          <w:szCs w:val="24"/>
          <w:highlight w:val="none"/>
        </w:rPr>
        <w:t>中标服务费</w:t>
      </w:r>
      <w:bookmarkEnd w:id="327"/>
      <w:bookmarkEnd w:id="328"/>
      <w:bookmarkEnd w:id="329"/>
      <w:bookmarkEnd w:id="330"/>
      <w:bookmarkEnd w:id="331"/>
    </w:p>
    <w:p w14:paraId="37EB2575">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.1中标服务费由采购代理机构向中标人收取，收取标准详见“</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须知前附表</w:t>
      </w:r>
      <w:r>
        <w:rPr>
          <w:rFonts w:hint="eastAsia" w:ascii="宋体" w:hAnsi="宋体" w:eastAsia="宋体" w:cs="宋体"/>
          <w:color w:val="auto"/>
          <w:sz w:val="24"/>
          <w:szCs w:val="24"/>
          <w:highlight w:val="none"/>
        </w:rPr>
        <w:t>”。</w:t>
      </w:r>
    </w:p>
    <w:p w14:paraId="23E3E68D">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.2中标单位应在接受“中标通知书”时向采购代理机构一次付清中标服务费。</w:t>
      </w:r>
    </w:p>
    <w:p w14:paraId="4CFBF091">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332" w:name="_Toc13217"/>
      <w:bookmarkStart w:id="333" w:name="_Toc241"/>
      <w:bookmarkStart w:id="334" w:name="_Toc62031164"/>
      <w:bookmarkStart w:id="335" w:name="_Toc28812"/>
      <w:bookmarkStart w:id="336" w:name="_Toc2055"/>
      <w:bookmarkStart w:id="337" w:name="_Toc17352"/>
      <w:r>
        <w:rPr>
          <w:rFonts w:hint="eastAsia" w:ascii="宋体" w:hAnsi="宋体" w:eastAsia="宋体" w:cs="宋体"/>
          <w:color w:val="auto"/>
          <w:sz w:val="24"/>
          <w:szCs w:val="24"/>
          <w:highlight w:val="none"/>
        </w:rPr>
        <w:t>解释权</w:t>
      </w:r>
      <w:bookmarkEnd w:id="332"/>
      <w:bookmarkEnd w:id="333"/>
      <w:bookmarkEnd w:id="334"/>
      <w:bookmarkEnd w:id="335"/>
      <w:bookmarkEnd w:id="336"/>
      <w:bookmarkEnd w:id="337"/>
    </w:p>
    <w:p w14:paraId="246F5B6C">
      <w:pPr>
        <w:pageBreakBefore w:val="0"/>
        <w:kinsoku/>
        <w:overflowPunct/>
        <w:topLinePunct w:val="0"/>
        <w:bidi w:val="0"/>
        <w:spacing w:beforeAutospacing="0" w:afterAutospacing="0" w:line="360" w:lineRule="auto"/>
        <w:ind w:firstLine="436" w:firstLineChars="200"/>
        <w:jc w:val="left"/>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rPr>
        <w:t>本招标文件是根据《中华人民共和国政府采购法》及相关法律法规编制，解释权属采购代理机构。</w:t>
      </w:r>
    </w:p>
    <w:p w14:paraId="00602FAB">
      <w:pPr>
        <w:pStyle w:val="4"/>
        <w:pageBreakBefore w:val="0"/>
        <w:numPr>
          <w:ilvl w:val="0"/>
          <w:numId w:val="2"/>
        </w:numPr>
        <w:tabs>
          <w:tab w:val="left" w:pos="900"/>
          <w:tab w:val="left" w:pos="1097"/>
          <w:tab w:val="clear" w:pos="1200"/>
        </w:tabs>
        <w:kinsoku/>
        <w:overflowPunct/>
        <w:topLinePunct w:val="0"/>
        <w:bidi w:val="0"/>
        <w:spacing w:before="0" w:beforeAutospacing="0" w:after="0" w:afterAutospacing="0" w:line="360" w:lineRule="auto"/>
        <w:rPr>
          <w:rFonts w:hint="eastAsia" w:ascii="宋体" w:hAnsi="宋体" w:eastAsia="宋体" w:cs="宋体"/>
          <w:color w:val="auto"/>
          <w:sz w:val="24"/>
          <w:szCs w:val="24"/>
          <w:highlight w:val="none"/>
        </w:rPr>
      </w:pPr>
      <w:bookmarkStart w:id="338" w:name="_Toc13312"/>
      <w:bookmarkStart w:id="339" w:name="_Toc13755"/>
      <w:bookmarkStart w:id="340" w:name="_Toc2094"/>
      <w:bookmarkStart w:id="341" w:name="_Toc62031165"/>
      <w:bookmarkStart w:id="342" w:name="_Toc24075"/>
      <w:bookmarkStart w:id="343" w:name="_Toc19657"/>
      <w:r>
        <w:rPr>
          <w:rFonts w:hint="eastAsia" w:ascii="宋体" w:hAnsi="宋体" w:eastAsia="宋体" w:cs="宋体"/>
          <w:color w:val="auto"/>
          <w:sz w:val="24"/>
          <w:szCs w:val="24"/>
          <w:highlight w:val="none"/>
        </w:rPr>
        <w:t>需要补充的其他内容</w:t>
      </w:r>
      <w:bookmarkEnd w:id="338"/>
      <w:bookmarkEnd w:id="339"/>
      <w:bookmarkEnd w:id="340"/>
      <w:bookmarkEnd w:id="341"/>
      <w:bookmarkEnd w:id="342"/>
      <w:bookmarkEnd w:id="343"/>
    </w:p>
    <w:p w14:paraId="3CA62161">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需要补充的其他内容：见“</w:t>
      </w:r>
      <w:r>
        <w:rPr>
          <w:rFonts w:hint="eastAsia" w:ascii="宋体" w:hAnsi="宋体" w:eastAsia="宋体" w:cs="宋体"/>
          <w:b/>
          <w:color w:val="auto"/>
          <w:sz w:val="24"/>
          <w:szCs w:val="24"/>
          <w:highlight w:val="none"/>
          <w:lang w:eastAsia="zh-CN"/>
        </w:rPr>
        <w:t>投标人</w:t>
      </w:r>
      <w:r>
        <w:rPr>
          <w:rFonts w:hint="eastAsia" w:ascii="宋体" w:hAnsi="宋体" w:eastAsia="宋体" w:cs="宋体"/>
          <w:b/>
          <w:color w:val="auto"/>
          <w:sz w:val="24"/>
          <w:szCs w:val="24"/>
          <w:highlight w:val="none"/>
        </w:rPr>
        <w:t>须知前附表</w:t>
      </w:r>
      <w:r>
        <w:rPr>
          <w:rFonts w:hint="eastAsia" w:ascii="宋体" w:hAnsi="宋体" w:eastAsia="宋体" w:cs="宋体"/>
          <w:color w:val="auto"/>
          <w:sz w:val="24"/>
          <w:szCs w:val="24"/>
          <w:highlight w:val="none"/>
        </w:rPr>
        <w:t>”。</w:t>
      </w:r>
    </w:p>
    <w:p w14:paraId="279F982A">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0174675">
      <w:pPr>
        <w:pStyle w:val="2"/>
        <w:pageBreakBefore w:val="0"/>
        <w:numPr>
          <w:ilvl w:val="0"/>
          <w:numId w:val="0"/>
        </w:numPr>
        <w:kinsoku/>
        <w:overflowPunct/>
        <w:topLinePunct w:val="0"/>
        <w:bidi w:val="0"/>
        <w:snapToGrid w:val="0"/>
        <w:spacing w:beforeAutospacing="0" w:afterAutospacing="0" w:line="360" w:lineRule="auto"/>
        <w:ind w:left="720" w:leftChars="0" w:hanging="720" w:firstLineChars="0"/>
        <w:jc w:val="center"/>
        <w:rPr>
          <w:rFonts w:hint="eastAsia" w:ascii="宋体" w:hAnsi="宋体" w:eastAsia="宋体" w:cs="宋体"/>
          <w:iCs/>
          <w:color w:val="auto"/>
          <w:sz w:val="44"/>
          <w:szCs w:val="44"/>
          <w:highlight w:val="none"/>
        </w:rPr>
      </w:pPr>
      <w:bookmarkStart w:id="344" w:name="_Toc25247"/>
      <w:bookmarkStart w:id="345" w:name="_Toc26997"/>
      <w:bookmarkStart w:id="346" w:name="_Toc19257"/>
      <w:bookmarkStart w:id="347" w:name="_Toc14629"/>
      <w:bookmarkStart w:id="348" w:name="_Toc62031167"/>
      <w:r>
        <w:rPr>
          <w:rFonts w:hint="eastAsia" w:ascii="宋体" w:hAnsi="宋体" w:eastAsia="宋体" w:cs="宋体"/>
          <w:b/>
          <w:bCs/>
          <w:iCs/>
          <w:color w:val="auto"/>
          <w:kern w:val="2"/>
          <w:sz w:val="44"/>
          <w:szCs w:val="44"/>
          <w:highlight w:val="none"/>
          <w:lang w:val="en-US" w:eastAsia="zh-CN" w:bidi="ar-SA"/>
        </w:rPr>
        <w:t>第三章</w:t>
      </w:r>
      <w:r>
        <w:rPr>
          <w:rFonts w:hint="eastAsia" w:ascii="宋体" w:hAnsi="宋体" w:eastAsia="宋体" w:cs="宋体"/>
          <w:iCs/>
          <w:color w:val="auto"/>
          <w:sz w:val="44"/>
          <w:szCs w:val="44"/>
          <w:highlight w:val="none"/>
        </w:rPr>
        <w:t xml:space="preserve"> </w:t>
      </w:r>
      <w:bookmarkStart w:id="349" w:name="_Toc22331"/>
      <w:r>
        <w:rPr>
          <w:rFonts w:hint="eastAsia" w:ascii="宋体" w:hAnsi="宋体" w:eastAsia="宋体" w:cs="宋体"/>
          <w:iCs/>
          <w:color w:val="auto"/>
          <w:sz w:val="44"/>
          <w:szCs w:val="44"/>
          <w:highlight w:val="none"/>
        </w:rPr>
        <w:t>资格审查</w:t>
      </w:r>
      <w:bookmarkEnd w:id="344"/>
      <w:bookmarkEnd w:id="345"/>
      <w:bookmarkEnd w:id="346"/>
      <w:bookmarkEnd w:id="347"/>
      <w:bookmarkEnd w:id="349"/>
    </w:p>
    <w:p w14:paraId="1B8B9CAD">
      <w:pPr>
        <w:pStyle w:val="23"/>
        <w:pageBreakBefore w:val="0"/>
        <w:kinsoku/>
        <w:overflowPunct/>
        <w:topLinePunct w:val="0"/>
        <w:bidi w:val="0"/>
        <w:spacing w:before="0" w:beforeAutospacing="0" w:after="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公开招标采购项目开标结束后，采购人（和/或）采购代理机构依法对</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的资格进行审查。合格</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不足3家的，不得评标。</w:t>
      </w:r>
    </w:p>
    <w:p w14:paraId="6EC90D77">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应符合《中华人民共和国政府采购法》第二十二条及《中华人民共和国政府采购法实施条例》第十七条的要求：</w:t>
      </w:r>
    </w:p>
    <w:p w14:paraId="3E2B3607">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pacing w:val="-4"/>
          <w:sz w:val="24"/>
          <w:szCs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具有独立承担民事责任的能力：</w:t>
      </w:r>
      <w:r>
        <w:rPr>
          <w:rFonts w:hint="eastAsia" w:ascii="宋体" w:hAnsi="宋体" w:eastAsia="宋体" w:cs="宋体"/>
          <w:b w:val="0"/>
          <w:color w:val="auto"/>
          <w:spacing w:val="-4"/>
          <w:sz w:val="24"/>
          <w:szCs w:val="24"/>
          <w:highlight w:val="none"/>
          <w:lang w:eastAsia="zh-CN"/>
        </w:rPr>
        <w:t>投标人为法人、其他组织或者自然人，提供有效的营业执照或事业单位法人证书或民办非企业登记证书或执业许可证或社会团体登记证或自然人身份证明</w:t>
      </w:r>
      <w:r>
        <w:rPr>
          <w:rFonts w:hint="eastAsia" w:ascii="宋体" w:hAnsi="宋体" w:eastAsia="宋体" w:cs="宋体"/>
          <w:b w:val="0"/>
          <w:color w:val="auto"/>
          <w:spacing w:val="-4"/>
          <w:sz w:val="24"/>
          <w:szCs w:val="24"/>
          <w:highlight w:val="none"/>
        </w:rPr>
        <w:t>。</w:t>
      </w:r>
    </w:p>
    <w:p w14:paraId="2B17DCB9">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具有良好的商业信誉和健全的财务会计制度：</w:t>
      </w:r>
    </w:p>
    <w:p w14:paraId="1C586D78">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①在国家企业信用信息公示系统（www.gsxt.gov.cn）中未出现列入严重违法失信企业名单（黑名单）。参与本项目的投标人信用查询截止时点：投标文件递交截止当天查询（查询结果以采购人、采购代理机构查询结果为准，投标人无需提供，并将查询记录和证据留存）；</w:t>
      </w:r>
    </w:p>
    <w:p w14:paraId="0BE1FB28">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②</w:t>
      </w:r>
      <w:r>
        <w:rPr>
          <w:rFonts w:hint="eastAsia" w:ascii="宋体" w:hAnsi="宋体" w:eastAsia="宋体" w:cs="宋体"/>
          <w:b w:val="0"/>
          <w:color w:val="auto"/>
          <w:sz w:val="24"/>
          <w:highlight w:val="none"/>
          <w:lang w:eastAsia="zh-CN"/>
        </w:rPr>
        <w:t>提供2022年至2024年任一年度经第三方审计的财务报告及报表（报表至少包括资产负债表、利润表、现金流量表，2023或2024年审计报告须附注册会计师行业统一监管平台验证码），事业单位可提供内部财务报表，未经审计或成立时间不足一年的，可提供自</w:t>
      </w:r>
      <w:r>
        <w:rPr>
          <w:rFonts w:hint="eastAsia" w:ascii="宋体" w:hAnsi="宋体" w:eastAsia="宋体" w:cs="宋体"/>
          <w:b w:val="0"/>
          <w:color w:val="auto"/>
          <w:sz w:val="24"/>
          <w:highlight w:val="none"/>
          <w:lang w:val="en-US" w:eastAsia="zh-CN"/>
        </w:rPr>
        <w:t>投标</w:t>
      </w:r>
      <w:r>
        <w:rPr>
          <w:rFonts w:hint="eastAsia" w:ascii="宋体" w:hAnsi="宋体" w:eastAsia="宋体" w:cs="宋体"/>
          <w:b w:val="0"/>
          <w:color w:val="auto"/>
          <w:sz w:val="24"/>
          <w:highlight w:val="none"/>
          <w:lang w:eastAsia="zh-CN"/>
        </w:rPr>
        <w:t>文件提交截止时间前三个月内银行出具的资信证明</w:t>
      </w:r>
      <w:r>
        <w:rPr>
          <w:rFonts w:hint="eastAsia" w:ascii="宋体" w:hAnsi="宋体" w:eastAsia="宋体" w:cs="宋体"/>
          <w:b w:val="0"/>
          <w:color w:val="auto"/>
          <w:sz w:val="24"/>
          <w:highlight w:val="none"/>
        </w:rPr>
        <w:t>。</w:t>
      </w:r>
    </w:p>
    <w:p w14:paraId="5CA7DD98">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具有履行合同所必需的设备和专业技术能力：</w:t>
      </w:r>
      <w:r>
        <w:rPr>
          <w:rFonts w:hint="eastAsia" w:ascii="宋体" w:hAnsi="宋体" w:eastAsia="宋体" w:cs="宋体"/>
          <w:b w:val="0"/>
          <w:color w:val="auto"/>
          <w:sz w:val="24"/>
          <w:highlight w:val="none"/>
        </w:rPr>
        <w:t>提供相关证明材料或书面声明。</w:t>
      </w:r>
    </w:p>
    <w:p w14:paraId="0954B169">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有依法缴纳税收和社会保障资金的良好记录：</w:t>
      </w:r>
    </w:p>
    <w:p w14:paraId="73EC74CA">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rPr>
      </w:pPr>
      <w:r>
        <w:rPr>
          <w:rFonts w:hint="eastAsia" w:ascii="宋体" w:hAnsi="宋体" w:eastAsia="宋体" w:cs="宋体"/>
          <w:b w:val="0"/>
          <w:color w:val="auto"/>
          <w:spacing w:val="0"/>
          <w:sz w:val="24"/>
          <w:highlight w:val="none"/>
        </w:rPr>
        <w:t>提供2024年</w:t>
      </w:r>
      <w:r>
        <w:rPr>
          <w:rFonts w:hint="eastAsia" w:ascii="宋体" w:hAnsi="宋体" w:eastAsia="宋体" w:cs="宋体"/>
          <w:b w:val="0"/>
          <w:color w:val="auto"/>
          <w:spacing w:val="0"/>
          <w:sz w:val="24"/>
          <w:highlight w:val="none"/>
          <w:lang w:val="en-US" w:eastAsia="zh-CN"/>
        </w:rPr>
        <w:t>1</w:t>
      </w:r>
      <w:r>
        <w:rPr>
          <w:rFonts w:hint="eastAsia" w:ascii="宋体" w:hAnsi="宋体" w:eastAsia="宋体" w:cs="宋体"/>
          <w:b w:val="0"/>
          <w:color w:val="auto"/>
          <w:spacing w:val="0"/>
          <w:sz w:val="24"/>
          <w:highlight w:val="none"/>
        </w:rPr>
        <w:t>月至今任意2个月依法缴纳税收和缴纳社会保障资金的证明(成立未满2个月的提供成立以来的税收和社会保障资金缴纳凭证或相关情况说明；依法免税或不需要缴纳社会保障资金的，应提供相应文件证明其依法免税或不需要缴纳社会保障资金)。</w:t>
      </w:r>
    </w:p>
    <w:p w14:paraId="0D4E462F">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参与本次政府采购活动前三年内，在经营活动中没有重大违法记录：</w:t>
      </w:r>
      <w:r>
        <w:rPr>
          <w:rFonts w:hint="eastAsia" w:ascii="宋体" w:hAnsi="宋体" w:eastAsia="宋体" w:cs="宋体"/>
          <w:b w:val="0"/>
          <w:color w:val="auto"/>
          <w:sz w:val="24"/>
          <w:highlight w:val="none"/>
        </w:rPr>
        <w:t>提供参加本次政府采购活动前三年内在经营活动中没有重大违法记录的书面声明。</w:t>
      </w:r>
    </w:p>
    <w:p w14:paraId="719280FA">
      <w:pPr>
        <w:pStyle w:val="10"/>
        <w:pageBreakBefore w:val="0"/>
        <w:kinsoku/>
        <w:overflowPunct/>
        <w:topLinePunct w:val="0"/>
        <w:bidi w:val="0"/>
        <w:spacing w:beforeAutospacing="0" w:afterAutospacing="0" w:line="360" w:lineRule="auto"/>
        <w:ind w:firstLine="48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6.法律、行政法规规定的其他条件：</w:t>
      </w:r>
    </w:p>
    <w:p w14:paraId="4208EF0F">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投标人无需提供，并将查询记录和证据留存）；</w:t>
      </w:r>
    </w:p>
    <w:p w14:paraId="78FECEE7">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②本次招标不接受联合体投标：提供承诺或书面声明；</w:t>
      </w:r>
    </w:p>
    <w:p w14:paraId="4D1652AE">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③不存在《中华人民共和国政府采购法实施条例》第十八条规定情形：即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7B441212">
      <w:pPr>
        <w:pStyle w:val="10"/>
        <w:pageBreakBefore w:val="0"/>
        <w:kinsoku/>
        <w:overflowPunct/>
        <w:topLinePunct w:val="0"/>
        <w:bidi w:val="0"/>
        <w:spacing w:beforeAutospacing="0" w:afterAutospacing="0" w:line="360" w:lineRule="auto"/>
        <w:ind w:firstLine="48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二、本项目的特定资格要求：</w:t>
      </w:r>
      <w:r>
        <w:rPr>
          <w:rFonts w:hint="eastAsia" w:ascii="宋体" w:hAnsi="宋体" w:eastAsia="宋体" w:cs="宋体"/>
          <w:b w:val="0"/>
          <w:bCs w:val="0"/>
          <w:color w:val="auto"/>
          <w:sz w:val="24"/>
          <w:highlight w:val="none"/>
          <w:lang w:val="en-US" w:eastAsia="zh-CN"/>
        </w:rPr>
        <w:t>无。</w:t>
      </w:r>
    </w:p>
    <w:p w14:paraId="2A2A0708">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其他要求</w:t>
      </w:r>
    </w:p>
    <w:p w14:paraId="57744B64">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pacing w:val="0"/>
          <w:sz w:val="24"/>
          <w:highlight w:val="none"/>
        </w:rPr>
      </w:pPr>
      <w:r>
        <w:rPr>
          <w:rFonts w:hint="eastAsia" w:ascii="宋体" w:hAnsi="宋体" w:eastAsia="宋体" w:cs="宋体"/>
          <w:b/>
          <w:bCs/>
          <w:color w:val="auto"/>
          <w:spacing w:val="0"/>
          <w:sz w:val="24"/>
          <w:highlight w:val="none"/>
          <w:lang w:val="en-US" w:eastAsia="zh-CN"/>
        </w:rPr>
        <w:t>1.</w:t>
      </w:r>
      <w:r>
        <w:rPr>
          <w:rFonts w:hint="eastAsia" w:ascii="宋体" w:hAnsi="宋体" w:eastAsia="宋体" w:cs="宋体"/>
          <w:b/>
          <w:bCs/>
          <w:color w:val="auto"/>
          <w:spacing w:val="0"/>
          <w:sz w:val="24"/>
          <w:highlight w:val="none"/>
        </w:rPr>
        <w:t>投标保证金</w:t>
      </w:r>
      <w:r>
        <w:rPr>
          <w:rFonts w:hint="eastAsia" w:ascii="宋体" w:hAnsi="宋体" w:eastAsia="宋体" w:cs="宋体"/>
          <w:b/>
          <w:bCs/>
          <w:color w:val="auto"/>
          <w:spacing w:val="0"/>
          <w:sz w:val="24"/>
          <w:highlight w:val="none"/>
          <w:lang w:eastAsia="zh-CN"/>
        </w:rPr>
        <w:t>：</w:t>
      </w:r>
      <w:r>
        <w:rPr>
          <w:rFonts w:hint="eastAsia" w:ascii="宋体" w:hAnsi="宋体" w:eastAsia="宋体" w:cs="宋体"/>
          <w:b w:val="0"/>
          <w:color w:val="auto"/>
          <w:spacing w:val="0"/>
          <w:sz w:val="24"/>
          <w:highlight w:val="none"/>
        </w:rPr>
        <w:t>提供</w:t>
      </w:r>
      <w:r>
        <w:rPr>
          <w:rFonts w:hint="eastAsia" w:ascii="宋体" w:hAnsi="宋体" w:eastAsia="宋体" w:cs="宋体"/>
          <w:b w:val="0"/>
          <w:color w:val="auto"/>
          <w:spacing w:val="0"/>
          <w:sz w:val="24"/>
          <w:highlight w:val="none"/>
          <w:lang w:eastAsia="zh-CN"/>
        </w:rPr>
        <w:t>投标保证金</w:t>
      </w:r>
      <w:r>
        <w:rPr>
          <w:rFonts w:hint="eastAsia" w:ascii="宋体" w:hAnsi="宋体" w:eastAsia="宋体" w:cs="宋体"/>
          <w:b w:val="0"/>
          <w:color w:val="auto"/>
          <w:spacing w:val="0"/>
          <w:sz w:val="24"/>
          <w:highlight w:val="none"/>
        </w:rPr>
        <w:t>缴纳凭证；</w:t>
      </w:r>
    </w:p>
    <w:p w14:paraId="0223D959">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highlight w:val="none"/>
          <w:lang w:eastAsia="zh-CN"/>
        </w:rPr>
      </w:pPr>
      <w:r>
        <w:rPr>
          <w:rFonts w:hint="eastAsia" w:ascii="宋体" w:hAnsi="宋体" w:eastAsia="宋体" w:cs="宋体"/>
          <w:b/>
          <w:bCs/>
          <w:color w:val="auto"/>
          <w:spacing w:val="0"/>
          <w:sz w:val="24"/>
          <w:highlight w:val="none"/>
        </w:rPr>
        <w:t>2.投标人认为需要提交的其他资格证明材料。</w:t>
      </w:r>
      <w:r>
        <w:rPr>
          <w:rFonts w:hint="eastAsia" w:ascii="宋体" w:hAnsi="宋体" w:eastAsia="宋体" w:cs="宋体"/>
          <w:b w:val="0"/>
          <w:color w:val="auto"/>
          <w:spacing w:val="0"/>
          <w:sz w:val="24"/>
          <w:highlight w:val="none"/>
        </w:rPr>
        <w:t>（格式自拟）</w:t>
      </w:r>
    </w:p>
    <w:p w14:paraId="557D8B2F">
      <w:pPr>
        <w:pageBreakBefore w:val="0"/>
        <w:kinsoku/>
        <w:overflowPunct/>
        <w:topLinePunct w:val="0"/>
        <w:bidi w:val="0"/>
        <w:spacing w:beforeAutospacing="0" w:afterAutospacing="0"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1C350C96">
      <w:pPr>
        <w:pStyle w:val="2"/>
        <w:pageBreakBefore w:val="0"/>
        <w:numPr>
          <w:ilvl w:val="0"/>
          <w:numId w:val="0"/>
        </w:numPr>
        <w:tabs>
          <w:tab w:val="left" w:pos="360"/>
          <w:tab w:val="clear" w:pos="720"/>
        </w:tabs>
        <w:kinsoku/>
        <w:overflowPunct/>
        <w:topLinePunct w:val="0"/>
        <w:bidi w:val="0"/>
        <w:spacing w:beforeAutospacing="0" w:afterAutospacing="0" w:line="360" w:lineRule="auto"/>
        <w:ind w:firstLine="883" w:firstLineChars="200"/>
        <w:jc w:val="center"/>
        <w:rPr>
          <w:rFonts w:hint="eastAsia" w:ascii="宋体" w:hAnsi="宋体" w:eastAsia="宋体" w:cs="宋体"/>
          <w:color w:val="auto"/>
          <w:sz w:val="32"/>
          <w:szCs w:val="32"/>
          <w:highlight w:val="none"/>
        </w:rPr>
      </w:pPr>
      <w:bookmarkStart w:id="350" w:name="_Toc14297"/>
      <w:bookmarkStart w:id="351" w:name="_Toc16005"/>
      <w:bookmarkStart w:id="352" w:name="_Toc23263"/>
      <w:bookmarkStart w:id="353" w:name="_Toc22722"/>
      <w:bookmarkStart w:id="354" w:name="_Toc2737"/>
      <w:r>
        <w:rPr>
          <w:rFonts w:hint="eastAsia" w:ascii="宋体" w:hAnsi="宋体" w:eastAsia="宋体" w:cs="宋体"/>
          <w:iCs/>
          <w:color w:val="auto"/>
          <w:sz w:val="44"/>
          <w:szCs w:val="44"/>
          <w:highlight w:val="none"/>
        </w:rPr>
        <w:t>第四章</w:t>
      </w:r>
      <w:r>
        <w:rPr>
          <w:rFonts w:hint="eastAsia" w:ascii="宋体" w:hAnsi="宋体" w:eastAsia="宋体" w:cs="宋体"/>
          <w:color w:val="auto"/>
          <w:sz w:val="32"/>
          <w:szCs w:val="32"/>
          <w:highlight w:val="none"/>
        </w:rPr>
        <w:t xml:space="preserve"> </w:t>
      </w:r>
      <w:r>
        <w:rPr>
          <w:rFonts w:hint="eastAsia" w:ascii="宋体" w:hAnsi="宋体" w:eastAsia="宋体" w:cs="宋体"/>
          <w:iCs/>
          <w:color w:val="auto"/>
          <w:sz w:val="44"/>
          <w:szCs w:val="44"/>
          <w:highlight w:val="none"/>
        </w:rPr>
        <w:t>评标办法（综合评分法）</w:t>
      </w:r>
      <w:bookmarkEnd w:id="350"/>
      <w:bookmarkEnd w:id="351"/>
      <w:bookmarkEnd w:id="352"/>
      <w:bookmarkEnd w:id="353"/>
      <w:bookmarkEnd w:id="354"/>
    </w:p>
    <w:p w14:paraId="7AAE09E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b/>
          <w:bCs/>
          <w:color w:val="auto"/>
          <w:sz w:val="24"/>
          <w:szCs w:val="24"/>
          <w:highlight w:val="none"/>
        </w:rPr>
      </w:pPr>
      <w:bookmarkStart w:id="355" w:name="_Toc3593"/>
      <w:bookmarkStart w:id="356" w:name="_Toc26444"/>
      <w:bookmarkStart w:id="357" w:name="_Toc13183"/>
      <w:bookmarkStart w:id="358" w:name="_Toc6527"/>
      <w:bookmarkStart w:id="359" w:name="_Toc15997"/>
      <w:r>
        <w:rPr>
          <w:rFonts w:hint="eastAsia" w:ascii="宋体" w:hAnsi="宋体" w:eastAsia="宋体" w:cs="宋体"/>
          <w:b/>
          <w:bCs/>
          <w:color w:val="auto"/>
          <w:sz w:val="24"/>
          <w:szCs w:val="24"/>
          <w:highlight w:val="none"/>
        </w:rPr>
        <w:t>一、评标机构</w:t>
      </w:r>
      <w:bookmarkEnd w:id="355"/>
      <w:bookmarkEnd w:id="356"/>
      <w:bookmarkEnd w:id="357"/>
      <w:bookmarkEnd w:id="358"/>
      <w:bookmarkEnd w:id="359"/>
    </w:p>
    <w:p w14:paraId="518DC0F9">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评标机构为评标委员会，评标委员会的组成见</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须知前附表</w:t>
      </w: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.1。</w:t>
      </w:r>
    </w:p>
    <w:p w14:paraId="0CF8C53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b/>
          <w:bCs/>
          <w:color w:val="auto"/>
          <w:sz w:val="24"/>
          <w:szCs w:val="24"/>
          <w:highlight w:val="none"/>
        </w:rPr>
      </w:pPr>
      <w:bookmarkStart w:id="360" w:name="_Toc23888"/>
      <w:bookmarkStart w:id="361" w:name="_Toc24895"/>
      <w:bookmarkStart w:id="362" w:name="_Toc762"/>
      <w:bookmarkStart w:id="363" w:name="_Toc15501"/>
      <w:bookmarkStart w:id="364" w:name="_Toc20163"/>
      <w:r>
        <w:rPr>
          <w:rFonts w:hint="eastAsia" w:ascii="宋体" w:hAnsi="宋体" w:eastAsia="宋体" w:cs="宋体"/>
          <w:b/>
          <w:bCs/>
          <w:color w:val="auto"/>
          <w:sz w:val="24"/>
          <w:szCs w:val="24"/>
          <w:highlight w:val="none"/>
        </w:rPr>
        <w:t>二、采购人或者采购代理机构职责</w:t>
      </w:r>
      <w:bookmarkEnd w:id="360"/>
      <w:bookmarkEnd w:id="361"/>
      <w:bookmarkEnd w:id="362"/>
      <w:bookmarkEnd w:id="363"/>
      <w:bookmarkEnd w:id="364"/>
    </w:p>
    <w:p w14:paraId="3C74F836">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采购人或者采购代理机构负责组织评标工作，并履行下列职责：</w:t>
      </w:r>
    </w:p>
    <w:p w14:paraId="3F2D7220">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（一）核对评审专家身份和采购人代表授权函，对评审专家在政府采购活动中的职责履行情况予以记录，并及时将有关违法违规行为向财政部门报告。</w:t>
      </w:r>
    </w:p>
    <w:p w14:paraId="4480F55D">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（二）宣布评标纪律。</w:t>
      </w:r>
    </w:p>
    <w:p w14:paraId="03FA9BE9">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（三）公布</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名单，告知评审专家应当回避的情形。</w:t>
      </w:r>
    </w:p>
    <w:p w14:paraId="458EBE7F">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（四）组织评标委员会推选评标组长，采购人代表不得担任组长。</w:t>
      </w:r>
    </w:p>
    <w:p w14:paraId="2A3E88B0">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（五）在评标期间采取必要的通讯管理措施，保证评标活动不受外界干扰。</w:t>
      </w:r>
    </w:p>
    <w:p w14:paraId="535278B6">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（六）根据评标委员会的要求介绍政府采购相关政策法规、招标文件。</w:t>
      </w:r>
    </w:p>
    <w:p w14:paraId="3FDD53FD">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（七）维护评标秩序，监督评标委员会依照招标文件规定的评标程序、方法和标准进行独立评审，及时制止和纠正采购人代表、评审专家的倾向性言论或者违法违规行为。</w:t>
      </w:r>
    </w:p>
    <w:p w14:paraId="4E94C455">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54B1FDF4">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（九）评审工作完成后，按照规定向评审专家支付劳务报酬和异地评审差旅费，不得向评审专家以外的其他人员支付评审劳务报酬。</w:t>
      </w:r>
    </w:p>
    <w:p w14:paraId="6109EA45">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（十）处理与评标有关的其他事项。</w:t>
      </w:r>
    </w:p>
    <w:p w14:paraId="0BFC4613">
      <w:pPr>
        <w:pStyle w:val="11"/>
        <w:pageBreakBefore w:val="0"/>
        <w:kinsoku/>
        <w:overflowPunct/>
        <w:topLinePunct w:val="0"/>
        <w:bidi w:val="0"/>
        <w:spacing w:beforeAutospacing="0" w:afterAutospacing="0" w:line="360" w:lineRule="auto"/>
        <w:ind w:left="0"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采购人可以在评标前说明项目背景和采购需求，说明内容不得含有歧视性、倾向性意见，不得超出招标文件所述范围。说明应当提交书面材料，并随采购文件一并存档。</w:t>
      </w:r>
    </w:p>
    <w:p w14:paraId="457C5AB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b/>
          <w:bCs/>
          <w:color w:val="auto"/>
          <w:sz w:val="24"/>
          <w:szCs w:val="24"/>
          <w:highlight w:val="none"/>
        </w:rPr>
      </w:pPr>
      <w:bookmarkStart w:id="365" w:name="_Toc16296"/>
      <w:bookmarkStart w:id="366" w:name="_Toc31138"/>
      <w:bookmarkStart w:id="367" w:name="_Toc24749"/>
      <w:bookmarkStart w:id="368" w:name="_Toc15494"/>
      <w:bookmarkStart w:id="369" w:name="_Toc5670"/>
      <w:r>
        <w:rPr>
          <w:rFonts w:hint="eastAsia" w:ascii="宋体" w:hAnsi="宋体" w:eastAsia="宋体" w:cs="宋体"/>
          <w:b/>
          <w:bCs/>
          <w:color w:val="auto"/>
          <w:sz w:val="24"/>
          <w:szCs w:val="24"/>
          <w:highlight w:val="none"/>
        </w:rPr>
        <w:t>三、评标委员会职责</w:t>
      </w:r>
      <w:bookmarkEnd w:id="365"/>
      <w:bookmarkEnd w:id="366"/>
      <w:bookmarkEnd w:id="367"/>
      <w:bookmarkEnd w:id="368"/>
      <w:bookmarkEnd w:id="369"/>
    </w:p>
    <w:p w14:paraId="46DB3D34">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评标委员会负责具体评标事务，并独立履行下列职责：</w:t>
      </w:r>
    </w:p>
    <w:p w14:paraId="1DF00363">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（一）审查、评价投标文件是否符合招标文件的商务、技术、服务等实质性要求。</w:t>
      </w:r>
    </w:p>
    <w:p w14:paraId="205BF62A">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（二）要求</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对投标文件有关事项作出澄清或者说明。</w:t>
      </w:r>
    </w:p>
    <w:p w14:paraId="68A9BD5B">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（三）对投标文件进行比较和评价。</w:t>
      </w:r>
    </w:p>
    <w:p w14:paraId="6A705E33">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（四）评标委员会按得分由高到低顺序推荐中标候选人，并提出书面评标报告。</w:t>
      </w:r>
    </w:p>
    <w:p w14:paraId="14B339C6">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（五）向采购人、采购代理机构或者有关部门报告评标中发现的违法行为。</w:t>
      </w:r>
    </w:p>
    <w:p w14:paraId="32B5A4C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b/>
          <w:bCs/>
          <w:color w:val="auto"/>
          <w:sz w:val="24"/>
          <w:szCs w:val="24"/>
          <w:highlight w:val="none"/>
        </w:rPr>
      </w:pPr>
      <w:bookmarkStart w:id="370" w:name="_Toc30963"/>
      <w:bookmarkStart w:id="371" w:name="_Toc5893"/>
      <w:bookmarkStart w:id="372" w:name="_Toc18133"/>
      <w:bookmarkStart w:id="373" w:name="_Toc25840"/>
      <w:bookmarkStart w:id="374" w:name="_Toc16706"/>
      <w:r>
        <w:rPr>
          <w:rFonts w:hint="eastAsia" w:ascii="宋体" w:hAnsi="宋体" w:eastAsia="宋体" w:cs="宋体"/>
          <w:b/>
          <w:bCs/>
          <w:color w:val="auto"/>
          <w:sz w:val="24"/>
          <w:szCs w:val="24"/>
          <w:highlight w:val="none"/>
        </w:rPr>
        <w:t>四、评标纪律</w:t>
      </w:r>
      <w:bookmarkEnd w:id="370"/>
      <w:bookmarkEnd w:id="371"/>
      <w:bookmarkEnd w:id="372"/>
      <w:bookmarkEnd w:id="373"/>
      <w:bookmarkEnd w:id="374"/>
    </w:p>
    <w:p w14:paraId="09F5237A">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（一）对评标内容和评标过程要严格保密，不得向</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或与该过程无关的其它人员泄露。</w:t>
      </w:r>
    </w:p>
    <w:p w14:paraId="790CC3CA">
      <w:pPr>
        <w:pStyle w:val="11"/>
        <w:pageBreakBefore w:val="0"/>
        <w:kinsoku/>
        <w:overflowPunct/>
        <w:topLinePunct w:val="0"/>
        <w:bidi w:val="0"/>
        <w:spacing w:beforeAutospacing="0" w:afterAutospacing="0" w:line="360" w:lineRule="auto"/>
        <w:ind w:left="0" w:firstLine="436" w:firstLineChars="200"/>
        <w:rPr>
          <w:rFonts w:hint="eastAsia" w:ascii="宋体" w:hAnsi="宋体" w:eastAsia="宋体" w:cs="宋体"/>
          <w:color w:val="auto"/>
          <w:spacing w:val="-11"/>
          <w:szCs w:val="24"/>
          <w:highlight w:val="none"/>
        </w:rPr>
      </w:pPr>
      <w:r>
        <w:rPr>
          <w:rFonts w:hint="eastAsia" w:ascii="宋体" w:hAnsi="宋体" w:eastAsia="宋体" w:cs="宋体"/>
          <w:color w:val="auto"/>
          <w:spacing w:val="-11"/>
          <w:szCs w:val="24"/>
          <w:highlight w:val="none"/>
        </w:rPr>
        <w:t>（二）评标期间的一切资料，包括评标意见、评标记录和评标结论，一律不得向外传和泄露。</w:t>
      </w:r>
    </w:p>
    <w:p w14:paraId="34326E7D">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（三）任何属于投标文件审查、澄清、评价和比较的资料，不得向</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或与该过程无关的其它人员泄露。</w:t>
      </w:r>
    </w:p>
    <w:p w14:paraId="59BF9848">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（四）所有资料（包括招标文件、投标文件、评标表格及各种文字记录）在评标结束后均应分别整理、存档备查，任何人不得复制和保留。</w:t>
      </w:r>
    </w:p>
    <w:p w14:paraId="6AC04EA4">
      <w:pPr>
        <w:pStyle w:val="11"/>
        <w:pageBreakBefore w:val="0"/>
        <w:kinsoku/>
        <w:overflowPunct/>
        <w:topLinePunct w:val="0"/>
        <w:bidi w:val="0"/>
        <w:spacing w:beforeAutospacing="0" w:afterAutospacing="0" w:line="360" w:lineRule="auto"/>
        <w:ind w:left="0" w:firstLine="436" w:firstLineChars="200"/>
        <w:rPr>
          <w:rFonts w:hint="eastAsia" w:ascii="宋体" w:hAnsi="宋体" w:eastAsia="宋体" w:cs="宋体"/>
          <w:color w:val="auto"/>
          <w:spacing w:val="-11"/>
          <w:szCs w:val="24"/>
          <w:highlight w:val="none"/>
        </w:rPr>
      </w:pPr>
      <w:r>
        <w:rPr>
          <w:rFonts w:hint="eastAsia" w:ascii="宋体" w:hAnsi="宋体" w:eastAsia="宋体" w:cs="宋体"/>
          <w:color w:val="auto"/>
          <w:spacing w:val="-11"/>
          <w:szCs w:val="24"/>
          <w:highlight w:val="none"/>
        </w:rPr>
        <w:t>（五）评标期间，未经允许评标委员会以外的任何单位或部门不得参加评标和采访评标工作。</w:t>
      </w:r>
    </w:p>
    <w:p w14:paraId="2820BB66">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（六）评标期间，评标人员不得外出，确需外出时应事先请假。</w:t>
      </w:r>
    </w:p>
    <w:p w14:paraId="5B733369">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（七）评标期间，所有与会人员均不得私自以任何方式和</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进行联系，需询问、澄清的问题由评委会统一组织办理。</w:t>
      </w:r>
    </w:p>
    <w:p w14:paraId="60506049">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（八）评标结束后，与会人员不得向外界透露评标人员的评标意见，如因此造成的后果由责任者承担。</w:t>
      </w:r>
    </w:p>
    <w:p w14:paraId="55F4626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b/>
          <w:bCs/>
          <w:color w:val="auto"/>
          <w:sz w:val="24"/>
          <w:szCs w:val="24"/>
          <w:highlight w:val="none"/>
        </w:rPr>
      </w:pPr>
      <w:bookmarkStart w:id="375" w:name="_Toc6712"/>
      <w:bookmarkStart w:id="376" w:name="_Toc2292"/>
      <w:bookmarkStart w:id="377" w:name="_Toc8450"/>
      <w:bookmarkStart w:id="378" w:name="_Toc20486"/>
      <w:bookmarkStart w:id="379" w:name="_Toc13888"/>
      <w:r>
        <w:rPr>
          <w:rFonts w:hint="eastAsia" w:ascii="宋体" w:hAnsi="宋体" w:eastAsia="宋体" w:cs="宋体"/>
          <w:b/>
          <w:bCs/>
          <w:color w:val="auto"/>
          <w:sz w:val="24"/>
          <w:szCs w:val="24"/>
          <w:highlight w:val="none"/>
        </w:rPr>
        <w:t>五、评标原则</w:t>
      </w:r>
      <w:bookmarkEnd w:id="375"/>
      <w:bookmarkEnd w:id="376"/>
      <w:bookmarkEnd w:id="377"/>
      <w:bookmarkEnd w:id="378"/>
      <w:bookmarkEnd w:id="379"/>
    </w:p>
    <w:p w14:paraId="5F7DE4D4">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评标将遵循下列原则：</w:t>
      </w:r>
    </w:p>
    <w:p w14:paraId="267610E9">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（一）坚持公平、公正、科学、择优的原则，本着实事求是的精神，不带有任何主观意愿和偏见，认真负责地做好评标工作，公平、公正地对待每一个</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w:t>
      </w:r>
    </w:p>
    <w:p w14:paraId="724A8658">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（二）全面分析，综合评审。</w:t>
      </w:r>
    </w:p>
    <w:p w14:paraId="4B9BC931">
      <w:pPr>
        <w:pStyle w:val="11"/>
        <w:pageBreakBefore w:val="0"/>
        <w:kinsoku/>
        <w:overflowPunct/>
        <w:topLinePunct w:val="0"/>
        <w:bidi w:val="0"/>
        <w:spacing w:beforeAutospacing="0" w:afterAutospacing="0" w:line="360" w:lineRule="auto"/>
        <w:ind w:left="0" w:firstLine="436" w:firstLineChars="200"/>
        <w:rPr>
          <w:rFonts w:hint="eastAsia" w:ascii="宋体" w:hAnsi="宋体" w:eastAsia="宋体" w:cs="宋体"/>
          <w:color w:val="auto"/>
          <w:spacing w:val="-11"/>
          <w:szCs w:val="24"/>
          <w:highlight w:val="none"/>
        </w:rPr>
      </w:pPr>
      <w:r>
        <w:rPr>
          <w:rFonts w:hint="eastAsia" w:ascii="宋体" w:hAnsi="宋体" w:eastAsia="宋体" w:cs="宋体"/>
          <w:color w:val="auto"/>
          <w:spacing w:val="-11"/>
          <w:szCs w:val="24"/>
          <w:highlight w:val="none"/>
        </w:rPr>
        <w:t>（三）评标只对</w:t>
      </w:r>
      <w:r>
        <w:rPr>
          <w:rFonts w:hint="eastAsia" w:ascii="宋体" w:hAnsi="宋体" w:eastAsia="宋体" w:cs="宋体"/>
          <w:color w:val="auto"/>
          <w:spacing w:val="-11"/>
          <w:szCs w:val="24"/>
          <w:highlight w:val="none"/>
          <w:lang w:eastAsia="zh-CN"/>
        </w:rPr>
        <w:t>投标人</w:t>
      </w:r>
      <w:r>
        <w:rPr>
          <w:rFonts w:hint="eastAsia" w:ascii="宋体" w:hAnsi="宋体" w:eastAsia="宋体" w:cs="宋体"/>
          <w:color w:val="auto"/>
          <w:spacing w:val="-11"/>
          <w:szCs w:val="24"/>
          <w:highlight w:val="none"/>
        </w:rPr>
        <w:t>的投标文件进行评审，投标文件以外的资料、信息不应作为评标的依据。</w:t>
      </w:r>
    </w:p>
    <w:p w14:paraId="18C4831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b/>
          <w:bCs/>
          <w:color w:val="auto"/>
          <w:sz w:val="24"/>
          <w:szCs w:val="24"/>
          <w:highlight w:val="none"/>
        </w:rPr>
      </w:pPr>
      <w:bookmarkStart w:id="380" w:name="_Toc12674"/>
      <w:bookmarkStart w:id="381" w:name="_Toc490"/>
      <w:bookmarkStart w:id="382" w:name="_Toc9766"/>
      <w:bookmarkStart w:id="383" w:name="_Toc25450"/>
      <w:bookmarkStart w:id="384" w:name="_Toc108"/>
      <w:r>
        <w:rPr>
          <w:rFonts w:hint="eastAsia" w:ascii="宋体" w:hAnsi="宋体" w:eastAsia="宋体" w:cs="宋体"/>
          <w:b/>
          <w:bCs/>
          <w:color w:val="auto"/>
          <w:sz w:val="24"/>
          <w:szCs w:val="24"/>
          <w:highlight w:val="none"/>
        </w:rPr>
        <w:t>六、评标程序</w:t>
      </w:r>
      <w:bookmarkEnd w:id="380"/>
      <w:bookmarkEnd w:id="381"/>
      <w:bookmarkEnd w:id="382"/>
      <w:bookmarkEnd w:id="383"/>
      <w:bookmarkEnd w:id="384"/>
    </w:p>
    <w:p w14:paraId="4020EE50">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本次招标所采用的评标方法为《政府采购货物和服务招标投标管理办法》（财政部令第87号）第五十五条规定的“综合评分法”。</w:t>
      </w:r>
    </w:p>
    <w:p w14:paraId="76C80EAC">
      <w:pPr>
        <w:pageBreakBefore w:val="0"/>
        <w:kinsoku/>
        <w:overflowPunct/>
        <w:topLinePunct w:val="0"/>
        <w:bidi w:val="0"/>
        <w:spacing w:beforeAutospacing="0" w:afterAutospacing="0"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（一）符合性审查</w:t>
      </w:r>
    </w:p>
    <w:p w14:paraId="2AAB97F1">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评标委员会依据符合性评审标准对符合资格的</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的投标文件进行符合性审查，有一项不符合评审标准的，评标委员会应当否决其投标。</w:t>
      </w:r>
    </w:p>
    <w:p w14:paraId="5F658547">
      <w:pPr>
        <w:pStyle w:val="11"/>
        <w:pageBreakBefore w:val="0"/>
        <w:kinsoku/>
        <w:overflowPunct/>
        <w:topLinePunct w:val="0"/>
        <w:bidi w:val="0"/>
        <w:spacing w:beforeAutospacing="0" w:afterAutospacing="0" w:line="360" w:lineRule="auto"/>
        <w:ind w:left="0" w:leftChars="0" w:firstLine="0" w:firstLineChars="0"/>
        <w:jc w:val="center"/>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符合性审查表</w:t>
      </w:r>
    </w:p>
    <w:tbl>
      <w:tblPr>
        <w:tblStyle w:val="25"/>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992"/>
        <w:gridCol w:w="6377"/>
      </w:tblGrid>
      <w:tr w14:paraId="1157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noWrap w:val="0"/>
            <w:vAlign w:val="top"/>
          </w:tcPr>
          <w:p w14:paraId="04A29583">
            <w:pPr>
              <w:widowControl w:val="0"/>
              <w:wordWrap w:val="0"/>
              <w:spacing w:line="240" w:lineRule="auto"/>
              <w:ind w:firstLine="0"/>
              <w:jc w:val="center"/>
              <w:rPr>
                <w:rFonts w:hint="eastAsia" w:ascii="仿宋" w:hAnsi="仿宋" w:eastAsia="仿宋" w:cs="仿宋"/>
                <w:b/>
                <w:bCs/>
                <w:color w:val="auto"/>
                <w:spacing w:val="0"/>
                <w:kern w:val="2"/>
                <w:sz w:val="24"/>
                <w:szCs w:val="24"/>
                <w:highlight w:val="none"/>
                <w:lang w:val="en-US" w:eastAsia="zh-CN" w:bidi="ar-SA"/>
              </w:rPr>
            </w:pPr>
            <w:r>
              <w:rPr>
                <w:rFonts w:hint="eastAsia" w:ascii="仿宋" w:hAnsi="仿宋" w:eastAsia="仿宋" w:cs="仿宋"/>
                <w:b/>
                <w:bCs/>
                <w:color w:val="auto"/>
                <w:spacing w:val="0"/>
                <w:kern w:val="2"/>
                <w:sz w:val="24"/>
                <w:szCs w:val="24"/>
                <w:highlight w:val="none"/>
                <w:lang w:val="en-US" w:eastAsia="zh-CN" w:bidi="ar-SA"/>
              </w:rPr>
              <w:t>审查内容</w:t>
            </w:r>
          </w:p>
        </w:tc>
        <w:tc>
          <w:tcPr>
            <w:tcW w:w="1992" w:type="dxa"/>
            <w:noWrap w:val="0"/>
            <w:vAlign w:val="top"/>
          </w:tcPr>
          <w:p w14:paraId="7680909D">
            <w:pPr>
              <w:widowControl w:val="0"/>
              <w:wordWrap w:val="0"/>
              <w:spacing w:line="240" w:lineRule="auto"/>
              <w:ind w:firstLine="0"/>
              <w:jc w:val="center"/>
              <w:rPr>
                <w:rFonts w:hint="eastAsia" w:ascii="仿宋" w:hAnsi="仿宋" w:eastAsia="仿宋" w:cs="仿宋"/>
                <w:b/>
                <w:bCs/>
                <w:color w:val="auto"/>
                <w:spacing w:val="0"/>
                <w:kern w:val="2"/>
                <w:sz w:val="24"/>
                <w:szCs w:val="24"/>
                <w:highlight w:val="none"/>
                <w:lang w:val="en-US" w:eastAsia="zh-CN" w:bidi="ar-SA"/>
              </w:rPr>
            </w:pPr>
            <w:r>
              <w:rPr>
                <w:rFonts w:hint="eastAsia" w:ascii="仿宋" w:hAnsi="仿宋" w:eastAsia="仿宋" w:cs="仿宋"/>
                <w:b/>
                <w:bCs/>
                <w:color w:val="auto"/>
                <w:spacing w:val="0"/>
                <w:kern w:val="2"/>
                <w:sz w:val="24"/>
                <w:szCs w:val="24"/>
                <w:highlight w:val="none"/>
                <w:lang w:val="en-US" w:eastAsia="zh-CN" w:bidi="ar-SA"/>
              </w:rPr>
              <w:t>评审因素</w:t>
            </w:r>
          </w:p>
        </w:tc>
        <w:tc>
          <w:tcPr>
            <w:tcW w:w="6377" w:type="dxa"/>
            <w:noWrap w:val="0"/>
            <w:vAlign w:val="top"/>
          </w:tcPr>
          <w:p w14:paraId="663409FE">
            <w:pPr>
              <w:widowControl w:val="0"/>
              <w:wordWrap w:val="0"/>
              <w:spacing w:line="240" w:lineRule="auto"/>
              <w:ind w:firstLine="0"/>
              <w:jc w:val="center"/>
              <w:rPr>
                <w:rFonts w:hint="eastAsia" w:ascii="仿宋" w:hAnsi="仿宋" w:eastAsia="仿宋" w:cs="仿宋"/>
                <w:b/>
                <w:bCs/>
                <w:color w:val="auto"/>
                <w:spacing w:val="0"/>
                <w:kern w:val="2"/>
                <w:sz w:val="24"/>
                <w:szCs w:val="24"/>
                <w:highlight w:val="none"/>
                <w:lang w:val="en-US" w:eastAsia="zh-CN" w:bidi="ar-SA"/>
              </w:rPr>
            </w:pPr>
            <w:r>
              <w:rPr>
                <w:rFonts w:hint="eastAsia" w:ascii="仿宋" w:hAnsi="仿宋" w:eastAsia="仿宋" w:cs="仿宋"/>
                <w:b/>
                <w:bCs/>
                <w:color w:val="auto"/>
                <w:spacing w:val="0"/>
                <w:kern w:val="2"/>
                <w:sz w:val="24"/>
                <w:szCs w:val="24"/>
                <w:highlight w:val="none"/>
                <w:lang w:val="en-US" w:eastAsia="zh-CN" w:bidi="ar-SA"/>
              </w:rPr>
              <w:t>评审标准</w:t>
            </w:r>
          </w:p>
        </w:tc>
      </w:tr>
      <w:tr w14:paraId="5FAC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restart"/>
            <w:noWrap w:val="0"/>
            <w:vAlign w:val="center"/>
          </w:tcPr>
          <w:p w14:paraId="0C05B5B2">
            <w:pPr>
              <w:widowControl w:val="0"/>
              <w:wordWrap w:val="0"/>
              <w:spacing w:line="240" w:lineRule="auto"/>
              <w:ind w:firstLine="0"/>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符合性评审标准</w:t>
            </w:r>
          </w:p>
        </w:tc>
        <w:tc>
          <w:tcPr>
            <w:tcW w:w="1992" w:type="dxa"/>
            <w:noWrap w:val="0"/>
            <w:vAlign w:val="center"/>
          </w:tcPr>
          <w:p w14:paraId="793EEA6F">
            <w:pPr>
              <w:wordWrap w:val="0"/>
              <w:spacing w:line="288"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w:t>
            </w:r>
          </w:p>
        </w:tc>
        <w:tc>
          <w:tcPr>
            <w:tcW w:w="6377" w:type="dxa"/>
            <w:noWrap w:val="0"/>
            <w:vAlign w:val="center"/>
          </w:tcPr>
          <w:p w14:paraId="39FC9F69">
            <w:pPr>
              <w:wordWrap w:val="0"/>
              <w:spacing w:line="28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与营业执照一致</w:t>
            </w:r>
            <w:r>
              <w:rPr>
                <w:rFonts w:hint="eastAsia" w:ascii="仿宋" w:hAnsi="仿宋" w:eastAsia="仿宋" w:cs="仿宋"/>
                <w:color w:val="auto"/>
                <w:sz w:val="24"/>
                <w:szCs w:val="24"/>
                <w:highlight w:val="none"/>
                <w:lang w:eastAsia="zh-CN"/>
              </w:rPr>
              <w:t>。</w:t>
            </w:r>
          </w:p>
        </w:tc>
      </w:tr>
      <w:tr w14:paraId="69993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continue"/>
            <w:noWrap w:val="0"/>
            <w:vAlign w:val="top"/>
          </w:tcPr>
          <w:p w14:paraId="1740EC3D">
            <w:pPr>
              <w:widowControl w:val="0"/>
              <w:wordWrap w:val="0"/>
              <w:spacing w:line="240" w:lineRule="auto"/>
              <w:ind w:firstLine="0"/>
              <w:jc w:val="center"/>
              <w:rPr>
                <w:rFonts w:hint="eastAsia" w:ascii="仿宋" w:hAnsi="仿宋" w:eastAsia="仿宋" w:cs="仿宋"/>
                <w:color w:val="auto"/>
                <w:spacing w:val="0"/>
                <w:kern w:val="2"/>
                <w:sz w:val="24"/>
                <w:szCs w:val="24"/>
                <w:highlight w:val="none"/>
                <w:lang w:val="en-US" w:eastAsia="zh-CN" w:bidi="ar-SA"/>
              </w:rPr>
            </w:pPr>
          </w:p>
        </w:tc>
        <w:tc>
          <w:tcPr>
            <w:tcW w:w="1992" w:type="dxa"/>
            <w:noWrap w:val="0"/>
            <w:vAlign w:val="center"/>
          </w:tcPr>
          <w:p w14:paraId="6BCE5839">
            <w:pPr>
              <w:wordWrap w:val="0"/>
              <w:spacing w:line="288"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投标函</w:t>
            </w:r>
          </w:p>
        </w:tc>
        <w:tc>
          <w:tcPr>
            <w:tcW w:w="6377" w:type="dxa"/>
            <w:noWrap w:val="0"/>
            <w:vAlign w:val="center"/>
          </w:tcPr>
          <w:p w14:paraId="3B9892B1">
            <w:pPr>
              <w:wordWrap w:val="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有法定代表人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，并加</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；符合招标</w:t>
            </w:r>
            <w:r>
              <w:rPr>
                <w:rFonts w:hint="eastAsia" w:ascii="仿宋" w:hAnsi="仿宋" w:eastAsia="仿宋" w:cs="仿宋"/>
                <w:color w:val="auto"/>
                <w:sz w:val="24"/>
                <w:szCs w:val="24"/>
                <w:highlight w:val="none"/>
                <w:lang w:eastAsia="zh-CN"/>
              </w:rPr>
              <w:t>文件规</w:t>
            </w:r>
            <w:r>
              <w:rPr>
                <w:rFonts w:hint="eastAsia" w:ascii="仿宋" w:hAnsi="仿宋" w:eastAsia="仿宋" w:cs="仿宋"/>
                <w:color w:val="auto"/>
                <w:sz w:val="24"/>
                <w:szCs w:val="24"/>
                <w:highlight w:val="none"/>
              </w:rPr>
              <w:t>定格式及内容。</w:t>
            </w:r>
          </w:p>
        </w:tc>
      </w:tr>
      <w:tr w14:paraId="26E4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continue"/>
            <w:noWrap w:val="0"/>
            <w:vAlign w:val="top"/>
          </w:tcPr>
          <w:p w14:paraId="08FFE6B5">
            <w:pPr>
              <w:widowControl w:val="0"/>
              <w:wordWrap w:val="0"/>
              <w:spacing w:line="240" w:lineRule="auto"/>
              <w:ind w:firstLine="0"/>
              <w:jc w:val="both"/>
              <w:rPr>
                <w:rFonts w:hint="eastAsia" w:ascii="仿宋" w:hAnsi="仿宋" w:eastAsia="仿宋" w:cs="仿宋"/>
                <w:color w:val="auto"/>
                <w:spacing w:val="0"/>
                <w:kern w:val="2"/>
                <w:sz w:val="24"/>
                <w:szCs w:val="24"/>
                <w:highlight w:val="none"/>
                <w:lang w:val="en-US" w:eastAsia="zh-CN" w:bidi="ar-SA"/>
              </w:rPr>
            </w:pPr>
          </w:p>
        </w:tc>
        <w:tc>
          <w:tcPr>
            <w:tcW w:w="1992" w:type="dxa"/>
            <w:noWrap w:val="0"/>
            <w:vAlign w:val="center"/>
          </w:tcPr>
          <w:p w14:paraId="32BE1383">
            <w:pPr>
              <w:wordWrap w:val="0"/>
              <w:spacing w:line="288"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法定代表人资格证明书</w:t>
            </w:r>
          </w:p>
        </w:tc>
        <w:tc>
          <w:tcPr>
            <w:tcW w:w="6377" w:type="dxa"/>
            <w:noWrap w:val="0"/>
            <w:vAlign w:val="center"/>
          </w:tcPr>
          <w:p w14:paraId="59463363">
            <w:pPr>
              <w:wordWrap w:val="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符合招标文件给定格式及内容,并加</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p>
        </w:tc>
      </w:tr>
      <w:tr w14:paraId="3A48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continue"/>
            <w:noWrap w:val="0"/>
            <w:vAlign w:val="top"/>
          </w:tcPr>
          <w:p w14:paraId="3EEEFD09">
            <w:pPr>
              <w:widowControl w:val="0"/>
              <w:wordWrap w:val="0"/>
              <w:spacing w:line="240" w:lineRule="auto"/>
              <w:ind w:firstLine="301"/>
              <w:jc w:val="both"/>
              <w:rPr>
                <w:rFonts w:hint="eastAsia" w:ascii="仿宋" w:hAnsi="仿宋" w:eastAsia="仿宋" w:cs="仿宋"/>
                <w:color w:val="auto"/>
                <w:spacing w:val="0"/>
                <w:kern w:val="2"/>
                <w:sz w:val="24"/>
                <w:szCs w:val="24"/>
                <w:highlight w:val="none"/>
                <w:lang w:val="en-US" w:eastAsia="zh-CN" w:bidi="ar-SA"/>
              </w:rPr>
            </w:pPr>
          </w:p>
        </w:tc>
        <w:tc>
          <w:tcPr>
            <w:tcW w:w="1992" w:type="dxa"/>
            <w:vMerge w:val="restart"/>
            <w:noWrap w:val="0"/>
            <w:vAlign w:val="center"/>
          </w:tcPr>
          <w:p w14:paraId="0D310EA9">
            <w:pPr>
              <w:wordWrap w:val="0"/>
              <w:spacing w:line="288"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法定代表人授权委托书</w:t>
            </w:r>
          </w:p>
        </w:tc>
        <w:tc>
          <w:tcPr>
            <w:tcW w:w="6377" w:type="dxa"/>
            <w:noWrap w:val="0"/>
            <w:vAlign w:val="center"/>
          </w:tcPr>
          <w:p w14:paraId="677187CE">
            <w:pPr>
              <w:wordWrap w:val="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有法定代表人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，并加</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；符合招标</w:t>
            </w:r>
            <w:r>
              <w:rPr>
                <w:rFonts w:hint="eastAsia" w:ascii="仿宋" w:hAnsi="仿宋" w:eastAsia="仿宋" w:cs="仿宋"/>
                <w:color w:val="auto"/>
                <w:sz w:val="24"/>
                <w:szCs w:val="24"/>
                <w:highlight w:val="none"/>
                <w:lang w:eastAsia="zh-CN"/>
              </w:rPr>
              <w:t>文件规</w:t>
            </w:r>
            <w:r>
              <w:rPr>
                <w:rFonts w:hint="eastAsia" w:ascii="仿宋" w:hAnsi="仿宋" w:eastAsia="仿宋" w:cs="仿宋"/>
                <w:color w:val="auto"/>
                <w:sz w:val="24"/>
                <w:szCs w:val="24"/>
                <w:highlight w:val="none"/>
              </w:rPr>
              <w:t>定格式及内容。</w:t>
            </w:r>
          </w:p>
        </w:tc>
      </w:tr>
      <w:tr w14:paraId="6DBF0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continue"/>
            <w:noWrap w:val="0"/>
            <w:vAlign w:val="top"/>
          </w:tcPr>
          <w:p w14:paraId="58C2A564">
            <w:pPr>
              <w:widowControl w:val="0"/>
              <w:wordWrap w:val="0"/>
              <w:spacing w:line="240" w:lineRule="auto"/>
              <w:ind w:firstLine="301"/>
              <w:jc w:val="both"/>
              <w:rPr>
                <w:rFonts w:hint="eastAsia" w:ascii="仿宋" w:hAnsi="仿宋" w:eastAsia="仿宋" w:cs="仿宋"/>
                <w:color w:val="auto"/>
                <w:spacing w:val="0"/>
                <w:kern w:val="2"/>
                <w:sz w:val="24"/>
                <w:szCs w:val="24"/>
                <w:highlight w:val="none"/>
                <w:lang w:val="en-US" w:eastAsia="zh-CN" w:bidi="ar-SA"/>
              </w:rPr>
            </w:pPr>
          </w:p>
        </w:tc>
        <w:tc>
          <w:tcPr>
            <w:tcW w:w="1992" w:type="dxa"/>
            <w:vMerge w:val="continue"/>
            <w:noWrap w:val="0"/>
            <w:vAlign w:val="center"/>
          </w:tcPr>
          <w:p w14:paraId="4F5CF9D7">
            <w:pPr>
              <w:wordWrap w:val="0"/>
              <w:spacing w:line="288" w:lineRule="auto"/>
              <w:jc w:val="center"/>
              <w:rPr>
                <w:rFonts w:hint="eastAsia" w:ascii="仿宋" w:hAnsi="仿宋" w:eastAsia="仿宋" w:cs="仿宋"/>
                <w:color w:val="auto"/>
                <w:sz w:val="24"/>
                <w:szCs w:val="24"/>
                <w:highlight w:val="none"/>
              </w:rPr>
            </w:pPr>
          </w:p>
        </w:tc>
        <w:tc>
          <w:tcPr>
            <w:tcW w:w="6377" w:type="dxa"/>
            <w:noWrap w:val="0"/>
            <w:vAlign w:val="center"/>
          </w:tcPr>
          <w:p w14:paraId="72B127B2">
            <w:pPr>
              <w:wordWrap w:val="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注：投标文件（包括评标过程中的澄清、说明或者补正）由法定代表人签署的，不审查该项。</w:t>
            </w:r>
          </w:p>
        </w:tc>
      </w:tr>
      <w:tr w14:paraId="28233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continue"/>
            <w:noWrap w:val="0"/>
            <w:vAlign w:val="top"/>
          </w:tcPr>
          <w:p w14:paraId="03515C82">
            <w:pPr>
              <w:widowControl w:val="0"/>
              <w:wordWrap w:val="0"/>
              <w:spacing w:line="240" w:lineRule="auto"/>
              <w:ind w:firstLine="301"/>
              <w:jc w:val="both"/>
              <w:rPr>
                <w:rFonts w:hint="eastAsia" w:ascii="仿宋" w:hAnsi="仿宋" w:eastAsia="仿宋" w:cs="仿宋"/>
                <w:color w:val="auto"/>
                <w:spacing w:val="0"/>
                <w:kern w:val="2"/>
                <w:sz w:val="24"/>
                <w:szCs w:val="24"/>
                <w:highlight w:val="none"/>
                <w:lang w:val="en-US" w:eastAsia="zh-CN" w:bidi="ar-SA"/>
              </w:rPr>
            </w:pPr>
          </w:p>
        </w:tc>
        <w:tc>
          <w:tcPr>
            <w:tcW w:w="1992" w:type="dxa"/>
            <w:noWrap w:val="0"/>
            <w:vAlign w:val="center"/>
          </w:tcPr>
          <w:p w14:paraId="3C7E1FAD">
            <w:pPr>
              <w:widowControl/>
              <w:wordWrap w:val="0"/>
              <w:spacing w:line="288" w:lineRule="auto"/>
              <w:jc w:val="center"/>
              <w:rPr>
                <w:rFonts w:hint="eastAsia" w:ascii="仿宋" w:hAnsi="仿宋" w:eastAsia="仿宋" w:cs="仿宋"/>
                <w:color w:val="auto"/>
                <w:kern w:val="2"/>
                <w:sz w:val="24"/>
                <w:szCs w:val="24"/>
                <w:highlight w:val="none"/>
                <w:lang w:val="en-US" w:eastAsia="zh-CN" w:bidi="en-US"/>
              </w:rPr>
            </w:pPr>
            <w:r>
              <w:rPr>
                <w:rFonts w:hint="eastAsia" w:ascii="仿宋" w:hAnsi="仿宋" w:eastAsia="仿宋" w:cs="仿宋"/>
                <w:color w:val="auto"/>
                <w:kern w:val="2"/>
                <w:sz w:val="24"/>
                <w:szCs w:val="24"/>
                <w:highlight w:val="none"/>
                <w:lang w:val="en-US" w:eastAsia="zh-CN" w:bidi="en-US"/>
              </w:rPr>
              <w:t>签章要求</w:t>
            </w:r>
          </w:p>
        </w:tc>
        <w:tc>
          <w:tcPr>
            <w:tcW w:w="6377" w:type="dxa"/>
            <w:noWrap w:val="0"/>
            <w:vAlign w:val="center"/>
          </w:tcPr>
          <w:p w14:paraId="71DC23B7">
            <w:pPr>
              <w:widowControl/>
              <w:wordWrap w:val="0"/>
              <w:spacing w:line="288" w:lineRule="auto"/>
              <w:jc w:val="left"/>
              <w:rPr>
                <w:rFonts w:hint="eastAsia" w:ascii="仿宋" w:hAnsi="仿宋" w:eastAsia="仿宋" w:cs="仿宋"/>
                <w:color w:val="auto"/>
                <w:kern w:val="2"/>
                <w:sz w:val="24"/>
                <w:szCs w:val="24"/>
                <w:highlight w:val="none"/>
                <w:lang w:val="en-US" w:eastAsia="zh-CN" w:bidi="en-US"/>
              </w:rPr>
            </w:pPr>
            <w:r>
              <w:rPr>
                <w:rFonts w:hint="eastAsia" w:ascii="仿宋" w:hAnsi="仿宋" w:eastAsia="仿宋" w:cs="仿宋"/>
                <w:color w:val="auto"/>
                <w:kern w:val="2"/>
                <w:sz w:val="24"/>
                <w:szCs w:val="24"/>
                <w:highlight w:val="none"/>
                <w:lang w:val="en-US" w:eastAsia="zh-CN" w:bidi="en-US"/>
              </w:rPr>
              <w:t>符合第二章“投标人须知”第17.1项要求。</w:t>
            </w:r>
          </w:p>
        </w:tc>
      </w:tr>
      <w:tr w14:paraId="677D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continue"/>
            <w:noWrap w:val="0"/>
            <w:vAlign w:val="top"/>
          </w:tcPr>
          <w:p w14:paraId="3696F76C">
            <w:pPr>
              <w:widowControl w:val="0"/>
              <w:wordWrap w:val="0"/>
              <w:spacing w:line="240" w:lineRule="auto"/>
              <w:ind w:firstLine="301"/>
              <w:jc w:val="both"/>
              <w:rPr>
                <w:rFonts w:hint="eastAsia" w:ascii="仿宋" w:hAnsi="仿宋" w:eastAsia="仿宋" w:cs="仿宋"/>
                <w:color w:val="auto"/>
                <w:spacing w:val="0"/>
                <w:kern w:val="2"/>
                <w:sz w:val="24"/>
                <w:szCs w:val="24"/>
                <w:highlight w:val="none"/>
                <w:lang w:val="en-US" w:eastAsia="zh-CN" w:bidi="ar-SA"/>
              </w:rPr>
            </w:pPr>
          </w:p>
        </w:tc>
        <w:tc>
          <w:tcPr>
            <w:tcW w:w="1992" w:type="dxa"/>
            <w:noWrap w:val="0"/>
            <w:vAlign w:val="center"/>
          </w:tcPr>
          <w:p w14:paraId="1042B2B1">
            <w:pPr>
              <w:widowControl/>
              <w:wordWrap w:val="0"/>
              <w:spacing w:line="288" w:lineRule="auto"/>
              <w:jc w:val="center"/>
              <w:rPr>
                <w:rFonts w:hint="eastAsia" w:ascii="仿宋" w:hAnsi="仿宋" w:eastAsia="仿宋" w:cs="仿宋"/>
                <w:color w:val="auto"/>
                <w:kern w:val="2"/>
                <w:sz w:val="24"/>
                <w:szCs w:val="24"/>
                <w:highlight w:val="none"/>
                <w:lang w:val="en-US" w:eastAsia="zh-CN" w:bidi="en-US"/>
              </w:rPr>
            </w:pPr>
            <w:r>
              <w:rPr>
                <w:rFonts w:hint="eastAsia" w:ascii="仿宋" w:hAnsi="仿宋" w:eastAsia="仿宋" w:cs="仿宋"/>
                <w:color w:val="auto"/>
                <w:kern w:val="2"/>
                <w:sz w:val="24"/>
                <w:szCs w:val="24"/>
                <w:highlight w:val="none"/>
                <w:lang w:val="en-US" w:eastAsia="zh-CN" w:bidi="en-US"/>
              </w:rPr>
              <w:t>投标文件格式</w:t>
            </w:r>
          </w:p>
        </w:tc>
        <w:tc>
          <w:tcPr>
            <w:tcW w:w="6377" w:type="dxa"/>
            <w:noWrap w:val="0"/>
            <w:vAlign w:val="center"/>
          </w:tcPr>
          <w:p w14:paraId="13BABD19">
            <w:pPr>
              <w:widowControl/>
              <w:wordWrap w:val="0"/>
              <w:spacing w:line="288" w:lineRule="auto"/>
              <w:jc w:val="left"/>
              <w:rPr>
                <w:rFonts w:hint="eastAsia" w:ascii="仿宋" w:hAnsi="仿宋" w:eastAsia="仿宋" w:cs="仿宋"/>
                <w:color w:val="auto"/>
                <w:kern w:val="2"/>
                <w:sz w:val="24"/>
                <w:szCs w:val="24"/>
                <w:highlight w:val="none"/>
                <w:lang w:val="en-US" w:eastAsia="zh-CN" w:bidi="en-US"/>
              </w:rPr>
            </w:pPr>
            <w:r>
              <w:rPr>
                <w:rFonts w:hint="eastAsia" w:ascii="仿宋" w:hAnsi="仿宋" w:eastAsia="仿宋" w:cs="仿宋"/>
                <w:color w:val="auto"/>
                <w:kern w:val="2"/>
                <w:sz w:val="24"/>
                <w:szCs w:val="24"/>
                <w:highlight w:val="none"/>
                <w:lang w:val="en-US" w:eastAsia="zh-CN" w:bidi="en-US"/>
              </w:rPr>
              <w:t>符合第七章“投标文件格式”的要求。</w:t>
            </w:r>
          </w:p>
        </w:tc>
      </w:tr>
      <w:tr w14:paraId="39294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continue"/>
            <w:noWrap w:val="0"/>
            <w:vAlign w:val="top"/>
          </w:tcPr>
          <w:p w14:paraId="2BF4C2E8">
            <w:pPr>
              <w:widowControl w:val="0"/>
              <w:wordWrap w:val="0"/>
              <w:spacing w:line="240" w:lineRule="auto"/>
              <w:ind w:firstLine="301"/>
              <w:jc w:val="both"/>
              <w:rPr>
                <w:rFonts w:hint="eastAsia" w:ascii="仿宋" w:hAnsi="仿宋" w:eastAsia="仿宋" w:cs="仿宋"/>
                <w:color w:val="auto"/>
                <w:spacing w:val="0"/>
                <w:kern w:val="2"/>
                <w:sz w:val="24"/>
                <w:szCs w:val="24"/>
                <w:highlight w:val="none"/>
                <w:lang w:val="en-US" w:eastAsia="zh-CN" w:bidi="ar-SA"/>
              </w:rPr>
            </w:pPr>
          </w:p>
        </w:tc>
        <w:tc>
          <w:tcPr>
            <w:tcW w:w="1992" w:type="dxa"/>
            <w:noWrap w:val="0"/>
            <w:vAlign w:val="center"/>
          </w:tcPr>
          <w:p w14:paraId="1CB7F42C">
            <w:pPr>
              <w:wordWrap w:val="0"/>
              <w:spacing w:line="288"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6377" w:type="dxa"/>
            <w:noWrap w:val="0"/>
            <w:vAlign w:val="center"/>
          </w:tcPr>
          <w:p w14:paraId="68FBAAC0">
            <w:pPr>
              <w:wordWrap w:val="0"/>
              <w:spacing w:line="28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只有一个有效报价且报价小于等于采购预算价及最高限价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单价和总价</w:t>
            </w:r>
            <w:r>
              <w:rPr>
                <w:rFonts w:hint="eastAsia" w:ascii="仿宋" w:hAnsi="仿宋" w:eastAsia="仿宋" w:cs="仿宋"/>
                <w:color w:val="auto"/>
                <w:sz w:val="24"/>
                <w:szCs w:val="24"/>
                <w:highlight w:val="none"/>
                <w:lang w:eastAsia="zh-CN"/>
              </w:rPr>
              <w:t>）。</w:t>
            </w:r>
          </w:p>
        </w:tc>
      </w:tr>
      <w:tr w14:paraId="0E67C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continue"/>
            <w:noWrap w:val="0"/>
            <w:vAlign w:val="top"/>
          </w:tcPr>
          <w:p w14:paraId="6A106FBD">
            <w:pPr>
              <w:widowControl w:val="0"/>
              <w:wordWrap w:val="0"/>
              <w:spacing w:line="240" w:lineRule="auto"/>
              <w:ind w:firstLine="301"/>
              <w:jc w:val="both"/>
              <w:rPr>
                <w:rFonts w:hint="eastAsia" w:ascii="仿宋" w:hAnsi="仿宋" w:eastAsia="仿宋" w:cs="仿宋"/>
                <w:color w:val="auto"/>
                <w:spacing w:val="0"/>
                <w:kern w:val="2"/>
                <w:sz w:val="24"/>
                <w:szCs w:val="24"/>
                <w:highlight w:val="none"/>
                <w:lang w:val="en-US" w:eastAsia="zh-CN" w:bidi="ar-SA"/>
              </w:rPr>
            </w:pPr>
          </w:p>
        </w:tc>
        <w:tc>
          <w:tcPr>
            <w:tcW w:w="1992" w:type="dxa"/>
            <w:noWrap w:val="0"/>
            <w:vAlign w:val="center"/>
          </w:tcPr>
          <w:p w14:paraId="52624D34">
            <w:pPr>
              <w:wordWrap w:val="0"/>
              <w:spacing w:line="288"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377" w:type="dxa"/>
            <w:noWrap w:val="0"/>
            <w:vAlign w:val="center"/>
          </w:tcPr>
          <w:p w14:paraId="36E0CC7D">
            <w:pPr>
              <w:wordWrap w:val="0"/>
              <w:spacing w:line="28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符合第二章“投标人须知”第1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.1项规定</w:t>
            </w:r>
            <w:r>
              <w:rPr>
                <w:rFonts w:hint="eastAsia" w:ascii="仿宋" w:hAnsi="仿宋" w:eastAsia="仿宋" w:cs="仿宋"/>
                <w:color w:val="auto"/>
                <w:sz w:val="24"/>
                <w:szCs w:val="24"/>
                <w:highlight w:val="none"/>
                <w:lang w:eastAsia="zh-CN"/>
              </w:rPr>
              <w:t>。</w:t>
            </w:r>
          </w:p>
        </w:tc>
      </w:tr>
      <w:tr w14:paraId="5D1F2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continue"/>
            <w:noWrap w:val="0"/>
            <w:vAlign w:val="top"/>
          </w:tcPr>
          <w:p w14:paraId="70FEB797">
            <w:pPr>
              <w:widowControl w:val="0"/>
              <w:wordWrap w:val="0"/>
              <w:spacing w:line="240" w:lineRule="auto"/>
              <w:ind w:firstLine="301"/>
              <w:jc w:val="both"/>
              <w:rPr>
                <w:rFonts w:hint="eastAsia" w:ascii="仿宋" w:hAnsi="仿宋" w:eastAsia="仿宋" w:cs="仿宋"/>
                <w:color w:val="auto"/>
                <w:spacing w:val="0"/>
                <w:kern w:val="2"/>
                <w:sz w:val="24"/>
                <w:szCs w:val="24"/>
                <w:highlight w:val="none"/>
                <w:lang w:val="en-US" w:eastAsia="zh-CN" w:bidi="ar-SA"/>
              </w:rPr>
            </w:pPr>
          </w:p>
        </w:tc>
        <w:tc>
          <w:tcPr>
            <w:tcW w:w="1992" w:type="dxa"/>
            <w:noWrap w:val="0"/>
            <w:vAlign w:val="center"/>
          </w:tcPr>
          <w:p w14:paraId="568B5605">
            <w:pPr>
              <w:wordWrap w:val="0"/>
              <w:spacing w:line="288"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实质性条件</w:t>
            </w:r>
          </w:p>
        </w:tc>
        <w:tc>
          <w:tcPr>
            <w:tcW w:w="6377" w:type="dxa"/>
            <w:noWrap w:val="0"/>
            <w:vAlign w:val="center"/>
          </w:tcPr>
          <w:p w14:paraId="7F57CDE3">
            <w:pPr>
              <w:wordWrap w:val="0"/>
              <w:spacing w:line="28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实质性响应招标文件中标注★条款内容</w:t>
            </w:r>
            <w:r>
              <w:rPr>
                <w:rFonts w:hint="eastAsia" w:ascii="仿宋" w:hAnsi="仿宋" w:eastAsia="仿宋" w:cs="仿宋"/>
                <w:color w:val="auto"/>
                <w:sz w:val="24"/>
                <w:szCs w:val="24"/>
                <w:highlight w:val="none"/>
                <w:lang w:eastAsia="zh-CN"/>
              </w:rPr>
              <w:t>；</w:t>
            </w:r>
          </w:p>
          <w:p w14:paraId="6750C80C">
            <w:pPr>
              <w:wordWrap w:val="0"/>
              <w:spacing w:line="288" w:lineRule="auto"/>
              <w:rPr>
                <w:rFonts w:hint="default"/>
                <w:color w:val="auto"/>
                <w:highlight w:val="none"/>
                <w:lang w:val="en-US" w:eastAsia="zh-CN"/>
              </w:rPr>
            </w:pPr>
            <w:r>
              <w:rPr>
                <w:rFonts w:hint="eastAsia" w:ascii="仿宋" w:hAnsi="仿宋" w:eastAsia="仿宋" w:cs="仿宋"/>
                <w:color w:val="auto"/>
                <w:sz w:val="24"/>
                <w:szCs w:val="24"/>
                <w:highlight w:val="none"/>
                <w:lang w:val="en-US" w:eastAsia="zh-CN"/>
              </w:rPr>
              <w:t>（2）无</w:t>
            </w:r>
            <w:r>
              <w:rPr>
                <w:rFonts w:hint="eastAsia" w:ascii="仿宋" w:hAnsi="仿宋" w:eastAsia="仿宋" w:cs="仿宋"/>
                <w:color w:val="auto"/>
                <w:sz w:val="24"/>
                <w:szCs w:val="24"/>
                <w:highlight w:val="none"/>
                <w:lang w:eastAsia="zh-CN"/>
              </w:rPr>
              <w:t>法律、法规和招标文件规定的其他无效情形。</w:t>
            </w:r>
          </w:p>
        </w:tc>
      </w:tr>
      <w:tr w14:paraId="20C09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2" w:type="dxa"/>
            <w:vMerge w:val="continue"/>
            <w:noWrap w:val="0"/>
            <w:vAlign w:val="top"/>
          </w:tcPr>
          <w:p w14:paraId="5739806C">
            <w:pPr>
              <w:widowControl w:val="0"/>
              <w:wordWrap w:val="0"/>
              <w:spacing w:line="240" w:lineRule="auto"/>
              <w:ind w:firstLine="301"/>
              <w:jc w:val="both"/>
              <w:rPr>
                <w:rFonts w:hint="eastAsia" w:ascii="仿宋" w:hAnsi="仿宋" w:eastAsia="仿宋" w:cs="仿宋"/>
                <w:color w:val="auto"/>
                <w:spacing w:val="0"/>
                <w:kern w:val="2"/>
                <w:sz w:val="24"/>
                <w:szCs w:val="24"/>
                <w:highlight w:val="none"/>
                <w:lang w:val="en-US" w:eastAsia="zh-CN" w:bidi="ar-SA"/>
              </w:rPr>
            </w:pPr>
          </w:p>
        </w:tc>
        <w:tc>
          <w:tcPr>
            <w:tcW w:w="1992" w:type="dxa"/>
            <w:noWrap w:val="0"/>
            <w:vAlign w:val="center"/>
          </w:tcPr>
          <w:p w14:paraId="4551CE2E">
            <w:pPr>
              <w:wordWrap w:val="0"/>
              <w:spacing w:line="288"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其他要求</w:t>
            </w:r>
          </w:p>
        </w:tc>
        <w:tc>
          <w:tcPr>
            <w:tcW w:w="6377" w:type="dxa"/>
            <w:noWrap w:val="0"/>
            <w:vAlign w:val="center"/>
          </w:tcPr>
          <w:p w14:paraId="3AA2D9C1">
            <w:pPr>
              <w:wordWrap w:val="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投标文件未含有采购人不能接受的附加条件；</w:t>
            </w:r>
          </w:p>
          <w:p w14:paraId="79CCECE2">
            <w:pPr>
              <w:wordWrap w:val="0"/>
              <w:spacing w:line="288"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（2）无串通投标或弄虚作假或其他违法行为；</w:t>
            </w:r>
          </w:p>
          <w:p w14:paraId="344B3690">
            <w:pPr>
              <w:wordWrap w:val="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（3）按评标委员会要求澄清、说明或补正的。</w:t>
            </w:r>
          </w:p>
        </w:tc>
      </w:tr>
    </w:tbl>
    <w:p w14:paraId="314F0EF6">
      <w:pPr>
        <w:pStyle w:val="11"/>
        <w:pageBreakBefore w:val="0"/>
        <w:kinsoku/>
        <w:overflowPunct/>
        <w:topLinePunct w:val="0"/>
        <w:bidi w:val="0"/>
        <w:spacing w:beforeAutospacing="0" w:afterAutospacing="0" w:line="360" w:lineRule="auto"/>
        <w:ind w:left="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（二）澄清有关问题</w:t>
      </w:r>
    </w:p>
    <w:p w14:paraId="05384F6C">
      <w:pPr>
        <w:pStyle w:val="11"/>
        <w:pageBreakBefore w:val="0"/>
        <w:kinsoku/>
        <w:overflowPunct/>
        <w:topLinePunct w:val="0"/>
        <w:bidi w:val="0"/>
        <w:spacing w:beforeAutospacing="0" w:afterAutospacing="0" w:line="360" w:lineRule="auto"/>
        <w:ind w:left="0"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1.投标文件内容澄清</w:t>
      </w:r>
    </w:p>
    <w:p w14:paraId="2B909457">
      <w:pPr>
        <w:pStyle w:val="11"/>
        <w:pageBreakBefore w:val="0"/>
        <w:kinsoku/>
        <w:overflowPunct/>
        <w:topLinePunct w:val="0"/>
        <w:bidi w:val="0"/>
        <w:spacing w:beforeAutospacing="0" w:afterAutospacing="0" w:line="360" w:lineRule="auto"/>
        <w:ind w:left="0" w:firstLine="456"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对于投标文件中含义不明确、同类问题表述不一致或者有明显文字和计算错误的内容，评标委员会应当以书面形式要求</w:t>
      </w:r>
      <w:r>
        <w:rPr>
          <w:rFonts w:hint="eastAsia" w:ascii="宋体" w:hAnsi="宋体" w:eastAsia="宋体" w:cs="宋体"/>
          <w:color w:val="auto"/>
          <w:spacing w:val="-6"/>
          <w:szCs w:val="24"/>
          <w:highlight w:val="none"/>
          <w:lang w:eastAsia="zh-CN"/>
        </w:rPr>
        <w:t>投标人</w:t>
      </w:r>
      <w:r>
        <w:rPr>
          <w:rFonts w:hint="eastAsia" w:ascii="宋体" w:hAnsi="宋体" w:eastAsia="宋体" w:cs="宋体"/>
          <w:color w:val="auto"/>
          <w:spacing w:val="-6"/>
          <w:szCs w:val="24"/>
          <w:highlight w:val="none"/>
        </w:rPr>
        <w:t>作出必要的澄清、说明或者补正。</w:t>
      </w:r>
      <w:r>
        <w:rPr>
          <w:rFonts w:hint="eastAsia" w:ascii="宋体" w:hAnsi="宋体" w:eastAsia="宋体" w:cs="宋体"/>
          <w:color w:val="auto"/>
          <w:spacing w:val="-6"/>
          <w:szCs w:val="24"/>
          <w:highlight w:val="none"/>
          <w:lang w:eastAsia="zh-CN"/>
        </w:rPr>
        <w:t>投标人</w:t>
      </w:r>
      <w:r>
        <w:rPr>
          <w:rFonts w:hint="eastAsia" w:ascii="宋体" w:hAnsi="宋体" w:eastAsia="宋体" w:cs="宋体"/>
          <w:color w:val="auto"/>
          <w:spacing w:val="-6"/>
          <w:szCs w:val="24"/>
          <w:highlight w:val="none"/>
        </w:rPr>
        <w:t>的澄清、说明或者补正应当采用书面形式，并加盖单位公章，或者由法定代表人或其授权的代表签字。</w:t>
      </w:r>
      <w:r>
        <w:rPr>
          <w:rFonts w:hint="eastAsia" w:ascii="宋体" w:hAnsi="宋体" w:eastAsia="宋体" w:cs="宋体"/>
          <w:color w:val="auto"/>
          <w:spacing w:val="-6"/>
          <w:szCs w:val="24"/>
          <w:highlight w:val="none"/>
          <w:lang w:eastAsia="zh-CN"/>
        </w:rPr>
        <w:t>投标人</w:t>
      </w:r>
      <w:r>
        <w:rPr>
          <w:rFonts w:hint="eastAsia" w:ascii="宋体" w:hAnsi="宋体" w:eastAsia="宋体" w:cs="宋体"/>
          <w:color w:val="auto"/>
          <w:spacing w:val="-6"/>
          <w:szCs w:val="24"/>
          <w:highlight w:val="none"/>
        </w:rPr>
        <w:t>的澄清、说明或者补正不得超出投标文件的范围或者改变投标文件的实质性内容。</w:t>
      </w:r>
    </w:p>
    <w:p w14:paraId="597B7494">
      <w:pPr>
        <w:pStyle w:val="11"/>
        <w:pageBreakBefore w:val="0"/>
        <w:kinsoku/>
        <w:overflowPunct/>
        <w:topLinePunct w:val="0"/>
        <w:bidi w:val="0"/>
        <w:spacing w:beforeAutospacing="0" w:afterAutospacing="0" w:line="360" w:lineRule="auto"/>
        <w:ind w:left="0"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2.报价不一致情形澄清</w:t>
      </w:r>
    </w:p>
    <w:p w14:paraId="78719D6C">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投标文件报价出现前后不一致的，除招标文件另有规定外，按照下列规定修正：</w:t>
      </w:r>
    </w:p>
    <w:p w14:paraId="23CE700A">
      <w:pPr>
        <w:pageBreakBefore w:val="0"/>
        <w:kinsoku/>
        <w:overflowPunct/>
        <w:topLinePunct w:val="0"/>
        <w:bidi w:val="0"/>
        <w:spacing w:beforeAutospacing="0" w:afterAutospacing="0" w:line="360" w:lineRule="auto"/>
        <w:ind w:firstLine="436" w:firstLineChars="200"/>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rPr>
        <w:t>（1）投标文件中《开标一览表》内容与投标文件中相应内容不一致的，以《开标一览表》为准；</w:t>
      </w:r>
    </w:p>
    <w:p w14:paraId="12BD28E2">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424E65E1">
      <w:pPr>
        <w:pageBreakBefore w:val="0"/>
        <w:kinsoku/>
        <w:overflowPunct/>
        <w:topLinePunct w:val="0"/>
        <w:bidi w:val="0"/>
        <w:spacing w:beforeAutospacing="0" w:afterAutospacing="0" w:line="360" w:lineRule="auto"/>
        <w:ind w:firstLine="456"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（3）单价金额小数点或者百分比有明显错位的，以开标一览表的总价为准，并修改单价；</w:t>
      </w:r>
    </w:p>
    <w:p w14:paraId="0647792E">
      <w:pPr>
        <w:pageBreakBefore w:val="0"/>
        <w:kinsoku/>
        <w:overflowPunct/>
        <w:topLinePunct w:val="0"/>
        <w:bidi w:val="0"/>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11BD9B64">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同时出现两种以上不一致的，按照前款规定的顺序修正。修正后的报价经</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确认后产生约束力，</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不确认的，其投标无效。</w:t>
      </w:r>
    </w:p>
    <w:p w14:paraId="2C10DCEB">
      <w:pPr>
        <w:pStyle w:val="11"/>
        <w:pageBreakBefore w:val="0"/>
        <w:kinsoku/>
        <w:overflowPunct/>
        <w:topLinePunct w:val="0"/>
        <w:bidi w:val="0"/>
        <w:spacing w:beforeAutospacing="0" w:afterAutospacing="0" w:line="360" w:lineRule="auto"/>
        <w:ind w:left="0"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3.报价过低情形澄清</w:t>
      </w:r>
    </w:p>
    <w:p w14:paraId="0A051037">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评标委员会认为</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的报价（总价或单价）明显低于其他通过符合性审查</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的报价（总价或单价），有可能影响服务质量或者不能诚信履约的，应当要求其在评标现场合理的时间内提供书面说明，必要时提交相关证明材料；</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不能证明其报价合理性的，评标委员会应当将其作为无效投标处理。</w:t>
      </w:r>
    </w:p>
    <w:p w14:paraId="7AE9F95B">
      <w:pPr>
        <w:pageBreakBefore w:val="0"/>
        <w:kinsoku/>
        <w:overflowPunct/>
        <w:topLinePunct w:val="0"/>
        <w:bidi w:val="0"/>
        <w:spacing w:beforeAutospacing="0" w:afterAutospacing="0"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（三）商务和技术评估、综合比较与评价</w:t>
      </w:r>
    </w:p>
    <w:p w14:paraId="720BCE85">
      <w:pPr>
        <w:pageBreakBefore w:val="0"/>
        <w:kinsoku/>
        <w:overflowPunct/>
        <w:topLinePunct w:val="0"/>
        <w:autoSpaceDE w:val="0"/>
        <w:autoSpaceDN w:val="0"/>
        <w:bidi w:val="0"/>
        <w:spacing w:beforeAutospacing="0" w:afterAutospacing="0" w:line="360" w:lineRule="auto"/>
        <w:ind w:firstLine="472" w:firstLineChars="19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综合评分方式</w:t>
      </w:r>
    </w:p>
    <w:p w14:paraId="08BFD85E">
      <w:pPr>
        <w:pageBreakBefore w:val="0"/>
        <w:kinsoku/>
        <w:overflowPunct/>
        <w:topLinePunct w:val="0"/>
        <w:bidi w:val="0"/>
        <w:spacing w:beforeAutospacing="0" w:afterAutospacing="0"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的评标总得分＝F1＋F2</w:t>
      </w:r>
      <w:r>
        <w:rPr>
          <w:rFonts w:hint="eastAsia" w:ascii="宋体" w:hAnsi="宋体" w:eastAsia="宋体" w:cs="宋体"/>
          <w:b/>
          <w:bCs/>
          <w:color w:val="auto"/>
          <w:sz w:val="24"/>
          <w:szCs w:val="24"/>
          <w:highlight w:val="none"/>
          <w:lang w:val="en-US" w:eastAsia="zh-CN"/>
        </w:rPr>
        <w:t>+F3</w:t>
      </w:r>
      <w:r>
        <w:rPr>
          <w:rFonts w:hint="eastAsia" w:ascii="宋体" w:hAnsi="宋体" w:eastAsia="宋体" w:cs="宋体"/>
          <w:b/>
          <w:bCs/>
          <w:color w:val="auto"/>
          <w:sz w:val="24"/>
          <w:szCs w:val="24"/>
          <w:highlight w:val="none"/>
        </w:rPr>
        <w:t>；</w:t>
      </w:r>
    </w:p>
    <w:p w14:paraId="4E6A7EC0">
      <w:pPr>
        <w:pageBreakBefore w:val="0"/>
        <w:kinsoku/>
        <w:overflowPunct/>
        <w:topLinePunct w:val="0"/>
        <w:bidi w:val="0"/>
        <w:spacing w:beforeAutospacing="0" w:afterAutospacing="0" w:line="360" w:lineRule="auto"/>
        <w:ind w:firstLine="458" w:firstLineChars="200"/>
        <w:jc w:val="left"/>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其中：F1、F2</w:t>
      </w:r>
      <w:r>
        <w:rPr>
          <w:rFonts w:hint="eastAsia" w:ascii="宋体" w:hAnsi="宋体" w:eastAsia="宋体" w:cs="宋体"/>
          <w:b/>
          <w:bCs/>
          <w:color w:val="auto"/>
          <w:spacing w:val="-6"/>
          <w:sz w:val="24"/>
          <w:szCs w:val="24"/>
          <w:highlight w:val="none"/>
          <w:lang w:val="en-US" w:eastAsia="zh-CN"/>
        </w:rPr>
        <w:t>/F3</w:t>
      </w:r>
      <w:r>
        <w:rPr>
          <w:rFonts w:hint="eastAsia" w:ascii="宋体" w:hAnsi="宋体" w:eastAsia="宋体" w:cs="宋体"/>
          <w:b/>
          <w:bCs/>
          <w:color w:val="auto"/>
          <w:spacing w:val="-6"/>
          <w:sz w:val="24"/>
          <w:szCs w:val="24"/>
          <w:highlight w:val="none"/>
        </w:rPr>
        <w:t>分别为投标报价部分、技术部分</w:t>
      </w: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lang w:val="en-US" w:eastAsia="zh-CN"/>
        </w:rPr>
        <w:t>服务部分3</w:t>
      </w:r>
      <w:r>
        <w:rPr>
          <w:rFonts w:hint="eastAsia" w:ascii="宋体" w:hAnsi="宋体" w:eastAsia="宋体" w:cs="宋体"/>
          <w:b/>
          <w:bCs/>
          <w:color w:val="auto"/>
          <w:spacing w:val="-6"/>
          <w:sz w:val="24"/>
          <w:szCs w:val="24"/>
          <w:highlight w:val="none"/>
        </w:rPr>
        <w:t>项评分因素的汇总得分。</w:t>
      </w:r>
    </w:p>
    <w:p w14:paraId="3256E9D7">
      <w:pPr>
        <w:pageBreakBefore w:val="0"/>
        <w:kinsoku/>
        <w:overflowPunct/>
        <w:topLinePunct w:val="0"/>
        <w:bidi w:val="0"/>
        <w:spacing w:beforeAutospacing="0" w:afterAutospacing="0"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具体评审细则如下：</w:t>
      </w:r>
    </w:p>
    <w:tbl>
      <w:tblPr>
        <w:tblStyle w:val="25"/>
        <w:tblW w:w="9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218"/>
        <w:gridCol w:w="1128"/>
        <w:gridCol w:w="7407"/>
      </w:tblGrid>
      <w:tr w14:paraId="6D412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67" w:hRule="atLeast"/>
        </w:trPr>
        <w:tc>
          <w:tcPr>
            <w:tcW w:w="1218" w:type="dxa"/>
            <w:vAlign w:val="center"/>
          </w:tcPr>
          <w:p w14:paraId="70E0F542">
            <w:pPr>
              <w:keepNext w:val="0"/>
              <w:keepLines w:val="0"/>
              <w:pageBreakBefore w:val="0"/>
              <w:widowControl w:val="0"/>
              <w:kinsoku/>
              <w:wordWrap/>
              <w:overflowPunct/>
              <w:topLinePunct w:val="0"/>
              <w:bidi w:val="0"/>
              <w:snapToGrid/>
              <w:spacing w:beforeAutospacing="0" w:afterAutospacing="0" w:line="400" w:lineRule="exact"/>
              <w:jc w:val="left"/>
              <w:outlineLvl w:val="9"/>
              <w:rPr>
                <w:rFonts w:hint="eastAsia" w:ascii="宋体" w:hAnsi="宋体" w:eastAsia="宋体" w:cs="宋体"/>
                <w:color w:val="auto"/>
                <w:sz w:val="20"/>
                <w:szCs w:val="20"/>
                <w:highlight w:val="none"/>
              </w:rPr>
            </w:pPr>
            <w:r>
              <w:rPr>
                <w:rFonts w:hint="eastAsia" w:ascii="宋体" w:hAnsi="宋体" w:eastAsia="宋体" w:cs="宋体"/>
                <w:b/>
                <w:color w:val="auto"/>
                <w:sz w:val="20"/>
                <w:szCs w:val="20"/>
                <w:highlight w:val="none"/>
              </w:rPr>
              <w:t>审查内容</w:t>
            </w:r>
          </w:p>
        </w:tc>
        <w:tc>
          <w:tcPr>
            <w:tcW w:w="1128" w:type="dxa"/>
            <w:vAlign w:val="center"/>
          </w:tcPr>
          <w:p w14:paraId="3ED2D765">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color w:val="auto"/>
                <w:sz w:val="20"/>
                <w:szCs w:val="20"/>
                <w:highlight w:val="none"/>
              </w:rPr>
            </w:pPr>
            <w:r>
              <w:rPr>
                <w:rFonts w:hint="eastAsia" w:ascii="宋体" w:hAnsi="宋体" w:eastAsia="宋体" w:cs="宋体"/>
                <w:b/>
                <w:color w:val="auto"/>
                <w:sz w:val="20"/>
                <w:szCs w:val="20"/>
                <w:highlight w:val="none"/>
              </w:rPr>
              <w:t>评分因素</w:t>
            </w:r>
          </w:p>
        </w:tc>
        <w:tc>
          <w:tcPr>
            <w:tcW w:w="7407" w:type="dxa"/>
            <w:vAlign w:val="center"/>
          </w:tcPr>
          <w:p w14:paraId="73DC96CD">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评分标准</w:t>
            </w:r>
          </w:p>
        </w:tc>
      </w:tr>
      <w:tr w14:paraId="780DB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6" w:hRule="atLeast"/>
        </w:trPr>
        <w:tc>
          <w:tcPr>
            <w:tcW w:w="1218" w:type="dxa"/>
            <w:vAlign w:val="center"/>
          </w:tcPr>
          <w:p w14:paraId="26189CED">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投标报价F1评审</w:t>
            </w:r>
          </w:p>
          <w:p w14:paraId="610E3520">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（满分</w:t>
            </w:r>
            <w:r>
              <w:rPr>
                <w:rFonts w:hint="eastAsia" w:ascii="宋体" w:hAnsi="宋体" w:eastAsia="宋体" w:cs="宋体"/>
                <w:b/>
                <w:bCs/>
                <w:color w:val="auto"/>
                <w:sz w:val="20"/>
                <w:szCs w:val="20"/>
                <w:highlight w:val="none"/>
                <w:lang w:val="en-US" w:eastAsia="zh-CN"/>
              </w:rPr>
              <w:t>30</w:t>
            </w:r>
            <w:r>
              <w:rPr>
                <w:rFonts w:hint="eastAsia" w:ascii="宋体" w:hAnsi="宋体" w:eastAsia="宋体" w:cs="宋体"/>
                <w:b/>
                <w:bCs/>
                <w:color w:val="auto"/>
                <w:sz w:val="20"/>
                <w:szCs w:val="20"/>
                <w:highlight w:val="none"/>
              </w:rPr>
              <w:t>分）</w:t>
            </w:r>
          </w:p>
        </w:tc>
        <w:tc>
          <w:tcPr>
            <w:tcW w:w="1128" w:type="dxa"/>
            <w:vAlign w:val="center"/>
          </w:tcPr>
          <w:p w14:paraId="085DE431">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投标报价</w:t>
            </w:r>
          </w:p>
          <w:p w14:paraId="6AA1A8F6">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sz w:val="20"/>
                <w:szCs w:val="20"/>
                <w:highlight w:val="none"/>
              </w:rPr>
              <w:t>（满分</w:t>
            </w:r>
            <w:r>
              <w:rPr>
                <w:rFonts w:hint="eastAsia" w:ascii="宋体" w:hAnsi="宋体" w:eastAsia="宋体" w:cs="宋体"/>
                <w:b/>
                <w:bCs/>
                <w:color w:val="auto"/>
                <w:sz w:val="20"/>
                <w:szCs w:val="20"/>
                <w:highlight w:val="none"/>
                <w:lang w:val="en-US" w:eastAsia="zh-CN"/>
              </w:rPr>
              <w:t>30</w:t>
            </w:r>
            <w:r>
              <w:rPr>
                <w:rFonts w:hint="eastAsia" w:ascii="宋体" w:hAnsi="宋体" w:eastAsia="宋体" w:cs="宋体"/>
                <w:b/>
                <w:bCs/>
                <w:color w:val="auto"/>
                <w:sz w:val="20"/>
                <w:szCs w:val="20"/>
                <w:highlight w:val="none"/>
              </w:rPr>
              <w:t>分）</w:t>
            </w:r>
          </w:p>
        </w:tc>
        <w:tc>
          <w:tcPr>
            <w:tcW w:w="7407" w:type="dxa"/>
            <w:vAlign w:val="center"/>
          </w:tcPr>
          <w:p w14:paraId="6954FF5C">
            <w:pPr>
              <w:keepNext w:val="0"/>
              <w:keepLines w:val="0"/>
              <w:pageBreakBefore w:val="0"/>
              <w:widowControl w:val="0"/>
              <w:kinsoku/>
              <w:wordWrap/>
              <w:overflowPunct/>
              <w:topLinePunct w:val="0"/>
              <w:bidi w:val="0"/>
              <w:snapToGrid/>
              <w:spacing w:beforeAutospacing="0" w:afterAutospacing="0" w:line="400" w:lineRule="exact"/>
              <w:textAlignment w:val="auto"/>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满足招标文件要求且投标价格最低的投标报价为评标基准价。其价格得分为满分。其他</w:t>
            </w:r>
            <w:r>
              <w:rPr>
                <w:rFonts w:hint="eastAsia" w:ascii="宋体" w:hAnsi="宋体" w:eastAsia="宋体" w:cs="宋体"/>
                <w:color w:val="auto"/>
                <w:kern w:val="0"/>
                <w:sz w:val="20"/>
                <w:szCs w:val="20"/>
                <w:highlight w:val="none"/>
                <w:lang w:eastAsia="zh-CN"/>
              </w:rPr>
              <w:t>投标人</w:t>
            </w:r>
            <w:r>
              <w:rPr>
                <w:rFonts w:hint="eastAsia" w:ascii="宋体" w:hAnsi="宋体" w:eastAsia="宋体" w:cs="宋体"/>
                <w:color w:val="auto"/>
                <w:kern w:val="0"/>
                <w:sz w:val="20"/>
                <w:szCs w:val="20"/>
                <w:highlight w:val="none"/>
              </w:rPr>
              <w:t>的投标报价得分＝（评标基准价/该</w:t>
            </w:r>
            <w:r>
              <w:rPr>
                <w:rFonts w:hint="eastAsia" w:ascii="宋体" w:hAnsi="宋体" w:eastAsia="宋体" w:cs="宋体"/>
                <w:color w:val="auto"/>
                <w:kern w:val="0"/>
                <w:sz w:val="20"/>
                <w:szCs w:val="20"/>
                <w:highlight w:val="none"/>
                <w:lang w:eastAsia="zh-CN"/>
              </w:rPr>
              <w:t>投标人</w:t>
            </w:r>
            <w:r>
              <w:rPr>
                <w:rFonts w:hint="eastAsia" w:ascii="宋体" w:hAnsi="宋体" w:eastAsia="宋体" w:cs="宋体"/>
                <w:color w:val="auto"/>
                <w:kern w:val="0"/>
                <w:sz w:val="20"/>
                <w:szCs w:val="20"/>
                <w:highlight w:val="none"/>
              </w:rPr>
              <w:t>的投标报价）×30。</w:t>
            </w:r>
          </w:p>
          <w:p w14:paraId="4DCD7C81">
            <w:pPr>
              <w:keepNext w:val="0"/>
              <w:keepLines w:val="0"/>
              <w:pageBreakBefore w:val="0"/>
              <w:widowControl w:val="0"/>
              <w:kinsoku/>
              <w:wordWrap/>
              <w:overflowPunct/>
              <w:topLinePunct w:val="0"/>
              <w:bidi w:val="0"/>
              <w:snapToGrid/>
              <w:spacing w:beforeAutospacing="0" w:afterAutospacing="0" w:line="400" w:lineRule="exact"/>
              <w:textAlignment w:val="auto"/>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对小微企业或监狱企业或残疾人福利性单位的价格给予</w:t>
            </w:r>
            <w:r>
              <w:rPr>
                <w:rFonts w:hint="eastAsia" w:ascii="宋体" w:hAnsi="宋体" w:eastAsia="宋体" w:cs="宋体"/>
                <w:color w:val="auto"/>
                <w:kern w:val="0"/>
                <w:sz w:val="20"/>
                <w:szCs w:val="20"/>
                <w:highlight w:val="none"/>
                <w:lang w:val="en-US" w:eastAsia="zh-CN"/>
              </w:rPr>
              <w:t>10</w:t>
            </w:r>
            <w:r>
              <w:rPr>
                <w:rFonts w:hint="eastAsia" w:ascii="宋体" w:hAnsi="宋体" w:eastAsia="宋体" w:cs="宋体"/>
                <w:color w:val="auto"/>
                <w:kern w:val="0"/>
                <w:sz w:val="20"/>
                <w:szCs w:val="20"/>
                <w:highlight w:val="none"/>
              </w:rPr>
              <w:t>%的扣除，用扣除后的价格参与评审。</w:t>
            </w:r>
          </w:p>
          <w:p w14:paraId="298B7679">
            <w:pPr>
              <w:keepNext w:val="0"/>
              <w:keepLines w:val="0"/>
              <w:pageBreakBefore w:val="0"/>
              <w:widowControl w:val="0"/>
              <w:kinsoku/>
              <w:wordWrap/>
              <w:overflowPunct/>
              <w:topLinePunct w:val="0"/>
              <w:bidi w:val="0"/>
              <w:snapToGrid/>
              <w:spacing w:beforeAutospacing="0" w:afterAutospacing="0" w:line="400" w:lineRule="exact"/>
              <w:textAlignment w:val="auto"/>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注：评标委员会根据</w:t>
            </w:r>
            <w:r>
              <w:rPr>
                <w:rFonts w:hint="eastAsia" w:ascii="宋体" w:hAnsi="宋体" w:eastAsia="宋体" w:cs="宋体"/>
                <w:b/>
                <w:bCs/>
                <w:color w:val="auto"/>
                <w:kern w:val="0"/>
                <w:sz w:val="20"/>
                <w:szCs w:val="20"/>
                <w:highlight w:val="none"/>
                <w:lang w:eastAsia="zh-CN"/>
              </w:rPr>
              <w:t>投标人</w:t>
            </w:r>
            <w:r>
              <w:rPr>
                <w:rFonts w:hint="eastAsia" w:ascii="宋体" w:hAnsi="宋体" w:eastAsia="宋体" w:cs="宋体"/>
                <w:b/>
                <w:bCs/>
                <w:color w:val="auto"/>
                <w:kern w:val="0"/>
                <w:sz w:val="20"/>
                <w:szCs w:val="20"/>
                <w:highlight w:val="none"/>
              </w:rPr>
              <w:t>提供的小微企业或监狱企业或残疾人福利性单位书面声明，认定其是否属于小微企业或监狱企业或残疾人福利性单位并享受相应的优惠政策。</w:t>
            </w:r>
            <w:r>
              <w:rPr>
                <w:rFonts w:hint="eastAsia" w:ascii="宋体" w:hAnsi="宋体" w:eastAsia="宋体" w:cs="宋体"/>
                <w:b/>
                <w:bCs/>
                <w:color w:val="auto"/>
                <w:kern w:val="0"/>
                <w:sz w:val="20"/>
                <w:szCs w:val="20"/>
                <w:highlight w:val="none"/>
                <w:lang w:eastAsia="zh-CN"/>
              </w:rPr>
              <w:t>投标人</w:t>
            </w:r>
            <w:r>
              <w:rPr>
                <w:rFonts w:hint="eastAsia" w:ascii="宋体" w:hAnsi="宋体" w:eastAsia="宋体" w:cs="宋体"/>
                <w:b/>
                <w:bCs/>
                <w:color w:val="auto"/>
                <w:kern w:val="0"/>
                <w:sz w:val="20"/>
                <w:szCs w:val="20"/>
                <w:highlight w:val="none"/>
              </w:rPr>
              <w:t>对其提供的书面声明的真实性负责，如有虚假，自行承担相应责任。</w:t>
            </w:r>
          </w:p>
        </w:tc>
      </w:tr>
      <w:tr w14:paraId="217EA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1340" w:hRule="atLeast"/>
        </w:trPr>
        <w:tc>
          <w:tcPr>
            <w:tcW w:w="1218" w:type="dxa"/>
            <w:vMerge w:val="restart"/>
            <w:vAlign w:val="center"/>
          </w:tcPr>
          <w:p w14:paraId="0A654EFA">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技术部分F2评审</w:t>
            </w:r>
          </w:p>
          <w:p w14:paraId="7B9390B5">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（满分</w:t>
            </w:r>
            <w:r>
              <w:rPr>
                <w:rFonts w:hint="eastAsia" w:ascii="宋体" w:hAnsi="宋体" w:eastAsia="宋体" w:cs="宋体"/>
                <w:b/>
                <w:bCs/>
                <w:color w:val="auto"/>
                <w:sz w:val="20"/>
                <w:szCs w:val="20"/>
                <w:highlight w:val="none"/>
                <w:lang w:val="en-US" w:eastAsia="zh-CN"/>
              </w:rPr>
              <w:t>5</w:t>
            </w:r>
            <w:r>
              <w:rPr>
                <w:rFonts w:hint="eastAsia" w:ascii="宋体" w:hAnsi="宋体" w:cs="宋体"/>
                <w:b/>
                <w:bCs/>
                <w:color w:val="auto"/>
                <w:sz w:val="20"/>
                <w:szCs w:val="20"/>
                <w:highlight w:val="none"/>
                <w:lang w:val="en-US" w:eastAsia="zh-CN"/>
              </w:rPr>
              <w:t>2</w:t>
            </w:r>
            <w:r>
              <w:rPr>
                <w:rFonts w:hint="eastAsia" w:ascii="宋体" w:hAnsi="宋体" w:eastAsia="宋体" w:cs="宋体"/>
                <w:b/>
                <w:bCs/>
                <w:color w:val="auto"/>
                <w:sz w:val="20"/>
                <w:szCs w:val="20"/>
                <w:highlight w:val="none"/>
              </w:rPr>
              <w:t>分）</w:t>
            </w:r>
          </w:p>
        </w:tc>
        <w:tc>
          <w:tcPr>
            <w:tcW w:w="1128" w:type="dxa"/>
            <w:vAlign w:val="center"/>
          </w:tcPr>
          <w:p w14:paraId="6CAE6953">
            <w:pPr>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outlineLvl w:val="9"/>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rPr>
              <w:t>产品技术参数及性能要求响应</w:t>
            </w:r>
            <w:r>
              <w:rPr>
                <w:rFonts w:hint="eastAsia" w:ascii="宋体" w:hAnsi="宋体" w:cs="宋体"/>
                <w:b/>
                <w:bCs/>
                <w:color w:val="auto"/>
                <w:kern w:val="0"/>
                <w:sz w:val="20"/>
                <w:szCs w:val="20"/>
                <w:highlight w:val="none"/>
                <w:lang w:val="en-US" w:eastAsia="zh-CN"/>
              </w:rPr>
              <w:t>评审</w:t>
            </w:r>
          </w:p>
          <w:p w14:paraId="09AB6851">
            <w:pPr>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outlineLvl w:val="9"/>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kern w:val="0"/>
                <w:sz w:val="20"/>
                <w:szCs w:val="20"/>
                <w:highlight w:val="none"/>
              </w:rPr>
              <w:t>（满分</w:t>
            </w:r>
            <w:r>
              <w:rPr>
                <w:rFonts w:hint="eastAsia" w:ascii="宋体" w:hAnsi="宋体" w:cs="宋体"/>
                <w:b/>
                <w:bCs/>
                <w:color w:val="auto"/>
                <w:kern w:val="0"/>
                <w:sz w:val="20"/>
                <w:szCs w:val="20"/>
                <w:highlight w:val="none"/>
                <w:u w:val="none"/>
                <w:lang w:val="en-US" w:eastAsia="zh-CN"/>
              </w:rPr>
              <w:t>34</w:t>
            </w:r>
            <w:r>
              <w:rPr>
                <w:rFonts w:hint="eastAsia" w:ascii="宋体" w:hAnsi="宋体" w:eastAsia="宋体" w:cs="宋体"/>
                <w:b/>
                <w:bCs/>
                <w:color w:val="auto"/>
                <w:kern w:val="0"/>
                <w:sz w:val="20"/>
                <w:szCs w:val="20"/>
                <w:highlight w:val="none"/>
              </w:rPr>
              <w:t>分）</w:t>
            </w:r>
          </w:p>
        </w:tc>
        <w:tc>
          <w:tcPr>
            <w:tcW w:w="7407" w:type="dxa"/>
            <w:vAlign w:val="center"/>
          </w:tcPr>
          <w:p w14:paraId="2A83C1B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5" w:leftChars="0" w:hanging="5" w:firstLineChars="0"/>
              <w:textAlignment w:val="auto"/>
              <w:outlineLvl w:val="9"/>
              <w:rPr>
                <w:rFonts w:hint="eastAsia" w:ascii="宋体" w:hAnsi="宋体" w:eastAsia="宋体" w:cs="宋体"/>
                <w:color w:val="auto"/>
                <w:kern w:val="2"/>
                <w:sz w:val="20"/>
                <w:szCs w:val="20"/>
                <w:highlight w:val="none"/>
                <w:lang w:val="en-US" w:eastAsia="zh-CN" w:bidi="ar-SA"/>
              </w:rPr>
            </w:pPr>
            <w:bookmarkStart w:id="385" w:name="_Toc22664"/>
            <w:bookmarkStart w:id="386" w:name="_Toc18515"/>
            <w:bookmarkStart w:id="387" w:name="_Toc20618"/>
            <w:bookmarkStart w:id="388" w:name="_Toc21324"/>
            <w:bookmarkStart w:id="389" w:name="_Toc3558"/>
            <w:bookmarkStart w:id="390" w:name="_Toc8903"/>
            <w:bookmarkStart w:id="391" w:name="_Toc665"/>
            <w:r>
              <w:rPr>
                <w:rFonts w:hint="eastAsia" w:ascii="宋体" w:hAnsi="宋体" w:eastAsia="宋体" w:cs="宋体"/>
                <w:color w:val="auto"/>
                <w:kern w:val="2"/>
                <w:sz w:val="20"/>
                <w:szCs w:val="20"/>
                <w:highlight w:val="none"/>
                <w:lang w:val="en-US" w:eastAsia="zh-CN" w:bidi="ar-SA"/>
              </w:rPr>
              <w:t>根据招标文件采购需求中参数要求的响应程度进行评审：</w:t>
            </w:r>
            <w:bookmarkEnd w:id="385"/>
            <w:bookmarkEnd w:id="386"/>
            <w:bookmarkEnd w:id="387"/>
            <w:bookmarkEnd w:id="388"/>
            <w:bookmarkEnd w:id="389"/>
            <w:bookmarkEnd w:id="390"/>
            <w:bookmarkEnd w:id="391"/>
          </w:p>
          <w:p w14:paraId="05838A7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5" w:leftChars="0" w:hanging="5" w:firstLineChars="0"/>
              <w:textAlignment w:val="auto"/>
              <w:outlineLvl w:val="9"/>
              <w:rPr>
                <w:rFonts w:hint="eastAsia" w:ascii="宋体" w:hAnsi="宋体" w:eastAsia="宋体" w:cs="宋体"/>
                <w:color w:val="auto"/>
                <w:kern w:val="2"/>
                <w:sz w:val="20"/>
                <w:szCs w:val="20"/>
                <w:highlight w:val="none"/>
                <w:lang w:val="en-US" w:eastAsia="zh-CN" w:bidi="ar-SA"/>
              </w:rPr>
            </w:pPr>
            <w:bookmarkStart w:id="392" w:name="_Toc26712"/>
            <w:bookmarkStart w:id="393" w:name="_Toc12222"/>
            <w:bookmarkStart w:id="394" w:name="_Toc20192"/>
            <w:bookmarkStart w:id="395" w:name="_Toc20002"/>
            <w:bookmarkStart w:id="396" w:name="_Toc6043"/>
            <w:bookmarkStart w:id="397" w:name="_Toc29387"/>
            <w:bookmarkStart w:id="398" w:name="_Toc26695"/>
            <w:r>
              <w:rPr>
                <w:rFonts w:hint="eastAsia" w:ascii="宋体" w:hAnsi="宋体" w:eastAsia="宋体" w:cs="宋体"/>
                <w:color w:val="auto"/>
                <w:kern w:val="2"/>
                <w:sz w:val="20"/>
                <w:szCs w:val="20"/>
                <w:highlight w:val="none"/>
                <w:lang w:val="en-US" w:eastAsia="zh-CN" w:bidi="ar-SA"/>
              </w:rPr>
              <w:t>（1）“</w:t>
            </w:r>
            <w:r>
              <w:rPr>
                <w:rFonts w:hint="eastAsia" w:ascii="宋体" w:hAnsi="宋体" w:cs="宋体"/>
                <w:color w:val="auto"/>
                <w:kern w:val="2"/>
                <w:sz w:val="20"/>
                <w:szCs w:val="20"/>
                <w:highlight w:val="none"/>
                <w:lang w:val="en-US" w:eastAsia="zh-CN" w:bidi="ar-SA"/>
              </w:rPr>
              <w:t>▲</w:t>
            </w:r>
            <w:r>
              <w:rPr>
                <w:rFonts w:hint="eastAsia" w:ascii="宋体" w:hAnsi="宋体" w:eastAsia="宋体" w:cs="宋体"/>
                <w:color w:val="auto"/>
                <w:kern w:val="2"/>
                <w:sz w:val="20"/>
                <w:szCs w:val="20"/>
                <w:highlight w:val="none"/>
                <w:lang w:val="en-US" w:eastAsia="zh-CN" w:bidi="ar-SA"/>
              </w:rPr>
              <w:t>”重要技术参数评审（满分</w:t>
            </w:r>
            <w:r>
              <w:rPr>
                <w:rFonts w:hint="eastAsia" w:ascii="宋体" w:hAnsi="宋体" w:cs="宋体"/>
                <w:color w:val="auto"/>
                <w:kern w:val="2"/>
                <w:sz w:val="20"/>
                <w:szCs w:val="20"/>
                <w:highlight w:val="none"/>
                <w:lang w:val="en-US" w:eastAsia="zh-CN" w:bidi="ar-SA"/>
              </w:rPr>
              <w:t>19</w:t>
            </w:r>
            <w:r>
              <w:rPr>
                <w:rFonts w:hint="eastAsia" w:ascii="宋体" w:hAnsi="宋体" w:eastAsia="宋体" w:cs="宋体"/>
                <w:color w:val="auto"/>
                <w:kern w:val="2"/>
                <w:sz w:val="20"/>
                <w:szCs w:val="20"/>
                <w:highlight w:val="none"/>
                <w:lang w:val="en-US" w:eastAsia="zh-CN" w:bidi="ar-SA"/>
              </w:rPr>
              <w:t>分）：投标产品重要技术参数“</w:t>
            </w:r>
            <w:r>
              <w:rPr>
                <w:rFonts w:hint="eastAsia" w:ascii="宋体" w:hAnsi="宋体" w:cs="宋体"/>
                <w:color w:val="auto"/>
                <w:kern w:val="2"/>
                <w:sz w:val="20"/>
                <w:szCs w:val="20"/>
                <w:highlight w:val="none"/>
                <w:lang w:val="en-US" w:eastAsia="zh-CN" w:bidi="ar-SA"/>
              </w:rPr>
              <w:t>▲</w:t>
            </w:r>
            <w:r>
              <w:rPr>
                <w:rFonts w:hint="eastAsia" w:ascii="宋体" w:hAnsi="宋体" w:eastAsia="宋体" w:cs="宋体"/>
                <w:color w:val="auto"/>
                <w:kern w:val="2"/>
                <w:sz w:val="20"/>
                <w:szCs w:val="20"/>
                <w:highlight w:val="none"/>
                <w:lang w:val="en-US" w:eastAsia="zh-CN" w:bidi="ar-SA"/>
              </w:rPr>
              <w:t>”共</w:t>
            </w:r>
            <w:r>
              <w:rPr>
                <w:rFonts w:hint="eastAsia" w:ascii="宋体" w:hAnsi="宋体" w:cs="宋体"/>
                <w:color w:val="auto"/>
                <w:kern w:val="2"/>
                <w:sz w:val="20"/>
                <w:szCs w:val="20"/>
                <w:highlight w:val="none"/>
                <w:lang w:val="en-US" w:eastAsia="zh-CN" w:bidi="ar-SA"/>
              </w:rPr>
              <w:t>19</w:t>
            </w:r>
            <w:r>
              <w:rPr>
                <w:rFonts w:hint="eastAsia" w:ascii="宋体" w:hAnsi="宋体" w:eastAsia="宋体" w:cs="宋体"/>
                <w:color w:val="auto"/>
                <w:kern w:val="2"/>
                <w:sz w:val="20"/>
                <w:szCs w:val="20"/>
                <w:highlight w:val="none"/>
                <w:lang w:val="en-US" w:eastAsia="zh-CN" w:bidi="ar-SA"/>
              </w:rPr>
              <w:t>条，完全满足招标文件要求的得</w:t>
            </w:r>
            <w:r>
              <w:rPr>
                <w:rFonts w:hint="eastAsia" w:ascii="宋体" w:hAnsi="宋体" w:cs="宋体"/>
                <w:color w:val="auto"/>
                <w:kern w:val="2"/>
                <w:sz w:val="20"/>
                <w:szCs w:val="20"/>
                <w:highlight w:val="none"/>
                <w:lang w:val="en-US" w:eastAsia="zh-CN" w:bidi="ar-SA"/>
              </w:rPr>
              <w:t>19</w:t>
            </w:r>
            <w:r>
              <w:rPr>
                <w:rFonts w:hint="eastAsia" w:ascii="宋体" w:hAnsi="宋体" w:eastAsia="宋体" w:cs="宋体"/>
                <w:color w:val="auto"/>
                <w:kern w:val="2"/>
                <w:sz w:val="20"/>
                <w:szCs w:val="20"/>
                <w:highlight w:val="none"/>
                <w:lang w:val="en-US" w:eastAsia="zh-CN" w:bidi="ar-SA"/>
              </w:rPr>
              <w:t>分，投标产品每出现一项重要技术参数“</w:t>
            </w:r>
            <w:r>
              <w:rPr>
                <w:rFonts w:hint="eastAsia" w:ascii="宋体" w:hAnsi="宋体" w:cs="宋体"/>
                <w:color w:val="auto"/>
                <w:kern w:val="2"/>
                <w:sz w:val="20"/>
                <w:szCs w:val="20"/>
                <w:highlight w:val="none"/>
                <w:lang w:val="en-US" w:eastAsia="zh-CN" w:bidi="ar-SA"/>
              </w:rPr>
              <w:t>▲</w:t>
            </w:r>
            <w:r>
              <w:rPr>
                <w:rFonts w:hint="eastAsia" w:ascii="宋体" w:hAnsi="宋体" w:eastAsia="宋体" w:cs="宋体"/>
                <w:color w:val="auto"/>
                <w:kern w:val="2"/>
                <w:sz w:val="20"/>
                <w:szCs w:val="20"/>
                <w:highlight w:val="none"/>
                <w:lang w:val="en-US" w:eastAsia="zh-CN" w:bidi="ar-SA"/>
              </w:rPr>
              <w:t>”不满足招标文件要求的扣</w:t>
            </w:r>
            <w:r>
              <w:rPr>
                <w:rFonts w:hint="eastAsia" w:ascii="宋体" w:hAnsi="宋体" w:cs="宋体"/>
                <w:color w:val="auto"/>
                <w:kern w:val="2"/>
                <w:sz w:val="20"/>
                <w:szCs w:val="20"/>
                <w:highlight w:val="none"/>
                <w:lang w:val="en-US" w:eastAsia="zh-CN" w:bidi="ar-SA"/>
              </w:rPr>
              <w:t>1</w:t>
            </w:r>
            <w:r>
              <w:rPr>
                <w:rFonts w:hint="eastAsia" w:ascii="宋体" w:hAnsi="宋体" w:eastAsia="宋体" w:cs="宋体"/>
                <w:color w:val="auto"/>
                <w:kern w:val="2"/>
                <w:sz w:val="20"/>
                <w:szCs w:val="20"/>
                <w:highlight w:val="none"/>
                <w:lang w:val="en-US" w:eastAsia="zh-CN" w:bidi="ar-SA"/>
              </w:rPr>
              <w:t>分；</w:t>
            </w:r>
            <w:bookmarkEnd w:id="392"/>
            <w:bookmarkEnd w:id="393"/>
            <w:bookmarkEnd w:id="394"/>
            <w:bookmarkEnd w:id="395"/>
            <w:bookmarkEnd w:id="396"/>
            <w:bookmarkEnd w:id="397"/>
            <w:bookmarkEnd w:id="398"/>
          </w:p>
          <w:p w14:paraId="772C56C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5" w:leftChars="0" w:hanging="5" w:firstLineChars="0"/>
              <w:textAlignment w:val="auto"/>
              <w:outlineLvl w:val="9"/>
              <w:rPr>
                <w:rFonts w:hint="eastAsia" w:ascii="宋体" w:hAnsi="宋体" w:eastAsia="宋体" w:cs="宋体"/>
                <w:color w:val="auto"/>
                <w:kern w:val="2"/>
                <w:sz w:val="20"/>
                <w:szCs w:val="20"/>
                <w:highlight w:val="none"/>
                <w:lang w:val="en-US" w:eastAsia="zh-CN" w:bidi="ar-SA"/>
              </w:rPr>
            </w:pPr>
            <w:bookmarkStart w:id="399" w:name="_Toc7137"/>
            <w:bookmarkStart w:id="400" w:name="_Toc1310"/>
            <w:bookmarkStart w:id="401" w:name="_Toc26128"/>
            <w:bookmarkStart w:id="402" w:name="_Toc26156"/>
            <w:bookmarkStart w:id="403" w:name="_Toc19304"/>
            <w:bookmarkStart w:id="404" w:name="_Toc31486"/>
            <w:bookmarkStart w:id="405" w:name="_Toc23799"/>
            <w:r>
              <w:rPr>
                <w:rFonts w:hint="eastAsia" w:ascii="宋体" w:hAnsi="宋体" w:eastAsia="宋体" w:cs="宋体"/>
                <w:color w:val="auto"/>
                <w:kern w:val="2"/>
                <w:sz w:val="20"/>
                <w:szCs w:val="20"/>
                <w:highlight w:val="none"/>
                <w:lang w:val="en-US" w:eastAsia="zh-CN" w:bidi="ar-SA"/>
              </w:rPr>
              <w:t>（2）非重要技术参数（非“</w:t>
            </w:r>
            <w:r>
              <w:rPr>
                <w:rFonts w:hint="eastAsia" w:ascii="宋体" w:hAnsi="宋体" w:cs="宋体"/>
                <w:color w:val="auto"/>
                <w:kern w:val="2"/>
                <w:sz w:val="20"/>
                <w:szCs w:val="20"/>
                <w:highlight w:val="none"/>
                <w:lang w:val="en-US" w:eastAsia="zh-CN" w:bidi="ar-SA"/>
              </w:rPr>
              <w:t>▲</w:t>
            </w:r>
            <w:r>
              <w:rPr>
                <w:rFonts w:hint="eastAsia" w:ascii="宋体" w:hAnsi="宋体" w:eastAsia="宋体" w:cs="宋体"/>
                <w:color w:val="auto"/>
                <w:kern w:val="2"/>
                <w:sz w:val="20"/>
                <w:szCs w:val="20"/>
                <w:highlight w:val="none"/>
                <w:lang w:val="en-US" w:eastAsia="zh-CN" w:bidi="ar-SA"/>
              </w:rPr>
              <w:t>”参数）评审（满分</w:t>
            </w:r>
            <w:r>
              <w:rPr>
                <w:rFonts w:hint="eastAsia" w:ascii="宋体" w:hAnsi="宋体" w:cs="宋体"/>
                <w:color w:val="auto"/>
                <w:kern w:val="2"/>
                <w:sz w:val="20"/>
                <w:szCs w:val="20"/>
                <w:highlight w:val="none"/>
                <w:lang w:val="en-US" w:eastAsia="zh-CN" w:bidi="ar-SA"/>
              </w:rPr>
              <w:t>15</w:t>
            </w:r>
            <w:r>
              <w:rPr>
                <w:rFonts w:hint="eastAsia" w:ascii="宋体" w:hAnsi="宋体" w:eastAsia="宋体" w:cs="宋体"/>
                <w:color w:val="auto"/>
                <w:kern w:val="2"/>
                <w:sz w:val="20"/>
                <w:szCs w:val="20"/>
                <w:highlight w:val="none"/>
                <w:lang w:val="en-US" w:eastAsia="zh-CN" w:bidi="ar-SA"/>
              </w:rPr>
              <w:t>分）：投标产品非重要技术参数共</w:t>
            </w:r>
            <w:r>
              <w:rPr>
                <w:rFonts w:hint="eastAsia" w:ascii="宋体" w:hAnsi="宋体" w:cs="宋体"/>
                <w:color w:val="auto"/>
                <w:kern w:val="2"/>
                <w:sz w:val="20"/>
                <w:szCs w:val="20"/>
                <w:highlight w:val="none"/>
                <w:lang w:val="en-US" w:eastAsia="zh-CN" w:bidi="ar-SA"/>
              </w:rPr>
              <w:t>57</w:t>
            </w:r>
            <w:r>
              <w:rPr>
                <w:rFonts w:hint="eastAsia" w:ascii="宋体" w:hAnsi="宋体" w:eastAsia="宋体" w:cs="宋体"/>
                <w:color w:val="auto"/>
                <w:kern w:val="2"/>
                <w:sz w:val="20"/>
                <w:szCs w:val="20"/>
                <w:highlight w:val="none"/>
                <w:lang w:val="en-US" w:eastAsia="zh-CN" w:bidi="ar-SA"/>
              </w:rPr>
              <w:t>条，投标产品非重要技术参数完全满足招标文件要求的得</w:t>
            </w:r>
            <w:r>
              <w:rPr>
                <w:rFonts w:hint="eastAsia" w:ascii="宋体" w:hAnsi="宋体" w:cs="宋体"/>
                <w:color w:val="auto"/>
                <w:kern w:val="2"/>
                <w:sz w:val="20"/>
                <w:szCs w:val="20"/>
                <w:highlight w:val="none"/>
                <w:lang w:val="en-US" w:eastAsia="zh-CN" w:bidi="ar-SA"/>
              </w:rPr>
              <w:t>15</w:t>
            </w:r>
            <w:r>
              <w:rPr>
                <w:rFonts w:hint="eastAsia" w:ascii="宋体" w:hAnsi="宋体" w:eastAsia="宋体" w:cs="宋体"/>
                <w:color w:val="auto"/>
                <w:kern w:val="2"/>
                <w:sz w:val="20"/>
                <w:szCs w:val="20"/>
                <w:highlight w:val="none"/>
                <w:lang w:val="en-US" w:eastAsia="zh-CN" w:bidi="ar-SA"/>
              </w:rPr>
              <w:t>分，投标人所投产品中每出现1项非重要技术参数不符合招标要求的扣</w:t>
            </w:r>
            <w:r>
              <w:rPr>
                <w:rFonts w:hint="eastAsia" w:ascii="宋体" w:hAnsi="宋体" w:cs="宋体"/>
                <w:color w:val="auto"/>
                <w:kern w:val="2"/>
                <w:sz w:val="20"/>
                <w:szCs w:val="20"/>
                <w:highlight w:val="none"/>
                <w:lang w:val="en-US" w:eastAsia="zh-CN" w:bidi="ar-SA"/>
              </w:rPr>
              <w:t>0.2631</w:t>
            </w:r>
            <w:r>
              <w:rPr>
                <w:rFonts w:hint="eastAsia" w:ascii="宋体" w:hAnsi="宋体" w:eastAsia="宋体" w:cs="宋体"/>
                <w:color w:val="auto"/>
                <w:kern w:val="2"/>
                <w:sz w:val="20"/>
                <w:szCs w:val="20"/>
                <w:highlight w:val="none"/>
                <w:lang w:val="en-US" w:eastAsia="zh-CN" w:bidi="ar-SA"/>
              </w:rPr>
              <w:t>分，扣完为止。</w:t>
            </w:r>
            <w:bookmarkEnd w:id="399"/>
            <w:bookmarkEnd w:id="400"/>
            <w:bookmarkEnd w:id="401"/>
            <w:bookmarkEnd w:id="402"/>
            <w:bookmarkEnd w:id="403"/>
            <w:bookmarkEnd w:id="404"/>
            <w:bookmarkEnd w:id="405"/>
          </w:p>
          <w:p w14:paraId="37E5754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5" w:leftChars="0" w:hanging="5" w:firstLineChars="0"/>
              <w:textAlignment w:val="auto"/>
              <w:outlineLvl w:val="9"/>
              <w:rPr>
                <w:rFonts w:hint="eastAsia" w:ascii="宋体" w:hAnsi="宋体" w:eastAsia="宋体" w:cs="宋体"/>
                <w:color w:val="auto"/>
                <w:kern w:val="2"/>
                <w:sz w:val="20"/>
                <w:szCs w:val="20"/>
                <w:highlight w:val="none"/>
                <w:lang w:val="en-US" w:eastAsia="zh-CN" w:bidi="ar-SA"/>
              </w:rPr>
            </w:pPr>
            <w:bookmarkStart w:id="406" w:name="_Toc3198"/>
            <w:bookmarkStart w:id="407" w:name="_Toc18502"/>
            <w:bookmarkStart w:id="408" w:name="_Toc6626"/>
            <w:bookmarkStart w:id="409" w:name="_Toc15381"/>
            <w:bookmarkStart w:id="410" w:name="_Toc15369"/>
            <w:bookmarkStart w:id="411" w:name="_Toc16813"/>
            <w:bookmarkStart w:id="412" w:name="_Toc20280"/>
            <w:r>
              <w:rPr>
                <w:rFonts w:hint="eastAsia" w:ascii="宋体" w:hAnsi="宋体" w:eastAsia="宋体" w:cs="宋体"/>
                <w:color w:val="auto"/>
                <w:kern w:val="2"/>
                <w:sz w:val="20"/>
                <w:szCs w:val="20"/>
                <w:highlight w:val="none"/>
                <w:lang w:val="en-US" w:eastAsia="zh-CN" w:bidi="ar-SA"/>
              </w:rPr>
              <w:t>注：（1）</w:t>
            </w:r>
            <w:bookmarkEnd w:id="406"/>
            <w:bookmarkEnd w:id="407"/>
            <w:bookmarkEnd w:id="408"/>
            <w:bookmarkEnd w:id="409"/>
            <w:bookmarkEnd w:id="410"/>
            <w:bookmarkEnd w:id="411"/>
            <w:bookmarkEnd w:id="412"/>
            <w:r>
              <w:rPr>
                <w:rFonts w:hint="eastAsia" w:ascii="宋体" w:hAnsi="宋体" w:eastAsia="宋体" w:cs="宋体"/>
                <w:color w:val="auto"/>
                <w:kern w:val="2"/>
                <w:sz w:val="20"/>
                <w:szCs w:val="20"/>
                <w:highlight w:val="none"/>
                <w:lang w:val="en-US" w:eastAsia="zh-CN" w:bidi="ar-SA"/>
              </w:rPr>
              <w:t>第</w:t>
            </w:r>
            <w:r>
              <w:rPr>
                <w:rFonts w:hint="eastAsia" w:ascii="宋体" w:hAnsi="宋体" w:cs="宋体"/>
                <w:color w:val="auto"/>
                <w:kern w:val="2"/>
                <w:sz w:val="20"/>
                <w:szCs w:val="20"/>
                <w:highlight w:val="none"/>
                <w:lang w:val="en-US" w:eastAsia="zh-CN" w:bidi="ar-SA"/>
              </w:rPr>
              <w:t>六</w:t>
            </w:r>
            <w:r>
              <w:rPr>
                <w:rFonts w:hint="eastAsia" w:ascii="宋体" w:hAnsi="宋体" w:eastAsia="宋体" w:cs="宋体"/>
                <w:color w:val="auto"/>
                <w:kern w:val="2"/>
                <w:sz w:val="20"/>
                <w:szCs w:val="20"/>
                <w:highlight w:val="none"/>
                <w:lang w:val="en-US" w:eastAsia="zh-CN" w:bidi="ar-SA"/>
              </w:rPr>
              <w:t>章“采购需求”中，标注“▲”的技术参数为重要技术参数，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p>
          <w:p w14:paraId="1D78044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5" w:leftChars="0" w:hanging="5" w:firstLineChars="0"/>
              <w:textAlignment w:val="auto"/>
              <w:outlineLvl w:val="9"/>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w:t>
            </w:r>
            <w:r>
              <w:rPr>
                <w:rFonts w:hint="eastAsia" w:ascii="宋体" w:hAnsi="宋体" w:eastAsia="宋体" w:cs="宋体"/>
                <w:color w:val="auto"/>
                <w:kern w:val="2"/>
                <w:sz w:val="20"/>
                <w:szCs w:val="20"/>
                <w:highlight w:val="none"/>
                <w:lang w:val="en-US" w:eastAsia="zh-CN" w:bidi="ar-SA"/>
              </w:rPr>
              <w:t>第</w:t>
            </w:r>
            <w:r>
              <w:rPr>
                <w:rFonts w:hint="eastAsia" w:ascii="宋体" w:hAnsi="宋体" w:cs="宋体"/>
                <w:color w:val="auto"/>
                <w:kern w:val="2"/>
                <w:sz w:val="20"/>
                <w:szCs w:val="20"/>
                <w:highlight w:val="none"/>
                <w:lang w:val="en-US" w:eastAsia="zh-CN" w:bidi="ar-SA"/>
              </w:rPr>
              <w:t>六</w:t>
            </w:r>
            <w:r>
              <w:rPr>
                <w:rFonts w:hint="eastAsia" w:ascii="宋体" w:hAnsi="宋体" w:eastAsia="宋体" w:cs="宋体"/>
                <w:color w:val="auto"/>
                <w:kern w:val="2"/>
                <w:sz w:val="20"/>
                <w:szCs w:val="20"/>
                <w:highlight w:val="none"/>
                <w:lang w:val="en-US" w:eastAsia="zh-CN" w:bidi="ar-SA"/>
              </w:rPr>
              <w:t>章“采购需求”中，未标“▲”的为一般技术参数：</w:t>
            </w:r>
          </w:p>
          <w:p w14:paraId="4820C3A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5" w:leftChars="0" w:hanging="5" w:firstLineChars="0"/>
              <w:textAlignment w:val="auto"/>
              <w:outlineLvl w:val="9"/>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①按采购文件要求填写技术规格偏离表。</w:t>
            </w:r>
          </w:p>
          <w:p w14:paraId="4CD2D63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5" w:leftChars="0" w:hanging="5" w:firstLineChars="0"/>
              <w:textAlignment w:val="auto"/>
              <w:outlineLvl w:val="9"/>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②采购文件技术参数中明确要求提供技术支持资料的还须按要求提供，出现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6FBAB7D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5" w:leftChars="0" w:hanging="5" w:firstLineChars="0"/>
              <w:textAlignment w:val="auto"/>
              <w:outlineLvl w:val="9"/>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③采购文件技术参数中未明确要求提供技术支持资料的，但供应商自行提供技术支持资料，出现技术支持资料内容与技术规格偏离表应答不一致，以技术支持资料显示内容为准；出现技术支持资料字迹不清、无法辨认导致无法评判的或提供的技术支持资料不能反映该参数要求的，以技术规格偏离表为准。</w:t>
            </w:r>
          </w:p>
          <w:p w14:paraId="257DBE8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ind w:left="5" w:leftChars="0" w:hanging="5" w:firstLineChars="0"/>
              <w:textAlignment w:val="auto"/>
              <w:outlineLvl w:val="9"/>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（3）</w:t>
            </w:r>
            <w:r>
              <w:rPr>
                <w:rFonts w:hint="eastAsia" w:ascii="宋体" w:hAnsi="宋体" w:eastAsia="宋体" w:cs="宋体"/>
                <w:color w:val="auto"/>
                <w:kern w:val="2"/>
                <w:sz w:val="20"/>
                <w:szCs w:val="20"/>
                <w:highlight w:val="none"/>
                <w:lang w:val="en-US" w:eastAsia="zh-CN" w:bidi="ar-SA"/>
              </w:rPr>
              <w:t>技术规格偏离表“偏离情况”列，应据实填写“无偏离”、“正偏离”或“负偏离”，未填写的视为负偏离。</w:t>
            </w:r>
          </w:p>
        </w:tc>
      </w:tr>
      <w:tr w14:paraId="491A9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90" w:hRule="atLeast"/>
        </w:trPr>
        <w:tc>
          <w:tcPr>
            <w:tcW w:w="1218" w:type="dxa"/>
            <w:vMerge w:val="continue"/>
            <w:vAlign w:val="center"/>
          </w:tcPr>
          <w:p w14:paraId="4B465C52">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rPr>
            </w:pPr>
          </w:p>
        </w:tc>
        <w:tc>
          <w:tcPr>
            <w:tcW w:w="1128" w:type="dxa"/>
            <w:vAlign w:val="center"/>
          </w:tcPr>
          <w:p w14:paraId="202ECBDA">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pacing w:val="0"/>
                <w:kern w:val="2"/>
                <w:sz w:val="20"/>
                <w:szCs w:val="20"/>
                <w:highlight w:val="none"/>
                <w:lang w:val="en-US" w:eastAsia="zh-CN" w:bidi="ar-SA"/>
              </w:rPr>
            </w:pPr>
            <w:bookmarkStart w:id="413" w:name="_Toc25532"/>
            <w:bookmarkStart w:id="414" w:name="_Toc32449"/>
            <w:bookmarkStart w:id="415" w:name="_Toc16284"/>
            <w:bookmarkStart w:id="416" w:name="_Toc681"/>
            <w:bookmarkStart w:id="417" w:name="_Toc4724"/>
            <w:bookmarkStart w:id="418" w:name="_Toc23237"/>
            <w:bookmarkStart w:id="419" w:name="_Toc18495"/>
            <w:r>
              <w:rPr>
                <w:rFonts w:hint="eastAsia" w:ascii="宋体" w:hAnsi="宋体" w:cs="宋体"/>
                <w:b/>
                <w:bCs/>
                <w:kern w:val="2"/>
                <w:sz w:val="21"/>
                <w:szCs w:val="21"/>
              </w:rPr>
              <w:t>供货及安装方案（满分</w:t>
            </w:r>
            <w:r>
              <w:rPr>
                <w:rFonts w:hint="eastAsia" w:ascii="宋体" w:hAnsi="宋体" w:cs="宋体"/>
                <w:b/>
                <w:bCs/>
                <w:kern w:val="2"/>
                <w:sz w:val="21"/>
                <w:szCs w:val="21"/>
                <w:lang w:val="en-US" w:eastAsia="zh-CN"/>
              </w:rPr>
              <w:t>10</w:t>
            </w:r>
            <w:r>
              <w:rPr>
                <w:rFonts w:hint="eastAsia" w:ascii="宋体" w:hAnsi="宋体" w:cs="宋体"/>
                <w:b/>
                <w:bCs/>
                <w:kern w:val="2"/>
                <w:sz w:val="21"/>
                <w:szCs w:val="21"/>
              </w:rPr>
              <w:t>分）</w:t>
            </w:r>
            <w:bookmarkEnd w:id="413"/>
            <w:bookmarkEnd w:id="414"/>
            <w:bookmarkEnd w:id="415"/>
            <w:bookmarkEnd w:id="416"/>
            <w:bookmarkEnd w:id="417"/>
            <w:bookmarkEnd w:id="418"/>
            <w:bookmarkEnd w:id="419"/>
          </w:p>
        </w:tc>
        <w:tc>
          <w:tcPr>
            <w:tcW w:w="7407" w:type="dxa"/>
            <w:vAlign w:val="top"/>
          </w:tcPr>
          <w:p w14:paraId="6CD6F193">
            <w:pPr>
              <w:keepNext w:val="0"/>
              <w:keepLines w:val="0"/>
              <w:pageBreakBefore w:val="0"/>
              <w:widowControl w:val="0"/>
              <w:shd w:val="clear" w:color="auto" w:fill="auto"/>
              <w:kinsoku/>
              <w:wordWrap/>
              <w:overflowPunct/>
              <w:topLinePunct w:val="0"/>
              <w:bidi w:val="0"/>
              <w:snapToGrid/>
              <w:spacing w:beforeAutospacing="0" w:afterAutospacing="0" w:line="400" w:lineRule="exact"/>
              <w:jc w:val="both"/>
              <w:textAlignment w:val="auto"/>
              <w:outlineLvl w:val="9"/>
              <w:rPr>
                <w:rFonts w:hint="eastAsia" w:ascii="宋体" w:hAnsi="宋体" w:eastAsia="宋体" w:cs="宋体"/>
                <w:color w:val="auto"/>
                <w:spacing w:val="0"/>
                <w:kern w:val="2"/>
                <w:sz w:val="20"/>
                <w:szCs w:val="20"/>
                <w:highlight w:val="none"/>
                <w:lang w:val="en-US" w:eastAsia="zh-CN" w:bidi="ar-SA"/>
              </w:rPr>
            </w:pPr>
            <w:bookmarkStart w:id="420" w:name="_Toc2269"/>
            <w:bookmarkStart w:id="421" w:name="_Toc9407"/>
            <w:bookmarkStart w:id="422" w:name="_Toc6894"/>
            <w:bookmarkStart w:id="423" w:name="_Toc27363"/>
            <w:bookmarkStart w:id="424" w:name="_Toc27979"/>
            <w:bookmarkStart w:id="425" w:name="_Toc3839"/>
            <w:bookmarkStart w:id="426" w:name="_Toc6589"/>
            <w:r>
              <w:rPr>
                <w:rFonts w:hint="eastAsia" w:ascii="宋体" w:hAnsi="宋体" w:eastAsia="宋体" w:cs="宋体"/>
                <w:color w:val="auto"/>
                <w:spacing w:val="0"/>
                <w:kern w:val="2"/>
                <w:sz w:val="20"/>
                <w:szCs w:val="20"/>
                <w:highlight w:val="none"/>
                <w:lang w:val="en-US" w:eastAsia="zh-CN" w:bidi="ar-SA"/>
              </w:rPr>
              <w:t>供货及安装方案包括①供货能力及渠道；②供货进度计划铺排；③设备进场安装调试部署；④设备验收组织方案；⑤突发事件应急预案：</w:t>
            </w:r>
            <w:bookmarkEnd w:id="420"/>
            <w:bookmarkEnd w:id="421"/>
            <w:bookmarkEnd w:id="422"/>
            <w:bookmarkEnd w:id="423"/>
            <w:bookmarkEnd w:id="424"/>
            <w:bookmarkEnd w:id="425"/>
            <w:bookmarkEnd w:id="426"/>
          </w:p>
          <w:p w14:paraId="6185083D">
            <w:pPr>
              <w:keepNext w:val="0"/>
              <w:keepLines w:val="0"/>
              <w:pageBreakBefore w:val="0"/>
              <w:widowControl w:val="0"/>
              <w:shd w:val="clear" w:color="auto" w:fill="auto"/>
              <w:kinsoku/>
              <w:wordWrap/>
              <w:overflowPunct/>
              <w:topLinePunct w:val="0"/>
              <w:bidi w:val="0"/>
              <w:snapToGrid/>
              <w:spacing w:beforeAutospacing="0" w:afterAutospacing="0" w:line="400" w:lineRule="exact"/>
              <w:jc w:val="both"/>
              <w:textAlignment w:val="auto"/>
              <w:outlineLvl w:val="9"/>
              <w:rPr>
                <w:rFonts w:hint="eastAsia" w:ascii="宋体" w:hAnsi="宋体" w:eastAsia="宋体" w:cs="宋体"/>
                <w:color w:val="auto"/>
                <w:spacing w:val="0"/>
                <w:kern w:val="2"/>
                <w:sz w:val="20"/>
                <w:szCs w:val="20"/>
                <w:highlight w:val="none"/>
                <w:lang w:val="en-US" w:eastAsia="zh-CN" w:bidi="ar-SA"/>
              </w:rPr>
            </w:pPr>
            <w:bookmarkStart w:id="427" w:name="_Toc12155"/>
            <w:bookmarkStart w:id="428" w:name="_Toc6465"/>
            <w:bookmarkStart w:id="429" w:name="_Toc29657"/>
            <w:bookmarkStart w:id="430" w:name="_Toc14920"/>
            <w:bookmarkStart w:id="431" w:name="_Toc26764"/>
            <w:bookmarkStart w:id="432" w:name="_Toc10441"/>
            <w:bookmarkStart w:id="433" w:name="_Toc13037"/>
            <w:r>
              <w:rPr>
                <w:rFonts w:hint="eastAsia" w:ascii="宋体" w:hAnsi="宋体" w:eastAsia="宋体" w:cs="宋体"/>
                <w:color w:val="auto"/>
                <w:spacing w:val="0"/>
                <w:kern w:val="2"/>
                <w:sz w:val="20"/>
                <w:szCs w:val="20"/>
                <w:highlight w:val="none"/>
                <w:lang w:val="en-US" w:eastAsia="zh-CN" w:bidi="ar-SA"/>
              </w:rPr>
              <w:t>每提供一项方案内容阐述全面详细、科学合理、针对性强的得</w:t>
            </w:r>
            <w:r>
              <w:rPr>
                <w:rFonts w:hint="eastAsia" w:ascii="宋体" w:hAnsi="宋体" w:cs="宋体"/>
                <w:color w:val="auto"/>
                <w:spacing w:val="0"/>
                <w:kern w:val="2"/>
                <w:sz w:val="20"/>
                <w:szCs w:val="20"/>
                <w:highlight w:val="none"/>
                <w:lang w:val="en-US" w:eastAsia="zh-CN" w:bidi="ar-SA"/>
              </w:rPr>
              <w:t>2</w:t>
            </w:r>
            <w:r>
              <w:rPr>
                <w:rFonts w:hint="eastAsia" w:ascii="宋体" w:hAnsi="宋体" w:eastAsia="宋体" w:cs="宋体"/>
                <w:color w:val="auto"/>
                <w:spacing w:val="0"/>
                <w:kern w:val="2"/>
                <w:sz w:val="20"/>
                <w:szCs w:val="20"/>
                <w:highlight w:val="none"/>
                <w:lang w:val="en-US" w:eastAsia="zh-CN" w:bidi="ar-SA"/>
              </w:rPr>
              <w:t>分；每提供一项方案内容阐述较全面、较科学、针对性较强的得</w:t>
            </w:r>
            <w:r>
              <w:rPr>
                <w:rFonts w:hint="eastAsia" w:ascii="宋体" w:hAnsi="宋体" w:cs="宋体"/>
                <w:color w:val="auto"/>
                <w:spacing w:val="0"/>
                <w:kern w:val="2"/>
                <w:sz w:val="20"/>
                <w:szCs w:val="20"/>
                <w:highlight w:val="none"/>
                <w:lang w:val="en-US" w:eastAsia="zh-CN" w:bidi="ar-SA"/>
              </w:rPr>
              <w:t>1</w:t>
            </w:r>
            <w:r>
              <w:rPr>
                <w:rFonts w:hint="eastAsia" w:ascii="宋体" w:hAnsi="宋体" w:eastAsia="宋体" w:cs="宋体"/>
                <w:color w:val="auto"/>
                <w:spacing w:val="0"/>
                <w:kern w:val="2"/>
                <w:sz w:val="20"/>
                <w:szCs w:val="20"/>
                <w:highlight w:val="none"/>
                <w:lang w:val="en-US" w:eastAsia="zh-CN" w:bidi="ar-SA"/>
              </w:rPr>
              <w:t>分；每提供一项方案内容描述粗略宽泛、缺乏科学合理性、针对性欠缺的</w:t>
            </w:r>
            <w:r>
              <w:rPr>
                <w:rFonts w:hint="eastAsia" w:ascii="宋体" w:hAnsi="宋体" w:cs="宋体"/>
                <w:color w:val="auto"/>
                <w:spacing w:val="0"/>
                <w:kern w:val="2"/>
                <w:sz w:val="20"/>
                <w:szCs w:val="20"/>
                <w:highlight w:val="none"/>
                <w:lang w:val="en-US" w:eastAsia="zh-CN" w:bidi="ar-SA"/>
              </w:rPr>
              <w:t>得0.5</w:t>
            </w:r>
            <w:r>
              <w:rPr>
                <w:rFonts w:hint="eastAsia" w:ascii="宋体" w:hAnsi="宋体" w:eastAsia="宋体" w:cs="宋体"/>
                <w:color w:val="auto"/>
                <w:spacing w:val="0"/>
                <w:kern w:val="2"/>
                <w:sz w:val="20"/>
                <w:szCs w:val="20"/>
                <w:highlight w:val="none"/>
                <w:lang w:val="en-US" w:eastAsia="zh-CN" w:bidi="ar-SA"/>
              </w:rPr>
              <w:t>分；每缺少一项方案内容扣</w:t>
            </w:r>
            <w:r>
              <w:rPr>
                <w:rFonts w:hint="eastAsia" w:ascii="宋体" w:hAnsi="宋体" w:cs="宋体"/>
                <w:color w:val="auto"/>
                <w:spacing w:val="0"/>
                <w:kern w:val="2"/>
                <w:sz w:val="20"/>
                <w:szCs w:val="20"/>
                <w:highlight w:val="none"/>
                <w:lang w:val="en-US" w:eastAsia="zh-CN" w:bidi="ar-SA"/>
              </w:rPr>
              <w:t>2</w:t>
            </w:r>
            <w:r>
              <w:rPr>
                <w:rFonts w:hint="eastAsia" w:ascii="宋体" w:hAnsi="宋体" w:eastAsia="宋体" w:cs="宋体"/>
                <w:color w:val="auto"/>
                <w:spacing w:val="0"/>
                <w:kern w:val="2"/>
                <w:sz w:val="20"/>
                <w:szCs w:val="20"/>
                <w:highlight w:val="none"/>
                <w:lang w:val="en-US" w:eastAsia="zh-CN" w:bidi="ar-SA"/>
              </w:rPr>
              <w:t>分。</w:t>
            </w:r>
            <w:bookmarkEnd w:id="427"/>
            <w:bookmarkEnd w:id="428"/>
            <w:bookmarkEnd w:id="429"/>
            <w:bookmarkEnd w:id="430"/>
            <w:bookmarkEnd w:id="431"/>
            <w:bookmarkEnd w:id="432"/>
            <w:bookmarkEnd w:id="433"/>
          </w:p>
        </w:tc>
      </w:tr>
      <w:tr w14:paraId="30FCD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1296" w:hRule="atLeast"/>
        </w:trPr>
        <w:tc>
          <w:tcPr>
            <w:tcW w:w="1218" w:type="dxa"/>
            <w:vMerge w:val="continue"/>
            <w:vAlign w:val="center"/>
          </w:tcPr>
          <w:p w14:paraId="65063DF7">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rPr>
            </w:pPr>
          </w:p>
        </w:tc>
        <w:tc>
          <w:tcPr>
            <w:tcW w:w="1128" w:type="dxa"/>
            <w:vAlign w:val="center"/>
          </w:tcPr>
          <w:p w14:paraId="68949601">
            <w:pPr>
              <w:keepNext w:val="0"/>
              <w:keepLines w:val="0"/>
              <w:pageBreakBefore w:val="0"/>
              <w:widowControl w:val="0"/>
              <w:kinsoku/>
              <w:wordWrap/>
              <w:overflowPunct/>
              <w:topLinePunct w:val="0"/>
              <w:bidi w:val="0"/>
              <w:snapToGrid/>
              <w:spacing w:beforeAutospacing="0" w:afterAutospacing="0" w:line="400" w:lineRule="exact"/>
              <w:jc w:val="center"/>
              <w:outlineLvl w:val="9"/>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kern w:val="0"/>
                <w:sz w:val="20"/>
                <w:szCs w:val="20"/>
                <w:highlight w:val="none"/>
                <w:lang w:val="en-US" w:eastAsia="zh-CN"/>
              </w:rPr>
              <w:t>设备</w:t>
            </w:r>
            <w:r>
              <w:rPr>
                <w:rFonts w:hint="eastAsia" w:ascii="宋体" w:hAnsi="宋体" w:eastAsia="宋体" w:cs="宋体"/>
                <w:b/>
                <w:bCs/>
                <w:color w:val="auto"/>
                <w:kern w:val="0"/>
                <w:sz w:val="20"/>
                <w:szCs w:val="20"/>
                <w:highlight w:val="none"/>
              </w:rPr>
              <w:t>质量承诺及保证措施（满分</w:t>
            </w:r>
            <w:r>
              <w:rPr>
                <w:rFonts w:hint="eastAsia" w:ascii="宋体" w:hAnsi="宋体" w:cs="宋体"/>
                <w:b/>
                <w:bCs/>
                <w:color w:val="auto"/>
                <w:kern w:val="0"/>
                <w:sz w:val="20"/>
                <w:szCs w:val="20"/>
                <w:highlight w:val="none"/>
                <w:lang w:val="en-US" w:eastAsia="zh-CN"/>
              </w:rPr>
              <w:t>8</w:t>
            </w:r>
            <w:r>
              <w:rPr>
                <w:rFonts w:hint="eastAsia" w:ascii="宋体" w:hAnsi="宋体" w:eastAsia="宋体" w:cs="宋体"/>
                <w:b/>
                <w:bCs/>
                <w:color w:val="auto"/>
                <w:kern w:val="0"/>
                <w:sz w:val="20"/>
                <w:szCs w:val="20"/>
                <w:highlight w:val="none"/>
              </w:rPr>
              <w:t>分）</w:t>
            </w:r>
          </w:p>
        </w:tc>
        <w:tc>
          <w:tcPr>
            <w:tcW w:w="7407" w:type="dxa"/>
            <w:vAlign w:val="center"/>
          </w:tcPr>
          <w:p w14:paraId="6E6EE48D">
            <w:pPr>
              <w:keepNext w:val="0"/>
              <w:keepLines w:val="0"/>
              <w:pageBreakBefore w:val="0"/>
              <w:widowControl w:val="0"/>
              <w:shd w:val="clear" w:color="auto" w:fill="auto"/>
              <w:kinsoku/>
              <w:wordWrap/>
              <w:overflowPunct/>
              <w:topLinePunct w:val="0"/>
              <w:bidi w:val="0"/>
              <w:snapToGrid/>
              <w:spacing w:beforeAutospacing="0" w:afterAutospacing="0" w:line="400" w:lineRule="exact"/>
              <w:jc w:val="both"/>
              <w:textAlignment w:val="auto"/>
              <w:outlineLvl w:val="9"/>
              <w:rPr>
                <w:rFonts w:hint="eastAsia" w:ascii="宋体" w:hAnsi="宋体" w:eastAsia="宋体" w:cs="宋体"/>
                <w:color w:val="auto"/>
                <w:spacing w:val="0"/>
                <w:kern w:val="2"/>
                <w:sz w:val="20"/>
                <w:szCs w:val="20"/>
                <w:highlight w:val="none"/>
                <w:lang w:val="en-US" w:eastAsia="zh-CN" w:bidi="ar-SA"/>
              </w:rPr>
            </w:pPr>
            <w:bookmarkStart w:id="434" w:name="_Toc23051"/>
            <w:bookmarkStart w:id="435" w:name="_Toc16738"/>
            <w:bookmarkStart w:id="436" w:name="_Toc16038"/>
            <w:bookmarkStart w:id="437" w:name="_Toc15625"/>
            <w:bookmarkStart w:id="438" w:name="_Toc7899"/>
            <w:bookmarkStart w:id="439" w:name="_Toc20263"/>
            <w:bookmarkStart w:id="440" w:name="_Toc25466"/>
            <w:r>
              <w:rPr>
                <w:rFonts w:hint="eastAsia" w:ascii="宋体" w:hAnsi="宋体" w:eastAsia="宋体" w:cs="宋体"/>
                <w:color w:val="auto"/>
                <w:spacing w:val="0"/>
                <w:kern w:val="2"/>
                <w:sz w:val="20"/>
                <w:szCs w:val="20"/>
                <w:highlight w:val="none"/>
                <w:lang w:val="en-US" w:eastAsia="zh-CN" w:bidi="ar-SA"/>
              </w:rPr>
              <w:t>1.设备质量承诺内容全面具体且针对性强的得</w:t>
            </w:r>
            <w:r>
              <w:rPr>
                <w:rFonts w:hint="eastAsia" w:ascii="宋体" w:hAnsi="宋体" w:cs="宋体"/>
                <w:color w:val="auto"/>
                <w:spacing w:val="0"/>
                <w:kern w:val="2"/>
                <w:sz w:val="20"/>
                <w:szCs w:val="20"/>
                <w:highlight w:val="none"/>
                <w:lang w:val="en-US" w:eastAsia="zh-CN" w:bidi="ar-SA"/>
              </w:rPr>
              <w:t>2</w:t>
            </w:r>
            <w:r>
              <w:rPr>
                <w:rFonts w:hint="eastAsia" w:ascii="宋体" w:hAnsi="宋体" w:eastAsia="宋体" w:cs="宋体"/>
                <w:color w:val="auto"/>
                <w:spacing w:val="0"/>
                <w:kern w:val="2"/>
                <w:sz w:val="20"/>
                <w:szCs w:val="20"/>
                <w:highlight w:val="none"/>
                <w:lang w:val="en-US" w:eastAsia="zh-CN" w:bidi="ar-SA"/>
              </w:rPr>
              <w:t>分；内容全面但针对性欠缺的得</w:t>
            </w:r>
            <w:r>
              <w:rPr>
                <w:rFonts w:hint="eastAsia" w:ascii="宋体" w:hAnsi="宋体" w:cs="宋体"/>
                <w:color w:val="auto"/>
                <w:spacing w:val="0"/>
                <w:kern w:val="2"/>
                <w:sz w:val="20"/>
                <w:szCs w:val="20"/>
                <w:highlight w:val="none"/>
                <w:lang w:val="en-US" w:eastAsia="zh-CN" w:bidi="ar-SA"/>
              </w:rPr>
              <w:t>1</w:t>
            </w:r>
            <w:r>
              <w:rPr>
                <w:rFonts w:hint="eastAsia" w:ascii="宋体" w:hAnsi="宋体" w:eastAsia="宋体" w:cs="宋体"/>
                <w:color w:val="auto"/>
                <w:spacing w:val="0"/>
                <w:kern w:val="2"/>
                <w:sz w:val="20"/>
                <w:szCs w:val="20"/>
                <w:highlight w:val="none"/>
                <w:lang w:val="en-US" w:eastAsia="zh-CN" w:bidi="ar-SA"/>
              </w:rPr>
              <w:t>分；内容不全面、无针对性的得</w:t>
            </w:r>
            <w:r>
              <w:rPr>
                <w:rFonts w:hint="eastAsia" w:ascii="宋体" w:hAnsi="宋体" w:cs="宋体"/>
                <w:color w:val="auto"/>
                <w:spacing w:val="0"/>
                <w:kern w:val="2"/>
                <w:sz w:val="20"/>
                <w:szCs w:val="20"/>
                <w:highlight w:val="none"/>
                <w:lang w:val="en-US" w:eastAsia="zh-CN" w:bidi="ar-SA"/>
              </w:rPr>
              <w:t>0.5</w:t>
            </w:r>
            <w:r>
              <w:rPr>
                <w:rFonts w:hint="eastAsia" w:ascii="宋体" w:hAnsi="宋体" w:eastAsia="宋体" w:cs="宋体"/>
                <w:color w:val="auto"/>
                <w:spacing w:val="0"/>
                <w:kern w:val="2"/>
                <w:sz w:val="20"/>
                <w:szCs w:val="20"/>
                <w:highlight w:val="none"/>
                <w:lang w:val="en-US" w:eastAsia="zh-CN" w:bidi="ar-SA"/>
              </w:rPr>
              <w:t>分；无质量承诺内容的得0分。</w:t>
            </w:r>
            <w:bookmarkEnd w:id="434"/>
            <w:bookmarkEnd w:id="435"/>
            <w:bookmarkEnd w:id="436"/>
            <w:bookmarkEnd w:id="437"/>
            <w:bookmarkEnd w:id="438"/>
            <w:bookmarkEnd w:id="439"/>
            <w:bookmarkEnd w:id="440"/>
          </w:p>
          <w:p w14:paraId="200E1A21">
            <w:pPr>
              <w:keepNext w:val="0"/>
              <w:keepLines w:val="0"/>
              <w:pageBreakBefore w:val="0"/>
              <w:widowControl w:val="0"/>
              <w:shd w:val="clear" w:color="auto" w:fill="auto"/>
              <w:kinsoku/>
              <w:wordWrap/>
              <w:overflowPunct/>
              <w:topLinePunct w:val="0"/>
              <w:bidi w:val="0"/>
              <w:snapToGrid/>
              <w:spacing w:beforeAutospacing="0" w:afterAutospacing="0" w:line="400" w:lineRule="exact"/>
              <w:jc w:val="both"/>
              <w:textAlignment w:val="auto"/>
              <w:outlineLvl w:val="9"/>
              <w:rPr>
                <w:rFonts w:hint="eastAsia" w:ascii="宋体" w:hAnsi="宋体" w:eastAsia="宋体" w:cs="宋体"/>
                <w:color w:val="auto"/>
                <w:spacing w:val="0"/>
                <w:kern w:val="2"/>
                <w:sz w:val="20"/>
                <w:szCs w:val="20"/>
                <w:highlight w:val="none"/>
                <w:lang w:val="en-US" w:eastAsia="zh-CN" w:bidi="ar-SA"/>
              </w:rPr>
            </w:pPr>
            <w:bookmarkStart w:id="441" w:name="_Toc28971"/>
            <w:bookmarkStart w:id="442" w:name="_Toc21965"/>
            <w:bookmarkStart w:id="443" w:name="_Toc11498"/>
            <w:bookmarkStart w:id="444" w:name="_Toc26766"/>
            <w:bookmarkStart w:id="445" w:name="_Toc16710"/>
            <w:bookmarkStart w:id="446" w:name="_Toc27030"/>
            <w:r>
              <w:rPr>
                <w:rFonts w:hint="eastAsia" w:ascii="宋体" w:hAnsi="宋体" w:eastAsia="宋体" w:cs="宋体"/>
                <w:color w:val="auto"/>
                <w:spacing w:val="0"/>
                <w:kern w:val="2"/>
                <w:sz w:val="20"/>
                <w:szCs w:val="20"/>
                <w:highlight w:val="none"/>
                <w:lang w:val="en-US" w:eastAsia="zh-CN" w:bidi="ar-SA"/>
              </w:rPr>
              <w:t>2.保证措施内容详细具体，针对性强的得</w:t>
            </w:r>
            <w:r>
              <w:rPr>
                <w:rFonts w:hint="eastAsia" w:ascii="宋体" w:hAnsi="宋体" w:cs="宋体"/>
                <w:color w:val="auto"/>
                <w:spacing w:val="0"/>
                <w:kern w:val="2"/>
                <w:sz w:val="20"/>
                <w:szCs w:val="20"/>
                <w:highlight w:val="none"/>
                <w:lang w:val="en-US" w:eastAsia="zh-CN" w:bidi="ar-SA"/>
              </w:rPr>
              <w:t>2</w:t>
            </w:r>
            <w:r>
              <w:rPr>
                <w:rFonts w:hint="eastAsia" w:ascii="宋体" w:hAnsi="宋体" w:eastAsia="宋体" w:cs="宋体"/>
                <w:color w:val="auto"/>
                <w:spacing w:val="0"/>
                <w:kern w:val="2"/>
                <w:sz w:val="20"/>
                <w:szCs w:val="20"/>
                <w:highlight w:val="none"/>
                <w:lang w:val="en-US" w:eastAsia="zh-CN" w:bidi="ar-SA"/>
              </w:rPr>
              <w:t>分；保证措施内容详细但不具体，针对性欠缺的得</w:t>
            </w:r>
            <w:r>
              <w:rPr>
                <w:rFonts w:hint="eastAsia" w:ascii="宋体" w:hAnsi="宋体" w:cs="宋体"/>
                <w:color w:val="auto"/>
                <w:spacing w:val="0"/>
                <w:kern w:val="2"/>
                <w:sz w:val="20"/>
                <w:szCs w:val="20"/>
                <w:highlight w:val="none"/>
                <w:lang w:val="en-US" w:eastAsia="zh-CN" w:bidi="ar-SA"/>
              </w:rPr>
              <w:t>1</w:t>
            </w:r>
            <w:r>
              <w:rPr>
                <w:rFonts w:hint="eastAsia" w:ascii="宋体" w:hAnsi="宋体" w:eastAsia="宋体" w:cs="宋体"/>
                <w:color w:val="auto"/>
                <w:spacing w:val="0"/>
                <w:kern w:val="2"/>
                <w:sz w:val="20"/>
                <w:szCs w:val="20"/>
                <w:highlight w:val="none"/>
                <w:lang w:val="en-US" w:eastAsia="zh-CN" w:bidi="ar-SA"/>
              </w:rPr>
              <w:t>分；保证措施内容不详细不具体，没有针对性的得</w:t>
            </w:r>
            <w:r>
              <w:rPr>
                <w:rFonts w:hint="eastAsia" w:ascii="宋体" w:hAnsi="宋体" w:cs="宋体"/>
                <w:color w:val="auto"/>
                <w:spacing w:val="0"/>
                <w:kern w:val="2"/>
                <w:sz w:val="20"/>
                <w:szCs w:val="20"/>
                <w:highlight w:val="none"/>
                <w:lang w:val="en-US" w:eastAsia="zh-CN" w:bidi="ar-SA"/>
              </w:rPr>
              <w:t>0.5</w:t>
            </w:r>
            <w:r>
              <w:rPr>
                <w:rFonts w:hint="eastAsia" w:ascii="宋体" w:hAnsi="宋体" w:eastAsia="宋体" w:cs="宋体"/>
                <w:color w:val="auto"/>
                <w:spacing w:val="0"/>
                <w:kern w:val="2"/>
                <w:sz w:val="20"/>
                <w:szCs w:val="20"/>
                <w:highlight w:val="none"/>
                <w:lang w:val="en-US" w:eastAsia="zh-CN" w:bidi="ar-SA"/>
              </w:rPr>
              <w:t>分；无保证措施的得0分。</w:t>
            </w:r>
            <w:bookmarkEnd w:id="441"/>
            <w:bookmarkEnd w:id="442"/>
            <w:bookmarkEnd w:id="443"/>
            <w:bookmarkEnd w:id="444"/>
            <w:bookmarkEnd w:id="445"/>
            <w:bookmarkEnd w:id="446"/>
          </w:p>
          <w:p w14:paraId="58DE5613">
            <w:pPr>
              <w:keepNext w:val="0"/>
              <w:keepLines w:val="0"/>
              <w:pageBreakBefore w:val="0"/>
              <w:widowControl w:val="0"/>
              <w:shd w:val="clear" w:color="auto" w:fill="auto"/>
              <w:kinsoku/>
              <w:wordWrap/>
              <w:overflowPunct/>
              <w:topLinePunct w:val="0"/>
              <w:bidi w:val="0"/>
              <w:snapToGrid/>
              <w:spacing w:beforeAutospacing="0" w:afterAutospacing="0" w:line="400" w:lineRule="exact"/>
              <w:jc w:val="both"/>
              <w:textAlignment w:val="auto"/>
              <w:outlineLvl w:val="9"/>
              <w:rPr>
                <w:rFonts w:hint="eastAsia" w:ascii="宋体" w:hAnsi="宋体" w:eastAsia="宋体" w:cs="宋体"/>
                <w:color w:val="auto"/>
                <w:spacing w:val="0"/>
                <w:kern w:val="2"/>
                <w:sz w:val="20"/>
                <w:szCs w:val="20"/>
                <w:highlight w:val="none"/>
                <w:lang w:val="en-US" w:eastAsia="zh-CN" w:bidi="ar-SA"/>
              </w:rPr>
            </w:pPr>
            <w:bookmarkStart w:id="447" w:name="_Toc5916"/>
            <w:bookmarkStart w:id="448" w:name="_Toc16215"/>
            <w:bookmarkStart w:id="449" w:name="_Toc30647"/>
            <w:bookmarkStart w:id="450" w:name="_Toc18530"/>
            <w:bookmarkStart w:id="451" w:name="_Toc10002"/>
            <w:bookmarkStart w:id="452" w:name="_Toc27806"/>
            <w:bookmarkStart w:id="453" w:name="_Toc29571"/>
            <w:r>
              <w:rPr>
                <w:rFonts w:hint="eastAsia" w:ascii="宋体" w:hAnsi="宋体" w:eastAsia="宋体" w:cs="宋体"/>
                <w:color w:val="auto"/>
                <w:spacing w:val="0"/>
                <w:kern w:val="2"/>
                <w:sz w:val="20"/>
                <w:szCs w:val="20"/>
                <w:highlight w:val="none"/>
                <w:lang w:val="en-US" w:eastAsia="zh-CN" w:bidi="ar-SA"/>
              </w:rPr>
              <w:t>3.质保服务承诺（满2分）</w:t>
            </w:r>
          </w:p>
          <w:p w14:paraId="0A58E22C">
            <w:pPr>
              <w:keepNext w:val="0"/>
              <w:keepLines w:val="0"/>
              <w:pageBreakBefore w:val="0"/>
              <w:widowControl w:val="0"/>
              <w:shd w:val="clear" w:color="auto" w:fill="auto"/>
              <w:kinsoku/>
              <w:wordWrap/>
              <w:overflowPunct/>
              <w:topLinePunct w:val="0"/>
              <w:bidi w:val="0"/>
              <w:snapToGrid/>
              <w:spacing w:beforeAutospacing="0" w:afterAutospacing="0" w:line="400" w:lineRule="exact"/>
              <w:jc w:val="both"/>
              <w:textAlignment w:val="auto"/>
              <w:outlineLvl w:val="9"/>
              <w:rPr>
                <w:rFonts w:hint="eastAsia" w:ascii="宋体" w:hAnsi="宋体" w:eastAsia="宋体" w:cs="宋体"/>
                <w:color w:val="auto"/>
                <w:spacing w:val="0"/>
                <w:kern w:val="2"/>
                <w:sz w:val="20"/>
                <w:szCs w:val="20"/>
                <w:highlight w:val="none"/>
                <w:lang w:val="en-US" w:eastAsia="zh-CN" w:bidi="ar-SA"/>
              </w:rPr>
            </w:pPr>
            <w:r>
              <w:rPr>
                <w:rFonts w:hint="eastAsia" w:ascii="宋体" w:hAnsi="宋体" w:eastAsia="宋体" w:cs="宋体"/>
                <w:color w:val="auto"/>
                <w:spacing w:val="0"/>
                <w:kern w:val="2"/>
                <w:sz w:val="20"/>
                <w:szCs w:val="20"/>
                <w:highlight w:val="none"/>
                <w:lang w:val="en-US" w:eastAsia="zh-CN" w:bidi="ar-SA"/>
              </w:rPr>
              <w:t>质保期＝</w:t>
            </w:r>
            <w:r>
              <w:rPr>
                <w:rFonts w:hint="eastAsia" w:ascii="宋体" w:hAnsi="宋体" w:cs="宋体"/>
                <w:color w:val="auto"/>
                <w:spacing w:val="0"/>
                <w:kern w:val="2"/>
                <w:sz w:val="20"/>
                <w:szCs w:val="20"/>
                <w:highlight w:val="none"/>
                <w:lang w:val="en-US" w:eastAsia="zh-CN" w:bidi="ar-SA"/>
              </w:rPr>
              <w:t>2</w:t>
            </w:r>
            <w:r>
              <w:rPr>
                <w:rFonts w:hint="eastAsia" w:ascii="宋体" w:hAnsi="宋体" w:eastAsia="宋体" w:cs="宋体"/>
                <w:color w:val="auto"/>
                <w:spacing w:val="0"/>
                <w:kern w:val="2"/>
                <w:sz w:val="20"/>
                <w:szCs w:val="20"/>
                <w:highlight w:val="none"/>
                <w:lang w:val="en-US" w:eastAsia="zh-CN" w:bidi="ar-SA"/>
              </w:rPr>
              <w:t>年的得基本分1分，每增加1年得0.5分，满分2分；需提供质保期承诺书，否则不得分。</w:t>
            </w:r>
          </w:p>
          <w:p w14:paraId="708CCE34">
            <w:pPr>
              <w:keepNext w:val="0"/>
              <w:keepLines w:val="0"/>
              <w:pageBreakBefore w:val="0"/>
              <w:widowControl w:val="0"/>
              <w:kinsoku/>
              <w:wordWrap/>
              <w:overflowPunct/>
              <w:topLinePunct w:val="0"/>
              <w:bidi w:val="0"/>
              <w:snapToGrid/>
              <w:spacing w:beforeAutospacing="0" w:afterAutospacing="0" w:line="400" w:lineRule="exact"/>
              <w:ind w:left="5" w:leftChars="0" w:hanging="5" w:firstLineChars="0"/>
              <w:outlineLvl w:val="9"/>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color w:val="auto"/>
                <w:spacing w:val="0"/>
                <w:kern w:val="2"/>
                <w:sz w:val="20"/>
                <w:szCs w:val="20"/>
                <w:highlight w:val="none"/>
                <w:lang w:val="en-US" w:eastAsia="zh-CN" w:bidi="ar-SA"/>
              </w:rPr>
              <w:t>4.违约责任承诺详细具体，针对性强的得2分；违约责任承诺较详细具体，针对性较强的得1分；违约责任承诺粗略且宽泛，无针对性的得0.5分；无违约责任承诺的得0分。</w:t>
            </w:r>
            <w:bookmarkEnd w:id="447"/>
            <w:bookmarkEnd w:id="448"/>
            <w:bookmarkEnd w:id="449"/>
            <w:bookmarkEnd w:id="450"/>
            <w:bookmarkEnd w:id="451"/>
            <w:bookmarkEnd w:id="452"/>
            <w:bookmarkEnd w:id="453"/>
          </w:p>
        </w:tc>
      </w:tr>
      <w:tr w14:paraId="5348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trPr>
        <w:tc>
          <w:tcPr>
            <w:tcW w:w="1218" w:type="dxa"/>
            <w:vMerge w:val="continue"/>
            <w:vAlign w:val="center"/>
          </w:tcPr>
          <w:p w14:paraId="12B60354">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color w:val="auto"/>
                <w:sz w:val="20"/>
                <w:szCs w:val="20"/>
                <w:highlight w:val="none"/>
              </w:rPr>
            </w:pPr>
          </w:p>
        </w:tc>
        <w:tc>
          <w:tcPr>
            <w:tcW w:w="8535" w:type="dxa"/>
            <w:gridSpan w:val="2"/>
            <w:vAlign w:val="center"/>
          </w:tcPr>
          <w:p w14:paraId="173D664D">
            <w:pPr>
              <w:keepNext w:val="0"/>
              <w:keepLines w:val="0"/>
              <w:pageBreakBefore w:val="0"/>
              <w:widowControl w:val="0"/>
              <w:kinsoku/>
              <w:wordWrap/>
              <w:overflowPunct/>
              <w:topLinePunct w:val="0"/>
              <w:bidi w:val="0"/>
              <w:snapToGrid/>
              <w:spacing w:beforeAutospacing="0" w:afterAutospacing="0" w:line="400" w:lineRule="exact"/>
              <w:textAlignment w:val="auto"/>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备注：对各</w:t>
            </w:r>
            <w:r>
              <w:rPr>
                <w:rFonts w:hint="eastAsia" w:ascii="宋体" w:hAnsi="宋体" w:eastAsia="宋体" w:cs="宋体"/>
                <w:color w:val="auto"/>
                <w:kern w:val="0"/>
                <w:sz w:val="20"/>
                <w:szCs w:val="20"/>
                <w:highlight w:val="none"/>
                <w:lang w:eastAsia="zh-CN"/>
              </w:rPr>
              <w:t>投标人</w:t>
            </w:r>
            <w:r>
              <w:rPr>
                <w:rFonts w:hint="eastAsia" w:ascii="宋体" w:hAnsi="宋体" w:eastAsia="宋体" w:cs="宋体"/>
                <w:color w:val="auto"/>
                <w:kern w:val="0"/>
                <w:sz w:val="20"/>
                <w:szCs w:val="20"/>
                <w:highlight w:val="none"/>
              </w:rPr>
              <w:t>的投标文件的技术文件独立进行打分。</w:t>
            </w:r>
          </w:p>
        </w:tc>
      </w:tr>
      <w:tr w14:paraId="6F6A4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trPr>
        <w:tc>
          <w:tcPr>
            <w:tcW w:w="1218" w:type="dxa"/>
            <w:vMerge w:val="restart"/>
            <w:vAlign w:val="center"/>
          </w:tcPr>
          <w:p w14:paraId="5DBCE6ED">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服务</w:t>
            </w:r>
            <w:r>
              <w:rPr>
                <w:rFonts w:hint="eastAsia" w:ascii="宋体" w:hAnsi="宋体" w:eastAsia="宋体" w:cs="宋体"/>
                <w:b/>
                <w:bCs/>
                <w:color w:val="auto"/>
                <w:sz w:val="20"/>
                <w:szCs w:val="20"/>
                <w:highlight w:val="none"/>
              </w:rPr>
              <w:t>部分F</w:t>
            </w:r>
            <w:r>
              <w:rPr>
                <w:rFonts w:hint="eastAsia" w:ascii="宋体" w:hAnsi="宋体" w:eastAsia="宋体" w:cs="宋体"/>
                <w:b/>
                <w:bCs/>
                <w:color w:val="auto"/>
                <w:sz w:val="20"/>
                <w:szCs w:val="20"/>
                <w:highlight w:val="none"/>
                <w:lang w:val="en-US" w:eastAsia="zh-CN"/>
              </w:rPr>
              <w:t>3</w:t>
            </w:r>
            <w:r>
              <w:rPr>
                <w:rFonts w:hint="eastAsia" w:ascii="宋体" w:hAnsi="宋体" w:eastAsia="宋体" w:cs="宋体"/>
                <w:b/>
                <w:bCs/>
                <w:color w:val="auto"/>
                <w:sz w:val="20"/>
                <w:szCs w:val="20"/>
                <w:highlight w:val="none"/>
              </w:rPr>
              <w:t>评审</w:t>
            </w:r>
          </w:p>
          <w:p w14:paraId="6A1D781C">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（满分</w:t>
            </w:r>
            <w:r>
              <w:rPr>
                <w:rFonts w:hint="eastAsia" w:ascii="宋体" w:hAnsi="宋体" w:cs="宋体"/>
                <w:b/>
                <w:bCs/>
                <w:color w:val="auto"/>
                <w:sz w:val="20"/>
                <w:szCs w:val="20"/>
                <w:highlight w:val="none"/>
                <w:lang w:val="en-US" w:eastAsia="zh-CN"/>
              </w:rPr>
              <w:t>18</w:t>
            </w:r>
            <w:r>
              <w:rPr>
                <w:rFonts w:hint="eastAsia" w:ascii="宋体" w:hAnsi="宋体" w:eastAsia="宋体" w:cs="宋体"/>
                <w:b/>
                <w:bCs/>
                <w:color w:val="auto"/>
                <w:sz w:val="20"/>
                <w:szCs w:val="20"/>
                <w:highlight w:val="none"/>
              </w:rPr>
              <w:t>分）</w:t>
            </w:r>
          </w:p>
        </w:tc>
        <w:tc>
          <w:tcPr>
            <w:tcW w:w="1128" w:type="dxa"/>
            <w:vAlign w:val="center"/>
          </w:tcPr>
          <w:p w14:paraId="2D062EDE">
            <w:pPr>
              <w:pStyle w:val="33"/>
              <w:keepNext w:val="0"/>
              <w:keepLines w:val="0"/>
              <w:pageBreakBefore w:val="0"/>
              <w:widowControl w:val="0"/>
              <w:kinsoku/>
              <w:wordWrap/>
              <w:overflowPunct/>
              <w:topLinePunct w:val="0"/>
              <w:bidi w:val="0"/>
              <w:snapToGrid/>
              <w:spacing w:before="0" w:after="0" w:line="400" w:lineRule="exact"/>
              <w:outlineLvl w:val="9"/>
              <w:rPr>
                <w:rFonts w:hint="default" w:ascii="宋体" w:hAnsi="宋体" w:eastAsia="宋体" w:cs="宋体"/>
                <w:b/>
                <w:bCs/>
                <w:color w:val="auto"/>
                <w:sz w:val="20"/>
                <w:szCs w:val="20"/>
                <w:highlight w:val="none"/>
                <w:lang w:val="en-US" w:eastAsia="zh-CN"/>
              </w:rPr>
            </w:pPr>
            <w:bookmarkStart w:id="454" w:name="_Toc18601"/>
            <w:bookmarkStart w:id="455" w:name="_Toc30640"/>
            <w:r>
              <w:rPr>
                <w:rFonts w:hint="eastAsia" w:ascii="宋体" w:hAnsi="宋体" w:eastAsia="宋体" w:cs="宋体"/>
                <w:b/>
                <w:bCs/>
                <w:color w:val="auto"/>
                <w:sz w:val="20"/>
                <w:szCs w:val="20"/>
                <w:highlight w:val="none"/>
              </w:rPr>
              <w:t>售后服务</w:t>
            </w:r>
            <w:r>
              <w:rPr>
                <w:rFonts w:hint="eastAsia" w:hAnsi="宋体" w:cs="宋体"/>
                <w:b/>
                <w:bCs/>
                <w:color w:val="auto"/>
                <w:sz w:val="20"/>
                <w:szCs w:val="20"/>
                <w:highlight w:val="none"/>
                <w:lang w:eastAsia="zh-CN"/>
              </w:rPr>
              <w:t>、</w:t>
            </w:r>
            <w:r>
              <w:rPr>
                <w:rFonts w:hint="eastAsia" w:hAnsi="宋体" w:cs="宋体"/>
                <w:b/>
                <w:bCs/>
                <w:color w:val="auto"/>
                <w:sz w:val="20"/>
                <w:szCs w:val="20"/>
                <w:highlight w:val="none"/>
                <w:lang w:val="en-US" w:eastAsia="zh-CN"/>
              </w:rPr>
              <w:t>保障措施</w:t>
            </w:r>
            <w:r>
              <w:rPr>
                <w:rFonts w:hint="eastAsia" w:ascii="宋体" w:hAnsi="宋体" w:eastAsia="宋体" w:cs="宋体"/>
                <w:b/>
                <w:bCs/>
                <w:color w:val="auto"/>
                <w:sz w:val="20"/>
                <w:szCs w:val="20"/>
                <w:highlight w:val="none"/>
                <w:lang w:val="en-US" w:eastAsia="zh-CN"/>
              </w:rPr>
              <w:t>及违约</w:t>
            </w:r>
            <w:bookmarkEnd w:id="454"/>
            <w:r>
              <w:rPr>
                <w:rFonts w:hint="eastAsia" w:hAnsi="宋体" w:cs="宋体"/>
                <w:b/>
                <w:bCs/>
                <w:color w:val="auto"/>
                <w:sz w:val="20"/>
                <w:szCs w:val="20"/>
                <w:highlight w:val="none"/>
                <w:lang w:val="en-US" w:eastAsia="zh-CN"/>
              </w:rPr>
              <w:t>责任</w:t>
            </w:r>
            <w:bookmarkEnd w:id="455"/>
          </w:p>
          <w:p w14:paraId="694A2C82">
            <w:pPr>
              <w:pStyle w:val="33"/>
              <w:keepNext w:val="0"/>
              <w:keepLines w:val="0"/>
              <w:pageBreakBefore w:val="0"/>
              <w:widowControl w:val="0"/>
              <w:kinsoku/>
              <w:wordWrap/>
              <w:overflowPunct/>
              <w:topLinePunct w:val="0"/>
              <w:bidi w:val="0"/>
              <w:snapToGrid/>
              <w:spacing w:before="0" w:after="0" w:line="400" w:lineRule="exact"/>
              <w:outlineLvl w:val="9"/>
              <w:rPr>
                <w:rFonts w:hint="eastAsia" w:ascii="宋体" w:hAnsi="宋体" w:eastAsia="宋体" w:cs="宋体"/>
                <w:b/>
                <w:bCs/>
                <w:color w:val="auto"/>
                <w:kern w:val="0"/>
                <w:sz w:val="20"/>
                <w:szCs w:val="20"/>
                <w:highlight w:val="none"/>
                <w:lang w:val="en-US" w:eastAsia="zh-CN" w:bidi="ar-SA"/>
              </w:rPr>
            </w:pPr>
            <w:bookmarkStart w:id="456" w:name="_Toc10443"/>
            <w:bookmarkStart w:id="457" w:name="_Toc3572"/>
            <w:r>
              <w:rPr>
                <w:rFonts w:hint="eastAsia" w:ascii="宋体" w:hAnsi="宋体" w:eastAsia="宋体" w:cs="宋体"/>
                <w:b/>
                <w:bCs/>
                <w:color w:val="auto"/>
                <w:sz w:val="20"/>
                <w:szCs w:val="20"/>
                <w:highlight w:val="none"/>
              </w:rPr>
              <w:t>（满分</w:t>
            </w:r>
            <w:r>
              <w:rPr>
                <w:rFonts w:hint="eastAsia" w:hAnsi="宋体" w:cs="宋体"/>
                <w:b/>
                <w:bCs/>
                <w:color w:val="auto"/>
                <w:sz w:val="20"/>
                <w:szCs w:val="20"/>
                <w:highlight w:val="none"/>
                <w:lang w:val="en-US" w:eastAsia="zh-CN"/>
              </w:rPr>
              <w:t>10</w:t>
            </w:r>
            <w:r>
              <w:rPr>
                <w:rFonts w:hint="eastAsia" w:ascii="宋体" w:hAnsi="宋体" w:eastAsia="宋体" w:cs="宋体"/>
                <w:b/>
                <w:bCs/>
                <w:color w:val="auto"/>
                <w:sz w:val="20"/>
                <w:szCs w:val="20"/>
                <w:highlight w:val="none"/>
              </w:rPr>
              <w:t>分）</w:t>
            </w:r>
            <w:bookmarkEnd w:id="456"/>
            <w:bookmarkEnd w:id="457"/>
          </w:p>
        </w:tc>
        <w:tc>
          <w:tcPr>
            <w:tcW w:w="7407" w:type="dxa"/>
            <w:vAlign w:val="center"/>
          </w:tcPr>
          <w:p w14:paraId="0C626D6B">
            <w:pPr>
              <w:pStyle w:val="33"/>
              <w:keepNext w:val="0"/>
              <w:keepLines w:val="0"/>
              <w:pageBreakBefore w:val="0"/>
              <w:widowControl w:val="0"/>
              <w:kinsoku/>
              <w:wordWrap/>
              <w:overflowPunct/>
              <w:topLinePunct w:val="0"/>
              <w:bidi w:val="0"/>
              <w:snapToGrid/>
              <w:spacing w:before="0" w:after="0" w:line="400" w:lineRule="exact"/>
              <w:jc w:val="left"/>
              <w:outlineLvl w:val="9"/>
              <w:rPr>
                <w:rFonts w:hint="eastAsia" w:ascii="宋体" w:hAnsi="宋体" w:eastAsia="宋体" w:cs="宋体"/>
                <w:b/>
                <w:bCs/>
                <w:color w:val="auto"/>
                <w:kern w:val="0"/>
                <w:sz w:val="20"/>
                <w:szCs w:val="20"/>
                <w:highlight w:val="none"/>
                <w:lang w:val="en-US" w:eastAsia="zh-CN" w:bidi="ar-SA"/>
              </w:rPr>
            </w:pPr>
            <w:bookmarkStart w:id="458" w:name="_Toc1070"/>
            <w:bookmarkStart w:id="459" w:name="_Toc29043"/>
            <w:r>
              <w:rPr>
                <w:rFonts w:hint="eastAsia" w:ascii="宋体" w:hAnsi="宋体" w:eastAsia="宋体" w:cs="宋体"/>
                <w:b/>
                <w:bCs/>
                <w:color w:val="auto"/>
                <w:kern w:val="0"/>
                <w:sz w:val="20"/>
                <w:szCs w:val="20"/>
                <w:highlight w:val="none"/>
                <w:lang w:val="en-US" w:eastAsia="zh-CN" w:bidi="ar-SA"/>
              </w:rPr>
              <w:t>1.售后服务方案（包括但不限于售后服务质量、售后服务方式、售后服务内容、售后服务标准等）（</w:t>
            </w:r>
            <w:r>
              <w:rPr>
                <w:rFonts w:hint="eastAsia" w:hAnsi="宋体" w:cs="宋体"/>
                <w:b/>
                <w:bCs/>
                <w:color w:val="auto"/>
                <w:kern w:val="0"/>
                <w:sz w:val="20"/>
                <w:szCs w:val="20"/>
                <w:highlight w:val="none"/>
                <w:lang w:val="en-US" w:eastAsia="zh-CN" w:bidi="ar-SA"/>
              </w:rPr>
              <w:t>3</w:t>
            </w:r>
            <w:r>
              <w:rPr>
                <w:rFonts w:hint="eastAsia" w:ascii="宋体" w:hAnsi="宋体" w:eastAsia="宋体" w:cs="宋体"/>
                <w:b/>
                <w:bCs/>
                <w:color w:val="auto"/>
                <w:kern w:val="0"/>
                <w:sz w:val="20"/>
                <w:szCs w:val="20"/>
                <w:highlight w:val="none"/>
                <w:lang w:val="en-US" w:eastAsia="zh-CN" w:bidi="ar-SA"/>
              </w:rPr>
              <w:t>分）</w:t>
            </w:r>
            <w:bookmarkEnd w:id="458"/>
            <w:bookmarkEnd w:id="459"/>
          </w:p>
          <w:p w14:paraId="0F191230">
            <w:pPr>
              <w:pStyle w:val="33"/>
              <w:keepNext w:val="0"/>
              <w:keepLines w:val="0"/>
              <w:pageBreakBefore w:val="0"/>
              <w:widowControl w:val="0"/>
              <w:kinsoku/>
              <w:wordWrap/>
              <w:overflowPunct/>
              <w:topLinePunct w:val="0"/>
              <w:bidi w:val="0"/>
              <w:snapToGrid/>
              <w:spacing w:before="0" w:after="0" w:line="400" w:lineRule="exact"/>
              <w:jc w:val="left"/>
              <w:outlineLvl w:val="9"/>
              <w:rPr>
                <w:rFonts w:hint="eastAsia" w:ascii="宋体" w:hAnsi="宋体" w:eastAsia="宋体" w:cs="宋体"/>
                <w:b w:val="0"/>
                <w:bCs w:val="0"/>
                <w:color w:val="auto"/>
                <w:kern w:val="0"/>
                <w:sz w:val="20"/>
                <w:szCs w:val="20"/>
                <w:highlight w:val="none"/>
                <w:lang w:val="en-US" w:eastAsia="zh-CN" w:bidi="ar-SA"/>
              </w:rPr>
            </w:pPr>
            <w:bookmarkStart w:id="460" w:name="_Toc4357"/>
            <w:bookmarkStart w:id="461" w:name="_Toc12309"/>
            <w:r>
              <w:rPr>
                <w:rFonts w:hint="eastAsia" w:ascii="宋体" w:hAnsi="宋体" w:eastAsia="宋体" w:cs="宋体"/>
                <w:b w:val="0"/>
                <w:bCs w:val="0"/>
                <w:color w:val="auto"/>
                <w:kern w:val="0"/>
                <w:sz w:val="20"/>
                <w:szCs w:val="20"/>
                <w:highlight w:val="none"/>
                <w:lang w:val="en-US" w:eastAsia="zh-CN" w:bidi="ar-SA"/>
              </w:rPr>
              <w:t>售后服务方案内容全面具体、条理清晰、针对性强的得</w:t>
            </w:r>
            <w:r>
              <w:rPr>
                <w:rFonts w:hint="eastAsia" w:hAnsi="宋体" w:cs="宋体"/>
                <w:b w:val="0"/>
                <w:bCs w:val="0"/>
                <w:color w:val="auto"/>
                <w:kern w:val="0"/>
                <w:sz w:val="20"/>
                <w:szCs w:val="20"/>
                <w:highlight w:val="none"/>
                <w:lang w:val="en-US" w:eastAsia="zh-CN" w:bidi="ar-SA"/>
              </w:rPr>
              <w:t>3</w:t>
            </w:r>
            <w:r>
              <w:rPr>
                <w:rFonts w:hint="eastAsia" w:ascii="宋体" w:hAnsi="宋体" w:eastAsia="宋体" w:cs="宋体"/>
                <w:b w:val="0"/>
                <w:bCs w:val="0"/>
                <w:color w:val="auto"/>
                <w:kern w:val="0"/>
                <w:sz w:val="20"/>
                <w:szCs w:val="20"/>
                <w:highlight w:val="none"/>
                <w:lang w:val="en-US" w:eastAsia="zh-CN" w:bidi="ar-SA"/>
              </w:rPr>
              <w:t>分；售后服务方案内容较全面具体、条理较清晰、针对性较强的得</w:t>
            </w:r>
            <w:r>
              <w:rPr>
                <w:rFonts w:hint="eastAsia" w:hAnsi="宋体" w:cs="宋体"/>
                <w:b w:val="0"/>
                <w:bCs w:val="0"/>
                <w:color w:val="auto"/>
                <w:kern w:val="0"/>
                <w:sz w:val="20"/>
                <w:szCs w:val="20"/>
                <w:highlight w:val="none"/>
                <w:lang w:val="en-US" w:eastAsia="zh-CN" w:bidi="ar-SA"/>
              </w:rPr>
              <w:t>2</w:t>
            </w:r>
            <w:r>
              <w:rPr>
                <w:rFonts w:hint="eastAsia" w:ascii="宋体" w:hAnsi="宋体" w:eastAsia="宋体" w:cs="宋体"/>
                <w:b w:val="0"/>
                <w:bCs w:val="0"/>
                <w:color w:val="auto"/>
                <w:kern w:val="0"/>
                <w:sz w:val="20"/>
                <w:szCs w:val="20"/>
                <w:highlight w:val="none"/>
                <w:lang w:val="en-US" w:eastAsia="zh-CN" w:bidi="ar-SA"/>
              </w:rPr>
              <w:t>分；售后服务方案内容粗略且宽泛、条理性欠佳、针对性一般的得1分；内容无针对性或无相关内容的得0分。</w:t>
            </w:r>
            <w:bookmarkEnd w:id="460"/>
            <w:bookmarkEnd w:id="461"/>
          </w:p>
          <w:p w14:paraId="37AC8138">
            <w:pPr>
              <w:pStyle w:val="33"/>
              <w:keepNext w:val="0"/>
              <w:keepLines w:val="0"/>
              <w:pageBreakBefore w:val="0"/>
              <w:widowControl w:val="0"/>
              <w:kinsoku/>
              <w:wordWrap/>
              <w:overflowPunct/>
              <w:topLinePunct w:val="0"/>
              <w:bidi w:val="0"/>
              <w:snapToGrid/>
              <w:spacing w:before="0" w:after="0" w:line="400" w:lineRule="exact"/>
              <w:jc w:val="left"/>
              <w:outlineLvl w:val="9"/>
              <w:rPr>
                <w:rFonts w:hint="eastAsia" w:ascii="宋体" w:hAnsi="宋体" w:eastAsia="宋体" w:cs="宋体"/>
                <w:b/>
                <w:bCs/>
                <w:color w:val="auto"/>
                <w:kern w:val="0"/>
                <w:sz w:val="20"/>
                <w:szCs w:val="20"/>
                <w:highlight w:val="none"/>
                <w:lang w:val="en-US" w:eastAsia="zh-CN" w:bidi="ar-SA"/>
              </w:rPr>
            </w:pPr>
            <w:bookmarkStart w:id="462" w:name="_Toc23884"/>
            <w:bookmarkStart w:id="463" w:name="_Toc19307"/>
            <w:r>
              <w:rPr>
                <w:rFonts w:hint="eastAsia" w:ascii="宋体" w:hAnsi="宋体" w:eastAsia="宋体" w:cs="宋体"/>
                <w:b/>
                <w:bCs/>
                <w:color w:val="auto"/>
                <w:kern w:val="0"/>
                <w:sz w:val="20"/>
                <w:szCs w:val="20"/>
                <w:highlight w:val="none"/>
                <w:lang w:val="en-US" w:eastAsia="zh-CN" w:bidi="ar-SA"/>
              </w:rPr>
              <w:t>2.保障措施（技术措施、人员组织措施等）（</w:t>
            </w:r>
            <w:r>
              <w:rPr>
                <w:rFonts w:hint="eastAsia" w:hAnsi="宋体" w:cs="宋体"/>
                <w:b/>
                <w:bCs/>
                <w:color w:val="auto"/>
                <w:kern w:val="0"/>
                <w:sz w:val="20"/>
                <w:szCs w:val="20"/>
                <w:highlight w:val="none"/>
                <w:lang w:val="en-US" w:eastAsia="zh-CN" w:bidi="ar-SA"/>
              </w:rPr>
              <w:t>3</w:t>
            </w:r>
            <w:r>
              <w:rPr>
                <w:rFonts w:hint="eastAsia" w:ascii="宋体" w:hAnsi="宋体" w:eastAsia="宋体" w:cs="宋体"/>
                <w:b/>
                <w:bCs/>
                <w:color w:val="auto"/>
                <w:kern w:val="0"/>
                <w:sz w:val="20"/>
                <w:szCs w:val="20"/>
                <w:highlight w:val="none"/>
                <w:lang w:val="en-US" w:eastAsia="zh-CN" w:bidi="ar-SA"/>
              </w:rPr>
              <w:t>分）</w:t>
            </w:r>
            <w:bookmarkEnd w:id="462"/>
            <w:bookmarkEnd w:id="463"/>
          </w:p>
          <w:p w14:paraId="7B8FB0CB">
            <w:pPr>
              <w:pStyle w:val="33"/>
              <w:keepNext w:val="0"/>
              <w:keepLines w:val="0"/>
              <w:pageBreakBefore w:val="0"/>
              <w:widowControl w:val="0"/>
              <w:kinsoku/>
              <w:wordWrap/>
              <w:overflowPunct/>
              <w:topLinePunct w:val="0"/>
              <w:bidi w:val="0"/>
              <w:snapToGrid/>
              <w:spacing w:before="0" w:after="0" w:line="400" w:lineRule="exact"/>
              <w:jc w:val="left"/>
              <w:outlineLvl w:val="9"/>
              <w:rPr>
                <w:rFonts w:hint="eastAsia" w:ascii="宋体" w:hAnsi="宋体" w:eastAsia="宋体" w:cs="宋体"/>
                <w:b w:val="0"/>
                <w:bCs w:val="0"/>
                <w:color w:val="auto"/>
                <w:kern w:val="0"/>
                <w:sz w:val="20"/>
                <w:szCs w:val="20"/>
                <w:highlight w:val="none"/>
                <w:lang w:val="en-US" w:eastAsia="zh-CN" w:bidi="ar-SA"/>
              </w:rPr>
            </w:pPr>
            <w:bookmarkStart w:id="464" w:name="_Toc15482"/>
            <w:bookmarkStart w:id="465" w:name="_Toc7149"/>
            <w:r>
              <w:rPr>
                <w:rFonts w:hint="eastAsia" w:ascii="宋体" w:hAnsi="宋体" w:eastAsia="宋体" w:cs="宋体"/>
                <w:b w:val="0"/>
                <w:bCs w:val="0"/>
                <w:color w:val="auto"/>
                <w:kern w:val="0"/>
                <w:sz w:val="20"/>
                <w:szCs w:val="20"/>
                <w:highlight w:val="none"/>
                <w:lang w:val="en-US" w:eastAsia="zh-CN" w:bidi="ar-SA"/>
              </w:rPr>
              <w:t>售后服务保障措施得当有力、针对性强、可实现性和可实施性强的得</w:t>
            </w:r>
            <w:r>
              <w:rPr>
                <w:rFonts w:hint="eastAsia" w:hAnsi="宋体" w:cs="宋体"/>
                <w:b w:val="0"/>
                <w:bCs w:val="0"/>
                <w:color w:val="auto"/>
                <w:kern w:val="0"/>
                <w:sz w:val="20"/>
                <w:szCs w:val="20"/>
                <w:highlight w:val="none"/>
                <w:lang w:val="en-US" w:eastAsia="zh-CN" w:bidi="ar-SA"/>
              </w:rPr>
              <w:t>3</w:t>
            </w:r>
            <w:r>
              <w:rPr>
                <w:rFonts w:hint="eastAsia" w:ascii="宋体" w:hAnsi="宋体" w:eastAsia="宋体" w:cs="宋体"/>
                <w:b w:val="0"/>
                <w:bCs w:val="0"/>
                <w:color w:val="auto"/>
                <w:kern w:val="0"/>
                <w:sz w:val="20"/>
                <w:szCs w:val="20"/>
                <w:highlight w:val="none"/>
                <w:lang w:val="en-US" w:eastAsia="zh-CN" w:bidi="ar-SA"/>
              </w:rPr>
              <w:t>分；售后服务保障措施较得当有力、针对性较强、可实现性和可实施性较强的得</w:t>
            </w:r>
            <w:r>
              <w:rPr>
                <w:rFonts w:hint="eastAsia" w:hAnsi="宋体" w:cs="宋体"/>
                <w:b w:val="0"/>
                <w:bCs w:val="0"/>
                <w:color w:val="auto"/>
                <w:kern w:val="0"/>
                <w:sz w:val="20"/>
                <w:szCs w:val="20"/>
                <w:highlight w:val="none"/>
                <w:lang w:val="en-US" w:eastAsia="zh-CN" w:bidi="ar-SA"/>
              </w:rPr>
              <w:t>2</w:t>
            </w:r>
            <w:r>
              <w:rPr>
                <w:rFonts w:hint="eastAsia" w:ascii="宋体" w:hAnsi="宋体" w:eastAsia="宋体" w:cs="宋体"/>
                <w:b w:val="0"/>
                <w:bCs w:val="0"/>
                <w:color w:val="auto"/>
                <w:kern w:val="0"/>
                <w:sz w:val="20"/>
                <w:szCs w:val="20"/>
                <w:highlight w:val="none"/>
                <w:lang w:val="en-US" w:eastAsia="zh-CN" w:bidi="ar-SA"/>
              </w:rPr>
              <w:t>分；售后服务保障措施基本得当有力、针对性欠缺、可实现性和可实施性欠佳的得1分；无售后服务保障措施的得0分。</w:t>
            </w:r>
            <w:bookmarkEnd w:id="464"/>
            <w:bookmarkEnd w:id="465"/>
          </w:p>
          <w:p w14:paraId="31C9BF70">
            <w:pPr>
              <w:pStyle w:val="33"/>
              <w:keepNext w:val="0"/>
              <w:keepLines w:val="0"/>
              <w:pageBreakBefore w:val="0"/>
              <w:widowControl w:val="0"/>
              <w:kinsoku/>
              <w:wordWrap/>
              <w:overflowPunct/>
              <w:topLinePunct w:val="0"/>
              <w:bidi w:val="0"/>
              <w:snapToGrid/>
              <w:spacing w:before="0" w:after="0" w:line="400" w:lineRule="exact"/>
              <w:jc w:val="left"/>
              <w:outlineLvl w:val="9"/>
              <w:rPr>
                <w:rFonts w:hint="eastAsia" w:ascii="宋体" w:hAnsi="宋体" w:eastAsia="宋体" w:cs="宋体"/>
                <w:b/>
                <w:bCs/>
                <w:color w:val="auto"/>
                <w:kern w:val="0"/>
                <w:sz w:val="20"/>
                <w:szCs w:val="20"/>
                <w:highlight w:val="none"/>
                <w:lang w:val="en-US" w:eastAsia="zh-CN" w:bidi="ar-SA"/>
              </w:rPr>
            </w:pPr>
            <w:bookmarkStart w:id="466" w:name="_Toc18523"/>
            <w:bookmarkStart w:id="467" w:name="_Toc4594"/>
            <w:r>
              <w:rPr>
                <w:rFonts w:hint="eastAsia" w:ascii="宋体" w:hAnsi="宋体" w:eastAsia="宋体" w:cs="宋体"/>
                <w:b/>
                <w:bCs/>
                <w:color w:val="auto"/>
                <w:kern w:val="0"/>
                <w:sz w:val="20"/>
                <w:szCs w:val="20"/>
                <w:highlight w:val="none"/>
                <w:lang w:val="en-US" w:eastAsia="zh-CN" w:bidi="ar-SA"/>
              </w:rPr>
              <w:t>3.服务响应效率（包括但不限于故障远程报修、现场维修、返厂维修、定期维检、售后工程师上门等承诺）（满</w:t>
            </w:r>
            <w:r>
              <w:rPr>
                <w:rFonts w:hint="eastAsia" w:hAnsi="宋体" w:cs="宋体"/>
                <w:b/>
                <w:bCs/>
                <w:color w:val="auto"/>
                <w:kern w:val="0"/>
                <w:sz w:val="20"/>
                <w:szCs w:val="20"/>
                <w:highlight w:val="none"/>
                <w:lang w:val="en-US" w:eastAsia="zh-CN" w:bidi="ar-SA"/>
              </w:rPr>
              <w:t>2</w:t>
            </w:r>
            <w:r>
              <w:rPr>
                <w:rFonts w:hint="eastAsia" w:ascii="宋体" w:hAnsi="宋体" w:eastAsia="宋体" w:cs="宋体"/>
                <w:b/>
                <w:bCs/>
                <w:color w:val="auto"/>
                <w:kern w:val="0"/>
                <w:sz w:val="20"/>
                <w:szCs w:val="20"/>
                <w:highlight w:val="none"/>
                <w:lang w:val="en-US" w:eastAsia="zh-CN" w:bidi="ar-SA"/>
              </w:rPr>
              <w:t>分）</w:t>
            </w:r>
            <w:bookmarkEnd w:id="466"/>
          </w:p>
          <w:p w14:paraId="7A038D59">
            <w:pPr>
              <w:pStyle w:val="33"/>
              <w:keepNext w:val="0"/>
              <w:keepLines w:val="0"/>
              <w:pageBreakBefore w:val="0"/>
              <w:widowControl w:val="0"/>
              <w:kinsoku/>
              <w:wordWrap/>
              <w:overflowPunct/>
              <w:topLinePunct w:val="0"/>
              <w:bidi w:val="0"/>
              <w:snapToGrid/>
              <w:spacing w:before="0" w:after="0" w:line="400" w:lineRule="exact"/>
              <w:jc w:val="left"/>
              <w:outlineLvl w:val="9"/>
              <w:rPr>
                <w:rFonts w:hint="eastAsia" w:ascii="宋体" w:hAnsi="宋体" w:eastAsia="宋体" w:cs="宋体"/>
                <w:b w:val="0"/>
                <w:bCs w:val="0"/>
                <w:color w:val="auto"/>
                <w:kern w:val="0"/>
                <w:sz w:val="20"/>
                <w:szCs w:val="20"/>
                <w:highlight w:val="none"/>
                <w:lang w:val="en-US" w:eastAsia="zh-CN" w:bidi="ar-SA"/>
              </w:rPr>
            </w:pPr>
            <w:bookmarkStart w:id="468" w:name="_Toc21005"/>
            <w:r>
              <w:rPr>
                <w:rFonts w:hint="eastAsia" w:ascii="宋体" w:hAnsi="宋体" w:eastAsia="宋体" w:cs="宋体"/>
                <w:b w:val="0"/>
                <w:bCs w:val="0"/>
                <w:color w:val="auto"/>
                <w:kern w:val="0"/>
                <w:sz w:val="20"/>
                <w:szCs w:val="20"/>
                <w:highlight w:val="none"/>
                <w:lang w:val="en-US" w:eastAsia="zh-CN" w:bidi="ar-SA"/>
              </w:rPr>
              <w:t>服务响应效率承诺全面且整体优于采购需求的得</w:t>
            </w:r>
            <w:r>
              <w:rPr>
                <w:rFonts w:hint="eastAsia" w:hAnsi="宋体" w:cs="宋体"/>
                <w:b w:val="0"/>
                <w:bCs w:val="0"/>
                <w:color w:val="auto"/>
                <w:kern w:val="0"/>
                <w:sz w:val="20"/>
                <w:szCs w:val="20"/>
                <w:highlight w:val="none"/>
                <w:lang w:val="en-US" w:eastAsia="zh-CN" w:bidi="ar-SA"/>
              </w:rPr>
              <w:t>2</w:t>
            </w:r>
            <w:r>
              <w:rPr>
                <w:rFonts w:hint="eastAsia" w:ascii="宋体" w:hAnsi="宋体" w:eastAsia="宋体" w:cs="宋体"/>
                <w:b w:val="0"/>
                <w:bCs w:val="0"/>
                <w:color w:val="auto"/>
                <w:kern w:val="0"/>
                <w:sz w:val="20"/>
                <w:szCs w:val="20"/>
                <w:highlight w:val="none"/>
                <w:lang w:val="en-US" w:eastAsia="zh-CN" w:bidi="ar-SA"/>
              </w:rPr>
              <w:t>分；服务响应效率承诺全面且整体满足采购需求的得</w:t>
            </w:r>
            <w:r>
              <w:rPr>
                <w:rFonts w:hint="eastAsia" w:hAnsi="宋体" w:cs="宋体"/>
                <w:b w:val="0"/>
                <w:bCs w:val="0"/>
                <w:color w:val="auto"/>
                <w:kern w:val="0"/>
                <w:sz w:val="20"/>
                <w:szCs w:val="20"/>
                <w:highlight w:val="none"/>
                <w:lang w:val="en-US" w:eastAsia="zh-CN" w:bidi="ar-SA"/>
              </w:rPr>
              <w:t>1</w:t>
            </w:r>
            <w:r>
              <w:rPr>
                <w:rFonts w:hint="eastAsia" w:ascii="宋体" w:hAnsi="宋体" w:eastAsia="宋体" w:cs="宋体"/>
                <w:b w:val="0"/>
                <w:bCs w:val="0"/>
                <w:color w:val="auto"/>
                <w:kern w:val="0"/>
                <w:sz w:val="20"/>
                <w:szCs w:val="20"/>
                <w:highlight w:val="none"/>
                <w:lang w:val="en-US" w:eastAsia="zh-CN" w:bidi="ar-SA"/>
              </w:rPr>
              <w:t>分；服务响应效率承诺存在缺漏</w:t>
            </w:r>
            <w:r>
              <w:rPr>
                <w:rFonts w:hint="eastAsia" w:hAnsi="宋体" w:cs="宋体"/>
                <w:b w:val="0"/>
                <w:bCs w:val="0"/>
                <w:color w:val="auto"/>
                <w:kern w:val="0"/>
                <w:sz w:val="20"/>
                <w:szCs w:val="20"/>
                <w:highlight w:val="none"/>
                <w:lang w:val="en-US" w:eastAsia="zh-CN" w:bidi="ar-SA"/>
              </w:rPr>
              <w:t>或</w:t>
            </w:r>
            <w:r>
              <w:rPr>
                <w:rFonts w:hint="eastAsia" w:ascii="宋体" w:hAnsi="宋体" w:eastAsia="宋体" w:cs="宋体"/>
                <w:b w:val="0"/>
                <w:bCs w:val="0"/>
                <w:color w:val="auto"/>
                <w:kern w:val="0"/>
                <w:sz w:val="20"/>
                <w:szCs w:val="20"/>
                <w:highlight w:val="none"/>
                <w:lang w:val="en-US" w:eastAsia="zh-CN" w:bidi="ar-SA"/>
              </w:rPr>
              <w:t>整体偏离采购需求或无相关内容的得0分。</w:t>
            </w:r>
            <w:bookmarkEnd w:id="468"/>
          </w:p>
          <w:p w14:paraId="422EABAD">
            <w:pPr>
              <w:pStyle w:val="33"/>
              <w:keepNext w:val="0"/>
              <w:keepLines w:val="0"/>
              <w:pageBreakBefore w:val="0"/>
              <w:widowControl w:val="0"/>
              <w:kinsoku/>
              <w:wordWrap/>
              <w:overflowPunct/>
              <w:topLinePunct w:val="0"/>
              <w:bidi w:val="0"/>
              <w:snapToGrid/>
              <w:spacing w:before="0" w:after="0" w:line="400" w:lineRule="exact"/>
              <w:jc w:val="left"/>
              <w:outlineLvl w:val="9"/>
              <w:rPr>
                <w:rFonts w:hint="eastAsia" w:ascii="宋体" w:hAnsi="宋体" w:eastAsia="宋体" w:cs="宋体"/>
                <w:b/>
                <w:bCs/>
                <w:color w:val="auto"/>
                <w:kern w:val="0"/>
                <w:sz w:val="20"/>
                <w:szCs w:val="20"/>
                <w:highlight w:val="none"/>
                <w:lang w:val="en-US" w:eastAsia="zh-CN" w:bidi="ar-SA"/>
              </w:rPr>
            </w:pPr>
            <w:bookmarkStart w:id="469" w:name="_Toc28722"/>
            <w:r>
              <w:rPr>
                <w:rFonts w:hint="eastAsia" w:ascii="宋体" w:hAnsi="宋体" w:eastAsia="宋体" w:cs="宋体"/>
                <w:b/>
                <w:bCs/>
                <w:color w:val="auto"/>
                <w:kern w:val="0"/>
                <w:sz w:val="20"/>
                <w:szCs w:val="20"/>
                <w:highlight w:val="none"/>
                <w:lang w:val="en-US" w:eastAsia="zh-CN" w:bidi="ar-SA"/>
              </w:rPr>
              <w:t>4.违约责任承诺（2分）</w:t>
            </w:r>
            <w:bookmarkEnd w:id="467"/>
            <w:bookmarkEnd w:id="469"/>
          </w:p>
          <w:p w14:paraId="570481CD">
            <w:pPr>
              <w:pStyle w:val="33"/>
              <w:keepNext w:val="0"/>
              <w:keepLines w:val="0"/>
              <w:pageBreakBefore w:val="0"/>
              <w:widowControl w:val="0"/>
              <w:kinsoku/>
              <w:wordWrap/>
              <w:overflowPunct/>
              <w:topLinePunct w:val="0"/>
              <w:bidi w:val="0"/>
              <w:snapToGrid/>
              <w:spacing w:before="0" w:after="0" w:line="400" w:lineRule="exact"/>
              <w:jc w:val="left"/>
              <w:outlineLvl w:val="9"/>
              <w:rPr>
                <w:rFonts w:hint="eastAsia" w:ascii="宋体" w:hAnsi="宋体" w:eastAsia="宋体" w:cs="宋体"/>
                <w:b w:val="0"/>
                <w:bCs w:val="0"/>
                <w:color w:val="auto"/>
                <w:kern w:val="0"/>
                <w:sz w:val="20"/>
                <w:szCs w:val="20"/>
                <w:highlight w:val="none"/>
                <w:lang w:val="en-US" w:eastAsia="zh-CN" w:bidi="ar-SA"/>
              </w:rPr>
            </w:pPr>
            <w:bookmarkStart w:id="470" w:name="_Toc4423"/>
            <w:bookmarkStart w:id="471" w:name="_Toc27522"/>
            <w:r>
              <w:rPr>
                <w:rFonts w:hint="eastAsia" w:ascii="宋体" w:hAnsi="宋体" w:eastAsia="宋体" w:cs="宋体"/>
                <w:b w:val="0"/>
                <w:bCs w:val="0"/>
                <w:color w:val="auto"/>
                <w:kern w:val="0"/>
                <w:sz w:val="20"/>
                <w:szCs w:val="20"/>
                <w:highlight w:val="none"/>
                <w:lang w:val="en-US" w:eastAsia="zh-CN" w:bidi="ar-SA"/>
              </w:rPr>
              <w:t>违约责任承诺详细具体，针对性强的得2分；违约责任承诺较详细具体，针对性较强的得1分；违约责任承诺粗略且宽泛，无针对性的得0.5分；无违约责任承诺的得0分。</w:t>
            </w:r>
            <w:bookmarkEnd w:id="470"/>
            <w:bookmarkEnd w:id="471"/>
          </w:p>
        </w:tc>
      </w:tr>
      <w:tr w14:paraId="017D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trPr>
        <w:tc>
          <w:tcPr>
            <w:tcW w:w="1218" w:type="dxa"/>
            <w:vMerge w:val="continue"/>
            <w:vAlign w:val="center"/>
          </w:tcPr>
          <w:p w14:paraId="57177E29">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lang w:val="en-US" w:eastAsia="zh-CN"/>
              </w:rPr>
            </w:pPr>
          </w:p>
        </w:tc>
        <w:tc>
          <w:tcPr>
            <w:tcW w:w="1128" w:type="dxa"/>
            <w:vAlign w:val="center"/>
          </w:tcPr>
          <w:p w14:paraId="38138222">
            <w:pPr>
              <w:keepNext w:val="0"/>
              <w:keepLines w:val="0"/>
              <w:pageBreakBefore w:val="0"/>
              <w:widowControl w:val="0"/>
              <w:kinsoku/>
              <w:wordWrap/>
              <w:overflowPunct/>
              <w:topLinePunct w:val="0"/>
              <w:bidi w:val="0"/>
              <w:snapToGrid/>
              <w:spacing w:line="400" w:lineRule="exact"/>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培训</w:t>
            </w:r>
            <w:r>
              <w:rPr>
                <w:rFonts w:hint="eastAsia" w:ascii="宋体" w:hAnsi="宋体" w:eastAsia="宋体" w:cs="宋体"/>
                <w:b/>
                <w:bCs/>
                <w:color w:val="auto"/>
                <w:kern w:val="0"/>
                <w:sz w:val="20"/>
                <w:szCs w:val="20"/>
                <w:highlight w:val="none"/>
                <w:lang w:val="en-US" w:eastAsia="zh-CN"/>
              </w:rPr>
              <w:t>方案</w:t>
            </w:r>
            <w:r>
              <w:rPr>
                <w:rFonts w:hint="eastAsia" w:ascii="宋体" w:hAnsi="宋体" w:eastAsia="宋体" w:cs="宋体"/>
                <w:b/>
                <w:bCs/>
                <w:color w:val="auto"/>
                <w:kern w:val="0"/>
                <w:sz w:val="20"/>
                <w:szCs w:val="20"/>
                <w:highlight w:val="none"/>
              </w:rPr>
              <w:t>评审</w:t>
            </w:r>
          </w:p>
          <w:p w14:paraId="31D7847B">
            <w:pPr>
              <w:keepNext w:val="0"/>
              <w:keepLines w:val="0"/>
              <w:pageBreakBefore w:val="0"/>
              <w:widowControl w:val="0"/>
              <w:kinsoku/>
              <w:wordWrap/>
              <w:overflowPunct/>
              <w:topLinePunct w:val="0"/>
              <w:bidi w:val="0"/>
              <w:snapToGrid/>
              <w:spacing w:line="400" w:lineRule="exact"/>
              <w:jc w:val="center"/>
              <w:outlineLvl w:val="9"/>
              <w:rPr>
                <w:rFonts w:hint="eastAsia" w:ascii="宋体" w:hAnsi="宋体" w:eastAsia="宋体" w:cs="宋体"/>
                <w:b/>
                <w:bCs/>
                <w:color w:val="auto"/>
                <w:kern w:val="2"/>
                <w:sz w:val="20"/>
                <w:szCs w:val="20"/>
                <w:highlight w:val="none"/>
                <w:u w:val="single"/>
                <w:lang w:val="en-US" w:eastAsia="zh-CN" w:bidi="ar-SA"/>
              </w:rPr>
            </w:pPr>
            <w:r>
              <w:rPr>
                <w:rFonts w:hint="eastAsia" w:ascii="宋体" w:hAnsi="宋体" w:eastAsia="宋体" w:cs="宋体"/>
                <w:b/>
                <w:bCs/>
                <w:color w:val="auto"/>
                <w:kern w:val="0"/>
                <w:sz w:val="20"/>
                <w:szCs w:val="20"/>
                <w:highlight w:val="none"/>
              </w:rPr>
              <w:t>（满分</w:t>
            </w:r>
            <w:r>
              <w:rPr>
                <w:rFonts w:hint="eastAsia" w:ascii="宋体" w:hAnsi="宋体" w:cs="宋体"/>
                <w:b/>
                <w:bCs/>
                <w:color w:val="auto"/>
                <w:kern w:val="0"/>
                <w:sz w:val="20"/>
                <w:szCs w:val="20"/>
                <w:highlight w:val="none"/>
                <w:lang w:val="en-US" w:eastAsia="zh-CN"/>
              </w:rPr>
              <w:t>4</w:t>
            </w:r>
            <w:r>
              <w:rPr>
                <w:rFonts w:hint="eastAsia" w:ascii="宋体" w:hAnsi="宋体" w:eastAsia="宋体" w:cs="宋体"/>
                <w:b/>
                <w:bCs/>
                <w:color w:val="auto"/>
                <w:kern w:val="0"/>
                <w:sz w:val="20"/>
                <w:szCs w:val="20"/>
                <w:highlight w:val="none"/>
              </w:rPr>
              <w:t>分）</w:t>
            </w:r>
          </w:p>
        </w:tc>
        <w:tc>
          <w:tcPr>
            <w:tcW w:w="7407" w:type="dxa"/>
            <w:vAlign w:val="center"/>
          </w:tcPr>
          <w:p w14:paraId="48F722AA">
            <w:pPr>
              <w:keepNext w:val="0"/>
              <w:keepLines w:val="0"/>
              <w:pageBreakBefore w:val="0"/>
              <w:widowControl w:val="0"/>
              <w:kinsoku/>
              <w:wordWrap/>
              <w:overflowPunct/>
              <w:topLinePunct w:val="0"/>
              <w:bidi w:val="0"/>
              <w:snapToGrid/>
              <w:spacing w:line="400" w:lineRule="exact"/>
              <w:ind w:left="5" w:leftChars="0" w:hanging="5" w:firstLineChars="0"/>
              <w:outlineLvl w:val="9"/>
              <w:rPr>
                <w:rFonts w:hint="eastAsia" w:ascii="宋体" w:hAnsi="宋体" w:eastAsia="宋体" w:cs="宋体"/>
                <w:b w:val="0"/>
                <w:bCs w:val="0"/>
                <w:color w:val="auto"/>
                <w:kern w:val="2"/>
                <w:sz w:val="20"/>
                <w:szCs w:val="20"/>
                <w:highlight w:val="none"/>
                <w:lang w:val="en-US" w:eastAsia="zh-CN" w:bidi="ar-SA"/>
              </w:rPr>
            </w:pPr>
            <w:bookmarkStart w:id="472" w:name="_Toc19666"/>
            <w:bookmarkStart w:id="473" w:name="_Toc8869"/>
            <w:bookmarkStart w:id="474" w:name="_Toc3541"/>
            <w:bookmarkStart w:id="475" w:name="_Toc32291"/>
            <w:bookmarkStart w:id="476" w:name="_Toc29208"/>
            <w:bookmarkStart w:id="477" w:name="_Toc19875"/>
            <w:bookmarkStart w:id="478" w:name="_Toc13994"/>
            <w:r>
              <w:rPr>
                <w:rFonts w:hint="eastAsia" w:ascii="宋体" w:hAnsi="宋体" w:eastAsia="宋体" w:cs="宋体"/>
                <w:b w:val="0"/>
                <w:bCs w:val="0"/>
                <w:color w:val="auto"/>
                <w:kern w:val="2"/>
                <w:sz w:val="20"/>
                <w:szCs w:val="20"/>
                <w:highlight w:val="none"/>
                <w:lang w:val="en-US" w:eastAsia="zh-CN" w:bidi="ar-SA"/>
              </w:rPr>
              <w:t>为确保对设备性能配置的快速掌握、规范熟练操作，投标人需提供相关培训方案：提供的培训方案逻辑结构清晰、培训内容针对性强、培训安排合理得当的得</w:t>
            </w:r>
            <w:r>
              <w:rPr>
                <w:rFonts w:hint="eastAsia" w:ascii="宋体" w:hAnsi="宋体" w:cs="宋体"/>
                <w:b w:val="0"/>
                <w:bCs w:val="0"/>
                <w:color w:val="auto"/>
                <w:kern w:val="2"/>
                <w:sz w:val="20"/>
                <w:szCs w:val="20"/>
                <w:highlight w:val="none"/>
                <w:lang w:val="en-US" w:eastAsia="zh-CN" w:bidi="ar-SA"/>
              </w:rPr>
              <w:t>4</w:t>
            </w:r>
            <w:r>
              <w:rPr>
                <w:rFonts w:hint="eastAsia" w:ascii="宋体" w:hAnsi="宋体" w:eastAsia="宋体" w:cs="宋体"/>
                <w:b w:val="0"/>
                <w:bCs w:val="0"/>
                <w:color w:val="auto"/>
                <w:kern w:val="2"/>
                <w:sz w:val="20"/>
                <w:szCs w:val="20"/>
                <w:highlight w:val="none"/>
                <w:lang w:val="en-US" w:eastAsia="zh-CN" w:bidi="ar-SA"/>
              </w:rPr>
              <w:t>分；提供的培训方案逻辑结构较清晰、培训内容针对性较强、培训安排较合理得当的得</w:t>
            </w:r>
            <w:r>
              <w:rPr>
                <w:rFonts w:hint="eastAsia" w:ascii="宋体" w:hAnsi="宋体" w:cs="宋体"/>
                <w:b w:val="0"/>
                <w:bCs w:val="0"/>
                <w:color w:val="auto"/>
                <w:kern w:val="2"/>
                <w:sz w:val="20"/>
                <w:szCs w:val="20"/>
                <w:highlight w:val="none"/>
                <w:lang w:val="en-US" w:eastAsia="zh-CN" w:bidi="ar-SA"/>
              </w:rPr>
              <w:t>2</w:t>
            </w:r>
            <w:r>
              <w:rPr>
                <w:rFonts w:hint="eastAsia" w:ascii="宋体" w:hAnsi="宋体" w:eastAsia="宋体" w:cs="宋体"/>
                <w:b w:val="0"/>
                <w:bCs w:val="0"/>
                <w:color w:val="auto"/>
                <w:kern w:val="2"/>
                <w:sz w:val="20"/>
                <w:szCs w:val="20"/>
                <w:highlight w:val="none"/>
                <w:lang w:val="en-US" w:eastAsia="zh-CN" w:bidi="ar-SA"/>
              </w:rPr>
              <w:t>分；提供的培训方案逻辑结构混乱、培训内容缺乏针对性、培训安排缺乏合理性的得1分；未提供培训方案的得0分。</w:t>
            </w:r>
            <w:bookmarkEnd w:id="472"/>
            <w:bookmarkEnd w:id="473"/>
            <w:bookmarkEnd w:id="474"/>
            <w:bookmarkEnd w:id="475"/>
            <w:bookmarkEnd w:id="476"/>
            <w:bookmarkEnd w:id="477"/>
            <w:bookmarkEnd w:id="478"/>
          </w:p>
        </w:tc>
      </w:tr>
      <w:tr w14:paraId="1CA39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1978" w:hRule="atLeast"/>
        </w:trPr>
        <w:tc>
          <w:tcPr>
            <w:tcW w:w="1218" w:type="dxa"/>
            <w:vMerge w:val="continue"/>
            <w:vAlign w:val="center"/>
          </w:tcPr>
          <w:p w14:paraId="4E931836">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b/>
                <w:bCs/>
                <w:color w:val="auto"/>
                <w:sz w:val="20"/>
                <w:szCs w:val="20"/>
                <w:highlight w:val="none"/>
                <w:lang w:val="en-US" w:eastAsia="zh-CN"/>
              </w:rPr>
            </w:pPr>
          </w:p>
        </w:tc>
        <w:tc>
          <w:tcPr>
            <w:tcW w:w="1128" w:type="dxa"/>
            <w:vAlign w:val="center"/>
          </w:tcPr>
          <w:p w14:paraId="5914972F">
            <w:pPr>
              <w:keepNext w:val="0"/>
              <w:keepLines w:val="0"/>
              <w:pageBreakBefore w:val="0"/>
              <w:widowControl w:val="0"/>
              <w:kinsoku/>
              <w:wordWrap/>
              <w:overflowPunct/>
              <w:topLinePunct w:val="0"/>
              <w:bidi w:val="0"/>
              <w:snapToGrid/>
              <w:spacing w:line="400" w:lineRule="exact"/>
              <w:jc w:val="center"/>
              <w:outlineLvl w:val="9"/>
              <w:rPr>
                <w:rFonts w:hint="eastAsia" w:ascii="宋体" w:hAnsi="宋体" w:eastAsia="宋体" w:cs="宋体"/>
                <w:b/>
                <w:bCs/>
                <w:color w:val="auto"/>
                <w:kern w:val="0"/>
                <w:sz w:val="20"/>
                <w:szCs w:val="20"/>
                <w:highlight w:val="none"/>
              </w:rPr>
            </w:pPr>
            <w:bookmarkStart w:id="479" w:name="_Toc11983"/>
            <w:bookmarkStart w:id="480" w:name="_Toc10620"/>
            <w:bookmarkStart w:id="481" w:name="_Toc26681"/>
            <w:bookmarkStart w:id="482" w:name="_Toc27446"/>
            <w:bookmarkStart w:id="483" w:name="_Toc1104"/>
            <w:bookmarkStart w:id="484" w:name="_Toc17802"/>
            <w:bookmarkStart w:id="485" w:name="_Toc11267"/>
            <w:r>
              <w:rPr>
                <w:rFonts w:hint="eastAsia" w:ascii="宋体" w:hAnsi="宋体" w:eastAsia="宋体" w:cs="宋体"/>
                <w:b/>
                <w:bCs/>
                <w:color w:val="auto"/>
                <w:kern w:val="0"/>
                <w:sz w:val="20"/>
                <w:szCs w:val="20"/>
                <w:highlight w:val="none"/>
              </w:rPr>
              <w:t>项目人员配备（满分</w:t>
            </w:r>
            <w:r>
              <w:rPr>
                <w:rFonts w:hint="eastAsia" w:ascii="宋体" w:hAnsi="宋体" w:cs="宋体"/>
                <w:b/>
                <w:bCs/>
                <w:color w:val="auto"/>
                <w:kern w:val="0"/>
                <w:sz w:val="20"/>
                <w:szCs w:val="20"/>
                <w:highlight w:val="none"/>
                <w:lang w:val="en-US" w:eastAsia="zh-CN"/>
              </w:rPr>
              <w:t>4</w:t>
            </w:r>
            <w:r>
              <w:rPr>
                <w:rFonts w:hint="eastAsia" w:ascii="宋体" w:hAnsi="宋体" w:eastAsia="宋体" w:cs="宋体"/>
                <w:b/>
                <w:bCs/>
                <w:color w:val="auto"/>
                <w:kern w:val="0"/>
                <w:sz w:val="20"/>
                <w:szCs w:val="20"/>
                <w:highlight w:val="none"/>
              </w:rPr>
              <w:t>分）</w:t>
            </w:r>
            <w:bookmarkEnd w:id="479"/>
            <w:bookmarkEnd w:id="480"/>
            <w:bookmarkEnd w:id="481"/>
            <w:bookmarkEnd w:id="482"/>
            <w:bookmarkEnd w:id="483"/>
            <w:bookmarkEnd w:id="484"/>
            <w:bookmarkEnd w:id="485"/>
          </w:p>
        </w:tc>
        <w:tc>
          <w:tcPr>
            <w:tcW w:w="7407" w:type="dxa"/>
            <w:vAlign w:val="center"/>
          </w:tcPr>
          <w:p w14:paraId="111F1243">
            <w:pPr>
              <w:keepNext w:val="0"/>
              <w:keepLines w:val="0"/>
              <w:pageBreakBefore w:val="0"/>
              <w:widowControl w:val="0"/>
              <w:kinsoku/>
              <w:wordWrap/>
              <w:overflowPunct/>
              <w:topLinePunct w:val="0"/>
              <w:bidi w:val="0"/>
              <w:snapToGrid/>
              <w:spacing w:line="400" w:lineRule="exact"/>
              <w:ind w:left="5" w:leftChars="0" w:hanging="5" w:firstLineChars="0"/>
              <w:outlineLvl w:val="9"/>
              <w:rPr>
                <w:rFonts w:hint="eastAsia" w:ascii="宋体" w:hAnsi="宋体" w:eastAsia="宋体" w:cs="宋体"/>
                <w:b w:val="0"/>
                <w:bCs w:val="0"/>
                <w:color w:val="auto"/>
                <w:kern w:val="2"/>
                <w:sz w:val="20"/>
                <w:szCs w:val="20"/>
                <w:highlight w:val="none"/>
                <w:lang w:val="en-US" w:eastAsia="zh-CN" w:bidi="ar-SA"/>
              </w:rPr>
            </w:pPr>
            <w:bookmarkStart w:id="486" w:name="_Toc5939"/>
            <w:bookmarkStart w:id="487" w:name="_Toc12814"/>
            <w:bookmarkStart w:id="488" w:name="_Toc23098"/>
            <w:bookmarkStart w:id="489" w:name="_Toc20497"/>
            <w:bookmarkStart w:id="490" w:name="_Toc16737"/>
            <w:bookmarkStart w:id="491" w:name="_Toc15910"/>
            <w:bookmarkStart w:id="492" w:name="_Toc11632"/>
            <w:r>
              <w:rPr>
                <w:rFonts w:hint="eastAsia" w:ascii="宋体" w:hAnsi="宋体" w:eastAsia="宋体" w:cs="宋体"/>
                <w:b w:val="0"/>
                <w:bCs w:val="0"/>
                <w:color w:val="auto"/>
                <w:kern w:val="2"/>
                <w:sz w:val="20"/>
                <w:szCs w:val="20"/>
                <w:highlight w:val="none"/>
                <w:lang w:val="en-US" w:eastAsia="zh-CN" w:bidi="ar-SA"/>
              </w:rPr>
              <w:t>针对本项目实际配置的项目组人员</w:t>
            </w:r>
            <w:r>
              <w:rPr>
                <w:rFonts w:hint="eastAsia" w:ascii="宋体" w:hAnsi="宋体" w:cs="宋体"/>
                <w:b w:val="0"/>
                <w:bCs w:val="0"/>
                <w:color w:val="auto"/>
                <w:kern w:val="2"/>
                <w:sz w:val="20"/>
                <w:szCs w:val="20"/>
                <w:highlight w:val="none"/>
                <w:lang w:val="en-US" w:eastAsia="zh-CN" w:bidi="ar-SA"/>
              </w:rPr>
              <w:t>（采购、运输、安装、培训、售后等）</w:t>
            </w:r>
            <w:r>
              <w:rPr>
                <w:rFonts w:hint="eastAsia" w:ascii="宋体" w:hAnsi="宋体" w:eastAsia="宋体" w:cs="宋体"/>
                <w:b w:val="0"/>
                <w:bCs w:val="0"/>
                <w:color w:val="auto"/>
                <w:kern w:val="2"/>
                <w:sz w:val="20"/>
                <w:szCs w:val="20"/>
                <w:highlight w:val="none"/>
                <w:lang w:val="en-US" w:eastAsia="zh-CN" w:bidi="ar-SA"/>
              </w:rPr>
              <w:t>结构完善、工作划分科学具体、相关证明材料齐全，能完全满足采购需求的得</w:t>
            </w:r>
            <w:r>
              <w:rPr>
                <w:rFonts w:hint="eastAsia" w:ascii="宋体" w:hAnsi="宋体" w:cs="宋体"/>
                <w:b w:val="0"/>
                <w:bCs w:val="0"/>
                <w:color w:val="auto"/>
                <w:kern w:val="2"/>
                <w:sz w:val="20"/>
                <w:szCs w:val="20"/>
                <w:highlight w:val="none"/>
                <w:lang w:val="en-US" w:eastAsia="zh-CN" w:bidi="ar-SA"/>
              </w:rPr>
              <w:t>4</w:t>
            </w:r>
            <w:r>
              <w:rPr>
                <w:rFonts w:hint="eastAsia" w:ascii="宋体" w:hAnsi="宋体" w:eastAsia="宋体" w:cs="宋体"/>
                <w:b w:val="0"/>
                <w:bCs w:val="0"/>
                <w:color w:val="auto"/>
                <w:kern w:val="2"/>
                <w:sz w:val="20"/>
                <w:szCs w:val="20"/>
                <w:highlight w:val="none"/>
                <w:lang w:val="en-US" w:eastAsia="zh-CN" w:bidi="ar-SA"/>
              </w:rPr>
              <w:t>分；人员结构较完善、工作划分较科学具体、相关证明材料齐全，能基本满足采购需求的得</w:t>
            </w:r>
            <w:r>
              <w:rPr>
                <w:rFonts w:hint="eastAsia" w:ascii="宋体" w:hAnsi="宋体" w:cs="宋体"/>
                <w:b w:val="0"/>
                <w:bCs w:val="0"/>
                <w:color w:val="auto"/>
                <w:kern w:val="2"/>
                <w:sz w:val="20"/>
                <w:szCs w:val="20"/>
                <w:highlight w:val="none"/>
                <w:lang w:val="en-US" w:eastAsia="zh-CN" w:bidi="ar-SA"/>
              </w:rPr>
              <w:t>2</w:t>
            </w:r>
            <w:r>
              <w:rPr>
                <w:rFonts w:hint="eastAsia" w:ascii="宋体" w:hAnsi="宋体" w:eastAsia="宋体" w:cs="宋体"/>
                <w:b w:val="0"/>
                <w:bCs w:val="0"/>
                <w:color w:val="auto"/>
                <w:kern w:val="2"/>
                <w:sz w:val="20"/>
                <w:szCs w:val="20"/>
                <w:highlight w:val="none"/>
                <w:lang w:val="en-US" w:eastAsia="zh-CN" w:bidi="ar-SA"/>
              </w:rPr>
              <w:t>分；人员结构完善度欠缺、工作划分粗略混乱、相关证明材料齐全性欠缺，偏离采购需求的得1分；未提供人员配置的不得分。</w:t>
            </w:r>
            <w:bookmarkEnd w:id="486"/>
            <w:bookmarkEnd w:id="487"/>
            <w:bookmarkEnd w:id="488"/>
            <w:bookmarkEnd w:id="489"/>
            <w:bookmarkEnd w:id="490"/>
            <w:bookmarkEnd w:id="491"/>
            <w:bookmarkEnd w:id="492"/>
          </w:p>
        </w:tc>
      </w:tr>
      <w:tr w14:paraId="67F20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trPr>
        <w:tc>
          <w:tcPr>
            <w:tcW w:w="1218" w:type="dxa"/>
            <w:vMerge w:val="continue"/>
            <w:vAlign w:val="center"/>
          </w:tcPr>
          <w:p w14:paraId="139FF8D1">
            <w:pPr>
              <w:keepNext w:val="0"/>
              <w:keepLines w:val="0"/>
              <w:pageBreakBefore w:val="0"/>
              <w:widowControl w:val="0"/>
              <w:kinsoku/>
              <w:wordWrap/>
              <w:overflowPunct/>
              <w:topLinePunct w:val="0"/>
              <w:bidi w:val="0"/>
              <w:snapToGrid/>
              <w:spacing w:beforeAutospacing="0" w:afterAutospacing="0" w:line="400" w:lineRule="exact"/>
              <w:jc w:val="center"/>
              <w:textAlignment w:val="auto"/>
              <w:outlineLvl w:val="9"/>
              <w:rPr>
                <w:rFonts w:hint="eastAsia" w:ascii="宋体" w:hAnsi="宋体" w:eastAsia="宋体" w:cs="宋体"/>
                <w:color w:val="auto"/>
                <w:sz w:val="20"/>
                <w:szCs w:val="20"/>
                <w:highlight w:val="none"/>
                <w:lang w:val="en-US" w:eastAsia="zh-CN"/>
              </w:rPr>
            </w:pPr>
          </w:p>
        </w:tc>
        <w:tc>
          <w:tcPr>
            <w:tcW w:w="8535" w:type="dxa"/>
            <w:gridSpan w:val="2"/>
            <w:vAlign w:val="center"/>
          </w:tcPr>
          <w:p w14:paraId="6176C3A4">
            <w:pPr>
              <w:keepNext w:val="0"/>
              <w:keepLines w:val="0"/>
              <w:pageBreakBefore w:val="0"/>
              <w:widowControl w:val="0"/>
              <w:kinsoku/>
              <w:wordWrap/>
              <w:overflowPunct/>
              <w:topLinePunct w:val="0"/>
              <w:bidi w:val="0"/>
              <w:snapToGrid/>
              <w:spacing w:line="400" w:lineRule="exact"/>
              <w:ind w:left="5" w:leftChars="0" w:hanging="5" w:firstLineChars="0"/>
              <w:outlineLvl w:val="9"/>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备注：对各</w:t>
            </w:r>
            <w:r>
              <w:rPr>
                <w:rFonts w:hint="eastAsia" w:ascii="宋体" w:hAnsi="宋体" w:eastAsia="宋体" w:cs="宋体"/>
                <w:color w:val="auto"/>
                <w:kern w:val="0"/>
                <w:sz w:val="20"/>
                <w:szCs w:val="20"/>
                <w:highlight w:val="none"/>
                <w:lang w:eastAsia="zh-CN"/>
              </w:rPr>
              <w:t>投标人</w:t>
            </w:r>
            <w:r>
              <w:rPr>
                <w:rFonts w:hint="eastAsia" w:ascii="宋体" w:hAnsi="宋体" w:eastAsia="宋体" w:cs="宋体"/>
                <w:color w:val="auto"/>
                <w:kern w:val="0"/>
                <w:sz w:val="20"/>
                <w:szCs w:val="20"/>
                <w:highlight w:val="none"/>
              </w:rPr>
              <w:t>的投标文件的</w:t>
            </w:r>
            <w:r>
              <w:rPr>
                <w:rFonts w:hint="eastAsia" w:ascii="宋体" w:hAnsi="宋体" w:eastAsia="宋体" w:cs="宋体"/>
                <w:color w:val="auto"/>
                <w:kern w:val="0"/>
                <w:sz w:val="20"/>
                <w:szCs w:val="20"/>
                <w:highlight w:val="none"/>
                <w:lang w:val="en-US" w:eastAsia="zh-CN"/>
              </w:rPr>
              <w:t>服务</w:t>
            </w:r>
            <w:r>
              <w:rPr>
                <w:rFonts w:hint="eastAsia" w:ascii="宋体" w:hAnsi="宋体" w:eastAsia="宋体" w:cs="宋体"/>
                <w:color w:val="auto"/>
                <w:kern w:val="0"/>
                <w:sz w:val="20"/>
                <w:szCs w:val="20"/>
                <w:highlight w:val="none"/>
              </w:rPr>
              <w:t>文件独立进行打分。</w:t>
            </w:r>
          </w:p>
        </w:tc>
      </w:tr>
    </w:tbl>
    <w:p w14:paraId="0809FF24">
      <w:pPr>
        <w:pStyle w:val="11"/>
        <w:pageBreakBefore w:val="0"/>
        <w:kinsoku/>
        <w:overflowPunct/>
        <w:topLinePunct w:val="0"/>
        <w:bidi w:val="0"/>
        <w:spacing w:beforeAutospacing="0" w:afterAutospacing="0" w:line="360" w:lineRule="auto"/>
        <w:ind w:left="0"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（四）得分汇总</w:t>
      </w:r>
    </w:p>
    <w:p w14:paraId="6E1E77B4">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1.评委应首先对各</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投标文件进行评审，写出书面意见并按招标文件规定分值评分，各分档评分中间不得用插入法评分。</w:t>
      </w:r>
    </w:p>
    <w:p w14:paraId="1C884C59">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2.除投标价格得分（F</w:t>
      </w:r>
      <w:r>
        <w:rPr>
          <w:rFonts w:hint="eastAsia" w:ascii="宋体" w:hAnsi="宋体" w:eastAsia="宋体" w:cs="宋体"/>
          <w:color w:val="auto"/>
          <w:szCs w:val="24"/>
          <w:highlight w:val="none"/>
          <w:vertAlign w:val="subscript"/>
        </w:rPr>
        <w:t>1</w:t>
      </w:r>
      <w:r>
        <w:rPr>
          <w:rFonts w:hint="eastAsia" w:ascii="宋体" w:hAnsi="宋体" w:eastAsia="宋体" w:cs="宋体"/>
          <w:color w:val="auto"/>
          <w:szCs w:val="24"/>
          <w:highlight w:val="none"/>
        </w:rPr>
        <w:t>）外，其余部分由各评委自主评分并签字确认。</w:t>
      </w:r>
    </w:p>
    <w:p w14:paraId="324A1623">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3.统分原则：计算评委打分的算术平均值为</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的该项评分因素的得分，投标报价得分除外（保留小数点后两位）。</w:t>
      </w:r>
    </w:p>
    <w:p w14:paraId="317980BC">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4.得分汇总：各项评分因素得分的总和即为</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最后得分。</w:t>
      </w:r>
    </w:p>
    <w:p w14:paraId="4F2145F0">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5.经评标委员会认定评分畸高、畸低的，评标委员会应当当场修改评标结果，并在评标报告中记载。</w:t>
      </w:r>
    </w:p>
    <w:p w14:paraId="17C6D30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b/>
          <w:bCs/>
          <w:color w:val="auto"/>
          <w:sz w:val="24"/>
          <w:szCs w:val="24"/>
          <w:highlight w:val="none"/>
          <w:lang w:val="en-US" w:eastAsia="zh-CN"/>
        </w:rPr>
      </w:pPr>
      <w:bookmarkStart w:id="493" w:name="_Toc28745"/>
      <w:bookmarkStart w:id="494" w:name="_Toc13451"/>
      <w:bookmarkStart w:id="495" w:name="_Toc2097"/>
      <w:bookmarkStart w:id="496" w:name="_Toc12494"/>
      <w:bookmarkStart w:id="497" w:name="_Toc10870"/>
      <w:bookmarkStart w:id="498" w:name="_Toc26289"/>
      <w:bookmarkStart w:id="499" w:name="_Toc8712"/>
      <w:r>
        <w:rPr>
          <w:rFonts w:hint="eastAsia" w:ascii="宋体" w:hAnsi="宋体" w:eastAsia="宋体" w:cs="宋体"/>
          <w:b/>
          <w:bCs/>
          <w:color w:val="auto"/>
          <w:sz w:val="24"/>
          <w:szCs w:val="24"/>
          <w:highlight w:val="none"/>
          <w:lang w:val="en-US" w:eastAsia="zh-CN"/>
        </w:rPr>
        <w:t>七、推荐原则</w:t>
      </w:r>
      <w:bookmarkEnd w:id="493"/>
      <w:bookmarkEnd w:id="494"/>
    </w:p>
    <w:p w14:paraId="51F91F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评标委员会按各评分因素得分汇总计算出各投标人的总得分，评标结果按评审后总得分由高到低顺序排列。总得分相同的，按照投标报价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节能产品不进行计算），认证证书数量相同的，按照技术部分评审得分由高到低的顺序排列，若最终排名仍一致时，由评标委员会不记名投票决定中标候选投标人排序。</w:t>
      </w:r>
    </w:p>
    <w:p w14:paraId="19976AF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、评标报告编写</w:t>
      </w:r>
      <w:bookmarkEnd w:id="495"/>
      <w:bookmarkEnd w:id="496"/>
      <w:bookmarkEnd w:id="497"/>
      <w:bookmarkEnd w:id="498"/>
      <w:bookmarkEnd w:id="499"/>
    </w:p>
    <w:p w14:paraId="315416A8">
      <w:pPr>
        <w:pStyle w:val="11"/>
        <w:pageBreakBefore w:val="0"/>
        <w:kinsoku/>
        <w:overflowPunct/>
        <w:topLinePunct w:val="0"/>
        <w:bidi w:val="0"/>
        <w:spacing w:beforeAutospacing="0" w:afterAutospacing="0" w:line="360" w:lineRule="auto"/>
        <w:ind w:left="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评标委员会根据全体评标成员签字的评标记录和评标结果编写评标报告。</w:t>
      </w:r>
    </w:p>
    <w:p w14:paraId="1223824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outlineLvl w:val="1"/>
        <w:rPr>
          <w:rFonts w:hint="eastAsia" w:ascii="宋体" w:hAnsi="宋体" w:eastAsia="宋体" w:cs="宋体"/>
          <w:b/>
          <w:bCs/>
          <w:color w:val="auto"/>
          <w:sz w:val="24"/>
          <w:szCs w:val="24"/>
          <w:highlight w:val="none"/>
        </w:rPr>
      </w:pPr>
      <w:bookmarkStart w:id="500" w:name="_Toc19558"/>
      <w:bookmarkStart w:id="501" w:name="_Toc25832"/>
      <w:bookmarkStart w:id="502" w:name="_Toc6330"/>
      <w:bookmarkStart w:id="503" w:name="_Toc18441"/>
      <w:bookmarkStart w:id="504" w:name="_Toc20971"/>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、评标结果</w:t>
      </w:r>
      <w:bookmarkEnd w:id="500"/>
      <w:bookmarkEnd w:id="501"/>
      <w:bookmarkEnd w:id="502"/>
      <w:bookmarkEnd w:id="503"/>
      <w:bookmarkEnd w:id="504"/>
    </w:p>
    <w:p w14:paraId="6D7D8291">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1.评标委员会按得分由高到低顺序推荐中标候选人，并提出书面评标报告。</w:t>
      </w:r>
    </w:p>
    <w:p w14:paraId="107BC00C">
      <w:pPr>
        <w:pageBreakBefore w:val="0"/>
        <w:kinsoku/>
        <w:overflowPunct/>
        <w:topLinePunct w:val="0"/>
        <w:bidi w:val="0"/>
        <w:spacing w:beforeAutospacing="0" w:afterAutospacing="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2.采购人根据评标委员会提出的书面评标报告和推荐的中标候选人名单，按顺序确定中标人。</w:t>
      </w:r>
    </w:p>
    <w:p w14:paraId="2A42A0D8">
      <w:pPr>
        <w:rPr>
          <w:rFonts w:hint="eastAsia" w:ascii="宋体" w:hAnsi="宋体" w:eastAsia="宋体" w:cs="宋体"/>
          <w:color w:val="auto"/>
          <w:sz w:val="44"/>
          <w:szCs w:val="44"/>
          <w:highlight w:val="none"/>
        </w:rPr>
      </w:pPr>
      <w:bookmarkStart w:id="505" w:name="_Toc12522"/>
      <w:bookmarkStart w:id="506" w:name="_Toc383"/>
      <w:bookmarkStart w:id="507" w:name="_Toc13310"/>
      <w:r>
        <w:rPr>
          <w:rFonts w:hint="eastAsia" w:ascii="宋体" w:hAnsi="宋体" w:eastAsia="宋体" w:cs="宋体"/>
          <w:color w:val="auto"/>
          <w:sz w:val="44"/>
          <w:szCs w:val="44"/>
          <w:highlight w:val="none"/>
        </w:rPr>
        <w:br w:type="page"/>
      </w:r>
    </w:p>
    <w:p w14:paraId="612C6260">
      <w:pPr>
        <w:pStyle w:val="2"/>
        <w:pageBreakBefore w:val="0"/>
        <w:numPr>
          <w:ilvl w:val="3"/>
          <w:numId w:val="0"/>
        </w:numPr>
        <w:kinsoku/>
        <w:overflowPunct/>
        <w:topLinePunct w:val="0"/>
        <w:bidi w:val="0"/>
        <w:snapToGrid w:val="0"/>
        <w:spacing w:beforeAutospacing="0" w:afterAutospacing="0" w:line="360" w:lineRule="auto"/>
        <w:jc w:val="center"/>
        <w:rPr>
          <w:rFonts w:hint="eastAsia" w:ascii="宋体" w:hAnsi="宋体" w:eastAsia="宋体" w:cs="宋体"/>
          <w:color w:val="auto"/>
          <w:sz w:val="44"/>
          <w:szCs w:val="44"/>
          <w:highlight w:val="none"/>
        </w:rPr>
      </w:pPr>
      <w:bookmarkStart w:id="508" w:name="_Toc28794"/>
      <w:r>
        <w:rPr>
          <w:rFonts w:hint="eastAsia" w:ascii="宋体" w:hAnsi="宋体" w:eastAsia="宋体" w:cs="宋体"/>
          <w:color w:val="auto"/>
          <w:sz w:val="44"/>
          <w:szCs w:val="44"/>
          <w:highlight w:val="none"/>
        </w:rPr>
        <w:t xml:space="preserve">第五章  </w:t>
      </w:r>
      <w:bookmarkEnd w:id="348"/>
      <w:r>
        <w:rPr>
          <w:rFonts w:hint="eastAsia" w:ascii="宋体" w:hAnsi="宋体" w:eastAsia="宋体" w:cs="宋体"/>
          <w:color w:val="auto"/>
          <w:sz w:val="44"/>
          <w:szCs w:val="44"/>
          <w:highlight w:val="none"/>
        </w:rPr>
        <w:t>合同书样式及主要条款</w:t>
      </w:r>
      <w:bookmarkEnd w:id="505"/>
      <w:bookmarkEnd w:id="506"/>
      <w:bookmarkEnd w:id="507"/>
      <w:bookmarkEnd w:id="508"/>
    </w:p>
    <w:p w14:paraId="4E3C3DA9">
      <w:pPr>
        <w:pageBreakBefore w:val="0"/>
        <w:kinsoku/>
        <w:overflowPunct/>
        <w:topLinePunct w:val="0"/>
        <w:bidi w:val="0"/>
        <w:spacing w:beforeAutospacing="0" w:afterAutospacing="0" w:line="360" w:lineRule="auto"/>
        <w:rPr>
          <w:rFonts w:hint="eastAsia" w:ascii="宋体" w:hAnsi="宋体" w:eastAsia="宋体" w:cs="宋体"/>
          <w:color w:val="auto"/>
          <w:sz w:val="22"/>
          <w:szCs w:val="24"/>
          <w:highlight w:val="none"/>
        </w:rPr>
      </w:pPr>
    </w:p>
    <w:p w14:paraId="2B663AD0">
      <w:pPr>
        <w:pStyle w:val="3"/>
        <w:pageBreakBefore w:val="0"/>
        <w:numPr>
          <w:ilvl w:val="0"/>
          <w:numId w:val="0"/>
        </w:numPr>
        <w:tabs>
          <w:tab w:val="clear" w:pos="720"/>
        </w:tabs>
        <w:kinsoku/>
        <w:overflowPunct/>
        <w:topLinePunct w:val="0"/>
        <w:bidi w:val="0"/>
        <w:spacing w:before="0" w:beforeAutospacing="0" w:after="0" w:afterAutospacing="0" w:line="360" w:lineRule="auto"/>
        <w:jc w:val="center"/>
        <w:rPr>
          <w:rFonts w:hint="eastAsia" w:ascii="宋体" w:hAnsi="宋体" w:eastAsia="宋体" w:cs="宋体"/>
          <w:color w:val="auto"/>
          <w:highlight w:val="none"/>
        </w:rPr>
      </w:pPr>
      <w:bookmarkStart w:id="509" w:name="_Toc28314"/>
      <w:bookmarkStart w:id="510" w:name="_Toc22322"/>
      <w:bookmarkStart w:id="511" w:name="_Toc13718"/>
      <w:bookmarkStart w:id="512" w:name="_Toc571"/>
      <w:bookmarkStart w:id="513" w:name="_Toc4358"/>
      <w:r>
        <w:rPr>
          <w:rFonts w:hint="eastAsia" w:ascii="宋体" w:hAnsi="宋体" w:eastAsia="宋体" w:cs="宋体"/>
          <w:color w:val="auto"/>
          <w:highlight w:val="none"/>
        </w:rPr>
        <w:t>合同条款前附表</w:t>
      </w:r>
      <w:bookmarkEnd w:id="509"/>
      <w:bookmarkEnd w:id="510"/>
      <w:bookmarkEnd w:id="511"/>
      <w:bookmarkEnd w:id="512"/>
      <w:bookmarkEnd w:id="513"/>
    </w:p>
    <w:tbl>
      <w:tblPr>
        <w:tblStyle w:val="25"/>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8360"/>
      </w:tblGrid>
      <w:tr w14:paraId="06779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1E631AB0">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360" w:type="dxa"/>
            <w:vAlign w:val="center"/>
          </w:tcPr>
          <w:p w14:paraId="415AA455">
            <w:pPr>
              <w:pStyle w:val="14"/>
              <w:pageBreakBefore w:val="0"/>
              <w:kinsoku/>
              <w:overflowPunct/>
              <w:topLinePunct w:val="0"/>
              <w:bidi w:val="0"/>
              <w:spacing w:beforeAutospacing="0" w:afterAutospacing="0" w:line="360" w:lineRule="auto"/>
              <w:ind w:firstLine="2" w:firstLineChars="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      容</w:t>
            </w:r>
          </w:p>
        </w:tc>
      </w:tr>
      <w:tr w14:paraId="6E46B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3F7BDB30">
            <w:pPr>
              <w:pStyle w:val="14"/>
              <w:pageBreakBefore w:val="0"/>
              <w:kinsoku/>
              <w:overflowPunct/>
              <w:topLinePunct w:val="0"/>
              <w:bidi w:val="0"/>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360" w:type="dxa"/>
            <w:vAlign w:val="center"/>
          </w:tcPr>
          <w:p w14:paraId="7E028A53">
            <w:pPr>
              <w:pageBreakBefore w:val="0"/>
              <w:kinsoku/>
              <w:overflowPunct/>
              <w:topLinePunct w:val="0"/>
              <w:bidi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val="en-US" w:eastAsia="zh-CN"/>
              </w:rPr>
              <w:t>交付</w:t>
            </w:r>
            <w:r>
              <w:rPr>
                <w:rFonts w:hint="eastAsia" w:ascii="宋体" w:hAnsi="宋体" w:eastAsia="宋体" w:cs="宋体"/>
                <w:color w:val="auto"/>
                <w:sz w:val="24"/>
                <w:szCs w:val="24"/>
                <w:highlight w:val="none"/>
              </w:rPr>
              <w:t>地点</w:t>
            </w:r>
          </w:p>
          <w:p w14:paraId="6FA97A34">
            <w:pPr>
              <w:pageBreakBefore w:val="0"/>
              <w:numPr>
                <w:ilvl w:val="0"/>
                <w:numId w:val="0"/>
              </w:numPr>
              <w:kinsoku/>
              <w:overflowPunct/>
              <w:topLinePunct w:val="0"/>
              <w:bidi w:val="0"/>
              <w:spacing w:beforeAutospacing="0" w:afterAutospacing="0" w:line="360" w:lineRule="auto"/>
              <w:ind w:left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合同签订生效后45日历天内完成供货及安装调试并交付使用</w:t>
            </w:r>
            <w:r>
              <w:rPr>
                <w:rFonts w:hint="eastAsia" w:ascii="宋体" w:hAnsi="宋体" w:eastAsia="宋体" w:cs="宋体"/>
                <w:color w:val="auto"/>
                <w:sz w:val="24"/>
                <w:szCs w:val="24"/>
                <w:highlight w:val="none"/>
                <w:lang w:eastAsia="zh-CN"/>
              </w:rPr>
              <w:t>。</w:t>
            </w:r>
          </w:p>
          <w:p w14:paraId="16C367F2">
            <w:pPr>
              <w:pageBreakBefore w:val="0"/>
              <w:numPr>
                <w:ilvl w:val="0"/>
                <w:numId w:val="0"/>
              </w:numPr>
              <w:kinsoku/>
              <w:overflowPunct/>
              <w:topLinePunct w:val="0"/>
              <w:bidi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交付</w:t>
            </w: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lang w:val="en-US" w:eastAsia="zh-CN"/>
              </w:rPr>
              <w:t>云南省昆明市</w:t>
            </w:r>
            <w:r>
              <w:rPr>
                <w:rFonts w:hint="eastAsia" w:ascii="宋体" w:hAnsi="宋体" w:eastAsia="宋体" w:cs="宋体"/>
                <w:color w:val="auto"/>
                <w:sz w:val="24"/>
                <w:szCs w:val="24"/>
                <w:highlight w:val="none"/>
                <w:lang w:eastAsia="zh-CN"/>
              </w:rPr>
              <w:t>。</w:t>
            </w:r>
          </w:p>
          <w:p w14:paraId="094A3EF7">
            <w:pPr>
              <w:pageBreakBefore w:val="0"/>
              <w:numPr>
                <w:ilvl w:val="0"/>
                <w:numId w:val="0"/>
              </w:numPr>
              <w:kinsoku/>
              <w:overflowPunct/>
              <w:topLinePunct w:val="0"/>
              <w:bidi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合同付款方式：合同签订生效且收到履约保证金后15日历天内支付合同金额的30%作为预付款;货物到场安装调试完毕并验收合格后支付合同金额的70%尾款。</w:t>
            </w:r>
          </w:p>
        </w:tc>
      </w:tr>
    </w:tbl>
    <w:p w14:paraId="793BB690">
      <w:pPr>
        <w:pageBreakBefore w:val="0"/>
        <w:kinsoku/>
        <w:overflowPunct/>
        <w:topLinePunct w:val="0"/>
        <w:bidi w:val="0"/>
        <w:spacing w:beforeAutospacing="0" w:afterAutospacing="0" w:line="360" w:lineRule="auto"/>
        <w:rPr>
          <w:rFonts w:hint="eastAsia" w:ascii="宋体" w:hAnsi="宋体" w:eastAsia="宋体" w:cs="宋体"/>
          <w:color w:val="auto"/>
          <w:kern w:val="0"/>
          <w:sz w:val="28"/>
          <w:szCs w:val="24"/>
          <w:highlight w:val="none"/>
        </w:rPr>
      </w:pPr>
    </w:p>
    <w:p w14:paraId="54B3AD83">
      <w:pPr>
        <w:pageBreakBefore w:val="0"/>
        <w:kinsoku/>
        <w:overflowPunct/>
        <w:topLinePunct w:val="0"/>
        <w:bidi w:val="0"/>
        <w:spacing w:beforeAutospacing="0" w:afterAutospacing="0" w:line="360" w:lineRule="auto"/>
        <w:rPr>
          <w:rFonts w:hint="eastAsia" w:ascii="宋体" w:hAnsi="宋体" w:eastAsia="宋体" w:cs="宋体"/>
          <w:color w:val="auto"/>
          <w:kern w:val="0"/>
          <w:sz w:val="28"/>
          <w:szCs w:val="24"/>
          <w:highlight w:val="none"/>
        </w:rPr>
      </w:pPr>
      <w:r>
        <w:rPr>
          <w:rFonts w:hint="eastAsia" w:ascii="宋体" w:hAnsi="宋体" w:eastAsia="宋体" w:cs="宋体"/>
          <w:color w:val="auto"/>
          <w:kern w:val="0"/>
          <w:sz w:val="28"/>
          <w:szCs w:val="24"/>
          <w:highlight w:val="none"/>
        </w:rPr>
        <w:br w:type="page"/>
      </w:r>
    </w:p>
    <w:p w14:paraId="04AB3E85">
      <w:pPr>
        <w:widowControl/>
        <w:tabs>
          <w:tab w:val="left" w:pos="1155"/>
          <w:tab w:val="left" w:pos="2865"/>
          <w:tab w:val="left" w:pos="5307"/>
          <w:tab w:val="left" w:pos="5595"/>
          <w:tab w:val="left" w:pos="6620"/>
          <w:tab w:val="left" w:pos="7940"/>
        </w:tabs>
        <w:jc w:val="center"/>
        <w:rPr>
          <w:rFonts w:hint="default" w:ascii="Times New Roman" w:hAnsi="Times New Roman" w:eastAsia="仿宋" w:cs="Times New Roman"/>
          <w:b/>
          <w:kern w:val="0"/>
          <w:sz w:val="52"/>
          <w:szCs w:val="52"/>
          <w:highlight w:val="none"/>
        </w:rPr>
      </w:pPr>
      <w:r>
        <w:rPr>
          <w:rFonts w:hint="default" w:ascii="Times New Roman" w:hAnsi="Times New Roman" w:eastAsia="仿宋" w:cs="Times New Roman"/>
          <w:b/>
          <w:kern w:val="0"/>
          <w:sz w:val="52"/>
          <w:szCs w:val="52"/>
          <w:highlight w:val="none"/>
        </w:rPr>
        <w:t>政府采购合同</w:t>
      </w:r>
    </w:p>
    <w:p w14:paraId="665EABC9">
      <w:pPr>
        <w:widowControl/>
        <w:spacing w:line="600" w:lineRule="exact"/>
        <w:jc w:val="center"/>
        <w:rPr>
          <w:rFonts w:hint="default" w:ascii="Times New Roman" w:hAnsi="Times New Roman" w:eastAsia="仿宋" w:cs="Times New Roman"/>
          <w:b/>
          <w:kern w:val="0"/>
          <w:sz w:val="32"/>
          <w:szCs w:val="32"/>
          <w:highlight w:val="none"/>
        </w:rPr>
      </w:pPr>
      <w:r>
        <w:rPr>
          <w:rFonts w:hint="default" w:ascii="Times New Roman" w:hAnsi="Times New Roman" w:eastAsia="仿宋" w:cs="Times New Roman"/>
          <w:b/>
          <w:kern w:val="0"/>
          <w:sz w:val="32"/>
          <w:szCs w:val="32"/>
          <w:highlight w:val="none"/>
        </w:rPr>
        <w:t>(电子交易项目适用)</w:t>
      </w:r>
    </w:p>
    <w:p w14:paraId="0F40D4C1">
      <w:pPr>
        <w:widowControl/>
        <w:spacing w:after="240"/>
        <w:jc w:val="center"/>
        <w:rPr>
          <w:rFonts w:hint="default" w:ascii="Times New Roman" w:hAnsi="Times New Roman" w:eastAsia="仿宋" w:cs="Times New Roman"/>
          <w:kern w:val="0"/>
          <w:sz w:val="36"/>
          <w:szCs w:val="36"/>
          <w:highlight w:val="none"/>
        </w:rPr>
      </w:pPr>
      <w:r>
        <w:rPr>
          <w:rFonts w:hint="default" w:ascii="Times New Roman" w:hAnsi="Times New Roman" w:eastAsia="仿宋" w:cs="Times New Roman"/>
          <w:kern w:val="0"/>
          <w:sz w:val="36"/>
          <w:szCs w:val="36"/>
          <w:highlight w:val="none"/>
        </w:rPr>
        <w:t>（此合同模板为参考，具体合同内容以双方约定为准）</w:t>
      </w:r>
    </w:p>
    <w:p w14:paraId="16C20EE9">
      <w:pPr>
        <w:widowControl/>
        <w:spacing w:after="240" w:line="600" w:lineRule="exact"/>
        <w:ind w:firstLine="1084" w:firstLineChars="300"/>
        <w:jc w:val="left"/>
        <w:rPr>
          <w:rFonts w:hint="default" w:ascii="Times New Roman" w:hAnsi="Times New Roman" w:eastAsia="仿宋" w:cs="Times New Roman"/>
          <w:b/>
          <w:bCs/>
          <w:kern w:val="0"/>
          <w:sz w:val="36"/>
          <w:szCs w:val="36"/>
          <w:highlight w:val="none"/>
        </w:rPr>
      </w:pPr>
    </w:p>
    <w:p w14:paraId="2D809EC9">
      <w:pPr>
        <w:widowControl/>
        <w:spacing w:after="240" w:line="600" w:lineRule="exact"/>
        <w:ind w:firstLine="1084" w:firstLineChars="300"/>
        <w:jc w:val="left"/>
        <w:rPr>
          <w:rFonts w:hint="default" w:ascii="Times New Roman" w:hAnsi="Times New Roman" w:eastAsia="仿宋" w:cs="Times New Roman"/>
          <w:b/>
          <w:bCs/>
          <w:kern w:val="0"/>
          <w:sz w:val="36"/>
          <w:szCs w:val="36"/>
          <w:highlight w:val="none"/>
        </w:rPr>
      </w:pPr>
    </w:p>
    <w:p w14:paraId="4284B0D4">
      <w:pPr>
        <w:widowControl/>
        <w:spacing w:after="400" w:line="600" w:lineRule="exact"/>
        <w:ind w:firstLine="964" w:firstLineChars="300"/>
        <w:jc w:val="left"/>
        <w:rPr>
          <w:rFonts w:hint="default" w:ascii="Times New Roman" w:hAnsi="Times New Roman" w:eastAsia="仿宋" w:cs="Times New Roman"/>
          <w:b/>
          <w:bCs/>
          <w:kern w:val="0"/>
          <w:sz w:val="32"/>
          <w:szCs w:val="32"/>
          <w:highlight w:val="none"/>
          <w:u w:val="single"/>
        </w:rPr>
      </w:pPr>
      <w:r>
        <w:rPr>
          <w:rFonts w:hint="default" w:ascii="Times New Roman" w:hAnsi="Times New Roman" w:eastAsia="仿宋" w:cs="Times New Roman"/>
          <w:b/>
          <w:bCs/>
          <w:kern w:val="0"/>
          <w:sz w:val="32"/>
          <w:szCs w:val="32"/>
          <w:highlight w:val="none"/>
        </w:rPr>
        <w:t>项目名称：</w:t>
      </w:r>
      <w:r>
        <w:rPr>
          <w:rFonts w:hint="default" w:ascii="Times New Roman" w:hAnsi="Times New Roman" w:eastAsia="仿宋" w:cs="Times New Roman"/>
          <w:b/>
          <w:bCs/>
          <w:kern w:val="0"/>
          <w:sz w:val="32"/>
          <w:szCs w:val="32"/>
          <w:highlight w:val="none"/>
          <w:u w:val="single"/>
        </w:rPr>
        <w:t xml:space="preserve">                       </w:t>
      </w:r>
    </w:p>
    <w:p w14:paraId="2B89FB1E">
      <w:pPr>
        <w:widowControl/>
        <w:spacing w:after="400" w:line="600" w:lineRule="exact"/>
        <w:ind w:firstLine="964" w:firstLineChars="300"/>
        <w:jc w:val="left"/>
        <w:rPr>
          <w:rFonts w:hint="default" w:ascii="Times New Roman" w:hAnsi="Times New Roman" w:eastAsia="仿宋" w:cs="Times New Roman"/>
          <w:b/>
          <w:bCs/>
          <w:kern w:val="0"/>
          <w:sz w:val="32"/>
          <w:szCs w:val="32"/>
          <w:highlight w:val="none"/>
        </w:rPr>
      </w:pPr>
      <w:r>
        <w:rPr>
          <w:rFonts w:hint="default" w:ascii="Times New Roman" w:hAnsi="Times New Roman" w:eastAsia="仿宋" w:cs="Times New Roman"/>
          <w:b/>
          <w:bCs/>
          <w:kern w:val="0"/>
          <w:sz w:val="32"/>
          <w:szCs w:val="32"/>
          <w:highlight w:val="none"/>
        </w:rPr>
        <w:t>合同编号：</w:t>
      </w:r>
      <w:r>
        <w:rPr>
          <w:rFonts w:hint="default" w:ascii="Times New Roman" w:hAnsi="Times New Roman" w:eastAsia="仿宋" w:cs="Times New Roman"/>
          <w:b/>
          <w:bCs/>
          <w:kern w:val="0"/>
          <w:sz w:val="32"/>
          <w:szCs w:val="32"/>
          <w:highlight w:val="none"/>
          <w:u w:val="single"/>
        </w:rPr>
        <w:t xml:space="preserve">                       </w:t>
      </w:r>
      <w:r>
        <w:rPr>
          <w:rFonts w:hint="default" w:ascii="Times New Roman" w:hAnsi="Times New Roman" w:eastAsia="仿宋" w:cs="Times New Roman"/>
          <w:b/>
          <w:bCs/>
          <w:kern w:val="0"/>
          <w:sz w:val="32"/>
          <w:szCs w:val="32"/>
          <w:highlight w:val="none"/>
        </w:rPr>
        <w:t>（系统编号）</w:t>
      </w:r>
    </w:p>
    <w:p w14:paraId="03096F51">
      <w:pPr>
        <w:widowControl/>
        <w:spacing w:after="400" w:line="600" w:lineRule="exact"/>
        <w:ind w:firstLine="2570" w:firstLineChars="800"/>
        <w:jc w:val="left"/>
        <w:rPr>
          <w:rFonts w:hint="default" w:ascii="Times New Roman" w:hAnsi="Times New Roman" w:eastAsia="仿宋" w:cs="Times New Roman"/>
          <w:b/>
          <w:bCs/>
          <w:kern w:val="0"/>
          <w:sz w:val="32"/>
          <w:szCs w:val="32"/>
          <w:highlight w:val="none"/>
        </w:rPr>
      </w:pPr>
      <w:r>
        <w:rPr>
          <w:rFonts w:hint="default" w:ascii="Times New Roman" w:hAnsi="Times New Roman" w:eastAsia="仿宋" w:cs="Times New Roman"/>
          <w:b/>
          <w:bCs/>
          <w:kern w:val="0"/>
          <w:sz w:val="32"/>
          <w:szCs w:val="32"/>
          <w:highlight w:val="none"/>
          <w:u w:val="single"/>
        </w:rPr>
        <w:t xml:space="preserve">                     </w:t>
      </w:r>
      <w:r>
        <w:rPr>
          <w:rFonts w:hint="default" w:ascii="Times New Roman" w:hAnsi="Times New Roman" w:eastAsia="仿宋" w:cs="Times New Roman"/>
          <w:b/>
          <w:bCs/>
          <w:kern w:val="0"/>
          <w:sz w:val="32"/>
          <w:szCs w:val="32"/>
          <w:highlight w:val="none"/>
        </w:rPr>
        <w:t>（自编号，如有）</w:t>
      </w:r>
    </w:p>
    <w:p w14:paraId="051A101D">
      <w:pPr>
        <w:widowControl/>
        <w:spacing w:after="400" w:line="600" w:lineRule="exact"/>
        <w:ind w:firstLine="964" w:firstLineChars="300"/>
        <w:jc w:val="left"/>
        <w:rPr>
          <w:rFonts w:hint="default" w:ascii="Times New Roman" w:hAnsi="Times New Roman" w:eastAsia="仿宋" w:cs="Times New Roman"/>
          <w:b/>
          <w:bCs/>
          <w:kern w:val="0"/>
          <w:sz w:val="32"/>
          <w:szCs w:val="32"/>
          <w:highlight w:val="none"/>
        </w:rPr>
      </w:pPr>
      <w:r>
        <w:rPr>
          <w:rFonts w:hint="default" w:ascii="Times New Roman" w:hAnsi="Times New Roman" w:eastAsia="仿宋" w:cs="Times New Roman"/>
          <w:b/>
          <w:bCs/>
          <w:kern w:val="0"/>
          <w:sz w:val="32"/>
          <w:szCs w:val="32"/>
          <w:highlight w:val="none"/>
        </w:rPr>
        <w:t>甲     方：</w:t>
      </w:r>
      <w:r>
        <w:rPr>
          <w:rFonts w:hint="default" w:ascii="Times New Roman" w:hAnsi="Times New Roman" w:eastAsia="仿宋" w:cs="Times New Roman"/>
          <w:b/>
          <w:bCs/>
          <w:kern w:val="0"/>
          <w:sz w:val="32"/>
          <w:szCs w:val="32"/>
          <w:highlight w:val="none"/>
          <w:u w:val="single"/>
        </w:rPr>
        <w:t xml:space="preserve">                       </w:t>
      </w:r>
    </w:p>
    <w:p w14:paraId="50F30490">
      <w:pPr>
        <w:widowControl/>
        <w:spacing w:line="900" w:lineRule="exact"/>
        <w:ind w:firstLine="964" w:firstLineChars="300"/>
        <w:rPr>
          <w:b/>
          <w:bCs/>
          <w:color w:val="auto"/>
          <w:kern w:val="0"/>
          <w:sz w:val="28"/>
          <w:szCs w:val="28"/>
          <w:highlight w:val="none"/>
        </w:rPr>
      </w:pPr>
      <w:r>
        <w:rPr>
          <w:rFonts w:hint="default" w:ascii="Times New Roman" w:hAnsi="Times New Roman" w:eastAsia="仿宋" w:cs="Times New Roman"/>
          <w:b/>
          <w:bCs/>
          <w:kern w:val="0"/>
          <w:sz w:val="32"/>
          <w:szCs w:val="32"/>
          <w:highlight w:val="none"/>
        </w:rPr>
        <w:t>乙     方：</w:t>
      </w:r>
      <w:r>
        <w:rPr>
          <w:rFonts w:hint="default" w:ascii="Times New Roman" w:hAnsi="Times New Roman" w:eastAsia="仿宋" w:cs="Times New Roman"/>
          <w:b/>
          <w:bCs/>
          <w:kern w:val="0"/>
          <w:sz w:val="32"/>
          <w:szCs w:val="32"/>
          <w:highlight w:val="none"/>
          <w:u w:val="single"/>
        </w:rPr>
        <w:t xml:space="preserve">                       </w:t>
      </w:r>
    </w:p>
    <w:p w14:paraId="0D6CD217">
      <w:pPr>
        <w:spacing w:line="600" w:lineRule="exact"/>
        <w:jc w:val="left"/>
        <w:rPr>
          <w:color w:val="auto"/>
          <w:sz w:val="24"/>
          <w:szCs w:val="28"/>
          <w:highlight w:val="none"/>
        </w:rPr>
      </w:pPr>
    </w:p>
    <w:p w14:paraId="36E93D05">
      <w:pPr>
        <w:widowControl/>
        <w:spacing w:after="240"/>
        <w:jc w:val="center"/>
        <w:rPr>
          <w:b/>
          <w:bCs/>
          <w:color w:val="auto"/>
          <w:kern w:val="0"/>
          <w:sz w:val="27"/>
          <w:szCs w:val="27"/>
          <w:highlight w:val="none"/>
        </w:rPr>
      </w:pPr>
    </w:p>
    <w:p w14:paraId="0EE8DC7A">
      <w:pPr>
        <w:widowControl/>
        <w:spacing w:line="900" w:lineRule="exact"/>
        <w:rPr>
          <w:rFonts w:hint="eastAsia" w:ascii="仿宋" w:hAnsi="仿宋" w:eastAsia="仿宋" w:cs="仿宋"/>
          <w:b/>
          <w:bCs/>
          <w:color w:val="auto"/>
          <w:kern w:val="0"/>
          <w:sz w:val="28"/>
          <w:szCs w:val="28"/>
          <w:highlight w:val="none"/>
        </w:rPr>
      </w:pPr>
    </w:p>
    <w:p w14:paraId="60FA1097">
      <w:pPr>
        <w:widowControl/>
        <w:snapToGrid w:val="0"/>
        <w:spacing w:before="100" w:beforeAutospacing="1" w:after="100" w:afterAutospacing="1" w:line="579" w:lineRule="exact"/>
        <w:jc w:val="center"/>
        <w:rPr>
          <w:rFonts w:ascii="仿宋" w:hAnsi="仿宋" w:eastAsia="仿宋" w:cs="仿宋"/>
          <w:snapToGrid w:val="0"/>
          <w:kern w:val="0"/>
          <w:sz w:val="27"/>
          <w:szCs w:val="27"/>
        </w:rPr>
      </w:pPr>
      <w:r>
        <w:rPr>
          <w:rFonts w:hint="eastAsia" w:ascii="仿宋" w:hAnsi="仿宋" w:eastAsia="仿宋" w:cs="仿宋"/>
          <w:b/>
          <w:color w:val="auto"/>
          <w:spacing w:val="0"/>
          <w:kern w:val="0"/>
          <w:sz w:val="28"/>
          <w:szCs w:val="24"/>
          <w:highlight w:val="none"/>
        </w:rPr>
        <w:br w:type="page"/>
      </w:r>
    </w:p>
    <w:p w14:paraId="0689D64D">
      <w:pPr>
        <w:pageBreakBefore w:val="0"/>
        <w:widowControl/>
        <w:kinsoku/>
        <w:overflowPunct/>
        <w:topLinePunct w:val="0"/>
        <w:bidi w:val="0"/>
        <w:snapToGrid w:val="0"/>
        <w:spacing w:beforeAutospacing="0" w:afterAutospacing="0" w:line="360" w:lineRule="auto"/>
        <w:jc w:val="both"/>
        <w:rPr>
          <w:rFonts w:hint="eastAsia" w:ascii="宋体" w:hAnsi="宋体" w:eastAsia="宋体" w:cs="宋体"/>
          <w:b/>
          <w:bCs/>
          <w:snapToGrid w:val="0"/>
          <w:color w:val="auto"/>
          <w:kern w:val="0"/>
          <w:sz w:val="27"/>
          <w:szCs w:val="27"/>
          <w:highlight w:val="none"/>
        </w:rPr>
      </w:pPr>
    </w:p>
    <w:p w14:paraId="35BEDFB0">
      <w:pPr>
        <w:pageBreakBefore w:val="0"/>
        <w:widowControl/>
        <w:kinsoku/>
        <w:overflowPunct/>
        <w:topLinePunct w:val="0"/>
        <w:bidi w:val="0"/>
        <w:snapToGrid w:val="0"/>
        <w:spacing w:beforeAutospacing="0" w:afterAutospacing="0" w:line="360" w:lineRule="auto"/>
        <w:jc w:val="left"/>
        <w:rPr>
          <w:rFonts w:hint="eastAsia" w:ascii="宋体" w:hAnsi="宋体" w:eastAsia="宋体" w:cs="宋体"/>
          <w:b/>
          <w:bCs/>
          <w:snapToGrid w:val="0"/>
          <w:color w:val="auto"/>
          <w:kern w:val="0"/>
          <w:sz w:val="24"/>
          <w:highlight w:val="none"/>
        </w:rPr>
      </w:pPr>
    </w:p>
    <w:p w14:paraId="0AF8EF54">
      <w:pPr>
        <w:pageBreakBefore w:val="0"/>
        <w:widowControl/>
        <w:kinsoku/>
        <w:overflowPunct/>
        <w:topLinePunct w:val="0"/>
        <w:bidi w:val="0"/>
        <w:snapToGrid w:val="0"/>
        <w:spacing w:beforeAutospacing="0" w:afterAutospacing="0" w:line="360" w:lineRule="auto"/>
        <w:jc w:val="left"/>
        <w:rPr>
          <w:rFonts w:hint="eastAsia" w:ascii="宋体" w:hAnsi="宋体" w:eastAsia="宋体" w:cs="宋体"/>
          <w:snapToGrid w:val="0"/>
          <w:color w:val="auto"/>
          <w:kern w:val="0"/>
          <w:sz w:val="24"/>
          <w:highlight w:val="none"/>
          <w:lang w:eastAsia="zh-CN"/>
        </w:rPr>
      </w:pPr>
      <w:r>
        <w:rPr>
          <w:rFonts w:hint="eastAsia" w:ascii="宋体" w:hAnsi="宋体" w:eastAsia="宋体" w:cs="宋体"/>
          <w:b/>
          <w:bCs/>
          <w:snapToGrid w:val="0"/>
          <w:color w:val="auto"/>
          <w:kern w:val="0"/>
          <w:sz w:val="24"/>
          <w:highlight w:val="none"/>
        </w:rPr>
        <w:t>甲方</w:t>
      </w:r>
      <w:r>
        <w:rPr>
          <w:rFonts w:hint="eastAsia" w:ascii="宋体" w:hAnsi="宋体" w:eastAsia="宋体" w:cs="宋体"/>
          <w:snapToGrid w:val="0"/>
          <w:color w:val="auto"/>
          <w:kern w:val="0"/>
          <w:sz w:val="24"/>
          <w:highlight w:val="none"/>
        </w:rPr>
        <w:t>（采购人公章）名  称：</w:t>
      </w:r>
    </w:p>
    <w:p w14:paraId="3869FEA4">
      <w:pPr>
        <w:pageBreakBefore w:val="0"/>
        <w:widowControl/>
        <w:kinsoku/>
        <w:overflowPunct/>
        <w:topLinePunct w:val="0"/>
        <w:bidi w:val="0"/>
        <w:snapToGrid w:val="0"/>
        <w:spacing w:beforeAutospacing="0" w:afterAutospacing="0" w:line="360" w:lineRule="auto"/>
        <w:ind w:firstLine="2100" w:firstLineChars="875"/>
        <w:jc w:val="left"/>
        <w:rPr>
          <w:rFonts w:hint="eastAsia" w:ascii="宋体" w:hAnsi="宋体" w:eastAsia="宋体" w:cs="宋体"/>
          <w:snapToGrid w:val="0"/>
          <w:color w:val="auto"/>
          <w:kern w:val="0"/>
          <w:sz w:val="18"/>
          <w:szCs w:val="18"/>
          <w:highlight w:val="none"/>
          <w:lang w:eastAsia="zh-CN"/>
        </w:rPr>
      </w:pPr>
      <w:r>
        <w:rPr>
          <w:rFonts w:hint="eastAsia" w:ascii="宋体" w:hAnsi="宋体" w:eastAsia="宋体" w:cs="宋体"/>
          <w:snapToGrid w:val="0"/>
          <w:color w:val="auto"/>
          <w:kern w:val="0"/>
          <w:sz w:val="24"/>
          <w:highlight w:val="none"/>
        </w:rPr>
        <w:t>地  址：</w:t>
      </w:r>
      <w:r>
        <w:rPr>
          <w:rFonts w:hint="eastAsia" w:ascii="宋体" w:hAnsi="宋体" w:cs="宋体"/>
          <w:snapToGrid w:val="0"/>
          <w:color w:val="auto"/>
          <w:kern w:val="0"/>
          <w:sz w:val="24"/>
          <w:highlight w:val="none"/>
          <w:lang w:eastAsia="zh-CN"/>
        </w:rPr>
        <w:t>昆明市经开区阿拉街道办事处白水塘</w:t>
      </w:r>
    </w:p>
    <w:p w14:paraId="29A6F416">
      <w:pPr>
        <w:pageBreakBefore w:val="0"/>
        <w:widowControl/>
        <w:kinsoku/>
        <w:overflowPunct/>
        <w:topLinePunct w:val="0"/>
        <w:bidi w:val="0"/>
        <w:snapToGrid w:val="0"/>
        <w:spacing w:beforeAutospacing="0" w:afterAutospacing="0" w:line="360" w:lineRule="auto"/>
        <w:ind w:firstLine="2100" w:firstLineChars="875"/>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邮 编：</w:t>
      </w:r>
    </w:p>
    <w:p w14:paraId="0CF04F30">
      <w:pPr>
        <w:pageBreakBefore w:val="0"/>
        <w:widowControl/>
        <w:kinsoku/>
        <w:overflowPunct/>
        <w:topLinePunct w:val="0"/>
        <w:bidi w:val="0"/>
        <w:snapToGrid w:val="0"/>
        <w:spacing w:beforeAutospacing="0" w:afterAutospacing="0" w:line="360" w:lineRule="auto"/>
        <w:ind w:firstLine="2100" w:firstLineChars="875"/>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法定代表人或委托代理人:</w:t>
      </w:r>
    </w:p>
    <w:p w14:paraId="0830F63B">
      <w:pPr>
        <w:pageBreakBefore w:val="0"/>
        <w:widowControl/>
        <w:kinsoku/>
        <w:overflowPunct/>
        <w:topLinePunct w:val="0"/>
        <w:bidi w:val="0"/>
        <w:snapToGrid w:val="0"/>
        <w:spacing w:beforeAutospacing="0" w:afterAutospacing="0" w:line="360" w:lineRule="auto"/>
        <w:ind w:firstLine="2100" w:firstLineChars="875"/>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项目（技术）负责人：</w:t>
      </w:r>
    </w:p>
    <w:p w14:paraId="527E9291">
      <w:pPr>
        <w:pageBreakBefore w:val="0"/>
        <w:kinsoku/>
        <w:overflowPunct/>
        <w:topLinePunct w:val="0"/>
        <w:bidi w:val="0"/>
        <w:spacing w:beforeAutospacing="0" w:afterAutospacing="0" w:line="360" w:lineRule="auto"/>
        <w:ind w:firstLine="2100" w:firstLineChars="875"/>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电  话：</w:t>
      </w:r>
    </w:p>
    <w:p w14:paraId="78545A5B">
      <w:pPr>
        <w:pageBreakBefore w:val="0"/>
        <w:kinsoku/>
        <w:overflowPunct/>
        <w:topLinePunct w:val="0"/>
        <w:bidi w:val="0"/>
        <w:spacing w:beforeAutospacing="0" w:afterAutospacing="0" w:line="360" w:lineRule="auto"/>
        <w:ind w:firstLine="2100" w:firstLineChars="875"/>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签订日期：</w:t>
      </w:r>
    </w:p>
    <w:p w14:paraId="194D95AE">
      <w:pPr>
        <w:pageBreakBefore w:val="0"/>
        <w:widowControl/>
        <w:kinsoku/>
        <w:overflowPunct/>
        <w:topLinePunct w:val="0"/>
        <w:bidi w:val="0"/>
        <w:snapToGrid w:val="0"/>
        <w:spacing w:beforeAutospacing="0" w:afterAutospacing="0" w:line="360" w:lineRule="auto"/>
        <w:jc w:val="left"/>
        <w:rPr>
          <w:rFonts w:hint="eastAsia" w:ascii="宋体" w:hAnsi="宋体" w:eastAsia="宋体" w:cs="宋体"/>
          <w:b/>
          <w:bCs/>
          <w:snapToGrid w:val="0"/>
          <w:color w:val="auto"/>
          <w:kern w:val="0"/>
          <w:sz w:val="24"/>
          <w:highlight w:val="none"/>
        </w:rPr>
      </w:pPr>
    </w:p>
    <w:p w14:paraId="2F8769DB">
      <w:pPr>
        <w:pageBreakBefore w:val="0"/>
        <w:widowControl/>
        <w:kinsoku/>
        <w:overflowPunct/>
        <w:topLinePunct w:val="0"/>
        <w:bidi w:val="0"/>
        <w:snapToGrid w:val="0"/>
        <w:spacing w:beforeAutospacing="0" w:afterAutospacing="0" w:line="360" w:lineRule="auto"/>
        <w:jc w:val="left"/>
        <w:rPr>
          <w:rFonts w:hint="eastAsia" w:ascii="宋体" w:hAnsi="宋体" w:eastAsia="宋体" w:cs="宋体"/>
          <w:b/>
          <w:bCs/>
          <w:snapToGrid w:val="0"/>
          <w:color w:val="auto"/>
          <w:kern w:val="0"/>
          <w:sz w:val="24"/>
          <w:highlight w:val="none"/>
        </w:rPr>
      </w:pPr>
    </w:p>
    <w:p w14:paraId="473D43D5">
      <w:pPr>
        <w:pageBreakBefore w:val="0"/>
        <w:widowControl/>
        <w:kinsoku/>
        <w:overflowPunct/>
        <w:topLinePunct w:val="0"/>
        <w:bidi w:val="0"/>
        <w:snapToGrid w:val="0"/>
        <w:spacing w:beforeAutospacing="0" w:afterAutospacing="0" w:line="360" w:lineRule="auto"/>
        <w:jc w:val="left"/>
        <w:rPr>
          <w:rFonts w:hint="eastAsia" w:ascii="宋体" w:hAnsi="宋体" w:eastAsia="宋体" w:cs="宋体"/>
          <w:b/>
          <w:bCs/>
          <w:snapToGrid w:val="0"/>
          <w:color w:val="auto"/>
          <w:kern w:val="0"/>
          <w:sz w:val="24"/>
          <w:highlight w:val="none"/>
        </w:rPr>
      </w:pPr>
    </w:p>
    <w:p w14:paraId="207ECE77">
      <w:pPr>
        <w:pageBreakBefore w:val="0"/>
        <w:widowControl/>
        <w:kinsoku/>
        <w:overflowPunct/>
        <w:topLinePunct w:val="0"/>
        <w:bidi w:val="0"/>
        <w:snapToGrid w:val="0"/>
        <w:spacing w:beforeAutospacing="0" w:afterAutospacing="0" w:line="360" w:lineRule="auto"/>
        <w:jc w:val="left"/>
        <w:rPr>
          <w:rFonts w:hint="eastAsia" w:ascii="宋体" w:hAnsi="宋体" w:eastAsia="宋体" w:cs="宋体"/>
          <w:b/>
          <w:bCs/>
          <w:snapToGrid w:val="0"/>
          <w:color w:val="auto"/>
          <w:kern w:val="0"/>
          <w:sz w:val="24"/>
          <w:highlight w:val="none"/>
        </w:rPr>
      </w:pPr>
    </w:p>
    <w:p w14:paraId="0F8BD5E9">
      <w:pPr>
        <w:pageBreakBefore w:val="0"/>
        <w:widowControl/>
        <w:kinsoku/>
        <w:overflowPunct/>
        <w:topLinePunct w:val="0"/>
        <w:bidi w:val="0"/>
        <w:snapToGrid w:val="0"/>
        <w:spacing w:beforeAutospacing="0" w:afterAutospacing="0" w:line="360" w:lineRule="auto"/>
        <w:jc w:val="left"/>
        <w:rPr>
          <w:rFonts w:hint="eastAsia" w:ascii="宋体" w:hAnsi="宋体" w:eastAsia="宋体" w:cs="宋体"/>
          <w:b/>
          <w:bCs/>
          <w:snapToGrid w:val="0"/>
          <w:color w:val="auto"/>
          <w:kern w:val="0"/>
          <w:sz w:val="24"/>
          <w:highlight w:val="none"/>
        </w:rPr>
      </w:pPr>
    </w:p>
    <w:p w14:paraId="6724DE45">
      <w:pPr>
        <w:pageBreakBefore w:val="0"/>
        <w:widowControl/>
        <w:kinsoku/>
        <w:overflowPunct/>
        <w:topLinePunct w:val="0"/>
        <w:bidi w:val="0"/>
        <w:snapToGrid w:val="0"/>
        <w:spacing w:beforeAutospacing="0" w:afterAutospacing="0" w:line="360" w:lineRule="auto"/>
        <w:jc w:val="left"/>
        <w:rPr>
          <w:rFonts w:hint="eastAsia" w:ascii="宋体" w:hAnsi="宋体" w:eastAsia="宋体" w:cs="宋体"/>
          <w:b/>
          <w:bCs/>
          <w:snapToGrid w:val="0"/>
          <w:color w:val="auto"/>
          <w:kern w:val="0"/>
          <w:sz w:val="24"/>
          <w:highlight w:val="none"/>
        </w:rPr>
      </w:pPr>
    </w:p>
    <w:p w14:paraId="564883B6">
      <w:pPr>
        <w:pageBreakBefore w:val="0"/>
        <w:widowControl/>
        <w:kinsoku/>
        <w:overflowPunct/>
        <w:topLinePunct w:val="0"/>
        <w:bidi w:val="0"/>
        <w:snapToGrid w:val="0"/>
        <w:spacing w:beforeAutospacing="0" w:afterAutospacing="0"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b/>
          <w:bCs/>
          <w:snapToGrid w:val="0"/>
          <w:color w:val="auto"/>
          <w:kern w:val="0"/>
          <w:sz w:val="24"/>
          <w:highlight w:val="none"/>
        </w:rPr>
        <w:t>乙方</w:t>
      </w:r>
      <w:r>
        <w:rPr>
          <w:rFonts w:hint="eastAsia" w:ascii="宋体" w:hAnsi="宋体" w:eastAsia="宋体" w:cs="宋体"/>
          <w:snapToGrid w:val="0"/>
          <w:color w:val="auto"/>
          <w:kern w:val="0"/>
          <w:sz w:val="24"/>
          <w:highlight w:val="none"/>
        </w:rPr>
        <w:t>（</w:t>
      </w:r>
      <w:r>
        <w:rPr>
          <w:rFonts w:hint="eastAsia" w:ascii="宋体" w:hAnsi="宋体" w:eastAsia="宋体" w:cs="宋体"/>
          <w:snapToGrid w:val="0"/>
          <w:color w:val="auto"/>
          <w:kern w:val="0"/>
          <w:sz w:val="24"/>
          <w:highlight w:val="none"/>
          <w:lang w:eastAsia="zh-CN"/>
        </w:rPr>
        <w:t>投标人</w:t>
      </w:r>
      <w:r>
        <w:rPr>
          <w:rFonts w:hint="eastAsia" w:ascii="宋体" w:hAnsi="宋体" w:eastAsia="宋体" w:cs="宋体"/>
          <w:snapToGrid w:val="0"/>
          <w:color w:val="auto"/>
          <w:kern w:val="0"/>
          <w:sz w:val="24"/>
          <w:highlight w:val="none"/>
        </w:rPr>
        <w:t>公章）名  称：</w:t>
      </w:r>
    </w:p>
    <w:p w14:paraId="3AA28D4A">
      <w:pPr>
        <w:pageBreakBefore w:val="0"/>
        <w:widowControl/>
        <w:kinsoku/>
        <w:overflowPunct/>
        <w:topLinePunct w:val="0"/>
        <w:bidi w:val="0"/>
        <w:snapToGrid w:val="0"/>
        <w:spacing w:beforeAutospacing="0" w:afterAutospacing="0" w:line="360" w:lineRule="auto"/>
        <w:ind w:firstLine="2100" w:firstLineChars="875"/>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地  址：</w:t>
      </w:r>
    </w:p>
    <w:p w14:paraId="6206E1BA">
      <w:pPr>
        <w:pageBreakBefore w:val="0"/>
        <w:widowControl/>
        <w:kinsoku/>
        <w:overflowPunct/>
        <w:topLinePunct w:val="0"/>
        <w:bidi w:val="0"/>
        <w:snapToGrid w:val="0"/>
        <w:spacing w:beforeAutospacing="0" w:afterAutospacing="0" w:line="360" w:lineRule="auto"/>
        <w:ind w:firstLine="2100" w:firstLineChars="875"/>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邮  编：</w:t>
      </w:r>
    </w:p>
    <w:p w14:paraId="6192768F">
      <w:pPr>
        <w:pageBreakBefore w:val="0"/>
        <w:widowControl/>
        <w:kinsoku/>
        <w:overflowPunct/>
        <w:topLinePunct w:val="0"/>
        <w:bidi w:val="0"/>
        <w:snapToGrid w:val="0"/>
        <w:spacing w:beforeAutospacing="0" w:afterAutospacing="0" w:line="360" w:lineRule="auto"/>
        <w:ind w:firstLine="2100" w:firstLineChars="875"/>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法定代表人或委托代理人：</w:t>
      </w:r>
    </w:p>
    <w:p w14:paraId="04E887B9">
      <w:pPr>
        <w:pageBreakBefore w:val="0"/>
        <w:widowControl/>
        <w:kinsoku/>
        <w:overflowPunct/>
        <w:topLinePunct w:val="0"/>
        <w:bidi w:val="0"/>
        <w:snapToGrid w:val="0"/>
        <w:spacing w:beforeAutospacing="0" w:afterAutospacing="0" w:line="360" w:lineRule="auto"/>
        <w:ind w:firstLine="2100" w:firstLineChars="875"/>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经办人：</w:t>
      </w:r>
    </w:p>
    <w:p w14:paraId="5D31BB5C">
      <w:pPr>
        <w:pageBreakBefore w:val="0"/>
        <w:widowControl/>
        <w:kinsoku/>
        <w:overflowPunct/>
        <w:topLinePunct w:val="0"/>
        <w:bidi w:val="0"/>
        <w:snapToGrid w:val="0"/>
        <w:spacing w:beforeAutospacing="0" w:afterAutospacing="0" w:line="360" w:lineRule="auto"/>
        <w:ind w:firstLine="2100" w:firstLineChars="875"/>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电  话：</w:t>
      </w:r>
    </w:p>
    <w:p w14:paraId="181AAA59">
      <w:pPr>
        <w:pageBreakBefore w:val="0"/>
        <w:widowControl/>
        <w:kinsoku/>
        <w:overflowPunct/>
        <w:topLinePunct w:val="0"/>
        <w:bidi w:val="0"/>
        <w:snapToGrid w:val="0"/>
        <w:spacing w:beforeAutospacing="0" w:afterAutospacing="0" w:line="360" w:lineRule="auto"/>
        <w:ind w:firstLine="2100" w:firstLineChars="875"/>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签订日期：</w:t>
      </w:r>
    </w:p>
    <w:p w14:paraId="190D942F">
      <w:pPr>
        <w:pageBreakBefore w:val="0"/>
        <w:widowControl/>
        <w:kinsoku/>
        <w:overflowPunct/>
        <w:topLinePunct w:val="0"/>
        <w:bidi w:val="0"/>
        <w:snapToGrid w:val="0"/>
        <w:spacing w:beforeAutospacing="0" w:afterAutospacing="0" w:line="360" w:lineRule="auto"/>
        <w:jc w:val="left"/>
        <w:rPr>
          <w:rFonts w:hint="eastAsia" w:ascii="宋体" w:hAnsi="宋体" w:eastAsia="宋体" w:cs="宋体"/>
          <w:snapToGrid w:val="0"/>
          <w:color w:val="auto"/>
          <w:kern w:val="0"/>
          <w:sz w:val="24"/>
          <w:highlight w:val="none"/>
        </w:rPr>
      </w:pPr>
    </w:p>
    <w:p w14:paraId="5F479E60">
      <w:pPr>
        <w:pageBreakBefore w:val="0"/>
        <w:kinsoku/>
        <w:overflowPunct/>
        <w:topLinePunct w:val="0"/>
        <w:bidi w:val="0"/>
        <w:spacing w:beforeAutospacing="0" w:afterAutospacing="0" w:line="360" w:lineRule="auto"/>
        <w:ind w:firstLine="1995" w:firstLineChars="950"/>
        <w:rPr>
          <w:rFonts w:hint="eastAsia" w:ascii="宋体" w:hAnsi="宋体" w:eastAsia="宋体" w:cs="宋体"/>
          <w:snapToGrid w:val="0"/>
          <w:color w:val="auto"/>
          <w:kern w:val="0"/>
          <w:szCs w:val="21"/>
          <w:highlight w:val="none"/>
        </w:rPr>
      </w:pPr>
    </w:p>
    <w:p w14:paraId="1F783C9B">
      <w:pPr>
        <w:pageBreakBefore w:val="0"/>
        <w:kinsoku/>
        <w:overflowPunct/>
        <w:topLinePunct w:val="0"/>
        <w:bidi w:val="0"/>
        <w:spacing w:beforeAutospacing="0" w:afterAutospacing="0" w:line="360" w:lineRule="auto"/>
        <w:ind w:firstLine="1995" w:firstLineChars="950"/>
        <w:rPr>
          <w:rFonts w:hint="eastAsia" w:ascii="宋体" w:hAnsi="宋体" w:eastAsia="宋体" w:cs="宋体"/>
          <w:snapToGrid w:val="0"/>
          <w:color w:val="auto"/>
          <w:kern w:val="0"/>
          <w:szCs w:val="21"/>
          <w:highlight w:val="none"/>
        </w:rPr>
      </w:pPr>
    </w:p>
    <w:p w14:paraId="21F68F6F">
      <w:pPr>
        <w:pageBreakBefore w:val="0"/>
        <w:widowControl/>
        <w:kinsoku/>
        <w:overflowPunct/>
        <w:topLinePunct w:val="0"/>
        <w:bidi w:val="0"/>
        <w:spacing w:beforeAutospacing="0" w:afterAutospacing="0"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2B0EB2A3">
      <w:pPr>
        <w:jc w:val="center"/>
        <w:rPr>
          <w:rFonts w:ascii="宋体" w:hAnsi="宋体" w:cs="宋体"/>
          <w:bCs/>
          <w:color w:val="auto"/>
          <w:spacing w:val="-20"/>
          <w:kern w:val="44"/>
          <w:sz w:val="48"/>
          <w:szCs w:val="48"/>
          <w:highlight w:val="none"/>
        </w:rPr>
      </w:pPr>
      <w:bookmarkStart w:id="514" w:name="_Toc25338"/>
      <w:bookmarkStart w:id="515" w:name="_Toc32243"/>
      <w:bookmarkStart w:id="516" w:name="_Toc5802"/>
      <w:bookmarkStart w:id="517" w:name="_Toc62031168"/>
      <w:r>
        <w:rPr>
          <w:rFonts w:hint="eastAsia" w:ascii="宋体" w:hAnsi="宋体" w:cs="宋体"/>
          <w:bCs/>
          <w:color w:val="auto"/>
          <w:spacing w:val="-20"/>
          <w:kern w:val="44"/>
          <w:sz w:val="48"/>
          <w:szCs w:val="48"/>
          <w:highlight w:val="none"/>
        </w:rPr>
        <w:t>政府采购货物买卖合同</w:t>
      </w:r>
    </w:p>
    <w:p w14:paraId="0F9B5FD5">
      <w:pPr>
        <w:pStyle w:val="10"/>
        <w:jc w:val="center"/>
        <w:rPr>
          <w:rFonts w:ascii="宋体" w:hAnsi="宋体" w:eastAsia="宋体" w:cs="宋体"/>
          <w:bCs/>
          <w:color w:val="auto"/>
          <w:spacing w:val="-20"/>
          <w:kern w:val="44"/>
          <w:sz w:val="48"/>
          <w:szCs w:val="48"/>
          <w:highlight w:val="none"/>
        </w:rPr>
      </w:pPr>
      <w:r>
        <w:rPr>
          <w:rFonts w:hint="eastAsia" w:ascii="宋体" w:hAnsi="宋体" w:cs="宋体"/>
          <w:bCs/>
          <w:color w:val="auto"/>
          <w:spacing w:val="-20"/>
          <w:kern w:val="44"/>
          <w:sz w:val="48"/>
          <w:szCs w:val="48"/>
          <w:highlight w:val="none"/>
        </w:rPr>
        <w:t>（试行）</w:t>
      </w:r>
    </w:p>
    <w:p w14:paraId="498599D2">
      <w:pPr>
        <w:rPr>
          <w:rFonts w:ascii="宋体" w:hAnsi="宋体" w:cs="宋体"/>
          <w:b/>
          <w:bCs/>
          <w:color w:val="auto"/>
          <w:spacing w:val="-20"/>
          <w:kern w:val="44"/>
          <w:sz w:val="40"/>
          <w:szCs w:val="40"/>
          <w:highlight w:val="none"/>
        </w:rPr>
      </w:pPr>
    </w:p>
    <w:p w14:paraId="4E69C43D">
      <w:pPr>
        <w:rPr>
          <w:rFonts w:ascii="宋体" w:hAnsi="宋体" w:cs="宋体"/>
          <w:b/>
          <w:bCs/>
          <w:color w:val="auto"/>
          <w:spacing w:val="-20"/>
          <w:kern w:val="44"/>
          <w:sz w:val="40"/>
          <w:szCs w:val="40"/>
          <w:highlight w:val="none"/>
        </w:rPr>
      </w:pPr>
    </w:p>
    <w:p w14:paraId="6FFCE2D4">
      <w:pPr>
        <w:rPr>
          <w:rFonts w:ascii="宋体" w:hAnsi="宋体" w:cs="宋体"/>
          <w:b/>
          <w:bCs/>
          <w:color w:val="auto"/>
          <w:spacing w:val="-20"/>
          <w:kern w:val="44"/>
          <w:sz w:val="40"/>
          <w:szCs w:val="40"/>
          <w:highlight w:val="none"/>
        </w:rPr>
      </w:pPr>
    </w:p>
    <w:p w14:paraId="6E50386C">
      <w:pPr>
        <w:spacing w:line="360" w:lineRule="auto"/>
        <w:ind w:left="420" w:leftChars="200" w:firstLine="1280" w:firstLineChars="400"/>
        <w:rPr>
          <w:color w:val="auto"/>
          <w:sz w:val="32"/>
          <w:szCs w:val="32"/>
          <w:highlight w:val="none"/>
        </w:rPr>
      </w:pPr>
      <w:r>
        <w:rPr>
          <w:rFonts w:hint="eastAsia" w:ascii="宋体" w:hAnsi="宋体" w:cs="宋体"/>
          <w:color w:val="auto"/>
          <w:kern w:val="0"/>
          <w:sz w:val="32"/>
          <w:szCs w:val="32"/>
          <w:highlight w:val="none"/>
        </w:rPr>
        <w:t>项目名称：</w:t>
      </w:r>
      <w:r>
        <w:rPr>
          <w:rFonts w:hint="eastAsia"/>
          <w:color w:val="auto"/>
          <w:sz w:val="32"/>
          <w:szCs w:val="32"/>
          <w:highlight w:val="none"/>
          <w:u w:val="single"/>
        </w:rPr>
        <w:t xml:space="preserve">                             </w:t>
      </w:r>
    </w:p>
    <w:p w14:paraId="56E3BD98">
      <w:pPr>
        <w:spacing w:line="360" w:lineRule="auto"/>
        <w:ind w:left="420" w:leftChars="200" w:firstLine="1280" w:firstLineChars="400"/>
        <w:rPr>
          <w:color w:val="auto"/>
          <w:sz w:val="32"/>
          <w:szCs w:val="32"/>
          <w:highlight w:val="none"/>
          <w:u w:val="single"/>
        </w:rPr>
      </w:pPr>
      <w:r>
        <w:rPr>
          <w:rFonts w:hint="eastAsia"/>
          <w:color w:val="auto"/>
          <w:sz w:val="32"/>
          <w:szCs w:val="32"/>
          <w:highlight w:val="none"/>
        </w:rPr>
        <w:t>合同编号：</w:t>
      </w:r>
      <w:r>
        <w:rPr>
          <w:rFonts w:hint="eastAsia"/>
          <w:color w:val="auto"/>
          <w:sz w:val="32"/>
          <w:szCs w:val="32"/>
          <w:highlight w:val="none"/>
          <w:u w:val="single"/>
        </w:rPr>
        <w:t xml:space="preserve">                             </w:t>
      </w:r>
    </w:p>
    <w:p w14:paraId="59DD5E2C">
      <w:pPr>
        <w:spacing w:line="360" w:lineRule="auto"/>
        <w:ind w:left="420" w:leftChars="200" w:firstLine="1280" w:firstLineChars="400"/>
        <w:rPr>
          <w:color w:val="auto"/>
          <w:sz w:val="32"/>
          <w:szCs w:val="32"/>
          <w:highlight w:val="none"/>
        </w:rPr>
      </w:pPr>
      <w:r>
        <w:rPr>
          <w:rFonts w:hint="eastAsia"/>
          <w:color w:val="auto"/>
          <w:sz w:val="32"/>
          <w:szCs w:val="32"/>
          <w:highlight w:val="none"/>
        </w:rPr>
        <w:t>甲    方：</w:t>
      </w:r>
      <w:r>
        <w:rPr>
          <w:rFonts w:hint="eastAsia"/>
          <w:color w:val="auto"/>
          <w:sz w:val="32"/>
          <w:szCs w:val="32"/>
          <w:highlight w:val="none"/>
          <w:u w:val="single"/>
        </w:rPr>
        <w:t xml:space="preserve">                             </w:t>
      </w:r>
    </w:p>
    <w:p w14:paraId="705F0D7D">
      <w:pPr>
        <w:spacing w:line="360" w:lineRule="auto"/>
        <w:ind w:left="420" w:leftChars="200" w:firstLine="1280" w:firstLineChars="400"/>
        <w:rPr>
          <w:color w:val="auto"/>
          <w:sz w:val="32"/>
          <w:szCs w:val="32"/>
          <w:highlight w:val="none"/>
          <w:u w:val="single"/>
        </w:rPr>
      </w:pPr>
      <w:r>
        <w:rPr>
          <w:rFonts w:hint="eastAsia"/>
          <w:color w:val="auto"/>
          <w:sz w:val="32"/>
          <w:szCs w:val="32"/>
          <w:highlight w:val="none"/>
        </w:rPr>
        <w:t>乙    方：</w:t>
      </w:r>
      <w:r>
        <w:rPr>
          <w:rFonts w:hint="eastAsia"/>
          <w:color w:val="auto"/>
          <w:sz w:val="32"/>
          <w:szCs w:val="32"/>
          <w:highlight w:val="none"/>
          <w:u w:val="single"/>
        </w:rPr>
        <w:t xml:space="preserve">                             </w:t>
      </w:r>
    </w:p>
    <w:p w14:paraId="5D9E6F86">
      <w:pPr>
        <w:spacing w:line="360" w:lineRule="auto"/>
        <w:ind w:left="420" w:leftChars="200" w:firstLine="1280" w:firstLineChars="400"/>
        <w:rPr>
          <w:color w:val="auto"/>
          <w:sz w:val="32"/>
          <w:szCs w:val="32"/>
          <w:highlight w:val="none"/>
        </w:rPr>
      </w:pPr>
      <w:r>
        <w:rPr>
          <w:rFonts w:hint="eastAsia"/>
          <w:color w:val="auto"/>
          <w:sz w:val="32"/>
          <w:szCs w:val="32"/>
          <w:highlight w:val="none"/>
        </w:rPr>
        <w:t>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p>
    <w:p w14:paraId="21C6F265">
      <w:pPr>
        <w:pStyle w:val="76"/>
        <w:ind w:firstLine="0" w:firstLineChars="0"/>
        <w:rPr>
          <w:color w:val="auto"/>
          <w:highlight w:val="none"/>
        </w:rPr>
      </w:pPr>
    </w:p>
    <w:p w14:paraId="5FEE9819">
      <w:pPr>
        <w:pStyle w:val="76"/>
        <w:ind w:firstLine="0" w:firstLineChars="0"/>
        <w:rPr>
          <w:color w:val="auto"/>
          <w:highlight w:val="none"/>
        </w:rPr>
        <w:sectPr>
          <w:footerReference r:id="rId8" w:type="default"/>
          <w:pgSz w:w="11906" w:h="16838"/>
          <w:pgMar w:top="1440" w:right="1080" w:bottom="1440" w:left="1080" w:header="850" w:footer="850" w:gutter="0"/>
          <w:pgBorders>
            <w:top w:val="none" w:sz="0" w:space="0"/>
            <w:left w:val="none" w:sz="0" w:space="0"/>
            <w:bottom w:val="none" w:sz="0" w:space="0"/>
            <w:right w:val="none" w:sz="0" w:space="0"/>
          </w:pgBorders>
          <w:pgNumType w:fmt="decimal" w:start="1"/>
          <w:cols w:space="720" w:num="1"/>
          <w:docGrid w:type="lines" w:linePitch="312" w:charSpace="0"/>
        </w:sectPr>
      </w:pPr>
    </w:p>
    <w:p w14:paraId="35392BAE">
      <w:pPr>
        <w:jc w:val="center"/>
        <w:rPr>
          <w:rFonts w:eastAsia="黑体"/>
          <w:color w:val="auto"/>
          <w:sz w:val="44"/>
          <w:szCs w:val="44"/>
          <w:highlight w:val="none"/>
        </w:rPr>
      </w:pPr>
      <w:r>
        <w:rPr>
          <w:rFonts w:hint="eastAsia" w:eastAsia="黑体"/>
          <w:color w:val="auto"/>
          <w:sz w:val="44"/>
          <w:szCs w:val="44"/>
          <w:highlight w:val="none"/>
        </w:rPr>
        <w:t>使 用 说 明</w:t>
      </w:r>
    </w:p>
    <w:p w14:paraId="56DE4DCA">
      <w:pPr>
        <w:ind w:firstLine="640" w:firstLineChars="200"/>
        <w:rPr>
          <w:rFonts w:ascii="仿宋_GB2312" w:hAnsi="仿宋_GB2312" w:eastAsia="仿宋_GB2312" w:cs="仿宋_GB2312"/>
          <w:color w:val="auto"/>
          <w:sz w:val="32"/>
          <w:szCs w:val="32"/>
          <w:highlight w:val="none"/>
        </w:rPr>
      </w:pPr>
    </w:p>
    <w:p w14:paraId="281EABE1">
      <w:pPr>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1E31E3FD">
      <w:pPr>
        <w:ind w:firstLine="640" w:firstLineChars="200"/>
        <w:rPr>
          <w:rFonts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3D52EFAB">
      <w:pPr>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0F41293D">
      <w:pPr>
        <w:ind w:firstLine="880" w:firstLineChars="200"/>
        <w:rPr>
          <w:rFonts w:eastAsia="黑体"/>
          <w:color w:val="auto"/>
          <w:sz w:val="44"/>
          <w:szCs w:val="44"/>
          <w:highlight w:val="none"/>
        </w:rPr>
        <w:sectPr>
          <w:headerReference r:id="rId9" w:type="default"/>
          <w:footerReference r:id="rId10" w:type="default"/>
          <w:pgSz w:w="11906" w:h="16838"/>
          <w:pgMar w:top="1440" w:right="1083" w:bottom="1440" w:left="1083"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4CC368C2">
      <w:pPr>
        <w:pStyle w:val="3"/>
        <w:numPr>
          <w:ilvl w:val="1"/>
          <w:numId w:val="0"/>
        </w:numPr>
        <w:snapToGrid w:val="0"/>
        <w:spacing w:line="400" w:lineRule="exact"/>
        <w:ind w:left="3330"/>
        <w:jc w:val="both"/>
        <w:rPr>
          <w:rFonts w:ascii="仿宋" w:hAnsi="仿宋" w:eastAsia="仿宋" w:cs="仿宋"/>
          <w:bCs/>
          <w:color w:val="auto"/>
          <w:sz w:val="24"/>
          <w:szCs w:val="24"/>
          <w:highlight w:val="none"/>
        </w:rPr>
      </w:pPr>
      <w:bookmarkStart w:id="518" w:name="_Toc22209"/>
      <w:bookmarkStart w:id="519" w:name="_Toc23658"/>
      <w:bookmarkStart w:id="520" w:name="_Toc26968"/>
      <w:r>
        <w:rPr>
          <w:rFonts w:hint="eastAsia" w:ascii="仿宋" w:hAnsi="仿宋" w:eastAsia="仿宋" w:cs="仿宋"/>
          <w:bCs/>
          <w:color w:val="auto"/>
          <w:sz w:val="24"/>
          <w:szCs w:val="24"/>
          <w:highlight w:val="none"/>
        </w:rPr>
        <w:t>第一节 政府采购合同协议书</w:t>
      </w:r>
      <w:bookmarkEnd w:id="518"/>
      <w:bookmarkEnd w:id="519"/>
      <w:bookmarkEnd w:id="520"/>
    </w:p>
    <w:p w14:paraId="38A39EAE">
      <w:pPr>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甲方（全称）：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（采购人、受采购人委托签订合同的单位或采购</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文件约定的合同甲方）</w:t>
      </w:r>
    </w:p>
    <w:p w14:paraId="4CE92343">
      <w:pPr>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乙方1（全称）：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w:t>
      </w:r>
    </w:p>
    <w:p w14:paraId="4FCE2216">
      <w:pPr>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乙方2（全称）：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联合体成员供应商或其他合同主体）（如有）</w:t>
      </w:r>
    </w:p>
    <w:p w14:paraId="710DE0FD">
      <w:pPr>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乙方3（全称）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（联合体成员供应商或其他合同主体）（如有）</w:t>
      </w:r>
    </w:p>
    <w:p w14:paraId="60D25E9D">
      <w:pPr>
        <w:spacing w:line="400" w:lineRule="exact"/>
        <w:rPr>
          <w:rFonts w:ascii="仿宋" w:hAnsi="仿宋" w:eastAsia="仿宋" w:cs="仿宋"/>
          <w:color w:val="auto"/>
          <w:sz w:val="24"/>
          <w:szCs w:val="24"/>
          <w:highlight w:val="none"/>
        </w:rPr>
      </w:pPr>
    </w:p>
    <w:p w14:paraId="5610452C">
      <w:pPr>
        <w:pStyle w:val="11"/>
        <w:adjustRightInd w:val="0"/>
        <w:snapToGrid w:val="0"/>
        <w:spacing w:line="400" w:lineRule="exact"/>
        <w:ind w:left="0"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3EFC93E8">
      <w:pPr>
        <w:numPr>
          <w:ilvl w:val="0"/>
          <w:numId w:val="3"/>
        </w:numPr>
        <w:adjustRightInd w:val="0"/>
        <w:snapToGrid w:val="0"/>
        <w:spacing w:line="400" w:lineRule="exact"/>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项目信息</w:t>
      </w:r>
    </w:p>
    <w:p w14:paraId="31497B41">
      <w:pPr>
        <w:pStyle w:val="11"/>
        <w:numPr>
          <w:ilvl w:val="0"/>
          <w:numId w:val="4"/>
        </w:numPr>
        <w:adjustRightInd w:val="0"/>
        <w:snapToGrid w:val="0"/>
        <w:spacing w:line="400" w:lineRule="exact"/>
        <w:ind w:left="0" w:firstLine="480" w:firstLineChars="200"/>
        <w:rPr>
          <w:rFonts w:ascii="仿宋" w:hAnsi="仿宋" w:eastAsia="仿宋" w:cs="仿宋"/>
          <w:color w:val="auto"/>
          <w:szCs w:val="24"/>
          <w:highlight w:val="none"/>
          <w:u w:val="single"/>
        </w:rPr>
      </w:pPr>
      <w:r>
        <w:rPr>
          <w:rFonts w:hint="eastAsia" w:ascii="仿宋" w:hAnsi="仿宋" w:eastAsia="仿宋" w:cs="仿宋"/>
          <w:color w:val="auto"/>
          <w:szCs w:val="24"/>
          <w:highlight w:val="none"/>
        </w:rPr>
        <w:t>采购项目名称：</w:t>
      </w:r>
      <w:r>
        <w:rPr>
          <w:rFonts w:hint="eastAsia" w:ascii="仿宋" w:hAnsi="仿宋" w:eastAsia="仿宋" w:cs="仿宋"/>
          <w:color w:val="auto"/>
          <w:szCs w:val="24"/>
          <w:highlight w:val="none"/>
          <w:u w:val="single"/>
        </w:rPr>
        <w:t xml:space="preserve">                                          </w:t>
      </w:r>
    </w:p>
    <w:p w14:paraId="20DFB0E2">
      <w:pPr>
        <w:pStyle w:val="11"/>
        <w:tabs>
          <w:tab w:val="left" w:pos="999"/>
        </w:tabs>
        <w:adjustRightInd w:val="0"/>
        <w:snapToGrid w:val="0"/>
        <w:spacing w:line="400" w:lineRule="exact"/>
        <w:ind w:firstLine="960" w:firstLineChars="400"/>
        <w:rPr>
          <w:rFonts w:ascii="仿宋" w:hAnsi="仿宋" w:eastAsia="仿宋" w:cs="仿宋"/>
          <w:color w:val="auto"/>
          <w:szCs w:val="24"/>
          <w:highlight w:val="none"/>
        </w:rPr>
      </w:pPr>
      <w:r>
        <w:rPr>
          <w:rFonts w:hint="eastAsia" w:ascii="仿宋" w:hAnsi="仿宋" w:eastAsia="仿宋" w:cs="仿宋"/>
          <w:color w:val="auto"/>
          <w:szCs w:val="24"/>
          <w:highlight w:val="none"/>
        </w:rPr>
        <w:t>采购项目编号：</w:t>
      </w:r>
      <w:r>
        <w:rPr>
          <w:rFonts w:hint="eastAsia" w:ascii="仿宋" w:hAnsi="仿宋" w:eastAsia="仿宋" w:cs="仿宋"/>
          <w:color w:val="auto"/>
          <w:szCs w:val="24"/>
          <w:highlight w:val="none"/>
          <w:u w:val="single"/>
        </w:rPr>
        <w:t xml:space="preserve">                                          </w:t>
      </w:r>
    </w:p>
    <w:p w14:paraId="15EC78DD">
      <w:pPr>
        <w:pStyle w:val="11"/>
        <w:adjustRightInd w:val="0"/>
        <w:snapToGrid w:val="0"/>
        <w:spacing w:line="400" w:lineRule="exact"/>
        <w:ind w:left="0"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（2）采购计划编号：</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p>
    <w:p w14:paraId="07E6C420">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（3）项目内容：</w:t>
      </w:r>
    </w:p>
    <w:p w14:paraId="568EB849">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采购标的及数量（台/套</w:t>
      </w:r>
      <w:r>
        <w:rPr>
          <w:rFonts w:hint="eastAsia" w:ascii="仿宋" w:hAnsi="仿宋" w:eastAsia="仿宋" w:cs="仿宋"/>
          <w:color w:val="auto"/>
          <w:sz w:val="24"/>
          <w:szCs w:val="24"/>
          <w:highlight w:val="none"/>
          <w:lang w:val="en"/>
        </w:rPr>
        <w:t>/个/架/组等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103672F0">
      <w:pPr>
        <w:adjustRightInd w:val="0"/>
        <w:snapToGrid w:val="0"/>
        <w:spacing w:line="400" w:lineRule="exact"/>
        <w:ind w:firstLine="480" w:firstLineChars="200"/>
        <w:rPr>
          <w:rFonts w:ascii="仿宋" w:hAnsi="仿宋" w:eastAsia="仿宋" w:cs="仿宋"/>
          <w:color w:val="auto"/>
          <w:sz w:val="24"/>
          <w:szCs w:val="24"/>
          <w:highlight w:val="none"/>
          <w:lang w:val="en"/>
        </w:rPr>
      </w:pPr>
      <w:r>
        <w:rPr>
          <w:rFonts w:hint="eastAsia" w:ascii="仿宋" w:hAnsi="仿宋" w:eastAsia="仿宋" w:cs="仿宋"/>
          <w:color w:val="auto"/>
          <w:sz w:val="24"/>
          <w:szCs w:val="24"/>
          <w:highlight w:val="none"/>
        </w:rPr>
        <w:t xml:space="preserve">     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en"/>
        </w:rPr>
        <w:t xml:space="preserve">     </w:t>
      </w:r>
      <w:r>
        <w:rPr>
          <w:rFonts w:hint="eastAsia" w:ascii="仿宋" w:hAnsi="仿宋" w:eastAsia="仿宋" w:cs="仿宋"/>
          <w:color w:val="auto"/>
          <w:sz w:val="24"/>
          <w:szCs w:val="24"/>
          <w:highlight w:val="none"/>
        </w:rPr>
        <w:t>规格型号：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
        </w:rPr>
        <w:t xml:space="preserve">   </w:t>
      </w:r>
    </w:p>
    <w:p w14:paraId="4F7431E4">
      <w:pPr>
        <w:adjustRightInd w:val="0"/>
        <w:snapToGrid w:val="0"/>
        <w:spacing w:line="400" w:lineRule="exact"/>
        <w:ind w:firstLine="1080" w:firstLineChars="45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采购标的的技术要求、商务要求具体见附件。</w:t>
      </w:r>
    </w:p>
    <w:p w14:paraId="5E60B0DF">
      <w:pPr>
        <w:adjustRightInd w:val="0"/>
        <w:snapToGrid w:val="0"/>
        <w:spacing w:line="400" w:lineRule="exact"/>
        <w:ind w:firstLine="1080" w:firstLineChars="45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①涉及信息类产品，请填写该产品关键部件的品牌、型号：</w:t>
      </w:r>
    </w:p>
    <w:p w14:paraId="3794CB5C">
      <w:pPr>
        <w:adjustRightInd w:val="0"/>
        <w:snapToGrid w:val="0"/>
        <w:spacing w:line="400" w:lineRule="exact"/>
        <w:ind w:firstLine="480" w:firstLineChars="200"/>
        <w:rPr>
          <w:rFonts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 xml:space="preserve">     标的名称：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
        </w:rPr>
        <w:t xml:space="preserve">               </w:t>
      </w:r>
      <w:r>
        <w:rPr>
          <w:rFonts w:hint="eastAsia" w:ascii="仿宋" w:hAnsi="仿宋" w:eastAsia="仿宋" w:cs="仿宋"/>
          <w:color w:val="auto"/>
          <w:kern w:val="0"/>
          <w:sz w:val="24"/>
          <w:szCs w:val="24"/>
          <w:highlight w:val="none"/>
          <w:u w:val="single"/>
        </w:rPr>
        <w:t xml:space="preserve">    </w:t>
      </w:r>
    </w:p>
    <w:p w14:paraId="5E2A3098">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关键部件：</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sz w:val="24"/>
          <w:szCs w:val="24"/>
          <w:highlight w:val="none"/>
        </w:rPr>
        <w:t>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型号：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704111D">
      <w:pPr>
        <w:pStyle w:val="76"/>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kern w:val="2"/>
          <w:sz w:val="24"/>
          <w:szCs w:val="24"/>
          <w:highlight w:val="none"/>
        </w:rPr>
        <w:t>关键部件</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型号：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17EFCE71">
      <w:pPr>
        <w:pStyle w:val="76"/>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关键部件：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型号：</w:t>
      </w:r>
      <w:r>
        <w:rPr>
          <w:rFonts w:hint="eastAsia" w:ascii="仿宋" w:hAnsi="仿宋" w:eastAsia="仿宋" w:cs="仿宋"/>
          <w:color w:val="auto"/>
          <w:sz w:val="24"/>
          <w:szCs w:val="24"/>
          <w:highlight w:val="none"/>
          <w:u w:val="single"/>
        </w:rPr>
        <w:t xml:space="preserve">       </w:t>
      </w:r>
    </w:p>
    <w:p w14:paraId="2B7D2FF1">
      <w:pPr>
        <w:pStyle w:val="76"/>
        <w:snapToGrid w:val="0"/>
        <w:ind w:firstLine="0" w:firstLine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3130F8D">
      <w:pPr>
        <w:pStyle w:val="76"/>
        <w:snapToGrid w:val="0"/>
        <w:ind w:firstLine="0" w:firstLine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②涉及车辆采购，请填写是否属于新能源汽车：</w:t>
      </w:r>
    </w:p>
    <w:p w14:paraId="24DBFF9C">
      <w:pPr>
        <w:pStyle w:val="76"/>
        <w:snapToGrid w:val="0"/>
        <w:ind w:firstLine="0" w:firstLine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是，《政府采购品目分类目录》底级品目名称：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数量：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550E69D2">
      <w:pPr>
        <w:pStyle w:val="76"/>
        <w:snapToGrid w:val="0"/>
        <w:ind w:firstLine="0" w:firstLine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33B48A2E">
      <w:pPr>
        <w:pStyle w:val="76"/>
        <w:snapToGrid w:val="0"/>
        <w:ind w:firstLine="0" w:firstLine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
        </w:rPr>
        <w:t>4</w:t>
      </w:r>
      <w:r>
        <w:rPr>
          <w:rFonts w:hint="eastAsia" w:ascii="仿宋" w:hAnsi="仿宋" w:eastAsia="仿宋" w:cs="仿宋"/>
          <w:color w:val="auto"/>
          <w:sz w:val="24"/>
          <w:szCs w:val="24"/>
          <w:highlight w:val="none"/>
        </w:rPr>
        <w:t>）政府采购组织形式：</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政府集中采购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部门集中采购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分散采购</w:t>
      </w:r>
    </w:p>
    <w:p w14:paraId="0F1407C3">
      <w:pPr>
        <w:pStyle w:val="76"/>
        <w:snapToGrid w:val="0"/>
        <w:ind w:firstLine="420" w:firstLine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
        </w:rPr>
        <w:t>5</w:t>
      </w:r>
      <w:r>
        <w:rPr>
          <w:rFonts w:hint="eastAsia" w:ascii="仿宋" w:hAnsi="仿宋" w:eastAsia="仿宋" w:cs="仿宋"/>
          <w:color w:val="auto"/>
          <w:sz w:val="24"/>
          <w:szCs w:val="24"/>
          <w:highlight w:val="none"/>
        </w:rPr>
        <w:t>）政府采购方式：</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公开招标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邀请招标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竞争性谈判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竞争性磋商</w:t>
      </w:r>
    </w:p>
    <w:p w14:paraId="1CEDD13E">
      <w:pPr>
        <w:pStyle w:val="76"/>
        <w:snapToGrid w:val="0"/>
        <w:ind w:firstLine="420" w:firstLineChars="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询价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单一来源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框架协议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其他：</w:t>
      </w:r>
      <w:r>
        <w:rPr>
          <w:rFonts w:hint="eastAsia" w:ascii="仿宋" w:hAnsi="仿宋" w:eastAsia="仿宋" w:cs="仿宋"/>
          <w:color w:val="auto"/>
          <w:sz w:val="24"/>
          <w:szCs w:val="24"/>
          <w:highlight w:val="none"/>
          <w:u w:val="single"/>
        </w:rPr>
        <w:t xml:space="preserve">          </w:t>
      </w:r>
    </w:p>
    <w:p w14:paraId="710C8C2C">
      <w:pPr>
        <w:pStyle w:val="76"/>
        <w:snapToGrid w:val="0"/>
        <w:ind w:firstLine="420" w:firstLine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（注：在框架协议采购的第二阶段，可选择使用该合同文本）</w:t>
      </w:r>
    </w:p>
    <w:p w14:paraId="4F8ACB05">
      <w:pPr>
        <w:pStyle w:val="76"/>
        <w:snapToGrid w:val="0"/>
        <w:ind w:firstLine="240" w:firstLineChars="100"/>
        <w:rPr>
          <w:rFonts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
        </w:rPr>
        <w:t>6</w:t>
      </w:r>
      <w:r>
        <w:rPr>
          <w:rFonts w:hint="eastAsia" w:ascii="仿宋" w:hAnsi="仿宋" w:eastAsia="仿宋" w:cs="仿宋"/>
          <w:color w:val="auto"/>
          <w:sz w:val="24"/>
          <w:szCs w:val="24"/>
          <w:highlight w:val="none"/>
        </w:rPr>
        <w:t>）</w:t>
      </w:r>
      <w:r>
        <w:rPr>
          <w:rFonts w:hint="eastAsia" w:ascii="仿宋" w:hAnsi="仿宋" w:eastAsia="仿宋" w:cs="仿宋"/>
          <w:color w:val="auto"/>
          <w:kern w:val="2"/>
          <w:sz w:val="24"/>
          <w:szCs w:val="24"/>
          <w:highlight w:val="none"/>
        </w:rPr>
        <w:t>中标（成交）采购标的制造商是否为中小企业：</w:t>
      </w:r>
      <w:r>
        <w:rPr>
          <w:rFonts w:hint="eastAsia" w:ascii="仿宋" w:hAnsi="仿宋" w:eastAsia="仿宋" w:cs="仿宋"/>
          <w:color w:val="auto"/>
          <w:kern w:val="2"/>
          <w:sz w:val="24"/>
          <w:szCs w:val="24"/>
          <w:highlight w:val="none"/>
        </w:rPr>
        <w:sym w:font="Wingdings" w:char="00A8"/>
      </w:r>
      <w:r>
        <w:rPr>
          <w:rFonts w:hint="eastAsia" w:ascii="仿宋" w:hAnsi="仿宋" w:eastAsia="仿宋" w:cs="仿宋"/>
          <w:color w:val="auto"/>
          <w:kern w:val="2"/>
          <w:sz w:val="24"/>
          <w:szCs w:val="24"/>
          <w:highlight w:val="none"/>
        </w:rPr>
        <w:t xml:space="preserve">是      </w:t>
      </w:r>
      <w:r>
        <w:rPr>
          <w:rFonts w:hint="eastAsia" w:ascii="仿宋" w:hAnsi="仿宋" w:eastAsia="仿宋" w:cs="仿宋"/>
          <w:color w:val="auto"/>
          <w:kern w:val="2"/>
          <w:sz w:val="24"/>
          <w:szCs w:val="24"/>
          <w:highlight w:val="none"/>
        </w:rPr>
        <w:sym w:font="Wingdings" w:char="00A8"/>
      </w:r>
      <w:r>
        <w:rPr>
          <w:rFonts w:hint="eastAsia" w:ascii="仿宋" w:hAnsi="仿宋" w:eastAsia="仿宋" w:cs="仿宋"/>
          <w:color w:val="auto"/>
          <w:kern w:val="2"/>
          <w:sz w:val="24"/>
          <w:szCs w:val="24"/>
          <w:highlight w:val="none"/>
        </w:rPr>
        <w:t>否</w:t>
      </w:r>
    </w:p>
    <w:p w14:paraId="2BF44A64">
      <w:pPr>
        <w:adjustRightInd w:val="0"/>
        <w:snapToGrid w:val="0"/>
        <w:spacing w:line="400" w:lineRule="exact"/>
        <w:rPr>
          <w:rFonts w:ascii="仿宋" w:hAnsi="仿宋" w:eastAsia="仿宋" w:cs="仿宋"/>
          <w:iCs/>
          <w:color w:val="auto"/>
          <w:sz w:val="24"/>
          <w:szCs w:val="24"/>
          <w:highlight w:val="none"/>
        </w:rPr>
      </w:pPr>
      <w:r>
        <w:rPr>
          <w:rFonts w:hint="eastAsia" w:ascii="仿宋" w:hAnsi="仿宋" w:eastAsia="仿宋" w:cs="仿宋"/>
          <w:color w:val="auto"/>
          <w:sz w:val="24"/>
          <w:szCs w:val="24"/>
          <w:highlight w:val="none"/>
        </w:rPr>
        <w:t xml:space="preserve">         本合同是否为专门面向中小企业的采购合同（中小企业预留合同）：</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否</w:t>
      </w:r>
    </w:p>
    <w:p w14:paraId="4B57909F">
      <w:pPr>
        <w:adjustRightInd w:val="0"/>
        <w:snapToGrid w:val="0"/>
        <w:spacing w:line="400" w:lineRule="exact"/>
        <w:rPr>
          <w:rFonts w:ascii="仿宋" w:hAnsi="仿宋" w:eastAsia="仿宋" w:cs="仿宋"/>
          <w:iCs/>
          <w:color w:val="auto"/>
          <w:sz w:val="24"/>
          <w:szCs w:val="24"/>
          <w:highlight w:val="none"/>
        </w:rPr>
      </w:pPr>
      <w:r>
        <w:rPr>
          <w:rFonts w:hint="eastAsia" w:ascii="仿宋" w:hAnsi="仿宋" w:eastAsia="仿宋" w:cs="仿宋"/>
          <w:color w:val="auto"/>
          <w:sz w:val="24"/>
          <w:szCs w:val="24"/>
          <w:highlight w:val="none"/>
        </w:rPr>
        <w:t xml:space="preserve">         若本项目不专门面向中小企业采购，是否给予小微企业评审优惠：</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否</w:t>
      </w:r>
    </w:p>
    <w:p w14:paraId="2A80C68D">
      <w:pPr>
        <w:adjustRightInd w:val="0"/>
        <w:snapToGrid w:val="0"/>
        <w:spacing w:line="400" w:lineRule="exact"/>
        <w:rPr>
          <w:rFonts w:ascii="仿宋" w:hAnsi="仿宋" w:eastAsia="仿宋" w:cs="仿宋"/>
          <w:iCs/>
          <w:color w:val="auto"/>
          <w:sz w:val="24"/>
          <w:szCs w:val="24"/>
          <w:highlight w:val="none"/>
        </w:rPr>
      </w:pPr>
      <w:r>
        <w:rPr>
          <w:rFonts w:hint="eastAsia" w:ascii="仿宋" w:hAnsi="仿宋" w:eastAsia="仿宋" w:cs="仿宋"/>
          <w:color w:val="auto"/>
          <w:sz w:val="24"/>
          <w:szCs w:val="24"/>
          <w:highlight w:val="none"/>
        </w:rPr>
        <w:t xml:space="preserve">         中标（成交）采购标的制造商是否为残疾人福利性单位：</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否</w:t>
      </w:r>
    </w:p>
    <w:p w14:paraId="0BA1A4E3">
      <w:pPr>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中标（成交）采购标的制造商是否为监狱企业：</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否</w:t>
      </w:r>
    </w:p>
    <w:p w14:paraId="0FD83C83">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
        </w:rPr>
        <w:t>7</w:t>
      </w:r>
      <w:r>
        <w:rPr>
          <w:rFonts w:hint="eastAsia" w:ascii="仿宋" w:hAnsi="仿宋" w:eastAsia="仿宋" w:cs="仿宋"/>
          <w:color w:val="auto"/>
          <w:sz w:val="24"/>
          <w:szCs w:val="24"/>
          <w:highlight w:val="none"/>
        </w:rPr>
        <w:t>）合同是否分包：</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否</w:t>
      </w:r>
    </w:p>
    <w:p w14:paraId="0ACF2835">
      <w:pPr>
        <w:adjustRightInd w:val="0"/>
        <w:snapToGrid w:val="0"/>
        <w:spacing w:line="400" w:lineRule="exact"/>
        <w:ind w:firstLine="960" w:firstLineChars="4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分包主要内容：</w:t>
      </w:r>
      <w:r>
        <w:rPr>
          <w:rFonts w:hint="eastAsia" w:ascii="仿宋" w:hAnsi="仿宋" w:eastAsia="仿宋" w:cs="仿宋"/>
          <w:color w:val="auto"/>
          <w:sz w:val="24"/>
          <w:szCs w:val="24"/>
          <w:highlight w:val="none"/>
          <w:u w:val="single"/>
        </w:rPr>
        <w:t xml:space="preserve">                                            </w:t>
      </w:r>
    </w:p>
    <w:p w14:paraId="701A99DD">
      <w:pPr>
        <w:adjustRightInd w:val="0"/>
        <w:snapToGrid w:val="0"/>
        <w:spacing w:line="400" w:lineRule="exact"/>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分包供应商/制造商名称（如供应商和制造商不同，请分别填写）：</w:t>
      </w:r>
    </w:p>
    <w:p w14:paraId="3FB0FE59">
      <w:pPr>
        <w:adjustRightInd w:val="0"/>
        <w:snapToGrid w:val="0"/>
        <w:spacing w:line="400" w:lineRule="exact"/>
        <w:ind w:firstLine="960" w:firstLineChars="4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p>
    <w:p w14:paraId="2239F6BC">
      <w:pPr>
        <w:adjustRightInd w:val="0"/>
        <w:snapToGrid w:val="0"/>
        <w:spacing w:line="400" w:lineRule="exact"/>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分包供应商/制造商类型（如果供应商和制造商不同，只填写制造商类型）：</w:t>
      </w:r>
    </w:p>
    <w:p w14:paraId="05292240">
      <w:pPr>
        <w:adjustRightInd w:val="0"/>
        <w:snapToGrid w:val="0"/>
        <w:spacing w:line="400" w:lineRule="exact"/>
        <w:ind w:firstLine="960" w:firstLineChars="400"/>
        <w:rPr>
          <w:rFonts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 xml:space="preserve">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大型企业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中型企业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小微型企业  </w:t>
      </w:r>
    </w:p>
    <w:p w14:paraId="5FE4C8A4">
      <w:pPr>
        <w:adjustRightInd w:val="0"/>
        <w:snapToGrid w:val="0"/>
        <w:spacing w:line="400" w:lineRule="exact"/>
        <w:ind w:firstLine="960" w:firstLineChars="400"/>
        <w:rPr>
          <w:rFonts w:ascii="仿宋" w:hAnsi="仿宋" w:eastAsia="仿宋" w:cs="仿宋"/>
          <w:color w:val="auto"/>
          <w:sz w:val="24"/>
          <w:szCs w:val="24"/>
          <w:highlight w:val="none"/>
        </w:rPr>
      </w:pPr>
      <w:r>
        <w:rPr>
          <w:rFonts w:hint="eastAsia" w:ascii="仿宋" w:hAnsi="仿宋" w:eastAsia="仿宋" w:cs="仿宋"/>
          <w:iCs/>
          <w:color w:val="auto"/>
          <w:sz w:val="24"/>
          <w:szCs w:val="24"/>
          <w:highlight w:val="none"/>
        </w:rPr>
        <w:t xml:space="preserve">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残疾人福利性单位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监狱企业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其他</w:t>
      </w:r>
    </w:p>
    <w:p w14:paraId="69949421">
      <w:pPr>
        <w:adjustRightInd w:val="0"/>
        <w:snapToGrid w:val="0"/>
        <w:spacing w:line="400" w:lineRule="exact"/>
        <w:rPr>
          <w:rFonts w:ascii="仿宋" w:hAnsi="仿宋" w:eastAsia="仿宋" w:cs="仿宋"/>
          <w:iCs/>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
        </w:rPr>
        <w:t>8</w:t>
      </w:r>
      <w:r>
        <w:rPr>
          <w:rFonts w:hint="eastAsia" w:ascii="仿宋" w:hAnsi="仿宋" w:eastAsia="仿宋" w:cs="仿宋"/>
          <w:color w:val="auto"/>
          <w:sz w:val="24"/>
          <w:szCs w:val="24"/>
          <w:highlight w:val="none"/>
        </w:rPr>
        <w:t>）中标（成交）供应商是否为外商投资企业：</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否</w:t>
      </w:r>
    </w:p>
    <w:p w14:paraId="6BBF43A1">
      <w:pPr>
        <w:pStyle w:val="76"/>
        <w:tabs>
          <w:tab w:val="left" w:pos="1340"/>
        </w:tabs>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外商投资企业类型：</w:t>
      </w:r>
      <w:r>
        <w:rPr>
          <w:rFonts w:hint="eastAsia" w:ascii="仿宋" w:hAnsi="仿宋" w:eastAsia="仿宋" w:cs="仿宋"/>
          <w:iCs/>
          <w:color w:val="auto"/>
          <w:sz w:val="24"/>
          <w:szCs w:val="24"/>
          <w:highlight w:val="none"/>
        </w:rPr>
        <w:sym w:font="Wingdings" w:char="00A8"/>
      </w:r>
      <w:r>
        <w:rPr>
          <w:rFonts w:hint="eastAsia" w:ascii="仿宋" w:hAnsi="仿宋" w:eastAsia="仿宋" w:cs="仿宋"/>
          <w:color w:val="auto"/>
          <w:sz w:val="24"/>
          <w:szCs w:val="24"/>
          <w:highlight w:val="none"/>
        </w:rPr>
        <w:t xml:space="preserve">全部由外国投资者投资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部分由外国投资者投资</w:t>
      </w:r>
    </w:p>
    <w:p w14:paraId="010A0DE0">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
        </w:rPr>
        <w:t>9</w:t>
      </w:r>
      <w:r>
        <w:rPr>
          <w:rFonts w:hint="eastAsia" w:ascii="仿宋" w:hAnsi="仿宋" w:eastAsia="仿宋" w:cs="仿宋"/>
          <w:color w:val="auto"/>
          <w:sz w:val="24"/>
          <w:szCs w:val="24"/>
          <w:highlight w:val="none"/>
        </w:rPr>
        <w:t>）是否涉及进口产品：</w:t>
      </w:r>
    </w:p>
    <w:p w14:paraId="59CAB72E">
      <w:pPr>
        <w:adjustRightInd w:val="0"/>
        <w:snapToGrid w:val="0"/>
        <w:spacing w:line="400" w:lineRule="exact"/>
        <w:ind w:firstLine="960" w:firstLineChars="4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是，《政府采购品目分类目录》底级品目名称：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金额：</w:t>
      </w:r>
      <w:r>
        <w:rPr>
          <w:rFonts w:hint="eastAsia" w:ascii="仿宋" w:hAnsi="仿宋" w:eastAsia="仿宋" w:cs="仿宋"/>
          <w:color w:val="auto"/>
          <w:sz w:val="24"/>
          <w:szCs w:val="24"/>
          <w:highlight w:val="none"/>
          <w:u w:val="single"/>
        </w:rPr>
        <w:t xml:space="preserve">        </w:t>
      </w:r>
    </w:p>
    <w:p w14:paraId="39BF03E8">
      <w:pPr>
        <w:adjustRightInd w:val="0"/>
        <w:snapToGrid w:val="0"/>
        <w:spacing w:line="400" w:lineRule="exact"/>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国别：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规格型号：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2F13DF67">
      <w:pPr>
        <w:adjustRightInd w:val="0"/>
        <w:snapToGrid w:val="0"/>
        <w:spacing w:line="400" w:lineRule="exact"/>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187EC741">
      <w:pPr>
        <w:tabs>
          <w:tab w:val="left" w:pos="740"/>
        </w:tabs>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w:t>
      </w:r>
      <w:r>
        <w:rPr>
          <w:rFonts w:hint="eastAsia" w:ascii="仿宋" w:hAnsi="仿宋" w:eastAsia="仿宋" w:cs="仿宋"/>
          <w:color w:val="auto"/>
          <w:sz w:val="24"/>
          <w:szCs w:val="24"/>
          <w:highlight w:val="none"/>
          <w:lang w:val="en"/>
        </w:rPr>
        <w:t>0</w:t>
      </w:r>
      <w:r>
        <w:rPr>
          <w:rFonts w:hint="eastAsia" w:ascii="仿宋" w:hAnsi="仿宋" w:eastAsia="仿宋" w:cs="仿宋"/>
          <w:color w:val="auto"/>
          <w:sz w:val="24"/>
          <w:szCs w:val="24"/>
          <w:highlight w:val="none"/>
        </w:rPr>
        <w:t>）是否涉及节能产品：</w:t>
      </w:r>
    </w:p>
    <w:p w14:paraId="47146615">
      <w:pPr>
        <w:tabs>
          <w:tab w:val="left" w:pos="740"/>
        </w:tabs>
        <w:adjustRightInd w:val="0"/>
        <w:snapToGrid w:val="0"/>
        <w:spacing w:line="400" w:lineRule="exact"/>
        <w:rPr>
          <w:rFonts w:ascii="仿宋" w:hAnsi="仿宋" w:eastAsia="仿宋" w:cs="仿宋"/>
          <w:iCs/>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是，《节能产品政府采购品目清单》的底级品目名称：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iCs/>
          <w:color w:val="auto"/>
          <w:sz w:val="24"/>
          <w:szCs w:val="24"/>
          <w:highlight w:val="none"/>
        </w:rPr>
        <w:t xml:space="preserve">     </w:t>
      </w:r>
    </w:p>
    <w:p w14:paraId="09A2D3DF">
      <w:pPr>
        <w:tabs>
          <w:tab w:val="left" w:pos="740"/>
        </w:tabs>
        <w:adjustRightInd w:val="0"/>
        <w:snapToGrid w:val="0"/>
        <w:spacing w:line="400" w:lineRule="exact"/>
        <w:rPr>
          <w:rFonts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 xml:space="preserve">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强制采购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优先采购    </w:t>
      </w:r>
    </w:p>
    <w:p w14:paraId="04584494">
      <w:pPr>
        <w:tabs>
          <w:tab w:val="left" w:pos="740"/>
        </w:tabs>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iCs/>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0B2C062D">
      <w:pPr>
        <w:tabs>
          <w:tab w:val="left" w:pos="740"/>
        </w:tabs>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是否涉及环境标志产品：</w:t>
      </w:r>
    </w:p>
    <w:p w14:paraId="28464997">
      <w:pPr>
        <w:tabs>
          <w:tab w:val="left" w:pos="740"/>
        </w:tabs>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是，《环境标志产品政府采购品目清单》的底级品目名称：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iCs/>
          <w:color w:val="auto"/>
          <w:sz w:val="24"/>
          <w:szCs w:val="24"/>
          <w:highlight w:val="none"/>
        </w:rPr>
        <w:t xml:space="preserve"> </w:t>
      </w:r>
    </w:p>
    <w:p w14:paraId="4D9E7D00">
      <w:pPr>
        <w:tabs>
          <w:tab w:val="left" w:pos="740"/>
        </w:tabs>
        <w:adjustRightInd w:val="0"/>
        <w:snapToGrid w:val="0"/>
        <w:spacing w:line="400" w:lineRule="exact"/>
        <w:rPr>
          <w:rFonts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 xml:space="preserve">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强制采购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优先采购    </w:t>
      </w:r>
    </w:p>
    <w:p w14:paraId="467D70E6">
      <w:pPr>
        <w:tabs>
          <w:tab w:val="left" w:pos="740"/>
        </w:tabs>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iCs/>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677C4C0F">
      <w:pPr>
        <w:pStyle w:val="76"/>
        <w:snapToGrid w:val="0"/>
        <w:ind w:firstLine="0" w:firstLineChars="0"/>
        <w:rPr>
          <w:rFonts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kern w:val="2"/>
          <w:sz w:val="24"/>
          <w:szCs w:val="24"/>
          <w:highlight w:val="none"/>
        </w:rPr>
        <w:t xml:space="preserve">是否涉及绿色产品： </w:t>
      </w:r>
    </w:p>
    <w:p w14:paraId="23DD2C01">
      <w:pPr>
        <w:pStyle w:val="76"/>
        <w:ind w:firstLine="420" w:firstLineChars="0"/>
        <w:rPr>
          <w:rFonts w:ascii="仿宋" w:hAnsi="仿宋" w:eastAsia="仿宋" w:cs="仿宋"/>
          <w:color w:val="auto"/>
          <w:sz w:val="24"/>
          <w:szCs w:val="24"/>
          <w:highlight w:val="none"/>
          <w:u w:val="single"/>
        </w:rPr>
      </w:pPr>
      <w:r>
        <w:rPr>
          <w:rFonts w:hint="eastAsia" w:ascii="仿宋" w:hAnsi="仿宋" w:eastAsia="仿宋" w:cs="仿宋"/>
          <w:color w:val="auto"/>
          <w:kern w:val="2"/>
          <w:sz w:val="24"/>
          <w:szCs w:val="24"/>
          <w:highlight w:val="none"/>
        </w:rPr>
        <w:t xml:space="preserve">     </w:t>
      </w:r>
      <w:r>
        <w:rPr>
          <w:rFonts w:hint="eastAsia" w:ascii="仿宋" w:hAnsi="仿宋" w:eastAsia="仿宋" w:cs="仿宋"/>
          <w:color w:val="auto"/>
          <w:kern w:val="2"/>
          <w:sz w:val="24"/>
          <w:szCs w:val="24"/>
          <w:highlight w:val="none"/>
        </w:rPr>
        <w:sym w:font="Wingdings" w:char="00A8"/>
      </w:r>
      <w:r>
        <w:rPr>
          <w:rFonts w:hint="eastAsia" w:ascii="仿宋" w:hAnsi="仿宋" w:eastAsia="仿宋" w:cs="仿宋"/>
          <w:color w:val="auto"/>
          <w:kern w:val="2"/>
          <w:sz w:val="24"/>
          <w:szCs w:val="24"/>
          <w:highlight w:val="none"/>
        </w:rPr>
        <w:t>是，绿色产品政府采购相关政策确定的底级品目名称：</w:t>
      </w:r>
      <w:r>
        <w:rPr>
          <w:rFonts w:hint="eastAsia" w:ascii="仿宋" w:hAnsi="仿宋" w:eastAsia="仿宋" w:cs="仿宋"/>
          <w:color w:val="auto"/>
          <w:sz w:val="24"/>
          <w:szCs w:val="24"/>
          <w:highlight w:val="none"/>
          <w:u w:val="single"/>
        </w:rPr>
        <w:t xml:space="preserve">         </w:t>
      </w:r>
    </w:p>
    <w:p w14:paraId="38AF2B49">
      <w:pPr>
        <w:tabs>
          <w:tab w:val="left" w:pos="740"/>
        </w:tabs>
        <w:adjustRightInd w:val="0"/>
        <w:snapToGrid w:val="0"/>
        <w:spacing w:line="400" w:lineRule="exact"/>
        <w:rPr>
          <w:rFonts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 xml:space="preserve">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强制采购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优先采购    </w:t>
      </w:r>
    </w:p>
    <w:p w14:paraId="1101A2F4">
      <w:pPr>
        <w:pStyle w:val="76"/>
        <w:ind w:firstLine="420" w:firstLineChars="0"/>
        <w:rPr>
          <w:rFonts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 xml:space="preserve">     </w:t>
      </w:r>
      <w:r>
        <w:rPr>
          <w:rFonts w:hint="eastAsia" w:ascii="仿宋" w:hAnsi="仿宋" w:eastAsia="仿宋" w:cs="仿宋"/>
          <w:color w:val="auto"/>
          <w:kern w:val="2"/>
          <w:sz w:val="24"/>
          <w:szCs w:val="24"/>
          <w:highlight w:val="none"/>
        </w:rPr>
        <w:sym w:font="Wingdings" w:char="00A8"/>
      </w:r>
      <w:r>
        <w:rPr>
          <w:rFonts w:hint="eastAsia" w:ascii="仿宋" w:hAnsi="仿宋" w:eastAsia="仿宋" w:cs="仿宋"/>
          <w:color w:val="auto"/>
          <w:kern w:val="2"/>
          <w:sz w:val="24"/>
          <w:szCs w:val="24"/>
          <w:highlight w:val="none"/>
        </w:rPr>
        <w:t>否</w:t>
      </w:r>
    </w:p>
    <w:p w14:paraId="0BB15158">
      <w:pPr>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w:t>
      </w:r>
      <w:r>
        <w:rPr>
          <w:rFonts w:hint="eastAsia" w:ascii="仿宋" w:hAnsi="仿宋" w:eastAsia="仿宋" w:cs="仿宋"/>
          <w:color w:val="auto"/>
          <w:sz w:val="24"/>
          <w:szCs w:val="24"/>
          <w:highlight w:val="none"/>
          <w:lang w:val="en"/>
        </w:rPr>
        <w:t>1</w:t>
      </w:r>
      <w:r>
        <w:rPr>
          <w:rFonts w:hint="eastAsia" w:ascii="仿宋" w:hAnsi="仿宋" w:eastAsia="仿宋" w:cs="仿宋"/>
          <w:color w:val="auto"/>
          <w:sz w:val="24"/>
          <w:szCs w:val="24"/>
          <w:highlight w:val="none"/>
        </w:rPr>
        <w:t>）涉及商品包装和快递包装的，是否参考《商品包装政府采购需求标准（试行）》、《快递包装政府采购需求标准（试行）》明确产品及相关快递服务的具体包装要求：</w:t>
      </w:r>
    </w:p>
    <w:p w14:paraId="5567252F">
      <w:pPr>
        <w:adjustRightInd w:val="0"/>
        <w:snapToGrid w:val="0"/>
        <w:spacing w:line="400" w:lineRule="exact"/>
        <w:ind w:firstLine="960" w:firstLineChars="4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否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不涉及</w:t>
      </w:r>
    </w:p>
    <w:p w14:paraId="42FC2232">
      <w:pPr>
        <w:numPr>
          <w:ilvl w:val="0"/>
          <w:numId w:val="3"/>
        </w:numPr>
        <w:adjustRightInd w:val="0"/>
        <w:snapToGrid w:val="0"/>
        <w:spacing w:line="400" w:lineRule="exact"/>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合同金额</w:t>
      </w:r>
    </w:p>
    <w:p w14:paraId="6D06F4B8">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（1）合同金额小写：</w:t>
      </w:r>
      <w:r>
        <w:rPr>
          <w:rFonts w:hint="eastAsia" w:ascii="仿宋" w:hAnsi="仿宋" w:eastAsia="仿宋" w:cs="仿宋"/>
          <w:color w:val="auto"/>
          <w:sz w:val="24"/>
          <w:szCs w:val="24"/>
          <w:highlight w:val="none"/>
          <w:u w:val="single"/>
        </w:rPr>
        <w:t xml:space="preserve">                           </w:t>
      </w:r>
    </w:p>
    <w:p w14:paraId="608E3F63">
      <w:pPr>
        <w:adjustRightInd w:val="0"/>
        <w:snapToGrid w:val="0"/>
        <w:spacing w:line="4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大写：</w:t>
      </w:r>
      <w:r>
        <w:rPr>
          <w:rFonts w:hint="eastAsia" w:ascii="仿宋" w:hAnsi="仿宋" w:eastAsia="仿宋" w:cs="仿宋"/>
          <w:color w:val="auto"/>
          <w:sz w:val="24"/>
          <w:szCs w:val="24"/>
          <w:highlight w:val="none"/>
          <w:u w:val="single"/>
        </w:rPr>
        <w:t xml:space="preserve">                           </w:t>
      </w:r>
    </w:p>
    <w:p w14:paraId="13DE3972">
      <w:pPr>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分包金额（如有）小写：</w:t>
      </w:r>
      <w:r>
        <w:rPr>
          <w:rFonts w:hint="eastAsia" w:ascii="仿宋" w:hAnsi="仿宋" w:eastAsia="仿宋" w:cs="仿宋"/>
          <w:color w:val="auto"/>
          <w:sz w:val="24"/>
          <w:szCs w:val="24"/>
          <w:highlight w:val="none"/>
          <w:u w:val="single"/>
        </w:rPr>
        <w:t xml:space="preserve">                   </w:t>
      </w:r>
    </w:p>
    <w:p w14:paraId="780FC1BD">
      <w:pPr>
        <w:adjustRightInd w:val="0"/>
        <w:snapToGrid w:val="0"/>
        <w:spacing w:line="4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大写：</w:t>
      </w:r>
      <w:r>
        <w:rPr>
          <w:rFonts w:hint="eastAsia" w:ascii="仿宋" w:hAnsi="仿宋" w:eastAsia="仿宋" w:cs="仿宋"/>
          <w:color w:val="auto"/>
          <w:sz w:val="24"/>
          <w:szCs w:val="24"/>
          <w:highlight w:val="none"/>
          <w:u w:val="single"/>
        </w:rPr>
        <w:t xml:space="preserve">                       </w:t>
      </w:r>
    </w:p>
    <w:p w14:paraId="74706D6E">
      <w:pPr>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（注：固定单价合同应填写单价和最高限价）</w:t>
      </w:r>
    </w:p>
    <w:p w14:paraId="61535E0B">
      <w:pPr>
        <w:adjustRightInd w:val="0"/>
        <w:snapToGrid w:val="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（2）合同定价方式（采用组合定价方式的，可以勾选多项）：</w:t>
      </w:r>
    </w:p>
    <w:p w14:paraId="4BAB76AB">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iCs/>
          <w:color w:val="auto"/>
          <w:sz w:val="24"/>
          <w:szCs w:val="24"/>
          <w:highlight w:val="none"/>
        </w:rPr>
        <w:t xml:space="preserve">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固定总价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固定单价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固定费率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成本补偿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 xml:space="preserve">绩效激励 </w:t>
      </w:r>
      <w:r>
        <w:rPr>
          <w:rFonts w:hint="eastAsia" w:ascii="仿宋" w:hAnsi="仿宋" w:eastAsia="仿宋" w:cs="仿宋"/>
          <w:iCs/>
          <w:color w:val="auto"/>
          <w:sz w:val="24"/>
          <w:szCs w:val="24"/>
          <w:highlight w:val="none"/>
        </w:rPr>
        <w:sym w:font="Wingdings" w:char="00A8"/>
      </w:r>
      <w:r>
        <w:rPr>
          <w:rFonts w:hint="eastAsia" w:ascii="仿宋" w:hAnsi="仿宋" w:eastAsia="仿宋" w:cs="仿宋"/>
          <w:iCs/>
          <w:color w:val="auto"/>
          <w:sz w:val="24"/>
          <w:szCs w:val="24"/>
          <w:highlight w:val="none"/>
        </w:rPr>
        <w:t>其他</w:t>
      </w:r>
      <w:r>
        <w:rPr>
          <w:rFonts w:hint="eastAsia" w:ascii="仿宋" w:hAnsi="仿宋" w:eastAsia="仿宋" w:cs="仿宋"/>
          <w:color w:val="auto"/>
          <w:sz w:val="24"/>
          <w:szCs w:val="24"/>
          <w:highlight w:val="none"/>
          <w:u w:val="single"/>
        </w:rPr>
        <w:t xml:space="preserve">       </w:t>
      </w:r>
    </w:p>
    <w:p w14:paraId="2672DFAD">
      <w:pPr>
        <w:pStyle w:val="41"/>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（3）付款方式（按项目实际勾选填写）：</w:t>
      </w:r>
    </w:p>
    <w:p w14:paraId="63D80094">
      <w:pPr>
        <w:adjustRightInd w:val="0"/>
        <w:snapToGrid w:val="0"/>
        <w:spacing w:line="400" w:lineRule="exact"/>
        <w:ind w:firstLine="720" w:firstLineChars="3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全额付款：</w:t>
      </w:r>
      <w:r>
        <w:rPr>
          <w:rFonts w:hint="eastAsia" w:ascii="仿宋" w:hAnsi="仿宋" w:eastAsia="仿宋" w:cs="仿宋"/>
          <w:color w:val="auto"/>
          <w:sz w:val="24"/>
          <w:szCs w:val="24"/>
          <w:highlight w:val="none"/>
          <w:u w:val="single"/>
        </w:rPr>
        <w:t xml:space="preserve">     （应明确一次性支付合同款项的条件）                    </w:t>
      </w:r>
    </w:p>
    <w:p w14:paraId="76887F1B">
      <w:pPr>
        <w:snapToGrid w:val="0"/>
        <w:spacing w:line="400" w:lineRule="exact"/>
        <w:ind w:firstLine="720" w:firstLineChars="3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分期付款：</w:t>
      </w:r>
      <w:r>
        <w:rPr>
          <w:rFonts w:hint="eastAsia" w:ascii="仿宋" w:hAnsi="仿宋" w:eastAsia="仿宋" w:cs="仿宋"/>
          <w:color w:val="auto"/>
          <w:sz w:val="24"/>
          <w:szCs w:val="24"/>
          <w:highlight w:val="none"/>
          <w:u w:val="single"/>
        </w:rPr>
        <w:t xml:space="preserve">  （应明确分期支付合同款项的各期比例和支付条件，各期支付条件应与分期履约验收情况挂钩） </w:t>
      </w:r>
      <w:r>
        <w:rPr>
          <w:rFonts w:hint="eastAsia" w:ascii="仿宋" w:hAnsi="仿宋" w:eastAsia="仿宋" w:cs="仿宋"/>
          <w:color w:val="auto"/>
          <w:sz w:val="24"/>
          <w:szCs w:val="24"/>
          <w:highlight w:val="none"/>
        </w:rPr>
        <w:t>，其中涉及预付款的：</w:t>
      </w:r>
      <w:r>
        <w:rPr>
          <w:rFonts w:hint="eastAsia" w:ascii="仿宋" w:hAnsi="仿宋" w:eastAsia="仿宋" w:cs="仿宋"/>
          <w:color w:val="auto"/>
          <w:sz w:val="24"/>
          <w:szCs w:val="24"/>
          <w:highlight w:val="none"/>
          <w:u w:val="single"/>
        </w:rPr>
        <w:t xml:space="preserve"> （应明确预付款的支付比例和支付条件） </w:t>
      </w:r>
    </w:p>
    <w:p w14:paraId="105AADC2">
      <w:pPr>
        <w:adjustRightInd w:val="0"/>
        <w:snapToGrid w:val="0"/>
        <w:spacing w:line="400" w:lineRule="exact"/>
        <w:ind w:firstLine="720" w:firstLineChars="3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成本补偿：</w:t>
      </w:r>
      <w:r>
        <w:rPr>
          <w:rFonts w:hint="eastAsia" w:ascii="仿宋" w:hAnsi="仿宋" w:eastAsia="仿宋" w:cs="仿宋"/>
          <w:color w:val="auto"/>
          <w:sz w:val="24"/>
          <w:szCs w:val="24"/>
          <w:highlight w:val="none"/>
          <w:u w:val="single"/>
        </w:rPr>
        <w:t xml:space="preserve">      （应明确按照成本补偿方式的支付方式和支付条件）   </w:t>
      </w:r>
    </w:p>
    <w:p w14:paraId="6CAFF833">
      <w:pPr>
        <w:adjustRightInd w:val="0"/>
        <w:snapToGrid w:val="0"/>
        <w:spacing w:line="400" w:lineRule="exact"/>
        <w:ind w:firstLine="720" w:firstLineChars="3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绩效激励：</w:t>
      </w:r>
      <w:r>
        <w:rPr>
          <w:rFonts w:hint="eastAsia" w:ascii="仿宋" w:hAnsi="仿宋" w:eastAsia="仿宋" w:cs="仿宋"/>
          <w:color w:val="auto"/>
          <w:sz w:val="24"/>
          <w:szCs w:val="24"/>
          <w:highlight w:val="none"/>
          <w:u w:val="single"/>
        </w:rPr>
        <w:t xml:space="preserve">      （应明确按照绩效激励方式的支付方式和支付条件）   </w:t>
      </w:r>
    </w:p>
    <w:p w14:paraId="34FE3BAA">
      <w:pPr>
        <w:numPr>
          <w:ilvl w:val="0"/>
          <w:numId w:val="3"/>
        </w:numPr>
        <w:adjustRightInd w:val="0"/>
        <w:snapToGrid w:val="0"/>
        <w:spacing w:line="400" w:lineRule="exact"/>
        <w:ind w:firstLine="482" w:firstLineChars="200"/>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合同履行</w:t>
      </w:r>
    </w:p>
    <w:p w14:paraId="49CF1DAD">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（1）起始日期：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日，完成日期：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AE42AED">
      <w:pPr>
        <w:adjustRightInd w:val="0"/>
        <w:snapToGrid w:val="0"/>
        <w:spacing w:line="400" w:lineRule="exact"/>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（2）履约地点</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u w:val="single"/>
        </w:rPr>
        <w:t xml:space="preserve">                             </w:t>
      </w:r>
    </w:p>
    <w:p w14:paraId="6C735E66">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（3）履约担保：</w:t>
      </w:r>
      <w:r>
        <w:rPr>
          <w:rFonts w:hint="eastAsia" w:ascii="仿宋" w:hAnsi="仿宋" w:eastAsia="仿宋" w:cs="仿宋"/>
          <w:color w:val="auto"/>
          <w:sz w:val="24"/>
          <w:szCs w:val="24"/>
          <w:highlight w:val="none"/>
        </w:rPr>
        <w:t>是否收取履约保证金：</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否</w:t>
      </w:r>
    </w:p>
    <w:p w14:paraId="693713D2">
      <w:pPr>
        <w:pStyle w:val="76"/>
        <w:ind w:firstLine="48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rPr>
        <w:t xml:space="preserve">  收取履约保证金形式：</w:t>
      </w:r>
      <w:r>
        <w:rPr>
          <w:rFonts w:hint="eastAsia" w:ascii="仿宋" w:hAnsi="仿宋" w:eastAsia="仿宋" w:cs="仿宋"/>
          <w:bCs/>
          <w:color w:val="auto"/>
          <w:sz w:val="24"/>
          <w:szCs w:val="24"/>
          <w:highlight w:val="none"/>
          <w:u w:val="single"/>
        </w:rPr>
        <w:t xml:space="preserve">                            </w:t>
      </w:r>
    </w:p>
    <w:p w14:paraId="33D42ED7">
      <w:pPr>
        <w:pStyle w:val="76"/>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收取履约保证金金额：</w:t>
      </w:r>
      <w:r>
        <w:rPr>
          <w:rFonts w:hint="eastAsia" w:ascii="仿宋" w:hAnsi="仿宋" w:eastAsia="仿宋" w:cs="仿宋"/>
          <w:bCs/>
          <w:color w:val="auto"/>
          <w:sz w:val="24"/>
          <w:szCs w:val="24"/>
          <w:highlight w:val="none"/>
          <w:u w:val="single"/>
        </w:rPr>
        <w:t xml:space="preserve">                            </w:t>
      </w:r>
    </w:p>
    <w:p w14:paraId="7CC85513">
      <w:pPr>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履约担保期限：</w:t>
      </w:r>
      <w:r>
        <w:rPr>
          <w:rFonts w:hint="eastAsia" w:ascii="仿宋" w:hAnsi="仿宋" w:eastAsia="仿宋" w:cs="仿宋"/>
          <w:bCs/>
          <w:color w:val="auto"/>
          <w:sz w:val="24"/>
          <w:szCs w:val="24"/>
          <w:highlight w:val="none"/>
          <w:u w:val="single"/>
        </w:rPr>
        <w:t xml:space="preserve">                                  </w:t>
      </w:r>
    </w:p>
    <w:p w14:paraId="5EFE5F70">
      <w:pPr>
        <w:adjustRightInd w:val="0"/>
        <w:snapToGrid w:val="0"/>
        <w:spacing w:line="400" w:lineRule="exact"/>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（4）分期履行要求：</w:t>
      </w:r>
      <w:r>
        <w:rPr>
          <w:rFonts w:hint="eastAsia" w:ascii="仿宋" w:hAnsi="仿宋" w:eastAsia="仿宋" w:cs="仿宋"/>
          <w:bCs/>
          <w:color w:val="auto"/>
          <w:sz w:val="24"/>
          <w:szCs w:val="24"/>
          <w:highlight w:val="none"/>
          <w:u w:val="single"/>
        </w:rPr>
        <w:t xml:space="preserve">                                                        </w:t>
      </w:r>
    </w:p>
    <w:p w14:paraId="44AE205A">
      <w:pPr>
        <w:adjustRightInd w:val="0"/>
        <w:snapToGrid w:val="0"/>
        <w:spacing w:line="400" w:lineRule="exact"/>
        <w:ind w:firstLine="480" w:firstLineChars="200"/>
        <w:rPr>
          <w:rFonts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（5）风险处置措施和替代方案：</w:t>
      </w:r>
      <w:r>
        <w:rPr>
          <w:rFonts w:hint="eastAsia" w:ascii="仿宋" w:hAnsi="仿宋" w:eastAsia="仿宋" w:cs="仿宋"/>
          <w:color w:val="auto"/>
          <w:sz w:val="24"/>
          <w:szCs w:val="24"/>
          <w:highlight w:val="none"/>
          <w:u w:val="single"/>
        </w:rPr>
        <w:t xml:space="preserve">                                                               </w:t>
      </w:r>
    </w:p>
    <w:p w14:paraId="78DD31B6">
      <w:pPr>
        <w:numPr>
          <w:ilvl w:val="0"/>
          <w:numId w:val="3"/>
        </w:numPr>
        <w:adjustRightInd w:val="0"/>
        <w:snapToGrid w:val="0"/>
        <w:spacing w:line="400" w:lineRule="exact"/>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合同验收</w:t>
      </w:r>
    </w:p>
    <w:p w14:paraId="03B6CD34">
      <w:pPr>
        <w:numPr>
          <w:ilvl w:val="0"/>
          <w:numId w:val="0"/>
        </w:numPr>
        <w:adjustRightInd w:val="0"/>
        <w:snapToGrid w:val="0"/>
        <w:spacing w:line="400" w:lineRule="exact"/>
        <w:ind w:firstLine="480" w:firstLineChars="200"/>
        <w:rPr>
          <w:rFonts w:ascii="仿宋" w:hAnsi="仿宋" w:eastAsia="仿宋" w:cs="仿宋"/>
          <w:bCs/>
          <w:color w:val="auto"/>
          <w:sz w:val="24"/>
          <w:szCs w:val="24"/>
          <w:highlight w:val="none"/>
        </w:rPr>
      </w:pPr>
      <w:r>
        <w:rPr>
          <w:rFonts w:ascii="仿宋" w:hAnsi="仿宋" w:eastAsia="仿宋" w:cs="仿宋"/>
          <w:bCs/>
          <w:color w:val="auto"/>
          <w:kern w:val="2"/>
          <w:sz w:val="24"/>
          <w:szCs w:val="24"/>
          <w:lang w:val="en-US" w:eastAsia="zh-CN" w:bidi="ar-SA"/>
        </w:rPr>
        <w:t>（1）</w:t>
      </w:r>
      <w:r>
        <w:rPr>
          <w:rFonts w:hint="eastAsia" w:ascii="仿宋" w:hAnsi="仿宋" w:eastAsia="仿宋" w:cs="仿宋"/>
          <w:bCs/>
          <w:color w:val="auto"/>
          <w:sz w:val="24"/>
          <w:szCs w:val="24"/>
          <w:highlight w:val="none"/>
        </w:rPr>
        <w:t>验收组织方式：</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 xml:space="preserve">自行组织 </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委托第三方组织</w:t>
      </w:r>
    </w:p>
    <w:p w14:paraId="448ADC73">
      <w:pPr>
        <w:adjustRightInd w:val="0"/>
        <w:snapToGrid w:val="0"/>
        <w:spacing w:line="4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验收主体：</w:t>
      </w:r>
      <w:r>
        <w:rPr>
          <w:rFonts w:hint="eastAsia" w:ascii="仿宋" w:hAnsi="仿宋" w:eastAsia="仿宋" w:cs="仿宋"/>
          <w:bCs/>
          <w:color w:val="auto"/>
          <w:sz w:val="24"/>
          <w:szCs w:val="24"/>
          <w:highlight w:val="none"/>
          <w:u w:val="single"/>
        </w:rPr>
        <w:t xml:space="preserve">                  </w:t>
      </w:r>
    </w:p>
    <w:p w14:paraId="0A9026CE">
      <w:pPr>
        <w:adjustRightInd w:val="0"/>
        <w:snapToGrid w:val="0"/>
        <w:spacing w:line="4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是否邀请本项目的其他供应商参加验收：</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否</w:t>
      </w:r>
    </w:p>
    <w:p w14:paraId="4CDDB3B7">
      <w:pPr>
        <w:adjustRightInd w:val="0"/>
        <w:snapToGrid w:val="0"/>
        <w:spacing w:line="400" w:lineRule="exact"/>
        <w:ind w:firstLine="960" w:firstLineChars="4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是否邀请专家参加验收：</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否</w:t>
      </w:r>
    </w:p>
    <w:p w14:paraId="1103060F">
      <w:pPr>
        <w:adjustRightInd w:val="0"/>
        <w:snapToGrid w:val="0"/>
        <w:spacing w:line="400" w:lineRule="exact"/>
        <w:ind w:firstLine="960" w:firstLineChars="4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是否邀请服务对象参加验收：</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否</w:t>
      </w:r>
    </w:p>
    <w:p w14:paraId="5C167C65">
      <w:pPr>
        <w:adjustRightInd w:val="0"/>
        <w:snapToGrid w:val="0"/>
        <w:spacing w:line="400" w:lineRule="exact"/>
        <w:ind w:firstLine="960" w:firstLineChars="4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是否邀请第三方检测机构参加验收：</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否</w:t>
      </w:r>
    </w:p>
    <w:p w14:paraId="2147AB1E">
      <w:pPr>
        <w:adjustRightInd w:val="0"/>
        <w:snapToGrid w:val="0"/>
        <w:spacing w:line="400" w:lineRule="exact"/>
        <w:ind w:firstLine="960" w:firstLineChars="4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是否进行抽查检测：</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是，抽查比例：</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否</w:t>
      </w:r>
    </w:p>
    <w:p w14:paraId="28DE676E">
      <w:pPr>
        <w:adjustRightInd w:val="0"/>
        <w:snapToGrid w:val="0"/>
        <w:spacing w:line="400" w:lineRule="exact"/>
        <w:ind w:firstLine="960" w:firstLineChars="4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是否存在破坏性检测：</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是，</w:t>
      </w:r>
      <w:r>
        <w:rPr>
          <w:rFonts w:hint="eastAsia" w:ascii="仿宋" w:hAnsi="仿宋" w:eastAsia="仿宋" w:cs="仿宋"/>
          <w:bCs/>
          <w:color w:val="auto"/>
          <w:sz w:val="24"/>
          <w:szCs w:val="24"/>
          <w:highlight w:val="none"/>
          <w:u w:val="single"/>
        </w:rPr>
        <w:t>（应明确对被破坏的检测产品的处理方式）</w:t>
      </w:r>
    </w:p>
    <w:p w14:paraId="2D05C90D">
      <w:pPr>
        <w:adjustRightInd w:val="0"/>
        <w:snapToGrid w:val="0"/>
        <w:spacing w:line="400" w:lineRule="exact"/>
        <w:ind w:firstLine="960" w:firstLineChars="4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否</w:t>
      </w:r>
    </w:p>
    <w:p w14:paraId="5CF98F52">
      <w:pPr>
        <w:adjustRightInd w:val="0"/>
        <w:snapToGrid w:val="0"/>
        <w:spacing w:line="400" w:lineRule="exact"/>
        <w:ind w:firstLine="960" w:firstLineChars="4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验收组织的其他事项：</w:t>
      </w:r>
      <w:r>
        <w:rPr>
          <w:rFonts w:hint="eastAsia" w:ascii="仿宋" w:hAnsi="仿宋" w:eastAsia="仿宋" w:cs="仿宋"/>
          <w:bCs/>
          <w:color w:val="auto"/>
          <w:sz w:val="24"/>
          <w:szCs w:val="24"/>
          <w:highlight w:val="none"/>
          <w:u w:val="single"/>
        </w:rPr>
        <w:t xml:space="preserve">                </w:t>
      </w:r>
    </w:p>
    <w:p w14:paraId="04D9F3C7">
      <w:pPr>
        <w:adjustRightInd w:val="0"/>
        <w:snapToGrid w:val="0"/>
        <w:spacing w:line="400" w:lineRule="exact"/>
        <w:ind w:firstLine="480" w:firstLineChars="2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（2）履约验收时间：</w:t>
      </w:r>
      <w:r>
        <w:rPr>
          <w:rFonts w:hint="eastAsia" w:ascii="仿宋" w:hAnsi="仿宋" w:eastAsia="仿宋" w:cs="仿宋"/>
          <w:bCs/>
          <w:color w:val="auto"/>
          <w:sz w:val="24"/>
          <w:szCs w:val="24"/>
          <w:highlight w:val="none"/>
          <w:u w:val="single"/>
        </w:rPr>
        <w:t xml:space="preserve">（计划于何时验收/供应商提出验收申请之日起   日内组织验收） </w:t>
      </w:r>
    </w:p>
    <w:p w14:paraId="56ED5369">
      <w:pPr>
        <w:adjustRightInd w:val="0"/>
        <w:snapToGrid w:val="0"/>
        <w:spacing w:line="400" w:lineRule="exact"/>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（3）履约验收方式：</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 xml:space="preserve">一次性验收         </w:t>
      </w:r>
    </w:p>
    <w:p w14:paraId="5AB6C9FF">
      <w:pPr>
        <w:adjustRightInd w:val="0"/>
        <w:snapToGrid w:val="0"/>
        <w:spacing w:line="4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分期/分项验收：</w:t>
      </w:r>
      <w:r>
        <w:rPr>
          <w:rFonts w:hint="eastAsia" w:ascii="仿宋" w:hAnsi="仿宋" w:eastAsia="仿宋" w:cs="仿宋"/>
          <w:bCs/>
          <w:color w:val="auto"/>
          <w:sz w:val="24"/>
          <w:szCs w:val="24"/>
          <w:highlight w:val="none"/>
          <w:u w:val="single"/>
        </w:rPr>
        <w:t xml:space="preserve"> （应明确分期</w:t>
      </w:r>
      <w:r>
        <w:rPr>
          <w:rFonts w:hint="eastAsia" w:ascii="仿宋" w:hAnsi="仿宋" w:eastAsia="仿宋" w:cs="仿宋"/>
          <w:bCs/>
          <w:color w:val="auto"/>
          <w:sz w:val="24"/>
          <w:szCs w:val="24"/>
          <w:highlight w:val="none"/>
          <w:u w:val="single"/>
          <w:lang w:val="en"/>
        </w:rPr>
        <w:t>/分项验收的工作安排</w:t>
      </w:r>
      <w:r>
        <w:rPr>
          <w:rFonts w:hint="eastAsia" w:ascii="仿宋" w:hAnsi="仿宋" w:eastAsia="仿宋" w:cs="仿宋"/>
          <w:bCs/>
          <w:color w:val="auto"/>
          <w:sz w:val="24"/>
          <w:szCs w:val="24"/>
          <w:highlight w:val="none"/>
          <w:u w:val="single"/>
        </w:rPr>
        <w:t xml:space="preserve">）  </w:t>
      </w:r>
    </w:p>
    <w:p w14:paraId="693769B1">
      <w:pPr>
        <w:adjustRightInd w:val="0"/>
        <w:snapToGrid w:val="0"/>
        <w:spacing w:line="400" w:lineRule="exact"/>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（4）履约验收程序：</w:t>
      </w:r>
      <w:r>
        <w:rPr>
          <w:rFonts w:hint="eastAsia" w:ascii="仿宋" w:hAnsi="仿宋" w:eastAsia="仿宋" w:cs="仿宋"/>
          <w:bCs/>
          <w:color w:val="auto"/>
          <w:sz w:val="24"/>
          <w:szCs w:val="24"/>
          <w:highlight w:val="none"/>
          <w:u w:val="single"/>
        </w:rPr>
        <w:t xml:space="preserve">                                         </w:t>
      </w:r>
    </w:p>
    <w:p w14:paraId="23A48B35">
      <w:pPr>
        <w:adjustRightInd w:val="0"/>
        <w:snapToGrid w:val="0"/>
        <w:spacing w:line="400" w:lineRule="exact"/>
        <w:ind w:firstLine="480" w:firstLineChars="2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（5）履约验收的内容：</w:t>
      </w:r>
      <w:r>
        <w:rPr>
          <w:rFonts w:hint="eastAsia" w:ascii="仿宋" w:hAnsi="仿宋" w:eastAsia="仿宋" w:cs="仿宋"/>
          <w:bCs/>
          <w:color w:val="auto"/>
          <w:sz w:val="24"/>
          <w:szCs w:val="24"/>
          <w:highlight w:val="none"/>
          <w:u w:val="single"/>
        </w:rPr>
        <w:t xml:space="preserve"> （应当包括每一项技术和商务要求的履约情况，特别是落实政府采购扶持中小企业，支持绿色发展和乡村振兴等政策情况）                                      </w:t>
      </w:r>
    </w:p>
    <w:p w14:paraId="58C5936B">
      <w:pPr>
        <w:adjustRightInd w:val="0"/>
        <w:snapToGrid w:val="0"/>
        <w:spacing w:line="400" w:lineRule="exact"/>
        <w:ind w:firstLine="480" w:firstLineChars="2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（6）履约验收标准：</w:t>
      </w:r>
      <w:r>
        <w:rPr>
          <w:rFonts w:hint="eastAsia" w:ascii="仿宋" w:hAnsi="仿宋" w:eastAsia="仿宋" w:cs="仿宋"/>
          <w:bCs/>
          <w:color w:val="auto"/>
          <w:sz w:val="24"/>
          <w:szCs w:val="24"/>
          <w:highlight w:val="none"/>
          <w:u w:val="single"/>
        </w:rPr>
        <w:t xml:space="preserve">                                         </w:t>
      </w:r>
    </w:p>
    <w:p w14:paraId="596735BC">
      <w:pPr>
        <w:pStyle w:val="76"/>
        <w:ind w:firstLine="48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（7）是否以采购活动中供应商提供的样品作为参考：</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 xml:space="preserve">是  </w:t>
      </w:r>
      <w:r>
        <w:rPr>
          <w:rFonts w:hint="eastAsia" w:ascii="仿宋" w:hAnsi="仿宋" w:eastAsia="仿宋" w:cs="仿宋"/>
          <w:color w:val="auto"/>
          <w:sz w:val="24"/>
          <w:szCs w:val="24"/>
          <w:highlight w:val="none"/>
        </w:rPr>
        <w:sym w:font="Wingdings" w:char="00A8"/>
      </w:r>
      <w:r>
        <w:rPr>
          <w:rFonts w:hint="eastAsia" w:ascii="仿宋" w:hAnsi="仿宋" w:eastAsia="仿宋" w:cs="仿宋"/>
          <w:bCs/>
          <w:color w:val="auto"/>
          <w:sz w:val="24"/>
          <w:szCs w:val="24"/>
          <w:highlight w:val="none"/>
        </w:rPr>
        <w:t>否</w:t>
      </w:r>
    </w:p>
    <w:p w14:paraId="4B8C75DA">
      <w:pPr>
        <w:adjustRightInd w:val="0"/>
        <w:snapToGrid w:val="0"/>
        <w:spacing w:line="400" w:lineRule="exact"/>
        <w:ind w:firstLine="480" w:firstLineChars="2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（8）履约验收其他事项：</w:t>
      </w:r>
      <w:r>
        <w:rPr>
          <w:rFonts w:hint="eastAsia" w:ascii="仿宋" w:hAnsi="仿宋" w:eastAsia="仿宋" w:cs="仿宋"/>
          <w:bCs/>
          <w:color w:val="auto"/>
          <w:sz w:val="24"/>
          <w:szCs w:val="24"/>
          <w:highlight w:val="none"/>
          <w:u w:val="single"/>
        </w:rPr>
        <w:t xml:space="preserve">      （产权过户登记等）          </w:t>
      </w:r>
    </w:p>
    <w:p w14:paraId="426C851B">
      <w:pPr>
        <w:numPr>
          <w:ilvl w:val="0"/>
          <w:numId w:val="3"/>
        </w:numPr>
        <w:adjustRightInd w:val="0"/>
        <w:snapToGrid w:val="0"/>
        <w:spacing w:line="400" w:lineRule="exact"/>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组成合同的文件</w:t>
      </w:r>
    </w:p>
    <w:p w14:paraId="261E2928">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本协议书与下列文件一起构成合同文件，如下述文件之间有任何抵触、矛盾或歧义，应按以下顺序解释：</w:t>
      </w:r>
    </w:p>
    <w:p w14:paraId="64E5A358">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（1）政府采购合同协议书及其变更、补充协议</w:t>
      </w:r>
    </w:p>
    <w:p w14:paraId="617FBB0C">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（2）政府采购合同专用条款</w:t>
      </w:r>
    </w:p>
    <w:p w14:paraId="5CEB58B6">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（3）政府采购合同通用条款</w:t>
      </w:r>
    </w:p>
    <w:p w14:paraId="71A0FC8B">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（4）中标（成交）通知书</w:t>
      </w:r>
    </w:p>
    <w:p w14:paraId="1A7C0A06">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（5）投标（响应）文件</w:t>
      </w:r>
    </w:p>
    <w:p w14:paraId="7DA7164D">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（6）采购文件</w:t>
      </w:r>
    </w:p>
    <w:p w14:paraId="0213CD7E">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（7）有关技术文件，图纸</w:t>
      </w:r>
    </w:p>
    <w:p w14:paraId="04F7F6E0">
      <w:pPr>
        <w:pStyle w:val="76"/>
        <w:ind w:firstLine="480"/>
        <w:rPr>
          <w:rFonts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kern w:val="2"/>
          <w:sz w:val="24"/>
          <w:szCs w:val="24"/>
          <w:highlight w:val="none"/>
        </w:rPr>
        <w:t>国家法律、行政法规和规章制度规定或合同约定的作为合同组成部分的其他文件</w:t>
      </w:r>
    </w:p>
    <w:p w14:paraId="7E8DF1CA">
      <w:pPr>
        <w:numPr>
          <w:ilvl w:val="0"/>
          <w:numId w:val="3"/>
        </w:numPr>
        <w:adjustRightInd w:val="0"/>
        <w:snapToGrid w:val="0"/>
        <w:spacing w:line="400" w:lineRule="exact"/>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合同生效</w:t>
      </w:r>
    </w:p>
    <w:p w14:paraId="0B057E47">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本合同自</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生效。</w:t>
      </w:r>
    </w:p>
    <w:p w14:paraId="7E85710C">
      <w:pPr>
        <w:numPr>
          <w:ilvl w:val="0"/>
          <w:numId w:val="3"/>
        </w:numPr>
        <w:adjustRightInd w:val="0"/>
        <w:snapToGrid w:val="0"/>
        <w:spacing w:line="400" w:lineRule="exact"/>
        <w:ind w:firstLine="482" w:firstLineChars="20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合同份数</w:t>
      </w:r>
    </w:p>
    <w:p w14:paraId="3EC77761">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份，甲方执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份，乙方执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份，均具有同等法律效力。</w:t>
      </w:r>
    </w:p>
    <w:p w14:paraId="29D7AA59">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合同订立时间：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9B6AABB">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合同订立地点：</w:t>
      </w:r>
      <w:r>
        <w:rPr>
          <w:rFonts w:hint="eastAsia" w:ascii="仿宋" w:hAnsi="仿宋" w:eastAsia="仿宋" w:cs="仿宋"/>
          <w:color w:val="auto"/>
          <w:sz w:val="24"/>
          <w:szCs w:val="24"/>
          <w:highlight w:val="none"/>
          <w:u w:val="single"/>
        </w:rPr>
        <w:t xml:space="preserve">                           </w:t>
      </w:r>
    </w:p>
    <w:p w14:paraId="52C55C4C">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附件：具体标的及其技术要求和商务要求、联合协议、分包意向协议等。</w:t>
      </w:r>
    </w:p>
    <w:p w14:paraId="5834717E">
      <w:pPr>
        <w:pStyle w:val="41"/>
        <w:spacing w:line="400" w:lineRule="exact"/>
        <w:ind w:firstLine="480"/>
        <w:rPr>
          <w:rFonts w:ascii="仿宋" w:hAnsi="仿宋" w:eastAsia="仿宋" w:cs="仿宋"/>
          <w:color w:val="auto"/>
          <w:sz w:val="24"/>
          <w:szCs w:val="24"/>
          <w:highlight w:val="none"/>
        </w:rPr>
      </w:pPr>
    </w:p>
    <w:p w14:paraId="4AB0799B">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3EE22A81">
      <w:pPr>
        <w:pStyle w:val="41"/>
        <w:ind w:firstLine="480"/>
        <w:rPr>
          <w:rFonts w:ascii="仿宋" w:hAnsi="仿宋" w:eastAsia="仿宋" w:cs="仿宋"/>
          <w:color w:val="auto"/>
          <w:sz w:val="24"/>
          <w:szCs w:val="24"/>
          <w:highlight w:val="none"/>
        </w:rPr>
      </w:pPr>
    </w:p>
    <w:tbl>
      <w:tblPr>
        <w:tblStyle w:val="2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09"/>
        <w:gridCol w:w="2818"/>
        <w:gridCol w:w="2311"/>
        <w:gridCol w:w="2473"/>
      </w:tblGrid>
      <w:tr w14:paraId="1A911A5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48ABB8F1">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甲方（采购人、受采购人委托签订合同的单位或采购文件约定的合同甲方）</w:t>
            </w:r>
          </w:p>
        </w:tc>
        <w:tc>
          <w:tcPr>
            <w:tcW w:w="2437" w:type="pct"/>
            <w:gridSpan w:val="2"/>
            <w:tcBorders>
              <w:left w:val="single" w:color="auto" w:sz="2" w:space="0"/>
              <w:bottom w:val="single" w:color="auto" w:sz="2" w:space="0"/>
            </w:tcBorders>
            <w:noWrap w:val="0"/>
            <w:vAlign w:val="center"/>
          </w:tcPr>
          <w:p w14:paraId="0A6408F7">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乙方（供应商）</w:t>
            </w:r>
          </w:p>
        </w:tc>
      </w:tr>
      <w:tr w14:paraId="4D37B72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5AE3EBE1">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95B0C22">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EC2D0A3">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单位名称（公章或合同章）</w:t>
            </w:r>
          </w:p>
        </w:tc>
        <w:tc>
          <w:tcPr>
            <w:tcW w:w="1259" w:type="pct"/>
            <w:tcBorders>
              <w:top w:val="single" w:color="auto" w:sz="2" w:space="0"/>
              <w:left w:val="single" w:color="auto" w:sz="2" w:space="0"/>
              <w:bottom w:val="single" w:color="auto" w:sz="2" w:space="0"/>
            </w:tcBorders>
            <w:noWrap w:val="0"/>
            <w:vAlign w:val="center"/>
          </w:tcPr>
          <w:p w14:paraId="6E9A11C7">
            <w:pPr>
              <w:adjustRightInd w:val="0"/>
              <w:snapToGrid w:val="0"/>
              <w:spacing w:line="300" w:lineRule="exact"/>
              <w:jc w:val="center"/>
              <w:rPr>
                <w:rFonts w:ascii="仿宋" w:hAnsi="仿宋" w:eastAsia="仿宋" w:cs="仿宋"/>
                <w:color w:val="auto"/>
                <w:spacing w:val="20"/>
                <w:sz w:val="24"/>
                <w:szCs w:val="24"/>
                <w:highlight w:val="none"/>
              </w:rPr>
            </w:pPr>
          </w:p>
        </w:tc>
      </w:tr>
      <w:tr w14:paraId="1FFA2B5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010AC17E">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p w14:paraId="4339A040">
            <w:pPr>
              <w:adjustRightInd w:val="0"/>
              <w:snapToGrid w:val="0"/>
              <w:spacing w:line="300" w:lineRule="exact"/>
              <w:ind w:firstLine="115" w:firstLineChars="4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5AA70C78">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right w:val="single" w:color="auto" w:sz="2" w:space="0"/>
            </w:tcBorders>
            <w:noWrap w:val="0"/>
            <w:vAlign w:val="center"/>
          </w:tcPr>
          <w:p w14:paraId="17577729">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p w14:paraId="631035F6">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或其委托代理人（签章）</w:t>
            </w:r>
          </w:p>
        </w:tc>
        <w:tc>
          <w:tcPr>
            <w:tcW w:w="1259" w:type="pct"/>
            <w:tcBorders>
              <w:top w:val="single" w:color="auto" w:sz="2" w:space="0"/>
              <w:left w:val="single" w:color="auto" w:sz="2" w:space="0"/>
              <w:bottom w:val="single" w:color="auto" w:sz="2" w:space="0"/>
            </w:tcBorders>
            <w:noWrap w:val="0"/>
            <w:vAlign w:val="center"/>
          </w:tcPr>
          <w:p w14:paraId="11C688A6">
            <w:pPr>
              <w:adjustRightInd w:val="0"/>
              <w:snapToGrid w:val="0"/>
              <w:spacing w:line="300" w:lineRule="exact"/>
              <w:jc w:val="center"/>
              <w:rPr>
                <w:rFonts w:ascii="仿宋" w:hAnsi="仿宋" w:eastAsia="仿宋" w:cs="仿宋"/>
                <w:color w:val="auto"/>
                <w:sz w:val="24"/>
                <w:szCs w:val="24"/>
                <w:highlight w:val="none"/>
              </w:rPr>
            </w:pPr>
          </w:p>
        </w:tc>
      </w:tr>
      <w:tr w14:paraId="2BA002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0E4EF5CC">
            <w:pPr>
              <w:adjustRightInd w:val="0"/>
              <w:snapToGrid w:val="0"/>
              <w:spacing w:line="300" w:lineRule="exact"/>
              <w:jc w:val="center"/>
              <w:rPr>
                <w:rFonts w:ascii="仿宋" w:hAnsi="仿宋" w:eastAsia="仿宋" w:cs="仿宋"/>
                <w:color w:val="auto"/>
                <w:sz w:val="24"/>
                <w:szCs w:val="24"/>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0FAEA71F">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571C21E">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77B5B023">
            <w:pPr>
              <w:adjustRightInd w:val="0"/>
              <w:snapToGrid w:val="0"/>
              <w:spacing w:line="300" w:lineRule="exact"/>
              <w:jc w:val="center"/>
              <w:rPr>
                <w:rFonts w:ascii="仿宋" w:hAnsi="仿宋" w:eastAsia="仿宋" w:cs="仿宋"/>
                <w:color w:val="auto"/>
                <w:spacing w:val="20"/>
                <w:sz w:val="24"/>
                <w:szCs w:val="24"/>
                <w:highlight w:val="none"/>
              </w:rPr>
            </w:pPr>
          </w:p>
        </w:tc>
      </w:tr>
      <w:tr w14:paraId="615F085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B608FF6">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D279880">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82FC128">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住  所</w:t>
            </w:r>
          </w:p>
        </w:tc>
        <w:tc>
          <w:tcPr>
            <w:tcW w:w="1259" w:type="pct"/>
            <w:tcBorders>
              <w:top w:val="single" w:color="auto" w:sz="2" w:space="0"/>
              <w:left w:val="single" w:color="auto" w:sz="2" w:space="0"/>
              <w:bottom w:val="single" w:color="auto" w:sz="2" w:space="0"/>
            </w:tcBorders>
            <w:noWrap w:val="0"/>
            <w:vAlign w:val="center"/>
          </w:tcPr>
          <w:p w14:paraId="6044EEBE">
            <w:pPr>
              <w:adjustRightInd w:val="0"/>
              <w:snapToGrid w:val="0"/>
              <w:spacing w:line="300" w:lineRule="exact"/>
              <w:jc w:val="center"/>
              <w:rPr>
                <w:rFonts w:ascii="仿宋" w:hAnsi="仿宋" w:eastAsia="仿宋" w:cs="仿宋"/>
                <w:color w:val="auto"/>
                <w:spacing w:val="20"/>
                <w:sz w:val="24"/>
                <w:szCs w:val="24"/>
                <w:highlight w:val="none"/>
              </w:rPr>
            </w:pPr>
          </w:p>
        </w:tc>
      </w:tr>
      <w:tr w14:paraId="495482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F5649CB">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EB5D8E1">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D5A6B2E">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46F7B0FA">
            <w:pPr>
              <w:adjustRightInd w:val="0"/>
              <w:snapToGrid w:val="0"/>
              <w:spacing w:line="300" w:lineRule="exact"/>
              <w:jc w:val="center"/>
              <w:rPr>
                <w:rFonts w:ascii="仿宋" w:hAnsi="仿宋" w:eastAsia="仿宋" w:cs="仿宋"/>
                <w:color w:val="auto"/>
                <w:spacing w:val="20"/>
                <w:sz w:val="24"/>
                <w:szCs w:val="24"/>
                <w:highlight w:val="none"/>
              </w:rPr>
            </w:pPr>
          </w:p>
        </w:tc>
      </w:tr>
      <w:tr w14:paraId="0E21BF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FE12C10">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701BC1A">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39F8A81">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69A7B1CC">
            <w:pPr>
              <w:adjustRightInd w:val="0"/>
              <w:snapToGrid w:val="0"/>
              <w:spacing w:line="300" w:lineRule="exact"/>
              <w:jc w:val="center"/>
              <w:rPr>
                <w:rFonts w:ascii="仿宋" w:hAnsi="仿宋" w:eastAsia="仿宋" w:cs="仿宋"/>
                <w:color w:val="auto"/>
                <w:spacing w:val="20"/>
                <w:sz w:val="24"/>
                <w:szCs w:val="24"/>
                <w:highlight w:val="none"/>
              </w:rPr>
            </w:pPr>
          </w:p>
        </w:tc>
      </w:tr>
      <w:tr w14:paraId="1525951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9F43694">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0267B03">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C2C3688">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0685C64E">
            <w:pPr>
              <w:adjustRightInd w:val="0"/>
              <w:snapToGrid w:val="0"/>
              <w:spacing w:line="300" w:lineRule="exact"/>
              <w:jc w:val="center"/>
              <w:rPr>
                <w:rFonts w:ascii="仿宋" w:hAnsi="仿宋" w:eastAsia="仿宋" w:cs="仿宋"/>
                <w:color w:val="auto"/>
                <w:spacing w:val="20"/>
                <w:sz w:val="24"/>
                <w:szCs w:val="24"/>
                <w:highlight w:val="none"/>
              </w:rPr>
            </w:pPr>
          </w:p>
        </w:tc>
      </w:tr>
      <w:tr w14:paraId="2F7B76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3A11D63">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FC72E27">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E56CD38">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073A4FD2">
            <w:pPr>
              <w:adjustRightInd w:val="0"/>
              <w:snapToGrid w:val="0"/>
              <w:spacing w:line="300" w:lineRule="exact"/>
              <w:jc w:val="center"/>
              <w:rPr>
                <w:rFonts w:ascii="仿宋" w:hAnsi="仿宋" w:eastAsia="仿宋" w:cs="仿宋"/>
                <w:color w:val="auto"/>
                <w:spacing w:val="20"/>
                <w:sz w:val="24"/>
                <w:szCs w:val="24"/>
                <w:highlight w:val="none"/>
              </w:rPr>
            </w:pPr>
          </w:p>
        </w:tc>
      </w:tr>
      <w:tr w14:paraId="7746C5C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774DD87">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AAB4F5C">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E56E383">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0328ECFE">
            <w:pPr>
              <w:adjustRightInd w:val="0"/>
              <w:snapToGrid w:val="0"/>
              <w:spacing w:line="300" w:lineRule="exact"/>
              <w:jc w:val="center"/>
              <w:rPr>
                <w:rFonts w:ascii="仿宋" w:hAnsi="仿宋" w:eastAsia="仿宋" w:cs="仿宋"/>
                <w:color w:val="auto"/>
                <w:spacing w:val="20"/>
                <w:sz w:val="24"/>
                <w:szCs w:val="24"/>
                <w:highlight w:val="none"/>
              </w:rPr>
            </w:pPr>
          </w:p>
        </w:tc>
      </w:tr>
      <w:tr w14:paraId="6B5B9AD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3D710C3">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802362D">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11EF100">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78345153">
            <w:pPr>
              <w:adjustRightInd w:val="0"/>
              <w:snapToGrid w:val="0"/>
              <w:spacing w:line="300" w:lineRule="exact"/>
              <w:jc w:val="center"/>
              <w:rPr>
                <w:rFonts w:ascii="仿宋" w:hAnsi="仿宋" w:eastAsia="仿宋" w:cs="仿宋"/>
                <w:color w:val="auto"/>
                <w:spacing w:val="20"/>
                <w:sz w:val="24"/>
                <w:szCs w:val="24"/>
                <w:highlight w:val="none"/>
              </w:rPr>
            </w:pPr>
          </w:p>
        </w:tc>
      </w:tr>
      <w:tr w14:paraId="46CFE1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B4D5341">
            <w:pPr>
              <w:adjustRightInd w:val="0"/>
              <w:snapToGrid w:val="0"/>
              <w:spacing w:line="300" w:lineRule="exact"/>
              <w:jc w:val="center"/>
              <w:rPr>
                <w:rFonts w:ascii="仿宋" w:hAnsi="仿宋" w:eastAsia="仿宋" w:cs="仿宋"/>
                <w:color w:val="auto"/>
                <w:sz w:val="24"/>
                <w:szCs w:val="24"/>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F77FECF">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44752C6">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53EA54C1">
            <w:pPr>
              <w:adjustRightInd w:val="0"/>
              <w:snapToGrid w:val="0"/>
              <w:spacing w:line="300" w:lineRule="exact"/>
              <w:jc w:val="center"/>
              <w:rPr>
                <w:rFonts w:ascii="仿宋" w:hAnsi="仿宋" w:eastAsia="仿宋" w:cs="仿宋"/>
                <w:color w:val="auto"/>
                <w:spacing w:val="20"/>
                <w:sz w:val="24"/>
                <w:szCs w:val="24"/>
                <w:highlight w:val="none"/>
              </w:rPr>
            </w:pPr>
          </w:p>
        </w:tc>
      </w:tr>
      <w:tr w14:paraId="1040EBC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2CA02AF">
            <w:pPr>
              <w:adjustRightInd w:val="0"/>
              <w:snapToGrid w:val="0"/>
              <w:spacing w:line="300" w:lineRule="exact"/>
              <w:jc w:val="center"/>
              <w:rPr>
                <w:rFonts w:ascii="仿宋" w:hAnsi="仿宋" w:eastAsia="仿宋" w:cs="仿宋"/>
                <w:color w:val="auto"/>
                <w:sz w:val="24"/>
                <w:szCs w:val="24"/>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4D57EB0">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D72EFAD">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442EE5F4">
            <w:pPr>
              <w:adjustRightInd w:val="0"/>
              <w:snapToGrid w:val="0"/>
              <w:spacing w:line="300" w:lineRule="exact"/>
              <w:jc w:val="center"/>
              <w:rPr>
                <w:rFonts w:ascii="仿宋" w:hAnsi="仿宋" w:eastAsia="仿宋" w:cs="仿宋"/>
                <w:color w:val="auto"/>
                <w:spacing w:val="20"/>
                <w:sz w:val="24"/>
                <w:szCs w:val="24"/>
                <w:highlight w:val="none"/>
              </w:rPr>
            </w:pPr>
          </w:p>
        </w:tc>
      </w:tr>
      <w:tr w14:paraId="346331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6751C3B">
            <w:pPr>
              <w:adjustRightInd w:val="0"/>
              <w:snapToGrid w:val="0"/>
              <w:spacing w:line="300" w:lineRule="exact"/>
              <w:jc w:val="center"/>
              <w:rPr>
                <w:rFonts w:ascii="仿宋" w:hAnsi="仿宋" w:eastAsia="仿宋" w:cs="仿宋"/>
                <w:color w:val="auto"/>
                <w:sz w:val="24"/>
                <w:szCs w:val="24"/>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A42AFC0">
            <w:pPr>
              <w:adjustRightInd w:val="0"/>
              <w:snapToGrid w:val="0"/>
              <w:spacing w:line="300" w:lineRule="exact"/>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2B17623">
            <w:pPr>
              <w:adjustRightInd w:val="0"/>
              <w:snapToGrid w:val="0"/>
              <w:spacing w:line="3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68B51E05">
            <w:pPr>
              <w:adjustRightInd w:val="0"/>
              <w:snapToGrid w:val="0"/>
              <w:spacing w:line="300" w:lineRule="exact"/>
              <w:jc w:val="center"/>
              <w:rPr>
                <w:rFonts w:ascii="仿宋" w:hAnsi="仿宋" w:eastAsia="仿宋" w:cs="仿宋"/>
                <w:color w:val="auto"/>
                <w:spacing w:val="20"/>
                <w:sz w:val="24"/>
                <w:szCs w:val="24"/>
                <w:highlight w:val="none"/>
              </w:rPr>
            </w:pPr>
          </w:p>
        </w:tc>
      </w:tr>
      <w:tr w14:paraId="44E819D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00413BCE">
            <w:pPr>
              <w:pStyle w:val="11"/>
              <w:adjustRightInd w:val="0"/>
              <w:snapToGrid w:val="0"/>
              <w:spacing w:before="156" w:beforeLines="50" w:line="360" w:lineRule="auto"/>
              <w:ind w:left="0"/>
              <w:jc w:val="left"/>
              <w:rPr>
                <w:rFonts w:ascii="仿宋" w:hAnsi="仿宋" w:eastAsia="仿宋" w:cs="仿宋"/>
                <w:color w:val="auto"/>
                <w:spacing w:val="20"/>
                <w:szCs w:val="24"/>
                <w:highlight w:val="none"/>
              </w:rPr>
            </w:pPr>
            <w:r>
              <w:rPr>
                <w:rFonts w:hint="eastAsia" w:ascii="仿宋" w:hAnsi="仿宋" w:eastAsia="仿宋" w:cs="仿宋"/>
                <w:color w:val="auto"/>
                <w:szCs w:val="24"/>
                <w:highlight w:val="none"/>
              </w:rPr>
              <w:t>注：涉及联合体或其他合同主体的信息应按上表格式加列。</w:t>
            </w:r>
          </w:p>
        </w:tc>
      </w:tr>
    </w:tbl>
    <w:p w14:paraId="476BAD75">
      <w:pPr>
        <w:pStyle w:val="3"/>
        <w:numPr>
          <w:ilvl w:val="1"/>
          <w:numId w:val="0"/>
        </w:numPr>
        <w:tabs>
          <w:tab w:val="clear" w:pos="720"/>
        </w:tabs>
        <w:snapToGrid w:val="0"/>
        <w:spacing w:before="156" w:beforeLines="50"/>
        <w:ind w:left="3690" w:hanging="36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br w:type="page"/>
      </w:r>
      <w:bookmarkStart w:id="521" w:name="_Toc19830"/>
      <w:bookmarkStart w:id="522" w:name="_Toc21338"/>
      <w:bookmarkStart w:id="523" w:name="_Toc27624"/>
      <w:r>
        <w:rPr>
          <w:rFonts w:hint="eastAsia" w:ascii="仿宋" w:hAnsi="仿宋" w:eastAsia="仿宋" w:cs="仿宋"/>
          <w:bCs/>
          <w:color w:val="auto"/>
          <w:sz w:val="24"/>
          <w:szCs w:val="24"/>
          <w:highlight w:val="none"/>
        </w:rPr>
        <w:t>第二节 政府采购合同通用条款</w:t>
      </w:r>
      <w:bookmarkEnd w:id="521"/>
      <w:bookmarkEnd w:id="522"/>
      <w:bookmarkEnd w:id="523"/>
    </w:p>
    <w:p w14:paraId="743F70E6">
      <w:pPr>
        <w:tabs>
          <w:tab w:val="left" w:pos="8820"/>
          <w:tab w:val="left" w:pos="9345"/>
          <w:tab w:val="left" w:pos="9765"/>
        </w:tabs>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 </w:t>
      </w:r>
      <w:r>
        <w:rPr>
          <w:rFonts w:hint="eastAsia" w:ascii="仿宋" w:hAnsi="仿宋" w:eastAsia="仿宋" w:cs="仿宋"/>
          <w:b/>
          <w:bCs/>
          <w:color w:val="auto"/>
          <w:sz w:val="24"/>
          <w:szCs w:val="24"/>
          <w:highlight w:val="none"/>
        </w:rPr>
        <w:t>定义</w:t>
      </w:r>
    </w:p>
    <w:p w14:paraId="2A535B1E">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1.1合同当事人</w:t>
      </w:r>
    </w:p>
    <w:p w14:paraId="1296D8BA">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（1）采购人（以下称甲方）是指使用财政性资金，通过政府采购方式向供应商购买货物及其相关服务的国家机关、事业单位、团体组织。</w:t>
      </w:r>
    </w:p>
    <w:p w14:paraId="574E8224">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（2）供应商（以下称乙方）是指参加政府采购活动并且中标（成交），向采购人提供合同约定的货物及其相关服务的法人、非法人组织或者自然人。</w:t>
      </w:r>
    </w:p>
    <w:p w14:paraId="59CABDF4">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（3）其他合同主体是指除采购人和供应商以外，</w:t>
      </w:r>
      <w:r>
        <w:rPr>
          <w:rFonts w:hint="eastAsia" w:ascii="仿宋" w:hAnsi="仿宋" w:eastAsia="仿宋" w:cs="仿宋"/>
          <w:bCs/>
          <w:color w:val="auto"/>
          <w:sz w:val="24"/>
          <w:szCs w:val="24"/>
          <w:highlight w:val="none"/>
        </w:rPr>
        <w:t>依法参与合同缔结或履行，享有权利、承担义务的合同当事人</w:t>
      </w:r>
      <w:r>
        <w:rPr>
          <w:rFonts w:hint="eastAsia" w:ascii="仿宋" w:hAnsi="仿宋" w:eastAsia="仿宋" w:cs="仿宋"/>
          <w:color w:val="auto"/>
          <w:sz w:val="24"/>
          <w:szCs w:val="24"/>
          <w:highlight w:val="none"/>
        </w:rPr>
        <w:t>。</w:t>
      </w:r>
    </w:p>
    <w:p w14:paraId="1FABC8E5">
      <w:pPr>
        <w:tabs>
          <w:tab w:val="left" w:pos="570"/>
          <w:tab w:val="left" w:pos="9240"/>
          <w:tab w:val="left" w:pos="9555"/>
        </w:tabs>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1.2本合同下列术语应解释为：</w:t>
      </w:r>
    </w:p>
    <w:p w14:paraId="0C76130E">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（1）“合同”系指</w:t>
      </w:r>
      <w:r>
        <w:rPr>
          <w:rFonts w:hint="eastAsia" w:ascii="仿宋" w:hAnsi="仿宋" w:eastAsia="仿宋" w:cs="仿宋"/>
          <w:bCs/>
          <w:color w:val="auto"/>
          <w:sz w:val="24"/>
          <w:szCs w:val="24"/>
          <w:highlight w:val="none"/>
        </w:rPr>
        <w:t>合同当事人意思表示达成一致的任何协议，包括签署的</w:t>
      </w:r>
      <w:r>
        <w:rPr>
          <w:rFonts w:hint="eastAsia" w:ascii="仿宋" w:hAnsi="仿宋" w:eastAsia="仿宋" w:cs="仿宋"/>
          <w:color w:val="auto"/>
          <w:sz w:val="24"/>
          <w:szCs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7B7987A6">
      <w:pPr>
        <w:tabs>
          <w:tab w:val="left" w:pos="570"/>
          <w:tab w:val="left" w:pos="9240"/>
          <w:tab w:val="left" w:pos="9555"/>
        </w:tabs>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（2）“合同价款”系指根据本合同规定乙方在全面履行合同义务后甲方应支付给乙方的价款。</w:t>
      </w:r>
    </w:p>
    <w:p w14:paraId="0FFB2DC7">
      <w:pPr>
        <w:tabs>
          <w:tab w:val="left" w:pos="570"/>
          <w:tab w:val="left" w:pos="9240"/>
          <w:tab w:val="left" w:pos="9555"/>
        </w:tabs>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技术资料和材料等。</w:t>
      </w:r>
    </w:p>
    <w:p w14:paraId="4363FBD7">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（4）“相关服务”系指根据合同规定，乙方应提供的与货物有关的技术、管理和</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服务，包括但不限于：管理和质量保证、运输、保险、检验、现场准备、安装、集成、调试、培训、维修、废弃处置、技术支持等以及合同中规定乙方应承担的</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义务。</w:t>
      </w:r>
    </w:p>
    <w:p w14:paraId="42E1E2A3">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（5）“分包”系指中标（成交）供应商按采购文件、投标（响应）文件的规定，根据分包意向协议，将中标（成交）项目中的部分履约内容，分给具有相应资质条件的供应商履行合同的行为。</w:t>
      </w:r>
    </w:p>
    <w:p w14:paraId="7C38164A">
      <w:pPr>
        <w:tabs>
          <w:tab w:val="left" w:pos="570"/>
          <w:tab w:val="left" w:pos="9240"/>
          <w:tab w:val="left" w:pos="9555"/>
        </w:tabs>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w:t>
      </w:r>
    </w:p>
    <w:p w14:paraId="5F161D98">
      <w:pPr>
        <w:tabs>
          <w:tab w:val="left" w:pos="570"/>
          <w:tab w:val="left" w:pos="9240"/>
          <w:tab w:val="left" w:pos="9555"/>
        </w:tabs>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（7）其他术语解释，见【</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w:t>
      </w:r>
    </w:p>
    <w:p w14:paraId="6BE116E6">
      <w:pPr>
        <w:numPr>
          <w:ilvl w:val="0"/>
          <w:numId w:val="5"/>
        </w:numPr>
        <w:autoSpaceDE w:val="0"/>
        <w:autoSpaceDN w:val="0"/>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合同标的及金额</w:t>
      </w:r>
    </w:p>
    <w:p w14:paraId="0BDE93AB">
      <w:pPr>
        <w:autoSpaceDE w:val="0"/>
        <w:autoSpaceDN w:val="0"/>
        <w:adjustRightInd w:val="0"/>
        <w:snapToGrid w:val="0"/>
        <w:spacing w:line="400" w:lineRule="exact"/>
        <w:ind w:firstLine="480" w:firstLineChars="200"/>
        <w:jc w:val="left"/>
        <w:rPr>
          <w:rFonts w:ascii="仿宋" w:hAnsi="仿宋" w:eastAsia="仿宋" w:cs="仿宋"/>
          <w:b/>
          <w:bCs/>
          <w:i/>
          <w:iCs/>
          <w:color w:val="auto"/>
          <w:sz w:val="24"/>
          <w:szCs w:val="24"/>
          <w:highlight w:val="none"/>
        </w:rPr>
      </w:pPr>
      <w:r>
        <w:rPr>
          <w:rFonts w:hint="eastAsia" w:ascii="仿宋" w:hAnsi="仿宋" w:eastAsia="仿宋" w:cs="仿宋"/>
          <w:color w:val="auto"/>
          <w:sz w:val="24"/>
          <w:szCs w:val="24"/>
          <w:highlight w:val="none"/>
        </w:rPr>
        <w:t>2.1 合同标的及金额应与中标（成交）结果一致。乙方为履行本合同而发生的所有费用均应包含在合同价款中，甲方不再另行支付</w:t>
      </w:r>
      <w:r>
        <w:rPr>
          <w:rFonts w:hint="eastAsia" w:ascii="仿宋" w:hAnsi="仿宋" w:eastAsia="仿宋" w:cs="仿宋"/>
          <w:color w:val="auto"/>
          <w:sz w:val="24"/>
          <w:szCs w:val="24"/>
          <w:highlight w:val="none"/>
          <w:lang w:val="en"/>
        </w:rPr>
        <w:t>其他</w:t>
      </w:r>
      <w:r>
        <w:rPr>
          <w:rFonts w:hint="eastAsia" w:ascii="仿宋" w:hAnsi="仿宋" w:eastAsia="仿宋" w:cs="仿宋"/>
          <w:color w:val="auto"/>
          <w:sz w:val="24"/>
          <w:szCs w:val="24"/>
          <w:highlight w:val="none"/>
        </w:rPr>
        <w:t>任何费用。</w:t>
      </w:r>
    </w:p>
    <w:p w14:paraId="223707F3">
      <w:pPr>
        <w:adjustRightInd w:val="0"/>
        <w:snapToGrid w:val="0"/>
        <w:spacing w:line="400" w:lineRule="exact"/>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3. 履行合同的时间、地点和方式</w:t>
      </w:r>
    </w:p>
    <w:p w14:paraId="2863CC65">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 乙方应当在约定的时间、地点，按照约定方式履行合同。</w:t>
      </w:r>
    </w:p>
    <w:p w14:paraId="273E2AB6">
      <w:pPr>
        <w:autoSpaceDE w:val="0"/>
        <w:autoSpaceDN w:val="0"/>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 甲方的权利和义务</w:t>
      </w:r>
    </w:p>
    <w:p w14:paraId="1356F374">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A49E460">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38A27C0A">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4.3 甲方有权要求乙方对缺陷部分予以修复，并按合同约定享有货物保修及其他合同约定的权利。</w:t>
      </w:r>
    </w:p>
    <w:p w14:paraId="06F6F512">
      <w:pPr>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 甲方应当按照合同约定及时对交付的货物进行验收，未在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约定的期限内对乙方履约提出任何异议或者向乙方作出任何说明的，视为验收通过。</w:t>
      </w:r>
    </w:p>
    <w:p w14:paraId="3696103B">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4.5 甲方应当根据合同约定及时向乙方支付合同价款，不得以内部人员变更、履行内部付款流程等为由，拒绝或迟延支付。</w:t>
      </w:r>
    </w:p>
    <w:p w14:paraId="5330AE93">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4.6 国家法律法规规定及</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约定应由甲方承担的其他义务和责任。</w:t>
      </w:r>
    </w:p>
    <w:p w14:paraId="09AD93CB">
      <w:pPr>
        <w:autoSpaceDE w:val="0"/>
        <w:autoSpaceDN w:val="0"/>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 乙方的权利和义务</w:t>
      </w:r>
    </w:p>
    <w:p w14:paraId="52EC6B5F">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5.1 签署合同后，乙方应确定项目负责人（或项目联系人），负责与本合同有关的事务。</w:t>
      </w:r>
    </w:p>
    <w:p w14:paraId="46353CD0">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E59C90F">
      <w:pPr>
        <w:pStyle w:val="10"/>
        <w:spacing w:line="400" w:lineRule="exact"/>
        <w:ind w:firstLine="422" w:firstLineChars="176"/>
        <w:rPr>
          <w:rFonts w:ascii="仿宋" w:hAnsi="仿宋" w:eastAsia="仿宋" w:cs="仿宋"/>
          <w:b w:val="0"/>
          <w:color w:val="auto"/>
          <w:spacing w:val="0"/>
          <w:sz w:val="24"/>
          <w:szCs w:val="24"/>
          <w:highlight w:val="none"/>
        </w:rPr>
      </w:pPr>
      <w:r>
        <w:rPr>
          <w:rFonts w:hint="eastAsia" w:ascii="仿宋" w:hAnsi="仿宋" w:eastAsia="仿宋" w:cs="仿宋"/>
          <w:b w:val="0"/>
          <w:color w:val="auto"/>
          <w:spacing w:val="0"/>
          <w:sz w:val="24"/>
          <w:szCs w:val="24"/>
          <w:highlight w:val="none"/>
        </w:rPr>
        <w:t>5.3乙方有权根据合同约定向甲方收取合同价款。</w:t>
      </w:r>
    </w:p>
    <w:p w14:paraId="7C74EC12">
      <w:pPr>
        <w:pStyle w:val="10"/>
        <w:spacing w:line="400" w:lineRule="exact"/>
        <w:ind w:firstLine="422" w:firstLineChars="176"/>
        <w:rPr>
          <w:rFonts w:ascii="仿宋" w:hAnsi="仿宋" w:eastAsia="仿宋" w:cs="仿宋"/>
          <w:b w:val="0"/>
          <w:color w:val="auto"/>
          <w:spacing w:val="0"/>
          <w:sz w:val="24"/>
          <w:szCs w:val="24"/>
          <w:highlight w:val="none"/>
        </w:rPr>
      </w:pPr>
      <w:r>
        <w:rPr>
          <w:rFonts w:hint="eastAsia" w:ascii="仿宋" w:hAnsi="仿宋" w:eastAsia="仿宋" w:cs="仿宋"/>
          <w:b w:val="0"/>
          <w:color w:val="auto"/>
          <w:spacing w:val="0"/>
          <w:sz w:val="24"/>
          <w:szCs w:val="24"/>
          <w:highlight w:val="none"/>
        </w:rPr>
        <w:t>5.4国家法律法规规定及【政府采购合同专用条款】约定应由乙方承担的其他义务和责任。</w:t>
      </w:r>
    </w:p>
    <w:p w14:paraId="4623E7AB">
      <w:pPr>
        <w:numPr>
          <w:ilvl w:val="0"/>
          <w:numId w:val="6"/>
        </w:numPr>
        <w:autoSpaceDE w:val="0"/>
        <w:autoSpaceDN w:val="0"/>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合同履行</w:t>
      </w:r>
    </w:p>
    <w:p w14:paraId="7A7F90F3">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 甲乙双方应当按照</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约定顺序履行合同义务；如果没有先后顺序的，应当同时履行。</w:t>
      </w:r>
    </w:p>
    <w:p w14:paraId="4A7ACC48">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320CE429">
      <w:pPr>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 货物包装、运输、保险和交付要求</w:t>
      </w:r>
    </w:p>
    <w:p w14:paraId="5B63D94E">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 本合同</w:t>
      </w:r>
      <w:r>
        <w:rPr>
          <w:rFonts w:hint="eastAsia" w:ascii="仿宋" w:hAnsi="仿宋" w:eastAsia="仿宋" w:cs="仿宋"/>
          <w:bCs/>
          <w:color w:val="auto"/>
          <w:sz w:val="24"/>
          <w:szCs w:val="24"/>
          <w:highlight w:val="none"/>
        </w:rPr>
        <w:t>涉及商品包装、快递包装的，</w:t>
      </w:r>
      <w:r>
        <w:rPr>
          <w:rFonts w:hint="eastAsia" w:ascii="仿宋" w:hAnsi="仿宋" w:eastAsia="仿宋" w:cs="仿宋"/>
          <w:color w:val="auto"/>
          <w:sz w:val="24"/>
          <w:szCs w:val="24"/>
          <w:highlight w:val="none"/>
        </w:rPr>
        <w:t>除</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另有约定外，</w:t>
      </w:r>
      <w:r>
        <w:rPr>
          <w:rFonts w:hint="eastAsia" w:ascii="仿宋" w:hAnsi="仿宋" w:eastAsia="仿宋" w:cs="仿宋"/>
          <w:color w:val="auto"/>
          <w:sz w:val="24"/>
          <w:szCs w:val="24"/>
          <w:highlight w:val="none"/>
        </w:rPr>
        <w:t>包装应适应远距离运输、防潮、防震、防锈和防野蛮装卸等要求，确保货物安全无损地运抵</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约定的</w:t>
      </w:r>
      <w:r>
        <w:rPr>
          <w:rFonts w:hint="eastAsia" w:ascii="仿宋" w:hAnsi="仿宋" w:eastAsia="仿宋" w:cs="仿宋"/>
          <w:color w:val="auto"/>
          <w:sz w:val="24"/>
          <w:szCs w:val="24"/>
          <w:highlight w:val="none"/>
        </w:rPr>
        <w:t>指定现场。</w:t>
      </w:r>
    </w:p>
    <w:p w14:paraId="5F4E9720">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7.2 除</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另有约定外，</w:t>
      </w:r>
      <w:r>
        <w:rPr>
          <w:rFonts w:hint="eastAsia" w:ascii="仿宋" w:hAnsi="仿宋" w:eastAsia="仿宋" w:cs="仿宋"/>
          <w:color w:val="auto"/>
          <w:sz w:val="24"/>
          <w:szCs w:val="24"/>
          <w:highlight w:val="none"/>
        </w:rPr>
        <w:t>乙方负责办理将货物运抵本合同规定的交货地点，并装卸、交付至甲方的一切运输事项，相关费用应包含在合同价款中。</w:t>
      </w:r>
    </w:p>
    <w:p w14:paraId="0D0BC0FD">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7.3 货物保险要求按</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规定执行</w:t>
      </w:r>
      <w:r>
        <w:rPr>
          <w:rFonts w:hint="eastAsia" w:ascii="仿宋" w:hAnsi="仿宋" w:eastAsia="仿宋" w:cs="仿宋"/>
          <w:color w:val="auto"/>
          <w:sz w:val="24"/>
          <w:szCs w:val="24"/>
          <w:highlight w:val="none"/>
        </w:rPr>
        <w:t>。</w:t>
      </w:r>
    </w:p>
    <w:p w14:paraId="2052AD32">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333CAF9">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7.5 乙方在运输到达之前应提前通知甲方，并提示货物运输装卸的注意事项，甲方配合乙方做好货物的接收工作。</w:t>
      </w:r>
    </w:p>
    <w:p w14:paraId="38DFE316">
      <w:pPr>
        <w:pStyle w:val="76"/>
        <w:ind w:firstLine="480"/>
        <w:rPr>
          <w:rFonts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7.6 如因包装、运输问题导致货物损毁、丢失或者品质下降，甲方有权要求降价、换货、拒收部分或整批货物，由此产生的费用和损失，均由乙方承担。</w:t>
      </w:r>
    </w:p>
    <w:p w14:paraId="66B37E97">
      <w:pPr>
        <w:adjustRightInd w:val="0"/>
        <w:snapToGrid w:val="0"/>
        <w:spacing w:line="400" w:lineRule="exact"/>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8. 质量标准和保证</w:t>
      </w:r>
    </w:p>
    <w:p w14:paraId="74B199D5">
      <w:pPr>
        <w:pStyle w:val="14"/>
        <w:adjustRightInd w:val="0"/>
        <w:snapToGrid w:val="0"/>
        <w:spacing w:line="400" w:lineRule="exact"/>
        <w:ind w:firstLine="480" w:firstLineChars="200"/>
        <w:jc w:val="lef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8.1 质量标准</w:t>
      </w:r>
    </w:p>
    <w:p w14:paraId="1F823420">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C0FB040">
      <w:pPr>
        <w:pStyle w:val="14"/>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（2）采用中华人民共和国法定计量单位。</w:t>
      </w:r>
    </w:p>
    <w:p w14:paraId="3F9A6AEA">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（3）乙方所提供的货物应符合国家有关安全、环保、卫生的规定。</w:t>
      </w:r>
    </w:p>
    <w:p w14:paraId="194CB1BC">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0B24A03F">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8.2 保证</w:t>
      </w:r>
    </w:p>
    <w:p w14:paraId="67659CBC">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规定或乙方书面承诺（两者以较长的为准）的质量保证期内，本保证保持有效。</w:t>
      </w:r>
    </w:p>
    <w:p w14:paraId="45638BC4">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（2）在质量保证期内所发现的缺陷，甲方应尽快以书面形式通知乙方。</w:t>
      </w:r>
    </w:p>
    <w:p w14:paraId="1658DE78">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（3）乙方收到通知后，应在</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规定的响应时间内以合理的速度免费维修或更换有缺陷的货物或部件。</w:t>
      </w:r>
    </w:p>
    <w:p w14:paraId="2D5759E3">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2CABFA9C">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（5）乙方在约定的时间内未能弥补缺陷，甲方可采取必要的补救措施，但其风险和费用将由乙方承担，甲方根据合同约定对乙方行使的其他权利不受影响。</w:t>
      </w:r>
    </w:p>
    <w:p w14:paraId="795FFDD0">
      <w:pPr>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 权利瑕疵担保</w:t>
      </w:r>
    </w:p>
    <w:p w14:paraId="660BACD9">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9.1 乙方保证对其出售的货物享有合法的权利。</w:t>
      </w:r>
    </w:p>
    <w:p w14:paraId="6A7A8A52">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9.2 乙方保证在交付的货物上不存在抵押权等担保物权。</w:t>
      </w:r>
    </w:p>
    <w:p w14:paraId="01EDC105">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9.3 如甲方使用上述货物构成对第三人侵权的，则由乙方承担全部责任。</w:t>
      </w:r>
    </w:p>
    <w:p w14:paraId="5561BF87">
      <w:pPr>
        <w:autoSpaceDE w:val="0"/>
        <w:autoSpaceDN w:val="0"/>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 知识产权保护</w:t>
      </w:r>
    </w:p>
    <w:p w14:paraId="1431CE98">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10.1 乙方对其所销售的货物应当享有知识产权或经权利人合法授权，保证没有侵犯任何第三人的知识产权等权利。</w:t>
      </w:r>
      <w:bookmarkStart w:id="524" w:name="_Hlk163047038"/>
      <w:r>
        <w:rPr>
          <w:rFonts w:hint="eastAsia" w:ascii="仿宋" w:hAnsi="仿宋" w:eastAsia="仿宋" w:cs="仿宋"/>
          <w:color w:val="auto"/>
          <w:sz w:val="24"/>
          <w:szCs w:val="24"/>
          <w:highlight w:val="none"/>
        </w:rPr>
        <w:t>因违反前述约定对第三人构成侵权的，应当由乙方向第三人承担法律责任；甲方依法向第三人赔偿后，有权向乙方追偿。甲方有其他损失的，乙方应当赔偿</w:t>
      </w:r>
      <w:bookmarkEnd w:id="524"/>
      <w:r>
        <w:rPr>
          <w:rFonts w:hint="eastAsia" w:ascii="仿宋" w:hAnsi="仿宋" w:eastAsia="仿宋" w:cs="仿宋"/>
          <w:color w:val="auto"/>
          <w:sz w:val="24"/>
          <w:szCs w:val="24"/>
          <w:highlight w:val="none"/>
        </w:rPr>
        <w:t>。</w:t>
      </w:r>
    </w:p>
    <w:p w14:paraId="795C82BE">
      <w:pPr>
        <w:autoSpaceDE w:val="0"/>
        <w:autoSpaceDN w:val="0"/>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 保密义务</w:t>
      </w:r>
    </w:p>
    <w:p w14:paraId="466C3B9A">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中约定。</w:t>
      </w:r>
    </w:p>
    <w:p w14:paraId="41B4C2E3">
      <w:pPr>
        <w:autoSpaceDE w:val="0"/>
        <w:autoSpaceDN w:val="0"/>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 合同价款支付</w:t>
      </w:r>
    </w:p>
    <w:p w14:paraId="7FF2FEAE">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 合同价款支付按照国库集中支付制度及财政管理相关规定执行。</w:t>
      </w:r>
    </w:p>
    <w:p w14:paraId="1089B7A0">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49D6E264">
      <w:pPr>
        <w:pStyle w:val="10"/>
        <w:spacing w:line="4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 履约保证金</w:t>
      </w:r>
    </w:p>
    <w:p w14:paraId="44A8262A">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 乙方应当以支票、汇票、本票或者金融机构、担保机构出具的保函等非现金形式提交。</w:t>
      </w:r>
    </w:p>
    <w:p w14:paraId="61729727">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 如果乙方出现</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4592182A">
      <w:pPr>
        <w:spacing w:line="400" w:lineRule="exact"/>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13.3 甲方在项目通过验收后按照</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规定的时间内将履约保证金退还乙方；逾期退还的，乙方可要求甲方支付违约金，违约金按照</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规定支付。</w:t>
      </w:r>
    </w:p>
    <w:p w14:paraId="593A7D0F">
      <w:pPr>
        <w:autoSpaceDE w:val="0"/>
        <w:autoSpaceDN w:val="0"/>
        <w:adjustRightInd w:val="0"/>
        <w:snapToGrid w:val="0"/>
        <w:spacing w:line="400" w:lineRule="exact"/>
        <w:jc w:val="left"/>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14. </w:t>
      </w:r>
      <w:r>
        <w:rPr>
          <w:rFonts w:hint="eastAsia" w:ascii="仿宋" w:hAnsi="仿宋" w:eastAsia="仿宋" w:cs="仿宋"/>
          <w:b/>
          <w:color w:val="auto"/>
          <w:sz w:val="24"/>
          <w:szCs w:val="24"/>
          <w:highlight w:val="none"/>
        </w:rPr>
        <w:t>售后服务</w:t>
      </w:r>
    </w:p>
    <w:p w14:paraId="4EF1C2DF">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14.1 除项目不涉及或采购活动中明确约定无须承担外，乙方还应提供下列服务：</w:t>
      </w:r>
    </w:p>
    <w:p w14:paraId="689CDB3D">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（1）货物的现场移动、安装、调试、启动监督及技术支持；</w:t>
      </w:r>
    </w:p>
    <w:p w14:paraId="0AA87170">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（2）提供货物组装和维修所需的专用工具和辅助材料；</w:t>
      </w:r>
    </w:p>
    <w:p w14:paraId="09F84D87">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约定的期限内对所有的货物实施运行监督、维修，但前提条件是该服务并不能免除乙方在质量保证期内所承担的义务；</w:t>
      </w:r>
    </w:p>
    <w:p w14:paraId="5E105A72">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（4）在制造商所在地或指定现场就货物的安装、启动、运营、维护、废弃处置等对甲方操作人员进行培训；</w:t>
      </w:r>
    </w:p>
    <w:p w14:paraId="5292E1A8">
      <w:pPr>
        <w:pStyle w:val="76"/>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（5）依照法律、行政法规的规定或者按照</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约定，货物在有效使用年限届满后应予回收的，乙方负有自行或者委托第三人对货物予以回收的义务；</w:t>
      </w:r>
    </w:p>
    <w:p w14:paraId="1F5275C7">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规定由乙方提供的其他服务。</w:t>
      </w:r>
    </w:p>
    <w:p w14:paraId="7645CE32">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14.2 乙方提供的售后服务的费用已包含在合同价款中，甲方不再另行支付。</w:t>
      </w:r>
    </w:p>
    <w:p w14:paraId="134D78EB">
      <w:pPr>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 违约责任</w:t>
      </w:r>
    </w:p>
    <w:p w14:paraId="611CBD7C">
      <w:pPr>
        <w:adjustRightInd w:val="0"/>
        <w:snapToGrid w:val="0"/>
        <w:spacing w:line="400" w:lineRule="exact"/>
        <w:ind w:firstLine="480" w:firstLineChars="20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15.1质量瑕疵的违约责任</w:t>
      </w:r>
    </w:p>
    <w:p w14:paraId="37979DA2">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乙方提供的产品不符合合同约定的质量标准或存在产品质量缺陷，甲方有权要求乙方根据</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要求</w:t>
      </w:r>
      <w:r>
        <w:rPr>
          <w:rFonts w:hint="eastAsia" w:ascii="仿宋" w:hAnsi="仿宋" w:eastAsia="仿宋" w:cs="仿宋"/>
          <w:color w:val="auto"/>
          <w:sz w:val="24"/>
          <w:szCs w:val="24"/>
          <w:highlight w:val="none"/>
        </w:rPr>
        <w:t>及时修理、重作、更换，并承担由此给甲方造成的损失。</w:t>
      </w:r>
    </w:p>
    <w:p w14:paraId="54358466">
      <w:pPr>
        <w:autoSpaceDE w:val="0"/>
        <w:autoSpaceDN w:val="0"/>
        <w:adjustRightInd w:val="0"/>
        <w:snapToGrid w:val="0"/>
        <w:spacing w:line="400" w:lineRule="exact"/>
        <w:ind w:firstLine="480" w:firstLineChars="20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15.2 迟延交货的违约责任</w:t>
      </w:r>
    </w:p>
    <w:p w14:paraId="52E6DA14">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0C67828">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（2）如果乙方没有按照合同规定的时间交货和提供相关服务，甲方有权从货款中扣除误期赔偿费而不影响合同项下的其他补救方法，赔偿费按</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规定执行。如果涉及公共利益，且赔偿金额无法弥补公共利益损失，甲方可要求继续履行或者采取其他补救措施。</w:t>
      </w:r>
    </w:p>
    <w:p w14:paraId="123C370F">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15.3 迟延支付的违约责任</w:t>
      </w:r>
    </w:p>
    <w:p w14:paraId="4B320448">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甲方存在迟延支付乙方合同款项的，应当承担</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规定的逾期付款利息。</w:t>
      </w:r>
    </w:p>
    <w:p w14:paraId="55F6EBA2">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15.4其他违约责任根据项目实际需要按</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规定执行。</w:t>
      </w:r>
    </w:p>
    <w:p w14:paraId="45F4C5AE">
      <w:pPr>
        <w:numPr>
          <w:ilvl w:val="0"/>
          <w:numId w:val="7"/>
        </w:numPr>
        <w:autoSpaceDE w:val="0"/>
        <w:autoSpaceDN w:val="0"/>
        <w:adjustRightInd w:val="0"/>
        <w:snapToGrid w:val="0"/>
        <w:spacing w:line="400" w:lineRule="exact"/>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合同变更、中止与终止</w:t>
      </w:r>
    </w:p>
    <w:p w14:paraId="33729951">
      <w:pPr>
        <w:adjustRightInd w:val="0"/>
        <w:snapToGrid w:val="0"/>
        <w:spacing w:line="400" w:lineRule="exact"/>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16.1合同的变更</w:t>
      </w:r>
    </w:p>
    <w:p w14:paraId="20436BC4">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41E19869">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16.2合同的中止</w:t>
      </w:r>
    </w:p>
    <w:p w14:paraId="23E91A53">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（1）合同履行过程中因供应商就采购文件、采购过程或结果提起投诉的，甲方认为有必要的，可以中止合同的履行。</w:t>
      </w:r>
    </w:p>
    <w:p w14:paraId="1125E576">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8DF4BEA">
      <w:pPr>
        <w:pStyle w:val="76"/>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1B9EC317">
      <w:pPr>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（4）甲方不得以行政区划调整、政府换届、机构或者职能调整以及相关责任人更替为由中止合同。</w:t>
      </w:r>
    </w:p>
    <w:p w14:paraId="693DED4F">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16.3合同的终止</w:t>
      </w:r>
    </w:p>
    <w:p w14:paraId="77F86FAB">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（1）合同因有效期限届满而终止；</w:t>
      </w:r>
    </w:p>
    <w:p w14:paraId="244D19AB">
      <w:pPr>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（2）乙方未按合同约定履行，构成根本性违约的，甲方有权终止合同，并追究乙方的违约责任。</w:t>
      </w:r>
    </w:p>
    <w:p w14:paraId="2BEC7A98">
      <w:pPr>
        <w:pStyle w:val="76"/>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w:t>
      </w:r>
      <w:r>
        <w:rPr>
          <w:rFonts w:hint="eastAsia" w:ascii="仿宋" w:hAnsi="仿宋" w:eastAsia="仿宋" w:cs="仿宋"/>
          <w:color w:val="auto"/>
          <w:kern w:val="2"/>
          <w:sz w:val="24"/>
          <w:szCs w:val="24"/>
          <w:highlight w:val="none"/>
        </w:rPr>
        <w:t>涉及国家利益、社会公共利益的情形</w:t>
      </w:r>
    </w:p>
    <w:p w14:paraId="22B88475">
      <w:pPr>
        <w:pStyle w:val="76"/>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0AEEDCF2">
      <w:pPr>
        <w:autoSpaceDE w:val="0"/>
        <w:autoSpaceDN w:val="0"/>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17. 合同分包</w:t>
      </w:r>
    </w:p>
    <w:p w14:paraId="24528A31">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17.1 乙方不得将合同转包给其他供应商。涉及合同分包的，乙方应根据采购文件和投标（响应）文件规定进行合同分包。</w:t>
      </w:r>
    </w:p>
    <w:p w14:paraId="3AD5E0A1">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17.2 乙方执行政府采购政策向中小企业依法分包的，乙方应当按采购文件和投标（响应）文件签订分包意向协议，分包意向协议属于本合同组成部分。</w:t>
      </w:r>
    </w:p>
    <w:p w14:paraId="211F6B68">
      <w:pPr>
        <w:autoSpaceDE w:val="0"/>
        <w:autoSpaceDN w:val="0"/>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18. 不可抗力</w:t>
      </w:r>
    </w:p>
    <w:p w14:paraId="732E83C9">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18.1 不可抗力是指合同双方不能预见、不能避免且不能克服的客观情况。</w:t>
      </w:r>
    </w:p>
    <w:p w14:paraId="274A123C">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18.2 任何一方对由于不可抗力造成的部分或全部不能履行合同不承担违约责任。但迟延履行后发生不可抗力的，不能免除责任。</w:t>
      </w:r>
    </w:p>
    <w:p w14:paraId="672E97EA">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68BF953">
      <w:pPr>
        <w:autoSpaceDE w:val="0"/>
        <w:autoSpaceDN w:val="0"/>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19. 解决争议的方法</w:t>
      </w:r>
    </w:p>
    <w:p w14:paraId="0785F732">
      <w:pPr>
        <w:pStyle w:val="76"/>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2625D4D">
      <w:pPr>
        <w:pStyle w:val="76"/>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19.2 选择仲裁的，应在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中明确仲裁机构及仲裁地；通过诉讼方式解决的，可以在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中进一步约定选择与争议有实际联系的地点的人民法院管辖，但管辖法院的约定不得违反级别管辖和专属管辖的规定。</w:t>
      </w:r>
    </w:p>
    <w:p w14:paraId="3FA57073">
      <w:pPr>
        <w:pStyle w:val="76"/>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19.3 如甲乙双方有争议的事项不影响合同其他部分的履行，在争议解决期间，合同其他部分应当继续履行。</w:t>
      </w:r>
    </w:p>
    <w:p w14:paraId="6587D4E9">
      <w:pPr>
        <w:autoSpaceDE w:val="0"/>
        <w:autoSpaceDN w:val="0"/>
        <w:adjustRightInd w:val="0"/>
        <w:snapToGrid w:val="0"/>
        <w:spacing w:line="400" w:lineRule="exact"/>
        <w:jc w:val="left"/>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20. 政府采购政策</w:t>
      </w:r>
    </w:p>
    <w:p w14:paraId="6FB76203">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 </w:t>
      </w:r>
      <w:r>
        <w:rPr>
          <w:rFonts w:hint="eastAsia" w:ascii="仿宋" w:hAnsi="仿宋" w:eastAsia="仿宋" w:cs="仿宋"/>
          <w:color w:val="auto"/>
          <w:sz w:val="24"/>
          <w:szCs w:val="24"/>
          <w:highlight w:val="none"/>
          <w:lang w:val="en-GB"/>
        </w:rPr>
        <w:t>本合同应当按照规定执行政府采购政策。</w:t>
      </w:r>
    </w:p>
    <w:p w14:paraId="06FFE027">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20.2 本合同依法执行政府采购政策的方式和内容，属于合同履约验收的范围。甲乙双方</w:t>
      </w:r>
      <w:r>
        <w:rPr>
          <w:rFonts w:hint="eastAsia" w:ascii="仿宋" w:hAnsi="仿宋" w:eastAsia="仿宋" w:cs="仿宋"/>
          <w:color w:val="auto"/>
          <w:sz w:val="24"/>
          <w:szCs w:val="24"/>
          <w:highlight w:val="none"/>
          <w:lang w:val="en-GB"/>
        </w:rPr>
        <w:t>未按规定要求执行政府采购政策造成损失的</w:t>
      </w:r>
      <w:r>
        <w:rPr>
          <w:rFonts w:hint="eastAsia" w:ascii="仿宋" w:hAnsi="仿宋" w:eastAsia="仿宋" w:cs="仿宋"/>
          <w:color w:val="auto"/>
          <w:sz w:val="24"/>
          <w:szCs w:val="24"/>
          <w:highlight w:val="none"/>
        </w:rPr>
        <w:t>，有过错的一方应当承担赔偿责任，双方都有过错的，各自承担相应的责任。</w:t>
      </w:r>
    </w:p>
    <w:p w14:paraId="2C284DD0">
      <w:pPr>
        <w:autoSpaceDE w:val="0"/>
        <w:autoSpaceDN w:val="0"/>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A2EA32F">
      <w:pPr>
        <w:autoSpaceDE w:val="0"/>
        <w:autoSpaceDN w:val="0"/>
        <w:adjustRightInd w:val="0"/>
        <w:snapToGrid w:val="0"/>
        <w:spacing w:line="400" w:lineRule="exact"/>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21. 法律适用</w:t>
      </w:r>
    </w:p>
    <w:p w14:paraId="27161715">
      <w:pPr>
        <w:pStyle w:val="76"/>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21.1 本合同的订立、生效、解释、履行及与本合同有关的争议解决，均适用法律、行政法规。</w:t>
      </w:r>
    </w:p>
    <w:p w14:paraId="58E08D8B">
      <w:pPr>
        <w:pStyle w:val="76"/>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21.2 本合同条款与法律、行政法规的强制性规定不一致的，双方当事人应按照法律、行政法规的强制性规定修改本合同的相关条款。</w:t>
      </w:r>
    </w:p>
    <w:p w14:paraId="6CFE1DD3">
      <w:pPr>
        <w:autoSpaceDE w:val="0"/>
        <w:autoSpaceDN w:val="0"/>
        <w:adjustRightInd w:val="0"/>
        <w:snapToGrid w:val="0"/>
        <w:spacing w:line="400" w:lineRule="exact"/>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22. 通知</w:t>
      </w:r>
    </w:p>
    <w:p w14:paraId="3BD97CF2">
      <w:pPr>
        <w:pStyle w:val="76"/>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768AACB6">
      <w:pPr>
        <w:pStyle w:val="76"/>
        <w:ind w:firstLine="0" w:firstLineChars="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54F2444C">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22.3本合同一方给另一方的通知均应采用书面形式，传真或快递送到本合同中规定的对方的地址和办理签收手续。</w:t>
      </w:r>
    </w:p>
    <w:p w14:paraId="689D89CB">
      <w:pPr>
        <w:adjustRightInd w:val="0"/>
        <w:snapToGrid w:val="0"/>
        <w:spacing w:line="40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22.4通知以送达之日或通知书中规定的生效之日起生效，两者中以较迟之日为准。</w:t>
      </w:r>
    </w:p>
    <w:p w14:paraId="3030F94E">
      <w:pPr>
        <w:numPr>
          <w:ilvl w:val="0"/>
          <w:numId w:val="8"/>
        </w:numPr>
        <w:adjustRightInd w:val="0"/>
        <w:snapToGrid w:val="0"/>
        <w:spacing w:line="400" w:lineRule="exact"/>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合同未尽事项</w:t>
      </w:r>
    </w:p>
    <w:p w14:paraId="4E7CFE24">
      <w:pPr>
        <w:adjustRightInd w:val="0"/>
        <w:snapToGrid w:val="0"/>
        <w:spacing w:line="400" w:lineRule="exact"/>
        <w:ind w:firstLine="480" w:firstLineChars="20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23.1合同未尽事项见</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w:t>
      </w:r>
    </w:p>
    <w:p w14:paraId="455E5056">
      <w:pPr>
        <w:adjustRightInd w:val="0"/>
        <w:snapToGrid w:val="0"/>
        <w:spacing w:line="400" w:lineRule="exact"/>
        <w:jc w:val="lef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23.2 合同附件与合同正文具有同等的法律效力。</w:t>
      </w:r>
      <w:bookmarkStart w:id="525" w:name="_Toc20313"/>
    </w:p>
    <w:p w14:paraId="3EAAE9EB">
      <w:pPr>
        <w:adjustRightInd w:val="0"/>
        <w:snapToGrid w:val="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9E3D98C">
      <w:pPr>
        <w:pStyle w:val="3"/>
        <w:numPr>
          <w:ilvl w:val="1"/>
          <w:numId w:val="0"/>
        </w:numPr>
        <w:tabs>
          <w:tab w:val="clear" w:pos="720"/>
        </w:tabs>
        <w:snapToGrid w:val="0"/>
        <w:ind w:left="3690" w:hanging="360"/>
        <w:jc w:val="both"/>
        <w:rPr>
          <w:rFonts w:ascii="仿宋" w:hAnsi="仿宋" w:eastAsia="仿宋" w:cs="仿宋"/>
          <w:bCs/>
          <w:color w:val="auto"/>
          <w:sz w:val="24"/>
          <w:szCs w:val="24"/>
          <w:highlight w:val="none"/>
        </w:rPr>
      </w:pPr>
      <w:bookmarkStart w:id="526" w:name="_Toc12730"/>
      <w:bookmarkStart w:id="527" w:name="_Toc945"/>
      <w:r>
        <w:rPr>
          <w:rFonts w:hint="eastAsia" w:ascii="仿宋" w:hAnsi="仿宋" w:eastAsia="仿宋" w:cs="仿宋"/>
          <w:bCs/>
          <w:color w:val="auto"/>
          <w:sz w:val="24"/>
          <w:szCs w:val="24"/>
          <w:highlight w:val="none"/>
        </w:rPr>
        <w:t>第三节 政府采购合同专用条款</w:t>
      </w:r>
      <w:bookmarkEnd w:id="525"/>
      <w:bookmarkEnd w:id="526"/>
      <w:bookmarkEnd w:id="527"/>
    </w:p>
    <w:tbl>
      <w:tblPr>
        <w:tblStyle w:val="25"/>
        <w:tblW w:w="9454"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6105"/>
      </w:tblGrid>
      <w:tr w14:paraId="4D2C00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9B0B588">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539AD170">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第1.2（6）项</w:t>
            </w:r>
          </w:p>
        </w:tc>
        <w:tc>
          <w:tcPr>
            <w:tcW w:w="1742" w:type="dxa"/>
            <w:noWrap w:val="0"/>
            <w:vAlign w:val="center"/>
          </w:tcPr>
          <w:p w14:paraId="6E578968">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联合体具体要求</w:t>
            </w:r>
          </w:p>
        </w:tc>
        <w:tc>
          <w:tcPr>
            <w:tcW w:w="6105" w:type="dxa"/>
            <w:noWrap w:val="0"/>
            <w:vAlign w:val="center"/>
          </w:tcPr>
          <w:p w14:paraId="408282BD">
            <w:pPr>
              <w:adjustRightInd w:val="0"/>
              <w:snapToGrid w:val="0"/>
              <w:jc w:val="left"/>
              <w:rPr>
                <w:rFonts w:ascii="仿宋" w:hAnsi="仿宋" w:eastAsia="仿宋" w:cs="仿宋"/>
                <w:color w:val="auto"/>
                <w:sz w:val="24"/>
                <w:szCs w:val="24"/>
                <w:highlight w:val="none"/>
              </w:rPr>
            </w:pPr>
          </w:p>
        </w:tc>
      </w:tr>
      <w:tr w14:paraId="1047C7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69C5D0F8">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554B0BD9">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第1.2（7）项</w:t>
            </w:r>
          </w:p>
        </w:tc>
        <w:tc>
          <w:tcPr>
            <w:tcW w:w="1742" w:type="dxa"/>
            <w:noWrap w:val="0"/>
            <w:vAlign w:val="center"/>
          </w:tcPr>
          <w:p w14:paraId="33F3C566">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其他术语解释</w:t>
            </w:r>
          </w:p>
        </w:tc>
        <w:tc>
          <w:tcPr>
            <w:tcW w:w="6105" w:type="dxa"/>
            <w:noWrap w:val="0"/>
            <w:vAlign w:val="center"/>
          </w:tcPr>
          <w:p w14:paraId="71606434">
            <w:pPr>
              <w:adjustRightInd w:val="0"/>
              <w:snapToGrid w:val="0"/>
              <w:jc w:val="left"/>
              <w:rPr>
                <w:rFonts w:ascii="仿宋" w:hAnsi="仿宋" w:eastAsia="仿宋" w:cs="仿宋"/>
                <w:color w:val="auto"/>
                <w:sz w:val="24"/>
                <w:szCs w:val="24"/>
                <w:highlight w:val="none"/>
              </w:rPr>
            </w:pPr>
          </w:p>
        </w:tc>
      </w:tr>
      <w:tr w14:paraId="58387C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84B890D">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3DD5208">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第4.4款</w:t>
            </w:r>
          </w:p>
        </w:tc>
        <w:tc>
          <w:tcPr>
            <w:tcW w:w="1742" w:type="dxa"/>
            <w:noWrap w:val="0"/>
            <w:vAlign w:val="center"/>
          </w:tcPr>
          <w:p w14:paraId="0BEE3E6A">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履约验收中甲方提出异议或作出说明的期限</w:t>
            </w:r>
          </w:p>
        </w:tc>
        <w:tc>
          <w:tcPr>
            <w:tcW w:w="6105" w:type="dxa"/>
            <w:noWrap w:val="0"/>
            <w:vAlign w:val="center"/>
          </w:tcPr>
          <w:p w14:paraId="24E89580">
            <w:pPr>
              <w:adjustRightInd w:val="0"/>
              <w:snapToGrid w:val="0"/>
              <w:jc w:val="left"/>
              <w:rPr>
                <w:rFonts w:ascii="仿宋" w:hAnsi="仿宋" w:eastAsia="仿宋" w:cs="仿宋"/>
                <w:color w:val="auto"/>
                <w:sz w:val="24"/>
                <w:szCs w:val="24"/>
                <w:highlight w:val="none"/>
              </w:rPr>
            </w:pPr>
          </w:p>
        </w:tc>
      </w:tr>
      <w:tr w14:paraId="5D5AD6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A7F90BF">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52EC9BDC">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第4.6款</w:t>
            </w:r>
          </w:p>
        </w:tc>
        <w:tc>
          <w:tcPr>
            <w:tcW w:w="1742" w:type="dxa"/>
            <w:noWrap w:val="0"/>
            <w:vAlign w:val="center"/>
          </w:tcPr>
          <w:p w14:paraId="41074989">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约定甲方承担的其他义务和责任</w:t>
            </w:r>
          </w:p>
        </w:tc>
        <w:tc>
          <w:tcPr>
            <w:tcW w:w="6105" w:type="dxa"/>
            <w:noWrap w:val="0"/>
            <w:vAlign w:val="center"/>
          </w:tcPr>
          <w:p w14:paraId="5F7D6483">
            <w:pPr>
              <w:adjustRightInd w:val="0"/>
              <w:snapToGrid w:val="0"/>
              <w:jc w:val="left"/>
              <w:rPr>
                <w:rFonts w:ascii="仿宋" w:hAnsi="仿宋" w:eastAsia="仿宋" w:cs="仿宋"/>
                <w:color w:val="auto"/>
                <w:sz w:val="24"/>
                <w:szCs w:val="24"/>
                <w:highlight w:val="none"/>
              </w:rPr>
            </w:pPr>
          </w:p>
        </w:tc>
      </w:tr>
      <w:tr w14:paraId="604A1F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62CC2D1">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F0041CC">
            <w:pPr>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第5.4款</w:t>
            </w:r>
          </w:p>
        </w:tc>
        <w:tc>
          <w:tcPr>
            <w:tcW w:w="1742" w:type="dxa"/>
            <w:noWrap w:val="0"/>
            <w:vAlign w:val="center"/>
          </w:tcPr>
          <w:p w14:paraId="6FCCB322">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约定乙方承担的其他义务和责任</w:t>
            </w:r>
          </w:p>
        </w:tc>
        <w:tc>
          <w:tcPr>
            <w:tcW w:w="6105" w:type="dxa"/>
            <w:noWrap w:val="0"/>
            <w:vAlign w:val="center"/>
          </w:tcPr>
          <w:p w14:paraId="41E05D7A">
            <w:pPr>
              <w:adjustRightInd w:val="0"/>
              <w:snapToGrid w:val="0"/>
              <w:jc w:val="left"/>
              <w:rPr>
                <w:rFonts w:ascii="仿宋" w:hAnsi="仿宋" w:eastAsia="仿宋" w:cs="仿宋"/>
                <w:color w:val="auto"/>
                <w:sz w:val="24"/>
                <w:szCs w:val="24"/>
                <w:highlight w:val="none"/>
              </w:rPr>
            </w:pPr>
          </w:p>
        </w:tc>
      </w:tr>
      <w:tr w14:paraId="47485F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1231930">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1A50D978">
            <w:pPr>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第6.1款</w:t>
            </w:r>
          </w:p>
        </w:tc>
        <w:tc>
          <w:tcPr>
            <w:tcW w:w="1742" w:type="dxa"/>
            <w:noWrap w:val="0"/>
            <w:vAlign w:val="center"/>
          </w:tcPr>
          <w:p w14:paraId="62471CBC">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履行合同义务的顺序</w:t>
            </w:r>
          </w:p>
        </w:tc>
        <w:tc>
          <w:tcPr>
            <w:tcW w:w="6105" w:type="dxa"/>
            <w:noWrap w:val="0"/>
            <w:vAlign w:val="center"/>
          </w:tcPr>
          <w:p w14:paraId="243D8100">
            <w:pPr>
              <w:adjustRightInd w:val="0"/>
              <w:snapToGrid w:val="0"/>
              <w:jc w:val="left"/>
              <w:rPr>
                <w:rFonts w:ascii="仿宋" w:hAnsi="仿宋" w:eastAsia="仿宋" w:cs="仿宋"/>
                <w:color w:val="auto"/>
                <w:sz w:val="24"/>
                <w:szCs w:val="24"/>
                <w:highlight w:val="none"/>
              </w:rPr>
            </w:pPr>
          </w:p>
        </w:tc>
      </w:tr>
      <w:tr w14:paraId="6B81A3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31378EFE">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93759F9">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第7.1款</w:t>
            </w:r>
          </w:p>
        </w:tc>
        <w:tc>
          <w:tcPr>
            <w:tcW w:w="1742" w:type="dxa"/>
            <w:noWrap w:val="0"/>
            <w:vAlign w:val="center"/>
          </w:tcPr>
          <w:p w14:paraId="7EB9D1E2">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包装特殊要求</w:t>
            </w:r>
          </w:p>
        </w:tc>
        <w:tc>
          <w:tcPr>
            <w:tcW w:w="6105" w:type="dxa"/>
            <w:noWrap w:val="0"/>
            <w:vAlign w:val="center"/>
          </w:tcPr>
          <w:p w14:paraId="2222C7E2">
            <w:pPr>
              <w:rPr>
                <w:rFonts w:ascii="仿宋" w:hAnsi="仿宋" w:eastAsia="仿宋" w:cs="仿宋"/>
                <w:color w:val="auto"/>
                <w:sz w:val="24"/>
                <w:szCs w:val="24"/>
                <w:highlight w:val="none"/>
              </w:rPr>
            </w:pPr>
          </w:p>
        </w:tc>
      </w:tr>
      <w:tr w14:paraId="6F31D0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26340B54">
            <w:pPr>
              <w:adjustRightInd w:val="0"/>
              <w:snapToGrid w:val="0"/>
              <w:jc w:val="center"/>
              <w:rPr>
                <w:rFonts w:ascii="仿宋" w:hAnsi="仿宋" w:eastAsia="仿宋" w:cs="仿宋"/>
                <w:color w:val="auto"/>
                <w:sz w:val="24"/>
                <w:szCs w:val="24"/>
                <w:highlight w:val="none"/>
              </w:rPr>
            </w:pPr>
          </w:p>
        </w:tc>
        <w:tc>
          <w:tcPr>
            <w:tcW w:w="1742" w:type="dxa"/>
            <w:noWrap w:val="0"/>
            <w:vAlign w:val="center"/>
          </w:tcPr>
          <w:p w14:paraId="4516B061">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指定现场</w:t>
            </w:r>
          </w:p>
        </w:tc>
        <w:tc>
          <w:tcPr>
            <w:tcW w:w="6105" w:type="dxa"/>
            <w:noWrap w:val="0"/>
            <w:vAlign w:val="center"/>
          </w:tcPr>
          <w:p w14:paraId="7005FC59">
            <w:pPr>
              <w:rPr>
                <w:rFonts w:ascii="仿宋" w:hAnsi="仿宋" w:eastAsia="仿宋" w:cs="仿宋"/>
                <w:color w:val="auto"/>
                <w:sz w:val="24"/>
                <w:szCs w:val="24"/>
                <w:highlight w:val="none"/>
              </w:rPr>
            </w:pPr>
          </w:p>
        </w:tc>
      </w:tr>
      <w:tr w14:paraId="06B68A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0B8BEF48">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16F88799">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第7.2款</w:t>
            </w:r>
          </w:p>
        </w:tc>
        <w:tc>
          <w:tcPr>
            <w:tcW w:w="1742" w:type="dxa"/>
            <w:noWrap w:val="0"/>
            <w:vAlign w:val="center"/>
          </w:tcPr>
          <w:p w14:paraId="4DB4143B">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运输特殊要求</w:t>
            </w:r>
          </w:p>
        </w:tc>
        <w:tc>
          <w:tcPr>
            <w:tcW w:w="6105" w:type="dxa"/>
            <w:noWrap w:val="0"/>
            <w:vAlign w:val="center"/>
          </w:tcPr>
          <w:p w14:paraId="53BD04BB">
            <w:pPr>
              <w:rPr>
                <w:rFonts w:ascii="仿宋" w:hAnsi="仿宋" w:eastAsia="仿宋" w:cs="仿宋"/>
                <w:color w:val="auto"/>
                <w:sz w:val="24"/>
                <w:szCs w:val="24"/>
                <w:highlight w:val="none"/>
              </w:rPr>
            </w:pPr>
          </w:p>
        </w:tc>
      </w:tr>
      <w:tr w14:paraId="68CEAC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6A9EF4C3">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B67464E">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第7.3款</w:t>
            </w:r>
          </w:p>
        </w:tc>
        <w:tc>
          <w:tcPr>
            <w:tcW w:w="1742" w:type="dxa"/>
            <w:noWrap w:val="0"/>
            <w:vAlign w:val="center"/>
          </w:tcPr>
          <w:p w14:paraId="7CEB2C56">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保险要求</w:t>
            </w:r>
          </w:p>
        </w:tc>
        <w:tc>
          <w:tcPr>
            <w:tcW w:w="6105" w:type="dxa"/>
            <w:noWrap w:val="0"/>
            <w:vAlign w:val="center"/>
          </w:tcPr>
          <w:p w14:paraId="47FC2470">
            <w:pPr>
              <w:rPr>
                <w:rFonts w:ascii="仿宋" w:hAnsi="仿宋" w:eastAsia="仿宋" w:cs="仿宋"/>
                <w:color w:val="auto"/>
                <w:sz w:val="24"/>
                <w:szCs w:val="24"/>
                <w:highlight w:val="none"/>
              </w:rPr>
            </w:pPr>
          </w:p>
        </w:tc>
      </w:tr>
      <w:tr w14:paraId="639091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AE44446">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16FC2AB7">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第8.2（1）项</w:t>
            </w:r>
          </w:p>
        </w:tc>
        <w:tc>
          <w:tcPr>
            <w:tcW w:w="1742" w:type="dxa"/>
            <w:noWrap w:val="0"/>
            <w:vAlign w:val="center"/>
          </w:tcPr>
          <w:p w14:paraId="70316BE6">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质量保证期</w:t>
            </w:r>
          </w:p>
        </w:tc>
        <w:tc>
          <w:tcPr>
            <w:tcW w:w="6105" w:type="dxa"/>
            <w:noWrap w:val="0"/>
            <w:vAlign w:val="center"/>
          </w:tcPr>
          <w:p w14:paraId="3EFDA471">
            <w:pPr>
              <w:autoSpaceDE w:val="0"/>
              <w:autoSpaceDN w:val="0"/>
              <w:adjustRightInd w:val="0"/>
              <w:snapToGrid w:val="0"/>
              <w:ind w:firstLine="480" w:firstLineChars="200"/>
              <w:jc w:val="left"/>
              <w:rPr>
                <w:rFonts w:ascii="仿宋" w:hAnsi="仿宋" w:eastAsia="仿宋" w:cs="仿宋"/>
                <w:color w:val="auto"/>
                <w:sz w:val="24"/>
                <w:szCs w:val="24"/>
                <w:highlight w:val="none"/>
              </w:rPr>
            </w:pPr>
          </w:p>
        </w:tc>
      </w:tr>
      <w:tr w14:paraId="7696E8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6DE0138">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34E50B8A">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第8.2（3）项</w:t>
            </w:r>
          </w:p>
        </w:tc>
        <w:tc>
          <w:tcPr>
            <w:tcW w:w="1742" w:type="dxa"/>
            <w:noWrap w:val="0"/>
            <w:vAlign w:val="center"/>
          </w:tcPr>
          <w:p w14:paraId="16517FEC">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货物质量缺陷</w:t>
            </w:r>
          </w:p>
          <w:p w14:paraId="6BF1421C">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响应时间</w:t>
            </w:r>
          </w:p>
        </w:tc>
        <w:tc>
          <w:tcPr>
            <w:tcW w:w="6105" w:type="dxa"/>
            <w:noWrap w:val="0"/>
            <w:vAlign w:val="center"/>
          </w:tcPr>
          <w:p w14:paraId="62643B2A">
            <w:pPr>
              <w:adjustRightInd w:val="0"/>
              <w:snapToGrid w:val="0"/>
              <w:jc w:val="left"/>
              <w:rPr>
                <w:rFonts w:ascii="仿宋" w:hAnsi="仿宋" w:eastAsia="仿宋" w:cs="仿宋"/>
                <w:color w:val="auto"/>
                <w:sz w:val="24"/>
                <w:szCs w:val="24"/>
                <w:highlight w:val="none"/>
              </w:rPr>
            </w:pPr>
          </w:p>
        </w:tc>
      </w:tr>
      <w:tr w14:paraId="348DE1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1F3B46F">
            <w:pPr>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5B937294">
            <w:pPr>
              <w:pStyle w:val="76"/>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第11.1款</w:t>
            </w:r>
          </w:p>
        </w:tc>
        <w:tc>
          <w:tcPr>
            <w:tcW w:w="1742" w:type="dxa"/>
            <w:noWrap w:val="0"/>
            <w:vAlign w:val="center"/>
          </w:tcPr>
          <w:p w14:paraId="028997FA">
            <w:pPr>
              <w:adjustRightInd w:val="0"/>
              <w:snapToGrid w:val="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其他应当保密的信息</w:t>
            </w:r>
          </w:p>
        </w:tc>
        <w:tc>
          <w:tcPr>
            <w:tcW w:w="6105" w:type="dxa"/>
            <w:noWrap w:val="0"/>
            <w:vAlign w:val="center"/>
          </w:tcPr>
          <w:p w14:paraId="4A10E427">
            <w:pPr>
              <w:adjustRightInd w:val="0"/>
              <w:snapToGrid w:val="0"/>
              <w:jc w:val="left"/>
              <w:rPr>
                <w:rFonts w:ascii="仿宋" w:hAnsi="仿宋" w:eastAsia="仿宋" w:cs="仿宋"/>
                <w:color w:val="auto"/>
                <w:sz w:val="24"/>
                <w:szCs w:val="24"/>
                <w:highlight w:val="none"/>
              </w:rPr>
            </w:pPr>
          </w:p>
        </w:tc>
      </w:tr>
      <w:tr w14:paraId="596EE7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4C978DBD">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B2D382B">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第12.2款</w:t>
            </w:r>
          </w:p>
        </w:tc>
        <w:tc>
          <w:tcPr>
            <w:tcW w:w="1742" w:type="dxa"/>
            <w:noWrap w:val="0"/>
            <w:vAlign w:val="center"/>
          </w:tcPr>
          <w:p w14:paraId="1ABD6D53">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合同价款支付时间</w:t>
            </w:r>
          </w:p>
        </w:tc>
        <w:tc>
          <w:tcPr>
            <w:tcW w:w="6105" w:type="dxa"/>
            <w:noWrap w:val="0"/>
            <w:vAlign w:val="center"/>
          </w:tcPr>
          <w:p w14:paraId="56690744">
            <w:pPr>
              <w:adjustRightInd w:val="0"/>
              <w:snapToGrid w:val="0"/>
              <w:jc w:val="left"/>
              <w:rPr>
                <w:rFonts w:ascii="仿宋" w:hAnsi="仿宋" w:eastAsia="仿宋" w:cs="仿宋"/>
                <w:color w:val="auto"/>
                <w:sz w:val="24"/>
                <w:szCs w:val="24"/>
                <w:highlight w:val="none"/>
              </w:rPr>
            </w:pPr>
          </w:p>
        </w:tc>
      </w:tr>
      <w:tr w14:paraId="60A58E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097617ED">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5E8398C9">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第13.2款</w:t>
            </w:r>
          </w:p>
        </w:tc>
        <w:tc>
          <w:tcPr>
            <w:tcW w:w="1742" w:type="dxa"/>
            <w:noWrap w:val="0"/>
            <w:vAlign w:val="center"/>
          </w:tcPr>
          <w:p w14:paraId="18D3A036">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履约保证金不予退还的情形</w:t>
            </w:r>
          </w:p>
        </w:tc>
        <w:tc>
          <w:tcPr>
            <w:tcW w:w="6105" w:type="dxa"/>
            <w:noWrap w:val="0"/>
            <w:vAlign w:val="center"/>
          </w:tcPr>
          <w:p w14:paraId="17AEE8F3">
            <w:pPr>
              <w:adjustRightInd w:val="0"/>
              <w:snapToGrid w:val="0"/>
              <w:jc w:val="left"/>
              <w:rPr>
                <w:rFonts w:ascii="仿宋" w:hAnsi="仿宋" w:eastAsia="仿宋" w:cs="仿宋"/>
                <w:color w:val="auto"/>
                <w:sz w:val="24"/>
                <w:szCs w:val="24"/>
                <w:highlight w:val="none"/>
              </w:rPr>
            </w:pPr>
          </w:p>
        </w:tc>
      </w:tr>
      <w:tr w14:paraId="5D9B26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39C5999">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6ACC26E6">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第13.3款</w:t>
            </w:r>
          </w:p>
        </w:tc>
        <w:tc>
          <w:tcPr>
            <w:tcW w:w="1742" w:type="dxa"/>
            <w:noWrap w:val="0"/>
            <w:vAlign w:val="center"/>
          </w:tcPr>
          <w:p w14:paraId="6E0DD98D">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履约保证金退还时间及逾期退还的违约金</w:t>
            </w:r>
          </w:p>
        </w:tc>
        <w:tc>
          <w:tcPr>
            <w:tcW w:w="6105" w:type="dxa"/>
            <w:noWrap w:val="0"/>
            <w:vAlign w:val="center"/>
          </w:tcPr>
          <w:p w14:paraId="60210A20">
            <w:pPr>
              <w:adjustRightInd w:val="0"/>
              <w:snapToGrid w:val="0"/>
              <w:jc w:val="left"/>
              <w:rPr>
                <w:rFonts w:ascii="仿宋" w:hAnsi="仿宋" w:eastAsia="仿宋" w:cs="仿宋"/>
                <w:color w:val="auto"/>
                <w:sz w:val="24"/>
                <w:szCs w:val="24"/>
                <w:highlight w:val="none"/>
              </w:rPr>
            </w:pPr>
          </w:p>
        </w:tc>
      </w:tr>
      <w:tr w14:paraId="00C5CF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698A3859">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5207155">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第14.1（3）项</w:t>
            </w:r>
          </w:p>
        </w:tc>
        <w:tc>
          <w:tcPr>
            <w:tcW w:w="1742" w:type="dxa"/>
            <w:noWrap w:val="0"/>
            <w:vAlign w:val="center"/>
          </w:tcPr>
          <w:p w14:paraId="5F06C3E6">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运行监督、维修期限</w:t>
            </w:r>
          </w:p>
        </w:tc>
        <w:tc>
          <w:tcPr>
            <w:tcW w:w="6105" w:type="dxa"/>
            <w:noWrap w:val="0"/>
            <w:vAlign w:val="center"/>
          </w:tcPr>
          <w:p w14:paraId="04E1047C">
            <w:pPr>
              <w:adjustRightInd w:val="0"/>
              <w:snapToGrid w:val="0"/>
              <w:jc w:val="left"/>
              <w:rPr>
                <w:rFonts w:ascii="仿宋" w:hAnsi="仿宋" w:eastAsia="仿宋" w:cs="仿宋"/>
                <w:color w:val="auto"/>
                <w:sz w:val="24"/>
                <w:szCs w:val="24"/>
                <w:highlight w:val="none"/>
              </w:rPr>
            </w:pPr>
          </w:p>
        </w:tc>
      </w:tr>
      <w:tr w14:paraId="10B4EE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9BA88CF">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ACF41D6">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第14.1（5）项</w:t>
            </w:r>
          </w:p>
        </w:tc>
        <w:tc>
          <w:tcPr>
            <w:tcW w:w="1742" w:type="dxa"/>
            <w:noWrap w:val="0"/>
            <w:vAlign w:val="center"/>
          </w:tcPr>
          <w:p w14:paraId="75D2EFB5">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货物回收的约定</w:t>
            </w:r>
          </w:p>
        </w:tc>
        <w:tc>
          <w:tcPr>
            <w:tcW w:w="6105" w:type="dxa"/>
            <w:noWrap w:val="0"/>
            <w:vAlign w:val="center"/>
          </w:tcPr>
          <w:p w14:paraId="4B4E9EBE">
            <w:pPr>
              <w:adjustRightInd w:val="0"/>
              <w:snapToGrid w:val="0"/>
              <w:jc w:val="left"/>
              <w:rPr>
                <w:rFonts w:ascii="仿宋" w:hAnsi="仿宋" w:eastAsia="仿宋" w:cs="仿宋"/>
                <w:color w:val="auto"/>
                <w:sz w:val="24"/>
                <w:szCs w:val="24"/>
                <w:highlight w:val="none"/>
              </w:rPr>
            </w:pPr>
          </w:p>
        </w:tc>
      </w:tr>
      <w:tr w14:paraId="511A27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3542074">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343FCCC">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第14.1（6）项</w:t>
            </w:r>
          </w:p>
        </w:tc>
        <w:tc>
          <w:tcPr>
            <w:tcW w:w="1742" w:type="dxa"/>
            <w:noWrap w:val="0"/>
            <w:vAlign w:val="center"/>
          </w:tcPr>
          <w:p w14:paraId="3CE5AC3A">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乙方提供的其他服务</w:t>
            </w:r>
          </w:p>
        </w:tc>
        <w:tc>
          <w:tcPr>
            <w:tcW w:w="6105" w:type="dxa"/>
            <w:noWrap w:val="0"/>
            <w:vAlign w:val="center"/>
          </w:tcPr>
          <w:p w14:paraId="470F0E68">
            <w:pPr>
              <w:adjustRightInd w:val="0"/>
              <w:snapToGrid w:val="0"/>
              <w:jc w:val="left"/>
              <w:rPr>
                <w:rFonts w:ascii="仿宋" w:hAnsi="仿宋" w:eastAsia="仿宋" w:cs="仿宋"/>
                <w:color w:val="auto"/>
                <w:sz w:val="24"/>
                <w:szCs w:val="24"/>
                <w:highlight w:val="none"/>
              </w:rPr>
            </w:pPr>
          </w:p>
        </w:tc>
      </w:tr>
      <w:tr w14:paraId="37C213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5DCBCBA">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59B68D3">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第15.1款</w:t>
            </w:r>
          </w:p>
        </w:tc>
        <w:tc>
          <w:tcPr>
            <w:tcW w:w="1742" w:type="dxa"/>
            <w:noWrap w:val="0"/>
            <w:vAlign w:val="center"/>
          </w:tcPr>
          <w:p w14:paraId="0420875D">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修理、重</w:t>
            </w:r>
            <w:r>
              <w:rPr>
                <w:rFonts w:hint="eastAsia" w:ascii="仿宋" w:hAnsi="仿宋" w:eastAsia="仿宋" w:cs="仿宋"/>
                <w:color w:val="auto"/>
                <w:sz w:val="24"/>
                <w:szCs w:val="24"/>
                <w:highlight w:val="none"/>
                <w:lang w:eastAsia="zh-CN"/>
              </w:rPr>
              <w:t>做</w:t>
            </w:r>
            <w:r>
              <w:rPr>
                <w:rFonts w:hint="eastAsia" w:ascii="仿宋" w:hAnsi="仿宋" w:eastAsia="仿宋" w:cs="仿宋"/>
                <w:color w:val="auto"/>
                <w:sz w:val="24"/>
                <w:szCs w:val="24"/>
                <w:highlight w:val="none"/>
              </w:rPr>
              <w:t>、更换相关具体规定</w:t>
            </w:r>
          </w:p>
        </w:tc>
        <w:tc>
          <w:tcPr>
            <w:tcW w:w="6105" w:type="dxa"/>
            <w:noWrap w:val="0"/>
            <w:vAlign w:val="center"/>
          </w:tcPr>
          <w:p w14:paraId="0867C134">
            <w:pPr>
              <w:adjustRightInd w:val="0"/>
              <w:snapToGrid w:val="0"/>
              <w:jc w:val="left"/>
              <w:rPr>
                <w:rFonts w:ascii="仿宋" w:hAnsi="仿宋" w:eastAsia="仿宋" w:cs="仿宋"/>
                <w:color w:val="auto"/>
                <w:sz w:val="24"/>
                <w:szCs w:val="24"/>
                <w:highlight w:val="none"/>
              </w:rPr>
            </w:pPr>
          </w:p>
        </w:tc>
      </w:tr>
      <w:tr w14:paraId="2E1C63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CF3DE25">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A641406">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第15.2（2）项</w:t>
            </w:r>
          </w:p>
        </w:tc>
        <w:tc>
          <w:tcPr>
            <w:tcW w:w="1742" w:type="dxa"/>
            <w:noWrap w:val="0"/>
            <w:vAlign w:val="center"/>
          </w:tcPr>
          <w:p w14:paraId="09821BA2">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迟延交货赔偿费</w:t>
            </w:r>
          </w:p>
        </w:tc>
        <w:tc>
          <w:tcPr>
            <w:tcW w:w="6105" w:type="dxa"/>
            <w:noWrap w:val="0"/>
            <w:vAlign w:val="center"/>
          </w:tcPr>
          <w:p w14:paraId="314D39AA">
            <w:pPr>
              <w:adjustRightInd w:val="0"/>
              <w:snapToGrid w:val="0"/>
              <w:jc w:val="left"/>
              <w:rPr>
                <w:rFonts w:ascii="仿宋" w:hAnsi="仿宋" w:eastAsia="仿宋" w:cs="仿宋"/>
                <w:color w:val="auto"/>
                <w:sz w:val="24"/>
                <w:szCs w:val="24"/>
                <w:highlight w:val="none"/>
                <w:u w:val="single"/>
              </w:rPr>
            </w:pPr>
          </w:p>
        </w:tc>
      </w:tr>
      <w:tr w14:paraId="6994CB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2DE7AC0">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AC0DB00">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第15.3款</w:t>
            </w:r>
          </w:p>
        </w:tc>
        <w:tc>
          <w:tcPr>
            <w:tcW w:w="1742" w:type="dxa"/>
            <w:noWrap w:val="0"/>
            <w:vAlign w:val="center"/>
          </w:tcPr>
          <w:p w14:paraId="64184DA1">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逾期付款利息</w:t>
            </w:r>
          </w:p>
        </w:tc>
        <w:tc>
          <w:tcPr>
            <w:tcW w:w="6105" w:type="dxa"/>
            <w:noWrap w:val="0"/>
            <w:vAlign w:val="center"/>
          </w:tcPr>
          <w:p w14:paraId="0419760C">
            <w:pPr>
              <w:adjustRightInd w:val="0"/>
              <w:snapToGrid w:val="0"/>
              <w:jc w:val="left"/>
              <w:rPr>
                <w:rFonts w:ascii="仿宋" w:hAnsi="仿宋" w:eastAsia="仿宋" w:cs="仿宋"/>
                <w:color w:val="auto"/>
                <w:sz w:val="24"/>
                <w:szCs w:val="24"/>
                <w:highlight w:val="none"/>
                <w:u w:val="single"/>
              </w:rPr>
            </w:pPr>
          </w:p>
        </w:tc>
      </w:tr>
      <w:tr w14:paraId="760914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6594D404">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8FA7F0F">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第15.4款</w:t>
            </w:r>
          </w:p>
        </w:tc>
        <w:tc>
          <w:tcPr>
            <w:tcW w:w="1742" w:type="dxa"/>
            <w:tcBorders>
              <w:left w:val="single" w:color="auto" w:sz="2" w:space="0"/>
              <w:bottom w:val="single" w:color="auto" w:sz="2" w:space="0"/>
              <w:right w:val="single" w:color="auto" w:sz="2" w:space="0"/>
            </w:tcBorders>
            <w:noWrap w:val="0"/>
            <w:vAlign w:val="center"/>
          </w:tcPr>
          <w:p w14:paraId="44E60E58">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其他违约责任</w:t>
            </w:r>
          </w:p>
        </w:tc>
        <w:tc>
          <w:tcPr>
            <w:tcW w:w="6105" w:type="dxa"/>
            <w:tcBorders>
              <w:left w:val="single" w:color="auto" w:sz="2" w:space="0"/>
              <w:bottom w:val="single" w:color="auto" w:sz="2" w:space="0"/>
            </w:tcBorders>
            <w:noWrap w:val="0"/>
            <w:vAlign w:val="center"/>
          </w:tcPr>
          <w:p w14:paraId="5BEE9FBE">
            <w:pPr>
              <w:adjustRightInd w:val="0"/>
              <w:snapToGrid w:val="0"/>
              <w:jc w:val="left"/>
              <w:rPr>
                <w:rFonts w:ascii="仿宋" w:hAnsi="仿宋" w:eastAsia="仿宋" w:cs="仿宋"/>
                <w:color w:val="auto"/>
                <w:sz w:val="24"/>
                <w:szCs w:val="24"/>
                <w:highlight w:val="none"/>
                <w:u w:val="single"/>
              </w:rPr>
            </w:pPr>
          </w:p>
        </w:tc>
      </w:tr>
      <w:tr w14:paraId="014729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185E31B9">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F46A380">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第19.</w:t>
            </w:r>
            <w:r>
              <w:rPr>
                <w:rFonts w:hint="eastAsia" w:ascii="仿宋" w:hAnsi="仿宋" w:eastAsia="仿宋" w:cs="仿宋"/>
                <w:color w:val="auto"/>
                <w:sz w:val="24"/>
                <w:szCs w:val="24"/>
                <w:highlight w:val="none"/>
                <w:lang w:eastAsia="zh-CN"/>
              </w:rPr>
              <w:t>两款</w:t>
            </w:r>
          </w:p>
        </w:tc>
        <w:tc>
          <w:tcPr>
            <w:tcW w:w="1742" w:type="dxa"/>
            <w:tcBorders>
              <w:top w:val="single" w:color="auto" w:sz="2" w:space="0"/>
              <w:left w:val="single" w:color="auto" w:sz="2" w:space="0"/>
              <w:right w:val="single" w:color="auto" w:sz="2" w:space="0"/>
            </w:tcBorders>
            <w:noWrap w:val="0"/>
            <w:vAlign w:val="center"/>
          </w:tcPr>
          <w:p w14:paraId="28BDBDBE">
            <w:pPr>
              <w:adjustRightInd w:val="0"/>
              <w:snapToGrid w:val="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解决争议的方法</w:t>
            </w:r>
          </w:p>
        </w:tc>
        <w:tc>
          <w:tcPr>
            <w:tcW w:w="6105" w:type="dxa"/>
            <w:tcBorders>
              <w:top w:val="single" w:color="auto" w:sz="2" w:space="0"/>
              <w:left w:val="single" w:color="auto" w:sz="2" w:space="0"/>
            </w:tcBorders>
            <w:noWrap w:val="0"/>
            <w:vAlign w:val="center"/>
          </w:tcPr>
          <w:p w14:paraId="2042BE87">
            <w:pPr>
              <w:autoSpaceDE w:val="0"/>
              <w:autoSpaceDN w:val="0"/>
              <w:adjustRightInd w:val="0"/>
              <w:snapToGrid w:val="0"/>
              <w:spacing w:line="400" w:lineRule="exact"/>
              <w:jc w:val="left"/>
              <w:rPr>
                <w:rFonts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因本合同及合同有关事项发生的争议，按下列第</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种方式解决：</w:t>
            </w:r>
          </w:p>
          <w:p w14:paraId="11C0D99A">
            <w:pPr>
              <w:autoSpaceDE w:val="0"/>
              <w:autoSpaceDN w:val="0"/>
              <w:adjustRightInd w:val="0"/>
              <w:snapToGrid w:val="0"/>
              <w:spacing w:line="400" w:lineRule="exact"/>
              <w:jc w:val="left"/>
              <w:rPr>
                <w:rFonts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（1）向</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仲裁委员会申请仲裁，仲裁地点为</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w:t>
            </w:r>
          </w:p>
          <w:p w14:paraId="3F4B40A1">
            <w:pPr>
              <w:adjustRightInd w:val="0"/>
              <w:snapToGrid w:val="0"/>
              <w:jc w:val="left"/>
              <w:rPr>
                <w:rFonts w:ascii="仿宋" w:hAnsi="仿宋" w:eastAsia="仿宋" w:cs="仿宋"/>
                <w:color w:val="auto"/>
                <w:sz w:val="24"/>
                <w:szCs w:val="24"/>
                <w:highlight w:val="none"/>
                <w:u w:val="single"/>
              </w:rPr>
            </w:pPr>
            <w:r>
              <w:rPr>
                <w:rFonts w:hint="eastAsia" w:ascii="仿宋" w:hAnsi="仿宋" w:eastAsia="仿宋" w:cs="仿宋"/>
                <w:iCs/>
                <w:color w:val="auto"/>
                <w:sz w:val="24"/>
                <w:szCs w:val="24"/>
                <w:highlight w:val="none"/>
              </w:rPr>
              <w:t>（2）向</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人民法院起诉。</w:t>
            </w:r>
          </w:p>
        </w:tc>
      </w:tr>
      <w:tr w14:paraId="5BFE37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2C82FA6B">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588D0B8">
            <w:pPr>
              <w:adjustRightInd w:val="0"/>
              <w:snapToGrid w:val="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第23.1款</w:t>
            </w:r>
          </w:p>
        </w:tc>
        <w:tc>
          <w:tcPr>
            <w:tcW w:w="1742" w:type="dxa"/>
            <w:noWrap w:val="0"/>
            <w:vAlign w:val="center"/>
          </w:tcPr>
          <w:p w14:paraId="4B240288">
            <w:pPr>
              <w:adjustRightInd w:val="0"/>
              <w:snapToGrid w:val="0"/>
              <w:jc w:val="lef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其他专用条款</w:t>
            </w:r>
          </w:p>
        </w:tc>
        <w:tc>
          <w:tcPr>
            <w:tcW w:w="6105" w:type="dxa"/>
            <w:noWrap w:val="0"/>
            <w:vAlign w:val="center"/>
          </w:tcPr>
          <w:p w14:paraId="61A9DFDA">
            <w:pPr>
              <w:adjustRightInd w:val="0"/>
              <w:snapToGrid w:val="0"/>
              <w:jc w:val="left"/>
              <w:rPr>
                <w:rFonts w:ascii="仿宋" w:hAnsi="仿宋" w:eastAsia="仿宋" w:cs="仿宋"/>
                <w:color w:val="auto"/>
                <w:sz w:val="24"/>
                <w:szCs w:val="24"/>
                <w:highlight w:val="none"/>
              </w:rPr>
            </w:pPr>
          </w:p>
        </w:tc>
      </w:tr>
    </w:tbl>
    <w:p w14:paraId="450A3A9B">
      <w:pPr>
        <w:pageBreakBefore w:val="0"/>
        <w:kinsoku/>
        <w:overflowPunct/>
        <w:topLinePunct w:val="0"/>
        <w:bidi w:val="0"/>
        <w:spacing w:beforeAutospacing="0" w:afterAutospacing="0" w:line="360" w:lineRule="auto"/>
        <w:rPr>
          <w:rFonts w:hint="eastAsia" w:ascii="宋体" w:hAnsi="宋体" w:eastAsia="宋体" w:cs="宋体"/>
          <w:color w:val="auto"/>
          <w:sz w:val="44"/>
          <w:szCs w:val="44"/>
          <w:highlight w:val="none"/>
        </w:rPr>
        <w:sectPr>
          <w:footerReference r:id="rId11" w:type="default"/>
          <w:pgSz w:w="11906" w:h="16838"/>
          <w:pgMar w:top="1440" w:right="1083" w:bottom="1440" w:left="1083" w:header="851" w:footer="964" w:gutter="0"/>
          <w:pgBorders>
            <w:top w:val="none" w:sz="0" w:space="0"/>
            <w:left w:val="none" w:sz="0" w:space="0"/>
            <w:bottom w:val="none" w:sz="0" w:space="0"/>
            <w:right w:val="none" w:sz="0" w:space="0"/>
          </w:pgBorders>
          <w:pgNumType w:fmt="decimal"/>
          <w:cols w:space="0" w:num="1"/>
          <w:rtlGutter w:val="0"/>
          <w:docGrid w:type="lines" w:linePitch="314" w:charSpace="0"/>
        </w:sectPr>
      </w:pPr>
    </w:p>
    <w:p w14:paraId="11EF3656">
      <w:pPr>
        <w:pStyle w:val="2"/>
        <w:pageBreakBefore w:val="0"/>
        <w:numPr>
          <w:ilvl w:val="3"/>
          <w:numId w:val="0"/>
        </w:numPr>
        <w:kinsoku/>
        <w:overflowPunct/>
        <w:topLinePunct w:val="0"/>
        <w:bidi w:val="0"/>
        <w:snapToGrid w:val="0"/>
        <w:spacing w:beforeAutospacing="0" w:afterAutospacing="0" w:line="360" w:lineRule="auto"/>
        <w:jc w:val="center"/>
        <w:rPr>
          <w:rFonts w:hint="eastAsia" w:ascii="宋体" w:hAnsi="宋体" w:eastAsia="宋体" w:cs="宋体"/>
          <w:color w:val="auto"/>
          <w:sz w:val="44"/>
          <w:szCs w:val="44"/>
          <w:highlight w:val="none"/>
        </w:rPr>
      </w:pPr>
      <w:bookmarkStart w:id="528" w:name="_Toc13730"/>
      <w:bookmarkStart w:id="529" w:name="_Toc31780"/>
      <w:r>
        <w:rPr>
          <w:rFonts w:hint="eastAsia" w:ascii="宋体" w:hAnsi="宋体" w:eastAsia="宋体" w:cs="宋体"/>
          <w:color w:val="auto"/>
          <w:sz w:val="44"/>
          <w:szCs w:val="44"/>
          <w:highlight w:val="none"/>
        </w:rPr>
        <w:t>第六章 采购需求</w:t>
      </w:r>
      <w:bookmarkEnd w:id="514"/>
      <w:bookmarkEnd w:id="515"/>
      <w:bookmarkEnd w:id="516"/>
      <w:bookmarkEnd w:id="528"/>
      <w:bookmarkEnd w:id="529"/>
    </w:p>
    <w:p w14:paraId="3E0720C4">
      <w:pPr>
        <w:widowControl/>
        <w:spacing w:line="460" w:lineRule="exact"/>
        <w:ind w:firstLine="482" w:firstLineChars="200"/>
        <w:rPr>
          <w:rFonts w:hint="eastAsia" w:ascii="宋体" w:hAnsi="宋体" w:cs="宋体"/>
          <w:b/>
          <w:color w:val="auto"/>
          <w:kern w:val="0"/>
          <w:sz w:val="24"/>
        </w:rPr>
      </w:pPr>
      <w:bookmarkStart w:id="530" w:name="_Toc2839"/>
      <w:bookmarkStart w:id="531" w:name="_Toc13378"/>
      <w:r>
        <w:rPr>
          <w:rFonts w:hint="eastAsia" w:ascii="宋体" w:hAnsi="宋体" w:cs="宋体"/>
          <w:b/>
          <w:color w:val="auto"/>
          <w:kern w:val="0"/>
          <w:sz w:val="24"/>
          <w:lang w:bidi="ar"/>
        </w:rPr>
        <w:t>（一）采购标的需实现的功能或者目标，以及为落实政府采购政策需满足的要求；</w:t>
      </w:r>
    </w:p>
    <w:p w14:paraId="47EC0A72">
      <w:pPr>
        <w:widowControl/>
        <w:spacing w:line="460" w:lineRule="exact"/>
        <w:ind w:firstLine="480" w:firstLineChars="200"/>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1.需实现的功能或目标：为保障</w:t>
      </w:r>
      <w:r>
        <w:rPr>
          <w:rFonts w:hint="eastAsia" w:ascii="宋体" w:hAnsi="宋体" w:cs="宋体"/>
          <w:color w:val="auto"/>
          <w:kern w:val="0"/>
          <w:sz w:val="24"/>
          <w:highlight w:val="none"/>
          <w:lang w:val="en-US" w:eastAsia="zh-CN" w:bidi="ar"/>
        </w:rPr>
        <w:t>采购人实验所</w:t>
      </w:r>
      <w:r>
        <w:rPr>
          <w:rFonts w:hint="eastAsia" w:ascii="宋体" w:hAnsi="宋体" w:cs="宋体"/>
          <w:color w:val="auto"/>
          <w:kern w:val="0"/>
          <w:sz w:val="24"/>
          <w:highlight w:val="none"/>
          <w:lang w:bidi="ar"/>
        </w:rPr>
        <w:t>的相关检测、研究工作</w:t>
      </w:r>
      <w:r>
        <w:rPr>
          <w:rFonts w:hint="eastAsia" w:ascii="宋体" w:hAnsi="宋体" w:cs="宋体"/>
          <w:bCs/>
          <w:color w:val="auto"/>
          <w:kern w:val="0"/>
          <w:sz w:val="24"/>
          <w:highlight w:val="none"/>
          <w:lang w:bidi="ar"/>
        </w:rPr>
        <w:t>。</w:t>
      </w:r>
    </w:p>
    <w:p w14:paraId="2753AF03">
      <w:pPr>
        <w:widowControl/>
        <w:spacing w:line="460" w:lineRule="exact"/>
        <w:ind w:firstLine="480" w:firstLineChars="200"/>
        <w:rPr>
          <w:rFonts w:hint="eastAsia" w:ascii="宋体" w:hAnsi="宋体" w:cs="宋体"/>
          <w:bCs/>
          <w:color w:val="auto"/>
          <w:kern w:val="0"/>
          <w:sz w:val="24"/>
          <w:highlight w:val="none"/>
        </w:rPr>
      </w:pPr>
      <w:r>
        <w:rPr>
          <w:rFonts w:hint="eastAsia" w:ascii="宋体" w:hAnsi="宋体" w:cs="宋体"/>
          <w:color w:val="auto"/>
          <w:kern w:val="0"/>
          <w:sz w:val="24"/>
          <w:highlight w:val="none"/>
          <w:lang w:bidi="ar"/>
        </w:rPr>
        <w:t>2.落实政府采购政策需满足的要求：鼓励节能政策：在技术、服务等指标同等条件下，优先采购或</w:t>
      </w:r>
      <w:r>
        <w:rPr>
          <w:rFonts w:hint="eastAsia" w:ascii="宋体" w:hAnsi="宋体" w:cs="宋体"/>
          <w:bCs/>
          <w:color w:val="auto"/>
          <w:kern w:val="0"/>
          <w:sz w:val="24"/>
          <w:highlight w:val="none"/>
          <w:lang w:bidi="ar"/>
        </w:rPr>
        <w:t>强制采购属于国家公布的节能清单中产品；鼓励环保政策：在性能、技术、服务等指标同等条件下，优先采购国家公布的环保产品清单中的产品；促进中小企业发展政策、监狱企业、残疾人福利性单位扶持政策：评审时小型和微型企业产品享受10%的价格折扣。监狱企业、残疾人福利性单位视同小型、微型企业。</w:t>
      </w:r>
    </w:p>
    <w:p w14:paraId="52FAF9B0">
      <w:pPr>
        <w:widowControl/>
        <w:spacing w:line="460" w:lineRule="exact"/>
        <w:ind w:firstLine="482" w:firstLineChars="200"/>
        <w:jc w:val="left"/>
        <w:rPr>
          <w:rFonts w:hint="eastAsia" w:ascii="宋体" w:hAnsi="宋体" w:cs="宋体"/>
          <w:b/>
          <w:color w:val="auto"/>
          <w:kern w:val="0"/>
          <w:sz w:val="24"/>
          <w:highlight w:val="none"/>
        </w:rPr>
      </w:pPr>
      <w:r>
        <w:rPr>
          <w:rFonts w:hint="eastAsia" w:ascii="宋体" w:hAnsi="宋体" w:cs="宋体"/>
          <w:b/>
          <w:color w:val="auto"/>
          <w:kern w:val="0"/>
          <w:sz w:val="24"/>
          <w:highlight w:val="none"/>
          <w:lang w:bidi="ar"/>
        </w:rPr>
        <w:t>（二）采购标的需执行的国家相关标准、行业标准、地方标准或者其他标准、规范；</w:t>
      </w:r>
    </w:p>
    <w:p w14:paraId="32C6E230">
      <w:pPr>
        <w:spacing w:line="460" w:lineRule="exact"/>
        <w:ind w:firstLine="480" w:firstLineChars="200"/>
        <w:rPr>
          <w:rFonts w:hint="eastAsia" w:ascii="宋体" w:hAnsi="宋体" w:cs="宋体"/>
          <w:color w:val="auto"/>
          <w:kern w:val="0"/>
          <w:sz w:val="24"/>
          <w:highlight w:val="none"/>
          <w:lang w:bidi="ar"/>
        </w:rPr>
        <w:sectPr>
          <w:headerReference r:id="rId12" w:type="default"/>
          <w:footerReference r:id="rId13"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0" w:num="1"/>
          <w:docGrid w:type="lines" w:linePitch="312" w:charSpace="0"/>
        </w:sectPr>
      </w:pPr>
      <w:r>
        <w:rPr>
          <w:rFonts w:hint="eastAsia" w:ascii="宋体" w:hAnsi="宋体" w:cs="宋体"/>
          <w:color w:val="auto"/>
          <w:sz w:val="24"/>
          <w:highlight w:val="none"/>
          <w:lang w:bidi="ar"/>
        </w:rPr>
        <w:t>保证提供的设备是全新（包括零部件）、符合采购需求、符合国家质量检测标准和产品出厂标准的设备</w:t>
      </w:r>
    </w:p>
    <w:p w14:paraId="5B4A8D8C">
      <w:pPr>
        <w:widowControl/>
        <w:spacing w:line="460" w:lineRule="exact"/>
        <w:ind w:firstLine="482" w:firstLineChars="200"/>
        <w:jc w:val="left"/>
        <w:rPr>
          <w:rFonts w:hint="eastAsia" w:ascii="宋体" w:hAnsi="宋体" w:cs="宋体"/>
          <w:b/>
          <w:color w:val="auto"/>
          <w:kern w:val="0"/>
          <w:sz w:val="24"/>
        </w:rPr>
      </w:pPr>
      <w:r>
        <w:rPr>
          <w:rFonts w:hint="eastAsia" w:ascii="宋体" w:hAnsi="宋体" w:cs="宋体"/>
          <w:b/>
          <w:color w:val="auto"/>
          <w:kern w:val="0"/>
          <w:sz w:val="24"/>
          <w:lang w:bidi="ar"/>
        </w:rPr>
        <w:t>（三）采购标的需满足的质量、安全、技术规格、物理特性等要求；</w:t>
      </w:r>
    </w:p>
    <w:tbl>
      <w:tblPr>
        <w:tblStyle w:val="25"/>
        <w:tblW w:w="5000" w:type="pct"/>
        <w:tblInd w:w="0" w:type="dxa"/>
        <w:tblLayout w:type="fixed"/>
        <w:tblCellMar>
          <w:top w:w="0" w:type="dxa"/>
          <w:left w:w="108" w:type="dxa"/>
          <w:bottom w:w="0" w:type="dxa"/>
          <w:right w:w="108" w:type="dxa"/>
        </w:tblCellMar>
      </w:tblPr>
      <w:tblGrid>
        <w:gridCol w:w="666"/>
        <w:gridCol w:w="799"/>
        <w:gridCol w:w="9359"/>
        <w:gridCol w:w="599"/>
        <w:gridCol w:w="462"/>
        <w:gridCol w:w="1500"/>
        <w:gridCol w:w="789"/>
      </w:tblGrid>
      <w:tr w14:paraId="28FA7F3D">
        <w:tblPrEx>
          <w:tblCellMar>
            <w:top w:w="0" w:type="dxa"/>
            <w:left w:w="108" w:type="dxa"/>
            <w:bottom w:w="0" w:type="dxa"/>
            <w:right w:w="108" w:type="dxa"/>
          </w:tblCellMar>
        </w:tblPrEx>
        <w:trPr>
          <w:trHeight w:val="458"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6B1F135B">
            <w:pPr>
              <w:widowControl/>
              <w:autoSpaceDE w:val="0"/>
              <w:spacing w:line="280" w:lineRule="exact"/>
              <w:jc w:val="center"/>
              <w:textAlignment w:val="center"/>
              <w:rPr>
                <w:rFonts w:ascii="宋体" w:hAnsi="宋体" w:cs="宋体"/>
                <w:b/>
                <w:bCs/>
                <w:color w:val="auto"/>
                <w:kern w:val="0"/>
                <w:szCs w:val="21"/>
              </w:rPr>
            </w:pPr>
            <w:r>
              <w:rPr>
                <w:rFonts w:hint="eastAsia" w:ascii="宋体" w:hAnsi="宋体" w:cs="宋体"/>
                <w:b/>
                <w:bCs/>
                <w:color w:val="auto"/>
                <w:kern w:val="0"/>
                <w:szCs w:val="21"/>
                <w:lang w:bidi="ar"/>
              </w:rPr>
              <w:t>采购清单</w:t>
            </w:r>
          </w:p>
        </w:tc>
      </w:tr>
      <w:tr w14:paraId="7C2CA717">
        <w:tblPrEx>
          <w:tblCellMar>
            <w:top w:w="0" w:type="dxa"/>
            <w:left w:w="108" w:type="dxa"/>
            <w:bottom w:w="0" w:type="dxa"/>
            <w:right w:w="108" w:type="dxa"/>
          </w:tblCellMar>
        </w:tblPrEx>
        <w:trPr>
          <w:trHeight w:val="680" w:hRule="atLeast"/>
        </w:trPr>
        <w:tc>
          <w:tcPr>
            <w:tcW w:w="235" w:type="pct"/>
            <w:tcBorders>
              <w:top w:val="single" w:color="000000" w:sz="4" w:space="0"/>
              <w:left w:val="single" w:color="000000" w:sz="4" w:space="0"/>
              <w:bottom w:val="single" w:color="000000" w:sz="4" w:space="0"/>
              <w:right w:val="single" w:color="000000" w:sz="4" w:space="0"/>
            </w:tcBorders>
            <w:noWrap/>
            <w:vAlign w:val="center"/>
          </w:tcPr>
          <w:p w14:paraId="55A6342F">
            <w:pPr>
              <w:widowControl/>
              <w:autoSpaceDE w:val="0"/>
              <w:spacing w:line="280" w:lineRule="exact"/>
              <w:jc w:val="center"/>
              <w:textAlignment w:val="center"/>
              <w:rPr>
                <w:rFonts w:ascii="宋体" w:hAnsi="宋体" w:cs="宋体"/>
                <w:color w:val="auto"/>
                <w:szCs w:val="21"/>
              </w:rPr>
            </w:pPr>
            <w:r>
              <w:rPr>
                <w:rStyle w:val="74"/>
                <w:color w:val="auto"/>
                <w:sz w:val="21"/>
                <w:szCs w:val="21"/>
                <w:lang w:bidi="ar"/>
              </w:rPr>
              <w:t>序号</w:t>
            </w:r>
          </w:p>
        </w:tc>
        <w:tc>
          <w:tcPr>
            <w:tcW w:w="282" w:type="pct"/>
            <w:tcBorders>
              <w:top w:val="single" w:color="000000" w:sz="4" w:space="0"/>
              <w:left w:val="nil"/>
              <w:bottom w:val="single" w:color="000000" w:sz="4" w:space="0"/>
              <w:right w:val="single" w:color="000000" w:sz="4" w:space="0"/>
            </w:tcBorders>
            <w:noWrap/>
            <w:vAlign w:val="center"/>
          </w:tcPr>
          <w:p w14:paraId="7C0443D8">
            <w:pPr>
              <w:widowControl/>
              <w:autoSpaceDE w:val="0"/>
              <w:spacing w:line="280" w:lineRule="exact"/>
              <w:jc w:val="center"/>
              <w:textAlignment w:val="center"/>
              <w:rPr>
                <w:rFonts w:ascii="宋体" w:hAnsi="宋体" w:cs="宋体"/>
                <w:color w:val="auto"/>
                <w:szCs w:val="21"/>
              </w:rPr>
            </w:pPr>
            <w:r>
              <w:rPr>
                <w:rStyle w:val="74"/>
                <w:color w:val="auto"/>
                <w:sz w:val="21"/>
                <w:szCs w:val="21"/>
                <w:lang w:bidi="ar"/>
              </w:rPr>
              <w:t>名称</w:t>
            </w:r>
          </w:p>
        </w:tc>
        <w:tc>
          <w:tcPr>
            <w:tcW w:w="3302" w:type="pct"/>
            <w:tcBorders>
              <w:top w:val="single" w:color="000000" w:sz="4" w:space="0"/>
              <w:left w:val="nil"/>
              <w:bottom w:val="single" w:color="000000" w:sz="4" w:space="0"/>
              <w:right w:val="single" w:color="000000" w:sz="4" w:space="0"/>
            </w:tcBorders>
            <w:vAlign w:val="center"/>
          </w:tcPr>
          <w:p w14:paraId="0805902E">
            <w:pPr>
              <w:widowControl/>
              <w:autoSpaceDE w:val="0"/>
              <w:spacing w:line="280" w:lineRule="exact"/>
              <w:jc w:val="center"/>
              <w:textAlignment w:val="center"/>
              <w:rPr>
                <w:rFonts w:ascii="宋体" w:hAnsi="宋体" w:cs="宋体"/>
                <w:color w:val="auto"/>
                <w:szCs w:val="21"/>
              </w:rPr>
            </w:pPr>
            <w:r>
              <w:rPr>
                <w:rStyle w:val="74"/>
                <w:color w:val="auto"/>
                <w:sz w:val="21"/>
                <w:szCs w:val="21"/>
                <w:lang w:bidi="ar"/>
              </w:rPr>
              <w:t>技术参数及性能要求</w:t>
            </w:r>
          </w:p>
        </w:tc>
        <w:tc>
          <w:tcPr>
            <w:tcW w:w="211" w:type="pct"/>
            <w:tcBorders>
              <w:top w:val="single" w:color="000000" w:sz="4" w:space="0"/>
              <w:left w:val="nil"/>
              <w:bottom w:val="single" w:color="000000" w:sz="4" w:space="0"/>
              <w:right w:val="single" w:color="000000" w:sz="4" w:space="0"/>
            </w:tcBorders>
            <w:noWrap/>
            <w:vAlign w:val="center"/>
          </w:tcPr>
          <w:p w14:paraId="40752D60">
            <w:pPr>
              <w:widowControl/>
              <w:autoSpaceDE w:val="0"/>
              <w:spacing w:line="280" w:lineRule="exact"/>
              <w:jc w:val="center"/>
              <w:textAlignment w:val="center"/>
              <w:rPr>
                <w:rFonts w:ascii="宋体" w:hAnsi="宋体" w:cs="宋体"/>
                <w:color w:val="auto"/>
                <w:szCs w:val="21"/>
              </w:rPr>
            </w:pPr>
            <w:r>
              <w:rPr>
                <w:rStyle w:val="74"/>
                <w:color w:val="auto"/>
                <w:sz w:val="21"/>
                <w:szCs w:val="21"/>
                <w:lang w:bidi="ar"/>
              </w:rPr>
              <w:t>数量</w:t>
            </w:r>
          </w:p>
        </w:tc>
        <w:tc>
          <w:tcPr>
            <w:tcW w:w="163" w:type="pct"/>
            <w:tcBorders>
              <w:top w:val="single" w:color="000000" w:sz="4" w:space="0"/>
              <w:left w:val="nil"/>
              <w:bottom w:val="single" w:color="auto" w:sz="4" w:space="0"/>
              <w:right w:val="single" w:color="000000" w:sz="4" w:space="0"/>
            </w:tcBorders>
            <w:noWrap/>
            <w:vAlign w:val="center"/>
          </w:tcPr>
          <w:p w14:paraId="2207734C">
            <w:pPr>
              <w:widowControl/>
              <w:autoSpaceDE w:val="0"/>
              <w:spacing w:line="280" w:lineRule="exact"/>
              <w:jc w:val="center"/>
              <w:textAlignment w:val="center"/>
              <w:rPr>
                <w:rFonts w:ascii="宋体" w:hAnsi="宋体" w:cs="宋体"/>
                <w:color w:val="auto"/>
                <w:szCs w:val="21"/>
              </w:rPr>
            </w:pPr>
            <w:r>
              <w:rPr>
                <w:rStyle w:val="74"/>
                <w:color w:val="auto"/>
                <w:sz w:val="21"/>
                <w:szCs w:val="21"/>
                <w:lang w:bidi="ar"/>
              </w:rPr>
              <w:t>单位</w:t>
            </w:r>
          </w:p>
        </w:tc>
        <w:tc>
          <w:tcPr>
            <w:tcW w:w="529" w:type="pct"/>
            <w:tcBorders>
              <w:top w:val="single" w:color="000000" w:sz="4" w:space="0"/>
              <w:left w:val="nil"/>
              <w:bottom w:val="single" w:color="auto" w:sz="4" w:space="0"/>
              <w:right w:val="single" w:color="000000" w:sz="4" w:space="0"/>
            </w:tcBorders>
            <w:noWrap/>
            <w:vAlign w:val="center"/>
          </w:tcPr>
          <w:p w14:paraId="5453F9CA">
            <w:pPr>
              <w:widowControl/>
              <w:autoSpaceDE w:val="0"/>
              <w:spacing w:line="280" w:lineRule="exact"/>
              <w:jc w:val="center"/>
              <w:textAlignment w:val="center"/>
              <w:rPr>
                <w:rFonts w:ascii="宋体" w:hAnsi="宋体" w:cs="宋体"/>
                <w:color w:val="auto"/>
                <w:szCs w:val="21"/>
              </w:rPr>
            </w:pPr>
            <w:r>
              <w:rPr>
                <w:rFonts w:hint="eastAsia" w:ascii="宋体" w:hAnsi="宋体" w:cs="宋体"/>
                <w:color w:val="auto"/>
                <w:szCs w:val="21"/>
                <w:lang w:bidi="ar"/>
              </w:rPr>
              <w:t>最高单价限价（元）</w:t>
            </w:r>
          </w:p>
        </w:tc>
        <w:tc>
          <w:tcPr>
            <w:tcW w:w="275" w:type="pct"/>
            <w:tcBorders>
              <w:top w:val="single" w:color="000000" w:sz="4" w:space="0"/>
              <w:left w:val="nil"/>
              <w:bottom w:val="single" w:color="auto" w:sz="4" w:space="0"/>
              <w:right w:val="single" w:color="000000" w:sz="4" w:space="0"/>
            </w:tcBorders>
            <w:noWrap/>
            <w:vAlign w:val="center"/>
          </w:tcPr>
          <w:p w14:paraId="10690EF8">
            <w:pPr>
              <w:widowControl/>
              <w:autoSpaceDE w:val="0"/>
              <w:spacing w:line="280" w:lineRule="exact"/>
              <w:jc w:val="center"/>
              <w:textAlignment w:val="center"/>
              <w:rPr>
                <w:rFonts w:ascii="宋体" w:hAnsi="宋体" w:cs="宋体"/>
                <w:color w:val="auto"/>
                <w:szCs w:val="21"/>
              </w:rPr>
            </w:pPr>
            <w:r>
              <w:rPr>
                <w:rStyle w:val="74"/>
                <w:color w:val="auto"/>
                <w:sz w:val="21"/>
                <w:szCs w:val="21"/>
                <w:lang w:bidi="ar"/>
              </w:rPr>
              <w:t>备注</w:t>
            </w:r>
          </w:p>
        </w:tc>
      </w:tr>
      <w:tr w14:paraId="37696817">
        <w:tblPrEx>
          <w:tblCellMar>
            <w:top w:w="0" w:type="dxa"/>
            <w:left w:w="108" w:type="dxa"/>
            <w:bottom w:w="0" w:type="dxa"/>
            <w:right w:w="108" w:type="dxa"/>
          </w:tblCellMar>
        </w:tblPrEx>
        <w:trPr>
          <w:trHeight w:val="680" w:hRule="atLeast"/>
        </w:trPr>
        <w:tc>
          <w:tcPr>
            <w:tcW w:w="235" w:type="pct"/>
            <w:tcBorders>
              <w:top w:val="single" w:color="000000" w:sz="4" w:space="0"/>
              <w:left w:val="single" w:color="000000" w:sz="4" w:space="0"/>
              <w:bottom w:val="single" w:color="000000" w:sz="4" w:space="0"/>
              <w:right w:val="single" w:color="000000" w:sz="4" w:space="0"/>
            </w:tcBorders>
            <w:noWrap/>
            <w:vAlign w:val="center"/>
          </w:tcPr>
          <w:p w14:paraId="4B85302C">
            <w:pPr>
              <w:widowControl/>
              <w:autoSpaceDE w:val="0"/>
              <w:spacing w:line="280" w:lineRule="exact"/>
              <w:jc w:val="center"/>
              <w:textAlignment w:val="center"/>
              <w:rPr>
                <w:rStyle w:val="74"/>
                <w:rFonts w:hint="default"/>
                <w:color w:val="auto"/>
                <w:sz w:val="21"/>
                <w:szCs w:val="21"/>
                <w:lang w:bidi="ar"/>
              </w:rPr>
            </w:pPr>
            <w:r>
              <w:rPr>
                <w:rStyle w:val="74"/>
                <w:color w:val="auto"/>
                <w:sz w:val="21"/>
                <w:szCs w:val="21"/>
              </w:rPr>
              <w:t>1</w:t>
            </w:r>
          </w:p>
        </w:tc>
        <w:tc>
          <w:tcPr>
            <w:tcW w:w="282" w:type="pct"/>
            <w:tcBorders>
              <w:top w:val="single" w:color="000000" w:sz="4" w:space="0"/>
              <w:left w:val="nil"/>
              <w:bottom w:val="single" w:color="000000" w:sz="4" w:space="0"/>
              <w:right w:val="single" w:color="000000" w:sz="4" w:space="0"/>
            </w:tcBorders>
            <w:noWrap/>
            <w:vAlign w:val="center"/>
          </w:tcPr>
          <w:p w14:paraId="6186DC2B">
            <w:pPr>
              <w:widowControl/>
              <w:autoSpaceDE w:val="0"/>
              <w:spacing w:line="280" w:lineRule="exact"/>
              <w:jc w:val="center"/>
              <w:textAlignment w:val="center"/>
              <w:rPr>
                <w:rStyle w:val="74"/>
                <w:rFonts w:hint="default"/>
                <w:color w:val="auto"/>
                <w:sz w:val="21"/>
                <w:szCs w:val="21"/>
                <w:lang w:bidi="ar"/>
              </w:rPr>
            </w:pPr>
            <w:r>
              <w:rPr>
                <w:rStyle w:val="74"/>
                <w:color w:val="auto"/>
                <w:sz w:val="21"/>
                <w:szCs w:val="21"/>
                <w:lang w:bidi="ar"/>
              </w:rPr>
              <w:t>超高效液相色谱三重四级杆质谱联用仪</w:t>
            </w:r>
          </w:p>
        </w:tc>
        <w:tc>
          <w:tcPr>
            <w:tcW w:w="3302" w:type="pct"/>
            <w:tcBorders>
              <w:top w:val="single" w:color="000000" w:sz="4" w:space="0"/>
              <w:left w:val="nil"/>
              <w:bottom w:val="single" w:color="000000" w:sz="4" w:space="0"/>
              <w:right w:val="single" w:color="000000" w:sz="4" w:space="0"/>
            </w:tcBorders>
            <w:vAlign w:val="center"/>
          </w:tcPr>
          <w:p w14:paraId="230C1370">
            <w:pPr>
              <w:tabs>
                <w:tab w:val="left" w:pos="493"/>
              </w:tabs>
              <w:spacing w:line="280" w:lineRule="exact"/>
              <w:jc w:val="left"/>
              <w:rPr>
                <w:rStyle w:val="74"/>
                <w:rFonts w:hint="default"/>
                <w:b/>
                <w:bCs/>
                <w:color w:val="auto"/>
                <w:sz w:val="21"/>
                <w:szCs w:val="21"/>
                <w:lang w:bidi="ar"/>
              </w:rPr>
            </w:pPr>
            <w:r>
              <w:rPr>
                <w:rStyle w:val="74"/>
                <w:b/>
                <w:bCs/>
                <w:color w:val="auto"/>
                <w:sz w:val="21"/>
                <w:szCs w:val="21"/>
                <w:lang w:bidi="ar"/>
              </w:rPr>
              <w:t>（一）配置要求</w:t>
            </w:r>
          </w:p>
          <w:p w14:paraId="7BCEB813">
            <w:pPr>
              <w:tabs>
                <w:tab w:val="left" w:pos="493"/>
              </w:tabs>
              <w:spacing w:line="280" w:lineRule="exact"/>
              <w:jc w:val="left"/>
              <w:rPr>
                <w:rStyle w:val="74"/>
                <w:rFonts w:hint="default"/>
                <w:color w:val="auto"/>
                <w:sz w:val="21"/>
                <w:szCs w:val="21"/>
                <w:lang w:bidi="ar"/>
              </w:rPr>
            </w:pPr>
            <w:r>
              <w:rPr>
                <w:rStyle w:val="74"/>
                <w:color w:val="auto"/>
                <w:sz w:val="21"/>
                <w:szCs w:val="21"/>
                <w:lang w:bidi="ar"/>
              </w:rPr>
              <w:t>1.三重四极杆质谱仪主机1套</w:t>
            </w:r>
          </w:p>
          <w:p w14:paraId="6F209A07">
            <w:pPr>
              <w:tabs>
                <w:tab w:val="left" w:pos="493"/>
              </w:tabs>
              <w:spacing w:line="280" w:lineRule="exact"/>
              <w:jc w:val="left"/>
              <w:rPr>
                <w:rStyle w:val="74"/>
                <w:rFonts w:hint="default"/>
                <w:color w:val="auto"/>
                <w:sz w:val="21"/>
                <w:szCs w:val="21"/>
                <w:lang w:bidi="ar"/>
              </w:rPr>
            </w:pPr>
            <w:r>
              <w:rPr>
                <w:rStyle w:val="74"/>
                <w:color w:val="auto"/>
                <w:sz w:val="21"/>
                <w:szCs w:val="21"/>
                <w:lang w:bidi="ar"/>
              </w:rPr>
              <w:t>2.ESI离子源1套，APCI离子源1套</w:t>
            </w:r>
          </w:p>
          <w:p w14:paraId="63B29E43">
            <w:pPr>
              <w:tabs>
                <w:tab w:val="left" w:pos="493"/>
              </w:tabs>
              <w:spacing w:line="280" w:lineRule="exact"/>
              <w:jc w:val="left"/>
              <w:rPr>
                <w:rStyle w:val="74"/>
                <w:rFonts w:hint="default"/>
                <w:color w:val="auto"/>
                <w:sz w:val="21"/>
                <w:szCs w:val="21"/>
                <w:lang w:bidi="ar"/>
              </w:rPr>
            </w:pPr>
            <w:r>
              <w:rPr>
                <w:rStyle w:val="74"/>
                <w:color w:val="auto"/>
                <w:sz w:val="21"/>
                <w:szCs w:val="21"/>
                <w:lang w:bidi="ar"/>
              </w:rPr>
              <w:t>3.仪器控制及数据处理软件1套</w:t>
            </w:r>
          </w:p>
          <w:p w14:paraId="4E0EB332">
            <w:pPr>
              <w:tabs>
                <w:tab w:val="left" w:pos="493"/>
              </w:tabs>
              <w:spacing w:line="280" w:lineRule="exact"/>
              <w:jc w:val="left"/>
              <w:rPr>
                <w:rStyle w:val="74"/>
                <w:rFonts w:hint="default"/>
                <w:color w:val="auto"/>
                <w:sz w:val="21"/>
                <w:szCs w:val="21"/>
                <w:lang w:bidi="ar"/>
              </w:rPr>
            </w:pPr>
            <w:r>
              <w:rPr>
                <w:rStyle w:val="74"/>
                <w:color w:val="auto"/>
                <w:sz w:val="21"/>
                <w:szCs w:val="21"/>
                <w:lang w:bidi="ar"/>
              </w:rPr>
              <w:t>4.高压二元梯度泵1套</w:t>
            </w:r>
          </w:p>
          <w:p w14:paraId="65CA4527">
            <w:pPr>
              <w:tabs>
                <w:tab w:val="left" w:pos="493"/>
              </w:tabs>
              <w:spacing w:line="280" w:lineRule="exact"/>
              <w:jc w:val="left"/>
              <w:rPr>
                <w:rStyle w:val="74"/>
                <w:rFonts w:hint="default"/>
                <w:color w:val="auto"/>
                <w:sz w:val="21"/>
                <w:szCs w:val="21"/>
                <w:lang w:bidi="ar"/>
              </w:rPr>
            </w:pPr>
            <w:r>
              <w:rPr>
                <w:rStyle w:val="74"/>
                <w:color w:val="auto"/>
                <w:sz w:val="21"/>
                <w:szCs w:val="21"/>
                <w:lang w:bidi="ar"/>
              </w:rPr>
              <w:t>5.自动进样器1套</w:t>
            </w:r>
          </w:p>
          <w:p w14:paraId="45C5F784">
            <w:pPr>
              <w:tabs>
                <w:tab w:val="left" w:pos="493"/>
              </w:tabs>
              <w:spacing w:line="280" w:lineRule="exact"/>
              <w:jc w:val="left"/>
              <w:rPr>
                <w:rStyle w:val="74"/>
                <w:rFonts w:hint="default"/>
                <w:color w:val="auto"/>
                <w:sz w:val="21"/>
                <w:szCs w:val="21"/>
                <w:lang w:bidi="ar"/>
              </w:rPr>
            </w:pPr>
            <w:r>
              <w:rPr>
                <w:rStyle w:val="74"/>
                <w:color w:val="auto"/>
                <w:sz w:val="21"/>
                <w:szCs w:val="21"/>
                <w:lang w:bidi="ar"/>
              </w:rPr>
              <w:t>6.柱温箱1套</w:t>
            </w:r>
          </w:p>
          <w:p w14:paraId="51D07E85">
            <w:pPr>
              <w:tabs>
                <w:tab w:val="left" w:pos="493"/>
              </w:tabs>
              <w:spacing w:line="280" w:lineRule="exact"/>
              <w:jc w:val="left"/>
              <w:rPr>
                <w:rStyle w:val="74"/>
                <w:rFonts w:hint="default"/>
                <w:color w:val="auto"/>
                <w:sz w:val="21"/>
                <w:szCs w:val="21"/>
                <w:lang w:bidi="ar"/>
              </w:rPr>
            </w:pPr>
            <w:r>
              <w:rPr>
                <w:rStyle w:val="74"/>
                <w:color w:val="auto"/>
                <w:sz w:val="21"/>
                <w:szCs w:val="21"/>
                <w:lang w:bidi="ar"/>
              </w:rPr>
              <w:t>7.UPS电源1套（10KVA，延时2小时）</w:t>
            </w:r>
          </w:p>
          <w:p w14:paraId="16BEF9F3">
            <w:pPr>
              <w:tabs>
                <w:tab w:val="left" w:pos="493"/>
              </w:tabs>
              <w:spacing w:line="280" w:lineRule="exact"/>
              <w:jc w:val="left"/>
              <w:rPr>
                <w:rStyle w:val="74"/>
                <w:rFonts w:hint="default"/>
                <w:color w:val="auto"/>
                <w:sz w:val="21"/>
                <w:szCs w:val="21"/>
                <w:lang w:bidi="ar"/>
              </w:rPr>
            </w:pPr>
            <w:r>
              <w:rPr>
                <w:rStyle w:val="74"/>
                <w:color w:val="auto"/>
                <w:sz w:val="21"/>
                <w:szCs w:val="21"/>
                <w:lang w:bidi="ar"/>
              </w:rPr>
              <w:t>8.氮气发生器1台</w:t>
            </w:r>
          </w:p>
          <w:p w14:paraId="3541EE57">
            <w:pPr>
              <w:tabs>
                <w:tab w:val="left" w:pos="493"/>
              </w:tabs>
              <w:spacing w:line="280" w:lineRule="exact"/>
              <w:jc w:val="left"/>
              <w:rPr>
                <w:rStyle w:val="74"/>
                <w:rFonts w:hint="default"/>
                <w:color w:val="auto"/>
                <w:sz w:val="21"/>
                <w:szCs w:val="21"/>
                <w:lang w:bidi="ar"/>
              </w:rPr>
            </w:pPr>
            <w:r>
              <w:rPr>
                <w:rStyle w:val="74"/>
                <w:color w:val="auto"/>
                <w:sz w:val="21"/>
                <w:szCs w:val="21"/>
                <w:lang w:bidi="ar"/>
              </w:rPr>
              <w:t>9.色谱柱2根</w:t>
            </w:r>
          </w:p>
          <w:p w14:paraId="7655B278">
            <w:pPr>
              <w:tabs>
                <w:tab w:val="left" w:pos="493"/>
              </w:tabs>
              <w:spacing w:line="280" w:lineRule="exact"/>
              <w:jc w:val="left"/>
              <w:rPr>
                <w:rStyle w:val="74"/>
                <w:rFonts w:hint="default"/>
                <w:color w:val="auto"/>
                <w:sz w:val="21"/>
                <w:szCs w:val="21"/>
                <w:lang w:bidi="ar"/>
              </w:rPr>
            </w:pPr>
            <w:r>
              <w:rPr>
                <w:rStyle w:val="74"/>
                <w:color w:val="auto"/>
                <w:sz w:val="21"/>
                <w:szCs w:val="21"/>
                <w:lang w:bidi="ar"/>
              </w:rPr>
              <w:t>10.泵油2瓶</w:t>
            </w:r>
          </w:p>
          <w:p w14:paraId="50C1C877">
            <w:pPr>
              <w:tabs>
                <w:tab w:val="left" w:pos="493"/>
              </w:tabs>
              <w:spacing w:line="280" w:lineRule="exact"/>
              <w:jc w:val="left"/>
              <w:rPr>
                <w:rStyle w:val="74"/>
                <w:rFonts w:hint="default"/>
                <w:color w:val="auto"/>
                <w:sz w:val="21"/>
                <w:szCs w:val="21"/>
                <w:lang w:bidi="ar"/>
              </w:rPr>
            </w:pPr>
            <w:r>
              <w:rPr>
                <w:rStyle w:val="74"/>
                <w:color w:val="auto"/>
                <w:sz w:val="21"/>
                <w:szCs w:val="21"/>
                <w:lang w:bidi="ar"/>
              </w:rPr>
              <w:t>11.ESI喷针5根</w:t>
            </w:r>
          </w:p>
          <w:p w14:paraId="68BD0944">
            <w:pPr>
              <w:tabs>
                <w:tab w:val="left" w:pos="493"/>
              </w:tabs>
              <w:spacing w:line="280" w:lineRule="exact"/>
              <w:jc w:val="left"/>
              <w:rPr>
                <w:rStyle w:val="74"/>
                <w:rFonts w:hint="default"/>
                <w:color w:val="auto"/>
                <w:sz w:val="21"/>
                <w:szCs w:val="21"/>
                <w:lang w:bidi="ar"/>
              </w:rPr>
            </w:pPr>
            <w:r>
              <w:rPr>
                <w:rStyle w:val="74"/>
                <w:color w:val="auto"/>
                <w:sz w:val="21"/>
                <w:szCs w:val="21"/>
                <w:lang w:bidi="ar"/>
              </w:rPr>
              <w:t>12.APCI喷针2根</w:t>
            </w:r>
          </w:p>
          <w:p w14:paraId="0F6AD05C">
            <w:pPr>
              <w:tabs>
                <w:tab w:val="left" w:pos="493"/>
              </w:tabs>
              <w:spacing w:line="280" w:lineRule="exact"/>
              <w:jc w:val="left"/>
              <w:rPr>
                <w:rStyle w:val="74"/>
                <w:rFonts w:hint="default"/>
                <w:color w:val="auto"/>
                <w:sz w:val="21"/>
                <w:szCs w:val="21"/>
                <w:lang w:bidi="ar"/>
              </w:rPr>
            </w:pPr>
            <w:r>
              <w:rPr>
                <w:rStyle w:val="74"/>
                <w:color w:val="auto"/>
                <w:sz w:val="21"/>
                <w:szCs w:val="21"/>
                <w:lang w:bidi="ar"/>
              </w:rPr>
              <w:t>13.样品瓶300个</w:t>
            </w:r>
          </w:p>
          <w:p w14:paraId="0F208428">
            <w:pPr>
              <w:tabs>
                <w:tab w:val="left" w:pos="493"/>
              </w:tabs>
              <w:spacing w:line="280" w:lineRule="exact"/>
              <w:jc w:val="left"/>
              <w:rPr>
                <w:rStyle w:val="74"/>
                <w:rFonts w:hint="default"/>
                <w:color w:val="auto"/>
                <w:sz w:val="21"/>
                <w:szCs w:val="21"/>
                <w:highlight w:val="none"/>
                <w:lang w:bidi="ar"/>
              </w:rPr>
            </w:pPr>
            <w:r>
              <w:rPr>
                <w:rStyle w:val="74"/>
                <w:color w:val="auto"/>
                <w:sz w:val="21"/>
                <w:szCs w:val="21"/>
                <w:lang w:bidi="ar"/>
              </w:rPr>
              <w:t>14.原厂专用锥孔维护棉签100根（离子源传输为锥孔结构设计）或原厂备用毛细管（石英、金属或D</w:t>
            </w:r>
            <w:r>
              <w:rPr>
                <w:rStyle w:val="74"/>
                <w:color w:val="auto"/>
                <w:sz w:val="21"/>
                <w:szCs w:val="21"/>
                <w:highlight w:val="none"/>
                <w:lang w:bidi="ar"/>
              </w:rPr>
              <w:t>L管，必须能实现快速正负切换）500根（离子源传输有毛细管结构设计）</w:t>
            </w:r>
          </w:p>
          <w:p w14:paraId="7C0F963E">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15.在线固相萃取系统1套</w:t>
            </w:r>
          </w:p>
          <w:p w14:paraId="6B032579">
            <w:pPr>
              <w:tabs>
                <w:tab w:val="left" w:pos="493"/>
              </w:tabs>
              <w:spacing w:line="280" w:lineRule="exact"/>
              <w:jc w:val="left"/>
              <w:rPr>
                <w:rStyle w:val="74"/>
                <w:rFonts w:hint="default"/>
                <w:b/>
                <w:bCs/>
                <w:color w:val="auto"/>
                <w:sz w:val="21"/>
                <w:szCs w:val="21"/>
                <w:highlight w:val="none"/>
                <w:lang w:bidi="ar"/>
              </w:rPr>
            </w:pPr>
            <w:r>
              <w:rPr>
                <w:rStyle w:val="74"/>
                <w:b/>
                <w:bCs/>
                <w:color w:val="auto"/>
                <w:sz w:val="21"/>
                <w:szCs w:val="21"/>
                <w:highlight w:val="none"/>
                <w:lang w:bidi="ar"/>
              </w:rPr>
              <w:t>（二）在线固相萃取系统</w:t>
            </w:r>
          </w:p>
          <w:p w14:paraId="0E201921">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1、总体指标</w:t>
            </w:r>
          </w:p>
          <w:p w14:paraId="2A7EEEA8">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eastAsia="zh-CN" w:bidi="ar"/>
              </w:rPr>
              <w:t>▲</w:t>
            </w:r>
            <w:r>
              <w:rPr>
                <w:rStyle w:val="74"/>
                <w:color w:val="auto"/>
                <w:sz w:val="21"/>
                <w:szCs w:val="21"/>
                <w:highlight w:val="none"/>
                <w:lang w:bidi="ar"/>
              </w:rPr>
              <w:t>1.1、使用X/Y/Z轴三维定位，每个马达定位精度≦0.1mm，保证进样系统的稳定可靠，X轴的长度≧54cm，为系统已经配置的模块和将来升级的模块提供足够的挂载空间；</w:t>
            </w:r>
          </w:p>
          <w:p w14:paraId="319A9478">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eastAsia="zh-CN" w:bidi="ar"/>
              </w:rPr>
              <w:t>▲</w:t>
            </w:r>
            <w:r>
              <w:rPr>
                <w:rStyle w:val="74"/>
                <w:color w:val="auto"/>
                <w:sz w:val="21"/>
                <w:szCs w:val="21"/>
                <w:highlight w:val="none"/>
                <w:lang w:bidi="ar"/>
              </w:rPr>
              <w:t>1.2、可在自动液体直接进样和在线SPE进样之间快速切换。</w:t>
            </w:r>
          </w:p>
          <w:p w14:paraId="6A26605B">
            <w:pPr>
              <w:tabs>
                <w:tab w:val="left" w:pos="493"/>
              </w:tabs>
              <w:spacing w:line="280" w:lineRule="exact"/>
              <w:jc w:val="left"/>
              <w:rPr>
                <w:rStyle w:val="74"/>
                <w:rFonts w:hint="default"/>
                <w:color w:val="auto"/>
                <w:sz w:val="21"/>
                <w:szCs w:val="21"/>
                <w:lang w:bidi="ar"/>
              </w:rPr>
            </w:pPr>
            <w:r>
              <w:rPr>
                <w:rStyle w:val="74"/>
                <w:color w:val="auto"/>
                <w:sz w:val="21"/>
                <w:szCs w:val="21"/>
                <w:highlight w:val="none"/>
                <w:lang w:bidi="ar"/>
              </w:rPr>
              <w:t>1.3、配置三维机械臂一套，72位双柱在线SPE功能，配备四元泵一套，配备25uL进样系统一套，10mL进样系统一套，配备2（或3）组切换阀，配备快速洗针功能含4个输液泵和4个</w:t>
            </w:r>
            <w:r>
              <w:rPr>
                <w:rStyle w:val="74"/>
                <w:color w:val="auto"/>
                <w:sz w:val="21"/>
                <w:szCs w:val="21"/>
                <w:lang w:bidi="ar"/>
              </w:rPr>
              <w:t>1L溶剂瓶。</w:t>
            </w:r>
          </w:p>
          <w:p w14:paraId="23A4B893">
            <w:pPr>
              <w:tabs>
                <w:tab w:val="left" w:pos="493"/>
              </w:tabs>
              <w:spacing w:line="280" w:lineRule="exact"/>
              <w:jc w:val="left"/>
              <w:rPr>
                <w:rStyle w:val="74"/>
                <w:rFonts w:hint="default"/>
                <w:color w:val="auto"/>
                <w:sz w:val="21"/>
                <w:szCs w:val="21"/>
                <w:lang w:bidi="ar"/>
              </w:rPr>
            </w:pPr>
            <w:r>
              <w:rPr>
                <w:rStyle w:val="74"/>
                <w:color w:val="auto"/>
                <w:sz w:val="21"/>
                <w:szCs w:val="21"/>
                <w:lang w:bidi="ar"/>
              </w:rPr>
              <w:t>2、大体积进样</w:t>
            </w:r>
          </w:p>
          <w:p w14:paraId="10F23742">
            <w:pPr>
              <w:tabs>
                <w:tab w:val="left" w:pos="493"/>
              </w:tabs>
              <w:spacing w:line="280" w:lineRule="exact"/>
              <w:jc w:val="left"/>
              <w:rPr>
                <w:rStyle w:val="74"/>
                <w:rFonts w:hint="default"/>
                <w:color w:val="auto"/>
                <w:sz w:val="21"/>
                <w:szCs w:val="21"/>
                <w:lang w:bidi="ar"/>
              </w:rPr>
            </w:pPr>
            <w:r>
              <w:rPr>
                <w:rStyle w:val="74"/>
                <w:color w:val="auto"/>
                <w:sz w:val="21"/>
                <w:szCs w:val="21"/>
                <w:lang w:bidi="ar"/>
              </w:rPr>
              <w:t>2.1进样功能：软件上可实现进样量、取样速度、进样速度、进样前/后的停滞时间、进样针进样前/后洗针次数、样品润针次数等值的设定。具有样品瓶瓶底探测功能，样品极微量也能进行取样分析；</w:t>
            </w:r>
          </w:p>
          <w:p w14:paraId="642D89B3">
            <w:pPr>
              <w:tabs>
                <w:tab w:val="left" w:pos="493"/>
              </w:tabs>
              <w:spacing w:line="280" w:lineRule="exact"/>
              <w:jc w:val="left"/>
              <w:rPr>
                <w:rStyle w:val="74"/>
                <w:rFonts w:hint="default"/>
                <w:color w:val="auto"/>
                <w:sz w:val="21"/>
                <w:szCs w:val="21"/>
                <w:lang w:bidi="ar"/>
              </w:rPr>
            </w:pPr>
            <w:r>
              <w:rPr>
                <w:rStyle w:val="74"/>
                <w:color w:val="auto"/>
                <w:sz w:val="21"/>
                <w:szCs w:val="21"/>
                <w:lang w:bidi="ar"/>
              </w:rPr>
              <w:t>2.2样品容量：20mL/40mL样品瓶容量72位；</w:t>
            </w:r>
          </w:p>
          <w:p w14:paraId="6E43D701">
            <w:pPr>
              <w:tabs>
                <w:tab w:val="left" w:pos="493"/>
              </w:tabs>
              <w:spacing w:line="280" w:lineRule="exact"/>
              <w:jc w:val="left"/>
              <w:rPr>
                <w:rStyle w:val="74"/>
                <w:rFonts w:hint="default"/>
                <w:color w:val="auto"/>
                <w:sz w:val="21"/>
                <w:szCs w:val="21"/>
                <w:highlight w:val="none"/>
                <w:lang w:bidi="ar"/>
              </w:rPr>
            </w:pPr>
            <w:r>
              <w:rPr>
                <w:rStyle w:val="74"/>
                <w:color w:val="auto"/>
                <w:sz w:val="21"/>
                <w:szCs w:val="21"/>
                <w:lang w:bidi="ar"/>
              </w:rPr>
              <w:t>2.3液体进样针类型：标配10mL进样针。0.5μL、1.2μL、5μL、10μL、100μL、1000μL进样针类型可选；</w:t>
            </w:r>
          </w:p>
          <w:p w14:paraId="576714E6">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eastAsia="zh-CN" w:bidi="ar"/>
              </w:rPr>
              <w:t>▲</w:t>
            </w:r>
            <w:r>
              <w:rPr>
                <w:rStyle w:val="74"/>
                <w:color w:val="auto"/>
                <w:sz w:val="21"/>
                <w:szCs w:val="21"/>
                <w:highlight w:val="none"/>
                <w:lang w:bidi="ar"/>
              </w:rPr>
              <w:t>2.4进样方式：可通过定量满环进样，也可以通过进样针精准进样，进样体积可任意设置，最大上样量≧100mL（投标文件需提供实物图片证明）；</w:t>
            </w:r>
          </w:p>
          <w:p w14:paraId="6EAE968A">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eastAsia="zh-CN" w:bidi="ar"/>
              </w:rPr>
              <w:t>▲</w:t>
            </w:r>
            <w:r>
              <w:rPr>
                <w:rStyle w:val="74"/>
                <w:color w:val="auto"/>
                <w:sz w:val="21"/>
                <w:szCs w:val="21"/>
                <w:highlight w:val="none"/>
                <w:lang w:bidi="ar"/>
              </w:rPr>
              <w:t>2.5自动洗针模块：可采用四种不同极性溶剂，对进样针内外壁快速冲洗，减少样品残留；洗针溶剂最大流速不低于36mL/min，保障清洗效果；</w:t>
            </w:r>
          </w:p>
          <w:p w14:paraId="3B2B9D3D">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2.6 10mL进样准确度：±1.0%，精确度：满环≤1%RSD，半环≤1%RSD；交叉污染度：≤0.003%</w:t>
            </w:r>
          </w:p>
          <w:p w14:paraId="3F5E1429">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3、 SPE驱动系统：</w:t>
            </w:r>
          </w:p>
          <w:p w14:paraId="0F2812A8">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3.1、驱动系统类型：微体积（柱塞体积10µL）双柱塞往复并联泵；</w:t>
            </w:r>
          </w:p>
          <w:p w14:paraId="3B550D85">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3.2、驱动流速范围：0.0001-3.0000mL/min（1.0-66MPa）或3.001-5.000mL/min（1.0-44MPa）；</w:t>
            </w:r>
          </w:p>
          <w:p w14:paraId="3EE11FFD">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3.3、流速精确度：≤0.062%；</w:t>
            </w:r>
          </w:p>
          <w:p w14:paraId="0A751964">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3.4、流速准确度：不大于1%或±2µL/min，其中最大值（0.01-3ml/min；1.0-40MPa）；不大于±2%或±2µL/min，其中最大值（0.01-3ml/min；40-60MPa）。</w:t>
            </w:r>
          </w:p>
          <w:p w14:paraId="542D757F">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3.</w:t>
            </w:r>
            <w:r>
              <w:rPr>
                <w:rStyle w:val="74"/>
                <w:rFonts w:hint="eastAsia"/>
                <w:color w:val="auto"/>
                <w:sz w:val="21"/>
                <w:szCs w:val="21"/>
                <w:highlight w:val="none"/>
                <w:lang w:val="en-US" w:eastAsia="zh-CN" w:bidi="ar"/>
              </w:rPr>
              <w:t>5</w:t>
            </w:r>
            <w:r>
              <w:rPr>
                <w:rStyle w:val="74"/>
                <w:color w:val="auto"/>
                <w:sz w:val="21"/>
                <w:szCs w:val="21"/>
                <w:highlight w:val="none"/>
                <w:lang w:bidi="ar"/>
              </w:rPr>
              <w:t>、流速重现性：不大于0.06%RSD或0.02minSD，其中最大值。</w:t>
            </w:r>
          </w:p>
          <w:p w14:paraId="041CB6EB">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3.</w:t>
            </w:r>
            <w:r>
              <w:rPr>
                <w:rStyle w:val="74"/>
                <w:rFonts w:hint="eastAsia"/>
                <w:color w:val="auto"/>
                <w:sz w:val="21"/>
                <w:szCs w:val="21"/>
                <w:highlight w:val="none"/>
                <w:lang w:val="en-US" w:eastAsia="zh-CN" w:bidi="ar"/>
              </w:rPr>
              <w:t>6</w:t>
            </w:r>
            <w:r>
              <w:rPr>
                <w:rStyle w:val="74"/>
                <w:color w:val="auto"/>
                <w:sz w:val="21"/>
                <w:szCs w:val="21"/>
                <w:highlight w:val="none"/>
                <w:lang w:bidi="ar"/>
              </w:rPr>
              <w:t>、梯度方式：高压/低压梯度混合。</w:t>
            </w:r>
          </w:p>
          <w:p w14:paraId="112BA8A9">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3.</w:t>
            </w:r>
            <w:r>
              <w:rPr>
                <w:rStyle w:val="74"/>
                <w:rFonts w:hint="eastAsia"/>
                <w:color w:val="auto"/>
                <w:sz w:val="21"/>
                <w:szCs w:val="21"/>
                <w:highlight w:val="none"/>
                <w:lang w:val="en-US" w:eastAsia="zh-CN" w:bidi="ar"/>
              </w:rPr>
              <w:t>7</w:t>
            </w:r>
            <w:r>
              <w:rPr>
                <w:rStyle w:val="74"/>
                <w:color w:val="auto"/>
                <w:sz w:val="21"/>
                <w:szCs w:val="21"/>
                <w:highlight w:val="none"/>
                <w:lang w:bidi="ar"/>
              </w:rPr>
              <w:t>、恒压输送模式：支持。</w:t>
            </w:r>
          </w:p>
          <w:p w14:paraId="58494CAD">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3.</w:t>
            </w:r>
            <w:r>
              <w:rPr>
                <w:rStyle w:val="74"/>
                <w:rFonts w:hint="eastAsia"/>
                <w:color w:val="auto"/>
                <w:sz w:val="21"/>
                <w:szCs w:val="21"/>
                <w:highlight w:val="none"/>
                <w:lang w:val="en-US" w:eastAsia="zh-CN" w:bidi="ar"/>
              </w:rPr>
              <w:t>8</w:t>
            </w:r>
            <w:r>
              <w:rPr>
                <w:rStyle w:val="74"/>
                <w:color w:val="auto"/>
                <w:sz w:val="21"/>
                <w:szCs w:val="21"/>
                <w:highlight w:val="none"/>
                <w:lang w:bidi="ar"/>
              </w:rPr>
              <w:t>、柱塞清洁机构：可装备自动清洗装置。</w:t>
            </w:r>
          </w:p>
          <w:p w14:paraId="2D0EE510">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3.</w:t>
            </w:r>
            <w:r>
              <w:rPr>
                <w:rStyle w:val="74"/>
                <w:rFonts w:hint="eastAsia"/>
                <w:color w:val="auto"/>
                <w:sz w:val="21"/>
                <w:szCs w:val="21"/>
                <w:highlight w:val="none"/>
                <w:lang w:val="en-US" w:eastAsia="zh-CN" w:bidi="ar"/>
              </w:rPr>
              <w:t>9</w:t>
            </w:r>
            <w:r>
              <w:rPr>
                <w:rStyle w:val="74"/>
                <w:color w:val="auto"/>
                <w:sz w:val="21"/>
                <w:szCs w:val="21"/>
                <w:highlight w:val="none"/>
                <w:lang w:bidi="ar"/>
              </w:rPr>
              <w:t>、安全机制：漏夜报警，高压/低压设限。</w:t>
            </w:r>
          </w:p>
          <w:p w14:paraId="1BDA6876">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4、双柱在线固相萃取（Online SPE）</w:t>
            </w:r>
          </w:p>
          <w:p w14:paraId="6C16F700">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4.1、配置最高耐压15000psi的超高压多通道切换阀，以适配HPLC或者UPLC系统，保证足够的流路切换；</w:t>
            </w:r>
          </w:p>
          <w:p w14:paraId="7A7A1839">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eastAsia="zh-CN" w:bidi="ar"/>
              </w:rPr>
              <w:t>▲</w:t>
            </w:r>
            <w:r>
              <w:rPr>
                <w:rStyle w:val="74"/>
                <w:color w:val="auto"/>
                <w:sz w:val="21"/>
                <w:szCs w:val="21"/>
                <w:highlight w:val="none"/>
                <w:lang w:bidi="ar"/>
              </w:rPr>
              <w:t>4.2、可同时装载两根SPE柱，两个流路、两根在线SPE柱平行运行，一个流路做清洗及柱平衡，另一流路进样检测，两根SPE柱可反复使用；（投标文件需提供两个流路截图证）；</w:t>
            </w:r>
          </w:p>
          <w:p w14:paraId="0FC1AC3C">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4.3、使用可再生的SPE柱，SPE柱前端安装过滤装置，保护SPE柱使用寿命，可根据所测试的样品自行选择不同填料的SPE柱进行串联，前端接有Filter，除去样品大粒径杂质，以适应不同检测项目的需要；</w:t>
            </w:r>
          </w:p>
          <w:p w14:paraId="3B9CA007">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eastAsia="zh-CN" w:bidi="ar"/>
              </w:rPr>
              <w:t>▲</w:t>
            </w:r>
            <w:r>
              <w:rPr>
                <w:rStyle w:val="74"/>
                <w:color w:val="auto"/>
                <w:sz w:val="21"/>
                <w:szCs w:val="21"/>
                <w:highlight w:val="none"/>
                <w:lang w:bidi="ar"/>
              </w:rPr>
              <w:t>4.4配备二阀门进样及切换驱动模块，通过软件控制进样和阀门的切换过程，实现二维在线固相萃取技术；</w:t>
            </w:r>
          </w:p>
          <w:p w14:paraId="5301D843">
            <w:pPr>
              <w:tabs>
                <w:tab w:val="left" w:pos="493"/>
              </w:tabs>
              <w:spacing w:line="280" w:lineRule="exact"/>
              <w:jc w:val="left"/>
              <w:rPr>
                <w:rStyle w:val="74"/>
                <w:rFonts w:hint="default"/>
                <w:color w:val="auto"/>
                <w:sz w:val="21"/>
                <w:szCs w:val="21"/>
                <w:lang w:bidi="ar"/>
              </w:rPr>
            </w:pPr>
            <w:r>
              <w:rPr>
                <w:rStyle w:val="74"/>
                <w:color w:val="auto"/>
                <w:sz w:val="21"/>
                <w:szCs w:val="21"/>
                <w:highlight w:val="none"/>
                <w:lang w:eastAsia="zh-CN" w:bidi="ar"/>
              </w:rPr>
              <w:t>▲</w:t>
            </w:r>
            <w:r>
              <w:rPr>
                <w:rStyle w:val="74"/>
                <w:color w:val="auto"/>
                <w:sz w:val="21"/>
                <w:szCs w:val="21"/>
                <w:highlight w:val="none"/>
                <w:lang w:bidi="ar"/>
              </w:rPr>
              <w:t>4.5 PFOA和PFOS两种全氟化合物标准曲线浓度0.5/1/5/10/50/100ng/L，相关系数R²&gt;0.995纯水加标，两种全氟化合物浓度为10ng/L，进样6次，PFOA和PFO</w:t>
            </w:r>
            <w:r>
              <w:rPr>
                <w:rStyle w:val="74"/>
                <w:color w:val="auto"/>
                <w:sz w:val="21"/>
                <w:szCs w:val="21"/>
                <w:lang w:bidi="ar"/>
              </w:rPr>
              <w:t>S的回收率在70-120%，RSD&lt;10%。</w:t>
            </w:r>
          </w:p>
          <w:p w14:paraId="09D5B5C0">
            <w:pPr>
              <w:tabs>
                <w:tab w:val="left" w:pos="493"/>
              </w:tabs>
              <w:spacing w:line="280" w:lineRule="exact"/>
              <w:jc w:val="left"/>
              <w:rPr>
                <w:rStyle w:val="74"/>
                <w:rFonts w:hint="default"/>
                <w:b/>
                <w:bCs/>
                <w:color w:val="auto"/>
                <w:sz w:val="21"/>
                <w:szCs w:val="21"/>
                <w:lang w:bidi="ar"/>
              </w:rPr>
            </w:pPr>
            <w:r>
              <w:rPr>
                <w:rStyle w:val="74"/>
                <w:b/>
                <w:bCs/>
                <w:color w:val="auto"/>
                <w:sz w:val="21"/>
                <w:szCs w:val="21"/>
                <w:lang w:bidi="ar"/>
              </w:rPr>
              <w:t>（三）、超高效液相色谱部分</w:t>
            </w:r>
          </w:p>
          <w:p w14:paraId="2CA128EC">
            <w:pPr>
              <w:tabs>
                <w:tab w:val="left" w:pos="493"/>
              </w:tabs>
              <w:spacing w:line="280" w:lineRule="exact"/>
              <w:jc w:val="left"/>
              <w:rPr>
                <w:rStyle w:val="74"/>
                <w:rFonts w:hint="default"/>
                <w:color w:val="auto"/>
                <w:sz w:val="21"/>
                <w:szCs w:val="21"/>
                <w:lang w:bidi="ar"/>
              </w:rPr>
            </w:pPr>
            <w:r>
              <w:rPr>
                <w:rStyle w:val="74"/>
                <w:color w:val="auto"/>
                <w:sz w:val="21"/>
                <w:szCs w:val="21"/>
                <w:lang w:bidi="ar"/>
              </w:rPr>
              <w:t>1、输液单元（二元高压梯度系统）</w:t>
            </w:r>
          </w:p>
          <w:p w14:paraId="5BCDC0AC">
            <w:pPr>
              <w:tabs>
                <w:tab w:val="left" w:pos="493"/>
              </w:tabs>
              <w:spacing w:line="280" w:lineRule="exact"/>
              <w:jc w:val="left"/>
              <w:rPr>
                <w:rStyle w:val="74"/>
                <w:rFonts w:hint="default"/>
                <w:color w:val="auto"/>
                <w:sz w:val="21"/>
                <w:szCs w:val="21"/>
                <w:lang w:bidi="ar"/>
              </w:rPr>
            </w:pPr>
            <w:r>
              <w:rPr>
                <w:rStyle w:val="74"/>
                <w:color w:val="auto"/>
                <w:sz w:val="21"/>
                <w:szCs w:val="21"/>
                <w:lang w:bidi="ar"/>
              </w:rPr>
              <w:t>1.1泵类型：二元高压梯度泵，两个泵头；</w:t>
            </w:r>
          </w:p>
          <w:p w14:paraId="005D2DBA">
            <w:pPr>
              <w:tabs>
                <w:tab w:val="left" w:pos="493"/>
              </w:tabs>
              <w:spacing w:line="280" w:lineRule="exact"/>
              <w:jc w:val="left"/>
              <w:rPr>
                <w:rStyle w:val="74"/>
                <w:rFonts w:hint="default"/>
                <w:color w:val="auto"/>
                <w:sz w:val="21"/>
                <w:szCs w:val="21"/>
                <w:lang w:bidi="ar"/>
              </w:rPr>
            </w:pPr>
            <w:r>
              <w:rPr>
                <w:rStyle w:val="74"/>
                <w:color w:val="auto"/>
                <w:sz w:val="21"/>
                <w:szCs w:val="21"/>
                <w:lang w:bidi="ar"/>
              </w:rPr>
              <w:t>1.2泵最大耐压：≥15000psi；</w:t>
            </w:r>
          </w:p>
          <w:p w14:paraId="68906B4D">
            <w:pPr>
              <w:tabs>
                <w:tab w:val="left" w:pos="493"/>
              </w:tabs>
              <w:spacing w:line="280" w:lineRule="exact"/>
              <w:jc w:val="left"/>
              <w:rPr>
                <w:rStyle w:val="74"/>
                <w:rFonts w:hint="default"/>
                <w:color w:val="auto"/>
                <w:sz w:val="21"/>
                <w:szCs w:val="21"/>
                <w:lang w:bidi="ar"/>
              </w:rPr>
            </w:pPr>
            <w:r>
              <w:rPr>
                <w:rStyle w:val="74"/>
                <w:color w:val="auto"/>
                <w:sz w:val="21"/>
                <w:szCs w:val="21"/>
                <w:lang w:bidi="ar"/>
              </w:rPr>
              <w:t>1.3泵最大分析流速不低于3ml/min，且3ml/min流速下可耐受压力不低于15000psi；</w:t>
            </w:r>
          </w:p>
          <w:p w14:paraId="3E264AEC">
            <w:pPr>
              <w:tabs>
                <w:tab w:val="left" w:pos="493"/>
              </w:tabs>
              <w:spacing w:line="280" w:lineRule="exact"/>
              <w:jc w:val="left"/>
              <w:rPr>
                <w:rStyle w:val="74"/>
                <w:rFonts w:hint="default"/>
                <w:color w:val="auto"/>
                <w:sz w:val="21"/>
                <w:szCs w:val="21"/>
                <w:lang w:bidi="ar"/>
              </w:rPr>
            </w:pPr>
            <w:r>
              <w:rPr>
                <w:rStyle w:val="74"/>
                <w:color w:val="auto"/>
                <w:sz w:val="21"/>
                <w:szCs w:val="21"/>
                <w:lang w:bidi="ar"/>
              </w:rPr>
              <w:t>1.4流速精确度：≤0.07%RSD；</w:t>
            </w:r>
          </w:p>
          <w:p w14:paraId="0783C9C3">
            <w:pPr>
              <w:tabs>
                <w:tab w:val="left" w:pos="493"/>
              </w:tabs>
              <w:spacing w:line="280" w:lineRule="exact"/>
              <w:jc w:val="left"/>
              <w:rPr>
                <w:rStyle w:val="74"/>
                <w:rFonts w:hint="default"/>
                <w:color w:val="auto"/>
                <w:sz w:val="21"/>
                <w:szCs w:val="21"/>
                <w:lang w:bidi="ar"/>
              </w:rPr>
            </w:pPr>
            <w:r>
              <w:rPr>
                <w:rStyle w:val="74"/>
                <w:color w:val="auto"/>
                <w:sz w:val="21"/>
                <w:szCs w:val="21"/>
                <w:lang w:bidi="ar"/>
              </w:rPr>
              <w:t>1.5梯度设置：0.0-100.0%，最小递增率为0.1%；</w:t>
            </w:r>
          </w:p>
          <w:p w14:paraId="54673905">
            <w:pPr>
              <w:tabs>
                <w:tab w:val="left" w:pos="493"/>
              </w:tabs>
              <w:spacing w:line="280" w:lineRule="exact"/>
              <w:jc w:val="left"/>
              <w:rPr>
                <w:rStyle w:val="74"/>
                <w:rFonts w:hint="default"/>
                <w:color w:val="auto"/>
                <w:sz w:val="21"/>
                <w:szCs w:val="21"/>
                <w:lang w:bidi="ar"/>
              </w:rPr>
            </w:pPr>
            <w:r>
              <w:rPr>
                <w:rStyle w:val="74"/>
                <w:color w:val="auto"/>
                <w:sz w:val="21"/>
                <w:szCs w:val="21"/>
                <w:lang w:bidi="ar"/>
              </w:rPr>
              <w:t>1.6梯度混合精度：±0.1%，不随反压变化；</w:t>
            </w:r>
          </w:p>
          <w:p w14:paraId="4C428205">
            <w:pPr>
              <w:tabs>
                <w:tab w:val="left" w:pos="493"/>
              </w:tabs>
              <w:spacing w:line="280" w:lineRule="exact"/>
              <w:jc w:val="left"/>
              <w:rPr>
                <w:rStyle w:val="74"/>
                <w:rFonts w:hint="default"/>
                <w:color w:val="auto"/>
                <w:sz w:val="21"/>
                <w:szCs w:val="21"/>
                <w:lang w:bidi="ar"/>
              </w:rPr>
            </w:pPr>
            <w:r>
              <w:rPr>
                <w:rStyle w:val="74"/>
                <w:color w:val="auto"/>
                <w:sz w:val="21"/>
                <w:szCs w:val="21"/>
                <w:lang w:bidi="ar"/>
              </w:rPr>
              <w:t>1.7在线脱气机：3路，流动相与针清洗溶液均脱气，能有效降低交叉污染。</w:t>
            </w:r>
          </w:p>
          <w:p w14:paraId="429A0AC5">
            <w:pPr>
              <w:tabs>
                <w:tab w:val="left" w:pos="493"/>
              </w:tabs>
              <w:spacing w:line="280" w:lineRule="exact"/>
              <w:jc w:val="left"/>
              <w:rPr>
                <w:rStyle w:val="74"/>
                <w:rFonts w:hint="default"/>
                <w:color w:val="auto"/>
                <w:sz w:val="21"/>
                <w:szCs w:val="21"/>
                <w:lang w:bidi="ar"/>
              </w:rPr>
            </w:pPr>
            <w:r>
              <w:rPr>
                <w:rStyle w:val="74"/>
                <w:color w:val="auto"/>
                <w:sz w:val="21"/>
                <w:szCs w:val="21"/>
                <w:lang w:bidi="ar"/>
              </w:rPr>
              <w:t>2柱温箱</w:t>
            </w:r>
          </w:p>
          <w:p w14:paraId="5E565E6F">
            <w:pPr>
              <w:tabs>
                <w:tab w:val="left" w:pos="493"/>
              </w:tabs>
              <w:spacing w:line="280" w:lineRule="exact"/>
              <w:jc w:val="left"/>
              <w:rPr>
                <w:rStyle w:val="74"/>
                <w:rFonts w:hint="default"/>
                <w:color w:val="auto"/>
                <w:sz w:val="21"/>
                <w:szCs w:val="21"/>
                <w:lang w:bidi="ar"/>
              </w:rPr>
            </w:pPr>
            <w:r>
              <w:rPr>
                <w:rStyle w:val="74"/>
                <w:color w:val="auto"/>
                <w:sz w:val="21"/>
                <w:szCs w:val="21"/>
                <w:lang w:bidi="ar"/>
              </w:rPr>
              <w:t>2.1温度设定范围:最低温度可达4℃，最高温度不低于100℃；</w:t>
            </w:r>
          </w:p>
          <w:p w14:paraId="00E21907">
            <w:pPr>
              <w:tabs>
                <w:tab w:val="left" w:pos="493"/>
              </w:tabs>
              <w:spacing w:line="280" w:lineRule="exact"/>
              <w:jc w:val="left"/>
              <w:rPr>
                <w:rStyle w:val="74"/>
                <w:rFonts w:hint="default"/>
                <w:color w:val="auto"/>
                <w:sz w:val="21"/>
                <w:szCs w:val="21"/>
                <w:lang w:bidi="ar"/>
              </w:rPr>
            </w:pPr>
            <w:r>
              <w:rPr>
                <w:rStyle w:val="74"/>
                <w:color w:val="auto"/>
                <w:sz w:val="21"/>
                <w:szCs w:val="21"/>
                <w:lang w:bidi="ar"/>
              </w:rPr>
              <w:t>2.2控温精度:±0.05℃。</w:t>
            </w:r>
          </w:p>
          <w:p w14:paraId="549BD542">
            <w:pPr>
              <w:tabs>
                <w:tab w:val="left" w:pos="493"/>
              </w:tabs>
              <w:spacing w:line="280" w:lineRule="exact"/>
              <w:jc w:val="left"/>
              <w:rPr>
                <w:rStyle w:val="74"/>
                <w:rFonts w:hint="default"/>
                <w:color w:val="auto"/>
                <w:sz w:val="21"/>
                <w:szCs w:val="21"/>
                <w:lang w:bidi="ar"/>
              </w:rPr>
            </w:pPr>
            <w:r>
              <w:rPr>
                <w:rStyle w:val="74"/>
                <w:color w:val="auto"/>
                <w:sz w:val="21"/>
                <w:szCs w:val="21"/>
                <w:lang w:bidi="ar"/>
              </w:rPr>
              <w:t>3 自动进样器：</w:t>
            </w:r>
          </w:p>
          <w:p w14:paraId="3C2E4DD4">
            <w:pPr>
              <w:tabs>
                <w:tab w:val="left" w:pos="493"/>
              </w:tabs>
              <w:spacing w:line="280" w:lineRule="exact"/>
              <w:jc w:val="left"/>
              <w:rPr>
                <w:rStyle w:val="74"/>
                <w:rFonts w:hint="default"/>
                <w:color w:val="auto"/>
                <w:sz w:val="21"/>
                <w:szCs w:val="21"/>
                <w:lang w:bidi="ar"/>
              </w:rPr>
            </w:pPr>
            <w:r>
              <w:rPr>
                <w:rStyle w:val="74"/>
                <w:color w:val="auto"/>
                <w:sz w:val="21"/>
                <w:szCs w:val="21"/>
                <w:lang w:bidi="ar"/>
              </w:rPr>
              <w:t>3.1进样范围：0.1-50.0uL；</w:t>
            </w:r>
          </w:p>
          <w:p w14:paraId="4BF021EE">
            <w:pPr>
              <w:tabs>
                <w:tab w:val="left" w:pos="493"/>
              </w:tabs>
              <w:spacing w:line="280" w:lineRule="exact"/>
              <w:jc w:val="left"/>
              <w:rPr>
                <w:rStyle w:val="74"/>
                <w:rFonts w:hint="default"/>
                <w:color w:val="auto"/>
                <w:sz w:val="21"/>
                <w:szCs w:val="21"/>
                <w:lang w:bidi="ar"/>
              </w:rPr>
            </w:pPr>
            <w:r>
              <w:rPr>
                <w:rStyle w:val="74"/>
                <w:color w:val="auto"/>
                <w:sz w:val="21"/>
                <w:szCs w:val="21"/>
                <w:lang w:bidi="ar"/>
              </w:rPr>
              <w:t>3.2样品容量：不低于96个2.0ml样品瓶位，并同时兼容96和384孔微孔板；</w:t>
            </w:r>
          </w:p>
          <w:p w14:paraId="5D62B47E">
            <w:pPr>
              <w:tabs>
                <w:tab w:val="left" w:pos="493"/>
              </w:tabs>
              <w:spacing w:line="280" w:lineRule="exact"/>
              <w:jc w:val="left"/>
              <w:rPr>
                <w:rStyle w:val="74"/>
                <w:rFonts w:hint="default"/>
                <w:color w:val="auto"/>
                <w:sz w:val="21"/>
                <w:szCs w:val="21"/>
                <w:lang w:bidi="ar"/>
              </w:rPr>
            </w:pPr>
            <w:r>
              <w:rPr>
                <w:rStyle w:val="74"/>
                <w:color w:val="auto"/>
                <w:sz w:val="21"/>
                <w:szCs w:val="21"/>
                <w:lang w:bidi="ar"/>
              </w:rPr>
              <w:t>3.3交叉污染：&lt;0.002%RSD（标准没有清洗的情况下）。</w:t>
            </w:r>
          </w:p>
          <w:p w14:paraId="1FE508FB">
            <w:pPr>
              <w:tabs>
                <w:tab w:val="left" w:pos="493"/>
              </w:tabs>
              <w:spacing w:line="280" w:lineRule="exact"/>
              <w:jc w:val="left"/>
              <w:rPr>
                <w:rStyle w:val="74"/>
                <w:rFonts w:hint="default"/>
                <w:b/>
                <w:bCs/>
                <w:color w:val="auto"/>
                <w:sz w:val="21"/>
                <w:szCs w:val="21"/>
                <w:lang w:bidi="ar"/>
              </w:rPr>
            </w:pPr>
            <w:r>
              <w:rPr>
                <w:rStyle w:val="74"/>
                <w:b/>
                <w:bCs/>
                <w:color w:val="auto"/>
                <w:sz w:val="21"/>
                <w:szCs w:val="21"/>
                <w:lang w:bidi="ar"/>
              </w:rPr>
              <w:t>（四）质谱部分</w:t>
            </w:r>
          </w:p>
          <w:p w14:paraId="27B700B7">
            <w:pPr>
              <w:tabs>
                <w:tab w:val="left" w:pos="493"/>
              </w:tabs>
              <w:spacing w:line="280" w:lineRule="exact"/>
              <w:jc w:val="left"/>
              <w:rPr>
                <w:rStyle w:val="74"/>
                <w:rFonts w:hint="default"/>
                <w:color w:val="auto"/>
                <w:sz w:val="21"/>
                <w:szCs w:val="21"/>
                <w:lang w:bidi="ar"/>
              </w:rPr>
            </w:pPr>
            <w:r>
              <w:rPr>
                <w:rStyle w:val="74"/>
                <w:color w:val="auto"/>
                <w:sz w:val="21"/>
                <w:szCs w:val="21"/>
                <w:lang w:bidi="ar"/>
              </w:rPr>
              <w:t>1离子源</w:t>
            </w:r>
          </w:p>
          <w:p w14:paraId="2F90E273">
            <w:pPr>
              <w:tabs>
                <w:tab w:val="left" w:pos="493"/>
              </w:tabs>
              <w:spacing w:line="280" w:lineRule="exact"/>
              <w:jc w:val="left"/>
              <w:rPr>
                <w:rStyle w:val="74"/>
                <w:rFonts w:hint="default"/>
                <w:color w:val="auto"/>
                <w:sz w:val="21"/>
                <w:szCs w:val="21"/>
                <w:lang w:bidi="ar"/>
              </w:rPr>
            </w:pPr>
            <w:r>
              <w:rPr>
                <w:rStyle w:val="74"/>
                <w:color w:val="auto"/>
                <w:sz w:val="21"/>
                <w:szCs w:val="21"/>
                <w:lang w:eastAsia="zh-CN" w:bidi="ar"/>
              </w:rPr>
              <w:t>▲</w:t>
            </w:r>
            <w:r>
              <w:rPr>
                <w:rStyle w:val="74"/>
                <w:color w:val="auto"/>
                <w:sz w:val="21"/>
                <w:szCs w:val="21"/>
                <w:lang w:bidi="ar"/>
              </w:rPr>
              <w:t>1.1配备独立的插拔式的电喷雾离子源（ESI）和大气压化学离子源（APCI），插拔式可</w:t>
            </w:r>
            <w:r>
              <w:rPr>
                <w:rStyle w:val="74"/>
                <w:color w:val="auto"/>
                <w:sz w:val="21"/>
                <w:szCs w:val="21"/>
                <w:highlight w:val="none"/>
                <w:lang w:bidi="ar"/>
              </w:rPr>
              <w:t>互换ESI及APCI喷针，ESI源及APCI源的快速更换非软件简单切换，无需切换电路和气路（提供证明文件）。</w:t>
            </w:r>
          </w:p>
          <w:p w14:paraId="19FC017C">
            <w:pPr>
              <w:tabs>
                <w:tab w:val="left" w:pos="493"/>
              </w:tabs>
              <w:spacing w:line="280" w:lineRule="exact"/>
              <w:jc w:val="left"/>
              <w:rPr>
                <w:rStyle w:val="74"/>
                <w:rFonts w:hint="default"/>
                <w:color w:val="auto"/>
                <w:sz w:val="21"/>
                <w:szCs w:val="21"/>
                <w:highlight w:val="none"/>
                <w:lang w:bidi="ar"/>
              </w:rPr>
            </w:pPr>
            <w:r>
              <w:rPr>
                <w:rStyle w:val="74"/>
                <w:color w:val="auto"/>
                <w:sz w:val="21"/>
                <w:szCs w:val="21"/>
                <w:lang w:eastAsia="zh-CN" w:bidi="ar"/>
              </w:rPr>
              <w:t>▲</w:t>
            </w:r>
            <w:r>
              <w:rPr>
                <w:rStyle w:val="74"/>
                <w:color w:val="auto"/>
                <w:sz w:val="21"/>
                <w:szCs w:val="21"/>
                <w:lang w:bidi="ar"/>
              </w:rPr>
              <w:t>1.2离子源流速范围：ESI离子源：无需分流，最大流速3mL/min；APCI离子源：无需分流，最大</w:t>
            </w:r>
            <w:r>
              <w:rPr>
                <w:rStyle w:val="74"/>
                <w:color w:val="auto"/>
                <w:sz w:val="21"/>
                <w:szCs w:val="21"/>
                <w:highlight w:val="none"/>
                <w:lang w:bidi="ar"/>
              </w:rPr>
              <w:t>流速3mL/min（提供制造商官方资料证明）。</w:t>
            </w:r>
          </w:p>
          <w:p w14:paraId="18E48139">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eastAsia="zh-CN" w:bidi="ar"/>
              </w:rPr>
              <w:t>▲</w:t>
            </w:r>
            <w:r>
              <w:rPr>
                <w:rStyle w:val="74"/>
                <w:color w:val="auto"/>
                <w:sz w:val="21"/>
                <w:szCs w:val="21"/>
                <w:highlight w:val="none"/>
                <w:lang w:bidi="ar"/>
              </w:rPr>
              <w:t>1.3辅助加热气温度可达720℃以上，且可根据化合物特点进行加热气温度的优化（提供公开发表的离子源加热气温度在700℃以上的应用文献）。</w:t>
            </w:r>
          </w:p>
          <w:p w14:paraId="0A1BFCA0">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eastAsia="zh-CN" w:bidi="ar"/>
              </w:rPr>
              <w:t>▲</w:t>
            </w:r>
            <w:r>
              <w:rPr>
                <w:rStyle w:val="74"/>
                <w:color w:val="auto"/>
                <w:sz w:val="21"/>
                <w:szCs w:val="21"/>
                <w:highlight w:val="none"/>
                <w:lang w:bidi="ar"/>
              </w:rPr>
              <w:t>1.4离子源接口（即离子导入系统）：采用锥孔设计，无毛细管结构（石英、金属或DL管），需在配置中标配原厂专用锥孔维护棉签100根；若离子传输通道有毛细管结构，需在配置中标配原厂备用毛细管（石英、金属或DL管，必须能实现快速正负切换）500根（需提供离子传输通道部分的结构图证明）</w:t>
            </w:r>
          </w:p>
          <w:p w14:paraId="05FCE11D">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1.5</w:t>
            </w:r>
            <w:r>
              <w:rPr>
                <w:rStyle w:val="74"/>
                <w:rFonts w:hint="eastAsia"/>
                <w:color w:val="auto"/>
                <w:sz w:val="21"/>
                <w:szCs w:val="21"/>
                <w:highlight w:val="none"/>
                <w:lang w:bidi="ar"/>
              </w:rPr>
              <w:t>离子源至少采用两路辅助加热雾化气，且具有主动排放废气装置带动离子源内溶剂气体排放。</w:t>
            </w:r>
          </w:p>
          <w:p w14:paraId="1F77697B">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1.6质量分析器：三重四极杆，无需控温。采用弹性系数小的陶瓷镀金材质，保证长时间的稳定性。</w:t>
            </w:r>
          </w:p>
          <w:p w14:paraId="62CD241B">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1.6.1离子引入：采用射频（RF）聚焦离子技术进行离子聚焦，确保最佳的离子聚焦效果和离子传输效率，有效消除“记忆效应”和“交叉污染”。</w:t>
            </w:r>
          </w:p>
          <w:p w14:paraId="097DD6BB">
            <w:pPr>
              <w:tabs>
                <w:tab w:val="left" w:pos="493"/>
              </w:tabs>
              <w:spacing w:line="280" w:lineRule="exact"/>
              <w:jc w:val="left"/>
              <w:rPr>
                <w:rStyle w:val="74"/>
                <w:rFonts w:hint="default"/>
                <w:color w:val="auto"/>
                <w:sz w:val="21"/>
                <w:szCs w:val="21"/>
                <w:lang w:bidi="ar"/>
              </w:rPr>
            </w:pPr>
            <w:r>
              <w:rPr>
                <w:rStyle w:val="74"/>
                <w:color w:val="auto"/>
                <w:sz w:val="21"/>
                <w:szCs w:val="21"/>
                <w:highlight w:val="none"/>
                <w:lang w:eastAsia="zh-CN" w:bidi="ar"/>
              </w:rPr>
              <w:t>▲</w:t>
            </w:r>
            <w:r>
              <w:rPr>
                <w:rStyle w:val="74"/>
                <w:color w:val="auto"/>
                <w:sz w:val="21"/>
                <w:szCs w:val="21"/>
                <w:highlight w:val="none"/>
                <w:lang w:bidi="ar"/>
              </w:rPr>
              <w:t>1.6.2碰撞室：采用120度或以上物理结构（非电场或磁场设计）弯曲碰撞</w:t>
            </w:r>
            <w:r>
              <w:rPr>
                <w:rStyle w:val="74"/>
                <w:color w:val="auto"/>
                <w:sz w:val="21"/>
                <w:szCs w:val="21"/>
                <w:lang w:bidi="ar"/>
              </w:rPr>
              <w:t>池（提供碰撞池结构证明文件）。</w:t>
            </w:r>
          </w:p>
          <w:p w14:paraId="59397D0E">
            <w:pPr>
              <w:tabs>
                <w:tab w:val="left" w:pos="493"/>
              </w:tabs>
              <w:spacing w:line="280" w:lineRule="exact"/>
              <w:jc w:val="left"/>
              <w:rPr>
                <w:rStyle w:val="74"/>
                <w:rFonts w:hint="default"/>
                <w:color w:val="auto"/>
                <w:sz w:val="21"/>
                <w:szCs w:val="21"/>
                <w:lang w:bidi="ar"/>
              </w:rPr>
            </w:pPr>
            <w:r>
              <w:rPr>
                <w:rStyle w:val="74"/>
                <w:color w:val="auto"/>
                <w:sz w:val="21"/>
                <w:szCs w:val="21"/>
                <w:lang w:eastAsia="zh-CN" w:bidi="ar"/>
              </w:rPr>
              <w:t>▲</w:t>
            </w:r>
            <w:r>
              <w:rPr>
                <w:rStyle w:val="74"/>
                <w:color w:val="auto"/>
                <w:sz w:val="21"/>
                <w:szCs w:val="21"/>
                <w:lang w:bidi="ar"/>
              </w:rPr>
              <w:t>1.6.3正负切换时间：不大于5ms（提供官网参数证明）。</w:t>
            </w:r>
          </w:p>
          <w:p w14:paraId="2A71BC53">
            <w:pPr>
              <w:tabs>
                <w:tab w:val="left" w:pos="493"/>
              </w:tabs>
              <w:spacing w:line="280" w:lineRule="exact"/>
              <w:jc w:val="left"/>
              <w:rPr>
                <w:rStyle w:val="74"/>
                <w:rFonts w:hint="default"/>
                <w:color w:val="auto"/>
                <w:sz w:val="21"/>
                <w:szCs w:val="21"/>
                <w:lang w:bidi="ar"/>
              </w:rPr>
            </w:pPr>
            <w:r>
              <w:rPr>
                <w:rStyle w:val="74"/>
                <w:color w:val="auto"/>
                <w:sz w:val="21"/>
                <w:szCs w:val="21"/>
                <w:lang w:eastAsia="zh-CN" w:bidi="ar"/>
              </w:rPr>
              <w:t>▲</w:t>
            </w:r>
            <w:r>
              <w:rPr>
                <w:rStyle w:val="74"/>
                <w:color w:val="auto"/>
                <w:sz w:val="21"/>
                <w:szCs w:val="21"/>
                <w:lang w:bidi="ar"/>
              </w:rPr>
              <w:t>1.6.4质量数范围:低质量端质量数可达6m/z以下，高质量端质量数不大于2000m/z</w:t>
            </w:r>
          </w:p>
          <w:p w14:paraId="5B9FC149">
            <w:pPr>
              <w:tabs>
                <w:tab w:val="left" w:pos="493"/>
              </w:tabs>
              <w:spacing w:line="280" w:lineRule="exact"/>
              <w:jc w:val="left"/>
              <w:rPr>
                <w:rStyle w:val="74"/>
                <w:rFonts w:hint="default"/>
                <w:color w:val="auto"/>
                <w:sz w:val="21"/>
                <w:szCs w:val="21"/>
                <w:lang w:bidi="ar"/>
              </w:rPr>
            </w:pPr>
            <w:r>
              <w:rPr>
                <w:rStyle w:val="74"/>
                <w:color w:val="auto"/>
                <w:sz w:val="21"/>
                <w:szCs w:val="21"/>
                <w:lang w:bidi="ar"/>
              </w:rPr>
              <w:t>1.6.5扫描速度：≥12000Da/s</w:t>
            </w:r>
          </w:p>
          <w:p w14:paraId="45A35760">
            <w:pPr>
              <w:tabs>
                <w:tab w:val="left" w:pos="493"/>
              </w:tabs>
              <w:spacing w:line="280" w:lineRule="exact"/>
              <w:jc w:val="left"/>
              <w:rPr>
                <w:rStyle w:val="74"/>
                <w:rFonts w:hint="default"/>
                <w:color w:val="auto"/>
                <w:sz w:val="21"/>
                <w:szCs w:val="21"/>
                <w:lang w:bidi="ar"/>
              </w:rPr>
            </w:pPr>
            <w:r>
              <w:rPr>
                <w:rStyle w:val="74"/>
                <w:color w:val="auto"/>
                <w:sz w:val="21"/>
                <w:szCs w:val="21"/>
                <w:lang w:bidi="ar"/>
              </w:rPr>
              <w:t>1.6.6质量稳定性：0.1Da/24小时</w:t>
            </w:r>
          </w:p>
          <w:p w14:paraId="76D1AE8F">
            <w:pPr>
              <w:tabs>
                <w:tab w:val="left" w:pos="493"/>
              </w:tabs>
              <w:spacing w:line="280" w:lineRule="exact"/>
              <w:jc w:val="left"/>
              <w:rPr>
                <w:rStyle w:val="74"/>
                <w:rFonts w:hint="default"/>
                <w:color w:val="auto"/>
                <w:sz w:val="21"/>
                <w:szCs w:val="21"/>
                <w:lang w:bidi="ar"/>
              </w:rPr>
            </w:pPr>
            <w:r>
              <w:rPr>
                <w:rStyle w:val="74"/>
                <w:color w:val="auto"/>
                <w:sz w:val="21"/>
                <w:szCs w:val="21"/>
                <w:lang w:bidi="ar"/>
              </w:rPr>
              <w:t>1.7扫描方式</w:t>
            </w:r>
          </w:p>
          <w:p w14:paraId="5014068C">
            <w:pPr>
              <w:tabs>
                <w:tab w:val="left" w:pos="493"/>
              </w:tabs>
              <w:spacing w:line="280" w:lineRule="exact"/>
              <w:jc w:val="left"/>
              <w:rPr>
                <w:rStyle w:val="74"/>
                <w:rFonts w:hint="default"/>
                <w:color w:val="auto"/>
                <w:sz w:val="21"/>
                <w:szCs w:val="21"/>
                <w:lang w:bidi="ar"/>
              </w:rPr>
            </w:pPr>
            <w:r>
              <w:rPr>
                <w:rStyle w:val="74"/>
                <w:color w:val="auto"/>
                <w:sz w:val="21"/>
                <w:szCs w:val="21"/>
                <w:lang w:bidi="ar"/>
              </w:rPr>
              <w:t>1.7.1具有母离子扫描，子离子扫描，中性丢失扫描，选择性离子扫描，多反应监测定量扫描等扫描方式。</w:t>
            </w:r>
          </w:p>
          <w:p w14:paraId="735771A3">
            <w:pPr>
              <w:tabs>
                <w:tab w:val="left" w:pos="493"/>
              </w:tabs>
              <w:spacing w:line="280" w:lineRule="exact"/>
              <w:jc w:val="left"/>
              <w:rPr>
                <w:rStyle w:val="74"/>
                <w:rFonts w:hint="default"/>
                <w:color w:val="auto"/>
                <w:sz w:val="21"/>
                <w:szCs w:val="21"/>
                <w:highlight w:val="none"/>
                <w:lang w:bidi="ar"/>
              </w:rPr>
            </w:pPr>
            <w:r>
              <w:rPr>
                <w:rStyle w:val="74"/>
                <w:color w:val="auto"/>
                <w:sz w:val="21"/>
                <w:szCs w:val="21"/>
                <w:lang w:bidi="ar"/>
              </w:rPr>
              <w:t>1.7.2实际定量分析，一般设置驻留时间为1ms。不分时间窗口，正、负切换同时检测，满足一次进样＞300对MRM分析（约15分钟），并且保持良好的重现性和定量准确性，避免分时间窗口带来的</w:t>
            </w:r>
            <w:r>
              <w:rPr>
                <w:rStyle w:val="74"/>
                <w:color w:val="auto"/>
                <w:sz w:val="21"/>
                <w:szCs w:val="21"/>
                <w:highlight w:val="none"/>
                <w:lang w:bidi="ar"/>
              </w:rPr>
              <w:t>因色谱条件变化引起的漏测漏检。</w:t>
            </w:r>
          </w:p>
          <w:p w14:paraId="05DF94C1">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eastAsia="zh-CN" w:bidi="ar"/>
              </w:rPr>
              <w:t>▲</w:t>
            </w:r>
            <w:r>
              <w:rPr>
                <w:rStyle w:val="74"/>
                <w:color w:val="auto"/>
                <w:sz w:val="21"/>
                <w:szCs w:val="21"/>
                <w:highlight w:val="none"/>
                <w:lang w:bidi="ar"/>
              </w:rPr>
              <w:t>1.8气源供应：仅需采用单独一台氮气发生器产生氮气或压缩空气作为雾化气和碰撞气，所需碰撞氮气纯度要求不高于99.5%，无需使用氦气或氩气，无需额外钢瓶或其他氮气纯化设备供气。（需提供设备场地准备文件予以证明）。</w:t>
            </w:r>
          </w:p>
          <w:p w14:paraId="375B0E29">
            <w:pPr>
              <w:tabs>
                <w:tab w:val="left" w:pos="493"/>
              </w:tabs>
              <w:spacing w:line="280" w:lineRule="exact"/>
              <w:jc w:val="left"/>
              <w:rPr>
                <w:rStyle w:val="74"/>
                <w:rFonts w:hint="default"/>
                <w:color w:val="auto"/>
                <w:sz w:val="21"/>
                <w:szCs w:val="21"/>
                <w:lang w:bidi="ar"/>
              </w:rPr>
            </w:pPr>
            <w:r>
              <w:rPr>
                <w:rStyle w:val="74"/>
                <w:color w:val="auto"/>
                <w:sz w:val="21"/>
                <w:szCs w:val="21"/>
                <w:highlight w:val="none"/>
                <w:lang w:bidi="ar"/>
              </w:rPr>
              <w:t>1.9 真空系统：特殊设计的抽溶剂大抽速机械泵和长寿命涡轮分子泵组合差分抽气</w:t>
            </w:r>
            <w:r>
              <w:rPr>
                <w:rStyle w:val="74"/>
                <w:color w:val="auto"/>
                <w:sz w:val="21"/>
                <w:szCs w:val="21"/>
                <w:lang w:bidi="ar"/>
              </w:rPr>
              <w:t>高真空系统，无需额外水冷却系统，具备自动断电保护功能。</w:t>
            </w:r>
          </w:p>
          <w:p w14:paraId="3819F3FD">
            <w:pPr>
              <w:tabs>
                <w:tab w:val="left" w:pos="493"/>
              </w:tabs>
              <w:spacing w:line="280" w:lineRule="exact"/>
              <w:jc w:val="left"/>
              <w:rPr>
                <w:rStyle w:val="74"/>
                <w:rFonts w:hint="default"/>
                <w:b/>
                <w:bCs/>
                <w:color w:val="auto"/>
                <w:sz w:val="21"/>
                <w:szCs w:val="21"/>
                <w:lang w:bidi="ar"/>
              </w:rPr>
            </w:pPr>
            <w:r>
              <w:rPr>
                <w:rStyle w:val="74"/>
                <w:b/>
                <w:bCs/>
                <w:color w:val="auto"/>
                <w:sz w:val="21"/>
                <w:szCs w:val="21"/>
                <w:lang w:bidi="ar"/>
              </w:rPr>
              <w:t>1.10 检测性能</w:t>
            </w:r>
          </w:p>
          <w:p w14:paraId="1205A83F">
            <w:pPr>
              <w:tabs>
                <w:tab w:val="left" w:pos="493"/>
              </w:tabs>
              <w:spacing w:line="280" w:lineRule="exact"/>
              <w:jc w:val="left"/>
              <w:rPr>
                <w:rStyle w:val="74"/>
                <w:rFonts w:hint="default"/>
                <w:color w:val="auto"/>
                <w:sz w:val="21"/>
                <w:szCs w:val="21"/>
                <w:lang w:bidi="ar"/>
              </w:rPr>
            </w:pPr>
            <w:r>
              <w:rPr>
                <w:rStyle w:val="74"/>
                <w:color w:val="auto"/>
                <w:sz w:val="21"/>
                <w:szCs w:val="21"/>
                <w:lang w:bidi="ar"/>
              </w:rPr>
              <w:t>1.10.1灵敏度和重现性：</w:t>
            </w:r>
          </w:p>
          <w:p w14:paraId="61E5EDF2">
            <w:pPr>
              <w:tabs>
                <w:tab w:val="left" w:pos="493"/>
              </w:tabs>
              <w:spacing w:line="280" w:lineRule="exact"/>
              <w:jc w:val="left"/>
              <w:rPr>
                <w:rStyle w:val="74"/>
                <w:rFonts w:hint="default"/>
                <w:color w:val="auto"/>
                <w:sz w:val="21"/>
                <w:szCs w:val="21"/>
                <w:lang w:bidi="ar"/>
              </w:rPr>
            </w:pPr>
            <w:r>
              <w:rPr>
                <w:rStyle w:val="74"/>
                <w:color w:val="auto"/>
                <w:sz w:val="21"/>
                <w:szCs w:val="21"/>
                <w:lang w:eastAsia="zh-CN" w:bidi="ar"/>
              </w:rPr>
              <w:t>▲</w:t>
            </w:r>
            <w:r>
              <w:rPr>
                <w:rStyle w:val="74"/>
                <w:color w:val="auto"/>
                <w:sz w:val="21"/>
                <w:szCs w:val="21"/>
                <w:lang w:bidi="ar"/>
              </w:rPr>
              <w:t>1.10.1.1 ESI正离子灵敏度：1pg利血平柱上进样，MRM分析测量m/z195（子离子）、m/z609（母离子），信噪比&gt;1,000,000:1,仪器检出限IDL（2fg）＜1.4fg（提供第三方检验机构检测报告）。</w:t>
            </w:r>
          </w:p>
          <w:p w14:paraId="379D0A83">
            <w:pPr>
              <w:tabs>
                <w:tab w:val="left" w:pos="493"/>
              </w:tabs>
              <w:spacing w:line="280" w:lineRule="exact"/>
              <w:jc w:val="left"/>
              <w:rPr>
                <w:rStyle w:val="74"/>
                <w:rFonts w:hint="default"/>
                <w:color w:val="auto"/>
                <w:sz w:val="21"/>
                <w:szCs w:val="21"/>
                <w:lang w:bidi="ar"/>
              </w:rPr>
            </w:pPr>
            <w:r>
              <w:rPr>
                <w:rStyle w:val="74"/>
                <w:color w:val="auto"/>
                <w:sz w:val="21"/>
                <w:szCs w:val="21"/>
                <w:lang w:eastAsia="zh-CN" w:bidi="ar"/>
              </w:rPr>
              <w:t>▲</w:t>
            </w:r>
            <w:r>
              <w:rPr>
                <w:rStyle w:val="74"/>
                <w:color w:val="auto"/>
                <w:sz w:val="21"/>
                <w:szCs w:val="21"/>
                <w:lang w:bidi="ar"/>
              </w:rPr>
              <w:t>1.10.1.2 ESI负离子灵敏度：1pg氯霉素柱上进样，MRM分析测量m/z152（子离子）、m/z321（母离子），信噪比&gt;1,000,000:1，仪器检出限IDL（2fg）＜1.4fg（提供第三方检验机构检测报告）。</w:t>
            </w:r>
          </w:p>
          <w:p w14:paraId="2DB53CD5">
            <w:pPr>
              <w:tabs>
                <w:tab w:val="left" w:pos="493"/>
              </w:tabs>
              <w:spacing w:line="280" w:lineRule="exact"/>
              <w:jc w:val="left"/>
              <w:rPr>
                <w:rStyle w:val="74"/>
                <w:rFonts w:hint="default"/>
                <w:color w:val="auto"/>
                <w:sz w:val="21"/>
                <w:szCs w:val="21"/>
                <w:highlight w:val="yellow"/>
                <w:lang w:bidi="ar"/>
              </w:rPr>
            </w:pPr>
            <w:r>
              <w:rPr>
                <w:rStyle w:val="74"/>
                <w:color w:val="auto"/>
                <w:sz w:val="21"/>
                <w:szCs w:val="21"/>
                <w:lang w:bidi="ar"/>
              </w:rPr>
              <w:t>1.10.1.3定量分析重现性：5ppb氧化胆固醇或0.5ppb利血平，连续6次进样RSD＜1%（要求提供谱图支持文件）</w:t>
            </w:r>
          </w:p>
          <w:p w14:paraId="6A1ABFE4">
            <w:pPr>
              <w:tabs>
                <w:tab w:val="left" w:pos="493"/>
              </w:tabs>
              <w:spacing w:line="280" w:lineRule="exact"/>
              <w:jc w:val="left"/>
              <w:rPr>
                <w:rStyle w:val="74"/>
                <w:rFonts w:hint="default"/>
                <w:color w:val="auto"/>
                <w:sz w:val="21"/>
                <w:szCs w:val="21"/>
                <w:lang w:bidi="ar"/>
              </w:rPr>
            </w:pPr>
            <w:r>
              <w:rPr>
                <w:rStyle w:val="74"/>
                <w:color w:val="auto"/>
                <w:sz w:val="21"/>
                <w:szCs w:val="21"/>
                <w:lang w:bidi="ar"/>
              </w:rPr>
              <w:t>1.10.2 MRM最小驻留时间：≤1ms，灵敏度不受驻留时间影响。</w:t>
            </w:r>
          </w:p>
          <w:p w14:paraId="0B89AEA4">
            <w:pPr>
              <w:tabs>
                <w:tab w:val="left" w:pos="493"/>
              </w:tabs>
              <w:spacing w:line="280" w:lineRule="exact"/>
              <w:jc w:val="left"/>
              <w:rPr>
                <w:rStyle w:val="74"/>
                <w:rFonts w:hint="default"/>
                <w:color w:val="auto"/>
                <w:sz w:val="21"/>
                <w:szCs w:val="21"/>
                <w:lang w:bidi="ar"/>
              </w:rPr>
            </w:pPr>
            <w:r>
              <w:rPr>
                <w:rStyle w:val="74"/>
                <w:color w:val="auto"/>
                <w:sz w:val="21"/>
                <w:szCs w:val="21"/>
                <w:lang w:bidi="ar"/>
              </w:rPr>
              <w:t>1.10.3 检测器类型：采用电子倍增器，能够满足长期大量脏样品定量分析的数据可靠性和重复性；且满足不需要切换检测器电压可以检测正、负离子的检测器，以保证5ms的正负模式切换速度，且不损失灵敏度。</w:t>
            </w:r>
          </w:p>
          <w:p w14:paraId="672561E4">
            <w:pPr>
              <w:tabs>
                <w:tab w:val="left" w:pos="493"/>
              </w:tabs>
              <w:spacing w:line="280" w:lineRule="exact"/>
              <w:jc w:val="left"/>
              <w:rPr>
                <w:rStyle w:val="74"/>
                <w:rFonts w:hint="default"/>
                <w:color w:val="auto"/>
                <w:sz w:val="21"/>
                <w:szCs w:val="21"/>
                <w:lang w:bidi="ar"/>
              </w:rPr>
            </w:pPr>
            <w:r>
              <w:rPr>
                <w:rStyle w:val="74"/>
                <w:color w:val="auto"/>
                <w:sz w:val="21"/>
                <w:szCs w:val="21"/>
                <w:lang w:eastAsia="zh-CN" w:bidi="ar"/>
              </w:rPr>
              <w:t>▲</w:t>
            </w:r>
            <w:r>
              <w:rPr>
                <w:rStyle w:val="74"/>
                <w:color w:val="auto"/>
                <w:sz w:val="21"/>
                <w:szCs w:val="21"/>
                <w:lang w:bidi="ar"/>
              </w:rPr>
              <w:t>1.11 新型全氟污染检测性能要求：</w:t>
            </w:r>
          </w:p>
          <w:p w14:paraId="5A52DF94">
            <w:pPr>
              <w:tabs>
                <w:tab w:val="left" w:pos="493"/>
              </w:tabs>
              <w:spacing w:line="280" w:lineRule="exact"/>
              <w:jc w:val="left"/>
              <w:rPr>
                <w:rStyle w:val="74"/>
                <w:rFonts w:hint="default"/>
                <w:color w:val="auto"/>
                <w:sz w:val="21"/>
                <w:szCs w:val="21"/>
                <w:lang w:bidi="ar"/>
              </w:rPr>
            </w:pPr>
            <w:r>
              <w:rPr>
                <w:rStyle w:val="74"/>
                <w:color w:val="auto"/>
                <w:sz w:val="21"/>
                <w:szCs w:val="21"/>
                <w:lang w:bidi="ar"/>
              </w:rPr>
              <w:t>（a）90fg PFBA标准物质（即3ppt或3ng/L，进样量≤30μl），柱上进样，MRM分析测量m/z212.9-168.9原始数据无平滑，信噪比（S/N）&gt;10：1（需要原始谱图材料证明）；</w:t>
            </w:r>
          </w:p>
          <w:p w14:paraId="5246AAE8">
            <w:pPr>
              <w:tabs>
                <w:tab w:val="left" w:pos="493"/>
              </w:tabs>
              <w:spacing w:line="280" w:lineRule="exact"/>
              <w:jc w:val="left"/>
              <w:rPr>
                <w:rStyle w:val="74"/>
                <w:rFonts w:hint="default"/>
                <w:color w:val="auto"/>
                <w:sz w:val="21"/>
                <w:szCs w:val="21"/>
                <w:lang w:bidi="ar"/>
              </w:rPr>
            </w:pPr>
            <w:r>
              <w:rPr>
                <w:rStyle w:val="74"/>
                <w:color w:val="auto"/>
                <w:sz w:val="21"/>
                <w:szCs w:val="21"/>
                <w:lang w:bidi="ar"/>
              </w:rPr>
              <w:t>（b）30fg PFOS标准物质（即1ppt或1ng/L，进样量≤30μl），柱上进样，MRM分析测量m/z 499.0-80.0原始数据无平滑，信噪比（S/N）&gt;10：1（需要原始谱图材料证明）；</w:t>
            </w:r>
          </w:p>
          <w:p w14:paraId="596A69AA">
            <w:pPr>
              <w:tabs>
                <w:tab w:val="left" w:pos="493"/>
              </w:tabs>
              <w:spacing w:line="280" w:lineRule="exact"/>
              <w:jc w:val="left"/>
              <w:rPr>
                <w:rStyle w:val="74"/>
                <w:rFonts w:hint="default"/>
                <w:color w:val="auto"/>
                <w:sz w:val="21"/>
                <w:szCs w:val="21"/>
                <w:highlight w:val="none"/>
                <w:lang w:bidi="ar"/>
              </w:rPr>
            </w:pPr>
            <w:r>
              <w:rPr>
                <w:rStyle w:val="74"/>
                <w:color w:val="auto"/>
                <w:sz w:val="21"/>
                <w:szCs w:val="21"/>
                <w:highlight w:val="none"/>
                <w:lang w:bidi="ar"/>
              </w:rPr>
              <w:t>（c）</w:t>
            </w:r>
            <w:r>
              <w:rPr>
                <w:rStyle w:val="74"/>
                <w:rFonts w:hint="eastAsia"/>
                <w:color w:val="auto"/>
                <w:sz w:val="21"/>
                <w:szCs w:val="21"/>
                <w:highlight w:val="none"/>
                <w:lang w:bidi="ar"/>
              </w:rPr>
              <w:t>0.2 pg Perfluoro-2-propoxypropanoic acid(全氟-2-丙氧基丙酸，新型全氟污染物)标准物质(0.1ng/mL,进样10uL)，柱上进样，MRM分析测量m/z329.9-169.0，信噪比（S/N）&gt;10:1。”</w:t>
            </w:r>
            <w:r>
              <w:rPr>
                <w:rStyle w:val="74"/>
                <w:color w:val="auto"/>
                <w:sz w:val="21"/>
                <w:szCs w:val="21"/>
                <w:highlight w:val="none"/>
                <w:lang w:bidi="ar"/>
              </w:rPr>
              <w:t>。</w:t>
            </w:r>
          </w:p>
          <w:p w14:paraId="67EB97FA">
            <w:pPr>
              <w:tabs>
                <w:tab w:val="left" w:pos="493"/>
              </w:tabs>
              <w:spacing w:line="280" w:lineRule="exact"/>
              <w:jc w:val="left"/>
              <w:rPr>
                <w:rStyle w:val="74"/>
                <w:rFonts w:hint="default"/>
                <w:b/>
                <w:bCs/>
                <w:color w:val="auto"/>
                <w:sz w:val="21"/>
                <w:szCs w:val="21"/>
                <w:lang w:bidi="ar"/>
              </w:rPr>
            </w:pPr>
            <w:r>
              <w:rPr>
                <w:rStyle w:val="74"/>
                <w:b/>
                <w:bCs/>
                <w:color w:val="auto"/>
                <w:sz w:val="21"/>
                <w:szCs w:val="21"/>
                <w:lang w:bidi="ar"/>
              </w:rPr>
              <w:t>1.12 软件部分</w:t>
            </w:r>
          </w:p>
          <w:p w14:paraId="359FB1D2">
            <w:pPr>
              <w:tabs>
                <w:tab w:val="left" w:pos="493"/>
              </w:tabs>
              <w:spacing w:line="280" w:lineRule="exact"/>
              <w:jc w:val="left"/>
              <w:rPr>
                <w:rStyle w:val="74"/>
                <w:rFonts w:hint="default"/>
                <w:color w:val="auto"/>
                <w:sz w:val="21"/>
                <w:szCs w:val="21"/>
                <w:lang w:bidi="ar"/>
              </w:rPr>
            </w:pPr>
            <w:r>
              <w:rPr>
                <w:rStyle w:val="74"/>
                <w:color w:val="auto"/>
                <w:sz w:val="21"/>
                <w:szCs w:val="21"/>
                <w:lang w:bidi="ar"/>
              </w:rPr>
              <w:t>1.12.1 原厂家生产质谱工作站软件适于 Microsoft windows操作系统环境，可单独控制液相部分和质谱部分。可以实现数据采集，数据分析，液相和质谱同步控制，在线监测，反馈显示和序列采集。自动识别色谱流出物的质谱图，定性分析和定量分析；有建立数据库功能，谱库检索功能。</w:t>
            </w:r>
          </w:p>
          <w:p w14:paraId="2D06E169">
            <w:pPr>
              <w:tabs>
                <w:tab w:val="left" w:pos="493"/>
              </w:tabs>
              <w:spacing w:line="280" w:lineRule="exact"/>
              <w:jc w:val="left"/>
              <w:rPr>
                <w:rStyle w:val="74"/>
                <w:rFonts w:hint="default"/>
                <w:color w:val="auto"/>
                <w:sz w:val="21"/>
                <w:szCs w:val="21"/>
                <w:lang w:bidi="ar"/>
              </w:rPr>
            </w:pPr>
            <w:r>
              <w:rPr>
                <w:rStyle w:val="74"/>
                <w:color w:val="auto"/>
                <w:sz w:val="21"/>
                <w:szCs w:val="21"/>
                <w:lang w:bidi="ar"/>
              </w:rPr>
              <w:t>1.12.2 配备智能MRM算法，根据每个MRM目标物的保留时间自动安排MRM分析，无需设置MRM采集时间窗口。</w:t>
            </w:r>
          </w:p>
          <w:p w14:paraId="2F89A8B5">
            <w:pPr>
              <w:tabs>
                <w:tab w:val="left" w:pos="493"/>
              </w:tabs>
              <w:spacing w:line="280" w:lineRule="exact"/>
              <w:jc w:val="left"/>
              <w:rPr>
                <w:rStyle w:val="74"/>
                <w:rFonts w:hint="default"/>
                <w:color w:val="auto"/>
                <w:sz w:val="21"/>
                <w:szCs w:val="21"/>
                <w:lang w:bidi="ar"/>
              </w:rPr>
            </w:pPr>
            <w:r>
              <w:rPr>
                <w:rStyle w:val="74"/>
                <w:color w:val="auto"/>
                <w:sz w:val="21"/>
                <w:szCs w:val="21"/>
                <w:lang w:bidi="ar"/>
              </w:rPr>
              <w:t>1.12.3 配备批处理数据定量软件，具备大规模处理数据的能力，可以在同一界面对成百上千个数据分析，并同一界面对每个需要分析的化合物进行分析。采用工业标准的MQ4算法或Signal FinderTM算法，提供可靠的积分，减少积分误差。具有审计追踪功能。</w:t>
            </w:r>
          </w:p>
          <w:p w14:paraId="6AF3DB40">
            <w:pPr>
              <w:tabs>
                <w:tab w:val="left" w:pos="493"/>
              </w:tabs>
              <w:spacing w:line="280" w:lineRule="exact"/>
              <w:jc w:val="left"/>
              <w:rPr>
                <w:rStyle w:val="74"/>
                <w:rFonts w:hint="default"/>
                <w:color w:val="auto"/>
                <w:sz w:val="21"/>
                <w:szCs w:val="21"/>
                <w:lang w:bidi="ar"/>
              </w:rPr>
            </w:pPr>
            <w:r>
              <w:rPr>
                <w:rStyle w:val="74"/>
                <w:color w:val="auto"/>
                <w:sz w:val="21"/>
                <w:szCs w:val="21"/>
                <w:lang w:eastAsia="zh-CN" w:bidi="ar"/>
              </w:rPr>
              <w:t>▲</w:t>
            </w:r>
            <w:r>
              <w:rPr>
                <w:rStyle w:val="74"/>
                <w:color w:val="auto"/>
                <w:sz w:val="21"/>
                <w:szCs w:val="21"/>
                <w:lang w:bidi="ar"/>
              </w:rPr>
              <w:t>1.12.4 要求质谱工作站软件除可控制质谱仪外，也可直接控制市面主流液相色谱，包括不限于Agilent公司1290型、Shimadzu公司LC40型、上海爱博才思公司ExionLC型、Waters公司I-class型等，以方便未来实验室的仪器资源整合（非网络版，提供软件控制界面截图）。</w:t>
            </w:r>
          </w:p>
        </w:tc>
        <w:tc>
          <w:tcPr>
            <w:tcW w:w="211" w:type="pct"/>
            <w:tcBorders>
              <w:top w:val="single" w:color="000000" w:sz="4" w:space="0"/>
              <w:left w:val="nil"/>
              <w:bottom w:val="single" w:color="000000" w:sz="4" w:space="0"/>
              <w:right w:val="single" w:color="000000" w:sz="4" w:space="0"/>
            </w:tcBorders>
            <w:noWrap/>
            <w:vAlign w:val="center"/>
          </w:tcPr>
          <w:p w14:paraId="0B95F9DF">
            <w:pPr>
              <w:widowControl/>
              <w:autoSpaceDE w:val="0"/>
              <w:spacing w:line="280" w:lineRule="exact"/>
              <w:jc w:val="center"/>
              <w:textAlignment w:val="center"/>
              <w:rPr>
                <w:rStyle w:val="74"/>
                <w:rFonts w:hint="default"/>
                <w:color w:val="auto"/>
                <w:sz w:val="21"/>
                <w:szCs w:val="21"/>
                <w:lang w:bidi="ar"/>
              </w:rPr>
            </w:pPr>
            <w:r>
              <w:rPr>
                <w:rStyle w:val="74"/>
                <w:color w:val="auto"/>
                <w:sz w:val="21"/>
                <w:szCs w:val="21"/>
                <w:lang w:bidi="ar"/>
              </w:rPr>
              <w:t>1</w:t>
            </w:r>
          </w:p>
        </w:tc>
        <w:tc>
          <w:tcPr>
            <w:tcW w:w="163" w:type="pct"/>
            <w:tcBorders>
              <w:top w:val="single" w:color="000000" w:sz="4" w:space="0"/>
              <w:left w:val="nil"/>
              <w:bottom w:val="single" w:color="000000" w:sz="4" w:space="0"/>
              <w:right w:val="single" w:color="000000" w:sz="4" w:space="0"/>
            </w:tcBorders>
            <w:noWrap/>
            <w:vAlign w:val="center"/>
          </w:tcPr>
          <w:p w14:paraId="307F104D">
            <w:pPr>
              <w:widowControl/>
              <w:autoSpaceDE w:val="0"/>
              <w:spacing w:line="280" w:lineRule="exact"/>
              <w:jc w:val="center"/>
              <w:textAlignment w:val="center"/>
              <w:rPr>
                <w:rStyle w:val="74"/>
                <w:rFonts w:hint="default"/>
                <w:color w:val="auto"/>
                <w:sz w:val="21"/>
                <w:szCs w:val="21"/>
                <w:lang w:bidi="ar"/>
              </w:rPr>
            </w:pPr>
            <w:r>
              <w:rPr>
                <w:rStyle w:val="74"/>
                <w:color w:val="auto"/>
                <w:sz w:val="21"/>
                <w:szCs w:val="21"/>
                <w:lang w:bidi="ar"/>
              </w:rPr>
              <w:t>套</w:t>
            </w:r>
          </w:p>
        </w:tc>
        <w:tc>
          <w:tcPr>
            <w:tcW w:w="529" w:type="pct"/>
            <w:tcBorders>
              <w:top w:val="single" w:color="000000" w:sz="4" w:space="0"/>
              <w:left w:val="nil"/>
              <w:bottom w:val="single" w:color="000000" w:sz="4" w:space="0"/>
              <w:right w:val="single" w:color="000000" w:sz="4" w:space="0"/>
            </w:tcBorders>
            <w:noWrap/>
            <w:vAlign w:val="center"/>
          </w:tcPr>
          <w:p w14:paraId="7E4D3716">
            <w:pPr>
              <w:widowControl/>
              <w:spacing w:line="280" w:lineRule="exact"/>
              <w:jc w:val="center"/>
              <w:textAlignment w:val="center"/>
              <w:rPr>
                <w:rStyle w:val="74"/>
                <w:rFonts w:hint="default"/>
                <w:color w:val="auto"/>
                <w:sz w:val="21"/>
                <w:szCs w:val="21"/>
                <w:lang w:bidi="ar"/>
              </w:rPr>
            </w:pPr>
            <w:r>
              <w:rPr>
                <w:rStyle w:val="74"/>
                <w:color w:val="auto"/>
                <w:sz w:val="21"/>
                <w:szCs w:val="21"/>
                <w:lang w:bidi="ar"/>
              </w:rPr>
              <w:t>3550000.00</w:t>
            </w:r>
          </w:p>
        </w:tc>
        <w:tc>
          <w:tcPr>
            <w:tcW w:w="275" w:type="pct"/>
            <w:tcBorders>
              <w:top w:val="single" w:color="000000" w:sz="4" w:space="0"/>
              <w:left w:val="nil"/>
              <w:bottom w:val="single" w:color="000000" w:sz="4" w:space="0"/>
              <w:right w:val="single" w:color="000000" w:sz="4" w:space="0"/>
            </w:tcBorders>
            <w:noWrap/>
            <w:vAlign w:val="center"/>
          </w:tcPr>
          <w:p w14:paraId="1E01852C">
            <w:pPr>
              <w:autoSpaceDE w:val="0"/>
              <w:spacing w:line="280" w:lineRule="exact"/>
              <w:jc w:val="center"/>
              <w:rPr>
                <w:rStyle w:val="74"/>
                <w:rFonts w:hint="default"/>
                <w:color w:val="auto"/>
                <w:sz w:val="21"/>
                <w:szCs w:val="21"/>
                <w:lang w:bidi="ar"/>
              </w:rPr>
            </w:pPr>
          </w:p>
        </w:tc>
      </w:tr>
    </w:tbl>
    <w:p w14:paraId="59D85D79">
      <w:pPr>
        <w:widowControl/>
        <w:spacing w:line="420" w:lineRule="exact"/>
        <w:ind w:firstLine="482" w:firstLineChars="200"/>
        <w:jc w:val="left"/>
        <w:rPr>
          <w:rFonts w:hint="eastAsia" w:ascii="宋体" w:hAnsi="宋体" w:cs="宋体"/>
          <w:b/>
          <w:color w:val="auto"/>
          <w:kern w:val="0"/>
          <w:sz w:val="24"/>
          <w:lang w:bidi="ar"/>
        </w:rPr>
        <w:sectPr>
          <w:pgSz w:w="16838" w:h="11906" w:orient="landscape"/>
          <w:pgMar w:top="1080" w:right="1440" w:bottom="1080" w:left="1440" w:header="851" w:footer="992" w:gutter="0"/>
          <w:pgBorders>
            <w:top w:val="none" w:sz="0" w:space="0"/>
            <w:left w:val="none" w:sz="0" w:space="0"/>
            <w:bottom w:val="none" w:sz="0" w:space="0"/>
            <w:right w:val="none" w:sz="0" w:space="0"/>
          </w:pgBorders>
          <w:pgNumType w:fmt="decimal"/>
          <w:cols w:space="0" w:num="1"/>
          <w:docGrid w:type="lines" w:linePitch="312" w:charSpace="0"/>
        </w:sectPr>
      </w:pPr>
    </w:p>
    <w:p w14:paraId="79331D5B">
      <w:pPr>
        <w:widowControl/>
        <w:spacing w:line="420" w:lineRule="exact"/>
        <w:ind w:firstLine="482" w:firstLineChars="200"/>
        <w:jc w:val="left"/>
        <w:rPr>
          <w:rFonts w:ascii="Arial" w:hAnsi="Arial" w:cs="Arial"/>
          <w:b/>
          <w:color w:val="auto"/>
          <w:kern w:val="0"/>
          <w:sz w:val="24"/>
        </w:rPr>
      </w:pPr>
      <w:r>
        <w:rPr>
          <w:rFonts w:hint="eastAsia" w:ascii="宋体" w:hAnsi="宋体" w:cs="宋体"/>
          <w:b/>
          <w:color w:val="auto"/>
          <w:kern w:val="0"/>
          <w:sz w:val="24"/>
          <w:lang w:bidi="ar"/>
        </w:rPr>
        <w:t>（四）采购标的的数量、采购项目交付或者实施的时间和地点；</w:t>
      </w:r>
    </w:p>
    <w:p w14:paraId="37959831">
      <w:pPr>
        <w:snapToGrid w:val="0"/>
        <w:spacing w:line="420" w:lineRule="exact"/>
        <w:ind w:firstLine="482" w:firstLineChars="200"/>
        <w:contextualSpacing/>
        <w:rPr>
          <w:rFonts w:hint="eastAsia" w:ascii="宋体" w:hAnsi="宋体" w:cs="宋体"/>
          <w:color w:val="auto"/>
          <w:kern w:val="0"/>
          <w:sz w:val="24"/>
          <w:highlight w:val="none"/>
        </w:rPr>
      </w:pPr>
      <w:r>
        <w:rPr>
          <w:rFonts w:hint="eastAsia" w:ascii="宋体" w:hAnsi="宋体" w:cs="宋体"/>
          <w:b/>
          <w:color w:val="auto"/>
          <w:kern w:val="0"/>
          <w:sz w:val="24"/>
          <w:highlight w:val="none"/>
          <w:lang w:bidi="ar"/>
        </w:rPr>
        <w:t>1.采购标的数量：</w:t>
      </w:r>
      <w:r>
        <w:rPr>
          <w:rFonts w:hint="eastAsia" w:ascii="宋体" w:hAnsi="宋体" w:cs="宋体"/>
          <w:color w:val="auto"/>
          <w:sz w:val="24"/>
          <w:szCs w:val="24"/>
          <w:highlight w:val="none"/>
          <w:lang w:eastAsia="zh-CN"/>
        </w:rPr>
        <w:t>超高效液相色谱三重四级杆质谱联用仪</w:t>
      </w:r>
      <w:r>
        <w:rPr>
          <w:rFonts w:hint="eastAsia" w:ascii="宋体" w:hAnsi="宋体" w:cs="宋体"/>
          <w:color w:val="auto"/>
          <w:kern w:val="0"/>
          <w:sz w:val="24"/>
          <w:highlight w:val="none"/>
          <w:lang w:val="en-US" w:eastAsia="zh-CN" w:bidi="ar"/>
        </w:rPr>
        <w:t>1套</w:t>
      </w:r>
      <w:r>
        <w:rPr>
          <w:rFonts w:hint="eastAsia" w:ascii="宋体" w:hAnsi="宋体" w:cs="宋体"/>
          <w:color w:val="auto"/>
          <w:kern w:val="0"/>
          <w:sz w:val="24"/>
          <w:highlight w:val="none"/>
          <w:lang w:bidi="ar"/>
        </w:rPr>
        <w:t>；</w:t>
      </w:r>
    </w:p>
    <w:p w14:paraId="6800632C">
      <w:pPr>
        <w:snapToGrid w:val="0"/>
        <w:spacing w:line="420" w:lineRule="exact"/>
        <w:ind w:firstLine="482" w:firstLineChars="200"/>
        <w:contextualSpacing/>
        <w:rPr>
          <w:rFonts w:hint="eastAsia" w:ascii="宋体" w:hAnsi="宋体" w:cs="宋体"/>
          <w:color w:val="auto"/>
          <w:kern w:val="0"/>
          <w:sz w:val="24"/>
          <w:highlight w:val="none"/>
        </w:rPr>
      </w:pPr>
      <w:r>
        <w:rPr>
          <w:rFonts w:hint="eastAsia" w:ascii="宋体" w:hAnsi="宋体" w:cs="宋体"/>
          <w:b/>
          <w:color w:val="auto"/>
          <w:kern w:val="0"/>
          <w:sz w:val="24"/>
          <w:highlight w:val="none"/>
          <w:lang w:bidi="ar"/>
        </w:rPr>
        <w:t>2.实施时间：</w:t>
      </w:r>
      <w:r>
        <w:rPr>
          <w:rFonts w:hint="eastAsia" w:ascii="宋体" w:hAnsi="宋体" w:cs="宋体"/>
          <w:bCs/>
          <w:color w:val="auto"/>
          <w:kern w:val="0"/>
          <w:sz w:val="24"/>
          <w:highlight w:val="none"/>
          <w:lang w:bidi="ar"/>
        </w:rPr>
        <w:t>202</w:t>
      </w:r>
      <w:r>
        <w:rPr>
          <w:rFonts w:hint="eastAsia" w:ascii="宋体" w:hAnsi="宋体" w:cs="宋体"/>
          <w:bCs/>
          <w:color w:val="auto"/>
          <w:kern w:val="0"/>
          <w:sz w:val="24"/>
          <w:highlight w:val="none"/>
          <w:lang w:val="en-US" w:eastAsia="zh-CN" w:bidi="ar"/>
        </w:rPr>
        <w:t>5</w:t>
      </w:r>
      <w:r>
        <w:rPr>
          <w:rFonts w:hint="eastAsia" w:ascii="宋体" w:hAnsi="宋体" w:cs="宋体"/>
          <w:bCs/>
          <w:color w:val="auto"/>
          <w:kern w:val="0"/>
          <w:sz w:val="24"/>
          <w:highlight w:val="none"/>
          <w:lang w:bidi="ar"/>
        </w:rPr>
        <w:t>年；</w:t>
      </w:r>
    </w:p>
    <w:p w14:paraId="55142BE7">
      <w:pPr>
        <w:snapToGrid w:val="0"/>
        <w:spacing w:line="420" w:lineRule="exact"/>
        <w:ind w:firstLine="482" w:firstLineChars="200"/>
        <w:contextualSpacing/>
        <w:rPr>
          <w:rFonts w:hint="eastAsia" w:ascii="宋体" w:hAnsi="宋体" w:cs="宋体"/>
          <w:bCs/>
          <w:color w:val="auto"/>
          <w:kern w:val="0"/>
          <w:sz w:val="24"/>
          <w:highlight w:val="none"/>
        </w:rPr>
      </w:pPr>
      <w:r>
        <w:rPr>
          <w:rFonts w:hint="eastAsia" w:ascii="宋体" w:hAnsi="宋体" w:cs="宋体"/>
          <w:b/>
          <w:color w:val="auto"/>
          <w:kern w:val="0"/>
          <w:sz w:val="24"/>
          <w:highlight w:val="none"/>
          <w:lang w:bidi="ar"/>
        </w:rPr>
        <w:t>3.实施的地点：</w:t>
      </w:r>
      <w:r>
        <w:rPr>
          <w:rFonts w:hint="eastAsia" w:ascii="宋体" w:hAnsi="宋体" w:cs="宋体"/>
          <w:b w:val="0"/>
          <w:bCs/>
          <w:color w:val="auto"/>
          <w:kern w:val="0"/>
          <w:sz w:val="24"/>
          <w:highlight w:val="none"/>
          <w:lang w:val="en-US" w:eastAsia="zh-CN" w:bidi="ar"/>
        </w:rPr>
        <w:t>云南省昆明市</w:t>
      </w:r>
    </w:p>
    <w:p w14:paraId="68487EDE">
      <w:pPr>
        <w:widowControl/>
        <w:spacing w:line="420" w:lineRule="exact"/>
        <w:ind w:firstLine="482" w:firstLineChars="200"/>
        <w:jc w:val="left"/>
        <w:rPr>
          <w:rFonts w:hint="eastAsia" w:ascii="Arial" w:hAnsi="Arial" w:cs="Arial"/>
          <w:b/>
          <w:color w:val="auto"/>
          <w:kern w:val="0"/>
          <w:sz w:val="24"/>
        </w:rPr>
      </w:pPr>
      <w:r>
        <w:rPr>
          <w:rFonts w:hint="eastAsia" w:ascii="宋体" w:hAnsi="宋体" w:cs="宋体"/>
          <w:b/>
          <w:color w:val="auto"/>
          <w:kern w:val="0"/>
          <w:sz w:val="24"/>
          <w:highlight w:val="none"/>
          <w:lang w:bidi="ar"/>
        </w:rPr>
        <w:t>4.交货期：</w:t>
      </w:r>
      <w:r>
        <w:rPr>
          <w:rFonts w:hint="eastAsia" w:ascii="宋体" w:hAnsi="宋体" w:cs="宋体"/>
          <w:bCs/>
          <w:color w:val="auto"/>
          <w:kern w:val="0"/>
          <w:sz w:val="24"/>
          <w:highlight w:val="none"/>
          <w:lang w:bidi="ar"/>
        </w:rPr>
        <w:t>合同签订生效后</w:t>
      </w:r>
      <w:r>
        <w:rPr>
          <w:rFonts w:hint="eastAsia" w:ascii="宋体" w:hAnsi="宋体" w:cs="宋体"/>
          <w:color w:val="auto"/>
          <w:kern w:val="0"/>
          <w:sz w:val="24"/>
          <w:highlight w:val="none"/>
          <w:lang w:val="en-US" w:eastAsia="zh-CN" w:bidi="ar"/>
        </w:rPr>
        <w:t>45</w:t>
      </w:r>
      <w:r>
        <w:rPr>
          <w:rFonts w:hint="eastAsia" w:ascii="宋体" w:hAnsi="宋体" w:cs="宋体"/>
          <w:bCs/>
          <w:color w:val="auto"/>
          <w:kern w:val="0"/>
          <w:sz w:val="24"/>
          <w:highlight w:val="none"/>
          <w:lang w:bidi="ar"/>
        </w:rPr>
        <w:t>日历天内完成供货及安装调试并交付使用</w:t>
      </w:r>
      <w:r>
        <w:rPr>
          <w:rFonts w:hint="eastAsia" w:ascii="宋体" w:hAnsi="宋体" w:cs="宋体"/>
          <w:bCs/>
          <w:color w:val="auto"/>
          <w:kern w:val="0"/>
          <w:sz w:val="24"/>
          <w:lang w:bidi="ar"/>
        </w:rPr>
        <w:t>。</w:t>
      </w:r>
    </w:p>
    <w:p w14:paraId="12DD6585">
      <w:pPr>
        <w:widowControl/>
        <w:spacing w:line="420" w:lineRule="exact"/>
        <w:ind w:firstLine="482" w:firstLineChars="200"/>
        <w:jc w:val="left"/>
        <w:rPr>
          <w:rFonts w:ascii="Arial" w:hAnsi="Arial" w:cs="Arial"/>
          <w:b/>
          <w:color w:val="auto"/>
          <w:kern w:val="0"/>
          <w:sz w:val="24"/>
        </w:rPr>
      </w:pPr>
      <w:r>
        <w:rPr>
          <w:rFonts w:hint="eastAsia" w:ascii="宋体" w:hAnsi="宋体" w:cs="宋体"/>
          <w:b/>
          <w:color w:val="auto"/>
          <w:kern w:val="0"/>
          <w:sz w:val="24"/>
          <w:lang w:bidi="ar"/>
        </w:rPr>
        <w:t>（五）采购标的需满足的服务标准、期限、效率等要求；</w:t>
      </w:r>
    </w:p>
    <w:p w14:paraId="08FD7B5A">
      <w:pPr>
        <w:spacing w:line="420" w:lineRule="exact"/>
        <w:ind w:firstLine="480" w:firstLineChars="200"/>
        <w:rPr>
          <w:rFonts w:hint="eastAsia" w:ascii="宋体" w:hAnsi="宋体" w:cs="宋体"/>
          <w:color w:val="auto"/>
          <w:kern w:val="0"/>
          <w:sz w:val="24"/>
          <w:highlight w:val="yellow"/>
        </w:rPr>
      </w:pPr>
      <w:r>
        <w:rPr>
          <w:rFonts w:hint="eastAsia" w:ascii="宋体" w:hAnsi="宋体" w:cs="宋体"/>
          <w:color w:val="auto"/>
          <w:kern w:val="0"/>
          <w:sz w:val="24"/>
          <w:highlight w:val="none"/>
          <w:lang w:bidi="ar"/>
        </w:rPr>
        <w:t>1.服务标准：质保期内，乙方对货品非人为损坏提供全免费保修或免费更换；质保期满后，收取维修成本费（自然灾害及人为故意损坏除外），安装调试验收合格之日起整</w:t>
      </w:r>
      <w:r>
        <w:rPr>
          <w:rFonts w:hint="eastAsia" w:ascii="宋体" w:hAnsi="宋体" w:cs="宋体"/>
          <w:color w:val="auto"/>
          <w:kern w:val="0"/>
          <w:sz w:val="24"/>
          <w:highlight w:val="none"/>
          <w:lang w:val="en-US" w:eastAsia="zh-CN" w:bidi="ar"/>
        </w:rPr>
        <w:t>套</w:t>
      </w:r>
      <w:r>
        <w:rPr>
          <w:rFonts w:hint="eastAsia" w:ascii="宋体" w:hAnsi="宋体" w:cs="宋体"/>
          <w:color w:val="auto"/>
          <w:kern w:val="0"/>
          <w:sz w:val="24"/>
          <w:highlight w:val="none"/>
          <w:lang w:bidi="ar"/>
        </w:rPr>
        <w:t>设备至少免费保修</w:t>
      </w:r>
      <w:r>
        <w:rPr>
          <w:rFonts w:hint="eastAsia" w:ascii="宋体" w:hAnsi="宋体" w:cs="宋体"/>
          <w:b/>
          <w:bCs/>
          <w:color w:val="auto"/>
          <w:kern w:val="0"/>
          <w:sz w:val="24"/>
          <w:highlight w:val="none"/>
          <w:lang w:val="en-US" w:eastAsia="zh-CN" w:bidi="ar"/>
        </w:rPr>
        <w:t>2</w:t>
      </w:r>
      <w:r>
        <w:rPr>
          <w:rFonts w:hint="eastAsia" w:ascii="宋体" w:hAnsi="宋体" w:cs="宋体"/>
          <w:color w:val="auto"/>
          <w:kern w:val="0"/>
          <w:sz w:val="24"/>
          <w:highlight w:val="none"/>
          <w:lang w:bidi="ar"/>
        </w:rPr>
        <w:t>年（包括整</w:t>
      </w:r>
      <w:r>
        <w:rPr>
          <w:rFonts w:hint="eastAsia" w:ascii="宋体" w:hAnsi="宋体" w:cs="宋体"/>
          <w:color w:val="auto"/>
          <w:kern w:val="0"/>
          <w:sz w:val="24"/>
          <w:highlight w:val="none"/>
          <w:lang w:val="en-US" w:eastAsia="zh-CN" w:bidi="ar"/>
        </w:rPr>
        <w:t>套</w:t>
      </w:r>
      <w:r>
        <w:rPr>
          <w:rFonts w:hint="eastAsia" w:ascii="宋体" w:hAnsi="宋体" w:cs="宋体"/>
          <w:color w:val="auto"/>
          <w:kern w:val="0"/>
          <w:sz w:val="24"/>
          <w:highlight w:val="none"/>
          <w:lang w:bidi="ar"/>
        </w:rPr>
        <w:t>设备及配件免费更换）。</w:t>
      </w:r>
    </w:p>
    <w:p w14:paraId="22B8A099">
      <w:pPr>
        <w:spacing w:line="420" w:lineRule="exact"/>
        <w:ind w:firstLine="480" w:firstLineChars="200"/>
        <w:rPr>
          <w:rFonts w:hint="eastAsia" w:ascii="宋体" w:hAnsi="宋体" w:cs="宋体"/>
          <w:color w:val="auto"/>
          <w:kern w:val="0"/>
          <w:sz w:val="24"/>
          <w:highlight w:val="yellow"/>
        </w:rPr>
      </w:pPr>
      <w:r>
        <w:rPr>
          <w:rFonts w:hint="eastAsia" w:ascii="宋体" w:hAnsi="宋体" w:cs="宋体"/>
          <w:color w:val="auto"/>
          <w:kern w:val="0"/>
          <w:sz w:val="24"/>
          <w:highlight w:val="none"/>
          <w:lang w:bidi="ar"/>
        </w:rPr>
        <w:t>2.服务期限：质保期为验收合格之日起</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年，质保期内，乙方对</w:t>
      </w:r>
      <w:r>
        <w:rPr>
          <w:rFonts w:hint="eastAsia" w:ascii="宋体" w:hAnsi="宋体" w:cs="宋体"/>
          <w:color w:val="auto"/>
          <w:kern w:val="0"/>
          <w:sz w:val="24"/>
          <w:highlight w:val="none"/>
          <w:lang w:val="en-US" w:eastAsia="zh-CN" w:bidi="ar"/>
        </w:rPr>
        <w:t>设备</w:t>
      </w:r>
      <w:r>
        <w:rPr>
          <w:rFonts w:hint="eastAsia" w:ascii="宋体" w:hAnsi="宋体" w:cs="宋体"/>
          <w:color w:val="auto"/>
          <w:kern w:val="0"/>
          <w:sz w:val="24"/>
          <w:highlight w:val="none"/>
          <w:lang w:bidi="ar"/>
        </w:rPr>
        <w:t>提供全免费保修和免费更换。</w:t>
      </w:r>
    </w:p>
    <w:p w14:paraId="6983DC87">
      <w:pPr>
        <w:spacing w:line="42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lang w:bidi="ar"/>
        </w:rPr>
        <w:t>3.服务效率：乙方在收到故障报告后能远程解决的须在</w:t>
      </w:r>
      <w:r>
        <w:rPr>
          <w:rFonts w:hint="eastAsia" w:ascii="宋体" w:hAnsi="宋体" w:cs="宋体"/>
          <w:color w:val="auto"/>
          <w:kern w:val="0"/>
          <w:sz w:val="24"/>
          <w:highlight w:val="none"/>
          <w:lang w:val="en-US" w:eastAsia="zh-CN" w:bidi="ar"/>
        </w:rPr>
        <w:t>12</w:t>
      </w:r>
      <w:r>
        <w:rPr>
          <w:rFonts w:hint="eastAsia" w:ascii="宋体" w:hAnsi="宋体" w:cs="宋体"/>
          <w:color w:val="auto"/>
          <w:kern w:val="0"/>
          <w:sz w:val="24"/>
          <w:highlight w:val="none"/>
          <w:lang w:bidi="ar"/>
        </w:rPr>
        <w:t>小时内解决，不能远程解决的须24小时到达现场维修，48小时解决。涉及整批设备或配件返厂维修更换超过1周，乙方免费提供相同型号且功能正常的样机或配件供甲方使用，并在5天内送达甲方指定地点，免费使用期限至返厂维修更换的整批设备或配件由乙方送达甲方指定地点且验收合格截止；整批设备或配件返厂维修更换超过1周且乙方无法免费提供相同型号且功能正常的样机或配件供甲方使用，乙方每日按照该套仪器系统采购合同金额的千分之一向甲方做出赔偿，赔偿期限至返厂维修更换的整批设备或配件由乙方送达甲方指定地点且验收合格截止；投标人对所提供的设备实行一年至少2次的终生定期免费保养（或维护、巡检）。</w:t>
      </w:r>
    </w:p>
    <w:p w14:paraId="1ECF39DF">
      <w:pPr>
        <w:spacing w:line="420" w:lineRule="exact"/>
        <w:ind w:firstLine="482" w:firstLineChars="200"/>
        <w:jc w:val="left"/>
        <w:rPr>
          <w:rFonts w:ascii="Arial" w:hAnsi="Arial" w:cs="Arial"/>
          <w:b/>
          <w:color w:val="auto"/>
          <w:kern w:val="0"/>
          <w:sz w:val="24"/>
          <w:highlight w:val="none"/>
        </w:rPr>
      </w:pPr>
      <w:r>
        <w:rPr>
          <w:rFonts w:hint="eastAsia" w:ascii="宋体" w:hAnsi="宋体" w:cs="宋体"/>
          <w:b/>
          <w:color w:val="auto"/>
          <w:kern w:val="0"/>
          <w:sz w:val="24"/>
          <w:highlight w:val="none"/>
          <w:lang w:bidi="ar"/>
        </w:rPr>
        <w:t>（六）采购标的验收标准；</w:t>
      </w:r>
    </w:p>
    <w:p w14:paraId="67214BD4">
      <w:pPr>
        <w:pStyle w:val="8"/>
        <w:widowControl/>
        <w:spacing w:line="420" w:lineRule="exact"/>
        <w:ind w:firstLine="480" w:firstLineChars="200"/>
        <w:rPr>
          <w:rFonts w:hint="eastAsia" w:ascii="宋体" w:hAnsi="宋体" w:cs="Arial"/>
          <w:color w:val="auto"/>
          <w:kern w:val="0"/>
          <w:sz w:val="24"/>
          <w:szCs w:val="24"/>
          <w:highlight w:val="none"/>
        </w:rPr>
      </w:pPr>
      <w:r>
        <w:rPr>
          <w:rFonts w:hint="eastAsia" w:ascii="宋体" w:hAnsi="宋体" w:cs="宋体"/>
          <w:color w:val="auto"/>
          <w:kern w:val="0"/>
          <w:sz w:val="24"/>
          <w:szCs w:val="24"/>
          <w:highlight w:val="none"/>
        </w:rPr>
        <w:t>1、设备验收：</w:t>
      </w:r>
      <w:r>
        <w:rPr>
          <w:rFonts w:hint="eastAsia" w:ascii="宋体" w:hAnsi="宋体" w:cs="宋体"/>
          <w:color w:val="auto"/>
          <w:sz w:val="24"/>
          <w:szCs w:val="24"/>
          <w:highlight w:val="none"/>
        </w:rPr>
        <w:t>设备到达交货地点后甲方统一初验是否符合合同要求；但不能因此免除乙方的相应责任；附产品合格证、检验、检测报告等</w:t>
      </w:r>
      <w:r>
        <w:rPr>
          <w:rFonts w:hint="eastAsia" w:ascii="宋体" w:hAnsi="宋体" w:cs="宋体"/>
          <w:color w:val="auto"/>
          <w:kern w:val="0"/>
          <w:sz w:val="24"/>
          <w:szCs w:val="24"/>
          <w:highlight w:val="none"/>
        </w:rPr>
        <w:t>。</w:t>
      </w:r>
    </w:p>
    <w:p w14:paraId="2BD1147D">
      <w:pPr>
        <w:widowControl/>
        <w:spacing w:line="420" w:lineRule="exact"/>
        <w:ind w:firstLine="480" w:firstLineChars="200"/>
        <w:jc w:val="left"/>
        <w:rPr>
          <w:rFonts w:hint="eastAsia" w:ascii="宋体" w:hAnsi="宋体" w:cs="Arial"/>
          <w:color w:val="auto"/>
          <w:kern w:val="0"/>
          <w:sz w:val="24"/>
          <w:highlight w:val="none"/>
        </w:rPr>
      </w:pPr>
      <w:r>
        <w:rPr>
          <w:rFonts w:hint="eastAsia" w:ascii="宋体" w:hAnsi="宋体" w:cs="宋体"/>
          <w:color w:val="auto"/>
          <w:kern w:val="0"/>
          <w:sz w:val="24"/>
          <w:highlight w:val="none"/>
          <w:lang w:bidi="ar"/>
        </w:rPr>
        <w:t>2、项目验收：乙方负责供货、运输、安装、调试，完工后，乙方组织，会同甲方共同验收，是否合格并满足招标文件及乙方投标文件中技术参数和功能要求；乙方需提供完整的资料，包括但不限于产品合格证、检验、检测报告。</w:t>
      </w:r>
    </w:p>
    <w:p w14:paraId="0DD32E7E">
      <w:pPr>
        <w:widowControl/>
        <w:spacing w:line="420" w:lineRule="exact"/>
        <w:ind w:firstLine="480" w:firstLineChars="200"/>
        <w:jc w:val="left"/>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3、实作性操作验收：安装完成后设备是否正常运作（试运行期限</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个月）。若设备在试运行期限内出现主要部件故障，且无法通过调试维修恢复，需整套配置更换。主要部件含：离子源、离子源接口、质量分析器、碰撞室、高压二元梯度泵、自动进样器、柱温箱、氮气发生器、真空系统、在线固相萃取系统；整套配置分为以下三套：三重四极杆质谱仪主机、超高效液相色谱、在线固相萃取系统。</w:t>
      </w:r>
    </w:p>
    <w:p w14:paraId="33812638">
      <w:pPr>
        <w:widowControl/>
        <w:spacing w:line="420" w:lineRule="exact"/>
        <w:ind w:firstLine="482" w:firstLineChars="200"/>
        <w:jc w:val="left"/>
        <w:rPr>
          <w:rFonts w:hint="eastAsia" w:ascii="宋体" w:hAnsi="宋体" w:cs="Arial"/>
          <w:color w:val="auto"/>
          <w:kern w:val="0"/>
          <w:sz w:val="24"/>
        </w:rPr>
      </w:pPr>
      <w:r>
        <w:rPr>
          <w:rFonts w:hint="eastAsia" w:ascii="宋体" w:hAnsi="宋体" w:cs="宋体"/>
          <w:b/>
          <w:color w:val="auto"/>
          <w:kern w:val="0"/>
          <w:sz w:val="24"/>
          <w:lang w:bidi="ar"/>
        </w:rPr>
        <w:t>（七）采购标的其他技术、服务等要求；</w:t>
      </w:r>
    </w:p>
    <w:p w14:paraId="6491DD8C">
      <w:pPr>
        <w:widowControl/>
        <w:spacing w:line="420" w:lineRule="exact"/>
        <w:ind w:firstLine="480" w:firstLineChars="200"/>
        <w:jc w:val="left"/>
        <w:rPr>
          <w:rFonts w:hint="eastAsia" w:ascii="宋体" w:hAnsi="宋体" w:cs="Arial"/>
          <w:color w:val="auto"/>
          <w:kern w:val="0"/>
          <w:sz w:val="24"/>
          <w:highlight w:val="none"/>
        </w:rPr>
      </w:pPr>
      <w:r>
        <w:rPr>
          <w:rFonts w:hint="eastAsia" w:ascii="宋体" w:hAnsi="宋体" w:cs="宋体"/>
          <w:color w:val="auto"/>
          <w:kern w:val="0"/>
          <w:sz w:val="24"/>
          <w:highlight w:val="none"/>
          <w:lang w:bidi="ar"/>
        </w:rPr>
        <w:t>1.保证所有设备均为原装正品。</w:t>
      </w:r>
    </w:p>
    <w:p w14:paraId="2DEBF3B1">
      <w:pPr>
        <w:widowControl/>
        <w:spacing w:line="420" w:lineRule="exact"/>
        <w:ind w:firstLine="480" w:firstLineChars="200"/>
        <w:jc w:val="left"/>
        <w:rPr>
          <w:rFonts w:hint="eastAsia" w:ascii="宋体" w:hAnsi="宋体" w:cs="Arial"/>
          <w:color w:val="auto"/>
          <w:kern w:val="0"/>
          <w:sz w:val="24"/>
          <w:highlight w:val="none"/>
        </w:rPr>
      </w:pPr>
      <w:r>
        <w:rPr>
          <w:rFonts w:hint="eastAsia" w:ascii="宋体" w:hAnsi="宋体" w:cs="宋体"/>
          <w:color w:val="auto"/>
          <w:kern w:val="0"/>
          <w:sz w:val="24"/>
          <w:highlight w:val="none"/>
          <w:lang w:bidi="ar"/>
        </w:rPr>
        <w:t>2.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进行验收，一旦发现虚假应标行为，取消该中标人的中标资格、撤销合同，并保留追究其法律责任的权利。验收时，交付的产品必须与投标产品的品牌、型号、规格、技术参数、性能说明、生产厂家等各项内容一致，投标人在投标时务必认真核实并如实填写产品品牌、型号、规格、技术参数、性能说明、生产厂家等各项信息。</w:t>
      </w:r>
    </w:p>
    <w:p w14:paraId="7965A035">
      <w:pPr>
        <w:widowControl/>
        <w:spacing w:line="420" w:lineRule="exact"/>
        <w:ind w:firstLine="480" w:firstLineChars="200"/>
        <w:jc w:val="left"/>
        <w:rPr>
          <w:rFonts w:hint="eastAsia" w:ascii="宋体" w:hAnsi="宋体" w:cs="Arial"/>
          <w:color w:val="auto"/>
          <w:kern w:val="0"/>
          <w:sz w:val="24"/>
        </w:rPr>
      </w:pPr>
      <w:r>
        <w:rPr>
          <w:rFonts w:hint="eastAsia" w:ascii="宋体" w:hAnsi="宋体" w:cs="宋体"/>
          <w:color w:val="auto"/>
          <w:kern w:val="0"/>
          <w:sz w:val="24"/>
          <w:lang w:bidi="ar"/>
        </w:rPr>
        <w:t>3.节能、环境标志产品</w:t>
      </w:r>
    </w:p>
    <w:p w14:paraId="021CFF83">
      <w:pPr>
        <w:widowControl/>
        <w:spacing w:line="420" w:lineRule="exact"/>
        <w:ind w:firstLine="480" w:firstLineChars="200"/>
        <w:jc w:val="left"/>
        <w:rPr>
          <w:rFonts w:hint="eastAsia" w:ascii="宋体" w:hAnsi="宋体" w:cs="Arial"/>
          <w:color w:val="auto"/>
          <w:kern w:val="0"/>
          <w:sz w:val="24"/>
        </w:rPr>
      </w:pPr>
      <w:r>
        <w:rPr>
          <w:rFonts w:hint="eastAsia" w:ascii="宋体" w:hAnsi="宋体" w:cs="宋体"/>
          <w:color w:val="auto"/>
          <w:kern w:val="0"/>
          <w:sz w:val="24"/>
          <w:lang w:bidi="ar"/>
        </w:rPr>
        <w:t>（1）节能产品是指列入财政部和国家发改委公布的《节能产品政府采购品目清单》中的产品。政府强制采购节能产品是指《节能产品政府采购品目清单》中以“★”标注类别的产品；</w:t>
      </w:r>
    </w:p>
    <w:p w14:paraId="4CC9F6EB">
      <w:pPr>
        <w:widowControl/>
        <w:spacing w:line="420" w:lineRule="exact"/>
        <w:ind w:firstLine="480" w:firstLineChars="200"/>
        <w:jc w:val="left"/>
        <w:rPr>
          <w:rFonts w:hint="eastAsia" w:ascii="宋体" w:hAnsi="宋体" w:cs="Arial"/>
          <w:color w:val="auto"/>
          <w:kern w:val="0"/>
          <w:sz w:val="24"/>
        </w:rPr>
      </w:pPr>
      <w:r>
        <w:rPr>
          <w:rFonts w:hint="eastAsia" w:ascii="宋体" w:hAnsi="宋体" w:cs="宋体"/>
          <w:color w:val="auto"/>
          <w:kern w:val="0"/>
          <w:sz w:val="24"/>
          <w:lang w:bidi="ar"/>
        </w:rPr>
        <w:t>（2）环境标志产品是指列入财政部、生态环境部公布的《环境标志产品政府采购品目清单》中的产品；</w:t>
      </w:r>
    </w:p>
    <w:p w14:paraId="485DF6C1">
      <w:pPr>
        <w:widowControl/>
        <w:spacing w:line="420" w:lineRule="exact"/>
        <w:ind w:firstLine="480" w:firstLineChars="200"/>
        <w:jc w:val="left"/>
        <w:rPr>
          <w:rFonts w:hint="eastAsia" w:ascii="宋体" w:hAnsi="宋体" w:cs="Arial"/>
          <w:color w:val="auto"/>
          <w:kern w:val="0"/>
          <w:sz w:val="24"/>
        </w:rPr>
      </w:pPr>
      <w:r>
        <w:rPr>
          <w:rFonts w:hint="eastAsia" w:ascii="宋体" w:hAnsi="宋体" w:cs="宋体"/>
          <w:color w:val="auto"/>
          <w:kern w:val="0"/>
          <w:sz w:val="24"/>
          <w:lang w:bidi="ar"/>
        </w:rPr>
        <w:t>★（3）本项目采购内容中属于节能产品政府采购品目清单中政府强制采购产品的（即节能产品政府采购品目清单中★标注的产品），投标人必须提供国家确定的认证机构出具的处于有效期之内的节能产品认证证书，且产品认证应依据《节能产品政府采购品目清单》中相关标准的最新版本，依据国家标准中二级能效(水效)指标；</w:t>
      </w:r>
    </w:p>
    <w:p w14:paraId="306A0855">
      <w:pPr>
        <w:widowControl/>
        <w:spacing w:line="420" w:lineRule="exact"/>
        <w:ind w:firstLine="480" w:firstLineChars="200"/>
        <w:jc w:val="left"/>
        <w:rPr>
          <w:rFonts w:hint="eastAsia" w:ascii="宋体" w:hAnsi="宋体" w:cs="Arial"/>
          <w:color w:val="auto"/>
          <w:kern w:val="0"/>
          <w:sz w:val="24"/>
        </w:rPr>
      </w:pPr>
      <w:r>
        <w:rPr>
          <w:rFonts w:hint="eastAsia" w:ascii="宋体" w:hAnsi="宋体" w:cs="宋体"/>
          <w:color w:val="auto"/>
          <w:kern w:val="0"/>
          <w:sz w:val="24"/>
          <w:lang w:bidi="ar"/>
        </w:rPr>
        <w:t>（4）本项目采购产品属于节能产品政府采购品目清单以及环境标志产品政府采购品目清单范围的，投标人均应提供国家确定的认证机构出具的、处于有效期之内的节能产品、环境标志产品认证证书，且产品认证应依据相关标准的最新版本；</w:t>
      </w:r>
    </w:p>
    <w:p w14:paraId="622807C1">
      <w:pPr>
        <w:widowControl/>
        <w:spacing w:line="420" w:lineRule="exact"/>
        <w:ind w:firstLine="480" w:firstLineChars="200"/>
        <w:jc w:val="left"/>
        <w:rPr>
          <w:rFonts w:hint="eastAsia" w:ascii="宋体" w:hAnsi="宋体" w:cs="Arial"/>
          <w:color w:val="auto"/>
          <w:kern w:val="0"/>
          <w:sz w:val="24"/>
        </w:rPr>
      </w:pPr>
      <w:r>
        <w:rPr>
          <w:rFonts w:hint="eastAsia" w:ascii="宋体" w:hAnsi="宋体" w:cs="宋体"/>
          <w:color w:val="auto"/>
          <w:kern w:val="0"/>
          <w:sz w:val="24"/>
          <w:lang w:bidi="ar"/>
        </w:rPr>
        <w:t>（5）根据《财政部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节能产品及环境标志产品认定须为《参与实施政府采购节能产品认证机构名录》《参与实施政府采购环境标志产品认证机构名录》确定的认证机构出具的、处于有效期之内的节能产品、环境标志产品认证证书。投标时投标人在投标文件中提供产品认证机构出具的、处于有效期之内的节能产品、环境标志产品认证证复印件。</w:t>
      </w:r>
    </w:p>
    <w:p w14:paraId="5E533796">
      <w:pPr>
        <w:widowControl/>
        <w:spacing w:line="420" w:lineRule="exact"/>
        <w:ind w:firstLine="480" w:firstLineChars="200"/>
        <w:jc w:val="left"/>
        <w:rPr>
          <w:rFonts w:hint="eastAsia" w:ascii="宋体" w:hAnsi="宋体" w:cs="宋体"/>
          <w:color w:val="auto"/>
          <w:kern w:val="0"/>
          <w:sz w:val="24"/>
          <w:lang w:bidi="ar"/>
        </w:rPr>
      </w:pPr>
      <w:r>
        <w:rPr>
          <w:rFonts w:hint="eastAsia" w:ascii="宋体" w:hAnsi="宋体" w:cs="宋体"/>
          <w:color w:val="auto"/>
          <w:kern w:val="0"/>
          <w:sz w:val="24"/>
          <w:lang w:bidi="ar"/>
        </w:rPr>
        <w:t>4.同品牌产品的处理</w:t>
      </w:r>
    </w:p>
    <w:p w14:paraId="1C128C84">
      <w:pPr>
        <w:widowControl/>
        <w:spacing w:line="420" w:lineRule="exact"/>
        <w:ind w:firstLine="480" w:firstLineChars="200"/>
        <w:jc w:val="left"/>
        <w:rPr>
          <w:rFonts w:hint="eastAsia" w:ascii="宋体" w:hAnsi="宋体" w:eastAsia="宋体" w:cs="宋体"/>
          <w:color w:val="auto"/>
        </w:rPr>
      </w:pPr>
      <w:r>
        <w:rPr>
          <w:rFonts w:hint="eastAsia" w:ascii="宋体" w:hAnsi="宋体" w:cs="宋体"/>
          <w:color w:val="auto"/>
          <w:kern w:val="0"/>
          <w:sz w:val="24"/>
          <w:lang w:bidi="ar"/>
        </w:rPr>
        <w:t>多家投标人提供相同品牌产品（或提供的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25B1396">
      <w:pPr>
        <w:pageBreakBefore w:val="0"/>
        <w:kinsoku/>
        <w:overflowPunct/>
        <w:topLinePunct w:val="0"/>
        <w:bidi w:val="0"/>
        <w:spacing w:beforeAutospacing="0" w:afterAutospacing="0"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56056042">
      <w:pPr>
        <w:pageBreakBefore w:val="0"/>
        <w:numPr>
          <w:ilvl w:val="3"/>
          <w:numId w:val="0"/>
        </w:numPr>
        <w:tabs>
          <w:tab w:val="left" w:pos="720"/>
          <w:tab w:val="left" w:pos="1665"/>
        </w:tabs>
        <w:kinsoku/>
        <w:overflowPunct/>
        <w:topLinePunct w:val="0"/>
        <w:bidi w:val="0"/>
        <w:snapToGrid w:val="0"/>
        <w:spacing w:beforeAutospacing="0" w:afterAutospacing="0" w:line="360" w:lineRule="auto"/>
        <w:jc w:val="center"/>
        <w:outlineLvl w:val="9"/>
        <w:rPr>
          <w:rFonts w:hint="eastAsia" w:ascii="宋体" w:hAnsi="宋体" w:eastAsia="宋体" w:cs="宋体"/>
          <w:color w:val="auto"/>
          <w:sz w:val="44"/>
          <w:szCs w:val="44"/>
          <w:highlight w:val="none"/>
          <w:lang w:eastAsia="zh-CN"/>
        </w:rPr>
      </w:pPr>
      <w:bookmarkStart w:id="532" w:name="_Toc1847"/>
    </w:p>
    <w:p w14:paraId="57EA3C1C">
      <w:pPr>
        <w:rPr>
          <w:rFonts w:hint="eastAsia"/>
          <w:lang w:eastAsia="zh-CN"/>
        </w:rPr>
      </w:pPr>
    </w:p>
    <w:p w14:paraId="18B09235">
      <w:pPr>
        <w:rPr>
          <w:rFonts w:hint="eastAsia"/>
          <w:lang w:eastAsia="zh-CN"/>
        </w:rPr>
      </w:pPr>
    </w:p>
    <w:p w14:paraId="7D804605">
      <w:pPr>
        <w:rPr>
          <w:rFonts w:hint="eastAsia"/>
          <w:lang w:eastAsia="zh-CN"/>
        </w:rPr>
      </w:pPr>
    </w:p>
    <w:p w14:paraId="43E2B667">
      <w:pPr>
        <w:rPr>
          <w:rFonts w:hint="eastAsia"/>
          <w:lang w:eastAsia="zh-CN"/>
        </w:rPr>
      </w:pPr>
    </w:p>
    <w:p w14:paraId="32D046E6">
      <w:pPr>
        <w:rPr>
          <w:rFonts w:hint="eastAsia"/>
          <w:lang w:eastAsia="zh-CN"/>
        </w:rPr>
      </w:pPr>
    </w:p>
    <w:p w14:paraId="3B5AA0F0">
      <w:pPr>
        <w:rPr>
          <w:rFonts w:hint="eastAsia"/>
          <w:lang w:eastAsia="zh-CN"/>
        </w:rPr>
      </w:pPr>
    </w:p>
    <w:p w14:paraId="6C5DBC2B">
      <w:pPr>
        <w:pStyle w:val="2"/>
        <w:pageBreakBefore w:val="0"/>
        <w:numPr>
          <w:ilvl w:val="3"/>
          <w:numId w:val="0"/>
        </w:numPr>
        <w:kinsoku/>
        <w:overflowPunct/>
        <w:topLinePunct w:val="0"/>
        <w:bidi w:val="0"/>
        <w:snapToGrid w:val="0"/>
        <w:spacing w:beforeAutospacing="0" w:afterAutospacing="0" w:line="360" w:lineRule="auto"/>
        <w:jc w:val="center"/>
        <w:rPr>
          <w:rFonts w:hint="eastAsia" w:ascii="宋体" w:hAnsi="宋体" w:eastAsia="宋体" w:cs="宋体"/>
          <w:color w:val="auto"/>
          <w:sz w:val="44"/>
          <w:szCs w:val="44"/>
          <w:highlight w:val="none"/>
        </w:rPr>
      </w:pPr>
      <w:bookmarkStart w:id="533" w:name="_Toc7924"/>
      <w:r>
        <w:rPr>
          <w:rFonts w:hint="eastAsia" w:ascii="宋体" w:hAnsi="宋体" w:eastAsia="宋体" w:cs="宋体"/>
          <w:color w:val="auto"/>
          <w:sz w:val="44"/>
          <w:szCs w:val="44"/>
          <w:highlight w:val="none"/>
        </w:rPr>
        <w:t>第七章  投标文件格式</w:t>
      </w:r>
      <w:bookmarkEnd w:id="517"/>
      <w:bookmarkEnd w:id="530"/>
      <w:bookmarkEnd w:id="531"/>
      <w:bookmarkEnd w:id="532"/>
      <w:bookmarkEnd w:id="533"/>
    </w:p>
    <w:p w14:paraId="3D0A9C56">
      <w:pPr>
        <w:pageBreakBefore w:val="0"/>
        <w:kinsoku/>
        <w:overflowPunct/>
        <w:topLinePunct w:val="0"/>
        <w:bidi w:val="0"/>
        <w:spacing w:beforeAutospacing="0" w:afterAutospacing="0" w:line="360" w:lineRule="auto"/>
        <w:rPr>
          <w:rFonts w:hint="eastAsia" w:ascii="宋体" w:hAnsi="宋体" w:eastAsia="宋体" w:cs="宋体"/>
          <w:color w:val="auto"/>
          <w:sz w:val="22"/>
          <w:szCs w:val="24"/>
          <w:highlight w:val="none"/>
        </w:rPr>
      </w:pPr>
    </w:p>
    <w:p w14:paraId="7C827F91">
      <w:pPr>
        <w:pageBreakBefore w:val="0"/>
        <w:kinsoku/>
        <w:overflowPunct/>
        <w:topLinePunct w:val="0"/>
        <w:autoSpaceDE w:val="0"/>
        <w:autoSpaceDN w:val="0"/>
        <w:bidi w:val="0"/>
        <w:adjustRightInd w:val="0"/>
        <w:spacing w:beforeAutospacing="0" w:afterAutospacing="0" w:line="360" w:lineRule="auto"/>
        <w:ind w:right="-420" w:rightChars="-200"/>
        <w:jc w:val="center"/>
        <w:rPr>
          <w:rFonts w:hint="eastAsia" w:ascii="宋体" w:hAnsi="宋体" w:eastAsia="宋体" w:cs="宋体"/>
          <w:b/>
          <w:bCs/>
          <w:color w:val="auto"/>
          <w:sz w:val="52"/>
          <w:szCs w:val="52"/>
          <w:highlight w:val="none"/>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0" w:num="1"/>
          <w:docGrid w:type="lines" w:linePitch="312" w:charSpace="0"/>
        </w:sectPr>
      </w:pPr>
    </w:p>
    <w:p w14:paraId="546D644B">
      <w:pPr>
        <w:pageBreakBefore w:val="0"/>
        <w:kinsoku/>
        <w:overflowPunct/>
        <w:topLinePunct w:val="0"/>
        <w:autoSpaceDE w:val="0"/>
        <w:autoSpaceDN w:val="0"/>
        <w:bidi w:val="0"/>
        <w:adjustRightInd w:val="0"/>
        <w:spacing w:beforeAutospacing="0" w:afterAutospacing="0" w:line="360" w:lineRule="auto"/>
        <w:ind w:right="-420" w:rightChars="-200"/>
        <w:jc w:val="center"/>
        <w:rPr>
          <w:rFonts w:hint="eastAsia" w:ascii="宋体" w:hAnsi="宋体" w:eastAsia="宋体" w:cs="宋体"/>
          <w:b/>
          <w:bCs/>
          <w:color w:val="auto"/>
          <w:sz w:val="52"/>
          <w:szCs w:val="52"/>
          <w:highlight w:val="none"/>
          <w:lang w:eastAsia="zh-CN"/>
        </w:rPr>
        <w:sectPr>
          <w:type w:val="continuous"/>
          <w:pgSz w:w="11906" w:h="16838"/>
          <w:pgMar w:top="1440" w:right="1080" w:bottom="1440" w:left="1080" w:header="851" w:footer="992" w:gutter="0"/>
          <w:pgBorders>
            <w:top w:val="none" w:sz="0" w:space="0"/>
            <w:left w:val="none" w:sz="0" w:space="0"/>
            <w:bottom w:val="none" w:sz="0" w:space="0"/>
            <w:right w:val="none" w:sz="0" w:space="0"/>
          </w:pgBorders>
          <w:pgNumType w:fmt="decimal"/>
          <w:cols w:space="0" w:num="1"/>
          <w:docGrid w:type="lines" w:linePitch="312" w:charSpace="0"/>
        </w:sectPr>
      </w:pPr>
    </w:p>
    <w:p w14:paraId="17BC494C">
      <w:pPr>
        <w:pageBreakBefore w:val="0"/>
        <w:kinsoku/>
        <w:overflowPunct/>
        <w:topLinePunct w:val="0"/>
        <w:autoSpaceDE w:val="0"/>
        <w:autoSpaceDN w:val="0"/>
        <w:bidi w:val="0"/>
        <w:adjustRightInd w:val="0"/>
        <w:spacing w:beforeAutospacing="0" w:afterAutospacing="0" w:line="360" w:lineRule="auto"/>
        <w:ind w:right="84" w:rightChars="40"/>
        <w:jc w:val="center"/>
        <w:rPr>
          <w:rFonts w:hint="eastAsia" w:ascii="宋体" w:hAnsi="宋体" w:eastAsia="宋体" w:cs="宋体"/>
          <w:b/>
          <w:bCs/>
          <w:color w:val="auto"/>
          <w:sz w:val="72"/>
          <w:szCs w:val="72"/>
          <w:highlight w:val="none"/>
        </w:rPr>
      </w:pPr>
      <w:r>
        <w:rPr>
          <w:rFonts w:hint="eastAsia" w:ascii="宋体" w:hAnsi="宋体" w:cs="宋体"/>
          <w:b/>
          <w:bCs/>
          <w:color w:val="auto"/>
          <w:sz w:val="72"/>
          <w:szCs w:val="72"/>
          <w:highlight w:val="none"/>
          <w:lang w:eastAsia="zh-CN"/>
        </w:rPr>
        <w:t>超高效液相色谱三重四级杆质谱联用仪</w:t>
      </w:r>
    </w:p>
    <w:p w14:paraId="6A94ED64">
      <w:pPr>
        <w:pStyle w:val="10"/>
        <w:pageBreakBefore w:val="0"/>
        <w:kinsoku/>
        <w:overflowPunct/>
        <w:topLinePunct w:val="0"/>
        <w:bidi w:val="0"/>
        <w:spacing w:beforeAutospacing="0" w:afterAutospacing="0" w:line="360" w:lineRule="auto"/>
        <w:rPr>
          <w:rFonts w:hint="eastAsia" w:ascii="宋体" w:hAnsi="宋体" w:eastAsia="宋体" w:cs="宋体"/>
          <w:color w:val="auto"/>
          <w:highlight w:val="none"/>
        </w:rPr>
      </w:pPr>
    </w:p>
    <w:p w14:paraId="7FDCE2E7">
      <w:pPr>
        <w:pStyle w:val="12"/>
        <w:pageBreakBefore w:val="0"/>
        <w:kinsoku/>
        <w:overflowPunct/>
        <w:topLinePunct w:val="0"/>
        <w:bidi w:val="0"/>
        <w:spacing w:beforeAutospacing="0" w:afterAutospacing="0" w:line="360" w:lineRule="auto"/>
        <w:rPr>
          <w:rFonts w:hint="eastAsia" w:ascii="宋体" w:hAnsi="宋体" w:eastAsia="宋体" w:cs="宋体"/>
          <w:color w:val="auto"/>
          <w:highlight w:val="none"/>
        </w:rPr>
      </w:pPr>
    </w:p>
    <w:p w14:paraId="29D0D058">
      <w:pPr>
        <w:pageBreakBefore w:val="0"/>
        <w:kinsoku/>
        <w:overflowPunct/>
        <w:topLinePunct w:val="0"/>
        <w:bidi w:val="0"/>
        <w:spacing w:beforeAutospacing="0" w:afterAutospacing="0" w:line="360" w:lineRule="auto"/>
        <w:rPr>
          <w:rFonts w:hint="eastAsia" w:ascii="宋体" w:hAnsi="宋体" w:eastAsia="宋体" w:cs="宋体"/>
          <w:color w:val="auto"/>
          <w:highlight w:val="none"/>
          <w:lang w:eastAsia="zh-CN"/>
        </w:rPr>
      </w:pPr>
    </w:p>
    <w:p w14:paraId="0E7FD9EE">
      <w:pPr>
        <w:pStyle w:val="5"/>
        <w:pageBreakBefore w:val="0"/>
        <w:kinsoku/>
        <w:overflowPunct/>
        <w:topLinePunct w:val="0"/>
        <w:bidi w:val="0"/>
        <w:spacing w:beforeLines="0" w:beforeAutospacing="0" w:afterAutospacing="0" w:line="360" w:lineRule="auto"/>
        <w:rPr>
          <w:rFonts w:hint="eastAsia" w:ascii="宋体" w:hAnsi="宋体" w:eastAsia="宋体" w:cs="宋体"/>
          <w:color w:val="auto"/>
          <w:highlight w:val="none"/>
          <w:lang w:eastAsia="zh-CN"/>
        </w:rPr>
      </w:pPr>
    </w:p>
    <w:p w14:paraId="51953CD1">
      <w:pPr>
        <w:pageBreakBefore w:val="0"/>
        <w:kinsoku/>
        <w:overflowPunct/>
        <w:topLinePunct w:val="0"/>
        <w:autoSpaceDE w:val="0"/>
        <w:autoSpaceDN w:val="0"/>
        <w:bidi w:val="0"/>
        <w:adjustRightInd w:val="0"/>
        <w:spacing w:beforeAutospacing="0" w:afterAutospacing="0" w:line="360" w:lineRule="auto"/>
        <w:jc w:val="both"/>
        <w:rPr>
          <w:rFonts w:hint="eastAsia" w:ascii="宋体" w:hAnsi="宋体" w:eastAsia="宋体" w:cs="宋体"/>
          <w:color w:val="auto"/>
          <w:kern w:val="0"/>
          <w:sz w:val="28"/>
          <w:szCs w:val="24"/>
          <w:highlight w:val="none"/>
        </w:rPr>
      </w:pPr>
    </w:p>
    <w:p w14:paraId="4362B864">
      <w:pPr>
        <w:pageBreakBefore w:val="0"/>
        <w:kinsoku/>
        <w:overflowPunct/>
        <w:topLinePunct w:val="0"/>
        <w:bidi w:val="0"/>
        <w:spacing w:beforeAutospacing="0" w:afterAutospacing="0" w:line="360" w:lineRule="auto"/>
        <w:jc w:val="center"/>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投标文件</w:t>
      </w:r>
    </w:p>
    <w:p w14:paraId="26BAE0AC">
      <w:pPr>
        <w:pageBreakBefore w:val="0"/>
        <w:kinsoku/>
        <w:overflowPunct/>
        <w:topLinePunct w:val="0"/>
        <w:bidi w:val="0"/>
        <w:spacing w:beforeAutospacing="0" w:afterAutospacing="0" w:line="360" w:lineRule="auto"/>
        <w:jc w:val="center"/>
        <w:outlineLvl w:val="1"/>
        <w:rPr>
          <w:rFonts w:hint="eastAsia" w:ascii="宋体" w:hAnsi="宋体" w:eastAsia="宋体" w:cs="宋体"/>
          <w:b/>
          <w:bCs/>
          <w:color w:val="auto"/>
          <w:sz w:val="96"/>
          <w:szCs w:val="96"/>
          <w:highlight w:val="none"/>
        </w:rPr>
      </w:pPr>
      <w:bookmarkStart w:id="534" w:name="_Toc14667"/>
      <w:r>
        <w:rPr>
          <w:rFonts w:hint="eastAsia" w:ascii="宋体" w:hAnsi="宋体" w:eastAsia="宋体" w:cs="宋体"/>
          <w:b/>
          <w:caps w:val="0"/>
          <w:smallCaps w:val="0"/>
          <w:color w:val="auto"/>
          <w:spacing w:val="0"/>
          <w:sz w:val="44"/>
          <w:szCs w:val="44"/>
          <w:lang w:eastAsia="zh-CN"/>
        </w:rPr>
        <w:t>（</w:t>
      </w:r>
      <w:r>
        <w:rPr>
          <w:rFonts w:hint="eastAsia" w:ascii="宋体" w:hAnsi="宋体" w:eastAsia="宋体" w:cs="宋体"/>
          <w:b/>
          <w:caps w:val="0"/>
          <w:smallCaps w:val="0"/>
          <w:color w:val="auto"/>
          <w:spacing w:val="0"/>
          <w:sz w:val="44"/>
          <w:szCs w:val="44"/>
          <w:lang w:val="en-US" w:eastAsia="zh-CN"/>
        </w:rPr>
        <w:t>资格审查部分</w:t>
      </w:r>
      <w:r>
        <w:rPr>
          <w:rFonts w:hint="eastAsia" w:ascii="宋体" w:hAnsi="宋体" w:eastAsia="宋体" w:cs="宋体"/>
          <w:b/>
          <w:caps w:val="0"/>
          <w:smallCaps w:val="0"/>
          <w:color w:val="auto"/>
          <w:spacing w:val="0"/>
          <w:sz w:val="44"/>
          <w:szCs w:val="44"/>
          <w:lang w:eastAsia="zh-CN"/>
        </w:rPr>
        <w:t>）</w:t>
      </w:r>
      <w:bookmarkEnd w:id="534"/>
    </w:p>
    <w:p w14:paraId="37BECF5A">
      <w:pPr>
        <w:pageBreakBefore w:val="0"/>
        <w:kinsoku/>
        <w:overflowPunct/>
        <w:topLinePunct w:val="0"/>
        <w:bidi w:val="0"/>
        <w:spacing w:beforeAutospacing="0" w:afterAutospacing="0" w:line="360" w:lineRule="auto"/>
        <w:jc w:val="center"/>
        <w:rPr>
          <w:rFonts w:hint="eastAsia" w:ascii="宋体" w:hAnsi="宋体" w:eastAsia="宋体" w:cs="宋体"/>
          <w:b/>
          <w:bCs/>
          <w:color w:val="auto"/>
          <w:sz w:val="36"/>
          <w:szCs w:val="40"/>
          <w:highlight w:val="none"/>
        </w:rPr>
      </w:pPr>
      <w:r>
        <w:rPr>
          <w:rFonts w:hint="eastAsia" w:ascii="宋体" w:hAnsi="宋体" w:eastAsia="宋体" w:cs="宋体"/>
          <w:b/>
          <w:bCs/>
          <w:color w:val="auto"/>
          <w:sz w:val="36"/>
          <w:szCs w:val="40"/>
          <w:highlight w:val="none"/>
        </w:rPr>
        <w:t>项目编号：</w:t>
      </w:r>
      <w:r>
        <w:rPr>
          <w:rFonts w:hint="eastAsia" w:ascii="宋体" w:hAnsi="宋体" w:cs="宋体"/>
          <w:b/>
          <w:bCs/>
          <w:color w:val="auto"/>
          <w:sz w:val="36"/>
          <w:szCs w:val="40"/>
          <w:highlight w:val="none"/>
          <w:lang w:eastAsia="zh-CN"/>
        </w:rPr>
        <w:t>YNZC2025-G1-03229-YNGH-0168</w:t>
      </w:r>
    </w:p>
    <w:p w14:paraId="6DE93D87">
      <w:pPr>
        <w:pageBreakBefore w:val="0"/>
        <w:kinsoku/>
        <w:overflowPunct/>
        <w:topLinePunct w:val="0"/>
        <w:autoSpaceDE w:val="0"/>
        <w:autoSpaceDN w:val="0"/>
        <w:bidi w:val="0"/>
        <w:adjustRightInd w:val="0"/>
        <w:spacing w:beforeAutospacing="0" w:afterAutospacing="0" w:line="360" w:lineRule="auto"/>
        <w:jc w:val="left"/>
        <w:rPr>
          <w:rFonts w:hint="eastAsia" w:ascii="宋体" w:hAnsi="宋体" w:eastAsia="宋体" w:cs="宋体"/>
          <w:color w:val="auto"/>
          <w:kern w:val="0"/>
          <w:sz w:val="28"/>
          <w:szCs w:val="24"/>
          <w:highlight w:val="none"/>
        </w:rPr>
      </w:pPr>
    </w:p>
    <w:p w14:paraId="0BD3AFB2">
      <w:pPr>
        <w:pageBreakBefore w:val="0"/>
        <w:kinsoku/>
        <w:overflowPunct/>
        <w:topLinePunct w:val="0"/>
        <w:autoSpaceDE w:val="0"/>
        <w:autoSpaceDN w:val="0"/>
        <w:bidi w:val="0"/>
        <w:adjustRightInd w:val="0"/>
        <w:spacing w:beforeAutospacing="0" w:afterAutospacing="0" w:line="360" w:lineRule="auto"/>
        <w:jc w:val="left"/>
        <w:rPr>
          <w:rFonts w:hint="eastAsia" w:ascii="宋体" w:hAnsi="宋体" w:eastAsia="宋体" w:cs="宋体"/>
          <w:color w:val="auto"/>
          <w:kern w:val="0"/>
          <w:sz w:val="28"/>
          <w:szCs w:val="24"/>
          <w:highlight w:val="none"/>
        </w:rPr>
      </w:pPr>
    </w:p>
    <w:p w14:paraId="5A82606E">
      <w:pPr>
        <w:pageBreakBefore w:val="0"/>
        <w:kinsoku/>
        <w:overflowPunct/>
        <w:topLinePunct w:val="0"/>
        <w:bidi w:val="0"/>
        <w:spacing w:beforeAutospacing="0" w:afterAutospacing="0" w:line="360" w:lineRule="auto"/>
        <w:rPr>
          <w:rFonts w:hint="eastAsia" w:ascii="宋体" w:hAnsi="宋体" w:eastAsia="宋体" w:cs="宋体"/>
          <w:color w:val="auto"/>
          <w:highlight w:val="none"/>
        </w:rPr>
      </w:pPr>
    </w:p>
    <w:p w14:paraId="4CE3BED1">
      <w:pPr>
        <w:pageBreakBefore w:val="0"/>
        <w:kinsoku/>
        <w:overflowPunct/>
        <w:topLinePunct w:val="0"/>
        <w:autoSpaceDE w:val="0"/>
        <w:autoSpaceDN w:val="0"/>
        <w:bidi w:val="0"/>
        <w:adjustRightInd w:val="0"/>
        <w:spacing w:beforeAutospacing="0" w:afterAutospacing="0" w:line="360" w:lineRule="auto"/>
        <w:ind w:firstLine="904" w:firstLineChars="250"/>
        <w:jc w:val="left"/>
        <w:rPr>
          <w:rFonts w:hint="eastAsia" w:ascii="宋体" w:hAnsi="宋体" w:eastAsia="宋体" w:cs="宋体"/>
          <w:b/>
          <w:color w:val="auto"/>
          <w:sz w:val="36"/>
          <w:szCs w:val="36"/>
          <w:highlight w:val="none"/>
          <w:lang w:eastAsia="zh-CN"/>
        </w:rPr>
      </w:pPr>
    </w:p>
    <w:p w14:paraId="4D142B30">
      <w:pPr>
        <w:pStyle w:val="5"/>
        <w:pageBreakBefore w:val="0"/>
        <w:kinsoku/>
        <w:overflowPunct/>
        <w:topLinePunct w:val="0"/>
        <w:bidi w:val="0"/>
        <w:spacing w:beforeLines="0" w:beforeAutospacing="0" w:afterAutospacing="0" w:line="360" w:lineRule="auto"/>
        <w:rPr>
          <w:rFonts w:hint="eastAsia" w:ascii="宋体" w:hAnsi="宋体" w:eastAsia="宋体" w:cs="宋体"/>
          <w:color w:val="auto"/>
          <w:highlight w:val="none"/>
          <w:lang w:eastAsia="zh-CN"/>
        </w:rPr>
      </w:pPr>
    </w:p>
    <w:p w14:paraId="1C861044">
      <w:pPr>
        <w:pageBreakBefore w:val="0"/>
        <w:kinsoku/>
        <w:overflowPunct/>
        <w:topLinePunct w:val="0"/>
        <w:autoSpaceDE w:val="0"/>
        <w:autoSpaceDN w:val="0"/>
        <w:bidi w:val="0"/>
        <w:adjustRightInd w:val="0"/>
        <w:spacing w:beforeAutospacing="0" w:afterAutospacing="0" w:line="360" w:lineRule="auto"/>
        <w:ind w:firstLine="904" w:firstLineChars="250"/>
        <w:jc w:val="left"/>
        <w:rPr>
          <w:rFonts w:hint="eastAsia" w:ascii="宋体" w:hAnsi="宋体" w:eastAsia="宋体" w:cs="宋体"/>
          <w:b/>
          <w:color w:val="auto"/>
          <w:sz w:val="36"/>
          <w:szCs w:val="36"/>
          <w:highlight w:val="none"/>
        </w:rPr>
      </w:pPr>
    </w:p>
    <w:p w14:paraId="1BA84257">
      <w:pPr>
        <w:pageBreakBefore w:val="0"/>
        <w:kinsoku/>
        <w:overflowPunct/>
        <w:topLinePunct w:val="0"/>
        <w:autoSpaceDE w:val="0"/>
        <w:autoSpaceDN w:val="0"/>
        <w:bidi w:val="0"/>
        <w:adjustRightInd w:val="0"/>
        <w:spacing w:beforeAutospacing="0" w:afterAutospacing="0" w:line="360" w:lineRule="auto"/>
        <w:ind w:firstLine="803" w:firstLineChars="250"/>
        <w:jc w:val="center"/>
        <w:rPr>
          <w:rFonts w:hint="eastAsia" w:ascii="宋体" w:hAnsi="宋体" w:eastAsia="宋体" w:cs="宋体"/>
          <w:color w:val="auto"/>
          <w:kern w:val="0"/>
          <w:sz w:val="32"/>
          <w:szCs w:val="32"/>
          <w:highlight w:val="none"/>
        </w:rPr>
      </w:pPr>
      <w:r>
        <w:rPr>
          <w:rFonts w:hint="eastAsia" w:ascii="宋体" w:hAnsi="宋体" w:eastAsia="宋体" w:cs="宋体"/>
          <w:b/>
          <w:color w:val="auto"/>
          <w:sz w:val="32"/>
          <w:szCs w:val="32"/>
          <w:highlight w:val="none"/>
          <w:lang w:eastAsia="zh-CN"/>
        </w:rPr>
        <w:t>投标人</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lang w:eastAsia="zh-CN"/>
        </w:rPr>
        <w:t>电子签章</w:t>
      </w:r>
      <w:r>
        <w:rPr>
          <w:rFonts w:hint="eastAsia" w:ascii="宋体" w:hAnsi="宋体" w:eastAsia="宋体" w:cs="宋体"/>
          <w:b/>
          <w:color w:val="auto"/>
          <w:sz w:val="32"/>
          <w:szCs w:val="32"/>
          <w:highlight w:val="none"/>
          <w:u w:val="single"/>
        </w:rPr>
        <w:t>）</w:t>
      </w:r>
    </w:p>
    <w:p w14:paraId="5D1CF542">
      <w:pPr>
        <w:pageBreakBefore w:val="0"/>
        <w:kinsoku/>
        <w:overflowPunct/>
        <w:topLinePunct w:val="0"/>
        <w:autoSpaceDE w:val="0"/>
        <w:autoSpaceDN w:val="0"/>
        <w:bidi w:val="0"/>
        <w:adjustRightInd w:val="0"/>
        <w:spacing w:beforeAutospacing="0" w:afterAutospacing="0" w:line="360" w:lineRule="auto"/>
        <w:ind w:firstLine="803" w:firstLineChars="250"/>
        <w:jc w:val="center"/>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法定代表人或其委托代理人：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lang w:eastAsia="zh-CN"/>
        </w:rPr>
        <w:t>电子签章</w:t>
      </w:r>
      <w:r>
        <w:rPr>
          <w:rFonts w:hint="eastAsia" w:ascii="宋体" w:hAnsi="宋体" w:eastAsia="宋体" w:cs="宋体"/>
          <w:b/>
          <w:color w:val="auto"/>
          <w:sz w:val="32"/>
          <w:szCs w:val="32"/>
          <w:highlight w:val="none"/>
          <w:u w:val="single"/>
        </w:rPr>
        <w:t>）</w:t>
      </w:r>
    </w:p>
    <w:p w14:paraId="06F2C76F">
      <w:pPr>
        <w:pageBreakBefore w:val="0"/>
        <w:kinsoku/>
        <w:overflowPunct/>
        <w:topLinePunct w:val="0"/>
        <w:bidi w:val="0"/>
        <w:spacing w:beforeAutospacing="0" w:afterAutospacing="0" w:line="360" w:lineRule="auto"/>
        <w:ind w:right="960" w:firstLine="803" w:firstLineChars="25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日</w:t>
      </w:r>
    </w:p>
    <w:p w14:paraId="57B77AF0">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6BF6F051">
      <w:pPr>
        <w:tabs>
          <w:tab w:val="left" w:pos="1021"/>
        </w:tabs>
        <w:spacing w:before="0"/>
        <w:ind w:left="0" w:firstLine="0"/>
        <w:jc w:val="center"/>
        <w:outlineLvl w:val="9"/>
        <w:rPr>
          <w:rFonts w:hint="eastAsia" w:ascii="宋体" w:hAnsi="宋体" w:eastAsia="宋体" w:cs="宋体"/>
          <w:caps w:val="0"/>
          <w:smallCaps w:val="0"/>
          <w:color w:val="auto"/>
          <w:spacing w:val="0"/>
          <w:sz w:val="32"/>
          <w:szCs w:val="32"/>
        </w:rPr>
      </w:pPr>
      <w:r>
        <w:rPr>
          <w:rFonts w:hint="eastAsia" w:ascii="宋体" w:hAnsi="宋体" w:eastAsia="宋体" w:cs="宋体"/>
          <w:caps w:val="0"/>
          <w:smallCaps w:val="0"/>
          <w:color w:val="auto"/>
          <w:spacing w:val="0"/>
          <w:sz w:val="32"/>
          <w:szCs w:val="32"/>
        </w:rPr>
        <w:t>目录</w:t>
      </w:r>
    </w:p>
    <w:p w14:paraId="76F41B2E">
      <w:pPr>
        <w:pageBreakBefore w:val="0"/>
        <w:kinsoku/>
        <w:overflowPunct/>
        <w:topLinePunct w:val="0"/>
        <w:bidi w:val="0"/>
        <w:spacing w:beforeAutospacing="0" w:afterAutospacing="0" w:line="360" w:lineRule="auto"/>
        <w:ind w:right="86" w:rightChars="0"/>
        <w:jc w:val="center"/>
        <w:rPr>
          <w:rFonts w:hint="eastAsia" w:ascii="宋体" w:hAnsi="宋体" w:eastAsia="宋体" w:cs="宋体"/>
          <w:b/>
          <w:color w:val="auto"/>
          <w:sz w:val="32"/>
          <w:szCs w:val="32"/>
          <w:highlight w:val="none"/>
        </w:rPr>
      </w:pPr>
      <w:r>
        <w:rPr>
          <w:rFonts w:hint="eastAsia" w:ascii="宋体" w:hAnsi="宋体" w:eastAsia="宋体" w:cs="宋体"/>
          <w:b/>
          <w:caps w:val="0"/>
          <w:smallCaps w:val="0"/>
          <w:color w:val="auto"/>
          <w:spacing w:val="0"/>
          <w:szCs w:val="21"/>
        </w:rPr>
        <w:t>（格式自拟）</w:t>
      </w:r>
    </w:p>
    <w:p w14:paraId="5F6A074A">
      <w:pPr>
        <w:pageBreakBefore w:val="0"/>
        <w:kinsoku/>
        <w:overflowPunct/>
        <w:topLinePunct w:val="0"/>
        <w:bidi w:val="0"/>
        <w:spacing w:beforeAutospacing="0" w:afterAutospacing="0" w:line="360" w:lineRule="auto"/>
        <w:rPr>
          <w:rFonts w:hint="eastAsia" w:ascii="宋体" w:hAnsi="宋体" w:eastAsia="宋体" w:cs="宋体"/>
          <w:b/>
          <w:bCs/>
          <w:color w:val="auto"/>
          <w:sz w:val="32"/>
          <w:szCs w:val="32"/>
          <w:highlight w:val="none"/>
        </w:rPr>
      </w:pPr>
      <w:bookmarkStart w:id="535" w:name="_Toc62031169"/>
      <w:r>
        <w:rPr>
          <w:rFonts w:hint="eastAsia" w:ascii="宋体" w:hAnsi="宋体" w:eastAsia="宋体" w:cs="宋体"/>
          <w:b/>
          <w:bCs/>
          <w:color w:val="auto"/>
          <w:sz w:val="32"/>
          <w:szCs w:val="32"/>
          <w:highlight w:val="none"/>
        </w:rPr>
        <w:br w:type="page"/>
      </w:r>
    </w:p>
    <w:p w14:paraId="2EF6011E">
      <w:pPr>
        <w:pStyle w:val="10"/>
        <w:pageBreakBefore w:val="0"/>
        <w:kinsoku/>
        <w:overflowPunct/>
        <w:topLinePunct w:val="0"/>
        <w:bidi w:val="0"/>
        <w:spacing w:beforeAutospacing="0" w:afterAutospacing="0" w:line="360" w:lineRule="auto"/>
        <w:ind w:firstLine="480"/>
        <w:rPr>
          <w:rFonts w:hint="eastAsia" w:ascii="宋体" w:hAnsi="宋体" w:eastAsia="宋体" w:cs="宋体"/>
          <w:b w:val="0"/>
          <w:bCs/>
          <w:caps w:val="0"/>
          <w:smallCaps w:val="0"/>
          <w:color w:val="auto"/>
          <w:spacing w:val="0"/>
          <w:sz w:val="21"/>
          <w:szCs w:val="21"/>
        </w:rPr>
      </w:pPr>
      <w:r>
        <w:rPr>
          <w:rFonts w:hint="eastAsia" w:ascii="宋体" w:hAnsi="宋体" w:eastAsia="宋体" w:cs="宋体"/>
          <w:b w:val="0"/>
          <w:bCs/>
          <w:caps w:val="0"/>
          <w:smallCaps w:val="0"/>
          <w:color w:val="auto"/>
          <w:spacing w:val="0"/>
          <w:sz w:val="21"/>
          <w:szCs w:val="21"/>
        </w:rPr>
        <w:t>注：投标人应填写和提交下述规定的有关资料。所附格式要求填写的全部内容都必须填写。投标人应保证全部声明和填写的内容是真实的和正确的。投标人提交的材料将被保密，但不退还。</w:t>
      </w:r>
    </w:p>
    <w:p w14:paraId="3D8F6EE1">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应符合《中华人民共和国政府采购法》第二十二条的要求：</w:t>
      </w:r>
    </w:p>
    <w:p w14:paraId="09648F00">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pacing w:val="-4"/>
          <w:sz w:val="24"/>
          <w:szCs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具有独立承担民事责任的能力：</w:t>
      </w:r>
      <w:r>
        <w:rPr>
          <w:rFonts w:hint="eastAsia" w:ascii="宋体" w:hAnsi="宋体" w:eastAsia="宋体" w:cs="宋体"/>
          <w:b w:val="0"/>
          <w:color w:val="auto"/>
          <w:spacing w:val="-4"/>
          <w:sz w:val="24"/>
          <w:szCs w:val="24"/>
          <w:highlight w:val="none"/>
          <w:lang w:eastAsia="zh-CN"/>
        </w:rPr>
        <w:t>投标人为法人、其他组织或者自然人，提供有效的营业执照或事业单位法人证书或民办非企业登记证书或执业许可证或社会团体登记证或自然人身份证明</w:t>
      </w:r>
      <w:r>
        <w:rPr>
          <w:rFonts w:hint="eastAsia" w:ascii="宋体" w:hAnsi="宋体" w:eastAsia="宋体" w:cs="宋体"/>
          <w:b w:val="0"/>
          <w:color w:val="auto"/>
          <w:spacing w:val="-4"/>
          <w:sz w:val="24"/>
          <w:szCs w:val="24"/>
          <w:highlight w:val="none"/>
        </w:rPr>
        <w:t>。</w:t>
      </w:r>
    </w:p>
    <w:p w14:paraId="1E5AE6E8">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具有良好的商业信誉和健全的财务会计制度：</w:t>
      </w:r>
    </w:p>
    <w:p w14:paraId="1C1D7832">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①在国家企业信用信息公示系统（www.gsxt.gov.cn）中未出现列入严重违法失信企业名单（黑名单）。参与本项目的投标人信用查询截止时点：投标文件递交截止当天查询（查询结果以采购人、采购代理机构查询结果为准，投标人无需提供，并将查询记录和证据留存）；</w:t>
      </w:r>
    </w:p>
    <w:p w14:paraId="6CC2BFD4">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②</w:t>
      </w:r>
      <w:r>
        <w:rPr>
          <w:rFonts w:hint="eastAsia" w:ascii="宋体" w:hAnsi="宋体" w:eastAsia="宋体" w:cs="宋体"/>
          <w:b w:val="0"/>
          <w:color w:val="auto"/>
          <w:sz w:val="24"/>
          <w:highlight w:val="none"/>
          <w:lang w:eastAsia="zh-CN"/>
        </w:rPr>
        <w:t>提供2022年至2024年任一年度经第三方审计的财务报告及报表（报表至少包括资产负债表、利润表、现金流量表，2023或2024年审计报告须附注册会计师行业统一监管平台验证码），事业单位可提供内部财务报表，未经审计或成立时间不足一年的，可提供自</w:t>
      </w:r>
      <w:r>
        <w:rPr>
          <w:rFonts w:hint="eastAsia" w:ascii="宋体" w:hAnsi="宋体" w:eastAsia="宋体" w:cs="宋体"/>
          <w:b w:val="0"/>
          <w:color w:val="auto"/>
          <w:sz w:val="24"/>
          <w:highlight w:val="none"/>
          <w:lang w:val="en-US" w:eastAsia="zh-CN"/>
        </w:rPr>
        <w:t>投标</w:t>
      </w:r>
      <w:r>
        <w:rPr>
          <w:rFonts w:hint="eastAsia" w:ascii="宋体" w:hAnsi="宋体" w:eastAsia="宋体" w:cs="宋体"/>
          <w:b w:val="0"/>
          <w:color w:val="auto"/>
          <w:sz w:val="24"/>
          <w:highlight w:val="none"/>
          <w:lang w:eastAsia="zh-CN"/>
        </w:rPr>
        <w:t>文件提交截止时间前三个月内银行出具的资信证明</w:t>
      </w:r>
      <w:r>
        <w:rPr>
          <w:rFonts w:hint="eastAsia" w:ascii="宋体" w:hAnsi="宋体" w:eastAsia="宋体" w:cs="宋体"/>
          <w:b w:val="0"/>
          <w:color w:val="auto"/>
          <w:sz w:val="24"/>
          <w:highlight w:val="none"/>
        </w:rPr>
        <w:t>。</w:t>
      </w:r>
    </w:p>
    <w:p w14:paraId="0290A902">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具有履行合同所必需的设备和专业技术能力：</w:t>
      </w:r>
      <w:r>
        <w:rPr>
          <w:rFonts w:hint="eastAsia" w:ascii="宋体" w:hAnsi="宋体" w:eastAsia="宋体" w:cs="宋体"/>
          <w:b w:val="0"/>
          <w:color w:val="auto"/>
          <w:sz w:val="24"/>
          <w:highlight w:val="none"/>
        </w:rPr>
        <w:t>提供相关证明材料或书面声明。</w:t>
      </w:r>
    </w:p>
    <w:p w14:paraId="4D4B5EE4">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有依法缴纳税收和社会保障资金的良好记录：</w:t>
      </w:r>
    </w:p>
    <w:p w14:paraId="73F01E5D">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rPr>
      </w:pPr>
      <w:r>
        <w:rPr>
          <w:rFonts w:hint="eastAsia" w:ascii="宋体" w:hAnsi="宋体" w:eastAsia="宋体" w:cs="宋体"/>
          <w:b w:val="0"/>
          <w:color w:val="auto"/>
          <w:spacing w:val="0"/>
          <w:sz w:val="24"/>
          <w:highlight w:val="none"/>
        </w:rPr>
        <w:t>①提供2024年</w:t>
      </w:r>
      <w:r>
        <w:rPr>
          <w:rFonts w:hint="eastAsia" w:ascii="宋体" w:hAnsi="宋体" w:eastAsia="宋体" w:cs="宋体"/>
          <w:b w:val="0"/>
          <w:color w:val="auto"/>
          <w:spacing w:val="0"/>
          <w:sz w:val="24"/>
          <w:highlight w:val="none"/>
          <w:lang w:val="en-US" w:eastAsia="zh-CN"/>
        </w:rPr>
        <w:t>1</w:t>
      </w:r>
      <w:r>
        <w:rPr>
          <w:rFonts w:hint="eastAsia" w:ascii="宋体" w:hAnsi="宋体" w:eastAsia="宋体" w:cs="宋体"/>
          <w:b w:val="0"/>
          <w:color w:val="auto"/>
          <w:spacing w:val="0"/>
          <w:sz w:val="24"/>
          <w:highlight w:val="none"/>
        </w:rPr>
        <w:t>月至今任意2个月依法缴纳税收和缴纳社会保障资金的证明(成立未满2个月的提供成立以来的税收和社会保障资金缴纳凭证或相关情况说明；依法免税或不需要缴纳社会保障资金的，应提供相应文件证明其依法免税或不需要缴纳社会保障资金)。</w:t>
      </w:r>
    </w:p>
    <w:p w14:paraId="3A758BAA">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参与本次政府采购活动前三年内，在经营活动中没有重大违法记录：</w:t>
      </w:r>
      <w:r>
        <w:rPr>
          <w:rFonts w:hint="eastAsia" w:ascii="宋体" w:hAnsi="宋体" w:eastAsia="宋体" w:cs="宋体"/>
          <w:b w:val="0"/>
          <w:color w:val="auto"/>
          <w:sz w:val="24"/>
          <w:highlight w:val="none"/>
        </w:rPr>
        <w:t>提供参加本次政府采购活动前三年内在经营活动中没有重大违法记录的书面声明。</w:t>
      </w:r>
    </w:p>
    <w:p w14:paraId="59296766">
      <w:pPr>
        <w:pStyle w:val="10"/>
        <w:pageBreakBefore w:val="0"/>
        <w:kinsoku/>
        <w:overflowPunct/>
        <w:topLinePunct w:val="0"/>
        <w:bidi w:val="0"/>
        <w:spacing w:beforeAutospacing="0" w:afterAutospacing="0" w:line="360" w:lineRule="auto"/>
        <w:ind w:firstLine="48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6.法律、行政法规规定的其他条件：</w:t>
      </w:r>
    </w:p>
    <w:p w14:paraId="2A6C5DB5">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投标人无需提供，并将查询记录和证据留存）；</w:t>
      </w:r>
    </w:p>
    <w:p w14:paraId="0755C1F3">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②本次招标不接受联合体投标：提供承诺或书面声明；</w:t>
      </w:r>
    </w:p>
    <w:p w14:paraId="3BBAE83A">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③不存在《中华人民共和国政府采购法实施条例》第十八条规定情形：即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4EB95698">
      <w:pPr>
        <w:pStyle w:val="10"/>
        <w:pageBreakBefore w:val="0"/>
        <w:kinsoku/>
        <w:overflowPunct/>
        <w:topLinePunct w:val="0"/>
        <w:bidi w:val="0"/>
        <w:spacing w:beforeAutospacing="0" w:afterAutospacing="0" w:line="360" w:lineRule="auto"/>
        <w:ind w:firstLine="48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二、本项目的特定资格要求：</w:t>
      </w:r>
      <w:r>
        <w:rPr>
          <w:rFonts w:hint="eastAsia" w:ascii="宋体" w:hAnsi="宋体" w:eastAsia="宋体" w:cs="宋体"/>
          <w:b w:val="0"/>
          <w:bCs w:val="0"/>
          <w:color w:val="auto"/>
          <w:sz w:val="24"/>
          <w:highlight w:val="none"/>
          <w:lang w:val="en-US" w:eastAsia="zh-CN"/>
        </w:rPr>
        <w:t>无。</w:t>
      </w:r>
    </w:p>
    <w:p w14:paraId="4A477230">
      <w:pPr>
        <w:pStyle w:val="10"/>
        <w:pageBreakBefore w:val="0"/>
        <w:kinsoku/>
        <w:overflowPunct/>
        <w:topLinePunct w:val="0"/>
        <w:bidi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其他要求</w:t>
      </w:r>
    </w:p>
    <w:p w14:paraId="7EBD22BF">
      <w:pPr>
        <w:pStyle w:val="10"/>
        <w:pageBreakBefore w:val="0"/>
        <w:kinsoku/>
        <w:overflowPunct/>
        <w:topLinePunct w:val="0"/>
        <w:bidi w:val="0"/>
        <w:spacing w:beforeAutospacing="0" w:afterAutospacing="0" w:line="360" w:lineRule="auto"/>
        <w:ind w:firstLine="480"/>
        <w:rPr>
          <w:rFonts w:hint="eastAsia" w:ascii="宋体" w:hAnsi="宋体" w:eastAsia="宋体" w:cs="宋体"/>
          <w:b w:val="0"/>
          <w:color w:val="auto"/>
          <w:spacing w:val="0"/>
          <w:sz w:val="24"/>
          <w:highlight w:val="none"/>
        </w:rPr>
      </w:pPr>
      <w:r>
        <w:rPr>
          <w:rFonts w:hint="eastAsia" w:ascii="宋体" w:hAnsi="宋体" w:eastAsia="宋体" w:cs="宋体"/>
          <w:b/>
          <w:bCs/>
          <w:color w:val="auto"/>
          <w:spacing w:val="0"/>
          <w:sz w:val="24"/>
          <w:highlight w:val="none"/>
          <w:lang w:val="en-US" w:eastAsia="zh-CN"/>
        </w:rPr>
        <w:t>1.</w:t>
      </w:r>
      <w:r>
        <w:rPr>
          <w:rFonts w:hint="eastAsia" w:ascii="宋体" w:hAnsi="宋体" w:eastAsia="宋体" w:cs="宋体"/>
          <w:b/>
          <w:bCs/>
          <w:color w:val="auto"/>
          <w:spacing w:val="0"/>
          <w:sz w:val="24"/>
          <w:highlight w:val="none"/>
        </w:rPr>
        <w:t>投标保证金</w:t>
      </w:r>
      <w:r>
        <w:rPr>
          <w:rFonts w:hint="eastAsia" w:ascii="宋体" w:hAnsi="宋体" w:eastAsia="宋体" w:cs="宋体"/>
          <w:b/>
          <w:bCs/>
          <w:color w:val="auto"/>
          <w:spacing w:val="0"/>
          <w:sz w:val="24"/>
          <w:highlight w:val="none"/>
          <w:lang w:eastAsia="zh-CN"/>
        </w:rPr>
        <w:t>：</w:t>
      </w:r>
      <w:r>
        <w:rPr>
          <w:rFonts w:hint="eastAsia" w:ascii="宋体" w:hAnsi="宋体" w:eastAsia="宋体" w:cs="宋体"/>
          <w:b w:val="0"/>
          <w:color w:val="auto"/>
          <w:spacing w:val="0"/>
          <w:sz w:val="24"/>
          <w:highlight w:val="none"/>
        </w:rPr>
        <w:t>提供</w:t>
      </w:r>
      <w:r>
        <w:rPr>
          <w:rFonts w:hint="eastAsia" w:ascii="宋体" w:hAnsi="宋体" w:eastAsia="宋体" w:cs="宋体"/>
          <w:b w:val="0"/>
          <w:color w:val="auto"/>
          <w:spacing w:val="0"/>
          <w:sz w:val="24"/>
          <w:highlight w:val="none"/>
          <w:lang w:eastAsia="zh-CN"/>
        </w:rPr>
        <w:t>投标保证金</w:t>
      </w:r>
      <w:r>
        <w:rPr>
          <w:rFonts w:hint="eastAsia" w:ascii="宋体" w:hAnsi="宋体" w:eastAsia="宋体" w:cs="宋体"/>
          <w:b w:val="0"/>
          <w:color w:val="auto"/>
          <w:spacing w:val="0"/>
          <w:sz w:val="24"/>
          <w:highlight w:val="none"/>
        </w:rPr>
        <w:t>缴纳凭证；</w:t>
      </w:r>
    </w:p>
    <w:p w14:paraId="7D1B9BE3">
      <w:pPr>
        <w:pageBreakBefore w:val="0"/>
        <w:kinsoku/>
        <w:overflowPunct/>
        <w:topLinePunct w:val="0"/>
        <w:bidi w:val="0"/>
        <w:spacing w:beforeAutospacing="0" w:afterAutospacing="0" w:line="360" w:lineRule="auto"/>
        <w:ind w:firstLine="482" w:firstLineChars="200"/>
        <w:jc w:val="left"/>
        <w:rPr>
          <w:rFonts w:hint="eastAsia" w:ascii="宋体" w:hAnsi="宋体" w:eastAsia="宋体" w:cs="宋体"/>
          <w:b w:val="0"/>
          <w:color w:val="auto"/>
          <w:spacing w:val="0"/>
          <w:sz w:val="24"/>
          <w:highlight w:val="none"/>
        </w:rPr>
      </w:pPr>
      <w:r>
        <w:rPr>
          <w:rFonts w:hint="eastAsia" w:ascii="宋体" w:hAnsi="宋体" w:eastAsia="宋体" w:cs="宋体"/>
          <w:b/>
          <w:bCs/>
          <w:color w:val="auto"/>
          <w:spacing w:val="0"/>
          <w:sz w:val="24"/>
          <w:highlight w:val="none"/>
        </w:rPr>
        <w:t>2.投标人认为需要提交的其他资格证明材料。</w:t>
      </w:r>
      <w:r>
        <w:rPr>
          <w:rFonts w:hint="eastAsia" w:ascii="宋体" w:hAnsi="宋体" w:eastAsia="宋体" w:cs="宋体"/>
          <w:b w:val="0"/>
          <w:color w:val="auto"/>
          <w:spacing w:val="0"/>
          <w:sz w:val="24"/>
          <w:highlight w:val="none"/>
        </w:rPr>
        <w:t>（格式自拟）</w:t>
      </w:r>
    </w:p>
    <w:p w14:paraId="64F55569">
      <w:pPr>
        <w:rPr>
          <w:rFonts w:hint="eastAsia" w:ascii="宋体" w:hAnsi="宋体" w:eastAsia="宋体" w:cs="宋体"/>
          <w:b w:val="0"/>
          <w:color w:val="auto"/>
          <w:spacing w:val="0"/>
          <w:sz w:val="24"/>
          <w:highlight w:val="none"/>
          <w:lang w:val="en-US" w:eastAsia="zh-CN"/>
        </w:rPr>
      </w:pPr>
      <w:r>
        <w:rPr>
          <w:rFonts w:hint="eastAsia" w:ascii="宋体" w:hAnsi="宋体" w:eastAsia="宋体" w:cs="宋体"/>
          <w:b w:val="0"/>
          <w:color w:val="auto"/>
          <w:spacing w:val="0"/>
          <w:sz w:val="24"/>
          <w:highlight w:val="none"/>
          <w:lang w:val="en-US" w:eastAsia="zh-CN"/>
        </w:rPr>
        <w:br w:type="page"/>
      </w:r>
    </w:p>
    <w:p w14:paraId="7F5EACD0">
      <w:pPr>
        <w:spacing w:line="720" w:lineRule="auto"/>
        <w:jc w:val="center"/>
        <w:rPr>
          <w:rFonts w:hint="eastAsia" w:ascii="宋体" w:hAnsi="宋体" w:eastAsia="宋体" w:cs="宋体"/>
          <w:caps w:val="0"/>
          <w:smallCaps w:val="0"/>
          <w:color w:val="auto"/>
          <w:spacing w:val="0"/>
          <w:sz w:val="40"/>
          <w:szCs w:val="40"/>
          <w:lang w:eastAsia="zh-CN"/>
        </w:rPr>
      </w:pPr>
      <w:r>
        <w:rPr>
          <w:rFonts w:hint="eastAsia" w:ascii="宋体" w:hAnsi="宋体" w:cs="宋体"/>
          <w:b/>
          <w:bCs/>
          <w:caps w:val="0"/>
          <w:smallCaps w:val="0"/>
          <w:color w:val="auto"/>
          <w:spacing w:val="0"/>
          <w:sz w:val="56"/>
          <w:szCs w:val="56"/>
          <w:lang w:eastAsia="zh-CN"/>
        </w:rPr>
        <w:t>超高效液相色谱三重四级杆质谱联用仪</w:t>
      </w:r>
    </w:p>
    <w:p w14:paraId="7602979E">
      <w:pPr>
        <w:spacing w:line="360" w:lineRule="auto"/>
        <w:jc w:val="center"/>
        <w:rPr>
          <w:rFonts w:hint="eastAsia" w:ascii="宋体" w:hAnsi="宋体" w:eastAsia="宋体" w:cs="宋体"/>
          <w:caps w:val="0"/>
          <w:smallCaps w:val="0"/>
          <w:color w:val="auto"/>
          <w:spacing w:val="0"/>
          <w:sz w:val="24"/>
        </w:rPr>
      </w:pPr>
    </w:p>
    <w:p w14:paraId="3124F838">
      <w:pPr>
        <w:spacing w:line="360" w:lineRule="auto"/>
        <w:jc w:val="center"/>
        <w:rPr>
          <w:rFonts w:hint="eastAsia" w:ascii="宋体" w:hAnsi="宋体" w:eastAsia="宋体" w:cs="宋体"/>
          <w:caps w:val="0"/>
          <w:smallCaps w:val="0"/>
          <w:color w:val="auto"/>
          <w:spacing w:val="0"/>
          <w:sz w:val="24"/>
        </w:rPr>
      </w:pPr>
    </w:p>
    <w:p w14:paraId="5FC2E1B9">
      <w:pPr>
        <w:rPr>
          <w:rFonts w:hint="eastAsia" w:ascii="宋体" w:hAnsi="宋体" w:eastAsia="宋体" w:cs="宋体"/>
          <w:caps w:val="0"/>
          <w:smallCaps w:val="0"/>
          <w:color w:val="auto"/>
          <w:spacing w:val="0"/>
        </w:rPr>
      </w:pPr>
    </w:p>
    <w:p w14:paraId="63DEEC81">
      <w:pPr>
        <w:pStyle w:val="14"/>
        <w:spacing w:line="360" w:lineRule="auto"/>
        <w:jc w:val="center"/>
        <w:rPr>
          <w:rFonts w:hint="eastAsia" w:ascii="宋体" w:hAnsi="宋体" w:eastAsia="宋体" w:cs="宋体"/>
          <w:b/>
          <w:caps w:val="0"/>
          <w:smallCaps w:val="0"/>
          <w:color w:val="auto"/>
          <w:spacing w:val="0"/>
          <w:sz w:val="96"/>
          <w:szCs w:val="96"/>
        </w:rPr>
      </w:pPr>
    </w:p>
    <w:p w14:paraId="1614BDA0">
      <w:pPr>
        <w:pStyle w:val="14"/>
        <w:spacing w:line="360" w:lineRule="auto"/>
        <w:jc w:val="center"/>
        <w:rPr>
          <w:rFonts w:hint="eastAsia" w:ascii="宋体" w:hAnsi="宋体" w:eastAsia="宋体" w:cs="宋体"/>
          <w:b/>
          <w:caps w:val="0"/>
          <w:smallCaps w:val="0"/>
          <w:color w:val="auto"/>
          <w:spacing w:val="0"/>
          <w:sz w:val="96"/>
          <w:szCs w:val="96"/>
        </w:rPr>
      </w:pPr>
    </w:p>
    <w:p w14:paraId="6B14101D">
      <w:pPr>
        <w:pStyle w:val="14"/>
        <w:spacing w:line="360" w:lineRule="auto"/>
        <w:jc w:val="center"/>
        <w:rPr>
          <w:rFonts w:hint="eastAsia" w:ascii="宋体" w:hAnsi="宋体" w:eastAsia="宋体" w:cs="宋体"/>
          <w:b/>
          <w:caps w:val="0"/>
          <w:smallCaps w:val="0"/>
          <w:color w:val="auto"/>
          <w:spacing w:val="0"/>
          <w:sz w:val="96"/>
          <w:szCs w:val="96"/>
        </w:rPr>
      </w:pPr>
      <w:r>
        <w:rPr>
          <w:rFonts w:hint="eastAsia" w:ascii="宋体" w:hAnsi="宋体" w:eastAsia="宋体" w:cs="宋体"/>
          <w:b/>
          <w:caps w:val="0"/>
          <w:smallCaps w:val="0"/>
          <w:color w:val="auto"/>
          <w:spacing w:val="0"/>
          <w:sz w:val="96"/>
          <w:szCs w:val="96"/>
        </w:rPr>
        <w:t>投标文件</w:t>
      </w:r>
    </w:p>
    <w:p w14:paraId="7C1AFA1D">
      <w:pPr>
        <w:pStyle w:val="14"/>
        <w:spacing w:line="360" w:lineRule="auto"/>
        <w:jc w:val="center"/>
        <w:outlineLvl w:val="1"/>
        <w:rPr>
          <w:rFonts w:hint="eastAsia" w:ascii="宋体" w:hAnsi="宋体" w:eastAsia="宋体" w:cs="宋体"/>
          <w:b/>
          <w:caps w:val="0"/>
          <w:smallCaps w:val="0"/>
          <w:color w:val="auto"/>
          <w:spacing w:val="0"/>
          <w:sz w:val="96"/>
          <w:szCs w:val="96"/>
          <w:lang w:eastAsia="zh-CN"/>
        </w:rPr>
      </w:pPr>
      <w:bookmarkStart w:id="536" w:name="_Toc1823"/>
      <w:r>
        <w:rPr>
          <w:rFonts w:hint="eastAsia" w:ascii="宋体" w:hAnsi="宋体" w:eastAsia="宋体" w:cs="宋体"/>
          <w:b/>
          <w:caps w:val="0"/>
          <w:smallCaps w:val="0"/>
          <w:color w:val="auto"/>
          <w:spacing w:val="0"/>
          <w:sz w:val="44"/>
          <w:szCs w:val="44"/>
          <w:lang w:eastAsia="zh-CN"/>
        </w:rPr>
        <w:t>（</w:t>
      </w:r>
      <w:r>
        <w:rPr>
          <w:rFonts w:hint="eastAsia" w:ascii="宋体" w:hAnsi="宋体" w:eastAsia="宋体" w:cs="宋体"/>
          <w:b/>
          <w:caps w:val="0"/>
          <w:smallCaps w:val="0"/>
          <w:color w:val="auto"/>
          <w:spacing w:val="0"/>
          <w:sz w:val="44"/>
          <w:szCs w:val="44"/>
          <w:lang w:val="en-US" w:eastAsia="zh-CN"/>
        </w:rPr>
        <w:t>投标报价部分</w:t>
      </w:r>
      <w:r>
        <w:rPr>
          <w:rFonts w:hint="eastAsia" w:ascii="宋体" w:hAnsi="宋体" w:eastAsia="宋体" w:cs="宋体"/>
          <w:b/>
          <w:caps w:val="0"/>
          <w:smallCaps w:val="0"/>
          <w:color w:val="auto"/>
          <w:spacing w:val="0"/>
          <w:sz w:val="44"/>
          <w:szCs w:val="44"/>
          <w:lang w:eastAsia="zh-CN"/>
        </w:rPr>
        <w:t>）</w:t>
      </w:r>
      <w:bookmarkEnd w:id="536"/>
    </w:p>
    <w:p w14:paraId="6FB1CF84">
      <w:pPr>
        <w:pStyle w:val="14"/>
        <w:spacing w:line="360" w:lineRule="auto"/>
        <w:jc w:val="center"/>
        <w:rPr>
          <w:rFonts w:hint="eastAsia" w:ascii="宋体" w:hAnsi="宋体" w:eastAsia="宋体" w:cs="宋体"/>
          <w:b/>
          <w:caps w:val="0"/>
          <w:smallCaps w:val="0"/>
          <w:color w:val="auto"/>
          <w:spacing w:val="0"/>
          <w:sz w:val="36"/>
          <w:szCs w:val="36"/>
          <w:lang w:val="en-US" w:eastAsia="zh-CN"/>
        </w:rPr>
      </w:pPr>
      <w:r>
        <w:rPr>
          <w:rFonts w:hint="eastAsia" w:ascii="宋体" w:hAnsi="宋体" w:eastAsia="宋体" w:cs="宋体"/>
          <w:b/>
          <w:caps w:val="0"/>
          <w:smallCaps w:val="0"/>
          <w:color w:val="auto"/>
          <w:spacing w:val="0"/>
          <w:sz w:val="36"/>
          <w:szCs w:val="36"/>
        </w:rPr>
        <w:t>项目编号：</w:t>
      </w:r>
      <w:r>
        <w:rPr>
          <w:rFonts w:hint="eastAsia" w:hAnsi="宋体" w:cs="宋体"/>
          <w:b/>
          <w:caps w:val="0"/>
          <w:smallCaps w:val="0"/>
          <w:color w:val="auto"/>
          <w:spacing w:val="0"/>
          <w:sz w:val="36"/>
          <w:szCs w:val="36"/>
          <w:lang w:eastAsia="zh-CN"/>
        </w:rPr>
        <w:t>YNZC2025-G1-03229-YNGH-0168</w:t>
      </w:r>
    </w:p>
    <w:p w14:paraId="134052A1">
      <w:pPr>
        <w:spacing w:line="360" w:lineRule="auto"/>
        <w:jc w:val="center"/>
        <w:rPr>
          <w:rFonts w:hint="eastAsia" w:ascii="宋体" w:hAnsi="宋体" w:eastAsia="宋体" w:cs="宋体"/>
          <w:caps w:val="0"/>
          <w:smallCaps w:val="0"/>
          <w:color w:val="auto"/>
          <w:spacing w:val="0"/>
          <w:sz w:val="24"/>
        </w:rPr>
      </w:pPr>
    </w:p>
    <w:p w14:paraId="2E7A74FE">
      <w:pPr>
        <w:spacing w:line="360" w:lineRule="auto"/>
        <w:jc w:val="center"/>
        <w:rPr>
          <w:rFonts w:hint="eastAsia" w:ascii="宋体" w:hAnsi="宋体" w:eastAsia="宋体" w:cs="宋体"/>
          <w:caps w:val="0"/>
          <w:smallCaps w:val="0"/>
          <w:color w:val="auto"/>
          <w:spacing w:val="0"/>
          <w:sz w:val="24"/>
        </w:rPr>
      </w:pPr>
    </w:p>
    <w:p w14:paraId="4A4EC838">
      <w:pPr>
        <w:pStyle w:val="10"/>
        <w:rPr>
          <w:rFonts w:hint="eastAsia" w:ascii="宋体" w:hAnsi="宋体" w:eastAsia="宋体" w:cs="宋体"/>
          <w:caps w:val="0"/>
          <w:smallCaps w:val="0"/>
          <w:color w:val="auto"/>
          <w:spacing w:val="0"/>
          <w:sz w:val="24"/>
        </w:rPr>
      </w:pPr>
    </w:p>
    <w:p w14:paraId="2D0E7B6D">
      <w:pPr>
        <w:spacing w:line="360" w:lineRule="auto"/>
        <w:jc w:val="both"/>
        <w:rPr>
          <w:rFonts w:hint="eastAsia" w:ascii="宋体" w:hAnsi="宋体" w:eastAsia="宋体" w:cs="宋体"/>
          <w:caps w:val="0"/>
          <w:smallCaps w:val="0"/>
          <w:color w:val="auto"/>
          <w:spacing w:val="0"/>
          <w:sz w:val="24"/>
        </w:rPr>
      </w:pPr>
    </w:p>
    <w:p w14:paraId="6694B694">
      <w:pPr>
        <w:rPr>
          <w:rFonts w:hint="eastAsia" w:ascii="宋体" w:hAnsi="宋体" w:eastAsia="宋体" w:cs="宋体"/>
          <w:caps w:val="0"/>
          <w:smallCaps w:val="0"/>
          <w:color w:val="auto"/>
          <w:spacing w:val="0"/>
        </w:rPr>
      </w:pPr>
    </w:p>
    <w:p w14:paraId="4BBFE67E">
      <w:pPr>
        <w:spacing w:line="800" w:lineRule="exact"/>
        <w:rPr>
          <w:rFonts w:hint="eastAsia" w:ascii="宋体" w:hAnsi="宋体" w:eastAsia="宋体" w:cs="宋体"/>
          <w:caps w:val="0"/>
          <w:smallCaps w:val="0"/>
          <w:color w:val="auto"/>
          <w:spacing w:val="0"/>
          <w:sz w:val="24"/>
        </w:rPr>
      </w:pPr>
    </w:p>
    <w:p w14:paraId="6E724921">
      <w:pPr>
        <w:spacing w:line="800" w:lineRule="exact"/>
        <w:ind w:firstLine="1980" w:firstLineChars="825"/>
        <w:rPr>
          <w:rFonts w:hint="eastAsia" w:ascii="宋体" w:hAnsi="宋体" w:eastAsia="宋体" w:cs="宋体"/>
          <w:caps w:val="0"/>
          <w:smallCaps w:val="0"/>
          <w:color w:val="auto"/>
          <w:spacing w:val="0"/>
          <w:sz w:val="24"/>
        </w:rPr>
      </w:pPr>
      <w:r>
        <w:rPr>
          <w:rFonts w:hint="eastAsia" w:ascii="宋体" w:hAnsi="宋体" w:eastAsia="宋体" w:cs="宋体"/>
          <w:caps w:val="0"/>
          <w:smallCaps w:val="0"/>
          <w:color w:val="auto"/>
          <w:spacing w:val="0"/>
          <w:sz w:val="24"/>
          <w:lang w:eastAsia="zh-CN"/>
        </w:rPr>
        <w:t>投标人</w:t>
      </w:r>
      <w:r>
        <w:rPr>
          <w:rFonts w:hint="eastAsia" w:ascii="宋体" w:hAnsi="宋体" w:eastAsia="宋体" w:cs="宋体"/>
          <w:caps w:val="0"/>
          <w:smallCaps w:val="0"/>
          <w:color w:val="auto"/>
          <w:spacing w:val="0"/>
          <w:sz w:val="24"/>
        </w:rPr>
        <w:t>：</w:t>
      </w:r>
      <w:r>
        <w:rPr>
          <w:rFonts w:hint="eastAsia" w:ascii="宋体" w:hAnsi="宋体" w:eastAsia="宋体" w:cs="宋体"/>
          <w:caps w:val="0"/>
          <w:smallCaps w:val="0"/>
          <w:color w:val="auto"/>
          <w:spacing w:val="0"/>
          <w:sz w:val="24"/>
          <w:u w:val="single"/>
        </w:rPr>
        <w:t xml:space="preserve">                                   </w:t>
      </w:r>
      <w:r>
        <w:rPr>
          <w:rFonts w:hint="eastAsia" w:ascii="宋体" w:hAnsi="宋体" w:eastAsia="宋体" w:cs="宋体"/>
          <w:caps w:val="0"/>
          <w:smallCaps w:val="0"/>
          <w:color w:val="auto"/>
          <w:spacing w:val="0"/>
          <w:sz w:val="24"/>
        </w:rPr>
        <w:t>（</w:t>
      </w:r>
      <w:r>
        <w:rPr>
          <w:rFonts w:hint="eastAsia" w:ascii="宋体" w:hAnsi="宋体" w:eastAsia="宋体" w:cs="宋体"/>
          <w:caps w:val="0"/>
          <w:smallCaps w:val="0"/>
          <w:color w:val="auto"/>
          <w:spacing w:val="0"/>
          <w:sz w:val="24"/>
          <w:lang w:val="en-US" w:eastAsia="zh-CN"/>
        </w:rPr>
        <w:t>电子签章</w:t>
      </w:r>
      <w:r>
        <w:rPr>
          <w:rFonts w:hint="eastAsia" w:ascii="宋体" w:hAnsi="宋体" w:eastAsia="宋体" w:cs="宋体"/>
          <w:caps w:val="0"/>
          <w:smallCaps w:val="0"/>
          <w:color w:val="auto"/>
          <w:spacing w:val="0"/>
          <w:sz w:val="24"/>
        </w:rPr>
        <w:t>）</w:t>
      </w:r>
    </w:p>
    <w:p w14:paraId="03634723">
      <w:pPr>
        <w:spacing w:line="800" w:lineRule="exact"/>
        <w:ind w:firstLine="1980" w:firstLineChars="825"/>
        <w:rPr>
          <w:rFonts w:hint="eastAsia" w:ascii="宋体" w:hAnsi="宋体" w:eastAsia="宋体" w:cs="宋体"/>
          <w:caps w:val="0"/>
          <w:smallCaps w:val="0"/>
          <w:color w:val="auto"/>
          <w:spacing w:val="0"/>
          <w:sz w:val="24"/>
        </w:rPr>
      </w:pPr>
      <w:r>
        <w:rPr>
          <w:rFonts w:hint="eastAsia" w:ascii="宋体" w:hAnsi="宋体" w:eastAsia="宋体" w:cs="宋体"/>
          <w:caps w:val="0"/>
          <w:smallCaps w:val="0"/>
          <w:color w:val="auto"/>
          <w:spacing w:val="0"/>
          <w:sz w:val="24"/>
        </w:rPr>
        <w:t>法定代表人或其委托代理人：</w:t>
      </w:r>
      <w:r>
        <w:rPr>
          <w:rFonts w:hint="eastAsia" w:ascii="宋体" w:hAnsi="宋体" w:eastAsia="宋体" w:cs="宋体"/>
          <w:caps w:val="0"/>
          <w:smallCaps w:val="0"/>
          <w:color w:val="auto"/>
          <w:spacing w:val="0"/>
          <w:sz w:val="24"/>
          <w:u w:val="single"/>
        </w:rPr>
        <w:t xml:space="preserve">                  </w:t>
      </w:r>
      <w:r>
        <w:rPr>
          <w:rFonts w:hint="eastAsia" w:ascii="宋体" w:hAnsi="宋体" w:eastAsia="宋体" w:cs="宋体"/>
          <w:caps w:val="0"/>
          <w:smallCaps w:val="0"/>
          <w:color w:val="auto"/>
          <w:spacing w:val="0"/>
          <w:sz w:val="24"/>
        </w:rPr>
        <w:t>（</w:t>
      </w:r>
      <w:r>
        <w:rPr>
          <w:rFonts w:hint="eastAsia" w:ascii="宋体" w:hAnsi="宋体" w:eastAsia="宋体" w:cs="宋体"/>
          <w:caps w:val="0"/>
          <w:smallCaps w:val="0"/>
          <w:color w:val="auto"/>
          <w:spacing w:val="0"/>
          <w:sz w:val="24"/>
          <w:lang w:val="en-US" w:eastAsia="zh-CN"/>
        </w:rPr>
        <w:t>电子签章</w:t>
      </w:r>
      <w:r>
        <w:rPr>
          <w:rFonts w:hint="eastAsia" w:ascii="宋体" w:hAnsi="宋体" w:eastAsia="宋体" w:cs="宋体"/>
          <w:caps w:val="0"/>
          <w:smallCaps w:val="0"/>
          <w:color w:val="auto"/>
          <w:spacing w:val="0"/>
          <w:sz w:val="24"/>
        </w:rPr>
        <w:t>）</w:t>
      </w:r>
    </w:p>
    <w:p w14:paraId="50060226">
      <w:pPr>
        <w:spacing w:line="800" w:lineRule="exact"/>
        <w:ind w:firstLine="2940" w:firstLineChars="1225"/>
        <w:rPr>
          <w:rFonts w:hint="eastAsia" w:ascii="宋体" w:hAnsi="宋体" w:eastAsia="宋体" w:cs="宋体"/>
          <w:caps w:val="0"/>
          <w:smallCaps w:val="0"/>
          <w:color w:val="auto"/>
          <w:spacing w:val="0"/>
          <w:sz w:val="24"/>
        </w:rPr>
      </w:pPr>
      <w:r>
        <w:rPr>
          <w:rFonts w:hint="eastAsia" w:ascii="宋体" w:hAnsi="宋体" w:eastAsia="宋体" w:cs="宋体"/>
          <w:caps w:val="0"/>
          <w:smallCaps w:val="0"/>
          <w:color w:val="auto"/>
          <w:spacing w:val="0"/>
          <w:sz w:val="24"/>
          <w:u w:val="single"/>
        </w:rPr>
        <w:t xml:space="preserve">            </w:t>
      </w:r>
      <w:r>
        <w:rPr>
          <w:rFonts w:hint="eastAsia" w:ascii="宋体" w:hAnsi="宋体" w:eastAsia="宋体" w:cs="宋体"/>
          <w:caps w:val="0"/>
          <w:smallCaps w:val="0"/>
          <w:color w:val="auto"/>
          <w:spacing w:val="0"/>
          <w:sz w:val="24"/>
        </w:rPr>
        <w:t>年</w:t>
      </w:r>
      <w:r>
        <w:rPr>
          <w:rFonts w:hint="eastAsia" w:ascii="宋体" w:hAnsi="宋体" w:eastAsia="宋体" w:cs="宋体"/>
          <w:caps w:val="0"/>
          <w:smallCaps w:val="0"/>
          <w:color w:val="auto"/>
          <w:spacing w:val="0"/>
          <w:sz w:val="24"/>
          <w:u w:val="single"/>
        </w:rPr>
        <w:t xml:space="preserve">       </w:t>
      </w:r>
      <w:r>
        <w:rPr>
          <w:rFonts w:hint="eastAsia" w:ascii="宋体" w:hAnsi="宋体" w:eastAsia="宋体" w:cs="宋体"/>
          <w:caps w:val="0"/>
          <w:smallCaps w:val="0"/>
          <w:color w:val="auto"/>
          <w:spacing w:val="0"/>
          <w:sz w:val="24"/>
        </w:rPr>
        <w:t>月</w:t>
      </w:r>
      <w:r>
        <w:rPr>
          <w:rFonts w:hint="eastAsia" w:ascii="宋体" w:hAnsi="宋体" w:eastAsia="宋体" w:cs="宋体"/>
          <w:caps w:val="0"/>
          <w:smallCaps w:val="0"/>
          <w:color w:val="auto"/>
          <w:spacing w:val="0"/>
          <w:sz w:val="24"/>
          <w:u w:val="single"/>
        </w:rPr>
        <w:t xml:space="preserve">       </w:t>
      </w:r>
      <w:r>
        <w:rPr>
          <w:rFonts w:hint="eastAsia" w:ascii="宋体" w:hAnsi="宋体" w:eastAsia="宋体" w:cs="宋体"/>
          <w:caps w:val="0"/>
          <w:smallCaps w:val="0"/>
          <w:color w:val="auto"/>
          <w:spacing w:val="0"/>
          <w:sz w:val="24"/>
        </w:rPr>
        <w:t>日</w:t>
      </w:r>
    </w:p>
    <w:p w14:paraId="5472B96D">
      <w:pPr>
        <w:tabs>
          <w:tab w:val="left" w:pos="1021"/>
        </w:tabs>
        <w:spacing w:before="0"/>
        <w:ind w:left="0" w:firstLine="0"/>
        <w:outlineLvl w:val="9"/>
        <w:rPr>
          <w:rFonts w:hint="eastAsia" w:ascii="宋体" w:hAnsi="宋体" w:eastAsia="宋体" w:cs="宋体"/>
          <w:caps w:val="0"/>
          <w:smallCaps w:val="0"/>
          <w:color w:val="auto"/>
          <w:spacing w:val="0"/>
          <w:sz w:val="24"/>
        </w:rPr>
      </w:pPr>
    </w:p>
    <w:p w14:paraId="78D55B09">
      <w:pPr>
        <w:tabs>
          <w:tab w:val="left" w:pos="1021"/>
        </w:tabs>
        <w:spacing w:before="0"/>
        <w:ind w:left="0" w:firstLine="0"/>
        <w:jc w:val="center"/>
        <w:outlineLvl w:val="9"/>
        <w:rPr>
          <w:rFonts w:hint="eastAsia" w:ascii="宋体" w:hAnsi="宋体" w:eastAsia="宋体" w:cs="宋体"/>
          <w:caps w:val="0"/>
          <w:smallCaps w:val="0"/>
          <w:color w:val="auto"/>
          <w:spacing w:val="0"/>
          <w:sz w:val="32"/>
          <w:szCs w:val="32"/>
        </w:rPr>
      </w:pPr>
      <w:r>
        <w:rPr>
          <w:rFonts w:hint="eastAsia" w:ascii="宋体" w:hAnsi="宋体" w:eastAsia="宋体" w:cs="宋体"/>
          <w:caps w:val="0"/>
          <w:smallCaps w:val="0"/>
          <w:spacing w:val="0"/>
        </w:rPr>
        <w:br w:type="page"/>
      </w:r>
      <w:r>
        <w:rPr>
          <w:rFonts w:hint="eastAsia" w:ascii="宋体" w:hAnsi="宋体" w:eastAsia="宋体" w:cs="宋体"/>
          <w:caps w:val="0"/>
          <w:smallCaps w:val="0"/>
          <w:color w:val="auto"/>
          <w:spacing w:val="0"/>
          <w:sz w:val="32"/>
          <w:szCs w:val="32"/>
        </w:rPr>
        <w:t>目录</w:t>
      </w:r>
    </w:p>
    <w:p w14:paraId="45D56022">
      <w:pPr>
        <w:pageBreakBefore w:val="0"/>
        <w:kinsoku/>
        <w:overflowPunct/>
        <w:topLinePunct w:val="0"/>
        <w:bidi w:val="0"/>
        <w:spacing w:beforeAutospacing="0" w:afterAutospacing="0" w:line="360" w:lineRule="auto"/>
        <w:jc w:val="center"/>
        <w:rPr>
          <w:rFonts w:hint="eastAsia" w:ascii="宋体" w:hAnsi="宋体" w:eastAsia="宋体" w:cs="宋体"/>
          <w:b w:val="0"/>
          <w:color w:val="auto"/>
          <w:spacing w:val="0"/>
          <w:sz w:val="24"/>
          <w:highlight w:val="none"/>
          <w:lang w:val="en-US" w:eastAsia="zh-CN"/>
        </w:rPr>
      </w:pPr>
      <w:r>
        <w:rPr>
          <w:rFonts w:hint="eastAsia" w:ascii="宋体" w:hAnsi="宋体" w:eastAsia="宋体" w:cs="宋体"/>
          <w:b/>
          <w:caps w:val="0"/>
          <w:smallCaps w:val="0"/>
          <w:color w:val="auto"/>
          <w:spacing w:val="0"/>
          <w:szCs w:val="21"/>
        </w:rPr>
        <w:t>（格式自拟）</w:t>
      </w:r>
    </w:p>
    <w:p w14:paraId="228671D4">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52FFC8B1">
      <w:pPr>
        <w:pageBreakBefore w:val="0"/>
        <w:kinsoku/>
        <w:overflowPunct/>
        <w:topLinePunct w:val="0"/>
        <w:bidi w:val="0"/>
        <w:spacing w:beforeAutospacing="0" w:afterAutospacing="0" w:line="360" w:lineRule="auto"/>
        <w:jc w:val="center"/>
        <w:outlineLvl w:val="2"/>
        <w:rPr>
          <w:rFonts w:hint="eastAsia" w:ascii="宋体" w:hAnsi="宋体" w:eastAsia="宋体" w:cs="宋体"/>
          <w:b/>
          <w:bCs/>
          <w:color w:val="auto"/>
          <w:sz w:val="32"/>
          <w:szCs w:val="32"/>
          <w:highlight w:val="none"/>
        </w:rPr>
      </w:pPr>
      <w:bookmarkStart w:id="537" w:name="_Toc6024"/>
      <w:r>
        <w:rPr>
          <w:rFonts w:hint="eastAsia" w:ascii="宋体" w:hAnsi="宋体" w:eastAsia="宋体" w:cs="宋体"/>
          <w:b/>
          <w:bCs/>
          <w:color w:val="auto"/>
          <w:sz w:val="32"/>
          <w:szCs w:val="32"/>
          <w:highlight w:val="none"/>
          <w:lang w:val="en-US" w:eastAsia="zh-CN"/>
        </w:rPr>
        <w:t>一、</w:t>
      </w:r>
      <w:r>
        <w:rPr>
          <w:rFonts w:hint="eastAsia" w:ascii="宋体" w:hAnsi="宋体" w:eastAsia="宋体" w:cs="宋体"/>
          <w:b/>
          <w:bCs/>
          <w:color w:val="auto"/>
          <w:sz w:val="32"/>
          <w:szCs w:val="32"/>
          <w:highlight w:val="none"/>
        </w:rPr>
        <w:t>开标一览表</w:t>
      </w:r>
      <w:bookmarkEnd w:id="537"/>
    </w:p>
    <w:p w14:paraId="269F37B2">
      <w:pPr>
        <w:pageBreakBefore w:val="0"/>
        <w:kinsoku/>
        <w:overflowPunct/>
        <w:topLinePunct w:val="0"/>
        <w:bidi w:val="0"/>
        <w:spacing w:beforeAutospacing="0" w:afterAutospacing="0" w:line="360" w:lineRule="auto"/>
        <w:jc w:val="lef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项目名称：</w:t>
      </w:r>
      <w:r>
        <w:rPr>
          <w:rFonts w:hint="eastAsia" w:ascii="宋体" w:hAnsi="宋体" w:cs="宋体"/>
          <w:b/>
          <w:bCs/>
          <w:color w:val="auto"/>
          <w:sz w:val="22"/>
          <w:highlight w:val="none"/>
          <w:lang w:eastAsia="zh-CN"/>
        </w:rPr>
        <w:t>超高效液相色谱三重四级杆质谱联用仪</w:t>
      </w:r>
    </w:p>
    <w:p w14:paraId="5BA99A44">
      <w:pPr>
        <w:pageBreakBefore w:val="0"/>
        <w:kinsoku/>
        <w:overflowPunct/>
        <w:topLinePunct w:val="0"/>
        <w:bidi w:val="0"/>
        <w:spacing w:beforeAutospacing="0" w:afterAutospacing="0" w:line="360" w:lineRule="auto"/>
        <w:jc w:val="left"/>
        <w:rPr>
          <w:rFonts w:hint="eastAsia" w:ascii="宋体" w:hAnsi="宋体" w:eastAsia="宋体" w:cs="宋体"/>
          <w:b/>
          <w:bCs/>
          <w:color w:val="auto"/>
          <w:sz w:val="22"/>
          <w:highlight w:val="none"/>
          <w:lang w:eastAsia="zh-CN"/>
        </w:rPr>
      </w:pPr>
      <w:r>
        <w:rPr>
          <w:rFonts w:hint="eastAsia" w:ascii="宋体" w:hAnsi="宋体" w:eastAsia="宋体" w:cs="宋体"/>
          <w:b/>
          <w:bCs/>
          <w:color w:val="auto"/>
          <w:sz w:val="22"/>
          <w:highlight w:val="none"/>
        </w:rPr>
        <w:t>项目编号：</w:t>
      </w:r>
      <w:r>
        <w:rPr>
          <w:rFonts w:hint="eastAsia" w:ascii="宋体" w:hAnsi="宋体" w:cs="宋体"/>
          <w:b/>
          <w:bCs/>
          <w:color w:val="auto"/>
          <w:sz w:val="22"/>
          <w:highlight w:val="none"/>
          <w:lang w:eastAsia="zh-CN"/>
        </w:rPr>
        <w:t>YNZC2025-G1-03229-YNGH-0168</w:t>
      </w:r>
    </w:p>
    <w:tbl>
      <w:tblPr>
        <w:tblStyle w:val="25"/>
        <w:tblW w:w="9797" w:type="dxa"/>
        <w:tblInd w:w="0" w:type="dxa"/>
        <w:tblLayout w:type="fixed"/>
        <w:tblCellMar>
          <w:top w:w="0" w:type="dxa"/>
          <w:left w:w="108" w:type="dxa"/>
          <w:bottom w:w="0" w:type="dxa"/>
          <w:right w:w="108" w:type="dxa"/>
        </w:tblCellMar>
      </w:tblPr>
      <w:tblGrid>
        <w:gridCol w:w="2417"/>
        <w:gridCol w:w="2107"/>
        <w:gridCol w:w="1833"/>
        <w:gridCol w:w="1917"/>
        <w:gridCol w:w="1523"/>
      </w:tblGrid>
      <w:tr w14:paraId="06669BA9">
        <w:tblPrEx>
          <w:tblCellMar>
            <w:top w:w="0" w:type="dxa"/>
            <w:left w:w="108" w:type="dxa"/>
            <w:bottom w:w="0" w:type="dxa"/>
            <w:right w:w="108" w:type="dxa"/>
          </w:tblCellMar>
        </w:tblPrEx>
        <w:trPr>
          <w:trHeight w:val="736" w:hRule="atLeast"/>
        </w:trPr>
        <w:tc>
          <w:tcPr>
            <w:tcW w:w="2417" w:type="dxa"/>
            <w:tcBorders>
              <w:top w:val="single" w:color="auto" w:sz="4" w:space="0"/>
              <w:left w:val="single" w:color="auto" w:sz="4" w:space="0"/>
              <w:bottom w:val="single" w:color="auto" w:sz="4" w:space="0"/>
              <w:right w:val="single" w:color="auto" w:sz="4" w:space="0"/>
            </w:tcBorders>
            <w:shd w:val="clear" w:color="auto" w:fill="auto"/>
            <w:vAlign w:val="center"/>
          </w:tcPr>
          <w:p w14:paraId="7B50E8E6">
            <w:pPr>
              <w:pageBreakBefore w:val="0"/>
              <w:widowControl/>
              <w:kinsoku/>
              <w:overflowPunct/>
              <w:topLinePunct w:val="0"/>
              <w:bidi w:val="0"/>
              <w:spacing w:beforeAutospacing="0" w:afterAutospacing="0" w:line="360" w:lineRule="auto"/>
              <w:jc w:val="center"/>
              <w:rPr>
                <w:rFonts w:hint="eastAsia"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投标报价（元）</w:t>
            </w:r>
          </w:p>
        </w:tc>
        <w:tc>
          <w:tcPr>
            <w:tcW w:w="2107" w:type="dxa"/>
            <w:tcBorders>
              <w:top w:val="single" w:color="auto" w:sz="4" w:space="0"/>
              <w:left w:val="nil"/>
              <w:bottom w:val="single" w:color="auto" w:sz="4" w:space="0"/>
              <w:right w:val="single" w:color="auto" w:sz="4" w:space="0"/>
            </w:tcBorders>
            <w:shd w:val="clear" w:color="auto" w:fill="auto"/>
            <w:vAlign w:val="center"/>
          </w:tcPr>
          <w:p w14:paraId="524EF17E">
            <w:pPr>
              <w:pageBreakBefore w:val="0"/>
              <w:widowControl/>
              <w:kinsoku/>
              <w:overflowPunct/>
              <w:topLinePunct w:val="0"/>
              <w:bidi w:val="0"/>
              <w:spacing w:beforeAutospacing="0" w:afterAutospacing="0" w:line="360" w:lineRule="auto"/>
              <w:jc w:val="center"/>
              <w:rPr>
                <w:rFonts w:hint="eastAsia" w:ascii="宋体" w:hAnsi="宋体" w:eastAsia="宋体" w:cs="宋体"/>
                <w:b/>
                <w:bCs/>
                <w:color w:val="auto"/>
                <w:kern w:val="0"/>
                <w:sz w:val="22"/>
                <w:highlight w:val="none"/>
                <w:lang w:val="en-US" w:eastAsia="zh-CN"/>
              </w:rPr>
            </w:pPr>
            <w:r>
              <w:rPr>
                <w:rFonts w:hint="eastAsia" w:ascii="宋体" w:hAnsi="宋体" w:eastAsia="宋体" w:cs="宋体"/>
                <w:b/>
                <w:bCs/>
                <w:color w:val="auto"/>
                <w:kern w:val="0"/>
                <w:sz w:val="22"/>
                <w:highlight w:val="none"/>
                <w:lang w:val="en-US" w:eastAsia="zh-CN"/>
              </w:rPr>
              <w:t>合同履行期限</w:t>
            </w:r>
          </w:p>
        </w:tc>
        <w:tc>
          <w:tcPr>
            <w:tcW w:w="1833" w:type="dxa"/>
            <w:tcBorders>
              <w:top w:val="single" w:color="auto" w:sz="4" w:space="0"/>
              <w:left w:val="nil"/>
              <w:bottom w:val="single" w:color="auto" w:sz="4" w:space="0"/>
              <w:right w:val="single" w:color="auto" w:sz="4" w:space="0"/>
            </w:tcBorders>
            <w:shd w:val="clear" w:color="auto" w:fill="auto"/>
            <w:vAlign w:val="center"/>
          </w:tcPr>
          <w:p w14:paraId="39FE51C9">
            <w:pPr>
              <w:pageBreakBefore w:val="0"/>
              <w:widowControl/>
              <w:kinsoku/>
              <w:overflowPunct/>
              <w:topLinePunct w:val="0"/>
              <w:bidi w:val="0"/>
              <w:spacing w:beforeAutospacing="0" w:afterAutospacing="0" w:line="360" w:lineRule="auto"/>
              <w:jc w:val="center"/>
              <w:rPr>
                <w:rFonts w:hint="eastAsia"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交付地点</w:t>
            </w:r>
          </w:p>
        </w:tc>
        <w:tc>
          <w:tcPr>
            <w:tcW w:w="1917" w:type="dxa"/>
            <w:tcBorders>
              <w:top w:val="single" w:color="auto" w:sz="4" w:space="0"/>
              <w:left w:val="nil"/>
              <w:bottom w:val="single" w:color="auto" w:sz="4" w:space="0"/>
              <w:right w:val="single" w:color="auto" w:sz="4" w:space="0"/>
            </w:tcBorders>
            <w:shd w:val="clear" w:color="auto" w:fill="auto"/>
            <w:vAlign w:val="center"/>
          </w:tcPr>
          <w:p w14:paraId="22E52840">
            <w:pPr>
              <w:pageBreakBefore w:val="0"/>
              <w:widowControl/>
              <w:kinsoku/>
              <w:overflowPunct/>
              <w:topLinePunct w:val="0"/>
              <w:bidi w:val="0"/>
              <w:spacing w:beforeAutospacing="0" w:afterAutospacing="0" w:line="360" w:lineRule="auto"/>
              <w:jc w:val="center"/>
              <w:rPr>
                <w:rFonts w:hint="eastAsia"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lang w:val="en-US" w:eastAsia="zh-CN"/>
              </w:rPr>
              <w:t>质量</w:t>
            </w:r>
            <w:r>
              <w:rPr>
                <w:rFonts w:hint="eastAsia" w:ascii="宋体" w:hAnsi="宋体" w:eastAsia="宋体" w:cs="宋体"/>
                <w:b/>
                <w:bCs/>
                <w:color w:val="auto"/>
                <w:kern w:val="0"/>
                <w:sz w:val="22"/>
                <w:highlight w:val="none"/>
              </w:rPr>
              <w:t>承诺</w:t>
            </w:r>
          </w:p>
        </w:tc>
        <w:tc>
          <w:tcPr>
            <w:tcW w:w="1523" w:type="dxa"/>
            <w:tcBorders>
              <w:top w:val="single" w:color="auto" w:sz="4" w:space="0"/>
              <w:left w:val="nil"/>
              <w:bottom w:val="single" w:color="auto" w:sz="4" w:space="0"/>
              <w:right w:val="single" w:color="auto" w:sz="4" w:space="0"/>
            </w:tcBorders>
            <w:shd w:val="clear" w:color="auto" w:fill="auto"/>
            <w:vAlign w:val="center"/>
          </w:tcPr>
          <w:p w14:paraId="030FB27E">
            <w:pPr>
              <w:pageBreakBefore w:val="0"/>
              <w:widowControl/>
              <w:kinsoku/>
              <w:overflowPunct/>
              <w:topLinePunct w:val="0"/>
              <w:bidi w:val="0"/>
              <w:spacing w:beforeAutospacing="0" w:afterAutospacing="0" w:line="360" w:lineRule="auto"/>
              <w:jc w:val="center"/>
              <w:rPr>
                <w:rFonts w:hint="eastAsia"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备注</w:t>
            </w:r>
          </w:p>
        </w:tc>
      </w:tr>
      <w:tr w14:paraId="2F85FD71">
        <w:tblPrEx>
          <w:tblCellMar>
            <w:top w:w="0" w:type="dxa"/>
            <w:left w:w="108" w:type="dxa"/>
            <w:bottom w:w="0" w:type="dxa"/>
            <w:right w:w="108" w:type="dxa"/>
          </w:tblCellMar>
        </w:tblPrEx>
        <w:trPr>
          <w:trHeight w:val="2548" w:hRule="atLeast"/>
        </w:trPr>
        <w:tc>
          <w:tcPr>
            <w:tcW w:w="2417" w:type="dxa"/>
            <w:tcBorders>
              <w:top w:val="nil"/>
              <w:left w:val="single" w:color="auto" w:sz="4" w:space="0"/>
              <w:right w:val="single" w:color="auto" w:sz="4" w:space="0"/>
            </w:tcBorders>
            <w:shd w:val="clear" w:color="auto" w:fill="auto"/>
            <w:vAlign w:val="center"/>
          </w:tcPr>
          <w:p w14:paraId="490753B2">
            <w:pPr>
              <w:pageBreakBefore w:val="0"/>
              <w:widowControl/>
              <w:kinsoku/>
              <w:overflowPunct/>
              <w:topLinePunct w:val="0"/>
              <w:bidi w:val="0"/>
              <w:spacing w:beforeAutospacing="0" w:afterAutospacing="0" w:line="360" w:lineRule="auto"/>
              <w:jc w:val="lef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rPr>
              <w:t>大写：</w:t>
            </w:r>
          </w:p>
          <w:p w14:paraId="142CE654">
            <w:pPr>
              <w:pStyle w:val="14"/>
              <w:pageBreakBefore w:val="0"/>
              <w:kinsoku/>
              <w:overflowPunct/>
              <w:topLinePunct w:val="0"/>
              <w:bidi w:val="0"/>
              <w:spacing w:beforeAutospacing="0" w:afterAutospacing="0" w:line="360" w:lineRule="auto"/>
              <w:rPr>
                <w:rFonts w:hint="eastAsia" w:ascii="宋体" w:hAnsi="宋体" w:eastAsia="宋体" w:cs="宋体"/>
                <w:color w:val="auto"/>
                <w:highlight w:val="none"/>
              </w:rPr>
            </w:pPr>
          </w:p>
          <w:p w14:paraId="26CEFAAC">
            <w:pPr>
              <w:pageBreakBefore w:val="0"/>
              <w:widowControl/>
              <w:kinsoku/>
              <w:overflowPunct/>
              <w:topLinePunct w:val="0"/>
              <w:bidi w:val="0"/>
              <w:spacing w:beforeAutospacing="0" w:afterAutospacing="0" w:line="360" w:lineRule="auto"/>
              <w:jc w:val="lef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rPr>
              <w:t>小写：¥</w:t>
            </w:r>
            <w:r>
              <w:rPr>
                <w:rFonts w:hint="eastAsia" w:ascii="宋体" w:hAnsi="宋体" w:eastAsia="宋体" w:cs="宋体"/>
                <w:color w:val="auto"/>
                <w:kern w:val="0"/>
                <w:sz w:val="22"/>
                <w:highlight w:val="none"/>
                <w:u w:val="single"/>
                <w:lang w:val="en-US" w:eastAsia="zh-CN"/>
              </w:rPr>
              <w:t xml:space="preserve">      </w:t>
            </w:r>
            <w:r>
              <w:rPr>
                <w:rFonts w:hint="eastAsia" w:ascii="宋体" w:hAnsi="宋体" w:eastAsia="宋体" w:cs="宋体"/>
                <w:color w:val="auto"/>
                <w:kern w:val="0"/>
                <w:sz w:val="22"/>
                <w:highlight w:val="none"/>
                <w:lang w:val="en-US" w:eastAsia="zh-CN"/>
              </w:rPr>
              <w:t>元</w:t>
            </w:r>
          </w:p>
        </w:tc>
        <w:tc>
          <w:tcPr>
            <w:tcW w:w="2107" w:type="dxa"/>
            <w:tcBorders>
              <w:top w:val="nil"/>
              <w:left w:val="nil"/>
              <w:right w:val="single" w:color="auto" w:sz="4" w:space="0"/>
            </w:tcBorders>
            <w:shd w:val="clear" w:color="auto" w:fill="auto"/>
            <w:vAlign w:val="center"/>
          </w:tcPr>
          <w:p w14:paraId="007AF5B1">
            <w:pPr>
              <w:pageBreakBefore w:val="0"/>
              <w:widowControl/>
              <w:kinsoku/>
              <w:overflowPunct/>
              <w:topLinePunct w:val="0"/>
              <w:bidi w:val="0"/>
              <w:spacing w:beforeAutospacing="0" w:afterAutospacing="0" w:line="360" w:lineRule="auto"/>
              <w:jc w:val="left"/>
              <w:rPr>
                <w:rFonts w:hint="eastAsia" w:ascii="宋体" w:hAnsi="宋体" w:eastAsia="宋体" w:cs="宋体"/>
                <w:color w:val="auto"/>
                <w:kern w:val="0"/>
                <w:sz w:val="22"/>
                <w:highlight w:val="none"/>
              </w:rPr>
            </w:pPr>
          </w:p>
        </w:tc>
        <w:tc>
          <w:tcPr>
            <w:tcW w:w="1833" w:type="dxa"/>
            <w:tcBorders>
              <w:top w:val="nil"/>
              <w:left w:val="nil"/>
              <w:right w:val="single" w:color="auto" w:sz="4" w:space="0"/>
            </w:tcBorders>
            <w:shd w:val="clear" w:color="auto" w:fill="auto"/>
            <w:vAlign w:val="center"/>
          </w:tcPr>
          <w:p w14:paraId="2C549A4B">
            <w:pPr>
              <w:pageBreakBefore w:val="0"/>
              <w:widowControl/>
              <w:kinsoku/>
              <w:overflowPunct/>
              <w:topLinePunct w:val="0"/>
              <w:bidi w:val="0"/>
              <w:spacing w:beforeAutospacing="0" w:afterAutospacing="0" w:line="360" w:lineRule="auto"/>
              <w:jc w:val="center"/>
              <w:rPr>
                <w:rFonts w:hint="eastAsia" w:ascii="宋体" w:hAnsi="宋体" w:eastAsia="宋体" w:cs="宋体"/>
                <w:color w:val="auto"/>
                <w:kern w:val="0"/>
                <w:sz w:val="22"/>
                <w:highlight w:val="none"/>
              </w:rPr>
            </w:pPr>
          </w:p>
        </w:tc>
        <w:tc>
          <w:tcPr>
            <w:tcW w:w="1917" w:type="dxa"/>
            <w:tcBorders>
              <w:top w:val="single" w:color="auto" w:sz="4" w:space="0"/>
              <w:left w:val="nil"/>
              <w:right w:val="single" w:color="auto" w:sz="4" w:space="0"/>
            </w:tcBorders>
            <w:shd w:val="clear" w:color="auto" w:fill="auto"/>
            <w:vAlign w:val="center"/>
          </w:tcPr>
          <w:p w14:paraId="11E8347A">
            <w:pPr>
              <w:pageBreakBefore w:val="0"/>
              <w:widowControl/>
              <w:kinsoku/>
              <w:overflowPunct/>
              <w:topLinePunct w:val="0"/>
              <w:bidi w:val="0"/>
              <w:spacing w:beforeAutospacing="0" w:afterAutospacing="0" w:line="360" w:lineRule="auto"/>
              <w:jc w:val="center"/>
              <w:rPr>
                <w:rFonts w:hint="eastAsia" w:ascii="宋体" w:hAnsi="宋体" w:eastAsia="宋体" w:cs="宋体"/>
                <w:color w:val="auto"/>
                <w:kern w:val="0"/>
                <w:sz w:val="22"/>
                <w:highlight w:val="none"/>
              </w:rPr>
            </w:pPr>
          </w:p>
        </w:tc>
        <w:tc>
          <w:tcPr>
            <w:tcW w:w="1523" w:type="dxa"/>
            <w:tcBorders>
              <w:top w:val="nil"/>
              <w:left w:val="nil"/>
              <w:right w:val="single" w:color="auto" w:sz="4" w:space="0"/>
            </w:tcBorders>
            <w:shd w:val="clear" w:color="auto" w:fill="auto"/>
            <w:vAlign w:val="center"/>
          </w:tcPr>
          <w:p w14:paraId="7CC157BE">
            <w:pPr>
              <w:pageBreakBefore w:val="0"/>
              <w:widowControl/>
              <w:kinsoku/>
              <w:overflowPunct/>
              <w:topLinePunct w:val="0"/>
              <w:bidi w:val="0"/>
              <w:spacing w:beforeAutospacing="0" w:afterAutospacing="0" w:line="360" w:lineRule="auto"/>
              <w:jc w:val="center"/>
              <w:rPr>
                <w:rFonts w:hint="eastAsia" w:ascii="宋体" w:hAnsi="宋体" w:eastAsia="宋体" w:cs="宋体"/>
                <w:color w:val="auto"/>
                <w:kern w:val="0"/>
                <w:sz w:val="22"/>
                <w:highlight w:val="none"/>
              </w:rPr>
            </w:pPr>
          </w:p>
        </w:tc>
      </w:tr>
      <w:tr w14:paraId="3EFE6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797" w:type="dxa"/>
            <w:gridSpan w:val="5"/>
            <w:shd w:val="clear" w:color="auto" w:fill="auto"/>
          </w:tcPr>
          <w:p w14:paraId="5461C143">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p>
          <w:p w14:paraId="1768B5B4">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p>
          <w:p w14:paraId="1A6022FA">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投标人</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eastAsia="zh-CN"/>
              </w:rPr>
              <w:t>电子签章</w:t>
            </w:r>
            <w:r>
              <w:rPr>
                <w:rFonts w:hint="eastAsia" w:ascii="宋体" w:hAnsi="宋体" w:eastAsia="宋体" w:cs="宋体"/>
                <w:color w:val="auto"/>
                <w:sz w:val="22"/>
                <w:highlight w:val="none"/>
              </w:rPr>
              <w:t>）：</w:t>
            </w:r>
          </w:p>
          <w:p w14:paraId="04517953">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p>
          <w:p w14:paraId="0B04FC1B">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p>
          <w:p w14:paraId="610B2E38">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法定代表人或委托代理人（</w:t>
            </w:r>
            <w:r>
              <w:rPr>
                <w:rFonts w:hint="eastAsia" w:ascii="宋体" w:hAnsi="宋体" w:eastAsia="宋体" w:cs="宋体"/>
                <w:color w:val="auto"/>
                <w:sz w:val="22"/>
                <w:highlight w:val="none"/>
                <w:lang w:eastAsia="zh-CN"/>
              </w:rPr>
              <w:t>电子签章</w:t>
            </w:r>
            <w:r>
              <w:rPr>
                <w:rFonts w:hint="eastAsia" w:ascii="宋体" w:hAnsi="宋体" w:eastAsia="宋体" w:cs="宋体"/>
                <w:color w:val="auto"/>
                <w:sz w:val="22"/>
                <w:highlight w:val="none"/>
              </w:rPr>
              <w:t>）：</w:t>
            </w:r>
          </w:p>
          <w:p w14:paraId="0EBD5CB6">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p>
          <w:p w14:paraId="47FC504E">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日    期：    年   月   日</w:t>
            </w:r>
          </w:p>
        </w:tc>
      </w:tr>
      <w:tr w14:paraId="6DCB1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9797" w:type="dxa"/>
            <w:gridSpan w:val="5"/>
            <w:shd w:val="clear" w:color="auto" w:fill="auto"/>
            <w:vAlign w:val="center"/>
          </w:tcPr>
          <w:p w14:paraId="0F3B66C0">
            <w:pPr>
              <w:pageBreakBefore w:val="0"/>
              <w:kinsoku/>
              <w:overflowPunct/>
              <w:topLinePunct w:val="0"/>
              <w:bidi w:val="0"/>
              <w:spacing w:beforeAutospacing="0" w:afterAutospacing="0" w:line="360" w:lineRule="auto"/>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注：1.表中“投标报价”应与“投标函”中“</w:t>
            </w:r>
            <w:r>
              <w:rPr>
                <w:rFonts w:hint="eastAsia" w:ascii="宋体" w:hAnsi="宋体" w:cs="宋体"/>
                <w:color w:val="auto"/>
                <w:sz w:val="22"/>
                <w:szCs w:val="24"/>
                <w:highlight w:val="none"/>
                <w:lang w:eastAsia="zh-CN"/>
              </w:rPr>
              <w:t>投标报价</w:t>
            </w:r>
            <w:r>
              <w:rPr>
                <w:rFonts w:hint="eastAsia" w:ascii="宋体" w:hAnsi="宋体" w:eastAsia="宋体" w:cs="宋体"/>
                <w:color w:val="auto"/>
                <w:sz w:val="22"/>
                <w:szCs w:val="24"/>
                <w:highlight w:val="none"/>
              </w:rPr>
              <w:t>”一致。</w:t>
            </w:r>
          </w:p>
        </w:tc>
      </w:tr>
    </w:tbl>
    <w:p w14:paraId="316BFB26">
      <w:pPr>
        <w:pageBreakBefore w:val="0"/>
        <w:kinsoku/>
        <w:overflowPunct/>
        <w:topLinePunct w:val="0"/>
        <w:bidi w:val="0"/>
        <w:spacing w:beforeAutospacing="0" w:afterAutospacing="0" w:line="360" w:lineRule="auto"/>
        <w:rPr>
          <w:rFonts w:hint="eastAsia" w:ascii="宋体" w:hAnsi="宋体" w:eastAsia="宋体" w:cs="宋体"/>
          <w:color w:val="auto"/>
          <w:sz w:val="22"/>
          <w:szCs w:val="24"/>
          <w:highlight w:val="none"/>
        </w:rPr>
      </w:pPr>
    </w:p>
    <w:p w14:paraId="263EB91B">
      <w:pPr>
        <w:pStyle w:val="4"/>
        <w:pageBreakBefore w:val="0"/>
        <w:numPr>
          <w:ilvl w:val="1"/>
          <w:numId w:val="0"/>
        </w:numPr>
        <w:tabs>
          <w:tab w:val="left" w:pos="3690"/>
          <w:tab w:val="clear" w:pos="1200"/>
        </w:tabs>
        <w:kinsoku/>
        <w:overflowPunct/>
        <w:topLinePunct w:val="0"/>
        <w:bidi w:val="0"/>
        <w:snapToGrid w:val="0"/>
        <w:spacing w:before="0" w:beforeAutospacing="0" w:after="0" w:afterAutospacing="0" w:line="360" w:lineRule="auto"/>
        <w:jc w:val="center"/>
        <w:outlineLvl w:val="2"/>
        <w:rPr>
          <w:rFonts w:hint="eastAsia" w:ascii="宋体" w:hAnsi="宋体" w:eastAsia="宋体" w:cs="宋体"/>
          <w:color w:val="auto"/>
          <w:szCs w:val="32"/>
          <w:highlight w:val="none"/>
        </w:rPr>
      </w:pPr>
      <w:bookmarkStart w:id="538" w:name="_Toc19644"/>
      <w:bookmarkStart w:id="539" w:name="_Toc20101"/>
      <w:bookmarkStart w:id="540" w:name="_Toc5389"/>
      <w:bookmarkStart w:id="541" w:name="_Toc26513"/>
      <w:bookmarkStart w:id="542" w:name="_Toc4985"/>
      <w:bookmarkStart w:id="543" w:name="_Toc20863"/>
      <w:bookmarkStart w:id="544" w:name="_Toc19552"/>
      <w:r>
        <w:rPr>
          <w:rFonts w:hint="eastAsia" w:ascii="宋体" w:hAnsi="宋体" w:eastAsia="宋体" w:cs="宋体"/>
          <w:color w:val="auto"/>
          <w:sz w:val="36"/>
          <w:szCs w:val="32"/>
          <w:highlight w:val="none"/>
        </w:rPr>
        <w:br w:type="page"/>
      </w:r>
      <w:bookmarkStart w:id="545" w:name="_Toc18256"/>
      <w:r>
        <w:rPr>
          <w:rFonts w:hint="eastAsia" w:ascii="宋体" w:hAnsi="宋体" w:eastAsia="宋体" w:cs="宋体"/>
          <w:color w:val="auto"/>
          <w:szCs w:val="32"/>
          <w:highlight w:val="none"/>
          <w:lang w:val="en-US" w:eastAsia="zh-CN"/>
        </w:rPr>
        <w:t>二</w:t>
      </w:r>
      <w:r>
        <w:rPr>
          <w:rFonts w:hint="eastAsia" w:ascii="宋体" w:hAnsi="宋体" w:eastAsia="宋体" w:cs="宋体"/>
          <w:color w:val="auto"/>
          <w:szCs w:val="32"/>
          <w:highlight w:val="none"/>
        </w:rPr>
        <w:t>、投标报价明细</w:t>
      </w:r>
      <w:bookmarkEnd w:id="545"/>
    </w:p>
    <w:p w14:paraId="4617822E">
      <w:pPr>
        <w:pageBreakBefore w:val="0"/>
        <w:shd w:val="clear"/>
        <w:kinsoku/>
        <w:overflowPunct/>
        <w:topLinePunct w:val="0"/>
        <w:bidi w:val="0"/>
        <w:spacing w:beforeAutospacing="0" w:afterAutospacing="0" w:line="360" w:lineRule="auto"/>
        <w:jc w:val="left"/>
        <w:rPr>
          <w:rFonts w:hint="eastAsia" w:ascii="宋体" w:hAnsi="宋体" w:eastAsia="宋体" w:cs="宋体"/>
          <w:b/>
          <w:color w:val="auto"/>
          <w:spacing w:val="-11"/>
          <w:szCs w:val="21"/>
          <w:highlight w:val="none"/>
        </w:rPr>
      </w:pPr>
      <w:r>
        <w:rPr>
          <w:rFonts w:hint="eastAsia" w:ascii="宋体" w:hAnsi="宋体" w:eastAsia="宋体" w:cs="宋体"/>
          <w:b/>
          <w:color w:val="auto"/>
          <w:spacing w:val="-11"/>
          <w:szCs w:val="21"/>
          <w:highlight w:val="none"/>
        </w:rPr>
        <w:t>项目名称：</w:t>
      </w:r>
      <w:r>
        <w:rPr>
          <w:rFonts w:hint="eastAsia" w:ascii="宋体" w:hAnsi="宋体" w:cs="宋体"/>
          <w:b/>
          <w:color w:val="auto"/>
          <w:spacing w:val="-11"/>
          <w:szCs w:val="21"/>
          <w:highlight w:val="none"/>
          <w:lang w:eastAsia="zh-CN"/>
        </w:rPr>
        <w:t>超高效液相色谱三重四级杆质谱联用仪</w:t>
      </w:r>
    </w:p>
    <w:p w14:paraId="5549A64F">
      <w:pPr>
        <w:pageBreakBefore w:val="0"/>
        <w:shd w:val="clear"/>
        <w:kinsoku/>
        <w:overflowPunct/>
        <w:topLinePunct w:val="0"/>
        <w:bidi w:val="0"/>
        <w:spacing w:beforeAutospacing="0" w:afterAutospacing="0" w:line="360" w:lineRule="auto"/>
        <w:jc w:val="left"/>
        <w:rPr>
          <w:rFonts w:hint="eastAsia" w:ascii="宋体" w:hAnsi="宋体" w:eastAsia="宋体" w:cs="宋体"/>
          <w:b/>
          <w:color w:val="auto"/>
          <w:spacing w:val="-11"/>
          <w:szCs w:val="21"/>
          <w:highlight w:val="none"/>
          <w:lang w:val="en-US" w:eastAsia="zh-CN"/>
        </w:rPr>
      </w:pPr>
      <w:r>
        <w:rPr>
          <w:rFonts w:hint="eastAsia" w:ascii="宋体" w:hAnsi="宋体" w:eastAsia="宋体" w:cs="宋体"/>
          <w:b/>
          <w:color w:val="auto"/>
          <w:spacing w:val="-11"/>
          <w:szCs w:val="21"/>
          <w:highlight w:val="none"/>
        </w:rPr>
        <w:t>项目编号：</w:t>
      </w:r>
      <w:r>
        <w:rPr>
          <w:rFonts w:hint="eastAsia" w:ascii="宋体" w:hAnsi="宋体" w:cs="宋体"/>
          <w:b/>
          <w:color w:val="auto"/>
          <w:spacing w:val="-11"/>
          <w:szCs w:val="21"/>
          <w:highlight w:val="none"/>
          <w:lang w:eastAsia="zh-CN"/>
        </w:rPr>
        <w:t>YNZC2025-G1-03229-YNGH-0168</w:t>
      </w:r>
    </w:p>
    <w:tbl>
      <w:tblPr>
        <w:tblStyle w:val="25"/>
        <w:tblW w:w="10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
        <w:gridCol w:w="1341"/>
        <w:gridCol w:w="831"/>
        <w:gridCol w:w="831"/>
        <w:gridCol w:w="1329"/>
        <w:gridCol w:w="429"/>
        <w:gridCol w:w="622"/>
        <w:gridCol w:w="1415"/>
        <w:gridCol w:w="1570"/>
        <w:gridCol w:w="1438"/>
      </w:tblGrid>
      <w:tr w14:paraId="60698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477" w:type="dxa"/>
            <w:vAlign w:val="center"/>
          </w:tcPr>
          <w:p w14:paraId="1B64BAC3">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1341" w:type="dxa"/>
            <w:vAlign w:val="center"/>
          </w:tcPr>
          <w:p w14:paraId="34A3ED7E">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default" w:ascii="宋体" w:hAnsi="宋体" w:eastAsia="宋体" w:cs="宋体"/>
                <w:color w:val="auto"/>
                <w:sz w:val="18"/>
                <w:szCs w:val="18"/>
                <w:highlight w:val="none"/>
                <w:lang w:val="en-US"/>
              </w:rPr>
            </w:pPr>
            <w:r>
              <w:rPr>
                <w:rFonts w:hint="eastAsia" w:hAnsi="宋体" w:cs="宋体"/>
                <w:color w:val="auto"/>
                <w:sz w:val="18"/>
                <w:szCs w:val="18"/>
                <w:highlight w:val="none"/>
                <w:lang w:val="en-US" w:eastAsia="zh-CN"/>
              </w:rPr>
              <w:t>产品名称</w:t>
            </w:r>
          </w:p>
        </w:tc>
        <w:tc>
          <w:tcPr>
            <w:tcW w:w="831" w:type="dxa"/>
            <w:vAlign w:val="center"/>
          </w:tcPr>
          <w:p w14:paraId="2EC8BD75">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default" w:ascii="宋体" w:hAnsi="宋体" w:eastAsia="宋体" w:cs="宋体"/>
                <w:color w:val="auto"/>
                <w:sz w:val="18"/>
                <w:szCs w:val="18"/>
                <w:highlight w:val="none"/>
                <w:lang w:val="en-US" w:eastAsia="zh-CN"/>
              </w:rPr>
            </w:pPr>
            <w:r>
              <w:rPr>
                <w:rFonts w:hint="eastAsia" w:hAnsi="宋体" w:cs="宋体"/>
                <w:color w:val="auto"/>
                <w:sz w:val="18"/>
                <w:szCs w:val="18"/>
                <w:highlight w:val="none"/>
                <w:lang w:val="en-US" w:eastAsia="zh-CN"/>
              </w:rPr>
              <w:t>原产地</w:t>
            </w:r>
          </w:p>
        </w:tc>
        <w:tc>
          <w:tcPr>
            <w:tcW w:w="831" w:type="dxa"/>
            <w:vAlign w:val="center"/>
          </w:tcPr>
          <w:p w14:paraId="1A164865">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型号和规格</w:t>
            </w:r>
          </w:p>
        </w:tc>
        <w:tc>
          <w:tcPr>
            <w:tcW w:w="1329" w:type="dxa"/>
            <w:vAlign w:val="center"/>
          </w:tcPr>
          <w:p w14:paraId="0338B488">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lang w:eastAsia="zh-CN"/>
              </w:rPr>
            </w:pPr>
            <w:r>
              <w:rPr>
                <w:rFonts w:hint="eastAsia" w:hAnsi="宋体" w:cs="宋体"/>
                <w:color w:val="auto"/>
                <w:sz w:val="18"/>
                <w:szCs w:val="18"/>
                <w:highlight w:val="none"/>
                <w:lang w:val="en-US" w:eastAsia="zh-CN"/>
              </w:rPr>
              <w:t>品牌/</w:t>
            </w:r>
            <w:r>
              <w:rPr>
                <w:rFonts w:hint="eastAsia" w:ascii="宋体" w:hAnsi="宋体" w:eastAsia="宋体" w:cs="宋体"/>
                <w:color w:val="auto"/>
                <w:sz w:val="18"/>
                <w:szCs w:val="18"/>
                <w:highlight w:val="none"/>
              </w:rPr>
              <w:t>制造商/</w:t>
            </w:r>
          </w:p>
          <w:p w14:paraId="41F3A2B1">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生产厂商名称</w:t>
            </w:r>
          </w:p>
        </w:tc>
        <w:tc>
          <w:tcPr>
            <w:tcW w:w="429" w:type="dxa"/>
            <w:vAlign w:val="center"/>
          </w:tcPr>
          <w:p w14:paraId="1124B4A7">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622" w:type="dxa"/>
            <w:vAlign w:val="center"/>
          </w:tcPr>
          <w:p w14:paraId="685892A2">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计量单位</w:t>
            </w:r>
          </w:p>
        </w:tc>
        <w:tc>
          <w:tcPr>
            <w:tcW w:w="1415" w:type="dxa"/>
            <w:vAlign w:val="center"/>
          </w:tcPr>
          <w:p w14:paraId="2D3D67A6">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单价限价</w:t>
            </w:r>
            <w:r>
              <w:rPr>
                <w:rFonts w:hint="eastAsia" w:ascii="宋体" w:hAnsi="宋体" w:eastAsia="宋体" w:cs="宋体"/>
                <w:color w:val="auto"/>
                <w:sz w:val="18"/>
                <w:szCs w:val="18"/>
                <w:highlight w:val="none"/>
              </w:rPr>
              <w:t>（元）</w:t>
            </w:r>
          </w:p>
        </w:tc>
        <w:tc>
          <w:tcPr>
            <w:tcW w:w="1570" w:type="dxa"/>
            <w:vAlign w:val="center"/>
          </w:tcPr>
          <w:p w14:paraId="02E6128D">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投标</w:t>
            </w:r>
            <w:r>
              <w:rPr>
                <w:rFonts w:hint="eastAsia" w:ascii="宋体" w:hAnsi="宋体" w:eastAsia="宋体" w:cs="宋体"/>
                <w:color w:val="auto"/>
                <w:sz w:val="18"/>
                <w:szCs w:val="18"/>
                <w:highlight w:val="none"/>
              </w:rPr>
              <w:t>单价（元）</w:t>
            </w:r>
          </w:p>
        </w:tc>
        <w:tc>
          <w:tcPr>
            <w:tcW w:w="1438" w:type="dxa"/>
            <w:vAlign w:val="center"/>
          </w:tcPr>
          <w:p w14:paraId="55BBBC8A">
            <w:pPr>
              <w:pStyle w:val="14"/>
              <w:keepNext w:val="0"/>
              <w:keepLines w:val="0"/>
              <w:pageBreakBefore w:val="0"/>
              <w:kinsoku/>
              <w:wordWrap/>
              <w:overflowPunct/>
              <w:topLinePunct w:val="0"/>
              <w:autoSpaceDE/>
              <w:autoSpaceDN/>
              <w:bidi w:val="0"/>
              <w:adjustRightInd/>
              <w:snapToGrid/>
              <w:spacing w:beforeAutospacing="0" w:afterAutospacing="0" w:line="312" w:lineRule="auto"/>
              <w:ind w:left="72"/>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合价（元）</w:t>
            </w:r>
          </w:p>
        </w:tc>
      </w:tr>
      <w:tr w14:paraId="0310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0" w:hRule="atLeast"/>
        </w:trPr>
        <w:tc>
          <w:tcPr>
            <w:tcW w:w="477" w:type="dxa"/>
            <w:vAlign w:val="center"/>
          </w:tcPr>
          <w:p w14:paraId="3908CEE5">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341" w:type="dxa"/>
            <w:vAlign w:val="center"/>
          </w:tcPr>
          <w:p w14:paraId="7C3BCCE8">
            <w:pPr>
              <w:keepNext w:val="0"/>
              <w:keepLines w:val="0"/>
              <w:widowControl/>
              <w:suppressLineNumbers w:val="0"/>
              <w:jc w:val="center"/>
              <w:textAlignment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bidi="ar-SA"/>
              </w:rPr>
              <w:t>超高效液相色谱三重四级杆质谱联用仪</w:t>
            </w:r>
          </w:p>
        </w:tc>
        <w:tc>
          <w:tcPr>
            <w:tcW w:w="831" w:type="dxa"/>
            <w:vAlign w:val="center"/>
          </w:tcPr>
          <w:p w14:paraId="29239AC1">
            <w:pPr>
              <w:keepNext w:val="0"/>
              <w:keepLines w:val="0"/>
              <w:pageBreakBefore w:val="0"/>
              <w:widowControl/>
              <w:kinsoku/>
              <w:wordWrap/>
              <w:overflowPunct/>
              <w:topLinePunct w:val="0"/>
              <w:autoSpaceDE/>
              <w:autoSpaceDN/>
              <w:bidi w:val="0"/>
              <w:adjustRightInd/>
              <w:snapToGrid/>
              <w:spacing w:beforeAutospacing="0" w:afterAutospacing="0" w:line="312" w:lineRule="auto"/>
              <w:jc w:val="center"/>
              <w:textAlignment w:val="center"/>
              <w:rPr>
                <w:rFonts w:hint="eastAsia" w:ascii="宋体" w:hAnsi="宋体" w:eastAsia="宋体" w:cs="宋体"/>
                <w:color w:val="auto"/>
                <w:sz w:val="18"/>
                <w:szCs w:val="18"/>
                <w:highlight w:val="none"/>
              </w:rPr>
            </w:pPr>
          </w:p>
        </w:tc>
        <w:tc>
          <w:tcPr>
            <w:tcW w:w="831" w:type="dxa"/>
            <w:vAlign w:val="center"/>
          </w:tcPr>
          <w:p w14:paraId="42DE663B">
            <w:pPr>
              <w:keepNext w:val="0"/>
              <w:keepLines w:val="0"/>
              <w:pageBreakBefore w:val="0"/>
              <w:widowControl/>
              <w:kinsoku/>
              <w:wordWrap/>
              <w:overflowPunct/>
              <w:topLinePunct w:val="0"/>
              <w:autoSpaceDE/>
              <w:autoSpaceDN/>
              <w:bidi w:val="0"/>
              <w:adjustRightInd/>
              <w:snapToGrid/>
              <w:spacing w:beforeAutospacing="0" w:afterAutospacing="0" w:line="312" w:lineRule="auto"/>
              <w:jc w:val="center"/>
              <w:textAlignment w:val="center"/>
              <w:rPr>
                <w:rFonts w:hint="eastAsia" w:ascii="宋体" w:hAnsi="宋体" w:eastAsia="宋体" w:cs="宋体"/>
                <w:color w:val="auto"/>
                <w:sz w:val="18"/>
                <w:szCs w:val="18"/>
                <w:highlight w:val="none"/>
              </w:rPr>
            </w:pPr>
          </w:p>
        </w:tc>
        <w:tc>
          <w:tcPr>
            <w:tcW w:w="1329" w:type="dxa"/>
            <w:vAlign w:val="center"/>
          </w:tcPr>
          <w:p w14:paraId="4069822E">
            <w:pPr>
              <w:keepNext w:val="0"/>
              <w:keepLines w:val="0"/>
              <w:pageBreakBefore w:val="0"/>
              <w:widowControl/>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lang w:val="en-US" w:eastAsia="zh-CN"/>
              </w:rPr>
            </w:pPr>
          </w:p>
        </w:tc>
        <w:tc>
          <w:tcPr>
            <w:tcW w:w="429" w:type="dxa"/>
            <w:vAlign w:val="center"/>
          </w:tcPr>
          <w:p w14:paraId="24A0AD6C">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cs="宋体"/>
                <w:i w:val="0"/>
                <w:iCs w:val="0"/>
                <w:color w:val="000000"/>
                <w:kern w:val="0"/>
                <w:sz w:val="20"/>
                <w:szCs w:val="20"/>
                <w:u w:val="none"/>
                <w:lang w:val="en-US" w:eastAsia="zh-CN" w:bidi="ar"/>
              </w:rPr>
              <w:t>1</w:t>
            </w:r>
          </w:p>
        </w:tc>
        <w:tc>
          <w:tcPr>
            <w:tcW w:w="622" w:type="dxa"/>
            <w:vAlign w:val="center"/>
          </w:tcPr>
          <w:p w14:paraId="16815FFA">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i w:val="0"/>
                <w:iCs w:val="0"/>
                <w:color w:val="000000"/>
                <w:kern w:val="0"/>
                <w:sz w:val="20"/>
                <w:szCs w:val="20"/>
                <w:u w:val="none"/>
                <w:lang w:val="en-US" w:eastAsia="zh-CN" w:bidi="ar"/>
              </w:rPr>
              <w:t>套</w:t>
            </w:r>
          </w:p>
        </w:tc>
        <w:tc>
          <w:tcPr>
            <w:tcW w:w="1415" w:type="dxa"/>
            <w:vAlign w:val="center"/>
          </w:tcPr>
          <w:p w14:paraId="175EB7C2">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cs="宋体"/>
                <w:i w:val="0"/>
                <w:iCs w:val="0"/>
                <w:color w:val="000000"/>
                <w:kern w:val="0"/>
                <w:sz w:val="20"/>
                <w:szCs w:val="20"/>
                <w:u w:val="none"/>
                <w:lang w:val="en-US" w:eastAsia="zh-CN" w:bidi="ar"/>
              </w:rPr>
              <w:t>3550000.00</w:t>
            </w:r>
          </w:p>
        </w:tc>
        <w:tc>
          <w:tcPr>
            <w:tcW w:w="1570" w:type="dxa"/>
            <w:vAlign w:val="center"/>
          </w:tcPr>
          <w:p w14:paraId="7D09B6E3">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rPr>
            </w:pPr>
          </w:p>
        </w:tc>
        <w:tc>
          <w:tcPr>
            <w:tcW w:w="1438" w:type="dxa"/>
            <w:vAlign w:val="center"/>
          </w:tcPr>
          <w:p w14:paraId="37BE2DD1">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color w:val="auto"/>
                <w:sz w:val="18"/>
                <w:szCs w:val="18"/>
                <w:highlight w:val="none"/>
              </w:rPr>
            </w:pPr>
          </w:p>
        </w:tc>
      </w:tr>
      <w:tr w14:paraId="6C944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7275" w:type="dxa"/>
            <w:gridSpan w:val="8"/>
            <w:vAlign w:val="center"/>
          </w:tcPr>
          <w:p w14:paraId="56C57CFC">
            <w:pPr>
              <w:pStyle w:val="14"/>
              <w:keepNext w:val="0"/>
              <w:keepLines w:val="0"/>
              <w:pageBreakBefore w:val="0"/>
              <w:kinsoku/>
              <w:wordWrap/>
              <w:overflowPunct/>
              <w:topLinePunct w:val="0"/>
              <w:autoSpaceDE/>
              <w:autoSpaceDN/>
              <w:bidi w:val="0"/>
              <w:adjustRightInd/>
              <w:snapToGrid/>
              <w:spacing w:beforeAutospacing="0" w:afterAutospacing="0" w:line="312" w:lineRule="auto"/>
              <w:jc w:val="center"/>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合计（投标报价）</w:t>
            </w:r>
          </w:p>
        </w:tc>
        <w:tc>
          <w:tcPr>
            <w:tcW w:w="3008" w:type="dxa"/>
            <w:gridSpan w:val="2"/>
            <w:vAlign w:val="center"/>
          </w:tcPr>
          <w:p w14:paraId="24FBA511">
            <w:pPr>
              <w:pStyle w:val="14"/>
              <w:keepNext w:val="0"/>
              <w:keepLines w:val="0"/>
              <w:pageBreakBefore w:val="0"/>
              <w:kinsoku/>
              <w:wordWrap/>
              <w:overflowPunct/>
              <w:topLinePunct w:val="0"/>
              <w:autoSpaceDE/>
              <w:autoSpaceDN/>
              <w:bidi w:val="0"/>
              <w:adjustRightInd/>
              <w:snapToGrid/>
              <w:spacing w:beforeAutospacing="0" w:afterAutospacing="0" w:line="312" w:lineRule="auto"/>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w:t>
            </w:r>
          </w:p>
        </w:tc>
      </w:tr>
    </w:tbl>
    <w:p w14:paraId="4965B002">
      <w:pPr>
        <w:pageBreakBefore w:val="0"/>
        <w:shd w:val="clear"/>
        <w:kinsoku/>
        <w:overflowPunct/>
        <w:topLinePunct w:val="0"/>
        <w:bidi w:val="0"/>
        <w:spacing w:beforeAutospacing="0" w:afterAutospacing="0" w:line="360" w:lineRule="auto"/>
        <w:ind w:firstLine="462" w:firstLineChars="210"/>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注：1.报价包括但不仅限于完成整个项目期间发生的包含设备</w:t>
      </w:r>
      <w:r>
        <w:rPr>
          <w:rFonts w:hint="eastAsia" w:ascii="宋体" w:hAnsi="宋体" w:eastAsia="宋体" w:cs="宋体"/>
          <w:b w:val="0"/>
          <w:bCs/>
          <w:color w:val="auto"/>
          <w:sz w:val="22"/>
          <w:szCs w:val="22"/>
          <w:highlight w:val="none"/>
          <w:lang w:val="en-US" w:eastAsia="zh-CN"/>
        </w:rPr>
        <w:t>原价、备品备件、检验试验、</w:t>
      </w:r>
      <w:r>
        <w:rPr>
          <w:rFonts w:hint="eastAsia" w:ascii="宋体" w:hAnsi="宋体" w:eastAsia="宋体" w:cs="宋体"/>
          <w:b w:val="0"/>
          <w:bCs/>
          <w:color w:val="auto"/>
          <w:sz w:val="22"/>
          <w:szCs w:val="22"/>
          <w:highlight w:val="none"/>
        </w:rPr>
        <w:t>安装、调试、技术培训及服务人员（工资、食宿、餐旅等）</w:t>
      </w:r>
      <w:r>
        <w:rPr>
          <w:rFonts w:hint="eastAsia" w:ascii="宋体" w:hAnsi="宋体" w:eastAsia="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lang w:val="en-US" w:eastAsia="zh-CN"/>
        </w:rPr>
        <w:t>合理利润及合理风险</w:t>
      </w:r>
      <w:r>
        <w:rPr>
          <w:rFonts w:hint="eastAsia" w:ascii="宋体" w:hAnsi="宋体" w:eastAsia="宋体" w:cs="宋体"/>
          <w:b w:val="0"/>
          <w:bCs/>
          <w:color w:val="auto"/>
          <w:sz w:val="22"/>
          <w:szCs w:val="22"/>
          <w:highlight w:val="none"/>
        </w:rPr>
        <w:t>等所有费用的总和等费用，该报价应符合实际情况并能保证投标人完成履行合同所需的一切工作。此报价为包干价，合同一旦签订，此合同价格在合同执行期间将不因工作量的变化而调整</w:t>
      </w:r>
      <w:r>
        <w:rPr>
          <w:rFonts w:hint="eastAsia" w:ascii="宋体" w:hAnsi="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rPr>
        <w:t xml:space="preserve"> </w:t>
      </w:r>
    </w:p>
    <w:p w14:paraId="5414711B">
      <w:pPr>
        <w:pageBreakBefore w:val="0"/>
        <w:shd w:val="clear"/>
        <w:kinsoku/>
        <w:overflowPunct/>
        <w:topLinePunct w:val="0"/>
        <w:bidi w:val="0"/>
        <w:spacing w:beforeAutospacing="0" w:afterAutospacing="0" w:line="360" w:lineRule="auto"/>
        <w:ind w:firstLine="436" w:firstLineChars="210"/>
        <w:rPr>
          <w:rFonts w:hint="eastAsia" w:ascii="宋体" w:hAnsi="宋体" w:eastAsia="宋体" w:cs="宋体"/>
          <w:color w:val="auto"/>
          <w:szCs w:val="21"/>
          <w:highlight w:val="none"/>
        </w:rPr>
      </w:pPr>
      <w:r>
        <w:rPr>
          <w:rFonts w:hint="eastAsia" w:ascii="宋体" w:hAnsi="宋体" w:eastAsia="宋体" w:cs="宋体"/>
          <w:color w:val="auto"/>
          <w:spacing w:val="-6"/>
          <w:kern w:val="2"/>
          <w:sz w:val="22"/>
          <w:szCs w:val="22"/>
          <w:lang w:val="en-US" w:eastAsia="zh-CN" w:bidi="ar-SA"/>
        </w:rPr>
        <w:t>2.</w:t>
      </w:r>
      <w:r>
        <w:rPr>
          <w:rFonts w:hint="eastAsia" w:ascii="宋体" w:hAnsi="宋体" w:eastAsia="宋体" w:cs="宋体"/>
          <w:color w:val="auto"/>
          <w:spacing w:val="-6"/>
          <w:sz w:val="22"/>
          <w:szCs w:val="22"/>
          <w:highlight w:val="none"/>
        </w:rPr>
        <w:t>表中所列内容为必须填写项。</w:t>
      </w:r>
    </w:p>
    <w:p w14:paraId="0EEBBA53">
      <w:pPr>
        <w:pageBreakBefore w:val="0"/>
        <w:shd w:val="clear"/>
        <w:kinsoku/>
        <w:overflowPunct/>
        <w:topLinePunct w:val="0"/>
        <w:bidi w:val="0"/>
        <w:spacing w:beforeAutospacing="0" w:afterAutospacing="0" w:line="360" w:lineRule="auto"/>
        <w:ind w:firstLine="2" w:firstLineChars="1"/>
        <w:rPr>
          <w:rFonts w:hint="eastAsia" w:ascii="宋体" w:hAnsi="宋体" w:eastAsia="宋体" w:cs="宋体"/>
          <w:color w:val="auto"/>
          <w:sz w:val="24"/>
          <w:highlight w:val="none"/>
          <w:lang w:eastAsia="zh-CN"/>
        </w:rPr>
      </w:pPr>
    </w:p>
    <w:p w14:paraId="2144DB6A">
      <w:pPr>
        <w:pageBreakBefore w:val="0"/>
        <w:shd w:val="clear"/>
        <w:kinsoku/>
        <w:overflowPunct/>
        <w:topLinePunct w:val="0"/>
        <w:bidi w:val="0"/>
        <w:spacing w:beforeAutospacing="0" w:afterAutospacing="0" w:line="360" w:lineRule="auto"/>
        <w:ind w:firstLine="2" w:firstLineChars="1"/>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2"/>
          <w:highlight w:val="none"/>
          <w:lang w:eastAsia="zh-CN"/>
        </w:rPr>
        <w:t>电子签章</w:t>
      </w:r>
      <w:r>
        <w:rPr>
          <w:rFonts w:hint="eastAsia" w:ascii="宋体" w:hAnsi="宋体" w:eastAsia="宋体" w:cs="宋体"/>
          <w:color w:val="auto"/>
          <w:sz w:val="24"/>
          <w:highlight w:val="none"/>
        </w:rPr>
        <w:t>）</w:t>
      </w:r>
    </w:p>
    <w:p w14:paraId="77C6541C">
      <w:pPr>
        <w:pageBreakBefore w:val="0"/>
        <w:shd w:val="clear"/>
        <w:kinsoku/>
        <w:overflowPunct/>
        <w:topLinePunct w:val="0"/>
        <w:bidi w:val="0"/>
        <w:spacing w:beforeAutospacing="0" w:afterAutospacing="0" w:line="360" w:lineRule="auto"/>
        <w:ind w:firstLine="2" w:firstLineChars="1"/>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p>
    <w:p w14:paraId="0B974EA1">
      <w:pPr>
        <w:pageBreakBefore w:val="0"/>
        <w:shd w:val="clear"/>
        <w:kinsoku/>
        <w:overflowPunct/>
        <w:topLinePunct w:val="0"/>
        <w:bidi w:val="0"/>
        <w:spacing w:beforeAutospacing="0" w:afterAutospacing="0" w:line="360" w:lineRule="auto"/>
        <w:ind w:firstLine="2" w:firstLineChars="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E2746B4">
      <w:pPr>
        <w:rPr>
          <w:rFonts w:hint="eastAsia" w:ascii="仿宋" w:hAnsi="仿宋" w:eastAsia="仿宋" w:cs="仿宋"/>
          <w:b/>
          <w:bCs/>
          <w:color w:val="auto"/>
          <w:spacing w:val="0"/>
          <w:kern w:val="2"/>
          <w:sz w:val="28"/>
          <w:szCs w:val="28"/>
          <w:lang w:val="en-US" w:eastAsia="zh-CN" w:bidi="ar-SA"/>
        </w:rPr>
      </w:pPr>
      <w:r>
        <w:rPr>
          <w:rFonts w:hint="eastAsia" w:ascii="仿宋" w:hAnsi="仿宋" w:eastAsia="仿宋" w:cs="仿宋"/>
          <w:b/>
          <w:bCs/>
          <w:color w:val="auto"/>
          <w:spacing w:val="0"/>
          <w:kern w:val="2"/>
          <w:sz w:val="28"/>
          <w:szCs w:val="28"/>
          <w:lang w:val="en-US" w:eastAsia="zh-CN" w:bidi="ar-SA"/>
        </w:rPr>
        <w:br w:type="page"/>
      </w:r>
    </w:p>
    <w:p w14:paraId="0FC3D549">
      <w:pPr>
        <w:pStyle w:val="4"/>
        <w:pageBreakBefore w:val="0"/>
        <w:numPr>
          <w:ilvl w:val="1"/>
          <w:numId w:val="0"/>
        </w:numPr>
        <w:tabs>
          <w:tab w:val="left" w:pos="3690"/>
          <w:tab w:val="clear" w:pos="1200"/>
        </w:tabs>
        <w:kinsoku/>
        <w:overflowPunct/>
        <w:topLinePunct w:val="0"/>
        <w:bidi w:val="0"/>
        <w:snapToGrid w:val="0"/>
        <w:spacing w:before="0" w:beforeAutospacing="0" w:after="0" w:afterAutospacing="0" w:line="360" w:lineRule="auto"/>
        <w:jc w:val="center"/>
        <w:outlineLvl w:val="2"/>
        <w:rPr>
          <w:rFonts w:hint="eastAsia" w:ascii="宋体" w:hAnsi="宋体" w:eastAsia="宋体" w:cs="宋体"/>
          <w:color w:val="auto"/>
          <w:szCs w:val="32"/>
          <w:highlight w:val="none"/>
          <w:lang w:val="en-US" w:eastAsia="zh-CN"/>
        </w:rPr>
      </w:pPr>
      <w:bookmarkStart w:id="546" w:name="_Toc26845"/>
      <w:r>
        <w:rPr>
          <w:rFonts w:hint="eastAsia" w:ascii="宋体" w:hAnsi="宋体" w:eastAsia="宋体" w:cs="宋体"/>
          <w:color w:val="auto"/>
          <w:szCs w:val="32"/>
          <w:highlight w:val="none"/>
          <w:lang w:val="en-US" w:eastAsia="zh-CN"/>
        </w:rPr>
        <w:t>三、供应商落实政府采购政策的证明材料</w:t>
      </w:r>
      <w:bookmarkEnd w:id="546"/>
    </w:p>
    <w:p w14:paraId="3FE2F7D0">
      <w:pPr>
        <w:numPr>
          <w:ilvl w:val="0"/>
          <w:numId w:val="0"/>
        </w:numPr>
        <w:spacing w:line="400" w:lineRule="exact"/>
        <w:rPr>
          <w:rFonts w:ascii="仿宋" w:hAnsi="仿宋" w:eastAsia="仿宋" w:cs="仿宋"/>
          <w:b/>
          <w:bCs/>
          <w:sz w:val="22"/>
          <w:szCs w:val="22"/>
        </w:rPr>
      </w:pPr>
      <w:r>
        <w:rPr>
          <w:rFonts w:hint="eastAsia" w:ascii="仿宋" w:hAnsi="仿宋" w:eastAsia="仿宋" w:cs="仿宋"/>
          <w:b/>
          <w:bCs/>
          <w:sz w:val="22"/>
          <w:szCs w:val="22"/>
        </w:rPr>
        <w:t>（1）《中小企业声明函》（原件）符合《政府采购促进中小企业发展管理办法》（财库〔2020〕46号）价格扣减条件的供应商须提交）</w:t>
      </w:r>
    </w:p>
    <w:p w14:paraId="6BA52F83">
      <w:pPr>
        <w:spacing w:line="360" w:lineRule="auto"/>
        <w:ind w:left="380"/>
        <w:jc w:val="center"/>
        <w:rPr>
          <w:rFonts w:ascii="仿宋" w:hAnsi="仿宋" w:eastAsia="仿宋" w:cs="仿宋"/>
          <w:sz w:val="22"/>
          <w:szCs w:val="22"/>
        </w:rPr>
      </w:pPr>
      <w:r>
        <w:rPr>
          <w:rFonts w:hint="eastAsia" w:ascii="仿宋" w:hAnsi="仿宋" w:eastAsia="仿宋" w:cs="仿宋"/>
          <w:sz w:val="22"/>
          <w:szCs w:val="22"/>
        </w:rPr>
        <w:t>中小企业声明函（货物）</w:t>
      </w:r>
    </w:p>
    <w:p w14:paraId="40FAC95E">
      <w:pPr>
        <w:adjustRightInd w:val="0"/>
        <w:spacing w:line="360" w:lineRule="auto"/>
        <w:ind w:firstLine="440" w:firstLineChars="200"/>
        <w:rPr>
          <w:rFonts w:ascii="仿宋" w:hAnsi="仿宋" w:eastAsia="仿宋" w:cs="仿宋"/>
          <w:sz w:val="22"/>
          <w:szCs w:val="22"/>
        </w:rPr>
      </w:pPr>
      <w:r>
        <w:rPr>
          <w:rFonts w:hint="eastAsia" w:ascii="仿宋" w:hAnsi="仿宋" w:eastAsia="仿宋" w:cs="仿宋"/>
          <w:sz w:val="22"/>
          <w:szCs w:val="22"/>
        </w:rPr>
        <w:t>本公司</w:t>
      </w:r>
      <w:r>
        <w:rPr>
          <w:rFonts w:hint="eastAsia" w:ascii="仿宋" w:hAnsi="仿宋" w:eastAsia="仿宋" w:cs="仿宋"/>
          <w:sz w:val="22"/>
          <w:szCs w:val="22"/>
          <w:u w:val="single"/>
        </w:rPr>
        <w:t xml:space="preserve">            </w:t>
      </w:r>
      <w:r>
        <w:rPr>
          <w:rFonts w:hint="eastAsia" w:ascii="仿宋" w:hAnsi="仿宋" w:eastAsia="仿宋" w:cs="仿宋"/>
          <w:sz w:val="22"/>
          <w:szCs w:val="22"/>
        </w:rPr>
        <w:t>郑重声明，根据《政府采购促进中小企业发展管理办法》（财库﹝2020﹞46 号）的规定，本公司参加</w:t>
      </w:r>
      <w:r>
        <w:rPr>
          <w:rFonts w:hint="eastAsia" w:ascii="仿宋" w:hAnsi="仿宋" w:eastAsia="仿宋" w:cs="仿宋"/>
          <w:sz w:val="22"/>
          <w:szCs w:val="22"/>
          <w:u w:val="single"/>
        </w:rPr>
        <w:t>（采购单位名称）</w:t>
      </w:r>
      <w:r>
        <w:rPr>
          <w:rFonts w:hint="eastAsia" w:ascii="仿宋" w:hAnsi="仿宋" w:eastAsia="仿宋" w:cs="仿宋"/>
          <w:sz w:val="22"/>
          <w:szCs w:val="22"/>
        </w:rPr>
        <w:t>的</w:t>
      </w:r>
      <w:r>
        <w:rPr>
          <w:rFonts w:hint="eastAsia" w:ascii="仿宋" w:hAnsi="仿宋" w:eastAsia="仿宋" w:cs="仿宋"/>
          <w:sz w:val="22"/>
          <w:szCs w:val="22"/>
          <w:u w:val="single"/>
        </w:rPr>
        <w:t>（项目名称）</w:t>
      </w:r>
      <w:r>
        <w:rPr>
          <w:rFonts w:hint="eastAsia" w:ascii="仿宋" w:hAnsi="仿宋" w:eastAsia="仿宋" w:cs="仿宋"/>
          <w:sz w:val="22"/>
          <w:szCs w:val="22"/>
        </w:rPr>
        <w:t>采购活动，提供的货物全部由符合政策要求的中小企业制造。相关企业（含联合体中的中小企业、签订分包意向协议的中小企业）的具体情况如下：</w:t>
      </w:r>
    </w:p>
    <w:p w14:paraId="722A6E94">
      <w:pPr>
        <w:numPr>
          <w:ilvl w:val="0"/>
          <w:numId w:val="9"/>
        </w:numPr>
        <w:adjustRightInd w:val="0"/>
        <w:spacing w:line="360" w:lineRule="auto"/>
        <w:ind w:firstLine="440" w:firstLineChars="200"/>
        <w:rPr>
          <w:rFonts w:ascii="仿宋" w:hAnsi="仿宋" w:eastAsia="仿宋" w:cs="仿宋"/>
          <w:sz w:val="22"/>
          <w:szCs w:val="22"/>
        </w:rPr>
      </w:pPr>
      <w:r>
        <w:rPr>
          <w:rFonts w:hint="eastAsia" w:ascii="仿宋" w:hAnsi="仿宋" w:eastAsia="仿宋" w:cs="仿宋"/>
          <w:sz w:val="22"/>
          <w:szCs w:val="22"/>
          <w:u w:val="single"/>
        </w:rPr>
        <w:t>（标的名称）</w:t>
      </w:r>
      <w:r>
        <w:rPr>
          <w:rFonts w:hint="eastAsia" w:ascii="仿宋" w:hAnsi="仿宋" w:eastAsia="仿宋" w:cs="仿宋"/>
          <w:sz w:val="22"/>
          <w:szCs w:val="22"/>
        </w:rPr>
        <w:t>，属于</w:t>
      </w:r>
      <w:r>
        <w:rPr>
          <w:rFonts w:hint="eastAsia" w:ascii="仿宋" w:hAnsi="仿宋" w:eastAsia="仿宋" w:cs="仿宋"/>
          <w:sz w:val="22"/>
          <w:szCs w:val="22"/>
          <w:u w:val="single"/>
        </w:rPr>
        <w:t>（采购文件中明确的所属行业）</w:t>
      </w:r>
      <w:r>
        <w:rPr>
          <w:rFonts w:hint="eastAsia" w:ascii="仿宋" w:hAnsi="仿宋" w:eastAsia="仿宋" w:cs="仿宋"/>
          <w:sz w:val="22"/>
          <w:szCs w:val="22"/>
        </w:rPr>
        <w:t>行业；制造商为</w:t>
      </w:r>
      <w:r>
        <w:rPr>
          <w:rFonts w:hint="eastAsia" w:ascii="仿宋" w:hAnsi="仿宋" w:eastAsia="仿宋" w:cs="仿宋"/>
          <w:sz w:val="22"/>
          <w:szCs w:val="22"/>
          <w:u w:val="single"/>
        </w:rPr>
        <w:t>（企业名称）</w:t>
      </w:r>
      <w:r>
        <w:rPr>
          <w:rFonts w:hint="eastAsia" w:ascii="仿宋" w:hAnsi="仿宋" w:eastAsia="仿宋" w:cs="仿宋"/>
          <w:sz w:val="22"/>
          <w:szCs w:val="22"/>
        </w:rPr>
        <w:t>，从业人员</w:t>
      </w:r>
      <w:r>
        <w:rPr>
          <w:rFonts w:hint="eastAsia" w:ascii="仿宋" w:hAnsi="仿宋" w:eastAsia="仿宋" w:cs="仿宋"/>
          <w:sz w:val="22"/>
          <w:szCs w:val="22"/>
          <w:u w:val="single"/>
        </w:rPr>
        <w:t xml:space="preserve">      </w:t>
      </w:r>
      <w:r>
        <w:rPr>
          <w:rFonts w:hint="eastAsia" w:ascii="仿宋" w:hAnsi="仿宋" w:eastAsia="仿宋" w:cs="仿宋"/>
          <w:sz w:val="22"/>
          <w:szCs w:val="22"/>
        </w:rPr>
        <w:t>人，营业收入为</w:t>
      </w:r>
      <w:r>
        <w:rPr>
          <w:rFonts w:hint="eastAsia" w:ascii="仿宋" w:hAnsi="仿宋" w:eastAsia="仿宋" w:cs="仿宋"/>
          <w:sz w:val="22"/>
          <w:szCs w:val="22"/>
          <w:u w:val="single"/>
        </w:rPr>
        <w:t xml:space="preserve">     </w:t>
      </w:r>
      <w:r>
        <w:rPr>
          <w:rFonts w:hint="eastAsia" w:ascii="仿宋" w:hAnsi="仿宋" w:eastAsia="仿宋" w:cs="仿宋"/>
          <w:sz w:val="22"/>
          <w:szCs w:val="22"/>
        </w:rPr>
        <w:t>万元，资产总额为</w:t>
      </w:r>
      <w:r>
        <w:rPr>
          <w:rFonts w:hint="eastAsia" w:ascii="仿宋" w:hAnsi="仿宋" w:eastAsia="仿宋" w:cs="仿宋"/>
          <w:sz w:val="22"/>
          <w:szCs w:val="22"/>
          <w:u w:val="single"/>
        </w:rPr>
        <w:t xml:space="preserve">      </w:t>
      </w:r>
      <w:r>
        <w:rPr>
          <w:rFonts w:hint="eastAsia" w:ascii="仿宋" w:hAnsi="仿宋" w:eastAsia="仿宋" w:cs="仿宋"/>
          <w:sz w:val="22"/>
          <w:szCs w:val="22"/>
        </w:rPr>
        <w:t>万元，属于</w:t>
      </w:r>
      <w:r>
        <w:rPr>
          <w:rFonts w:hint="eastAsia" w:ascii="仿宋" w:hAnsi="仿宋" w:eastAsia="仿宋" w:cs="仿宋"/>
          <w:sz w:val="22"/>
          <w:szCs w:val="22"/>
          <w:u w:val="single"/>
        </w:rPr>
        <w:t>（中型企业、小型企业、微型企业）</w:t>
      </w:r>
      <w:r>
        <w:rPr>
          <w:rFonts w:hint="eastAsia" w:ascii="仿宋" w:hAnsi="仿宋" w:eastAsia="仿宋" w:cs="仿宋"/>
          <w:sz w:val="22"/>
          <w:szCs w:val="22"/>
        </w:rPr>
        <w:t>；</w:t>
      </w:r>
    </w:p>
    <w:p w14:paraId="501E681F">
      <w:pPr>
        <w:numPr>
          <w:ilvl w:val="0"/>
          <w:numId w:val="9"/>
        </w:numPr>
        <w:adjustRightInd w:val="0"/>
        <w:spacing w:line="360" w:lineRule="auto"/>
        <w:ind w:firstLine="440" w:firstLineChars="200"/>
        <w:rPr>
          <w:rFonts w:ascii="仿宋" w:hAnsi="仿宋" w:eastAsia="仿宋" w:cs="仿宋"/>
          <w:sz w:val="22"/>
          <w:szCs w:val="22"/>
        </w:rPr>
      </w:pPr>
      <w:r>
        <w:rPr>
          <w:rFonts w:hint="eastAsia" w:ascii="仿宋" w:hAnsi="仿宋" w:eastAsia="仿宋" w:cs="仿宋"/>
          <w:sz w:val="22"/>
          <w:szCs w:val="22"/>
          <w:u w:val="single"/>
        </w:rPr>
        <w:t>（标的名称）</w:t>
      </w:r>
      <w:r>
        <w:rPr>
          <w:rFonts w:hint="eastAsia" w:ascii="仿宋" w:hAnsi="仿宋" w:eastAsia="仿宋" w:cs="仿宋"/>
          <w:sz w:val="22"/>
          <w:szCs w:val="22"/>
        </w:rPr>
        <w:t>，属于</w:t>
      </w:r>
      <w:r>
        <w:rPr>
          <w:rFonts w:hint="eastAsia" w:ascii="仿宋" w:hAnsi="仿宋" w:eastAsia="仿宋" w:cs="仿宋"/>
          <w:sz w:val="22"/>
          <w:szCs w:val="22"/>
          <w:u w:val="single"/>
        </w:rPr>
        <w:t>（采购文件中明确的所属行业）</w:t>
      </w:r>
      <w:r>
        <w:rPr>
          <w:rFonts w:hint="eastAsia" w:ascii="仿宋" w:hAnsi="仿宋" w:eastAsia="仿宋" w:cs="仿宋"/>
          <w:sz w:val="22"/>
          <w:szCs w:val="22"/>
        </w:rPr>
        <w:t>行业；制造商为</w:t>
      </w:r>
      <w:r>
        <w:rPr>
          <w:rFonts w:hint="eastAsia" w:ascii="仿宋" w:hAnsi="仿宋" w:eastAsia="仿宋" w:cs="仿宋"/>
          <w:sz w:val="22"/>
          <w:szCs w:val="22"/>
          <w:u w:val="single"/>
        </w:rPr>
        <w:t>（企业名称）</w:t>
      </w:r>
      <w:r>
        <w:rPr>
          <w:rFonts w:hint="eastAsia" w:ascii="仿宋" w:hAnsi="仿宋" w:eastAsia="仿宋" w:cs="仿宋"/>
          <w:sz w:val="22"/>
          <w:szCs w:val="22"/>
        </w:rPr>
        <w:t>，从业人员</w:t>
      </w:r>
      <w:r>
        <w:rPr>
          <w:rFonts w:hint="eastAsia" w:ascii="仿宋" w:hAnsi="仿宋" w:eastAsia="仿宋" w:cs="仿宋"/>
          <w:sz w:val="22"/>
          <w:szCs w:val="22"/>
          <w:u w:val="single"/>
        </w:rPr>
        <w:t xml:space="preserve">      </w:t>
      </w:r>
      <w:r>
        <w:rPr>
          <w:rFonts w:hint="eastAsia" w:ascii="仿宋" w:hAnsi="仿宋" w:eastAsia="仿宋" w:cs="仿宋"/>
          <w:sz w:val="22"/>
          <w:szCs w:val="22"/>
        </w:rPr>
        <w:t>人，营业收入为</w:t>
      </w:r>
      <w:r>
        <w:rPr>
          <w:rFonts w:hint="eastAsia" w:ascii="仿宋" w:hAnsi="仿宋" w:eastAsia="仿宋" w:cs="仿宋"/>
          <w:sz w:val="22"/>
          <w:szCs w:val="22"/>
          <w:u w:val="single"/>
        </w:rPr>
        <w:t xml:space="preserve">     </w:t>
      </w:r>
      <w:r>
        <w:rPr>
          <w:rFonts w:hint="eastAsia" w:ascii="仿宋" w:hAnsi="仿宋" w:eastAsia="仿宋" w:cs="仿宋"/>
          <w:sz w:val="22"/>
          <w:szCs w:val="22"/>
        </w:rPr>
        <w:t>万元，资产总额为</w:t>
      </w:r>
      <w:r>
        <w:rPr>
          <w:rFonts w:hint="eastAsia" w:ascii="仿宋" w:hAnsi="仿宋" w:eastAsia="仿宋" w:cs="仿宋"/>
          <w:sz w:val="22"/>
          <w:szCs w:val="22"/>
          <w:u w:val="single"/>
        </w:rPr>
        <w:t xml:space="preserve">      </w:t>
      </w:r>
      <w:r>
        <w:rPr>
          <w:rFonts w:hint="eastAsia" w:ascii="仿宋" w:hAnsi="仿宋" w:eastAsia="仿宋" w:cs="仿宋"/>
          <w:sz w:val="22"/>
          <w:szCs w:val="22"/>
        </w:rPr>
        <w:t>万元，属于</w:t>
      </w:r>
      <w:r>
        <w:rPr>
          <w:rFonts w:hint="eastAsia" w:ascii="仿宋" w:hAnsi="仿宋" w:eastAsia="仿宋" w:cs="仿宋"/>
          <w:sz w:val="22"/>
          <w:szCs w:val="22"/>
          <w:u w:val="single"/>
        </w:rPr>
        <w:t>（中型企业、小型企业、微型企业）</w:t>
      </w:r>
      <w:r>
        <w:rPr>
          <w:rFonts w:hint="eastAsia" w:ascii="仿宋" w:hAnsi="仿宋" w:eastAsia="仿宋" w:cs="仿宋"/>
          <w:sz w:val="22"/>
          <w:szCs w:val="22"/>
        </w:rPr>
        <w:t xml:space="preserve">； </w:t>
      </w:r>
    </w:p>
    <w:p w14:paraId="75C89AF8">
      <w:pPr>
        <w:pStyle w:val="33"/>
        <w:outlineLvl w:val="9"/>
        <w:rPr>
          <w:rFonts w:ascii="仿宋" w:hAnsi="仿宋" w:eastAsia="仿宋" w:cs="仿宋"/>
          <w:color w:val="auto"/>
        </w:rPr>
      </w:pPr>
      <w:r>
        <w:rPr>
          <w:rFonts w:hint="eastAsia" w:ascii="仿宋" w:hAnsi="仿宋" w:eastAsia="仿宋" w:cs="仿宋"/>
          <w:color w:val="auto"/>
          <w:sz w:val="22"/>
          <w:szCs w:val="22"/>
        </w:rPr>
        <w:t>...</w:t>
      </w:r>
    </w:p>
    <w:p w14:paraId="258BBC0F">
      <w:pPr>
        <w:adjustRightInd w:val="0"/>
        <w:spacing w:line="360" w:lineRule="auto"/>
        <w:ind w:firstLine="440" w:firstLineChars="200"/>
        <w:rPr>
          <w:rFonts w:ascii="仿宋" w:hAnsi="仿宋" w:eastAsia="仿宋" w:cs="仿宋"/>
          <w:sz w:val="22"/>
          <w:szCs w:val="22"/>
        </w:rPr>
      </w:pPr>
      <w:r>
        <w:rPr>
          <w:rFonts w:hint="eastAsia" w:ascii="仿宋" w:hAnsi="仿宋" w:eastAsia="仿宋" w:cs="仿宋"/>
          <w:sz w:val="22"/>
          <w:szCs w:val="22"/>
        </w:rPr>
        <w:t>以上企业，不属于大企业的分支机构，不存在控股股东为大企业的情形，也不存在与大企业的负责人为同一人的情形。</w:t>
      </w:r>
    </w:p>
    <w:p w14:paraId="2FE53659">
      <w:pPr>
        <w:adjustRightInd w:val="0"/>
        <w:spacing w:line="360" w:lineRule="auto"/>
        <w:ind w:firstLine="440" w:firstLineChars="200"/>
        <w:rPr>
          <w:rFonts w:ascii="仿宋" w:hAnsi="仿宋" w:eastAsia="仿宋" w:cs="仿宋"/>
          <w:sz w:val="22"/>
          <w:szCs w:val="22"/>
        </w:rPr>
      </w:pPr>
      <w:r>
        <w:rPr>
          <w:rFonts w:hint="eastAsia" w:ascii="仿宋" w:hAnsi="仿宋" w:eastAsia="仿宋" w:cs="仿宋"/>
          <w:sz w:val="22"/>
          <w:szCs w:val="22"/>
        </w:rPr>
        <w:t xml:space="preserve">本企业对上述声明内容的真实性负责。如有虚假，将依法承担相应责任。 </w:t>
      </w:r>
    </w:p>
    <w:p w14:paraId="40F1EEA8">
      <w:pPr>
        <w:adjustRightInd w:val="0"/>
        <w:spacing w:line="360" w:lineRule="auto"/>
        <w:ind w:firstLine="440" w:firstLineChars="200"/>
        <w:rPr>
          <w:rFonts w:ascii="仿宋" w:hAnsi="仿宋" w:eastAsia="仿宋" w:cs="仿宋"/>
          <w:sz w:val="22"/>
          <w:szCs w:val="22"/>
        </w:rPr>
      </w:pPr>
    </w:p>
    <w:p w14:paraId="02FC8459">
      <w:pPr>
        <w:spacing w:line="360" w:lineRule="auto"/>
        <w:rPr>
          <w:rFonts w:hint="eastAsia" w:ascii="仿宋" w:hAnsi="仿宋" w:eastAsia="仿宋" w:cs="仿宋"/>
          <w:sz w:val="22"/>
          <w:szCs w:val="22"/>
          <w:lang w:val="en-US" w:eastAsia="zh-CN"/>
        </w:rPr>
      </w:pPr>
    </w:p>
    <w:p w14:paraId="2061C2EC">
      <w:pPr>
        <w:spacing w:line="360" w:lineRule="auto"/>
        <w:ind w:firstLine="440" w:firstLineChars="200"/>
        <w:rPr>
          <w:rFonts w:ascii="仿宋" w:hAnsi="仿宋" w:eastAsia="仿宋" w:cs="仿宋"/>
          <w:sz w:val="22"/>
          <w:szCs w:val="22"/>
        </w:rPr>
      </w:pPr>
      <w:r>
        <w:rPr>
          <w:rFonts w:hint="eastAsia" w:ascii="仿宋" w:hAnsi="仿宋" w:eastAsia="仿宋" w:cs="仿宋"/>
          <w:sz w:val="22"/>
          <w:szCs w:val="22"/>
          <w:lang w:val="en-US" w:eastAsia="zh-CN"/>
        </w:rPr>
        <w:t>投标人</w:t>
      </w:r>
      <w:r>
        <w:rPr>
          <w:rFonts w:hint="eastAsia" w:ascii="仿宋" w:hAnsi="仿宋" w:eastAsia="仿宋" w:cs="仿宋"/>
          <w:sz w:val="22"/>
          <w:szCs w:val="22"/>
        </w:rPr>
        <w:t>：</w:t>
      </w:r>
      <w:r>
        <w:rPr>
          <w:rFonts w:hint="eastAsia" w:ascii="仿宋" w:hAnsi="仿宋" w:eastAsia="仿宋" w:cs="仿宋"/>
          <w:sz w:val="22"/>
          <w:szCs w:val="22"/>
          <w:u w:val="single"/>
        </w:rPr>
        <w:t xml:space="preserve">                                    </w:t>
      </w:r>
      <w:r>
        <w:rPr>
          <w:rFonts w:hint="eastAsia" w:ascii="仿宋" w:hAnsi="仿宋" w:eastAsia="仿宋" w:cs="仿宋"/>
          <w:sz w:val="22"/>
          <w:szCs w:val="22"/>
        </w:rPr>
        <w:t>（盖单位公章）</w:t>
      </w:r>
    </w:p>
    <w:p w14:paraId="7EA24CC3">
      <w:pPr>
        <w:spacing w:line="360" w:lineRule="auto"/>
        <w:ind w:firstLine="440" w:firstLineChars="200"/>
        <w:rPr>
          <w:rFonts w:ascii="仿宋" w:hAnsi="仿宋" w:eastAsia="仿宋" w:cs="仿宋"/>
          <w:sz w:val="22"/>
          <w:szCs w:val="22"/>
        </w:rPr>
      </w:pPr>
      <w:r>
        <w:rPr>
          <w:rFonts w:hint="eastAsia" w:ascii="仿宋" w:hAnsi="仿宋" w:eastAsia="仿宋" w:cs="仿宋"/>
          <w:sz w:val="22"/>
          <w:szCs w:val="22"/>
        </w:rPr>
        <w:t>法定代表人或其委托代理人：</w:t>
      </w:r>
      <w:r>
        <w:rPr>
          <w:rFonts w:hint="eastAsia" w:ascii="仿宋" w:hAnsi="仿宋" w:eastAsia="仿宋" w:cs="仿宋"/>
          <w:sz w:val="22"/>
          <w:szCs w:val="22"/>
          <w:u w:val="single"/>
        </w:rPr>
        <w:t xml:space="preserve">                  </w:t>
      </w:r>
      <w:r>
        <w:rPr>
          <w:rFonts w:hint="eastAsia" w:ascii="仿宋" w:hAnsi="仿宋" w:eastAsia="仿宋" w:cs="仿宋"/>
          <w:sz w:val="22"/>
          <w:szCs w:val="22"/>
        </w:rPr>
        <w:t>（签字或盖章）</w:t>
      </w:r>
    </w:p>
    <w:p w14:paraId="4A9F3E8E">
      <w:pPr>
        <w:spacing w:line="360" w:lineRule="auto"/>
        <w:ind w:firstLine="440" w:firstLineChars="200"/>
        <w:rPr>
          <w:rFonts w:ascii="仿宋" w:hAnsi="仿宋" w:eastAsia="仿宋" w:cs="仿宋"/>
          <w:sz w:val="22"/>
          <w:szCs w:val="22"/>
        </w:rPr>
      </w:pPr>
      <w:r>
        <w:rPr>
          <w:rFonts w:hint="eastAsia" w:ascii="仿宋" w:hAnsi="仿宋" w:eastAsia="仿宋" w:cs="仿宋"/>
          <w:sz w:val="22"/>
          <w:szCs w:val="22"/>
        </w:rPr>
        <w:t>日期：</w:t>
      </w:r>
      <w:r>
        <w:rPr>
          <w:rFonts w:hint="eastAsia" w:ascii="仿宋" w:hAnsi="仿宋" w:eastAsia="仿宋" w:cs="仿宋"/>
          <w:sz w:val="22"/>
          <w:szCs w:val="22"/>
          <w:u w:val="single"/>
        </w:rPr>
        <w:t xml:space="preserve">            </w:t>
      </w:r>
      <w:r>
        <w:rPr>
          <w:rFonts w:hint="eastAsia" w:ascii="仿宋" w:hAnsi="仿宋" w:eastAsia="仿宋" w:cs="仿宋"/>
          <w:sz w:val="22"/>
          <w:szCs w:val="22"/>
        </w:rPr>
        <w:t>年</w:t>
      </w:r>
      <w:r>
        <w:rPr>
          <w:rFonts w:hint="eastAsia" w:ascii="仿宋" w:hAnsi="仿宋" w:eastAsia="仿宋" w:cs="仿宋"/>
          <w:sz w:val="22"/>
          <w:szCs w:val="22"/>
          <w:u w:val="single"/>
        </w:rPr>
        <w:t xml:space="preserve">       </w:t>
      </w:r>
      <w:r>
        <w:rPr>
          <w:rFonts w:hint="eastAsia" w:ascii="仿宋" w:hAnsi="仿宋" w:eastAsia="仿宋" w:cs="仿宋"/>
          <w:sz w:val="22"/>
          <w:szCs w:val="22"/>
        </w:rPr>
        <w:t>月</w:t>
      </w:r>
      <w:r>
        <w:rPr>
          <w:rFonts w:hint="eastAsia" w:ascii="仿宋" w:hAnsi="仿宋" w:eastAsia="仿宋" w:cs="仿宋"/>
          <w:sz w:val="22"/>
          <w:szCs w:val="22"/>
          <w:u w:val="single"/>
        </w:rPr>
        <w:t xml:space="preserve">       </w:t>
      </w:r>
      <w:r>
        <w:rPr>
          <w:rFonts w:hint="eastAsia" w:ascii="仿宋" w:hAnsi="仿宋" w:eastAsia="仿宋" w:cs="仿宋"/>
          <w:sz w:val="22"/>
          <w:szCs w:val="22"/>
        </w:rPr>
        <w:t>日</w:t>
      </w:r>
    </w:p>
    <w:p w14:paraId="5FEA2794">
      <w:pPr>
        <w:spacing w:line="360" w:lineRule="auto"/>
        <w:rPr>
          <w:rFonts w:ascii="仿宋" w:hAnsi="仿宋" w:eastAsia="仿宋" w:cs="仿宋"/>
          <w:sz w:val="22"/>
          <w:szCs w:val="22"/>
        </w:rPr>
      </w:pPr>
    </w:p>
    <w:p w14:paraId="4FA4FA80">
      <w:pPr>
        <w:spacing w:line="360" w:lineRule="auto"/>
        <w:ind w:firstLine="464" w:firstLineChars="200"/>
        <w:rPr>
          <w:rFonts w:ascii="仿宋" w:hAnsi="仿宋" w:eastAsia="仿宋" w:cs="仿宋"/>
          <w:spacing w:val="6"/>
          <w:sz w:val="22"/>
          <w:szCs w:val="22"/>
        </w:rPr>
        <w:sectPr>
          <w:footerReference r:id="rId14" w:type="default"/>
          <w:pgSz w:w="11906" w:h="16838"/>
          <w:pgMar w:top="1440" w:right="1080" w:bottom="1440" w:left="1080" w:header="850" w:footer="850" w:gutter="0"/>
          <w:pgBorders>
            <w:top w:val="none" w:sz="0" w:space="0"/>
            <w:left w:val="none" w:sz="0" w:space="0"/>
            <w:bottom w:val="none" w:sz="0" w:space="0"/>
            <w:right w:val="none" w:sz="0" w:space="0"/>
          </w:pgBorders>
          <w:pgNumType w:fmt="decimal" w:start="57"/>
          <w:cols w:space="0" w:num="1"/>
          <w:docGrid w:type="lines" w:linePitch="312" w:charSpace="0"/>
        </w:sectPr>
      </w:pPr>
      <w:r>
        <w:rPr>
          <w:rFonts w:hint="eastAsia" w:ascii="仿宋" w:hAnsi="仿宋" w:eastAsia="仿宋" w:cs="仿宋"/>
          <w:spacing w:val="6"/>
          <w:sz w:val="22"/>
          <w:szCs w:val="22"/>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本项目所属行业为</w:t>
      </w:r>
      <w:r>
        <w:rPr>
          <w:rFonts w:hint="eastAsia" w:ascii="仿宋" w:hAnsi="仿宋" w:eastAsia="仿宋" w:cs="仿宋"/>
          <w:b/>
          <w:bCs/>
          <w:spacing w:val="6"/>
          <w:sz w:val="22"/>
          <w:szCs w:val="22"/>
        </w:rPr>
        <w:t>工业</w:t>
      </w:r>
      <w:r>
        <w:rPr>
          <w:rFonts w:hint="eastAsia" w:ascii="仿宋" w:hAnsi="仿宋" w:eastAsia="仿宋" w:cs="仿宋"/>
          <w:spacing w:val="6"/>
          <w:sz w:val="22"/>
          <w:szCs w:val="22"/>
        </w:rPr>
        <w:t>。（4）中小企业应当按照《政府采购促进中小企业发展管理办法》（财库〔2020〕46号）规定和国家统计局关于印发《统计上大中小微型企业划分办法（2017）》的通知（国统字〔2017〕213号)，如实填写并提交《中小企业声明函》。供应商提供声明函内容不实的，属于提供虚假材料谋取中标、成交，依照《中华人民共和国政府采购法》等国家有关规定追究相应责任。</w:t>
      </w:r>
    </w:p>
    <w:p w14:paraId="452F8CA1">
      <w:pPr>
        <w:widowControl/>
        <w:spacing w:line="400" w:lineRule="exact"/>
        <w:jc w:val="left"/>
        <w:rPr>
          <w:rFonts w:ascii="仿宋" w:hAnsi="仿宋" w:eastAsia="仿宋" w:cs="仿宋"/>
          <w:kern w:val="0"/>
          <w:sz w:val="32"/>
          <w:szCs w:val="32"/>
        </w:rPr>
      </w:pPr>
      <w:r>
        <w:rPr>
          <w:rFonts w:hint="eastAsia" w:ascii="仿宋" w:hAnsi="仿宋" w:eastAsia="仿宋" w:cs="仿宋"/>
          <w:kern w:val="0"/>
          <w:sz w:val="32"/>
          <w:szCs w:val="32"/>
        </w:rPr>
        <w:t>附表</w:t>
      </w:r>
    </w:p>
    <w:p w14:paraId="5F0E20D5">
      <w:pPr>
        <w:widowControl/>
        <w:spacing w:line="330" w:lineRule="atLeast"/>
        <w:jc w:val="center"/>
        <w:rPr>
          <w:rFonts w:ascii="仿宋" w:hAnsi="仿宋" w:eastAsia="仿宋" w:cs="仿宋"/>
          <w:kern w:val="0"/>
          <w:sz w:val="36"/>
          <w:szCs w:val="32"/>
        </w:rPr>
      </w:pPr>
      <w:r>
        <w:rPr>
          <w:rFonts w:hint="eastAsia" w:ascii="仿宋" w:hAnsi="仿宋" w:eastAsia="仿宋" w:cs="仿宋"/>
          <w:kern w:val="0"/>
          <w:sz w:val="36"/>
          <w:szCs w:val="32"/>
        </w:rPr>
        <w:t>统计上大中小微型企业划分标准</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082B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484D161F">
            <w:pPr>
              <w:widowControl/>
              <w:spacing w:line="240" w:lineRule="exact"/>
              <w:jc w:val="center"/>
              <w:rPr>
                <w:rFonts w:ascii="仿宋" w:hAnsi="仿宋" w:eastAsia="仿宋" w:cs="仿宋"/>
                <w:b/>
                <w:bCs/>
                <w:kern w:val="0"/>
                <w:sz w:val="18"/>
                <w:szCs w:val="21"/>
              </w:rPr>
            </w:pPr>
            <w:r>
              <w:rPr>
                <w:rFonts w:hint="eastAsia" w:ascii="仿宋" w:hAnsi="仿宋" w:eastAsia="仿宋" w:cs="仿宋"/>
                <w:b/>
                <w:bCs/>
                <w:kern w:val="0"/>
                <w:sz w:val="18"/>
                <w:szCs w:val="21"/>
              </w:rPr>
              <w:t>行业名称</w:t>
            </w:r>
          </w:p>
        </w:tc>
        <w:tc>
          <w:tcPr>
            <w:tcW w:w="1369" w:type="dxa"/>
            <w:shd w:val="clear" w:color="auto" w:fill="auto"/>
            <w:vAlign w:val="center"/>
          </w:tcPr>
          <w:p w14:paraId="3E12E40D">
            <w:pPr>
              <w:widowControl/>
              <w:jc w:val="center"/>
              <w:rPr>
                <w:rFonts w:ascii="仿宋" w:hAnsi="仿宋" w:eastAsia="仿宋" w:cs="仿宋"/>
                <w:b/>
                <w:bCs/>
                <w:kern w:val="0"/>
                <w:sz w:val="18"/>
                <w:szCs w:val="18"/>
              </w:rPr>
            </w:pPr>
            <w:r>
              <w:rPr>
                <w:rFonts w:hint="eastAsia" w:ascii="仿宋" w:hAnsi="仿宋" w:eastAsia="仿宋" w:cs="仿宋"/>
                <w:b/>
                <w:bCs/>
                <w:kern w:val="0"/>
                <w:sz w:val="18"/>
                <w:szCs w:val="18"/>
              </w:rPr>
              <w:t>指标名称</w:t>
            </w:r>
          </w:p>
        </w:tc>
        <w:tc>
          <w:tcPr>
            <w:tcW w:w="709" w:type="dxa"/>
            <w:shd w:val="clear" w:color="auto" w:fill="auto"/>
            <w:vAlign w:val="center"/>
          </w:tcPr>
          <w:p w14:paraId="259C908A">
            <w:pPr>
              <w:widowControl/>
              <w:jc w:val="center"/>
              <w:rPr>
                <w:rFonts w:ascii="仿宋" w:hAnsi="仿宋" w:eastAsia="仿宋" w:cs="仿宋"/>
                <w:b/>
                <w:bCs/>
                <w:kern w:val="0"/>
                <w:sz w:val="18"/>
                <w:szCs w:val="18"/>
              </w:rPr>
            </w:pPr>
            <w:r>
              <w:rPr>
                <w:rFonts w:hint="eastAsia" w:ascii="仿宋" w:hAnsi="仿宋" w:eastAsia="仿宋" w:cs="仿宋"/>
                <w:b/>
                <w:bCs/>
                <w:kern w:val="0"/>
                <w:sz w:val="18"/>
                <w:szCs w:val="18"/>
              </w:rPr>
              <w:t>计量</w:t>
            </w:r>
          </w:p>
          <w:p w14:paraId="55A9CDA0">
            <w:pPr>
              <w:widowControl/>
              <w:jc w:val="center"/>
              <w:rPr>
                <w:rFonts w:ascii="仿宋" w:hAnsi="仿宋" w:eastAsia="仿宋" w:cs="仿宋"/>
                <w:b/>
                <w:bCs/>
                <w:kern w:val="0"/>
                <w:sz w:val="18"/>
                <w:szCs w:val="18"/>
              </w:rPr>
            </w:pPr>
            <w:r>
              <w:rPr>
                <w:rFonts w:hint="eastAsia" w:ascii="仿宋" w:hAnsi="仿宋" w:eastAsia="仿宋" w:cs="仿宋"/>
                <w:b/>
                <w:bCs/>
                <w:kern w:val="0"/>
                <w:sz w:val="18"/>
                <w:szCs w:val="18"/>
              </w:rPr>
              <w:t>单位</w:t>
            </w:r>
          </w:p>
        </w:tc>
        <w:tc>
          <w:tcPr>
            <w:tcW w:w="1125" w:type="dxa"/>
            <w:shd w:val="clear" w:color="auto" w:fill="auto"/>
            <w:vAlign w:val="center"/>
          </w:tcPr>
          <w:p w14:paraId="550DC355">
            <w:pPr>
              <w:widowControl/>
              <w:jc w:val="center"/>
              <w:rPr>
                <w:rFonts w:ascii="仿宋" w:hAnsi="仿宋" w:eastAsia="仿宋" w:cs="仿宋"/>
                <w:b/>
                <w:bCs/>
                <w:kern w:val="0"/>
                <w:sz w:val="18"/>
                <w:szCs w:val="18"/>
              </w:rPr>
            </w:pPr>
            <w:r>
              <w:rPr>
                <w:rFonts w:hint="eastAsia" w:ascii="仿宋" w:hAnsi="仿宋" w:eastAsia="仿宋" w:cs="仿宋"/>
                <w:b/>
                <w:bCs/>
                <w:kern w:val="0"/>
                <w:sz w:val="18"/>
                <w:szCs w:val="18"/>
              </w:rPr>
              <w:t>大型</w:t>
            </w:r>
          </w:p>
        </w:tc>
        <w:tc>
          <w:tcPr>
            <w:tcW w:w="1701" w:type="dxa"/>
            <w:shd w:val="clear" w:color="auto" w:fill="auto"/>
            <w:vAlign w:val="center"/>
          </w:tcPr>
          <w:p w14:paraId="6627D23E">
            <w:pPr>
              <w:widowControl/>
              <w:jc w:val="center"/>
              <w:rPr>
                <w:rFonts w:ascii="仿宋" w:hAnsi="仿宋" w:eastAsia="仿宋" w:cs="仿宋"/>
                <w:b/>
                <w:bCs/>
                <w:kern w:val="0"/>
                <w:sz w:val="18"/>
                <w:szCs w:val="18"/>
              </w:rPr>
            </w:pPr>
            <w:r>
              <w:rPr>
                <w:rFonts w:hint="eastAsia" w:ascii="仿宋" w:hAnsi="仿宋" w:eastAsia="仿宋" w:cs="仿宋"/>
                <w:b/>
                <w:bCs/>
                <w:kern w:val="0"/>
                <w:sz w:val="18"/>
                <w:szCs w:val="18"/>
              </w:rPr>
              <w:t>中型</w:t>
            </w:r>
          </w:p>
        </w:tc>
        <w:tc>
          <w:tcPr>
            <w:tcW w:w="1426" w:type="dxa"/>
            <w:shd w:val="clear" w:color="auto" w:fill="auto"/>
            <w:vAlign w:val="center"/>
          </w:tcPr>
          <w:p w14:paraId="3DC20867">
            <w:pPr>
              <w:widowControl/>
              <w:jc w:val="center"/>
              <w:rPr>
                <w:rFonts w:ascii="仿宋" w:hAnsi="仿宋" w:eastAsia="仿宋" w:cs="仿宋"/>
                <w:b/>
                <w:bCs/>
                <w:kern w:val="0"/>
                <w:sz w:val="18"/>
                <w:szCs w:val="18"/>
              </w:rPr>
            </w:pPr>
            <w:r>
              <w:rPr>
                <w:rFonts w:hint="eastAsia" w:ascii="仿宋" w:hAnsi="仿宋" w:eastAsia="仿宋" w:cs="仿宋"/>
                <w:b/>
                <w:bCs/>
                <w:kern w:val="0"/>
                <w:sz w:val="18"/>
                <w:szCs w:val="18"/>
              </w:rPr>
              <w:t>小型</w:t>
            </w:r>
          </w:p>
        </w:tc>
        <w:tc>
          <w:tcPr>
            <w:tcW w:w="992" w:type="dxa"/>
            <w:shd w:val="clear" w:color="auto" w:fill="auto"/>
            <w:vAlign w:val="center"/>
          </w:tcPr>
          <w:p w14:paraId="4AC963CD">
            <w:pPr>
              <w:widowControl/>
              <w:jc w:val="center"/>
              <w:rPr>
                <w:rFonts w:ascii="仿宋" w:hAnsi="仿宋" w:eastAsia="仿宋" w:cs="仿宋"/>
                <w:b/>
                <w:bCs/>
                <w:kern w:val="0"/>
                <w:sz w:val="18"/>
                <w:szCs w:val="18"/>
              </w:rPr>
            </w:pPr>
            <w:r>
              <w:rPr>
                <w:rFonts w:hint="eastAsia" w:ascii="仿宋" w:hAnsi="仿宋" w:eastAsia="仿宋" w:cs="仿宋"/>
                <w:b/>
                <w:bCs/>
                <w:kern w:val="0"/>
                <w:sz w:val="18"/>
                <w:szCs w:val="18"/>
              </w:rPr>
              <w:t>微型</w:t>
            </w:r>
          </w:p>
        </w:tc>
      </w:tr>
      <w:tr w14:paraId="3B4F0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4A81CD13">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农、林、牧、渔业</w:t>
            </w:r>
          </w:p>
        </w:tc>
        <w:tc>
          <w:tcPr>
            <w:tcW w:w="1369" w:type="dxa"/>
            <w:shd w:val="clear" w:color="auto" w:fill="auto"/>
            <w:vAlign w:val="center"/>
          </w:tcPr>
          <w:p w14:paraId="2073ABD6">
            <w:pPr>
              <w:widowControl/>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18957E14">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4F8FC252">
            <w:pPr>
              <w:widowControl/>
              <w:jc w:val="center"/>
              <w:rPr>
                <w:rFonts w:ascii="仿宋" w:hAnsi="仿宋" w:eastAsia="仿宋" w:cs="仿宋"/>
                <w:kern w:val="0"/>
                <w:sz w:val="18"/>
                <w:szCs w:val="18"/>
              </w:rPr>
            </w:pPr>
            <w:r>
              <w:rPr>
                <w:rFonts w:hint="eastAsia" w:ascii="仿宋" w:hAnsi="仿宋" w:eastAsia="仿宋" w:cs="仿宋"/>
                <w:kern w:val="0"/>
                <w:sz w:val="18"/>
                <w:szCs w:val="18"/>
              </w:rPr>
              <w:t>Y≥20000</w:t>
            </w:r>
          </w:p>
        </w:tc>
        <w:tc>
          <w:tcPr>
            <w:tcW w:w="1701" w:type="dxa"/>
            <w:shd w:val="clear" w:color="auto" w:fill="auto"/>
            <w:vAlign w:val="center"/>
          </w:tcPr>
          <w:p w14:paraId="16B8DFC5">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shd w:val="clear" w:color="auto" w:fill="auto"/>
            <w:vAlign w:val="center"/>
          </w:tcPr>
          <w:p w14:paraId="752F1553">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50≤Y＜500</w:t>
            </w:r>
          </w:p>
        </w:tc>
        <w:tc>
          <w:tcPr>
            <w:tcW w:w="992" w:type="dxa"/>
            <w:shd w:val="clear" w:color="auto" w:fill="auto"/>
            <w:vAlign w:val="center"/>
          </w:tcPr>
          <w:p w14:paraId="700925F9">
            <w:pPr>
              <w:widowControl/>
              <w:jc w:val="center"/>
              <w:rPr>
                <w:rFonts w:ascii="仿宋" w:hAnsi="仿宋" w:eastAsia="仿宋" w:cs="仿宋"/>
                <w:kern w:val="0"/>
                <w:sz w:val="18"/>
                <w:szCs w:val="18"/>
              </w:rPr>
            </w:pPr>
            <w:r>
              <w:rPr>
                <w:rFonts w:hint="eastAsia" w:ascii="仿宋" w:hAnsi="仿宋" w:eastAsia="仿宋" w:cs="仿宋"/>
                <w:kern w:val="0"/>
                <w:sz w:val="18"/>
                <w:szCs w:val="18"/>
              </w:rPr>
              <w:t>Y＜50</w:t>
            </w:r>
          </w:p>
        </w:tc>
      </w:tr>
      <w:tr w14:paraId="2460D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F66A125">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工业 *</w:t>
            </w:r>
          </w:p>
        </w:tc>
        <w:tc>
          <w:tcPr>
            <w:tcW w:w="1369" w:type="dxa"/>
            <w:shd w:val="clear" w:color="auto" w:fill="auto"/>
            <w:vAlign w:val="center"/>
          </w:tcPr>
          <w:p w14:paraId="16CEC62B">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52482627">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049C923A">
            <w:pPr>
              <w:widowControl/>
              <w:jc w:val="center"/>
              <w:rPr>
                <w:rFonts w:ascii="仿宋" w:hAnsi="仿宋" w:eastAsia="仿宋" w:cs="仿宋"/>
                <w:kern w:val="0"/>
                <w:sz w:val="18"/>
                <w:szCs w:val="18"/>
              </w:rPr>
            </w:pPr>
            <w:r>
              <w:rPr>
                <w:rFonts w:hint="eastAsia" w:ascii="仿宋" w:hAnsi="仿宋" w:eastAsia="仿宋" w:cs="仿宋"/>
                <w:kern w:val="0"/>
                <w:sz w:val="18"/>
                <w:szCs w:val="18"/>
              </w:rPr>
              <w:t>X≥1000</w:t>
            </w:r>
          </w:p>
        </w:tc>
        <w:tc>
          <w:tcPr>
            <w:tcW w:w="1701" w:type="dxa"/>
            <w:shd w:val="clear" w:color="auto" w:fill="auto"/>
            <w:vAlign w:val="center"/>
          </w:tcPr>
          <w:p w14:paraId="1253E804">
            <w:pPr>
              <w:widowControl/>
              <w:jc w:val="center"/>
              <w:rPr>
                <w:rFonts w:ascii="仿宋" w:hAnsi="仿宋" w:eastAsia="仿宋" w:cs="仿宋"/>
                <w:kern w:val="0"/>
                <w:sz w:val="18"/>
                <w:szCs w:val="18"/>
              </w:rPr>
            </w:pPr>
            <w:r>
              <w:rPr>
                <w:rFonts w:hint="eastAsia" w:ascii="仿宋" w:hAnsi="仿宋" w:eastAsia="仿宋" w:cs="仿宋"/>
                <w:kern w:val="0"/>
                <w:sz w:val="18"/>
                <w:szCs w:val="18"/>
              </w:rPr>
              <w:t>300≤X＜1000</w:t>
            </w:r>
          </w:p>
        </w:tc>
        <w:tc>
          <w:tcPr>
            <w:tcW w:w="1426" w:type="dxa"/>
            <w:shd w:val="clear" w:color="auto" w:fill="auto"/>
            <w:vAlign w:val="center"/>
          </w:tcPr>
          <w:p w14:paraId="477AB664">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shd w:val="clear" w:color="auto" w:fill="auto"/>
            <w:vAlign w:val="center"/>
          </w:tcPr>
          <w:p w14:paraId="406F8739">
            <w:pPr>
              <w:widowControl/>
              <w:jc w:val="center"/>
              <w:rPr>
                <w:rFonts w:ascii="仿宋" w:hAnsi="仿宋" w:eastAsia="仿宋" w:cs="仿宋"/>
                <w:kern w:val="0"/>
                <w:sz w:val="18"/>
                <w:szCs w:val="18"/>
              </w:rPr>
            </w:pPr>
            <w:r>
              <w:rPr>
                <w:rFonts w:hint="eastAsia" w:ascii="仿宋" w:hAnsi="仿宋" w:eastAsia="仿宋" w:cs="仿宋"/>
                <w:kern w:val="0"/>
                <w:sz w:val="18"/>
                <w:szCs w:val="18"/>
              </w:rPr>
              <w:t>X＜20</w:t>
            </w:r>
          </w:p>
        </w:tc>
      </w:tr>
      <w:tr w14:paraId="439C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FF02719">
            <w:pPr>
              <w:widowControl/>
              <w:jc w:val="left"/>
              <w:rPr>
                <w:rFonts w:ascii="仿宋" w:hAnsi="仿宋" w:eastAsia="仿宋" w:cs="仿宋"/>
                <w:kern w:val="0"/>
                <w:sz w:val="18"/>
                <w:szCs w:val="18"/>
              </w:rPr>
            </w:pPr>
          </w:p>
        </w:tc>
        <w:tc>
          <w:tcPr>
            <w:tcW w:w="1369" w:type="dxa"/>
            <w:shd w:val="clear" w:color="auto" w:fill="auto"/>
            <w:vAlign w:val="center"/>
          </w:tcPr>
          <w:p w14:paraId="7DB10E48">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73A32C40">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4DB73855">
            <w:pPr>
              <w:widowControl/>
              <w:jc w:val="center"/>
              <w:rPr>
                <w:rFonts w:ascii="仿宋" w:hAnsi="仿宋" w:eastAsia="仿宋" w:cs="仿宋"/>
                <w:kern w:val="0"/>
                <w:sz w:val="18"/>
                <w:szCs w:val="18"/>
              </w:rPr>
            </w:pPr>
            <w:r>
              <w:rPr>
                <w:rFonts w:hint="eastAsia" w:ascii="仿宋" w:hAnsi="仿宋" w:eastAsia="仿宋" w:cs="仿宋"/>
                <w:kern w:val="0"/>
                <w:sz w:val="18"/>
                <w:szCs w:val="18"/>
              </w:rPr>
              <w:t>Y≥40000</w:t>
            </w:r>
          </w:p>
        </w:tc>
        <w:tc>
          <w:tcPr>
            <w:tcW w:w="1701" w:type="dxa"/>
            <w:shd w:val="clear" w:color="auto" w:fill="auto"/>
            <w:vAlign w:val="center"/>
          </w:tcPr>
          <w:p w14:paraId="74781BAD">
            <w:pPr>
              <w:widowControl/>
              <w:jc w:val="center"/>
              <w:rPr>
                <w:rFonts w:ascii="仿宋" w:hAnsi="仿宋" w:eastAsia="仿宋" w:cs="仿宋"/>
                <w:kern w:val="0"/>
                <w:sz w:val="18"/>
                <w:szCs w:val="18"/>
              </w:rPr>
            </w:pPr>
            <w:r>
              <w:rPr>
                <w:rFonts w:hint="eastAsia" w:ascii="仿宋" w:hAnsi="仿宋" w:eastAsia="仿宋" w:cs="仿宋"/>
                <w:kern w:val="0"/>
                <w:sz w:val="18"/>
                <w:szCs w:val="18"/>
              </w:rPr>
              <w:t>2000≤Y＜40000</w:t>
            </w:r>
          </w:p>
        </w:tc>
        <w:tc>
          <w:tcPr>
            <w:tcW w:w="1426" w:type="dxa"/>
            <w:shd w:val="clear" w:color="auto" w:fill="auto"/>
            <w:vAlign w:val="center"/>
          </w:tcPr>
          <w:p w14:paraId="1A8D64E5">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300≤Y＜2000</w:t>
            </w:r>
          </w:p>
        </w:tc>
        <w:tc>
          <w:tcPr>
            <w:tcW w:w="992" w:type="dxa"/>
            <w:shd w:val="clear" w:color="auto" w:fill="auto"/>
            <w:vAlign w:val="center"/>
          </w:tcPr>
          <w:p w14:paraId="32F1D5B8">
            <w:pPr>
              <w:widowControl/>
              <w:jc w:val="center"/>
              <w:rPr>
                <w:rFonts w:ascii="仿宋" w:hAnsi="仿宋" w:eastAsia="仿宋" w:cs="仿宋"/>
                <w:kern w:val="0"/>
                <w:sz w:val="18"/>
                <w:szCs w:val="18"/>
              </w:rPr>
            </w:pPr>
            <w:r>
              <w:rPr>
                <w:rFonts w:hint="eastAsia" w:ascii="仿宋" w:hAnsi="仿宋" w:eastAsia="仿宋" w:cs="仿宋"/>
                <w:kern w:val="0"/>
                <w:sz w:val="18"/>
                <w:szCs w:val="18"/>
              </w:rPr>
              <w:t>Y＜300</w:t>
            </w:r>
          </w:p>
        </w:tc>
      </w:tr>
      <w:tr w14:paraId="13C8D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3B86E2B">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建筑业</w:t>
            </w:r>
          </w:p>
        </w:tc>
        <w:tc>
          <w:tcPr>
            <w:tcW w:w="1369" w:type="dxa"/>
            <w:shd w:val="clear" w:color="auto" w:fill="auto"/>
            <w:vAlign w:val="center"/>
          </w:tcPr>
          <w:p w14:paraId="3BF21A89">
            <w:pPr>
              <w:widowControl/>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7B13A643">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48996DE5">
            <w:pPr>
              <w:widowControl/>
              <w:jc w:val="center"/>
              <w:rPr>
                <w:rFonts w:ascii="仿宋" w:hAnsi="仿宋" w:eastAsia="仿宋" w:cs="仿宋"/>
                <w:kern w:val="0"/>
                <w:sz w:val="18"/>
                <w:szCs w:val="18"/>
              </w:rPr>
            </w:pPr>
            <w:r>
              <w:rPr>
                <w:rFonts w:hint="eastAsia" w:ascii="仿宋" w:hAnsi="仿宋" w:eastAsia="仿宋" w:cs="仿宋"/>
                <w:kern w:val="0"/>
                <w:sz w:val="18"/>
                <w:szCs w:val="18"/>
              </w:rPr>
              <w:t>Y≥80000</w:t>
            </w:r>
          </w:p>
        </w:tc>
        <w:tc>
          <w:tcPr>
            <w:tcW w:w="1701" w:type="dxa"/>
            <w:shd w:val="clear" w:color="auto" w:fill="auto"/>
            <w:vAlign w:val="center"/>
          </w:tcPr>
          <w:p w14:paraId="5C2C3676">
            <w:pPr>
              <w:widowControl/>
              <w:jc w:val="center"/>
              <w:rPr>
                <w:rFonts w:ascii="仿宋" w:hAnsi="仿宋" w:eastAsia="仿宋" w:cs="仿宋"/>
                <w:kern w:val="0"/>
                <w:sz w:val="18"/>
                <w:szCs w:val="18"/>
              </w:rPr>
            </w:pPr>
            <w:r>
              <w:rPr>
                <w:rFonts w:hint="eastAsia" w:ascii="仿宋" w:hAnsi="仿宋" w:eastAsia="仿宋" w:cs="仿宋"/>
                <w:kern w:val="0"/>
                <w:sz w:val="18"/>
                <w:szCs w:val="18"/>
              </w:rPr>
              <w:t>6000≤Y＜80000</w:t>
            </w:r>
          </w:p>
        </w:tc>
        <w:tc>
          <w:tcPr>
            <w:tcW w:w="1426" w:type="dxa"/>
            <w:shd w:val="clear" w:color="auto" w:fill="auto"/>
            <w:vAlign w:val="center"/>
          </w:tcPr>
          <w:p w14:paraId="5D8D5A7B">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300≤Y＜6000</w:t>
            </w:r>
          </w:p>
        </w:tc>
        <w:tc>
          <w:tcPr>
            <w:tcW w:w="992" w:type="dxa"/>
            <w:shd w:val="clear" w:color="auto" w:fill="auto"/>
            <w:vAlign w:val="center"/>
          </w:tcPr>
          <w:p w14:paraId="1E38C040">
            <w:pPr>
              <w:widowControl/>
              <w:jc w:val="center"/>
              <w:rPr>
                <w:rFonts w:ascii="仿宋" w:hAnsi="仿宋" w:eastAsia="仿宋" w:cs="仿宋"/>
                <w:kern w:val="0"/>
                <w:sz w:val="18"/>
                <w:szCs w:val="18"/>
              </w:rPr>
            </w:pPr>
            <w:r>
              <w:rPr>
                <w:rFonts w:hint="eastAsia" w:ascii="仿宋" w:hAnsi="仿宋" w:eastAsia="仿宋" w:cs="仿宋"/>
                <w:kern w:val="0"/>
                <w:sz w:val="18"/>
                <w:szCs w:val="18"/>
              </w:rPr>
              <w:t>Y＜300</w:t>
            </w:r>
          </w:p>
        </w:tc>
      </w:tr>
      <w:tr w14:paraId="30B47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915F2D1">
            <w:pPr>
              <w:widowControl/>
              <w:jc w:val="left"/>
              <w:rPr>
                <w:rFonts w:ascii="仿宋" w:hAnsi="仿宋" w:eastAsia="仿宋" w:cs="仿宋"/>
                <w:kern w:val="0"/>
                <w:sz w:val="18"/>
                <w:szCs w:val="18"/>
              </w:rPr>
            </w:pPr>
          </w:p>
        </w:tc>
        <w:tc>
          <w:tcPr>
            <w:tcW w:w="1369" w:type="dxa"/>
            <w:shd w:val="clear" w:color="auto" w:fill="auto"/>
            <w:vAlign w:val="center"/>
          </w:tcPr>
          <w:p w14:paraId="0A149612">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shd w:val="clear" w:color="auto" w:fill="auto"/>
            <w:vAlign w:val="center"/>
          </w:tcPr>
          <w:p w14:paraId="2746C5E5">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2ECF0418">
            <w:pPr>
              <w:widowControl/>
              <w:jc w:val="center"/>
              <w:rPr>
                <w:rFonts w:ascii="仿宋" w:hAnsi="仿宋" w:eastAsia="仿宋" w:cs="仿宋"/>
                <w:kern w:val="0"/>
                <w:sz w:val="18"/>
                <w:szCs w:val="18"/>
              </w:rPr>
            </w:pPr>
            <w:r>
              <w:rPr>
                <w:rFonts w:hint="eastAsia" w:ascii="仿宋" w:hAnsi="仿宋" w:eastAsia="仿宋" w:cs="仿宋"/>
                <w:kern w:val="0"/>
                <w:sz w:val="18"/>
                <w:szCs w:val="18"/>
              </w:rPr>
              <w:t>Z≥80000</w:t>
            </w:r>
          </w:p>
        </w:tc>
        <w:tc>
          <w:tcPr>
            <w:tcW w:w="1701" w:type="dxa"/>
            <w:shd w:val="clear" w:color="auto" w:fill="auto"/>
            <w:vAlign w:val="center"/>
          </w:tcPr>
          <w:p w14:paraId="6B9E1981">
            <w:pPr>
              <w:widowControl/>
              <w:jc w:val="center"/>
              <w:rPr>
                <w:rFonts w:ascii="仿宋" w:hAnsi="仿宋" w:eastAsia="仿宋" w:cs="仿宋"/>
                <w:kern w:val="0"/>
                <w:sz w:val="18"/>
                <w:szCs w:val="18"/>
              </w:rPr>
            </w:pPr>
            <w:r>
              <w:rPr>
                <w:rFonts w:hint="eastAsia" w:ascii="仿宋" w:hAnsi="仿宋" w:eastAsia="仿宋" w:cs="仿宋"/>
                <w:kern w:val="0"/>
                <w:sz w:val="18"/>
                <w:szCs w:val="18"/>
              </w:rPr>
              <w:t>5000≤Z＜80000</w:t>
            </w:r>
          </w:p>
        </w:tc>
        <w:tc>
          <w:tcPr>
            <w:tcW w:w="1426" w:type="dxa"/>
            <w:shd w:val="clear" w:color="auto" w:fill="auto"/>
            <w:vAlign w:val="center"/>
          </w:tcPr>
          <w:p w14:paraId="15010F6E">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300≤Z＜5000</w:t>
            </w:r>
          </w:p>
        </w:tc>
        <w:tc>
          <w:tcPr>
            <w:tcW w:w="992" w:type="dxa"/>
            <w:shd w:val="clear" w:color="auto" w:fill="auto"/>
            <w:vAlign w:val="center"/>
          </w:tcPr>
          <w:p w14:paraId="2EFD4214">
            <w:pPr>
              <w:widowControl/>
              <w:jc w:val="center"/>
              <w:rPr>
                <w:rFonts w:ascii="仿宋" w:hAnsi="仿宋" w:eastAsia="仿宋" w:cs="仿宋"/>
                <w:kern w:val="0"/>
                <w:sz w:val="18"/>
                <w:szCs w:val="18"/>
              </w:rPr>
            </w:pPr>
            <w:r>
              <w:rPr>
                <w:rFonts w:hint="eastAsia" w:ascii="仿宋" w:hAnsi="仿宋" w:eastAsia="仿宋" w:cs="仿宋"/>
                <w:kern w:val="0"/>
                <w:sz w:val="18"/>
                <w:szCs w:val="18"/>
              </w:rPr>
              <w:t>Z＜300</w:t>
            </w:r>
          </w:p>
        </w:tc>
      </w:tr>
      <w:tr w14:paraId="055E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0176FF4">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批发业</w:t>
            </w:r>
          </w:p>
        </w:tc>
        <w:tc>
          <w:tcPr>
            <w:tcW w:w="1369" w:type="dxa"/>
            <w:shd w:val="clear" w:color="auto" w:fill="auto"/>
            <w:vAlign w:val="center"/>
          </w:tcPr>
          <w:p w14:paraId="6E286301">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3DE07B95">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40CC4BEC">
            <w:pPr>
              <w:widowControl/>
              <w:jc w:val="center"/>
              <w:rPr>
                <w:rFonts w:ascii="仿宋" w:hAnsi="仿宋" w:eastAsia="仿宋" w:cs="仿宋"/>
                <w:kern w:val="0"/>
                <w:sz w:val="18"/>
                <w:szCs w:val="18"/>
              </w:rPr>
            </w:pPr>
            <w:r>
              <w:rPr>
                <w:rFonts w:hint="eastAsia" w:ascii="仿宋" w:hAnsi="仿宋" w:eastAsia="仿宋" w:cs="仿宋"/>
                <w:kern w:val="0"/>
                <w:sz w:val="18"/>
                <w:szCs w:val="18"/>
              </w:rPr>
              <w:t>X≥200</w:t>
            </w:r>
          </w:p>
        </w:tc>
        <w:tc>
          <w:tcPr>
            <w:tcW w:w="1701" w:type="dxa"/>
            <w:shd w:val="clear" w:color="auto" w:fill="auto"/>
            <w:vAlign w:val="center"/>
          </w:tcPr>
          <w:p w14:paraId="3B724BAE">
            <w:pPr>
              <w:widowControl/>
              <w:jc w:val="center"/>
              <w:rPr>
                <w:rFonts w:ascii="仿宋" w:hAnsi="仿宋" w:eastAsia="仿宋" w:cs="仿宋"/>
                <w:kern w:val="0"/>
                <w:sz w:val="18"/>
                <w:szCs w:val="18"/>
              </w:rPr>
            </w:pPr>
            <w:r>
              <w:rPr>
                <w:rFonts w:hint="eastAsia" w:ascii="仿宋" w:hAnsi="仿宋" w:eastAsia="仿宋" w:cs="仿宋"/>
                <w:kern w:val="0"/>
                <w:sz w:val="18"/>
                <w:szCs w:val="18"/>
              </w:rPr>
              <w:t>20≤X＜200</w:t>
            </w:r>
          </w:p>
        </w:tc>
        <w:tc>
          <w:tcPr>
            <w:tcW w:w="1426" w:type="dxa"/>
            <w:shd w:val="clear" w:color="auto" w:fill="auto"/>
            <w:vAlign w:val="center"/>
          </w:tcPr>
          <w:p w14:paraId="4BEF86F0">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5≤X＜20</w:t>
            </w:r>
          </w:p>
        </w:tc>
        <w:tc>
          <w:tcPr>
            <w:tcW w:w="992" w:type="dxa"/>
            <w:shd w:val="clear" w:color="auto" w:fill="auto"/>
            <w:vAlign w:val="center"/>
          </w:tcPr>
          <w:p w14:paraId="6177098C">
            <w:pPr>
              <w:widowControl/>
              <w:jc w:val="center"/>
              <w:rPr>
                <w:rFonts w:ascii="仿宋" w:hAnsi="仿宋" w:eastAsia="仿宋" w:cs="仿宋"/>
                <w:kern w:val="0"/>
                <w:sz w:val="18"/>
                <w:szCs w:val="18"/>
              </w:rPr>
            </w:pPr>
            <w:r>
              <w:rPr>
                <w:rFonts w:hint="eastAsia" w:ascii="仿宋" w:hAnsi="仿宋" w:eastAsia="仿宋" w:cs="仿宋"/>
                <w:kern w:val="0"/>
                <w:sz w:val="18"/>
                <w:szCs w:val="18"/>
              </w:rPr>
              <w:t>X＜5</w:t>
            </w:r>
          </w:p>
        </w:tc>
      </w:tr>
      <w:tr w14:paraId="24C1E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F86DBA0">
            <w:pPr>
              <w:widowControl/>
              <w:jc w:val="left"/>
              <w:rPr>
                <w:rFonts w:ascii="仿宋" w:hAnsi="仿宋" w:eastAsia="仿宋" w:cs="仿宋"/>
                <w:kern w:val="0"/>
                <w:sz w:val="18"/>
                <w:szCs w:val="18"/>
              </w:rPr>
            </w:pPr>
          </w:p>
        </w:tc>
        <w:tc>
          <w:tcPr>
            <w:tcW w:w="1369" w:type="dxa"/>
            <w:shd w:val="clear" w:color="auto" w:fill="auto"/>
            <w:vAlign w:val="center"/>
          </w:tcPr>
          <w:p w14:paraId="2B2542F5">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5F70F3A7">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719B71D4">
            <w:pPr>
              <w:widowControl/>
              <w:jc w:val="center"/>
              <w:rPr>
                <w:rFonts w:ascii="仿宋" w:hAnsi="仿宋" w:eastAsia="仿宋" w:cs="仿宋"/>
                <w:kern w:val="0"/>
                <w:sz w:val="18"/>
                <w:szCs w:val="18"/>
              </w:rPr>
            </w:pPr>
            <w:r>
              <w:rPr>
                <w:rFonts w:hint="eastAsia" w:ascii="仿宋" w:hAnsi="仿宋" w:eastAsia="仿宋" w:cs="仿宋"/>
                <w:kern w:val="0"/>
                <w:sz w:val="18"/>
                <w:szCs w:val="18"/>
              </w:rPr>
              <w:t>Y≥40000</w:t>
            </w:r>
          </w:p>
        </w:tc>
        <w:tc>
          <w:tcPr>
            <w:tcW w:w="1701" w:type="dxa"/>
            <w:shd w:val="clear" w:color="auto" w:fill="auto"/>
            <w:vAlign w:val="center"/>
          </w:tcPr>
          <w:p w14:paraId="56303BD3">
            <w:pPr>
              <w:widowControl/>
              <w:jc w:val="center"/>
              <w:rPr>
                <w:rFonts w:ascii="仿宋" w:hAnsi="仿宋" w:eastAsia="仿宋" w:cs="仿宋"/>
                <w:kern w:val="0"/>
                <w:sz w:val="18"/>
                <w:szCs w:val="18"/>
              </w:rPr>
            </w:pPr>
            <w:r>
              <w:rPr>
                <w:rFonts w:hint="eastAsia" w:ascii="仿宋" w:hAnsi="仿宋" w:eastAsia="仿宋" w:cs="仿宋"/>
                <w:kern w:val="0"/>
                <w:sz w:val="18"/>
                <w:szCs w:val="18"/>
              </w:rPr>
              <w:t>5000≤Y＜40000</w:t>
            </w:r>
          </w:p>
        </w:tc>
        <w:tc>
          <w:tcPr>
            <w:tcW w:w="1426" w:type="dxa"/>
            <w:shd w:val="clear" w:color="auto" w:fill="auto"/>
            <w:vAlign w:val="center"/>
          </w:tcPr>
          <w:p w14:paraId="609C280C">
            <w:pPr>
              <w:widowControl/>
              <w:ind w:left="-1" w:leftChars="-1" w:hanging="1"/>
              <w:jc w:val="center"/>
              <w:rPr>
                <w:rFonts w:ascii="仿宋" w:hAnsi="仿宋" w:eastAsia="仿宋" w:cs="仿宋"/>
                <w:kern w:val="0"/>
                <w:sz w:val="18"/>
                <w:szCs w:val="18"/>
              </w:rPr>
            </w:pPr>
            <w:r>
              <w:rPr>
                <w:rFonts w:hint="eastAsia" w:ascii="仿宋" w:hAnsi="仿宋" w:eastAsia="仿宋" w:cs="仿宋"/>
                <w:kern w:val="0"/>
                <w:sz w:val="18"/>
                <w:szCs w:val="18"/>
              </w:rPr>
              <w:t>1000≤Y＜5000</w:t>
            </w:r>
          </w:p>
        </w:tc>
        <w:tc>
          <w:tcPr>
            <w:tcW w:w="992" w:type="dxa"/>
            <w:shd w:val="clear" w:color="auto" w:fill="auto"/>
            <w:vAlign w:val="center"/>
          </w:tcPr>
          <w:p w14:paraId="78F5DA3D">
            <w:pPr>
              <w:widowControl/>
              <w:jc w:val="center"/>
              <w:rPr>
                <w:rFonts w:ascii="仿宋" w:hAnsi="仿宋" w:eastAsia="仿宋" w:cs="仿宋"/>
                <w:kern w:val="0"/>
                <w:sz w:val="18"/>
                <w:szCs w:val="18"/>
              </w:rPr>
            </w:pPr>
            <w:r>
              <w:rPr>
                <w:rFonts w:hint="eastAsia" w:ascii="仿宋" w:hAnsi="仿宋" w:eastAsia="仿宋" w:cs="仿宋"/>
                <w:kern w:val="0"/>
                <w:sz w:val="18"/>
                <w:szCs w:val="18"/>
              </w:rPr>
              <w:t>Y＜1000</w:t>
            </w:r>
          </w:p>
        </w:tc>
      </w:tr>
      <w:tr w14:paraId="3FBCD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66B562CC">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零售业</w:t>
            </w:r>
          </w:p>
        </w:tc>
        <w:tc>
          <w:tcPr>
            <w:tcW w:w="1369" w:type="dxa"/>
            <w:shd w:val="clear" w:color="auto" w:fill="auto"/>
            <w:vAlign w:val="center"/>
          </w:tcPr>
          <w:p w14:paraId="18340370">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606E5250">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41316C53">
            <w:pPr>
              <w:widowControl/>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23F3076B">
            <w:pPr>
              <w:widowControl/>
              <w:jc w:val="center"/>
              <w:rPr>
                <w:rFonts w:ascii="仿宋" w:hAnsi="仿宋" w:eastAsia="仿宋" w:cs="仿宋"/>
                <w:kern w:val="0"/>
                <w:sz w:val="18"/>
                <w:szCs w:val="18"/>
              </w:rPr>
            </w:pPr>
            <w:r>
              <w:rPr>
                <w:rFonts w:hint="eastAsia" w:ascii="仿宋" w:hAnsi="仿宋" w:eastAsia="仿宋" w:cs="仿宋"/>
                <w:kern w:val="0"/>
                <w:sz w:val="18"/>
                <w:szCs w:val="18"/>
              </w:rPr>
              <w:t>50≤X＜300</w:t>
            </w:r>
          </w:p>
        </w:tc>
        <w:tc>
          <w:tcPr>
            <w:tcW w:w="1426" w:type="dxa"/>
            <w:shd w:val="clear" w:color="auto" w:fill="auto"/>
            <w:vAlign w:val="center"/>
          </w:tcPr>
          <w:p w14:paraId="7450AF02">
            <w:pPr>
              <w:widowControl/>
              <w:ind w:left="-1" w:leftChars="-1" w:hanging="1"/>
              <w:jc w:val="center"/>
              <w:rPr>
                <w:rFonts w:ascii="仿宋" w:hAnsi="仿宋" w:eastAsia="仿宋" w:cs="仿宋"/>
                <w:kern w:val="0"/>
                <w:sz w:val="18"/>
                <w:szCs w:val="18"/>
              </w:rPr>
            </w:pPr>
            <w:r>
              <w:rPr>
                <w:rFonts w:hint="eastAsia" w:ascii="仿宋" w:hAnsi="仿宋" w:eastAsia="仿宋" w:cs="仿宋"/>
                <w:kern w:val="0"/>
                <w:sz w:val="18"/>
                <w:szCs w:val="18"/>
              </w:rPr>
              <w:t xml:space="preserve">10≤X＜50 </w:t>
            </w:r>
          </w:p>
        </w:tc>
        <w:tc>
          <w:tcPr>
            <w:tcW w:w="992" w:type="dxa"/>
            <w:shd w:val="clear" w:color="auto" w:fill="auto"/>
            <w:vAlign w:val="center"/>
          </w:tcPr>
          <w:p w14:paraId="63063E35">
            <w:pPr>
              <w:widowControl/>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14071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0332F1A">
            <w:pPr>
              <w:widowControl/>
              <w:jc w:val="left"/>
              <w:rPr>
                <w:rFonts w:ascii="仿宋" w:hAnsi="仿宋" w:eastAsia="仿宋" w:cs="仿宋"/>
                <w:kern w:val="0"/>
                <w:sz w:val="18"/>
                <w:szCs w:val="18"/>
              </w:rPr>
            </w:pPr>
          </w:p>
        </w:tc>
        <w:tc>
          <w:tcPr>
            <w:tcW w:w="1369" w:type="dxa"/>
            <w:shd w:val="clear" w:color="auto" w:fill="auto"/>
            <w:vAlign w:val="center"/>
          </w:tcPr>
          <w:p w14:paraId="1E94E75E">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3A27C42D">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41910C9B">
            <w:pPr>
              <w:widowControl/>
              <w:jc w:val="center"/>
              <w:rPr>
                <w:rFonts w:ascii="仿宋" w:hAnsi="仿宋" w:eastAsia="仿宋" w:cs="仿宋"/>
                <w:kern w:val="0"/>
                <w:sz w:val="18"/>
                <w:szCs w:val="18"/>
              </w:rPr>
            </w:pPr>
            <w:r>
              <w:rPr>
                <w:rFonts w:hint="eastAsia" w:ascii="仿宋" w:hAnsi="仿宋" w:eastAsia="仿宋" w:cs="仿宋"/>
                <w:kern w:val="0"/>
                <w:sz w:val="18"/>
                <w:szCs w:val="18"/>
              </w:rPr>
              <w:t>Y≥20000</w:t>
            </w:r>
          </w:p>
        </w:tc>
        <w:tc>
          <w:tcPr>
            <w:tcW w:w="1701" w:type="dxa"/>
            <w:shd w:val="clear" w:color="auto" w:fill="auto"/>
            <w:vAlign w:val="center"/>
          </w:tcPr>
          <w:p w14:paraId="673EB2B3">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shd w:val="clear" w:color="auto" w:fill="auto"/>
            <w:vAlign w:val="center"/>
          </w:tcPr>
          <w:p w14:paraId="416222F9">
            <w:pPr>
              <w:widowControl/>
              <w:ind w:left="-1" w:leftChars="-1" w:hanging="1"/>
              <w:jc w:val="center"/>
              <w:rPr>
                <w:rFonts w:ascii="仿宋" w:hAnsi="仿宋" w:eastAsia="仿宋" w:cs="仿宋"/>
                <w:kern w:val="0"/>
                <w:sz w:val="18"/>
                <w:szCs w:val="18"/>
              </w:rPr>
            </w:pPr>
            <w:r>
              <w:rPr>
                <w:rFonts w:hint="eastAsia" w:ascii="仿宋" w:hAnsi="仿宋" w:eastAsia="仿宋" w:cs="仿宋"/>
                <w:kern w:val="0"/>
                <w:sz w:val="18"/>
                <w:szCs w:val="18"/>
              </w:rPr>
              <w:t xml:space="preserve">100≤Y＜500 </w:t>
            </w:r>
          </w:p>
        </w:tc>
        <w:tc>
          <w:tcPr>
            <w:tcW w:w="992" w:type="dxa"/>
            <w:shd w:val="clear" w:color="auto" w:fill="auto"/>
            <w:vAlign w:val="center"/>
          </w:tcPr>
          <w:p w14:paraId="0ADD8B9A">
            <w:pPr>
              <w:widowControl/>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43AD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AEF3B1D">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交通运输业 *</w:t>
            </w:r>
          </w:p>
        </w:tc>
        <w:tc>
          <w:tcPr>
            <w:tcW w:w="1369" w:type="dxa"/>
            <w:shd w:val="clear" w:color="auto" w:fill="auto"/>
            <w:vAlign w:val="center"/>
          </w:tcPr>
          <w:p w14:paraId="342898BA">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243B3029">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7AB87D25">
            <w:pPr>
              <w:widowControl/>
              <w:jc w:val="center"/>
              <w:rPr>
                <w:rFonts w:ascii="仿宋" w:hAnsi="仿宋" w:eastAsia="仿宋" w:cs="仿宋"/>
                <w:kern w:val="0"/>
                <w:sz w:val="18"/>
                <w:szCs w:val="18"/>
              </w:rPr>
            </w:pPr>
            <w:r>
              <w:rPr>
                <w:rFonts w:hint="eastAsia" w:ascii="仿宋" w:hAnsi="仿宋" w:eastAsia="仿宋" w:cs="仿宋"/>
                <w:kern w:val="0"/>
                <w:sz w:val="18"/>
                <w:szCs w:val="18"/>
              </w:rPr>
              <w:t>X≥1000</w:t>
            </w:r>
          </w:p>
        </w:tc>
        <w:tc>
          <w:tcPr>
            <w:tcW w:w="1701" w:type="dxa"/>
            <w:shd w:val="clear" w:color="auto" w:fill="auto"/>
            <w:vAlign w:val="center"/>
          </w:tcPr>
          <w:p w14:paraId="3460150F">
            <w:pPr>
              <w:widowControl/>
              <w:jc w:val="center"/>
              <w:rPr>
                <w:rFonts w:ascii="仿宋" w:hAnsi="仿宋" w:eastAsia="仿宋" w:cs="仿宋"/>
                <w:kern w:val="0"/>
                <w:sz w:val="18"/>
                <w:szCs w:val="18"/>
              </w:rPr>
            </w:pPr>
            <w:r>
              <w:rPr>
                <w:rFonts w:hint="eastAsia" w:ascii="仿宋" w:hAnsi="仿宋" w:eastAsia="仿宋" w:cs="仿宋"/>
                <w:kern w:val="0"/>
                <w:sz w:val="18"/>
                <w:szCs w:val="18"/>
              </w:rPr>
              <w:t>300≤X＜1000</w:t>
            </w:r>
          </w:p>
        </w:tc>
        <w:tc>
          <w:tcPr>
            <w:tcW w:w="1426" w:type="dxa"/>
            <w:shd w:val="clear" w:color="auto" w:fill="auto"/>
            <w:vAlign w:val="center"/>
          </w:tcPr>
          <w:p w14:paraId="6511D02D">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shd w:val="clear" w:color="auto" w:fill="auto"/>
            <w:vAlign w:val="center"/>
          </w:tcPr>
          <w:p w14:paraId="53805FB2">
            <w:pPr>
              <w:widowControl/>
              <w:jc w:val="center"/>
              <w:rPr>
                <w:rFonts w:ascii="仿宋" w:hAnsi="仿宋" w:eastAsia="仿宋" w:cs="仿宋"/>
                <w:kern w:val="0"/>
                <w:sz w:val="18"/>
                <w:szCs w:val="18"/>
              </w:rPr>
            </w:pPr>
            <w:r>
              <w:rPr>
                <w:rFonts w:hint="eastAsia" w:ascii="仿宋" w:hAnsi="仿宋" w:eastAsia="仿宋" w:cs="仿宋"/>
                <w:kern w:val="0"/>
                <w:sz w:val="18"/>
                <w:szCs w:val="18"/>
              </w:rPr>
              <w:t>X＜20</w:t>
            </w:r>
          </w:p>
        </w:tc>
      </w:tr>
      <w:tr w14:paraId="1A691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6C8713D">
            <w:pPr>
              <w:widowControl/>
              <w:jc w:val="left"/>
              <w:rPr>
                <w:rFonts w:ascii="仿宋" w:hAnsi="仿宋" w:eastAsia="仿宋" w:cs="仿宋"/>
                <w:kern w:val="0"/>
                <w:sz w:val="18"/>
                <w:szCs w:val="18"/>
              </w:rPr>
            </w:pPr>
          </w:p>
        </w:tc>
        <w:tc>
          <w:tcPr>
            <w:tcW w:w="1369" w:type="dxa"/>
            <w:shd w:val="clear" w:color="auto" w:fill="auto"/>
            <w:vAlign w:val="center"/>
          </w:tcPr>
          <w:p w14:paraId="189BBD78">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3496C7D2">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5DDC4331">
            <w:pPr>
              <w:widowControl/>
              <w:jc w:val="center"/>
              <w:rPr>
                <w:rFonts w:ascii="仿宋" w:hAnsi="仿宋" w:eastAsia="仿宋" w:cs="仿宋"/>
                <w:kern w:val="0"/>
                <w:sz w:val="18"/>
                <w:szCs w:val="18"/>
              </w:rPr>
            </w:pPr>
            <w:r>
              <w:rPr>
                <w:rFonts w:hint="eastAsia" w:ascii="仿宋" w:hAnsi="仿宋" w:eastAsia="仿宋" w:cs="仿宋"/>
                <w:kern w:val="0"/>
                <w:sz w:val="18"/>
                <w:szCs w:val="18"/>
              </w:rPr>
              <w:t>Y≥30000</w:t>
            </w:r>
          </w:p>
        </w:tc>
        <w:tc>
          <w:tcPr>
            <w:tcW w:w="1701" w:type="dxa"/>
            <w:shd w:val="clear" w:color="auto" w:fill="auto"/>
            <w:vAlign w:val="center"/>
          </w:tcPr>
          <w:p w14:paraId="4CA2D6B8">
            <w:pPr>
              <w:widowControl/>
              <w:jc w:val="center"/>
              <w:rPr>
                <w:rFonts w:ascii="仿宋" w:hAnsi="仿宋" w:eastAsia="仿宋" w:cs="仿宋"/>
                <w:kern w:val="0"/>
                <w:sz w:val="18"/>
                <w:szCs w:val="18"/>
              </w:rPr>
            </w:pPr>
            <w:r>
              <w:rPr>
                <w:rFonts w:hint="eastAsia" w:ascii="仿宋" w:hAnsi="仿宋" w:eastAsia="仿宋" w:cs="仿宋"/>
                <w:kern w:val="0"/>
                <w:sz w:val="18"/>
                <w:szCs w:val="18"/>
              </w:rPr>
              <w:t>3000≤Y＜30000</w:t>
            </w:r>
          </w:p>
        </w:tc>
        <w:tc>
          <w:tcPr>
            <w:tcW w:w="1426" w:type="dxa"/>
            <w:shd w:val="clear" w:color="auto" w:fill="auto"/>
            <w:vAlign w:val="center"/>
          </w:tcPr>
          <w:p w14:paraId="303B9883">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200≤Y＜3000</w:t>
            </w:r>
          </w:p>
        </w:tc>
        <w:tc>
          <w:tcPr>
            <w:tcW w:w="992" w:type="dxa"/>
            <w:shd w:val="clear" w:color="auto" w:fill="auto"/>
            <w:vAlign w:val="center"/>
          </w:tcPr>
          <w:p w14:paraId="34D26F5C">
            <w:pPr>
              <w:widowControl/>
              <w:jc w:val="center"/>
              <w:rPr>
                <w:rFonts w:ascii="仿宋" w:hAnsi="仿宋" w:eastAsia="仿宋" w:cs="仿宋"/>
                <w:kern w:val="0"/>
                <w:sz w:val="18"/>
                <w:szCs w:val="18"/>
              </w:rPr>
            </w:pPr>
            <w:r>
              <w:rPr>
                <w:rFonts w:hint="eastAsia" w:ascii="仿宋" w:hAnsi="仿宋" w:eastAsia="仿宋" w:cs="仿宋"/>
                <w:kern w:val="0"/>
                <w:sz w:val="18"/>
                <w:szCs w:val="18"/>
              </w:rPr>
              <w:t>Y＜200</w:t>
            </w:r>
          </w:p>
        </w:tc>
      </w:tr>
      <w:tr w14:paraId="2FC3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012AAA9">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仓储业*</w:t>
            </w:r>
          </w:p>
        </w:tc>
        <w:tc>
          <w:tcPr>
            <w:tcW w:w="1369" w:type="dxa"/>
            <w:shd w:val="clear" w:color="auto" w:fill="auto"/>
            <w:vAlign w:val="center"/>
          </w:tcPr>
          <w:p w14:paraId="0437B1EC">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1ADE0DAA">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09423B41">
            <w:pPr>
              <w:widowControl/>
              <w:jc w:val="center"/>
              <w:rPr>
                <w:rFonts w:ascii="仿宋" w:hAnsi="仿宋" w:eastAsia="仿宋" w:cs="仿宋"/>
                <w:kern w:val="0"/>
                <w:sz w:val="18"/>
                <w:szCs w:val="18"/>
              </w:rPr>
            </w:pPr>
            <w:r>
              <w:rPr>
                <w:rFonts w:hint="eastAsia" w:ascii="仿宋" w:hAnsi="仿宋" w:eastAsia="仿宋" w:cs="仿宋"/>
                <w:kern w:val="0"/>
                <w:sz w:val="18"/>
                <w:szCs w:val="18"/>
              </w:rPr>
              <w:t>X≥200</w:t>
            </w:r>
          </w:p>
        </w:tc>
        <w:tc>
          <w:tcPr>
            <w:tcW w:w="1701" w:type="dxa"/>
            <w:shd w:val="clear" w:color="auto" w:fill="auto"/>
            <w:vAlign w:val="center"/>
          </w:tcPr>
          <w:p w14:paraId="3B82B6B4">
            <w:pPr>
              <w:widowControl/>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100≤X＜200</w:t>
            </w:r>
          </w:p>
        </w:tc>
        <w:tc>
          <w:tcPr>
            <w:tcW w:w="1426" w:type="dxa"/>
            <w:shd w:val="clear" w:color="auto" w:fill="auto"/>
            <w:vAlign w:val="center"/>
          </w:tcPr>
          <w:p w14:paraId="068197F3">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20≤X＜100</w:t>
            </w:r>
          </w:p>
        </w:tc>
        <w:tc>
          <w:tcPr>
            <w:tcW w:w="992" w:type="dxa"/>
            <w:shd w:val="clear" w:color="auto" w:fill="auto"/>
            <w:vAlign w:val="center"/>
          </w:tcPr>
          <w:p w14:paraId="31AD718F">
            <w:pPr>
              <w:widowControl/>
              <w:jc w:val="center"/>
              <w:rPr>
                <w:rFonts w:ascii="仿宋" w:hAnsi="仿宋" w:eastAsia="仿宋" w:cs="仿宋"/>
                <w:kern w:val="0"/>
                <w:sz w:val="18"/>
                <w:szCs w:val="18"/>
              </w:rPr>
            </w:pPr>
            <w:r>
              <w:rPr>
                <w:rFonts w:hint="eastAsia" w:ascii="仿宋" w:hAnsi="仿宋" w:eastAsia="仿宋" w:cs="仿宋"/>
                <w:kern w:val="0"/>
                <w:sz w:val="18"/>
                <w:szCs w:val="18"/>
              </w:rPr>
              <w:t>X＜20</w:t>
            </w:r>
          </w:p>
        </w:tc>
      </w:tr>
      <w:tr w14:paraId="3F5F4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36293FB">
            <w:pPr>
              <w:widowControl/>
              <w:jc w:val="left"/>
              <w:rPr>
                <w:rFonts w:ascii="仿宋" w:hAnsi="仿宋" w:eastAsia="仿宋" w:cs="仿宋"/>
                <w:kern w:val="0"/>
                <w:sz w:val="18"/>
                <w:szCs w:val="18"/>
              </w:rPr>
            </w:pPr>
          </w:p>
        </w:tc>
        <w:tc>
          <w:tcPr>
            <w:tcW w:w="1369" w:type="dxa"/>
            <w:shd w:val="clear" w:color="auto" w:fill="auto"/>
            <w:vAlign w:val="center"/>
          </w:tcPr>
          <w:p w14:paraId="35CFB2DD">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256450C8">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58236744">
            <w:pPr>
              <w:widowControl/>
              <w:jc w:val="center"/>
              <w:rPr>
                <w:rFonts w:ascii="仿宋" w:hAnsi="仿宋" w:eastAsia="仿宋" w:cs="仿宋"/>
                <w:kern w:val="0"/>
                <w:sz w:val="18"/>
                <w:szCs w:val="18"/>
              </w:rPr>
            </w:pPr>
            <w:r>
              <w:rPr>
                <w:rFonts w:hint="eastAsia" w:ascii="仿宋" w:hAnsi="仿宋" w:eastAsia="仿宋" w:cs="仿宋"/>
                <w:kern w:val="0"/>
                <w:sz w:val="18"/>
                <w:szCs w:val="18"/>
              </w:rPr>
              <w:t>Y≥30000</w:t>
            </w:r>
          </w:p>
        </w:tc>
        <w:tc>
          <w:tcPr>
            <w:tcW w:w="1701" w:type="dxa"/>
            <w:shd w:val="clear" w:color="auto" w:fill="auto"/>
            <w:vAlign w:val="center"/>
          </w:tcPr>
          <w:p w14:paraId="0B8F95B7">
            <w:pPr>
              <w:widowControl/>
              <w:jc w:val="center"/>
              <w:rPr>
                <w:rFonts w:ascii="仿宋" w:hAnsi="仿宋" w:eastAsia="仿宋" w:cs="仿宋"/>
                <w:kern w:val="0"/>
                <w:sz w:val="18"/>
                <w:szCs w:val="18"/>
              </w:rPr>
            </w:pPr>
            <w:r>
              <w:rPr>
                <w:rFonts w:hint="eastAsia" w:ascii="仿宋" w:hAnsi="仿宋" w:eastAsia="仿宋" w:cs="仿宋"/>
                <w:kern w:val="0"/>
                <w:sz w:val="18"/>
                <w:szCs w:val="18"/>
              </w:rPr>
              <w:t>1000≤Y＜30000</w:t>
            </w:r>
          </w:p>
        </w:tc>
        <w:tc>
          <w:tcPr>
            <w:tcW w:w="1426" w:type="dxa"/>
            <w:shd w:val="clear" w:color="auto" w:fill="auto"/>
            <w:vAlign w:val="center"/>
          </w:tcPr>
          <w:p w14:paraId="59963C15">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shd w:val="clear" w:color="auto" w:fill="auto"/>
            <w:vAlign w:val="center"/>
          </w:tcPr>
          <w:p w14:paraId="4D8F7B0D">
            <w:pPr>
              <w:widowControl/>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1716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A519B08">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邮政业</w:t>
            </w:r>
          </w:p>
        </w:tc>
        <w:tc>
          <w:tcPr>
            <w:tcW w:w="1369" w:type="dxa"/>
            <w:shd w:val="clear" w:color="auto" w:fill="auto"/>
            <w:vAlign w:val="center"/>
          </w:tcPr>
          <w:p w14:paraId="19CE4055">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40AEAF7E">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2DFB5DEC">
            <w:pPr>
              <w:widowControl/>
              <w:jc w:val="center"/>
              <w:rPr>
                <w:rFonts w:ascii="仿宋" w:hAnsi="仿宋" w:eastAsia="仿宋" w:cs="仿宋"/>
                <w:kern w:val="0"/>
                <w:sz w:val="18"/>
                <w:szCs w:val="18"/>
              </w:rPr>
            </w:pPr>
            <w:r>
              <w:rPr>
                <w:rFonts w:hint="eastAsia" w:ascii="仿宋" w:hAnsi="仿宋" w:eastAsia="仿宋" w:cs="仿宋"/>
                <w:kern w:val="0"/>
                <w:sz w:val="18"/>
                <w:szCs w:val="18"/>
              </w:rPr>
              <w:t>X≥1000</w:t>
            </w:r>
          </w:p>
        </w:tc>
        <w:tc>
          <w:tcPr>
            <w:tcW w:w="1701" w:type="dxa"/>
            <w:shd w:val="clear" w:color="auto" w:fill="auto"/>
            <w:vAlign w:val="center"/>
          </w:tcPr>
          <w:p w14:paraId="46F81101">
            <w:pPr>
              <w:widowControl/>
              <w:jc w:val="center"/>
              <w:rPr>
                <w:rFonts w:ascii="仿宋" w:hAnsi="仿宋" w:eastAsia="仿宋" w:cs="仿宋"/>
                <w:kern w:val="0"/>
                <w:sz w:val="18"/>
                <w:szCs w:val="18"/>
              </w:rPr>
            </w:pPr>
            <w:r>
              <w:rPr>
                <w:rFonts w:hint="eastAsia" w:ascii="仿宋" w:hAnsi="仿宋" w:eastAsia="仿宋" w:cs="仿宋"/>
                <w:kern w:val="0"/>
                <w:sz w:val="18"/>
                <w:szCs w:val="18"/>
              </w:rPr>
              <w:t>300≤X＜1000</w:t>
            </w:r>
          </w:p>
        </w:tc>
        <w:tc>
          <w:tcPr>
            <w:tcW w:w="1426" w:type="dxa"/>
            <w:shd w:val="clear" w:color="auto" w:fill="auto"/>
            <w:vAlign w:val="center"/>
          </w:tcPr>
          <w:p w14:paraId="72E5EC24">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shd w:val="clear" w:color="auto" w:fill="auto"/>
            <w:vAlign w:val="center"/>
          </w:tcPr>
          <w:p w14:paraId="00DF0106">
            <w:pPr>
              <w:widowControl/>
              <w:jc w:val="center"/>
              <w:rPr>
                <w:rFonts w:ascii="仿宋" w:hAnsi="仿宋" w:eastAsia="仿宋" w:cs="仿宋"/>
                <w:kern w:val="0"/>
                <w:sz w:val="18"/>
                <w:szCs w:val="18"/>
              </w:rPr>
            </w:pPr>
            <w:r>
              <w:rPr>
                <w:rFonts w:hint="eastAsia" w:ascii="仿宋" w:hAnsi="仿宋" w:eastAsia="仿宋" w:cs="仿宋"/>
                <w:kern w:val="0"/>
                <w:sz w:val="18"/>
                <w:szCs w:val="18"/>
              </w:rPr>
              <w:t>X＜20</w:t>
            </w:r>
          </w:p>
        </w:tc>
      </w:tr>
      <w:tr w14:paraId="47A34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F6A8BB8">
            <w:pPr>
              <w:widowControl/>
              <w:jc w:val="left"/>
              <w:rPr>
                <w:rFonts w:ascii="仿宋" w:hAnsi="仿宋" w:eastAsia="仿宋" w:cs="仿宋"/>
                <w:kern w:val="0"/>
                <w:sz w:val="18"/>
                <w:szCs w:val="18"/>
              </w:rPr>
            </w:pPr>
          </w:p>
        </w:tc>
        <w:tc>
          <w:tcPr>
            <w:tcW w:w="1369" w:type="dxa"/>
            <w:shd w:val="clear" w:color="auto" w:fill="auto"/>
            <w:vAlign w:val="center"/>
          </w:tcPr>
          <w:p w14:paraId="407DD6A1">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7BFBDAF5">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4A2FEC12">
            <w:pPr>
              <w:widowControl/>
              <w:jc w:val="center"/>
              <w:rPr>
                <w:rFonts w:ascii="仿宋" w:hAnsi="仿宋" w:eastAsia="仿宋" w:cs="仿宋"/>
                <w:kern w:val="0"/>
                <w:sz w:val="18"/>
                <w:szCs w:val="18"/>
              </w:rPr>
            </w:pPr>
            <w:r>
              <w:rPr>
                <w:rFonts w:hint="eastAsia" w:ascii="仿宋" w:hAnsi="仿宋" w:eastAsia="仿宋" w:cs="仿宋"/>
                <w:kern w:val="0"/>
                <w:sz w:val="18"/>
                <w:szCs w:val="18"/>
              </w:rPr>
              <w:t>Y≥30000</w:t>
            </w:r>
          </w:p>
        </w:tc>
        <w:tc>
          <w:tcPr>
            <w:tcW w:w="1701" w:type="dxa"/>
            <w:shd w:val="clear" w:color="auto" w:fill="auto"/>
            <w:vAlign w:val="center"/>
          </w:tcPr>
          <w:p w14:paraId="2AC95A6B">
            <w:pPr>
              <w:widowControl/>
              <w:jc w:val="center"/>
              <w:rPr>
                <w:rFonts w:ascii="仿宋" w:hAnsi="仿宋" w:eastAsia="仿宋" w:cs="仿宋"/>
                <w:kern w:val="0"/>
                <w:sz w:val="18"/>
                <w:szCs w:val="18"/>
              </w:rPr>
            </w:pPr>
            <w:r>
              <w:rPr>
                <w:rFonts w:hint="eastAsia" w:ascii="仿宋" w:hAnsi="仿宋" w:eastAsia="仿宋" w:cs="仿宋"/>
                <w:kern w:val="0"/>
                <w:sz w:val="18"/>
                <w:szCs w:val="18"/>
              </w:rPr>
              <w:t>2000≤Y＜30000</w:t>
            </w:r>
          </w:p>
        </w:tc>
        <w:tc>
          <w:tcPr>
            <w:tcW w:w="1426" w:type="dxa"/>
            <w:shd w:val="clear" w:color="auto" w:fill="auto"/>
            <w:vAlign w:val="center"/>
          </w:tcPr>
          <w:p w14:paraId="0795559F">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shd w:val="clear" w:color="auto" w:fill="auto"/>
            <w:vAlign w:val="center"/>
          </w:tcPr>
          <w:p w14:paraId="6270B3A6">
            <w:pPr>
              <w:widowControl/>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19A9B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6985D7AE">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住宿业</w:t>
            </w:r>
          </w:p>
        </w:tc>
        <w:tc>
          <w:tcPr>
            <w:tcW w:w="1369" w:type="dxa"/>
            <w:shd w:val="clear" w:color="auto" w:fill="auto"/>
            <w:vAlign w:val="center"/>
          </w:tcPr>
          <w:p w14:paraId="10A20C69">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135D2115">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07B44FD6">
            <w:pPr>
              <w:widowControl/>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71F994C1">
            <w:pPr>
              <w:widowControl/>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shd w:val="clear" w:color="auto" w:fill="auto"/>
            <w:vAlign w:val="center"/>
          </w:tcPr>
          <w:p w14:paraId="018DD127">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25AF29C4">
            <w:pPr>
              <w:widowControl/>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1A3E2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0E542A7">
            <w:pPr>
              <w:widowControl/>
              <w:jc w:val="left"/>
              <w:rPr>
                <w:rFonts w:ascii="仿宋" w:hAnsi="仿宋" w:eastAsia="仿宋" w:cs="仿宋"/>
                <w:kern w:val="0"/>
                <w:sz w:val="18"/>
                <w:szCs w:val="18"/>
              </w:rPr>
            </w:pPr>
          </w:p>
        </w:tc>
        <w:tc>
          <w:tcPr>
            <w:tcW w:w="1369" w:type="dxa"/>
            <w:shd w:val="clear" w:color="auto" w:fill="auto"/>
            <w:vAlign w:val="center"/>
          </w:tcPr>
          <w:p w14:paraId="06F21964">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38F06964">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413BDC59">
            <w:pPr>
              <w:widowControl/>
              <w:jc w:val="center"/>
              <w:rPr>
                <w:rFonts w:ascii="仿宋" w:hAnsi="仿宋" w:eastAsia="仿宋" w:cs="仿宋"/>
                <w:kern w:val="0"/>
                <w:sz w:val="18"/>
                <w:szCs w:val="18"/>
              </w:rPr>
            </w:pPr>
            <w:r>
              <w:rPr>
                <w:rFonts w:hint="eastAsia" w:ascii="仿宋" w:hAnsi="仿宋" w:eastAsia="仿宋" w:cs="仿宋"/>
                <w:kern w:val="0"/>
                <w:sz w:val="18"/>
                <w:szCs w:val="18"/>
              </w:rPr>
              <w:t>Y≥10000</w:t>
            </w:r>
          </w:p>
        </w:tc>
        <w:tc>
          <w:tcPr>
            <w:tcW w:w="1701" w:type="dxa"/>
            <w:shd w:val="clear" w:color="auto" w:fill="auto"/>
            <w:vAlign w:val="center"/>
          </w:tcPr>
          <w:p w14:paraId="28F1626A">
            <w:pPr>
              <w:widowControl/>
              <w:jc w:val="center"/>
              <w:rPr>
                <w:rFonts w:ascii="仿宋" w:hAnsi="仿宋" w:eastAsia="仿宋" w:cs="仿宋"/>
                <w:kern w:val="0"/>
                <w:sz w:val="18"/>
                <w:szCs w:val="18"/>
              </w:rPr>
            </w:pPr>
            <w:r>
              <w:rPr>
                <w:rFonts w:hint="eastAsia" w:ascii="仿宋" w:hAnsi="仿宋" w:eastAsia="仿宋" w:cs="仿宋"/>
                <w:kern w:val="0"/>
                <w:sz w:val="18"/>
                <w:szCs w:val="18"/>
              </w:rPr>
              <w:t>2000≤Y＜10000</w:t>
            </w:r>
          </w:p>
        </w:tc>
        <w:tc>
          <w:tcPr>
            <w:tcW w:w="1426" w:type="dxa"/>
            <w:shd w:val="clear" w:color="auto" w:fill="auto"/>
            <w:vAlign w:val="center"/>
          </w:tcPr>
          <w:p w14:paraId="4521E0E6">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shd w:val="clear" w:color="auto" w:fill="auto"/>
            <w:vAlign w:val="center"/>
          </w:tcPr>
          <w:p w14:paraId="56AA9F03">
            <w:pPr>
              <w:widowControl/>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6098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70139737">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餐饮业</w:t>
            </w:r>
          </w:p>
        </w:tc>
        <w:tc>
          <w:tcPr>
            <w:tcW w:w="1369" w:type="dxa"/>
            <w:shd w:val="clear" w:color="auto" w:fill="auto"/>
            <w:vAlign w:val="center"/>
          </w:tcPr>
          <w:p w14:paraId="1CAAD6A3">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51795A00">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47F0B798">
            <w:pPr>
              <w:widowControl/>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3CFC47B6">
            <w:pPr>
              <w:widowControl/>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shd w:val="clear" w:color="auto" w:fill="auto"/>
            <w:vAlign w:val="center"/>
          </w:tcPr>
          <w:p w14:paraId="5A977181">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40FE4F05">
            <w:pPr>
              <w:widowControl/>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5063F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2F00B18">
            <w:pPr>
              <w:widowControl/>
              <w:jc w:val="left"/>
              <w:rPr>
                <w:rFonts w:ascii="仿宋" w:hAnsi="仿宋" w:eastAsia="仿宋" w:cs="仿宋"/>
                <w:kern w:val="0"/>
                <w:sz w:val="18"/>
                <w:szCs w:val="18"/>
              </w:rPr>
            </w:pPr>
          </w:p>
        </w:tc>
        <w:tc>
          <w:tcPr>
            <w:tcW w:w="1369" w:type="dxa"/>
            <w:shd w:val="clear" w:color="auto" w:fill="auto"/>
            <w:vAlign w:val="center"/>
          </w:tcPr>
          <w:p w14:paraId="02062F99">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02DBA2D5">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2970D851">
            <w:pPr>
              <w:widowControl/>
              <w:jc w:val="center"/>
              <w:rPr>
                <w:rFonts w:ascii="仿宋" w:hAnsi="仿宋" w:eastAsia="仿宋" w:cs="仿宋"/>
                <w:kern w:val="0"/>
                <w:sz w:val="18"/>
                <w:szCs w:val="18"/>
              </w:rPr>
            </w:pPr>
            <w:r>
              <w:rPr>
                <w:rFonts w:hint="eastAsia" w:ascii="仿宋" w:hAnsi="仿宋" w:eastAsia="仿宋" w:cs="仿宋"/>
                <w:kern w:val="0"/>
                <w:sz w:val="18"/>
                <w:szCs w:val="18"/>
              </w:rPr>
              <w:t>Y≥10000</w:t>
            </w:r>
          </w:p>
        </w:tc>
        <w:tc>
          <w:tcPr>
            <w:tcW w:w="1701" w:type="dxa"/>
            <w:shd w:val="clear" w:color="auto" w:fill="auto"/>
            <w:vAlign w:val="center"/>
          </w:tcPr>
          <w:p w14:paraId="7F7DE650">
            <w:pPr>
              <w:widowControl/>
              <w:jc w:val="center"/>
              <w:rPr>
                <w:rFonts w:ascii="仿宋" w:hAnsi="仿宋" w:eastAsia="仿宋" w:cs="仿宋"/>
                <w:kern w:val="0"/>
                <w:sz w:val="18"/>
                <w:szCs w:val="18"/>
              </w:rPr>
            </w:pPr>
            <w:r>
              <w:rPr>
                <w:rFonts w:hint="eastAsia" w:ascii="仿宋" w:hAnsi="仿宋" w:eastAsia="仿宋" w:cs="仿宋"/>
                <w:kern w:val="0"/>
                <w:sz w:val="18"/>
                <w:szCs w:val="18"/>
              </w:rPr>
              <w:t>2000≤Y＜10000</w:t>
            </w:r>
          </w:p>
        </w:tc>
        <w:tc>
          <w:tcPr>
            <w:tcW w:w="1426" w:type="dxa"/>
            <w:shd w:val="clear" w:color="auto" w:fill="auto"/>
            <w:vAlign w:val="center"/>
          </w:tcPr>
          <w:p w14:paraId="1F95BFEB">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shd w:val="clear" w:color="auto" w:fill="auto"/>
            <w:vAlign w:val="center"/>
          </w:tcPr>
          <w:p w14:paraId="4AADF320">
            <w:pPr>
              <w:widowControl/>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37CF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2869124">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信息传输业 *</w:t>
            </w:r>
          </w:p>
        </w:tc>
        <w:tc>
          <w:tcPr>
            <w:tcW w:w="1369" w:type="dxa"/>
            <w:shd w:val="clear" w:color="auto" w:fill="auto"/>
            <w:vAlign w:val="center"/>
          </w:tcPr>
          <w:p w14:paraId="220B2AF3">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0073C281">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41367F5C">
            <w:pPr>
              <w:widowControl/>
              <w:jc w:val="center"/>
              <w:rPr>
                <w:rFonts w:ascii="仿宋" w:hAnsi="仿宋" w:eastAsia="仿宋" w:cs="仿宋"/>
                <w:kern w:val="0"/>
                <w:sz w:val="18"/>
                <w:szCs w:val="18"/>
              </w:rPr>
            </w:pPr>
            <w:r>
              <w:rPr>
                <w:rFonts w:hint="eastAsia" w:ascii="仿宋" w:hAnsi="仿宋" w:eastAsia="仿宋" w:cs="仿宋"/>
                <w:kern w:val="0"/>
                <w:sz w:val="18"/>
                <w:szCs w:val="18"/>
              </w:rPr>
              <w:t>X≥2000</w:t>
            </w:r>
          </w:p>
        </w:tc>
        <w:tc>
          <w:tcPr>
            <w:tcW w:w="1701" w:type="dxa"/>
            <w:shd w:val="clear" w:color="auto" w:fill="auto"/>
            <w:vAlign w:val="center"/>
          </w:tcPr>
          <w:p w14:paraId="5AEEEA62">
            <w:pPr>
              <w:widowControl/>
              <w:jc w:val="center"/>
              <w:rPr>
                <w:rFonts w:ascii="仿宋" w:hAnsi="仿宋" w:eastAsia="仿宋" w:cs="仿宋"/>
                <w:kern w:val="0"/>
                <w:sz w:val="18"/>
                <w:szCs w:val="18"/>
              </w:rPr>
            </w:pPr>
            <w:r>
              <w:rPr>
                <w:rFonts w:hint="eastAsia" w:ascii="仿宋" w:hAnsi="仿宋" w:eastAsia="仿宋" w:cs="仿宋"/>
                <w:kern w:val="0"/>
                <w:sz w:val="18"/>
                <w:szCs w:val="18"/>
              </w:rPr>
              <w:t>100≤X＜2000</w:t>
            </w:r>
          </w:p>
        </w:tc>
        <w:tc>
          <w:tcPr>
            <w:tcW w:w="1426" w:type="dxa"/>
            <w:shd w:val="clear" w:color="auto" w:fill="auto"/>
            <w:vAlign w:val="center"/>
          </w:tcPr>
          <w:p w14:paraId="076B59B0">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28794223">
            <w:pPr>
              <w:widowControl/>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1F45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6FC39CE">
            <w:pPr>
              <w:widowControl/>
              <w:jc w:val="left"/>
              <w:rPr>
                <w:rFonts w:ascii="仿宋" w:hAnsi="仿宋" w:eastAsia="仿宋" w:cs="仿宋"/>
                <w:kern w:val="0"/>
                <w:sz w:val="18"/>
                <w:szCs w:val="18"/>
              </w:rPr>
            </w:pPr>
          </w:p>
        </w:tc>
        <w:tc>
          <w:tcPr>
            <w:tcW w:w="1369" w:type="dxa"/>
            <w:shd w:val="clear" w:color="auto" w:fill="auto"/>
            <w:vAlign w:val="center"/>
          </w:tcPr>
          <w:p w14:paraId="1FB2DACE">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17452116">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751680B1">
            <w:pPr>
              <w:widowControl/>
              <w:jc w:val="center"/>
              <w:rPr>
                <w:rFonts w:ascii="仿宋" w:hAnsi="仿宋" w:eastAsia="仿宋" w:cs="仿宋"/>
                <w:kern w:val="0"/>
                <w:sz w:val="18"/>
                <w:szCs w:val="18"/>
              </w:rPr>
            </w:pPr>
            <w:r>
              <w:rPr>
                <w:rFonts w:hint="eastAsia" w:ascii="仿宋" w:hAnsi="仿宋" w:eastAsia="仿宋" w:cs="仿宋"/>
                <w:kern w:val="0"/>
                <w:sz w:val="18"/>
                <w:szCs w:val="18"/>
              </w:rPr>
              <w:t>Y≥100000</w:t>
            </w:r>
          </w:p>
        </w:tc>
        <w:tc>
          <w:tcPr>
            <w:tcW w:w="1701" w:type="dxa"/>
            <w:shd w:val="clear" w:color="auto" w:fill="auto"/>
            <w:vAlign w:val="center"/>
          </w:tcPr>
          <w:p w14:paraId="622A4977">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1000≤Y＜100000</w:t>
            </w:r>
          </w:p>
        </w:tc>
        <w:tc>
          <w:tcPr>
            <w:tcW w:w="1426" w:type="dxa"/>
            <w:shd w:val="clear" w:color="auto" w:fill="auto"/>
            <w:vAlign w:val="center"/>
          </w:tcPr>
          <w:p w14:paraId="1BA6D70D">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shd w:val="clear" w:color="auto" w:fill="auto"/>
            <w:vAlign w:val="center"/>
          </w:tcPr>
          <w:p w14:paraId="614046C4">
            <w:pPr>
              <w:widowControl/>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00EB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2868DD9">
            <w:pPr>
              <w:widowControl/>
              <w:spacing w:line="240" w:lineRule="exact"/>
              <w:jc w:val="left"/>
              <w:rPr>
                <w:rFonts w:ascii="仿宋" w:hAnsi="仿宋" w:eastAsia="仿宋" w:cs="仿宋"/>
                <w:spacing w:val="-12"/>
                <w:kern w:val="0"/>
                <w:sz w:val="18"/>
                <w:szCs w:val="18"/>
              </w:rPr>
            </w:pPr>
            <w:r>
              <w:rPr>
                <w:rFonts w:hint="eastAsia" w:ascii="仿宋" w:hAnsi="仿宋" w:eastAsia="仿宋" w:cs="仿宋"/>
                <w:spacing w:val="-12"/>
                <w:kern w:val="0"/>
                <w:sz w:val="18"/>
                <w:szCs w:val="18"/>
              </w:rPr>
              <w:t>软件和信息技术服</w:t>
            </w:r>
            <w:r>
              <w:rPr>
                <w:rFonts w:hint="eastAsia" w:ascii="仿宋" w:hAnsi="仿宋" w:eastAsia="仿宋" w:cs="仿宋"/>
                <w:kern w:val="0"/>
                <w:sz w:val="18"/>
                <w:szCs w:val="18"/>
              </w:rPr>
              <w:t>务业</w:t>
            </w:r>
          </w:p>
        </w:tc>
        <w:tc>
          <w:tcPr>
            <w:tcW w:w="1369" w:type="dxa"/>
            <w:shd w:val="clear" w:color="auto" w:fill="auto"/>
            <w:vAlign w:val="center"/>
          </w:tcPr>
          <w:p w14:paraId="063B5D68">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2500F69E">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45F72CDA">
            <w:pPr>
              <w:widowControl/>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344D751E">
            <w:pPr>
              <w:widowControl/>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shd w:val="clear" w:color="auto" w:fill="auto"/>
            <w:vAlign w:val="center"/>
          </w:tcPr>
          <w:p w14:paraId="3A42DE9F">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00258D7E">
            <w:pPr>
              <w:widowControl/>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70C70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3F4AF688">
            <w:pPr>
              <w:widowControl/>
              <w:jc w:val="left"/>
              <w:rPr>
                <w:rFonts w:ascii="仿宋" w:hAnsi="仿宋" w:eastAsia="仿宋" w:cs="仿宋"/>
                <w:spacing w:val="-12"/>
                <w:kern w:val="0"/>
                <w:sz w:val="18"/>
                <w:szCs w:val="18"/>
              </w:rPr>
            </w:pPr>
          </w:p>
        </w:tc>
        <w:tc>
          <w:tcPr>
            <w:tcW w:w="1369" w:type="dxa"/>
            <w:shd w:val="clear" w:color="auto" w:fill="auto"/>
            <w:vAlign w:val="center"/>
          </w:tcPr>
          <w:p w14:paraId="284B3FE4">
            <w:pPr>
              <w:widowControl/>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3FA83C02">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6204D613">
            <w:pPr>
              <w:widowControl/>
              <w:jc w:val="center"/>
              <w:rPr>
                <w:rFonts w:ascii="仿宋" w:hAnsi="仿宋" w:eastAsia="仿宋" w:cs="仿宋"/>
                <w:kern w:val="0"/>
                <w:sz w:val="18"/>
                <w:szCs w:val="18"/>
              </w:rPr>
            </w:pPr>
            <w:r>
              <w:rPr>
                <w:rFonts w:hint="eastAsia" w:ascii="仿宋" w:hAnsi="仿宋" w:eastAsia="仿宋" w:cs="仿宋"/>
                <w:kern w:val="0"/>
                <w:sz w:val="18"/>
                <w:szCs w:val="18"/>
              </w:rPr>
              <w:t>Y≥10000</w:t>
            </w:r>
          </w:p>
        </w:tc>
        <w:tc>
          <w:tcPr>
            <w:tcW w:w="1701" w:type="dxa"/>
            <w:shd w:val="clear" w:color="auto" w:fill="auto"/>
            <w:vAlign w:val="center"/>
          </w:tcPr>
          <w:p w14:paraId="5709A6C4">
            <w:pPr>
              <w:widowControl/>
              <w:jc w:val="center"/>
              <w:rPr>
                <w:rFonts w:ascii="仿宋" w:hAnsi="仿宋" w:eastAsia="仿宋" w:cs="仿宋"/>
                <w:kern w:val="0"/>
                <w:sz w:val="18"/>
                <w:szCs w:val="18"/>
              </w:rPr>
            </w:pPr>
            <w:r>
              <w:rPr>
                <w:rFonts w:hint="eastAsia" w:ascii="仿宋" w:hAnsi="仿宋" w:eastAsia="仿宋" w:cs="仿宋"/>
                <w:kern w:val="0"/>
                <w:sz w:val="18"/>
                <w:szCs w:val="18"/>
              </w:rPr>
              <w:t>1000≤Y＜10000</w:t>
            </w:r>
          </w:p>
        </w:tc>
        <w:tc>
          <w:tcPr>
            <w:tcW w:w="1426" w:type="dxa"/>
            <w:shd w:val="clear" w:color="auto" w:fill="auto"/>
            <w:vAlign w:val="center"/>
          </w:tcPr>
          <w:p w14:paraId="16FB45F0">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50≤Y＜1000</w:t>
            </w:r>
          </w:p>
        </w:tc>
        <w:tc>
          <w:tcPr>
            <w:tcW w:w="992" w:type="dxa"/>
            <w:shd w:val="clear" w:color="auto" w:fill="auto"/>
            <w:vAlign w:val="center"/>
          </w:tcPr>
          <w:p w14:paraId="08728582">
            <w:pPr>
              <w:widowControl/>
              <w:jc w:val="center"/>
              <w:rPr>
                <w:rFonts w:ascii="仿宋" w:hAnsi="仿宋" w:eastAsia="仿宋" w:cs="仿宋"/>
                <w:kern w:val="0"/>
                <w:sz w:val="18"/>
                <w:szCs w:val="18"/>
              </w:rPr>
            </w:pPr>
            <w:r>
              <w:rPr>
                <w:rFonts w:hint="eastAsia" w:ascii="仿宋" w:hAnsi="仿宋" w:eastAsia="仿宋" w:cs="仿宋"/>
                <w:kern w:val="0"/>
                <w:sz w:val="18"/>
                <w:szCs w:val="18"/>
              </w:rPr>
              <w:t>Y＜50</w:t>
            </w:r>
          </w:p>
        </w:tc>
      </w:tr>
      <w:tr w14:paraId="516D0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355329A9">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房地产开发经营</w:t>
            </w:r>
          </w:p>
        </w:tc>
        <w:tc>
          <w:tcPr>
            <w:tcW w:w="1369" w:type="dxa"/>
            <w:shd w:val="clear" w:color="auto" w:fill="auto"/>
            <w:vAlign w:val="center"/>
          </w:tcPr>
          <w:p w14:paraId="229A42F7">
            <w:pPr>
              <w:widowControl/>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3DA3C136">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2A0DB468">
            <w:pPr>
              <w:widowControl/>
              <w:jc w:val="center"/>
              <w:rPr>
                <w:rFonts w:ascii="仿宋" w:hAnsi="仿宋" w:eastAsia="仿宋" w:cs="仿宋"/>
                <w:kern w:val="0"/>
                <w:sz w:val="18"/>
                <w:szCs w:val="18"/>
              </w:rPr>
            </w:pPr>
            <w:r>
              <w:rPr>
                <w:rFonts w:hint="eastAsia" w:ascii="仿宋" w:hAnsi="仿宋" w:eastAsia="仿宋" w:cs="仿宋"/>
                <w:kern w:val="0"/>
                <w:sz w:val="18"/>
                <w:szCs w:val="18"/>
              </w:rPr>
              <w:t>Y≥200000</w:t>
            </w:r>
          </w:p>
        </w:tc>
        <w:tc>
          <w:tcPr>
            <w:tcW w:w="1701" w:type="dxa"/>
            <w:shd w:val="clear" w:color="auto" w:fill="auto"/>
            <w:vAlign w:val="center"/>
          </w:tcPr>
          <w:p w14:paraId="30AC53BC">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1000≤Y＜200000</w:t>
            </w:r>
          </w:p>
        </w:tc>
        <w:tc>
          <w:tcPr>
            <w:tcW w:w="1426" w:type="dxa"/>
            <w:shd w:val="clear" w:color="auto" w:fill="auto"/>
            <w:vAlign w:val="center"/>
          </w:tcPr>
          <w:p w14:paraId="2DA1FF6A">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shd w:val="clear" w:color="auto" w:fill="auto"/>
            <w:vAlign w:val="center"/>
          </w:tcPr>
          <w:p w14:paraId="15DB4F8A">
            <w:pPr>
              <w:widowControl/>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0A68B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F991772">
            <w:pPr>
              <w:widowControl/>
              <w:jc w:val="left"/>
              <w:rPr>
                <w:rFonts w:ascii="仿宋" w:hAnsi="仿宋" w:eastAsia="仿宋" w:cs="仿宋"/>
                <w:kern w:val="0"/>
                <w:sz w:val="18"/>
                <w:szCs w:val="18"/>
              </w:rPr>
            </w:pPr>
          </w:p>
        </w:tc>
        <w:tc>
          <w:tcPr>
            <w:tcW w:w="1369" w:type="dxa"/>
            <w:shd w:val="clear" w:color="auto" w:fill="auto"/>
            <w:vAlign w:val="center"/>
          </w:tcPr>
          <w:p w14:paraId="5BC95EFA">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shd w:val="clear" w:color="auto" w:fill="auto"/>
            <w:vAlign w:val="center"/>
          </w:tcPr>
          <w:p w14:paraId="0783A2FD">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325B425B">
            <w:pPr>
              <w:widowControl/>
              <w:jc w:val="center"/>
              <w:rPr>
                <w:rFonts w:ascii="仿宋" w:hAnsi="仿宋" w:eastAsia="仿宋" w:cs="仿宋"/>
                <w:kern w:val="0"/>
                <w:sz w:val="18"/>
                <w:szCs w:val="18"/>
              </w:rPr>
            </w:pPr>
            <w:r>
              <w:rPr>
                <w:rFonts w:hint="eastAsia" w:ascii="仿宋" w:hAnsi="仿宋" w:eastAsia="仿宋" w:cs="仿宋"/>
                <w:kern w:val="0"/>
                <w:sz w:val="18"/>
                <w:szCs w:val="18"/>
              </w:rPr>
              <w:t>Z≥10000</w:t>
            </w:r>
          </w:p>
        </w:tc>
        <w:tc>
          <w:tcPr>
            <w:tcW w:w="1701" w:type="dxa"/>
            <w:shd w:val="clear" w:color="auto" w:fill="auto"/>
            <w:vAlign w:val="center"/>
          </w:tcPr>
          <w:p w14:paraId="42B3DDEA">
            <w:pPr>
              <w:widowControl/>
              <w:jc w:val="center"/>
              <w:rPr>
                <w:rFonts w:ascii="仿宋" w:hAnsi="仿宋" w:eastAsia="仿宋" w:cs="仿宋"/>
                <w:kern w:val="0"/>
                <w:sz w:val="18"/>
                <w:szCs w:val="18"/>
              </w:rPr>
            </w:pPr>
            <w:r>
              <w:rPr>
                <w:rFonts w:hint="eastAsia" w:ascii="仿宋" w:hAnsi="仿宋" w:eastAsia="仿宋" w:cs="仿宋"/>
                <w:kern w:val="0"/>
                <w:sz w:val="18"/>
                <w:szCs w:val="18"/>
              </w:rPr>
              <w:t>5000≤Z＜10000</w:t>
            </w:r>
          </w:p>
        </w:tc>
        <w:tc>
          <w:tcPr>
            <w:tcW w:w="1426" w:type="dxa"/>
            <w:shd w:val="clear" w:color="auto" w:fill="auto"/>
            <w:vAlign w:val="center"/>
          </w:tcPr>
          <w:p w14:paraId="7D3E4B95">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2000≤Z＜5000   </w:t>
            </w:r>
          </w:p>
        </w:tc>
        <w:tc>
          <w:tcPr>
            <w:tcW w:w="992" w:type="dxa"/>
            <w:shd w:val="clear" w:color="auto" w:fill="auto"/>
            <w:vAlign w:val="center"/>
          </w:tcPr>
          <w:p w14:paraId="4B290E9D">
            <w:pPr>
              <w:widowControl/>
              <w:jc w:val="center"/>
              <w:rPr>
                <w:rFonts w:ascii="仿宋" w:hAnsi="仿宋" w:eastAsia="仿宋" w:cs="仿宋"/>
                <w:kern w:val="0"/>
                <w:sz w:val="18"/>
                <w:szCs w:val="18"/>
              </w:rPr>
            </w:pPr>
            <w:r>
              <w:rPr>
                <w:rFonts w:hint="eastAsia" w:ascii="仿宋" w:hAnsi="仿宋" w:eastAsia="仿宋" w:cs="仿宋"/>
                <w:kern w:val="0"/>
                <w:sz w:val="18"/>
                <w:szCs w:val="18"/>
              </w:rPr>
              <w:t>Z＜2000</w:t>
            </w:r>
          </w:p>
        </w:tc>
      </w:tr>
      <w:tr w14:paraId="21E6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3FDB99E4">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物业管理</w:t>
            </w:r>
          </w:p>
        </w:tc>
        <w:tc>
          <w:tcPr>
            <w:tcW w:w="1369" w:type="dxa"/>
            <w:shd w:val="clear" w:color="auto" w:fill="auto"/>
            <w:vAlign w:val="center"/>
          </w:tcPr>
          <w:p w14:paraId="091F8253">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35214348">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63914EB4">
            <w:pPr>
              <w:widowControl/>
              <w:jc w:val="center"/>
              <w:rPr>
                <w:rFonts w:ascii="仿宋" w:hAnsi="仿宋" w:eastAsia="仿宋" w:cs="仿宋"/>
                <w:kern w:val="0"/>
                <w:sz w:val="18"/>
                <w:szCs w:val="18"/>
              </w:rPr>
            </w:pPr>
            <w:r>
              <w:rPr>
                <w:rFonts w:hint="eastAsia" w:ascii="仿宋" w:hAnsi="仿宋" w:eastAsia="仿宋" w:cs="仿宋"/>
                <w:kern w:val="0"/>
                <w:sz w:val="18"/>
                <w:szCs w:val="18"/>
              </w:rPr>
              <w:t>X≥1000</w:t>
            </w:r>
          </w:p>
        </w:tc>
        <w:tc>
          <w:tcPr>
            <w:tcW w:w="1701" w:type="dxa"/>
            <w:shd w:val="clear" w:color="auto" w:fill="auto"/>
            <w:vAlign w:val="center"/>
          </w:tcPr>
          <w:p w14:paraId="0D13EA86">
            <w:pPr>
              <w:widowControl/>
              <w:jc w:val="center"/>
              <w:rPr>
                <w:rFonts w:ascii="仿宋" w:hAnsi="仿宋" w:eastAsia="仿宋" w:cs="仿宋"/>
                <w:kern w:val="0"/>
                <w:sz w:val="18"/>
                <w:szCs w:val="18"/>
              </w:rPr>
            </w:pPr>
            <w:r>
              <w:rPr>
                <w:rFonts w:hint="eastAsia" w:ascii="仿宋" w:hAnsi="仿宋" w:eastAsia="仿宋" w:cs="仿宋"/>
                <w:kern w:val="0"/>
                <w:sz w:val="18"/>
                <w:szCs w:val="18"/>
              </w:rPr>
              <w:t>300≤X＜1000</w:t>
            </w:r>
          </w:p>
        </w:tc>
        <w:tc>
          <w:tcPr>
            <w:tcW w:w="1426" w:type="dxa"/>
            <w:shd w:val="clear" w:color="auto" w:fill="auto"/>
            <w:vAlign w:val="center"/>
          </w:tcPr>
          <w:p w14:paraId="7124A841">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992" w:type="dxa"/>
            <w:shd w:val="clear" w:color="auto" w:fill="auto"/>
            <w:vAlign w:val="center"/>
          </w:tcPr>
          <w:p w14:paraId="4DD1B109">
            <w:pPr>
              <w:widowControl/>
              <w:jc w:val="center"/>
              <w:rPr>
                <w:rFonts w:ascii="仿宋" w:hAnsi="仿宋" w:eastAsia="仿宋" w:cs="仿宋"/>
                <w:kern w:val="0"/>
                <w:sz w:val="18"/>
                <w:szCs w:val="18"/>
              </w:rPr>
            </w:pPr>
            <w:r>
              <w:rPr>
                <w:rFonts w:hint="eastAsia" w:ascii="仿宋" w:hAnsi="仿宋" w:eastAsia="仿宋" w:cs="仿宋"/>
                <w:kern w:val="0"/>
                <w:sz w:val="18"/>
                <w:szCs w:val="18"/>
              </w:rPr>
              <w:t>X＜100</w:t>
            </w:r>
          </w:p>
        </w:tc>
      </w:tr>
      <w:tr w14:paraId="2D41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491BB12">
            <w:pPr>
              <w:widowControl/>
              <w:jc w:val="left"/>
              <w:rPr>
                <w:rFonts w:ascii="仿宋" w:hAnsi="仿宋" w:eastAsia="仿宋" w:cs="仿宋"/>
                <w:kern w:val="0"/>
                <w:sz w:val="18"/>
                <w:szCs w:val="18"/>
              </w:rPr>
            </w:pPr>
          </w:p>
        </w:tc>
        <w:tc>
          <w:tcPr>
            <w:tcW w:w="1369" w:type="dxa"/>
            <w:shd w:val="clear" w:color="auto" w:fill="auto"/>
            <w:vAlign w:val="center"/>
          </w:tcPr>
          <w:p w14:paraId="17505556">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03CABB08">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64F77962">
            <w:pPr>
              <w:widowControl/>
              <w:jc w:val="center"/>
              <w:rPr>
                <w:rFonts w:ascii="仿宋" w:hAnsi="仿宋" w:eastAsia="仿宋" w:cs="仿宋"/>
                <w:kern w:val="0"/>
                <w:sz w:val="18"/>
                <w:szCs w:val="18"/>
              </w:rPr>
            </w:pPr>
            <w:r>
              <w:rPr>
                <w:rFonts w:hint="eastAsia" w:ascii="仿宋" w:hAnsi="仿宋" w:eastAsia="仿宋" w:cs="仿宋"/>
                <w:kern w:val="0"/>
                <w:sz w:val="18"/>
                <w:szCs w:val="18"/>
              </w:rPr>
              <w:t>Y≥5000</w:t>
            </w:r>
          </w:p>
        </w:tc>
        <w:tc>
          <w:tcPr>
            <w:tcW w:w="1701" w:type="dxa"/>
            <w:shd w:val="clear" w:color="auto" w:fill="auto"/>
            <w:vAlign w:val="center"/>
          </w:tcPr>
          <w:p w14:paraId="29D3813F">
            <w:pPr>
              <w:widowControl/>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1000≤Y＜5000 </w:t>
            </w:r>
          </w:p>
        </w:tc>
        <w:tc>
          <w:tcPr>
            <w:tcW w:w="1426" w:type="dxa"/>
            <w:shd w:val="clear" w:color="auto" w:fill="auto"/>
            <w:vAlign w:val="center"/>
          </w:tcPr>
          <w:p w14:paraId="5FF3C61C">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500≤Y＜1000</w:t>
            </w:r>
          </w:p>
        </w:tc>
        <w:tc>
          <w:tcPr>
            <w:tcW w:w="992" w:type="dxa"/>
            <w:shd w:val="clear" w:color="auto" w:fill="auto"/>
            <w:vAlign w:val="center"/>
          </w:tcPr>
          <w:p w14:paraId="4A7C500F">
            <w:pPr>
              <w:widowControl/>
              <w:jc w:val="center"/>
              <w:rPr>
                <w:rFonts w:ascii="仿宋" w:hAnsi="仿宋" w:eastAsia="仿宋" w:cs="仿宋"/>
                <w:kern w:val="0"/>
                <w:sz w:val="18"/>
                <w:szCs w:val="18"/>
              </w:rPr>
            </w:pPr>
            <w:r>
              <w:rPr>
                <w:rFonts w:hint="eastAsia" w:ascii="仿宋" w:hAnsi="仿宋" w:eastAsia="仿宋" w:cs="仿宋"/>
                <w:kern w:val="0"/>
                <w:sz w:val="18"/>
                <w:szCs w:val="18"/>
              </w:rPr>
              <w:t>Y＜500</w:t>
            </w:r>
          </w:p>
        </w:tc>
      </w:tr>
      <w:tr w14:paraId="7A92D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7642453D">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租赁和商务服务业</w:t>
            </w:r>
          </w:p>
        </w:tc>
        <w:tc>
          <w:tcPr>
            <w:tcW w:w="1369" w:type="dxa"/>
            <w:shd w:val="clear" w:color="auto" w:fill="auto"/>
            <w:vAlign w:val="center"/>
          </w:tcPr>
          <w:p w14:paraId="7F308AD0">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627A7318">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39B51DCE">
            <w:pPr>
              <w:widowControl/>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0E4FB04A">
            <w:pPr>
              <w:widowControl/>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shd w:val="clear" w:color="auto" w:fill="auto"/>
            <w:vAlign w:val="center"/>
          </w:tcPr>
          <w:p w14:paraId="7DB3142D">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5A70DD29">
            <w:pPr>
              <w:widowControl/>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4E6C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F9285BC">
            <w:pPr>
              <w:widowControl/>
              <w:jc w:val="left"/>
              <w:rPr>
                <w:rFonts w:ascii="仿宋" w:hAnsi="仿宋" w:eastAsia="仿宋" w:cs="仿宋"/>
                <w:kern w:val="0"/>
                <w:sz w:val="18"/>
                <w:szCs w:val="18"/>
              </w:rPr>
            </w:pPr>
          </w:p>
        </w:tc>
        <w:tc>
          <w:tcPr>
            <w:tcW w:w="1369" w:type="dxa"/>
            <w:shd w:val="clear" w:color="auto" w:fill="auto"/>
            <w:vAlign w:val="center"/>
          </w:tcPr>
          <w:p w14:paraId="5FBD67B3">
            <w:pPr>
              <w:widowControl/>
              <w:spacing w:line="240" w:lineRule="exact"/>
              <w:jc w:val="center"/>
              <w:rPr>
                <w:rFonts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shd w:val="clear" w:color="auto" w:fill="auto"/>
            <w:vAlign w:val="center"/>
          </w:tcPr>
          <w:p w14:paraId="4B0384AC">
            <w:pPr>
              <w:widowControl/>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235BB120">
            <w:pPr>
              <w:widowControl/>
              <w:jc w:val="center"/>
              <w:rPr>
                <w:rFonts w:ascii="仿宋" w:hAnsi="仿宋" w:eastAsia="仿宋" w:cs="仿宋"/>
                <w:kern w:val="0"/>
                <w:sz w:val="18"/>
                <w:szCs w:val="18"/>
              </w:rPr>
            </w:pPr>
            <w:r>
              <w:rPr>
                <w:rFonts w:hint="eastAsia" w:ascii="仿宋" w:hAnsi="仿宋" w:eastAsia="仿宋" w:cs="仿宋"/>
                <w:kern w:val="0"/>
                <w:sz w:val="18"/>
                <w:szCs w:val="18"/>
              </w:rPr>
              <w:t>Z≥120000</w:t>
            </w:r>
          </w:p>
        </w:tc>
        <w:tc>
          <w:tcPr>
            <w:tcW w:w="1701" w:type="dxa"/>
            <w:shd w:val="clear" w:color="auto" w:fill="auto"/>
            <w:vAlign w:val="center"/>
          </w:tcPr>
          <w:p w14:paraId="10C26224">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8000≤Z＜120000</w:t>
            </w:r>
          </w:p>
        </w:tc>
        <w:tc>
          <w:tcPr>
            <w:tcW w:w="1426" w:type="dxa"/>
            <w:shd w:val="clear" w:color="auto" w:fill="auto"/>
            <w:vAlign w:val="center"/>
          </w:tcPr>
          <w:p w14:paraId="42257A4F">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100≤Z＜8000</w:t>
            </w:r>
          </w:p>
        </w:tc>
        <w:tc>
          <w:tcPr>
            <w:tcW w:w="992" w:type="dxa"/>
            <w:shd w:val="clear" w:color="auto" w:fill="auto"/>
            <w:vAlign w:val="center"/>
          </w:tcPr>
          <w:p w14:paraId="33838B21">
            <w:pPr>
              <w:widowControl/>
              <w:jc w:val="center"/>
              <w:rPr>
                <w:rFonts w:ascii="仿宋" w:hAnsi="仿宋" w:eastAsia="仿宋" w:cs="仿宋"/>
                <w:kern w:val="0"/>
                <w:sz w:val="18"/>
                <w:szCs w:val="18"/>
              </w:rPr>
            </w:pPr>
            <w:r>
              <w:rPr>
                <w:rFonts w:hint="eastAsia" w:ascii="仿宋" w:hAnsi="仿宋" w:eastAsia="仿宋" w:cs="仿宋"/>
                <w:kern w:val="0"/>
                <w:sz w:val="18"/>
                <w:szCs w:val="18"/>
              </w:rPr>
              <w:t>Z＜100</w:t>
            </w:r>
          </w:p>
        </w:tc>
      </w:tr>
      <w:tr w14:paraId="65318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03FF1997">
            <w:pPr>
              <w:widowControl/>
              <w:spacing w:line="240" w:lineRule="exact"/>
              <w:jc w:val="left"/>
              <w:rPr>
                <w:rFonts w:ascii="仿宋" w:hAnsi="仿宋" w:eastAsia="仿宋" w:cs="仿宋"/>
                <w:kern w:val="0"/>
                <w:sz w:val="18"/>
                <w:szCs w:val="18"/>
              </w:rPr>
            </w:pPr>
            <w:r>
              <w:rPr>
                <w:rFonts w:hint="eastAsia" w:ascii="仿宋" w:hAnsi="仿宋" w:eastAsia="仿宋" w:cs="仿宋"/>
                <w:kern w:val="0"/>
                <w:sz w:val="18"/>
                <w:szCs w:val="18"/>
              </w:rPr>
              <w:t>其他未列明行业 *</w:t>
            </w:r>
          </w:p>
        </w:tc>
        <w:tc>
          <w:tcPr>
            <w:tcW w:w="1369" w:type="dxa"/>
            <w:shd w:val="clear" w:color="auto" w:fill="auto"/>
            <w:vAlign w:val="center"/>
          </w:tcPr>
          <w:p w14:paraId="1F187AD7">
            <w:pPr>
              <w:widowControl/>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523DADEE">
            <w:pPr>
              <w:widowControl/>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1CD680C5">
            <w:pPr>
              <w:widowControl/>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26C29D1E">
            <w:pPr>
              <w:widowControl/>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shd w:val="clear" w:color="auto" w:fill="auto"/>
            <w:vAlign w:val="center"/>
          </w:tcPr>
          <w:p w14:paraId="20C59FC8">
            <w:pPr>
              <w:widowControl/>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7D28DE76">
            <w:pPr>
              <w:widowControl/>
              <w:jc w:val="center"/>
              <w:rPr>
                <w:rFonts w:ascii="仿宋" w:hAnsi="仿宋" w:eastAsia="仿宋" w:cs="仿宋"/>
                <w:kern w:val="0"/>
                <w:sz w:val="18"/>
                <w:szCs w:val="18"/>
              </w:rPr>
            </w:pPr>
            <w:r>
              <w:rPr>
                <w:rFonts w:hint="eastAsia" w:ascii="仿宋" w:hAnsi="仿宋" w:eastAsia="仿宋" w:cs="仿宋"/>
                <w:kern w:val="0"/>
                <w:sz w:val="18"/>
                <w:szCs w:val="18"/>
              </w:rPr>
              <w:t>X＜10</w:t>
            </w:r>
          </w:p>
        </w:tc>
      </w:tr>
    </w:tbl>
    <w:p w14:paraId="56C98831">
      <w:pPr>
        <w:widowControl/>
        <w:spacing w:line="360" w:lineRule="auto"/>
        <w:rPr>
          <w:rFonts w:ascii="仿宋" w:hAnsi="仿宋" w:eastAsia="仿宋" w:cs="仿宋"/>
          <w:spacing w:val="8"/>
          <w:kern w:val="0"/>
          <w:szCs w:val="21"/>
        </w:rPr>
      </w:pPr>
    </w:p>
    <w:p w14:paraId="040BE879">
      <w:pPr>
        <w:widowControl/>
        <w:spacing w:line="360" w:lineRule="auto"/>
        <w:jc w:val="left"/>
        <w:rPr>
          <w:rFonts w:ascii="仿宋" w:hAnsi="仿宋" w:eastAsia="仿宋" w:cs="仿宋"/>
          <w:spacing w:val="8"/>
          <w:kern w:val="0"/>
          <w:szCs w:val="21"/>
        </w:rPr>
      </w:pPr>
      <w:r>
        <w:rPr>
          <w:rFonts w:hint="eastAsia" w:ascii="仿宋" w:hAnsi="仿宋" w:eastAsia="仿宋" w:cs="仿宋"/>
          <w:spacing w:val="8"/>
          <w:kern w:val="0"/>
          <w:sz w:val="32"/>
          <w:szCs w:val="32"/>
        </w:rPr>
        <w:br w:type="page"/>
      </w:r>
    </w:p>
    <w:p w14:paraId="331A6CAE">
      <w:pPr>
        <w:widowControl/>
        <w:spacing w:line="540" w:lineRule="exact"/>
        <w:rPr>
          <w:rFonts w:ascii="仿宋" w:hAnsi="仿宋" w:eastAsia="仿宋" w:cs="仿宋"/>
          <w:b/>
          <w:bCs/>
          <w:spacing w:val="8"/>
          <w:kern w:val="0"/>
          <w:szCs w:val="21"/>
        </w:rPr>
      </w:pPr>
      <w:r>
        <w:rPr>
          <w:rFonts w:hint="eastAsia" w:ascii="仿宋" w:hAnsi="仿宋" w:eastAsia="仿宋" w:cs="仿宋"/>
          <w:b/>
          <w:bCs/>
          <w:spacing w:val="8"/>
          <w:kern w:val="0"/>
          <w:szCs w:val="21"/>
        </w:rPr>
        <w:t>说明：</w:t>
      </w:r>
    </w:p>
    <w:p w14:paraId="0614B24A">
      <w:pPr>
        <w:spacing w:line="540" w:lineRule="exact"/>
        <w:rPr>
          <w:rFonts w:ascii="仿宋" w:hAnsi="仿宋" w:eastAsia="仿宋" w:cs="仿宋"/>
          <w:spacing w:val="8"/>
          <w:kern w:val="0"/>
          <w:szCs w:val="21"/>
        </w:rPr>
      </w:pPr>
      <w:r>
        <w:rPr>
          <w:rFonts w:hint="eastAsia" w:ascii="仿宋" w:hAnsi="仿宋" w:eastAsia="仿宋" w:cs="仿宋"/>
          <w:spacing w:val="8"/>
          <w:kern w:val="0"/>
          <w:szCs w:val="21"/>
        </w:rPr>
        <w:t>1.大型、中型和小型企业须同时满足所列指标的下限，否则下划一档；微型企业只须满足所列指标中的一项即可。</w:t>
      </w:r>
    </w:p>
    <w:p w14:paraId="5F7AFF69">
      <w:pPr>
        <w:spacing w:line="540" w:lineRule="exact"/>
        <w:rPr>
          <w:rFonts w:ascii="仿宋" w:hAnsi="仿宋" w:eastAsia="仿宋" w:cs="仿宋"/>
          <w:spacing w:val="8"/>
          <w:kern w:val="0"/>
          <w:szCs w:val="21"/>
        </w:rPr>
      </w:pPr>
      <w:r>
        <w:rPr>
          <w:rFonts w:hint="eastAsia" w:ascii="仿宋" w:hAnsi="仿宋" w:eastAsia="仿宋" w:cs="仿宋"/>
          <w:spacing w:val="8"/>
          <w:kern w:val="0"/>
          <w:szCs w:val="21"/>
        </w:rPr>
        <w:t>2.附表中各行业的范围以《国民经济行业分类》（GB/T4754-2017）为准。带*的项为行业组合类别，其中，</w:t>
      </w:r>
      <w:r>
        <w:rPr>
          <w:rFonts w:hint="eastAsia" w:ascii="仿宋" w:hAnsi="仿宋" w:eastAsia="仿宋" w:cs="仿宋"/>
          <w:b/>
          <w:bCs/>
          <w:spacing w:val="8"/>
          <w:kern w:val="0"/>
          <w:szCs w:val="21"/>
        </w:rPr>
        <w:t>工业包括采矿业，制造业</w:t>
      </w:r>
      <w:r>
        <w:rPr>
          <w:rFonts w:hint="eastAsia" w:ascii="仿宋" w:hAnsi="仿宋" w:eastAsia="仿宋" w:cs="仿宋"/>
          <w:spacing w:val="8"/>
          <w:kern w:val="0"/>
          <w:szCs w:val="21"/>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0EA3D79E">
      <w:pPr>
        <w:spacing w:line="540" w:lineRule="exact"/>
        <w:rPr>
          <w:rFonts w:ascii="仿宋" w:hAnsi="仿宋" w:eastAsia="仿宋" w:cs="仿宋"/>
          <w:spacing w:val="8"/>
          <w:kern w:val="0"/>
          <w:szCs w:val="21"/>
        </w:rPr>
      </w:pPr>
      <w:r>
        <w:rPr>
          <w:rFonts w:hint="eastAsia" w:ascii="仿宋" w:hAnsi="仿宋" w:eastAsia="仿宋" w:cs="仿宋"/>
          <w:spacing w:val="8"/>
          <w:kern w:val="0"/>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05B14F5">
      <w:pPr>
        <w:spacing w:line="540" w:lineRule="exact"/>
        <w:rPr>
          <w:rFonts w:ascii="仿宋" w:hAnsi="仿宋" w:eastAsia="仿宋" w:cs="仿宋"/>
          <w:spacing w:val="8"/>
          <w:kern w:val="0"/>
          <w:szCs w:val="21"/>
        </w:rPr>
        <w:sectPr>
          <w:pgSz w:w="11906" w:h="16838"/>
          <w:pgMar w:top="1157" w:right="1134" w:bottom="1157" w:left="1134" w:header="680" w:footer="624" w:gutter="0"/>
          <w:pgBorders>
            <w:top w:val="none" w:sz="0" w:space="0"/>
            <w:left w:val="none" w:sz="0" w:space="0"/>
            <w:bottom w:val="none" w:sz="0" w:space="0"/>
            <w:right w:val="none" w:sz="0" w:space="0"/>
          </w:pgBorders>
          <w:pgNumType w:fmt="decimal"/>
          <w:cols w:space="720" w:num="1"/>
          <w:titlePg/>
          <w:docGrid w:type="lines" w:linePitch="317" w:charSpace="0"/>
        </w:sectPr>
      </w:pPr>
    </w:p>
    <w:p w14:paraId="6CD20062">
      <w:pPr>
        <w:spacing w:line="360" w:lineRule="auto"/>
        <w:ind w:firstLine="442" w:firstLineChars="200"/>
        <w:rPr>
          <w:rFonts w:ascii="仿宋" w:hAnsi="仿宋" w:eastAsia="仿宋" w:cs="仿宋"/>
          <w:b/>
          <w:bCs/>
          <w:sz w:val="22"/>
          <w:szCs w:val="22"/>
        </w:rPr>
      </w:pPr>
      <w:r>
        <w:rPr>
          <w:rFonts w:hint="eastAsia" w:ascii="仿宋" w:hAnsi="仿宋" w:eastAsia="仿宋" w:cs="仿宋"/>
          <w:b/>
          <w:bCs/>
          <w:sz w:val="22"/>
          <w:szCs w:val="22"/>
        </w:rPr>
        <w:t>（2）《监狱企业证明文件》（原件。符合《财政部 司法部关于政府采购支持监狱企业发展有关问题的通知》（财库[2014]68号）价格扣减条件的供应商须提交）</w:t>
      </w:r>
    </w:p>
    <w:p w14:paraId="5562285B">
      <w:pPr>
        <w:spacing w:before="312" w:beforeLines="100" w:after="156" w:afterLines="50" w:line="360" w:lineRule="auto"/>
        <w:jc w:val="center"/>
        <w:rPr>
          <w:rFonts w:ascii="仿宋" w:hAnsi="仿宋" w:eastAsia="仿宋" w:cs="仿宋"/>
          <w:sz w:val="22"/>
          <w:szCs w:val="22"/>
        </w:rPr>
      </w:pPr>
      <w:bookmarkStart w:id="547" w:name="_Toc18757"/>
      <w:r>
        <w:rPr>
          <w:rFonts w:hint="eastAsia" w:ascii="仿宋" w:hAnsi="仿宋" w:eastAsia="仿宋" w:cs="仿宋"/>
          <w:sz w:val="22"/>
          <w:szCs w:val="22"/>
        </w:rPr>
        <w:t>监狱企业证明文件（若是）</w:t>
      </w:r>
      <w:bookmarkEnd w:id="547"/>
    </w:p>
    <w:p w14:paraId="11DBC296">
      <w:pPr>
        <w:spacing w:line="480" w:lineRule="auto"/>
        <w:ind w:firstLine="440" w:firstLineChars="200"/>
        <w:rPr>
          <w:rFonts w:ascii="仿宋" w:hAnsi="仿宋" w:eastAsia="仿宋" w:cs="仿宋"/>
          <w:bCs/>
          <w:sz w:val="22"/>
          <w:szCs w:val="22"/>
        </w:rPr>
      </w:pPr>
      <w:r>
        <w:rPr>
          <w:rFonts w:hint="eastAsia" w:ascii="仿宋" w:hAnsi="仿宋" w:eastAsia="仿宋" w:cs="仿宋"/>
          <w:bCs/>
          <w:sz w:val="22"/>
          <w:szCs w:val="22"/>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C4D2BB4">
      <w:pPr>
        <w:spacing w:line="480" w:lineRule="auto"/>
        <w:ind w:firstLine="440" w:firstLineChars="200"/>
        <w:rPr>
          <w:rFonts w:ascii="仿宋" w:hAnsi="仿宋" w:eastAsia="仿宋" w:cs="仿宋"/>
          <w:bCs/>
          <w:sz w:val="22"/>
          <w:szCs w:val="22"/>
        </w:rPr>
      </w:pPr>
      <w:r>
        <w:rPr>
          <w:rFonts w:hint="eastAsia" w:ascii="仿宋" w:hAnsi="仿宋" w:eastAsia="仿宋" w:cs="仿宋"/>
          <w:bCs/>
          <w:sz w:val="22"/>
          <w:szCs w:val="22"/>
        </w:rPr>
        <w:t>监狱企业参加政府采购活动时，应当提供由省级以上监狱管理局、戒毒管理局（含新疆生产建设兵团）出具的属于监狱企业的证明文件。</w:t>
      </w:r>
    </w:p>
    <w:p w14:paraId="7E3466B2">
      <w:pPr>
        <w:pStyle w:val="33"/>
        <w:outlineLvl w:val="9"/>
        <w:rPr>
          <w:rFonts w:ascii="仿宋" w:hAnsi="仿宋" w:eastAsia="仿宋" w:cs="仿宋"/>
          <w:bCs/>
          <w:color w:val="auto"/>
          <w:sz w:val="22"/>
          <w:szCs w:val="22"/>
        </w:rPr>
      </w:pPr>
    </w:p>
    <w:p w14:paraId="4AAAA3E3">
      <w:pPr>
        <w:pStyle w:val="33"/>
        <w:outlineLvl w:val="9"/>
        <w:rPr>
          <w:rFonts w:ascii="仿宋" w:hAnsi="仿宋" w:eastAsia="仿宋" w:cs="仿宋"/>
          <w:bCs/>
          <w:color w:val="auto"/>
          <w:sz w:val="22"/>
          <w:szCs w:val="22"/>
        </w:rPr>
      </w:pPr>
    </w:p>
    <w:p w14:paraId="1EF7AAE6">
      <w:pPr>
        <w:spacing w:line="360" w:lineRule="auto"/>
        <w:ind w:firstLine="440" w:firstLineChars="200"/>
        <w:rPr>
          <w:rFonts w:ascii="仿宋" w:hAnsi="仿宋" w:eastAsia="仿宋" w:cs="仿宋"/>
          <w:sz w:val="22"/>
          <w:szCs w:val="22"/>
        </w:rPr>
      </w:pPr>
      <w:r>
        <w:rPr>
          <w:rFonts w:hint="eastAsia" w:ascii="仿宋" w:hAnsi="仿宋" w:eastAsia="仿宋" w:cs="仿宋"/>
          <w:sz w:val="22"/>
          <w:szCs w:val="22"/>
          <w:lang w:val="en-US" w:eastAsia="zh-CN"/>
        </w:rPr>
        <w:t>投标人</w:t>
      </w:r>
      <w:r>
        <w:rPr>
          <w:rFonts w:hint="eastAsia" w:ascii="仿宋" w:hAnsi="仿宋" w:eastAsia="仿宋" w:cs="仿宋"/>
          <w:sz w:val="22"/>
          <w:szCs w:val="22"/>
        </w:rPr>
        <w:t>：</w:t>
      </w:r>
      <w:r>
        <w:rPr>
          <w:rFonts w:hint="eastAsia" w:ascii="仿宋" w:hAnsi="仿宋" w:eastAsia="仿宋" w:cs="仿宋"/>
          <w:sz w:val="22"/>
          <w:szCs w:val="22"/>
          <w:u w:val="single"/>
        </w:rPr>
        <w:t xml:space="preserve">                                    </w:t>
      </w:r>
      <w:r>
        <w:rPr>
          <w:rFonts w:hint="eastAsia" w:ascii="仿宋" w:hAnsi="仿宋" w:eastAsia="仿宋" w:cs="仿宋"/>
          <w:sz w:val="22"/>
          <w:szCs w:val="22"/>
        </w:rPr>
        <w:t>（盖单位公章）</w:t>
      </w:r>
    </w:p>
    <w:p w14:paraId="08CFD8C3">
      <w:pPr>
        <w:spacing w:line="360" w:lineRule="auto"/>
        <w:ind w:firstLine="440" w:firstLineChars="200"/>
        <w:rPr>
          <w:rFonts w:ascii="仿宋" w:hAnsi="仿宋" w:eastAsia="仿宋" w:cs="仿宋"/>
          <w:sz w:val="22"/>
          <w:szCs w:val="22"/>
        </w:rPr>
      </w:pPr>
      <w:r>
        <w:rPr>
          <w:rFonts w:hint="eastAsia" w:ascii="仿宋" w:hAnsi="仿宋" w:eastAsia="仿宋" w:cs="仿宋"/>
          <w:sz w:val="22"/>
          <w:szCs w:val="22"/>
        </w:rPr>
        <w:t>法定代表人或其委托代理人：</w:t>
      </w:r>
      <w:r>
        <w:rPr>
          <w:rFonts w:hint="eastAsia" w:ascii="仿宋" w:hAnsi="仿宋" w:eastAsia="仿宋" w:cs="仿宋"/>
          <w:sz w:val="22"/>
          <w:szCs w:val="22"/>
          <w:u w:val="single"/>
        </w:rPr>
        <w:t xml:space="preserve">                  </w:t>
      </w:r>
      <w:r>
        <w:rPr>
          <w:rFonts w:hint="eastAsia" w:ascii="仿宋" w:hAnsi="仿宋" w:eastAsia="仿宋" w:cs="仿宋"/>
          <w:sz w:val="22"/>
          <w:szCs w:val="22"/>
        </w:rPr>
        <w:t>（签字或盖章）</w:t>
      </w:r>
    </w:p>
    <w:p w14:paraId="3B2B86C5">
      <w:pPr>
        <w:spacing w:line="360" w:lineRule="auto"/>
        <w:ind w:firstLine="440" w:firstLineChars="200"/>
        <w:rPr>
          <w:rFonts w:ascii="仿宋" w:hAnsi="仿宋" w:eastAsia="仿宋" w:cs="仿宋"/>
          <w:sz w:val="22"/>
          <w:szCs w:val="22"/>
        </w:rPr>
      </w:pPr>
      <w:r>
        <w:rPr>
          <w:rFonts w:hint="eastAsia" w:ascii="仿宋" w:hAnsi="仿宋" w:eastAsia="仿宋" w:cs="仿宋"/>
          <w:sz w:val="22"/>
          <w:szCs w:val="22"/>
        </w:rPr>
        <w:t>日期：</w:t>
      </w:r>
      <w:r>
        <w:rPr>
          <w:rFonts w:hint="eastAsia" w:ascii="仿宋" w:hAnsi="仿宋" w:eastAsia="仿宋" w:cs="仿宋"/>
          <w:sz w:val="22"/>
          <w:szCs w:val="22"/>
          <w:u w:val="single"/>
        </w:rPr>
        <w:t xml:space="preserve">            </w:t>
      </w:r>
      <w:r>
        <w:rPr>
          <w:rFonts w:hint="eastAsia" w:ascii="仿宋" w:hAnsi="仿宋" w:eastAsia="仿宋" w:cs="仿宋"/>
          <w:sz w:val="22"/>
          <w:szCs w:val="22"/>
        </w:rPr>
        <w:t>年</w:t>
      </w:r>
      <w:r>
        <w:rPr>
          <w:rFonts w:hint="eastAsia" w:ascii="仿宋" w:hAnsi="仿宋" w:eastAsia="仿宋" w:cs="仿宋"/>
          <w:sz w:val="22"/>
          <w:szCs w:val="22"/>
          <w:u w:val="single"/>
        </w:rPr>
        <w:t xml:space="preserve">       </w:t>
      </w:r>
      <w:r>
        <w:rPr>
          <w:rFonts w:hint="eastAsia" w:ascii="仿宋" w:hAnsi="仿宋" w:eastAsia="仿宋" w:cs="仿宋"/>
          <w:sz w:val="22"/>
          <w:szCs w:val="22"/>
        </w:rPr>
        <w:t>月</w:t>
      </w:r>
      <w:r>
        <w:rPr>
          <w:rFonts w:hint="eastAsia" w:ascii="仿宋" w:hAnsi="仿宋" w:eastAsia="仿宋" w:cs="仿宋"/>
          <w:sz w:val="22"/>
          <w:szCs w:val="22"/>
          <w:u w:val="single"/>
        </w:rPr>
        <w:t xml:space="preserve">       </w:t>
      </w:r>
      <w:r>
        <w:rPr>
          <w:rFonts w:hint="eastAsia" w:ascii="仿宋" w:hAnsi="仿宋" w:eastAsia="仿宋" w:cs="仿宋"/>
          <w:sz w:val="22"/>
          <w:szCs w:val="22"/>
        </w:rPr>
        <w:t>日</w:t>
      </w:r>
    </w:p>
    <w:p w14:paraId="6C3B6279">
      <w:pPr>
        <w:pStyle w:val="33"/>
        <w:outlineLvl w:val="9"/>
        <w:rPr>
          <w:rFonts w:ascii="仿宋" w:hAnsi="仿宋" w:eastAsia="仿宋" w:cs="仿宋"/>
          <w:bCs/>
          <w:color w:val="auto"/>
          <w:sz w:val="22"/>
          <w:szCs w:val="22"/>
        </w:rPr>
      </w:pPr>
    </w:p>
    <w:p w14:paraId="117795B7">
      <w:pPr>
        <w:pStyle w:val="33"/>
        <w:outlineLvl w:val="9"/>
        <w:rPr>
          <w:rFonts w:ascii="仿宋" w:hAnsi="仿宋" w:eastAsia="仿宋" w:cs="仿宋"/>
          <w:bCs/>
          <w:color w:val="auto"/>
          <w:sz w:val="22"/>
          <w:szCs w:val="22"/>
        </w:rPr>
      </w:pPr>
    </w:p>
    <w:p w14:paraId="7538850F">
      <w:pPr>
        <w:pStyle w:val="33"/>
        <w:outlineLvl w:val="9"/>
        <w:rPr>
          <w:rFonts w:ascii="仿宋" w:hAnsi="仿宋" w:eastAsia="仿宋" w:cs="仿宋"/>
          <w:bCs/>
          <w:color w:val="auto"/>
          <w:sz w:val="22"/>
          <w:szCs w:val="22"/>
        </w:rPr>
      </w:pPr>
    </w:p>
    <w:p w14:paraId="07592979">
      <w:pPr>
        <w:spacing w:line="480" w:lineRule="auto"/>
        <w:ind w:firstLine="442" w:firstLineChars="200"/>
        <w:rPr>
          <w:rFonts w:ascii="仿宋" w:hAnsi="仿宋" w:eastAsia="仿宋" w:cs="仿宋"/>
          <w:b/>
          <w:sz w:val="22"/>
          <w:szCs w:val="22"/>
        </w:rPr>
      </w:pPr>
      <w:r>
        <w:rPr>
          <w:rFonts w:hint="eastAsia" w:ascii="仿宋" w:hAnsi="仿宋" w:eastAsia="仿宋" w:cs="仿宋"/>
          <w:b/>
          <w:sz w:val="22"/>
          <w:szCs w:val="22"/>
        </w:rPr>
        <w:t>注：符合条件的监狱企业在参加政府采购活动时，应当按《财政部 司法部关于政府采购支持监狱企业发展有关问题的通知》（财库[2014]68号）提供规定的《监狱企业证明文件》，并对声明的真实性负责。</w:t>
      </w:r>
    </w:p>
    <w:p w14:paraId="61C4A298">
      <w:pPr>
        <w:rPr>
          <w:rFonts w:ascii="仿宋" w:hAnsi="仿宋" w:eastAsia="仿宋" w:cs="仿宋"/>
          <w:b/>
          <w:bCs/>
          <w:sz w:val="22"/>
          <w:szCs w:val="22"/>
        </w:rPr>
      </w:pPr>
      <w:r>
        <w:rPr>
          <w:rFonts w:hint="eastAsia" w:ascii="仿宋" w:hAnsi="仿宋" w:eastAsia="仿宋" w:cs="仿宋"/>
          <w:b/>
          <w:bCs/>
          <w:sz w:val="22"/>
          <w:szCs w:val="22"/>
        </w:rPr>
        <w:br w:type="page"/>
      </w:r>
    </w:p>
    <w:p w14:paraId="13C2EEF9">
      <w:pPr>
        <w:spacing w:line="480" w:lineRule="auto"/>
        <w:rPr>
          <w:rFonts w:ascii="仿宋" w:hAnsi="仿宋" w:eastAsia="仿宋" w:cs="仿宋"/>
          <w:b/>
          <w:bCs/>
          <w:sz w:val="22"/>
          <w:szCs w:val="22"/>
        </w:rPr>
      </w:pPr>
      <w:r>
        <w:rPr>
          <w:rFonts w:hint="eastAsia" w:ascii="仿宋" w:hAnsi="仿宋" w:eastAsia="仿宋" w:cs="仿宋"/>
          <w:b/>
          <w:bCs/>
          <w:sz w:val="22"/>
          <w:szCs w:val="22"/>
        </w:rPr>
        <w:t>（3）《残疾人福利性单位声明函》（原件。符合《三部门联合发布关于促进残疾人就业政府采购政策的通知》（财库〔2017〕141号）价格扣减条件的供应商须提交）</w:t>
      </w:r>
    </w:p>
    <w:p w14:paraId="345744A8">
      <w:pPr>
        <w:spacing w:before="156" w:beforeLines="50" w:after="156" w:afterLines="50" w:line="500" w:lineRule="exact"/>
        <w:ind w:firstLine="440" w:firstLineChars="200"/>
        <w:jc w:val="center"/>
        <w:rPr>
          <w:rFonts w:ascii="仿宋" w:hAnsi="仿宋" w:eastAsia="仿宋" w:cs="仿宋"/>
          <w:sz w:val="22"/>
          <w:szCs w:val="22"/>
        </w:rPr>
      </w:pPr>
      <w:r>
        <w:rPr>
          <w:rFonts w:hint="eastAsia" w:ascii="仿宋" w:hAnsi="仿宋" w:eastAsia="仿宋" w:cs="仿宋"/>
          <w:sz w:val="22"/>
          <w:szCs w:val="22"/>
        </w:rPr>
        <w:t>残疾人福利性单位声明函（若是）</w:t>
      </w:r>
    </w:p>
    <w:p w14:paraId="259C480E">
      <w:pPr>
        <w:spacing w:line="360" w:lineRule="auto"/>
        <w:ind w:firstLine="440" w:firstLineChars="200"/>
        <w:rPr>
          <w:rFonts w:ascii="仿宋" w:hAnsi="仿宋" w:eastAsia="仿宋" w:cs="仿宋"/>
          <w:bCs/>
          <w:sz w:val="22"/>
          <w:szCs w:val="22"/>
        </w:rPr>
      </w:pPr>
      <w:r>
        <w:rPr>
          <w:rFonts w:hint="eastAsia" w:ascii="仿宋" w:hAnsi="仿宋" w:eastAsia="仿宋" w:cs="仿宋"/>
          <w:bCs/>
          <w:sz w:val="22"/>
          <w:szCs w:val="22"/>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084FE2">
      <w:pPr>
        <w:spacing w:line="360" w:lineRule="auto"/>
        <w:ind w:firstLine="440" w:firstLineChars="200"/>
        <w:rPr>
          <w:rFonts w:ascii="仿宋" w:hAnsi="仿宋" w:eastAsia="仿宋" w:cs="仿宋"/>
          <w:bCs/>
          <w:sz w:val="22"/>
          <w:szCs w:val="22"/>
        </w:rPr>
      </w:pPr>
      <w:r>
        <w:rPr>
          <w:rFonts w:hint="eastAsia" w:ascii="仿宋" w:hAnsi="仿宋" w:eastAsia="仿宋" w:cs="仿宋"/>
          <w:bCs/>
          <w:sz w:val="22"/>
          <w:szCs w:val="22"/>
        </w:rPr>
        <w:t>本单位对上述声明的真实性负责。如有虚假，将依法承担相应责任。</w:t>
      </w:r>
    </w:p>
    <w:p w14:paraId="53437998">
      <w:pPr>
        <w:spacing w:line="360" w:lineRule="auto"/>
        <w:ind w:firstLine="442" w:firstLineChars="200"/>
        <w:rPr>
          <w:rFonts w:ascii="仿宋" w:hAnsi="仿宋" w:eastAsia="仿宋" w:cs="仿宋"/>
          <w:b/>
          <w:sz w:val="22"/>
          <w:szCs w:val="22"/>
        </w:rPr>
      </w:pPr>
    </w:p>
    <w:p w14:paraId="6690F9E7">
      <w:pPr>
        <w:spacing w:line="360" w:lineRule="auto"/>
        <w:ind w:firstLine="440" w:firstLineChars="200"/>
        <w:rPr>
          <w:rFonts w:ascii="仿宋" w:hAnsi="仿宋" w:eastAsia="仿宋" w:cs="仿宋"/>
          <w:sz w:val="22"/>
          <w:szCs w:val="22"/>
        </w:rPr>
      </w:pPr>
      <w:r>
        <w:rPr>
          <w:rFonts w:hint="eastAsia" w:ascii="仿宋" w:hAnsi="仿宋" w:eastAsia="仿宋" w:cs="仿宋"/>
          <w:sz w:val="22"/>
          <w:szCs w:val="22"/>
          <w:lang w:val="en-US" w:eastAsia="zh-CN"/>
        </w:rPr>
        <w:t>投标人</w:t>
      </w:r>
      <w:r>
        <w:rPr>
          <w:rFonts w:hint="eastAsia" w:ascii="仿宋" w:hAnsi="仿宋" w:eastAsia="仿宋" w:cs="仿宋"/>
          <w:sz w:val="22"/>
          <w:szCs w:val="22"/>
        </w:rPr>
        <w:t>：</w:t>
      </w:r>
      <w:r>
        <w:rPr>
          <w:rFonts w:hint="eastAsia" w:ascii="仿宋" w:hAnsi="仿宋" w:eastAsia="仿宋" w:cs="仿宋"/>
          <w:sz w:val="22"/>
          <w:szCs w:val="22"/>
          <w:u w:val="single"/>
        </w:rPr>
        <w:t xml:space="preserve">                                    </w:t>
      </w:r>
      <w:r>
        <w:rPr>
          <w:rFonts w:hint="eastAsia" w:ascii="仿宋" w:hAnsi="仿宋" w:eastAsia="仿宋" w:cs="仿宋"/>
          <w:sz w:val="22"/>
          <w:szCs w:val="22"/>
        </w:rPr>
        <w:t>（盖单位公章）</w:t>
      </w:r>
    </w:p>
    <w:p w14:paraId="5FD55D88">
      <w:pPr>
        <w:spacing w:line="360" w:lineRule="auto"/>
        <w:ind w:firstLine="440" w:firstLineChars="200"/>
        <w:rPr>
          <w:rFonts w:ascii="仿宋" w:hAnsi="仿宋" w:eastAsia="仿宋" w:cs="仿宋"/>
          <w:sz w:val="22"/>
          <w:szCs w:val="22"/>
        </w:rPr>
      </w:pPr>
      <w:r>
        <w:rPr>
          <w:rFonts w:hint="eastAsia" w:ascii="仿宋" w:hAnsi="仿宋" w:eastAsia="仿宋" w:cs="仿宋"/>
          <w:sz w:val="22"/>
          <w:szCs w:val="22"/>
        </w:rPr>
        <w:t>法定代表人或其委托代理人：</w:t>
      </w:r>
      <w:r>
        <w:rPr>
          <w:rFonts w:hint="eastAsia" w:ascii="仿宋" w:hAnsi="仿宋" w:eastAsia="仿宋" w:cs="仿宋"/>
          <w:sz w:val="22"/>
          <w:szCs w:val="22"/>
          <w:u w:val="single"/>
        </w:rPr>
        <w:t xml:space="preserve">                  </w:t>
      </w:r>
      <w:r>
        <w:rPr>
          <w:rFonts w:hint="eastAsia" w:ascii="仿宋" w:hAnsi="仿宋" w:eastAsia="仿宋" w:cs="仿宋"/>
          <w:sz w:val="22"/>
          <w:szCs w:val="22"/>
        </w:rPr>
        <w:t>（签字或盖章）</w:t>
      </w:r>
    </w:p>
    <w:p w14:paraId="439F1E3F">
      <w:pPr>
        <w:spacing w:line="360" w:lineRule="auto"/>
        <w:ind w:firstLine="440" w:firstLineChars="200"/>
        <w:rPr>
          <w:rFonts w:ascii="仿宋" w:hAnsi="仿宋" w:eastAsia="仿宋" w:cs="仿宋"/>
          <w:sz w:val="22"/>
          <w:szCs w:val="22"/>
        </w:rPr>
      </w:pPr>
      <w:r>
        <w:rPr>
          <w:rFonts w:hint="eastAsia" w:ascii="仿宋" w:hAnsi="仿宋" w:eastAsia="仿宋" w:cs="仿宋"/>
          <w:sz w:val="22"/>
          <w:szCs w:val="22"/>
        </w:rPr>
        <w:t>日期：</w:t>
      </w:r>
      <w:r>
        <w:rPr>
          <w:rFonts w:hint="eastAsia" w:ascii="仿宋" w:hAnsi="仿宋" w:eastAsia="仿宋" w:cs="仿宋"/>
          <w:sz w:val="22"/>
          <w:szCs w:val="22"/>
          <w:u w:val="single"/>
        </w:rPr>
        <w:t xml:space="preserve">            </w:t>
      </w:r>
      <w:r>
        <w:rPr>
          <w:rFonts w:hint="eastAsia" w:ascii="仿宋" w:hAnsi="仿宋" w:eastAsia="仿宋" w:cs="仿宋"/>
          <w:sz w:val="22"/>
          <w:szCs w:val="22"/>
        </w:rPr>
        <w:t>年</w:t>
      </w:r>
      <w:r>
        <w:rPr>
          <w:rFonts w:hint="eastAsia" w:ascii="仿宋" w:hAnsi="仿宋" w:eastAsia="仿宋" w:cs="仿宋"/>
          <w:sz w:val="22"/>
          <w:szCs w:val="22"/>
          <w:u w:val="single"/>
        </w:rPr>
        <w:t xml:space="preserve">       </w:t>
      </w:r>
      <w:r>
        <w:rPr>
          <w:rFonts w:hint="eastAsia" w:ascii="仿宋" w:hAnsi="仿宋" w:eastAsia="仿宋" w:cs="仿宋"/>
          <w:sz w:val="22"/>
          <w:szCs w:val="22"/>
        </w:rPr>
        <w:t>月</w:t>
      </w:r>
      <w:r>
        <w:rPr>
          <w:rFonts w:hint="eastAsia" w:ascii="仿宋" w:hAnsi="仿宋" w:eastAsia="仿宋" w:cs="仿宋"/>
          <w:sz w:val="22"/>
          <w:szCs w:val="22"/>
          <w:u w:val="single"/>
        </w:rPr>
        <w:t xml:space="preserve">       </w:t>
      </w:r>
      <w:r>
        <w:rPr>
          <w:rFonts w:hint="eastAsia" w:ascii="仿宋" w:hAnsi="仿宋" w:eastAsia="仿宋" w:cs="仿宋"/>
          <w:sz w:val="22"/>
          <w:szCs w:val="22"/>
        </w:rPr>
        <w:t>日</w:t>
      </w:r>
    </w:p>
    <w:p w14:paraId="25DB0F23">
      <w:pPr>
        <w:spacing w:line="360" w:lineRule="auto"/>
        <w:ind w:firstLine="442" w:firstLineChars="200"/>
        <w:rPr>
          <w:rFonts w:ascii="仿宋" w:hAnsi="仿宋" w:eastAsia="仿宋" w:cs="仿宋"/>
          <w:b/>
          <w:sz w:val="22"/>
          <w:szCs w:val="22"/>
        </w:rPr>
      </w:pPr>
    </w:p>
    <w:p w14:paraId="2DE12703">
      <w:pPr>
        <w:pStyle w:val="33"/>
        <w:outlineLvl w:val="9"/>
        <w:rPr>
          <w:rFonts w:ascii="仿宋" w:hAnsi="仿宋" w:eastAsia="仿宋" w:cs="仿宋"/>
          <w:color w:val="auto"/>
        </w:rPr>
      </w:pPr>
    </w:p>
    <w:p w14:paraId="2447323A">
      <w:pPr>
        <w:spacing w:line="360" w:lineRule="auto"/>
        <w:ind w:firstLine="442" w:firstLineChars="200"/>
        <w:jc w:val="left"/>
        <w:rPr>
          <w:rFonts w:hint="eastAsia" w:ascii="仿宋" w:hAnsi="仿宋" w:eastAsia="仿宋" w:cs="仿宋"/>
          <w:b/>
          <w:bCs/>
          <w:kern w:val="2"/>
          <w:sz w:val="32"/>
          <w:szCs w:val="32"/>
          <w:lang w:eastAsia="zh-CN"/>
        </w:rPr>
        <w:sectPr>
          <w:pgSz w:w="11906" w:h="16838"/>
          <w:pgMar w:top="1440" w:right="1080" w:bottom="1440" w:left="1080" w:header="850" w:footer="850" w:gutter="0"/>
          <w:pgBorders>
            <w:top w:val="none" w:sz="0" w:space="0"/>
            <w:left w:val="none" w:sz="0" w:space="0"/>
            <w:bottom w:val="none" w:sz="0" w:space="0"/>
            <w:right w:val="none" w:sz="0" w:space="0"/>
          </w:pgBorders>
          <w:pgNumType w:fmt="decimal"/>
          <w:cols w:space="0" w:num="1"/>
          <w:docGrid w:type="lines" w:linePitch="312" w:charSpace="0"/>
        </w:sectPr>
      </w:pPr>
      <w:r>
        <w:rPr>
          <w:rFonts w:hint="eastAsia" w:ascii="仿宋" w:hAnsi="仿宋" w:eastAsia="仿宋" w:cs="仿宋"/>
          <w:b/>
          <w:sz w:val="22"/>
          <w:szCs w:val="22"/>
        </w:rPr>
        <w:t>注：符合条件的残疾人福利性单位在参加政府采购活动时，应当按《三部门联合发布关于促进残疾人就业政府采购政策的通知》（财库〔2017〕141号）提供规定的《残疾人福利性单位声明函》，并对声明的真实性负责</w:t>
      </w:r>
      <w:r>
        <w:rPr>
          <w:rFonts w:hint="eastAsia" w:ascii="仿宋" w:hAnsi="仿宋" w:eastAsia="仿宋" w:cs="仿宋"/>
          <w:b/>
          <w:sz w:val="22"/>
          <w:szCs w:val="22"/>
          <w:lang w:eastAsia="zh-CN"/>
        </w:rPr>
        <w:t>。</w:t>
      </w:r>
    </w:p>
    <w:p w14:paraId="7F51B1B2">
      <w:pPr>
        <w:rPr>
          <w:rFonts w:hint="eastAsia" w:ascii="宋体" w:hAnsi="宋体" w:eastAsia="宋体" w:cs="宋体"/>
          <w:color w:val="auto"/>
          <w:sz w:val="24"/>
          <w:highlight w:val="none"/>
        </w:rPr>
      </w:pPr>
    </w:p>
    <w:p w14:paraId="1E3BA06A">
      <w:pPr>
        <w:spacing w:line="720" w:lineRule="auto"/>
        <w:jc w:val="center"/>
        <w:rPr>
          <w:rFonts w:hint="eastAsia" w:ascii="宋体" w:hAnsi="宋体" w:eastAsia="宋体" w:cs="宋体"/>
          <w:caps w:val="0"/>
          <w:smallCaps w:val="0"/>
          <w:color w:val="auto"/>
          <w:spacing w:val="0"/>
          <w:sz w:val="40"/>
          <w:szCs w:val="40"/>
          <w:lang w:eastAsia="zh-CN"/>
        </w:rPr>
      </w:pPr>
      <w:r>
        <w:rPr>
          <w:rFonts w:hint="eastAsia" w:ascii="宋体" w:hAnsi="宋体" w:cs="宋体"/>
          <w:b/>
          <w:bCs/>
          <w:caps w:val="0"/>
          <w:smallCaps w:val="0"/>
          <w:color w:val="auto"/>
          <w:spacing w:val="0"/>
          <w:sz w:val="56"/>
          <w:szCs w:val="56"/>
          <w:lang w:eastAsia="zh-CN"/>
        </w:rPr>
        <w:t>超高效液相色谱三重四级杆质谱联用仪</w:t>
      </w:r>
    </w:p>
    <w:p w14:paraId="4938F944">
      <w:pPr>
        <w:spacing w:line="360" w:lineRule="auto"/>
        <w:jc w:val="center"/>
        <w:rPr>
          <w:rFonts w:hint="eastAsia" w:ascii="宋体" w:hAnsi="宋体" w:eastAsia="宋体" w:cs="宋体"/>
          <w:caps w:val="0"/>
          <w:smallCaps w:val="0"/>
          <w:color w:val="auto"/>
          <w:spacing w:val="0"/>
          <w:sz w:val="24"/>
        </w:rPr>
      </w:pPr>
    </w:p>
    <w:p w14:paraId="220A716B">
      <w:pPr>
        <w:spacing w:line="360" w:lineRule="auto"/>
        <w:jc w:val="center"/>
        <w:rPr>
          <w:rFonts w:hint="eastAsia" w:ascii="宋体" w:hAnsi="宋体" w:eastAsia="宋体" w:cs="宋体"/>
          <w:caps w:val="0"/>
          <w:smallCaps w:val="0"/>
          <w:color w:val="auto"/>
          <w:spacing w:val="0"/>
          <w:sz w:val="24"/>
        </w:rPr>
      </w:pPr>
    </w:p>
    <w:p w14:paraId="664B39BC">
      <w:pPr>
        <w:rPr>
          <w:rFonts w:hint="eastAsia" w:ascii="宋体" w:hAnsi="宋体" w:eastAsia="宋体" w:cs="宋体"/>
          <w:caps w:val="0"/>
          <w:smallCaps w:val="0"/>
          <w:color w:val="auto"/>
          <w:spacing w:val="0"/>
        </w:rPr>
      </w:pPr>
    </w:p>
    <w:p w14:paraId="11A45767">
      <w:pPr>
        <w:pStyle w:val="14"/>
        <w:spacing w:line="360" w:lineRule="auto"/>
        <w:jc w:val="center"/>
        <w:rPr>
          <w:rFonts w:hint="eastAsia" w:ascii="宋体" w:hAnsi="宋体" w:eastAsia="宋体" w:cs="宋体"/>
          <w:b/>
          <w:caps w:val="0"/>
          <w:smallCaps w:val="0"/>
          <w:color w:val="auto"/>
          <w:spacing w:val="0"/>
          <w:sz w:val="96"/>
          <w:szCs w:val="96"/>
        </w:rPr>
      </w:pPr>
    </w:p>
    <w:p w14:paraId="78464E40">
      <w:pPr>
        <w:pStyle w:val="14"/>
        <w:spacing w:line="360" w:lineRule="auto"/>
        <w:jc w:val="center"/>
        <w:rPr>
          <w:rFonts w:hint="eastAsia" w:ascii="宋体" w:hAnsi="宋体" w:eastAsia="宋体" w:cs="宋体"/>
          <w:b/>
          <w:caps w:val="0"/>
          <w:smallCaps w:val="0"/>
          <w:color w:val="auto"/>
          <w:spacing w:val="0"/>
          <w:sz w:val="96"/>
          <w:szCs w:val="96"/>
        </w:rPr>
      </w:pPr>
    </w:p>
    <w:p w14:paraId="44A96E1C">
      <w:pPr>
        <w:pStyle w:val="14"/>
        <w:spacing w:line="360" w:lineRule="auto"/>
        <w:jc w:val="center"/>
        <w:rPr>
          <w:rFonts w:hint="eastAsia" w:ascii="宋体" w:hAnsi="宋体" w:eastAsia="宋体" w:cs="宋体"/>
          <w:b/>
          <w:caps w:val="0"/>
          <w:smallCaps w:val="0"/>
          <w:color w:val="auto"/>
          <w:spacing w:val="0"/>
          <w:sz w:val="96"/>
          <w:szCs w:val="96"/>
        </w:rPr>
      </w:pPr>
      <w:r>
        <w:rPr>
          <w:rFonts w:hint="eastAsia" w:ascii="宋体" w:hAnsi="宋体" w:eastAsia="宋体" w:cs="宋体"/>
          <w:b/>
          <w:caps w:val="0"/>
          <w:smallCaps w:val="0"/>
          <w:color w:val="auto"/>
          <w:spacing w:val="0"/>
          <w:sz w:val="96"/>
          <w:szCs w:val="96"/>
        </w:rPr>
        <w:t>投标文件</w:t>
      </w:r>
    </w:p>
    <w:p w14:paraId="49D38B7E">
      <w:pPr>
        <w:pStyle w:val="14"/>
        <w:spacing w:line="360" w:lineRule="auto"/>
        <w:jc w:val="center"/>
        <w:outlineLvl w:val="1"/>
        <w:rPr>
          <w:rFonts w:hint="eastAsia" w:ascii="宋体" w:hAnsi="宋体" w:eastAsia="宋体" w:cs="宋体"/>
          <w:b/>
          <w:caps w:val="0"/>
          <w:smallCaps w:val="0"/>
          <w:color w:val="auto"/>
          <w:spacing w:val="0"/>
          <w:sz w:val="96"/>
          <w:szCs w:val="96"/>
          <w:lang w:eastAsia="zh-CN"/>
        </w:rPr>
      </w:pPr>
      <w:bookmarkStart w:id="548" w:name="_Toc13756"/>
      <w:r>
        <w:rPr>
          <w:rFonts w:hint="eastAsia" w:ascii="宋体" w:hAnsi="宋体" w:eastAsia="宋体" w:cs="宋体"/>
          <w:b/>
          <w:caps w:val="0"/>
          <w:smallCaps w:val="0"/>
          <w:color w:val="auto"/>
          <w:spacing w:val="0"/>
          <w:sz w:val="44"/>
          <w:szCs w:val="44"/>
          <w:lang w:eastAsia="zh-CN"/>
        </w:rPr>
        <w:t>（</w:t>
      </w:r>
      <w:r>
        <w:rPr>
          <w:rFonts w:hint="eastAsia" w:ascii="宋体" w:hAnsi="宋体" w:eastAsia="宋体" w:cs="宋体"/>
          <w:b/>
          <w:caps w:val="0"/>
          <w:smallCaps w:val="0"/>
          <w:color w:val="auto"/>
          <w:spacing w:val="0"/>
          <w:sz w:val="44"/>
          <w:szCs w:val="44"/>
          <w:lang w:val="en-US" w:eastAsia="zh-CN"/>
        </w:rPr>
        <w:t>商务技术部分</w:t>
      </w:r>
      <w:r>
        <w:rPr>
          <w:rFonts w:hint="eastAsia" w:ascii="宋体" w:hAnsi="宋体" w:eastAsia="宋体" w:cs="宋体"/>
          <w:b/>
          <w:caps w:val="0"/>
          <w:smallCaps w:val="0"/>
          <w:color w:val="auto"/>
          <w:spacing w:val="0"/>
          <w:sz w:val="44"/>
          <w:szCs w:val="44"/>
          <w:lang w:eastAsia="zh-CN"/>
        </w:rPr>
        <w:t>）</w:t>
      </w:r>
      <w:bookmarkEnd w:id="548"/>
    </w:p>
    <w:p w14:paraId="3D9D7B6A">
      <w:pPr>
        <w:pStyle w:val="14"/>
        <w:spacing w:line="360" w:lineRule="auto"/>
        <w:jc w:val="center"/>
        <w:rPr>
          <w:rFonts w:hint="eastAsia" w:ascii="宋体" w:hAnsi="宋体" w:eastAsia="宋体" w:cs="宋体"/>
          <w:b/>
          <w:caps w:val="0"/>
          <w:smallCaps w:val="0"/>
          <w:color w:val="auto"/>
          <w:spacing w:val="0"/>
          <w:sz w:val="36"/>
          <w:szCs w:val="36"/>
          <w:lang w:val="en-US" w:eastAsia="zh-CN"/>
        </w:rPr>
      </w:pPr>
      <w:r>
        <w:rPr>
          <w:rFonts w:hint="eastAsia" w:ascii="宋体" w:hAnsi="宋体" w:eastAsia="宋体" w:cs="宋体"/>
          <w:b/>
          <w:caps w:val="0"/>
          <w:smallCaps w:val="0"/>
          <w:color w:val="auto"/>
          <w:spacing w:val="0"/>
          <w:sz w:val="36"/>
          <w:szCs w:val="36"/>
        </w:rPr>
        <w:t>项目编号：</w:t>
      </w:r>
      <w:r>
        <w:rPr>
          <w:rFonts w:hint="eastAsia" w:hAnsi="宋体" w:cs="宋体"/>
          <w:b/>
          <w:caps w:val="0"/>
          <w:smallCaps w:val="0"/>
          <w:color w:val="auto"/>
          <w:spacing w:val="0"/>
          <w:sz w:val="36"/>
          <w:szCs w:val="36"/>
          <w:lang w:eastAsia="zh-CN"/>
        </w:rPr>
        <w:t>YNZC2025-G1-03229-YNGH-0168</w:t>
      </w:r>
    </w:p>
    <w:p w14:paraId="65AC7ADA">
      <w:pPr>
        <w:spacing w:line="360" w:lineRule="auto"/>
        <w:jc w:val="center"/>
        <w:rPr>
          <w:rFonts w:hint="eastAsia" w:ascii="宋体" w:hAnsi="宋体" w:eastAsia="宋体" w:cs="宋体"/>
          <w:caps w:val="0"/>
          <w:smallCaps w:val="0"/>
          <w:color w:val="auto"/>
          <w:spacing w:val="0"/>
          <w:sz w:val="24"/>
        </w:rPr>
      </w:pPr>
    </w:p>
    <w:p w14:paraId="165BAB45">
      <w:pPr>
        <w:spacing w:line="360" w:lineRule="auto"/>
        <w:jc w:val="center"/>
        <w:rPr>
          <w:rFonts w:hint="eastAsia" w:ascii="宋体" w:hAnsi="宋体" w:eastAsia="宋体" w:cs="宋体"/>
          <w:caps w:val="0"/>
          <w:smallCaps w:val="0"/>
          <w:color w:val="auto"/>
          <w:spacing w:val="0"/>
          <w:sz w:val="24"/>
        </w:rPr>
      </w:pPr>
    </w:p>
    <w:p w14:paraId="491C259D">
      <w:pPr>
        <w:pStyle w:val="10"/>
        <w:rPr>
          <w:rFonts w:hint="eastAsia" w:ascii="宋体" w:hAnsi="宋体" w:eastAsia="宋体" w:cs="宋体"/>
          <w:caps w:val="0"/>
          <w:smallCaps w:val="0"/>
          <w:color w:val="auto"/>
          <w:spacing w:val="0"/>
          <w:sz w:val="24"/>
        </w:rPr>
      </w:pPr>
    </w:p>
    <w:p w14:paraId="586EF87F">
      <w:pPr>
        <w:spacing w:line="360" w:lineRule="auto"/>
        <w:jc w:val="both"/>
        <w:rPr>
          <w:rFonts w:hint="eastAsia" w:ascii="宋体" w:hAnsi="宋体" w:eastAsia="宋体" w:cs="宋体"/>
          <w:caps w:val="0"/>
          <w:smallCaps w:val="0"/>
          <w:color w:val="auto"/>
          <w:spacing w:val="0"/>
          <w:sz w:val="24"/>
        </w:rPr>
      </w:pPr>
    </w:p>
    <w:p w14:paraId="1BE20BB0">
      <w:pPr>
        <w:rPr>
          <w:rFonts w:hint="eastAsia" w:ascii="宋体" w:hAnsi="宋体" w:eastAsia="宋体" w:cs="宋体"/>
          <w:caps w:val="0"/>
          <w:smallCaps w:val="0"/>
          <w:color w:val="auto"/>
          <w:spacing w:val="0"/>
        </w:rPr>
      </w:pPr>
    </w:p>
    <w:p w14:paraId="11EEC19D">
      <w:pPr>
        <w:spacing w:line="800" w:lineRule="exact"/>
        <w:rPr>
          <w:rFonts w:hint="eastAsia" w:ascii="宋体" w:hAnsi="宋体" w:eastAsia="宋体" w:cs="宋体"/>
          <w:caps w:val="0"/>
          <w:smallCaps w:val="0"/>
          <w:color w:val="auto"/>
          <w:spacing w:val="0"/>
          <w:sz w:val="24"/>
        </w:rPr>
      </w:pPr>
    </w:p>
    <w:p w14:paraId="77637BE0">
      <w:pPr>
        <w:keepNext w:val="0"/>
        <w:keepLines w:val="0"/>
        <w:pageBreakBefore w:val="0"/>
        <w:widowControl w:val="0"/>
        <w:kinsoku/>
        <w:wordWrap/>
        <w:overflowPunct/>
        <w:topLinePunct w:val="0"/>
        <w:autoSpaceDE/>
        <w:autoSpaceDN/>
        <w:bidi w:val="0"/>
        <w:adjustRightInd/>
        <w:snapToGrid/>
        <w:spacing w:line="720" w:lineRule="auto"/>
        <w:ind w:firstLine="1980" w:firstLineChars="825"/>
        <w:textAlignment w:val="auto"/>
        <w:rPr>
          <w:rFonts w:hint="eastAsia" w:ascii="宋体" w:hAnsi="宋体" w:eastAsia="宋体" w:cs="宋体"/>
          <w:caps w:val="0"/>
          <w:smallCaps w:val="0"/>
          <w:color w:val="auto"/>
          <w:spacing w:val="0"/>
          <w:sz w:val="24"/>
        </w:rPr>
      </w:pPr>
      <w:r>
        <w:rPr>
          <w:rFonts w:hint="eastAsia" w:ascii="宋体" w:hAnsi="宋体" w:eastAsia="宋体" w:cs="宋体"/>
          <w:caps w:val="0"/>
          <w:smallCaps w:val="0"/>
          <w:color w:val="auto"/>
          <w:spacing w:val="0"/>
          <w:sz w:val="24"/>
          <w:lang w:eastAsia="zh-CN"/>
        </w:rPr>
        <w:t>投标人</w:t>
      </w:r>
      <w:r>
        <w:rPr>
          <w:rFonts w:hint="eastAsia" w:ascii="宋体" w:hAnsi="宋体" w:eastAsia="宋体" w:cs="宋体"/>
          <w:caps w:val="0"/>
          <w:smallCaps w:val="0"/>
          <w:color w:val="auto"/>
          <w:spacing w:val="0"/>
          <w:sz w:val="24"/>
        </w:rPr>
        <w:t>：</w:t>
      </w:r>
      <w:r>
        <w:rPr>
          <w:rFonts w:hint="eastAsia" w:ascii="宋体" w:hAnsi="宋体" w:eastAsia="宋体" w:cs="宋体"/>
          <w:caps w:val="0"/>
          <w:smallCaps w:val="0"/>
          <w:color w:val="auto"/>
          <w:spacing w:val="0"/>
          <w:sz w:val="24"/>
          <w:u w:val="single"/>
        </w:rPr>
        <w:t xml:space="preserve">                                   </w:t>
      </w:r>
      <w:r>
        <w:rPr>
          <w:rFonts w:hint="eastAsia" w:ascii="宋体" w:hAnsi="宋体" w:eastAsia="宋体" w:cs="宋体"/>
          <w:caps w:val="0"/>
          <w:smallCaps w:val="0"/>
          <w:color w:val="auto"/>
          <w:spacing w:val="0"/>
          <w:sz w:val="24"/>
        </w:rPr>
        <w:t>（</w:t>
      </w:r>
      <w:r>
        <w:rPr>
          <w:rFonts w:hint="eastAsia" w:ascii="宋体" w:hAnsi="宋体" w:eastAsia="宋体" w:cs="宋体"/>
          <w:caps w:val="0"/>
          <w:smallCaps w:val="0"/>
          <w:color w:val="auto"/>
          <w:spacing w:val="0"/>
          <w:sz w:val="24"/>
          <w:lang w:val="en-US" w:eastAsia="zh-CN"/>
        </w:rPr>
        <w:t>电子签章</w:t>
      </w:r>
      <w:r>
        <w:rPr>
          <w:rFonts w:hint="eastAsia" w:ascii="宋体" w:hAnsi="宋体" w:eastAsia="宋体" w:cs="宋体"/>
          <w:caps w:val="0"/>
          <w:smallCaps w:val="0"/>
          <w:color w:val="auto"/>
          <w:spacing w:val="0"/>
          <w:sz w:val="24"/>
        </w:rPr>
        <w:t>）</w:t>
      </w:r>
    </w:p>
    <w:p w14:paraId="3D120D5C">
      <w:pPr>
        <w:keepNext w:val="0"/>
        <w:keepLines w:val="0"/>
        <w:pageBreakBefore w:val="0"/>
        <w:widowControl w:val="0"/>
        <w:kinsoku/>
        <w:wordWrap/>
        <w:overflowPunct/>
        <w:topLinePunct w:val="0"/>
        <w:autoSpaceDE/>
        <w:autoSpaceDN/>
        <w:bidi w:val="0"/>
        <w:adjustRightInd/>
        <w:snapToGrid/>
        <w:spacing w:line="720" w:lineRule="auto"/>
        <w:ind w:firstLine="1980" w:firstLineChars="825"/>
        <w:textAlignment w:val="auto"/>
        <w:rPr>
          <w:rFonts w:hint="eastAsia" w:ascii="宋体" w:hAnsi="宋体" w:eastAsia="宋体" w:cs="宋体"/>
          <w:caps w:val="0"/>
          <w:smallCaps w:val="0"/>
          <w:color w:val="auto"/>
          <w:spacing w:val="0"/>
          <w:sz w:val="24"/>
        </w:rPr>
      </w:pPr>
      <w:r>
        <w:rPr>
          <w:rFonts w:hint="eastAsia" w:ascii="宋体" w:hAnsi="宋体" w:eastAsia="宋体" w:cs="宋体"/>
          <w:caps w:val="0"/>
          <w:smallCaps w:val="0"/>
          <w:color w:val="auto"/>
          <w:spacing w:val="0"/>
          <w:sz w:val="24"/>
        </w:rPr>
        <w:t>法定代表人或其委托代理人：</w:t>
      </w:r>
      <w:r>
        <w:rPr>
          <w:rFonts w:hint="eastAsia" w:ascii="宋体" w:hAnsi="宋体" w:eastAsia="宋体" w:cs="宋体"/>
          <w:caps w:val="0"/>
          <w:smallCaps w:val="0"/>
          <w:color w:val="auto"/>
          <w:spacing w:val="0"/>
          <w:sz w:val="24"/>
          <w:u w:val="single"/>
        </w:rPr>
        <w:t xml:space="preserve">                  </w:t>
      </w:r>
      <w:r>
        <w:rPr>
          <w:rFonts w:hint="eastAsia" w:ascii="宋体" w:hAnsi="宋体" w:eastAsia="宋体" w:cs="宋体"/>
          <w:caps w:val="0"/>
          <w:smallCaps w:val="0"/>
          <w:color w:val="auto"/>
          <w:spacing w:val="0"/>
          <w:sz w:val="24"/>
        </w:rPr>
        <w:t>（</w:t>
      </w:r>
      <w:r>
        <w:rPr>
          <w:rFonts w:hint="eastAsia" w:ascii="宋体" w:hAnsi="宋体" w:eastAsia="宋体" w:cs="宋体"/>
          <w:caps w:val="0"/>
          <w:smallCaps w:val="0"/>
          <w:color w:val="auto"/>
          <w:spacing w:val="0"/>
          <w:sz w:val="24"/>
          <w:lang w:val="en-US" w:eastAsia="zh-CN"/>
        </w:rPr>
        <w:t>电子签章</w:t>
      </w:r>
      <w:r>
        <w:rPr>
          <w:rFonts w:hint="eastAsia" w:ascii="宋体" w:hAnsi="宋体" w:eastAsia="宋体" w:cs="宋体"/>
          <w:caps w:val="0"/>
          <w:smallCaps w:val="0"/>
          <w:color w:val="auto"/>
          <w:spacing w:val="0"/>
          <w:sz w:val="24"/>
        </w:rPr>
        <w:t>）</w:t>
      </w:r>
    </w:p>
    <w:p w14:paraId="35BF9C1D">
      <w:pPr>
        <w:keepNext w:val="0"/>
        <w:keepLines w:val="0"/>
        <w:pageBreakBefore w:val="0"/>
        <w:widowControl w:val="0"/>
        <w:kinsoku/>
        <w:wordWrap/>
        <w:overflowPunct/>
        <w:topLinePunct w:val="0"/>
        <w:autoSpaceDE/>
        <w:autoSpaceDN/>
        <w:bidi w:val="0"/>
        <w:adjustRightInd/>
        <w:snapToGrid/>
        <w:spacing w:line="720" w:lineRule="auto"/>
        <w:ind w:firstLine="120" w:firstLineChars="50"/>
        <w:jc w:val="center"/>
        <w:textAlignment w:val="auto"/>
        <w:rPr>
          <w:rFonts w:hint="eastAsia" w:ascii="宋体" w:hAnsi="宋体" w:eastAsia="宋体" w:cs="宋体"/>
          <w:caps w:val="0"/>
          <w:smallCaps w:val="0"/>
          <w:color w:val="auto"/>
          <w:spacing w:val="0"/>
          <w:sz w:val="24"/>
          <w:u w:val="none"/>
        </w:rPr>
      </w:pPr>
      <w:r>
        <w:rPr>
          <w:rFonts w:hint="eastAsia" w:ascii="宋体" w:hAnsi="宋体" w:cs="宋体"/>
          <w:caps w:val="0"/>
          <w:smallCaps w:val="0"/>
          <w:color w:val="auto"/>
          <w:spacing w:val="0"/>
          <w:sz w:val="24"/>
          <w:u w:val="none"/>
          <w:lang w:val="en-US" w:eastAsia="zh-CN"/>
        </w:rPr>
        <w:t>2025年</w:t>
      </w:r>
      <w:r>
        <w:rPr>
          <w:rFonts w:hint="eastAsia" w:ascii="宋体" w:hAnsi="宋体" w:eastAsia="宋体" w:cs="宋体"/>
          <w:caps w:val="0"/>
          <w:smallCaps w:val="0"/>
          <w:color w:val="auto"/>
          <w:spacing w:val="0"/>
          <w:sz w:val="24"/>
          <w:u w:val="none"/>
        </w:rPr>
        <w:t xml:space="preserve">    月    日</w:t>
      </w:r>
    </w:p>
    <w:p w14:paraId="45AFC7B6">
      <w:pPr>
        <w:tabs>
          <w:tab w:val="left" w:pos="1021"/>
        </w:tabs>
        <w:spacing w:before="0"/>
        <w:ind w:left="0" w:firstLine="0"/>
        <w:jc w:val="center"/>
        <w:outlineLvl w:val="9"/>
        <w:rPr>
          <w:rFonts w:hint="eastAsia" w:ascii="宋体" w:hAnsi="宋体" w:eastAsia="宋体" w:cs="宋体"/>
          <w:caps w:val="0"/>
          <w:smallCaps w:val="0"/>
          <w:color w:val="auto"/>
          <w:spacing w:val="0"/>
          <w:sz w:val="32"/>
          <w:szCs w:val="32"/>
        </w:rPr>
      </w:pPr>
      <w:r>
        <w:rPr>
          <w:rFonts w:hint="eastAsia" w:ascii="宋体" w:hAnsi="宋体" w:eastAsia="宋体" w:cs="宋体"/>
          <w:caps w:val="0"/>
          <w:smallCaps w:val="0"/>
          <w:color w:val="auto"/>
          <w:spacing w:val="0"/>
          <w:sz w:val="21"/>
          <w:szCs w:val="21"/>
        </w:rPr>
        <w:br w:type="page"/>
      </w:r>
      <w:r>
        <w:rPr>
          <w:rFonts w:hint="eastAsia" w:ascii="宋体" w:hAnsi="宋体" w:eastAsia="宋体" w:cs="宋体"/>
          <w:caps w:val="0"/>
          <w:smallCaps w:val="0"/>
          <w:color w:val="auto"/>
          <w:spacing w:val="0"/>
          <w:sz w:val="32"/>
          <w:szCs w:val="32"/>
        </w:rPr>
        <w:t>目录</w:t>
      </w:r>
    </w:p>
    <w:p w14:paraId="22FE8794">
      <w:pPr>
        <w:jc w:val="center"/>
        <w:rPr>
          <w:rFonts w:hint="eastAsia" w:ascii="宋体" w:hAnsi="宋体" w:eastAsia="宋体" w:cs="宋体"/>
          <w:caps w:val="0"/>
          <w:smallCaps w:val="0"/>
          <w:color w:val="auto"/>
          <w:spacing w:val="0"/>
          <w:szCs w:val="20"/>
        </w:rPr>
      </w:pPr>
      <w:r>
        <w:rPr>
          <w:rFonts w:hint="eastAsia" w:ascii="宋体" w:hAnsi="宋体" w:eastAsia="宋体" w:cs="宋体"/>
          <w:b/>
          <w:caps w:val="0"/>
          <w:smallCaps w:val="0"/>
          <w:color w:val="auto"/>
          <w:spacing w:val="0"/>
          <w:szCs w:val="21"/>
        </w:rPr>
        <w:t>（格式自拟）</w:t>
      </w:r>
    </w:p>
    <w:p w14:paraId="2EE78401">
      <w:pPr>
        <w:pageBreakBefore w:val="0"/>
        <w:shd w:val="clear"/>
        <w:kinsoku/>
        <w:overflowPunct/>
        <w:topLinePunct w:val="0"/>
        <w:bidi w:val="0"/>
        <w:spacing w:beforeAutospacing="0" w:afterAutospacing="0" w:line="360" w:lineRule="auto"/>
        <w:ind w:firstLine="2" w:firstLineChars="1"/>
        <w:rPr>
          <w:rFonts w:hint="eastAsia" w:ascii="宋体" w:hAnsi="宋体" w:eastAsia="宋体" w:cs="宋体"/>
          <w:color w:val="auto"/>
          <w:highlight w:val="none"/>
        </w:rPr>
      </w:pPr>
      <w:r>
        <w:rPr>
          <w:rFonts w:hint="eastAsia" w:ascii="宋体" w:hAnsi="宋体" w:eastAsia="宋体" w:cs="宋体"/>
          <w:caps w:val="0"/>
          <w:smallCaps w:val="0"/>
          <w:color w:val="auto"/>
          <w:spacing w:val="0"/>
          <w:sz w:val="21"/>
          <w:szCs w:val="21"/>
        </w:rPr>
        <w:br w:type="page"/>
      </w:r>
    </w:p>
    <w:bookmarkEnd w:id="535"/>
    <w:bookmarkEnd w:id="538"/>
    <w:bookmarkEnd w:id="539"/>
    <w:bookmarkEnd w:id="540"/>
    <w:bookmarkEnd w:id="541"/>
    <w:bookmarkEnd w:id="542"/>
    <w:bookmarkEnd w:id="543"/>
    <w:bookmarkEnd w:id="544"/>
    <w:p w14:paraId="2D1FFB36">
      <w:pPr>
        <w:pStyle w:val="4"/>
        <w:pageBreakBefore w:val="0"/>
        <w:numPr>
          <w:ilvl w:val="1"/>
          <w:numId w:val="0"/>
        </w:numPr>
        <w:tabs>
          <w:tab w:val="left" w:pos="3690"/>
          <w:tab w:val="clear" w:pos="1200"/>
        </w:tabs>
        <w:kinsoku/>
        <w:overflowPunct/>
        <w:topLinePunct w:val="0"/>
        <w:bidi w:val="0"/>
        <w:snapToGrid w:val="0"/>
        <w:spacing w:before="0" w:beforeAutospacing="0" w:after="0" w:afterAutospacing="0" w:line="360" w:lineRule="auto"/>
        <w:jc w:val="center"/>
        <w:rPr>
          <w:rFonts w:hint="eastAsia" w:ascii="宋体" w:hAnsi="宋体" w:eastAsia="宋体" w:cs="宋体"/>
          <w:color w:val="auto"/>
          <w:szCs w:val="32"/>
          <w:highlight w:val="none"/>
        </w:rPr>
      </w:pPr>
      <w:bookmarkStart w:id="549" w:name="_Toc16697"/>
      <w:bookmarkStart w:id="550" w:name="_Toc28742"/>
      <w:bookmarkStart w:id="551" w:name="_Toc62031171"/>
      <w:bookmarkStart w:id="552" w:name="_Toc11773"/>
      <w:bookmarkStart w:id="553" w:name="_Toc32646"/>
      <w:r>
        <w:rPr>
          <w:rFonts w:hint="eastAsia" w:ascii="宋体" w:hAnsi="宋体" w:eastAsia="宋体" w:cs="宋体"/>
          <w:color w:val="auto"/>
          <w:szCs w:val="32"/>
          <w:highlight w:val="none"/>
          <w:lang w:val="en-US" w:eastAsia="zh-CN"/>
        </w:rPr>
        <w:t>一</w:t>
      </w:r>
      <w:r>
        <w:rPr>
          <w:rFonts w:hint="eastAsia" w:ascii="宋体" w:hAnsi="宋体" w:eastAsia="宋体" w:cs="宋体"/>
          <w:color w:val="auto"/>
          <w:szCs w:val="32"/>
          <w:highlight w:val="none"/>
        </w:rPr>
        <w:t>、投标函</w:t>
      </w:r>
      <w:bookmarkEnd w:id="549"/>
      <w:bookmarkEnd w:id="550"/>
      <w:bookmarkEnd w:id="551"/>
      <w:bookmarkEnd w:id="552"/>
      <w:bookmarkEnd w:id="553"/>
    </w:p>
    <w:p w14:paraId="547ACE81">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致：</w:t>
      </w:r>
      <w:r>
        <w:rPr>
          <w:rFonts w:hint="eastAsia" w:ascii="宋体" w:hAnsi="宋体" w:eastAsia="宋体" w:cs="宋体"/>
          <w:color w:val="auto"/>
          <w:sz w:val="22"/>
          <w:highlight w:val="none"/>
          <w:u w:val="single"/>
        </w:rPr>
        <w:t xml:space="preserve">               (采购人)    </w:t>
      </w:r>
    </w:p>
    <w:p w14:paraId="0BFB347A">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根据贵方为</w:t>
      </w:r>
      <w:r>
        <w:rPr>
          <w:rFonts w:hint="eastAsia" w:ascii="宋体" w:hAnsi="宋体" w:eastAsia="宋体" w:cs="宋体"/>
          <w:color w:val="auto"/>
          <w:sz w:val="22"/>
          <w:highlight w:val="none"/>
          <w:u w:val="single"/>
        </w:rPr>
        <w:t xml:space="preserve">      （项目名称）        </w:t>
      </w:r>
      <w:r>
        <w:rPr>
          <w:rFonts w:hint="eastAsia" w:ascii="宋体" w:hAnsi="宋体" w:eastAsia="宋体" w:cs="宋体"/>
          <w:color w:val="auto"/>
          <w:sz w:val="22"/>
          <w:highlight w:val="none"/>
        </w:rPr>
        <w:t>（项目编号：</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）项目的投标邀请，正式授权</w:t>
      </w:r>
      <w:r>
        <w:rPr>
          <w:rFonts w:hint="eastAsia" w:ascii="宋体" w:hAnsi="宋体" w:eastAsia="宋体" w:cs="宋体"/>
          <w:color w:val="auto"/>
          <w:sz w:val="22"/>
          <w:highlight w:val="none"/>
          <w:u w:val="single"/>
        </w:rPr>
        <w:t xml:space="preserve">   （姓名和职务）     </w:t>
      </w:r>
      <w:r>
        <w:rPr>
          <w:rFonts w:hint="eastAsia" w:ascii="宋体" w:hAnsi="宋体" w:eastAsia="宋体" w:cs="宋体"/>
          <w:color w:val="auto"/>
          <w:sz w:val="22"/>
          <w:highlight w:val="none"/>
        </w:rPr>
        <w:t>全权代表</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eastAsia="zh-CN"/>
        </w:rPr>
        <w:t>投标人</w:t>
      </w:r>
      <w:r>
        <w:rPr>
          <w:rFonts w:hint="eastAsia" w:ascii="宋体" w:hAnsi="宋体" w:eastAsia="宋体" w:cs="宋体"/>
          <w:color w:val="auto"/>
          <w:sz w:val="22"/>
          <w:highlight w:val="none"/>
          <w:u w:val="single"/>
        </w:rPr>
        <w:t xml:space="preserve">全称）   </w:t>
      </w:r>
      <w:r>
        <w:rPr>
          <w:rFonts w:hint="eastAsia" w:ascii="宋体" w:hAnsi="宋体" w:eastAsia="宋体" w:cs="宋体"/>
          <w:color w:val="auto"/>
          <w:sz w:val="22"/>
          <w:highlight w:val="none"/>
        </w:rPr>
        <w:t>参加投标。</w:t>
      </w:r>
    </w:p>
    <w:p w14:paraId="04610D9C">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据此函，</w:t>
      </w:r>
      <w:r>
        <w:rPr>
          <w:rFonts w:hint="eastAsia" w:ascii="宋体" w:hAnsi="宋体" w:eastAsia="宋体" w:cs="宋体"/>
          <w:color w:val="auto"/>
          <w:sz w:val="22"/>
          <w:highlight w:val="none"/>
          <w:lang w:val="en-US" w:eastAsia="zh-CN"/>
        </w:rPr>
        <w:t>我单位</w:t>
      </w:r>
      <w:r>
        <w:rPr>
          <w:rFonts w:hint="eastAsia" w:ascii="宋体" w:hAnsi="宋体" w:eastAsia="宋体" w:cs="宋体"/>
          <w:color w:val="auto"/>
          <w:sz w:val="22"/>
          <w:highlight w:val="none"/>
        </w:rPr>
        <w:t>宣布同意如下：</w:t>
      </w:r>
    </w:p>
    <w:p w14:paraId="53585E2F">
      <w:pPr>
        <w:pageBreakBefore w:val="0"/>
        <w:kinsoku/>
        <w:overflowPunct/>
        <w:topLinePunct w:val="0"/>
        <w:bidi w:val="0"/>
        <w:spacing w:beforeAutospacing="0" w:afterAutospacing="0" w:line="360" w:lineRule="auto"/>
        <w:ind w:left="42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1.按招标文件采购需求和投标报价表，投标报价为人民币（大写）</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元（¥</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 ）。</w:t>
      </w:r>
    </w:p>
    <w:p w14:paraId="2D12723E">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2.我方同意在</w:t>
      </w:r>
      <w:r>
        <w:rPr>
          <w:rFonts w:hint="eastAsia" w:ascii="宋体" w:hAnsi="宋体" w:eastAsia="宋体" w:cs="宋体"/>
          <w:color w:val="auto"/>
          <w:sz w:val="22"/>
          <w:highlight w:val="none"/>
          <w:lang w:eastAsia="zh-CN"/>
        </w:rPr>
        <w:t>投标人</w:t>
      </w:r>
      <w:r>
        <w:rPr>
          <w:rFonts w:hint="eastAsia" w:ascii="宋体" w:hAnsi="宋体" w:eastAsia="宋体" w:cs="宋体"/>
          <w:color w:val="auto"/>
          <w:sz w:val="22"/>
          <w:highlight w:val="none"/>
        </w:rPr>
        <w:t>须知规定的开标日期起遵循本投标文件，并在</w:t>
      </w:r>
      <w:r>
        <w:rPr>
          <w:rFonts w:hint="eastAsia" w:ascii="宋体" w:hAnsi="宋体" w:eastAsia="宋体" w:cs="宋体"/>
          <w:color w:val="auto"/>
          <w:sz w:val="22"/>
          <w:highlight w:val="none"/>
          <w:lang w:eastAsia="zh-CN"/>
        </w:rPr>
        <w:t>投标人</w:t>
      </w:r>
      <w:r>
        <w:rPr>
          <w:rFonts w:hint="eastAsia" w:ascii="宋体" w:hAnsi="宋体" w:eastAsia="宋体" w:cs="宋体"/>
          <w:color w:val="auto"/>
          <w:sz w:val="22"/>
          <w:highlight w:val="none"/>
        </w:rPr>
        <w:t>须知第</w:t>
      </w:r>
      <w:r>
        <w:rPr>
          <w:rFonts w:hint="eastAsia" w:ascii="宋体" w:hAnsi="宋体" w:cs="宋体"/>
          <w:color w:val="auto"/>
          <w:sz w:val="22"/>
          <w:highlight w:val="none"/>
          <w:lang w:val="en-US" w:eastAsia="zh-CN"/>
        </w:rPr>
        <w:t>16.1</w:t>
      </w:r>
      <w:r>
        <w:rPr>
          <w:rFonts w:hint="eastAsia" w:ascii="宋体" w:hAnsi="宋体" w:eastAsia="宋体" w:cs="宋体"/>
          <w:color w:val="auto"/>
          <w:sz w:val="22"/>
          <w:highlight w:val="none"/>
        </w:rPr>
        <w:t>条规定的投标有效期满之前均具有约束力。如果我方投标被接受，则至合同履行完毕、服务期满为止，本投标函保持有效。</w:t>
      </w:r>
    </w:p>
    <w:p w14:paraId="48FBD3CE">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3.我方承诺已经具备《中华人民共和国政府采购法》中规定的参加政府采购活动的</w:t>
      </w:r>
      <w:r>
        <w:rPr>
          <w:rFonts w:hint="eastAsia" w:ascii="宋体" w:hAnsi="宋体" w:eastAsia="宋体" w:cs="宋体"/>
          <w:color w:val="auto"/>
          <w:sz w:val="22"/>
          <w:highlight w:val="none"/>
          <w:lang w:eastAsia="zh-CN"/>
        </w:rPr>
        <w:t>投标人</w:t>
      </w:r>
      <w:r>
        <w:rPr>
          <w:rFonts w:hint="eastAsia" w:ascii="宋体" w:hAnsi="宋体" w:eastAsia="宋体" w:cs="宋体"/>
          <w:color w:val="auto"/>
          <w:sz w:val="22"/>
          <w:highlight w:val="none"/>
        </w:rPr>
        <w:t>应当具备的条件。</w:t>
      </w:r>
    </w:p>
    <w:p w14:paraId="565C01B6">
      <w:pPr>
        <w:pageBreakBefore w:val="0"/>
        <w:kinsoku/>
        <w:overflowPunct/>
        <w:topLinePunct w:val="0"/>
        <w:bidi w:val="0"/>
        <w:spacing w:beforeAutospacing="0" w:afterAutospacing="0" w:line="360" w:lineRule="auto"/>
        <w:ind w:firstLine="416" w:firstLineChars="200"/>
        <w:jc w:val="left"/>
        <w:rPr>
          <w:rFonts w:hint="eastAsia" w:ascii="宋体" w:hAnsi="宋体" w:eastAsia="宋体" w:cs="宋体"/>
          <w:color w:val="auto"/>
          <w:spacing w:val="-6"/>
          <w:sz w:val="22"/>
          <w:highlight w:val="none"/>
        </w:rPr>
      </w:pPr>
      <w:r>
        <w:rPr>
          <w:rFonts w:hint="eastAsia" w:ascii="宋体" w:hAnsi="宋体" w:eastAsia="宋体" w:cs="宋体"/>
          <w:color w:val="auto"/>
          <w:spacing w:val="-6"/>
          <w:sz w:val="22"/>
          <w:highlight w:val="none"/>
        </w:rPr>
        <w:t>4.我方承诺严格遵守招标文件中的各项要求及合同条款，并在服务期限内承担合同规定的责任义务。</w:t>
      </w:r>
    </w:p>
    <w:p w14:paraId="05E17BD0">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5.我方已详细审核招标文件，我方对招标文件各项条款和评标办法无异议，知道必须放弃提出含糊不清或误解问题的权利。</w:t>
      </w:r>
    </w:p>
    <w:p w14:paraId="5702005A">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6</w:t>
      </w:r>
      <w:r>
        <w:rPr>
          <w:rFonts w:hint="eastAsia" w:ascii="宋体" w:hAnsi="宋体" w:eastAsia="宋体" w:cs="宋体"/>
          <w:color w:val="auto"/>
          <w:sz w:val="22"/>
          <w:highlight w:val="none"/>
        </w:rPr>
        <w:t>.同意应贵方要求提供与本投标有关的任何数据和资料，并保证数据和资料的完整性和真实性，若有违反，我方愿意承担一切后果。</w:t>
      </w:r>
    </w:p>
    <w:p w14:paraId="74DD2C33">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7</w:t>
      </w:r>
      <w:r>
        <w:rPr>
          <w:rFonts w:hint="eastAsia" w:ascii="宋体" w:hAnsi="宋体" w:eastAsia="宋体" w:cs="宋体"/>
          <w:color w:val="auto"/>
          <w:sz w:val="22"/>
          <w:highlight w:val="none"/>
        </w:rPr>
        <w:t>.我方完全理解贵方不一定要接受最低报价的</w:t>
      </w:r>
      <w:r>
        <w:rPr>
          <w:rFonts w:hint="eastAsia" w:ascii="宋体" w:hAnsi="宋体" w:eastAsia="宋体" w:cs="宋体"/>
          <w:color w:val="auto"/>
          <w:sz w:val="22"/>
          <w:highlight w:val="none"/>
          <w:lang w:eastAsia="zh-CN"/>
        </w:rPr>
        <w:t>投标人</w:t>
      </w:r>
      <w:r>
        <w:rPr>
          <w:rFonts w:hint="eastAsia" w:ascii="宋体" w:hAnsi="宋体" w:eastAsia="宋体" w:cs="宋体"/>
          <w:color w:val="auto"/>
          <w:sz w:val="22"/>
          <w:highlight w:val="none"/>
        </w:rPr>
        <w:t>为中标人的行为。</w:t>
      </w:r>
    </w:p>
    <w:p w14:paraId="78A8CA36">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8</w:t>
      </w:r>
      <w:r>
        <w:rPr>
          <w:rFonts w:hint="eastAsia" w:ascii="宋体" w:hAnsi="宋体" w:eastAsia="宋体" w:cs="宋体"/>
          <w:color w:val="auto"/>
          <w:sz w:val="22"/>
          <w:highlight w:val="none"/>
        </w:rPr>
        <w:t>.若贵方需要，我方愿意提供我方作出的一切承诺的证明材料。</w:t>
      </w:r>
    </w:p>
    <w:p w14:paraId="2F3FC46B">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与本投标有关的正式通讯地址为：</w:t>
      </w:r>
    </w:p>
    <w:p w14:paraId="7EE2E2A1">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地    址：</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           邮政编码：</w:t>
      </w:r>
      <w:r>
        <w:rPr>
          <w:rFonts w:hint="eastAsia" w:ascii="宋体" w:hAnsi="宋体" w:eastAsia="宋体" w:cs="宋体"/>
          <w:color w:val="auto"/>
          <w:sz w:val="22"/>
          <w:highlight w:val="none"/>
          <w:u w:val="single"/>
        </w:rPr>
        <w:t>　　　　　　　　</w:t>
      </w:r>
      <w:r>
        <w:rPr>
          <w:rFonts w:hint="eastAsia" w:ascii="宋体" w:hAnsi="宋体" w:eastAsia="宋体" w:cs="宋体"/>
          <w:color w:val="auto"/>
          <w:sz w:val="22"/>
          <w:highlight w:val="none"/>
          <w:u w:val="single"/>
        </w:rPr>
        <w:tab/>
      </w:r>
    </w:p>
    <w:p w14:paraId="7CAF8C37">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电    话：</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           传    真：</w:t>
      </w:r>
      <w:r>
        <w:rPr>
          <w:rFonts w:hint="eastAsia" w:ascii="宋体" w:hAnsi="宋体" w:eastAsia="宋体" w:cs="宋体"/>
          <w:color w:val="auto"/>
          <w:sz w:val="22"/>
          <w:highlight w:val="none"/>
          <w:u w:val="single"/>
        </w:rPr>
        <w:t>　　　　　　　　</w:t>
      </w:r>
      <w:r>
        <w:rPr>
          <w:rFonts w:hint="eastAsia" w:ascii="宋体" w:hAnsi="宋体" w:eastAsia="宋体" w:cs="宋体"/>
          <w:color w:val="auto"/>
          <w:sz w:val="22"/>
          <w:highlight w:val="none"/>
          <w:u w:val="single"/>
        </w:rPr>
        <w:tab/>
      </w:r>
    </w:p>
    <w:p w14:paraId="0F55CA52">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开户名称：</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rPr>
        <w:tab/>
      </w:r>
    </w:p>
    <w:p w14:paraId="76138D86">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开户银行：</w:t>
      </w:r>
      <w:r>
        <w:rPr>
          <w:rFonts w:hint="eastAsia" w:ascii="宋体" w:hAnsi="宋体" w:eastAsia="宋体" w:cs="宋体"/>
          <w:color w:val="auto"/>
          <w:sz w:val="22"/>
          <w:highlight w:val="none"/>
          <w:u w:val="single"/>
        </w:rPr>
        <w:t>　　　　　　　　　　　　　　　　　　　</w:t>
      </w:r>
      <w:r>
        <w:rPr>
          <w:rFonts w:hint="eastAsia" w:ascii="宋体" w:hAnsi="宋体" w:eastAsia="宋体" w:cs="宋体"/>
          <w:color w:val="auto"/>
          <w:sz w:val="22"/>
          <w:highlight w:val="none"/>
          <w:u w:val="single"/>
        </w:rPr>
        <w:tab/>
      </w:r>
    </w:p>
    <w:p w14:paraId="244A91CB">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帐    号：</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rPr>
        <w:tab/>
      </w:r>
    </w:p>
    <w:p w14:paraId="54038C14">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投 标 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eastAsia="zh-CN"/>
        </w:rPr>
        <w:t>电子签章</w:t>
      </w:r>
      <w:r>
        <w:rPr>
          <w:rFonts w:hint="eastAsia" w:ascii="宋体" w:hAnsi="宋体" w:eastAsia="宋体" w:cs="宋体"/>
          <w:color w:val="auto"/>
          <w:sz w:val="22"/>
          <w:highlight w:val="none"/>
          <w:u w:val="single"/>
        </w:rPr>
        <w:t>）</w:t>
      </w:r>
    </w:p>
    <w:p w14:paraId="00012582">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法定代表人或其委托代理人：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eastAsia="zh-CN"/>
        </w:rPr>
        <w:t>电子签章</w:t>
      </w:r>
      <w:r>
        <w:rPr>
          <w:rFonts w:hint="eastAsia" w:ascii="宋体" w:hAnsi="宋体" w:eastAsia="宋体" w:cs="宋体"/>
          <w:color w:val="auto"/>
          <w:sz w:val="22"/>
          <w:highlight w:val="none"/>
          <w:u w:val="single"/>
        </w:rPr>
        <w:t>）</w:t>
      </w:r>
    </w:p>
    <w:p w14:paraId="65C4DF38">
      <w:pPr>
        <w:pageBreakBefore w:val="0"/>
        <w:kinsoku/>
        <w:overflowPunct/>
        <w:topLinePunct w:val="0"/>
        <w:bidi w:val="0"/>
        <w:spacing w:beforeAutospacing="0" w:afterAutospacing="0" w:line="360" w:lineRule="auto"/>
        <w:ind w:firstLine="440" w:firstLineChars="200"/>
        <w:jc w:val="left"/>
        <w:rPr>
          <w:rFonts w:hint="eastAsia" w:ascii="宋体" w:hAnsi="宋体" w:eastAsia="宋体" w:cs="宋体"/>
          <w:color w:val="auto"/>
          <w:sz w:val="22"/>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0" w:num="1"/>
          <w:docGrid w:type="lines" w:linePitch="312" w:charSpace="0"/>
        </w:sectPr>
      </w:pPr>
      <w:r>
        <w:rPr>
          <w:rFonts w:hint="eastAsia" w:ascii="宋体" w:hAnsi="宋体" w:eastAsia="宋体" w:cs="宋体"/>
          <w:color w:val="auto"/>
          <w:sz w:val="22"/>
          <w:highlight w:val="none"/>
        </w:rPr>
        <w:t>日期：</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月</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日</w:t>
      </w:r>
    </w:p>
    <w:p w14:paraId="003B6DE4">
      <w:pPr>
        <w:pStyle w:val="4"/>
        <w:pageBreakBefore w:val="0"/>
        <w:numPr>
          <w:ilvl w:val="0"/>
          <w:numId w:val="0"/>
        </w:numPr>
        <w:tabs>
          <w:tab w:val="left" w:pos="3690"/>
          <w:tab w:val="clear" w:pos="1200"/>
        </w:tabs>
        <w:kinsoku/>
        <w:overflowPunct/>
        <w:topLinePunct w:val="0"/>
        <w:bidi w:val="0"/>
        <w:snapToGrid w:val="0"/>
        <w:spacing w:before="0" w:beforeAutospacing="0" w:after="0" w:afterAutospacing="0" w:line="360" w:lineRule="auto"/>
        <w:jc w:val="center"/>
        <w:rPr>
          <w:rFonts w:hint="eastAsia" w:ascii="宋体" w:hAnsi="宋体" w:eastAsia="宋体" w:cs="宋体"/>
          <w:bCs/>
          <w:iCs/>
          <w:color w:val="auto"/>
          <w:szCs w:val="32"/>
          <w:highlight w:val="none"/>
        </w:rPr>
      </w:pPr>
      <w:bookmarkStart w:id="554" w:name="_Toc62031176"/>
      <w:bookmarkStart w:id="555" w:name="_Toc19607"/>
      <w:bookmarkStart w:id="556" w:name="_Toc29969"/>
      <w:bookmarkStart w:id="557" w:name="_Toc29317"/>
      <w:bookmarkStart w:id="558" w:name="_Toc3665"/>
      <w:bookmarkStart w:id="559" w:name="_Toc62031172"/>
      <w:r>
        <w:rPr>
          <w:rFonts w:hint="eastAsia" w:ascii="宋体" w:hAnsi="宋体" w:eastAsia="宋体" w:cs="宋体"/>
          <w:bCs/>
          <w:iCs/>
          <w:color w:val="auto"/>
          <w:szCs w:val="32"/>
          <w:highlight w:val="none"/>
          <w:lang w:val="en-US" w:eastAsia="zh-CN"/>
        </w:rPr>
        <w:t>二</w:t>
      </w:r>
      <w:r>
        <w:rPr>
          <w:rFonts w:hint="eastAsia" w:ascii="宋体" w:hAnsi="宋体" w:eastAsia="宋体" w:cs="宋体"/>
          <w:bCs/>
          <w:iCs/>
          <w:color w:val="auto"/>
          <w:szCs w:val="32"/>
          <w:highlight w:val="none"/>
        </w:rPr>
        <w:t>、法定代表人身份证明书</w:t>
      </w:r>
      <w:bookmarkEnd w:id="554"/>
      <w:r>
        <w:rPr>
          <w:rFonts w:hint="eastAsia" w:ascii="宋体" w:hAnsi="宋体" w:eastAsia="宋体" w:cs="宋体"/>
          <w:bCs/>
          <w:iCs/>
          <w:color w:val="auto"/>
          <w:szCs w:val="32"/>
          <w:highlight w:val="none"/>
        </w:rPr>
        <w:t>及授权委托书</w:t>
      </w:r>
      <w:bookmarkEnd w:id="555"/>
      <w:bookmarkEnd w:id="556"/>
      <w:bookmarkEnd w:id="557"/>
      <w:bookmarkEnd w:id="558"/>
    </w:p>
    <w:p w14:paraId="172C07EE">
      <w:pPr>
        <w:pageBreakBefore w:val="0"/>
        <w:kinsoku/>
        <w:overflowPunct/>
        <w:topLinePunct w:val="0"/>
        <w:bidi w:val="0"/>
        <w:spacing w:beforeAutospacing="0" w:afterAutospacing="0"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（一）法定代表人身份证明书</w:t>
      </w:r>
    </w:p>
    <w:p w14:paraId="13299A88">
      <w:pPr>
        <w:pageBreakBefore w:val="0"/>
        <w:kinsoku/>
        <w:overflowPunct/>
        <w:topLinePunct w:val="0"/>
        <w:bidi w:val="0"/>
        <w:spacing w:beforeAutospacing="0" w:afterAutospacing="0" w:line="360" w:lineRule="auto"/>
        <w:ind w:firstLine="612"/>
        <w:rPr>
          <w:rFonts w:hint="eastAsia" w:ascii="宋体" w:hAnsi="宋体" w:eastAsia="宋体" w:cs="宋体"/>
          <w:color w:val="auto"/>
          <w:sz w:val="28"/>
          <w:szCs w:val="24"/>
          <w:highlight w:val="none"/>
        </w:rPr>
      </w:pPr>
    </w:p>
    <w:p w14:paraId="4343726D">
      <w:pPr>
        <w:pageBreakBefore w:val="0"/>
        <w:kinsoku/>
        <w:overflowPunct/>
        <w:topLinePunct w:val="0"/>
        <w:bidi w:val="0"/>
        <w:spacing w:beforeAutospacing="0" w:afterAutospacing="0" w:line="360" w:lineRule="auto"/>
        <w:ind w:firstLine="612"/>
        <w:rPr>
          <w:rFonts w:hint="eastAsia" w:ascii="宋体" w:hAnsi="宋体" w:eastAsia="宋体" w:cs="宋体"/>
          <w:color w:val="auto"/>
          <w:sz w:val="22"/>
          <w:highlight w:val="none"/>
        </w:rPr>
      </w:pPr>
      <w:r>
        <w:rPr>
          <w:rFonts w:hint="eastAsia" w:ascii="宋体" w:hAnsi="宋体" w:eastAsia="宋体" w:cs="宋体"/>
          <w:color w:val="auto"/>
          <w:sz w:val="22"/>
          <w:highlight w:val="none"/>
        </w:rPr>
        <w:t>单位名称：</w:t>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ab/>
      </w:r>
    </w:p>
    <w:p w14:paraId="4DDFE854">
      <w:pPr>
        <w:pageBreakBefore w:val="0"/>
        <w:kinsoku/>
        <w:overflowPunct/>
        <w:topLinePunct w:val="0"/>
        <w:bidi w:val="0"/>
        <w:spacing w:beforeAutospacing="0" w:afterAutospacing="0" w:line="360" w:lineRule="auto"/>
        <w:ind w:firstLine="610"/>
        <w:rPr>
          <w:rFonts w:hint="eastAsia" w:ascii="宋体" w:hAnsi="宋体" w:eastAsia="宋体" w:cs="宋体"/>
          <w:color w:val="auto"/>
          <w:sz w:val="22"/>
          <w:highlight w:val="none"/>
        </w:rPr>
      </w:pPr>
    </w:p>
    <w:p w14:paraId="756D2DE6">
      <w:pPr>
        <w:pageBreakBefore w:val="0"/>
        <w:kinsoku/>
        <w:overflowPunct/>
        <w:topLinePunct w:val="0"/>
        <w:bidi w:val="0"/>
        <w:spacing w:beforeAutospacing="0" w:afterAutospacing="0" w:line="360" w:lineRule="auto"/>
        <w:ind w:firstLine="610"/>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地    址：</w:t>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ab/>
      </w:r>
    </w:p>
    <w:p w14:paraId="5AF236C6">
      <w:pPr>
        <w:pageBreakBefore w:val="0"/>
        <w:kinsoku/>
        <w:overflowPunct/>
        <w:topLinePunct w:val="0"/>
        <w:bidi w:val="0"/>
        <w:spacing w:beforeAutospacing="0" w:afterAutospacing="0" w:line="360" w:lineRule="auto"/>
        <w:ind w:firstLine="610"/>
        <w:rPr>
          <w:rFonts w:hint="eastAsia" w:ascii="宋体" w:hAnsi="宋体" w:eastAsia="宋体" w:cs="宋体"/>
          <w:color w:val="auto"/>
          <w:sz w:val="22"/>
          <w:highlight w:val="none"/>
        </w:rPr>
      </w:pPr>
    </w:p>
    <w:p w14:paraId="78AE36DF">
      <w:pPr>
        <w:pageBreakBefore w:val="0"/>
        <w:kinsoku/>
        <w:overflowPunct/>
        <w:topLinePunct w:val="0"/>
        <w:bidi w:val="0"/>
        <w:spacing w:beforeAutospacing="0" w:afterAutospacing="0" w:line="360" w:lineRule="auto"/>
        <w:ind w:firstLine="610"/>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姓    名：</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 性别：</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 年龄：</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 职务：</w:t>
      </w:r>
      <w:r>
        <w:rPr>
          <w:rFonts w:hint="eastAsia" w:ascii="宋体" w:hAnsi="宋体" w:eastAsia="宋体" w:cs="宋体"/>
          <w:color w:val="auto"/>
          <w:sz w:val="22"/>
          <w:highlight w:val="none"/>
          <w:u w:val="single"/>
        </w:rPr>
        <w:tab/>
      </w:r>
      <w:r>
        <w:rPr>
          <w:rFonts w:hint="eastAsia" w:ascii="宋体" w:hAnsi="宋体" w:eastAsia="宋体" w:cs="宋体"/>
          <w:color w:val="auto"/>
          <w:sz w:val="22"/>
          <w:highlight w:val="none"/>
          <w:u w:val="single"/>
        </w:rPr>
        <w:tab/>
      </w:r>
    </w:p>
    <w:p w14:paraId="4B2FEEF8">
      <w:pPr>
        <w:pageBreakBefore w:val="0"/>
        <w:kinsoku/>
        <w:overflowPunct/>
        <w:topLinePunct w:val="0"/>
        <w:bidi w:val="0"/>
        <w:spacing w:beforeAutospacing="0" w:afterAutospacing="0" w:line="360" w:lineRule="auto"/>
        <w:ind w:left="661" w:leftChars="315" w:firstLine="220" w:firstLineChars="100"/>
        <w:rPr>
          <w:rFonts w:hint="eastAsia" w:ascii="宋体" w:hAnsi="宋体" w:eastAsia="宋体" w:cs="宋体"/>
          <w:color w:val="auto"/>
          <w:sz w:val="22"/>
          <w:highlight w:val="none"/>
        </w:rPr>
      </w:pPr>
    </w:p>
    <w:p w14:paraId="0852ED6B">
      <w:pPr>
        <w:pageBreakBefore w:val="0"/>
        <w:kinsoku/>
        <w:overflowPunct/>
        <w:topLinePunct w:val="0"/>
        <w:bidi w:val="0"/>
        <w:spacing w:beforeAutospacing="0" w:afterAutospacing="0" w:line="360" w:lineRule="auto"/>
        <w:ind w:firstLine="880" w:firstLineChars="400"/>
        <w:rPr>
          <w:rFonts w:hint="eastAsia" w:ascii="宋体" w:hAnsi="宋体" w:eastAsia="宋体" w:cs="宋体"/>
          <w:color w:val="auto"/>
          <w:sz w:val="22"/>
          <w:highlight w:val="none"/>
        </w:rPr>
      </w:pPr>
      <w:r>
        <w:rPr>
          <w:rFonts w:hint="eastAsia" w:ascii="宋体" w:hAnsi="宋体" w:eastAsia="宋体" w:cs="宋体"/>
          <w:color w:val="auto"/>
          <w:sz w:val="22"/>
          <w:highlight w:val="none"/>
        </w:rPr>
        <w:t>系</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eastAsia="zh-CN"/>
        </w:rPr>
        <w:t>投标人</w:t>
      </w:r>
      <w:r>
        <w:rPr>
          <w:rFonts w:hint="eastAsia" w:ascii="宋体" w:hAnsi="宋体" w:eastAsia="宋体" w:cs="宋体"/>
          <w:color w:val="auto"/>
          <w:sz w:val="22"/>
          <w:highlight w:val="none"/>
          <w:u w:val="single"/>
        </w:rPr>
        <w:t xml:space="preserve">名称)  </w:t>
      </w:r>
      <w:r>
        <w:rPr>
          <w:rFonts w:hint="eastAsia" w:ascii="宋体" w:hAnsi="宋体" w:eastAsia="宋体" w:cs="宋体"/>
          <w:color w:val="auto"/>
          <w:sz w:val="22"/>
          <w:highlight w:val="none"/>
        </w:rPr>
        <w:t>的法定代表人。</w:t>
      </w:r>
    </w:p>
    <w:p w14:paraId="41F0D57C">
      <w:pPr>
        <w:pageBreakBefore w:val="0"/>
        <w:kinsoku/>
        <w:overflowPunct/>
        <w:topLinePunct w:val="0"/>
        <w:bidi w:val="0"/>
        <w:spacing w:beforeAutospacing="0" w:afterAutospacing="0" w:line="360" w:lineRule="auto"/>
        <w:ind w:firstLine="610"/>
        <w:rPr>
          <w:rFonts w:hint="eastAsia" w:ascii="宋体" w:hAnsi="宋体" w:eastAsia="宋体" w:cs="宋体"/>
          <w:color w:val="auto"/>
          <w:sz w:val="22"/>
          <w:highlight w:val="none"/>
        </w:rPr>
      </w:pPr>
    </w:p>
    <w:p w14:paraId="452EB398">
      <w:pPr>
        <w:pageBreakBefore w:val="0"/>
        <w:kinsoku/>
        <w:overflowPunct/>
        <w:topLinePunct w:val="0"/>
        <w:bidi w:val="0"/>
        <w:spacing w:beforeAutospacing="0" w:afterAutospacing="0" w:line="360" w:lineRule="auto"/>
        <w:ind w:firstLine="610"/>
        <w:rPr>
          <w:rFonts w:hint="eastAsia" w:ascii="宋体" w:hAnsi="宋体" w:eastAsia="宋体" w:cs="宋体"/>
          <w:color w:val="auto"/>
          <w:sz w:val="22"/>
          <w:highlight w:val="none"/>
        </w:rPr>
      </w:pPr>
      <w:r>
        <w:rPr>
          <w:rFonts w:hint="eastAsia" w:ascii="宋体" w:hAnsi="宋体" w:eastAsia="宋体" w:cs="宋体"/>
          <w:color w:val="auto"/>
          <w:sz w:val="22"/>
          <w:highlight w:val="none"/>
        </w:rPr>
        <w:t>特此证明。</w:t>
      </w:r>
    </w:p>
    <w:p w14:paraId="13F3C0E6">
      <w:pPr>
        <w:pageBreakBefore w:val="0"/>
        <w:tabs>
          <w:tab w:val="left" w:pos="720"/>
          <w:tab w:val="left" w:pos="900"/>
        </w:tabs>
        <w:kinsoku/>
        <w:overflowPunct/>
        <w:topLinePunct w:val="0"/>
        <w:bidi w:val="0"/>
        <w:spacing w:beforeAutospacing="0" w:afterAutospacing="0" w:line="360" w:lineRule="auto"/>
        <w:ind w:firstLine="440" w:firstLineChars="200"/>
        <w:rPr>
          <w:rFonts w:hint="eastAsia" w:ascii="宋体" w:hAnsi="宋体" w:eastAsia="宋体" w:cs="宋体"/>
          <w:color w:val="auto"/>
          <w:sz w:val="22"/>
          <w:highlight w:val="none"/>
        </w:rPr>
      </w:pPr>
    </w:p>
    <w:p w14:paraId="0677C642">
      <w:pPr>
        <w:pageBreakBefore w:val="0"/>
        <w:kinsoku/>
        <w:overflowPunct/>
        <w:topLinePunct w:val="0"/>
        <w:bidi w:val="0"/>
        <w:spacing w:beforeAutospacing="0" w:afterAutospacing="0" w:line="360" w:lineRule="auto"/>
        <w:ind w:firstLine="576" w:firstLineChars="262"/>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投标人</w:t>
      </w:r>
      <w:r>
        <w:rPr>
          <w:rFonts w:hint="eastAsia" w:ascii="宋体" w:hAnsi="宋体" w:eastAsia="宋体" w:cs="宋体"/>
          <w:color w:val="auto"/>
          <w:sz w:val="22"/>
          <w:highlight w:val="none"/>
        </w:rPr>
        <w:t>：</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eastAsia="zh-CN"/>
        </w:rPr>
        <w:t>电子签章</w:t>
      </w:r>
      <w:r>
        <w:rPr>
          <w:rFonts w:hint="eastAsia" w:ascii="宋体" w:hAnsi="宋体" w:eastAsia="宋体" w:cs="宋体"/>
          <w:color w:val="auto"/>
          <w:sz w:val="22"/>
          <w:highlight w:val="none"/>
          <w:u w:val="single"/>
        </w:rPr>
        <w:t>)</w:t>
      </w:r>
    </w:p>
    <w:p w14:paraId="168BED3D">
      <w:pPr>
        <w:pageBreakBefore w:val="0"/>
        <w:kinsoku/>
        <w:overflowPunct/>
        <w:topLinePunct w:val="0"/>
        <w:bidi w:val="0"/>
        <w:spacing w:beforeAutospacing="0" w:afterAutospacing="0" w:line="360" w:lineRule="auto"/>
        <w:rPr>
          <w:rFonts w:hint="eastAsia" w:ascii="宋体" w:hAnsi="宋体" w:eastAsia="宋体" w:cs="宋体"/>
          <w:color w:val="auto"/>
          <w:sz w:val="22"/>
          <w:highlight w:val="none"/>
        </w:rPr>
      </w:pPr>
    </w:p>
    <w:p w14:paraId="2F02C965">
      <w:pPr>
        <w:pageBreakBefore w:val="0"/>
        <w:kinsoku/>
        <w:overflowPunct/>
        <w:topLinePunct w:val="0"/>
        <w:bidi w:val="0"/>
        <w:spacing w:beforeAutospacing="0" w:afterAutospacing="0" w:line="360" w:lineRule="auto"/>
        <w:ind w:firstLine="585" w:firstLineChars="266"/>
        <w:rPr>
          <w:rFonts w:hint="eastAsia" w:ascii="宋体" w:hAnsi="宋体" w:eastAsia="宋体" w:cs="宋体"/>
          <w:color w:val="auto"/>
          <w:sz w:val="22"/>
          <w:highlight w:val="none"/>
        </w:rPr>
      </w:pPr>
      <w:r>
        <w:rPr>
          <w:rFonts w:hint="eastAsia" w:ascii="宋体" w:hAnsi="宋体" w:eastAsia="宋体" w:cs="宋体"/>
          <w:color w:val="auto"/>
          <w:sz w:val="22"/>
          <w:highlight w:val="none"/>
        </w:rPr>
        <w:t>日  期：</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月</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日</w:t>
      </w:r>
    </w:p>
    <w:p w14:paraId="39BCBAC1">
      <w:pPr>
        <w:pageBreakBefore w:val="0"/>
        <w:kinsoku/>
        <w:overflowPunct/>
        <w:topLinePunct w:val="0"/>
        <w:bidi w:val="0"/>
        <w:spacing w:beforeAutospacing="0" w:afterAutospacing="0" w:line="360" w:lineRule="auto"/>
        <w:ind w:firstLine="579" w:firstLineChars="262"/>
        <w:rPr>
          <w:rFonts w:hint="eastAsia" w:ascii="宋体" w:hAnsi="宋体" w:eastAsia="宋体" w:cs="宋体"/>
          <w:b/>
          <w:color w:val="auto"/>
          <w:sz w:val="22"/>
          <w:highlight w:val="none"/>
        </w:rPr>
      </w:pPr>
    </w:p>
    <w:p w14:paraId="02A4DD15">
      <w:pPr>
        <w:pageBreakBefore w:val="0"/>
        <w:kinsoku/>
        <w:overflowPunct/>
        <w:topLinePunct w:val="0"/>
        <w:bidi w:val="0"/>
        <w:spacing w:beforeAutospacing="0" w:afterAutospacing="0" w:line="360" w:lineRule="auto"/>
        <w:jc w:val="center"/>
        <w:rPr>
          <w:rFonts w:hint="eastAsia" w:ascii="宋体" w:hAnsi="宋体" w:eastAsia="宋体" w:cs="宋体"/>
          <w:color w:val="auto"/>
          <w:sz w:val="28"/>
          <w:szCs w:val="24"/>
          <w:highlight w:val="none"/>
        </w:rPr>
      </w:pPr>
      <w:r>
        <w:rPr>
          <w:rFonts w:hint="eastAsia" w:ascii="宋体" w:hAnsi="宋体" w:eastAsia="宋体" w:cs="宋体"/>
          <w:b/>
          <w:color w:val="auto"/>
          <w:sz w:val="22"/>
          <w:szCs w:val="24"/>
          <w:highlight w:val="none"/>
        </w:rPr>
        <w:t>(附法定代表人身份证双面复印件)</w:t>
      </w:r>
    </w:p>
    <w:tbl>
      <w:tblPr>
        <w:tblStyle w:val="25"/>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4E4C5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728" w:type="dxa"/>
            <w:vAlign w:val="center"/>
          </w:tcPr>
          <w:p w14:paraId="54D2AC5E">
            <w:pPr>
              <w:pageBreakBefore w:val="0"/>
              <w:kinsoku/>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729" w:type="dxa"/>
            <w:vAlign w:val="center"/>
          </w:tcPr>
          <w:p w14:paraId="34ABC36C">
            <w:pPr>
              <w:pageBreakBefore w:val="0"/>
              <w:kinsoku/>
              <w:overflowPunct/>
              <w:topLinePunct w:val="0"/>
              <w:bidi w:val="0"/>
              <w:spacing w:beforeAutospacing="0" w:afterAutospacing="0" w:line="360" w:lineRule="auto"/>
              <w:jc w:val="center"/>
              <w:rPr>
                <w:rFonts w:hint="eastAsia" w:ascii="宋体" w:hAnsi="宋体" w:eastAsia="宋体" w:cs="宋体"/>
                <w:color w:val="auto"/>
                <w:sz w:val="24"/>
                <w:highlight w:val="none"/>
              </w:rPr>
            </w:pPr>
          </w:p>
        </w:tc>
      </w:tr>
    </w:tbl>
    <w:p w14:paraId="43ED20F3">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631E9CB8">
      <w:pPr>
        <w:pageBreakBefore w:val="0"/>
        <w:kinsoku/>
        <w:overflowPunct/>
        <w:topLinePunct w:val="0"/>
        <w:bidi w:val="0"/>
        <w:spacing w:beforeAutospacing="0" w:afterAutospacing="0" w:line="360" w:lineRule="auto"/>
        <w:jc w:val="center"/>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（二）法定代表人授权委托书</w:t>
      </w:r>
    </w:p>
    <w:p w14:paraId="509148DC">
      <w:pPr>
        <w:pageBreakBefore w:val="0"/>
        <w:kinsoku/>
        <w:overflowPunct/>
        <w:topLinePunct w:val="0"/>
        <w:bidi w:val="0"/>
        <w:spacing w:beforeAutospacing="0" w:afterAutospacing="0" w:line="360" w:lineRule="auto"/>
        <w:ind w:firstLine="330" w:firstLineChars="150"/>
        <w:rPr>
          <w:rFonts w:hint="eastAsia" w:ascii="宋体" w:hAnsi="宋体" w:eastAsia="宋体" w:cs="宋体"/>
          <w:color w:val="auto"/>
          <w:sz w:val="22"/>
          <w:highlight w:val="none"/>
        </w:rPr>
      </w:pPr>
      <w:r>
        <w:rPr>
          <w:rFonts w:hint="eastAsia" w:ascii="宋体" w:hAnsi="宋体" w:eastAsia="宋体" w:cs="宋体"/>
          <w:color w:val="auto"/>
          <w:sz w:val="22"/>
          <w:highlight w:val="none"/>
        </w:rPr>
        <w:t>本人作为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eastAsia="zh-CN"/>
        </w:rPr>
        <w:t>投标人</w:t>
      </w:r>
      <w:r>
        <w:rPr>
          <w:rFonts w:hint="eastAsia" w:ascii="宋体" w:hAnsi="宋体" w:eastAsia="宋体" w:cs="宋体"/>
          <w:color w:val="auto"/>
          <w:sz w:val="22"/>
          <w:highlight w:val="none"/>
          <w:u w:val="single"/>
        </w:rPr>
        <w:t xml:space="preserve">名称) </w:t>
      </w:r>
      <w:r>
        <w:rPr>
          <w:rFonts w:hint="eastAsia" w:ascii="宋体" w:hAnsi="宋体" w:eastAsia="宋体" w:cs="宋体"/>
          <w:color w:val="auto"/>
          <w:sz w:val="22"/>
          <w:highlight w:val="none"/>
        </w:rPr>
        <w:t>的法定代表人，在此授权我公司的</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，其身份证号码：</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，作为我的合法授权代表，以我的名义并代表我公司全权处理</w:t>
      </w:r>
      <w:r>
        <w:rPr>
          <w:rFonts w:hint="eastAsia" w:ascii="宋体" w:hAnsi="宋体" w:eastAsia="宋体" w:cs="宋体"/>
          <w:color w:val="auto"/>
          <w:sz w:val="22"/>
          <w:highlight w:val="none"/>
          <w:u w:val="single"/>
        </w:rPr>
        <w:t xml:space="preserve">    （项目名称）     </w:t>
      </w:r>
      <w:r>
        <w:rPr>
          <w:rFonts w:hint="eastAsia" w:ascii="宋体" w:hAnsi="宋体" w:eastAsia="宋体" w:cs="宋体"/>
          <w:color w:val="auto"/>
          <w:sz w:val="22"/>
          <w:highlight w:val="none"/>
        </w:rPr>
        <w:t>投标的各项事宜。</w:t>
      </w:r>
    </w:p>
    <w:p w14:paraId="01AAEE42">
      <w:pPr>
        <w:pageBreakBefore w:val="0"/>
        <w:kinsoku/>
        <w:overflowPunct/>
        <w:topLinePunct w:val="0"/>
        <w:bidi w:val="0"/>
        <w:spacing w:beforeAutospacing="0" w:afterAutospacing="0" w:line="360" w:lineRule="auto"/>
        <w:ind w:firstLine="330" w:firstLineChars="150"/>
        <w:rPr>
          <w:rFonts w:hint="eastAsia" w:ascii="宋体" w:hAnsi="宋体" w:eastAsia="宋体" w:cs="宋体"/>
          <w:color w:val="auto"/>
          <w:sz w:val="22"/>
          <w:highlight w:val="none"/>
        </w:rPr>
      </w:pPr>
      <w:r>
        <w:rPr>
          <w:rFonts w:hint="eastAsia" w:ascii="宋体" w:hAnsi="宋体" w:eastAsia="宋体" w:cs="宋体"/>
          <w:color w:val="auto"/>
          <w:sz w:val="22"/>
          <w:highlight w:val="none"/>
        </w:rPr>
        <w:t>本授权书期限自</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月</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日起至</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月</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日止。</w:t>
      </w:r>
    </w:p>
    <w:p w14:paraId="6E5B8A68">
      <w:pPr>
        <w:pageBreakBefore w:val="0"/>
        <w:kinsoku/>
        <w:overflowPunct/>
        <w:topLinePunct w:val="0"/>
        <w:bidi w:val="0"/>
        <w:spacing w:beforeAutospacing="0" w:afterAutospacing="0" w:line="360" w:lineRule="auto"/>
        <w:ind w:firstLine="330" w:firstLineChars="150"/>
        <w:rPr>
          <w:rFonts w:hint="eastAsia" w:ascii="宋体" w:hAnsi="宋体" w:eastAsia="宋体" w:cs="宋体"/>
          <w:color w:val="auto"/>
          <w:sz w:val="22"/>
          <w:highlight w:val="none"/>
        </w:rPr>
      </w:pPr>
      <w:r>
        <w:rPr>
          <w:rFonts w:hint="eastAsia" w:ascii="宋体" w:hAnsi="宋体" w:eastAsia="宋体" w:cs="宋体"/>
          <w:color w:val="auto"/>
          <w:sz w:val="22"/>
          <w:highlight w:val="none"/>
        </w:rPr>
        <w:t>在此授权范围和期限内，被授权人所实施的行为具有法律效力，授权人予以认可。</w:t>
      </w:r>
    </w:p>
    <w:p w14:paraId="5DEFFFA0">
      <w:pPr>
        <w:pageBreakBefore w:val="0"/>
        <w:kinsoku/>
        <w:overflowPunct/>
        <w:topLinePunct w:val="0"/>
        <w:bidi w:val="0"/>
        <w:spacing w:beforeAutospacing="0" w:afterAutospacing="0" w:line="360" w:lineRule="auto"/>
        <w:ind w:firstLine="697"/>
        <w:rPr>
          <w:rFonts w:hint="eastAsia" w:ascii="宋体" w:hAnsi="宋体" w:eastAsia="宋体" w:cs="宋体"/>
          <w:color w:val="auto"/>
          <w:sz w:val="22"/>
          <w:highlight w:val="none"/>
        </w:rPr>
      </w:pPr>
    </w:p>
    <w:p w14:paraId="6E09AECE">
      <w:pPr>
        <w:pageBreakBefore w:val="0"/>
        <w:kinsoku/>
        <w:overflowPunct/>
        <w:topLinePunct w:val="0"/>
        <w:bidi w:val="0"/>
        <w:spacing w:beforeAutospacing="0" w:afterAutospacing="0" w:line="360" w:lineRule="auto"/>
        <w:ind w:firstLine="697"/>
        <w:rPr>
          <w:rFonts w:hint="eastAsia" w:ascii="宋体" w:hAnsi="宋体" w:eastAsia="宋体" w:cs="宋体"/>
          <w:b/>
          <w:color w:val="auto"/>
          <w:sz w:val="22"/>
          <w:highlight w:val="none"/>
        </w:rPr>
      </w:pPr>
      <w:r>
        <w:rPr>
          <w:rFonts w:hint="eastAsia" w:ascii="宋体" w:hAnsi="宋体" w:eastAsia="宋体" w:cs="宋体"/>
          <w:b/>
          <w:color w:val="auto"/>
          <w:sz w:val="22"/>
          <w:highlight w:val="none"/>
        </w:rPr>
        <w:t>授权代表无转委托权，特此委托。</w:t>
      </w:r>
    </w:p>
    <w:p w14:paraId="5A83F0B8">
      <w:pPr>
        <w:pageBreakBefore w:val="0"/>
        <w:kinsoku/>
        <w:overflowPunct/>
        <w:topLinePunct w:val="0"/>
        <w:bidi w:val="0"/>
        <w:spacing w:beforeAutospacing="0" w:afterAutospacing="0" w:line="360" w:lineRule="auto"/>
        <w:ind w:left="1260"/>
        <w:rPr>
          <w:rFonts w:hint="eastAsia" w:ascii="宋体" w:hAnsi="宋体" w:eastAsia="宋体" w:cs="宋体"/>
          <w:color w:val="auto"/>
          <w:sz w:val="22"/>
          <w:highlight w:val="none"/>
        </w:rPr>
      </w:pPr>
    </w:p>
    <w:p w14:paraId="20943B7D">
      <w:pPr>
        <w:pageBreakBefore w:val="0"/>
        <w:kinsoku/>
        <w:overflowPunct/>
        <w:topLinePunct w:val="0"/>
        <w:bidi w:val="0"/>
        <w:spacing w:beforeAutospacing="0" w:afterAutospacing="0" w:line="360" w:lineRule="auto"/>
        <w:ind w:left="1260"/>
        <w:rPr>
          <w:rFonts w:hint="eastAsia" w:ascii="宋体" w:hAnsi="宋体" w:eastAsia="宋体" w:cs="宋体"/>
          <w:color w:val="auto"/>
          <w:sz w:val="22"/>
          <w:highlight w:val="none"/>
        </w:rPr>
      </w:pPr>
    </w:p>
    <w:p w14:paraId="13BF8654">
      <w:pPr>
        <w:pageBreakBefore w:val="0"/>
        <w:kinsoku/>
        <w:overflowPunct/>
        <w:topLinePunct w:val="0"/>
        <w:bidi w:val="0"/>
        <w:spacing w:beforeAutospacing="0" w:afterAutospacing="0" w:line="360" w:lineRule="auto"/>
        <w:ind w:right="-27" w:firstLine="651" w:firstLineChars="296"/>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授权代表：</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   性别：</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   年龄：</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rPr>
        <w:tab/>
      </w:r>
    </w:p>
    <w:p w14:paraId="2437EB91">
      <w:pPr>
        <w:pageBreakBefore w:val="0"/>
        <w:kinsoku/>
        <w:overflowPunct/>
        <w:topLinePunct w:val="0"/>
        <w:bidi w:val="0"/>
        <w:spacing w:beforeAutospacing="0" w:afterAutospacing="0" w:line="360" w:lineRule="auto"/>
        <w:ind w:firstLine="651" w:firstLineChars="296"/>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身份证号码：</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 职务：</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rPr>
        <w:tab/>
      </w:r>
    </w:p>
    <w:p w14:paraId="283422B9">
      <w:pPr>
        <w:pageBreakBefore w:val="0"/>
        <w:kinsoku/>
        <w:overflowPunct/>
        <w:topLinePunct w:val="0"/>
        <w:bidi w:val="0"/>
        <w:spacing w:beforeAutospacing="0" w:afterAutospacing="0" w:line="360" w:lineRule="auto"/>
        <w:ind w:firstLine="651" w:firstLineChars="296"/>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投标人</w:t>
      </w:r>
      <w:r>
        <w:rPr>
          <w:rFonts w:hint="eastAsia" w:ascii="宋体" w:hAnsi="宋体" w:eastAsia="宋体" w:cs="宋体"/>
          <w:color w:val="auto"/>
          <w:sz w:val="22"/>
          <w:highlight w:val="none"/>
        </w:rPr>
        <w:t>：</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eastAsia="zh-CN"/>
        </w:rPr>
        <w:t>电子签章</w:t>
      </w:r>
      <w:r>
        <w:rPr>
          <w:rFonts w:hint="eastAsia" w:ascii="宋体" w:hAnsi="宋体" w:eastAsia="宋体" w:cs="宋体"/>
          <w:color w:val="auto"/>
          <w:sz w:val="22"/>
          <w:highlight w:val="none"/>
        </w:rPr>
        <w:t>)</w:t>
      </w:r>
    </w:p>
    <w:p w14:paraId="7CD6DD88">
      <w:pPr>
        <w:pageBreakBefore w:val="0"/>
        <w:kinsoku/>
        <w:overflowPunct/>
        <w:topLinePunct w:val="0"/>
        <w:bidi w:val="0"/>
        <w:spacing w:beforeAutospacing="0" w:afterAutospacing="0" w:line="360" w:lineRule="auto"/>
        <w:ind w:firstLine="651" w:firstLineChars="296"/>
        <w:rPr>
          <w:rFonts w:hint="eastAsia" w:ascii="宋体" w:hAnsi="宋体" w:eastAsia="宋体" w:cs="宋体"/>
          <w:color w:val="auto"/>
          <w:sz w:val="22"/>
          <w:highlight w:val="none"/>
        </w:rPr>
      </w:pPr>
      <w:r>
        <w:rPr>
          <w:rFonts w:hint="eastAsia" w:ascii="宋体" w:hAnsi="宋体" w:eastAsia="宋体" w:cs="宋体"/>
          <w:color w:val="auto"/>
          <w:sz w:val="22"/>
          <w:highlight w:val="none"/>
        </w:rPr>
        <w:t>法定代表人：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eastAsia="zh-CN"/>
        </w:rPr>
        <w:t>电子签章</w:t>
      </w:r>
      <w:r>
        <w:rPr>
          <w:rFonts w:hint="eastAsia" w:ascii="宋体" w:hAnsi="宋体" w:eastAsia="宋体" w:cs="宋体"/>
          <w:color w:val="auto"/>
          <w:sz w:val="22"/>
          <w:highlight w:val="none"/>
        </w:rPr>
        <w:t>)</w:t>
      </w:r>
    </w:p>
    <w:p w14:paraId="6A6E14A5">
      <w:pPr>
        <w:pageBreakBefore w:val="0"/>
        <w:kinsoku/>
        <w:overflowPunct/>
        <w:topLinePunct w:val="0"/>
        <w:bidi w:val="0"/>
        <w:spacing w:beforeAutospacing="0" w:afterAutospacing="0" w:line="360" w:lineRule="auto"/>
        <w:ind w:firstLine="651" w:firstLineChars="296"/>
        <w:rPr>
          <w:rFonts w:hint="eastAsia" w:ascii="宋体" w:hAnsi="宋体" w:eastAsia="宋体" w:cs="宋体"/>
          <w:color w:val="auto"/>
          <w:sz w:val="22"/>
          <w:highlight w:val="none"/>
        </w:rPr>
      </w:pPr>
      <w:r>
        <w:rPr>
          <w:rFonts w:hint="eastAsia" w:ascii="宋体" w:hAnsi="宋体" w:eastAsia="宋体" w:cs="宋体"/>
          <w:color w:val="auto"/>
          <w:sz w:val="22"/>
          <w:highlight w:val="none"/>
        </w:rPr>
        <w:t>日期：</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月</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日</w:t>
      </w:r>
    </w:p>
    <w:p w14:paraId="660E0E2A">
      <w:pPr>
        <w:pageBreakBefore w:val="0"/>
        <w:kinsoku/>
        <w:overflowPunct/>
        <w:topLinePunct w:val="0"/>
        <w:bidi w:val="0"/>
        <w:spacing w:beforeAutospacing="0" w:afterAutospacing="0" w:line="360" w:lineRule="auto"/>
        <w:jc w:val="center"/>
        <w:rPr>
          <w:rFonts w:hint="eastAsia" w:ascii="宋体" w:hAnsi="宋体" w:eastAsia="宋体" w:cs="宋体"/>
          <w:b/>
          <w:color w:val="auto"/>
          <w:sz w:val="22"/>
          <w:szCs w:val="24"/>
          <w:highlight w:val="none"/>
        </w:rPr>
      </w:pPr>
      <w:r>
        <w:rPr>
          <w:rFonts w:hint="eastAsia" w:ascii="宋体" w:hAnsi="宋体" w:eastAsia="宋体" w:cs="宋体"/>
          <w:b/>
          <w:color w:val="auto"/>
          <w:sz w:val="22"/>
          <w:szCs w:val="24"/>
          <w:highlight w:val="none"/>
        </w:rPr>
        <w:t>(附被授权的代理人身份证双面复印件)</w:t>
      </w:r>
    </w:p>
    <w:tbl>
      <w:tblPr>
        <w:tblStyle w:val="25"/>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6DB35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4728" w:type="dxa"/>
            <w:vAlign w:val="center"/>
          </w:tcPr>
          <w:p w14:paraId="192FD07B">
            <w:pPr>
              <w:pageBreakBefore w:val="0"/>
              <w:kinsoku/>
              <w:overflowPunct/>
              <w:topLinePunct w:val="0"/>
              <w:bidi w:val="0"/>
              <w:spacing w:beforeAutospacing="0" w:afterAutospacing="0" w:line="360" w:lineRule="auto"/>
              <w:jc w:val="center"/>
              <w:rPr>
                <w:rFonts w:hint="eastAsia" w:ascii="宋体" w:hAnsi="宋体" w:eastAsia="宋体" w:cs="宋体"/>
                <w:b/>
                <w:bCs/>
                <w:color w:val="auto"/>
                <w:sz w:val="22"/>
                <w:szCs w:val="21"/>
                <w:highlight w:val="none"/>
              </w:rPr>
            </w:pPr>
          </w:p>
        </w:tc>
        <w:tc>
          <w:tcPr>
            <w:tcW w:w="4729" w:type="dxa"/>
            <w:vAlign w:val="center"/>
          </w:tcPr>
          <w:p w14:paraId="75F2232B">
            <w:pPr>
              <w:pageBreakBefore w:val="0"/>
              <w:kinsoku/>
              <w:overflowPunct/>
              <w:topLinePunct w:val="0"/>
              <w:bidi w:val="0"/>
              <w:spacing w:beforeAutospacing="0" w:afterAutospacing="0" w:line="360" w:lineRule="auto"/>
              <w:jc w:val="center"/>
              <w:rPr>
                <w:rFonts w:hint="eastAsia" w:ascii="宋体" w:hAnsi="宋体" w:eastAsia="宋体" w:cs="宋体"/>
                <w:b/>
                <w:bCs/>
                <w:color w:val="auto"/>
                <w:sz w:val="22"/>
                <w:szCs w:val="21"/>
                <w:highlight w:val="none"/>
              </w:rPr>
            </w:pPr>
          </w:p>
        </w:tc>
      </w:tr>
    </w:tbl>
    <w:p w14:paraId="208C187D">
      <w:pPr>
        <w:pageBreakBefore w:val="0"/>
        <w:kinsoku/>
        <w:overflowPunct/>
        <w:topLinePunct w:val="0"/>
        <w:bidi w:val="0"/>
        <w:spacing w:beforeAutospacing="0" w:afterAutospacing="0" w:line="360" w:lineRule="auto"/>
        <w:rPr>
          <w:rFonts w:hint="eastAsia" w:ascii="宋体" w:hAnsi="宋体" w:eastAsia="宋体" w:cs="宋体"/>
          <w:color w:val="auto"/>
          <w:highlight w:val="none"/>
        </w:rPr>
      </w:pPr>
    </w:p>
    <w:p w14:paraId="6C4AF1EA">
      <w:pPr>
        <w:pStyle w:val="10"/>
        <w:pageBreakBefore w:val="0"/>
        <w:kinsoku/>
        <w:overflowPunct/>
        <w:topLinePunct w:val="0"/>
        <w:bidi w:val="0"/>
        <w:spacing w:beforeAutospacing="0" w:afterAutospacing="0" w:line="360" w:lineRule="auto"/>
        <w:rPr>
          <w:rFonts w:hint="eastAsia" w:ascii="宋体" w:hAnsi="宋体" w:eastAsia="宋体" w:cs="宋体"/>
          <w:color w:val="auto"/>
          <w:highlight w:val="none"/>
        </w:rPr>
      </w:pPr>
    </w:p>
    <w:p w14:paraId="7B6A2229">
      <w:pPr>
        <w:rPr>
          <w:rFonts w:hint="eastAsia" w:ascii="宋体" w:hAnsi="宋体" w:eastAsia="宋体" w:cs="宋体"/>
          <w:color w:val="auto"/>
          <w:szCs w:val="32"/>
          <w:highlight w:val="none"/>
        </w:rPr>
      </w:pPr>
      <w:bookmarkStart w:id="560" w:name="_Toc18796"/>
      <w:bookmarkStart w:id="561" w:name="_Toc30790"/>
      <w:bookmarkStart w:id="562" w:name="_Toc2096"/>
      <w:r>
        <w:rPr>
          <w:rFonts w:hint="eastAsia" w:ascii="宋体" w:hAnsi="宋体" w:eastAsia="宋体" w:cs="宋体"/>
          <w:color w:val="auto"/>
          <w:szCs w:val="32"/>
          <w:highlight w:val="none"/>
        </w:rPr>
        <w:br w:type="page"/>
      </w:r>
    </w:p>
    <w:bookmarkEnd w:id="559"/>
    <w:bookmarkEnd w:id="560"/>
    <w:bookmarkEnd w:id="561"/>
    <w:bookmarkEnd w:id="562"/>
    <w:p w14:paraId="2A7972D5">
      <w:pPr>
        <w:pageBreakBefore w:val="0"/>
        <w:kinsoku/>
        <w:overflowPunct/>
        <w:topLinePunct w:val="0"/>
        <w:bidi w:val="0"/>
        <w:spacing w:beforeAutospacing="0" w:afterAutospacing="0" w:line="360" w:lineRule="auto"/>
        <w:jc w:val="center"/>
        <w:outlineLvl w:val="2"/>
        <w:rPr>
          <w:rFonts w:hint="eastAsia" w:ascii="宋体" w:hAnsi="宋体" w:eastAsia="宋体" w:cs="宋体"/>
          <w:b/>
          <w:bCs/>
          <w:color w:val="auto"/>
          <w:sz w:val="28"/>
          <w:szCs w:val="28"/>
          <w:highlight w:val="none"/>
        </w:rPr>
      </w:pPr>
      <w:bookmarkStart w:id="563" w:name="_Toc19678"/>
      <w:bookmarkStart w:id="564" w:name="_Toc14830"/>
      <w:bookmarkStart w:id="565" w:name="_Toc420930160"/>
      <w:bookmarkStart w:id="566" w:name="_Toc28953"/>
      <w:bookmarkStart w:id="567" w:name="_Toc14406"/>
      <w:bookmarkStart w:id="568" w:name="_Toc8448"/>
      <w:bookmarkStart w:id="569" w:name="_Toc6253"/>
      <w:bookmarkStart w:id="570" w:name="_Toc18774"/>
      <w:bookmarkStart w:id="571" w:name="_Toc16470"/>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、商务条款偏离表</w:t>
      </w:r>
      <w:bookmarkEnd w:id="563"/>
      <w:bookmarkEnd w:id="564"/>
      <w:bookmarkEnd w:id="565"/>
      <w:bookmarkEnd w:id="566"/>
      <w:bookmarkEnd w:id="567"/>
      <w:bookmarkEnd w:id="568"/>
      <w:bookmarkEnd w:id="569"/>
      <w:bookmarkEnd w:id="570"/>
      <w:bookmarkEnd w:id="571"/>
    </w:p>
    <w:p w14:paraId="4D82ED3E">
      <w:pPr>
        <w:pageBreakBefore w:val="0"/>
        <w:kinsoku/>
        <w:wordWrap w:val="0"/>
        <w:overflowPunct/>
        <w:topLinePunct w:val="0"/>
        <w:bidi w:val="0"/>
        <w:spacing w:beforeAutospacing="0" w:afterAutospacing="0"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投标人应逐条对应招标文件第六章“</w:t>
      </w:r>
      <w:r>
        <w:rPr>
          <w:rFonts w:hint="eastAsia" w:ascii="宋体" w:hAnsi="宋体" w:eastAsia="宋体" w:cs="宋体"/>
          <w:b/>
          <w:color w:val="auto"/>
          <w:sz w:val="24"/>
          <w:highlight w:val="none"/>
        </w:rPr>
        <w:t>采购需求</w:t>
      </w:r>
      <w:r>
        <w:rPr>
          <w:rFonts w:hint="eastAsia" w:ascii="宋体" w:hAnsi="宋体" w:eastAsia="宋体" w:cs="宋体"/>
          <w:color w:val="auto"/>
          <w:sz w:val="24"/>
          <w:highlight w:val="none"/>
        </w:rPr>
        <w:t>”和第五章“</w:t>
      </w:r>
      <w:r>
        <w:rPr>
          <w:rFonts w:hint="eastAsia" w:ascii="宋体" w:hAnsi="宋体" w:eastAsia="宋体" w:cs="宋体"/>
          <w:b/>
          <w:bCs/>
          <w:color w:val="auto"/>
          <w:sz w:val="24"/>
          <w:highlight w:val="none"/>
        </w:rPr>
        <w:t>合同书样式及主要条款</w:t>
      </w:r>
      <w:r>
        <w:rPr>
          <w:rFonts w:hint="eastAsia" w:ascii="宋体" w:hAnsi="宋体" w:eastAsia="宋体" w:cs="宋体"/>
          <w:color w:val="auto"/>
          <w:sz w:val="24"/>
          <w:highlight w:val="none"/>
        </w:rPr>
        <w:t>”中要求的商务条件，包括合同履行期限、付款方式、交付地点、履约保证金等内容，并根据实际投标情况如实填写本表格。★</w:t>
      </w:r>
      <w:r>
        <w:rPr>
          <w:rFonts w:hint="eastAsia" w:ascii="宋体" w:hAnsi="宋体" w:eastAsia="宋体" w:cs="宋体"/>
          <w:b/>
          <w:color w:val="auto"/>
          <w:sz w:val="24"/>
          <w:highlight w:val="none"/>
        </w:rPr>
        <w:t>未填写本表格的投标人将不能通过符合性评审。</w:t>
      </w:r>
    </w:p>
    <w:p w14:paraId="143C8BD5">
      <w:pPr>
        <w:pageBreakBefore w:val="0"/>
        <w:kinsoku/>
        <w:wordWrap w:val="0"/>
        <w:overflowPunct/>
        <w:topLinePunct w:val="0"/>
        <w:bidi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项目编号：</w:t>
      </w:r>
      <w:r>
        <w:rPr>
          <w:rFonts w:hint="eastAsia" w:ascii="宋体" w:hAnsi="宋体" w:eastAsia="宋体" w:cs="宋体"/>
          <w:color w:val="auto"/>
          <w:sz w:val="24"/>
          <w:highlight w:val="none"/>
          <w:u w:val="single"/>
        </w:rPr>
        <w:t xml:space="preserve">                 </w:t>
      </w:r>
    </w:p>
    <w:tbl>
      <w:tblPr>
        <w:tblStyle w:val="25"/>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4702"/>
        <w:gridCol w:w="4626"/>
      </w:tblGrid>
      <w:tr w14:paraId="273BF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10100" w:type="dxa"/>
            <w:gridSpan w:val="3"/>
            <w:vAlign w:val="center"/>
          </w:tcPr>
          <w:p w14:paraId="2D9C6575">
            <w:pPr>
              <w:pageBreakBefore w:val="0"/>
              <w:kinsoku/>
              <w:wordWrap w:val="0"/>
              <w:overflowPunct/>
              <w:topLinePunct w:val="0"/>
              <w:bidi w:val="0"/>
              <w:spacing w:beforeAutospacing="0" w:afterAutospacing="0"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A、□我公司已详细阅读招标文件中各项商务要求，所有商务要求均无偏离，中标后我公司将严格遵照执行。</w:t>
            </w:r>
          </w:p>
          <w:p w14:paraId="59A22BD8">
            <w:pPr>
              <w:pageBreakBefore w:val="0"/>
              <w:kinsoku/>
              <w:wordWrap w:val="0"/>
              <w:overflowPunct/>
              <w:topLinePunct w:val="0"/>
              <w:bidi w:val="0"/>
              <w:spacing w:beforeAutospacing="0" w:afterAutospacing="0"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B、□我公司已详细阅读招标文件中各项商务要求，除下述条款有偏离外，其余条款我公司均予以认可，中标后将严格遵照执行。</w:t>
            </w:r>
          </w:p>
        </w:tc>
      </w:tr>
      <w:tr w14:paraId="74C17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72" w:type="dxa"/>
            <w:vAlign w:val="center"/>
          </w:tcPr>
          <w:p w14:paraId="61414A7C">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4702" w:type="dxa"/>
            <w:vAlign w:val="center"/>
          </w:tcPr>
          <w:p w14:paraId="13C78D50">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招标文件的商务条款要求</w:t>
            </w:r>
          </w:p>
        </w:tc>
        <w:tc>
          <w:tcPr>
            <w:tcW w:w="4626" w:type="dxa"/>
            <w:vAlign w:val="center"/>
          </w:tcPr>
          <w:p w14:paraId="650A76DF">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投标文件的商务条款</w:t>
            </w:r>
          </w:p>
        </w:tc>
      </w:tr>
      <w:tr w14:paraId="0EFE8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7DB7DFDF">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702" w:type="dxa"/>
            <w:vAlign w:val="center"/>
          </w:tcPr>
          <w:p w14:paraId="4B5B6FB9">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626" w:type="dxa"/>
            <w:vAlign w:val="center"/>
          </w:tcPr>
          <w:p w14:paraId="12F8535D">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r>
      <w:tr w14:paraId="3801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32B6DB4A">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702" w:type="dxa"/>
            <w:vAlign w:val="center"/>
          </w:tcPr>
          <w:p w14:paraId="3CF101E1">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626" w:type="dxa"/>
            <w:vAlign w:val="center"/>
          </w:tcPr>
          <w:p w14:paraId="580C7B9E">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r>
      <w:tr w14:paraId="02A72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1A0C0D5">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702" w:type="dxa"/>
            <w:vAlign w:val="center"/>
          </w:tcPr>
          <w:p w14:paraId="085E12B0">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626" w:type="dxa"/>
            <w:vAlign w:val="center"/>
          </w:tcPr>
          <w:p w14:paraId="469C2D05">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r>
      <w:tr w14:paraId="3A96D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46665E70">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702" w:type="dxa"/>
            <w:vAlign w:val="center"/>
          </w:tcPr>
          <w:p w14:paraId="3F782176">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626" w:type="dxa"/>
            <w:vAlign w:val="center"/>
          </w:tcPr>
          <w:p w14:paraId="4A22E2AD">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r>
      <w:tr w14:paraId="3D2D9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AC0154F">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702" w:type="dxa"/>
            <w:vAlign w:val="center"/>
          </w:tcPr>
          <w:p w14:paraId="6101B9C2">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626" w:type="dxa"/>
            <w:vAlign w:val="center"/>
          </w:tcPr>
          <w:p w14:paraId="4B587B1D">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r>
      <w:tr w14:paraId="5AC94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545E43A7">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702" w:type="dxa"/>
            <w:vAlign w:val="center"/>
          </w:tcPr>
          <w:p w14:paraId="7857A6D7">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626" w:type="dxa"/>
            <w:vAlign w:val="center"/>
          </w:tcPr>
          <w:p w14:paraId="68CD2A2D">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r>
      <w:tr w14:paraId="450D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22DE4A8C">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702" w:type="dxa"/>
            <w:vAlign w:val="center"/>
          </w:tcPr>
          <w:p w14:paraId="24B77A86">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626" w:type="dxa"/>
            <w:vAlign w:val="center"/>
          </w:tcPr>
          <w:p w14:paraId="4156F261">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r>
      <w:tr w14:paraId="53CF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8E5D993">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702" w:type="dxa"/>
            <w:vAlign w:val="center"/>
          </w:tcPr>
          <w:p w14:paraId="7B04903D">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626" w:type="dxa"/>
            <w:vAlign w:val="center"/>
          </w:tcPr>
          <w:p w14:paraId="56B9AAF6">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r>
      <w:tr w14:paraId="306F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97F6A60">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702" w:type="dxa"/>
            <w:vAlign w:val="center"/>
          </w:tcPr>
          <w:p w14:paraId="23CE7B69">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c>
          <w:tcPr>
            <w:tcW w:w="4626" w:type="dxa"/>
            <w:vAlign w:val="center"/>
          </w:tcPr>
          <w:p w14:paraId="3785A57C">
            <w:pPr>
              <w:pageBreakBefore w:val="0"/>
              <w:kinsoku/>
              <w:wordWrap w:val="0"/>
              <w:overflowPunct/>
              <w:topLinePunct w:val="0"/>
              <w:bidi w:val="0"/>
              <w:spacing w:beforeAutospacing="0" w:afterAutospacing="0" w:line="360" w:lineRule="auto"/>
              <w:jc w:val="center"/>
              <w:rPr>
                <w:rFonts w:hint="eastAsia" w:ascii="宋体" w:hAnsi="宋体" w:eastAsia="宋体" w:cs="宋体"/>
                <w:color w:val="auto"/>
                <w:sz w:val="24"/>
                <w:highlight w:val="none"/>
              </w:rPr>
            </w:pPr>
          </w:p>
        </w:tc>
      </w:tr>
    </w:tbl>
    <w:p w14:paraId="62F482EE">
      <w:pPr>
        <w:pageBreakBefore w:val="0"/>
        <w:kinsoku/>
        <w:wordWrap w:val="0"/>
        <w:overflowPunct/>
        <w:topLinePunct w:val="0"/>
        <w:bidi w:val="0"/>
        <w:spacing w:beforeAutospacing="0" w:afterAutospacing="0" w:line="360" w:lineRule="auto"/>
        <w:ind w:firstLine="2" w:firstLineChars="1"/>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p>
    <w:p w14:paraId="72C520F2">
      <w:pPr>
        <w:pageBreakBefore w:val="0"/>
        <w:kinsoku/>
        <w:wordWrap w:val="0"/>
        <w:overflowPunct/>
        <w:topLinePunct w:val="0"/>
        <w:bidi w:val="0"/>
        <w:spacing w:beforeAutospacing="0" w:afterAutospacing="0" w:line="360" w:lineRule="auto"/>
        <w:ind w:firstLine="2" w:firstLineChars="1"/>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电子签章</w:t>
      </w:r>
      <w:r>
        <w:rPr>
          <w:rFonts w:hint="eastAsia" w:ascii="宋体" w:hAnsi="宋体" w:eastAsia="宋体" w:cs="宋体"/>
          <w:color w:val="auto"/>
          <w:sz w:val="24"/>
          <w:highlight w:val="none"/>
        </w:rPr>
        <w:t>）</w:t>
      </w:r>
    </w:p>
    <w:p w14:paraId="04A7A589">
      <w:pPr>
        <w:pageBreakBefore w:val="0"/>
        <w:kinsoku/>
        <w:wordWrap w:val="0"/>
        <w:overflowPunct/>
        <w:topLinePunct w:val="0"/>
        <w:bidi w:val="0"/>
        <w:spacing w:beforeAutospacing="0" w:afterAutospacing="0" w:line="360" w:lineRule="auto"/>
        <w:ind w:firstLine="2" w:firstLineChars="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53E0407">
      <w:pPr>
        <w:pStyle w:val="14"/>
        <w:pageBreakBefore w:val="0"/>
        <w:kinsoku/>
        <w:wordWrap w:val="0"/>
        <w:overflowPunct/>
        <w:topLinePunct w:val="0"/>
        <w:bidi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表格填写说明：</w:t>
      </w:r>
    </w:p>
    <w:p w14:paraId="66069118">
      <w:pPr>
        <w:pStyle w:val="14"/>
        <w:pageBreakBefore w:val="0"/>
        <w:kinsoku/>
        <w:wordWrap w:val="0"/>
        <w:overflowPunct/>
        <w:topLinePunct w:val="0"/>
        <w:bidi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1、投标人根据应根据实际投标情况，填写本表格，若无偏离，则勾选A项，电子签章即可。若有偏离，则勾选B项，按表格要求及实际情况填写后，电子签章。</w:t>
      </w:r>
    </w:p>
    <w:p w14:paraId="200478BA">
      <w:pPr>
        <w:pStyle w:val="14"/>
        <w:pageBreakBefore w:val="0"/>
        <w:kinsoku/>
        <w:wordWrap w:val="0"/>
        <w:overflowPunct/>
        <w:topLinePunct w:val="0"/>
        <w:bidi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2、表格中“招标文件的商务条款要求”在填写时应注明该条款在招标文件的页码及条款号。</w:t>
      </w:r>
    </w:p>
    <w:p w14:paraId="220D8C5A">
      <w:pPr>
        <w:pStyle w:val="14"/>
        <w:pageBreakBefore w:val="0"/>
        <w:kinsoku/>
        <w:wordWrap w:val="0"/>
        <w:overflowPunct/>
        <w:topLinePunct w:val="0"/>
        <w:bidi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3、表格中“投标文件的商务条款”请投标人根据实际投标情况如实、完整、准确的填写。</w:t>
      </w:r>
    </w:p>
    <w:p w14:paraId="53457FB4">
      <w:pPr>
        <w:pStyle w:val="14"/>
        <w:pageBreakBefore w:val="0"/>
        <w:kinsoku/>
        <w:wordWrap w:val="0"/>
        <w:overflowPunct/>
        <w:topLinePunct w:val="0"/>
        <w:bidi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b/>
          <w:color w:val="auto"/>
          <w:sz w:val="24"/>
          <w:szCs w:val="24"/>
          <w:highlight w:val="none"/>
        </w:rPr>
        <w:t>本表格中内容与投标文件其余部分不一致的，以本表格为准。</w:t>
      </w:r>
    </w:p>
    <w:p w14:paraId="100FC828">
      <w:pPr>
        <w:rPr>
          <w:rFonts w:hint="eastAsia" w:ascii="宋体" w:hAnsi="宋体" w:eastAsia="宋体" w:cs="宋体"/>
        </w:rPr>
      </w:pPr>
      <w:r>
        <w:rPr>
          <w:rFonts w:hint="eastAsia" w:ascii="宋体" w:hAnsi="宋体" w:eastAsia="宋体" w:cs="宋体"/>
        </w:rPr>
        <w:br w:type="page"/>
      </w:r>
    </w:p>
    <w:p w14:paraId="7D675967">
      <w:pPr>
        <w:pStyle w:val="4"/>
        <w:numPr>
          <w:ilvl w:val="1"/>
          <w:numId w:val="0"/>
        </w:numPr>
        <w:tabs>
          <w:tab w:val="left" w:pos="1021"/>
          <w:tab w:val="clear" w:pos="720"/>
        </w:tabs>
        <w:ind w:left="425"/>
        <w:jc w:val="center"/>
        <w:rPr>
          <w:rFonts w:hint="eastAsia" w:ascii="宋体" w:hAnsi="宋体" w:eastAsia="宋体" w:cs="宋体"/>
          <w:b/>
          <w:sz w:val="24"/>
          <w:szCs w:val="24"/>
        </w:rPr>
      </w:pPr>
      <w:bookmarkStart w:id="572" w:name="_Toc21286"/>
      <w:bookmarkStart w:id="573" w:name="_Toc9110"/>
      <w:bookmarkStart w:id="574" w:name="_Toc24865"/>
      <w:bookmarkStart w:id="575" w:name="_Toc2781"/>
      <w:bookmarkStart w:id="576" w:name="_Toc8998"/>
      <w:bookmarkStart w:id="577" w:name="_Toc27701"/>
      <w:r>
        <w:rPr>
          <w:rFonts w:hint="eastAsia" w:ascii="宋体" w:hAnsi="宋体" w:eastAsia="宋体" w:cs="宋体"/>
          <w:sz w:val="32"/>
          <w:szCs w:val="32"/>
          <w:highlight w:val="none"/>
          <w:lang w:val="en-US" w:eastAsia="zh-CN"/>
        </w:rPr>
        <w:t>四</w:t>
      </w:r>
      <w:r>
        <w:rPr>
          <w:rFonts w:hint="eastAsia" w:ascii="宋体" w:hAnsi="宋体" w:eastAsia="宋体" w:cs="宋体"/>
          <w:sz w:val="32"/>
          <w:szCs w:val="32"/>
          <w:highlight w:val="none"/>
        </w:rPr>
        <w:t>、技术部分</w:t>
      </w:r>
      <w:bookmarkEnd w:id="572"/>
      <w:bookmarkEnd w:id="573"/>
      <w:bookmarkEnd w:id="574"/>
      <w:bookmarkEnd w:id="575"/>
      <w:bookmarkEnd w:id="576"/>
      <w:bookmarkEnd w:id="577"/>
    </w:p>
    <w:p w14:paraId="7676EBB0">
      <w:pPr>
        <w:pageBreakBefore w:val="0"/>
        <w:kinsoku/>
        <w:overflowPunct/>
        <w:topLinePunct w:val="0"/>
        <w:bidi w:val="0"/>
        <w:spacing w:beforeAutospacing="0" w:afterAutospacing="0" w:line="360" w:lineRule="auto"/>
        <w:jc w:val="center"/>
        <w:outlineLvl w:val="9"/>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1、技术参数及性能指标响应</w:t>
      </w:r>
    </w:p>
    <w:p w14:paraId="4FB86615">
      <w:pPr>
        <w:pageBreakBefore w:val="0"/>
        <w:kinsoku/>
        <w:overflowPunct/>
        <w:topLinePunct w:val="0"/>
        <w:bidi w:val="0"/>
        <w:spacing w:beforeAutospacing="0" w:afterAutospacing="0"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kern w:val="2"/>
          <w:sz w:val="28"/>
          <w:szCs w:val="28"/>
          <w:lang w:val="en-US" w:eastAsia="zh-CN" w:bidi="ar-SA"/>
        </w:rPr>
        <w:t>（1）</w:t>
      </w:r>
      <w:r>
        <w:rPr>
          <w:rFonts w:hint="eastAsia" w:ascii="宋体" w:hAnsi="宋体" w:eastAsia="宋体" w:cs="宋体"/>
          <w:b/>
          <w:bCs/>
          <w:color w:val="auto"/>
          <w:sz w:val="28"/>
          <w:szCs w:val="28"/>
          <w:highlight w:val="none"/>
        </w:rPr>
        <w:t>技术规格偏离表</w:t>
      </w:r>
    </w:p>
    <w:p w14:paraId="39EBA9F6">
      <w:pPr>
        <w:pageBreakBefore w:val="0"/>
        <w:kinsoku/>
        <w:wordWrap w:val="0"/>
        <w:overflowPunct/>
        <w:topLinePunct w:val="0"/>
        <w:bidi w:val="0"/>
        <w:spacing w:beforeAutospacing="0" w:afterAutospacing="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投标人应逐条对</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招标文件的第六章“</w:t>
      </w:r>
      <w:r>
        <w:rPr>
          <w:rFonts w:hint="eastAsia" w:ascii="宋体" w:hAnsi="宋体" w:eastAsia="宋体" w:cs="宋体"/>
          <w:b/>
          <w:color w:val="auto"/>
          <w:sz w:val="24"/>
          <w:highlight w:val="none"/>
        </w:rPr>
        <w:t>采购需求</w:t>
      </w:r>
      <w:r>
        <w:rPr>
          <w:rFonts w:hint="eastAsia" w:ascii="宋体" w:hAnsi="宋体" w:eastAsia="宋体" w:cs="宋体"/>
          <w:color w:val="auto"/>
          <w:sz w:val="24"/>
          <w:highlight w:val="none"/>
        </w:rPr>
        <w:t>”中的技术参数及性能要求规范如实、完整、准确的填写该表。</w:t>
      </w:r>
    </w:p>
    <w:p w14:paraId="0EC569AF">
      <w:pPr>
        <w:pageBreakBefore w:val="0"/>
        <w:kinsoku/>
        <w:wordWrap w:val="0"/>
        <w:overflowPunct/>
        <w:topLinePunct w:val="0"/>
        <w:bidi w:val="0"/>
        <w:spacing w:beforeAutospacing="0" w:afterAutospacing="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本表格将作为评标委员会对投标人技术部分的评审依据，未填写本表格的投标人将不能通过符合性评审。</w:t>
      </w:r>
    </w:p>
    <w:p w14:paraId="6BD0EC70">
      <w:pPr>
        <w:pageBreakBefore w:val="0"/>
        <w:kinsoku/>
        <w:wordWrap w:val="0"/>
        <w:overflowPunct/>
        <w:topLinePunct w:val="0"/>
        <w:bidi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项目编号：</w:t>
      </w:r>
      <w:r>
        <w:rPr>
          <w:rFonts w:hint="eastAsia" w:ascii="宋体" w:hAnsi="宋体" w:eastAsia="宋体" w:cs="宋体"/>
          <w:color w:val="auto"/>
          <w:sz w:val="24"/>
          <w:highlight w:val="none"/>
          <w:u w:val="single"/>
        </w:rPr>
        <w:t xml:space="preserve">                     </w:t>
      </w:r>
    </w:p>
    <w:tbl>
      <w:tblPr>
        <w:tblStyle w:val="25"/>
        <w:tblW w:w="10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2059"/>
        <w:gridCol w:w="1941"/>
        <w:gridCol w:w="2095"/>
        <w:gridCol w:w="1286"/>
        <w:gridCol w:w="1706"/>
      </w:tblGrid>
      <w:tr w14:paraId="7247B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07" w:type="dxa"/>
            <w:noWrap w:val="0"/>
            <w:vAlign w:val="center"/>
          </w:tcPr>
          <w:p w14:paraId="4BE9E6E7">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83" w:type="dxa"/>
            <w:noWrap w:val="0"/>
            <w:vAlign w:val="center"/>
          </w:tcPr>
          <w:p w14:paraId="5E75DD8D">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产品名称</w:t>
            </w:r>
          </w:p>
        </w:tc>
        <w:tc>
          <w:tcPr>
            <w:tcW w:w="2059" w:type="dxa"/>
            <w:noWrap w:val="0"/>
            <w:vAlign w:val="center"/>
          </w:tcPr>
          <w:p w14:paraId="7606C429">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招标文件技术参数及性能要求</w:t>
            </w:r>
          </w:p>
        </w:tc>
        <w:tc>
          <w:tcPr>
            <w:tcW w:w="1941" w:type="dxa"/>
            <w:noWrap w:val="0"/>
            <w:vAlign w:val="center"/>
          </w:tcPr>
          <w:p w14:paraId="6E268785">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投标人响应的</w:t>
            </w:r>
            <w:r>
              <w:rPr>
                <w:rFonts w:hint="eastAsia" w:ascii="宋体" w:hAnsi="宋体" w:eastAsia="宋体" w:cs="宋体"/>
                <w:color w:val="auto"/>
                <w:sz w:val="21"/>
                <w:szCs w:val="21"/>
                <w:highlight w:val="none"/>
              </w:rPr>
              <w:t>技术参数及性能</w:t>
            </w:r>
          </w:p>
        </w:tc>
        <w:tc>
          <w:tcPr>
            <w:tcW w:w="2095" w:type="dxa"/>
            <w:noWrap w:val="0"/>
            <w:vAlign w:val="center"/>
          </w:tcPr>
          <w:p w14:paraId="3C078508">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品牌、型号、技术参数及配置</w:t>
            </w:r>
          </w:p>
        </w:tc>
        <w:tc>
          <w:tcPr>
            <w:tcW w:w="1286" w:type="dxa"/>
            <w:noWrap w:val="0"/>
            <w:vAlign w:val="center"/>
          </w:tcPr>
          <w:p w14:paraId="0D7738A8">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tc>
        <w:tc>
          <w:tcPr>
            <w:tcW w:w="1706" w:type="dxa"/>
            <w:noWrap w:val="0"/>
            <w:vAlign w:val="center"/>
          </w:tcPr>
          <w:p w14:paraId="18777F2A">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技术要求支持资料索引（页码及条目号等）</w:t>
            </w:r>
          </w:p>
        </w:tc>
      </w:tr>
      <w:tr w14:paraId="471A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07" w:type="dxa"/>
            <w:noWrap w:val="0"/>
            <w:vAlign w:val="center"/>
          </w:tcPr>
          <w:p w14:paraId="64C41B4D">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color w:val="auto"/>
                <w:kern w:val="2"/>
                <w:sz w:val="21"/>
                <w:szCs w:val="21"/>
                <w:highlight w:val="none"/>
                <w:lang w:val="en-US" w:eastAsia="zh-CN" w:bidi="ar-SA"/>
              </w:rPr>
            </w:pPr>
          </w:p>
        </w:tc>
        <w:tc>
          <w:tcPr>
            <w:tcW w:w="1183" w:type="dxa"/>
            <w:noWrap w:val="0"/>
            <w:vAlign w:val="center"/>
          </w:tcPr>
          <w:p w14:paraId="187168C3">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color w:val="auto"/>
                <w:kern w:val="0"/>
                <w:sz w:val="21"/>
                <w:szCs w:val="21"/>
                <w:highlight w:val="none"/>
                <w:lang w:val="en-US" w:eastAsia="zh-CN" w:bidi="ar-SA"/>
              </w:rPr>
            </w:pPr>
          </w:p>
        </w:tc>
        <w:tc>
          <w:tcPr>
            <w:tcW w:w="2059" w:type="dxa"/>
            <w:noWrap w:val="0"/>
            <w:vAlign w:val="center"/>
          </w:tcPr>
          <w:p w14:paraId="5D912CEE">
            <w:pPr>
              <w:keepNext w:val="0"/>
              <w:keepLines w:val="0"/>
              <w:pageBreakBefore w:val="0"/>
              <w:widowControl/>
              <w:suppressLineNumbers w:val="0"/>
              <w:kinsoku/>
              <w:overflowPunct/>
              <w:topLinePunct w:val="0"/>
              <w:bidi w:val="0"/>
              <w:spacing w:beforeAutospacing="0" w:afterAutospacing="0" w:line="240" w:lineRule="auto"/>
              <w:jc w:val="left"/>
              <w:textAlignment w:val="center"/>
              <w:rPr>
                <w:rFonts w:hint="eastAsia" w:ascii="宋体" w:hAnsi="宋体" w:eastAsia="宋体" w:cs="宋体"/>
                <w:color w:val="auto"/>
                <w:kern w:val="0"/>
                <w:sz w:val="21"/>
                <w:szCs w:val="21"/>
                <w:highlight w:val="none"/>
                <w:lang w:val="en-US" w:eastAsia="zh-CN" w:bidi="ar-SA"/>
              </w:rPr>
            </w:pPr>
          </w:p>
        </w:tc>
        <w:tc>
          <w:tcPr>
            <w:tcW w:w="1941" w:type="dxa"/>
            <w:noWrap w:val="0"/>
            <w:vAlign w:val="center"/>
          </w:tcPr>
          <w:p w14:paraId="710E9CF8">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2095" w:type="dxa"/>
            <w:noWrap w:val="0"/>
            <w:vAlign w:val="center"/>
          </w:tcPr>
          <w:p w14:paraId="4E34A0C2">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286" w:type="dxa"/>
            <w:noWrap w:val="0"/>
            <w:vAlign w:val="center"/>
          </w:tcPr>
          <w:p w14:paraId="252905FF">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706" w:type="dxa"/>
            <w:noWrap w:val="0"/>
            <w:vAlign w:val="center"/>
          </w:tcPr>
          <w:p w14:paraId="474B2C01">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r>
      <w:tr w14:paraId="719E0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07" w:type="dxa"/>
            <w:noWrap w:val="0"/>
            <w:vAlign w:val="center"/>
          </w:tcPr>
          <w:p w14:paraId="162CC491">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color w:val="auto"/>
                <w:kern w:val="2"/>
                <w:sz w:val="21"/>
                <w:szCs w:val="21"/>
                <w:highlight w:val="none"/>
                <w:lang w:val="en-US" w:eastAsia="zh-CN" w:bidi="ar-SA"/>
              </w:rPr>
            </w:pPr>
          </w:p>
        </w:tc>
        <w:tc>
          <w:tcPr>
            <w:tcW w:w="1183" w:type="dxa"/>
            <w:noWrap w:val="0"/>
            <w:vAlign w:val="center"/>
          </w:tcPr>
          <w:p w14:paraId="23179783">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color w:val="auto"/>
                <w:kern w:val="0"/>
                <w:sz w:val="21"/>
                <w:szCs w:val="21"/>
                <w:highlight w:val="none"/>
                <w:lang w:val="en-US" w:eastAsia="zh-CN" w:bidi="ar-SA"/>
              </w:rPr>
            </w:pPr>
          </w:p>
        </w:tc>
        <w:tc>
          <w:tcPr>
            <w:tcW w:w="2059" w:type="dxa"/>
            <w:noWrap w:val="0"/>
            <w:vAlign w:val="center"/>
          </w:tcPr>
          <w:p w14:paraId="5BF537D9">
            <w:pPr>
              <w:pageBreakBefore w:val="0"/>
              <w:kinsoku/>
              <w:overflowPunct/>
              <w:topLinePunct w:val="0"/>
              <w:bidi w:val="0"/>
              <w:spacing w:beforeAutospacing="0" w:afterAutospacing="0" w:line="240" w:lineRule="auto"/>
              <w:jc w:val="left"/>
              <w:rPr>
                <w:rFonts w:hint="eastAsia" w:ascii="宋体" w:hAnsi="宋体" w:eastAsia="宋体" w:cs="宋体"/>
                <w:color w:val="auto"/>
                <w:kern w:val="0"/>
                <w:sz w:val="21"/>
                <w:szCs w:val="21"/>
                <w:highlight w:val="none"/>
                <w:lang w:val="en-US" w:eastAsia="zh-CN" w:bidi="ar-SA"/>
              </w:rPr>
            </w:pPr>
          </w:p>
        </w:tc>
        <w:tc>
          <w:tcPr>
            <w:tcW w:w="1941" w:type="dxa"/>
            <w:noWrap w:val="0"/>
            <w:vAlign w:val="center"/>
          </w:tcPr>
          <w:p w14:paraId="0C1DE258">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2095" w:type="dxa"/>
            <w:noWrap w:val="0"/>
            <w:vAlign w:val="center"/>
          </w:tcPr>
          <w:p w14:paraId="67D9D161">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286" w:type="dxa"/>
            <w:noWrap w:val="0"/>
            <w:vAlign w:val="center"/>
          </w:tcPr>
          <w:p w14:paraId="429ED5AD">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706" w:type="dxa"/>
            <w:noWrap w:val="0"/>
            <w:vAlign w:val="center"/>
          </w:tcPr>
          <w:p w14:paraId="7450AFE8">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r>
      <w:tr w14:paraId="7B131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07" w:type="dxa"/>
            <w:noWrap w:val="0"/>
            <w:vAlign w:val="center"/>
          </w:tcPr>
          <w:p w14:paraId="33DF963A">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color w:val="auto"/>
                <w:kern w:val="2"/>
                <w:sz w:val="21"/>
                <w:szCs w:val="21"/>
                <w:highlight w:val="none"/>
                <w:lang w:val="en-US" w:eastAsia="zh-CN" w:bidi="ar-SA"/>
              </w:rPr>
            </w:pPr>
          </w:p>
        </w:tc>
        <w:tc>
          <w:tcPr>
            <w:tcW w:w="1183" w:type="dxa"/>
            <w:noWrap w:val="0"/>
            <w:vAlign w:val="center"/>
          </w:tcPr>
          <w:p w14:paraId="029F56E4">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color w:val="auto"/>
                <w:kern w:val="0"/>
                <w:sz w:val="21"/>
                <w:szCs w:val="21"/>
                <w:highlight w:val="none"/>
                <w:lang w:val="en-US" w:eastAsia="zh-CN" w:bidi="ar-SA"/>
              </w:rPr>
            </w:pPr>
          </w:p>
        </w:tc>
        <w:tc>
          <w:tcPr>
            <w:tcW w:w="2059" w:type="dxa"/>
            <w:noWrap w:val="0"/>
            <w:vAlign w:val="center"/>
          </w:tcPr>
          <w:p w14:paraId="5CAB804F">
            <w:pPr>
              <w:pageBreakBefore w:val="0"/>
              <w:kinsoku/>
              <w:overflowPunct/>
              <w:topLinePunct w:val="0"/>
              <w:bidi w:val="0"/>
              <w:spacing w:beforeAutospacing="0" w:afterAutospacing="0" w:line="240" w:lineRule="auto"/>
              <w:jc w:val="left"/>
              <w:rPr>
                <w:rFonts w:hint="eastAsia" w:ascii="宋体" w:hAnsi="宋体" w:eastAsia="宋体" w:cs="宋体"/>
                <w:color w:val="auto"/>
                <w:kern w:val="0"/>
                <w:sz w:val="21"/>
                <w:szCs w:val="21"/>
                <w:highlight w:val="none"/>
                <w:lang w:val="en-US" w:eastAsia="zh-CN" w:bidi="ar-SA"/>
              </w:rPr>
            </w:pPr>
          </w:p>
        </w:tc>
        <w:tc>
          <w:tcPr>
            <w:tcW w:w="1941" w:type="dxa"/>
            <w:noWrap w:val="0"/>
            <w:vAlign w:val="center"/>
          </w:tcPr>
          <w:p w14:paraId="4B07050C">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2095" w:type="dxa"/>
            <w:noWrap w:val="0"/>
            <w:vAlign w:val="center"/>
          </w:tcPr>
          <w:p w14:paraId="0501F636">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286" w:type="dxa"/>
            <w:noWrap w:val="0"/>
            <w:vAlign w:val="center"/>
          </w:tcPr>
          <w:p w14:paraId="2FC978AA">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706" w:type="dxa"/>
            <w:noWrap w:val="0"/>
            <w:vAlign w:val="center"/>
          </w:tcPr>
          <w:p w14:paraId="786383B3">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r>
      <w:tr w14:paraId="107E0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07" w:type="dxa"/>
            <w:noWrap w:val="0"/>
            <w:vAlign w:val="center"/>
          </w:tcPr>
          <w:p w14:paraId="43E29163">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2"/>
                <w:sz w:val="21"/>
                <w:szCs w:val="21"/>
                <w:highlight w:val="none"/>
                <w:lang w:val="en-US" w:eastAsia="zh-CN" w:bidi="ar-SA"/>
              </w:rPr>
            </w:pPr>
          </w:p>
        </w:tc>
        <w:tc>
          <w:tcPr>
            <w:tcW w:w="1183" w:type="dxa"/>
            <w:noWrap w:val="0"/>
            <w:vAlign w:val="center"/>
          </w:tcPr>
          <w:p w14:paraId="5FE561B0">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0"/>
                <w:sz w:val="21"/>
                <w:szCs w:val="21"/>
                <w:highlight w:val="none"/>
                <w:lang w:val="en-US" w:eastAsia="zh-CN" w:bidi="ar-SA"/>
              </w:rPr>
            </w:pPr>
          </w:p>
        </w:tc>
        <w:tc>
          <w:tcPr>
            <w:tcW w:w="2059" w:type="dxa"/>
            <w:noWrap w:val="0"/>
            <w:vAlign w:val="center"/>
          </w:tcPr>
          <w:p w14:paraId="5B1CBAF7">
            <w:pPr>
              <w:keepNext w:val="0"/>
              <w:keepLines w:val="0"/>
              <w:pageBreakBefore w:val="0"/>
              <w:widowControl/>
              <w:suppressLineNumbers w:val="0"/>
              <w:kinsoku/>
              <w:overflowPunct/>
              <w:topLinePunct w:val="0"/>
              <w:bidi w:val="0"/>
              <w:spacing w:beforeAutospacing="0" w:afterAutospacing="0" w:line="240" w:lineRule="auto"/>
              <w:jc w:val="left"/>
              <w:textAlignment w:val="center"/>
              <w:rPr>
                <w:rFonts w:hint="eastAsia" w:ascii="宋体" w:hAnsi="宋体" w:eastAsia="宋体" w:cs="宋体"/>
                <w:color w:val="auto"/>
                <w:kern w:val="0"/>
                <w:sz w:val="21"/>
                <w:szCs w:val="21"/>
                <w:highlight w:val="none"/>
                <w:lang w:val="en-US" w:eastAsia="zh-CN" w:bidi="ar-SA"/>
              </w:rPr>
            </w:pPr>
          </w:p>
        </w:tc>
        <w:tc>
          <w:tcPr>
            <w:tcW w:w="1941" w:type="dxa"/>
            <w:noWrap w:val="0"/>
            <w:vAlign w:val="center"/>
          </w:tcPr>
          <w:p w14:paraId="279607E8">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2095" w:type="dxa"/>
            <w:noWrap w:val="0"/>
            <w:vAlign w:val="center"/>
          </w:tcPr>
          <w:p w14:paraId="3BBBAD8E">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286" w:type="dxa"/>
            <w:noWrap w:val="0"/>
            <w:vAlign w:val="center"/>
          </w:tcPr>
          <w:p w14:paraId="5BD11675">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706" w:type="dxa"/>
            <w:noWrap w:val="0"/>
            <w:vAlign w:val="center"/>
          </w:tcPr>
          <w:p w14:paraId="3FA79D66">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r>
      <w:tr w14:paraId="196B7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07" w:type="dxa"/>
            <w:noWrap w:val="0"/>
            <w:vAlign w:val="center"/>
          </w:tcPr>
          <w:p w14:paraId="0D966CEC">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2"/>
                <w:sz w:val="21"/>
                <w:szCs w:val="21"/>
                <w:highlight w:val="none"/>
                <w:lang w:val="en-US" w:eastAsia="zh-CN" w:bidi="ar-SA"/>
              </w:rPr>
            </w:pPr>
          </w:p>
        </w:tc>
        <w:tc>
          <w:tcPr>
            <w:tcW w:w="1183" w:type="dxa"/>
            <w:noWrap w:val="0"/>
            <w:vAlign w:val="center"/>
          </w:tcPr>
          <w:p w14:paraId="436EE17E">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0"/>
                <w:sz w:val="21"/>
                <w:szCs w:val="21"/>
                <w:highlight w:val="none"/>
                <w:lang w:val="en-US" w:eastAsia="zh-CN" w:bidi="ar-SA"/>
              </w:rPr>
            </w:pPr>
          </w:p>
        </w:tc>
        <w:tc>
          <w:tcPr>
            <w:tcW w:w="2059" w:type="dxa"/>
            <w:noWrap w:val="0"/>
            <w:vAlign w:val="center"/>
          </w:tcPr>
          <w:p w14:paraId="49EE521A">
            <w:pPr>
              <w:keepNext w:val="0"/>
              <w:keepLines w:val="0"/>
              <w:pageBreakBefore w:val="0"/>
              <w:widowControl/>
              <w:suppressLineNumbers w:val="0"/>
              <w:kinsoku/>
              <w:overflowPunct/>
              <w:topLinePunct w:val="0"/>
              <w:bidi w:val="0"/>
              <w:spacing w:beforeAutospacing="0" w:afterAutospacing="0" w:line="240" w:lineRule="auto"/>
              <w:jc w:val="left"/>
              <w:textAlignment w:val="center"/>
              <w:rPr>
                <w:rFonts w:hint="eastAsia" w:ascii="宋体" w:hAnsi="宋体" w:eastAsia="宋体" w:cs="宋体"/>
                <w:color w:val="auto"/>
                <w:kern w:val="0"/>
                <w:sz w:val="21"/>
                <w:szCs w:val="21"/>
                <w:highlight w:val="none"/>
                <w:lang w:val="en-US" w:eastAsia="zh-CN" w:bidi="ar-SA"/>
              </w:rPr>
            </w:pPr>
          </w:p>
        </w:tc>
        <w:tc>
          <w:tcPr>
            <w:tcW w:w="1941" w:type="dxa"/>
            <w:noWrap w:val="0"/>
            <w:vAlign w:val="center"/>
          </w:tcPr>
          <w:p w14:paraId="71C3550F">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2095" w:type="dxa"/>
            <w:noWrap w:val="0"/>
            <w:vAlign w:val="center"/>
          </w:tcPr>
          <w:p w14:paraId="4126B44D">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286" w:type="dxa"/>
            <w:noWrap w:val="0"/>
            <w:vAlign w:val="center"/>
          </w:tcPr>
          <w:p w14:paraId="6A4768F3">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706" w:type="dxa"/>
            <w:noWrap w:val="0"/>
            <w:vAlign w:val="center"/>
          </w:tcPr>
          <w:p w14:paraId="2975B0A9">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r>
      <w:tr w14:paraId="290B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07" w:type="dxa"/>
            <w:noWrap w:val="0"/>
            <w:vAlign w:val="center"/>
          </w:tcPr>
          <w:p w14:paraId="71F2A0B1">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2"/>
                <w:sz w:val="21"/>
                <w:szCs w:val="21"/>
                <w:highlight w:val="none"/>
                <w:lang w:val="en-US" w:eastAsia="zh-CN" w:bidi="ar-SA"/>
              </w:rPr>
            </w:pPr>
          </w:p>
        </w:tc>
        <w:tc>
          <w:tcPr>
            <w:tcW w:w="1183" w:type="dxa"/>
            <w:noWrap w:val="0"/>
            <w:vAlign w:val="center"/>
          </w:tcPr>
          <w:p w14:paraId="0D900C91">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0"/>
                <w:sz w:val="21"/>
                <w:szCs w:val="21"/>
                <w:highlight w:val="none"/>
                <w:lang w:val="en-US" w:eastAsia="zh-CN" w:bidi="ar-SA"/>
              </w:rPr>
            </w:pPr>
          </w:p>
        </w:tc>
        <w:tc>
          <w:tcPr>
            <w:tcW w:w="2059" w:type="dxa"/>
            <w:noWrap w:val="0"/>
            <w:vAlign w:val="center"/>
          </w:tcPr>
          <w:p w14:paraId="75863EDF">
            <w:pPr>
              <w:keepNext w:val="0"/>
              <w:keepLines w:val="0"/>
              <w:pageBreakBefore w:val="0"/>
              <w:widowControl/>
              <w:suppressLineNumbers w:val="0"/>
              <w:kinsoku/>
              <w:overflowPunct/>
              <w:topLinePunct w:val="0"/>
              <w:bidi w:val="0"/>
              <w:spacing w:beforeAutospacing="0" w:afterAutospacing="0" w:line="240" w:lineRule="auto"/>
              <w:jc w:val="left"/>
              <w:textAlignment w:val="center"/>
              <w:rPr>
                <w:rFonts w:hint="eastAsia" w:ascii="宋体" w:hAnsi="宋体" w:eastAsia="宋体" w:cs="宋体"/>
                <w:color w:val="auto"/>
                <w:kern w:val="0"/>
                <w:sz w:val="21"/>
                <w:szCs w:val="21"/>
                <w:highlight w:val="none"/>
                <w:lang w:val="en-US" w:eastAsia="zh-CN" w:bidi="ar-SA"/>
              </w:rPr>
            </w:pPr>
          </w:p>
        </w:tc>
        <w:tc>
          <w:tcPr>
            <w:tcW w:w="1941" w:type="dxa"/>
            <w:noWrap w:val="0"/>
            <w:vAlign w:val="center"/>
          </w:tcPr>
          <w:p w14:paraId="5BE250ED">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2095" w:type="dxa"/>
            <w:noWrap w:val="0"/>
            <w:vAlign w:val="center"/>
          </w:tcPr>
          <w:p w14:paraId="737B2217">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286" w:type="dxa"/>
            <w:noWrap w:val="0"/>
            <w:vAlign w:val="center"/>
          </w:tcPr>
          <w:p w14:paraId="3FD392D5">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706" w:type="dxa"/>
            <w:noWrap w:val="0"/>
            <w:vAlign w:val="center"/>
          </w:tcPr>
          <w:p w14:paraId="102BDE6A">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r>
      <w:tr w14:paraId="1971C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07" w:type="dxa"/>
            <w:noWrap w:val="0"/>
            <w:vAlign w:val="center"/>
          </w:tcPr>
          <w:p w14:paraId="1525DED2">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2"/>
                <w:sz w:val="21"/>
                <w:szCs w:val="21"/>
                <w:highlight w:val="none"/>
                <w:lang w:val="en-US" w:eastAsia="zh-CN" w:bidi="ar-SA"/>
              </w:rPr>
            </w:pPr>
          </w:p>
        </w:tc>
        <w:tc>
          <w:tcPr>
            <w:tcW w:w="1183" w:type="dxa"/>
            <w:noWrap w:val="0"/>
            <w:vAlign w:val="center"/>
          </w:tcPr>
          <w:p w14:paraId="018260FB">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0"/>
                <w:sz w:val="21"/>
                <w:szCs w:val="21"/>
                <w:highlight w:val="none"/>
                <w:lang w:val="en-US" w:eastAsia="zh-CN" w:bidi="ar-SA"/>
              </w:rPr>
            </w:pPr>
          </w:p>
        </w:tc>
        <w:tc>
          <w:tcPr>
            <w:tcW w:w="2059" w:type="dxa"/>
            <w:noWrap w:val="0"/>
            <w:vAlign w:val="center"/>
          </w:tcPr>
          <w:p w14:paraId="18C77ABC">
            <w:pPr>
              <w:keepNext w:val="0"/>
              <w:keepLines w:val="0"/>
              <w:pageBreakBefore w:val="0"/>
              <w:widowControl/>
              <w:suppressLineNumbers w:val="0"/>
              <w:kinsoku/>
              <w:overflowPunct/>
              <w:topLinePunct w:val="0"/>
              <w:bidi w:val="0"/>
              <w:spacing w:beforeAutospacing="0" w:afterAutospacing="0" w:line="240" w:lineRule="auto"/>
              <w:jc w:val="left"/>
              <w:textAlignment w:val="center"/>
              <w:rPr>
                <w:rFonts w:hint="eastAsia" w:ascii="宋体" w:hAnsi="宋体" w:eastAsia="宋体" w:cs="宋体"/>
                <w:color w:val="auto"/>
                <w:kern w:val="0"/>
                <w:sz w:val="21"/>
                <w:szCs w:val="21"/>
                <w:highlight w:val="none"/>
                <w:lang w:val="en-US" w:eastAsia="zh-CN" w:bidi="ar-SA"/>
              </w:rPr>
            </w:pPr>
          </w:p>
        </w:tc>
        <w:tc>
          <w:tcPr>
            <w:tcW w:w="1941" w:type="dxa"/>
            <w:noWrap w:val="0"/>
            <w:vAlign w:val="center"/>
          </w:tcPr>
          <w:p w14:paraId="5B91628E">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2095" w:type="dxa"/>
            <w:noWrap w:val="0"/>
            <w:vAlign w:val="center"/>
          </w:tcPr>
          <w:p w14:paraId="4ACA3E22">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286" w:type="dxa"/>
            <w:noWrap w:val="0"/>
            <w:vAlign w:val="center"/>
          </w:tcPr>
          <w:p w14:paraId="372567E4">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706" w:type="dxa"/>
            <w:noWrap w:val="0"/>
            <w:vAlign w:val="center"/>
          </w:tcPr>
          <w:p w14:paraId="40DCDF23">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r>
      <w:tr w14:paraId="6C228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07" w:type="dxa"/>
            <w:noWrap w:val="0"/>
            <w:vAlign w:val="center"/>
          </w:tcPr>
          <w:p w14:paraId="1A34873F">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2"/>
                <w:sz w:val="21"/>
                <w:szCs w:val="21"/>
                <w:highlight w:val="none"/>
                <w:lang w:val="en-US" w:eastAsia="zh-CN" w:bidi="ar-SA"/>
              </w:rPr>
            </w:pPr>
          </w:p>
        </w:tc>
        <w:tc>
          <w:tcPr>
            <w:tcW w:w="1183" w:type="dxa"/>
            <w:noWrap w:val="0"/>
            <w:vAlign w:val="center"/>
          </w:tcPr>
          <w:p w14:paraId="464EC583">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0"/>
                <w:sz w:val="21"/>
                <w:szCs w:val="21"/>
                <w:highlight w:val="none"/>
                <w:lang w:val="en-US" w:eastAsia="zh-CN" w:bidi="ar-SA"/>
              </w:rPr>
            </w:pPr>
          </w:p>
        </w:tc>
        <w:tc>
          <w:tcPr>
            <w:tcW w:w="2059" w:type="dxa"/>
            <w:noWrap w:val="0"/>
            <w:vAlign w:val="center"/>
          </w:tcPr>
          <w:p w14:paraId="6899B355">
            <w:pPr>
              <w:keepNext w:val="0"/>
              <w:keepLines w:val="0"/>
              <w:pageBreakBefore w:val="0"/>
              <w:widowControl/>
              <w:suppressLineNumbers w:val="0"/>
              <w:kinsoku/>
              <w:overflowPunct/>
              <w:topLinePunct w:val="0"/>
              <w:bidi w:val="0"/>
              <w:spacing w:beforeAutospacing="0" w:afterAutospacing="0" w:line="240" w:lineRule="auto"/>
              <w:jc w:val="left"/>
              <w:textAlignment w:val="center"/>
              <w:rPr>
                <w:rFonts w:hint="eastAsia" w:ascii="宋体" w:hAnsi="宋体" w:eastAsia="宋体" w:cs="宋体"/>
                <w:color w:val="auto"/>
                <w:kern w:val="0"/>
                <w:sz w:val="21"/>
                <w:szCs w:val="21"/>
                <w:highlight w:val="none"/>
                <w:lang w:val="en-US" w:eastAsia="zh-CN" w:bidi="ar-SA"/>
              </w:rPr>
            </w:pPr>
          </w:p>
        </w:tc>
        <w:tc>
          <w:tcPr>
            <w:tcW w:w="1941" w:type="dxa"/>
            <w:noWrap w:val="0"/>
            <w:vAlign w:val="center"/>
          </w:tcPr>
          <w:p w14:paraId="697D2DC3">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2095" w:type="dxa"/>
            <w:noWrap w:val="0"/>
            <w:vAlign w:val="center"/>
          </w:tcPr>
          <w:p w14:paraId="50F801AF">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286" w:type="dxa"/>
            <w:noWrap w:val="0"/>
            <w:vAlign w:val="center"/>
          </w:tcPr>
          <w:p w14:paraId="571FA68D">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706" w:type="dxa"/>
            <w:noWrap w:val="0"/>
            <w:vAlign w:val="center"/>
          </w:tcPr>
          <w:p w14:paraId="42820A44">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r>
      <w:tr w14:paraId="6C6FD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07" w:type="dxa"/>
            <w:noWrap w:val="0"/>
            <w:vAlign w:val="center"/>
          </w:tcPr>
          <w:p w14:paraId="50F90C70">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2"/>
                <w:sz w:val="21"/>
                <w:szCs w:val="21"/>
                <w:highlight w:val="none"/>
                <w:lang w:val="en-US" w:eastAsia="zh-CN" w:bidi="ar-SA"/>
              </w:rPr>
            </w:pPr>
          </w:p>
        </w:tc>
        <w:tc>
          <w:tcPr>
            <w:tcW w:w="1183" w:type="dxa"/>
            <w:noWrap w:val="0"/>
            <w:vAlign w:val="center"/>
          </w:tcPr>
          <w:p w14:paraId="4B9403C6">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0"/>
                <w:sz w:val="21"/>
                <w:szCs w:val="21"/>
                <w:highlight w:val="none"/>
                <w:lang w:val="en-US" w:eastAsia="zh-CN" w:bidi="ar-SA"/>
              </w:rPr>
            </w:pPr>
          </w:p>
        </w:tc>
        <w:tc>
          <w:tcPr>
            <w:tcW w:w="2059" w:type="dxa"/>
            <w:noWrap w:val="0"/>
            <w:vAlign w:val="center"/>
          </w:tcPr>
          <w:p w14:paraId="71E94737">
            <w:pPr>
              <w:keepNext w:val="0"/>
              <w:keepLines w:val="0"/>
              <w:pageBreakBefore w:val="0"/>
              <w:widowControl/>
              <w:suppressLineNumbers w:val="0"/>
              <w:kinsoku/>
              <w:overflowPunct/>
              <w:topLinePunct w:val="0"/>
              <w:bidi w:val="0"/>
              <w:spacing w:beforeAutospacing="0" w:afterAutospacing="0" w:line="240" w:lineRule="auto"/>
              <w:jc w:val="left"/>
              <w:textAlignment w:val="center"/>
              <w:rPr>
                <w:rFonts w:hint="eastAsia" w:ascii="宋体" w:hAnsi="宋体" w:eastAsia="宋体" w:cs="宋体"/>
                <w:color w:val="auto"/>
                <w:kern w:val="0"/>
                <w:sz w:val="21"/>
                <w:szCs w:val="21"/>
                <w:highlight w:val="none"/>
                <w:lang w:val="en-US" w:eastAsia="zh-CN" w:bidi="ar-SA"/>
              </w:rPr>
            </w:pPr>
          </w:p>
        </w:tc>
        <w:tc>
          <w:tcPr>
            <w:tcW w:w="1941" w:type="dxa"/>
            <w:noWrap w:val="0"/>
            <w:vAlign w:val="center"/>
          </w:tcPr>
          <w:p w14:paraId="768FD888">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2095" w:type="dxa"/>
            <w:noWrap w:val="0"/>
            <w:vAlign w:val="center"/>
          </w:tcPr>
          <w:p w14:paraId="67B2F02C">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286" w:type="dxa"/>
            <w:noWrap w:val="0"/>
            <w:vAlign w:val="center"/>
          </w:tcPr>
          <w:p w14:paraId="37FC5040">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706" w:type="dxa"/>
            <w:noWrap w:val="0"/>
            <w:vAlign w:val="center"/>
          </w:tcPr>
          <w:p w14:paraId="521FA33A">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r>
      <w:tr w14:paraId="62CD0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07" w:type="dxa"/>
            <w:noWrap w:val="0"/>
            <w:vAlign w:val="center"/>
          </w:tcPr>
          <w:p w14:paraId="600C49B1">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2"/>
                <w:sz w:val="21"/>
                <w:szCs w:val="21"/>
                <w:highlight w:val="none"/>
                <w:lang w:val="en-US" w:eastAsia="zh-CN" w:bidi="ar-SA"/>
              </w:rPr>
            </w:pPr>
          </w:p>
        </w:tc>
        <w:tc>
          <w:tcPr>
            <w:tcW w:w="1183" w:type="dxa"/>
            <w:noWrap w:val="0"/>
            <w:vAlign w:val="center"/>
          </w:tcPr>
          <w:p w14:paraId="1B20080E">
            <w:pPr>
              <w:keepNext w:val="0"/>
              <w:keepLines w:val="0"/>
              <w:pageBreakBefore w:val="0"/>
              <w:widowControl/>
              <w:suppressLineNumbers w:val="0"/>
              <w:kinsoku/>
              <w:overflowPunct/>
              <w:topLinePunct w:val="0"/>
              <w:bidi w:val="0"/>
              <w:spacing w:beforeAutospacing="0" w:afterAutospacing="0" w:line="240" w:lineRule="auto"/>
              <w:jc w:val="center"/>
              <w:textAlignment w:val="center"/>
              <w:rPr>
                <w:rFonts w:hint="eastAsia" w:ascii="宋体" w:hAnsi="宋体" w:eastAsia="宋体" w:cs="宋体"/>
                <w:b w:val="0"/>
                <w:bCs w:val="0"/>
                <w:color w:val="auto"/>
                <w:kern w:val="0"/>
                <w:sz w:val="21"/>
                <w:szCs w:val="21"/>
                <w:highlight w:val="none"/>
                <w:lang w:val="en-US" w:eastAsia="zh-CN" w:bidi="ar-SA"/>
              </w:rPr>
            </w:pPr>
          </w:p>
        </w:tc>
        <w:tc>
          <w:tcPr>
            <w:tcW w:w="2059" w:type="dxa"/>
            <w:noWrap w:val="0"/>
            <w:vAlign w:val="center"/>
          </w:tcPr>
          <w:p w14:paraId="11D6003E">
            <w:pPr>
              <w:keepNext w:val="0"/>
              <w:keepLines w:val="0"/>
              <w:pageBreakBefore w:val="0"/>
              <w:widowControl/>
              <w:suppressLineNumbers w:val="0"/>
              <w:kinsoku/>
              <w:overflowPunct/>
              <w:topLinePunct w:val="0"/>
              <w:bidi w:val="0"/>
              <w:spacing w:beforeAutospacing="0" w:afterAutospacing="0" w:line="240" w:lineRule="auto"/>
              <w:jc w:val="left"/>
              <w:textAlignment w:val="center"/>
              <w:rPr>
                <w:rFonts w:hint="eastAsia" w:ascii="宋体" w:hAnsi="宋体" w:eastAsia="宋体" w:cs="宋体"/>
                <w:color w:val="auto"/>
                <w:kern w:val="0"/>
                <w:sz w:val="21"/>
                <w:szCs w:val="21"/>
                <w:highlight w:val="none"/>
                <w:lang w:val="en-US" w:eastAsia="zh-CN" w:bidi="ar-SA"/>
              </w:rPr>
            </w:pPr>
          </w:p>
        </w:tc>
        <w:tc>
          <w:tcPr>
            <w:tcW w:w="1941" w:type="dxa"/>
            <w:noWrap w:val="0"/>
            <w:vAlign w:val="center"/>
          </w:tcPr>
          <w:p w14:paraId="6D6BFA27">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2095" w:type="dxa"/>
            <w:noWrap w:val="0"/>
            <w:vAlign w:val="center"/>
          </w:tcPr>
          <w:p w14:paraId="711ECD42">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286" w:type="dxa"/>
            <w:noWrap w:val="0"/>
            <w:vAlign w:val="center"/>
          </w:tcPr>
          <w:p w14:paraId="7FA75861">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c>
          <w:tcPr>
            <w:tcW w:w="1706" w:type="dxa"/>
            <w:noWrap w:val="0"/>
            <w:vAlign w:val="center"/>
          </w:tcPr>
          <w:p w14:paraId="40E79F85">
            <w:pPr>
              <w:pageBreakBefore w:val="0"/>
              <w:kinsoku/>
              <w:wordWrap w:val="0"/>
              <w:overflowPunct/>
              <w:topLinePunct w:val="0"/>
              <w:bidi w:val="0"/>
              <w:spacing w:beforeAutospacing="0" w:afterAutospacing="0" w:line="240" w:lineRule="auto"/>
              <w:jc w:val="center"/>
              <w:rPr>
                <w:rFonts w:hint="eastAsia" w:ascii="宋体" w:hAnsi="宋体" w:eastAsia="宋体" w:cs="宋体"/>
                <w:color w:val="auto"/>
                <w:sz w:val="21"/>
                <w:szCs w:val="21"/>
                <w:highlight w:val="none"/>
              </w:rPr>
            </w:pPr>
          </w:p>
        </w:tc>
      </w:tr>
    </w:tbl>
    <w:p w14:paraId="57426046">
      <w:pPr>
        <w:pageBreakBefore w:val="0"/>
        <w:kinsoku/>
        <w:wordWrap w:val="0"/>
        <w:overflowPunct/>
        <w:topLinePunct w:val="0"/>
        <w:bidi w:val="0"/>
        <w:spacing w:beforeAutospacing="0" w:afterAutospacing="0" w:line="360" w:lineRule="auto"/>
        <w:ind w:firstLine="2" w:firstLineChars="1"/>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p>
    <w:p w14:paraId="0DFC0B74">
      <w:pPr>
        <w:pageBreakBefore w:val="0"/>
        <w:kinsoku/>
        <w:wordWrap w:val="0"/>
        <w:overflowPunct/>
        <w:topLinePunct w:val="0"/>
        <w:bidi w:val="0"/>
        <w:spacing w:beforeAutospacing="0" w:afterAutospacing="0" w:line="360" w:lineRule="auto"/>
        <w:ind w:firstLine="2" w:firstLineChars="1"/>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电子签章</w:t>
      </w:r>
      <w:r>
        <w:rPr>
          <w:rFonts w:hint="eastAsia" w:ascii="宋体" w:hAnsi="宋体" w:eastAsia="宋体" w:cs="宋体"/>
          <w:color w:val="auto"/>
          <w:sz w:val="24"/>
          <w:highlight w:val="none"/>
        </w:rPr>
        <w:t>）</w:t>
      </w:r>
    </w:p>
    <w:p w14:paraId="1D219E9D">
      <w:pPr>
        <w:pageBreakBefore w:val="0"/>
        <w:kinsoku/>
        <w:wordWrap w:val="0"/>
        <w:overflowPunct/>
        <w:topLinePunct w:val="0"/>
        <w:bidi w:val="0"/>
        <w:spacing w:beforeAutospacing="0" w:afterAutospacing="0" w:line="360" w:lineRule="auto"/>
        <w:ind w:firstLine="2" w:firstLineChars="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CC8868A">
      <w:pPr>
        <w:pStyle w:val="14"/>
        <w:pageBreakBefore w:val="0"/>
        <w:kinsoku/>
        <w:wordWrap w:val="0"/>
        <w:overflowPunct/>
        <w:topLinePunct w:val="0"/>
        <w:bidi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表格填写说明：</w:t>
      </w:r>
    </w:p>
    <w:p w14:paraId="14D48937">
      <w:pPr>
        <w:pStyle w:val="14"/>
        <w:numPr>
          <w:ilvl w:val="0"/>
          <w:numId w:val="0"/>
        </w:numPr>
        <w:spacing w:line="4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1.表格中“设备名称”及“招标文件技术规范、要求”可按“采购需求”内容复制。</w:t>
      </w:r>
    </w:p>
    <w:p w14:paraId="62A3F376">
      <w:pPr>
        <w:pStyle w:val="14"/>
        <w:numPr>
          <w:ilvl w:val="0"/>
          <w:numId w:val="0"/>
        </w:numPr>
        <w:spacing w:line="4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2.表格中“品牌、型号、技术参数及配置”请投标人根据实际投标情况如实、完整、准确地填写，请勿复制、粘贴采购要求。若由于投标人的疏忽大意或未能完整、如实填写，导致的一切后果由投标人自行承担。</w:t>
      </w:r>
    </w:p>
    <w:p w14:paraId="6FC72967">
      <w:pPr>
        <w:pStyle w:val="14"/>
        <w:numPr>
          <w:ilvl w:val="0"/>
          <w:numId w:val="0"/>
        </w:numPr>
        <w:spacing w:line="4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第六章“采购需求”中，标注“▲”的技术参数为重要技术参数，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p>
    <w:p w14:paraId="6316020A">
      <w:pPr>
        <w:pStyle w:val="14"/>
        <w:numPr>
          <w:ilvl w:val="0"/>
          <w:numId w:val="0"/>
        </w:numPr>
        <w:spacing w:line="4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4.第六章“采购需求”中，未标“▲”的为一般技术参数：</w:t>
      </w:r>
    </w:p>
    <w:p w14:paraId="1C99CAFD">
      <w:pPr>
        <w:pStyle w:val="14"/>
        <w:numPr>
          <w:ilvl w:val="0"/>
          <w:numId w:val="0"/>
        </w:numPr>
        <w:spacing w:line="4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①按采购文件要求填写技术规格偏离表。</w:t>
      </w:r>
    </w:p>
    <w:p w14:paraId="2C87630F">
      <w:pPr>
        <w:pStyle w:val="14"/>
        <w:numPr>
          <w:ilvl w:val="0"/>
          <w:numId w:val="0"/>
        </w:numPr>
        <w:spacing w:line="4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②采购文件技术参数中明确要求提供技术支持资料的还须按要求提供，出现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11CC32E9">
      <w:pPr>
        <w:pStyle w:val="14"/>
        <w:numPr>
          <w:ilvl w:val="0"/>
          <w:numId w:val="0"/>
        </w:numPr>
        <w:spacing w:line="4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③采购文件技术参数中未明确要求提供技术支持资料的，但供应商自行提供技术支持资料，出现技术支持资料内容与技术规格偏离表应答不一致，以技术支持资料显示内容为准；出现技术支持资料字迹不清、无法辨认导致无法评判的或提供的技术支持资料不能反映该参数要求的，以技术规格偏离表为准。</w:t>
      </w:r>
    </w:p>
    <w:p w14:paraId="3D95202C">
      <w:pPr>
        <w:pStyle w:val="14"/>
        <w:numPr>
          <w:ilvl w:val="0"/>
          <w:numId w:val="0"/>
        </w:numPr>
        <w:spacing w:line="400" w:lineRule="exact"/>
        <w:rPr>
          <w:rFonts w:hint="eastAsia" w:ascii="宋体" w:hAnsi="宋体" w:eastAsia="宋体" w:cs="宋体"/>
          <w:color w:val="auto"/>
          <w:sz w:val="24"/>
          <w:szCs w:val="24"/>
          <w:highlight w:val="none"/>
        </w:rPr>
      </w:pPr>
      <w:r>
        <w:rPr>
          <w:rFonts w:hint="eastAsia" w:ascii="仿宋" w:hAnsi="仿宋" w:eastAsia="仿宋" w:cs="仿宋"/>
          <w:sz w:val="21"/>
          <w:szCs w:val="21"/>
          <w:highlight w:val="none"/>
          <w:lang w:val="en-US" w:eastAsia="zh-CN"/>
        </w:rPr>
        <w:t>5.技术规格偏离表“偏离情况”列，应据实填写“无偏离”、“正偏离”或“负偏离”，未填写的视为负偏离。</w:t>
      </w:r>
    </w:p>
    <w:p w14:paraId="097DCE86">
      <w:pPr>
        <w:jc w:val="center"/>
        <w:outlineLvl w:val="9"/>
        <w:rPr>
          <w:rFonts w:hint="eastAsia" w:ascii="宋体" w:hAnsi="宋体" w:eastAsia="宋体" w:cs="宋体"/>
          <w:b/>
          <w:bCs/>
          <w:color w:val="auto"/>
          <w:spacing w:val="0"/>
          <w:sz w:val="28"/>
          <w:szCs w:val="28"/>
          <w:highlight w:val="none"/>
        </w:rPr>
      </w:pPr>
      <w:r>
        <w:rPr>
          <w:rFonts w:hint="eastAsia" w:ascii="宋体" w:hAnsi="宋体" w:eastAsia="宋体" w:cs="宋体"/>
        </w:rPr>
        <w:br w:type="page"/>
      </w:r>
      <w:r>
        <w:rPr>
          <w:rFonts w:hint="eastAsia" w:ascii="宋体" w:hAnsi="宋体" w:eastAsia="宋体" w:cs="宋体"/>
          <w:b/>
          <w:bCs/>
          <w:kern w:val="2"/>
          <w:sz w:val="28"/>
          <w:szCs w:val="28"/>
          <w:lang w:val="en-US" w:eastAsia="zh-CN" w:bidi="ar-SA"/>
        </w:rPr>
        <w:t>（2）产品技术参数及性能要求</w:t>
      </w:r>
      <w:r>
        <w:rPr>
          <w:rFonts w:hint="eastAsia" w:ascii="宋体" w:hAnsi="宋体" w:eastAsia="宋体" w:cs="宋体"/>
          <w:b/>
          <w:bCs/>
          <w:color w:val="auto"/>
          <w:spacing w:val="0"/>
          <w:sz w:val="28"/>
          <w:szCs w:val="28"/>
          <w:highlight w:val="none"/>
        </w:rPr>
        <w:t>响应证明材料</w:t>
      </w:r>
    </w:p>
    <w:p w14:paraId="43DC5D5E">
      <w:pPr>
        <w:jc w:val="center"/>
        <w:rPr>
          <w:rFonts w:hint="eastAsia" w:ascii="宋体" w:hAnsi="宋体" w:eastAsia="宋体" w:cs="宋体"/>
          <w:lang w:eastAsia="zh-CN"/>
        </w:rPr>
      </w:pPr>
      <w:r>
        <w:rPr>
          <w:rFonts w:hint="eastAsia" w:ascii="宋体" w:hAnsi="宋体" w:eastAsia="宋体" w:cs="宋体"/>
          <w:b w:val="0"/>
          <w:bCs w:val="0"/>
          <w:color w:val="auto"/>
          <w:spacing w:val="0"/>
          <w:sz w:val="22"/>
          <w:szCs w:val="22"/>
          <w:highlight w:val="none"/>
          <w:lang w:eastAsia="zh-CN"/>
        </w:rPr>
        <w:t>（</w:t>
      </w:r>
      <w:r>
        <w:rPr>
          <w:rFonts w:hint="eastAsia" w:ascii="宋体" w:hAnsi="宋体" w:eastAsia="宋体" w:cs="宋体"/>
          <w:b w:val="0"/>
          <w:bCs w:val="0"/>
          <w:color w:val="auto"/>
          <w:spacing w:val="0"/>
          <w:sz w:val="22"/>
          <w:szCs w:val="22"/>
          <w:highlight w:val="none"/>
          <w:lang w:val="en-US" w:eastAsia="zh-CN"/>
        </w:rPr>
        <w:t>格式自拟</w:t>
      </w:r>
      <w:r>
        <w:rPr>
          <w:rFonts w:hint="eastAsia" w:ascii="宋体" w:hAnsi="宋体" w:eastAsia="宋体" w:cs="宋体"/>
          <w:b w:val="0"/>
          <w:bCs w:val="0"/>
          <w:color w:val="auto"/>
          <w:spacing w:val="0"/>
          <w:sz w:val="22"/>
          <w:szCs w:val="22"/>
          <w:highlight w:val="none"/>
          <w:lang w:eastAsia="zh-CN"/>
        </w:rPr>
        <w:t>）</w:t>
      </w:r>
    </w:p>
    <w:p w14:paraId="047C45B5">
      <w:pP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br w:type="page"/>
      </w:r>
    </w:p>
    <w:p w14:paraId="05F1F25F">
      <w:pPr>
        <w:pStyle w:val="22"/>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2、供货及安装方案</w:t>
      </w:r>
    </w:p>
    <w:p w14:paraId="21E01207">
      <w:pPr>
        <w:pStyle w:val="22"/>
        <w:jc w:val="center"/>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（投标人根据第六章采购需求及第四章评审内容自行编制）</w:t>
      </w:r>
    </w:p>
    <w:p w14:paraId="3BDF62F7">
      <w:pP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br w:type="page"/>
      </w:r>
    </w:p>
    <w:p w14:paraId="0B3101F1">
      <w:pPr>
        <w:pStyle w:val="22"/>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3、设备质量承诺及保证措施</w:t>
      </w:r>
    </w:p>
    <w:p w14:paraId="60855B4B">
      <w:pPr>
        <w:pStyle w:val="22"/>
        <w:jc w:val="center"/>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（投标人根据第六章采购需求及第四章评审内容自行编制）</w:t>
      </w:r>
    </w:p>
    <w:p w14:paraId="24A73439">
      <w:pPr>
        <w:rPr>
          <w:rFonts w:hint="eastAsia" w:ascii="宋体" w:hAnsi="宋体" w:eastAsia="宋体" w:cs="宋体"/>
          <w:sz w:val="32"/>
          <w:szCs w:val="32"/>
          <w:lang w:val="en-US" w:eastAsia="zh-CN"/>
        </w:rPr>
      </w:pPr>
      <w:bookmarkStart w:id="578" w:name="_Toc24324"/>
      <w:bookmarkStart w:id="579" w:name="_Toc31638"/>
      <w:bookmarkStart w:id="580" w:name="_Toc21855"/>
      <w:bookmarkStart w:id="581" w:name="_Toc21242"/>
      <w:bookmarkStart w:id="582" w:name="_Toc24903"/>
      <w:r>
        <w:rPr>
          <w:rFonts w:hint="eastAsia" w:ascii="宋体" w:hAnsi="宋体" w:eastAsia="宋体" w:cs="宋体"/>
          <w:sz w:val="32"/>
          <w:szCs w:val="32"/>
          <w:lang w:val="en-US" w:eastAsia="zh-CN"/>
        </w:rPr>
        <w:br w:type="page"/>
      </w:r>
    </w:p>
    <w:p w14:paraId="10A26D9D">
      <w:pPr>
        <w:pStyle w:val="4"/>
        <w:numPr>
          <w:ilvl w:val="1"/>
          <w:numId w:val="0"/>
        </w:numPr>
        <w:tabs>
          <w:tab w:val="left" w:pos="1021"/>
          <w:tab w:val="clear" w:pos="720"/>
        </w:tabs>
        <w:jc w:val="center"/>
        <w:rPr>
          <w:rFonts w:hint="eastAsia" w:ascii="宋体" w:hAnsi="宋体" w:eastAsia="宋体" w:cs="宋体"/>
          <w:sz w:val="32"/>
          <w:szCs w:val="32"/>
        </w:rPr>
      </w:pPr>
      <w:bookmarkStart w:id="583" w:name="_Toc16032"/>
      <w:r>
        <w:rPr>
          <w:rFonts w:hint="eastAsia" w:ascii="宋体" w:hAnsi="宋体" w:eastAsia="宋体" w:cs="宋体"/>
          <w:sz w:val="32"/>
          <w:szCs w:val="32"/>
          <w:lang w:val="en-US" w:eastAsia="zh-CN"/>
        </w:rPr>
        <w:t>五</w:t>
      </w:r>
      <w:r>
        <w:rPr>
          <w:rFonts w:hint="eastAsia" w:ascii="宋体" w:hAnsi="宋体" w:eastAsia="宋体" w:cs="宋体"/>
          <w:sz w:val="32"/>
          <w:szCs w:val="32"/>
        </w:rPr>
        <w:t>、服务部分</w:t>
      </w:r>
      <w:bookmarkEnd w:id="578"/>
      <w:bookmarkEnd w:id="579"/>
      <w:bookmarkEnd w:id="580"/>
      <w:bookmarkEnd w:id="581"/>
      <w:bookmarkEnd w:id="582"/>
      <w:bookmarkEnd w:id="583"/>
    </w:p>
    <w:p w14:paraId="743D57C0">
      <w:pPr>
        <w:numPr>
          <w:ilvl w:val="0"/>
          <w:numId w:val="0"/>
        </w:numPr>
        <w:spacing w:line="360" w:lineRule="auto"/>
        <w:ind w:left="68" w:leftChars="0" w:firstLine="562" w:firstLineChars="0"/>
        <w:jc w:val="center"/>
        <w:rPr>
          <w:rFonts w:hint="eastAsia" w:ascii="宋体" w:hAnsi="宋体" w:eastAsia="宋体" w:cs="宋体"/>
          <w:b/>
          <w:bCs/>
          <w:sz w:val="28"/>
          <w:szCs w:val="28"/>
        </w:rPr>
      </w:pPr>
      <w:r>
        <w:rPr>
          <w:rFonts w:hint="eastAsia" w:ascii="宋体" w:hAnsi="宋体" w:eastAsia="宋体" w:cs="宋体"/>
          <w:b/>
          <w:bCs/>
          <w:kern w:val="2"/>
          <w:sz w:val="28"/>
          <w:szCs w:val="28"/>
          <w:lang w:val="en-US" w:eastAsia="zh-CN" w:bidi="ar-SA"/>
        </w:rPr>
        <w:t>1、售后服务、保障措施及违约责任</w:t>
      </w:r>
    </w:p>
    <w:p w14:paraId="2B6BC76A">
      <w:pPr>
        <w:numPr>
          <w:ilvl w:val="0"/>
          <w:numId w:val="0"/>
        </w:numPr>
        <w:spacing w:line="360" w:lineRule="auto"/>
        <w:ind w:left="68" w:leftChars="0" w:firstLine="562" w:firstLineChars="0"/>
        <w:jc w:val="center"/>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（投标人根据第六章采购需求及第四章评审内容自行编制）</w:t>
      </w:r>
    </w:p>
    <w:p w14:paraId="202089EC">
      <w:pP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br w:type="page"/>
      </w:r>
    </w:p>
    <w:p w14:paraId="3FC7301B">
      <w:pPr>
        <w:numPr>
          <w:ilvl w:val="0"/>
          <w:numId w:val="0"/>
        </w:numPr>
        <w:spacing w:line="360" w:lineRule="auto"/>
        <w:ind w:left="68" w:leftChars="0" w:firstLine="562" w:firstLineChars="0"/>
        <w:jc w:val="center"/>
        <w:rPr>
          <w:rFonts w:hint="eastAsia" w:ascii="宋体" w:hAnsi="宋体" w:eastAsia="宋体" w:cs="宋体"/>
          <w:b/>
          <w:bCs/>
          <w:sz w:val="28"/>
          <w:szCs w:val="28"/>
        </w:rPr>
      </w:pPr>
      <w:r>
        <w:rPr>
          <w:rFonts w:hint="eastAsia" w:ascii="宋体" w:hAnsi="宋体" w:eastAsia="宋体" w:cs="宋体"/>
          <w:b/>
          <w:bCs/>
          <w:kern w:val="2"/>
          <w:sz w:val="28"/>
          <w:szCs w:val="28"/>
          <w:lang w:val="en-US" w:eastAsia="zh-CN" w:bidi="ar-SA"/>
        </w:rPr>
        <w:t>2、</w:t>
      </w:r>
      <w:r>
        <w:rPr>
          <w:rFonts w:hint="eastAsia" w:ascii="宋体" w:hAnsi="宋体" w:eastAsia="宋体" w:cs="宋体"/>
          <w:b/>
          <w:bCs/>
          <w:sz w:val="28"/>
          <w:szCs w:val="28"/>
        </w:rPr>
        <w:t>培训</w:t>
      </w:r>
      <w:r>
        <w:rPr>
          <w:rFonts w:hint="eastAsia" w:ascii="宋体" w:hAnsi="宋体" w:eastAsia="宋体" w:cs="宋体"/>
          <w:b/>
          <w:bCs/>
          <w:sz w:val="28"/>
          <w:szCs w:val="28"/>
          <w:lang w:val="en-US" w:eastAsia="zh-CN"/>
        </w:rPr>
        <w:t>方案</w:t>
      </w:r>
    </w:p>
    <w:p w14:paraId="33F1B881">
      <w:pPr>
        <w:numPr>
          <w:ilvl w:val="0"/>
          <w:numId w:val="0"/>
        </w:numPr>
        <w:spacing w:line="360" w:lineRule="auto"/>
        <w:jc w:val="center"/>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（投标人根据第六章采购需求及第四章评审内容自行编制）</w:t>
      </w:r>
    </w:p>
    <w:p w14:paraId="51331C05">
      <w:pPr>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br w:type="page"/>
      </w:r>
    </w:p>
    <w:p w14:paraId="53A4F6DC">
      <w:pPr>
        <w:numPr>
          <w:ilvl w:val="0"/>
          <w:numId w:val="0"/>
        </w:numPr>
        <w:spacing w:line="360" w:lineRule="auto"/>
        <w:ind w:left="68" w:leftChars="0" w:firstLine="562" w:firstLineChars="0"/>
        <w:jc w:val="center"/>
        <w:rPr>
          <w:rFonts w:hint="eastAsia" w:ascii="宋体" w:hAnsi="宋体" w:eastAsia="宋体" w:cs="宋体"/>
          <w:b/>
          <w:bCs/>
          <w:sz w:val="28"/>
          <w:szCs w:val="28"/>
        </w:rPr>
      </w:pPr>
      <w:r>
        <w:rPr>
          <w:rFonts w:hint="eastAsia" w:ascii="宋体" w:hAnsi="宋体" w:eastAsia="宋体" w:cs="宋体"/>
          <w:b/>
          <w:bCs/>
          <w:kern w:val="2"/>
          <w:sz w:val="28"/>
          <w:szCs w:val="28"/>
          <w:lang w:val="en-US" w:eastAsia="zh-CN" w:bidi="ar-SA"/>
        </w:rPr>
        <w:t>3、</w:t>
      </w:r>
      <w:r>
        <w:rPr>
          <w:rFonts w:hint="eastAsia" w:ascii="宋体" w:hAnsi="宋体" w:eastAsia="宋体" w:cs="宋体"/>
          <w:b/>
          <w:bCs/>
          <w:sz w:val="28"/>
          <w:szCs w:val="28"/>
        </w:rPr>
        <w:t>项目人员配备</w:t>
      </w:r>
    </w:p>
    <w:p w14:paraId="5DC3BF23">
      <w:pPr>
        <w:numPr>
          <w:ilvl w:val="0"/>
          <w:numId w:val="0"/>
        </w:numPr>
        <w:spacing w:line="360" w:lineRule="auto"/>
        <w:jc w:val="center"/>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（投标人根据第六章采购需求及第四章评审内容自行编制）</w:t>
      </w:r>
    </w:p>
    <w:p w14:paraId="6E09FC46">
      <w:pPr>
        <w:spacing w:line="360" w:lineRule="auto"/>
        <w:jc w:val="center"/>
        <w:rPr>
          <w:rFonts w:ascii="宋体" w:hAnsi="宋体" w:cs="宋体"/>
          <w:b/>
          <w:bCs/>
          <w:sz w:val="28"/>
          <w:szCs w:val="28"/>
        </w:rPr>
      </w:pPr>
      <w:r>
        <w:rPr>
          <w:rFonts w:hint="eastAsia" w:ascii="宋体" w:hAnsi="宋体" w:cs="宋体"/>
          <w:b/>
          <w:bCs/>
          <w:sz w:val="28"/>
          <w:szCs w:val="28"/>
        </w:rPr>
        <w:t>附表：人员配备</w:t>
      </w:r>
      <w:r>
        <w:rPr>
          <w:rFonts w:hint="eastAsia" w:ascii="宋体" w:hAnsi="宋体" w:cs="宋体"/>
          <w:b/>
          <w:bCs/>
          <w:sz w:val="28"/>
          <w:szCs w:val="28"/>
          <w:lang w:val="en-US" w:eastAsia="zh-CN"/>
        </w:rPr>
        <w:t>计划</w:t>
      </w:r>
      <w:r>
        <w:rPr>
          <w:rFonts w:hint="eastAsia" w:ascii="宋体" w:hAnsi="宋体" w:cs="宋体"/>
          <w:b/>
          <w:bCs/>
          <w:sz w:val="28"/>
          <w:szCs w:val="28"/>
        </w:rPr>
        <w:t>表</w:t>
      </w:r>
    </w:p>
    <w:tbl>
      <w:tblPr>
        <w:tblStyle w:val="25"/>
        <w:tblW w:w="9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4"/>
        <w:gridCol w:w="967"/>
        <w:gridCol w:w="745"/>
        <w:gridCol w:w="1474"/>
        <w:gridCol w:w="744"/>
        <w:gridCol w:w="745"/>
        <w:gridCol w:w="1287"/>
        <w:gridCol w:w="2755"/>
      </w:tblGrid>
      <w:tr w14:paraId="04600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7" w:hRule="atLeast"/>
          <w:jc w:val="center"/>
        </w:trPr>
        <w:tc>
          <w:tcPr>
            <w:tcW w:w="704" w:type="dxa"/>
            <w:vMerge w:val="restart"/>
            <w:tcBorders>
              <w:top w:val="single" w:color="auto" w:sz="4" w:space="0"/>
              <w:left w:val="single" w:color="auto" w:sz="4" w:space="0"/>
              <w:bottom w:val="single" w:color="auto" w:sz="4" w:space="0"/>
              <w:right w:val="single" w:color="auto" w:sz="4" w:space="0"/>
            </w:tcBorders>
            <w:vAlign w:val="center"/>
          </w:tcPr>
          <w:p w14:paraId="1A334022">
            <w:pPr>
              <w:spacing w:line="360" w:lineRule="auto"/>
              <w:jc w:val="center"/>
              <w:rPr>
                <w:rFonts w:ascii="宋体" w:hAnsi="宋体" w:cs="宋体"/>
                <w:sz w:val="24"/>
                <w:szCs w:val="24"/>
              </w:rPr>
            </w:pPr>
            <w:r>
              <w:rPr>
                <w:rFonts w:hint="eastAsia" w:ascii="宋体" w:hAnsi="宋体" w:cs="宋体"/>
                <w:sz w:val="24"/>
                <w:szCs w:val="24"/>
              </w:rPr>
              <w:t>序号</w:t>
            </w:r>
          </w:p>
        </w:tc>
        <w:tc>
          <w:tcPr>
            <w:tcW w:w="967" w:type="dxa"/>
            <w:vMerge w:val="restart"/>
            <w:tcBorders>
              <w:top w:val="single" w:color="auto" w:sz="4" w:space="0"/>
              <w:left w:val="single" w:color="auto" w:sz="4" w:space="0"/>
              <w:bottom w:val="single" w:color="auto" w:sz="4" w:space="0"/>
              <w:right w:val="single" w:color="auto" w:sz="4" w:space="0"/>
            </w:tcBorders>
            <w:vAlign w:val="center"/>
          </w:tcPr>
          <w:p w14:paraId="137756D7">
            <w:pPr>
              <w:spacing w:line="360" w:lineRule="auto"/>
              <w:jc w:val="center"/>
              <w:rPr>
                <w:rFonts w:ascii="宋体" w:hAnsi="宋体" w:cs="宋体"/>
                <w:sz w:val="24"/>
                <w:szCs w:val="24"/>
              </w:rPr>
            </w:pPr>
            <w:r>
              <w:rPr>
                <w:rFonts w:hint="eastAsia" w:ascii="宋体" w:hAnsi="宋体" w:cs="宋体"/>
                <w:sz w:val="24"/>
                <w:szCs w:val="24"/>
              </w:rPr>
              <w:t>姓名</w:t>
            </w:r>
          </w:p>
        </w:tc>
        <w:tc>
          <w:tcPr>
            <w:tcW w:w="745" w:type="dxa"/>
            <w:vMerge w:val="restart"/>
            <w:tcBorders>
              <w:top w:val="single" w:color="auto" w:sz="4" w:space="0"/>
              <w:left w:val="single" w:color="auto" w:sz="4" w:space="0"/>
              <w:bottom w:val="single" w:color="auto" w:sz="4" w:space="0"/>
              <w:right w:val="single" w:color="auto" w:sz="4" w:space="0"/>
            </w:tcBorders>
            <w:vAlign w:val="center"/>
          </w:tcPr>
          <w:p w14:paraId="391B3991">
            <w:pPr>
              <w:spacing w:line="360" w:lineRule="auto"/>
              <w:jc w:val="center"/>
              <w:rPr>
                <w:rFonts w:ascii="宋体" w:hAnsi="宋体" w:cs="宋体"/>
                <w:sz w:val="24"/>
                <w:szCs w:val="24"/>
              </w:rPr>
            </w:pPr>
            <w:r>
              <w:rPr>
                <w:rFonts w:hint="eastAsia" w:ascii="宋体" w:hAnsi="宋体" w:cs="宋体"/>
                <w:sz w:val="24"/>
                <w:szCs w:val="24"/>
              </w:rPr>
              <w:t>职称</w:t>
            </w:r>
          </w:p>
        </w:tc>
        <w:tc>
          <w:tcPr>
            <w:tcW w:w="4250" w:type="dxa"/>
            <w:gridSpan w:val="4"/>
            <w:tcBorders>
              <w:top w:val="single" w:color="auto" w:sz="4" w:space="0"/>
              <w:left w:val="single" w:color="auto" w:sz="4" w:space="0"/>
              <w:bottom w:val="single" w:color="auto" w:sz="4" w:space="0"/>
              <w:right w:val="single" w:color="auto" w:sz="4" w:space="0"/>
            </w:tcBorders>
            <w:vAlign w:val="center"/>
          </w:tcPr>
          <w:p w14:paraId="647862B0">
            <w:pPr>
              <w:spacing w:line="360" w:lineRule="auto"/>
              <w:jc w:val="center"/>
              <w:rPr>
                <w:rFonts w:ascii="宋体" w:hAnsi="宋体" w:cs="宋体"/>
                <w:sz w:val="24"/>
                <w:szCs w:val="24"/>
              </w:rPr>
            </w:pPr>
            <w:r>
              <w:rPr>
                <w:rFonts w:hint="eastAsia" w:ascii="宋体" w:hAnsi="宋体" w:cs="宋体"/>
                <w:sz w:val="24"/>
                <w:szCs w:val="24"/>
              </w:rPr>
              <w:t>人员资格证明</w:t>
            </w:r>
          </w:p>
        </w:tc>
        <w:tc>
          <w:tcPr>
            <w:tcW w:w="2755" w:type="dxa"/>
            <w:vMerge w:val="restart"/>
            <w:tcBorders>
              <w:top w:val="single" w:color="auto" w:sz="4" w:space="0"/>
              <w:left w:val="single" w:color="auto" w:sz="4" w:space="0"/>
              <w:right w:val="single" w:color="auto" w:sz="4" w:space="0"/>
            </w:tcBorders>
            <w:vAlign w:val="center"/>
          </w:tcPr>
          <w:p w14:paraId="18D943F4">
            <w:pPr>
              <w:spacing w:line="360" w:lineRule="auto"/>
              <w:jc w:val="center"/>
              <w:rPr>
                <w:rFonts w:ascii="宋体" w:hAnsi="宋体" w:cs="宋体"/>
                <w:sz w:val="24"/>
                <w:szCs w:val="24"/>
              </w:rPr>
            </w:pPr>
            <w:r>
              <w:rPr>
                <w:rFonts w:hint="eastAsia" w:ascii="宋体" w:hAnsi="宋体" w:cs="宋体"/>
                <w:sz w:val="24"/>
                <w:szCs w:val="24"/>
              </w:rPr>
              <w:t>拟在本项目岗位设置</w:t>
            </w:r>
          </w:p>
        </w:tc>
      </w:tr>
      <w:tr w14:paraId="7E98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558A2703">
            <w:pPr>
              <w:spacing w:line="360" w:lineRule="auto"/>
              <w:jc w:val="center"/>
              <w:rPr>
                <w:rFonts w:ascii="宋体" w:hAnsi="宋体" w:cs="宋体"/>
                <w:sz w:val="24"/>
                <w:szCs w:val="24"/>
              </w:rPr>
            </w:pPr>
          </w:p>
        </w:tc>
        <w:tc>
          <w:tcPr>
            <w:tcW w:w="967" w:type="dxa"/>
            <w:vMerge w:val="continue"/>
            <w:tcBorders>
              <w:top w:val="single" w:color="auto" w:sz="4" w:space="0"/>
              <w:left w:val="single" w:color="auto" w:sz="4" w:space="0"/>
              <w:bottom w:val="single" w:color="auto" w:sz="4" w:space="0"/>
              <w:right w:val="single" w:color="auto" w:sz="4" w:space="0"/>
            </w:tcBorders>
            <w:vAlign w:val="center"/>
          </w:tcPr>
          <w:p w14:paraId="5EEFD1B9">
            <w:pPr>
              <w:spacing w:line="360" w:lineRule="auto"/>
              <w:jc w:val="center"/>
              <w:rPr>
                <w:rFonts w:ascii="宋体" w:hAnsi="宋体" w:cs="宋体"/>
                <w:sz w:val="24"/>
                <w:szCs w:val="24"/>
              </w:rPr>
            </w:pPr>
          </w:p>
        </w:tc>
        <w:tc>
          <w:tcPr>
            <w:tcW w:w="745" w:type="dxa"/>
            <w:vMerge w:val="continue"/>
            <w:tcBorders>
              <w:top w:val="single" w:color="auto" w:sz="4" w:space="0"/>
              <w:left w:val="single" w:color="auto" w:sz="4" w:space="0"/>
              <w:bottom w:val="single" w:color="auto" w:sz="4" w:space="0"/>
              <w:right w:val="single" w:color="auto" w:sz="4" w:space="0"/>
            </w:tcBorders>
            <w:vAlign w:val="center"/>
          </w:tcPr>
          <w:p w14:paraId="5278B6F7">
            <w:pPr>
              <w:spacing w:line="360" w:lineRule="auto"/>
              <w:jc w:val="center"/>
              <w:rPr>
                <w:rFonts w:ascii="宋体" w:hAnsi="宋体" w:cs="宋体"/>
                <w:sz w:val="24"/>
                <w:szCs w:val="24"/>
              </w:rPr>
            </w:pPr>
          </w:p>
        </w:tc>
        <w:tc>
          <w:tcPr>
            <w:tcW w:w="1474" w:type="dxa"/>
            <w:tcBorders>
              <w:top w:val="single" w:color="auto" w:sz="4" w:space="0"/>
              <w:left w:val="single" w:color="auto" w:sz="4" w:space="0"/>
              <w:bottom w:val="single" w:color="auto" w:sz="4" w:space="0"/>
              <w:right w:val="single" w:color="auto" w:sz="4" w:space="0"/>
            </w:tcBorders>
            <w:vAlign w:val="center"/>
          </w:tcPr>
          <w:p w14:paraId="3EB7B63D">
            <w:pPr>
              <w:spacing w:line="360" w:lineRule="auto"/>
              <w:jc w:val="center"/>
              <w:rPr>
                <w:rFonts w:ascii="宋体" w:hAnsi="宋体" w:cs="宋体"/>
                <w:sz w:val="24"/>
                <w:szCs w:val="24"/>
              </w:rPr>
            </w:pPr>
            <w:r>
              <w:rPr>
                <w:rFonts w:hint="eastAsia" w:ascii="宋体" w:hAnsi="宋体" w:cs="宋体"/>
                <w:sz w:val="24"/>
                <w:szCs w:val="24"/>
              </w:rPr>
              <w:t>证书名称</w:t>
            </w:r>
          </w:p>
        </w:tc>
        <w:tc>
          <w:tcPr>
            <w:tcW w:w="744" w:type="dxa"/>
            <w:tcBorders>
              <w:top w:val="single" w:color="auto" w:sz="4" w:space="0"/>
              <w:left w:val="single" w:color="auto" w:sz="4" w:space="0"/>
              <w:bottom w:val="single" w:color="auto" w:sz="4" w:space="0"/>
              <w:right w:val="single" w:color="auto" w:sz="4" w:space="0"/>
            </w:tcBorders>
            <w:vAlign w:val="center"/>
          </w:tcPr>
          <w:p w14:paraId="7A7B54FD">
            <w:pPr>
              <w:spacing w:line="360" w:lineRule="auto"/>
              <w:jc w:val="center"/>
              <w:rPr>
                <w:rFonts w:ascii="宋体" w:hAnsi="宋体" w:cs="宋体"/>
                <w:sz w:val="24"/>
                <w:szCs w:val="24"/>
              </w:rPr>
            </w:pPr>
            <w:r>
              <w:rPr>
                <w:rFonts w:hint="eastAsia" w:ascii="宋体" w:hAnsi="宋体" w:cs="宋体"/>
                <w:sz w:val="24"/>
                <w:szCs w:val="24"/>
              </w:rPr>
              <w:t>级别</w:t>
            </w:r>
          </w:p>
        </w:tc>
        <w:tc>
          <w:tcPr>
            <w:tcW w:w="745" w:type="dxa"/>
            <w:tcBorders>
              <w:top w:val="single" w:color="auto" w:sz="4" w:space="0"/>
              <w:left w:val="single" w:color="auto" w:sz="4" w:space="0"/>
              <w:bottom w:val="single" w:color="auto" w:sz="4" w:space="0"/>
              <w:right w:val="single" w:color="auto" w:sz="4" w:space="0"/>
            </w:tcBorders>
            <w:vAlign w:val="center"/>
          </w:tcPr>
          <w:p w14:paraId="36EA830A">
            <w:pPr>
              <w:spacing w:line="360" w:lineRule="auto"/>
              <w:jc w:val="center"/>
              <w:rPr>
                <w:rFonts w:ascii="宋体" w:hAnsi="宋体" w:cs="宋体"/>
                <w:sz w:val="24"/>
                <w:szCs w:val="24"/>
              </w:rPr>
            </w:pPr>
            <w:r>
              <w:rPr>
                <w:rFonts w:hint="eastAsia" w:ascii="宋体" w:hAnsi="宋体" w:cs="宋体"/>
                <w:sz w:val="24"/>
                <w:szCs w:val="24"/>
              </w:rPr>
              <w:t>证号</w:t>
            </w:r>
          </w:p>
        </w:tc>
        <w:tc>
          <w:tcPr>
            <w:tcW w:w="1287" w:type="dxa"/>
            <w:tcBorders>
              <w:top w:val="single" w:color="auto" w:sz="4" w:space="0"/>
              <w:left w:val="single" w:color="auto" w:sz="4" w:space="0"/>
              <w:bottom w:val="single" w:color="auto" w:sz="4" w:space="0"/>
              <w:right w:val="single" w:color="auto" w:sz="4" w:space="0"/>
            </w:tcBorders>
            <w:vAlign w:val="center"/>
          </w:tcPr>
          <w:p w14:paraId="30D4855C">
            <w:pPr>
              <w:spacing w:line="360" w:lineRule="auto"/>
              <w:jc w:val="center"/>
              <w:rPr>
                <w:rFonts w:ascii="宋体" w:hAnsi="宋体" w:cs="宋体"/>
                <w:sz w:val="24"/>
                <w:szCs w:val="24"/>
              </w:rPr>
            </w:pPr>
            <w:r>
              <w:rPr>
                <w:rFonts w:hint="eastAsia" w:ascii="宋体" w:hAnsi="宋体" w:cs="宋体"/>
                <w:sz w:val="24"/>
                <w:szCs w:val="24"/>
              </w:rPr>
              <w:t>专业</w:t>
            </w:r>
          </w:p>
        </w:tc>
        <w:tc>
          <w:tcPr>
            <w:tcW w:w="2755" w:type="dxa"/>
            <w:vMerge w:val="continue"/>
            <w:tcBorders>
              <w:left w:val="single" w:color="auto" w:sz="4" w:space="0"/>
              <w:bottom w:val="single" w:color="auto" w:sz="4" w:space="0"/>
              <w:right w:val="single" w:color="auto" w:sz="4" w:space="0"/>
            </w:tcBorders>
            <w:vAlign w:val="center"/>
          </w:tcPr>
          <w:p w14:paraId="0B5FD025">
            <w:pPr>
              <w:spacing w:line="360" w:lineRule="auto"/>
              <w:jc w:val="center"/>
              <w:rPr>
                <w:rFonts w:ascii="宋体" w:hAnsi="宋体" w:cs="宋体"/>
                <w:sz w:val="24"/>
                <w:szCs w:val="24"/>
              </w:rPr>
            </w:pPr>
          </w:p>
        </w:tc>
      </w:tr>
      <w:tr w14:paraId="7E77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0208D47">
            <w:pPr>
              <w:spacing w:line="360" w:lineRule="auto"/>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72FEFB7F">
            <w:pPr>
              <w:spacing w:line="360" w:lineRule="auto"/>
              <w:rPr>
                <w:rFonts w:ascii="宋体" w:hAnsi="宋体" w:cs="宋体"/>
                <w:sz w:val="24"/>
                <w:szCs w:val="24"/>
              </w:rPr>
            </w:pPr>
          </w:p>
        </w:tc>
        <w:tc>
          <w:tcPr>
            <w:tcW w:w="745" w:type="dxa"/>
            <w:tcBorders>
              <w:top w:val="single" w:color="auto" w:sz="4" w:space="0"/>
              <w:left w:val="single" w:color="auto" w:sz="4" w:space="0"/>
              <w:bottom w:val="single" w:color="auto" w:sz="4" w:space="0"/>
              <w:right w:val="single" w:color="auto" w:sz="4" w:space="0"/>
            </w:tcBorders>
            <w:vAlign w:val="center"/>
          </w:tcPr>
          <w:p w14:paraId="74A56F97">
            <w:pPr>
              <w:spacing w:line="360" w:lineRule="auto"/>
              <w:rPr>
                <w:rFonts w:ascii="宋体" w:hAnsi="宋体" w:cs="宋体"/>
                <w:sz w:val="24"/>
                <w:szCs w:val="24"/>
              </w:rPr>
            </w:pPr>
          </w:p>
        </w:tc>
        <w:tc>
          <w:tcPr>
            <w:tcW w:w="1474" w:type="dxa"/>
            <w:tcBorders>
              <w:top w:val="single" w:color="auto" w:sz="4" w:space="0"/>
              <w:left w:val="single" w:color="auto" w:sz="4" w:space="0"/>
              <w:bottom w:val="single" w:color="auto" w:sz="4" w:space="0"/>
              <w:right w:val="single" w:color="auto" w:sz="4" w:space="0"/>
            </w:tcBorders>
            <w:vAlign w:val="center"/>
          </w:tcPr>
          <w:p w14:paraId="0CC8861C">
            <w:pPr>
              <w:spacing w:line="360" w:lineRule="auto"/>
              <w:jc w:val="center"/>
              <w:rPr>
                <w:rFonts w:ascii="宋体" w:hAnsi="宋体" w:cs="宋体"/>
                <w:sz w:val="24"/>
                <w:szCs w:val="24"/>
              </w:rPr>
            </w:pPr>
          </w:p>
        </w:tc>
        <w:tc>
          <w:tcPr>
            <w:tcW w:w="744" w:type="dxa"/>
            <w:tcBorders>
              <w:top w:val="single" w:color="auto" w:sz="4" w:space="0"/>
              <w:left w:val="single" w:color="auto" w:sz="4" w:space="0"/>
              <w:bottom w:val="single" w:color="auto" w:sz="4" w:space="0"/>
              <w:right w:val="single" w:color="auto" w:sz="4" w:space="0"/>
            </w:tcBorders>
            <w:vAlign w:val="center"/>
          </w:tcPr>
          <w:p w14:paraId="55CDCDEB">
            <w:pPr>
              <w:spacing w:line="360" w:lineRule="auto"/>
              <w:jc w:val="center"/>
              <w:rPr>
                <w:rFonts w:ascii="宋体" w:hAnsi="宋体" w:cs="宋体"/>
                <w:sz w:val="24"/>
                <w:szCs w:val="24"/>
              </w:rPr>
            </w:pPr>
          </w:p>
        </w:tc>
        <w:tc>
          <w:tcPr>
            <w:tcW w:w="745" w:type="dxa"/>
            <w:tcBorders>
              <w:top w:val="single" w:color="auto" w:sz="4" w:space="0"/>
              <w:left w:val="single" w:color="auto" w:sz="4" w:space="0"/>
              <w:bottom w:val="single" w:color="auto" w:sz="4" w:space="0"/>
              <w:right w:val="single" w:color="auto" w:sz="4" w:space="0"/>
            </w:tcBorders>
            <w:vAlign w:val="center"/>
          </w:tcPr>
          <w:p w14:paraId="336960A9">
            <w:pPr>
              <w:spacing w:line="360" w:lineRule="auto"/>
              <w:jc w:val="center"/>
              <w:rPr>
                <w:rFonts w:ascii="宋体" w:hAnsi="宋体" w:cs="宋体"/>
                <w:sz w:val="24"/>
                <w:szCs w:val="24"/>
              </w:rPr>
            </w:pPr>
          </w:p>
        </w:tc>
        <w:tc>
          <w:tcPr>
            <w:tcW w:w="1287" w:type="dxa"/>
            <w:tcBorders>
              <w:top w:val="single" w:color="auto" w:sz="4" w:space="0"/>
              <w:left w:val="single" w:color="auto" w:sz="4" w:space="0"/>
              <w:bottom w:val="single" w:color="auto" w:sz="4" w:space="0"/>
              <w:right w:val="single" w:color="auto" w:sz="4" w:space="0"/>
            </w:tcBorders>
            <w:vAlign w:val="center"/>
          </w:tcPr>
          <w:p w14:paraId="119F731E">
            <w:pPr>
              <w:spacing w:line="360" w:lineRule="auto"/>
              <w:jc w:val="center"/>
              <w:rPr>
                <w:rFonts w:ascii="宋体" w:hAnsi="宋体" w:cs="宋体"/>
                <w:sz w:val="24"/>
                <w:szCs w:val="24"/>
              </w:rPr>
            </w:pPr>
          </w:p>
        </w:tc>
        <w:tc>
          <w:tcPr>
            <w:tcW w:w="2755" w:type="dxa"/>
            <w:tcBorders>
              <w:top w:val="single" w:color="auto" w:sz="4" w:space="0"/>
              <w:left w:val="single" w:color="auto" w:sz="4" w:space="0"/>
              <w:bottom w:val="single" w:color="auto" w:sz="4" w:space="0"/>
              <w:right w:val="single" w:color="auto" w:sz="4" w:space="0"/>
            </w:tcBorders>
            <w:vAlign w:val="center"/>
          </w:tcPr>
          <w:p w14:paraId="39D4C09C">
            <w:pPr>
              <w:spacing w:line="360" w:lineRule="auto"/>
              <w:jc w:val="center"/>
              <w:rPr>
                <w:rFonts w:ascii="宋体" w:hAnsi="宋体" w:cs="宋体"/>
                <w:sz w:val="24"/>
                <w:szCs w:val="24"/>
              </w:rPr>
            </w:pPr>
          </w:p>
        </w:tc>
      </w:tr>
      <w:tr w14:paraId="44926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7"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C768CE3">
            <w:pPr>
              <w:spacing w:line="360" w:lineRule="auto"/>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2C1270ED">
            <w:pPr>
              <w:spacing w:line="360" w:lineRule="auto"/>
              <w:jc w:val="center"/>
              <w:rPr>
                <w:rFonts w:ascii="宋体" w:hAnsi="宋体" w:cs="宋体"/>
                <w:sz w:val="24"/>
                <w:szCs w:val="24"/>
              </w:rPr>
            </w:pPr>
          </w:p>
        </w:tc>
        <w:tc>
          <w:tcPr>
            <w:tcW w:w="745" w:type="dxa"/>
            <w:tcBorders>
              <w:top w:val="single" w:color="auto" w:sz="4" w:space="0"/>
              <w:left w:val="single" w:color="auto" w:sz="4" w:space="0"/>
              <w:bottom w:val="single" w:color="auto" w:sz="4" w:space="0"/>
              <w:right w:val="single" w:color="auto" w:sz="4" w:space="0"/>
            </w:tcBorders>
            <w:vAlign w:val="center"/>
          </w:tcPr>
          <w:p w14:paraId="29A7ADF8">
            <w:pPr>
              <w:spacing w:line="360" w:lineRule="auto"/>
              <w:jc w:val="center"/>
              <w:rPr>
                <w:rFonts w:ascii="宋体" w:hAnsi="宋体" w:cs="宋体"/>
                <w:sz w:val="24"/>
                <w:szCs w:val="24"/>
              </w:rPr>
            </w:pPr>
          </w:p>
        </w:tc>
        <w:tc>
          <w:tcPr>
            <w:tcW w:w="1474" w:type="dxa"/>
            <w:tcBorders>
              <w:top w:val="single" w:color="auto" w:sz="4" w:space="0"/>
              <w:left w:val="single" w:color="auto" w:sz="4" w:space="0"/>
              <w:bottom w:val="single" w:color="auto" w:sz="4" w:space="0"/>
              <w:right w:val="single" w:color="auto" w:sz="4" w:space="0"/>
            </w:tcBorders>
            <w:vAlign w:val="center"/>
          </w:tcPr>
          <w:p w14:paraId="378769FA">
            <w:pPr>
              <w:spacing w:line="360" w:lineRule="auto"/>
              <w:jc w:val="center"/>
              <w:rPr>
                <w:rFonts w:ascii="宋体" w:hAnsi="宋体" w:cs="宋体"/>
                <w:sz w:val="24"/>
                <w:szCs w:val="24"/>
              </w:rPr>
            </w:pPr>
          </w:p>
        </w:tc>
        <w:tc>
          <w:tcPr>
            <w:tcW w:w="744" w:type="dxa"/>
            <w:tcBorders>
              <w:top w:val="single" w:color="auto" w:sz="4" w:space="0"/>
              <w:left w:val="single" w:color="auto" w:sz="4" w:space="0"/>
              <w:bottom w:val="single" w:color="auto" w:sz="4" w:space="0"/>
              <w:right w:val="single" w:color="auto" w:sz="4" w:space="0"/>
            </w:tcBorders>
            <w:vAlign w:val="center"/>
          </w:tcPr>
          <w:p w14:paraId="3CF02231">
            <w:pPr>
              <w:spacing w:line="360" w:lineRule="auto"/>
              <w:jc w:val="center"/>
              <w:rPr>
                <w:rFonts w:ascii="宋体" w:hAnsi="宋体" w:cs="宋体"/>
                <w:sz w:val="24"/>
                <w:szCs w:val="24"/>
              </w:rPr>
            </w:pPr>
          </w:p>
        </w:tc>
        <w:tc>
          <w:tcPr>
            <w:tcW w:w="745" w:type="dxa"/>
            <w:tcBorders>
              <w:top w:val="single" w:color="auto" w:sz="4" w:space="0"/>
              <w:left w:val="single" w:color="auto" w:sz="4" w:space="0"/>
              <w:bottom w:val="single" w:color="auto" w:sz="4" w:space="0"/>
              <w:right w:val="single" w:color="auto" w:sz="4" w:space="0"/>
            </w:tcBorders>
            <w:vAlign w:val="center"/>
          </w:tcPr>
          <w:p w14:paraId="1F6BD180">
            <w:pPr>
              <w:spacing w:line="360" w:lineRule="auto"/>
              <w:jc w:val="center"/>
              <w:rPr>
                <w:rFonts w:ascii="宋体" w:hAnsi="宋体" w:cs="宋体"/>
                <w:sz w:val="24"/>
                <w:szCs w:val="24"/>
              </w:rPr>
            </w:pPr>
          </w:p>
        </w:tc>
        <w:tc>
          <w:tcPr>
            <w:tcW w:w="1287" w:type="dxa"/>
            <w:tcBorders>
              <w:top w:val="single" w:color="auto" w:sz="4" w:space="0"/>
              <w:left w:val="single" w:color="auto" w:sz="4" w:space="0"/>
              <w:bottom w:val="single" w:color="auto" w:sz="4" w:space="0"/>
              <w:right w:val="single" w:color="auto" w:sz="4" w:space="0"/>
            </w:tcBorders>
            <w:vAlign w:val="center"/>
          </w:tcPr>
          <w:p w14:paraId="063F597B">
            <w:pPr>
              <w:spacing w:line="360" w:lineRule="auto"/>
              <w:jc w:val="center"/>
              <w:rPr>
                <w:rFonts w:ascii="宋体" w:hAnsi="宋体" w:cs="宋体"/>
                <w:sz w:val="24"/>
                <w:szCs w:val="24"/>
              </w:rPr>
            </w:pPr>
          </w:p>
        </w:tc>
        <w:tc>
          <w:tcPr>
            <w:tcW w:w="2755" w:type="dxa"/>
            <w:tcBorders>
              <w:top w:val="single" w:color="auto" w:sz="4" w:space="0"/>
              <w:left w:val="single" w:color="auto" w:sz="4" w:space="0"/>
              <w:bottom w:val="single" w:color="auto" w:sz="4" w:space="0"/>
              <w:right w:val="single" w:color="auto" w:sz="4" w:space="0"/>
            </w:tcBorders>
            <w:vAlign w:val="center"/>
          </w:tcPr>
          <w:p w14:paraId="223F0960">
            <w:pPr>
              <w:spacing w:line="360" w:lineRule="auto"/>
              <w:jc w:val="center"/>
              <w:rPr>
                <w:rFonts w:ascii="宋体" w:hAnsi="宋体" w:cs="宋体"/>
                <w:sz w:val="24"/>
                <w:szCs w:val="24"/>
              </w:rPr>
            </w:pPr>
          </w:p>
        </w:tc>
      </w:tr>
      <w:tr w14:paraId="7CB65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5D6317C">
            <w:pPr>
              <w:spacing w:line="360" w:lineRule="auto"/>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4965D667">
            <w:pPr>
              <w:spacing w:line="360" w:lineRule="auto"/>
              <w:jc w:val="center"/>
              <w:rPr>
                <w:rFonts w:ascii="宋体" w:hAnsi="宋体" w:cs="宋体"/>
                <w:sz w:val="24"/>
                <w:szCs w:val="24"/>
              </w:rPr>
            </w:pPr>
          </w:p>
        </w:tc>
        <w:tc>
          <w:tcPr>
            <w:tcW w:w="745" w:type="dxa"/>
            <w:tcBorders>
              <w:top w:val="single" w:color="auto" w:sz="4" w:space="0"/>
              <w:left w:val="single" w:color="auto" w:sz="4" w:space="0"/>
              <w:bottom w:val="single" w:color="auto" w:sz="4" w:space="0"/>
              <w:right w:val="single" w:color="auto" w:sz="4" w:space="0"/>
            </w:tcBorders>
            <w:vAlign w:val="center"/>
          </w:tcPr>
          <w:p w14:paraId="42D159B0">
            <w:pPr>
              <w:spacing w:line="360" w:lineRule="auto"/>
              <w:jc w:val="center"/>
              <w:rPr>
                <w:rFonts w:ascii="宋体" w:hAnsi="宋体" w:cs="宋体"/>
                <w:sz w:val="24"/>
                <w:szCs w:val="24"/>
              </w:rPr>
            </w:pPr>
          </w:p>
        </w:tc>
        <w:tc>
          <w:tcPr>
            <w:tcW w:w="1474" w:type="dxa"/>
            <w:tcBorders>
              <w:top w:val="single" w:color="auto" w:sz="4" w:space="0"/>
              <w:left w:val="single" w:color="auto" w:sz="4" w:space="0"/>
              <w:bottom w:val="single" w:color="auto" w:sz="4" w:space="0"/>
              <w:right w:val="single" w:color="auto" w:sz="4" w:space="0"/>
            </w:tcBorders>
            <w:vAlign w:val="center"/>
          </w:tcPr>
          <w:p w14:paraId="5795C841">
            <w:pPr>
              <w:spacing w:line="360" w:lineRule="auto"/>
              <w:jc w:val="center"/>
              <w:rPr>
                <w:rFonts w:ascii="宋体" w:hAnsi="宋体" w:cs="宋体"/>
                <w:sz w:val="24"/>
                <w:szCs w:val="24"/>
              </w:rPr>
            </w:pPr>
          </w:p>
        </w:tc>
        <w:tc>
          <w:tcPr>
            <w:tcW w:w="744" w:type="dxa"/>
            <w:tcBorders>
              <w:top w:val="single" w:color="auto" w:sz="4" w:space="0"/>
              <w:left w:val="single" w:color="auto" w:sz="4" w:space="0"/>
              <w:bottom w:val="single" w:color="auto" w:sz="4" w:space="0"/>
              <w:right w:val="single" w:color="auto" w:sz="4" w:space="0"/>
            </w:tcBorders>
            <w:vAlign w:val="center"/>
          </w:tcPr>
          <w:p w14:paraId="0BAD6CD1">
            <w:pPr>
              <w:spacing w:line="360" w:lineRule="auto"/>
              <w:jc w:val="center"/>
              <w:rPr>
                <w:rFonts w:ascii="宋体" w:hAnsi="宋体" w:cs="宋体"/>
                <w:sz w:val="24"/>
                <w:szCs w:val="24"/>
              </w:rPr>
            </w:pPr>
          </w:p>
        </w:tc>
        <w:tc>
          <w:tcPr>
            <w:tcW w:w="745" w:type="dxa"/>
            <w:tcBorders>
              <w:top w:val="single" w:color="auto" w:sz="4" w:space="0"/>
              <w:left w:val="single" w:color="auto" w:sz="4" w:space="0"/>
              <w:bottom w:val="single" w:color="auto" w:sz="4" w:space="0"/>
              <w:right w:val="single" w:color="auto" w:sz="4" w:space="0"/>
            </w:tcBorders>
            <w:vAlign w:val="center"/>
          </w:tcPr>
          <w:p w14:paraId="71F35C93">
            <w:pPr>
              <w:spacing w:line="360" w:lineRule="auto"/>
              <w:jc w:val="center"/>
              <w:rPr>
                <w:rFonts w:ascii="宋体" w:hAnsi="宋体" w:cs="宋体"/>
                <w:sz w:val="24"/>
                <w:szCs w:val="24"/>
              </w:rPr>
            </w:pPr>
          </w:p>
        </w:tc>
        <w:tc>
          <w:tcPr>
            <w:tcW w:w="1287" w:type="dxa"/>
            <w:tcBorders>
              <w:top w:val="single" w:color="auto" w:sz="4" w:space="0"/>
              <w:left w:val="single" w:color="auto" w:sz="4" w:space="0"/>
              <w:bottom w:val="single" w:color="auto" w:sz="4" w:space="0"/>
              <w:right w:val="single" w:color="auto" w:sz="4" w:space="0"/>
            </w:tcBorders>
            <w:vAlign w:val="center"/>
          </w:tcPr>
          <w:p w14:paraId="26E7C060">
            <w:pPr>
              <w:spacing w:line="360" w:lineRule="auto"/>
              <w:jc w:val="center"/>
              <w:rPr>
                <w:rFonts w:ascii="宋体" w:hAnsi="宋体" w:cs="宋体"/>
                <w:sz w:val="24"/>
                <w:szCs w:val="24"/>
              </w:rPr>
            </w:pPr>
          </w:p>
        </w:tc>
        <w:tc>
          <w:tcPr>
            <w:tcW w:w="2755" w:type="dxa"/>
            <w:tcBorders>
              <w:top w:val="single" w:color="auto" w:sz="4" w:space="0"/>
              <w:left w:val="single" w:color="auto" w:sz="4" w:space="0"/>
              <w:bottom w:val="single" w:color="auto" w:sz="4" w:space="0"/>
              <w:right w:val="single" w:color="auto" w:sz="4" w:space="0"/>
            </w:tcBorders>
            <w:vAlign w:val="center"/>
          </w:tcPr>
          <w:p w14:paraId="1EE8520A">
            <w:pPr>
              <w:spacing w:line="360" w:lineRule="auto"/>
              <w:jc w:val="center"/>
              <w:rPr>
                <w:rFonts w:ascii="宋体" w:hAnsi="宋体" w:cs="宋体"/>
                <w:sz w:val="24"/>
                <w:szCs w:val="24"/>
              </w:rPr>
            </w:pPr>
          </w:p>
        </w:tc>
      </w:tr>
      <w:tr w14:paraId="1EC5D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 w:type="dxa"/>
            <w:tcBorders>
              <w:top w:val="single" w:color="auto" w:sz="4" w:space="0"/>
              <w:left w:val="single" w:color="auto" w:sz="4" w:space="0"/>
              <w:bottom w:val="single" w:color="auto" w:sz="4" w:space="0"/>
              <w:right w:val="single" w:color="auto" w:sz="4" w:space="0"/>
            </w:tcBorders>
          </w:tcPr>
          <w:p w14:paraId="766332C8">
            <w:pPr>
              <w:spacing w:line="360" w:lineRule="auto"/>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tcPr>
          <w:p w14:paraId="405A0ED1">
            <w:pPr>
              <w:spacing w:line="360" w:lineRule="auto"/>
              <w:jc w:val="center"/>
              <w:rPr>
                <w:rFonts w:ascii="宋体" w:hAnsi="宋体" w:cs="宋体"/>
                <w:sz w:val="24"/>
                <w:szCs w:val="24"/>
              </w:rPr>
            </w:pPr>
          </w:p>
        </w:tc>
        <w:tc>
          <w:tcPr>
            <w:tcW w:w="745" w:type="dxa"/>
            <w:tcBorders>
              <w:top w:val="single" w:color="auto" w:sz="4" w:space="0"/>
              <w:left w:val="single" w:color="auto" w:sz="4" w:space="0"/>
              <w:bottom w:val="single" w:color="auto" w:sz="4" w:space="0"/>
              <w:right w:val="single" w:color="auto" w:sz="4" w:space="0"/>
            </w:tcBorders>
          </w:tcPr>
          <w:p w14:paraId="2583ACD7">
            <w:pPr>
              <w:spacing w:line="360" w:lineRule="auto"/>
              <w:jc w:val="center"/>
              <w:rPr>
                <w:rFonts w:ascii="宋体" w:hAnsi="宋体" w:cs="宋体"/>
                <w:sz w:val="24"/>
                <w:szCs w:val="24"/>
              </w:rPr>
            </w:pPr>
          </w:p>
        </w:tc>
        <w:tc>
          <w:tcPr>
            <w:tcW w:w="1474" w:type="dxa"/>
            <w:tcBorders>
              <w:top w:val="single" w:color="auto" w:sz="4" w:space="0"/>
              <w:left w:val="single" w:color="auto" w:sz="4" w:space="0"/>
              <w:bottom w:val="single" w:color="auto" w:sz="4" w:space="0"/>
              <w:right w:val="single" w:color="auto" w:sz="4" w:space="0"/>
            </w:tcBorders>
          </w:tcPr>
          <w:p w14:paraId="5A8F748D">
            <w:pPr>
              <w:spacing w:line="360" w:lineRule="auto"/>
              <w:jc w:val="center"/>
              <w:rPr>
                <w:rFonts w:ascii="宋体" w:hAnsi="宋体" w:cs="宋体"/>
                <w:sz w:val="24"/>
                <w:szCs w:val="24"/>
              </w:rPr>
            </w:pPr>
          </w:p>
        </w:tc>
        <w:tc>
          <w:tcPr>
            <w:tcW w:w="744" w:type="dxa"/>
            <w:tcBorders>
              <w:top w:val="single" w:color="auto" w:sz="4" w:space="0"/>
              <w:left w:val="single" w:color="auto" w:sz="4" w:space="0"/>
              <w:bottom w:val="single" w:color="auto" w:sz="4" w:space="0"/>
              <w:right w:val="single" w:color="auto" w:sz="4" w:space="0"/>
            </w:tcBorders>
          </w:tcPr>
          <w:p w14:paraId="05A1E0B8">
            <w:pPr>
              <w:spacing w:line="360" w:lineRule="auto"/>
              <w:jc w:val="center"/>
              <w:rPr>
                <w:rFonts w:ascii="宋体" w:hAnsi="宋体" w:cs="宋体"/>
                <w:sz w:val="24"/>
                <w:szCs w:val="24"/>
              </w:rPr>
            </w:pPr>
          </w:p>
        </w:tc>
        <w:tc>
          <w:tcPr>
            <w:tcW w:w="745" w:type="dxa"/>
            <w:tcBorders>
              <w:top w:val="single" w:color="auto" w:sz="4" w:space="0"/>
              <w:left w:val="single" w:color="auto" w:sz="4" w:space="0"/>
              <w:bottom w:val="single" w:color="auto" w:sz="4" w:space="0"/>
              <w:right w:val="single" w:color="auto" w:sz="4" w:space="0"/>
            </w:tcBorders>
          </w:tcPr>
          <w:p w14:paraId="520A388C">
            <w:pPr>
              <w:spacing w:line="360" w:lineRule="auto"/>
              <w:jc w:val="center"/>
              <w:rPr>
                <w:rFonts w:ascii="宋体" w:hAnsi="宋体" w:cs="宋体"/>
                <w:sz w:val="24"/>
                <w:szCs w:val="24"/>
              </w:rPr>
            </w:pPr>
          </w:p>
        </w:tc>
        <w:tc>
          <w:tcPr>
            <w:tcW w:w="1287" w:type="dxa"/>
            <w:tcBorders>
              <w:top w:val="single" w:color="auto" w:sz="4" w:space="0"/>
              <w:left w:val="single" w:color="auto" w:sz="4" w:space="0"/>
              <w:bottom w:val="single" w:color="auto" w:sz="4" w:space="0"/>
              <w:right w:val="single" w:color="auto" w:sz="4" w:space="0"/>
            </w:tcBorders>
          </w:tcPr>
          <w:p w14:paraId="2F69B9DE">
            <w:pPr>
              <w:spacing w:line="360" w:lineRule="auto"/>
              <w:jc w:val="center"/>
              <w:rPr>
                <w:rFonts w:ascii="宋体" w:hAnsi="宋体" w:cs="宋体"/>
                <w:sz w:val="24"/>
                <w:szCs w:val="24"/>
              </w:rPr>
            </w:pPr>
          </w:p>
        </w:tc>
        <w:tc>
          <w:tcPr>
            <w:tcW w:w="2755" w:type="dxa"/>
            <w:tcBorders>
              <w:top w:val="single" w:color="auto" w:sz="4" w:space="0"/>
              <w:left w:val="single" w:color="auto" w:sz="4" w:space="0"/>
              <w:bottom w:val="single" w:color="auto" w:sz="4" w:space="0"/>
              <w:right w:val="single" w:color="auto" w:sz="4" w:space="0"/>
            </w:tcBorders>
          </w:tcPr>
          <w:p w14:paraId="6AC8438D">
            <w:pPr>
              <w:spacing w:line="360" w:lineRule="auto"/>
              <w:jc w:val="center"/>
              <w:rPr>
                <w:rFonts w:ascii="宋体" w:hAnsi="宋体" w:cs="宋体"/>
                <w:sz w:val="24"/>
                <w:szCs w:val="24"/>
              </w:rPr>
            </w:pPr>
          </w:p>
        </w:tc>
      </w:tr>
    </w:tbl>
    <w:p w14:paraId="3A84C3D4">
      <w:pPr>
        <w:autoSpaceDE w:val="0"/>
        <w:autoSpaceDN w:val="0"/>
        <w:adjustRightInd w:val="0"/>
        <w:spacing w:line="360" w:lineRule="exact"/>
        <w:ind w:firstLine="0" w:firstLineChars="0"/>
        <w:rPr>
          <w:rFonts w:ascii="宋体" w:hAnsi="宋体" w:cs="宋体"/>
          <w:b/>
          <w:sz w:val="28"/>
          <w:szCs w:val="28"/>
        </w:rPr>
      </w:pPr>
      <w:r>
        <w:rPr>
          <w:rFonts w:hint="eastAsia" w:ascii="宋体" w:hAnsi="宋体" w:cs="宋体"/>
          <w:sz w:val="24"/>
          <w:szCs w:val="24"/>
        </w:rPr>
        <w:t>注：</w:t>
      </w:r>
      <w:r>
        <w:rPr>
          <w:rFonts w:hint="eastAsia" w:ascii="宋体" w:hAnsi="宋体" w:cs="宋体"/>
          <w:sz w:val="24"/>
        </w:rPr>
        <w:t>附身份证、</w:t>
      </w:r>
      <w:r>
        <w:rPr>
          <w:rFonts w:hint="eastAsia" w:ascii="宋体" w:hAnsi="宋体" w:cs="宋体"/>
          <w:sz w:val="24"/>
          <w:lang w:val="en-US" w:eastAsia="zh-CN"/>
        </w:rPr>
        <w:t>劳动合同或社保证明、</w:t>
      </w:r>
      <w:r>
        <w:rPr>
          <w:rFonts w:hint="eastAsia" w:ascii="宋体" w:hAnsi="宋体" w:cs="宋体"/>
          <w:sz w:val="24"/>
        </w:rPr>
        <w:t>学历证</w:t>
      </w:r>
      <w:r>
        <w:rPr>
          <w:rFonts w:hint="eastAsia" w:ascii="宋体" w:hAnsi="宋体" w:cs="宋体"/>
          <w:sz w:val="24"/>
          <w:lang w:eastAsia="zh-CN"/>
        </w:rPr>
        <w:t>（</w:t>
      </w:r>
      <w:r>
        <w:rPr>
          <w:rFonts w:hint="eastAsia" w:ascii="宋体" w:hAnsi="宋体" w:cs="宋体"/>
          <w:sz w:val="24"/>
          <w:lang w:val="en-US" w:eastAsia="zh-CN"/>
        </w:rPr>
        <w:t>如有，本科及以上可提供</w:t>
      </w:r>
      <w:r>
        <w:rPr>
          <w:rFonts w:hint="eastAsia" w:ascii="宋体" w:hAnsi="宋体" w:cs="宋体"/>
          <w:sz w:val="24"/>
          <w:lang w:eastAsia="zh-CN"/>
        </w:rPr>
        <w:t>）</w:t>
      </w:r>
      <w:r>
        <w:rPr>
          <w:rFonts w:hint="eastAsia" w:ascii="宋体" w:hAnsi="宋体" w:cs="宋体"/>
          <w:sz w:val="24"/>
        </w:rPr>
        <w:t>、职称证（如有）、职业资格证书（如有）等材料。</w:t>
      </w:r>
    </w:p>
    <w:p w14:paraId="299D4D0E">
      <w:pPr>
        <w:numPr>
          <w:ilvl w:val="0"/>
          <w:numId w:val="0"/>
        </w:numPr>
        <w:spacing w:line="360" w:lineRule="auto"/>
        <w:jc w:val="center"/>
        <w:rPr>
          <w:rFonts w:hint="eastAsia" w:ascii="宋体" w:hAnsi="宋体" w:eastAsia="宋体" w:cs="宋体"/>
          <w:b w:val="0"/>
          <w:bCs w:val="0"/>
          <w:sz w:val="22"/>
          <w:szCs w:val="22"/>
          <w:lang w:eastAsia="zh-CN"/>
        </w:rPr>
      </w:pPr>
    </w:p>
    <w:p w14:paraId="2A10781A">
      <w:pPr>
        <w:numPr>
          <w:ilvl w:val="0"/>
          <w:numId w:val="0"/>
        </w:numPr>
        <w:spacing w:line="360" w:lineRule="auto"/>
        <w:jc w:val="center"/>
        <w:rPr>
          <w:rFonts w:hint="eastAsia" w:ascii="宋体" w:hAnsi="宋体" w:eastAsia="宋体" w:cs="宋体"/>
          <w:b w:val="0"/>
          <w:bCs w:val="0"/>
          <w:sz w:val="22"/>
          <w:szCs w:val="22"/>
          <w:lang w:eastAsia="zh-CN"/>
        </w:rPr>
      </w:pPr>
    </w:p>
    <w:p w14:paraId="3DE6648D">
      <w:pPr>
        <w:pStyle w:val="22"/>
        <w:jc w:val="center"/>
        <w:rPr>
          <w:rFonts w:hint="eastAsia" w:ascii="宋体" w:hAnsi="宋体" w:eastAsia="宋体" w:cs="宋体"/>
          <w:b w:val="0"/>
          <w:bCs w:val="0"/>
          <w:sz w:val="22"/>
          <w:szCs w:val="22"/>
          <w:lang w:eastAsia="zh-CN"/>
        </w:rPr>
      </w:pPr>
    </w:p>
    <w:p w14:paraId="70472A9E">
      <w:pPr>
        <w:rPr>
          <w:rFonts w:hint="eastAsia" w:ascii="宋体" w:hAnsi="宋体" w:eastAsia="宋体" w:cs="宋体"/>
          <w:lang w:eastAsia="zh-CN"/>
        </w:rPr>
      </w:pPr>
      <w:r>
        <w:rPr>
          <w:rFonts w:hint="eastAsia" w:ascii="宋体" w:hAnsi="宋体" w:eastAsia="宋体" w:cs="宋体"/>
          <w:b/>
          <w:bCs/>
          <w:kern w:val="2"/>
          <w:sz w:val="28"/>
          <w:szCs w:val="28"/>
          <w:lang w:val="en-US" w:eastAsia="zh-CN" w:bidi="ar-SA"/>
        </w:rPr>
        <w:br w:type="page"/>
      </w:r>
    </w:p>
    <w:p w14:paraId="30530AAA">
      <w:pPr>
        <w:pageBreakBefore w:val="0"/>
        <w:kinsoku/>
        <w:overflowPunct/>
        <w:topLinePunct w:val="0"/>
        <w:bidi w:val="0"/>
        <w:spacing w:beforeAutospacing="0" w:afterAutospacing="0" w:line="360" w:lineRule="auto"/>
        <w:jc w:val="center"/>
        <w:outlineLvl w:val="2"/>
        <w:rPr>
          <w:rFonts w:hint="eastAsia" w:ascii="宋体" w:hAnsi="宋体" w:eastAsia="宋体" w:cs="宋体"/>
          <w:color w:val="auto"/>
          <w:highlight w:val="none"/>
        </w:rPr>
      </w:pPr>
      <w:bookmarkStart w:id="584" w:name="_Toc17345"/>
      <w:bookmarkStart w:id="585" w:name="_Toc17709"/>
      <w:bookmarkStart w:id="586" w:name="_Toc7262"/>
      <w:bookmarkStart w:id="587" w:name="_Toc19549"/>
      <w:bookmarkStart w:id="588" w:name="_Toc31017"/>
      <w:bookmarkStart w:id="589" w:name="_Toc17081"/>
      <w:bookmarkStart w:id="590" w:name="_Toc7396"/>
      <w:bookmarkStart w:id="591" w:name="_Toc22455"/>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、构成投标文件的其它资料</w:t>
      </w:r>
      <w:bookmarkEnd w:id="584"/>
      <w:bookmarkEnd w:id="585"/>
      <w:bookmarkEnd w:id="586"/>
      <w:bookmarkEnd w:id="587"/>
      <w:bookmarkEnd w:id="588"/>
      <w:bookmarkEnd w:id="589"/>
      <w:bookmarkEnd w:id="590"/>
      <w:bookmarkEnd w:id="591"/>
    </w:p>
    <w:p w14:paraId="36FECDB5">
      <w:pPr>
        <w:jc w:val="center"/>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1.</w:t>
      </w:r>
      <w:r>
        <w:rPr>
          <w:rFonts w:hint="eastAsia" w:ascii="宋体" w:hAnsi="宋体" w:eastAsia="宋体" w:cs="宋体"/>
          <w:b/>
          <w:bCs w:val="0"/>
          <w:sz w:val="28"/>
          <w:szCs w:val="28"/>
        </w:rPr>
        <w:t>提供开户银行许可证复印件或银行出具的基本存款账户信息复印件。</w:t>
      </w:r>
    </w:p>
    <w:p w14:paraId="3A99FD54">
      <w:pPr>
        <w:jc w:val="center"/>
        <w:rPr>
          <w:rFonts w:hint="eastAsia" w:ascii="宋体" w:hAnsi="宋体" w:eastAsia="宋体" w:cs="宋体"/>
          <w:b/>
          <w:bCs w:val="0"/>
          <w:sz w:val="28"/>
          <w:szCs w:val="28"/>
          <w:lang w:val="en-US" w:eastAsia="zh-CN"/>
        </w:rPr>
      </w:pPr>
    </w:p>
    <w:p w14:paraId="2BD31EB8">
      <w:pPr>
        <w:jc w:val="center"/>
        <w:rPr>
          <w:rFonts w:hint="eastAsia" w:ascii="宋体" w:hAnsi="宋体" w:eastAsia="宋体" w:cs="宋体"/>
          <w:b/>
          <w:bCs w:val="0"/>
          <w:sz w:val="28"/>
          <w:szCs w:val="28"/>
          <w:lang w:val="en-US" w:eastAsia="zh-CN"/>
        </w:rPr>
      </w:pPr>
    </w:p>
    <w:p w14:paraId="4760E3B3">
      <w:pPr>
        <w:jc w:val="center"/>
        <w:rPr>
          <w:rFonts w:hint="eastAsia" w:ascii="宋体" w:hAnsi="宋体" w:eastAsia="宋体" w:cs="宋体"/>
          <w:b/>
          <w:bCs w:val="0"/>
        </w:rPr>
      </w:pPr>
      <w:r>
        <w:rPr>
          <w:rFonts w:hint="eastAsia" w:ascii="宋体" w:hAnsi="宋体" w:eastAsia="宋体" w:cs="宋体"/>
          <w:b/>
          <w:bCs w:val="0"/>
          <w:sz w:val="28"/>
          <w:szCs w:val="28"/>
          <w:lang w:val="en-US" w:eastAsia="zh-CN"/>
        </w:rPr>
        <w:t>2</w:t>
      </w:r>
      <w:r>
        <w:rPr>
          <w:rFonts w:hint="eastAsia" w:ascii="宋体" w:hAnsi="宋体" w:eastAsia="宋体" w:cs="宋体"/>
          <w:b/>
          <w:bCs w:val="0"/>
          <w:sz w:val="28"/>
          <w:szCs w:val="28"/>
        </w:rPr>
        <w:t>.招标文件要求提交的其他资料</w:t>
      </w:r>
    </w:p>
    <w:p w14:paraId="51981AD1">
      <w:pPr>
        <w:pStyle w:val="10"/>
        <w:jc w:val="center"/>
        <w:rPr>
          <w:rFonts w:hint="eastAsia" w:ascii="宋体" w:hAnsi="宋体" w:eastAsia="宋体" w:cs="宋体"/>
          <w:b w:val="0"/>
          <w:bCs/>
          <w:sz w:val="24"/>
          <w:szCs w:val="11"/>
        </w:rPr>
      </w:pPr>
      <w:r>
        <w:rPr>
          <w:rFonts w:hint="eastAsia" w:ascii="宋体" w:hAnsi="宋体" w:eastAsia="宋体" w:cs="宋体"/>
          <w:b w:val="0"/>
          <w:bCs/>
          <w:sz w:val="24"/>
          <w:szCs w:val="11"/>
        </w:rPr>
        <w:t>（格式自拟）</w:t>
      </w:r>
    </w:p>
    <w:p w14:paraId="4708DC63">
      <w:pPr>
        <w:pStyle w:val="10"/>
        <w:rPr>
          <w:rFonts w:hint="eastAsia" w:ascii="宋体" w:hAnsi="宋体" w:eastAsia="宋体" w:cs="宋体"/>
          <w:b/>
          <w:bCs w:val="0"/>
        </w:rPr>
      </w:pPr>
    </w:p>
    <w:p w14:paraId="3BEC5635">
      <w:pPr>
        <w:pStyle w:val="10"/>
        <w:rPr>
          <w:rFonts w:hint="eastAsia" w:ascii="宋体" w:hAnsi="宋体" w:eastAsia="宋体" w:cs="宋体"/>
          <w:b/>
          <w:bCs w:val="0"/>
        </w:rPr>
      </w:pPr>
    </w:p>
    <w:p w14:paraId="3216E4C9">
      <w:pPr>
        <w:numPr>
          <w:ilvl w:val="0"/>
          <w:numId w:val="0"/>
        </w:numPr>
        <w:jc w:val="center"/>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3.</w:t>
      </w:r>
      <w:r>
        <w:rPr>
          <w:rFonts w:hint="eastAsia" w:ascii="宋体" w:hAnsi="宋体" w:eastAsia="宋体" w:cs="宋体"/>
          <w:b/>
          <w:bCs w:val="0"/>
          <w:sz w:val="28"/>
          <w:szCs w:val="28"/>
        </w:rPr>
        <w:t>投标人认为需要提交的其他资料</w:t>
      </w:r>
    </w:p>
    <w:p w14:paraId="5B061CC2">
      <w:pPr>
        <w:pStyle w:val="10"/>
        <w:jc w:val="center"/>
        <w:rPr>
          <w:rFonts w:hint="eastAsia" w:ascii="宋体" w:hAnsi="宋体" w:eastAsia="宋体" w:cs="宋体"/>
          <w:b w:val="0"/>
          <w:bCs/>
          <w:sz w:val="24"/>
          <w:szCs w:val="11"/>
        </w:rPr>
      </w:pPr>
      <w:r>
        <w:rPr>
          <w:rFonts w:hint="eastAsia" w:ascii="宋体" w:hAnsi="宋体" w:eastAsia="宋体" w:cs="宋体"/>
          <w:b w:val="0"/>
          <w:bCs/>
          <w:sz w:val="24"/>
          <w:szCs w:val="11"/>
        </w:rPr>
        <w:t>（格式自拟）</w:t>
      </w:r>
    </w:p>
    <w:p w14:paraId="217956EF">
      <w:pPr>
        <w:numPr>
          <w:ilvl w:val="0"/>
          <w:numId w:val="0"/>
        </w:numPr>
        <w:jc w:val="center"/>
        <w:rPr>
          <w:rFonts w:hint="eastAsia" w:ascii="宋体" w:hAnsi="宋体" w:eastAsia="宋体" w:cs="宋体"/>
          <w:b/>
          <w:bCs w:val="0"/>
          <w:sz w:val="28"/>
          <w:szCs w:val="28"/>
          <w:lang w:val="en-US" w:eastAsia="zh-CN"/>
        </w:rPr>
      </w:pPr>
    </w:p>
    <w:p w14:paraId="35566E00">
      <w:pPr>
        <w:numPr>
          <w:ilvl w:val="0"/>
          <w:numId w:val="0"/>
        </w:numPr>
        <w:jc w:val="center"/>
        <w:rPr>
          <w:rFonts w:hint="eastAsia" w:ascii="宋体" w:hAnsi="宋体" w:eastAsia="宋体" w:cs="宋体"/>
          <w:b/>
          <w:bCs w:val="0"/>
          <w:sz w:val="28"/>
          <w:szCs w:val="28"/>
          <w:lang w:val="en-US" w:eastAsia="zh-CN"/>
        </w:rPr>
      </w:pPr>
    </w:p>
    <w:p w14:paraId="0823F406">
      <w:pPr>
        <w:pageBreakBefore w:val="0"/>
        <w:kinsoku/>
        <w:wordWrap w:val="0"/>
        <w:overflowPunct/>
        <w:topLinePunct w:val="0"/>
        <w:bidi w:val="0"/>
        <w:spacing w:beforeAutospacing="0" w:afterAutospacing="0" w:line="360" w:lineRule="auto"/>
        <w:jc w:val="center"/>
        <w:rPr>
          <w:rFonts w:hint="eastAsia" w:ascii="宋体" w:hAnsi="宋体" w:eastAsia="宋体" w:cs="宋体"/>
          <w:b/>
          <w:bCs w:val="0"/>
          <w:color w:val="auto"/>
          <w:sz w:val="24"/>
          <w:highlight w:val="none"/>
        </w:rPr>
      </w:pPr>
    </w:p>
    <w:p w14:paraId="74AE4F97">
      <w:pPr>
        <w:pageBreakBefore w:val="0"/>
        <w:kinsoku/>
        <w:overflowPunct/>
        <w:topLinePunct w:val="0"/>
        <w:bidi w:val="0"/>
        <w:spacing w:beforeAutospacing="0" w:afterAutospacing="0" w:line="360" w:lineRule="auto"/>
        <w:rPr>
          <w:rFonts w:hint="eastAsia" w:ascii="宋体" w:hAnsi="宋体" w:eastAsia="宋体" w:cs="宋体"/>
        </w:rPr>
      </w:pPr>
    </w:p>
    <w:sectPr>
      <w:headerReference r:id="rId15" w:type="default"/>
      <w:footerReference r:id="rId16"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金山简黑体">
    <w:altName w:val="宋体"/>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打印机字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2825F">
    <w:pPr>
      <w:pStyle w:val="17"/>
      <w:pBdr>
        <w:bottom w:val="double" w:color="auto" w:sz="8" w:space="0"/>
      </w:pBdr>
      <w:tabs>
        <w:tab w:val="right" w:pos="8820"/>
        <w:tab w:val="clear" w:pos="8306"/>
      </w:tabs>
      <w:ind w:right="172"/>
      <w:rPr>
        <w:rFonts w:hint="eastAsia" w:ascii="仿宋" w:hAnsi="仿宋" w:eastAsia="仿宋" w:cs="仿宋"/>
        <w:b/>
        <w:sz w:val="16"/>
        <w:szCs w:val="16"/>
        <w:lang w:val="en-US" w:eastAsia="zh-CN"/>
      </w:rPr>
    </w:pPr>
    <w:r>
      <w:rPr>
        <w:rFonts w:hint="eastAsia" w:ascii="仿宋" w:hAnsi="仿宋" w:eastAsia="仿宋" w:cs="仿宋"/>
        <w:b/>
        <w:sz w:val="16"/>
        <w:szCs w:val="16"/>
      </w:rPr>
      <w:drawing>
        <wp:inline distT="0" distB="0" distL="114300" distR="114300">
          <wp:extent cx="181610" cy="181610"/>
          <wp:effectExtent l="0" t="0" r="8890" b="8890"/>
          <wp:docPr id="2" name="图片 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 xml:space="preserve">编制单位：云南国合建设招标咨询有限公司                                                          </w:t>
    </w:r>
    <w:r>
      <w:rPr>
        <w:rFonts w:hint="eastAsia" w:ascii="仿宋" w:hAnsi="仿宋" w:eastAsia="仿宋" w:cs="仿宋"/>
        <w:b/>
        <w:sz w:val="16"/>
        <w:szCs w:val="16"/>
        <w:lang w:val="en-US" w:eastAsia="zh-CN"/>
      </w:rPr>
      <w:t xml:space="preserve">        招标文件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2407B">
    <w:pPr>
      <w:pStyle w:val="17"/>
      <w:pBdr>
        <w:bottom w:val="double" w:color="auto" w:sz="8" w:space="0"/>
      </w:pBdr>
      <w:tabs>
        <w:tab w:val="right" w:pos="8820"/>
        <w:tab w:val="clear" w:pos="8306"/>
      </w:tabs>
      <w:ind w:right="172"/>
      <w:rPr>
        <w:rFonts w:hint="default"/>
        <w:lang w:val="en-US"/>
      </w:rPr>
    </w:pPr>
    <w:r>
      <w:rPr>
        <w:rFonts w:hint="eastAsia" w:ascii="仿宋" w:hAnsi="仿宋" w:eastAsia="仿宋" w:cs="仿宋"/>
        <w:b/>
        <w:sz w:val="16"/>
        <w:szCs w:val="16"/>
      </w:rPr>
      <w:drawing>
        <wp:inline distT="0" distB="0" distL="114300" distR="114300">
          <wp:extent cx="181610" cy="181610"/>
          <wp:effectExtent l="0" t="0" r="8890" b="8890"/>
          <wp:docPr id="3" name="图片 3"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 xml:space="preserve">编制单位：云南国合建设招标咨询有限公司                                                              </w:t>
    </w:r>
    <w:r>
      <w:rPr>
        <w:rFonts w:hint="eastAsia" w:ascii="仿宋" w:hAnsi="仿宋" w:eastAsia="仿宋" w:cs="仿宋"/>
        <w:b/>
        <w:sz w:val="16"/>
        <w:szCs w:val="16"/>
        <w:lang w:val="en-US" w:eastAsia="zh-CN"/>
      </w:rPr>
      <w:t xml:space="preserve">        招标文件</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61498">
    <w:pPr>
      <w:pStyle w:val="17"/>
      <w:pBdr>
        <w:bottom w:val="double" w:color="auto" w:sz="8" w:space="0"/>
      </w:pBdr>
      <w:tabs>
        <w:tab w:val="right" w:pos="8820"/>
        <w:tab w:val="clear" w:pos="8306"/>
      </w:tabs>
      <w:ind w:right="172"/>
      <w:rPr>
        <w:rFonts w:ascii="仿宋" w:hAnsi="仿宋" w:eastAsia="仿宋" w:cs="仿宋"/>
        <w:b/>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80F82">
                          <w:pPr>
                            <w:pStyle w:val="17"/>
                          </w:pPr>
                          <w:r>
                            <w:t xml:space="preserve">第 </w:t>
                          </w:r>
                          <w:r>
                            <w:fldChar w:fldCharType="begin"/>
                          </w:r>
                          <w:r>
                            <w:instrText xml:space="preserve"> PAGE  \* MERGEFORMAT </w:instrText>
                          </w:r>
                          <w:r>
                            <w:fldChar w:fldCharType="separate"/>
                          </w:r>
                          <w:r>
                            <w:t>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3D80F82">
                    <w:pPr>
                      <w:pStyle w:val="17"/>
                    </w:pPr>
                    <w:r>
                      <w:t xml:space="preserve">第 </w:t>
                    </w:r>
                    <w:r>
                      <w:fldChar w:fldCharType="begin"/>
                    </w:r>
                    <w:r>
                      <w:instrText xml:space="preserve"> PAGE  \* MERGEFORMAT </w:instrText>
                    </w:r>
                    <w:r>
                      <w:fldChar w:fldCharType="separate"/>
                    </w:r>
                    <w:r>
                      <w:t>22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2B831">
    <w:pPr>
      <w:pStyle w:val="1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4D2EC9">
                          <w:pPr>
                            <w:pStyle w:val="17"/>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A4D2EC9">
                    <w:pPr>
                      <w:pStyle w:val="17"/>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7DF07">
    <w:pPr>
      <w:pStyle w:val="17"/>
      <w:pBdr>
        <w:bottom w:val="double" w:color="auto" w:sz="8" w:space="0"/>
      </w:pBdr>
      <w:tabs>
        <w:tab w:val="left" w:pos="8177"/>
        <w:tab w:val="clear" w:pos="8306"/>
      </w:tabs>
      <w:ind w:right="172"/>
      <w:rPr>
        <w:rFonts w:hint="eastAsia" w:ascii="仿宋" w:hAnsi="仿宋" w:eastAsia="仿宋" w:cs="仿宋"/>
        <w:b/>
        <w:sz w:val="16"/>
        <w:szCs w:val="16"/>
        <w:lang w:eastAsia="zh-CN"/>
      </w:rPr>
    </w:pPr>
    <w:r>
      <w:rPr>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33CE86">
                          <w:pPr>
                            <w:pStyle w:val="17"/>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833CE86">
                    <w:pPr>
                      <w:pStyle w:val="17"/>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39E99">
    <w:pPr>
      <w:pStyle w:val="17"/>
      <w:widowControl w:val="0"/>
      <w:pBdr>
        <w:top w:val="none" w:color="auto" w:sz="0" w:space="1"/>
        <w:left w:val="none" w:color="auto" w:sz="0" w:space="4"/>
        <w:bottom w:val="none" w:color="auto" w:sz="0" w:space="1"/>
        <w:right w:val="none" w:color="auto" w:sz="0" w:space="4"/>
        <w:between w:val="none" w:color="auto" w:sz="0" w:space="0"/>
      </w:pBdr>
      <w:tabs>
        <w:tab w:val="right" w:pos="8820"/>
        <w:tab w:val="clear" w:pos="8306"/>
      </w:tabs>
      <w:snapToGrid w:val="0"/>
      <w:ind w:right="172" w:rightChars="0"/>
      <w:jc w:val="left"/>
      <w:rPr>
        <w:rFonts w:ascii="仿宋" w:hAnsi="仿宋" w:eastAsia="仿宋" w:cs="仿宋"/>
        <w:b/>
        <w:sz w:val="16"/>
        <w:szCs w:val="16"/>
      </w:rPr>
    </w:pPr>
    <w:r>
      <w:rPr>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3D45A3">
                          <w:pPr>
                            <w:pStyle w:val="17"/>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D3D45A3">
                    <w:pPr>
                      <w:pStyle w:val="17"/>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E4E1E">
    <w:pPr>
      <w:pStyle w:val="17"/>
      <w:pBdr>
        <w:bottom w:val="double" w:color="auto" w:sz="8" w:space="0"/>
      </w:pBdr>
      <w:tabs>
        <w:tab w:val="right" w:pos="8820"/>
        <w:tab w:val="clear" w:pos="8306"/>
      </w:tabs>
      <w:ind w:right="172"/>
      <w:rPr>
        <w:rFonts w:ascii="仿宋" w:hAnsi="仿宋" w:eastAsia="仿宋" w:cs="仿宋"/>
        <w:b/>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66055">
                          <w:pPr>
                            <w:pStyle w:val="17"/>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E366055">
                    <w:pPr>
                      <w:pStyle w:val="17"/>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C1FF">
    <w:pPr>
      <w:pStyle w:val="17"/>
      <w:pBdr>
        <w:bottom w:val="double" w:color="auto" w:sz="8" w:space="0"/>
      </w:pBdr>
      <w:tabs>
        <w:tab w:val="right" w:pos="8820"/>
        <w:tab w:val="clear" w:pos="8306"/>
      </w:tabs>
      <w:ind w:right="172"/>
      <w:rPr>
        <w:rFonts w:ascii="仿宋" w:hAnsi="仿宋" w:eastAsia="仿宋" w:cs="仿宋"/>
        <w:b/>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B2F598">
                          <w:pPr>
                            <w:pStyle w:val="17"/>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17</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CB2F598">
                    <w:pPr>
                      <w:pStyle w:val="17"/>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17</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3E93D">
    <w:pPr>
      <w:pStyle w:val="17"/>
      <w:pBdr>
        <w:bottom w:val="double" w:color="auto" w:sz="8" w:space="0"/>
      </w:pBdr>
      <w:tabs>
        <w:tab w:val="right" w:pos="8820"/>
        <w:tab w:val="clear" w:pos="8306"/>
      </w:tabs>
      <w:ind w:right="172" w:firstLine="161" w:firstLineChars="100"/>
      <w:rPr>
        <w:rFonts w:hint="default"/>
        <w:lang w:val="en-US"/>
      </w:rPr>
    </w:pPr>
    <w:r>
      <w:rPr>
        <w:rFonts w:hint="eastAsia" w:ascii="仿宋" w:hAnsi="仿宋" w:eastAsia="仿宋" w:cs="仿宋"/>
        <w:b/>
        <w:sz w:val="16"/>
        <w:szCs w:val="16"/>
        <w:lang w:eastAsia="zh-CN"/>
      </w:rPr>
      <w:t>超高效液相色谱三重四级杆质谱联用仪</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lang w:eastAsia="zh-CN"/>
      </w:rPr>
      <w:t>YNZC2025-G1-03229-YNGH-0168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FAB4F">
    <w:pPr>
      <w:pStyle w:val="17"/>
      <w:pBdr>
        <w:bottom w:val="double" w:color="auto" w:sz="8" w:space="0"/>
      </w:pBdr>
      <w:tabs>
        <w:tab w:val="right" w:pos="8820"/>
        <w:tab w:val="clear" w:pos="8306"/>
      </w:tabs>
      <w:ind w:right="172" w:firstLine="321" w:firstLineChars="200"/>
    </w:pPr>
    <w:r>
      <w:rPr>
        <w:rFonts w:hint="eastAsia" w:ascii="仿宋" w:hAnsi="仿宋" w:eastAsia="仿宋" w:cs="仿宋"/>
        <w:b/>
        <w:sz w:val="16"/>
        <w:szCs w:val="16"/>
        <w:lang w:val="en-US" w:eastAsia="zh-CN"/>
      </w:rPr>
      <w:t>超高效液相色谱三重四级杆质谱联用仪</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lang w:eastAsia="zh-CN"/>
      </w:rPr>
      <w:t>YNZC2025-G1-03229-YNGH-0168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1F926">
    <w:pPr>
      <w:pStyle w:val="17"/>
      <w:pBdr>
        <w:bottom w:val="double" w:color="auto" w:sz="8" w:space="0"/>
      </w:pBdr>
      <w:tabs>
        <w:tab w:val="right" w:pos="8820"/>
        <w:tab w:val="clear" w:pos="8306"/>
      </w:tabs>
      <w:ind w:right="172" w:firstLine="321" w:firstLineChars="200"/>
      <w:rPr>
        <w:rFonts w:hint="eastAsia"/>
        <w:lang w:eastAsia="zh-CN"/>
      </w:rPr>
    </w:pPr>
    <w:r>
      <w:rPr>
        <w:rFonts w:hint="eastAsia" w:ascii="仿宋" w:hAnsi="仿宋" w:eastAsia="仿宋" w:cs="仿宋"/>
        <w:b/>
        <w:sz w:val="16"/>
        <w:szCs w:val="16"/>
        <w:lang w:val="en-US" w:eastAsia="zh-CN"/>
      </w:rPr>
      <w:t>超高效液相色谱三重四级杆质谱联用仪</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lang w:eastAsia="zh-CN"/>
      </w:rPr>
      <w:t>YNZC2025-G1-03229-YNGH-0168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7A3CE">
    <w:pPr>
      <w:pStyle w:val="17"/>
      <w:pBdr>
        <w:bottom w:val="double" w:color="auto" w:sz="8" w:space="0"/>
      </w:pBdr>
      <w:tabs>
        <w:tab w:val="right" w:pos="8820"/>
        <w:tab w:val="clear" w:pos="8306"/>
      </w:tabs>
      <w:ind w:right="172" w:firstLine="803" w:firstLineChars="500"/>
    </w:pPr>
    <w:r>
      <w:rPr>
        <w:rFonts w:hint="eastAsia" w:ascii="仿宋" w:hAnsi="仿宋" w:eastAsia="仿宋" w:cs="仿宋"/>
        <w:b/>
        <w:sz w:val="16"/>
        <w:szCs w:val="16"/>
        <w:lang w:val="en-US" w:eastAsia="zh-CN"/>
      </w:rPr>
      <w:t>超高效液相色谱三重四级杆质谱联用仪</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lang w:eastAsia="zh-CN"/>
      </w:rPr>
      <w:t>YNZC2025-G1-03229-YNGH-0168</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C1F8B">
    <w:pPr>
      <w:pStyle w:val="17"/>
      <w:pBdr>
        <w:bottom w:val="double" w:color="auto" w:sz="8" w:space="0"/>
      </w:pBdr>
      <w:tabs>
        <w:tab w:val="right" w:pos="8820"/>
        <w:tab w:val="clear" w:pos="8306"/>
      </w:tabs>
      <w:ind w:right="172" w:firstLine="803" w:firstLineChars="500"/>
    </w:pPr>
    <w:r>
      <w:rPr>
        <w:rFonts w:hint="eastAsia" w:ascii="仿宋" w:hAnsi="仿宋" w:eastAsia="仿宋" w:cs="仿宋"/>
        <w:b/>
        <w:sz w:val="16"/>
        <w:szCs w:val="16"/>
        <w:lang w:val="en-US" w:eastAsia="zh-CN"/>
      </w:rPr>
      <w:t>超高效液相色谱三重四级杆质谱联用仪</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lang w:eastAsia="zh-CN"/>
      </w:rPr>
      <w:t>YNZC2025-G1-03229-YNGH-0168</w:t>
    </w:r>
  </w:p>
  <w:p w14:paraId="0960F139">
    <w:pPr>
      <w:pStyle w:val="17"/>
      <w:widowControl w:val="0"/>
      <w:pBdr>
        <w:top w:val="none" w:color="auto" w:sz="0" w:space="1"/>
        <w:left w:val="none" w:color="auto" w:sz="0" w:space="4"/>
        <w:bottom w:val="none" w:color="auto" w:sz="0" w:space="1"/>
        <w:right w:val="none" w:color="auto" w:sz="0" w:space="4"/>
        <w:between w:val="none" w:color="auto" w:sz="0" w:space="0"/>
      </w:pBdr>
      <w:tabs>
        <w:tab w:val="right" w:pos="8820"/>
        <w:tab w:val="clear" w:pos="8306"/>
      </w:tabs>
      <w:snapToGrid w:val="0"/>
      <w:ind w:right="172" w:rightChars="0" w:firstLine="360" w:firstLineChars="200"/>
      <w:jc w:val="left"/>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B6BCB">
    <w:pPr>
      <w:pStyle w:val="17"/>
      <w:pBdr>
        <w:bottom w:val="double" w:color="auto" w:sz="8" w:space="0"/>
      </w:pBdr>
      <w:tabs>
        <w:tab w:val="right" w:pos="8820"/>
        <w:tab w:val="clear" w:pos="8306"/>
      </w:tabs>
      <w:ind w:right="172" w:firstLine="321" w:firstLineChars="200"/>
      <w:rPr>
        <w:rFonts w:hint="eastAsia"/>
        <w:lang w:eastAsia="zh-CN"/>
      </w:rPr>
    </w:pPr>
    <w:r>
      <w:rPr>
        <w:rFonts w:hint="eastAsia" w:ascii="仿宋" w:hAnsi="仿宋" w:eastAsia="仿宋" w:cs="仿宋"/>
        <w:b/>
        <w:sz w:val="16"/>
        <w:szCs w:val="16"/>
        <w:lang w:val="en-US" w:eastAsia="zh-CN"/>
      </w:rPr>
      <w:t>超高效液相色谱三重四级杆质谱联用仪</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lang w:eastAsia="zh-CN"/>
      </w:rPr>
      <w:t>YNZC2025-G1-03229-YNGH-0168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49C14EB"/>
    <w:multiLevelType w:val="singleLevel"/>
    <w:tmpl w:val="149C14EB"/>
    <w:lvl w:ilvl="0" w:tentative="0">
      <w:start w:val="1"/>
      <w:numFmt w:val="decimal"/>
      <w:lvlText w:val="%1."/>
      <w:lvlJc w:val="left"/>
      <w:pPr>
        <w:tabs>
          <w:tab w:val="left" w:pos="312"/>
        </w:tabs>
      </w:pPr>
    </w:lvl>
  </w:abstractNum>
  <w:abstractNum w:abstractNumId="7">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7A0F6431"/>
    <w:multiLevelType w:val="singleLevel"/>
    <w:tmpl w:val="7A0F6431"/>
    <w:lvl w:ilvl="0" w:tentative="0">
      <w:start w:val="1"/>
      <w:numFmt w:val="decimal"/>
      <w:suff w:val="space"/>
      <w:lvlText w:val="%1."/>
      <w:lvlJc w:val="left"/>
    </w:lvl>
  </w:abstractNum>
  <w:num w:numId="1">
    <w:abstractNumId w:val="5"/>
  </w:num>
  <w:num w:numId="2">
    <w:abstractNumId w:val="7"/>
  </w:num>
  <w:num w:numId="3">
    <w:abstractNumId w:val="8"/>
  </w:num>
  <w:num w:numId="4">
    <w:abstractNumId w:val="1"/>
  </w:num>
  <w:num w:numId="5">
    <w:abstractNumId w:val="3"/>
  </w:num>
  <w:num w:numId="6">
    <w:abstractNumId w:val="2"/>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hideSpellingErrors/>
  <w:documentProtection w:enforcement="0"/>
  <w:defaultTabStop w:val="420"/>
  <w:drawingGridVerticalSpacing w:val="157"/>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QxN2YzYjY2YTgxYzBkOGIyNzc2M2JiMzIzZmJjMGEifQ=="/>
  </w:docVars>
  <w:rsids>
    <w:rsidRoot w:val="5A9F1A90"/>
    <w:rsid w:val="00015607"/>
    <w:rsid w:val="000201EE"/>
    <w:rsid w:val="00026B84"/>
    <w:rsid w:val="00027669"/>
    <w:rsid w:val="00031937"/>
    <w:rsid w:val="000320FB"/>
    <w:rsid w:val="00032FDB"/>
    <w:rsid w:val="0003740D"/>
    <w:rsid w:val="00041F0C"/>
    <w:rsid w:val="00042D87"/>
    <w:rsid w:val="000561D0"/>
    <w:rsid w:val="0007772F"/>
    <w:rsid w:val="00092465"/>
    <w:rsid w:val="00097FEE"/>
    <w:rsid w:val="000B5378"/>
    <w:rsid w:val="000B54A7"/>
    <w:rsid w:val="000C6034"/>
    <w:rsid w:val="000D1E26"/>
    <w:rsid w:val="000D22CD"/>
    <w:rsid w:val="000D589F"/>
    <w:rsid w:val="000E5D91"/>
    <w:rsid w:val="001004BE"/>
    <w:rsid w:val="001007FB"/>
    <w:rsid w:val="00112F41"/>
    <w:rsid w:val="001209B7"/>
    <w:rsid w:val="00122EEB"/>
    <w:rsid w:val="00124100"/>
    <w:rsid w:val="00125B86"/>
    <w:rsid w:val="00135135"/>
    <w:rsid w:val="0014111F"/>
    <w:rsid w:val="00142A9F"/>
    <w:rsid w:val="00142B9C"/>
    <w:rsid w:val="00144B31"/>
    <w:rsid w:val="00145656"/>
    <w:rsid w:val="00176B78"/>
    <w:rsid w:val="00177C87"/>
    <w:rsid w:val="00181327"/>
    <w:rsid w:val="00181346"/>
    <w:rsid w:val="00187E4B"/>
    <w:rsid w:val="001A4F65"/>
    <w:rsid w:val="001B2279"/>
    <w:rsid w:val="001B6068"/>
    <w:rsid w:val="001C573A"/>
    <w:rsid w:val="001C63E1"/>
    <w:rsid w:val="001C7F0B"/>
    <w:rsid w:val="001D116A"/>
    <w:rsid w:val="001D7013"/>
    <w:rsid w:val="001E659E"/>
    <w:rsid w:val="001E76EE"/>
    <w:rsid w:val="001F6204"/>
    <w:rsid w:val="001F6C6A"/>
    <w:rsid w:val="002070BF"/>
    <w:rsid w:val="002119AC"/>
    <w:rsid w:val="00217944"/>
    <w:rsid w:val="00217F36"/>
    <w:rsid w:val="002225BF"/>
    <w:rsid w:val="00226695"/>
    <w:rsid w:val="002361B2"/>
    <w:rsid w:val="002378B2"/>
    <w:rsid w:val="00243084"/>
    <w:rsid w:val="00243960"/>
    <w:rsid w:val="002518CB"/>
    <w:rsid w:val="00270701"/>
    <w:rsid w:val="00275BBD"/>
    <w:rsid w:val="00277BA5"/>
    <w:rsid w:val="00280432"/>
    <w:rsid w:val="002867AE"/>
    <w:rsid w:val="002955A4"/>
    <w:rsid w:val="002B6569"/>
    <w:rsid w:val="002C10AB"/>
    <w:rsid w:val="002C1B05"/>
    <w:rsid w:val="002C3238"/>
    <w:rsid w:val="002C60E6"/>
    <w:rsid w:val="002C65EB"/>
    <w:rsid w:val="002E1790"/>
    <w:rsid w:val="002E31BA"/>
    <w:rsid w:val="002E779B"/>
    <w:rsid w:val="002F053E"/>
    <w:rsid w:val="002F5635"/>
    <w:rsid w:val="002F7A69"/>
    <w:rsid w:val="003037ED"/>
    <w:rsid w:val="003129D8"/>
    <w:rsid w:val="00312C1C"/>
    <w:rsid w:val="0032572B"/>
    <w:rsid w:val="00326678"/>
    <w:rsid w:val="0033470E"/>
    <w:rsid w:val="003464F2"/>
    <w:rsid w:val="003512AC"/>
    <w:rsid w:val="00353D84"/>
    <w:rsid w:val="00354410"/>
    <w:rsid w:val="003657DA"/>
    <w:rsid w:val="0037636B"/>
    <w:rsid w:val="00383772"/>
    <w:rsid w:val="00383AED"/>
    <w:rsid w:val="0039274F"/>
    <w:rsid w:val="003A06B9"/>
    <w:rsid w:val="003B1342"/>
    <w:rsid w:val="003C1A66"/>
    <w:rsid w:val="003D21DE"/>
    <w:rsid w:val="003F3115"/>
    <w:rsid w:val="003F72DF"/>
    <w:rsid w:val="0040468B"/>
    <w:rsid w:val="00417F52"/>
    <w:rsid w:val="004204D6"/>
    <w:rsid w:val="0042332D"/>
    <w:rsid w:val="00423FC8"/>
    <w:rsid w:val="0042434D"/>
    <w:rsid w:val="00424B0F"/>
    <w:rsid w:val="004348EF"/>
    <w:rsid w:val="004454FD"/>
    <w:rsid w:val="004478E3"/>
    <w:rsid w:val="00461CFC"/>
    <w:rsid w:val="004659A6"/>
    <w:rsid w:val="00484E3C"/>
    <w:rsid w:val="0048717B"/>
    <w:rsid w:val="004950DC"/>
    <w:rsid w:val="004B0DAD"/>
    <w:rsid w:val="004C7DFC"/>
    <w:rsid w:val="004E3422"/>
    <w:rsid w:val="004E5B0E"/>
    <w:rsid w:val="005027FC"/>
    <w:rsid w:val="0052259E"/>
    <w:rsid w:val="0052302C"/>
    <w:rsid w:val="00523224"/>
    <w:rsid w:val="005272D7"/>
    <w:rsid w:val="0053124E"/>
    <w:rsid w:val="0054044B"/>
    <w:rsid w:val="00545D79"/>
    <w:rsid w:val="00551587"/>
    <w:rsid w:val="00552D73"/>
    <w:rsid w:val="00553A1F"/>
    <w:rsid w:val="00553F21"/>
    <w:rsid w:val="00555AD2"/>
    <w:rsid w:val="005626FB"/>
    <w:rsid w:val="00582003"/>
    <w:rsid w:val="00587599"/>
    <w:rsid w:val="00587C56"/>
    <w:rsid w:val="00591C0A"/>
    <w:rsid w:val="005929F9"/>
    <w:rsid w:val="00595688"/>
    <w:rsid w:val="005B0F00"/>
    <w:rsid w:val="005B29E2"/>
    <w:rsid w:val="005C2BA6"/>
    <w:rsid w:val="005E23D3"/>
    <w:rsid w:val="00600098"/>
    <w:rsid w:val="006026A6"/>
    <w:rsid w:val="006043EC"/>
    <w:rsid w:val="00614072"/>
    <w:rsid w:val="006228FA"/>
    <w:rsid w:val="006339BD"/>
    <w:rsid w:val="00637E54"/>
    <w:rsid w:val="0064291B"/>
    <w:rsid w:val="0064757B"/>
    <w:rsid w:val="006554EE"/>
    <w:rsid w:val="006811B6"/>
    <w:rsid w:val="00683B55"/>
    <w:rsid w:val="00687C00"/>
    <w:rsid w:val="006A58CD"/>
    <w:rsid w:val="006A7BDF"/>
    <w:rsid w:val="006A7D8C"/>
    <w:rsid w:val="006B0593"/>
    <w:rsid w:val="006B618B"/>
    <w:rsid w:val="006C19C5"/>
    <w:rsid w:val="006C1AE7"/>
    <w:rsid w:val="006C6B0E"/>
    <w:rsid w:val="006D22E5"/>
    <w:rsid w:val="006D764C"/>
    <w:rsid w:val="006E62FA"/>
    <w:rsid w:val="007072DE"/>
    <w:rsid w:val="00712C59"/>
    <w:rsid w:val="00716E4C"/>
    <w:rsid w:val="007172ED"/>
    <w:rsid w:val="00721E96"/>
    <w:rsid w:val="007249FA"/>
    <w:rsid w:val="00726C46"/>
    <w:rsid w:val="0073589B"/>
    <w:rsid w:val="00735BAE"/>
    <w:rsid w:val="00743012"/>
    <w:rsid w:val="007467EE"/>
    <w:rsid w:val="0074745C"/>
    <w:rsid w:val="00753541"/>
    <w:rsid w:val="0075552C"/>
    <w:rsid w:val="00762960"/>
    <w:rsid w:val="00763CCB"/>
    <w:rsid w:val="00767CEF"/>
    <w:rsid w:val="00771811"/>
    <w:rsid w:val="00793B7A"/>
    <w:rsid w:val="00796F6C"/>
    <w:rsid w:val="007C3D48"/>
    <w:rsid w:val="007D2AC2"/>
    <w:rsid w:val="007E432B"/>
    <w:rsid w:val="007E68FD"/>
    <w:rsid w:val="007F12FE"/>
    <w:rsid w:val="008103C2"/>
    <w:rsid w:val="00814579"/>
    <w:rsid w:val="00823BBB"/>
    <w:rsid w:val="008300FE"/>
    <w:rsid w:val="00830B0C"/>
    <w:rsid w:val="00832DD1"/>
    <w:rsid w:val="00851AEE"/>
    <w:rsid w:val="008625CA"/>
    <w:rsid w:val="008625E5"/>
    <w:rsid w:val="008702FD"/>
    <w:rsid w:val="0087312B"/>
    <w:rsid w:val="0088040F"/>
    <w:rsid w:val="0088290B"/>
    <w:rsid w:val="00892604"/>
    <w:rsid w:val="008A26B5"/>
    <w:rsid w:val="008A4ED7"/>
    <w:rsid w:val="008C01D0"/>
    <w:rsid w:val="008C4B92"/>
    <w:rsid w:val="008F352C"/>
    <w:rsid w:val="008F3901"/>
    <w:rsid w:val="008F3C18"/>
    <w:rsid w:val="008F4C59"/>
    <w:rsid w:val="009004E5"/>
    <w:rsid w:val="0090287B"/>
    <w:rsid w:val="009150E9"/>
    <w:rsid w:val="00926AD3"/>
    <w:rsid w:val="00933419"/>
    <w:rsid w:val="00940331"/>
    <w:rsid w:val="0094367B"/>
    <w:rsid w:val="0094517A"/>
    <w:rsid w:val="009623AA"/>
    <w:rsid w:val="0096632D"/>
    <w:rsid w:val="00967568"/>
    <w:rsid w:val="009748F4"/>
    <w:rsid w:val="0098780C"/>
    <w:rsid w:val="009922DD"/>
    <w:rsid w:val="0099403E"/>
    <w:rsid w:val="009A437A"/>
    <w:rsid w:val="009A5DE3"/>
    <w:rsid w:val="009A717E"/>
    <w:rsid w:val="009A729D"/>
    <w:rsid w:val="009B05F9"/>
    <w:rsid w:val="009B2A86"/>
    <w:rsid w:val="009C15AD"/>
    <w:rsid w:val="009D1305"/>
    <w:rsid w:val="009D31AC"/>
    <w:rsid w:val="009E12ED"/>
    <w:rsid w:val="009E17C8"/>
    <w:rsid w:val="009E2485"/>
    <w:rsid w:val="009F5B7A"/>
    <w:rsid w:val="00A037D1"/>
    <w:rsid w:val="00A10615"/>
    <w:rsid w:val="00A25BA2"/>
    <w:rsid w:val="00A26172"/>
    <w:rsid w:val="00A30331"/>
    <w:rsid w:val="00A37FB0"/>
    <w:rsid w:val="00A42FC1"/>
    <w:rsid w:val="00A5615B"/>
    <w:rsid w:val="00A57C2C"/>
    <w:rsid w:val="00A60927"/>
    <w:rsid w:val="00A84012"/>
    <w:rsid w:val="00A8659C"/>
    <w:rsid w:val="00A90F15"/>
    <w:rsid w:val="00A95E53"/>
    <w:rsid w:val="00AA78E2"/>
    <w:rsid w:val="00AB01A9"/>
    <w:rsid w:val="00AB1595"/>
    <w:rsid w:val="00AC0809"/>
    <w:rsid w:val="00AC7333"/>
    <w:rsid w:val="00AD419C"/>
    <w:rsid w:val="00AD6AEC"/>
    <w:rsid w:val="00AE1B42"/>
    <w:rsid w:val="00AE1E28"/>
    <w:rsid w:val="00AF3328"/>
    <w:rsid w:val="00B01DAA"/>
    <w:rsid w:val="00B063AC"/>
    <w:rsid w:val="00B3060B"/>
    <w:rsid w:val="00B3640F"/>
    <w:rsid w:val="00B429ED"/>
    <w:rsid w:val="00B51AA5"/>
    <w:rsid w:val="00B527B5"/>
    <w:rsid w:val="00B7034A"/>
    <w:rsid w:val="00B73C9A"/>
    <w:rsid w:val="00B75A46"/>
    <w:rsid w:val="00B76BEC"/>
    <w:rsid w:val="00B83943"/>
    <w:rsid w:val="00B95E80"/>
    <w:rsid w:val="00BA1DB8"/>
    <w:rsid w:val="00BC6F40"/>
    <w:rsid w:val="00BD3B4D"/>
    <w:rsid w:val="00BE118A"/>
    <w:rsid w:val="00BE2517"/>
    <w:rsid w:val="00BE3AB0"/>
    <w:rsid w:val="00BE7C9C"/>
    <w:rsid w:val="00BF1D31"/>
    <w:rsid w:val="00BF41DA"/>
    <w:rsid w:val="00C12D79"/>
    <w:rsid w:val="00C259A1"/>
    <w:rsid w:val="00C45F87"/>
    <w:rsid w:val="00C46635"/>
    <w:rsid w:val="00C574EC"/>
    <w:rsid w:val="00C670ED"/>
    <w:rsid w:val="00C7138A"/>
    <w:rsid w:val="00C91FC6"/>
    <w:rsid w:val="00C976B5"/>
    <w:rsid w:val="00CA3B75"/>
    <w:rsid w:val="00CA53D5"/>
    <w:rsid w:val="00CA5457"/>
    <w:rsid w:val="00CA6870"/>
    <w:rsid w:val="00CB5455"/>
    <w:rsid w:val="00CC15F4"/>
    <w:rsid w:val="00CC7BE0"/>
    <w:rsid w:val="00CD6A47"/>
    <w:rsid w:val="00CD700F"/>
    <w:rsid w:val="00CF226D"/>
    <w:rsid w:val="00CF525F"/>
    <w:rsid w:val="00CF7912"/>
    <w:rsid w:val="00D11D92"/>
    <w:rsid w:val="00D14810"/>
    <w:rsid w:val="00D16CEB"/>
    <w:rsid w:val="00D209D8"/>
    <w:rsid w:val="00D248A3"/>
    <w:rsid w:val="00D275DF"/>
    <w:rsid w:val="00D30A4D"/>
    <w:rsid w:val="00D34E81"/>
    <w:rsid w:val="00D370D0"/>
    <w:rsid w:val="00D41308"/>
    <w:rsid w:val="00D418C6"/>
    <w:rsid w:val="00D544AB"/>
    <w:rsid w:val="00D54E80"/>
    <w:rsid w:val="00D60977"/>
    <w:rsid w:val="00D60988"/>
    <w:rsid w:val="00D67A4A"/>
    <w:rsid w:val="00D70648"/>
    <w:rsid w:val="00D716EE"/>
    <w:rsid w:val="00D71B4C"/>
    <w:rsid w:val="00DD20FA"/>
    <w:rsid w:val="00DD6E1C"/>
    <w:rsid w:val="00DE1136"/>
    <w:rsid w:val="00DE140B"/>
    <w:rsid w:val="00DE1473"/>
    <w:rsid w:val="00DE5F16"/>
    <w:rsid w:val="00DF46B6"/>
    <w:rsid w:val="00DF4964"/>
    <w:rsid w:val="00E0123F"/>
    <w:rsid w:val="00E035CF"/>
    <w:rsid w:val="00E12F56"/>
    <w:rsid w:val="00E13114"/>
    <w:rsid w:val="00E174C3"/>
    <w:rsid w:val="00E201F4"/>
    <w:rsid w:val="00E21A6F"/>
    <w:rsid w:val="00E240F7"/>
    <w:rsid w:val="00E25DB7"/>
    <w:rsid w:val="00E35131"/>
    <w:rsid w:val="00E4133D"/>
    <w:rsid w:val="00E6339C"/>
    <w:rsid w:val="00E633D6"/>
    <w:rsid w:val="00E64967"/>
    <w:rsid w:val="00E70F33"/>
    <w:rsid w:val="00E85222"/>
    <w:rsid w:val="00E94C42"/>
    <w:rsid w:val="00EA0F6B"/>
    <w:rsid w:val="00EA35E0"/>
    <w:rsid w:val="00EA77E2"/>
    <w:rsid w:val="00EC2C7F"/>
    <w:rsid w:val="00EC7707"/>
    <w:rsid w:val="00EC786C"/>
    <w:rsid w:val="00ED13EC"/>
    <w:rsid w:val="00EE09D8"/>
    <w:rsid w:val="00EE3EC4"/>
    <w:rsid w:val="00EF6202"/>
    <w:rsid w:val="00F06B70"/>
    <w:rsid w:val="00F12623"/>
    <w:rsid w:val="00F14885"/>
    <w:rsid w:val="00F14C20"/>
    <w:rsid w:val="00F16033"/>
    <w:rsid w:val="00F26343"/>
    <w:rsid w:val="00F26529"/>
    <w:rsid w:val="00F32608"/>
    <w:rsid w:val="00F352C5"/>
    <w:rsid w:val="00F36984"/>
    <w:rsid w:val="00F4688A"/>
    <w:rsid w:val="00F52D17"/>
    <w:rsid w:val="00F54252"/>
    <w:rsid w:val="00F55C74"/>
    <w:rsid w:val="00F647E2"/>
    <w:rsid w:val="00F67BF8"/>
    <w:rsid w:val="00F70C00"/>
    <w:rsid w:val="00F70EC3"/>
    <w:rsid w:val="00F71C8E"/>
    <w:rsid w:val="00F76FE2"/>
    <w:rsid w:val="00F817E8"/>
    <w:rsid w:val="00F818C1"/>
    <w:rsid w:val="00F909E9"/>
    <w:rsid w:val="00F938D4"/>
    <w:rsid w:val="00FA3922"/>
    <w:rsid w:val="00FC1DA1"/>
    <w:rsid w:val="00FC6C16"/>
    <w:rsid w:val="00FE18C5"/>
    <w:rsid w:val="00FE380E"/>
    <w:rsid w:val="00FE4612"/>
    <w:rsid w:val="010E623A"/>
    <w:rsid w:val="01160EB2"/>
    <w:rsid w:val="011E6986"/>
    <w:rsid w:val="013D4B60"/>
    <w:rsid w:val="01580EA0"/>
    <w:rsid w:val="01A0069F"/>
    <w:rsid w:val="01BB6181"/>
    <w:rsid w:val="01BD024B"/>
    <w:rsid w:val="01D178FB"/>
    <w:rsid w:val="01D353C6"/>
    <w:rsid w:val="01ED6159"/>
    <w:rsid w:val="01FA0086"/>
    <w:rsid w:val="0220727D"/>
    <w:rsid w:val="023009AF"/>
    <w:rsid w:val="025A34EF"/>
    <w:rsid w:val="025F3590"/>
    <w:rsid w:val="02806DB9"/>
    <w:rsid w:val="02833A50"/>
    <w:rsid w:val="02965AB2"/>
    <w:rsid w:val="02AB3E91"/>
    <w:rsid w:val="02D2201B"/>
    <w:rsid w:val="02EE089C"/>
    <w:rsid w:val="035F0144"/>
    <w:rsid w:val="03994067"/>
    <w:rsid w:val="03A75834"/>
    <w:rsid w:val="03AD6222"/>
    <w:rsid w:val="03F248F2"/>
    <w:rsid w:val="03F425D4"/>
    <w:rsid w:val="043204C3"/>
    <w:rsid w:val="044912B3"/>
    <w:rsid w:val="0478450F"/>
    <w:rsid w:val="048A28FC"/>
    <w:rsid w:val="048B3D68"/>
    <w:rsid w:val="049675CA"/>
    <w:rsid w:val="049908CC"/>
    <w:rsid w:val="04BC036F"/>
    <w:rsid w:val="04DD0369"/>
    <w:rsid w:val="04DF5483"/>
    <w:rsid w:val="05060BBD"/>
    <w:rsid w:val="05111F73"/>
    <w:rsid w:val="05157BA2"/>
    <w:rsid w:val="05204B83"/>
    <w:rsid w:val="052F3633"/>
    <w:rsid w:val="053D3BED"/>
    <w:rsid w:val="05556AD4"/>
    <w:rsid w:val="05584FA1"/>
    <w:rsid w:val="055B6713"/>
    <w:rsid w:val="056A57F8"/>
    <w:rsid w:val="057C19CF"/>
    <w:rsid w:val="05AD1B88"/>
    <w:rsid w:val="05AD55C7"/>
    <w:rsid w:val="05D67331"/>
    <w:rsid w:val="05E61B95"/>
    <w:rsid w:val="05F02086"/>
    <w:rsid w:val="05F75FD0"/>
    <w:rsid w:val="0600615C"/>
    <w:rsid w:val="060A0BD9"/>
    <w:rsid w:val="062A2903"/>
    <w:rsid w:val="065C6084"/>
    <w:rsid w:val="066240AC"/>
    <w:rsid w:val="06AF0E29"/>
    <w:rsid w:val="06B8210F"/>
    <w:rsid w:val="06C37F7F"/>
    <w:rsid w:val="072252AA"/>
    <w:rsid w:val="07475DCD"/>
    <w:rsid w:val="07504BA7"/>
    <w:rsid w:val="075449B1"/>
    <w:rsid w:val="076727BF"/>
    <w:rsid w:val="077E5B8E"/>
    <w:rsid w:val="078175E1"/>
    <w:rsid w:val="078E36D0"/>
    <w:rsid w:val="07A8625F"/>
    <w:rsid w:val="07D62546"/>
    <w:rsid w:val="07EA5B79"/>
    <w:rsid w:val="07F0092B"/>
    <w:rsid w:val="07F14C7D"/>
    <w:rsid w:val="08116223"/>
    <w:rsid w:val="08157672"/>
    <w:rsid w:val="082D096B"/>
    <w:rsid w:val="082F3302"/>
    <w:rsid w:val="08616600"/>
    <w:rsid w:val="08714D6C"/>
    <w:rsid w:val="08A92ADB"/>
    <w:rsid w:val="08BD0ECF"/>
    <w:rsid w:val="08C24E64"/>
    <w:rsid w:val="08C6368D"/>
    <w:rsid w:val="08DD0495"/>
    <w:rsid w:val="08E86557"/>
    <w:rsid w:val="08E92648"/>
    <w:rsid w:val="08EA5030"/>
    <w:rsid w:val="0904694B"/>
    <w:rsid w:val="090777E6"/>
    <w:rsid w:val="090B4C61"/>
    <w:rsid w:val="09133ECD"/>
    <w:rsid w:val="09303C17"/>
    <w:rsid w:val="093323A4"/>
    <w:rsid w:val="093525C0"/>
    <w:rsid w:val="0954687B"/>
    <w:rsid w:val="0980371C"/>
    <w:rsid w:val="09933680"/>
    <w:rsid w:val="09A4689C"/>
    <w:rsid w:val="09AA09F3"/>
    <w:rsid w:val="09BA75DB"/>
    <w:rsid w:val="09E27032"/>
    <w:rsid w:val="09FF5F99"/>
    <w:rsid w:val="0A00672A"/>
    <w:rsid w:val="0A167618"/>
    <w:rsid w:val="0A3123D3"/>
    <w:rsid w:val="0A3A23CF"/>
    <w:rsid w:val="0A5565F9"/>
    <w:rsid w:val="0A5753CA"/>
    <w:rsid w:val="0A762768"/>
    <w:rsid w:val="0A7841CA"/>
    <w:rsid w:val="0A8927DA"/>
    <w:rsid w:val="0A98167B"/>
    <w:rsid w:val="0AB244ED"/>
    <w:rsid w:val="0AC179C5"/>
    <w:rsid w:val="0AE35A24"/>
    <w:rsid w:val="0AE40E45"/>
    <w:rsid w:val="0AF34E38"/>
    <w:rsid w:val="0AF35879"/>
    <w:rsid w:val="0B43668F"/>
    <w:rsid w:val="0B4E001C"/>
    <w:rsid w:val="0B8B3D5B"/>
    <w:rsid w:val="0BAC5571"/>
    <w:rsid w:val="0BC4144B"/>
    <w:rsid w:val="0BC654D2"/>
    <w:rsid w:val="0C1D1A28"/>
    <w:rsid w:val="0C3F56FC"/>
    <w:rsid w:val="0C471A8F"/>
    <w:rsid w:val="0C4B51E3"/>
    <w:rsid w:val="0C522B09"/>
    <w:rsid w:val="0C5C698C"/>
    <w:rsid w:val="0C61730C"/>
    <w:rsid w:val="0C753DA2"/>
    <w:rsid w:val="0C882F17"/>
    <w:rsid w:val="0CBF46A3"/>
    <w:rsid w:val="0CC00104"/>
    <w:rsid w:val="0CDB55C9"/>
    <w:rsid w:val="0D223963"/>
    <w:rsid w:val="0D2E0188"/>
    <w:rsid w:val="0D396064"/>
    <w:rsid w:val="0D52665B"/>
    <w:rsid w:val="0D6E1998"/>
    <w:rsid w:val="0D93150A"/>
    <w:rsid w:val="0DC178AB"/>
    <w:rsid w:val="0DDA33A9"/>
    <w:rsid w:val="0DE11F75"/>
    <w:rsid w:val="0DE274B3"/>
    <w:rsid w:val="0E855450"/>
    <w:rsid w:val="0EDE1004"/>
    <w:rsid w:val="0EF67B6A"/>
    <w:rsid w:val="0F0A20FD"/>
    <w:rsid w:val="0F2450E8"/>
    <w:rsid w:val="0F384BB8"/>
    <w:rsid w:val="0F666372"/>
    <w:rsid w:val="0FA0258D"/>
    <w:rsid w:val="0FA84BF3"/>
    <w:rsid w:val="0FB476C7"/>
    <w:rsid w:val="0FB72474"/>
    <w:rsid w:val="0FBA4920"/>
    <w:rsid w:val="0FBE2F77"/>
    <w:rsid w:val="0FFA14C9"/>
    <w:rsid w:val="100A3A81"/>
    <w:rsid w:val="101D5313"/>
    <w:rsid w:val="103254C9"/>
    <w:rsid w:val="104C52B7"/>
    <w:rsid w:val="10561252"/>
    <w:rsid w:val="106F460A"/>
    <w:rsid w:val="107E4771"/>
    <w:rsid w:val="108E55E4"/>
    <w:rsid w:val="109850F7"/>
    <w:rsid w:val="10BE5C16"/>
    <w:rsid w:val="10D92CE8"/>
    <w:rsid w:val="113B7A4A"/>
    <w:rsid w:val="113E7D9C"/>
    <w:rsid w:val="11537A88"/>
    <w:rsid w:val="1175598A"/>
    <w:rsid w:val="11892931"/>
    <w:rsid w:val="119D51A7"/>
    <w:rsid w:val="11A94E67"/>
    <w:rsid w:val="11CF536A"/>
    <w:rsid w:val="11D12348"/>
    <w:rsid w:val="11EF4EC0"/>
    <w:rsid w:val="121230F0"/>
    <w:rsid w:val="123B5893"/>
    <w:rsid w:val="123E393D"/>
    <w:rsid w:val="12613944"/>
    <w:rsid w:val="126B4874"/>
    <w:rsid w:val="126F44BB"/>
    <w:rsid w:val="127C2BAA"/>
    <w:rsid w:val="128633EB"/>
    <w:rsid w:val="128A21D7"/>
    <w:rsid w:val="12A23FFE"/>
    <w:rsid w:val="12AE1041"/>
    <w:rsid w:val="12B912FF"/>
    <w:rsid w:val="12D40004"/>
    <w:rsid w:val="12E67DD9"/>
    <w:rsid w:val="13094F85"/>
    <w:rsid w:val="13106C9B"/>
    <w:rsid w:val="131B0CF9"/>
    <w:rsid w:val="13217233"/>
    <w:rsid w:val="13384A18"/>
    <w:rsid w:val="136F0872"/>
    <w:rsid w:val="13775D07"/>
    <w:rsid w:val="13875CAF"/>
    <w:rsid w:val="13891EEE"/>
    <w:rsid w:val="13B16B0C"/>
    <w:rsid w:val="13FF7528"/>
    <w:rsid w:val="140C0E10"/>
    <w:rsid w:val="142339EF"/>
    <w:rsid w:val="142D0867"/>
    <w:rsid w:val="14553BB8"/>
    <w:rsid w:val="14676BFD"/>
    <w:rsid w:val="14713AC1"/>
    <w:rsid w:val="14B61D35"/>
    <w:rsid w:val="14C8170B"/>
    <w:rsid w:val="14CA650E"/>
    <w:rsid w:val="14CE24D0"/>
    <w:rsid w:val="14FB71AB"/>
    <w:rsid w:val="15242262"/>
    <w:rsid w:val="152C220C"/>
    <w:rsid w:val="15457B29"/>
    <w:rsid w:val="1589194C"/>
    <w:rsid w:val="15987424"/>
    <w:rsid w:val="15BE04E8"/>
    <w:rsid w:val="15C947BC"/>
    <w:rsid w:val="15DF777B"/>
    <w:rsid w:val="15E038B4"/>
    <w:rsid w:val="15F51F12"/>
    <w:rsid w:val="16191FEC"/>
    <w:rsid w:val="16324CB6"/>
    <w:rsid w:val="163441A4"/>
    <w:rsid w:val="16484402"/>
    <w:rsid w:val="16635F97"/>
    <w:rsid w:val="16674D56"/>
    <w:rsid w:val="166D15EC"/>
    <w:rsid w:val="16810BF3"/>
    <w:rsid w:val="168459D5"/>
    <w:rsid w:val="16916167"/>
    <w:rsid w:val="1693251E"/>
    <w:rsid w:val="16D9789C"/>
    <w:rsid w:val="16E2183B"/>
    <w:rsid w:val="16EC6EDB"/>
    <w:rsid w:val="16F3118F"/>
    <w:rsid w:val="16F566C8"/>
    <w:rsid w:val="170576D4"/>
    <w:rsid w:val="172606C8"/>
    <w:rsid w:val="17463BEB"/>
    <w:rsid w:val="174E3F86"/>
    <w:rsid w:val="174F5A5D"/>
    <w:rsid w:val="17647E0F"/>
    <w:rsid w:val="17745C53"/>
    <w:rsid w:val="178C24B5"/>
    <w:rsid w:val="17A806FA"/>
    <w:rsid w:val="17AD2B9E"/>
    <w:rsid w:val="17E92EF4"/>
    <w:rsid w:val="17FE6122"/>
    <w:rsid w:val="18187971"/>
    <w:rsid w:val="1819553E"/>
    <w:rsid w:val="184755B2"/>
    <w:rsid w:val="18875025"/>
    <w:rsid w:val="189F4AA5"/>
    <w:rsid w:val="18AF38E6"/>
    <w:rsid w:val="18BD4D1F"/>
    <w:rsid w:val="18E4310F"/>
    <w:rsid w:val="18F71B74"/>
    <w:rsid w:val="190E2F07"/>
    <w:rsid w:val="19523623"/>
    <w:rsid w:val="19576DBF"/>
    <w:rsid w:val="196813B4"/>
    <w:rsid w:val="19B62313"/>
    <w:rsid w:val="19FA7011"/>
    <w:rsid w:val="1A166BC9"/>
    <w:rsid w:val="1A1D578F"/>
    <w:rsid w:val="1A2315B2"/>
    <w:rsid w:val="1A4E1DFA"/>
    <w:rsid w:val="1A734F1E"/>
    <w:rsid w:val="1A912FF2"/>
    <w:rsid w:val="1AC22845"/>
    <w:rsid w:val="1AD0129B"/>
    <w:rsid w:val="1AD47B6D"/>
    <w:rsid w:val="1B0D6EFA"/>
    <w:rsid w:val="1B192207"/>
    <w:rsid w:val="1B253559"/>
    <w:rsid w:val="1B2D1349"/>
    <w:rsid w:val="1B3B5582"/>
    <w:rsid w:val="1B431107"/>
    <w:rsid w:val="1B5503D5"/>
    <w:rsid w:val="1B6809FE"/>
    <w:rsid w:val="1B772E67"/>
    <w:rsid w:val="1B790D7D"/>
    <w:rsid w:val="1B7E1BCC"/>
    <w:rsid w:val="1B8130A3"/>
    <w:rsid w:val="1B9975BD"/>
    <w:rsid w:val="1BAF6B63"/>
    <w:rsid w:val="1BBB47E0"/>
    <w:rsid w:val="1BC73BEB"/>
    <w:rsid w:val="1BC83285"/>
    <w:rsid w:val="1BE07A92"/>
    <w:rsid w:val="1BFC0433"/>
    <w:rsid w:val="1BFD1C1D"/>
    <w:rsid w:val="1BFD6B01"/>
    <w:rsid w:val="1BFE43A5"/>
    <w:rsid w:val="1C0B09C0"/>
    <w:rsid w:val="1C0E6CDC"/>
    <w:rsid w:val="1C102C59"/>
    <w:rsid w:val="1C366EC8"/>
    <w:rsid w:val="1C427C25"/>
    <w:rsid w:val="1C6C033E"/>
    <w:rsid w:val="1C83072A"/>
    <w:rsid w:val="1C8B1139"/>
    <w:rsid w:val="1C986C96"/>
    <w:rsid w:val="1CA64E1F"/>
    <w:rsid w:val="1CBC5183"/>
    <w:rsid w:val="1CDE7FCF"/>
    <w:rsid w:val="1CE85436"/>
    <w:rsid w:val="1D111313"/>
    <w:rsid w:val="1D464555"/>
    <w:rsid w:val="1D915EB4"/>
    <w:rsid w:val="1D9919F7"/>
    <w:rsid w:val="1E0148AE"/>
    <w:rsid w:val="1E0C6171"/>
    <w:rsid w:val="1E232653"/>
    <w:rsid w:val="1E310F6F"/>
    <w:rsid w:val="1E3B6D29"/>
    <w:rsid w:val="1E7B2605"/>
    <w:rsid w:val="1EBD5CED"/>
    <w:rsid w:val="1EEE3486"/>
    <w:rsid w:val="1EFF3565"/>
    <w:rsid w:val="1F1D1038"/>
    <w:rsid w:val="1F400E2D"/>
    <w:rsid w:val="1F4C0FCD"/>
    <w:rsid w:val="1F621302"/>
    <w:rsid w:val="1F7F00D9"/>
    <w:rsid w:val="1F895DDF"/>
    <w:rsid w:val="1FF10E5F"/>
    <w:rsid w:val="1FFC40F5"/>
    <w:rsid w:val="20175237"/>
    <w:rsid w:val="202B099A"/>
    <w:rsid w:val="203119C5"/>
    <w:rsid w:val="20513AB9"/>
    <w:rsid w:val="20573C8A"/>
    <w:rsid w:val="20712EB8"/>
    <w:rsid w:val="208D5446"/>
    <w:rsid w:val="209968CE"/>
    <w:rsid w:val="20BB0C1B"/>
    <w:rsid w:val="20D065C7"/>
    <w:rsid w:val="20D8617F"/>
    <w:rsid w:val="21005C17"/>
    <w:rsid w:val="21217DAA"/>
    <w:rsid w:val="21354809"/>
    <w:rsid w:val="213F5933"/>
    <w:rsid w:val="21510C8C"/>
    <w:rsid w:val="21672F1A"/>
    <w:rsid w:val="21777D68"/>
    <w:rsid w:val="217B4CEA"/>
    <w:rsid w:val="21891374"/>
    <w:rsid w:val="21962538"/>
    <w:rsid w:val="21A87DB3"/>
    <w:rsid w:val="21C25CB5"/>
    <w:rsid w:val="21DB598D"/>
    <w:rsid w:val="21E903C5"/>
    <w:rsid w:val="21EB73A1"/>
    <w:rsid w:val="21FE4632"/>
    <w:rsid w:val="22105521"/>
    <w:rsid w:val="221739B9"/>
    <w:rsid w:val="22183599"/>
    <w:rsid w:val="221D4960"/>
    <w:rsid w:val="22981232"/>
    <w:rsid w:val="22C41F87"/>
    <w:rsid w:val="22D95420"/>
    <w:rsid w:val="22FD3048"/>
    <w:rsid w:val="232221CB"/>
    <w:rsid w:val="2345509D"/>
    <w:rsid w:val="23896A51"/>
    <w:rsid w:val="238A641C"/>
    <w:rsid w:val="2396714E"/>
    <w:rsid w:val="23B22576"/>
    <w:rsid w:val="23D17BB0"/>
    <w:rsid w:val="23E704C6"/>
    <w:rsid w:val="2400282B"/>
    <w:rsid w:val="242B3E33"/>
    <w:rsid w:val="24385FB1"/>
    <w:rsid w:val="24416A3F"/>
    <w:rsid w:val="24502567"/>
    <w:rsid w:val="247A02BF"/>
    <w:rsid w:val="24EE004F"/>
    <w:rsid w:val="253170B3"/>
    <w:rsid w:val="25414548"/>
    <w:rsid w:val="25436687"/>
    <w:rsid w:val="26144719"/>
    <w:rsid w:val="262D00AB"/>
    <w:rsid w:val="263A1A5E"/>
    <w:rsid w:val="26426CF7"/>
    <w:rsid w:val="2662786A"/>
    <w:rsid w:val="266739B9"/>
    <w:rsid w:val="266B541C"/>
    <w:rsid w:val="26A00598"/>
    <w:rsid w:val="26A257CA"/>
    <w:rsid w:val="26A51324"/>
    <w:rsid w:val="26F929A0"/>
    <w:rsid w:val="26FC61F5"/>
    <w:rsid w:val="27090EBD"/>
    <w:rsid w:val="27343A60"/>
    <w:rsid w:val="27352F33"/>
    <w:rsid w:val="2758038D"/>
    <w:rsid w:val="276A1C59"/>
    <w:rsid w:val="276C4B4F"/>
    <w:rsid w:val="277C4B19"/>
    <w:rsid w:val="279462AC"/>
    <w:rsid w:val="27973BEF"/>
    <w:rsid w:val="27A2641A"/>
    <w:rsid w:val="27AC5465"/>
    <w:rsid w:val="27B67E8A"/>
    <w:rsid w:val="27CB403B"/>
    <w:rsid w:val="27DF1C1D"/>
    <w:rsid w:val="27EC03BE"/>
    <w:rsid w:val="27F613C1"/>
    <w:rsid w:val="282B4AD0"/>
    <w:rsid w:val="28491E0D"/>
    <w:rsid w:val="2869428B"/>
    <w:rsid w:val="289447B6"/>
    <w:rsid w:val="28944E33"/>
    <w:rsid w:val="289D52ED"/>
    <w:rsid w:val="289E1E15"/>
    <w:rsid w:val="28A15B57"/>
    <w:rsid w:val="28BB6C52"/>
    <w:rsid w:val="28C17575"/>
    <w:rsid w:val="28D0411A"/>
    <w:rsid w:val="29142937"/>
    <w:rsid w:val="29501B38"/>
    <w:rsid w:val="29761438"/>
    <w:rsid w:val="298644A6"/>
    <w:rsid w:val="29875F9F"/>
    <w:rsid w:val="29A558B6"/>
    <w:rsid w:val="29BB653A"/>
    <w:rsid w:val="29D73352"/>
    <w:rsid w:val="29DE00C6"/>
    <w:rsid w:val="2A0D5708"/>
    <w:rsid w:val="2A144B25"/>
    <w:rsid w:val="2A162247"/>
    <w:rsid w:val="2A216B8D"/>
    <w:rsid w:val="2A2D12C1"/>
    <w:rsid w:val="2A4562DE"/>
    <w:rsid w:val="2A6F0488"/>
    <w:rsid w:val="2A9955F6"/>
    <w:rsid w:val="2AB66D13"/>
    <w:rsid w:val="2AD62C8C"/>
    <w:rsid w:val="2B0E6256"/>
    <w:rsid w:val="2B403113"/>
    <w:rsid w:val="2B484F97"/>
    <w:rsid w:val="2B4B5F45"/>
    <w:rsid w:val="2B514B72"/>
    <w:rsid w:val="2B627EC9"/>
    <w:rsid w:val="2B6640B7"/>
    <w:rsid w:val="2B697732"/>
    <w:rsid w:val="2B7270D0"/>
    <w:rsid w:val="2BB31DFE"/>
    <w:rsid w:val="2BF4352F"/>
    <w:rsid w:val="2C310814"/>
    <w:rsid w:val="2C453517"/>
    <w:rsid w:val="2C471E3C"/>
    <w:rsid w:val="2C5D0CAC"/>
    <w:rsid w:val="2C7A6F87"/>
    <w:rsid w:val="2C7E7077"/>
    <w:rsid w:val="2C8F2057"/>
    <w:rsid w:val="2CC0302A"/>
    <w:rsid w:val="2CD44FE8"/>
    <w:rsid w:val="2CF00A7C"/>
    <w:rsid w:val="2D0D47A2"/>
    <w:rsid w:val="2D1F7858"/>
    <w:rsid w:val="2D36681E"/>
    <w:rsid w:val="2D3E2F42"/>
    <w:rsid w:val="2D45503F"/>
    <w:rsid w:val="2D587512"/>
    <w:rsid w:val="2D5A57B2"/>
    <w:rsid w:val="2D6E6252"/>
    <w:rsid w:val="2DA0006A"/>
    <w:rsid w:val="2DB24A32"/>
    <w:rsid w:val="2DB96A6D"/>
    <w:rsid w:val="2E062077"/>
    <w:rsid w:val="2E17099C"/>
    <w:rsid w:val="2E2761AC"/>
    <w:rsid w:val="2E515106"/>
    <w:rsid w:val="2E6E1757"/>
    <w:rsid w:val="2EA34D79"/>
    <w:rsid w:val="2ED73628"/>
    <w:rsid w:val="2ED9664F"/>
    <w:rsid w:val="2EF03FEB"/>
    <w:rsid w:val="2EF922DB"/>
    <w:rsid w:val="2EFA6236"/>
    <w:rsid w:val="2F0D10E5"/>
    <w:rsid w:val="2F0D7070"/>
    <w:rsid w:val="2F0F562F"/>
    <w:rsid w:val="2F3C076B"/>
    <w:rsid w:val="2F4634B2"/>
    <w:rsid w:val="2F4C67D0"/>
    <w:rsid w:val="2F520458"/>
    <w:rsid w:val="2F7B040D"/>
    <w:rsid w:val="2F8B2EE0"/>
    <w:rsid w:val="2FA34C2C"/>
    <w:rsid w:val="2FAB5D30"/>
    <w:rsid w:val="2FB44158"/>
    <w:rsid w:val="2FC736C3"/>
    <w:rsid w:val="30087EA4"/>
    <w:rsid w:val="30244953"/>
    <w:rsid w:val="303232FB"/>
    <w:rsid w:val="30493226"/>
    <w:rsid w:val="30534F57"/>
    <w:rsid w:val="30886A19"/>
    <w:rsid w:val="30A111BE"/>
    <w:rsid w:val="30B0221C"/>
    <w:rsid w:val="30B05875"/>
    <w:rsid w:val="30B13D2F"/>
    <w:rsid w:val="30EE3402"/>
    <w:rsid w:val="31057032"/>
    <w:rsid w:val="312428D7"/>
    <w:rsid w:val="314F2ED9"/>
    <w:rsid w:val="318602EB"/>
    <w:rsid w:val="3199542D"/>
    <w:rsid w:val="31AE50C4"/>
    <w:rsid w:val="31B4495B"/>
    <w:rsid w:val="31CE0FDE"/>
    <w:rsid w:val="31E11C8E"/>
    <w:rsid w:val="31E4745B"/>
    <w:rsid w:val="31ED3003"/>
    <w:rsid w:val="31F75D04"/>
    <w:rsid w:val="31F87D0A"/>
    <w:rsid w:val="31FD4CCC"/>
    <w:rsid w:val="32157CE1"/>
    <w:rsid w:val="321E02DE"/>
    <w:rsid w:val="322E5C7B"/>
    <w:rsid w:val="32494DBE"/>
    <w:rsid w:val="324F3989"/>
    <w:rsid w:val="32587618"/>
    <w:rsid w:val="32CF0591"/>
    <w:rsid w:val="32D07BDF"/>
    <w:rsid w:val="32E510EC"/>
    <w:rsid w:val="32E76592"/>
    <w:rsid w:val="32FA15FC"/>
    <w:rsid w:val="33202A4B"/>
    <w:rsid w:val="332F7B3A"/>
    <w:rsid w:val="3352748C"/>
    <w:rsid w:val="336851BD"/>
    <w:rsid w:val="337135D8"/>
    <w:rsid w:val="337E0CCA"/>
    <w:rsid w:val="338418CB"/>
    <w:rsid w:val="338C7620"/>
    <w:rsid w:val="33900270"/>
    <w:rsid w:val="3392516D"/>
    <w:rsid w:val="33A6308B"/>
    <w:rsid w:val="33B71CA0"/>
    <w:rsid w:val="33BA04B6"/>
    <w:rsid w:val="33CB00AC"/>
    <w:rsid w:val="34191981"/>
    <w:rsid w:val="344C73FC"/>
    <w:rsid w:val="349D271D"/>
    <w:rsid w:val="34CF4D6C"/>
    <w:rsid w:val="34F52529"/>
    <w:rsid w:val="350762FF"/>
    <w:rsid w:val="351D3DE4"/>
    <w:rsid w:val="35225184"/>
    <w:rsid w:val="35231BEB"/>
    <w:rsid w:val="3532159F"/>
    <w:rsid w:val="35381F6B"/>
    <w:rsid w:val="3543020D"/>
    <w:rsid w:val="354410AB"/>
    <w:rsid w:val="35680141"/>
    <w:rsid w:val="35976FF7"/>
    <w:rsid w:val="35BB33B6"/>
    <w:rsid w:val="363C648D"/>
    <w:rsid w:val="364C1E4B"/>
    <w:rsid w:val="364E48E8"/>
    <w:rsid w:val="36764EFF"/>
    <w:rsid w:val="368601B8"/>
    <w:rsid w:val="36944483"/>
    <w:rsid w:val="36A72F98"/>
    <w:rsid w:val="36C344B8"/>
    <w:rsid w:val="36F17D17"/>
    <w:rsid w:val="36F84C70"/>
    <w:rsid w:val="37107DC1"/>
    <w:rsid w:val="37136056"/>
    <w:rsid w:val="37211463"/>
    <w:rsid w:val="373778DE"/>
    <w:rsid w:val="373E5524"/>
    <w:rsid w:val="37473D97"/>
    <w:rsid w:val="37715723"/>
    <w:rsid w:val="378C3828"/>
    <w:rsid w:val="37936A6E"/>
    <w:rsid w:val="37A43D67"/>
    <w:rsid w:val="37AB1BC8"/>
    <w:rsid w:val="37BD1671"/>
    <w:rsid w:val="37C27821"/>
    <w:rsid w:val="37E67F65"/>
    <w:rsid w:val="37F1773C"/>
    <w:rsid w:val="381E22EE"/>
    <w:rsid w:val="38363CC2"/>
    <w:rsid w:val="3840755B"/>
    <w:rsid w:val="385C6C0F"/>
    <w:rsid w:val="38736014"/>
    <w:rsid w:val="38767CE7"/>
    <w:rsid w:val="389C1D64"/>
    <w:rsid w:val="38B17E27"/>
    <w:rsid w:val="38B461C7"/>
    <w:rsid w:val="38BB7D22"/>
    <w:rsid w:val="38BD36D6"/>
    <w:rsid w:val="38C92C2B"/>
    <w:rsid w:val="38E20AE5"/>
    <w:rsid w:val="38E974E2"/>
    <w:rsid w:val="39401EAE"/>
    <w:rsid w:val="394A0E42"/>
    <w:rsid w:val="396F3C5E"/>
    <w:rsid w:val="39763BD8"/>
    <w:rsid w:val="39F43419"/>
    <w:rsid w:val="3A251675"/>
    <w:rsid w:val="3A25618C"/>
    <w:rsid w:val="3A2E2864"/>
    <w:rsid w:val="3A36549A"/>
    <w:rsid w:val="3A6E522A"/>
    <w:rsid w:val="3A8D3D98"/>
    <w:rsid w:val="3AC35AE5"/>
    <w:rsid w:val="3AE738BD"/>
    <w:rsid w:val="3AF9494C"/>
    <w:rsid w:val="3B0357CB"/>
    <w:rsid w:val="3B3B3F63"/>
    <w:rsid w:val="3B4228B1"/>
    <w:rsid w:val="3B60677A"/>
    <w:rsid w:val="3B660D96"/>
    <w:rsid w:val="3B6A2E5A"/>
    <w:rsid w:val="3B6F1DB1"/>
    <w:rsid w:val="3B813CCA"/>
    <w:rsid w:val="3BC341A7"/>
    <w:rsid w:val="3BC36A20"/>
    <w:rsid w:val="3BD019FF"/>
    <w:rsid w:val="3BE97F9E"/>
    <w:rsid w:val="3C13743A"/>
    <w:rsid w:val="3C281CEC"/>
    <w:rsid w:val="3C2A30D2"/>
    <w:rsid w:val="3C452FAA"/>
    <w:rsid w:val="3C774751"/>
    <w:rsid w:val="3C8535AB"/>
    <w:rsid w:val="3C936241"/>
    <w:rsid w:val="3CE3468E"/>
    <w:rsid w:val="3CF7123A"/>
    <w:rsid w:val="3D040629"/>
    <w:rsid w:val="3D0F4BC4"/>
    <w:rsid w:val="3D1F0595"/>
    <w:rsid w:val="3D3E045A"/>
    <w:rsid w:val="3D605037"/>
    <w:rsid w:val="3D6577C8"/>
    <w:rsid w:val="3D69400B"/>
    <w:rsid w:val="3D7B27AD"/>
    <w:rsid w:val="3D90441E"/>
    <w:rsid w:val="3DAA6283"/>
    <w:rsid w:val="3DAD1176"/>
    <w:rsid w:val="3DAF72E0"/>
    <w:rsid w:val="3DBE29AA"/>
    <w:rsid w:val="3DD21ED8"/>
    <w:rsid w:val="3DDA12C4"/>
    <w:rsid w:val="3DDA14DE"/>
    <w:rsid w:val="3DDC66B3"/>
    <w:rsid w:val="3DFB09DB"/>
    <w:rsid w:val="3E083824"/>
    <w:rsid w:val="3E1F163F"/>
    <w:rsid w:val="3E3839DE"/>
    <w:rsid w:val="3E623A92"/>
    <w:rsid w:val="3E8C7BDE"/>
    <w:rsid w:val="3EC1154E"/>
    <w:rsid w:val="3F1D5D5B"/>
    <w:rsid w:val="3F7B279D"/>
    <w:rsid w:val="3FF47D1A"/>
    <w:rsid w:val="40023EB2"/>
    <w:rsid w:val="4033445D"/>
    <w:rsid w:val="403D52DB"/>
    <w:rsid w:val="405347B9"/>
    <w:rsid w:val="40603857"/>
    <w:rsid w:val="406278AA"/>
    <w:rsid w:val="4075598A"/>
    <w:rsid w:val="408C2F23"/>
    <w:rsid w:val="40971CA9"/>
    <w:rsid w:val="40D3113B"/>
    <w:rsid w:val="40E06247"/>
    <w:rsid w:val="40E9264F"/>
    <w:rsid w:val="40EB55DD"/>
    <w:rsid w:val="41054A3B"/>
    <w:rsid w:val="410C753E"/>
    <w:rsid w:val="411E576E"/>
    <w:rsid w:val="413D0A55"/>
    <w:rsid w:val="418C0124"/>
    <w:rsid w:val="41D8043A"/>
    <w:rsid w:val="41FC7B39"/>
    <w:rsid w:val="41FC7E22"/>
    <w:rsid w:val="423074EC"/>
    <w:rsid w:val="424E7230"/>
    <w:rsid w:val="42586D15"/>
    <w:rsid w:val="425D3A13"/>
    <w:rsid w:val="426261CA"/>
    <w:rsid w:val="429C0F41"/>
    <w:rsid w:val="42E0440D"/>
    <w:rsid w:val="432A5FEB"/>
    <w:rsid w:val="43554354"/>
    <w:rsid w:val="438133CE"/>
    <w:rsid w:val="43940819"/>
    <w:rsid w:val="43AD6B39"/>
    <w:rsid w:val="43BE309F"/>
    <w:rsid w:val="43BF773D"/>
    <w:rsid w:val="43C90860"/>
    <w:rsid w:val="43CE435D"/>
    <w:rsid w:val="4408339B"/>
    <w:rsid w:val="44107150"/>
    <w:rsid w:val="44201E1A"/>
    <w:rsid w:val="44411149"/>
    <w:rsid w:val="44826B0B"/>
    <w:rsid w:val="448E2AE1"/>
    <w:rsid w:val="44BD0544"/>
    <w:rsid w:val="44BE462F"/>
    <w:rsid w:val="44C1267E"/>
    <w:rsid w:val="44C45FCB"/>
    <w:rsid w:val="44C61667"/>
    <w:rsid w:val="44DD11D9"/>
    <w:rsid w:val="44F45A8A"/>
    <w:rsid w:val="44FD48B1"/>
    <w:rsid w:val="452B604A"/>
    <w:rsid w:val="453D1E72"/>
    <w:rsid w:val="4568104C"/>
    <w:rsid w:val="4574273D"/>
    <w:rsid w:val="45863F02"/>
    <w:rsid w:val="45CD7ABA"/>
    <w:rsid w:val="45FD1795"/>
    <w:rsid w:val="461E795D"/>
    <w:rsid w:val="46252A77"/>
    <w:rsid w:val="462907DC"/>
    <w:rsid w:val="463D7D1A"/>
    <w:rsid w:val="46486C19"/>
    <w:rsid w:val="4697564B"/>
    <w:rsid w:val="46A15291"/>
    <w:rsid w:val="46A4486F"/>
    <w:rsid w:val="46BA699C"/>
    <w:rsid w:val="46D43658"/>
    <w:rsid w:val="46DF58F5"/>
    <w:rsid w:val="46FC7915"/>
    <w:rsid w:val="4747012F"/>
    <w:rsid w:val="47686C82"/>
    <w:rsid w:val="47754A9F"/>
    <w:rsid w:val="477C6293"/>
    <w:rsid w:val="479E48B1"/>
    <w:rsid w:val="47B820A8"/>
    <w:rsid w:val="47C57FE4"/>
    <w:rsid w:val="47EB5451"/>
    <w:rsid w:val="480F57AF"/>
    <w:rsid w:val="4827448A"/>
    <w:rsid w:val="485B15A7"/>
    <w:rsid w:val="485E2C1D"/>
    <w:rsid w:val="487B3CD0"/>
    <w:rsid w:val="48811798"/>
    <w:rsid w:val="4883485A"/>
    <w:rsid w:val="48846CF9"/>
    <w:rsid w:val="48886256"/>
    <w:rsid w:val="48AA4AF6"/>
    <w:rsid w:val="48C27DDC"/>
    <w:rsid w:val="48C74307"/>
    <w:rsid w:val="48D67719"/>
    <w:rsid w:val="48EF5859"/>
    <w:rsid w:val="49175522"/>
    <w:rsid w:val="493B1510"/>
    <w:rsid w:val="49466198"/>
    <w:rsid w:val="49887264"/>
    <w:rsid w:val="49914A1D"/>
    <w:rsid w:val="49991F39"/>
    <w:rsid w:val="499B0863"/>
    <w:rsid w:val="49E869EB"/>
    <w:rsid w:val="49EB7E37"/>
    <w:rsid w:val="49FD13A8"/>
    <w:rsid w:val="4A1C3B83"/>
    <w:rsid w:val="4A522BAC"/>
    <w:rsid w:val="4A590170"/>
    <w:rsid w:val="4AA57CFF"/>
    <w:rsid w:val="4AA9697D"/>
    <w:rsid w:val="4AC27AEF"/>
    <w:rsid w:val="4B0261D2"/>
    <w:rsid w:val="4B2F7817"/>
    <w:rsid w:val="4B317BBE"/>
    <w:rsid w:val="4B341179"/>
    <w:rsid w:val="4B682E7A"/>
    <w:rsid w:val="4B9204C2"/>
    <w:rsid w:val="4BE65EF5"/>
    <w:rsid w:val="4C182A6D"/>
    <w:rsid w:val="4C1C2CEB"/>
    <w:rsid w:val="4C1E045D"/>
    <w:rsid w:val="4C9857D2"/>
    <w:rsid w:val="4CF84A64"/>
    <w:rsid w:val="4D104EE7"/>
    <w:rsid w:val="4D1F0907"/>
    <w:rsid w:val="4D275349"/>
    <w:rsid w:val="4D371643"/>
    <w:rsid w:val="4D500EB7"/>
    <w:rsid w:val="4D666163"/>
    <w:rsid w:val="4D7969DE"/>
    <w:rsid w:val="4D7E5C68"/>
    <w:rsid w:val="4D81395E"/>
    <w:rsid w:val="4DAD7356"/>
    <w:rsid w:val="4DD11DE8"/>
    <w:rsid w:val="4DEC5A6D"/>
    <w:rsid w:val="4E0D5091"/>
    <w:rsid w:val="4E125861"/>
    <w:rsid w:val="4E162E5A"/>
    <w:rsid w:val="4F096608"/>
    <w:rsid w:val="4F177760"/>
    <w:rsid w:val="4F2D1E34"/>
    <w:rsid w:val="4F8E7E62"/>
    <w:rsid w:val="4F921CBD"/>
    <w:rsid w:val="4FAA2F2F"/>
    <w:rsid w:val="4FAC33D0"/>
    <w:rsid w:val="4FD47174"/>
    <w:rsid w:val="4FE05B0F"/>
    <w:rsid w:val="4FFC62DF"/>
    <w:rsid w:val="501667C6"/>
    <w:rsid w:val="50256650"/>
    <w:rsid w:val="50426C4C"/>
    <w:rsid w:val="505F4B58"/>
    <w:rsid w:val="5060679E"/>
    <w:rsid w:val="5078577D"/>
    <w:rsid w:val="507E6C37"/>
    <w:rsid w:val="50885BA3"/>
    <w:rsid w:val="508B4AD7"/>
    <w:rsid w:val="50B11AF9"/>
    <w:rsid w:val="50BA3617"/>
    <w:rsid w:val="50FD51B3"/>
    <w:rsid w:val="510A1C3F"/>
    <w:rsid w:val="512D4B14"/>
    <w:rsid w:val="513E0311"/>
    <w:rsid w:val="51721AD5"/>
    <w:rsid w:val="518313E2"/>
    <w:rsid w:val="51BD63DE"/>
    <w:rsid w:val="51C82715"/>
    <w:rsid w:val="51DE0537"/>
    <w:rsid w:val="51F15F26"/>
    <w:rsid w:val="522C77A6"/>
    <w:rsid w:val="523468BF"/>
    <w:rsid w:val="52674E4A"/>
    <w:rsid w:val="52942457"/>
    <w:rsid w:val="52C4684D"/>
    <w:rsid w:val="52DD33E6"/>
    <w:rsid w:val="52E571EC"/>
    <w:rsid w:val="52EF3867"/>
    <w:rsid w:val="53082D0D"/>
    <w:rsid w:val="5313158C"/>
    <w:rsid w:val="53151B81"/>
    <w:rsid w:val="53244790"/>
    <w:rsid w:val="5334431C"/>
    <w:rsid w:val="53407088"/>
    <w:rsid w:val="535273C6"/>
    <w:rsid w:val="53731D96"/>
    <w:rsid w:val="53751540"/>
    <w:rsid w:val="53883F06"/>
    <w:rsid w:val="538D2A9D"/>
    <w:rsid w:val="539A62D6"/>
    <w:rsid w:val="53AE46ED"/>
    <w:rsid w:val="53AF255B"/>
    <w:rsid w:val="53B17B53"/>
    <w:rsid w:val="53D2211A"/>
    <w:rsid w:val="53D25135"/>
    <w:rsid w:val="53E9774E"/>
    <w:rsid w:val="541B7B84"/>
    <w:rsid w:val="546D004D"/>
    <w:rsid w:val="5475433C"/>
    <w:rsid w:val="54764C81"/>
    <w:rsid w:val="54825CB0"/>
    <w:rsid w:val="54886790"/>
    <w:rsid w:val="548B0531"/>
    <w:rsid w:val="549554E4"/>
    <w:rsid w:val="54991537"/>
    <w:rsid w:val="54AE4184"/>
    <w:rsid w:val="54C02294"/>
    <w:rsid w:val="54F11509"/>
    <w:rsid w:val="54FD1974"/>
    <w:rsid w:val="551628F6"/>
    <w:rsid w:val="55273807"/>
    <w:rsid w:val="554441E7"/>
    <w:rsid w:val="55531957"/>
    <w:rsid w:val="557B3FD0"/>
    <w:rsid w:val="557C5AE1"/>
    <w:rsid w:val="558D3998"/>
    <w:rsid w:val="55A70B90"/>
    <w:rsid w:val="55B530B6"/>
    <w:rsid w:val="55D85D41"/>
    <w:rsid w:val="56260615"/>
    <w:rsid w:val="56441D72"/>
    <w:rsid w:val="564E7CC6"/>
    <w:rsid w:val="56905D0D"/>
    <w:rsid w:val="569221B7"/>
    <w:rsid w:val="56D61F17"/>
    <w:rsid w:val="56E754E2"/>
    <w:rsid w:val="57174680"/>
    <w:rsid w:val="571C5CFD"/>
    <w:rsid w:val="571D2652"/>
    <w:rsid w:val="5720186E"/>
    <w:rsid w:val="573C4515"/>
    <w:rsid w:val="57491710"/>
    <w:rsid w:val="57536889"/>
    <w:rsid w:val="57572A6D"/>
    <w:rsid w:val="575B7E6D"/>
    <w:rsid w:val="57701C5D"/>
    <w:rsid w:val="57825F9E"/>
    <w:rsid w:val="57924C13"/>
    <w:rsid w:val="57F74FC3"/>
    <w:rsid w:val="57F85D19"/>
    <w:rsid w:val="57FA3DB4"/>
    <w:rsid w:val="583350AA"/>
    <w:rsid w:val="58666421"/>
    <w:rsid w:val="58671369"/>
    <w:rsid w:val="58B94FE7"/>
    <w:rsid w:val="58D10713"/>
    <w:rsid w:val="5918482C"/>
    <w:rsid w:val="592E293A"/>
    <w:rsid w:val="597746B4"/>
    <w:rsid w:val="597C4419"/>
    <w:rsid w:val="59886E9D"/>
    <w:rsid w:val="598A113A"/>
    <w:rsid w:val="599F0CFA"/>
    <w:rsid w:val="59A3044D"/>
    <w:rsid w:val="59AB381D"/>
    <w:rsid w:val="59DC4A87"/>
    <w:rsid w:val="59DE4FE1"/>
    <w:rsid w:val="59EE2AC7"/>
    <w:rsid w:val="5A4B11E2"/>
    <w:rsid w:val="5A641261"/>
    <w:rsid w:val="5A7A7207"/>
    <w:rsid w:val="5A9217DA"/>
    <w:rsid w:val="5A9F1A90"/>
    <w:rsid w:val="5ADD2D92"/>
    <w:rsid w:val="5AF63FFC"/>
    <w:rsid w:val="5AF81CBB"/>
    <w:rsid w:val="5B152C76"/>
    <w:rsid w:val="5B307ABF"/>
    <w:rsid w:val="5B3B30F5"/>
    <w:rsid w:val="5B415367"/>
    <w:rsid w:val="5B8C367E"/>
    <w:rsid w:val="5BAA6E0E"/>
    <w:rsid w:val="5BB158F4"/>
    <w:rsid w:val="5BD075AD"/>
    <w:rsid w:val="5BEA0DF8"/>
    <w:rsid w:val="5C1410BB"/>
    <w:rsid w:val="5C345BC7"/>
    <w:rsid w:val="5C631650"/>
    <w:rsid w:val="5C724CB4"/>
    <w:rsid w:val="5C8E0F41"/>
    <w:rsid w:val="5CD057E7"/>
    <w:rsid w:val="5CD85E8D"/>
    <w:rsid w:val="5D0C08FA"/>
    <w:rsid w:val="5D271957"/>
    <w:rsid w:val="5D5B7F06"/>
    <w:rsid w:val="5D653801"/>
    <w:rsid w:val="5DA74AAB"/>
    <w:rsid w:val="5DB40020"/>
    <w:rsid w:val="5DC66D4C"/>
    <w:rsid w:val="5DE11544"/>
    <w:rsid w:val="5DF45113"/>
    <w:rsid w:val="5E4B73B4"/>
    <w:rsid w:val="5E5019F1"/>
    <w:rsid w:val="5E571B66"/>
    <w:rsid w:val="5E5F2B8A"/>
    <w:rsid w:val="5E6569D7"/>
    <w:rsid w:val="5E864BA6"/>
    <w:rsid w:val="5EA20B74"/>
    <w:rsid w:val="5EDF4CA3"/>
    <w:rsid w:val="5F5D00E7"/>
    <w:rsid w:val="5F66161F"/>
    <w:rsid w:val="5F771FF1"/>
    <w:rsid w:val="5F7A59BB"/>
    <w:rsid w:val="5F872DA5"/>
    <w:rsid w:val="5FF45426"/>
    <w:rsid w:val="602F3F76"/>
    <w:rsid w:val="60392794"/>
    <w:rsid w:val="605A3D99"/>
    <w:rsid w:val="605B404F"/>
    <w:rsid w:val="6067779A"/>
    <w:rsid w:val="607F5EB6"/>
    <w:rsid w:val="60A40247"/>
    <w:rsid w:val="60B77281"/>
    <w:rsid w:val="60B85664"/>
    <w:rsid w:val="60C54604"/>
    <w:rsid w:val="60CB0613"/>
    <w:rsid w:val="60D56947"/>
    <w:rsid w:val="60E15FD1"/>
    <w:rsid w:val="612C6F7A"/>
    <w:rsid w:val="613E0F16"/>
    <w:rsid w:val="61440826"/>
    <w:rsid w:val="614A7F49"/>
    <w:rsid w:val="6161638A"/>
    <w:rsid w:val="61673AA9"/>
    <w:rsid w:val="619479EE"/>
    <w:rsid w:val="61CB12D1"/>
    <w:rsid w:val="61EE2EC3"/>
    <w:rsid w:val="620377C6"/>
    <w:rsid w:val="62037CDB"/>
    <w:rsid w:val="620C4AC7"/>
    <w:rsid w:val="621C0D9D"/>
    <w:rsid w:val="62357883"/>
    <w:rsid w:val="62411F88"/>
    <w:rsid w:val="62671B73"/>
    <w:rsid w:val="62C93044"/>
    <w:rsid w:val="62DC61A2"/>
    <w:rsid w:val="63020661"/>
    <w:rsid w:val="63052DAC"/>
    <w:rsid w:val="630F0AAC"/>
    <w:rsid w:val="6317190E"/>
    <w:rsid w:val="635051A2"/>
    <w:rsid w:val="6371014B"/>
    <w:rsid w:val="63760A8D"/>
    <w:rsid w:val="638D0A0B"/>
    <w:rsid w:val="63915447"/>
    <w:rsid w:val="63A61EFA"/>
    <w:rsid w:val="63B52EA6"/>
    <w:rsid w:val="63CB03F2"/>
    <w:rsid w:val="63D266A9"/>
    <w:rsid w:val="63D74643"/>
    <w:rsid w:val="63FC190E"/>
    <w:rsid w:val="64030DF0"/>
    <w:rsid w:val="6413646C"/>
    <w:rsid w:val="64355B39"/>
    <w:rsid w:val="647719BE"/>
    <w:rsid w:val="6480225B"/>
    <w:rsid w:val="64C57431"/>
    <w:rsid w:val="64CC5BF3"/>
    <w:rsid w:val="64E4395C"/>
    <w:rsid w:val="64FD6715"/>
    <w:rsid w:val="652D6F8B"/>
    <w:rsid w:val="65472B07"/>
    <w:rsid w:val="65502A49"/>
    <w:rsid w:val="655449A5"/>
    <w:rsid w:val="65831CD4"/>
    <w:rsid w:val="658B3F32"/>
    <w:rsid w:val="65A13FE1"/>
    <w:rsid w:val="65EB0C41"/>
    <w:rsid w:val="66010558"/>
    <w:rsid w:val="66091064"/>
    <w:rsid w:val="6615510B"/>
    <w:rsid w:val="6629581A"/>
    <w:rsid w:val="66694F2E"/>
    <w:rsid w:val="66B65D18"/>
    <w:rsid w:val="66C34623"/>
    <w:rsid w:val="66C450C4"/>
    <w:rsid w:val="66E5303A"/>
    <w:rsid w:val="676662E9"/>
    <w:rsid w:val="6772226E"/>
    <w:rsid w:val="67B03D91"/>
    <w:rsid w:val="67B9643A"/>
    <w:rsid w:val="67BA39FD"/>
    <w:rsid w:val="67D92476"/>
    <w:rsid w:val="67DB2C0A"/>
    <w:rsid w:val="67EE31DB"/>
    <w:rsid w:val="68200F3C"/>
    <w:rsid w:val="68245971"/>
    <w:rsid w:val="685F3104"/>
    <w:rsid w:val="68706096"/>
    <w:rsid w:val="68790CF7"/>
    <w:rsid w:val="68AC51D0"/>
    <w:rsid w:val="68B639B3"/>
    <w:rsid w:val="68BA3EE7"/>
    <w:rsid w:val="68C02C43"/>
    <w:rsid w:val="68DA686F"/>
    <w:rsid w:val="68DC1286"/>
    <w:rsid w:val="69155045"/>
    <w:rsid w:val="691845F2"/>
    <w:rsid w:val="691A0CA8"/>
    <w:rsid w:val="69271CE8"/>
    <w:rsid w:val="69636506"/>
    <w:rsid w:val="69681FD6"/>
    <w:rsid w:val="698D6806"/>
    <w:rsid w:val="69901DD8"/>
    <w:rsid w:val="69A62036"/>
    <w:rsid w:val="69B35352"/>
    <w:rsid w:val="69D964A1"/>
    <w:rsid w:val="69F70265"/>
    <w:rsid w:val="6A057F29"/>
    <w:rsid w:val="6A065B2A"/>
    <w:rsid w:val="6A0D7E83"/>
    <w:rsid w:val="6A171A61"/>
    <w:rsid w:val="6A18310E"/>
    <w:rsid w:val="6A1D224D"/>
    <w:rsid w:val="6A5B4343"/>
    <w:rsid w:val="6A604011"/>
    <w:rsid w:val="6A9C1446"/>
    <w:rsid w:val="6AB538B9"/>
    <w:rsid w:val="6AF53E53"/>
    <w:rsid w:val="6AF65188"/>
    <w:rsid w:val="6B0B49DB"/>
    <w:rsid w:val="6B266BC5"/>
    <w:rsid w:val="6B5D0B7A"/>
    <w:rsid w:val="6B6A2B79"/>
    <w:rsid w:val="6B7C3652"/>
    <w:rsid w:val="6B7F5DAA"/>
    <w:rsid w:val="6B907E75"/>
    <w:rsid w:val="6B9B41FC"/>
    <w:rsid w:val="6BC02D63"/>
    <w:rsid w:val="6BC166F5"/>
    <w:rsid w:val="6BE10979"/>
    <w:rsid w:val="6BF64B5E"/>
    <w:rsid w:val="6C060A73"/>
    <w:rsid w:val="6C340E7B"/>
    <w:rsid w:val="6C4266B9"/>
    <w:rsid w:val="6C55623F"/>
    <w:rsid w:val="6C564BDC"/>
    <w:rsid w:val="6C842A8C"/>
    <w:rsid w:val="6CB13BA4"/>
    <w:rsid w:val="6CC1013D"/>
    <w:rsid w:val="6CF0140A"/>
    <w:rsid w:val="6CFF5543"/>
    <w:rsid w:val="6D232A0E"/>
    <w:rsid w:val="6D2B5F50"/>
    <w:rsid w:val="6D3A4C1E"/>
    <w:rsid w:val="6D441BF4"/>
    <w:rsid w:val="6D4713C4"/>
    <w:rsid w:val="6D6F08C9"/>
    <w:rsid w:val="6D8F7D64"/>
    <w:rsid w:val="6DC45DF0"/>
    <w:rsid w:val="6E095DAC"/>
    <w:rsid w:val="6E187212"/>
    <w:rsid w:val="6E20794E"/>
    <w:rsid w:val="6E563576"/>
    <w:rsid w:val="6E9C7E59"/>
    <w:rsid w:val="6EB37440"/>
    <w:rsid w:val="6ECE5FD9"/>
    <w:rsid w:val="6EF911FB"/>
    <w:rsid w:val="6EFE2F01"/>
    <w:rsid w:val="6F20115A"/>
    <w:rsid w:val="6F553D46"/>
    <w:rsid w:val="6F5F7596"/>
    <w:rsid w:val="6F6E7354"/>
    <w:rsid w:val="6F76737A"/>
    <w:rsid w:val="6F8C7562"/>
    <w:rsid w:val="6FBC09C7"/>
    <w:rsid w:val="6FD2624B"/>
    <w:rsid w:val="6FEF16D9"/>
    <w:rsid w:val="701365A0"/>
    <w:rsid w:val="702D1CF5"/>
    <w:rsid w:val="703528DD"/>
    <w:rsid w:val="703674CE"/>
    <w:rsid w:val="7050434C"/>
    <w:rsid w:val="705F42A7"/>
    <w:rsid w:val="707244E2"/>
    <w:rsid w:val="707B6D1C"/>
    <w:rsid w:val="707F2DD3"/>
    <w:rsid w:val="70804869"/>
    <w:rsid w:val="708271C1"/>
    <w:rsid w:val="709F6728"/>
    <w:rsid w:val="70A036AF"/>
    <w:rsid w:val="70BF4B91"/>
    <w:rsid w:val="70E0514D"/>
    <w:rsid w:val="714A7FB3"/>
    <w:rsid w:val="71563D66"/>
    <w:rsid w:val="717A47DC"/>
    <w:rsid w:val="71843001"/>
    <w:rsid w:val="7198231E"/>
    <w:rsid w:val="719C091A"/>
    <w:rsid w:val="71A24806"/>
    <w:rsid w:val="71AC3F50"/>
    <w:rsid w:val="71B4578D"/>
    <w:rsid w:val="71BA5AA9"/>
    <w:rsid w:val="71BD017F"/>
    <w:rsid w:val="71C3770E"/>
    <w:rsid w:val="71F045EC"/>
    <w:rsid w:val="720A7752"/>
    <w:rsid w:val="720D08FC"/>
    <w:rsid w:val="722045C8"/>
    <w:rsid w:val="72457E9C"/>
    <w:rsid w:val="727A130A"/>
    <w:rsid w:val="72850B4F"/>
    <w:rsid w:val="728D5443"/>
    <w:rsid w:val="72A459C1"/>
    <w:rsid w:val="72AB777F"/>
    <w:rsid w:val="72C662B5"/>
    <w:rsid w:val="72C6717D"/>
    <w:rsid w:val="72D93CFA"/>
    <w:rsid w:val="72EC32F1"/>
    <w:rsid w:val="730A6BA2"/>
    <w:rsid w:val="7340325F"/>
    <w:rsid w:val="73415C12"/>
    <w:rsid w:val="739211B7"/>
    <w:rsid w:val="73985D3B"/>
    <w:rsid w:val="73B048AF"/>
    <w:rsid w:val="73D6371A"/>
    <w:rsid w:val="73E93365"/>
    <w:rsid w:val="74031FC4"/>
    <w:rsid w:val="740D1C1E"/>
    <w:rsid w:val="74193420"/>
    <w:rsid w:val="741E2504"/>
    <w:rsid w:val="743C0971"/>
    <w:rsid w:val="747378ED"/>
    <w:rsid w:val="74984FFF"/>
    <w:rsid w:val="74C32C73"/>
    <w:rsid w:val="74D001C3"/>
    <w:rsid w:val="74DF1EE2"/>
    <w:rsid w:val="74F31E31"/>
    <w:rsid w:val="74FD3873"/>
    <w:rsid w:val="75235B0A"/>
    <w:rsid w:val="75317850"/>
    <w:rsid w:val="755E0705"/>
    <w:rsid w:val="756E3266"/>
    <w:rsid w:val="758F2C08"/>
    <w:rsid w:val="75A373B3"/>
    <w:rsid w:val="75A37B84"/>
    <w:rsid w:val="75C5509D"/>
    <w:rsid w:val="75C7537B"/>
    <w:rsid w:val="75F33E8D"/>
    <w:rsid w:val="75F4779A"/>
    <w:rsid w:val="75F64EF8"/>
    <w:rsid w:val="75FB1E0E"/>
    <w:rsid w:val="760D3140"/>
    <w:rsid w:val="7642132F"/>
    <w:rsid w:val="76530DD9"/>
    <w:rsid w:val="7655040C"/>
    <w:rsid w:val="765E7D8C"/>
    <w:rsid w:val="766E4DBE"/>
    <w:rsid w:val="766F7814"/>
    <w:rsid w:val="768139BD"/>
    <w:rsid w:val="768555BB"/>
    <w:rsid w:val="76B61CE8"/>
    <w:rsid w:val="76DF2691"/>
    <w:rsid w:val="76E225FD"/>
    <w:rsid w:val="76E9688D"/>
    <w:rsid w:val="76F17599"/>
    <w:rsid w:val="76F50A22"/>
    <w:rsid w:val="77030227"/>
    <w:rsid w:val="770F1094"/>
    <w:rsid w:val="77361F86"/>
    <w:rsid w:val="7742388B"/>
    <w:rsid w:val="77503C35"/>
    <w:rsid w:val="77505F25"/>
    <w:rsid w:val="775F17D3"/>
    <w:rsid w:val="776747C9"/>
    <w:rsid w:val="77953FAA"/>
    <w:rsid w:val="77C23F7A"/>
    <w:rsid w:val="77CB60FA"/>
    <w:rsid w:val="77CF229A"/>
    <w:rsid w:val="78186F8A"/>
    <w:rsid w:val="78312C69"/>
    <w:rsid w:val="784A1FA1"/>
    <w:rsid w:val="78537BB4"/>
    <w:rsid w:val="785D4840"/>
    <w:rsid w:val="7863274F"/>
    <w:rsid w:val="787B147E"/>
    <w:rsid w:val="78C16DBE"/>
    <w:rsid w:val="79283222"/>
    <w:rsid w:val="79330AD0"/>
    <w:rsid w:val="79382508"/>
    <w:rsid w:val="79AA4F66"/>
    <w:rsid w:val="79C95239"/>
    <w:rsid w:val="7A0912FC"/>
    <w:rsid w:val="7A2429C4"/>
    <w:rsid w:val="7A274492"/>
    <w:rsid w:val="7A283B04"/>
    <w:rsid w:val="7A564E5D"/>
    <w:rsid w:val="7A5B1B8C"/>
    <w:rsid w:val="7A5E7C70"/>
    <w:rsid w:val="7A9E5BB8"/>
    <w:rsid w:val="7ABA2A8C"/>
    <w:rsid w:val="7AC41B5C"/>
    <w:rsid w:val="7AD724D0"/>
    <w:rsid w:val="7ADB5413"/>
    <w:rsid w:val="7ADD3F0D"/>
    <w:rsid w:val="7ADF0FEC"/>
    <w:rsid w:val="7AEE11F4"/>
    <w:rsid w:val="7B15611A"/>
    <w:rsid w:val="7B172A5B"/>
    <w:rsid w:val="7B28202F"/>
    <w:rsid w:val="7B472F0F"/>
    <w:rsid w:val="7B9057C4"/>
    <w:rsid w:val="7B950B02"/>
    <w:rsid w:val="7BC83E5A"/>
    <w:rsid w:val="7C3A6597"/>
    <w:rsid w:val="7C5B5037"/>
    <w:rsid w:val="7C5D571C"/>
    <w:rsid w:val="7C685F4B"/>
    <w:rsid w:val="7CA60557"/>
    <w:rsid w:val="7CC74B8B"/>
    <w:rsid w:val="7CC86FA1"/>
    <w:rsid w:val="7CCA0D84"/>
    <w:rsid w:val="7CED10FA"/>
    <w:rsid w:val="7D1F767D"/>
    <w:rsid w:val="7D2B4E2F"/>
    <w:rsid w:val="7D80658F"/>
    <w:rsid w:val="7D831B37"/>
    <w:rsid w:val="7D873408"/>
    <w:rsid w:val="7D902913"/>
    <w:rsid w:val="7D910439"/>
    <w:rsid w:val="7D985A54"/>
    <w:rsid w:val="7DB853F1"/>
    <w:rsid w:val="7DE57B2C"/>
    <w:rsid w:val="7DEA5AA8"/>
    <w:rsid w:val="7DF1514B"/>
    <w:rsid w:val="7E111872"/>
    <w:rsid w:val="7E1919A2"/>
    <w:rsid w:val="7E1B4A7A"/>
    <w:rsid w:val="7E245DE3"/>
    <w:rsid w:val="7E5548C3"/>
    <w:rsid w:val="7E5E0214"/>
    <w:rsid w:val="7E7A0ECD"/>
    <w:rsid w:val="7E8F32F7"/>
    <w:rsid w:val="7EC32BD7"/>
    <w:rsid w:val="7EE82F79"/>
    <w:rsid w:val="7F0F7892"/>
    <w:rsid w:val="7F177F1F"/>
    <w:rsid w:val="7F482DA4"/>
    <w:rsid w:val="7F685867"/>
    <w:rsid w:val="7F6A08EC"/>
    <w:rsid w:val="7FB4040F"/>
    <w:rsid w:val="7FB64187"/>
    <w:rsid w:val="7FBE6CE1"/>
    <w:rsid w:val="7FCE7A1E"/>
    <w:rsid w:val="7FFE497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qFormat="1" w:unhideWhenUsed="0" w:uiPriority="0" w:semiHidden="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iPriority="0" w:name="Salutation"/>
    <w:lsdException w:qFormat="1" w:unhideWhenUsed="0" w:uiPriority="0" w:semiHidden="0" w:name="Date"/>
    <w:lsdException w:uiPriority="0" w:name="Body Text First Indent"/>
    <w:lsdException w:qFormat="1" w:unhideWhenUsed="0" w:uiPriority="0"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numPr>
        <w:ilvl w:val="3"/>
        <w:numId w:val="1"/>
      </w:numPr>
      <w:tabs>
        <w:tab w:val="left" w:pos="720"/>
      </w:tabs>
      <w:spacing w:line="300" w:lineRule="auto"/>
      <w:outlineLvl w:val="0"/>
    </w:pPr>
    <w:rPr>
      <w:b/>
      <w:bCs/>
      <w:sz w:val="24"/>
    </w:rPr>
  </w:style>
  <w:style w:type="paragraph" w:styleId="3">
    <w:name w:val="heading 2"/>
    <w:basedOn w:val="1"/>
    <w:next w:val="1"/>
    <w:autoRedefine/>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autoRedefine/>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7">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tabs>
        <w:tab w:val="left" w:pos="750"/>
      </w:tabs>
      <w:spacing w:beforeLines="50" w:line="300" w:lineRule="auto"/>
      <w:ind w:firstLine="200" w:firstLineChars="200"/>
    </w:pPr>
    <w:rPr>
      <w:rFonts w:ascii="宋体"/>
      <w:szCs w:val="20"/>
    </w:rPr>
  </w:style>
  <w:style w:type="paragraph" w:styleId="6">
    <w:name w:val="Document Map"/>
    <w:basedOn w:val="1"/>
    <w:next w:val="7"/>
    <w:autoRedefine/>
    <w:qFormat/>
    <w:uiPriority w:val="0"/>
    <w:pPr>
      <w:shd w:val="clear" w:color="auto" w:fill="000080"/>
    </w:pPr>
  </w:style>
  <w:style w:type="paragraph" w:styleId="7">
    <w:name w:val="Title"/>
    <w:basedOn w:val="1"/>
    <w:next w:val="1"/>
    <w:autoRedefine/>
    <w:qFormat/>
    <w:uiPriority w:val="0"/>
    <w:pPr>
      <w:adjustRightInd w:val="0"/>
      <w:spacing w:line="360" w:lineRule="atLeast"/>
      <w:jc w:val="center"/>
      <w:textAlignment w:val="baseline"/>
      <w:outlineLvl w:val="0"/>
    </w:pPr>
    <w:rPr>
      <w:rFonts w:ascii="Arial" w:hAnsi="Arial" w:cs="Arial"/>
      <w:b/>
      <w:bCs/>
      <w:kern w:val="0"/>
      <w:sz w:val="32"/>
      <w:szCs w:val="32"/>
    </w:rPr>
  </w:style>
  <w:style w:type="paragraph" w:styleId="8">
    <w:name w:val="annotation text"/>
    <w:basedOn w:val="1"/>
    <w:autoRedefine/>
    <w:qFormat/>
    <w:uiPriority w:val="0"/>
    <w:pPr>
      <w:jc w:val="left"/>
    </w:pPr>
    <w:rPr>
      <w:sz w:val="28"/>
      <w:szCs w:val="20"/>
    </w:rPr>
  </w:style>
  <w:style w:type="paragraph" w:styleId="9">
    <w:name w:val="index 6"/>
    <w:basedOn w:val="1"/>
    <w:next w:val="1"/>
    <w:autoRedefine/>
    <w:qFormat/>
    <w:uiPriority w:val="0"/>
    <w:pPr>
      <w:spacing w:line="538" w:lineRule="atLeast"/>
      <w:ind w:left="2100" w:firstLine="623"/>
      <w:textAlignment w:val="baseline"/>
    </w:pPr>
    <w:rPr>
      <w:rFonts w:eastAsia="仿宋_GB2312"/>
      <w:color w:val="000000"/>
      <w:sz w:val="31"/>
      <w:u w:color="000000"/>
      <w:shd w:val="clear" w:color="auto" w:fill="CCFFCC"/>
    </w:rPr>
  </w:style>
  <w:style w:type="paragraph" w:styleId="10">
    <w:name w:val="Body Text"/>
    <w:basedOn w:val="1"/>
    <w:next w:val="1"/>
    <w:autoRedefine/>
    <w:qFormat/>
    <w:uiPriority w:val="0"/>
    <w:rPr>
      <w:rFonts w:ascii="金山简黑体" w:hAnsi="金山简黑体" w:eastAsia="金山简黑体"/>
      <w:b/>
      <w:spacing w:val="-8"/>
      <w:sz w:val="44"/>
      <w:szCs w:val="20"/>
    </w:rPr>
  </w:style>
  <w:style w:type="paragraph" w:styleId="11">
    <w:name w:val="Body Text Indent"/>
    <w:basedOn w:val="1"/>
    <w:autoRedefine/>
    <w:qFormat/>
    <w:uiPriority w:val="0"/>
    <w:pPr>
      <w:spacing w:line="300" w:lineRule="auto"/>
      <w:ind w:left="840"/>
    </w:pPr>
    <w:rPr>
      <w:sz w:val="24"/>
    </w:rPr>
  </w:style>
  <w:style w:type="paragraph" w:styleId="12">
    <w:name w:val="toc 5"/>
    <w:basedOn w:val="1"/>
    <w:next w:val="1"/>
    <w:autoRedefine/>
    <w:qFormat/>
    <w:uiPriority w:val="0"/>
    <w:pPr>
      <w:ind w:left="840"/>
      <w:jc w:val="left"/>
    </w:pPr>
    <w:rPr>
      <w:sz w:val="18"/>
      <w:szCs w:val="18"/>
    </w:rPr>
  </w:style>
  <w:style w:type="paragraph" w:styleId="13">
    <w:name w:val="toc 3"/>
    <w:basedOn w:val="1"/>
    <w:next w:val="1"/>
    <w:autoRedefine/>
    <w:qFormat/>
    <w:uiPriority w:val="39"/>
    <w:pPr>
      <w:ind w:left="840" w:leftChars="400"/>
    </w:pPr>
  </w:style>
  <w:style w:type="paragraph" w:styleId="14">
    <w:name w:val="Plain Text"/>
    <w:basedOn w:val="1"/>
    <w:next w:val="1"/>
    <w:autoRedefine/>
    <w:qFormat/>
    <w:uiPriority w:val="0"/>
    <w:rPr>
      <w:rFonts w:ascii="宋体"/>
    </w:rPr>
  </w:style>
  <w:style w:type="paragraph" w:styleId="15">
    <w:name w:val="Date"/>
    <w:basedOn w:val="1"/>
    <w:next w:val="1"/>
    <w:link w:val="34"/>
    <w:autoRedefine/>
    <w:qFormat/>
    <w:uiPriority w:val="0"/>
    <w:pPr>
      <w:ind w:left="100" w:leftChars="2500"/>
    </w:pPr>
  </w:style>
  <w:style w:type="paragraph" w:styleId="16">
    <w:name w:val="Balloon Text"/>
    <w:basedOn w:val="1"/>
    <w:link w:val="35"/>
    <w:autoRedefine/>
    <w:qFormat/>
    <w:uiPriority w:val="0"/>
    <w:rPr>
      <w:sz w:val="18"/>
      <w:szCs w:val="18"/>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header"/>
    <w:basedOn w:val="1"/>
    <w:autoRedefine/>
    <w:qFormat/>
    <w:uiPriority w:val="0"/>
    <w:pPr>
      <w:tabs>
        <w:tab w:val="center" w:pos="4153"/>
        <w:tab w:val="right" w:pos="8306"/>
      </w:tabs>
      <w:snapToGrid w:val="0"/>
      <w:jc w:val="center"/>
    </w:pPr>
    <w:rPr>
      <w:sz w:val="18"/>
    </w:rPr>
  </w:style>
  <w:style w:type="paragraph" w:styleId="19">
    <w:name w:val="toc 1"/>
    <w:basedOn w:val="1"/>
    <w:next w:val="1"/>
    <w:autoRedefine/>
    <w:qFormat/>
    <w:uiPriority w:val="39"/>
    <w:pPr>
      <w:adjustRightInd w:val="0"/>
      <w:spacing w:line="360" w:lineRule="atLeast"/>
      <w:jc w:val="left"/>
      <w:textAlignment w:val="baseline"/>
    </w:pPr>
    <w:rPr>
      <w:kern w:val="0"/>
      <w:sz w:val="24"/>
    </w:rPr>
  </w:style>
  <w:style w:type="paragraph" w:styleId="20">
    <w:name w:val="Subtitle"/>
    <w:basedOn w:val="1"/>
    <w:next w:val="1"/>
    <w:autoRedefine/>
    <w:qFormat/>
    <w:uiPriority w:val="11"/>
    <w:pPr>
      <w:spacing w:before="240" w:after="60" w:line="312" w:lineRule="auto"/>
      <w:jc w:val="center"/>
      <w:outlineLvl w:val="1"/>
    </w:pPr>
    <w:rPr>
      <w:rFonts w:ascii="Cambria" w:hAnsi="Cambria"/>
      <w:b/>
      <w:bCs/>
      <w:kern w:val="28"/>
      <w:sz w:val="32"/>
      <w:szCs w:val="32"/>
    </w:rPr>
  </w:style>
  <w:style w:type="paragraph" w:styleId="21">
    <w:name w:val="toc 2"/>
    <w:basedOn w:val="1"/>
    <w:next w:val="1"/>
    <w:autoRedefine/>
    <w:qFormat/>
    <w:uiPriority w:val="39"/>
    <w:pPr>
      <w:adjustRightInd w:val="0"/>
      <w:spacing w:line="360" w:lineRule="atLeast"/>
      <w:ind w:left="420" w:leftChars="200"/>
      <w:jc w:val="left"/>
      <w:textAlignment w:val="baseline"/>
    </w:pPr>
    <w:rPr>
      <w:kern w:val="0"/>
      <w:sz w:val="24"/>
    </w:rPr>
  </w:style>
  <w:style w:type="paragraph" w:styleId="22">
    <w:name w:val="Body Text 2"/>
    <w:basedOn w:val="1"/>
    <w:autoRedefine/>
    <w:qFormat/>
    <w:uiPriority w:val="0"/>
    <w:pPr>
      <w:spacing w:after="120" w:line="480" w:lineRule="auto"/>
    </w:pPr>
  </w:style>
  <w:style w:type="paragraph" w:styleId="23">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paragraph" w:styleId="24">
    <w:name w:val="Body Text First Indent 2"/>
    <w:basedOn w:val="11"/>
    <w:next w:val="9"/>
    <w:autoRedefine/>
    <w:qFormat/>
    <w:uiPriority w:val="0"/>
    <w:pPr>
      <w:ind w:firstLine="420"/>
    </w:pPr>
  </w:style>
  <w:style w:type="table" w:styleId="26">
    <w:name w:val="Table Grid"/>
    <w:basedOn w:val="25"/>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22"/>
    <w:rPr>
      <w:b/>
      <w:bCs/>
    </w:rPr>
  </w:style>
  <w:style w:type="character" w:styleId="29">
    <w:name w:val="page number"/>
    <w:basedOn w:val="27"/>
    <w:autoRedefine/>
    <w:qFormat/>
    <w:uiPriority w:val="0"/>
  </w:style>
  <w:style w:type="character" w:styleId="30">
    <w:name w:val="FollowedHyperlink"/>
    <w:basedOn w:val="27"/>
    <w:autoRedefine/>
    <w:qFormat/>
    <w:uiPriority w:val="0"/>
    <w:rPr>
      <w:rFonts w:hint="eastAsia" w:ascii="宋体" w:hAnsi="宋体" w:eastAsia="宋体" w:cs="宋体"/>
      <w:color w:val="0033CC"/>
      <w:sz w:val="18"/>
      <w:szCs w:val="18"/>
      <w:u w:val="none"/>
    </w:rPr>
  </w:style>
  <w:style w:type="character" w:styleId="31">
    <w:name w:val="Hyperlink"/>
    <w:basedOn w:val="27"/>
    <w:autoRedefine/>
    <w:qFormat/>
    <w:uiPriority w:val="99"/>
    <w:rPr>
      <w:rFonts w:hint="eastAsia" w:ascii="宋体" w:hAnsi="宋体" w:eastAsia="宋体" w:cs="宋体"/>
      <w:color w:val="0033CC"/>
      <w:sz w:val="18"/>
      <w:szCs w:val="18"/>
      <w:u w:val="none"/>
    </w:rPr>
  </w:style>
  <w:style w:type="character" w:styleId="32">
    <w:name w:val="annotation reference"/>
    <w:basedOn w:val="27"/>
    <w:semiHidden/>
    <w:unhideWhenUsed/>
    <w:qFormat/>
    <w:uiPriority w:val="0"/>
    <w:rPr>
      <w:sz w:val="21"/>
      <w:szCs w:val="21"/>
    </w:rPr>
  </w:style>
  <w:style w:type="paragraph" w:customStyle="1" w:styleId="33">
    <w:name w:val="Default"/>
    <w:basedOn w:val="7"/>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4">
    <w:name w:val="日期 字符"/>
    <w:basedOn w:val="27"/>
    <w:link w:val="15"/>
    <w:autoRedefine/>
    <w:qFormat/>
    <w:uiPriority w:val="0"/>
    <w:rPr>
      <w:kern w:val="2"/>
      <w:sz w:val="21"/>
      <w:szCs w:val="22"/>
    </w:rPr>
  </w:style>
  <w:style w:type="character" w:customStyle="1" w:styleId="35">
    <w:name w:val="批注框文本 字符"/>
    <w:basedOn w:val="27"/>
    <w:link w:val="16"/>
    <w:autoRedefine/>
    <w:qFormat/>
    <w:uiPriority w:val="0"/>
    <w:rPr>
      <w:rFonts w:ascii="Times New Roman" w:hAnsi="Times New Roman" w:eastAsia="宋体" w:cs="Times New Roman"/>
      <w:kern w:val="2"/>
      <w:sz w:val="18"/>
      <w:szCs w:val="18"/>
    </w:rPr>
  </w:style>
  <w:style w:type="paragraph" w:customStyle="1" w:styleId="36">
    <w:name w:val="Char Char Char2 Char Char Char Char Char Char"/>
    <w:basedOn w:val="1"/>
    <w:autoRedefine/>
    <w:qFormat/>
    <w:uiPriority w:val="0"/>
    <w:pPr>
      <w:snapToGrid w:val="0"/>
      <w:jc w:val="center"/>
    </w:pPr>
  </w:style>
  <w:style w:type="paragraph" w:customStyle="1" w:styleId="37">
    <w:name w:val="4表中文字"/>
    <w:basedOn w:val="1"/>
    <w:autoRedefine/>
    <w:qFormat/>
    <w:uiPriority w:val="0"/>
    <w:pPr>
      <w:tabs>
        <w:tab w:val="left" w:pos="6195"/>
      </w:tabs>
      <w:autoSpaceDE w:val="0"/>
      <w:autoSpaceDN w:val="0"/>
      <w:adjustRightInd w:val="0"/>
      <w:jc w:val="center"/>
    </w:pPr>
    <w:rPr>
      <w:rFonts w:eastAsia="仿宋_GB2312"/>
    </w:rPr>
  </w:style>
  <w:style w:type="paragraph" w:customStyle="1" w:styleId="38">
    <w:name w:val="_Style 2"/>
    <w:basedOn w:val="1"/>
    <w:autoRedefine/>
    <w:qFormat/>
    <w:uiPriority w:val="34"/>
    <w:pPr>
      <w:ind w:firstLine="420" w:firstLineChars="200"/>
    </w:pPr>
    <w:rPr>
      <w:rFonts w:ascii="Calibri" w:hAnsi="Calibri"/>
    </w:rPr>
  </w:style>
  <w:style w:type="paragraph" w:customStyle="1" w:styleId="39">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40">
    <w:name w:val="节标题"/>
    <w:basedOn w:val="1"/>
    <w:autoRedefine/>
    <w:qFormat/>
    <w:uiPriority w:val="0"/>
    <w:pPr>
      <w:widowControl/>
      <w:spacing w:line="289" w:lineRule="atLeast"/>
      <w:jc w:val="center"/>
      <w:textAlignment w:val="baseline"/>
    </w:pPr>
    <w:rPr>
      <w:color w:val="000000"/>
      <w:kern w:val="0"/>
      <w:sz w:val="28"/>
      <w:szCs w:val="20"/>
      <w:u w:color="000000"/>
    </w:rPr>
  </w:style>
  <w:style w:type="paragraph" w:customStyle="1" w:styleId="41">
    <w:name w:val="列出段落1"/>
    <w:basedOn w:val="1"/>
    <w:autoRedefine/>
    <w:unhideWhenUsed/>
    <w:qFormat/>
    <w:uiPriority w:val="34"/>
    <w:pPr>
      <w:ind w:firstLine="420" w:firstLineChars="200"/>
    </w:pPr>
  </w:style>
  <w:style w:type="paragraph" w:customStyle="1" w:styleId="42">
    <w:name w:val="列出段落11"/>
    <w:basedOn w:val="1"/>
    <w:autoRedefine/>
    <w:qFormat/>
    <w:uiPriority w:val="34"/>
    <w:pPr>
      <w:ind w:firstLine="420" w:firstLineChars="200"/>
    </w:pPr>
    <w:rPr>
      <w:szCs w:val="24"/>
    </w:rPr>
  </w:style>
  <w:style w:type="paragraph" w:customStyle="1" w:styleId="43">
    <w:name w:val="img"/>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4">
    <w:name w:val="正文 A"/>
    <w:autoRedefine/>
    <w:qFormat/>
    <w:uiPriority w:val="0"/>
    <w:pPr>
      <w:framePr w:wrap="around" w:vAnchor="margin" w:hAnchor="text" w:y="1"/>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45">
    <w:name w:val="表格样式2"/>
    <w:basedOn w:val="1"/>
    <w:autoRedefine/>
    <w:qFormat/>
    <w:uiPriority w:val="0"/>
    <w:pPr>
      <w:widowControl/>
      <w:spacing w:line="276" w:lineRule="auto"/>
      <w:jc w:val="left"/>
    </w:pPr>
    <w:rPr>
      <w:rFonts w:ascii="仿宋_GB2312" w:hAnsi="宋体" w:eastAsia="仿宋_GB2312"/>
      <w:kern w:val="0"/>
      <w:sz w:val="18"/>
      <w:szCs w:val="18"/>
      <w:lang w:bidi="en-US"/>
    </w:rPr>
  </w:style>
  <w:style w:type="paragraph" w:customStyle="1" w:styleId="46">
    <w:name w:val="列表段落1"/>
    <w:basedOn w:val="1"/>
    <w:autoRedefine/>
    <w:qFormat/>
    <w:uiPriority w:val="34"/>
    <w:pPr>
      <w:ind w:firstLine="420" w:firstLineChars="200"/>
    </w:pPr>
    <w:rPr>
      <w:rFonts w:ascii="Calibri" w:hAnsi="Calibri"/>
    </w:rPr>
  </w:style>
  <w:style w:type="paragraph" w:customStyle="1" w:styleId="47">
    <w:name w:val="TOC 标题1"/>
    <w:basedOn w:val="2"/>
    <w:next w:val="1"/>
    <w:autoRedefine/>
    <w:unhideWhenUsed/>
    <w:qFormat/>
    <w:uiPriority w:val="39"/>
    <w:pPr>
      <w:tabs>
        <w:tab w:val="clear" w:pos="720"/>
      </w:tabs>
      <w:spacing w:before="240" w:line="259" w:lineRule="auto"/>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48">
    <w:name w:val="List Paragraph1"/>
    <w:basedOn w:val="1"/>
    <w:autoRedefine/>
    <w:qFormat/>
    <w:uiPriority w:val="99"/>
    <w:pPr>
      <w:ind w:firstLine="420" w:firstLineChars="200"/>
    </w:pPr>
  </w:style>
  <w:style w:type="paragraph" w:customStyle="1" w:styleId="49">
    <w:name w:val="横表格"/>
    <w:basedOn w:val="1"/>
    <w:autoRedefine/>
    <w:qFormat/>
    <w:uiPriority w:val="0"/>
    <w:pPr>
      <w:tabs>
        <w:tab w:val="left" w:pos="1200"/>
      </w:tabs>
      <w:spacing w:line="360" w:lineRule="exact"/>
      <w:ind w:right="-41" w:rightChars="-41"/>
      <w:jc w:val="center"/>
    </w:pPr>
    <w:rPr>
      <w:rFonts w:ascii="宋体"/>
      <w:szCs w:val="20"/>
    </w:rPr>
  </w:style>
  <w:style w:type="paragraph" w:customStyle="1" w:styleId="50">
    <w:name w:val="表格"/>
    <w:basedOn w:val="1"/>
    <w:autoRedefine/>
    <w:qFormat/>
    <w:uiPriority w:val="0"/>
    <w:pPr>
      <w:tabs>
        <w:tab w:val="left" w:pos="1200"/>
      </w:tabs>
      <w:spacing w:line="500" w:lineRule="exact"/>
      <w:jc w:val="center"/>
    </w:pPr>
    <w:rPr>
      <w:rFonts w:ascii="宋体"/>
      <w:sz w:val="24"/>
      <w:szCs w:val="18"/>
    </w:rPr>
  </w:style>
  <w:style w:type="paragraph" w:customStyle="1" w:styleId="51">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character" w:customStyle="1" w:styleId="52">
    <w:name w:val="qxdate"/>
    <w:basedOn w:val="27"/>
    <w:autoRedefine/>
    <w:qFormat/>
    <w:uiPriority w:val="0"/>
    <w:rPr>
      <w:color w:val="333333"/>
      <w:sz w:val="12"/>
      <w:szCs w:val="12"/>
    </w:rPr>
  </w:style>
  <w:style w:type="character" w:customStyle="1" w:styleId="53">
    <w:name w:val="cfdate"/>
    <w:basedOn w:val="27"/>
    <w:autoRedefine/>
    <w:qFormat/>
    <w:uiPriority w:val="0"/>
    <w:rPr>
      <w:color w:val="333333"/>
      <w:sz w:val="12"/>
      <w:szCs w:val="12"/>
    </w:rPr>
  </w:style>
  <w:style w:type="character" w:customStyle="1" w:styleId="54">
    <w:name w:val="next"/>
    <w:basedOn w:val="27"/>
    <w:autoRedefine/>
    <w:qFormat/>
    <w:uiPriority w:val="0"/>
    <w:rPr>
      <w:rFonts w:ascii="微软雅黑" w:hAnsi="微软雅黑" w:eastAsia="微软雅黑" w:cs="微软雅黑"/>
      <w:sz w:val="14"/>
      <w:szCs w:val="14"/>
    </w:rPr>
  </w:style>
  <w:style w:type="character" w:customStyle="1" w:styleId="55">
    <w:name w:val="redfilenumber"/>
    <w:basedOn w:val="27"/>
    <w:autoRedefine/>
    <w:qFormat/>
    <w:uiPriority w:val="0"/>
    <w:rPr>
      <w:color w:val="BA2636"/>
      <w:sz w:val="12"/>
      <w:szCs w:val="12"/>
    </w:rPr>
  </w:style>
  <w:style w:type="character" w:customStyle="1" w:styleId="56">
    <w:name w:val="gjfg"/>
    <w:basedOn w:val="27"/>
    <w:autoRedefine/>
    <w:qFormat/>
    <w:uiPriority w:val="0"/>
  </w:style>
  <w:style w:type="character" w:customStyle="1" w:styleId="57">
    <w:name w:val="redfilefwwh"/>
    <w:basedOn w:val="27"/>
    <w:autoRedefine/>
    <w:qFormat/>
    <w:uiPriority w:val="0"/>
    <w:rPr>
      <w:color w:val="BA2636"/>
      <w:sz w:val="12"/>
      <w:szCs w:val="12"/>
    </w:rPr>
  </w:style>
  <w:style w:type="character" w:customStyle="1" w:styleId="58">
    <w:name w:val="displayarti"/>
    <w:basedOn w:val="27"/>
    <w:autoRedefine/>
    <w:qFormat/>
    <w:uiPriority w:val="0"/>
    <w:rPr>
      <w:color w:val="FFFFFF"/>
      <w:shd w:val="clear" w:color="auto" w:fill="A00000"/>
    </w:rPr>
  </w:style>
  <w:style w:type="character" w:customStyle="1" w:styleId="59">
    <w:name w:val="prev"/>
    <w:basedOn w:val="27"/>
    <w:autoRedefine/>
    <w:qFormat/>
    <w:uiPriority w:val="0"/>
    <w:rPr>
      <w:rFonts w:hint="eastAsia" w:ascii="微软雅黑" w:hAnsi="微软雅黑" w:eastAsia="微软雅黑" w:cs="微软雅黑"/>
      <w:sz w:val="14"/>
      <w:szCs w:val="14"/>
    </w:rPr>
  </w:style>
  <w:style w:type="character" w:customStyle="1" w:styleId="60">
    <w:name w:val="prev1"/>
    <w:basedOn w:val="27"/>
    <w:autoRedefine/>
    <w:qFormat/>
    <w:uiPriority w:val="0"/>
    <w:rPr>
      <w:color w:val="888888"/>
    </w:rPr>
  </w:style>
  <w:style w:type="character" w:customStyle="1" w:styleId="61">
    <w:name w:val="next1"/>
    <w:basedOn w:val="27"/>
    <w:autoRedefine/>
    <w:qFormat/>
    <w:uiPriority w:val="0"/>
    <w:rPr>
      <w:color w:val="888888"/>
    </w:rPr>
  </w:style>
  <w:style w:type="paragraph" w:customStyle="1" w:styleId="62">
    <w:name w:val="TOC 标题2"/>
    <w:basedOn w:val="2"/>
    <w:next w:val="1"/>
    <w:autoRedefine/>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63">
    <w:name w:val="列表段落2"/>
    <w:basedOn w:val="1"/>
    <w:autoRedefine/>
    <w:qFormat/>
    <w:uiPriority w:val="0"/>
    <w:pPr>
      <w:ind w:firstLine="420" w:firstLineChars="200"/>
    </w:pPr>
    <w:rPr>
      <w:rFonts w:ascii="Calibri" w:hAnsi="Calibri" w:cs="Calibri"/>
      <w:szCs w:val="21"/>
    </w:rPr>
  </w:style>
  <w:style w:type="paragraph" w:styleId="64">
    <w:name w:val="List Paragraph"/>
    <w:basedOn w:val="1"/>
    <w:autoRedefine/>
    <w:qFormat/>
    <w:uiPriority w:val="99"/>
    <w:pPr>
      <w:ind w:firstLine="420" w:firstLineChars="200"/>
    </w:pPr>
  </w:style>
  <w:style w:type="character" w:customStyle="1" w:styleId="65">
    <w:name w:val="font21"/>
    <w:basedOn w:val="27"/>
    <w:autoRedefine/>
    <w:qFormat/>
    <w:uiPriority w:val="0"/>
    <w:rPr>
      <w:rFonts w:ascii="Wingdings" w:hAnsi="Wingdings" w:cs="Wingdings"/>
      <w:color w:val="000000"/>
      <w:sz w:val="18"/>
      <w:szCs w:val="18"/>
      <w:u w:val="none"/>
    </w:rPr>
  </w:style>
  <w:style w:type="character" w:customStyle="1" w:styleId="66">
    <w:name w:val="font81"/>
    <w:basedOn w:val="27"/>
    <w:autoRedefine/>
    <w:qFormat/>
    <w:uiPriority w:val="0"/>
    <w:rPr>
      <w:rFonts w:ascii="Calibri" w:hAnsi="Calibri" w:cs="Calibri"/>
      <w:color w:val="000000"/>
      <w:sz w:val="18"/>
      <w:szCs w:val="18"/>
      <w:u w:val="none"/>
    </w:rPr>
  </w:style>
  <w:style w:type="character" w:customStyle="1" w:styleId="67">
    <w:name w:val="font01"/>
    <w:basedOn w:val="27"/>
    <w:autoRedefine/>
    <w:qFormat/>
    <w:uiPriority w:val="0"/>
    <w:rPr>
      <w:rFonts w:hint="eastAsia" w:ascii="宋体" w:hAnsi="宋体" w:eastAsia="宋体" w:cs="宋体"/>
      <w:color w:val="000000"/>
      <w:sz w:val="18"/>
      <w:szCs w:val="18"/>
      <w:u w:val="none"/>
    </w:rPr>
  </w:style>
  <w:style w:type="paragraph" w:customStyle="1" w:styleId="68">
    <w:name w:val="Table Paragraph"/>
    <w:basedOn w:val="1"/>
    <w:autoRedefine/>
    <w:qFormat/>
    <w:uiPriority w:val="1"/>
    <w:rPr>
      <w:rFonts w:ascii="宋体" w:hAnsi="宋体" w:cs="宋体"/>
      <w:szCs w:val="24"/>
      <w:lang w:val="zh-CN" w:bidi="zh-CN"/>
    </w:rPr>
  </w:style>
  <w:style w:type="table" w:customStyle="1" w:styleId="69">
    <w:name w:val="Table Normal"/>
    <w:autoRedefine/>
    <w:semiHidden/>
    <w:unhideWhenUsed/>
    <w:qFormat/>
    <w:uiPriority w:val="2"/>
    <w:pPr>
      <w:widowControl w:val="0"/>
    </w:pPr>
    <w:rPr>
      <w:kern w:val="0"/>
      <w:sz w:val="22"/>
      <w:lang w:eastAsia="en-US"/>
    </w:rPr>
    <w:tblPr>
      <w:tblCellMar>
        <w:top w:w="0" w:type="dxa"/>
        <w:left w:w="0" w:type="dxa"/>
        <w:bottom w:w="0" w:type="dxa"/>
        <w:right w:w="0" w:type="dxa"/>
      </w:tblCellMar>
    </w:tblPr>
  </w:style>
  <w:style w:type="character" w:customStyle="1" w:styleId="70">
    <w:name w:val="font11"/>
    <w:basedOn w:val="27"/>
    <w:autoRedefine/>
    <w:qFormat/>
    <w:uiPriority w:val="0"/>
    <w:rPr>
      <w:rFonts w:hint="default" w:ascii="Times New Roman" w:hAnsi="Times New Roman" w:cs="Times New Roman"/>
      <w:color w:val="000000"/>
      <w:sz w:val="22"/>
      <w:szCs w:val="22"/>
      <w:u w:val="none"/>
    </w:rPr>
  </w:style>
  <w:style w:type="character" w:customStyle="1" w:styleId="71">
    <w:name w:val="font31"/>
    <w:basedOn w:val="27"/>
    <w:autoRedefine/>
    <w:qFormat/>
    <w:uiPriority w:val="0"/>
    <w:rPr>
      <w:rFonts w:hint="default" w:ascii="Times New Roman" w:hAnsi="Times New Roman" w:cs="Times New Roman"/>
      <w:color w:val="000000"/>
      <w:sz w:val="22"/>
      <w:szCs w:val="22"/>
      <w:u w:val="none"/>
      <w:vertAlign w:val="subscript"/>
    </w:rPr>
  </w:style>
  <w:style w:type="character" w:customStyle="1" w:styleId="72">
    <w:name w:val="font41"/>
    <w:basedOn w:val="27"/>
    <w:autoRedefine/>
    <w:qFormat/>
    <w:uiPriority w:val="0"/>
    <w:rPr>
      <w:rFonts w:hint="eastAsia" w:ascii="宋体" w:hAnsi="宋体" w:eastAsia="宋体" w:cs="宋体"/>
      <w:color w:val="000000"/>
      <w:sz w:val="24"/>
      <w:szCs w:val="24"/>
      <w:u w:val="none"/>
    </w:rPr>
  </w:style>
  <w:style w:type="character" w:customStyle="1" w:styleId="73">
    <w:name w:val="font51"/>
    <w:basedOn w:val="27"/>
    <w:autoRedefine/>
    <w:qFormat/>
    <w:uiPriority w:val="0"/>
    <w:rPr>
      <w:rFonts w:ascii="Tahoma" w:hAnsi="Tahoma" w:eastAsia="Tahoma" w:cs="Tahoma"/>
      <w:color w:val="000000"/>
      <w:sz w:val="20"/>
      <w:szCs w:val="20"/>
      <w:u w:val="none"/>
    </w:rPr>
  </w:style>
  <w:style w:type="character" w:customStyle="1" w:styleId="74">
    <w:name w:val="18"/>
    <w:basedOn w:val="27"/>
    <w:autoRedefine/>
    <w:qFormat/>
    <w:uiPriority w:val="0"/>
    <w:rPr>
      <w:rFonts w:hint="eastAsia" w:ascii="宋体" w:hAnsi="宋体" w:eastAsia="宋体" w:cs="宋体"/>
      <w:color w:val="000000"/>
      <w:sz w:val="24"/>
      <w:szCs w:val="24"/>
    </w:rPr>
  </w:style>
  <w:style w:type="paragraph" w:customStyle="1" w:styleId="75">
    <w:name w:val="02-标书-标题2"/>
    <w:basedOn w:val="1"/>
    <w:qFormat/>
    <w:uiPriority w:val="0"/>
    <w:pPr>
      <w:widowControl/>
      <w:adjustRightInd w:val="0"/>
      <w:ind w:firstLine="200" w:firstLineChars="200"/>
      <w:jc w:val="left"/>
    </w:pPr>
    <w:rPr>
      <w:rFonts w:ascii="楷体（打印机字体）" w:hAnsi="楷体（打印机字体）" w:eastAsia="宋体" w:cs="Times New Roman"/>
      <w:kern w:val="0"/>
      <w:sz w:val="24"/>
      <w:szCs w:val="28"/>
      <w:lang w:bidi="en-US"/>
    </w:rPr>
  </w:style>
  <w:style w:type="paragraph" w:customStyle="1" w:styleId="76">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BA4881-4898-4FEF-B08D-F8C058E1F41B}">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88</Pages>
  <Words>2529</Words>
  <Characters>2987</Characters>
  <Lines>302</Lines>
  <Paragraphs>85</Paragraphs>
  <TotalTime>72</TotalTime>
  <ScaleCrop>false</ScaleCrop>
  <LinksUpToDate>false</LinksUpToDate>
  <CharactersWithSpaces>3130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2021-01-26T12:16:00Z</dcterms:created>
  <dc:creator>Dell</dc:creator>
  <cp:lastModifiedBy>小狮子</cp:lastModifiedBy>
  <cp:lastPrinted>2021-12-02T07:33:00Z</cp:lastPrinted>
  <dcterms:modified xsi:type="dcterms:W3CDTF">2025-06-09T10:29:35Z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1949A570EE724EB491CF2E645B1B3F1D</vt:lpwstr>
  </property>
  <property fmtid="{D5CDD505-2E9C-101B-9397-08002B2CF9AE}" pid="4" name="KSOTemplateDocerSaveRecord">
    <vt:lpwstr>eyJoZGlkIjoiNjQxN2YzYjY2YTgxYzBkOGIyNzc2M2JiMzIzZmJjMGEiLCJ1c2VySWQiOiIxMzE1OTE4MTk4In0=</vt:lpwstr>
  </property>
</Properties>
</file>