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jc w:val="center"/>
        <w:outlineLvl w:val="1"/>
        <w:rPr>
          <w:rFonts w:hint="default"/>
          <w:color w:val="000000" w:themeColor="text1"/>
          <w14:textFill>
            <w14:solidFill>
              <w14:schemeClr w14:val="tx1"/>
            </w14:solidFill>
          </w14:textFill>
        </w:rPr>
      </w:pPr>
      <w:r>
        <w:rPr>
          <w:b/>
          <w:color w:val="000000" w:themeColor="text1"/>
          <w:sz w:val="36"/>
          <w14:textFill>
            <w14:solidFill>
              <w14:schemeClr w14:val="tx1"/>
            </w14:solidFill>
          </w14:textFill>
        </w:rPr>
        <w:t>第二章 采购需求</w:t>
      </w:r>
    </w:p>
    <w:p>
      <w:pPr>
        <w:pStyle w:val="5"/>
        <w:shd w:val="clear"/>
        <w:outlineLvl w:val="2"/>
        <w:rPr>
          <w:rFonts w:hint="default"/>
          <w:color w:val="000000" w:themeColor="text1"/>
          <w14:textFill>
            <w14:solidFill>
              <w14:schemeClr w14:val="tx1"/>
            </w14:solidFill>
          </w14:textFill>
        </w:rPr>
      </w:pPr>
      <w:r>
        <w:rPr>
          <w:b/>
          <w:color w:val="000000" w:themeColor="text1"/>
          <w:sz w:val="28"/>
          <w14:textFill>
            <w14:solidFill>
              <w14:schemeClr w14:val="tx1"/>
            </w14:solidFill>
          </w14:textFill>
        </w:rPr>
        <w:t>一、项目概况：</w:t>
      </w:r>
    </w:p>
    <w:p>
      <w:pPr>
        <w:shd w:val="clear"/>
        <w:spacing w:line="360" w:lineRule="auto"/>
        <w:ind w:left="422"/>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项目属性：服务类</w:t>
      </w:r>
    </w:p>
    <w:p>
      <w:pPr>
        <w:shd w:val="clear"/>
        <w:spacing w:line="360" w:lineRule="auto"/>
        <w:ind w:left="42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项目招标内容：</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1572"/>
        <w:gridCol w:w="2125"/>
        <w:gridCol w:w="3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288" w:type="dxa"/>
            <w:tcBorders>
              <w:top w:val="single" w:color="auto" w:sz="4" w:space="0"/>
              <w:left w:val="single" w:color="auto" w:sz="4" w:space="0"/>
              <w:bottom w:val="single" w:color="auto" w:sz="4" w:space="0"/>
              <w:right w:val="single" w:color="auto" w:sz="4" w:space="0"/>
            </w:tcBorders>
            <w:shd w:val="clear" w:color="auto" w:fill="FFFFFF"/>
            <w:vAlign w:val="center"/>
          </w:tcPr>
          <w:p>
            <w:pPr>
              <w:shd w:val="clear"/>
              <w:spacing w:line="360" w:lineRule="auto"/>
              <w:jc w:val="center"/>
              <w:rPr>
                <w:rFonts w:hint="eastAsia" w:ascii="宋体" w:hAnsi="宋体" w:eastAsia="宋体" w:cs="Tahoma"/>
                <w:b/>
                <w:color w:val="000000" w:themeColor="text1"/>
                <w:kern w:val="28"/>
                <w:szCs w:val="21"/>
                <w14:textFill>
                  <w14:solidFill>
                    <w14:schemeClr w14:val="tx1"/>
                  </w14:solidFill>
                </w14:textFill>
              </w:rPr>
            </w:pPr>
            <w:r>
              <w:rPr>
                <w:rFonts w:hint="eastAsia" w:ascii="宋体" w:hAnsi="宋体" w:eastAsia="宋体" w:cs="Tahoma"/>
                <w:b/>
                <w:color w:val="000000" w:themeColor="text1"/>
                <w:kern w:val="28"/>
                <w:szCs w:val="21"/>
                <w:lang w:bidi="ar"/>
                <w14:textFill>
                  <w14:solidFill>
                    <w14:schemeClr w14:val="tx1"/>
                  </w14:solidFill>
                </w14:textFill>
              </w:rPr>
              <w:t>项目内容</w:t>
            </w:r>
          </w:p>
        </w:tc>
        <w:tc>
          <w:tcPr>
            <w:tcW w:w="1572" w:type="dxa"/>
            <w:tcBorders>
              <w:top w:val="single" w:color="auto" w:sz="4" w:space="0"/>
              <w:left w:val="single" w:color="auto" w:sz="4" w:space="0"/>
              <w:bottom w:val="single" w:color="auto" w:sz="4" w:space="0"/>
              <w:right w:val="single" w:color="auto" w:sz="4" w:space="0"/>
            </w:tcBorders>
            <w:shd w:val="clear" w:color="auto" w:fill="FFFFFF"/>
            <w:vAlign w:val="center"/>
          </w:tcPr>
          <w:p>
            <w:pPr>
              <w:shd w:val="clear"/>
              <w:spacing w:line="360" w:lineRule="auto"/>
              <w:jc w:val="center"/>
              <w:rPr>
                <w:rFonts w:hint="eastAsia" w:ascii="宋体" w:hAnsi="宋体" w:eastAsia="宋体" w:cs="Tahoma"/>
                <w:b/>
                <w:color w:val="000000" w:themeColor="text1"/>
                <w:kern w:val="28"/>
                <w:szCs w:val="21"/>
                <w14:textFill>
                  <w14:solidFill>
                    <w14:schemeClr w14:val="tx1"/>
                  </w14:solidFill>
                </w14:textFill>
              </w:rPr>
            </w:pPr>
            <w:r>
              <w:rPr>
                <w:rFonts w:hint="eastAsia" w:ascii="宋体" w:hAnsi="宋体" w:eastAsia="宋体" w:cs="Tahoma"/>
                <w:b/>
                <w:color w:val="000000" w:themeColor="text1"/>
                <w:kern w:val="28"/>
                <w:szCs w:val="21"/>
                <w:lang w:bidi="ar"/>
                <w14:textFill>
                  <w14:solidFill>
                    <w14:schemeClr w14:val="tx1"/>
                  </w14:solidFill>
                </w14:textFill>
              </w:rPr>
              <w:t>采购预算</w:t>
            </w:r>
          </w:p>
        </w:tc>
        <w:tc>
          <w:tcPr>
            <w:tcW w:w="2125" w:type="dxa"/>
            <w:tcBorders>
              <w:top w:val="single" w:color="auto" w:sz="4" w:space="0"/>
              <w:left w:val="single" w:color="auto" w:sz="4" w:space="0"/>
              <w:bottom w:val="single" w:color="auto" w:sz="4" w:space="0"/>
              <w:right w:val="single" w:color="auto" w:sz="4" w:space="0"/>
            </w:tcBorders>
            <w:shd w:val="clear" w:color="auto" w:fill="FFFFFF"/>
            <w:vAlign w:val="center"/>
          </w:tcPr>
          <w:p>
            <w:pPr>
              <w:shd w:val="clear"/>
              <w:spacing w:line="360" w:lineRule="auto"/>
              <w:jc w:val="center"/>
              <w:rPr>
                <w:rFonts w:hint="eastAsia" w:ascii="宋体" w:hAnsi="宋体" w:eastAsia="宋体" w:cs="Tahoma"/>
                <w:b/>
                <w:color w:val="000000" w:themeColor="text1"/>
                <w:kern w:val="28"/>
                <w:szCs w:val="21"/>
                <w14:textFill>
                  <w14:solidFill>
                    <w14:schemeClr w14:val="tx1"/>
                  </w14:solidFill>
                </w14:textFill>
              </w:rPr>
            </w:pPr>
            <w:r>
              <w:rPr>
                <w:rFonts w:hint="eastAsia" w:ascii="宋体" w:hAnsi="宋体" w:eastAsia="宋体" w:cs="Tahoma"/>
                <w:b/>
                <w:color w:val="000000" w:themeColor="text1"/>
                <w:kern w:val="28"/>
                <w:szCs w:val="21"/>
                <w:lang w:bidi="ar"/>
                <w14:textFill>
                  <w14:solidFill>
                    <w14:schemeClr w14:val="tx1"/>
                  </w14:solidFill>
                </w14:textFill>
              </w:rPr>
              <w:t>服务期</w:t>
            </w:r>
          </w:p>
        </w:tc>
        <w:tc>
          <w:tcPr>
            <w:tcW w:w="3537" w:type="dxa"/>
            <w:tcBorders>
              <w:top w:val="single" w:color="auto" w:sz="4" w:space="0"/>
              <w:left w:val="single" w:color="auto" w:sz="4" w:space="0"/>
              <w:bottom w:val="single" w:color="auto" w:sz="4" w:space="0"/>
              <w:right w:val="single" w:color="auto" w:sz="4" w:space="0"/>
            </w:tcBorders>
            <w:shd w:val="clear" w:color="auto" w:fill="FFFFFF"/>
            <w:vAlign w:val="center"/>
          </w:tcPr>
          <w:p>
            <w:pPr>
              <w:shd w:val="clear"/>
              <w:spacing w:line="360" w:lineRule="auto"/>
              <w:jc w:val="center"/>
              <w:rPr>
                <w:rFonts w:hint="eastAsia" w:ascii="宋体" w:hAnsi="宋体" w:eastAsia="宋体" w:cs="Tahoma"/>
                <w:b/>
                <w:color w:val="000000" w:themeColor="text1"/>
                <w:kern w:val="28"/>
                <w:szCs w:val="21"/>
                <w14:textFill>
                  <w14:solidFill>
                    <w14:schemeClr w14:val="tx1"/>
                  </w14:solidFill>
                </w14:textFill>
              </w:rPr>
            </w:pPr>
            <w:r>
              <w:rPr>
                <w:rFonts w:hint="eastAsia" w:ascii="宋体" w:hAnsi="宋体" w:eastAsia="宋体" w:cs="Tahoma"/>
                <w:b/>
                <w:color w:val="000000" w:themeColor="text1"/>
                <w:kern w:val="28"/>
                <w:szCs w:val="21"/>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28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rPr>
                <w:rFonts w:hint="eastAsia" w:ascii="宋体" w:hAnsi="宋体" w:eastAsia="微软雅黑" w:cs="宋体"/>
                <w:color w:val="000000" w:themeColor="text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广州工程技术职业学院2026年度全年各校区维修改造项目</w:t>
            </w:r>
          </w:p>
        </w:tc>
        <w:tc>
          <w:tcPr>
            <w:tcW w:w="1572"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hint="eastAsia" w:ascii="宋体" w:hAnsi="宋体" w:cs="Tahoma"/>
                <w:color w:val="000000" w:themeColor="text1"/>
                <w:kern w:val="28"/>
                <w:szCs w:val="21"/>
                <w14:textFill>
                  <w14:solidFill>
                    <w14:schemeClr w14:val="tx1"/>
                  </w14:solidFill>
                </w14:textFill>
              </w:rPr>
            </w:pPr>
            <w:r>
              <w:rPr>
                <w:rFonts w:hint="eastAsia" w:ascii="宋体" w:hAnsi="宋体" w:cs="Tahoma"/>
                <w:color w:val="000000" w:themeColor="text1"/>
                <w:kern w:val="28"/>
                <w:szCs w:val="21"/>
                <w14:textFill>
                  <w14:solidFill>
                    <w14:schemeClr w14:val="tx1"/>
                  </w14:solidFill>
                </w14:textFill>
              </w:rPr>
              <w:t>人民币约</w:t>
            </w:r>
          </w:p>
          <w:p>
            <w:pPr>
              <w:shd w:val="clear"/>
              <w:spacing w:line="360" w:lineRule="auto"/>
              <w:jc w:val="center"/>
              <w:rPr>
                <w:rFonts w:hint="eastAsia" w:ascii="宋体" w:hAnsi="宋体" w:cs="Tahoma"/>
                <w:color w:val="000000" w:themeColor="text1"/>
                <w:kern w:val="28"/>
                <w:szCs w:val="21"/>
                <w14:textFill>
                  <w14:solidFill>
                    <w14:schemeClr w14:val="tx1"/>
                  </w14:solidFill>
                </w14:textFill>
              </w:rPr>
            </w:pPr>
            <w:r>
              <w:rPr>
                <w:rFonts w:hint="eastAsia" w:ascii="宋体" w:hAnsi="宋体" w:cs="Tahoma"/>
                <w:color w:val="000000" w:themeColor="text1"/>
                <w:kern w:val="28"/>
                <w:szCs w:val="21"/>
                <w14:textFill>
                  <w14:solidFill>
                    <w14:schemeClr w14:val="tx1"/>
                  </w14:solidFill>
                </w14:textFill>
              </w:rPr>
              <w:t>340.68万元/年</w:t>
            </w:r>
          </w:p>
          <w:p>
            <w:pPr>
              <w:shd w:val="clear"/>
              <w:spacing w:line="360" w:lineRule="auto"/>
              <w:jc w:val="center"/>
              <w:rPr>
                <w:rFonts w:hint="eastAsia" w:ascii="宋体" w:hAnsi="宋体" w:eastAsia="宋体" w:cs="Tahoma"/>
                <w:color w:val="000000" w:themeColor="text1"/>
                <w:kern w:val="28"/>
                <w:szCs w:val="2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shd w:val="clear" w:color="auto" w:fill="FFFFFF"/>
            <w:vAlign w:val="center"/>
          </w:tcPr>
          <w:p>
            <w:pPr>
              <w:shd w:val="clear"/>
              <w:spacing w:line="360" w:lineRule="auto"/>
              <w:jc w:val="center"/>
              <w:rPr>
                <w:rFonts w:hint="eastAsia" w:ascii="宋体" w:hAnsi="宋体" w:eastAsia="宋体" w:cs="Tahoma"/>
                <w:color w:val="000000" w:themeColor="text1"/>
                <w:kern w:val="28"/>
                <w:szCs w:val="21"/>
                <w14:textFill>
                  <w14:solidFill>
                    <w14:schemeClr w14:val="tx1"/>
                  </w14:solidFill>
                </w14:textFill>
              </w:rPr>
            </w:pPr>
            <w:r>
              <w:rPr>
                <w:rFonts w:hint="eastAsia" w:ascii="宋体" w:hAnsi="宋体" w:cs="Tahoma"/>
                <w:color w:val="000000" w:themeColor="text1"/>
                <w:kern w:val="28"/>
                <w:szCs w:val="21"/>
                <w14:textFill>
                  <w14:solidFill>
                    <w14:schemeClr w14:val="tx1"/>
                  </w14:solidFill>
                </w14:textFill>
              </w:rPr>
              <w:t>1 年（具体起止时间由合同约定）</w:t>
            </w:r>
          </w:p>
        </w:tc>
        <w:tc>
          <w:tcPr>
            <w:tcW w:w="353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hint="eastAsia" w:ascii="宋体" w:hAnsi="宋体" w:cs="Tahoma"/>
                <w:color w:val="000000" w:themeColor="text1"/>
                <w:kern w:val="28"/>
                <w:szCs w:val="21"/>
                <w14:textFill>
                  <w14:solidFill>
                    <w14:schemeClr w14:val="tx1"/>
                  </w14:solidFill>
                </w14:textFill>
              </w:rPr>
            </w:pPr>
            <w:r>
              <w:rPr>
                <w:rFonts w:hint="eastAsia" w:ascii="宋体" w:hAnsi="宋体" w:cs="Tahoma"/>
                <w:color w:val="000000" w:themeColor="text1"/>
                <w:kern w:val="28"/>
                <w:szCs w:val="21"/>
                <w14:textFill>
                  <w14:solidFill>
                    <w14:schemeClr w14:val="tx1"/>
                  </w14:solidFill>
                </w14:textFill>
              </w:rPr>
              <w:t>全年各校区维修改造金额暂时按340.68万计算，最终结算，以实际产生并完成的维修改造项目结算审核金额总和为准。</w:t>
            </w:r>
          </w:p>
        </w:tc>
      </w:tr>
    </w:tbl>
    <w:p>
      <w:pPr>
        <w:shd w:val="clear"/>
        <w:spacing w:line="360" w:lineRule="auto"/>
        <w:ind w:left="420"/>
        <w:rPr>
          <w:rFonts w:hint="eastAsia" w:ascii="宋体" w:hAnsi="宋体" w:eastAsia="宋体" w:cs="Tahoma"/>
          <w:color w:val="000000" w:themeColor="text1"/>
          <w:kern w:val="28"/>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服务地点</w:t>
      </w:r>
      <w:r>
        <w:rPr>
          <w:rFonts w:hint="eastAsia" w:ascii="宋体" w:hAnsi="宋体" w:eastAsia="宋体" w:cs="Tahoma"/>
          <w:color w:val="000000" w:themeColor="text1"/>
          <w:kern w:val="28"/>
          <w:szCs w:val="21"/>
          <w:lang w:bidi="ar"/>
          <w14:textFill>
            <w14:solidFill>
              <w14:schemeClr w14:val="tx1"/>
            </w14:solidFill>
          </w14:textFill>
        </w:rPr>
        <w:t>：广州工程技术职业学院从化校区、环市东校区、黄埔校区、龙洞校区等管辖范围。</w:t>
      </w:r>
    </w:p>
    <w:p>
      <w:pPr>
        <w:shd w:val="clear"/>
        <w:spacing w:line="360" w:lineRule="auto"/>
        <w:ind w:firstLine="482" w:firstLineChars="20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二、项目内容：</w:t>
      </w:r>
    </w:p>
    <w:p>
      <w:pPr>
        <w:numPr>
          <w:ilvl w:val="0"/>
          <w:numId w:val="1"/>
        </w:numPr>
        <w:shd w:val="clea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本项目是采购人从合同约定时间1年内发生的各校区维修改造的总成，实际由许多大小不一的维修改造项目（含零星维修）组成，包括但不限于以下内容：</w:t>
      </w:r>
    </w:p>
    <w:p>
      <w:pPr>
        <w:shd w:val="clea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1.1</w:t>
      </w:r>
      <w:r>
        <w:rPr>
          <w:rFonts w:hint="eastAsia" w:ascii="Times New Roman" w:hAnsi="Times New Roman" w:eastAsia="宋体" w:cs="宋体"/>
          <w:color w:val="000000" w:themeColor="text1"/>
          <w:lang w:bidi="ar"/>
          <w14:textFill>
            <w14:solidFill>
              <w14:schemeClr w14:val="tx1"/>
            </w14:solidFill>
          </w14:textFill>
        </w:rPr>
        <w:t>项目具体服务内容：</w:t>
      </w:r>
    </w:p>
    <w:p>
      <w:pPr>
        <w:shd w:val="clear"/>
        <w:spacing w:line="360" w:lineRule="auto"/>
        <w:ind w:firstLine="630" w:firstLineChars="3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1.2.1环市东校区零星维修项目</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1.2.1.1.施工方法及技术保证措施：包含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施工总体部署（1、工期部署：完全满足项目总工期及节点完工要求，四级工期管控体系：总工期控制、阶段工期控制、分项工期控制、日进度管控。每日统计施工完成量，每周开展进度复盘，对滞后工序制定专项纠偏措施，设置弹性工期余量，杜绝工期延误，相较基础工期规划，管控更精细、闭环性更强。2、施工分区部署：满足项目分区施工基本要求，在常规分区基础上升级为七区标准化布置：主体施工区、专项作业区、成品保护区、原材料分类堆放区、机械检修停放区、安全通行区、办公生活区。各区设置隔离围挡、标识标牌、排水及消防设施，实行分区专属管理，彻底规避交叉施工干扰，现场标准化管理水平优于采购基础要求。3、流水段划分：按照项目施工逻辑合理划分流水施工段，满足连续施工要求。新增流水段工序交接检收机制，明确各流水段工序衔接时限、交接标准、验收责任人，杜绝施工空档、工序脱节，保障施工连续性，解决常规流水施工管控松散的问题，管控标准优于基础需求。4、人力投入部署足额配置项目管理及作业人员，满足施工人力需求。额外增加人员动态调配及备用储备机制，根据施工进度动态增减作业人员，储备应急作业班组，同时落实全员岗前技术、安全双交底，保障施工人员专业性、稳定性，人力保障力度优于基础要求。）</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总体流程（1、前期准备阶段：完成场地清理、临建设施、图纸会审、测量放线、材料机械进场等基础准备工作。新增施工风险辨识、原材料前置送检、方案专项报审前置管控动作，从源头规避施工隐患。2、基础施工阶段：严格按照规范完成基底处理、垫层施工、基础结构浇筑、养护、验收全工序。落实工序自检、互检、专检制度，保障基础施工质量达标。3、主体结构施工阶段：按分层分段流水作业模式开展主体结构施工，严控结构尺寸、施工精度、结构稳定性，同步做好过程质量管控与安全防护。）</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（3）各分部分项工程的施工技术工艺内容</w:t>
      </w:r>
      <w:bookmarkStart w:id="0" w:name="OLE_LINK21"/>
      <w:r>
        <w:rPr>
          <w:rFonts w:hint="eastAsia" w:ascii="宋体" w:hAnsi="宋体" w:eastAsia="宋体" w:cs="宋体"/>
          <w:color w:val="000000" w:themeColor="text1"/>
          <w:szCs w:val="21"/>
          <w:lang w:bidi="ar"/>
          <w14:textFill>
            <w14:solidFill>
              <w14:schemeClr w14:val="tx1"/>
            </w14:solidFill>
          </w14:textFill>
        </w:rPr>
        <w:t>（1、场地平整及土方工程施工工艺：采用全站仪精准复测现场标高及施工边界，机械为主、人工为辅开展场地平整作业。土方开挖严格执行分层开挖、逐级修坡，杜绝超挖、欠挖；土方回填采用分层摊铺、分层夯实，每层厚度控制在规范范围内，夯实后进行压实度检测，合格后方可进入下道工序。配套落实基底排水、基底杂物清理技术措施，规避土方沉降、积水隐患。2、基层垫层施工工艺：垫层施工前复核基底平整度、压实度，清理浮土及积水。材料进场后核验材质指标，严格按照配合比拌合，均匀摊铺、机械整平、碾压密实。施工过程中严控垫层厚度、标高、坡度，成型后及时保湿养护，防止开裂、起砂，保障垫层整体强度及平整度满足后续施工要求。3、主体结构浇筑施工工艺：浇筑前完成模板、钢筋、预埋件隐蔽验收，彻底清理模内杂物。采用分层、分段、连续浇筑方式，配合振捣棒密实振捣，杜绝蜂窝、麻面、空洞等质量通病。严控浇筑速度与振捣间距，成型后及时覆盖保湿养护，根据环境温度调整养护时长，保障结构强度达标、外观成型规整。）</w:t>
      </w:r>
      <w:bookmarkEnd w:id="0"/>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1.2.1.2.施工总进度计划及工期：包含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工期目标（1、整体工期目标：严格按照招标人要求总工期竣工交付，不延期、不滞后、不误工。2、分阶段量化节点目标（标准化拆分，优于常规基础方案）：（1）前期准备阶段：3日历天，完成场地清理、临设搭建、图纸会审、测量放线、材料报审全部工作；（2）基础施工阶段：按分项工程量固化工期，保质保量完成基础施工及隐蔽验收；（3）主体结构施工阶段：分段流水作业，按期完成主体施工、结构养护、工序验收；（4）收尾整改及验收阶段：2日历天完成全场清理、细部整改、资料归档、竣工验收。3、质量工期双控目标：所有节点完工合格率100%，杜绝返工误工，保障节点准时落地。)</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（2）施工进度计划（</w:t>
      </w: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Cs w:val="21"/>
          <w:lang w:bidi="ar"/>
          <w14:textFill>
            <w14:solidFill>
              <w14:schemeClr w14:val="tx1"/>
            </w14:solidFill>
          </w14:textFill>
        </w:rPr>
        <w:t>日进度量化管控:实行每日工程量定额化施工，每日明确施工内容、作业人数、完成工程量、验收标准，当日任务当日闭环。每日下班前由施工员、质量员联合核验完成率，日完成率必须达到100%，确保工期无积压、无滞后。2、周进度复盘纠偏:每周开展进度专题复盘，统计本周完成量、剩余工程量，量化对比计划值与实际值。出现偏差＞3%立即启动纠偏方案，增补人员、机械、工时，确保周进度归零偏差，杜绝小偏差累积成工期滞后。3、月进度总体考核:每月对照总进度计划进行节点考核，月度节点达标率100%，作为项目班组绩效考核硬性指标，以制度刚性保障进度稳定。4、关键线路锁定管控:梳理本项目施工关键线路，锁定核心工序工期，非关键工序错峰穿插施工，最大化压缩工期间歇，提升整体施工效率，相较常规进度计划更科学、更可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(3)工期保证措施</w:t>
      </w:r>
      <w:bookmarkStart w:id="1" w:name="OLE_LINK22"/>
      <w:r>
        <w:rPr>
          <w:rFonts w:hint="eastAsia" w:ascii="宋体" w:hAnsi="宋体" w:eastAsia="宋体" w:cs="宋体"/>
          <w:color w:val="000000" w:themeColor="text1"/>
          <w:szCs w:val="21"/>
          <w:lang w:bidi="ar"/>
          <w14:textFill>
            <w14:solidFill>
              <w14:schemeClr w14:val="tx1"/>
            </w14:solidFill>
          </w14:textFill>
        </w:rPr>
        <w:t>（措施一：人员定岗定量保障措施，项目全程配置足额持证管理人员，作业工种全员定岗定人，根据日施工工程量匹配对应作业人数。设置备用班组储备机制，遇抢工、人员轮换立即补位，确保施工人力无空档、无缺口，人力保障到位率100%。措施二：机械设备足额保障措施，根据施工进度计划提前配齐施工机械、机具设备，进场前全部调试检修完毕。现场预留备用机械设备，设备完好率保证100%，杜绝设备故障导致工期停滞，保障连续施工。措施三：材料提前备货保障措施，建立材料前置报审、提前采购、分批进场机制，所有主材、辅材提前3个工作日进场验收送检，杜绝材料短缺、检测滞后耽误施工工序，确保材料供应零延误。措施四：工序无缝衔接保障措施，严格执行工序交接验收制度，上道工序三检合格后立即移交下道工序，交接时长不超过4小时，最大限度压缩工序间歇时间，保障流水施工连续性。）</w:t>
      </w:r>
      <w:bookmarkEnd w:id="1"/>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1.2.1.3.质量保证措施：包含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质量目标(1、总体质量目标：项目整体施工质量100%符合国家现行施工验收规范及招标文件要求，一次性竣工验收合格率100%，杜绝不合格工程、杜绝返工整改遗留问题。2、分项工程质量目标：所有分部分项工程施工验收合格率100%，工序施工质量达标率100%，无质量通病、无结构性质量隐患。3、资料管控质量目标：施工资料、验收资料、质保资料同步施工、同步整理、同步归档，资料完整率、真实率、合规率100%，完全匹配工程施工实况。4、创优增量目标：在满足合格验收基础上，严控施工细部质量、观感质量、成型质量，全力打造标准化精品工程，远超基础合格验收的最低需求标准。)</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质量保证体系(1、一级管控（决策层）：项目经理为质量第一责任人，统筹项目整体质量管控工作，审批专项质量方案、把控关键质量节点、统筹质量问题整改复盘，对项目最终质量全权负责。2、二级管控（执行层）：配置专职技术负责人、质量员，全程常驻现场，负责技术交底、工序质检、隐患排查、质量验收、资料管控，落实全过程质量监督管控，实现质量管控无盲区。3、三级管控（作业层）：各施工班组组长为一线质量责任人，严格按照技术标准、施工规范组织作业，落实工序自检，把控施工细节，从源头杜绝质量问题。同时建立技术支撑、质检监督、过程管控、整改复盘、考核追责五位一体质量管控机制，实现施工全流程质量闭环管理，体系完整性、严谨性优于基础简易质保体系。)</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质量保证措施(1、前置技术交底质量管控措施,所有分项工程施工前，开展专项技术、质量双交底，交底覆盖所有管理人员及作业人员，交底签字率、培训通过率100%。明确施工工艺标准、质量偏差限值、验收要求，确保全员掌握质量管控标准，无交底遗漏、无标准模糊问题。2、工序三检闭环管控措施,严格落实自检、互检、专检三检制度，每道工序完成后必须逐级检验，验收合格、签字确认后方可进入下道工序。工序未验收、验收不合格严禁后续施工，工序验收覆盖率100%，质量问题整改销项率100%。3、原材料进场质量管控措施,所有进场材料、设备必须核验合格证、检测报告、资质资料，进场抽检送检率100%，不合格材料零进场、零使用。建立材料进场台账，全程溯源管控，从源头保障工程主材、辅材质量合规。4、全过程质量巡查管控措施,建立日常巡查、每周专项质检、每月全面质量复盘机制。质量员每日现场巡查不少于2次，重点核查工序施工精度、工艺合规性、成品质量，发现质量问题24小时内完成台账登记、整改、复查销项。)</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质量承诺(1、合规履约承诺：严格按照国家现行施工规范、设计图纸及招标文件质量要求施工，不偷工减料、不违规作业，所有施工工序合规合法，质量标准全程达标。2、验收达标承诺：承诺本项目所有分部分项工程验收合格，项目整体一次性竣工验收100%合格，全力达成既定质量目标。3、售后质保承诺：项目竣工交付后，严格履行质保义务，在质保期内对项目出现的非人为质量问题，免费维修、免费整改，及时响应甲方维保需求。)</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1.2.1.4.资源配备计划：包含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劳动力配备计划（1、管理人员配置：全程常驻持证项目经理、技术负责人、施工员、质量员、安全员、材料员、资料员，岗位配置齐全，全员持证上岗，在岗率100%，全程统筹管控项目施工。2、作业人员配置：根据前期准备、基础施工、主体施工、收尾验收各阶段工程量，动态配置对应专业作业工种，包含土建作业、安装作业、现场保洁、后勤保障等工种，工种配置全覆盖、无缺岗。3、人员进场计划：实行分批次、分阶段有序进场，施工前期配齐筹备及基础作业人员，施工高峰期足额增补作业人员，收尾阶段精简人员、保留专项整改人员，实现人力与施工进度精准匹配。4、人员管控标准：所有进场人员岗前培训率100%、安全技术交底率100%、持证上岗率100%，杜绝无证作业、违规作业，保障施工作业专业性与规范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材料配备计划（1、材料清单梳理：提前梳理项目全部施工材料清单，分类统计主材、辅材、防护材料、应急耗材用量，精准核算材料需求量，杜绝少配、漏配、多配问题。2、分批次进场计划：根据施工进度节点制定材料分批进场计划，核心主材提前3个工作日进场送检，常规辅材按需分批进场，应急耗材常备库存，确保材料供应与施工工序无缝衔接。3、材料质量管控：所有进场材料必须附带合格证、检测报告、出厂资质，进场抽检送检率100%，不合格材料严禁进场、严禁使用，材料合格利用率100%。4、现场存放管控：材料分类分区堆放，设置专属标识标牌，做好防潮、防尘、防晒、防损坏防护，建立材料出入库台账，全程溯源管控，杜绝材料浪费、丢失、损坏问题。）</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机械设备配备计划（1、设备配置清单：配齐施工所需测量设备、土方作业设备、浇筑设备、振捣设备、运输设备、辅助机具等全套机械设备，设备型号、性能适配本项目施工需求，适配率100%。2、设备进场计划：施工前期完成全部机械设备进场、安装、调试、校验，进场设备调试合格率100%，确保设备可随时投入作业；施工高峰期全程满负荷投入使用，收尾阶段按需留存设备。3、设备日常管控：建立机械设备每日检查、定期保养、专项检修机制，每日作业前核验设备工况，设备完好率、正常运行率100%，杜绝设备故障停工。4、测量设备校准：所有测量仪器定期合规校准，校准合格率100%，确保施工测量数据精准、无偏差，保障施工精度达标。）</w:t>
      </w:r>
    </w:p>
    <w:p>
      <w:pPr>
        <w:shd w:val="clear"/>
        <w:spacing w:line="360" w:lineRule="auto"/>
        <w:ind w:firstLine="1050" w:firstLineChars="5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资源保障专项保证措施（措施一：劳动力动态调配保障措施，建立人力动态调配机制，根据施工进度、工序穿插、作业强度实时调整作业人员数量。设立专项备用作业班组，遇抢工、人员轮换、临时缺岗情况，2小时内完成人员补位，确保施工人力零缺口、作业无空档。措施二：材料双源头供应保障措施，核心主材采用“主供供应商+备用供应商”双源头供货模式，提前签订供货协议，明确供货时限、供货数量、质量标准。杜绝单一供应商断供、延期供货风险，确保材料按时、按量、按质持续供应，保障施工不停工、不滞后。措施三：材料库存应急保障措施，施工现场预留常用辅材、应急耗材安全库存，库存储量满足3日以上施工用量，应对突发供货延迟、物料损耗等突发情况，彻底规避材料短缺导致的工期延误问题，保障施工连续性。措施四：机械设备备用保障措施，关键施工机械设备配置同型号备用机具，作业设备出现故障时，立即启用备用设备替换，故障设备同步进场检修，设备替换衔接时长不超过1小时，杜绝设备故障造成施工停滞。）</w:t>
      </w:r>
    </w:p>
    <w:p>
      <w:pPr>
        <w:shd w:val="clear"/>
        <w:spacing w:line="360" w:lineRule="auto"/>
        <w:ind w:firstLine="630" w:firstLineChars="3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1.2.2龙洞校区零星维修项目</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1.2.2.1.施工方法及技术保证措施：包含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施工总体部署（1、工期部署：完全满足项目总工期及节点完工要求，四级工期管控体系：总工期控制、阶段工期控制、分项工期控制、日进度管控。每日统计施工完成量，每周开展进度复盘，对滞后工序制定专项纠偏措施，设置弹性工期余量，杜绝工期延误，相较基础工期规划，管控更精细、闭环性更强。2、施工分区部署：满足项目分区施工基本要求，在常规分区基础上升级为七区标准化布置：主体施工区、专项作业区、成品保护区、原材料分类堆放区、机械检修停放区、安全通行区、办公生活区。各区设置隔离围挡、标识标牌、排水及消防设施，实行分区专属管理，彻底规避交叉施工干扰，现场标准化管理水平优于采购基础要求。3、流水段划分：按照项目施工逻辑合理划分流水施工段，满足连续施工要求。新增流水段工序交接检收机制，明确各流水段工序衔接时限、交接标准、验收责任人，杜绝施工空档、工序脱节，保障施工连续性，解决常规流水施工管控松散的问题，管控标准优于基础需求。4、人力投入部署足额配置项目管理及作业人员，满足施工人力需求。额外增加人员动态调配及备用储备机制，根据施工进度动态增减作业人员，储备应急作业班组，同时落实全员岗前技术、安全双交底，保障施工人员专业性、稳定性，人力保障力度优于基础要求。）</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总体流程（1、前期准备阶段：完成场地清理、临建设施、图纸会审、测量放线、材料机械进场等基础准备工作。新增施工风险辨识、原材料前置送检、方案专项报审前置管控动作，从源头规避施工隐患。2、基础施工阶段：严格按照规范完成基底处理、垫层施工、基础结构浇筑、养护、验收全工序。落实工序自检、互检、专检制度，保障基础施工质量达标。3、主体结构施工阶段：按分层分段流水作业模式开展主体结构施工，严控结构尺寸、施工精度、结构稳定性，同步做好过程质量管控与安全防护。）</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各分部分项工程的施工技术工艺内容（1、场地平整及土方工程施工工艺：采用全站仪精准复测现场标高及施工边界，机械为主、人工为辅开展场地平整作业。土方开挖严格执行分层开挖、逐级修坡，杜绝超挖、欠挖；土方回填采用分层摊铺、分层夯实，每层厚度控制在规范范围内，夯实后进行压实度检测，合格后方可进入下道工序。配套落实基底排水、基底杂物清理技术措施，规避土方沉降、积水隐患。2、基层垫层施工工艺：垫层施工前复核基底平整度、压实度，清理浮土及积水。材料进场后核验材质指标，严格按照配合比拌合，均匀摊铺、机械整平、碾压密实。施工过程中严控垫层厚度、标高、坡度，成型后及时保湿养护，防止开裂、起砂，保障垫层整体强度及平整度满足后续施工要求。3、主体结构浇筑施工工艺：浇筑前完成模板、钢筋、预埋件隐蔽验收，彻底清理模内杂物。采用分层、分段、连续浇筑方式，配合振捣棒密实振捣，杜绝蜂窝、麻面、空洞等质量通病。严控浇筑速度与振捣间距，成型后及时覆盖保湿养护，根据环境温度调整养护时长，保障结构强度达标、外观成型规整。）</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1.2.2.2.施工总进度计划及工期：包含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工期目标（1、整体工期目标：严格按照招标人要求总工期竣工交付，不延期、不滞后、不误工。2、分阶段量化节点目标（标准化拆分，优于常规基础方案）：（1）前期准备阶段：3日历天，完成场地清理、临设搭建、图纸会审、测量放线、材料报审全部工作；（2）基础施工阶段：按分项工程量固化工期，保质保量完成基础施工及隐蔽验收；（3）主体结构施工阶段：分段流水作业，按期完成主体施工、结构养护、工序验收；（4）收尾整改及验收阶段：2日历天完成全场清理、细部整改、资料归档、竣工验收。3、质量工期双控目标：所有节点完工合格率100%，杜绝返工误工，保障节点准时落地。)</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（2）施工进度计划（</w:t>
      </w: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Cs w:val="21"/>
          <w:lang w:bidi="ar"/>
          <w14:textFill>
            <w14:solidFill>
              <w14:schemeClr w14:val="tx1"/>
            </w14:solidFill>
          </w14:textFill>
        </w:rPr>
        <w:t>日进度量化管控:实行每日工程量定额化施工，每日明确施工内容、作业人数、完成工程量、验收标准，当日任务当日闭环。每日下班前由施工员、质量员联合核验完成率，日完成率必须达到100%，确保工期无积压、无滞后。2、周进度复盘纠偏:每周开展进度专题复盘，统计本周完成量、剩余工程量，量化对比计划值与实际值。出现偏差＞3%立即启动纠偏方案，增补人员、机械、工时，确保周进度归零偏差，杜绝小偏差累积成工期滞后。3、月进度总体考核:每月对照总进度计划进行节点考核，月度节点达标率100%，作为项目班组绩效考核硬性指标，以制度刚性保障进度稳定。4、关键线路锁定管控:梳理本项目施工关键线路，锁定核心工序工期，非关键工序错峰穿插施工，最大化压缩工期间歇，提升整体施工效率，相较常规进度计划更科学、更可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工期保证措施（措施一：人员定岗定量保障措施，项目全程配置足额持证管理人员，作业工种全员定岗定人，根据日施工工程量匹配对应作业人数。设置备用班组储备机制，遇抢工、人员轮换立即补位，确保施工人力无空档、无缺口，人力保障到位率100%。措施二：机械设备足额保障措施，根据施工进度计划提前配齐施工机械、机具设备，进场前全部调试检修完毕。现场预留备用机械设备，设备完好率保证100%，杜绝设备故障导致工期停滞，保障连续施工。措施三：材料提前备货保障措施，建立材料前置报审、提前采购、分批进场机制，所有主材、辅材提前3个工作日进场验收送检，杜绝材料短缺、检测滞后耽误施工工序，确保材料供应零延误。措施四：工序无缝衔接保障措施，严格执行工序交接验收制度，上道工序三检合格后立即移交下道工序，交接时长不超过4小时，最大限度压缩工序间歇时间，保障流水施工连续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1.2.2.3.质量保证措施：包含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质量目标(1、总体质量目标：项目整体施工质量100%符合国家现行施工验收规范及招标文件要求，一次性竣工验收合格率100%，杜绝不合格工程、杜绝返工整改遗留问题。2、分项工程质量目标：所有分部分项工程施工验收合格率100%，工序施工质量达标率100%，无质量通病、无结构性质量隐患。3、资料管控质量目标：施工资料、验收资料、质保资料同步施工、同步整理、同步归档，资料完整率、真实率、合规率100%，完全匹配工程施工实况。4、创优增量目标：在满足合格验收基础上，严控施工细部质量、观感质量、成型质量，全力打造标准化精品工程，远超基础合格验收的最低需求标准。)</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质量保证体系(1、一级管控（决策层）：项目经理为质量第一责任人，统筹项目整体质量管控工作，审批专项质量方案、把控关键质量节点、统筹质量问题整改复盘，对项目最终质量全权负责。2、二级管控（执行层）：配置专职技术负责人、质量员，全程常驻现场，负责技术交底、工序质检、隐患排查、质量验收、资料管控，落实全过程质量监督管控，实现质量管控无盲区。3、三级管控（作业层）：各施工班组组长为一线质量责任人，严格按照技术标准、施工规范组织作业，落实工序自检，把控施工细节，从源头杜绝质量问题。同时建立技术支撑、质检监督、过程管控、整改复盘、考核追责五位一体质量管控机制，实现施工全流程质量闭环管理，体系完整性、严谨性优于基础简易质保体系。)</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质量保证措施(1、前置技术交底质量管控措施,所有分项工程施工前，开展专项技术、质量双交底，交底覆盖所有管理人员及作业人员，交底签字率、培训通过率100%。明确施工工艺标准、质量偏差限值、验收要求，确保全员掌握质量管控标准，无交底遗漏、无标准模糊问题。2、工序三检闭环管控措施,严格落实自检、互检、专检三检制度，每道工序完成后必须逐级检验，验收合格、签字确认后方可进入下道工序。工序未验收、验收不合格严禁后续施工，工序验收覆盖率100%，质量问题整改销项率100%。3、原材料进场质量管控措施,所有进场材料、设备必须核验合格证、检测报告、资质资料，进场抽检送检率100%，不合格材料零进场、零使用。建立材料进场台账，全程溯源管控，从源头保障工程主材、辅材质量合规。4、全过程质量巡查管控措施,建立日常巡查、每周专项质检、每月全面质量复盘机制。质量员每日现场巡查不少于2次，重点核查工序施工精度、工艺合规性、成品质量，发现质量问题24小时内完成台账登记、整改、复查销项。)</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质量承诺(1、合规履约承诺：严格按照国家现行施工规范、设计图纸及招标文件质量要求施工，不偷工减料、不违规作业，所有施工工序合规合法，质量标准全程达标。2、验收达标承诺：承诺本项目所有分部分项工程验收合格，项目整体一次性竣工验收100%合格，全力达成既定质量目标。3、售后质保承诺：项目竣工交付后，严格履行质保义务，在质保期内对项目出现的非人为质量问题，免费维修、免费整改，及时响应甲方维保需求。)</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1.2.2.4.资源配备计划：包含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劳动力配备计划（1、管理人员配置：全程常驻持证项目经理、技术负责人、施工员、质量员、安全员、材料员、资料员，岗位配置齐全，全员持证上岗，在岗率100%，全程统筹管控项目施工。2、作业人员配置：根据前期准备、基础施工、主体施工、收尾验收各阶段工程量，动态配置对应专业作业工种，包含土建作业、安装作业、现场保洁、后勤保障等工种，工种配置全覆盖、无缺岗。3、人员进场计划：实行分批次、分阶段有序进场，施工前期配齐筹备及基础作业人员，施工高峰期足额增补作业人员，收尾阶段精简人员、保留专项整改人员，实现人力与施工进度精准匹配。4、人员管控标准：所有进场人员岗前培训率100%、安全技术交底率100%、持证上岗率100%，杜绝无证作业、违规作业，保障施工作业专业性与规范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材料配备计划（1、材料清单梳理：提前梳理项目全部施工材料清单，分类统计主材、辅材、防护材料、应急耗材用量，精准核算材料需求量，杜绝少配、漏配、多配问题。2、分批次进场计划：根据施工进度节点制定材料分批进场计划，核心主材提前3个工作日进场送检，常规辅材按需分批进场，应急耗材常备库存，确保材料供应与施工工序无缝衔接。3、材料质量管控：所有进场材料必须附带合格证、检测报告、出厂资质，进场抽检送检率100%，不合格材料严禁进场、严禁使用，材料合格利用率100%。4、现场存放管控：材料分类分区堆放，设置专属标识标牌，做好防潮、防尘、防晒、防损坏防护，建立材料出入库台账，全程溯源管控，杜绝材料浪费、丢失、损坏问题。）</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机械设备配备计划（1、设备配置清单：配齐施工所需测量设备、土方作业设备、浇筑设备、振捣设备、运输设备、辅助机具等全套机械设备，设备型号、性能适配本项目施工需求，适配率100%。2、设备进场计划：施工前期完成全部机械设备进场、安装、调试、校验，进场设备调试合格率100%，确保设备可随时投入作业；施工高峰期全程满负荷投入使用，收尾阶段按需留存设备。3、设备日常管控：建立机械设备每日检查、定期保养、专项检修机制，每日作业前核验设备工况，设备完好率、正常运行率100%，杜绝设备故障停工。4、测量设备校准：所有测量仪器定期合规校准，校准合格率100%，确保施工测量数据精准、无偏差，保障施工精度达标。）</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资源保障专项保证措施（措施一：劳动力动态调配保障措施，建立人力动态调配机制，根据施工进度、工序穿插、作业强度实时调整作业人员数量。设立专项备用作业班组，遇抢工、人员轮换、临时缺岗情况，2小时内完成人员补位，确保施工人力零缺口、作业无空档。措施二：材料双源头供应保障措施，核心主材采用“主供供应商+备用供应商”双源头供货模式，提前签订供货协议，明确供货时限、供货数量、质量标准。杜绝单一供应商断供、延期供货风险，确保材料按时、按量、按质持续供应，保障施工不停工、不滞后。措施三：材料库存应急保障措施，施工现场预留常用辅材、应急耗材安全库存，库存储量满足3日以上施工用量，应对突发供货延迟、物料损耗等突发情况，彻底规避材料短缺导致的工期延误问题，保障施工连续性。措施四：机械设备备用保障措施，关键施工机械设备配置同型号备用机具，作业设备出现故障时，立即启用备用设备替换，故障设备同步进场检修，设备替换衔接时长不超过1小时，杜绝设备故障造成施工停滞。）</w:t>
      </w:r>
    </w:p>
    <w:p>
      <w:pPr>
        <w:shd w:val="clear"/>
        <w:spacing w:line="360" w:lineRule="auto"/>
        <w:ind w:firstLine="630" w:firstLineChars="3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1.2.3黄埔校区零星维修项目</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1.2.3.1.施工方法及技术保证措施：包含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施工总体部署（1、工期部署：完全满足项目总工期及节点完工要求，四级工期管控体系：总工期控制、阶段工期控制、分项工期控制、日进度管控。每日统计施工完成量，每周开展进度复盘，对滞后工序制定专项纠偏措施，设置弹性工期余量，杜绝工期延误，相较基础工期规划，管控更精细、闭环性更强。2、施工分区部署：满足项目分区施工基本要求，在常规分区基础上升级为七区标准化布置：主体施工区、专项作业区、成品保护区、原材料分类堆放区、机械检修停放区、安全通行区、办公生活区。各区设置隔离围挡、标识标牌、排水及消防设施，实行分区专属管理，彻底规避交叉施工干扰，现场标准化管理水平优于采购基础要求。3、流水段划分：按照项目施工逻辑合理划分流水施工段，满足连续施工要求。新增流水段工序交接检收机制，明确各流水段工序衔接时限、交接标准、验收责任人，杜绝施工空档、工序脱节，保障施工连续性，解决常规流水施工管控松散的问题，管控标准优于基础需求。4、人力投入部署足额配置项目管理及作业人员，满足施工人力需求。额外增加人员动态调配及备用储备机制，根据施工进度动态增减作业人员，储备应急作业班组，同时落实全员岗前技术、安全双交底，保障施工人员专业性、稳定性，人力保障力度优于基础要求。）</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总体流程（1、前期准备阶段：完成场地清理、临建设施、图纸会审、测量放线、材料机械进场等基础准备工作。新增施工风险辨识、原材料前置送检、方案专项报审前置管控动作，从源头规避施工隐患。2、基础施工阶段：严格按照规范完成基底处理、垫层施工、基础结构浇筑、养护、验收全工序。落实工序自检、互检、专检制度，保障基础施工质量达标。3、主体结构施工阶段：按分层分段流水作业模式开展主体结构施工，严控结构尺寸、施工精度、结构稳定性，同步做好过程质量管控与安全防护。）</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各分部分项工程的施工技术工艺内容（1、场地平整及土方工程施工工艺：采用全站仪精准复测现场标高及施工边界，机械为主、人工为辅开展场地平整作业。土方开挖严格执行分层开挖、逐级修坡，杜绝超挖、欠挖；土方回填采用分层摊铺、分层夯实，每层厚度控制在规范范围内，夯实后进行压实度检测，合格后方可进入下道工序。配套落实基底排水、基底杂物清理技术措施，规避土方沉降、积水隐患。2、基层垫层施工工艺：垫层施工前复核基底平整度、压实度，清理浮土及积水。材料进场后核验材质指标，严格按照配合比拌合，均匀摊铺、机械整平、碾压密实。施工过程中严控垫层厚度、标高、坡度，成型后及时保湿养护，防止开裂、起砂，保障垫层整体强度及平整度满足后续施工要求。3、主体结构浇筑施工工艺：浇筑前完成模板、钢筋、预埋件隐蔽验收，彻底清理模内杂物。采用分层、分段、连续浇筑方式，配合振捣棒密实振捣，杜绝蜂窝、麻面、空洞等质量通病。严控浇筑速度与振捣间距，成型后及时覆盖保湿养护，根据环境温度调整养护时长，保障结构强度达标、外观成型规整。）</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1.2.3.2.施工总进度计划及工期：包含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工期目标（1、整体工期目标：严格按照招标人要求总工期竣工交付，不延期、不滞后、不误工。2、分阶段量化节点目标（标准化拆分，优于常规基础方案）：（1）前期准备阶段：3日历天，完成场地清理、临设搭建、图纸会审、测量放线、材料报审全部工作；（2）基础施工阶段：按分项工程量固化工期，保质保量完成基础施工及隐蔽验收；（3）主体结构施工阶段：分段流水作业，按期完成主体施工、结构养护、工序验收；（4）收尾整改及验收阶段：2日历天完成全场清理、细部整改、资料归档、竣工验收。3、质量工期双控目标：所有节点完工合格率100%，杜绝返工误工，保障节点准时落地。)</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（2）施工进度计划（</w:t>
      </w: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Cs w:val="21"/>
          <w:lang w:bidi="ar"/>
          <w14:textFill>
            <w14:solidFill>
              <w14:schemeClr w14:val="tx1"/>
            </w14:solidFill>
          </w14:textFill>
        </w:rPr>
        <w:t>日进度量化管控:实行每日工程量定额化施工，每日明确施工内容、作业人数、完成工程量、验收标准，当日任务当日闭环。每日下班前由施工员、质量员联合核验完成率，日完成率必须达到100%，确保工期无积压、无滞后。2、周进度复盘纠偏:每周开展进度专题复盘，统计本周完成量、剩余工程量，量化对比计划值与实际值。出现偏差＞3%立即启动纠偏方案，增补人员、机械、工时，确保周进度归零偏差，杜绝小偏差累积成工期滞后。3、月进度总体考核:每月对照总进度计划进行节点考核，月度节点达标率100%，作为项目班组绩效考核硬性指标，以制度刚性保障进度稳定。4、关键线路锁定管控:梳理本项目施工关键线路，锁定核心工序工期，非关键工序错峰穿插施工，最大化压缩工期间歇，提升整体施工效率，相较常规进度计划更科学、更可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工期保证措施（措施一：人员定岗定量保障措施，项目全程配置足额持证管理人员，作业工种全员定岗定人，根据日施工工程量匹配对应作业人数。设置备用班组储备机制，遇抢工、人员轮换立即补位，确保施工人力无空档、无缺口，人力保障到位率100%。措施二：机械设备足额保障措施，根据施工进度计划提前配齐施工机械、机具设备，进场前全部调试检修完毕。现场预留备用机械设备，设备完好率保证100%，杜绝设备故障导致工期停滞，保障连续施工。措施三：材料提前备货保障措施，建立材料前置报审、提前采购、分批进场机制，所有主材、辅材提前3个工作日进场验收送检，杜绝材料短缺、检测滞后耽误施工工序，确保材料供应零延误。措施四：工序无缝衔接保障措施，严格执行工序交接验收制度，上道工序三检合格后立即移交下道工序，交接时长不超过4小时，最大限度压缩工序间歇时间，保障流水施工连续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1.2.3.3.质量保证措施：包含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质量目标(1、总体质量目标：项目整体施工质量100%符合国家现行施工验收规范及招标文件要求，一次性竣工验收合格率100%，杜绝不合格工程、杜绝返工整改遗留问题。2、分项工程质量目标：所有分部分项工程施工验收合格率100%，工序施工质量达标率100%，无质量通病、无结构性质量隐患。3、资料管控质量目标：施工资料、验收资料、质保资料同步施工、同步整理、同步归档，资料完整率、真实率、合规率100%，完全匹配工程施工实况。4、创优增量目标：在满足合格验收基础上，严控施工细部质量、观感质量、成型质量，全力打造标准化精品工程，远超基础合格验收的最低需求标准。)</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质量保证体系(1、一级管控（决策层）：项目经理为质量第一责任人，统筹项目整体质量管控工作，审批专项质量方案、把控关键质量节点、统筹质量问题整改复盘，对项目最终质量全权负责。2、二级管控（执行层）：配置专职技术负责人、质量员，全程常驻现场，负责技术交底、工序质检、隐患排查、质量验收、资料管控，落实全过程质量监督管控，实现质量管控无盲区。3、三级管控（作业层）：各施工班组组长为一线质量责任人，严格按照技术标准、施工规范组织作业，落实工序自检，把控施工细节，从源头杜绝质量问题。同时建立技术支撑、质检监督、过程管控、整改复盘、考核追责五位一体质量管控机制，实现施工全流程质量闭环管理，体系完整性、严谨性优于基础简易质保体系。)</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质量保证措施(1、前置技术交底质量管控措施,所有分项工程施工前，开展专项技术、质量双交底，交底覆盖所有管理人员及作业人员，交底签字率、培训通过率100%。明确施工工艺标准、质量偏差限值、验收要求，确保全员掌握质量管控标准，无交底遗漏、无标准模糊问题。2、工序三检闭环管控措施,严格落实自检、互检、专检三检制度，每道工序完成后必须逐级检验，验收合格、签字确认后方可进入下道工序。工序未验收、验收不合格严禁后续施工，工序验收覆盖率100%，质量问题整改销项率100%。3、原材料进场质量管控措施,所有进场材料、设备必须核验合格证、检测报告、资质资料，进场抽检送检率100%，不合格材料零进场、零使用。建立材料进场台账，全程溯源管控，从源头保障工程主材、辅材质量合规。4、全过程质量巡查管控措施,建立日常巡查、每周专项质检、每月全面质量复盘机制。质量员每日现场巡查不少于2次，重点核查工序施工精度、工艺合规性、成品质量，发现质量问题24小时内完成台账登记、整改、复查销项。)</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质量承诺(1、合规履约承诺：严格按照国家现行施工规范、设计图纸及招标文件质量要求施工，不偷工减料、不违规作业，所有施工工序合规合法，质量标准全程达标。2、验收达标承诺：承诺本项目所有分部分项工程验收合格，项目整体一次性竣工验收100%合格，全力达成既定质量目标。3、售后质保承诺：项目竣工交付后，严格履行质保义务，在质保期内对项目出现的非人为质量问题，免费维修、免费整改，及时响应甲方维保需求。)</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1.2.3.4.资源配备计划：包含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劳动力配备计划（1、管理人员配置：全程常驻持证项目经理、技术负责人、施工员、质量员、安全员、材料员、资料员，岗位配置齐全，全员持证上岗，在岗率100%，全程统筹管控项目施工。2、作业人员配置：根据前期准备、基础施工、主体施工、收尾验收各阶段工程量，动态配置对应专业作业工种，包含土建作业、安装作业、现场保洁、后勤保障等工种，工种配置全覆盖、无缺岗。3、人员进场计划：实行分批次、分阶段有序进场，施工前期配齐筹备及基础作业人员，施工高峰期足额增补作业人员，收尾阶段精简人员、保留专项整改人员，实现人力与施工进度精准匹配。4、人员管控标准：所有进场人员岗前培训率100%、安全技术交底率100%、持证上岗率100%，杜绝无证作业、违规作业，保障施工作业专业性与规范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材料配备计划（1、材料清单梳理：提前梳理项目全部施工材料清单，分类统计主材、辅材、防护材料、应急耗材用量，精准核算材料需求量，杜绝少配、漏配、多配问题。2、分批次进场计划：根据施工进度节点制定材料分批进场计划，核心主材提前3个工作日进场送检，常规辅材按需分批进场，应急耗材常备库存，确保材料供应与施工工序无缝衔接。3、材料质量管控：所有进场材料必须附带合格证、检测报告、出厂资质，进场抽检送检率100%，不合格材料严禁进场、严禁使用，材料合格利用率100%。4、现场存放管控：材料分类分区堆放，设置专属标识标牌，做好防潮、防尘、防晒、防损坏防护，建立材料出入库台账，全程溯源管控，杜绝材料浪费、丢失、损坏问题。）</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机械设备配备计划（1、设备配置清单：配齐施工所需测量设备、土方作业设备、浇筑设备、振捣设备、运输设备、辅助机具等全套机械设备，设备型号、性能适配本项目施工需求，适配率100%。2、设备进场计划：施工前期完成全部机械设备进场、安装、调试、校验，进场设备调试合格率100%，确保设备可随时投入作业；施工高峰期全程满负荷投入使用，收尾阶段按需留存设备。3、设备日常管控：建立机械设备每日检查、定期保养、专项检修机制，每日作业前核验设备工况，设备完好率、正常运行率100%，杜绝设备故障停工。4、测量设备校准：所有测量仪器定期合规校准，校准合格率100%，确保施工测量数据精准、无偏差，保障施工精度达标。）</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资源保障专项保证措施（措施一：劳动力动态调配保障措施，建立人力动态调配机制，根据施工进度、工序穿插、作业强度实时调整作业人员数量。设立专项备用作业班组，遇抢工、人员轮换、临时缺岗情况，2小时内完成人员补位，确保施工人力零缺口、作业无空档。措施二：材料双源头供应保障措施，核心主材采用“主供供应商+备用供应商”双源头供货模式，提前签订供货协议，明确供货时限、供货数量、质量标准。杜绝单一供应商断供、延期供货风险，确保材料按时、按量、按质持续供应，保障施工不停工、不滞后。措施三：材料库存应急保障措施，施工现场预留常用辅材、应急耗材安全库存，库存储量满足3日以上施工用量，应对突发供货延迟、物料损耗等突发情况，彻底规避材料短缺导致的工期延误问题，保障施工连续性。措施四：机械设备备用保障措施，关键施工机械设备配置同型号备用机具，作业设备出现故障时，立即启用备用设备替换，故障设备同步进场检修，设备替换衔接时长不超过1小时，杜绝设备故障造成施工停滞。）</w:t>
      </w:r>
    </w:p>
    <w:p>
      <w:pPr>
        <w:shd w:val="clear"/>
        <w:spacing w:line="360" w:lineRule="auto"/>
        <w:ind w:firstLine="630" w:firstLineChars="3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1.2.4从化校区零星维修项目</w:t>
      </w:r>
    </w:p>
    <w:p>
      <w:pPr>
        <w:shd w:val="clear"/>
        <w:spacing w:line="360" w:lineRule="auto"/>
        <w:ind w:firstLine="420" w:firstLineChars="2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以上四个项目为四个校区全年日常随时发生，需要及时维修改造的内容，由于存在不可预见性，由许多大小不一的子项目组成。具体内容包括学生宿舍或其他教学楼建筑门扇更换，墙体、天花翻新，地砖更换、蹲厕更换、防水补漏，电气线路、给排水管道，铁质护栏更换翻新等；</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1.2.4.1.施工方法及技术保证措施：包含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施工总体部署（1、工期部署：完全满足项目总工期及节点完工要求，四级工期管控体系：总工期控制、阶段工期控制、分项工期控制、日进度管控。每日统计施工完成量，每周开展进度复盘，对滞后工序制定专项纠偏措施，设置弹性工期余量，杜绝工期延误，相较基础工期规划，管控更精细、闭环性更强。2、施工分区部署：满足项目分区施工基本要求，在常规分区基础上升级为七区标准化布置：主体施工区、专项作业区、成品保护区、原材料分类堆放区、机械检修停放区、安全通行区、办公生活区。各区设置隔离围挡、标识标牌、排水及消防设施，实行分区专属管理，彻底规避交叉施工干扰，现场标准化管理水平优于采购基础要求。3、流水段划分：按照项目施工逻辑合理划分流水施工段，满足连续施工要求。新增流水段工序交接检收机制，明确各流水段工序衔接时限、交接标准、验收责任人，杜绝施工空档、工序脱节，保障施工连续性，解决常规流水施工管控松散的问题，管控标准优于基础需求。4、人力投入部署足额配置项目管理及作业人员，满足施工人力需求。额外增加人员动态调配及备用储备机制，根据施工进度动态增减作业人员，储备应急作业班组，同时落实全员岗前技术、安全双交底，保障施工人员专业性、稳定性，人力保障力度优于基础要求。）</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总体流程（1、前期准备阶段：完成场地清理、临建设施、图纸会审、测量放线、材料机械进场等基础准备工作。新增施工风险辨识、原材料前置送检、方案专项报审前置管控动作，从源头规避施工隐患。2、基础施工阶段：严格按照规范完成基底处理、垫层施工、基础结构浇筑、养护、验收全工序。落实工序自检、互检、专检制度，保障基础施工质量达标。3、主体结构施工阶段：按分层分段流水作业模式开展主体结构施工，严控结构尺寸、施工精度、结构稳定性，同步做好过程质量管控与安全防护。）</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各分部分项工程的施工技术工艺内容（1、场地平整及土方工程施工工艺：采用全站仪精准复测现场标高及施工边界，机械为主、人工为辅开展场地平整作业。土方开挖严格执行分层开挖、逐级修坡，杜绝超挖、欠挖；土方回填采用分层摊铺、分层夯实，每层厚度控制在规范范围内，夯实后进行压实度检测，合格后方可进入下道工序。配套落实基底排水、基底杂物清理技术措施，规避土方沉降、积水隐患。2、基层垫层施工工艺：垫层施工前复核基底平整度、压实度，清理浮土及积水。材料进场后核验材质指标，严格按照配合比拌合，均匀摊铺、机械整平、碾压密实。施工过程中严控垫层厚度、标高、坡度，成型后及时保湿养护，防止开裂、起砂，保障垫层整体强度及平整度满足后续施工要求。3、主体结构浇筑施工工艺：浇筑前完成模板、钢筋、预埋件隐蔽验收，彻底清理模内杂物。采用分层、分段、连续浇筑方式，配合振捣棒密实振捣，杜绝蜂窝、麻面、空洞等质量通病。严控浇筑速度与振捣间距，成型后及时覆盖保湿养护，根据环境温度调整养护时长，保障结构强度达标、外观成型规整。）</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1.2.4.2.施工总进度计划及工期：包含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工期目标（1、整体工期目标：严格按照招标人要求总工期竣工交付，不延期、不滞后、不误工。2、分阶段量化节点目标（标准化拆分，优于常规基础方案）：（1）前期准备阶段：3日历天，完成场地清理、临设搭建、图纸会审、测量放线、材料报审全部工作；（2）基础施工阶段：按分项工程量固化工期，保质保量完成基础施工及隐蔽验收；（3）主体结构施工阶段：分段流水作业，按期完成主体施工、结构养护、工序验收；（4）收尾整改及验收阶段：2日历天完成全场清理、细部整改、资料归档、竣工验收。3、质量工期双控目标：所有节点完工合格率100%，杜绝返工误工，保障节点准时落地。)</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（2）施工进度计划（</w:t>
      </w: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Cs w:val="21"/>
          <w:lang w:bidi="ar"/>
          <w14:textFill>
            <w14:solidFill>
              <w14:schemeClr w14:val="tx1"/>
            </w14:solidFill>
          </w14:textFill>
        </w:rPr>
        <w:t>日进度量化管控:实行每日工程量定额化施工，每日明确施工内容、作业人数、完成工程量、验收标准，当日任务当日闭环。每日下班前由施工员、质量员联合核验完成率，日完成率必须达到100%，确保工期无积压、无滞后。2、周进度复盘纠偏:每周开展进度专题复盘，统计本周完成量、剩余工程量，量化对比计划值与实际值。出现偏差＞3%立即启动纠偏方案，增补人员、机械、工时，确保周进度归零偏差，杜绝小偏差累积成工期滞后。3、月进度总体考核:每月对照总进度计划进行节点考核，月度节点达标率100%，作为项目班组绩效考核硬性指标，以制度刚性保障进度稳定。4、关键线路锁定管控:梳理本项目施工关键线路，锁定核心工序工期，非关键工序错峰穿插施工，最大化压缩工期间歇，提升整体施工效率，相较常规进度计划更科学、更可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工期保证措施（措施一：人员定岗定量保障措施，项目全程配置足额持证管理人员，作业工种全员定岗定人，根据日施工工程量匹配对应作业人数。设置备用班组储备机制，遇抢工、人员轮换立即补位，确保施工人力无空档、无缺口，人力保障到位率100%。措施二：机械设备足额保障措施，根据施工进度计划提前配齐施工机械、机具设备，进场前全部调试检修完毕。现场预留备用机械设备，设备完好率保证100%，杜绝设备故障导致工期停滞，保障连续施工。措施三：材料提前备货保障措施，建立材料前置报审、提前采购、分批进场机制，所有主材、辅材提前3个工作日进场验收送检，杜绝材料短缺、检测滞后耽误施工工序，确保材料供应零延误。措施四：工序无缝衔接保障措施，严格执行工序交接验收制度，上道工序三检合格后立即移交下道工序，交接时长不超过4小时，最大限度压缩工序间歇时间，保障流水施工连续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1.2.4.3.质量保证措施：包含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质量目标(1、总体质量目标：项目整体施工质量100%符合国家现行施工验收规范及招标文件要求，一次性竣工验收合格率100%，杜绝不合格工程、杜绝返工整改遗留问题。2、分项工程质量目标：所有分部分项工程施工验收合格率100%，工序施工质量达标率100%，无质量通病、无结构性质量隐患。3、资料管控质量目标：施工资料、验收资料、质保资料同步施工、同步整理、同步归档，资料完整率、真实率、合规率100%，完全匹配工程施工实况。4、创优增量目标：在满足合格验收基础上，严控施工细部质量、观感质量、成型质量，全力打造标准化精品工程，远超基础合格验收的最低需求标准。)</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质量保证体系(1、一级管控（决策层）：项目经理为质量第一责任人，统筹项目整体质量管控工作，审批专项质量方案、把控关键质量节点、统筹质量问题整改复盘，对项目最终质量全权负责。2、二级管控（执行层）：配置专职技术负责人、质量员，全程常驻现场，负责技术交底、工序质检、隐患排查、质量验收、资料管控，落实全过程质量监督管控，实现质量管控无盲区。3、三级管控（作业层）：各施工班组组长为一线质量责任人，严格按照技术标准、施工规范组织作业，落实工序自检，把控施工细节，从源头杜绝质量问题。同时建立技术支撑、质检监督、过程管控、整改复盘、考核追责五位一体质量管控机制，实现施工全流程质量闭环管理，体系完整性、严谨性优于基础简易质保体系。)</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质量保证措施(1、前置技术交底质量管控措施,所有分项工程施工前，开展专项技术、质量双交底，交底覆盖所有管理人员及作业人员，交底签字率、培训通过率100%。明确施工工艺标准、质量偏差限值、验收要求，确保全员掌握质量管控标准，无交底遗漏、无标准模糊问题。2、工序三检闭环管控措施,严格落实自检、互检、专检三检制度，每道工序完成后必须逐级检验，验收合格、签字确认后方可进入下道工序。工序未验收、验收不合格严禁后续施工，工序验收覆盖率100%，质量问题整改销项率100%。3、原材料进场质量管控措施,所有进场材料、设备必须核验合格证、检测报告、资质资料，进场抽检送检率100%，不合格材料零进场、零使用。建立材料进场台账，全程溯源管控，从源头保障工程主材、辅材质量合规。4、全过程质量巡查管控措施,建立日常巡查、每周专项质检、每月全面质量复盘机制。质量员每日现场巡查不少于2次，重点核查工序施工精度、工艺合规性、成品质量，发现质量问题24小时内完成台账登记、整改、复查销项。)</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质量承诺(1、合规履约承诺：严格按照国家现行施工规范、设计图纸及招标文件质量要求施工，不偷工减料、不违规作业，所有施工工序合规合法，质量标准全程达标。2、验收达标承诺：承诺本项目所有分部分项工程验收合格，项目整体一次性竣工验收100%合格，全力达成既定质量目标。3、售后质保承诺：项目竣工交付后，严格履行质保义务，在质保期内对项目出现的非人为质量问题，免费维修、免费整改，及时响应甲方维保需求。)</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1.2.4.4.资源配备计划：包含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劳动力配备计划（1、管理人员配置：全程常驻持证项目经理、技术负责人、施工员、质量员、安全员、材料员、资料员，岗位配置齐全，全员持证上岗，在岗率100%，全程统筹管控项目施工。2、作业人员配置：根据前期准备、基础施工、主体施工、收尾验收各阶段工程量，动态配置对应专业作业工种，包含土建作业、安装作业、现场保洁、后勤保障等工种，工种配置全覆盖、无缺岗。3、人员进场计划：实行分批次、分阶段有序进场，施工前期配齐筹备及基础作业人员，施工高峰期足额增补作业人员，收尾阶段精简人员、保留专项整改人员，实现人力与施工进度精准匹配。4、人员管控标准：所有进场人员岗前培训率100%、安全技术交底率100%、持证上岗率100%，杜绝无证作业、违规作业，保障施工作业专业性与规范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材料配备计划（1、材料清单梳理：提前梳理项目全部施工材料清单，分类统计主材、辅材、防护材料、应急耗材用量，精准核算材料需求量，杜绝少配、漏配、多配问题。2、分批次进场计划：根据施工进度节点制定材料分批进场计划，核心主材提前3个工作日进场送检，常规辅材按需分批进场，应急耗材常备库存，确保材料供应与施工工序无缝衔接。3、材料质量管控：所有进场材料必须附带合格证、检测报告、出厂资质，进场抽检送检率100%，不合格材料严禁进场、严禁使用，材料合格利用率100%。4、现场存放管控：材料分类分区堆放，设置专属标识标牌，做好防潮、防尘、防晒、防损坏防护，建立材料出入库台账，全程溯源管控，杜绝材料浪费、丢失、损坏问题。）</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机械设备配备计划（1、设备配置清单：配齐施工所需测量设备、土方作业设备、浇筑设备、振捣设备、运输设备、辅助机具等全套机械设备，设备型号、性能适配本项目施工需求，适配率100%。2、设备进场计划：施工前期完成全部机械设备进场、安装、调试、校验，进场设备调试合格率100%，确保设备可随时投入作业；施工高峰期全程满负荷投入使用，收尾阶段按需留存设备。3、设备日常管控：建立机械设备每日检查、定期保养、专项检修机制，每日作业前核验设备工况，设备完好率、正常运行率100%，杜绝设备故障停工。4、测量设备校准：所有测量仪器定期合规校准，校准合格率100%，确保施工测量数据精准、无偏差，保障施工精度达标。）</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资源保障专项保证措施（措施一：劳动力动态调配保障措施，建立人力动态调配机制，根据施工进度、工序穿插、作业强度实时调整作业人员数量。设立专项备用作业班组，遇抢工、人员轮换、临时缺岗情况，2小时内完成人员补位，确保施工人力零缺口、作业无空档。措施二：材料双源头供应保障措施，核心主材采用“主供供应商+备用供应商”双源头供货模式，提前签订供货协议，明确供货时限、供货数量、质量标准。杜绝单一供应商断供、延期供货风险，确保材料按时、按量、按质持续供应，保障施工不停工、不滞后。措施三：材料库存应急保障措施，施工现场预留常用辅材、应急耗材安全库存，库存储量满足3日以上施工用量，应对突发供货延迟、物料损耗等突发情况，彻底规避材料短缺导致的工期延误问题，保障施工连续性。措施四：机械设备备用保障措施，关键施工机械设备配置同型号备用机具，作业设备出现故障时，立即启用备用设备替换，故障设备同步进场检修，设备替换衔接时长不超过1小时，杜绝设备故障造成施工停滞。）</w:t>
      </w:r>
    </w:p>
    <w:p>
      <w:pPr>
        <w:shd w:val="clear"/>
        <w:spacing w:line="360" w:lineRule="auto"/>
        <w:ind w:firstLine="630" w:firstLineChars="3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1.2.5各校区应急维修：</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1.2.5.1.施工方法及技术保证措施：包含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施工总体部署（1、工期部署：完全满足项目总工期及节点完工要求，四级工期管控体系：总工期控制、阶段工期控制、分项工期控制、日进度管控。每日统计施工完成量，每周开展进度复盘，对滞后工序制定专项纠偏措施，设置弹性工期余量，杜绝工期延误，相较基础工期规划，管控更精细、闭环性更强。2、施工分区部署：满足项目分区施工基本要求，在常规分区基础上升级为七区标准化布置：主体施工区、专项作业区、成品保护区、原材料分类堆放区、机械检修停放区、安全通行区、办公生活区。各区设置隔离围挡、标识标牌、排水及消防设施，实行分区专属管理，彻底规避交叉施工干扰，现场标准化管理水平优于采购基础要求。3、流水段划分：按照项目施工逻辑合理划分流水施工段，满足连续施工要求。新增流水段工序交接检收机制，明确各流水段工序衔接时限、交接标准、验收责任人，杜绝施工空档、工序脱节，保障施工连续性，解决常规流水施工管控松散的问题，管控标准优于基础需求。4、人力投入部署足额配置项目管理及作业人员，满足施工人力需求。额外增加人员动态调配及备用储备机制，根据施工进度动态增减作业人员，储备应急作业班组，同时落实全员岗前技术、安全双交底，保障施工人员专业性、稳定性，人力保障力度优于基础要求。）</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总体流程（1、前期准备阶段：完成场地清理、临建设施、图纸会审、测量放线、材料机械进场等基础准备工作。新增施工风险辨识、原材料前置送检、方案专项报审前置管控动作，从源头规避施工隐患。2、基础施工阶段：严格按照规范完成基底处理、垫层施工、基础结构浇筑、养护、验收全工序。落实工序自检、互检、专检制度，保障基础施工质量达标。3、主体结构施工阶段：按分层分段流水作业模式开展主体结构施工，严控结构尺寸、施工精度、结构稳定性，同步做好过程质量管控与安全防护。）</w:t>
      </w:r>
    </w:p>
    <w:p>
      <w:pPr>
        <w:shd w:val="clear"/>
        <w:spacing w:line="360" w:lineRule="auto"/>
        <w:ind w:firstLine="840" w:firstLineChars="4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各分部分项工程的施工技术工艺内容（1、场地平整及土方工程施工工艺：采用全站仪精准复测现场标高及施工边界，机械为主、人工为辅开展场地平整作业。土方开挖严格执行分层开挖、逐级修坡，杜绝超挖、欠挖；土方回填采用分层摊铺、分层夯实，每层厚度控制在规范范围内，夯实后进行压实度检测，合格后方可进入下道工序。配套落实基底排水、基底杂物清理技术措施，规避土方沉降、积水隐患。2、基层垫层施工工艺：垫层施工前复核基底平整度、压实度，清理浮土及积水。材料进场后核验材质指标，严格按照配合比拌合，均匀摊铺、机械整平、碾压密实。施工过程中严控垫层厚度、标高、坡度，成型后及时保湿养护，防止开裂、起砂，保障垫层整体强度及平整度满足后续施工要求。3、主体结构浇筑施工工艺：浇筑前完成模板、钢筋、预埋件隐蔽验收，彻底清理模内杂物。采用分层、分段、连续浇筑方式，配合振捣棒密实振捣，杜绝蜂窝、麻面、空洞等质量通病。严控浇筑速度与振捣间距，成型后及时覆盖保湿养护，根据环境温度调整养护时长，保障结构强度达标、外观成型规整。）</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1.2.5.2.施工总进度计划及工期：包含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工期目标（1、整体工期目标：严格按照招标人要求总工期竣工交付，不延期、不滞后、不误工。2、分阶段量化节点目标（标准化拆分，优于常规基础方案）：（1）前期准备阶段：3日历天，完成场地清理、临设搭建、图纸会审、测量放线、材料报审全部工作；（2）基础施工阶段：按分项工程量固化工期，保质保量完成基础施工及隐蔽验收；（3）主体结构施工阶段：分段流水作业，按期完成主体施工、结构养护、工序验收；（4）收尾整改及验收阶段：2日历天完成全场清理、细部整改、资料归档、竣工验收。3、质量工期双控目标：所有节点完工合格率100%，杜绝返工误工，保障节点准时落地。)</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（2）施工进度计划（</w:t>
      </w: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Cs w:val="21"/>
          <w:lang w:bidi="ar"/>
          <w14:textFill>
            <w14:solidFill>
              <w14:schemeClr w14:val="tx1"/>
            </w14:solidFill>
          </w14:textFill>
        </w:rPr>
        <w:t>日进度量化管控:实行每日工程量定额化施工，每日明确施工内容、作业人数、完成工程量、验收标准，当日任务当日闭环。每日下班前由施工员、质量员联合核验完成率，日完成率必须达到100%，确保工期无积压、无滞后。2、周进度复盘纠偏:每周开展进度专题复盘，统计本周完成量、剩余工程量，量化对比计划值与实际值。出现偏差＞3%立即启动纠偏方案，增补人员、机械、工时，确保周进度归零偏差，杜绝小偏差累积成工期滞后。3、月进度总体考核:每月对照总进度计划进行节点考核，月度节点达标率100%，作为项目班组绩效考核硬性指标，以制度刚性保障进度稳定。4、关键线路锁定管控:梳理本项目施工关键线路，锁定核心工序工期，非关键工序错峰穿插施工，最大化压缩工期间歇，提升整体施工效率，相较常规进度计划更科学、更可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工期保证措施（措施一：人员定岗定量保障措施，项目全程配置足额持证管理人员，作业工种全员定岗定人，根据日施工工程量匹配对应作业人数。设置备用班组储备机制，遇抢工、人员轮换立即补位，确保施工人力无空档、无缺口，人力保障到位率100%。措施二：机械设备足额保障措施，根据施工进度计划提前配齐施工机械、机具设备，进场前全部调试检修完毕。现场预留备用机械设备，设备完好率保证100%，杜绝设备故障导致工期停滞，保障连续施工。措施三：材料提前备货保障措施，建立材料前置报审、提前采购、分批进场机制，所有主材、辅材提前3个工作日进场验收送检，杜绝材料短缺、检测滞后耽误施工工序，确保材料供应零延误。措施四：工序无缝衔接保障措施，严格执行工序交接验收制度，上道工序三检合格后立即移交下道工序，交接时长不超过4小时，最大限度压缩工序间歇时间，保障流水施工连续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1.2.5.3.质量保证措施：包含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质量目标(1、总体质量目标：项目整体施工质量100%符合国家现行施工验收规范及招标文件要求，一次性竣工验收合格率100%，杜绝不合格工程、杜绝返工整改遗留问题。2、分项工程质量目标：所有分部分项工程施工验收合格率100%，工序施工质量达标率100%，无质量通病、无结构性质量隐患。3、资料管控质量目标：施工资料、验收资料、质保资料同步施工、同步整理、同步归档，资料完整率、真实率、合规率100%，完全匹配工程施工实况。4、创优增量目标：在满足合格验收基础上，严控施工细部质量、观感质量、成型质量，全力打造标准化精品工程，远超基础合格验收的最低需求标准。)</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质量保证体系(1、一级管控（决策层）：项目经理为质量第一责任人，统筹项目整体质量管控工作，审批专项质量方案、把控关键质量节点、统筹质量问题整改复盘，对项目最终质量全权负责。2、二级管控（执行层）：配置专职技术负责人、质量员，全程常驻现场，负责技术交底、工序质检、隐患排查、质量验收、资料管控，落实全过程质量监督管控，实现质量管控无盲区。3、三级管控（作业层）：各施工班组组长为一线质量责任人，严格按照技术标准、施工规范组织作业，落实工序自检，把控施工细节，从源头杜绝质量问题。同时建立技术支撑、质检监督、过程管控、整改复盘、考核追责五位一体质量管控机制，实现施工全流程质量闭环管理，体系完整性、严谨性优于基础简易质保体系。)</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质量保证措施(1、前置技术交底质量管控措施,所有分项工程施工前，开展专项技术、质量双交底，交底覆盖所有管理人员及作业人员，交底签字率、培训通过率100%。明确施工工艺标准、质量偏差限值、验收要求，确保全员掌握质量管控标准，无交底遗漏、无标准模糊问题。2、工序三检闭环管控措施,严格落实自检、互检、专检三检制度，每道工序完成后必须逐级检验，验收合格、签字确认后方可进入下道工序。工序未验收、验收不合格严禁后续施工，工序验收覆盖率100%，质量问题整改销项率100%。3、原材料进场质量管控措施,所有进场材料、设备必须核验合格证、检测报告、资质资料，进场抽检送检率100%，不合格材料零进场、零使用。建立材料进场台账，全程溯源管控，从源头保障工程主材、辅材质量合规。4、全过程质量巡查管控措施,建立日常巡查、每周专项质检、每月全面质量复盘机制。质量员每日现场巡查不少于2次，重点核查工序施工精度、工艺合规性、成品质量，发现质量问题24小时内完成台账登记、整改、复查销项。)</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质量承诺(1、合规履约承诺：严格按照国家现行施工规范、设计图纸及招标文件质量要求施工，不偷工减料、不违规作业，所有施工工序合规合法，质量标准全程达标。2、验收达标承诺：承诺本项目所有分部分项工程验收合格，项目整体一次性竣工验收100%合格，全力达成既定质量目标。3、售后质保承诺：项目竣工交付后，严格履行质保义务，在质保期内对项目出现的非人为质量问题，免费维修、免费整改，及时响应甲方维保需求。)</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1.2.5.4.资源配备计划：包含</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劳动力配备计划（1、管理人员配置：全程常驻持证项目经理、技术负责人、施工员、质量员、安全员、材料员、资料员，岗位配置齐全，全员持证上岗，在岗率100%，全程统筹管控项目施工。2、作业人员配置：根据前期准备、基础施工、主体施工、收尾验收各阶段工程量，动态配置对应专业作业工种，包含土建作业、安装作业、现场保洁、后勤保障等工种，工种配置全覆盖、无缺岗。3、人员进场计划：实行分批次、分阶段有序进场，施工前期配齐筹备及基础作业人员，施工高峰期足额增补作业人员，收尾阶段精简人员、保留专项整改人员，实现人力与施工进度精准匹配。4、人员管控标准：所有进场人员岗前培训率100%、安全技术交底率100%、持证上岗率100%，杜绝无证作业、违规作业，保障施工作业专业性与规范性。）</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材料配备计划（1、材料清单梳理：提前梳理项目全部施工材料清单，分类统计主材、辅材、防护材料、应急耗材用量，精准核算材料需求量，杜绝少配、漏配、多配问题。2、分批次进场计划：根据施工进度节点制定材料分批进场计划，核心主材提前3个工作日进场送检，常规辅材按需分批进场，应急耗材常备库存，确保材料供应与施工工序无缝衔接。3、材料质量管控：所有进场材料必须附带合格证、检测报告、出厂资质，进场抽检送检率100%，不合格材料严禁进场、严禁使用，材料合格利用率100%。4、现场存放管控：材料分类分区堆放，设置专属标识标牌，做好防潮、防尘、防晒、防损坏防护，建立材料出入库台账，全程溯源管控，杜绝材料浪费、丢失、损坏问题。）</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机械设备配备计划（1、设备配置清单：配齐施工所需测量设备、土方作业设备、浇筑设备、振捣设备、运输设备、辅助机具等全套机械设备，设备型号、性能适配本项目施工需求，适配率100%。2、设备进场计划：施工前期完成全部机械设备进场、安装、调试、校验，进场设备调试合格率100%，确保设备可随时投入作业；施工高峰期全程满负荷投入使用，收尾阶段按需留存设备。3、设备日常管控：建立机械设备每日检查、定期保养、专项检修机制，每日作业前核验设备工况，设备完好率、正常运行率100%，杜绝设备故障停工。4、测量设备校准：所有测量仪器定期合规校准，校准合格率100%，确保施工测量数据精准、无偏差，保障施工精度达标。）</w:t>
      </w:r>
    </w:p>
    <w:p>
      <w:pPr>
        <w:shd w:val="clear"/>
        <w:spacing w:line="360" w:lineRule="auto"/>
        <w:ind w:firstLine="1050" w:firstLineChars="500"/>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资源保障专项保证措施（措施一：劳动力动态调配保障措施，建立人力动态调配机制，根据施工进度、工序穿插、作业强度实时调整作业人员数量。设立专项备用作业班组，遇抢工、人员轮换、临时缺岗情况，2小时内完成人员补位，确保施工人力零缺口、作业无空档。措施二：材料双源头供应保障措施，核心主材采用“主供供应商+备用供应商”双源头供货模式，提前签订供货协议，明确供货时限、供货数量、质量标准。杜绝单一供应商断供、延期供货风险，确保材料按时、按量、按质持续供应，保障施工不停工、不滞后。措施三：材料库存应急保障措施，施工现场预留常用辅材、应急耗材安全库存，库存储量满足3日以上施工用量，应对突发供货延迟、物料损耗等突发情况，彻底规避材料短缺导致的工期延误问题，保障施工连续性。措施四：机械设备备用保障措施，关键施工机械设备配置同型号备用机具，作业设备出现故障时，立即启用备用设备替换，故障设备同步进场检修，设备替换衔接时长不超过1小时，杜绝设备故障造成施工停滞。）</w:t>
      </w:r>
    </w:p>
    <w:p>
      <w:pPr>
        <w:shd w:val="clear"/>
        <w:spacing w:line="360" w:lineRule="auto"/>
        <w:ind w:firstLine="630" w:firstLineChars="3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应急处理突发、不可预见性应急维修，由许多大小不一的子项目组成；给水主管突然爆裂，但学院水电组无能力及时抢修的内容；大功率开关突然损坏急需更换的内容；疏通清理堵塞的化粪池（处理物业承包范围以外）、隔油池、卫生间、排水管、粪管等，以及疏通清理所牵涉到开挖、换管、换洁具、回填、恢复等内容；协助采购人做好“三防”工作的内容；处理存在安全隐患的相关内容；应急抢修内容必须在采购人指定时间内完成相关抢修工作，成交供应商必须制定好应急抢修预案，做好抢修人员和抢修机械、设备和工具安排表，做好随时抢修准备。如果采购人交付应急抢修任务时，成交供应商答复无法按采购人指定时间完成的，采购人有权委托其他单位负责抢修，采购人必须承担相应的责任；</w:t>
      </w:r>
    </w:p>
    <w:p>
      <w:pPr>
        <w:numPr>
          <w:ilvl w:val="0"/>
          <w:numId w:val="1"/>
        </w:numPr>
        <w:shd w:val="clea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以上内容，不承诺全部包括，按采购人发展规划的实际需求、年度建设项目投资计划表和日常实际发生的情况而定；如实际有发生，学院承诺按照相关法律、法规、学院制度规定、流程将以上维修改造内容委托中标单位负责，但应急抢修内容除外。</w:t>
      </w:r>
    </w:p>
    <w:p>
      <w:pPr>
        <w:pStyle w:val="2"/>
        <w:widowControl/>
        <w:shd w:val="clear"/>
        <w:ind w:left="420" w:leftChars="200"/>
        <w:rPr>
          <w:color w:val="000000" w:themeColor="text1"/>
          <w14:textFill>
            <w14:solidFill>
              <w14:schemeClr w14:val="tx1"/>
            </w14:solidFill>
          </w14:textFill>
        </w:rPr>
      </w:pPr>
    </w:p>
    <w:p>
      <w:pPr>
        <w:shd w:val="clear"/>
        <w:spacing w:line="360" w:lineRule="auto"/>
        <w:ind w:firstLine="482" w:firstLineChars="20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三、项目要求：</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在签订合同后，七天内，成交供应商根据学院实际情况，制定《施工方案组织设计》、《应急抢修预案》、《安全生产管理制度》、《管理和维修人员联系表》，相关维修人员上岗操作证等资料，提供给采购人或其委托的监理单位审核；</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成交供应商必须严格按照已经确认的《施工方案组织设计》、《安全生产管理制度》组织施工和管理，保证在建项目施工质量和安全，并接受采购人或其委托的监理单位对工程质量、工期、安全、文明施工、环保及工地纪律的监督和管理；</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成交供应商要在合同履行期有固定的维修队伍，并囊括各个工种，电工、焊工和特种作业人员必须提供年审合格的上岗证，年审不合格或证件过期的不能上岗。为维修队伍配备统一工作制服和工作牌；</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成交供应商在工程施工期间，须严格遵守采购人的各项规章制度，由于管理不善，导致采购人的罚款和停工整改，由其发生的费用与损失由成交供应商自行承担，且采购人保留暂缓支付工程款的权利，以确保安全文明施工有效实行；</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成交供应商在工程施工期间，必须配备专职安全员，建立健全安全制度。成交供应商在施工期间，必须建立施工安全用电制度，确保施工用电设备的完好无损，并设置漏电保护装置；</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成交供应商必须为维修人员配备齐全的安全防护装备和设施，涉及高空、电气、电焊等危险作业时，必须做好安全技术交底工作和班前安全培训，做好工人安全防护和作业场地周边安全防护措施后，才能上岗操作；</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在签订合同后，采购人根据实际需要，每次向成交供应商发出项目内容的书面通知，成交供应商在收到通知后，应立即联系采购人或采购人委托的监理单位进行现场勘查、计量、确认维修故障问题，确定施工维修方案；</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成交供应商服从采购人和采购人委托的监理单位的管理；</w:t>
      </w:r>
    </w:p>
    <w:p>
      <w:pPr>
        <w:numPr>
          <w:ilvl w:val="0"/>
          <w:numId w:val="2"/>
        </w:num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合同结束时，办理整体项目最终竣工验收，成交供应商需收集、整理所有资料，经监理单位审核通过后，装订成册，一式肆份，提供采购人办理结算送审、存档。</w:t>
      </w:r>
    </w:p>
    <w:p>
      <w:pPr>
        <w:shd w:val="clear"/>
        <w:spacing w:line="360" w:lineRule="auto"/>
        <w:rPr>
          <w:b/>
          <w:color w:val="000000" w:themeColor="text1"/>
          <w:sz w:val="24"/>
          <w14:textFill>
            <w14:solidFill>
              <w14:schemeClr w14:val="tx1"/>
            </w14:solidFill>
          </w14:textFill>
        </w:rPr>
      </w:pPr>
    </w:p>
    <w:p>
      <w:pPr>
        <w:shd w:val="clear"/>
        <w:spacing w:line="360" w:lineRule="auto"/>
        <w:ind w:firstLine="482" w:firstLineChars="20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四、工程类型及派工方式：</w:t>
      </w:r>
    </w:p>
    <w:p>
      <w:p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1、工程类型：</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 xml:space="preserve">1.1 </w:t>
      </w:r>
      <w:r>
        <w:rPr>
          <w:rFonts w:hint="eastAsia" w:hAnsi="宋体" w:cs="宋体"/>
          <w:color w:val="000000" w:themeColor="text1"/>
          <w:szCs w:val="21"/>
          <w14:textFill>
            <w14:solidFill>
              <w14:schemeClr w14:val="tx1"/>
            </w14:solidFill>
          </w14:textFill>
        </w:rPr>
        <w:t>不可预见的项目：见项目内容</w:t>
      </w:r>
      <w:r>
        <w:rPr>
          <w:rFonts w:hAnsi="宋体"/>
          <w:color w:val="000000" w:themeColor="text1"/>
          <w:szCs w:val="21"/>
          <w14:textFill>
            <w14:solidFill>
              <w14:schemeClr w14:val="tx1"/>
            </w14:solidFill>
          </w14:textFill>
        </w:rPr>
        <w:t>1.</w:t>
      </w:r>
      <w:r>
        <w:rPr>
          <w:rFonts w:hint="eastAsia" w:hAnsi="宋体"/>
          <w:color w:val="000000" w:themeColor="text1"/>
          <w:szCs w:val="21"/>
          <w14:textFill>
            <w14:solidFill>
              <w14:schemeClr w14:val="tx1"/>
            </w14:solidFill>
          </w14:textFill>
        </w:rPr>
        <w:t>1</w:t>
      </w:r>
      <w:r>
        <w:rPr>
          <w:rFonts w:hint="eastAsia" w:hAnsi="宋体" w:cs="宋体"/>
          <w:color w:val="000000" w:themeColor="text1"/>
          <w:szCs w:val="21"/>
          <w14:textFill>
            <w14:solidFill>
              <w14:schemeClr w14:val="tx1"/>
            </w14:solidFill>
          </w14:textFill>
        </w:rPr>
        <w:t>条</w:t>
      </w:r>
    </w:p>
    <w:p>
      <w:p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2、派工方式：</w:t>
      </w:r>
    </w:p>
    <w:p>
      <w:pPr>
        <w:shd w:val="clear"/>
        <w:spacing w:line="360" w:lineRule="auto"/>
        <w:ind w:firstLine="420" w:firstLineChars="200"/>
        <w:jc w:val="left"/>
        <w:rPr>
          <w:rFonts w:hint="eastAsia" w:hAnsi="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2.1 </w:t>
      </w:r>
      <w:r>
        <w:rPr>
          <w:rFonts w:hint="eastAsia" w:ascii="Times New Roman" w:hAnsi="宋体" w:eastAsia="宋体" w:cs="宋体"/>
          <w:color w:val="000000" w:themeColor="text1"/>
          <w:szCs w:val="21"/>
          <w:lang w:bidi="ar"/>
          <w14:textFill>
            <w14:solidFill>
              <w14:schemeClr w14:val="tx1"/>
            </w14:solidFill>
          </w14:textFill>
        </w:rPr>
        <w:t>不可预见的项目：</w:t>
      </w:r>
    </w:p>
    <w:p>
      <w:pPr>
        <w:shd w:val="clear"/>
        <w:spacing w:line="360" w:lineRule="auto"/>
        <w:ind w:firstLine="420" w:firstLineChars="200"/>
        <w:jc w:val="left"/>
        <w:rPr>
          <w:rFonts w:hint="eastAsia" w:hAnsi="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2.2.1</w:t>
      </w:r>
      <w:r>
        <w:rPr>
          <w:rFonts w:hint="eastAsia" w:ascii="Times New Roman" w:hAnsi="宋体" w:eastAsia="宋体" w:cs="宋体"/>
          <w:color w:val="000000" w:themeColor="text1"/>
          <w:szCs w:val="21"/>
          <w:lang w:bidi="ar"/>
          <w14:textFill>
            <w14:solidFill>
              <w14:schemeClr w14:val="tx1"/>
            </w14:solidFill>
          </w14:textFill>
        </w:rPr>
        <w:t>四个校区零星维修分期实施：</w:t>
      </w:r>
    </w:p>
    <w:p>
      <w:p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ascii="Times New Roman" w:hAnsi="宋体" w:eastAsia="宋体" w:cs="Times New Roman"/>
          <w:color w:val="000000" w:themeColor="text1"/>
          <w:szCs w:val="21"/>
          <w:lang w:bidi="ar"/>
          <w14:textFill>
            <w14:solidFill>
              <w14:schemeClr w14:val="tx1"/>
            </w14:solidFill>
          </w14:textFill>
        </w:rPr>
        <w:t>1</w:t>
      </w:r>
      <w:r>
        <w:rPr>
          <w:rFonts w:hint="eastAsia" w:ascii="Times New Roman" w:hAnsi="宋体" w:eastAsia="宋体" w:cs="宋体"/>
          <w:color w:val="000000" w:themeColor="text1"/>
          <w:szCs w:val="21"/>
          <w:lang w:bidi="ar"/>
          <w14:textFill>
            <w14:solidFill>
              <w14:schemeClr w14:val="tx1"/>
            </w14:solidFill>
          </w14:textFill>
        </w:rPr>
        <w:t>）第一期为集中维修内容，</w:t>
      </w:r>
      <w:r>
        <w:rPr>
          <w:rFonts w:hint="eastAsia" w:ascii="宋体" w:hAnsi="宋体" w:eastAsia="宋体" w:cs="宋体"/>
          <w:color w:val="000000" w:themeColor="text1"/>
          <w:szCs w:val="21"/>
          <w:lang w:bidi="ar"/>
          <w14:textFill>
            <w14:solidFill>
              <w14:schemeClr w14:val="tx1"/>
            </w14:solidFill>
          </w14:textFill>
        </w:rPr>
        <w:t>采购人向成交供应商提供设计图纸或工程量确认单（没有设计图纸时）、预算书、预算审核报告等资料，成交供应商严格按照施工合同、设计图纸</w:t>
      </w:r>
      <w:r>
        <w:rPr>
          <w:rFonts w:hint="eastAsia" w:ascii="宋体" w:hAnsi="宋体" w:eastAsia="宋体" w:cs="Helvetica"/>
          <w:color w:val="000000" w:themeColor="text1"/>
          <w:kern w:val="0"/>
          <w:szCs w:val="21"/>
          <w:lang w:bidi="ar"/>
          <w14:textFill>
            <w14:solidFill>
              <w14:schemeClr w14:val="tx1"/>
            </w14:solidFill>
          </w14:textFill>
        </w:rPr>
        <w:t>或工程量确认单</w:t>
      </w:r>
      <w:r>
        <w:rPr>
          <w:rFonts w:hint="eastAsia" w:ascii="宋体" w:hAnsi="宋体" w:eastAsia="宋体" w:cs="宋体"/>
          <w:color w:val="000000" w:themeColor="text1"/>
          <w:szCs w:val="21"/>
          <w:lang w:bidi="ar"/>
          <w14:textFill>
            <w14:solidFill>
              <w14:schemeClr w14:val="tx1"/>
            </w14:solidFill>
          </w14:textFill>
        </w:rPr>
        <w:t>、预算审核报告等要求开展并完成项目内容；</w:t>
      </w:r>
    </w:p>
    <w:p>
      <w:p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2）每个校区</w:t>
      </w:r>
      <w:r>
        <w:rPr>
          <w:rFonts w:hint="eastAsia" w:ascii="宋体" w:hAnsi="宋体" w:eastAsia="宋体" w:cs="Helvetica"/>
          <w:color w:val="000000" w:themeColor="text1"/>
          <w:kern w:val="0"/>
          <w:szCs w:val="21"/>
          <w:lang w:bidi="ar"/>
          <w14:textFill>
            <w14:solidFill>
              <w14:schemeClr w14:val="tx1"/>
            </w14:solidFill>
          </w14:textFill>
        </w:rPr>
        <w:t>根据实际分期维修需求</w:t>
      </w:r>
      <w:r>
        <w:rPr>
          <w:rFonts w:hint="eastAsia" w:ascii="宋体" w:hAnsi="宋体" w:eastAsia="宋体" w:cs="宋体"/>
          <w:color w:val="000000" w:themeColor="text1"/>
          <w:szCs w:val="21"/>
          <w:lang w:bidi="ar"/>
          <w14:textFill>
            <w14:solidFill>
              <w14:schemeClr w14:val="tx1"/>
            </w14:solidFill>
          </w14:textFill>
        </w:rPr>
        <w:t>设置子项目，按实时维修后统计原则实施：</w:t>
      </w:r>
    </w:p>
    <w:p>
      <w:p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根据学院需求部门维修请示，成交供应商协同采购人或采购人委托的监理单位一起勘查现场，确认维修内容，维修方案（需要出设计图时，采购人可委托设计单位进行），成交供应商编制工程量清单确认单（具体明确维修内容、数量、位置）和施工预算，由监理单位、采购人审核确认后，由第三方造价咨询公司进行预算审核或预算编制：</w:t>
      </w:r>
    </w:p>
    <w:p>
      <w:pPr>
        <w:shd w:val="clea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①子项目施工预算价＜10万元时，采购人委托第三方造价咨询公司勘查现场，根据设计图纸或三方确认的工程量清单确认单、对</w:t>
      </w:r>
      <w:r>
        <w:rPr>
          <w:rFonts w:hint="eastAsia" w:ascii="宋体" w:hAnsi="宋体" w:eastAsia="宋体" w:cs="Helvetica"/>
          <w:color w:val="000000" w:themeColor="text1"/>
          <w:kern w:val="0"/>
          <w:szCs w:val="21"/>
          <w:lang w:bidi="ar"/>
          <w14:textFill>
            <w14:solidFill>
              <w14:schemeClr w14:val="tx1"/>
            </w14:solidFill>
          </w14:textFill>
        </w:rPr>
        <w:t>施工预算</w:t>
      </w:r>
      <w:r>
        <w:rPr>
          <w:rFonts w:hint="eastAsia" w:ascii="宋体" w:hAnsi="宋体" w:eastAsia="宋体" w:cs="宋体"/>
          <w:color w:val="000000" w:themeColor="text1"/>
          <w:szCs w:val="21"/>
          <w:lang w:bidi="ar"/>
          <w14:textFill>
            <w14:solidFill>
              <w14:schemeClr w14:val="tx1"/>
            </w14:solidFill>
          </w14:textFill>
        </w:rPr>
        <w:t>进行预算审核；</w:t>
      </w:r>
    </w:p>
    <w:p>
      <w:pPr>
        <w:shd w:val="clear"/>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②子项目施工预算价≥10万元时，采购人委托</w:t>
      </w:r>
      <w:r>
        <w:rPr>
          <w:rFonts w:hint="eastAsia" w:ascii="宋体" w:hAnsi="宋体" w:eastAsia="宋体" w:cs="Helvetica"/>
          <w:color w:val="000000" w:themeColor="text1"/>
          <w:kern w:val="0"/>
          <w:szCs w:val="21"/>
          <w:lang w:bidi="ar"/>
          <w14:textFill>
            <w14:solidFill>
              <w14:schemeClr w14:val="tx1"/>
            </w14:solidFill>
          </w14:textFill>
        </w:rPr>
        <w:t>第三方</w:t>
      </w:r>
      <w:r>
        <w:rPr>
          <w:rFonts w:hint="eastAsia" w:ascii="宋体" w:hAnsi="宋体" w:eastAsia="宋体" w:cs="宋体"/>
          <w:color w:val="000000" w:themeColor="text1"/>
          <w:szCs w:val="21"/>
          <w:lang w:bidi="ar"/>
          <w14:textFill>
            <w14:solidFill>
              <w14:schemeClr w14:val="tx1"/>
            </w14:solidFill>
          </w14:textFill>
        </w:rPr>
        <w:t>造价咨询公司勘查现场，根据设计图纸或</w:t>
      </w:r>
      <w:r>
        <w:rPr>
          <w:rFonts w:hint="eastAsia" w:ascii="宋体" w:hAnsi="宋体" w:eastAsia="宋体" w:cs="Helvetica"/>
          <w:color w:val="000000" w:themeColor="text1"/>
          <w:kern w:val="0"/>
          <w:szCs w:val="21"/>
          <w:lang w:bidi="ar"/>
          <w14:textFill>
            <w14:solidFill>
              <w14:schemeClr w14:val="tx1"/>
            </w14:solidFill>
          </w14:textFill>
        </w:rPr>
        <w:t>三方确认的工程量清单确认单、施工预算</w:t>
      </w:r>
      <w:r>
        <w:rPr>
          <w:rFonts w:hint="eastAsia" w:ascii="宋体" w:hAnsi="宋体" w:eastAsia="宋体" w:cs="宋体"/>
          <w:color w:val="000000" w:themeColor="text1"/>
          <w:szCs w:val="21"/>
          <w:lang w:bidi="ar"/>
          <w14:textFill>
            <w14:solidFill>
              <w14:schemeClr w14:val="tx1"/>
            </w14:solidFill>
          </w14:textFill>
        </w:rPr>
        <w:t>，重新编制预算书；由采购人上级单位委托的另</w:t>
      </w:r>
      <w:r>
        <w:rPr>
          <w:rFonts w:hint="eastAsia" w:ascii="宋体" w:hAnsi="宋体" w:eastAsia="宋体" w:cs="宋体"/>
          <w:color w:val="000000" w:themeColor="text1"/>
          <w:kern w:val="0"/>
          <w:szCs w:val="21"/>
          <w:lang w:bidi="ar"/>
          <w14:textFill>
            <w14:solidFill>
              <w14:schemeClr w14:val="tx1"/>
            </w14:solidFill>
          </w14:textFill>
        </w:rPr>
        <w:t>外一家造价咨询公司进行预算审核。</w:t>
      </w:r>
    </w:p>
    <w:p>
      <w:pPr>
        <w:shd w:val="clear"/>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2.2.2各校区应急维修：按实际发生应急情况设置子项目。</w:t>
      </w:r>
    </w:p>
    <w:p>
      <w:pPr>
        <w:pStyle w:val="2"/>
        <w:widowControl/>
        <w:shd w:val="clear"/>
        <w:rPr>
          <w:rFonts w:hint="eastAsia" w:hAnsi="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根据学院需求部门维修请示，</w:t>
      </w:r>
      <w:r>
        <w:rPr>
          <w:rFonts w:hint="eastAsia" w:ascii="宋体" w:hAnsi="宋体" w:cs="宋体"/>
          <w:color w:val="000000" w:themeColor="text1"/>
          <w:szCs w:val="21"/>
          <w:lang w:bidi="ar"/>
          <w14:textFill>
            <w14:solidFill>
              <w14:schemeClr w14:val="tx1"/>
            </w14:solidFill>
          </w14:textFill>
        </w:rPr>
        <w:t>成交供应商</w:t>
      </w:r>
      <w:r>
        <w:rPr>
          <w:rFonts w:hint="eastAsia" w:hAnsi="宋体" w:cs="宋体"/>
          <w:color w:val="000000" w:themeColor="text1"/>
          <w:szCs w:val="21"/>
          <w14:textFill>
            <w14:solidFill>
              <w14:schemeClr w14:val="tx1"/>
            </w14:solidFill>
          </w14:textFill>
        </w:rPr>
        <w:t>协同采购人或采购人委托的监理单位一起勘查现场，确认维修内容，维修方案后马上实施，抢修完工后，</w:t>
      </w:r>
      <w:r>
        <w:rPr>
          <w:rFonts w:hint="eastAsia" w:hAnsi="宋体" w:cs="Helvetica"/>
          <w:color w:val="000000" w:themeColor="text1"/>
          <w:szCs w:val="21"/>
          <w14:textFill>
            <w14:solidFill>
              <w14:schemeClr w14:val="tx1"/>
            </w14:solidFill>
          </w14:textFill>
        </w:rPr>
        <w:t>尽快</w:t>
      </w:r>
      <w:r>
        <w:rPr>
          <w:rFonts w:hint="eastAsia" w:hAnsi="宋体" w:cs="宋体"/>
          <w:color w:val="000000" w:themeColor="text1"/>
          <w:szCs w:val="21"/>
          <w14:textFill>
            <w14:solidFill>
              <w14:schemeClr w14:val="tx1"/>
            </w14:solidFill>
          </w14:textFill>
        </w:rPr>
        <w:t>补充工程量</w:t>
      </w:r>
      <w:r>
        <w:rPr>
          <w:rFonts w:hint="eastAsia" w:hAnsi="宋体" w:cs="Helvetica"/>
          <w:color w:val="000000" w:themeColor="text1"/>
          <w:szCs w:val="21"/>
          <w14:textFill>
            <w14:solidFill>
              <w14:schemeClr w14:val="tx1"/>
            </w14:solidFill>
          </w14:textFill>
        </w:rPr>
        <w:t>清单确认书</w:t>
      </w:r>
      <w:r>
        <w:rPr>
          <w:rFonts w:hint="eastAsia" w:hAnsi="宋体" w:cs="宋体"/>
          <w:color w:val="000000" w:themeColor="text1"/>
          <w:szCs w:val="21"/>
          <w14:textFill>
            <w14:solidFill>
              <w14:schemeClr w14:val="tx1"/>
            </w14:solidFill>
          </w14:textFill>
        </w:rPr>
        <w:t>（具体明确维修内容、数量、位置）、施工预算，由监理单位、</w:t>
      </w:r>
      <w:r>
        <w:rPr>
          <w:rFonts w:hint="eastAsia" w:hAnsi="宋体" w:cs="Helvetica"/>
          <w:color w:val="000000" w:themeColor="text1"/>
          <w:szCs w:val="21"/>
          <w14:textFill>
            <w14:solidFill>
              <w14:schemeClr w14:val="tx1"/>
            </w14:solidFill>
          </w14:textFill>
        </w:rPr>
        <w:t>采购人</w:t>
      </w:r>
      <w:r>
        <w:rPr>
          <w:rFonts w:hint="eastAsia" w:hAnsi="宋体" w:cs="宋体"/>
          <w:color w:val="000000" w:themeColor="text1"/>
          <w:szCs w:val="21"/>
          <w14:textFill>
            <w14:solidFill>
              <w14:schemeClr w14:val="tx1"/>
            </w14:solidFill>
          </w14:textFill>
        </w:rPr>
        <w:t>审核确认</w:t>
      </w:r>
      <w:r>
        <w:rPr>
          <w:rFonts w:hint="eastAsia" w:hAnsi="宋体" w:cs="Helvetica"/>
          <w:color w:val="000000" w:themeColor="text1"/>
          <w:szCs w:val="21"/>
          <w14:textFill>
            <w14:solidFill>
              <w14:schemeClr w14:val="tx1"/>
            </w14:solidFill>
          </w14:textFill>
        </w:rPr>
        <w:t>后</w:t>
      </w:r>
      <w:r>
        <w:rPr>
          <w:rFonts w:hint="eastAsia" w:hAnsi="宋体" w:cs="宋体"/>
          <w:color w:val="000000" w:themeColor="text1"/>
          <w:szCs w:val="21"/>
          <w14:textFill>
            <w14:solidFill>
              <w14:schemeClr w14:val="tx1"/>
            </w14:solidFill>
          </w14:textFill>
        </w:rPr>
        <w:t>，</w:t>
      </w:r>
      <w:r>
        <w:rPr>
          <w:rFonts w:hint="eastAsia" w:hAnsi="宋体" w:cs="Helvetica"/>
          <w:color w:val="000000" w:themeColor="text1"/>
          <w:szCs w:val="21"/>
          <w14:textFill>
            <w14:solidFill>
              <w14:schemeClr w14:val="tx1"/>
            </w14:solidFill>
          </w14:textFill>
        </w:rPr>
        <w:t>后期尽快</w:t>
      </w:r>
      <w:r>
        <w:rPr>
          <w:rFonts w:hint="eastAsia" w:hAnsi="宋体" w:cs="宋体"/>
          <w:color w:val="000000" w:themeColor="text1"/>
          <w:szCs w:val="21"/>
          <w14:textFill>
            <w14:solidFill>
              <w14:schemeClr w14:val="tx1"/>
            </w14:solidFill>
          </w14:textFill>
        </w:rPr>
        <w:t>将所有资料提交第三方造价咨询公司</w:t>
      </w:r>
      <w:r>
        <w:rPr>
          <w:rFonts w:hint="eastAsia" w:hAnsi="宋体" w:cs="Helvetica"/>
          <w:color w:val="000000" w:themeColor="text1"/>
          <w:szCs w:val="21"/>
          <w14:textFill>
            <w14:solidFill>
              <w14:schemeClr w14:val="tx1"/>
            </w14:solidFill>
          </w14:textFill>
        </w:rPr>
        <w:t>进行</w:t>
      </w:r>
      <w:r>
        <w:rPr>
          <w:rFonts w:hint="eastAsia" w:hAnsi="宋体" w:cs="宋体"/>
          <w:color w:val="000000" w:themeColor="text1"/>
          <w:szCs w:val="21"/>
          <w14:textFill>
            <w14:solidFill>
              <w14:schemeClr w14:val="tx1"/>
            </w14:solidFill>
          </w14:textFill>
        </w:rPr>
        <w:t>预算</w:t>
      </w:r>
      <w:r>
        <w:rPr>
          <w:rFonts w:hint="eastAsia" w:hAnsi="宋体" w:cs="Helvetica"/>
          <w:color w:val="000000" w:themeColor="text1"/>
          <w:szCs w:val="21"/>
          <w14:textFill>
            <w14:solidFill>
              <w14:schemeClr w14:val="tx1"/>
            </w14:solidFill>
          </w14:textFill>
        </w:rPr>
        <w:t>审核</w:t>
      </w:r>
      <w:r>
        <w:rPr>
          <w:rFonts w:hint="eastAsia" w:hAnsi="宋体" w:cs="宋体"/>
          <w:color w:val="000000" w:themeColor="text1"/>
          <w:szCs w:val="21"/>
          <w14:textFill>
            <w14:solidFill>
              <w14:schemeClr w14:val="tx1"/>
            </w14:solidFill>
          </w14:textFill>
        </w:rPr>
        <w:t>或预算</w:t>
      </w:r>
      <w:r>
        <w:rPr>
          <w:rFonts w:hint="eastAsia" w:hAnsi="宋体" w:cs="Helvetica"/>
          <w:color w:val="000000" w:themeColor="text1"/>
          <w:szCs w:val="21"/>
          <w14:textFill>
            <w14:solidFill>
              <w14:schemeClr w14:val="tx1"/>
            </w14:solidFill>
          </w14:textFill>
        </w:rPr>
        <w:t>编制</w:t>
      </w:r>
      <w:r>
        <w:rPr>
          <w:rFonts w:hint="eastAsia" w:hAnsi="宋体" w:cs="宋体"/>
          <w:color w:val="000000" w:themeColor="text1"/>
          <w:szCs w:val="21"/>
          <w14:textFill>
            <w14:solidFill>
              <w14:schemeClr w14:val="tx1"/>
            </w14:solidFill>
          </w14:textFill>
        </w:rPr>
        <w:t>：</w:t>
      </w:r>
    </w:p>
    <w:p>
      <w:pPr>
        <w:shd w:val="clear"/>
        <w:spacing w:line="360" w:lineRule="auto"/>
        <w:ind w:firstLine="42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1）子项目施工预算价＜10万元时，采购人委托第三方造价咨询公司，根据维修方案或</w:t>
      </w:r>
      <w:r>
        <w:rPr>
          <w:rFonts w:hint="eastAsia" w:ascii="宋体" w:hAnsi="宋体" w:eastAsia="宋体" w:cs="Helvetica"/>
          <w:color w:val="000000" w:themeColor="text1"/>
          <w:kern w:val="0"/>
          <w:szCs w:val="21"/>
          <w:lang w:bidi="ar"/>
          <w14:textFill>
            <w14:solidFill>
              <w14:schemeClr w14:val="tx1"/>
            </w14:solidFill>
          </w14:textFill>
        </w:rPr>
        <w:t>三方确认的工程量清单确认单、对施工预算</w:t>
      </w:r>
      <w:r>
        <w:rPr>
          <w:rFonts w:hint="eastAsia" w:ascii="宋体" w:hAnsi="宋体" w:eastAsia="宋体" w:cs="宋体"/>
          <w:color w:val="000000" w:themeColor="text1"/>
          <w:szCs w:val="21"/>
          <w:lang w:bidi="ar"/>
          <w14:textFill>
            <w14:solidFill>
              <w14:schemeClr w14:val="tx1"/>
            </w14:solidFill>
          </w14:textFill>
        </w:rPr>
        <w:t>进行预算审核；</w:t>
      </w:r>
    </w:p>
    <w:p>
      <w:pPr>
        <w:shd w:val="clear"/>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2）子项目施工预算价≥10万元时，采购人委托造价咨询公司，根据设计图纸或</w:t>
      </w:r>
      <w:r>
        <w:rPr>
          <w:rFonts w:hint="eastAsia" w:ascii="宋体" w:hAnsi="宋体" w:eastAsia="宋体" w:cs="Helvetica"/>
          <w:color w:val="000000" w:themeColor="text1"/>
          <w:kern w:val="0"/>
          <w:szCs w:val="21"/>
          <w:lang w:bidi="ar"/>
          <w14:textFill>
            <w14:solidFill>
              <w14:schemeClr w14:val="tx1"/>
            </w14:solidFill>
          </w14:textFill>
        </w:rPr>
        <w:t>三方确认的工程量清单确</w:t>
      </w:r>
      <w:r>
        <w:rPr>
          <w:rFonts w:hint="eastAsia" w:ascii="宋体" w:hAnsi="宋体" w:eastAsia="宋体" w:cs="宋体"/>
          <w:color w:val="000000" w:themeColor="text1"/>
          <w:szCs w:val="21"/>
          <w:lang w:bidi="ar"/>
          <w14:textFill>
            <w14:solidFill>
              <w14:schemeClr w14:val="tx1"/>
            </w14:solidFill>
          </w14:textFill>
        </w:rPr>
        <w:t>认单、施工预算，重新编制预算书；由采购人上级单位委托的另外一家造价咨询公司进行预算审核。</w:t>
      </w: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五、报价方式</w:t>
      </w:r>
    </w:p>
    <w:p>
      <w:pPr>
        <w:shd w:val="clear"/>
        <w:tabs>
          <w:tab w:val="left" w:pos="1145"/>
        </w:tabs>
        <w:spacing w:line="360" w:lineRule="auto"/>
        <w:ind w:firstLine="420" w:firstLineChars="200"/>
        <w:rPr>
          <w:rFonts w:hint="eastAsia" w:ascii="宋体" w:hAnsi="宋体" w:eastAsia="宋体" w:cs="宋体"/>
          <w:color w:val="000000" w:themeColor="text1"/>
          <w:lang w:bidi="ar"/>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★供应商报出统一的响应折扣（单位：%）。响应折扣必须为固定报价，不接受区间报价（如80%-90%），0＜响应折扣≤100％。</w:t>
      </w:r>
    </w:p>
    <w:p>
      <w:pPr>
        <w:shd w:val="clear"/>
        <w:tabs>
          <w:tab w:val="left" w:pos="1145"/>
        </w:tabs>
        <w:spacing w:line="360" w:lineRule="auto"/>
        <w:ind w:firstLine="420" w:firstLineChars="200"/>
        <w:rPr>
          <w:rFonts w:hint="eastAsia" w:ascii="宋体" w:hAnsi="宋体" w:eastAsia="宋体" w:cs="宋体"/>
          <w:color w:val="000000" w:themeColor="text1"/>
          <w:lang w:bidi="ar"/>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结算价=基准价×供应商的响应折扣。</w:t>
      </w:r>
    </w:p>
    <w:p>
      <w:pPr>
        <w:shd w:val="clear"/>
        <w:tabs>
          <w:tab w:val="left" w:pos="1145"/>
        </w:tabs>
        <w:spacing w:line="360" w:lineRule="auto"/>
        <w:ind w:firstLine="420" w:firstLineChars="200"/>
        <w:rPr>
          <w:rFonts w:hint="eastAsia" w:ascii="宋体" w:hAnsi="宋体" w:eastAsia="宋体" w:cs="宋体"/>
          <w:color w:val="000000" w:themeColor="text1"/>
          <w14:textFill>
            <w14:solidFill>
              <w14:schemeClr w14:val="tx1"/>
            </w14:solidFill>
          </w14:textFill>
        </w:rPr>
      </w:pPr>
    </w:p>
    <w:p>
      <w:pPr>
        <w:pStyle w:val="6"/>
        <w:widowControl/>
        <w:shd w:val="clear"/>
        <w:ind w:left="0" w:firstLineChars="2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定额采用《广东省房屋建筑与装饰工程综合定额（2018年）》、《广东省通用安装工程综合定额（2018年）》、《广东省市政工程综合定额（2018年）》、《广东省园林绿化工程综合定额（2018年）》、《广东省建设工程施工机具台班费用编制规则（2018年）》以及施工当时广东省与广州市有效的有关补充规定、补充定额和有关计费的补充文件；当上述定额中均没有相应子目的，则可采用《广东省房屋建筑和市政修缮工程综合定额（2012年）》；若《广东省房屋建筑和市政修缮工程综合定额（2012年）》仍没有相应子目的，则由</w:t>
      </w:r>
      <w:r>
        <w:rPr>
          <w:rFonts w:hint="eastAsia" w:ascii="宋体" w:hAnsi="宋体" w:cs="宋体"/>
          <w:color w:val="000000" w:themeColor="text1"/>
          <w:kern w:val="2"/>
          <w:sz w:val="21"/>
          <w:szCs w:val="21"/>
          <w:lang w:bidi="ar"/>
          <w14:textFill>
            <w14:solidFill>
              <w14:schemeClr w14:val="tx1"/>
            </w14:solidFill>
          </w14:textFill>
        </w:rPr>
        <w:t>成交供应商</w:t>
      </w:r>
      <w:r>
        <w:rPr>
          <w:rFonts w:hint="eastAsia" w:ascii="宋体" w:hAnsi="宋体" w:cs="宋体"/>
          <w:color w:val="000000" w:themeColor="text1"/>
          <w:sz w:val="21"/>
          <w:szCs w:val="21"/>
          <w14:textFill>
            <w14:solidFill>
              <w14:schemeClr w14:val="tx1"/>
            </w14:solidFill>
          </w14:textFill>
        </w:rPr>
        <w:t>报给采购人审定。</w:t>
      </w:r>
    </w:p>
    <w:p>
      <w:pPr>
        <w:pStyle w:val="6"/>
        <w:widowControl/>
        <w:shd w:val="clear"/>
        <w:ind w:left="0" w:firstLineChars="2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主要材料价格执行施工当时最新季度的《广州地区建设工程常用材料综合价格》执行；如其缺项，则按照上一季度《广州地区建设工程材料（设备）厂商价格信息》执行。若以上两者均缺项，则按同季度同档次品牌确定材料价格，若同季度无同档次品牌，则由</w:t>
      </w:r>
      <w:r>
        <w:rPr>
          <w:rFonts w:hint="eastAsia" w:ascii="宋体" w:hAnsi="宋体" w:cs="宋体"/>
          <w:color w:val="000000" w:themeColor="text1"/>
          <w:kern w:val="2"/>
          <w:sz w:val="21"/>
          <w:szCs w:val="21"/>
          <w:lang w:bidi="ar"/>
          <w14:textFill>
            <w14:solidFill>
              <w14:schemeClr w14:val="tx1"/>
            </w14:solidFill>
          </w14:textFill>
        </w:rPr>
        <w:t>成交供应商</w:t>
      </w:r>
      <w:r>
        <w:rPr>
          <w:rFonts w:hint="eastAsia" w:ascii="宋体" w:hAnsi="宋体"/>
          <w:color w:val="000000" w:themeColor="text1"/>
          <w:sz w:val="21"/>
          <w:szCs w:val="21"/>
          <w14:textFill>
            <w14:solidFill>
              <w14:schemeClr w14:val="tx1"/>
            </w14:solidFill>
          </w14:textFill>
        </w:rPr>
        <w:t>报给采购人审定。</w:t>
      </w:r>
    </w:p>
    <w:p>
      <w:pPr>
        <w:pStyle w:val="6"/>
        <w:widowControl/>
        <w:shd w:val="clear"/>
        <w:ind w:left="0" w:firstLineChars="2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4、最终变更单价＝按上述第①项和第②项要求编制的变更单价。</w:t>
      </w:r>
    </w:p>
    <w:p>
      <w:pPr>
        <w:pStyle w:val="6"/>
        <w:widowControl/>
        <w:shd w:val="clear"/>
        <w:ind w:left="0" w:firstLineChars="200"/>
        <w:rPr>
          <w:rFonts w:hint="eastAsia"/>
          <w:color w:val="000000" w:themeColor="text1"/>
          <w:sz w:val="21"/>
          <w:szCs w:val="21"/>
          <w14:textFill>
            <w14:solidFill>
              <w14:schemeClr w14:val="tx1"/>
            </w14:solidFill>
          </w14:textFill>
        </w:rPr>
      </w:pPr>
      <w:r>
        <w:rPr>
          <w:rFonts w:hAnsi="宋体" w:cs="宋体"/>
          <w:color w:val="000000" w:themeColor="text1"/>
          <w:sz w:val="21"/>
          <w:szCs w:val="21"/>
          <w14:textFill>
            <w14:solidFill>
              <w14:schemeClr w14:val="tx1"/>
            </w14:solidFill>
          </w14:textFill>
        </w:rPr>
        <w:t>5</w:t>
      </w:r>
      <w:r>
        <w:rPr>
          <w:rFonts w:hint="eastAsia" w:hAnsi="宋体" w:cs="宋体"/>
          <w:color w:val="000000" w:themeColor="text1"/>
          <w:sz w:val="21"/>
          <w:szCs w:val="21"/>
          <w14:textFill>
            <w14:solidFill>
              <w14:schemeClr w14:val="tx1"/>
            </w14:solidFill>
          </w14:textFill>
        </w:rPr>
        <w:t>、最终结算价</w:t>
      </w:r>
      <w:r>
        <w:rPr>
          <w:rFonts w:hAnsi="宋体" w:cs="宋体"/>
          <w:color w:val="000000" w:themeColor="text1"/>
          <w:sz w:val="21"/>
          <w:szCs w:val="21"/>
          <w14:textFill>
            <w14:solidFill>
              <w14:schemeClr w14:val="tx1"/>
            </w14:solidFill>
          </w14:textFill>
        </w:rPr>
        <w:t>=</w:t>
      </w:r>
      <w:r>
        <w:rPr>
          <w:rFonts w:hint="eastAsia" w:hAnsi="宋体" w:cs="宋体"/>
          <w:color w:val="000000" w:themeColor="text1"/>
          <w:sz w:val="21"/>
          <w:szCs w:val="21"/>
          <w14:textFill>
            <w14:solidFill>
              <w14:schemeClr w14:val="tx1"/>
            </w14:solidFill>
          </w14:textFill>
        </w:rPr>
        <w:t>所有子项目结算审定价总和。</w:t>
      </w:r>
    </w:p>
    <w:p>
      <w:pPr>
        <w:pStyle w:val="2"/>
        <w:widowControl/>
        <w:shd w:val="clear"/>
        <w:rPr>
          <w:color w:val="000000" w:themeColor="text1"/>
          <w14:textFill>
            <w14:solidFill>
              <w14:schemeClr w14:val="tx1"/>
            </w14:solidFill>
          </w14:textFill>
        </w:rPr>
      </w:pPr>
      <w:r>
        <w:rPr>
          <w:rFonts w:hint="eastAsia" w:cs="宋体"/>
          <w:color w:val="000000" w:themeColor="text1"/>
          <w14:textFill>
            <w14:solidFill>
              <w14:schemeClr w14:val="tx1"/>
            </w14:solidFill>
          </w14:textFill>
        </w:rPr>
        <w:t>备注：</w:t>
      </w:r>
    </w:p>
    <w:p>
      <w:pPr>
        <w:pStyle w:val="2"/>
        <w:widowControl/>
        <w:shd w:val="clear"/>
        <w:rPr>
          <w:color w:val="000000" w:themeColor="text1"/>
          <w14:textFill>
            <w14:solidFill>
              <w14:schemeClr w14:val="tx1"/>
            </w14:solidFill>
          </w14:textFill>
        </w:rPr>
      </w:pPr>
      <w:r>
        <w:rPr>
          <w:rFonts w:hint="eastAsia" w:hAnsi="宋体" w:cs="宋体"/>
          <w:color w:val="000000" w:themeColor="text1"/>
          <w:szCs w:val="21"/>
          <w14:textFill>
            <w14:solidFill>
              <w14:schemeClr w14:val="tx1"/>
            </w14:solidFill>
          </w14:textFill>
        </w:rPr>
        <w:t>①</w:t>
      </w:r>
      <w:r>
        <w:rPr>
          <w:rFonts w:hint="eastAsia" w:cs="宋体"/>
          <w:color w:val="000000" w:themeColor="text1"/>
          <w14:textFill>
            <w14:solidFill>
              <w14:schemeClr w14:val="tx1"/>
            </w14:solidFill>
          </w14:textFill>
        </w:rPr>
        <w:t>四个校区零星维修项目由于任务紧，时间紧原因，如果采购人能提前提供设计图纸和预算审核报告，则需严格按设计图纸和预算审核报告内容施工，预算审核报告综合单价固定不变。如果无法提供设计图纸的，需要</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现场计量出具</w:t>
      </w:r>
      <w:r>
        <w:rPr>
          <w:rFonts w:hint="eastAsia" w:hAnsi="宋体" w:cs="宋体"/>
          <w:color w:val="000000" w:themeColor="text1"/>
          <w:szCs w:val="21"/>
          <w14:textFill>
            <w14:solidFill>
              <w14:schemeClr w14:val="tx1"/>
            </w14:solidFill>
          </w14:textFill>
        </w:rPr>
        <w:t>工程量清单确定书、</w:t>
      </w:r>
      <w:r>
        <w:rPr>
          <w:rFonts w:hint="eastAsia" w:cs="宋体"/>
          <w:color w:val="000000" w:themeColor="text1"/>
          <w14:textFill>
            <w14:solidFill>
              <w14:schemeClr w14:val="tx1"/>
            </w14:solidFill>
          </w14:textFill>
        </w:rPr>
        <w:t>施工预算，监理单位及采购人审核确认后，由第三方造价咨询公司进行审核，出具预算审核报告后马上组织施工（当</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与预算审核单位对数，可能部分零星维修内容难以界定合理价格，而</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提供依据不足，无法说服审核人员，导致预算审核报告综合单价偏低时，</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应认可，不能拖延时间，也不能拒绝后期委托的维修任务）。</w:t>
      </w:r>
    </w:p>
    <w:p>
      <w:pPr>
        <w:pStyle w:val="2"/>
        <w:widowControl/>
        <w:shd w:val="clear"/>
        <w:rPr>
          <w:rFonts w:hint="eastAsia" w:hAnsi="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②本项目所有子项目不一定套用维修定额，具体套用哪种定额由第三方造价咨询公司确定，供应商必须认可。</w:t>
      </w:r>
    </w:p>
    <w:p>
      <w:pPr>
        <w:pStyle w:val="2"/>
        <w:widowControl/>
        <w:shd w:val="clear"/>
        <w:rPr>
          <w:color w:val="000000" w:themeColor="text1"/>
          <w14:textFill>
            <w14:solidFill>
              <w14:schemeClr w14:val="tx1"/>
            </w14:solidFill>
          </w14:textFill>
        </w:rPr>
      </w:pPr>
      <w:r>
        <w:rPr>
          <w:rFonts w:hint="eastAsia" w:hAnsi="宋体" w:cs="宋体"/>
          <w:color w:val="000000" w:themeColor="text1"/>
          <w:szCs w:val="21"/>
          <w14:textFill>
            <w14:solidFill>
              <w14:schemeClr w14:val="tx1"/>
            </w14:solidFill>
          </w14:textFill>
        </w:rPr>
        <w:t>③</w:t>
      </w:r>
      <w:r>
        <w:rPr>
          <w:rFonts w:hint="eastAsia" w:cs="宋体"/>
          <w:color w:val="000000" w:themeColor="text1"/>
          <w14:textFill>
            <w14:solidFill>
              <w14:schemeClr w14:val="tx1"/>
            </w14:solidFill>
          </w14:textFill>
        </w:rPr>
        <w:t>供应商必须合理考虑折扣率，盈亏自负。</w:t>
      </w:r>
    </w:p>
    <w:p>
      <w:pPr>
        <w:pStyle w:val="2"/>
        <w:widowControl/>
        <w:shd w:val="clear"/>
        <w:rPr>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④</w:t>
      </w:r>
      <w:r>
        <w:rPr>
          <w:rFonts w:hint="eastAsia" w:cs="宋体"/>
          <w:color w:val="000000" w:themeColor="text1"/>
          <w14:textFill>
            <w14:solidFill>
              <w14:schemeClr w14:val="tx1"/>
            </w14:solidFill>
          </w14:textFill>
        </w:rPr>
        <w:t>如不能接受备注以上条件的，请不要参与响应，如已参与响应的，默认视为同意，不能以任何理由推脱，拒绝接收维修任务。</w:t>
      </w: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六、预算价格包括：</w:t>
      </w:r>
    </w:p>
    <w:p>
      <w:pPr>
        <w:shd w:val="clear"/>
        <w:tabs>
          <w:tab w:val="left" w:pos="425"/>
        </w:tabs>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1、人工费、材料费、机械费、管理费、利润、项目措施费、规费、税金、配合费、暂列金以及施工合同包含的所有风险、责任等各项应有费用；</w:t>
      </w:r>
    </w:p>
    <w:p>
      <w:pPr>
        <w:shd w:val="clear"/>
        <w:tabs>
          <w:tab w:val="left" w:pos="425"/>
        </w:tabs>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2、招标范围内所有设备及配件费；</w:t>
      </w:r>
    </w:p>
    <w:p>
      <w:pPr>
        <w:shd w:val="clear"/>
        <w:tabs>
          <w:tab w:val="left" w:pos="425"/>
        </w:tabs>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3、安装中的相关费用（包括安装过程中损耗、额外材料等）；</w:t>
      </w:r>
    </w:p>
    <w:p>
      <w:pPr>
        <w:shd w:val="clear"/>
        <w:tabs>
          <w:tab w:val="left" w:pos="425"/>
        </w:tabs>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4、人员培训和售后服务的相关费用；</w:t>
      </w:r>
    </w:p>
    <w:p>
      <w:pPr>
        <w:shd w:val="clear"/>
        <w:tabs>
          <w:tab w:val="left" w:pos="425"/>
        </w:tabs>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5、所有预算价都以第三方造价咨询公司编制的预算审核报告为准；</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6</w:t>
      </w:r>
      <w:r>
        <w:rPr>
          <w:rFonts w:hint="eastAsia" w:hAnsi="宋体" w:cs="宋体"/>
          <w:color w:val="000000" w:themeColor="text1"/>
          <w:szCs w:val="21"/>
          <w14:textFill>
            <w14:solidFill>
              <w14:schemeClr w14:val="tx1"/>
            </w14:solidFill>
          </w14:textFill>
        </w:rPr>
        <w:t>、本项目所有子项目不一定套用维修定额，具体套用哪种定额由第三方造价咨询公司确定。</w:t>
      </w:r>
    </w:p>
    <w:p>
      <w:pPr>
        <w:pStyle w:val="2"/>
        <w:widowControl/>
        <w:shd w:val="clear"/>
        <w:rPr>
          <w:rFonts w:hint="eastAsia" w:hAnsi="宋体"/>
          <w:color w:val="000000" w:themeColor="text1"/>
          <w:szCs w:val="21"/>
          <w14:textFill>
            <w14:solidFill>
              <w14:schemeClr w14:val="tx1"/>
            </w14:solidFill>
          </w14:textFill>
        </w:rPr>
      </w:pP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七、发包方式：</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对招标范围内的项目包图纸、包项目内容清单、包人工、包材料、包余泥排放、包保险、包质量、包工期、包安全、包文明施工。</w:t>
      </w:r>
    </w:p>
    <w:p>
      <w:pPr>
        <w:pStyle w:val="2"/>
        <w:widowControl/>
        <w:shd w:val="clear"/>
        <w:rPr>
          <w:color w:val="000000" w:themeColor="text1"/>
          <w14:textFill>
            <w14:solidFill>
              <w14:schemeClr w14:val="tx1"/>
            </w14:solidFill>
          </w14:textFill>
        </w:rPr>
      </w:pP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八、服务期：</w:t>
      </w:r>
      <w:r>
        <w:rPr>
          <w:rFonts w:hint="eastAsia" w:ascii="宋体" w:hAnsi="宋体" w:eastAsia="宋体" w:cs="宋体"/>
          <w:b/>
          <w:bCs/>
          <w:color w:val="000000" w:themeColor="text1"/>
          <w:szCs w:val="21"/>
          <w:lang w:bidi="ar"/>
          <w14:textFill>
            <w14:solidFill>
              <w14:schemeClr w14:val="tx1"/>
            </w14:solidFill>
          </w14:textFill>
        </w:rPr>
        <w:t xml:space="preserve"> </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1年（自总项目开工令载明开工日期之日起）</w:t>
      </w:r>
    </w:p>
    <w:p>
      <w:pPr>
        <w:pStyle w:val="2"/>
        <w:widowControl/>
        <w:shd w:val="clear"/>
        <w:rPr>
          <w:color w:val="000000" w:themeColor="text1"/>
          <w14:textFill>
            <w14:solidFill>
              <w14:schemeClr w14:val="tx1"/>
            </w14:solidFill>
          </w14:textFill>
        </w:rPr>
      </w:pPr>
    </w:p>
    <w:p>
      <w:pPr>
        <w:shd w:val="clear"/>
        <w:spacing w:line="360" w:lineRule="auto"/>
        <w:ind w:left="420"/>
        <w:rPr>
          <w:rFonts w:hint="eastAsia" w:ascii="宋体" w:hAnsi="宋体" w:eastAsia="宋体" w:cs="宋体"/>
          <w:b/>
          <w:bCs/>
          <w:color w:val="000000" w:themeColor="text1"/>
          <w:szCs w:val="21"/>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九、工程结算依据、原则及方式：</w:t>
      </w:r>
    </w:p>
    <w:p>
      <w:pPr>
        <w:numPr>
          <w:ilvl w:val="0"/>
          <w:numId w:val="3"/>
        </w:num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工程结算依据：</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1.1国家有关法律、法规和规章制度；</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1.2国务院建设行政主管部门、广东省、广州市或有关部门发布的工程造价计价标准、计价办法等有关规定；</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1.3建设项目的合同、补充协议、变更签证和现场签证，以及经发包、承包人认可的其他有效文件；</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1.4其他可依据的材料。</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w:t>
      </w:r>
      <w:r>
        <w:rPr>
          <w:rFonts w:hint="eastAsia" w:hAnsi="宋体" w:cs="宋体"/>
          <w:color w:val="000000" w:themeColor="text1"/>
          <w:szCs w:val="21"/>
          <w14:textFill>
            <w14:solidFill>
              <w14:schemeClr w14:val="tx1"/>
            </w14:solidFill>
          </w14:textFill>
        </w:rPr>
        <w:t>、结算审核原则：</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2.1</w:t>
      </w:r>
      <w:r>
        <w:rPr>
          <w:rFonts w:hint="eastAsia" w:hAnsi="宋体" w:cs="宋体"/>
          <w:color w:val="000000" w:themeColor="text1"/>
          <w:szCs w:val="21"/>
          <w14:textFill>
            <w14:solidFill>
              <w14:schemeClr w14:val="tx1"/>
            </w14:solidFill>
          </w14:textFill>
        </w:rPr>
        <w:t>该工程结算采用清单计价法，工程量、综合单价、费用费率、主材价格按以下标准进行结算：</w:t>
      </w:r>
    </w:p>
    <w:p>
      <w:pPr>
        <w:pStyle w:val="2"/>
        <w:widowControl/>
        <w:shd w:val="clear"/>
        <w:ind w:firstLine="0" w:firstLineChars="0"/>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2.2</w:t>
      </w:r>
      <w:r>
        <w:rPr>
          <w:rFonts w:hint="eastAsia" w:hAnsi="宋体" w:cs="宋体"/>
          <w:color w:val="000000" w:themeColor="text1"/>
          <w:szCs w:val="21"/>
          <w14:textFill>
            <w14:solidFill>
              <w14:schemeClr w14:val="tx1"/>
            </w14:solidFill>
          </w14:textFill>
        </w:rPr>
        <w:t>工程量核算执行《建设工程工程量清单计价标准》（GB/T 50500-2024），结合竣工图、现场勘察测量及工程量签证单等材料，最终以结算审核公司审定的工程量为准。</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2.3</w:t>
      </w:r>
      <w:r>
        <w:rPr>
          <w:rFonts w:hint="eastAsia" w:hAnsi="宋体" w:cs="宋体"/>
          <w:color w:val="000000" w:themeColor="text1"/>
          <w:szCs w:val="21"/>
          <w14:textFill>
            <w14:solidFill>
              <w14:schemeClr w14:val="tx1"/>
            </w14:solidFill>
          </w14:textFill>
        </w:rPr>
        <w:t>原预算审核成果范围内部分：执行预算审核成果固定综合单价、措施项目费用包干、预算包干费包干。</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2.4</w:t>
      </w:r>
      <w:r>
        <w:rPr>
          <w:rFonts w:hint="eastAsia" w:hAnsi="宋体" w:cs="宋体"/>
          <w:color w:val="000000" w:themeColor="text1"/>
          <w:szCs w:val="21"/>
          <w14:textFill>
            <w14:solidFill>
              <w14:schemeClr w14:val="tx1"/>
            </w14:solidFill>
          </w14:textFill>
        </w:rPr>
        <w:t>预算审核成果范围外部分：</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2.4.1</w:t>
      </w:r>
      <w:r>
        <w:rPr>
          <w:rFonts w:hint="eastAsia" w:hAnsi="宋体" w:cs="宋体"/>
          <w:color w:val="000000" w:themeColor="text1"/>
          <w:szCs w:val="21"/>
          <w14:textFill>
            <w14:solidFill>
              <w14:schemeClr w14:val="tx1"/>
            </w14:solidFill>
          </w14:textFill>
        </w:rPr>
        <w:t>预算审核成果中已有相同项目的适用综合单价，按已有的价格执行。</w:t>
      </w:r>
    </w:p>
    <w:p>
      <w:pPr>
        <w:pStyle w:val="2"/>
        <w:widowControl/>
        <w:shd w:val="clear"/>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2.4.2</w:t>
      </w:r>
      <w:r>
        <w:rPr>
          <w:rFonts w:hint="eastAsia" w:hAnsi="宋体" w:cs="宋体"/>
          <w:color w:val="000000" w:themeColor="text1"/>
          <w:szCs w:val="21"/>
          <w14:textFill>
            <w14:solidFill>
              <w14:schemeClr w14:val="tx1"/>
            </w14:solidFill>
          </w14:textFill>
        </w:rPr>
        <w:t>预算审核成果中已有类似项目的综合单价，则按类似项目的综合单价对相应子目、消耗量、单价等进行调整换算，原管理费、利润水平不变。如预算审核成果中类似项目的综合单价有两个以上，则由结算审核公司判断选择类似项目综合单价进行换算。</w:t>
      </w:r>
    </w:p>
    <w:p>
      <w:pPr>
        <w:pStyle w:val="2"/>
        <w:widowControl/>
        <w:shd w:val="clear"/>
        <w:rPr>
          <w:rFonts w:hint="eastAsia" w:hAnsi="宋体" w:cs="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2.4.3</w:t>
      </w:r>
      <w:r>
        <w:rPr>
          <w:rFonts w:hint="eastAsia" w:hAnsi="宋体" w:cs="宋体"/>
          <w:color w:val="000000" w:themeColor="text1"/>
          <w:szCs w:val="21"/>
          <w14:textFill>
            <w14:solidFill>
              <w14:schemeClr w14:val="tx1"/>
            </w14:solidFill>
          </w14:textFill>
        </w:rPr>
        <w:t>预算审核成果中既没有相同也没有类似项目的，</w:t>
      </w:r>
      <w:r>
        <w:rPr>
          <w:rFonts w:hint="eastAsia" w:ascii="宋体" w:hAnsi="宋体" w:cs="宋体"/>
          <w:color w:val="000000" w:themeColor="text1"/>
          <w:szCs w:val="21"/>
          <w:lang w:bidi="ar"/>
          <w14:textFill>
            <w14:solidFill>
              <w14:schemeClr w14:val="tx1"/>
            </w14:solidFill>
          </w14:textFill>
        </w:rPr>
        <w:t>成交供应商</w:t>
      </w:r>
      <w:r>
        <w:rPr>
          <w:rFonts w:hint="eastAsia" w:hAnsi="宋体" w:cs="宋体"/>
          <w:color w:val="000000" w:themeColor="text1"/>
          <w:szCs w:val="21"/>
          <w14:textFill>
            <w14:solidFill>
              <w14:schemeClr w14:val="tx1"/>
            </w14:solidFill>
          </w14:textFill>
        </w:rPr>
        <w:t>采用清单计价法，执行《建设工程工程量清单计价标准》（GB/T 50500-2024）、《广东省建设工程计价依据（</w:t>
      </w:r>
      <w:r>
        <w:rPr>
          <w:rFonts w:hAnsi="宋体"/>
          <w:color w:val="000000" w:themeColor="text1"/>
          <w:szCs w:val="21"/>
          <w14:textFill>
            <w14:solidFill>
              <w14:schemeClr w14:val="tx1"/>
            </w14:solidFill>
          </w14:textFill>
        </w:rPr>
        <w:t>2018</w:t>
      </w:r>
      <w:r>
        <w:rPr>
          <w:rFonts w:hint="eastAsia" w:hAnsi="宋体" w:cs="宋体"/>
          <w:color w:val="000000" w:themeColor="text1"/>
          <w:szCs w:val="21"/>
          <w14:textFill>
            <w14:solidFill>
              <w14:schemeClr w14:val="tx1"/>
            </w14:solidFill>
          </w14:textFill>
        </w:rPr>
        <w:t>年）》进行编制结算书，最终由结算审核公司审核确定。</w:t>
      </w:r>
    </w:p>
    <w:p>
      <w:pPr>
        <w:numPr>
          <w:ilvl w:val="1"/>
          <w:numId w:val="0"/>
        </w:numPr>
        <w:shd w:val="clear"/>
        <w:tabs>
          <w:tab w:val="left" w:pos="420"/>
          <w:tab w:val="left" w:pos="640"/>
        </w:tabs>
        <w:spacing w:line="360" w:lineRule="auto"/>
        <w:ind w:left="13" w:leftChars="6" w:firstLine="468" w:firstLineChars="223"/>
        <w:rPr>
          <w:rFonts w:hint="eastAsia"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t>如本项目需求引用的标准有更新的，则供应商应按最新的标准执行。如</w:t>
      </w:r>
      <w:r>
        <w:rPr>
          <w:rFonts w:hint="eastAsia" w:ascii="宋体" w:hAnsi="宋体" w:eastAsia="宋体" w:cs="宋体"/>
          <w:bCs/>
          <w:color w:val="000000" w:themeColor="text1"/>
          <w14:textFill>
            <w14:solidFill>
              <w14:schemeClr w14:val="tx1"/>
            </w14:solidFill>
          </w14:textFill>
        </w:rPr>
        <w:t>磋商</w:t>
      </w:r>
      <w:r>
        <w:rPr>
          <w:rFonts w:ascii="宋体" w:hAnsi="宋体" w:eastAsia="宋体" w:cs="宋体"/>
          <w:bCs/>
          <w:color w:val="000000" w:themeColor="text1"/>
          <w14:textFill>
            <w14:solidFill>
              <w14:schemeClr w14:val="tx1"/>
            </w14:solidFill>
          </w14:textFill>
        </w:rPr>
        <w:t>文件要求供应商提供符合某个标准的检测报告作为响应文件组成部分的，且自本项目</w:t>
      </w:r>
      <w:r>
        <w:rPr>
          <w:rFonts w:hint="eastAsia" w:ascii="宋体" w:hAnsi="宋体" w:eastAsia="宋体" w:cs="宋体"/>
          <w:bCs/>
          <w:color w:val="000000" w:themeColor="text1"/>
          <w14:textFill>
            <w14:solidFill>
              <w14:schemeClr w14:val="tx1"/>
            </w14:solidFill>
          </w14:textFill>
        </w:rPr>
        <w:t>磋商</w:t>
      </w:r>
      <w:r>
        <w:rPr>
          <w:rFonts w:ascii="宋体" w:hAnsi="宋体" w:eastAsia="宋体" w:cs="宋体"/>
          <w:bCs/>
          <w:color w:val="000000" w:themeColor="text1"/>
          <w14:textFill>
            <w14:solidFill>
              <w14:schemeClr w14:val="tx1"/>
            </w14:solidFill>
          </w14:textFill>
        </w:rPr>
        <w:t>文件发出后该标准有更新的（即产生新标准），则供应商可按照</w:t>
      </w:r>
      <w:r>
        <w:rPr>
          <w:rFonts w:hint="eastAsia" w:ascii="宋体" w:hAnsi="宋体" w:eastAsia="宋体" w:cs="宋体"/>
          <w:bCs/>
          <w:color w:val="000000" w:themeColor="text1"/>
          <w14:textFill>
            <w14:solidFill>
              <w14:schemeClr w14:val="tx1"/>
            </w14:solidFill>
          </w14:textFill>
        </w:rPr>
        <w:t>磋商</w:t>
      </w:r>
      <w:r>
        <w:rPr>
          <w:rFonts w:ascii="宋体" w:hAnsi="宋体" w:eastAsia="宋体" w:cs="宋体"/>
          <w:bCs/>
          <w:color w:val="000000" w:themeColor="text1"/>
          <w14:textFill>
            <w14:solidFill>
              <w14:schemeClr w14:val="tx1"/>
            </w14:solidFill>
          </w14:textFill>
        </w:rPr>
        <w:t>文件规定的标准出具检测报告，也可按新标准出具检测报告。</w:t>
      </w:r>
    </w:p>
    <w:p>
      <w:pPr>
        <w:pStyle w:val="2"/>
        <w:widowControl/>
        <w:shd w:val="clear"/>
        <w:rPr>
          <w:rFonts w:hint="eastAsia" w:hAnsi="宋体" w:cs="宋体"/>
          <w:color w:val="000000" w:themeColor="text1"/>
          <w:szCs w:val="21"/>
          <w14:textFill>
            <w14:solidFill>
              <w14:schemeClr w14:val="tx1"/>
            </w14:solidFill>
          </w14:textFill>
        </w:rPr>
      </w:pPr>
    </w:p>
    <w:p>
      <w:pPr>
        <w:shd w:val="clear"/>
        <w:spacing w:line="360" w:lineRule="auto"/>
        <w:ind w:firstLine="422" w:firstLineChars="200"/>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3、工程结算方式：</w:t>
      </w:r>
    </w:p>
    <w:p>
      <w:pPr>
        <w:shd w:val="clear"/>
        <w:tabs>
          <w:tab w:val="left" w:pos="1145"/>
        </w:tabs>
        <w:spacing w:line="360" w:lineRule="auto"/>
        <w:ind w:firstLine="422" w:firstLineChars="20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bidi="ar"/>
          <w14:textFill>
            <w14:solidFill>
              <w14:schemeClr w14:val="tx1"/>
            </w14:solidFill>
          </w14:textFill>
        </w:rPr>
        <w:t>3.1</w:t>
      </w:r>
      <w:r>
        <w:rPr>
          <w:rFonts w:hint="eastAsia" w:ascii="Times New Roman" w:hAnsi="Times New Roman" w:eastAsia="宋体" w:cs="宋体"/>
          <w:b/>
          <w:bCs/>
          <w:color w:val="000000" w:themeColor="text1"/>
          <w:lang w:bidi="ar"/>
          <w14:textFill>
            <w14:solidFill>
              <w14:schemeClr w14:val="tx1"/>
            </w14:solidFill>
          </w14:textFill>
        </w:rPr>
        <w:t>本项目</w:t>
      </w:r>
      <w:r>
        <w:rPr>
          <w:rFonts w:hint="eastAsia" w:ascii="宋体" w:hAnsi="宋体" w:eastAsia="宋体" w:cs="宋体"/>
          <w:b/>
          <w:bCs/>
          <w:color w:val="000000" w:themeColor="text1"/>
          <w:lang w:bidi="ar"/>
          <w14:textFill>
            <w14:solidFill>
              <w14:schemeClr w14:val="tx1"/>
            </w14:solidFill>
          </w14:textFill>
        </w:rPr>
        <w:t>最终结算价=</w:t>
      </w:r>
      <w:r>
        <w:rPr>
          <w:rFonts w:hint="eastAsia" w:ascii="Times New Roman" w:hAnsi="宋体" w:eastAsia="宋体" w:cs="宋体"/>
          <w:b/>
          <w:bCs/>
          <w:color w:val="000000" w:themeColor="text1"/>
          <w:lang w:bidi="ar"/>
          <w14:textFill>
            <w14:solidFill>
              <w14:schemeClr w14:val="tx1"/>
            </w14:solidFill>
          </w14:textFill>
        </w:rPr>
        <w:t>所有子项目</w:t>
      </w:r>
      <w:r>
        <w:rPr>
          <w:rFonts w:hint="eastAsia" w:ascii="宋体" w:hAnsi="宋体" w:eastAsia="宋体" w:cs="宋体"/>
          <w:b/>
          <w:bCs/>
          <w:color w:val="000000" w:themeColor="text1"/>
          <w:lang w:bidi="ar"/>
          <w14:textFill>
            <w14:solidFill>
              <w14:schemeClr w14:val="tx1"/>
            </w14:solidFill>
          </w14:textFill>
        </w:rPr>
        <w:t>结算</w:t>
      </w:r>
      <w:r>
        <w:rPr>
          <w:rFonts w:hint="eastAsia" w:ascii="Times New Roman" w:hAnsi="宋体" w:eastAsia="宋体" w:cs="宋体"/>
          <w:b/>
          <w:bCs/>
          <w:color w:val="000000" w:themeColor="text1"/>
          <w:szCs w:val="21"/>
          <w:lang w:bidi="ar"/>
          <w14:textFill>
            <w14:solidFill>
              <w14:schemeClr w14:val="tx1"/>
            </w14:solidFill>
          </w14:textFill>
        </w:rPr>
        <w:t>审定</w:t>
      </w:r>
      <w:r>
        <w:rPr>
          <w:rFonts w:hint="eastAsia" w:ascii="宋体" w:hAnsi="宋体" w:eastAsia="宋体" w:cs="宋体"/>
          <w:b/>
          <w:bCs/>
          <w:color w:val="000000" w:themeColor="text1"/>
          <w:lang w:bidi="ar"/>
          <w14:textFill>
            <w14:solidFill>
              <w14:schemeClr w14:val="tx1"/>
            </w14:solidFill>
          </w14:textFill>
        </w:rPr>
        <w:t>价总和。</w:t>
      </w:r>
    </w:p>
    <w:p>
      <w:pPr>
        <w:pStyle w:val="2"/>
        <w:widowControl/>
        <w:shd w:val="clear"/>
        <w:ind w:firstLine="422"/>
        <w:rPr>
          <w:rFonts w:hint="eastAsia" w:hAnsi="宋体" w:cs="宋体"/>
          <w:b/>
          <w:bCs/>
          <w:color w:val="000000" w:themeColor="text1"/>
          <w14:textFill>
            <w14:solidFill>
              <w14:schemeClr w14:val="tx1"/>
            </w14:solidFill>
          </w14:textFill>
        </w:rPr>
      </w:pPr>
      <w:r>
        <w:rPr>
          <w:rFonts w:hint="eastAsia" w:ascii="宋体" w:hAnsi="宋体" w:cs="宋体"/>
          <w:b/>
          <w:bCs/>
          <w:color w:val="000000" w:themeColor="text1"/>
          <w:lang w:bidi="ar"/>
          <w14:textFill>
            <w14:solidFill>
              <w14:schemeClr w14:val="tx1"/>
            </w14:solidFill>
          </w14:textFill>
        </w:rPr>
        <w:t>3.2</w:t>
      </w:r>
      <w:r>
        <w:rPr>
          <w:rFonts w:hint="eastAsia" w:hAnsi="宋体" w:cs="宋体"/>
          <w:b/>
          <w:bCs/>
          <w:color w:val="000000" w:themeColor="text1"/>
          <w14:textFill>
            <w14:solidFill>
              <w14:schemeClr w14:val="tx1"/>
            </w14:solidFill>
          </w14:textFill>
        </w:rPr>
        <w:t>所有子项目结算</w:t>
      </w:r>
      <w:r>
        <w:rPr>
          <w:rFonts w:hint="eastAsia" w:hAnsi="宋体" w:cs="宋体"/>
          <w:b/>
          <w:bCs/>
          <w:color w:val="000000" w:themeColor="text1"/>
          <w:szCs w:val="21"/>
          <w14:textFill>
            <w14:solidFill>
              <w14:schemeClr w14:val="tx1"/>
            </w14:solidFill>
          </w14:textFill>
        </w:rPr>
        <w:t>审定</w:t>
      </w:r>
      <w:r>
        <w:rPr>
          <w:rFonts w:hint="eastAsia" w:hAnsi="宋体" w:cs="宋体"/>
          <w:b/>
          <w:bCs/>
          <w:color w:val="000000" w:themeColor="text1"/>
          <w14:textFill>
            <w14:solidFill>
              <w14:schemeClr w14:val="tx1"/>
            </w14:solidFill>
          </w14:textFill>
        </w:rPr>
        <w:t>价：</w:t>
      </w:r>
    </w:p>
    <w:p>
      <w:pPr>
        <w:pStyle w:val="2"/>
        <w:widowControl/>
        <w:shd w:val="clear"/>
        <w:rPr>
          <w:rFonts w:hint="eastAsia" w:hAnsi="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所有子项目，</w:t>
      </w:r>
      <w:r>
        <w:rPr>
          <w:rFonts w:hint="eastAsia" w:ascii="宋体" w:hAnsi="宋体" w:cs="宋体"/>
          <w:color w:val="000000" w:themeColor="text1"/>
          <w:szCs w:val="21"/>
          <w:lang w:bidi="ar"/>
          <w14:textFill>
            <w14:solidFill>
              <w14:schemeClr w14:val="tx1"/>
            </w14:solidFill>
          </w14:textFill>
        </w:rPr>
        <w:t>成交供应商</w:t>
      </w:r>
      <w:r>
        <w:rPr>
          <w:rFonts w:hint="eastAsia" w:hAnsi="宋体" w:cs="宋体"/>
          <w:color w:val="000000" w:themeColor="text1"/>
          <w:szCs w:val="21"/>
          <w14:textFill>
            <w14:solidFill>
              <w14:schemeClr w14:val="tx1"/>
            </w14:solidFill>
          </w14:textFill>
        </w:rPr>
        <w:t>必须根据现场签证单内容，套用预算审核书中的综合单价，结合成交折扣率编制结算书，与其它结算相关资料一起提供采购人，交付第三方造价咨询公司进行结算审核，经采购人、监理单位、</w:t>
      </w:r>
      <w:r>
        <w:rPr>
          <w:rFonts w:hint="eastAsia" w:ascii="宋体" w:hAnsi="宋体" w:cs="宋体"/>
          <w:color w:val="000000" w:themeColor="text1"/>
          <w:szCs w:val="21"/>
          <w:lang w:bidi="ar"/>
          <w14:textFill>
            <w14:solidFill>
              <w14:schemeClr w14:val="tx1"/>
            </w14:solidFill>
          </w14:textFill>
        </w:rPr>
        <w:t>成交供应商</w:t>
      </w:r>
      <w:r>
        <w:rPr>
          <w:rFonts w:hint="eastAsia" w:hAnsi="宋体" w:cs="宋体"/>
          <w:color w:val="000000" w:themeColor="text1"/>
          <w:szCs w:val="21"/>
          <w14:textFill>
            <w14:solidFill>
              <w14:schemeClr w14:val="tx1"/>
            </w14:solidFill>
          </w14:textFill>
        </w:rPr>
        <w:t>三方签认确定的结算审核审定价格。</w:t>
      </w:r>
    </w:p>
    <w:p>
      <w:pPr>
        <w:shd w:val="clea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3.3按项目完成进度结算；</w:t>
      </w:r>
    </w:p>
    <w:p>
      <w:pPr>
        <w:shd w:val="clear"/>
        <w:spacing w:line="360" w:lineRule="auto"/>
        <w:ind w:firstLine="4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3.4成交供应商收集、整理所有资料，一式肆份，装订成册，经监理单位审核通过后，提供采购人办理结算送审、存档。</w:t>
      </w:r>
    </w:p>
    <w:p>
      <w:pPr>
        <w:pStyle w:val="2"/>
        <w:widowControl/>
        <w:shd w:val="clear"/>
        <w:rPr>
          <w:color w:val="000000" w:themeColor="text1"/>
          <w14:textFill>
            <w14:solidFill>
              <w14:schemeClr w14:val="tx1"/>
            </w14:solidFill>
          </w14:textFill>
        </w:rPr>
      </w:pP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十、质量要求：</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必须满足设计要求及招标人提出的有关要求进行施工并按照国家现行《建筑施工质量统一验收标准》验收，符合国家有关技术标准及要求，质量合格。</w:t>
      </w:r>
    </w:p>
    <w:p>
      <w:pPr>
        <w:pStyle w:val="2"/>
        <w:widowControl/>
        <w:shd w:val="clear"/>
        <w:rPr>
          <w:color w:val="000000" w:themeColor="text1"/>
          <w14:textFill>
            <w14:solidFill>
              <w14:schemeClr w14:val="tx1"/>
            </w14:solidFill>
          </w14:textFill>
        </w:rPr>
      </w:pPr>
    </w:p>
    <w:p>
      <w:pPr>
        <w:numPr>
          <w:ilvl w:val="255"/>
          <w:numId w:val="0"/>
        </w:num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十一、付款方式：</w:t>
      </w:r>
    </w:p>
    <w:p>
      <w:pPr>
        <w:numPr>
          <w:ilvl w:val="0"/>
          <w:numId w:val="4"/>
        </w:numPr>
        <w:shd w:val="clear"/>
        <w:spacing w:line="360" w:lineRule="auto"/>
        <w:ind w:firstLine="420" w:firstLineChars="200"/>
        <w:rPr>
          <w:rFonts w:ascii="宋体" w:hAnsi="Times New Roman" w:eastAsia="宋体" w:cs="宋体"/>
          <w:color w:val="000000" w:themeColor="text1"/>
          <w:kern w:val="0"/>
          <w:szCs w:val="20"/>
          <w14:textFill>
            <w14:solidFill>
              <w14:schemeClr w14:val="tx1"/>
            </w14:solidFill>
          </w14:textFill>
        </w:rPr>
      </w:pPr>
      <w:r>
        <w:rPr>
          <w:rFonts w:hint="eastAsia" w:ascii="宋体" w:hAnsi="Times New Roman" w:eastAsia="宋体" w:cs="宋体"/>
          <w:color w:val="000000" w:themeColor="text1"/>
          <w:kern w:val="0"/>
          <w:szCs w:val="20"/>
          <w:lang w:bidi="ar"/>
          <w14:textFill>
            <w14:solidFill>
              <w14:schemeClr w14:val="tx1"/>
            </w14:solidFill>
          </w14:textFill>
        </w:rPr>
        <w:t>预付款：采购人应在</w:t>
      </w:r>
      <w:r>
        <w:rPr>
          <w:rFonts w:hint="eastAsia"/>
          <w:color w:val="000000" w:themeColor="text1"/>
          <w14:textFill>
            <w14:solidFill>
              <w14:schemeClr w14:val="tx1"/>
            </w14:solidFill>
          </w14:textFill>
        </w:rPr>
        <w:t>合同签订后5个工作日完成办理支付手续。</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提供《工程款支付申请》及相关佐证资料，经监理审核，出具《项目监理机构审核记录》、《工程款支付证书》后，</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提供发票（暂定合同价30%）及上述资料给采购人，</w:t>
      </w:r>
      <w:r>
        <w:rPr>
          <w:rFonts w:hint="eastAsia"/>
          <w:color w:val="000000" w:themeColor="text1"/>
          <w14:textFill>
            <w14:solidFill>
              <w14:schemeClr w14:val="tx1"/>
            </w14:solidFill>
          </w14:textFill>
        </w:rPr>
        <w:t>采购人应当在收到发票后</w:t>
      </w:r>
      <w:r>
        <w:rPr>
          <w:rFonts w:hint="eastAsia" w:ascii="宋体" w:hAnsi="Times New Roman" w:eastAsia="宋体" w:cs="宋体"/>
          <w:color w:val="000000" w:themeColor="text1"/>
          <w:kern w:val="0"/>
          <w:szCs w:val="20"/>
          <w:lang w:bidi="ar"/>
          <w14:textFill>
            <w14:solidFill>
              <w14:schemeClr w14:val="tx1"/>
            </w14:solidFill>
          </w14:textFill>
        </w:rPr>
        <w:t>5个工作日内，采购人给与办理预付款（暂定合同价30%）支付手续（寒暑假除外）。</w:t>
      </w:r>
    </w:p>
    <w:p>
      <w:pPr>
        <w:shd w:val="clear"/>
        <w:spacing w:line="360" w:lineRule="auto"/>
        <w:ind w:left="420"/>
        <w:rPr>
          <w:rFonts w:ascii="宋体" w:hAnsi="Times New Roman" w:eastAsia="宋体" w:cs="宋体"/>
          <w:color w:val="000000" w:themeColor="text1"/>
          <w:kern w:val="0"/>
          <w:szCs w:val="20"/>
          <w14:textFill>
            <w14:solidFill>
              <w14:schemeClr w14:val="tx1"/>
            </w14:solidFill>
          </w14:textFill>
        </w:rPr>
      </w:pPr>
      <w:r>
        <w:rPr>
          <w:rFonts w:hint="eastAsia" w:ascii="宋体" w:hAnsi="Times New Roman" w:eastAsia="宋体" w:cs="宋体"/>
          <w:color w:val="000000" w:themeColor="text1"/>
          <w:kern w:val="0"/>
          <w:szCs w:val="20"/>
          <w:lang w:bidi="ar"/>
          <w14:textFill>
            <w14:solidFill>
              <w14:schemeClr w14:val="tx1"/>
            </w14:solidFill>
          </w14:textFill>
        </w:rPr>
        <w:t>2、进度款：</w:t>
      </w:r>
    </w:p>
    <w:p>
      <w:pPr>
        <w:shd w:val="clear"/>
        <w:spacing w:line="360" w:lineRule="auto"/>
        <w:ind w:firstLine="420" w:firstLineChars="200"/>
        <w:rPr>
          <w:rFonts w:ascii="宋体" w:hAnsi="Times New Roman" w:eastAsia="宋体" w:cs="宋体"/>
          <w:color w:val="000000" w:themeColor="text1"/>
          <w:kern w:val="0"/>
          <w:szCs w:val="20"/>
          <w14:textFill>
            <w14:solidFill>
              <w14:schemeClr w14:val="tx1"/>
            </w14:solidFill>
          </w14:textFill>
        </w:rPr>
      </w:pPr>
      <w:r>
        <w:rPr>
          <w:rFonts w:hint="eastAsia" w:ascii="宋体" w:hAnsi="Times New Roman" w:eastAsia="宋体" w:cs="宋体"/>
          <w:color w:val="000000" w:themeColor="text1"/>
          <w:kern w:val="0"/>
          <w:szCs w:val="20"/>
          <w:lang w:bidi="ar"/>
          <w14:textFill>
            <w14:solidFill>
              <w14:schemeClr w14:val="tx1"/>
            </w14:solidFill>
          </w14:textFill>
        </w:rPr>
        <w:t>2.1折扣后累计已完成的工程价款≥50%暂定合同价，</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提供《工程款支付申请表》、《工程进度证明书》及相关佐证资料，经监理审核，出具《项目监理机构审核记录》、《工程款支付证书》后，</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提供发票（暂定合同价20%）及上述资料给采购人，5个工作日内，采购人给与办理进度款（暂定合同价20%）支付手续（寒暑假除外）。</w:t>
      </w:r>
    </w:p>
    <w:p>
      <w:pPr>
        <w:pStyle w:val="2"/>
        <w:widowControl/>
        <w:shd w:val="clear"/>
        <w:rPr>
          <w:color w:val="000000" w:themeColor="text1"/>
          <w14:textFill>
            <w14:solidFill>
              <w14:schemeClr w14:val="tx1"/>
            </w14:solidFill>
          </w14:textFill>
        </w:rPr>
      </w:pPr>
      <w:r>
        <w:rPr>
          <w:color w:val="000000" w:themeColor="text1"/>
          <w14:textFill>
            <w14:solidFill>
              <w14:schemeClr w14:val="tx1"/>
            </w14:solidFill>
          </w14:textFill>
        </w:rPr>
        <w:t>2.2</w:t>
      </w:r>
      <w:r>
        <w:rPr>
          <w:rFonts w:hint="eastAsia" w:cs="宋体"/>
          <w:color w:val="000000" w:themeColor="text1"/>
          <w14:textFill>
            <w14:solidFill>
              <w14:schemeClr w14:val="tx1"/>
            </w14:solidFill>
          </w14:textFill>
        </w:rPr>
        <w:t>折扣后累计已完成的工程价款≥</w:t>
      </w:r>
      <w:r>
        <w:rPr>
          <w:color w:val="000000" w:themeColor="text1"/>
          <w14:textFill>
            <w14:solidFill>
              <w14:schemeClr w14:val="tx1"/>
            </w14:solidFill>
          </w14:textFill>
        </w:rPr>
        <w:t>70%</w:t>
      </w:r>
      <w:r>
        <w:rPr>
          <w:rFonts w:hint="eastAsia" w:cs="宋体"/>
          <w:color w:val="000000" w:themeColor="text1"/>
          <w14:textFill>
            <w14:solidFill>
              <w14:schemeClr w14:val="tx1"/>
            </w14:solidFill>
          </w14:textFill>
        </w:rPr>
        <w:t>暂定合同价，</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提供《工程款支付申请表》、《工程进度证明书》及相关佐证资料，经监理审核，出具《项目监理机构审核记录》、《工程款支付证书》后，</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提供发票（暂定合同价</w:t>
      </w:r>
      <w:r>
        <w:rPr>
          <w:color w:val="000000" w:themeColor="text1"/>
          <w14:textFill>
            <w14:solidFill>
              <w14:schemeClr w14:val="tx1"/>
            </w14:solidFill>
          </w14:textFill>
        </w:rPr>
        <w:t>20%</w:t>
      </w:r>
      <w:r>
        <w:rPr>
          <w:rFonts w:hint="eastAsia" w:cs="宋体"/>
          <w:color w:val="000000" w:themeColor="text1"/>
          <w14:textFill>
            <w14:solidFill>
              <w14:schemeClr w14:val="tx1"/>
            </w14:solidFill>
          </w14:textFill>
        </w:rPr>
        <w:t>）及上述资料给采购人，</w:t>
      </w:r>
      <w:r>
        <w:rPr>
          <w:color w:val="000000" w:themeColor="text1"/>
          <w14:textFill>
            <w14:solidFill>
              <w14:schemeClr w14:val="tx1"/>
            </w14:solidFill>
          </w14:textFill>
        </w:rPr>
        <w:t>10</w:t>
      </w:r>
      <w:r>
        <w:rPr>
          <w:rFonts w:hint="eastAsia" w:cs="宋体"/>
          <w:color w:val="000000" w:themeColor="text1"/>
          <w14:textFill>
            <w14:solidFill>
              <w14:schemeClr w14:val="tx1"/>
            </w14:solidFill>
          </w14:textFill>
        </w:rPr>
        <w:t>个工作日内，采购人给与办理进度款（暂定合同价</w:t>
      </w:r>
      <w:r>
        <w:rPr>
          <w:color w:val="000000" w:themeColor="text1"/>
          <w14:textFill>
            <w14:solidFill>
              <w14:schemeClr w14:val="tx1"/>
            </w14:solidFill>
          </w14:textFill>
        </w:rPr>
        <w:t>20%</w:t>
      </w:r>
      <w:r>
        <w:rPr>
          <w:rFonts w:hint="eastAsia" w:cs="宋体"/>
          <w:color w:val="000000" w:themeColor="text1"/>
          <w14:textFill>
            <w14:solidFill>
              <w14:schemeClr w14:val="tx1"/>
            </w14:solidFill>
          </w14:textFill>
        </w:rPr>
        <w:t>）支付手续（寒暑假除外）。</w:t>
      </w:r>
    </w:p>
    <w:p>
      <w:pPr>
        <w:pStyle w:val="2"/>
        <w:widowControl/>
        <w:shd w:val="clear"/>
        <w:rPr>
          <w:color w:val="000000" w:themeColor="text1"/>
          <w14:textFill>
            <w14:solidFill>
              <w14:schemeClr w14:val="tx1"/>
            </w14:solidFill>
          </w14:textFill>
        </w:rPr>
      </w:pPr>
      <w:r>
        <w:rPr>
          <w:color w:val="000000" w:themeColor="text1"/>
          <w14:textFill>
            <w14:solidFill>
              <w14:schemeClr w14:val="tx1"/>
            </w14:solidFill>
          </w14:textFill>
        </w:rPr>
        <w:t>2.3</w:t>
      </w:r>
      <w:r>
        <w:rPr>
          <w:rFonts w:hint="eastAsia" w:cs="宋体"/>
          <w:color w:val="000000" w:themeColor="text1"/>
          <w14:textFill>
            <w14:solidFill>
              <w14:schemeClr w14:val="tx1"/>
            </w14:solidFill>
          </w14:textFill>
        </w:rPr>
        <w:t>所有工程内容竣工验收合格后，</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提供《工程款支付申请表》、《竣工验收表》或《竣工验收报告》，经监理审核，出具《项目监理机构审核记录》、《工程款支付证书》后，</w:t>
      </w:r>
      <w:r>
        <w:rPr>
          <w:rFonts w:hint="eastAsia" w:ascii="宋体" w:hAnsi="宋体" w:cs="宋体"/>
          <w:color w:val="000000" w:themeColor="text1"/>
          <w:szCs w:val="21"/>
          <w:lang w:bidi="ar"/>
          <w14:textFill>
            <w14:solidFill>
              <w14:schemeClr w14:val="tx1"/>
            </w14:solidFill>
          </w14:textFill>
        </w:rPr>
        <w:t>成交供应商</w:t>
      </w:r>
      <w:r>
        <w:rPr>
          <w:rFonts w:hint="eastAsia" w:cs="宋体"/>
          <w:color w:val="000000" w:themeColor="text1"/>
          <w14:textFill>
            <w14:solidFill>
              <w14:schemeClr w14:val="tx1"/>
            </w14:solidFill>
          </w14:textFill>
        </w:rPr>
        <w:t>提供发票（暂定合同价</w:t>
      </w:r>
      <w:r>
        <w:rPr>
          <w:color w:val="000000" w:themeColor="text1"/>
          <w14:textFill>
            <w14:solidFill>
              <w14:schemeClr w14:val="tx1"/>
            </w14:solidFill>
          </w14:textFill>
        </w:rPr>
        <w:t>10%</w:t>
      </w:r>
      <w:r>
        <w:rPr>
          <w:rFonts w:hint="eastAsia" w:cs="宋体"/>
          <w:color w:val="000000" w:themeColor="text1"/>
          <w14:textFill>
            <w14:solidFill>
              <w14:schemeClr w14:val="tx1"/>
            </w14:solidFill>
          </w14:textFill>
        </w:rPr>
        <w:t>）及上述资料给采购人，</w:t>
      </w:r>
      <w:r>
        <w:rPr>
          <w:rFonts w:hint="eastAsia"/>
          <w:color w:val="000000" w:themeColor="text1"/>
          <w14:textFill>
            <w14:solidFill>
              <w14:schemeClr w14:val="tx1"/>
            </w14:solidFill>
          </w14:textFill>
        </w:rPr>
        <w:t>5</w:t>
      </w:r>
      <w:r>
        <w:rPr>
          <w:rFonts w:hint="eastAsia" w:cs="宋体"/>
          <w:color w:val="000000" w:themeColor="text1"/>
          <w14:textFill>
            <w14:solidFill>
              <w14:schemeClr w14:val="tx1"/>
            </w14:solidFill>
          </w14:textFill>
        </w:rPr>
        <w:t>个工作日内，采购人给与办理进度款（暂定合同价</w:t>
      </w:r>
      <w:r>
        <w:rPr>
          <w:color w:val="000000" w:themeColor="text1"/>
          <w14:textFill>
            <w14:solidFill>
              <w14:schemeClr w14:val="tx1"/>
            </w14:solidFill>
          </w14:textFill>
        </w:rPr>
        <w:t>10%</w:t>
      </w:r>
      <w:r>
        <w:rPr>
          <w:rFonts w:hint="eastAsia" w:cs="宋体"/>
          <w:color w:val="000000" w:themeColor="text1"/>
          <w14:textFill>
            <w14:solidFill>
              <w14:schemeClr w14:val="tx1"/>
            </w14:solidFill>
          </w14:textFill>
        </w:rPr>
        <w:t>）支付手续（寒暑假除外）。</w:t>
      </w:r>
    </w:p>
    <w:p>
      <w:pPr>
        <w:shd w:val="clear"/>
        <w:spacing w:line="360" w:lineRule="auto"/>
        <w:ind w:firstLine="420" w:firstLineChars="200"/>
        <w:rPr>
          <w:rFonts w:hint="eastAsia" w:ascii="宋体" w:hAnsi="宋体" w:eastAsia="宋体" w:cs="宋体"/>
          <w:dstrike/>
          <w:color w:val="000000" w:themeColor="text1"/>
          <w:szCs w:val="21"/>
          <w14:textFill>
            <w14:solidFill>
              <w14:schemeClr w14:val="tx1"/>
            </w14:solidFill>
          </w14:textFill>
        </w:rPr>
      </w:pPr>
      <w:r>
        <w:rPr>
          <w:rFonts w:hint="eastAsia" w:ascii="宋体" w:hAnsi="Times New Roman" w:eastAsia="宋体" w:cs="宋体"/>
          <w:color w:val="000000" w:themeColor="text1"/>
          <w:kern w:val="0"/>
          <w:szCs w:val="20"/>
          <w:lang w:bidi="ar"/>
          <w14:textFill>
            <w14:solidFill>
              <w14:schemeClr w14:val="tx1"/>
            </w14:solidFill>
          </w14:textFill>
        </w:rPr>
        <w:t>3、结算尾款：所有子项由采购人委托第三方造价咨询公司进行结算审核，结算审核报告经采购人、监理单位、</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三方签字确认后，</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提供《工程款支付申请表》、《竣工验收表》或《竣工验收报告》、《结算审核报告》关键页，经监理审核，出具《项目监理机构审核记录》、《工程款支付证书》后，</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提交保函（保险、担保）方式的质量保证金，并将发票和相关资料提供给采购人，采购人给与办理进度款支付手续（寒暑假除外）或通知</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退还多支付金额。</w:t>
      </w:r>
    </w:p>
    <w:p>
      <w:pPr>
        <w:shd w:val="clear"/>
        <w:spacing w:line="360" w:lineRule="auto"/>
        <w:ind w:firstLine="420" w:firstLineChars="200"/>
        <w:rPr>
          <w:rFonts w:ascii="宋体" w:hAnsi="Times New Roman" w:eastAsia="宋体" w:cs="宋体"/>
          <w:color w:val="000000" w:themeColor="text1"/>
          <w:kern w:val="0"/>
          <w:szCs w:val="20"/>
          <w14:textFill>
            <w14:solidFill>
              <w14:schemeClr w14:val="tx1"/>
            </w14:solidFill>
          </w14:textFill>
        </w:rPr>
      </w:pPr>
      <w:r>
        <w:rPr>
          <w:rFonts w:hint="eastAsia" w:ascii="宋体" w:hAnsi="Times New Roman" w:eastAsia="宋体" w:cs="宋体"/>
          <w:color w:val="000000" w:themeColor="text1"/>
          <w:kern w:val="0"/>
          <w:szCs w:val="20"/>
          <w:lang w:bidi="ar"/>
          <w14:textFill>
            <w14:solidFill>
              <w14:schemeClr w14:val="tx1"/>
            </w14:solidFill>
          </w14:textFill>
        </w:rPr>
        <w:t>3.1当最终结算总价-（预付款+进度款）&gt;0元时，采购人5个工作日内，给与无息支付结算尾款（寒暑假除外）；</w:t>
      </w:r>
    </w:p>
    <w:p>
      <w:pPr>
        <w:shd w:val="clear"/>
        <w:ind w:firstLine="420" w:firstLineChars="200"/>
        <w:rPr>
          <w:rFonts w:hint="eastAsia" w:hAnsi="宋体"/>
          <w:color w:val="000000" w:themeColor="text1"/>
          <w:szCs w:val="21"/>
          <w14:textFill>
            <w14:solidFill>
              <w14:schemeClr w14:val="tx1"/>
            </w14:solidFill>
          </w14:textFill>
        </w:rPr>
      </w:pPr>
      <w:r>
        <w:rPr>
          <w:rFonts w:hint="eastAsia" w:ascii="宋体" w:hAnsi="Times New Roman" w:eastAsia="宋体" w:cs="宋体"/>
          <w:color w:val="000000" w:themeColor="text1"/>
          <w:kern w:val="0"/>
          <w:szCs w:val="20"/>
          <w:lang w:bidi="ar"/>
          <w14:textFill>
            <w14:solidFill>
              <w14:schemeClr w14:val="tx1"/>
            </w14:solidFill>
          </w14:textFill>
        </w:rPr>
        <w:t>3.2当最终结算总价-（预付款+进度款）&lt;0元时，</w:t>
      </w:r>
      <w:r>
        <w:rPr>
          <w:rFonts w:hint="eastAsia" w:ascii="宋体" w:hAnsi="宋体" w:eastAsia="宋体" w:cs="宋体"/>
          <w:color w:val="000000" w:themeColor="text1"/>
          <w:szCs w:val="21"/>
          <w:lang w:bidi="ar"/>
          <w14:textFill>
            <w14:solidFill>
              <w14:schemeClr w14:val="tx1"/>
            </w14:solidFill>
          </w14:textFill>
        </w:rPr>
        <w:t>成交供应商</w:t>
      </w:r>
      <w:r>
        <w:rPr>
          <w:rFonts w:hint="eastAsia" w:ascii="宋体" w:hAnsi="Times New Roman" w:eastAsia="宋体" w:cs="宋体"/>
          <w:color w:val="000000" w:themeColor="text1"/>
          <w:kern w:val="0"/>
          <w:szCs w:val="20"/>
          <w:lang w:bidi="ar"/>
          <w14:textFill>
            <w14:solidFill>
              <w14:schemeClr w14:val="tx1"/>
            </w14:solidFill>
          </w14:textFill>
        </w:rPr>
        <w:t>1个月内给与无息退还多支付金额</w:t>
      </w:r>
      <w:r>
        <w:rPr>
          <w:rFonts w:hint="eastAsia" w:ascii="Times New Roman" w:hAnsi="宋体" w:eastAsia="宋体" w:cs="宋体"/>
          <w:color w:val="000000" w:themeColor="text1"/>
          <w:szCs w:val="21"/>
          <w:lang w:bidi="ar"/>
          <w14:textFill>
            <w14:solidFill>
              <w14:schemeClr w14:val="tx1"/>
            </w14:solidFill>
          </w14:textFill>
        </w:rPr>
        <w:t>。</w:t>
      </w:r>
    </w:p>
    <w:p>
      <w:pPr>
        <w:pStyle w:val="2"/>
        <w:widowControl/>
        <w:shd w:val="clear"/>
        <w:rPr>
          <w:rFonts w:hint="eastAsia" w:hAnsi="宋体"/>
          <w:color w:val="000000" w:themeColor="text1"/>
          <w:szCs w:val="21"/>
          <w14:textFill>
            <w14:solidFill>
              <w14:schemeClr w14:val="tx1"/>
            </w14:solidFill>
          </w14:textFill>
        </w:rPr>
      </w:pP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十二、质保期和质量保修金的约定：</w:t>
      </w:r>
    </w:p>
    <w:p>
      <w:pPr>
        <w:numPr>
          <w:ilvl w:val="0"/>
          <w:numId w:val="5"/>
        </w:numPr>
        <w:shd w:val="clear"/>
        <w:spacing w:line="360" w:lineRule="auto"/>
        <w:ind w:firstLine="411" w:firstLineChars="196"/>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bidi="ar"/>
          <w14:textFill>
            <w14:solidFill>
              <w14:schemeClr w14:val="tx1"/>
            </w14:solidFill>
          </w14:textFill>
        </w:rPr>
        <w:t>质保期期限按照</w:t>
      </w:r>
      <w:r>
        <w:rPr>
          <w:rFonts w:hint="eastAsia"/>
          <w:color w:val="000000" w:themeColor="text1"/>
          <w14:textFill>
            <w14:solidFill>
              <w14:schemeClr w14:val="tx1"/>
            </w14:solidFill>
          </w14:textFill>
        </w:rPr>
        <w:t>《建设工程质量管理条例》第四十条</w:t>
      </w:r>
      <w:r>
        <w:rPr>
          <w:rFonts w:hint="eastAsia" w:ascii="宋体" w:hAnsi="宋体" w:eastAsia="宋体" w:cs="宋体"/>
          <w:bCs/>
          <w:color w:val="000000" w:themeColor="text1"/>
          <w:szCs w:val="21"/>
          <w:lang w:bidi="ar"/>
          <w14:textFill>
            <w14:solidFill>
              <w14:schemeClr w14:val="tx1"/>
            </w14:solidFill>
          </w14:textFill>
        </w:rPr>
        <w:t>规定执行，从整体项目最终验收合格之日算起。</w:t>
      </w:r>
    </w:p>
    <w:p>
      <w:pPr>
        <w:pStyle w:val="2"/>
        <w:widowControl/>
        <w:shd w:val="clear"/>
        <w:rPr>
          <w:rFonts w:hint="eastAsia" w:hAnsi="宋体"/>
          <w:bCs/>
          <w:color w:val="000000" w:themeColor="text1"/>
          <w:szCs w:val="21"/>
          <w14:textFill>
            <w14:solidFill>
              <w14:schemeClr w14:val="tx1"/>
            </w14:solidFill>
          </w14:textFill>
        </w:rPr>
      </w:pPr>
      <w:r>
        <w:rPr>
          <w:color w:val="000000" w:themeColor="text1"/>
          <w14:textFill>
            <w14:solidFill>
              <w14:schemeClr w14:val="tx1"/>
            </w14:solidFill>
          </w14:textFill>
        </w:rPr>
        <w:t>2</w:t>
      </w:r>
      <w:r>
        <w:rPr>
          <w:rFonts w:hint="eastAsia" w:cs="宋体"/>
          <w:color w:val="000000" w:themeColor="text1"/>
          <w14:textFill>
            <w14:solidFill>
              <w14:schemeClr w14:val="tx1"/>
            </w14:solidFill>
          </w14:textFill>
        </w:rPr>
        <w:t>、质量保修金数额：</w:t>
      </w:r>
      <w:r>
        <w:rPr>
          <w:rFonts w:hint="eastAsia" w:hAnsi="宋体" w:cs="宋体"/>
          <w:bCs/>
          <w:color w:val="000000" w:themeColor="text1"/>
          <w:szCs w:val="21"/>
          <w14:textFill>
            <w14:solidFill>
              <w14:schemeClr w14:val="tx1"/>
            </w14:solidFill>
          </w14:textFill>
        </w:rPr>
        <w:t>本项目最终结算价的</w:t>
      </w:r>
      <w:r>
        <w:rPr>
          <w:rFonts w:hAnsi="宋体"/>
          <w:bCs/>
          <w:color w:val="000000" w:themeColor="text1"/>
          <w:szCs w:val="21"/>
          <w14:textFill>
            <w14:solidFill>
              <w14:schemeClr w14:val="tx1"/>
            </w14:solidFill>
          </w14:textFill>
        </w:rPr>
        <w:t>3%</w:t>
      </w:r>
      <w:r>
        <w:rPr>
          <w:rFonts w:hint="eastAsia" w:hAnsi="宋体" w:cs="宋体"/>
          <w:bCs/>
          <w:color w:val="000000" w:themeColor="text1"/>
          <w:szCs w:val="21"/>
          <w14:textFill>
            <w14:solidFill>
              <w14:schemeClr w14:val="tx1"/>
            </w14:solidFill>
          </w14:textFill>
        </w:rPr>
        <w:t>（</w:t>
      </w:r>
      <w:r>
        <w:rPr>
          <w:rFonts w:hint="eastAsia" w:cs="宋体"/>
          <w:color w:val="000000" w:themeColor="text1"/>
          <w14:textFill>
            <w14:solidFill>
              <w14:schemeClr w14:val="tx1"/>
            </w14:solidFill>
          </w14:textFill>
        </w:rPr>
        <w:t>结算审核审定价款</w:t>
      </w:r>
      <w:r>
        <w:rPr>
          <w:rFonts w:hint="eastAsia" w:hAnsi="宋体" w:cs="宋体"/>
          <w:bCs/>
          <w:color w:val="000000" w:themeColor="text1"/>
          <w:szCs w:val="21"/>
          <w14:textFill>
            <w14:solidFill>
              <w14:schemeClr w14:val="tx1"/>
            </w14:solidFill>
          </w14:textFill>
        </w:rPr>
        <w:t>）。</w:t>
      </w:r>
    </w:p>
    <w:p>
      <w:pPr>
        <w:shd w:val="clear"/>
        <w:spacing w:line="360" w:lineRule="auto"/>
        <w:ind w:firstLine="420" w:firstLineChars="200"/>
        <w:rPr>
          <w:color w:val="000000" w:themeColor="text1"/>
          <w14:textFill>
            <w14:solidFill>
              <w14:schemeClr w14:val="tx1"/>
            </w14:solidFill>
          </w14:textFill>
        </w:rPr>
      </w:pPr>
      <w:r>
        <w:rPr>
          <w:rFonts w:ascii="Times New Roman" w:hAnsi="Times New Roman" w:eastAsia="宋体" w:cs="Times New Roman"/>
          <w:color w:val="000000" w:themeColor="text1"/>
          <w:lang w:bidi="ar"/>
          <w14:textFill>
            <w14:solidFill>
              <w14:schemeClr w14:val="tx1"/>
            </w14:solidFill>
          </w14:textFill>
        </w:rPr>
        <w:t>3</w:t>
      </w:r>
      <w:r>
        <w:rPr>
          <w:rFonts w:hint="eastAsia" w:ascii="Times New Roman" w:hAnsi="Times New Roman" w:eastAsia="宋体" w:cs="宋体"/>
          <w:color w:val="000000" w:themeColor="text1"/>
          <w:lang w:bidi="ar"/>
          <w14:textFill>
            <w14:solidFill>
              <w14:schemeClr w14:val="tx1"/>
            </w14:solidFill>
          </w14:textFill>
        </w:rPr>
        <w:t>、质量保修金提交方式：正规银行出具的银行保函，具备使用电子保函条件的，优先选择使用电子保函。</w:t>
      </w:r>
    </w:p>
    <w:p>
      <w:pPr>
        <w:shd w:val="clea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ascii="Times New Roman" w:hAnsi="Times New Roman" w:eastAsia="宋体" w:cs="Times New Roman"/>
          <w:color w:val="000000" w:themeColor="text1"/>
          <w:lang w:bidi="ar"/>
          <w14:textFill>
            <w14:solidFill>
              <w14:schemeClr w14:val="tx1"/>
            </w14:solidFill>
          </w14:textFill>
        </w:rPr>
        <w:t>4</w:t>
      </w:r>
      <w:r>
        <w:rPr>
          <w:rFonts w:hint="eastAsia" w:ascii="Times New Roman" w:hAnsi="Times New Roman" w:eastAsia="宋体" w:cs="宋体"/>
          <w:color w:val="000000" w:themeColor="text1"/>
          <w:lang w:bidi="ar"/>
          <w14:textFill>
            <w14:solidFill>
              <w14:schemeClr w14:val="tx1"/>
            </w14:solidFill>
          </w14:textFill>
        </w:rPr>
        <w:t>、</w:t>
      </w:r>
      <w:r>
        <w:rPr>
          <w:rFonts w:hint="eastAsia" w:ascii="宋体" w:hAnsi="宋体" w:eastAsia="宋体" w:cs="宋体"/>
          <w:bCs/>
          <w:color w:val="000000" w:themeColor="text1"/>
          <w:szCs w:val="21"/>
          <w:lang w:bidi="ar"/>
          <w14:textFill>
            <w14:solidFill>
              <w14:schemeClr w14:val="tx1"/>
            </w14:solidFill>
          </w14:textFill>
        </w:rPr>
        <w:t>质量保修金提交时间：结算审核完成，申请支付结算尾款时。</w:t>
      </w:r>
    </w:p>
    <w:p>
      <w:pPr>
        <w:pStyle w:val="2"/>
        <w:widowControl/>
        <w:shd w:val="clear"/>
        <w:rPr>
          <w:rFonts w:hint="eastAsia" w:hAnsi="宋体" w:cs="宋体"/>
          <w:bCs/>
          <w:color w:val="000000" w:themeColor="text1"/>
          <w:szCs w:val="21"/>
          <w14:textFill>
            <w14:solidFill>
              <w14:schemeClr w14:val="tx1"/>
            </w14:solidFill>
          </w14:textFill>
        </w:rPr>
      </w:pPr>
      <w:r>
        <w:rPr>
          <w:rFonts w:hAnsi="宋体"/>
          <w:bCs/>
          <w:color w:val="000000" w:themeColor="text1"/>
          <w:szCs w:val="21"/>
          <w14:textFill>
            <w14:solidFill>
              <w14:schemeClr w14:val="tx1"/>
            </w14:solidFill>
          </w14:textFill>
        </w:rPr>
        <w:t>5</w:t>
      </w:r>
      <w:r>
        <w:rPr>
          <w:rFonts w:hint="eastAsia" w:hAnsi="宋体" w:cs="宋体"/>
          <w:bCs/>
          <w:color w:val="000000" w:themeColor="text1"/>
          <w:szCs w:val="21"/>
          <w14:textFill>
            <w14:solidFill>
              <w14:schemeClr w14:val="tx1"/>
            </w14:solidFill>
          </w14:textFill>
        </w:rPr>
        <w:t>、质量保修金返还方式和时间：保修期间，</w:t>
      </w:r>
      <w:r>
        <w:rPr>
          <w:rFonts w:hint="eastAsia" w:ascii="宋体" w:hAnsi="宋体" w:cs="宋体"/>
          <w:color w:val="000000" w:themeColor="text1"/>
          <w:szCs w:val="21"/>
          <w:lang w:bidi="ar"/>
          <w14:textFill>
            <w14:solidFill>
              <w14:schemeClr w14:val="tx1"/>
            </w14:solidFill>
          </w14:textFill>
        </w:rPr>
        <w:t>成交供应商</w:t>
      </w:r>
      <w:r>
        <w:rPr>
          <w:rFonts w:hint="eastAsia" w:hAnsi="宋体" w:cs="宋体"/>
          <w:bCs/>
          <w:color w:val="000000" w:themeColor="text1"/>
          <w:szCs w:val="21"/>
          <w14:textFill>
            <w14:solidFill>
              <w14:schemeClr w14:val="tx1"/>
            </w14:solidFill>
          </w14:textFill>
        </w:rPr>
        <w:t>严格履行保修义务，保修期满后，</w:t>
      </w:r>
      <w:r>
        <w:rPr>
          <w:rFonts w:hint="eastAsia" w:ascii="宋体" w:hAnsi="宋体" w:cs="宋体"/>
          <w:color w:val="000000" w:themeColor="text1"/>
          <w:szCs w:val="21"/>
          <w:lang w:bidi="ar"/>
          <w14:textFill>
            <w14:solidFill>
              <w14:schemeClr w14:val="tx1"/>
            </w14:solidFill>
          </w14:textFill>
        </w:rPr>
        <w:t>成交供应商</w:t>
      </w:r>
      <w:r>
        <w:rPr>
          <w:rFonts w:hint="eastAsia" w:hAnsi="宋体" w:cs="宋体"/>
          <w:bCs/>
          <w:color w:val="000000" w:themeColor="text1"/>
          <w:szCs w:val="21"/>
          <w14:textFill>
            <w14:solidFill>
              <w14:schemeClr w14:val="tx1"/>
            </w14:solidFill>
          </w14:textFill>
        </w:rPr>
        <w:t>提交保函（保险）返还申请，</w:t>
      </w:r>
      <w:r>
        <w:rPr>
          <w:rFonts w:hAnsi="宋体"/>
          <w:bCs/>
          <w:color w:val="000000" w:themeColor="text1"/>
          <w:szCs w:val="21"/>
          <w14:textFill>
            <w14:solidFill>
              <w14:schemeClr w14:val="tx1"/>
            </w14:solidFill>
          </w14:textFill>
        </w:rPr>
        <w:t>10</w:t>
      </w:r>
      <w:r>
        <w:rPr>
          <w:rFonts w:hint="eastAsia" w:hAnsi="宋体" w:cs="宋体"/>
          <w:bCs/>
          <w:color w:val="000000" w:themeColor="text1"/>
          <w:szCs w:val="21"/>
          <w14:textFill>
            <w14:solidFill>
              <w14:schemeClr w14:val="tx1"/>
            </w14:solidFill>
          </w14:textFill>
        </w:rPr>
        <w:t>个工作日内采购人给与无息返还。</w:t>
      </w:r>
    </w:p>
    <w:p>
      <w:pPr>
        <w:pStyle w:val="2"/>
        <w:widowControl/>
        <w:shd w:val="clear"/>
        <w:rPr>
          <w:rFonts w:hint="eastAsia" w:hAnsi="宋体" w:cs="宋体"/>
          <w:bCs/>
          <w:color w:val="000000" w:themeColor="text1"/>
          <w:szCs w:val="21"/>
          <w14:textFill>
            <w14:solidFill>
              <w14:schemeClr w14:val="tx1"/>
            </w14:solidFill>
          </w14:textFill>
        </w:rPr>
      </w:pPr>
    </w:p>
    <w:p>
      <w:pPr>
        <w:shd w:val="clear"/>
        <w:spacing w:line="360" w:lineRule="auto"/>
        <w:ind w:left="420"/>
        <w:rPr>
          <w:b/>
          <w:color w:val="000000" w:themeColor="text1"/>
          <w:sz w:val="24"/>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十三、验收标准：</w:t>
      </w:r>
    </w:p>
    <w:p>
      <w:pPr>
        <w:shd w:val="clea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由中标人提出验收申请，采购人在收到验收申请后的7个工作日内组织验收，必须满足设计要求及招标人提出的有关要求进行施工并按照国家现行《建筑施工质量统一验收标准》验收，符合国家有关技术标准及要求，质量合格。</w:t>
      </w:r>
    </w:p>
    <w:p>
      <w:pPr>
        <w:pStyle w:val="2"/>
        <w:widowControl/>
        <w:shd w:val="clear"/>
        <w:rPr>
          <w:rFonts w:hint="eastAsia" w:hAnsi="宋体" w:cs="宋体"/>
          <w:bCs/>
          <w:color w:val="000000" w:themeColor="text1"/>
          <w:szCs w:val="21"/>
          <w14:textFill>
            <w14:solidFill>
              <w14:schemeClr w14:val="tx1"/>
            </w14:solidFill>
          </w14:textFill>
        </w:rPr>
      </w:pPr>
    </w:p>
    <w:p>
      <w:pPr>
        <w:numPr>
          <w:ilvl w:val="0"/>
          <w:numId w:val="6"/>
        </w:numPr>
        <w:shd w:val="clear"/>
        <w:spacing w:line="360" w:lineRule="auto"/>
        <w:ind w:left="420"/>
        <w:rPr>
          <w:rFonts w:ascii="Times New Roman" w:hAnsi="Times New Roman" w:eastAsia="宋体" w:cs="宋体"/>
          <w:b/>
          <w:color w:val="000000" w:themeColor="text1"/>
          <w:sz w:val="24"/>
          <w:lang w:bidi="ar"/>
          <w14:textFill>
            <w14:solidFill>
              <w14:schemeClr w14:val="tx1"/>
            </w14:solidFill>
          </w14:textFill>
        </w:rPr>
      </w:pPr>
      <w:r>
        <w:rPr>
          <w:rFonts w:hint="eastAsia" w:ascii="Times New Roman" w:hAnsi="Times New Roman" w:eastAsia="宋体" w:cs="宋体"/>
          <w:b/>
          <w:color w:val="000000" w:themeColor="text1"/>
          <w:sz w:val="24"/>
          <w:lang w:bidi="ar"/>
          <w14:textFill>
            <w14:solidFill>
              <w14:schemeClr w14:val="tx1"/>
            </w14:solidFill>
          </w14:textFill>
        </w:rPr>
        <w:t>人员要求：</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725"/>
        <w:gridCol w:w="916"/>
        <w:gridCol w:w="2949"/>
        <w:gridCol w:w="268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76"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b/>
                <w:color w:val="000000" w:themeColor="text1"/>
                <w:sz w:val="21"/>
                <w14:textFill>
                  <w14:solidFill>
                    <w14:schemeClr w14:val="tx1"/>
                  </w14:solidFill>
                </w14:textFill>
              </w:rPr>
              <w:t>主要项目管理机构人员</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在本项目任职</w:t>
            </w:r>
          </w:p>
        </w:tc>
        <w:tc>
          <w:tcPr>
            <w:tcW w:w="91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数量（人）</w:t>
            </w:r>
          </w:p>
        </w:tc>
        <w:tc>
          <w:tcPr>
            <w:tcW w:w="294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lang w:eastAsia="zh-CN"/>
                <w14:textFill>
                  <w14:solidFill>
                    <w14:schemeClr w14:val="tx1"/>
                  </w14:solidFill>
                </w14:textFill>
              </w:rPr>
              <w:t>岗位</w:t>
            </w:r>
            <w:r>
              <w:rPr>
                <w:color w:val="000000" w:themeColor="text1"/>
                <w14:textFill>
                  <w14:solidFill>
                    <w14:schemeClr w14:val="tx1"/>
                  </w14:solidFill>
                </w14:textFill>
              </w:rPr>
              <w:t>要求</w:t>
            </w:r>
          </w:p>
        </w:tc>
        <w:tc>
          <w:tcPr>
            <w:tcW w:w="268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岗位职责</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rFonts w:ascii="宋体" w:hAnsi="宋体" w:eastAsia="宋体" w:cs="宋体"/>
                <w:color w:val="000000" w:themeColor="text1"/>
                <w:kern w:val="2"/>
                <w:sz w:val="21"/>
                <w:szCs w:val="21"/>
                <w:lang w:eastAsia="zh-CN" w:bidi="ar"/>
                <w14:textFill>
                  <w14:solidFill>
                    <w14:schemeClr w14:val="tx1"/>
                  </w14:solidFill>
                </w14:textFill>
              </w:rPr>
              <w:t>项目总负责人</w:t>
            </w:r>
          </w:p>
        </w:tc>
        <w:tc>
          <w:tcPr>
            <w:tcW w:w="916"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1</w:t>
            </w:r>
          </w:p>
        </w:tc>
        <w:tc>
          <w:tcPr>
            <w:tcW w:w="2949" w:type="dxa"/>
            <w:tcBorders>
              <w:top w:val="nil"/>
              <w:left w:val="nil"/>
              <w:bottom w:val="single" w:color="000000" w:sz="4" w:space="0"/>
              <w:right w:val="single" w:color="000000" w:sz="4" w:space="0"/>
            </w:tcBorders>
            <w:tcMar>
              <w:top w:w="0" w:type="dxa"/>
              <w:left w:w="105" w:type="dxa"/>
              <w:bottom w:w="0" w:type="dxa"/>
              <w:right w:w="105" w:type="dxa"/>
            </w:tcMar>
          </w:tcPr>
          <w:p>
            <w:pPr>
              <w:pStyle w:val="5"/>
              <w:numPr>
                <w:ilvl w:val="0"/>
                <w:numId w:val="7"/>
              </w:numPr>
              <w:shd w:val="clear"/>
              <w:ind w:left="45" w:right="45"/>
              <w:jc w:val="both"/>
              <w:rPr>
                <w:rFonts w:hint="default"/>
                <w:color w:val="000000" w:themeColor="text1"/>
                <w14:textFill>
                  <w14:solidFill>
                    <w14:schemeClr w14:val="tx1"/>
                  </w14:solidFill>
                </w14:textFill>
              </w:rPr>
            </w:pPr>
            <w:r>
              <w:rPr>
                <w:color w:val="000000" w:themeColor="text1"/>
                <w14:textFill>
                  <w14:solidFill>
                    <w14:schemeClr w14:val="tx1"/>
                  </w14:solidFill>
                </w14:textFill>
              </w:rPr>
              <w:t>具有本科或以上学历</w:t>
            </w:r>
            <w:r>
              <w:rPr>
                <w:color w:val="000000" w:themeColor="text1"/>
                <w:lang w:eastAsia="zh-CN"/>
                <w14:textFill>
                  <w14:solidFill>
                    <w14:schemeClr w14:val="tx1"/>
                  </w14:solidFill>
                </w14:textFill>
              </w:rPr>
              <w:t>。</w:t>
            </w:r>
          </w:p>
          <w:p>
            <w:pPr>
              <w:pStyle w:val="5"/>
              <w:numPr>
                <w:ilvl w:val="0"/>
                <w:numId w:val="7"/>
              </w:numPr>
              <w:shd w:val="clear"/>
              <w:ind w:left="45" w:right="45"/>
              <w:jc w:val="both"/>
              <w:rPr>
                <w:rFonts w:hint="default"/>
                <w:color w:val="000000" w:themeColor="text1"/>
                <w14:textFill>
                  <w14:solidFill>
                    <w14:schemeClr w14:val="tx1"/>
                  </w14:solidFill>
                </w14:textFill>
              </w:rPr>
            </w:pPr>
            <w:r>
              <w:rPr>
                <w:color w:val="000000" w:themeColor="text1"/>
                <w14:textFill>
                  <w14:solidFill>
                    <w14:schemeClr w14:val="tx1"/>
                  </w14:solidFill>
                </w14:textFill>
              </w:rPr>
              <w:t>具有</w:t>
            </w:r>
            <w:r>
              <w:rPr>
                <w:color w:val="000000" w:themeColor="text1"/>
                <w:lang w:eastAsia="zh-CN"/>
                <w14:textFill>
                  <w14:solidFill>
                    <w14:schemeClr w14:val="tx1"/>
                  </w14:solidFill>
                </w14:textFill>
              </w:rPr>
              <w:t>建筑类</w:t>
            </w:r>
            <w:r>
              <w:rPr>
                <w:rFonts w:ascii="Calibri" w:hAnsi="Calibri" w:eastAsia="宋体" w:cs="Times New Roman"/>
                <w:color w:val="000000" w:themeColor="text1"/>
                <w:lang w:eastAsia="zh-CN"/>
                <w14:textFill>
                  <w14:solidFill>
                    <w14:schemeClr w14:val="tx1"/>
                  </w14:solidFill>
                </w14:textFill>
              </w:rPr>
              <w:t>职称。</w:t>
            </w:r>
          </w:p>
          <w:p>
            <w:pPr>
              <w:pStyle w:val="5"/>
              <w:numPr>
                <w:ilvl w:val="0"/>
                <w:numId w:val="7"/>
              </w:numPr>
              <w:shd w:val="clear"/>
              <w:ind w:left="45" w:right="45"/>
              <w:jc w:val="both"/>
              <w:rPr>
                <w:rFonts w:hint="default"/>
                <w:color w:val="000000" w:themeColor="text1"/>
                <w14:textFill>
                  <w14:solidFill>
                    <w14:schemeClr w14:val="tx1"/>
                  </w14:solidFill>
                </w14:textFill>
              </w:rPr>
            </w:pPr>
            <w:r>
              <w:rPr>
                <w:color w:val="000000" w:themeColor="text1"/>
                <w14:textFill>
                  <w14:solidFill>
                    <w14:schemeClr w14:val="tx1"/>
                  </w14:solidFill>
                </w14:textFill>
              </w:rPr>
              <w:t>具有</w:t>
            </w:r>
            <w:r>
              <w:rPr>
                <w:color w:val="000000" w:themeColor="text1"/>
                <w:lang w:eastAsia="zh-CN"/>
                <w14:textFill>
                  <w14:solidFill>
                    <w14:schemeClr w14:val="tx1"/>
                  </w14:solidFill>
                </w14:textFill>
              </w:rPr>
              <w:t>同类维护或修缮项目业绩。</w:t>
            </w:r>
          </w:p>
        </w:tc>
        <w:tc>
          <w:tcPr>
            <w:tcW w:w="2686"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1.</w:t>
            </w:r>
            <w:r>
              <w:rPr>
                <w:color w:val="000000" w:themeColor="text1"/>
                <w14:textFill>
                  <w14:solidFill>
                    <w14:schemeClr w14:val="tx1"/>
                  </w14:solidFill>
                </w14:textFill>
              </w:rPr>
              <w:t>统筹</w:t>
            </w:r>
            <w:r>
              <w:rPr>
                <w:color w:val="000000" w:themeColor="text1"/>
                <w:lang w:eastAsia="zh-CN"/>
                <w14:textFill>
                  <w14:solidFill>
                    <w14:schemeClr w14:val="tx1"/>
                  </w14:solidFill>
                </w14:textFill>
              </w:rPr>
              <w:t>维修</w:t>
            </w:r>
            <w:r>
              <w:rPr>
                <w:color w:val="000000" w:themeColor="text1"/>
                <w14:textFill>
                  <w14:solidFill>
                    <w14:schemeClr w14:val="tx1"/>
                  </w14:solidFill>
                </w14:textFill>
              </w:rPr>
              <w:t>项目全流程，把控质量、进度与成本</w:t>
            </w:r>
            <w:r>
              <w:rPr>
                <w:color w:val="000000" w:themeColor="text1"/>
                <w:lang w:eastAsia="zh-CN"/>
                <w14:textFill>
                  <w14:solidFill>
                    <w14:schemeClr w14:val="tx1"/>
                  </w14:solidFill>
                </w14:textFill>
              </w:rPr>
              <w:t>。</w:t>
            </w:r>
          </w:p>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2.</w:t>
            </w:r>
            <w:r>
              <w:rPr>
                <w:color w:val="000000" w:themeColor="text1"/>
                <w14:textFill>
                  <w14:solidFill>
                    <w14:schemeClr w14:val="tx1"/>
                  </w14:solidFill>
                </w14:textFill>
              </w:rPr>
              <w:t>全面负责</w:t>
            </w:r>
            <w:r>
              <w:rPr>
                <w:color w:val="000000" w:themeColor="text1"/>
                <w:lang w:eastAsia="zh-CN"/>
                <w14:textFill>
                  <w14:solidFill>
                    <w14:schemeClr w14:val="tx1"/>
                  </w14:solidFill>
                </w14:textFill>
              </w:rPr>
              <w:t>维修</w:t>
            </w:r>
            <w:r>
              <w:rPr>
                <w:color w:val="000000" w:themeColor="text1"/>
                <w14:textFill>
                  <w14:solidFill>
                    <w14:schemeClr w14:val="tx1"/>
                  </w14:solidFill>
                </w14:textFill>
              </w:rPr>
              <w:t>项目管理，统筹协调及风险管控</w:t>
            </w:r>
            <w:r>
              <w:rPr>
                <w:color w:val="000000" w:themeColor="text1"/>
                <w:lang w:eastAsia="zh-CN"/>
                <w14:textFill>
                  <w14:solidFill>
                    <w14:schemeClr w14:val="tx1"/>
                  </w14:solidFill>
                </w14:textFill>
              </w:rPr>
              <w:t>。</w:t>
            </w:r>
          </w:p>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3.</w:t>
            </w:r>
            <w:r>
              <w:rPr>
                <w:color w:val="000000" w:themeColor="text1"/>
                <w14:textFill>
                  <w14:solidFill>
                    <w14:schemeClr w14:val="tx1"/>
                  </w14:solidFill>
                </w14:textFill>
              </w:rPr>
              <w:t>主持</w:t>
            </w:r>
            <w:r>
              <w:rPr>
                <w:color w:val="000000" w:themeColor="text1"/>
                <w:lang w:eastAsia="zh-CN"/>
                <w14:textFill>
                  <w14:solidFill>
                    <w14:schemeClr w14:val="tx1"/>
                  </w14:solidFill>
                </w14:textFill>
              </w:rPr>
              <w:t>维修</w:t>
            </w:r>
            <w:r>
              <w:rPr>
                <w:color w:val="000000" w:themeColor="text1"/>
                <w14:textFill>
                  <w14:solidFill>
                    <w14:schemeClr w14:val="tx1"/>
                  </w14:solidFill>
                </w14:textFill>
              </w:rPr>
              <w:t>项目工作，管控进度、安全与造价</w:t>
            </w:r>
            <w:r>
              <w:rPr>
                <w:color w:val="000000" w:themeColor="text1"/>
                <w:lang w:eastAsia="zh-CN"/>
                <w14:textFill>
                  <w14:solidFill>
                    <w14:schemeClr w14:val="tx1"/>
                  </w14:solidFill>
                </w14:textFill>
              </w:rPr>
              <w:t>。</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hd w:val="clear"/>
              <w:jc w:val="center"/>
              <w:rPr>
                <w:rFonts w:hint="default"/>
                <w:color w:val="000000" w:themeColor="text1"/>
                <w14:textFill>
                  <w14:solidFill>
                    <w14:schemeClr w14:val="tx1"/>
                  </w14:solidFill>
                </w14:textFill>
              </w:rPr>
            </w:pPr>
            <w:r>
              <w:rPr>
                <w:rFonts w:ascii="宋体" w:hAnsi="宋体" w:eastAsia="宋体" w:cs="宋体"/>
                <w:color w:val="000000" w:themeColor="text1"/>
                <w:kern w:val="2"/>
                <w:sz w:val="21"/>
                <w:szCs w:val="21"/>
                <w:lang w:eastAsia="zh-CN" w:bidi="ar"/>
                <w14:textFill>
                  <w14:solidFill>
                    <w14:schemeClr w14:val="tx1"/>
                  </w14:solidFill>
                </w14:textFill>
              </w:rPr>
              <w:t>项目</w:t>
            </w:r>
            <w:bookmarkStart w:id="2" w:name="OLE_LINK2"/>
            <w:r>
              <w:rPr>
                <w:rFonts w:ascii="宋体" w:hAnsi="宋体" w:eastAsia="宋体" w:cs="宋体"/>
                <w:color w:val="000000" w:themeColor="text1"/>
                <w:kern w:val="2"/>
                <w:sz w:val="21"/>
                <w:szCs w:val="21"/>
                <w:lang w:eastAsia="zh-CN" w:bidi="ar"/>
                <w14:textFill>
                  <w14:solidFill>
                    <w14:schemeClr w14:val="tx1"/>
                  </w14:solidFill>
                </w14:textFill>
              </w:rPr>
              <w:t>次</w:t>
            </w:r>
            <w:bookmarkEnd w:id="2"/>
            <w:r>
              <w:rPr>
                <w:rFonts w:ascii="宋体" w:hAnsi="宋体" w:eastAsia="宋体" w:cs="宋体"/>
                <w:color w:val="000000" w:themeColor="text1"/>
                <w:kern w:val="2"/>
                <w:sz w:val="21"/>
                <w:szCs w:val="21"/>
                <w:lang w:eastAsia="zh-CN" w:bidi="ar"/>
                <w14:textFill>
                  <w14:solidFill>
                    <w14:schemeClr w14:val="tx1"/>
                  </w14:solidFill>
                </w14:textFill>
              </w:rPr>
              <w:t>负责人</w:t>
            </w:r>
          </w:p>
        </w:tc>
        <w:tc>
          <w:tcPr>
            <w:tcW w:w="916"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1</w:t>
            </w:r>
          </w:p>
        </w:tc>
        <w:tc>
          <w:tcPr>
            <w:tcW w:w="2949"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1.</w:t>
            </w:r>
            <w:r>
              <w:rPr>
                <w:color w:val="000000" w:themeColor="text1"/>
                <w14:textFill>
                  <w14:solidFill>
                    <w14:schemeClr w14:val="tx1"/>
                  </w14:solidFill>
                </w14:textFill>
              </w:rPr>
              <w:t>具有</w:t>
            </w:r>
            <w:r>
              <w:rPr>
                <w:color w:val="000000" w:themeColor="text1"/>
                <w:lang w:eastAsia="zh-CN"/>
                <w14:textFill>
                  <w14:solidFill>
                    <w14:schemeClr w14:val="tx1"/>
                  </w14:solidFill>
                </w14:textFill>
              </w:rPr>
              <w:t>中专</w:t>
            </w:r>
            <w:r>
              <w:rPr>
                <w:color w:val="000000" w:themeColor="text1"/>
                <w14:textFill>
                  <w14:solidFill>
                    <w14:schemeClr w14:val="tx1"/>
                  </w14:solidFill>
                </w14:textFill>
              </w:rPr>
              <w:t>或以上学历</w:t>
            </w:r>
            <w:r>
              <w:rPr>
                <w:color w:val="000000" w:themeColor="text1"/>
                <w:lang w:eastAsia="zh-CN"/>
                <w14:textFill>
                  <w14:solidFill>
                    <w14:schemeClr w14:val="tx1"/>
                  </w14:solidFill>
                </w14:textFill>
              </w:rPr>
              <w:t>。</w:t>
            </w:r>
          </w:p>
        </w:tc>
        <w:tc>
          <w:tcPr>
            <w:tcW w:w="2686"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1.</w:t>
            </w:r>
            <w:r>
              <w:rPr>
                <w:color w:val="000000" w:themeColor="text1"/>
                <w14:textFill>
                  <w14:solidFill>
                    <w14:schemeClr w14:val="tx1"/>
                  </w14:solidFill>
                </w14:textFill>
              </w:rPr>
              <w:t>协助</w:t>
            </w:r>
            <w:r>
              <w:rPr>
                <w:color w:val="000000" w:themeColor="text1"/>
                <w:lang w:eastAsia="zh-CN"/>
                <w14:textFill>
                  <w14:solidFill>
                    <w14:schemeClr w14:val="tx1"/>
                  </w14:solidFill>
                </w14:textFill>
              </w:rPr>
              <w:t>项目</w:t>
            </w:r>
            <w:r>
              <w:rPr>
                <w:color w:val="000000" w:themeColor="text1"/>
                <w14:textFill>
                  <w14:solidFill>
                    <w14:schemeClr w14:val="tx1"/>
                  </w14:solidFill>
                </w14:textFill>
              </w:rPr>
              <w:t>主负责人，落实项目进度、质量与现场管理</w:t>
            </w:r>
            <w:r>
              <w:rPr>
                <w:color w:val="000000" w:themeColor="text1"/>
                <w:lang w:eastAsia="zh-CN"/>
                <w14:textFill>
                  <w14:solidFill>
                    <w14:schemeClr w14:val="tx1"/>
                  </w14:solidFill>
                </w14:textFill>
              </w:rPr>
              <w:t>。</w:t>
            </w:r>
          </w:p>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2.</w:t>
            </w:r>
            <w:r>
              <w:rPr>
                <w:color w:val="000000" w:themeColor="text1"/>
                <w14:textFill>
                  <w14:solidFill>
                    <w14:schemeClr w14:val="tx1"/>
                  </w14:solidFill>
                </w14:textFill>
              </w:rPr>
              <w:t>配合统筹</w:t>
            </w:r>
            <w:r>
              <w:rPr>
                <w:color w:val="000000" w:themeColor="text1"/>
                <w:lang w:eastAsia="zh-CN"/>
                <w14:textFill>
                  <w14:solidFill>
                    <w14:schemeClr w14:val="tx1"/>
                  </w14:solidFill>
                </w14:textFill>
              </w:rPr>
              <w:t>维修</w:t>
            </w:r>
            <w:r>
              <w:rPr>
                <w:color w:val="000000" w:themeColor="text1"/>
                <w14:textFill>
                  <w14:solidFill>
                    <w14:schemeClr w14:val="tx1"/>
                  </w14:solidFill>
                </w14:textFill>
              </w:rPr>
              <w:t>项目，分管现场、协调及日常事务</w:t>
            </w:r>
            <w:r>
              <w:rPr>
                <w:color w:val="000000" w:themeColor="text1"/>
                <w:lang w:eastAsia="zh-CN"/>
                <w14:textFill>
                  <w14:solidFill>
                    <w14:schemeClr w14:val="tx1"/>
                  </w14:solidFill>
                </w14:textFill>
              </w:rPr>
              <w:t>。</w:t>
            </w:r>
          </w:p>
          <w:p>
            <w:pPr>
              <w:pStyle w:val="5"/>
              <w:shd w:val="clear"/>
              <w:ind w:left="45" w:right="45"/>
              <w:jc w:val="both"/>
              <w:rPr>
                <w:rFonts w:hint="default"/>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3.</w:t>
            </w:r>
            <w:r>
              <w:rPr>
                <w:color w:val="000000" w:themeColor="text1"/>
                <w14:textFill>
                  <w14:solidFill>
                    <w14:schemeClr w14:val="tx1"/>
                  </w14:solidFill>
                </w14:textFill>
              </w:rPr>
              <w:t>辅管项目运行，把控细节、对接各方事务</w:t>
            </w:r>
            <w:r>
              <w:rPr>
                <w:color w:val="000000" w:themeColor="text1"/>
                <w:lang w:eastAsia="zh-CN"/>
                <w14:textFill>
                  <w14:solidFill>
                    <w14:schemeClr w14:val="tx1"/>
                  </w14:solidFill>
                </w14:textFill>
              </w:rPr>
              <w:t>。</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hd w:val="clear"/>
              <w:jc w:val="center"/>
              <w:rPr>
                <w:rFonts w:hint="default"/>
                <w:color w:val="000000" w:themeColor="text1"/>
                <w14:textFill>
                  <w14:solidFill>
                    <w14:schemeClr w14:val="tx1"/>
                  </w14:solidFill>
                </w14:textFill>
              </w:rPr>
            </w:pPr>
          </w:p>
        </w:tc>
        <w:tc>
          <w:tcPr>
            <w:tcW w:w="916"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1</w:t>
            </w:r>
          </w:p>
        </w:tc>
        <w:tc>
          <w:tcPr>
            <w:tcW w:w="2949"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both"/>
              <w:rPr>
                <w:rFonts w:hint="default"/>
                <w:color w:val="000000" w:themeColor="text1"/>
                <w14:textFill>
                  <w14:solidFill>
                    <w14:schemeClr w14:val="tx1"/>
                  </w14:solidFill>
                </w14:textFill>
              </w:rPr>
            </w:pPr>
            <w:r>
              <w:rPr>
                <w:color w:val="000000" w:themeColor="text1"/>
                <w14:textFill>
                  <w14:solidFill>
                    <w14:schemeClr w14:val="tx1"/>
                  </w14:solidFill>
                </w14:textFill>
              </w:rPr>
              <w:t>符合磋商公告要求</w:t>
            </w:r>
          </w:p>
        </w:tc>
        <w:tc>
          <w:tcPr>
            <w:tcW w:w="2686" w:type="dxa"/>
            <w:tcBorders>
              <w:top w:val="nil"/>
              <w:left w:val="nil"/>
              <w:bottom w:val="single" w:color="000000" w:sz="4" w:space="0"/>
              <w:right w:val="single" w:color="000000"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76" w:type="dxa"/>
            <w:gridSpan w:val="4"/>
            <w:tcBorders>
              <w:top w:val="nil"/>
              <w:left w:val="single" w:color="000000" w:sz="4" w:space="0"/>
              <w:bottom w:val="single" w:color="auto" w:sz="4" w:space="0"/>
              <w:right w:val="single" w:color="000000" w:sz="4" w:space="0"/>
            </w:tcBorders>
            <w:tcMar>
              <w:top w:w="0" w:type="dxa"/>
              <w:left w:w="105" w:type="dxa"/>
              <w:bottom w:w="0" w:type="dxa"/>
              <w:right w:w="105" w:type="dxa"/>
            </w:tcMar>
          </w:tcPr>
          <w:p>
            <w:pPr>
              <w:pStyle w:val="5"/>
              <w:shd w:val="clear"/>
              <w:jc w:val="center"/>
              <w:rPr>
                <w:rFonts w:hint="default"/>
                <w:color w:val="000000" w:themeColor="text1"/>
                <w14:textFill>
                  <w14:solidFill>
                    <w14:schemeClr w14:val="tx1"/>
                  </w14:solidFill>
                </w14:textFill>
              </w:rPr>
            </w:pPr>
            <w:r>
              <w:rPr>
                <w:b/>
                <w:color w:val="000000" w:themeColor="text1"/>
                <w14:textFill>
                  <w14:solidFill>
                    <w14:schemeClr w14:val="tx1"/>
                  </w14:solidFill>
                </w14:textFill>
              </w:rPr>
              <w:t>其他工程人员</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lang w:eastAsia="zh-CN" w:bidi="ar"/>
                <w14:textFill>
                  <w14:solidFill>
                    <w14:schemeClr w14:val="tx1"/>
                  </w14:solidFill>
                </w14:textFill>
              </w:rPr>
              <w:t>专职安全员</w:t>
            </w:r>
          </w:p>
        </w:tc>
        <w:tc>
          <w:tcPr>
            <w:tcW w:w="91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pStyle w:val="5"/>
              <w:shd w:val="clear"/>
              <w:ind w:left="45" w:right="45"/>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t>1</w:t>
            </w:r>
          </w:p>
        </w:tc>
        <w:tc>
          <w:tcPr>
            <w:tcW w:w="294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pStyle w:val="5"/>
              <w:numPr>
                <w:ilvl w:val="0"/>
                <w:numId w:val="8"/>
              </w:numPr>
              <w:shd w:val="clear"/>
              <w:ind w:left="45" w:right="45"/>
              <w:jc w:val="both"/>
              <w:rPr>
                <w:rFonts w:hint="default"/>
                <w:color w:val="000000" w:themeColor="text1"/>
                <w:lang w:eastAsia="zh-CN"/>
                <w14:textFill>
                  <w14:solidFill>
                    <w14:schemeClr w14:val="tx1"/>
                  </w14:solidFill>
                </w14:textFill>
              </w:rPr>
            </w:pPr>
            <w:r>
              <w:rPr>
                <w:color w:val="000000" w:themeColor="text1"/>
                <w14:textFill>
                  <w14:solidFill>
                    <w14:schemeClr w14:val="tx1"/>
                  </w14:solidFill>
                </w14:textFill>
              </w:rPr>
              <w:t>具有</w:t>
            </w:r>
            <w:r>
              <w:rPr>
                <w:color w:val="000000" w:themeColor="text1"/>
                <w:lang w:eastAsia="zh-CN"/>
                <w14:textFill>
                  <w14:solidFill>
                    <w14:schemeClr w14:val="tx1"/>
                  </w14:solidFill>
                </w14:textFill>
              </w:rPr>
              <w:t>中专</w:t>
            </w:r>
            <w:r>
              <w:rPr>
                <w:color w:val="000000" w:themeColor="text1"/>
                <w14:textFill>
                  <w14:solidFill>
                    <w14:schemeClr w14:val="tx1"/>
                  </w14:solidFill>
                </w14:textFill>
              </w:rPr>
              <w:t>或以上学历</w:t>
            </w:r>
            <w:r>
              <w:rPr>
                <w:color w:val="000000" w:themeColor="text1"/>
                <w:lang w:eastAsia="zh-CN"/>
                <w14:textFill>
                  <w14:solidFill>
                    <w14:schemeClr w14:val="tx1"/>
                  </w14:solidFill>
                </w14:textFill>
              </w:rPr>
              <w:t>。</w:t>
            </w:r>
          </w:p>
          <w:p>
            <w:pPr>
              <w:pStyle w:val="5"/>
              <w:numPr>
                <w:ilvl w:val="0"/>
                <w:numId w:val="8"/>
              </w:numPr>
              <w:shd w:val="clear"/>
              <w:ind w:left="45" w:right="45"/>
              <w:jc w:val="both"/>
              <w:rPr>
                <w:rFonts w:hint="default"/>
                <w:color w:val="000000" w:themeColor="text1"/>
                <w:lang w:eastAsia="zh-CN"/>
                <w14:textFill>
                  <w14:solidFill>
                    <w14:schemeClr w14:val="tx1"/>
                  </w14:solidFill>
                </w14:textFill>
              </w:rPr>
            </w:pPr>
            <w:r>
              <w:rPr>
                <w:color w:val="000000" w:themeColor="text1"/>
                <w:lang w:eastAsia="zh-CN" w:bidi="ar"/>
                <w14:textFill>
                  <w14:solidFill>
                    <w14:schemeClr w14:val="tx1"/>
                  </w14:solidFill>
                </w14:textFill>
              </w:rPr>
              <w:t>具有安全生产考核合格证（C类）或建筑施工企业专职安全生产管理人员安全生产考核合格证书（C3类）。</w:t>
            </w:r>
          </w:p>
        </w:tc>
        <w:tc>
          <w:tcPr>
            <w:tcW w:w="268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pStyle w:val="5"/>
              <w:shd w:val="clear"/>
              <w:ind w:left="45" w:right="45"/>
              <w:jc w:val="both"/>
              <w:rPr>
                <w:rFonts w:hint="default"/>
                <w:color w:val="000000" w:themeColor="text1"/>
                <w14:textFill>
                  <w14:solidFill>
                    <w14:schemeClr w14:val="tx1"/>
                  </w14:solidFill>
                </w14:textFill>
              </w:rPr>
            </w:pPr>
            <w:r>
              <w:rPr>
                <w:color w:val="000000" w:themeColor="text1"/>
                <w:lang w:eastAsia="zh-CN"/>
                <w14:textFill>
                  <w14:solidFill>
                    <w14:schemeClr w14:val="tx1"/>
                  </w14:solidFill>
                </w14:textFill>
              </w:rPr>
              <w:t>1.</w:t>
            </w:r>
            <w:r>
              <w:rPr>
                <w:color w:val="000000" w:themeColor="text1"/>
                <w14:textFill>
                  <w14:solidFill>
                    <w14:schemeClr w14:val="tx1"/>
                  </w14:solidFill>
                </w14:textFill>
              </w:rPr>
              <w:t>巡查现场隐患，落实安全管控与交底工作</w:t>
            </w:r>
          </w:p>
          <w:p>
            <w:pPr>
              <w:pStyle w:val="5"/>
              <w:shd w:val="clear"/>
              <w:ind w:left="45" w:right="45"/>
              <w:jc w:val="both"/>
              <w:rPr>
                <w:rFonts w:hint="default"/>
                <w:color w:val="000000" w:themeColor="text1"/>
                <w14:textFill>
                  <w14:solidFill>
                    <w14:schemeClr w14:val="tx1"/>
                  </w14:solidFill>
                </w14:textFill>
              </w:rPr>
            </w:pPr>
            <w:r>
              <w:rPr>
                <w:color w:val="000000" w:themeColor="text1"/>
                <w:lang w:eastAsia="zh-CN"/>
                <w14:textFill>
                  <w14:solidFill>
                    <w14:schemeClr w14:val="tx1"/>
                  </w14:solidFill>
                </w14:textFill>
              </w:rPr>
              <w:t>2.</w:t>
            </w:r>
            <w:r>
              <w:rPr>
                <w:color w:val="000000" w:themeColor="text1"/>
                <w14:textFill>
                  <w14:solidFill>
                    <w14:schemeClr w14:val="tx1"/>
                  </w14:solidFill>
                </w14:textFill>
              </w:rPr>
              <w:t>监管现场安全，排查隐患、监督规范作业</w:t>
            </w:r>
          </w:p>
          <w:p>
            <w:pPr>
              <w:pStyle w:val="5"/>
              <w:shd w:val="clear"/>
              <w:ind w:left="45" w:right="45"/>
              <w:jc w:val="both"/>
              <w:rPr>
                <w:rFonts w:hint="default"/>
                <w:color w:val="000000" w:themeColor="text1"/>
                <w14:textFill>
                  <w14:solidFill>
                    <w14:schemeClr w14:val="tx1"/>
                  </w14:solidFill>
                </w14:textFill>
              </w:rPr>
            </w:pPr>
            <w:r>
              <w:rPr>
                <w:color w:val="000000" w:themeColor="text1"/>
                <w:lang w:eastAsia="zh-CN"/>
                <w14:textFill>
                  <w14:solidFill>
                    <w14:schemeClr w14:val="tx1"/>
                  </w14:solidFill>
                </w14:textFill>
              </w:rPr>
              <w:t>3.</w:t>
            </w:r>
            <w:r>
              <w:rPr>
                <w:color w:val="000000" w:themeColor="text1"/>
                <w14:textFill>
                  <w14:solidFill>
                    <w14:schemeClr w14:val="tx1"/>
                  </w14:solidFill>
                </w14:textFill>
              </w:rPr>
              <w:t>负责安全巡查，整改隐患，开展安全监督</w:t>
            </w:r>
          </w:p>
        </w:tc>
      </w:tr>
    </w:tbl>
    <w:p>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BD155"/>
    <w:multiLevelType w:val="multilevel"/>
    <w:tmpl w:val="8B8BD155"/>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92EB5DBE"/>
    <w:multiLevelType w:val="multilevel"/>
    <w:tmpl w:val="92EB5DBE"/>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D234D7E1"/>
    <w:multiLevelType w:val="multilevel"/>
    <w:tmpl w:val="D234D7E1"/>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ED2435FC"/>
    <w:multiLevelType w:val="singleLevel"/>
    <w:tmpl w:val="ED2435FC"/>
    <w:lvl w:ilvl="0" w:tentative="0">
      <w:start w:val="1"/>
      <w:numFmt w:val="decimal"/>
      <w:lvlText w:val="%1."/>
      <w:lvlJc w:val="left"/>
      <w:pPr>
        <w:tabs>
          <w:tab w:val="left" w:pos="312"/>
        </w:tabs>
      </w:pPr>
    </w:lvl>
  </w:abstractNum>
  <w:abstractNum w:abstractNumId="4">
    <w:nsid w:val="51BB9566"/>
    <w:multiLevelType w:val="singleLevel"/>
    <w:tmpl w:val="51BB9566"/>
    <w:lvl w:ilvl="0" w:tentative="0">
      <w:start w:val="1"/>
      <w:numFmt w:val="decimal"/>
      <w:lvlText w:val="%1."/>
      <w:lvlJc w:val="left"/>
      <w:pPr>
        <w:tabs>
          <w:tab w:val="left" w:pos="312"/>
        </w:tabs>
      </w:pPr>
    </w:lvl>
  </w:abstractNum>
  <w:abstractNum w:abstractNumId="5">
    <w:nsid w:val="617003BD"/>
    <w:multiLevelType w:val="multilevel"/>
    <w:tmpl w:val="617003BD"/>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71A6D4AE"/>
    <w:multiLevelType w:val="multilevel"/>
    <w:tmpl w:val="71A6D4AE"/>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7AF76A9D"/>
    <w:multiLevelType w:val="singleLevel"/>
    <w:tmpl w:val="7AF76A9D"/>
    <w:lvl w:ilvl="0" w:tentative="0">
      <w:start w:val="14"/>
      <w:numFmt w:val="chineseCounting"/>
      <w:suff w:val="nothing"/>
      <w:lvlText w:val="%1、"/>
      <w:lvlJc w:val="left"/>
      <w:rPr>
        <w:rFonts w:hint="eastAsia"/>
      </w:rPr>
    </w:lvl>
  </w:abstractNum>
  <w:num w:numId="1">
    <w:abstractNumId w:val="1"/>
  </w:num>
  <w:num w:numId="2">
    <w:abstractNumId w:val="6"/>
  </w:num>
  <w:num w:numId="3">
    <w:abstractNumId w:val="0"/>
  </w:num>
  <w:num w:numId="4">
    <w:abstractNumId w:val="2"/>
  </w:num>
  <w:num w:numId="5">
    <w:abstractNumId w:val="5"/>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zNDdmY2I0MDllODZmZjA2YmQ3OGRiMTNlNmUwY2YifQ=="/>
  </w:docVars>
  <w:rsids>
    <w:rsidRoot w:val="61222FD6"/>
    <w:rsid w:val="61222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eastAsia="宋体" w:cs="Times New Roman"/>
    </w:r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 w:type="paragraph" w:customStyle="1" w:styleId="6">
    <w:name w:val="正文缩进_0"/>
    <w:basedOn w:val="1"/>
    <w:qFormat/>
    <w:uiPriority w:val="0"/>
    <w:pPr>
      <w:autoSpaceDE w:val="0"/>
      <w:autoSpaceDN w:val="0"/>
      <w:spacing w:line="360" w:lineRule="auto"/>
      <w:ind w:left="181" w:firstLine="420"/>
    </w:pPr>
    <w:rPr>
      <w:rFonts w:ascii="Helvetica" w:hAnsi="Helvetica" w:eastAsia="宋体" w:cs="Times New Roman"/>
      <w:kern w:val="0"/>
      <w:sz w:val="24"/>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2026-06-03T03:28:00Z</dcterms:created>
  <dc:creator>梁浩华</dc:creator>
  <cp:lastModifiedBy>梁浩华</cp:lastModifiedBy>
  <dcterms:modified xsi:type="dcterms:W3CDTF">2026-06-03T03:29:06Z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E7F1418BD24D448C9C83907D7E2CC887_11</vt:lpwstr>
  </property>
</Properties>
</file>