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C407C">
      <w:pPr>
        <w:adjustRightInd w:val="0"/>
        <w:spacing w:before="33" w:beforeLines="10" w:line="400" w:lineRule="exact"/>
        <w:ind w:firstLine="422" w:firstLineChars="200"/>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ab/>
      </w:r>
    </w:p>
    <w:p w14:paraId="63AC6599">
      <w:pPr>
        <w:adjustRightInd w:val="0"/>
        <w:spacing w:before="33" w:beforeLines="10" w:line="400" w:lineRule="exact"/>
        <w:ind w:firstLine="422" w:firstLineChars="200"/>
        <w:jc w:val="center"/>
        <w:rPr>
          <w:rFonts w:ascii="宋体" w:hAnsi="宋体" w:cs="宋体"/>
          <w:b/>
          <w:bCs/>
          <w:color w:val="000000" w:themeColor="text1"/>
          <w:szCs w:val="21"/>
          <w:highlight w:val="none"/>
          <w14:textFill>
            <w14:solidFill>
              <w14:schemeClr w14:val="tx1"/>
            </w14:solidFill>
          </w14:textFill>
        </w:rPr>
      </w:pPr>
    </w:p>
    <w:p w14:paraId="4BFB0230">
      <w:pPr>
        <w:pStyle w:val="19"/>
        <w:jc w:val="center"/>
        <w:rPr>
          <w:rFonts w:hAnsi="宋体" w:cs="宋体"/>
          <w:bCs/>
          <w:color w:val="000000" w:themeColor="text1"/>
          <w:szCs w:val="21"/>
          <w:highlight w:val="none"/>
          <w14:textFill>
            <w14:solidFill>
              <w14:schemeClr w14:val="tx1"/>
            </w14:solidFill>
          </w14:textFill>
        </w:rPr>
      </w:pPr>
    </w:p>
    <w:p w14:paraId="460E50B7">
      <w:pPr>
        <w:pStyle w:val="19"/>
        <w:autoSpaceDE w:val="0"/>
        <w:autoSpaceDN w:val="0"/>
        <w:adjustRightInd w:val="0"/>
        <w:jc w:val="center"/>
        <w:rPr>
          <w:rFonts w:hAnsi="宋体" w:cs="宋体"/>
          <w:bCs/>
          <w:color w:val="000000" w:themeColor="text1"/>
          <w:kern w:val="0"/>
          <w:sz w:val="48"/>
          <w:szCs w:val="48"/>
          <w:highlight w:val="none"/>
          <w14:textFill>
            <w14:solidFill>
              <w14:schemeClr w14:val="tx1"/>
            </w14:solidFill>
          </w14:textFill>
        </w:rPr>
      </w:pPr>
    </w:p>
    <w:p w14:paraId="383AE73A">
      <w:pPr>
        <w:pStyle w:val="19"/>
        <w:autoSpaceDE w:val="0"/>
        <w:autoSpaceDN w:val="0"/>
        <w:adjustRightInd w:val="0"/>
        <w:spacing w:line="360" w:lineRule="auto"/>
        <w:jc w:val="center"/>
        <w:rPr>
          <w:rFonts w:hint="eastAsia" w:hAnsi="宋体" w:eastAsia="宋体" w:cs="宋体"/>
          <w:bCs/>
          <w:color w:val="000000" w:themeColor="text1"/>
          <w:kern w:val="0"/>
          <w:sz w:val="48"/>
          <w:szCs w:val="48"/>
          <w:highlight w:val="none"/>
          <w:lang w:eastAsia="zh-CN"/>
          <w14:textFill>
            <w14:solidFill>
              <w14:schemeClr w14:val="tx1"/>
            </w14:solidFill>
          </w14:textFill>
        </w:rPr>
      </w:pPr>
      <w:r>
        <w:rPr>
          <w:rFonts w:hint="eastAsia" w:hAnsi="宋体" w:cs="宋体"/>
          <w:bCs/>
          <w:color w:val="000000" w:themeColor="text1"/>
          <w:kern w:val="0"/>
          <w:sz w:val="48"/>
          <w:szCs w:val="48"/>
          <w:highlight w:val="none"/>
          <w:lang w:eastAsia="zh-CN"/>
          <w14:textFill>
            <w14:solidFill>
              <w14:schemeClr w14:val="tx1"/>
            </w14:solidFill>
          </w14:textFill>
        </w:rPr>
        <w:t>昆明经济技术开发区规划建设局昆明经开区建成市政道路照明设施修复改造项目</w:t>
      </w:r>
    </w:p>
    <w:p w14:paraId="7420E7CE">
      <w:pPr>
        <w:pStyle w:val="19"/>
        <w:autoSpaceDE w:val="0"/>
        <w:autoSpaceDN w:val="0"/>
        <w:adjustRightInd w:val="0"/>
        <w:spacing w:line="360" w:lineRule="auto"/>
        <w:jc w:val="center"/>
        <w:rPr>
          <w:rFonts w:hAnsi="宋体" w:cs="宋体"/>
          <w:bCs/>
          <w:color w:val="000000" w:themeColor="text1"/>
          <w:kern w:val="0"/>
          <w:sz w:val="44"/>
          <w:szCs w:val="44"/>
          <w:highlight w:val="none"/>
          <w14:textFill>
            <w14:solidFill>
              <w14:schemeClr w14:val="tx1"/>
            </w14:solidFill>
          </w14:textFill>
        </w:rPr>
      </w:pPr>
    </w:p>
    <w:p w14:paraId="63B93AA5">
      <w:pPr>
        <w:pStyle w:val="19"/>
        <w:autoSpaceDE w:val="0"/>
        <w:autoSpaceDN w:val="0"/>
        <w:adjustRightInd w:val="0"/>
        <w:spacing w:line="360" w:lineRule="auto"/>
        <w:jc w:val="center"/>
        <w:rPr>
          <w:rFonts w:hAnsi="宋体" w:cs="宋体"/>
          <w:bCs/>
          <w:color w:val="000000" w:themeColor="text1"/>
          <w:kern w:val="0"/>
          <w:sz w:val="44"/>
          <w:szCs w:val="44"/>
          <w:highlight w:val="none"/>
          <w14:textFill>
            <w14:solidFill>
              <w14:schemeClr w14:val="tx1"/>
            </w14:solidFill>
          </w14:textFill>
        </w:rPr>
      </w:pPr>
    </w:p>
    <w:p w14:paraId="7B3794E3">
      <w:pPr>
        <w:pStyle w:val="19"/>
        <w:autoSpaceDE w:val="0"/>
        <w:autoSpaceDN w:val="0"/>
        <w:adjustRightInd w:val="0"/>
        <w:spacing w:line="360" w:lineRule="auto"/>
        <w:jc w:val="center"/>
        <w:rPr>
          <w:rFonts w:hAnsi="宋体" w:cs="宋体"/>
          <w:b/>
          <w:bCs/>
          <w:color w:val="000000" w:themeColor="text1"/>
          <w:kern w:val="0"/>
          <w:sz w:val="84"/>
          <w:szCs w:val="84"/>
          <w:highlight w:val="none"/>
          <w14:textFill>
            <w14:solidFill>
              <w14:schemeClr w14:val="tx1"/>
            </w14:solidFill>
          </w14:textFill>
        </w:rPr>
      </w:pPr>
    </w:p>
    <w:p w14:paraId="163A4693">
      <w:pPr>
        <w:pStyle w:val="19"/>
        <w:autoSpaceDE w:val="0"/>
        <w:autoSpaceDN w:val="0"/>
        <w:adjustRightInd w:val="0"/>
        <w:spacing w:line="360" w:lineRule="auto"/>
        <w:jc w:val="center"/>
        <w:rPr>
          <w:rFonts w:hAnsi="宋体" w:cs="宋体"/>
          <w:b/>
          <w:bCs/>
          <w:color w:val="000000" w:themeColor="text1"/>
          <w:kern w:val="0"/>
          <w:sz w:val="84"/>
          <w:szCs w:val="84"/>
          <w:highlight w:val="none"/>
          <w14:textFill>
            <w14:solidFill>
              <w14:schemeClr w14:val="tx1"/>
            </w14:solidFill>
          </w14:textFill>
        </w:rPr>
      </w:pPr>
      <w:r>
        <w:rPr>
          <w:rFonts w:hint="eastAsia" w:hAnsi="宋体" w:cs="宋体"/>
          <w:b/>
          <w:bCs/>
          <w:color w:val="000000" w:themeColor="text1"/>
          <w:kern w:val="0"/>
          <w:sz w:val="84"/>
          <w:szCs w:val="84"/>
          <w:highlight w:val="none"/>
          <w14:textFill>
            <w14:solidFill>
              <w14:schemeClr w14:val="tx1"/>
            </w14:solidFill>
          </w14:textFill>
        </w:rPr>
        <w:t>招 标 文 件</w:t>
      </w:r>
    </w:p>
    <w:p w14:paraId="7D57CEC0">
      <w:pPr>
        <w:pStyle w:val="19"/>
        <w:jc w:val="center"/>
        <w:rPr>
          <w:rFonts w:hAnsi="宋体" w:cs="宋体"/>
          <w:bCs/>
          <w:color w:val="000000" w:themeColor="text1"/>
          <w:sz w:val="44"/>
          <w:szCs w:val="44"/>
          <w:highlight w:val="none"/>
          <w14:textFill>
            <w14:solidFill>
              <w14:schemeClr w14:val="tx1"/>
            </w14:solidFill>
          </w14:textFill>
        </w:rPr>
      </w:pPr>
      <w:r>
        <w:rPr>
          <w:rFonts w:hint="eastAsia" w:hAnsi="宋体" w:cs="宋体"/>
          <w:b/>
          <w:bCs/>
          <w:color w:val="000000" w:themeColor="text1"/>
          <w:kern w:val="0"/>
          <w:sz w:val="32"/>
          <w:szCs w:val="32"/>
          <w:highlight w:val="none"/>
          <w14:textFill>
            <w14:solidFill>
              <w14:schemeClr w14:val="tx1"/>
            </w14:solidFill>
          </w14:textFill>
        </w:rPr>
        <w:t xml:space="preserve">项目编号：KMZC2026-G3-00241-YZGF-0115 </w:t>
      </w:r>
    </w:p>
    <w:p w14:paraId="12DBA0BD">
      <w:pPr>
        <w:pStyle w:val="19"/>
        <w:autoSpaceDE w:val="0"/>
        <w:autoSpaceDN w:val="0"/>
        <w:adjustRightInd w:val="0"/>
        <w:spacing w:line="360" w:lineRule="auto"/>
        <w:jc w:val="center"/>
        <w:rPr>
          <w:rFonts w:hAnsi="宋体" w:cs="宋体"/>
          <w:bCs/>
          <w:color w:val="000000" w:themeColor="text1"/>
          <w:sz w:val="32"/>
          <w:szCs w:val="32"/>
          <w:highlight w:val="none"/>
          <w14:textFill>
            <w14:solidFill>
              <w14:schemeClr w14:val="tx1"/>
            </w14:solidFill>
          </w14:textFill>
        </w:rPr>
      </w:pPr>
      <w:r>
        <w:rPr>
          <w:rFonts w:hint="eastAsia" w:hAnsi="宋体" w:cs="宋体"/>
          <w:b/>
          <w:bCs/>
          <w:color w:val="000000" w:themeColor="text1"/>
          <w:kern w:val="0"/>
          <w:sz w:val="32"/>
          <w:szCs w:val="32"/>
          <w:highlight w:val="none"/>
          <w14:textFill>
            <w14:solidFill>
              <w14:schemeClr w14:val="tx1"/>
            </w14:solidFill>
          </w14:textFill>
        </w:rPr>
        <w:t>招标编号：N53A01126001008</w:t>
      </w:r>
      <w:r>
        <w:rPr>
          <w:rFonts w:hint="eastAsia" w:hAnsi="宋体" w:cs="宋体"/>
          <w:b/>
          <w:bCs/>
          <w:color w:val="000000" w:themeColor="text1"/>
          <w:sz w:val="32"/>
          <w:szCs w:val="32"/>
          <w:highlight w:val="none"/>
          <w14:textFill>
            <w14:solidFill>
              <w14:schemeClr w14:val="tx1"/>
            </w14:solidFill>
          </w14:textFill>
        </w:rPr>
        <w:t xml:space="preserve">  </w:t>
      </w:r>
    </w:p>
    <w:p w14:paraId="3BD49011">
      <w:pPr>
        <w:pStyle w:val="19"/>
        <w:rPr>
          <w:rFonts w:hAnsi="宋体" w:cs="宋体"/>
          <w:color w:val="000000" w:themeColor="text1"/>
          <w:szCs w:val="21"/>
          <w:highlight w:val="none"/>
          <w14:textFill>
            <w14:solidFill>
              <w14:schemeClr w14:val="tx1"/>
            </w14:solidFill>
          </w14:textFill>
        </w:rPr>
      </w:pPr>
    </w:p>
    <w:p w14:paraId="7C5CDDE6">
      <w:pPr>
        <w:pStyle w:val="19"/>
        <w:rPr>
          <w:rFonts w:hAnsi="宋体" w:cs="宋体"/>
          <w:color w:val="000000" w:themeColor="text1"/>
          <w:szCs w:val="21"/>
          <w:highlight w:val="none"/>
          <w14:textFill>
            <w14:solidFill>
              <w14:schemeClr w14:val="tx1"/>
            </w14:solidFill>
          </w14:textFill>
        </w:rPr>
      </w:pPr>
    </w:p>
    <w:p w14:paraId="458F664D">
      <w:pPr>
        <w:pStyle w:val="19"/>
        <w:rPr>
          <w:rFonts w:hAnsi="宋体" w:cs="宋体"/>
          <w:bCs/>
          <w:color w:val="000000" w:themeColor="text1"/>
          <w:szCs w:val="21"/>
          <w:highlight w:val="none"/>
          <w14:textFill>
            <w14:solidFill>
              <w14:schemeClr w14:val="tx1"/>
            </w14:solidFill>
          </w14:textFill>
        </w:rPr>
      </w:pPr>
    </w:p>
    <w:p w14:paraId="0965886D">
      <w:pPr>
        <w:pStyle w:val="19"/>
        <w:rPr>
          <w:rFonts w:hAnsi="宋体" w:cs="宋体"/>
          <w:bCs/>
          <w:color w:val="000000" w:themeColor="text1"/>
          <w:szCs w:val="21"/>
          <w:highlight w:val="none"/>
          <w14:textFill>
            <w14:solidFill>
              <w14:schemeClr w14:val="tx1"/>
            </w14:solidFill>
          </w14:textFill>
        </w:rPr>
      </w:pPr>
    </w:p>
    <w:p w14:paraId="308D0A00">
      <w:pPr>
        <w:pStyle w:val="19"/>
        <w:rPr>
          <w:rFonts w:hAnsi="宋体" w:cs="宋体"/>
          <w:bCs/>
          <w:color w:val="000000" w:themeColor="text1"/>
          <w:szCs w:val="21"/>
          <w:highlight w:val="none"/>
          <w14:textFill>
            <w14:solidFill>
              <w14:schemeClr w14:val="tx1"/>
            </w14:solidFill>
          </w14:textFill>
        </w:rPr>
      </w:pPr>
    </w:p>
    <w:p w14:paraId="739B6103">
      <w:pPr>
        <w:pStyle w:val="19"/>
        <w:rPr>
          <w:rFonts w:hAnsi="宋体" w:cs="宋体"/>
          <w:bCs/>
          <w:color w:val="000000" w:themeColor="text1"/>
          <w:szCs w:val="21"/>
          <w:highlight w:val="none"/>
          <w14:textFill>
            <w14:solidFill>
              <w14:schemeClr w14:val="tx1"/>
            </w14:solidFill>
          </w14:textFill>
        </w:rPr>
      </w:pPr>
    </w:p>
    <w:p w14:paraId="5A54C764">
      <w:pPr>
        <w:pStyle w:val="19"/>
        <w:rPr>
          <w:rFonts w:hAnsi="宋体" w:cs="宋体"/>
          <w:bCs/>
          <w:color w:val="000000" w:themeColor="text1"/>
          <w:szCs w:val="21"/>
          <w:highlight w:val="none"/>
          <w14:textFill>
            <w14:solidFill>
              <w14:schemeClr w14:val="tx1"/>
            </w14:solidFill>
          </w14:textFill>
        </w:rPr>
      </w:pPr>
    </w:p>
    <w:p w14:paraId="60A91536">
      <w:pPr>
        <w:pStyle w:val="19"/>
        <w:rPr>
          <w:rFonts w:hAnsi="宋体" w:cs="宋体"/>
          <w:bCs/>
          <w:color w:val="000000" w:themeColor="text1"/>
          <w:szCs w:val="21"/>
          <w:highlight w:val="none"/>
          <w14:textFill>
            <w14:solidFill>
              <w14:schemeClr w14:val="tx1"/>
            </w14:solidFill>
          </w14:textFill>
        </w:rPr>
      </w:pPr>
    </w:p>
    <w:p w14:paraId="3C8ED764">
      <w:pPr>
        <w:pStyle w:val="19"/>
        <w:rPr>
          <w:rFonts w:hAnsi="宋体" w:cs="宋体"/>
          <w:bCs/>
          <w:color w:val="000000" w:themeColor="text1"/>
          <w:szCs w:val="21"/>
          <w:highlight w:val="none"/>
          <w14:textFill>
            <w14:solidFill>
              <w14:schemeClr w14:val="tx1"/>
            </w14:solidFill>
          </w14:textFill>
        </w:rPr>
      </w:pPr>
    </w:p>
    <w:p w14:paraId="145DAAFC">
      <w:pPr>
        <w:pStyle w:val="19"/>
        <w:rPr>
          <w:rFonts w:hAnsi="宋体" w:cs="宋体"/>
          <w:bCs/>
          <w:color w:val="000000" w:themeColor="text1"/>
          <w:szCs w:val="21"/>
          <w:highlight w:val="none"/>
          <w14:textFill>
            <w14:solidFill>
              <w14:schemeClr w14:val="tx1"/>
            </w14:solidFill>
          </w14:textFill>
        </w:rPr>
      </w:pPr>
    </w:p>
    <w:p w14:paraId="4EC86121">
      <w:pPr>
        <w:pStyle w:val="19"/>
        <w:jc w:val="center"/>
        <w:rPr>
          <w:rFonts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采  购  人：昆明经济技术开发区规划建设局</w:t>
      </w:r>
    </w:p>
    <w:p w14:paraId="72D4D848">
      <w:pPr>
        <w:pStyle w:val="19"/>
        <w:jc w:val="center"/>
        <w:rPr>
          <w:rFonts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采购代理机构：云南招标股份有限公司</w:t>
      </w:r>
    </w:p>
    <w:p w14:paraId="702F2713">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2026年0</w:t>
      </w:r>
      <w:r>
        <w:rPr>
          <w:rFonts w:hint="eastAsia" w:hAnsi="宋体" w:cs="宋体"/>
          <w:b/>
          <w:bCs/>
          <w:color w:val="000000" w:themeColor="text1"/>
          <w:sz w:val="32"/>
          <w:szCs w:val="32"/>
          <w:highlight w:val="none"/>
          <w:lang w:val="en-US" w:eastAsia="zh-CN"/>
          <w14:textFill>
            <w14:solidFill>
              <w14:schemeClr w14:val="tx1"/>
            </w14:solidFill>
          </w14:textFill>
        </w:rPr>
        <w:t>3</w:t>
      </w:r>
      <w:r>
        <w:rPr>
          <w:rFonts w:hint="eastAsia" w:hAnsi="宋体" w:cs="宋体"/>
          <w:b/>
          <w:bCs/>
          <w:color w:val="000000" w:themeColor="text1"/>
          <w:sz w:val="32"/>
          <w:szCs w:val="32"/>
          <w:highlight w:val="none"/>
          <w14:textFill>
            <w14:solidFill>
              <w14:schemeClr w14:val="tx1"/>
            </w14:solidFill>
          </w14:textFill>
        </w:rPr>
        <w:t>月</w:t>
      </w:r>
    </w:p>
    <w:p w14:paraId="23AA0F8E">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br w:type="page"/>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2055"/>
        <w:gridCol w:w="5794"/>
      </w:tblGrid>
      <w:tr w14:paraId="7907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8" w:hRule="atLeast"/>
          <w:jc w:val="center"/>
        </w:trPr>
        <w:tc>
          <w:tcPr>
            <w:tcW w:w="9322" w:type="dxa"/>
            <w:gridSpan w:val="3"/>
          </w:tcPr>
          <w:p w14:paraId="18B5B33D">
            <w:pPr>
              <w:rPr>
                <w:rFonts w:ascii="宋体" w:hAnsi="宋体" w:cs="宋体"/>
                <w:b/>
                <w:color w:val="000000" w:themeColor="text1"/>
                <w:szCs w:val="21"/>
                <w:highlight w:val="none"/>
                <w14:textFill>
                  <w14:solidFill>
                    <w14:schemeClr w14:val="tx1"/>
                  </w14:solidFill>
                </w14:textFill>
              </w:rPr>
            </w:pPr>
          </w:p>
          <w:p w14:paraId="052CD3CC">
            <w:pPr>
              <w:rPr>
                <w:rFonts w:ascii="宋体" w:hAnsi="宋体" w:cs="宋体"/>
                <w:b/>
                <w:color w:val="000000" w:themeColor="text1"/>
                <w:szCs w:val="21"/>
                <w:highlight w:val="none"/>
                <w14:textFill>
                  <w14:solidFill>
                    <w14:schemeClr w14:val="tx1"/>
                  </w14:solidFill>
                </w14:textFill>
              </w:rPr>
            </w:pPr>
          </w:p>
          <w:p w14:paraId="531399C8">
            <w:pPr>
              <w:rPr>
                <w:rFonts w:ascii="宋体" w:hAnsi="宋体" w:cs="宋体"/>
                <w:b/>
                <w:color w:val="000000" w:themeColor="text1"/>
                <w:szCs w:val="21"/>
                <w:highlight w:val="none"/>
                <w14:textFill>
                  <w14:solidFill>
                    <w14:schemeClr w14:val="tx1"/>
                  </w14:solidFill>
                </w14:textFill>
              </w:rPr>
            </w:pPr>
          </w:p>
          <w:p w14:paraId="346C6BB3">
            <w:pPr>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招 标 文 件</w:t>
            </w:r>
          </w:p>
          <w:p w14:paraId="1A409886">
            <w:pPr>
              <w:rPr>
                <w:rFonts w:ascii="宋体" w:hAnsi="宋体" w:cs="宋体"/>
                <w:b/>
                <w:color w:val="000000" w:themeColor="text1"/>
                <w:szCs w:val="21"/>
                <w:highlight w:val="none"/>
                <w14:textFill>
                  <w14:solidFill>
                    <w14:schemeClr w14:val="tx1"/>
                  </w14:solidFill>
                </w14:textFill>
              </w:rPr>
            </w:pPr>
          </w:p>
          <w:p w14:paraId="55F50822">
            <w:pPr>
              <w:rPr>
                <w:rFonts w:ascii="宋体" w:hAnsi="宋体" w:cs="宋体"/>
                <w:b/>
                <w:color w:val="000000" w:themeColor="text1"/>
                <w:szCs w:val="21"/>
                <w:highlight w:val="none"/>
                <w14:textFill>
                  <w14:solidFill>
                    <w14:schemeClr w14:val="tx1"/>
                  </w14:solidFill>
                </w14:textFill>
              </w:rPr>
            </w:pPr>
          </w:p>
          <w:p w14:paraId="3D3880E8">
            <w:pPr>
              <w:rPr>
                <w:rFonts w:ascii="宋体" w:hAnsi="宋体" w:cs="宋体"/>
                <w:b/>
                <w:color w:val="000000" w:themeColor="text1"/>
                <w:szCs w:val="21"/>
                <w:highlight w:val="none"/>
                <w14:textFill>
                  <w14:solidFill>
                    <w14:schemeClr w14:val="tx1"/>
                  </w14:solidFill>
                </w14:textFill>
              </w:rPr>
            </w:pPr>
          </w:p>
          <w:p w14:paraId="063594F6">
            <w:pPr>
              <w:rPr>
                <w:rFonts w:ascii="宋体" w:hAnsi="宋体" w:cs="宋体"/>
                <w:b/>
                <w:color w:val="000000" w:themeColor="text1"/>
                <w:szCs w:val="21"/>
                <w:highlight w:val="none"/>
                <w14:textFill>
                  <w14:solidFill>
                    <w14:schemeClr w14:val="tx1"/>
                  </w14:solidFill>
                </w14:textFill>
              </w:rPr>
            </w:pPr>
          </w:p>
        </w:tc>
      </w:tr>
      <w:tr w14:paraId="7DCB2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tcPr>
          <w:p w14:paraId="523B020B">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部门：</w:t>
            </w:r>
          </w:p>
        </w:tc>
        <w:tc>
          <w:tcPr>
            <w:tcW w:w="2055" w:type="dxa"/>
          </w:tcPr>
          <w:p w14:paraId="5FB98296">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招标十一部</w:t>
            </w:r>
          </w:p>
        </w:tc>
        <w:tc>
          <w:tcPr>
            <w:tcW w:w="5794" w:type="dxa"/>
            <w:vMerge w:val="restart"/>
            <w:vAlign w:val="center"/>
          </w:tcPr>
          <w:p w14:paraId="06CF83A9">
            <w:pPr>
              <w:ind w:left="1400" w:hanging="1400" w:hangingChars="500"/>
              <w:rPr>
                <w:rFonts w:hint="eastAsia" w:ascii="宋体" w:hAnsi="宋体" w:eastAsia="宋体" w:cs="宋体"/>
                <w:color w:val="000000" w:themeColor="text1"/>
                <w:sz w:val="28"/>
                <w:szCs w:val="28"/>
                <w:highlight w:val="none"/>
                <w:u w:val="singl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项目名称：</w:t>
            </w:r>
            <w:r>
              <w:rPr>
                <w:rFonts w:hint="eastAsia" w:ascii="宋体" w:hAnsi="宋体" w:cs="宋体"/>
                <w:color w:val="000000" w:themeColor="text1"/>
                <w:sz w:val="28"/>
                <w:szCs w:val="28"/>
                <w:highlight w:val="none"/>
                <w:u w:val="single"/>
                <w:lang w:eastAsia="zh-CN"/>
                <w14:textFill>
                  <w14:solidFill>
                    <w14:schemeClr w14:val="tx1"/>
                  </w14:solidFill>
                </w14:textFill>
              </w:rPr>
              <w:t>昆明经济技术开发区规划建设局昆明经开区建成市政道路照明设施修复改造项目</w:t>
            </w:r>
          </w:p>
        </w:tc>
      </w:tr>
      <w:tr w14:paraId="0078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tcPr>
          <w:p w14:paraId="16DE9218">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编制：</w:t>
            </w:r>
          </w:p>
        </w:tc>
        <w:tc>
          <w:tcPr>
            <w:tcW w:w="2055" w:type="dxa"/>
          </w:tcPr>
          <w:p w14:paraId="6C2A9C8B">
            <w:pPr>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杨晴</w:t>
            </w:r>
          </w:p>
        </w:tc>
        <w:tc>
          <w:tcPr>
            <w:tcW w:w="5794" w:type="dxa"/>
            <w:vMerge w:val="continue"/>
          </w:tcPr>
          <w:p w14:paraId="7B11C9D0">
            <w:pPr>
              <w:rPr>
                <w:rFonts w:ascii="宋体" w:hAnsi="宋体" w:cs="宋体"/>
                <w:color w:val="000000" w:themeColor="text1"/>
                <w:sz w:val="28"/>
                <w:szCs w:val="28"/>
                <w:highlight w:val="none"/>
                <w14:textFill>
                  <w14:solidFill>
                    <w14:schemeClr w14:val="tx1"/>
                  </w14:solidFill>
                </w14:textFill>
              </w:rPr>
            </w:pPr>
          </w:p>
        </w:tc>
      </w:tr>
      <w:tr w14:paraId="31CA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tcPr>
          <w:p w14:paraId="087BB807">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校核：</w:t>
            </w:r>
          </w:p>
        </w:tc>
        <w:tc>
          <w:tcPr>
            <w:tcW w:w="2055" w:type="dxa"/>
          </w:tcPr>
          <w:p w14:paraId="49ECA2C0">
            <w:pPr>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李兵</w:t>
            </w:r>
          </w:p>
        </w:tc>
        <w:tc>
          <w:tcPr>
            <w:tcW w:w="5794" w:type="dxa"/>
          </w:tcPr>
          <w:p w14:paraId="068BC680">
            <w:pPr>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采购人：</w:t>
            </w:r>
            <w:r>
              <w:rPr>
                <w:rFonts w:hint="eastAsia" w:ascii="宋体" w:hAnsi="宋体" w:cs="宋体"/>
                <w:color w:val="000000" w:themeColor="text1"/>
                <w:sz w:val="28"/>
                <w:szCs w:val="28"/>
                <w:highlight w:val="none"/>
                <w:u w:val="single"/>
                <w14:textFill>
                  <w14:solidFill>
                    <w14:schemeClr w14:val="tx1"/>
                  </w14:solidFill>
                </w14:textFill>
              </w:rPr>
              <w:t>昆明经济技术开发区规划建设局</w:t>
            </w:r>
          </w:p>
        </w:tc>
      </w:tr>
      <w:tr w14:paraId="1521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473" w:type="dxa"/>
          </w:tcPr>
          <w:p w14:paraId="3898F6C5">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批准：</w:t>
            </w:r>
          </w:p>
        </w:tc>
        <w:tc>
          <w:tcPr>
            <w:tcW w:w="2055" w:type="dxa"/>
          </w:tcPr>
          <w:p w14:paraId="0253AA74">
            <w:pPr>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李兵</w:t>
            </w:r>
          </w:p>
        </w:tc>
        <w:tc>
          <w:tcPr>
            <w:tcW w:w="5794" w:type="dxa"/>
          </w:tcPr>
          <w:p w14:paraId="07A13D49">
            <w:pPr>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招标编号：</w:t>
            </w:r>
            <w:r>
              <w:rPr>
                <w:rFonts w:hint="eastAsia" w:ascii="宋体" w:hAnsi="宋体" w:cs="宋体"/>
                <w:color w:val="000000" w:themeColor="text1"/>
                <w:sz w:val="28"/>
                <w:szCs w:val="28"/>
                <w:highlight w:val="none"/>
                <w:u w:val="single"/>
                <w14:textFill>
                  <w14:solidFill>
                    <w14:schemeClr w14:val="tx1"/>
                  </w14:solidFill>
                </w14:textFill>
              </w:rPr>
              <w:t>N53A01126001008</w:t>
            </w:r>
          </w:p>
        </w:tc>
      </w:tr>
      <w:tr w14:paraId="7431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73" w:type="dxa"/>
          </w:tcPr>
          <w:p w14:paraId="1709AB34">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日期：</w:t>
            </w:r>
          </w:p>
        </w:tc>
        <w:tc>
          <w:tcPr>
            <w:tcW w:w="2055" w:type="dxa"/>
            <w:vAlign w:val="center"/>
          </w:tcPr>
          <w:p w14:paraId="36D92B9F">
            <w:pPr>
              <w:spacing w:line="360" w:lineRule="auto"/>
              <w:rPr>
                <w:rFonts w:hint="eastAsia" w:ascii="宋体" w:hAnsi="宋体" w:eastAsia="宋体" w:cs="宋体"/>
                <w:color w:val="000000" w:themeColor="text1"/>
                <w:sz w:val="28"/>
                <w:szCs w:val="28"/>
                <w:highlight w:val="none"/>
                <w:u w:val="single"/>
                <w:lang w:eastAsia="zh-CN"/>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2026.0</w:t>
            </w:r>
            <w:r>
              <w:rPr>
                <w:rFonts w:hint="eastAsia" w:ascii="宋体" w:hAnsi="宋体" w:cs="宋体"/>
                <w:color w:val="000000" w:themeColor="text1"/>
                <w:sz w:val="28"/>
                <w:szCs w:val="28"/>
                <w:highlight w:val="none"/>
                <w:u w:val="single"/>
                <w:lang w:val="en-US" w:eastAsia="zh-CN"/>
                <w14:textFill>
                  <w14:solidFill>
                    <w14:schemeClr w14:val="tx1"/>
                  </w14:solidFill>
                </w14:textFill>
              </w:rPr>
              <w:t>3</w:t>
            </w:r>
          </w:p>
        </w:tc>
        <w:tc>
          <w:tcPr>
            <w:tcW w:w="5794" w:type="dxa"/>
          </w:tcPr>
          <w:p w14:paraId="7D1275FF">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版次：</w:t>
            </w:r>
            <w:r>
              <w:rPr>
                <w:rFonts w:hint="eastAsia" w:ascii="宋体" w:hAnsi="宋体" w:cs="宋体"/>
                <w:color w:val="000000" w:themeColor="text1"/>
                <w:sz w:val="28"/>
                <w:szCs w:val="28"/>
                <w:highlight w:val="none"/>
                <w:u w:val="single"/>
                <w14:textFill>
                  <w14:solidFill>
                    <w14:schemeClr w14:val="tx1"/>
                  </w14:solidFill>
                </w14:textFill>
              </w:rPr>
              <w:t>01</w:t>
            </w:r>
          </w:p>
        </w:tc>
      </w:tr>
    </w:tbl>
    <w:p w14:paraId="54B6D81C">
      <w:pPr>
        <w:rPr>
          <w:rFonts w:ascii="宋体" w:hAnsi="宋体" w:cs="宋体"/>
          <w:b/>
          <w:color w:val="000000" w:themeColor="text1"/>
          <w:szCs w:val="21"/>
          <w:highlight w:val="none"/>
          <w14:textFill>
            <w14:solidFill>
              <w14:schemeClr w14:val="tx1"/>
            </w14:solidFill>
          </w14:textFill>
        </w:rPr>
      </w:pPr>
    </w:p>
    <w:p w14:paraId="1D133B14">
      <w:pPr>
        <w:rPr>
          <w:rFonts w:ascii="宋体" w:hAnsi="宋体" w:cs="宋体"/>
          <w:b/>
          <w:color w:val="000000" w:themeColor="text1"/>
          <w:szCs w:val="21"/>
          <w:highlight w:val="none"/>
          <w14:textFill>
            <w14:solidFill>
              <w14:schemeClr w14:val="tx1"/>
            </w14:solidFill>
          </w14:textFill>
        </w:rPr>
      </w:pPr>
    </w:p>
    <w:p w14:paraId="28F34E37">
      <w:pPr>
        <w:rPr>
          <w:rFonts w:ascii="宋体" w:hAnsi="宋体" w:cs="宋体"/>
          <w:b/>
          <w:color w:val="000000" w:themeColor="text1"/>
          <w:szCs w:val="21"/>
          <w:highlight w:val="none"/>
          <w14:textFill>
            <w14:solidFill>
              <w14:schemeClr w14:val="tx1"/>
            </w14:solidFill>
          </w14:textFill>
        </w:rPr>
      </w:pPr>
    </w:p>
    <w:p w14:paraId="530B4252">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14:paraId="2C34A807">
      <w:pPr>
        <w:pStyle w:val="19"/>
        <w:spacing w:line="400" w:lineRule="exact"/>
        <w:jc w:val="center"/>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目     录</w:t>
      </w:r>
    </w:p>
    <w:p w14:paraId="5E2D0D6E">
      <w:pPr>
        <w:pStyle w:val="25"/>
        <w:tabs>
          <w:tab w:val="right" w:leader="dot" w:pos="9638"/>
          <w:tab w:val="clear" w:pos="9628"/>
        </w:tabs>
      </w:pPr>
      <w:r>
        <w:rPr>
          <w:rFonts w:hint="eastAsia" w:ascii="宋体" w:hAnsi="宋体" w:cs="宋体"/>
          <w:bCs w:val="0"/>
          <w:caps w:val="0"/>
          <w:smallCaps/>
          <w:color w:val="000000" w:themeColor="text1"/>
          <w:sz w:val="21"/>
          <w:szCs w:val="21"/>
          <w:highlight w:val="none"/>
          <w14:textFill>
            <w14:solidFill>
              <w14:schemeClr w14:val="tx1"/>
            </w14:solidFill>
          </w14:textFill>
        </w:rPr>
        <w:fldChar w:fldCharType="begin"/>
      </w:r>
      <w:r>
        <w:rPr>
          <w:rFonts w:hint="eastAsia" w:ascii="宋体" w:hAnsi="宋体" w:cs="宋体"/>
          <w:bCs w:val="0"/>
          <w:caps w:val="0"/>
          <w:smallCaps/>
          <w:color w:val="000000" w:themeColor="text1"/>
          <w:sz w:val="21"/>
          <w:szCs w:val="21"/>
          <w:highlight w:val="none"/>
          <w14:textFill>
            <w14:solidFill>
              <w14:schemeClr w14:val="tx1"/>
            </w14:solidFill>
          </w14:textFill>
        </w:rPr>
        <w:instrText xml:space="preserve"> TOC \o "1-2" \h \z \u </w:instrText>
      </w:r>
      <w:r>
        <w:rPr>
          <w:rFonts w:hint="eastAsia" w:ascii="宋体" w:hAnsi="宋体" w:cs="宋体"/>
          <w:bCs w:val="0"/>
          <w:caps w:val="0"/>
          <w:smallCaps/>
          <w:color w:val="000000" w:themeColor="text1"/>
          <w:sz w:val="21"/>
          <w:szCs w:val="21"/>
          <w:highlight w:val="none"/>
          <w14:textFill>
            <w14:solidFill>
              <w14:schemeClr w14:val="tx1"/>
            </w14:solidFill>
          </w14:textFill>
        </w:rPr>
        <w:fldChar w:fldCharType="separate"/>
      </w:r>
      <w:r>
        <w:rPr>
          <w:rFonts w:hint="eastAsia" w:ascii="宋体" w:hAnsi="宋体" w:cs="宋体"/>
          <w:bCs w:val="0"/>
          <w:caps w:val="0"/>
          <w:smallCaps/>
          <w:color w:val="000000" w:themeColor="text1"/>
          <w:szCs w:val="21"/>
          <w:highlight w:val="none"/>
          <w14:textFill>
            <w14:solidFill>
              <w14:schemeClr w14:val="tx1"/>
            </w14:solidFill>
          </w14:textFill>
        </w:rPr>
        <w:fldChar w:fldCharType="begin"/>
      </w:r>
      <w:r>
        <w:rPr>
          <w:rFonts w:hint="eastAsia" w:ascii="宋体" w:hAnsi="宋体" w:cs="宋体"/>
          <w:bCs w:val="0"/>
          <w:caps w:val="0"/>
          <w:smallCaps/>
          <w:szCs w:val="21"/>
          <w:highlight w:val="none"/>
        </w:rPr>
        <w:instrText xml:space="preserve"> HYPERLINK \l _Toc18680 </w:instrText>
      </w:r>
      <w:r>
        <w:rPr>
          <w:rFonts w:hint="eastAsia" w:ascii="宋体" w:hAnsi="宋体" w:cs="宋体"/>
          <w:bCs w:val="0"/>
          <w:caps w:val="0"/>
          <w:smallCaps/>
          <w:szCs w:val="21"/>
          <w:highlight w:val="none"/>
        </w:rPr>
        <w:fldChar w:fldCharType="separate"/>
      </w:r>
      <w:r>
        <w:rPr>
          <w:rFonts w:hint="eastAsia" w:ascii="宋体" w:hAnsi="宋体" w:eastAsia="宋体" w:cs="宋体"/>
          <w:szCs w:val="28"/>
          <w:highlight w:val="none"/>
        </w:rPr>
        <w:t>第一章 公开招标公告</w:t>
      </w:r>
      <w:r>
        <w:tab/>
      </w:r>
      <w:r>
        <w:fldChar w:fldCharType="begin"/>
      </w:r>
      <w:r>
        <w:instrText xml:space="preserve"> PAGEREF _Toc18680 \h </w:instrText>
      </w:r>
      <w:r>
        <w:fldChar w:fldCharType="separate"/>
      </w:r>
      <w:r>
        <w:t>4</w:t>
      </w:r>
      <w:r>
        <w:fldChar w:fldCharType="end"/>
      </w:r>
      <w:r>
        <w:rPr>
          <w:rFonts w:hint="eastAsia" w:ascii="宋体" w:hAnsi="宋体" w:cs="宋体"/>
          <w:bCs w:val="0"/>
          <w:caps w:val="0"/>
          <w:smallCaps/>
          <w:color w:val="000000" w:themeColor="text1"/>
          <w:szCs w:val="21"/>
          <w:highlight w:val="none"/>
          <w14:textFill>
            <w14:solidFill>
              <w14:schemeClr w14:val="tx1"/>
            </w14:solidFill>
          </w14:textFill>
        </w:rPr>
        <w:fldChar w:fldCharType="end"/>
      </w:r>
    </w:p>
    <w:p w14:paraId="4807B6C1">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_Toc14447 </w:instrText>
      </w:r>
      <w:r>
        <w:rPr>
          <w:rFonts w:hint="eastAsia" w:ascii="宋体" w:hAnsi="宋体" w:cs="宋体"/>
          <w:bCs/>
          <w:caps/>
          <w:smallCaps w:val="0"/>
          <w:szCs w:val="21"/>
          <w:highlight w:val="none"/>
        </w:rPr>
        <w:fldChar w:fldCharType="separate"/>
      </w:r>
      <w:r>
        <w:rPr>
          <w:rFonts w:hint="eastAsia" w:ascii="宋体" w:hAnsi="宋体" w:cs="宋体"/>
          <w:szCs w:val="28"/>
          <w:highlight w:val="none"/>
        </w:rPr>
        <w:t>第二章 投标人须知</w:t>
      </w:r>
      <w:r>
        <w:tab/>
      </w:r>
      <w:r>
        <w:fldChar w:fldCharType="begin"/>
      </w:r>
      <w:r>
        <w:instrText xml:space="preserve"> PAGEREF _Toc14447 \h </w:instrText>
      </w:r>
      <w:r>
        <w:fldChar w:fldCharType="separate"/>
      </w:r>
      <w:r>
        <w:t>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4C1962EA">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_Toc6282 </w:instrText>
      </w:r>
      <w:r>
        <w:rPr>
          <w:rFonts w:hint="eastAsia" w:ascii="宋体" w:hAnsi="宋体" w:cs="宋体"/>
          <w:bCs/>
          <w:caps/>
          <w:smallCaps w:val="0"/>
          <w:szCs w:val="21"/>
          <w:highlight w:val="none"/>
        </w:rPr>
        <w:fldChar w:fldCharType="separate"/>
      </w:r>
      <w:r>
        <w:rPr>
          <w:rFonts w:hint="eastAsia" w:ascii="宋体" w:hAnsi="宋体" w:eastAsia="宋体" w:cs="宋体"/>
          <w:szCs w:val="24"/>
          <w:highlight w:val="none"/>
        </w:rPr>
        <w:t>投标人须知前附表</w:t>
      </w:r>
      <w:r>
        <w:tab/>
      </w:r>
      <w:r>
        <w:fldChar w:fldCharType="begin"/>
      </w:r>
      <w:r>
        <w:instrText xml:space="preserve"> PAGEREF _Toc6282 \h </w:instrText>
      </w:r>
      <w:r>
        <w:fldChar w:fldCharType="separate"/>
      </w:r>
      <w:r>
        <w:t>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A9AAEE9">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_Toc9126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一、总  则</w:t>
      </w:r>
      <w:r>
        <w:tab/>
      </w:r>
      <w:r>
        <w:fldChar w:fldCharType="begin"/>
      </w:r>
      <w:r>
        <w:instrText xml:space="preserve"> PAGEREF _Toc9126 \h </w:instrText>
      </w:r>
      <w:r>
        <w:fldChar w:fldCharType="separate"/>
      </w:r>
      <w:r>
        <w:t>10</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25B79C28">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_Toc6971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二、招标文件</w:t>
      </w:r>
      <w:r>
        <w:tab/>
      </w:r>
      <w:r>
        <w:fldChar w:fldCharType="begin"/>
      </w:r>
      <w:r>
        <w:instrText xml:space="preserve"> PAGEREF _Toc6971 \h </w:instrText>
      </w:r>
      <w:r>
        <w:fldChar w:fldCharType="separate"/>
      </w:r>
      <w:r>
        <w:t>13</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6B141382">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_Toc22578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三、投标文件</w:t>
      </w:r>
      <w:r>
        <w:tab/>
      </w:r>
      <w:r>
        <w:fldChar w:fldCharType="begin"/>
      </w:r>
      <w:r>
        <w:instrText xml:space="preserve"> PAGEREF _Toc22578 \h </w:instrText>
      </w:r>
      <w:r>
        <w:fldChar w:fldCharType="separate"/>
      </w:r>
      <w:r>
        <w:t>14</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543AB76F">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_Toc10972 </w:instrText>
      </w:r>
      <w:r>
        <w:rPr>
          <w:rFonts w:hint="eastAsia" w:ascii="宋体" w:hAnsi="宋体" w:cs="宋体"/>
          <w:bCs/>
          <w:caps/>
          <w:smallCaps w:val="0"/>
          <w:szCs w:val="21"/>
          <w:highlight w:val="none"/>
        </w:rPr>
        <w:fldChar w:fldCharType="separate"/>
      </w:r>
      <w:r>
        <w:rPr>
          <w:rFonts w:hint="eastAsia" w:ascii="宋体" w:hAnsi="宋体" w:eastAsia="宋体" w:cs="宋体"/>
          <w:szCs w:val="24"/>
          <w:highlight w:val="none"/>
        </w:rPr>
        <w:t>四、投标文件的提交</w:t>
      </w:r>
      <w:r>
        <w:tab/>
      </w:r>
      <w:r>
        <w:fldChar w:fldCharType="begin"/>
      </w:r>
      <w:r>
        <w:instrText xml:space="preserve"> PAGEREF _Toc10972 \h </w:instrText>
      </w:r>
      <w:r>
        <w:fldChar w:fldCharType="separate"/>
      </w:r>
      <w:r>
        <w:t>17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4F65D56E">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_Toc30751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五、开标与评标</w:t>
      </w:r>
      <w:r>
        <w:tab/>
      </w:r>
      <w:r>
        <w:fldChar w:fldCharType="begin"/>
      </w:r>
      <w:r>
        <w:instrText xml:space="preserve"> PAGEREF _Toc30751 \h </w:instrText>
      </w:r>
      <w:r>
        <w:fldChar w:fldCharType="separate"/>
      </w:r>
      <w:r>
        <w:t>17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04D13AFF">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_Toc23235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六、中标结果</w:t>
      </w:r>
      <w:r>
        <w:tab/>
      </w:r>
      <w:r>
        <w:fldChar w:fldCharType="begin"/>
      </w:r>
      <w:r>
        <w:instrText xml:space="preserve"> PAGEREF _Toc23235 \h </w:instrText>
      </w:r>
      <w:r>
        <w:fldChar w:fldCharType="separate"/>
      </w:r>
      <w:r>
        <w:t>20</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49E44872">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_Toc17662 </w:instrText>
      </w:r>
      <w:r>
        <w:rPr>
          <w:rFonts w:hint="eastAsia" w:ascii="宋体" w:hAnsi="宋体" w:cs="宋体"/>
          <w:bCs/>
          <w:caps/>
          <w:smallCaps w:val="0"/>
          <w:szCs w:val="21"/>
          <w:highlight w:val="none"/>
        </w:rPr>
        <w:fldChar w:fldCharType="separate"/>
      </w:r>
      <w:r>
        <w:rPr>
          <w:rFonts w:hint="eastAsia" w:ascii="宋体" w:hAnsi="宋体" w:eastAsia="宋体" w:cs="宋体"/>
          <w:szCs w:val="21"/>
          <w:highlight w:val="none"/>
        </w:rPr>
        <w:t>七、其他事项</w:t>
      </w:r>
      <w:r>
        <w:tab/>
      </w:r>
      <w:r>
        <w:fldChar w:fldCharType="begin"/>
      </w:r>
      <w:r>
        <w:instrText xml:space="preserve"> PAGEREF _Toc17662 \h </w:instrText>
      </w:r>
      <w:r>
        <w:fldChar w:fldCharType="separate"/>
      </w:r>
      <w:r>
        <w:t>20</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9A20628">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_Toc15240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第三章 合同书样式及主要条款</w:t>
      </w:r>
      <w:r>
        <w:tab/>
      </w:r>
      <w:r>
        <w:fldChar w:fldCharType="begin"/>
      </w:r>
      <w:r>
        <w:instrText xml:space="preserve"> PAGEREF _Toc15240 \h </w:instrText>
      </w:r>
      <w:r>
        <w:fldChar w:fldCharType="separate"/>
      </w:r>
      <w:r>
        <w:t>22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3A3C697">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_Toc13610 </w:instrText>
      </w:r>
      <w:r>
        <w:rPr>
          <w:rFonts w:hint="eastAsia" w:ascii="宋体" w:hAnsi="宋体" w:cs="宋体"/>
          <w:bCs/>
          <w:caps/>
          <w:smallCaps w:val="0"/>
          <w:szCs w:val="21"/>
          <w:highlight w:val="none"/>
        </w:rPr>
        <w:fldChar w:fldCharType="separate"/>
      </w:r>
      <w:r>
        <w:rPr>
          <w:rFonts w:hint="default" w:ascii="Times New Roman" w:hAnsi="Times New Roman"/>
          <w:i w:val="0"/>
        </w:rPr>
        <w:t xml:space="preserve">1.1 </w:t>
      </w:r>
      <w:r>
        <w:rPr>
          <w:rFonts w:hint="eastAsia"/>
          <w:highlight w:val="none"/>
        </w:rPr>
        <w:t>合同条款前附表</w:t>
      </w:r>
      <w:r>
        <w:tab/>
      </w:r>
      <w:r>
        <w:fldChar w:fldCharType="begin"/>
      </w:r>
      <w:r>
        <w:instrText xml:space="preserve"> PAGEREF _Toc13610 \h </w:instrText>
      </w:r>
      <w:r>
        <w:fldChar w:fldCharType="separate"/>
      </w:r>
      <w:r>
        <w:t>23</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6D29D097">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_Toc31156 </w:instrText>
      </w:r>
      <w:r>
        <w:rPr>
          <w:rFonts w:hint="eastAsia" w:ascii="宋体" w:hAnsi="宋体" w:cs="宋体"/>
          <w:bCs/>
          <w:caps/>
          <w:smallCaps w:val="0"/>
          <w:szCs w:val="21"/>
          <w:highlight w:val="none"/>
        </w:rPr>
        <w:fldChar w:fldCharType="separate"/>
      </w:r>
      <w:r>
        <w:rPr>
          <w:rFonts w:hint="default" w:ascii="Times New Roman" w:hAnsi="Times New Roman"/>
          <w:i w:val="0"/>
        </w:rPr>
        <w:t xml:space="preserve">1.2 </w:t>
      </w:r>
      <w:r>
        <w:rPr>
          <w:rFonts w:hint="eastAsia"/>
          <w:highlight w:val="none"/>
        </w:rPr>
        <w:t>合同书样式</w:t>
      </w:r>
      <w:r>
        <w:tab/>
      </w:r>
      <w:r>
        <w:fldChar w:fldCharType="begin"/>
      </w:r>
      <w:r>
        <w:instrText xml:space="preserve"> PAGEREF _Toc31156 \h </w:instrText>
      </w:r>
      <w:r>
        <w:fldChar w:fldCharType="separate"/>
      </w:r>
      <w:r>
        <w:t>24</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6523C2F5">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_Toc31802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第四章  投标文件格式</w:t>
      </w:r>
      <w:r>
        <w:tab/>
      </w:r>
      <w:r>
        <w:fldChar w:fldCharType="begin"/>
      </w:r>
      <w:r>
        <w:instrText xml:space="preserve"> PAGEREF _Toc31802 \h </w:instrText>
      </w:r>
      <w:r>
        <w:fldChar w:fldCharType="separate"/>
      </w:r>
      <w:r>
        <w:t>33</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2245D729">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_Toc5863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开标一览表</w:t>
      </w:r>
      <w:r>
        <w:tab/>
      </w:r>
      <w:r>
        <w:fldChar w:fldCharType="begin"/>
      </w:r>
      <w:r>
        <w:instrText xml:space="preserve"> PAGEREF _Toc5863 \h </w:instrText>
      </w:r>
      <w:r>
        <w:fldChar w:fldCharType="separate"/>
      </w:r>
      <w:r>
        <w:t>33</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ADCE2ED">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_Toc26637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二、资格证明文件</w:t>
      </w:r>
      <w:r>
        <w:tab/>
      </w:r>
      <w:r>
        <w:fldChar w:fldCharType="begin"/>
      </w:r>
      <w:r>
        <w:instrText xml:space="preserve"> PAGEREF _Toc26637 \h </w:instrText>
      </w:r>
      <w:r>
        <w:fldChar w:fldCharType="separate"/>
      </w:r>
      <w:r>
        <w:t>34</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C8D2ECC">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_Toc14663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营 业 执 照</w:t>
      </w:r>
      <w:r>
        <w:tab/>
      </w:r>
      <w:r>
        <w:fldChar w:fldCharType="begin"/>
      </w:r>
      <w:r>
        <w:instrText xml:space="preserve"> PAGEREF _Toc14663 \h </w:instrText>
      </w:r>
      <w:r>
        <w:fldChar w:fldCharType="separate"/>
      </w:r>
      <w:r>
        <w:t>35</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CC8BE9A">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_Toc16135 </w:instrText>
      </w:r>
      <w:r>
        <w:rPr>
          <w:rFonts w:hint="eastAsia" w:ascii="宋体" w:hAnsi="宋体" w:cs="宋体"/>
          <w:bCs/>
          <w:caps/>
          <w:smallCaps w:val="0"/>
          <w:szCs w:val="21"/>
          <w:highlight w:val="none"/>
        </w:rPr>
        <w:fldChar w:fldCharType="separate"/>
      </w:r>
      <w:r>
        <w:rPr>
          <w:rFonts w:hint="eastAsia" w:ascii="宋体" w:hAnsi="宋体" w:eastAsia="宋体" w:cs="宋体"/>
          <w:szCs w:val="24"/>
          <w:highlight w:val="none"/>
        </w:rPr>
        <w:t>联合体协议</w:t>
      </w:r>
      <w:r>
        <w:tab/>
      </w:r>
      <w:r>
        <w:fldChar w:fldCharType="begin"/>
      </w:r>
      <w:r>
        <w:instrText xml:space="preserve"> PAGEREF _Toc16135 \h </w:instrText>
      </w:r>
      <w:r>
        <w:fldChar w:fldCharType="separate"/>
      </w:r>
      <w:r>
        <w:t>35</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CB401BE">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_Toc11052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法定代表人身份证明书</w:t>
      </w:r>
      <w:r>
        <w:tab/>
      </w:r>
      <w:r>
        <w:fldChar w:fldCharType="begin"/>
      </w:r>
      <w:r>
        <w:instrText xml:space="preserve"> PAGEREF _Toc11052 \h </w:instrText>
      </w:r>
      <w:r>
        <w:fldChar w:fldCharType="separate"/>
      </w:r>
      <w:r>
        <w:t>36</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E66835F">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_Toc29057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法定代表人授权委托书</w:t>
      </w:r>
      <w:r>
        <w:tab/>
      </w:r>
      <w:r>
        <w:fldChar w:fldCharType="begin"/>
      </w:r>
      <w:r>
        <w:instrText xml:space="preserve"> PAGEREF _Toc29057 \h </w:instrText>
      </w:r>
      <w:r>
        <w:fldChar w:fldCharType="separate"/>
      </w:r>
      <w:r>
        <w:t>37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22519CF9">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_Toc13669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投标人财务状况报告</w:t>
      </w:r>
      <w:r>
        <w:tab/>
      </w:r>
      <w:r>
        <w:fldChar w:fldCharType="begin"/>
      </w:r>
      <w:r>
        <w:instrText xml:space="preserve"> PAGEREF _Toc13669 \h </w:instrText>
      </w:r>
      <w:r>
        <w:fldChar w:fldCharType="separate"/>
      </w:r>
      <w:r>
        <w:t>38</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43DC8A3">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_Toc16254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投标人依法缴纳税收的证明材料</w:t>
      </w:r>
      <w:r>
        <w:tab/>
      </w:r>
      <w:r>
        <w:fldChar w:fldCharType="begin"/>
      </w:r>
      <w:r>
        <w:instrText xml:space="preserve"> PAGEREF _Toc16254 \h </w:instrText>
      </w:r>
      <w:r>
        <w:fldChar w:fldCharType="separate"/>
      </w:r>
      <w:r>
        <w:t>39</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6011B987">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_Toc4247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投标人依法缴纳社会保障资金的证明材料</w:t>
      </w:r>
      <w:r>
        <w:tab/>
      </w:r>
      <w:r>
        <w:fldChar w:fldCharType="begin"/>
      </w:r>
      <w:r>
        <w:instrText xml:space="preserve"> PAGEREF _Toc4247 \h </w:instrText>
      </w:r>
      <w:r>
        <w:fldChar w:fldCharType="separate"/>
      </w:r>
      <w:r>
        <w:t>40</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2FD33001">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_Toc15636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投标人具备履行合同所必需的设备和专业技术能力的证明材料</w:t>
      </w:r>
      <w:r>
        <w:rPr>
          <w:rFonts w:hint="eastAsia" w:ascii="宋体" w:hAnsi="宋体" w:eastAsia="宋体" w:cs="宋体"/>
          <w:szCs w:val="28"/>
          <w:highlight w:val="none"/>
          <w:lang w:val="en-US" w:eastAsia="zh-CN"/>
        </w:rPr>
        <w:t>或</w:t>
      </w:r>
      <w:r>
        <w:rPr>
          <w:rFonts w:hint="eastAsia" w:ascii="宋体" w:hAnsi="宋体" w:eastAsia="宋体" w:cs="宋体"/>
          <w:szCs w:val="28"/>
          <w:highlight w:val="none"/>
        </w:rPr>
        <w:t>书面声明</w:t>
      </w:r>
      <w:r>
        <w:tab/>
      </w:r>
      <w:r>
        <w:fldChar w:fldCharType="begin"/>
      </w:r>
      <w:r>
        <w:instrText xml:space="preserve"> PAGEREF _Toc15636 \h </w:instrText>
      </w:r>
      <w:r>
        <w:fldChar w:fldCharType="separate"/>
      </w:r>
      <w:r>
        <w:t>41</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A21F84F">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_Toc20085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参加政府采购活动前3年内在经营活动中没有重大违法记录的书面声明</w:t>
      </w:r>
      <w:r>
        <w:tab/>
      </w:r>
      <w:r>
        <w:fldChar w:fldCharType="begin"/>
      </w:r>
      <w:r>
        <w:instrText xml:space="preserve"> PAGEREF _Toc20085 \h </w:instrText>
      </w:r>
      <w:r>
        <w:fldChar w:fldCharType="separate"/>
      </w:r>
      <w:r>
        <w:t>42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397E9A2">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_Toc13112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投标人无直接控股、管理关系书面声明函</w:t>
      </w:r>
      <w:r>
        <w:tab/>
      </w:r>
      <w:r>
        <w:fldChar w:fldCharType="begin"/>
      </w:r>
      <w:r>
        <w:instrText xml:space="preserve"> PAGEREF _Toc13112 \h </w:instrText>
      </w:r>
      <w:r>
        <w:fldChar w:fldCharType="separate"/>
      </w:r>
      <w:r>
        <w:t>45</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04E2F57C">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_Toc25067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无串通投标行为的承诺函</w:t>
      </w:r>
      <w:r>
        <w:tab/>
      </w:r>
      <w:r>
        <w:fldChar w:fldCharType="begin"/>
      </w:r>
      <w:r>
        <w:instrText xml:space="preserve"> PAGEREF _Toc25067 \h </w:instrText>
      </w:r>
      <w:r>
        <w:fldChar w:fldCharType="separate"/>
      </w:r>
      <w:r>
        <w:t>46</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5E597808">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_Toc1996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招标文件第一章“投标人资格要求”中要求提供的其他资格证明文件</w:t>
      </w:r>
      <w:r>
        <w:tab/>
      </w:r>
      <w:r>
        <w:fldChar w:fldCharType="begin"/>
      </w:r>
      <w:r>
        <w:instrText xml:space="preserve"> PAGEREF _Toc1996 \h </w:instrText>
      </w:r>
      <w:r>
        <w:fldChar w:fldCharType="separate"/>
      </w:r>
      <w:r>
        <w:t>48</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30A3FF7">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_Toc25970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三、商务部分</w:t>
      </w:r>
      <w:r>
        <w:tab/>
      </w:r>
      <w:r>
        <w:fldChar w:fldCharType="begin"/>
      </w:r>
      <w:r>
        <w:instrText xml:space="preserve"> PAGEREF _Toc25970 \h </w:instrText>
      </w:r>
      <w:r>
        <w:fldChar w:fldCharType="separate"/>
      </w:r>
      <w:r>
        <w:t>49</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093E8B1C">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_Toc28436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 标 函</w:t>
      </w:r>
      <w:r>
        <w:tab/>
      </w:r>
      <w:r>
        <w:fldChar w:fldCharType="begin"/>
      </w:r>
      <w:r>
        <w:instrText xml:space="preserve"> PAGEREF _Toc28436 \h </w:instrText>
      </w:r>
      <w:r>
        <w:fldChar w:fldCharType="separate"/>
      </w:r>
      <w:r>
        <w:t>49</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DBD8E2D">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_Toc31009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商务条款偏离表</w:t>
      </w:r>
      <w:r>
        <w:tab/>
      </w:r>
      <w:r>
        <w:fldChar w:fldCharType="begin"/>
      </w:r>
      <w:r>
        <w:instrText xml:space="preserve"> PAGEREF _Toc31009 \h </w:instrText>
      </w:r>
      <w:r>
        <w:fldChar w:fldCharType="separate"/>
      </w:r>
      <w:r>
        <w:t>60</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7A2CAE8">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_Toc31245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服务承诺书</w:t>
      </w:r>
      <w:r>
        <w:tab/>
      </w:r>
      <w:r>
        <w:fldChar w:fldCharType="begin"/>
      </w:r>
      <w:r>
        <w:instrText xml:space="preserve"> PAGEREF _Toc31245 \h </w:instrText>
      </w:r>
      <w:r>
        <w:fldChar w:fldCharType="separate"/>
      </w:r>
      <w:r>
        <w:t>61</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2637124B">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_Toc7744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格式</w:t>
      </w:r>
      <w:r>
        <w:rPr>
          <w:rFonts w:hint="eastAsia" w:ascii="宋体" w:hAnsi="宋体" w:eastAsia="宋体" w:cs="宋体"/>
          <w:szCs w:val="28"/>
          <w:highlight w:val="none"/>
          <w:lang w:val="en-US" w:eastAsia="zh-CN"/>
        </w:rPr>
        <w:t>8</w:t>
      </w:r>
      <w:r>
        <w:rPr>
          <w:rFonts w:hint="eastAsia" w:ascii="宋体" w:hAnsi="宋体" w:eastAsia="宋体" w:cs="宋体"/>
          <w:szCs w:val="28"/>
          <w:highlight w:val="none"/>
        </w:rPr>
        <w:t>：</w:t>
      </w:r>
      <w:r>
        <w:tab/>
      </w:r>
      <w:r>
        <w:fldChar w:fldCharType="begin"/>
      </w:r>
      <w:r>
        <w:instrText xml:space="preserve"> PAGEREF _Toc7744 \h </w:instrText>
      </w:r>
      <w:r>
        <w:fldChar w:fldCharType="separate"/>
      </w:r>
      <w:r>
        <w:t>62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634EEC2">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_Toc28724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业绩列表及相对应的业绩证明材料</w:t>
      </w:r>
      <w:r>
        <w:tab/>
      </w:r>
      <w:r>
        <w:fldChar w:fldCharType="begin"/>
      </w:r>
      <w:r>
        <w:instrText xml:space="preserve"> PAGEREF _Toc28724 \h </w:instrText>
      </w:r>
      <w:r>
        <w:fldChar w:fldCharType="separate"/>
      </w:r>
      <w:r>
        <w:t>62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46FC19B9">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_Toc25694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投标人信息表</w:t>
      </w:r>
      <w:r>
        <w:tab/>
      </w:r>
      <w:r>
        <w:fldChar w:fldCharType="begin"/>
      </w:r>
      <w:r>
        <w:instrText xml:space="preserve"> PAGEREF _Toc25694 \h </w:instrText>
      </w:r>
      <w:r>
        <w:fldChar w:fldCharType="separate"/>
      </w:r>
      <w:r>
        <w:t>63</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C54485B">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_Toc6332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构成投标文件商务部分的其他资料</w:t>
      </w:r>
      <w:r>
        <w:tab/>
      </w:r>
      <w:r>
        <w:fldChar w:fldCharType="begin"/>
      </w:r>
      <w:r>
        <w:instrText xml:space="preserve"> PAGEREF _Toc6332 \h </w:instrText>
      </w:r>
      <w:r>
        <w:fldChar w:fldCharType="separate"/>
      </w:r>
      <w:r>
        <w:t>64</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7C99438B">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_Toc7232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四、技术部分</w:t>
      </w:r>
      <w:r>
        <w:tab/>
      </w:r>
      <w:r>
        <w:fldChar w:fldCharType="begin"/>
      </w:r>
      <w:r>
        <w:instrText xml:space="preserve"> PAGEREF _Toc7232 \h </w:instrText>
      </w:r>
      <w:r>
        <w:fldChar w:fldCharType="separate"/>
      </w:r>
      <w:r>
        <w:t>65</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07C716E">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_Toc30281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技术规格偏离表</w:t>
      </w:r>
      <w:r>
        <w:tab/>
      </w:r>
      <w:r>
        <w:fldChar w:fldCharType="begin"/>
      </w:r>
      <w:r>
        <w:instrText xml:space="preserve"> PAGEREF _Toc30281 \h </w:instrText>
      </w:r>
      <w:r>
        <w:fldChar w:fldCharType="separate"/>
      </w:r>
      <w:r>
        <w:t>65</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35E0A7E">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_Toc10019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 术 文 件</w:t>
      </w:r>
      <w:r>
        <w:tab/>
      </w:r>
      <w:r>
        <w:fldChar w:fldCharType="begin"/>
      </w:r>
      <w:r>
        <w:instrText xml:space="preserve"> PAGEREF _Toc10019 \h </w:instrText>
      </w:r>
      <w:r>
        <w:fldChar w:fldCharType="separate"/>
      </w:r>
      <w:r>
        <w:t>67</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62D19BB">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_Toc20901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构成投标文件技术部分的其他资料</w:t>
      </w:r>
      <w:r>
        <w:tab/>
      </w:r>
      <w:r>
        <w:fldChar w:fldCharType="begin"/>
      </w:r>
      <w:r>
        <w:instrText xml:space="preserve"> PAGEREF _Toc20901 \h </w:instrText>
      </w:r>
      <w:r>
        <w:fldChar w:fldCharType="separate"/>
      </w:r>
      <w:r>
        <w:t>68</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82F2E20">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_Toc27938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第五章  项目需求</w:t>
      </w:r>
      <w:r>
        <w:tab/>
      </w:r>
      <w:r>
        <w:fldChar w:fldCharType="begin"/>
      </w:r>
      <w:r>
        <w:instrText xml:space="preserve"> PAGEREF _Toc27938 \h </w:instrText>
      </w:r>
      <w:r>
        <w:fldChar w:fldCharType="separate"/>
      </w:r>
      <w:r>
        <w:t>69</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5F5AA1BC">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_Toc4881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第六章 资格评审标准</w:t>
      </w:r>
      <w:r>
        <w:tab/>
      </w:r>
      <w:r>
        <w:fldChar w:fldCharType="begin"/>
      </w:r>
      <w:r>
        <w:instrText xml:space="preserve"> PAGEREF _Toc4881 \h </w:instrText>
      </w:r>
      <w:r>
        <w:fldChar w:fldCharType="separate"/>
      </w:r>
      <w:r>
        <w:t>71</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12B9DA45">
      <w:pPr>
        <w:pStyle w:val="25"/>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_Toc7107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第七章 评标方法（综合评分法）</w:t>
      </w:r>
      <w:r>
        <w:tab/>
      </w:r>
      <w:r>
        <w:fldChar w:fldCharType="begin"/>
      </w:r>
      <w:r>
        <w:instrText xml:space="preserve"> PAGEREF _Toc7107 \h </w:instrText>
      </w:r>
      <w:r>
        <w:fldChar w:fldCharType="separate"/>
      </w:r>
      <w:r>
        <w:t>72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4621A97A">
      <w:pPr>
        <w:pStyle w:val="28"/>
        <w:tabs>
          <w:tab w:val="right" w:leader="dot" w:pos="9638"/>
          <w:tab w:val="clear" w:pos="9628"/>
        </w:tabs>
      </w:pPr>
      <w:r>
        <w:rPr>
          <w:rFonts w:hint="eastAsia" w:ascii="宋体" w:hAnsi="宋体" w:cs="宋体"/>
          <w:bCs/>
          <w:caps/>
          <w:smallCaps w:val="0"/>
          <w:color w:val="000000" w:themeColor="text1"/>
          <w:szCs w:val="21"/>
          <w:highlight w:val="none"/>
          <w14:textFill>
            <w14:solidFill>
              <w14:schemeClr w14:val="tx1"/>
            </w14:solidFill>
          </w14:textFill>
        </w:rPr>
        <w:fldChar w:fldCharType="begin"/>
      </w:r>
      <w:r>
        <w:rPr>
          <w:rFonts w:hint="eastAsia" w:ascii="宋体" w:hAnsi="宋体" w:cs="宋体"/>
          <w:bCs/>
          <w:caps/>
          <w:smallCaps w:val="0"/>
          <w:szCs w:val="21"/>
          <w:highlight w:val="none"/>
        </w:rPr>
        <w:instrText xml:space="preserve"> HYPERLINK \l _Toc10010 </w:instrText>
      </w:r>
      <w:r>
        <w:rPr>
          <w:rFonts w:hint="eastAsia" w:ascii="宋体" w:hAnsi="宋体" w:cs="宋体"/>
          <w:bCs/>
          <w:caps/>
          <w:smallCaps w:val="0"/>
          <w:szCs w:val="21"/>
          <w:highlight w:val="none"/>
        </w:rPr>
        <w:fldChar w:fldCharType="separate"/>
      </w:r>
      <w:r>
        <w:rPr>
          <w:rFonts w:hint="eastAsia" w:ascii="宋体" w:hAnsi="宋体" w:eastAsia="宋体" w:cs="宋体"/>
          <w:szCs w:val="24"/>
          <w:highlight w:val="none"/>
        </w:rPr>
        <w:t>评标方法前附表</w:t>
      </w:r>
      <w:r>
        <w:tab/>
      </w:r>
      <w:r>
        <w:fldChar w:fldCharType="begin"/>
      </w:r>
      <w:r>
        <w:instrText xml:space="preserve"> PAGEREF _Toc10010 \h </w:instrText>
      </w:r>
      <w:r>
        <w:fldChar w:fldCharType="separate"/>
      </w:r>
      <w:r>
        <w:t>72</w:t>
      </w:r>
      <w:r>
        <w:fldChar w:fldCharType="end"/>
      </w: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32089CBA">
      <w:pPr>
        <w:pStyle w:val="28"/>
        <w:snapToGrid w:val="0"/>
        <w:rPr>
          <w:rFonts w:ascii="宋体" w:hAnsi="宋体" w:cs="宋体"/>
          <w:color w:val="000000" w:themeColor="text1"/>
          <w:sz w:val="21"/>
          <w:szCs w:val="21"/>
          <w:highlight w:val="none"/>
          <w14:textFill>
            <w14:solidFill>
              <w14:schemeClr w14:val="tx1"/>
            </w14:solidFill>
          </w14:textFill>
        </w:rPr>
        <w:sectPr>
          <w:footerReference r:id="rId6" w:type="first"/>
          <w:headerReference r:id="rId3" w:type="default"/>
          <w:footerReference r:id="rId4" w:type="default"/>
          <w:footerReference r:id="rId5" w:type="even"/>
          <w:pgSz w:w="11906" w:h="16838"/>
          <w:pgMar w:top="987" w:right="1134" w:bottom="822" w:left="1134" w:header="720" w:footer="720" w:gutter="0"/>
          <w:cols w:space="720" w:num="1"/>
          <w:titlePg/>
          <w:docGrid w:type="lines" w:linePitch="331" w:charSpace="0"/>
        </w:sectPr>
      </w:pPr>
      <w:r>
        <w:rPr>
          <w:rFonts w:hint="eastAsia" w:ascii="宋体" w:hAnsi="宋体" w:cs="宋体"/>
          <w:bCs/>
          <w:caps/>
          <w:smallCaps w:val="0"/>
          <w:color w:val="000000" w:themeColor="text1"/>
          <w:szCs w:val="21"/>
          <w:highlight w:val="none"/>
          <w14:textFill>
            <w14:solidFill>
              <w14:schemeClr w14:val="tx1"/>
            </w14:solidFill>
          </w14:textFill>
        </w:rPr>
        <w:fldChar w:fldCharType="end"/>
      </w:r>
    </w:p>
    <w:p w14:paraId="6E218FF3">
      <w:pPr>
        <w:pStyle w:val="7"/>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0" w:name="_Toc45542390"/>
      <w:bookmarkStart w:id="1" w:name="_Toc18680"/>
      <w:bookmarkStart w:id="2" w:name="_Toc393784369"/>
      <w:r>
        <w:rPr>
          <w:rFonts w:hint="eastAsia" w:ascii="宋体" w:hAnsi="宋体" w:eastAsia="宋体" w:cs="宋体"/>
          <w:color w:val="000000" w:themeColor="text1"/>
          <w:szCs w:val="28"/>
          <w:highlight w:val="none"/>
          <w14:textFill>
            <w14:solidFill>
              <w14:schemeClr w14:val="tx1"/>
            </w14:solidFill>
          </w14:textFill>
        </w:rPr>
        <w:t>第一章 公开招标公告</w:t>
      </w:r>
      <w:bookmarkEnd w:id="0"/>
      <w:bookmarkEnd w:id="1"/>
    </w:p>
    <w:tbl>
      <w:tblPr>
        <w:tblStyle w:val="35"/>
        <w:tblW w:w="9951" w:type="dxa"/>
        <w:jc w:val="right"/>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9951"/>
      </w:tblGrid>
      <w:tr w14:paraId="5079B85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cantSplit/>
          <w:trHeight w:val="889" w:hRule="atLeast"/>
          <w:tblCellSpacing w:w="0" w:type="dxa"/>
          <w:jc w:val="right"/>
        </w:trPr>
        <w:tc>
          <w:tcPr>
            <w:tcW w:w="995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14:paraId="4CBE2986">
            <w:pPr>
              <w:widowControl/>
              <w:jc w:val="center"/>
              <w:rPr>
                <w:rFonts w:ascii="宋体" w:hAnsi="宋体" w:cs="宋体"/>
                <w:color w:val="000000" w:themeColor="text1"/>
                <w:kern w:val="0"/>
                <w:sz w:val="18"/>
                <w:szCs w:val="18"/>
                <w:highlight w:val="none"/>
                <w14:textFill>
                  <w14:solidFill>
                    <w14:schemeClr w14:val="tx1"/>
                  </w14:solidFill>
                </w14:textFill>
              </w:rPr>
            </w:pPr>
            <w:bookmarkStart w:id="3" w:name="OLE_LINK1"/>
            <w:bookmarkStart w:id="4" w:name="OLE_LINK2"/>
            <w:r>
              <w:rPr>
                <w:rFonts w:hint="eastAsia" w:ascii="宋体" w:hAnsi="宋体" w:cs="宋体"/>
                <w:color w:val="000000" w:themeColor="text1"/>
                <w:kern w:val="0"/>
                <w:szCs w:val="21"/>
                <w:highlight w:val="none"/>
                <w14:textFill>
                  <w14:solidFill>
                    <w14:schemeClr w14:val="tx1"/>
                  </w14:solidFill>
                </w14:textFill>
              </w:rPr>
              <w:t>项目概况</w:t>
            </w:r>
            <w:r>
              <w:rPr>
                <w:rFonts w:hint="eastAsia" w:ascii="宋体" w:hAnsi="宋体" w:cs="宋体"/>
                <w:color w:val="000000" w:themeColor="text1"/>
                <w:kern w:val="0"/>
                <w:szCs w:val="21"/>
                <w:highlight w:val="none"/>
                <w14:textFill>
                  <w14:solidFill>
                    <w14:schemeClr w14:val="tx1"/>
                  </w14:solidFill>
                </w14:textFill>
              </w:rPr>
              <w:br w:type="textWrapping"/>
            </w:r>
            <w:r>
              <w:rPr>
                <w:rFonts w:hint="eastAsia" w:ascii="宋体" w:hAnsi="宋体" w:cs="宋体"/>
                <w:color w:val="000000" w:themeColor="text1"/>
                <w:kern w:val="0"/>
                <w:szCs w:val="21"/>
                <w:highlight w:val="none"/>
                <w:lang w:eastAsia="zh-CN"/>
                <w14:textFill>
                  <w14:solidFill>
                    <w14:schemeClr w14:val="tx1"/>
                  </w14:solidFill>
                </w14:textFill>
              </w:rPr>
              <w:t>昆明经济技术开发区规划建设局昆明经开区建成市政道路照明设施修复改造项目</w:t>
            </w:r>
            <w:r>
              <w:rPr>
                <w:rFonts w:hint="eastAsia" w:ascii="宋体" w:hAnsi="宋体" w:cs="宋体"/>
                <w:color w:val="000000" w:themeColor="text1"/>
                <w:kern w:val="0"/>
                <w:szCs w:val="21"/>
                <w:highlight w:val="none"/>
                <w14:textFill>
                  <w14:solidFill>
                    <w14:schemeClr w14:val="tx1"/>
                  </w14:solidFill>
                </w14:textFill>
              </w:rPr>
              <w:t>的潜在投标人应在政采云平台获取招标文件，并于2026-</w:t>
            </w:r>
            <w:r>
              <w:rPr>
                <w:rFonts w:hint="eastAsia" w:ascii="宋体" w:hAnsi="宋体" w:cs="宋体"/>
                <w:color w:val="000000" w:themeColor="text1"/>
                <w:kern w:val="0"/>
                <w:szCs w:val="21"/>
                <w:highlight w:val="none"/>
                <w:lang w:val="en-US" w:eastAsia="zh-CN"/>
                <w14:textFill>
                  <w14:solidFill>
                    <w14:schemeClr w14:val="tx1"/>
                  </w14:solidFill>
                </w14:textFill>
              </w:rPr>
              <w:t>03</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26</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lang w:val="en-US" w:eastAsia="zh-CN"/>
                <w14:textFill>
                  <w14:solidFill>
                    <w14:schemeClr w14:val="tx1"/>
                  </w14:solidFill>
                </w14:textFill>
              </w:rPr>
              <w:t>10</w:t>
            </w:r>
            <w:r>
              <w:rPr>
                <w:rFonts w:hint="eastAsia" w:ascii="宋体" w:hAnsi="宋体" w:cs="宋体"/>
                <w:color w:val="000000" w:themeColor="text1"/>
                <w:kern w:val="0"/>
                <w:szCs w:val="21"/>
                <w:highlight w:val="none"/>
                <w14:textFill>
                  <w14:solidFill>
                    <w14:schemeClr w14:val="tx1"/>
                  </w14:solidFill>
                </w14:textFill>
              </w:rPr>
              <w:t>：00（北京时间）前递交投标文件。</w:t>
            </w:r>
          </w:p>
        </w:tc>
      </w:tr>
    </w:tbl>
    <w:p w14:paraId="4DA0D0BD">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一、项目基本情况</w:t>
      </w:r>
    </w:p>
    <w:p w14:paraId="2114109C">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项目编号： </w:t>
      </w:r>
    </w:p>
    <w:p w14:paraId="36EB5F8D">
      <w:pPr>
        <w:spacing w:line="360" w:lineRule="auto"/>
        <w:jc w:val="lef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r>
        <w:rPr>
          <w:rFonts w:hint="eastAsia" w:ascii="宋体" w:hAnsi="宋体" w:cs="宋体"/>
          <w:color w:val="000000" w:themeColor="text1"/>
          <w:kern w:val="0"/>
          <w:szCs w:val="21"/>
          <w:highlight w:val="none"/>
          <w:lang w:eastAsia="zh-CN"/>
          <w14:textFill>
            <w14:solidFill>
              <w14:schemeClr w14:val="tx1"/>
            </w14:solidFill>
          </w14:textFill>
        </w:rPr>
        <w:t>昆明经济技术开发区规划建设局昆明经开区建成市政道路照明设施修复改造项目</w:t>
      </w:r>
    </w:p>
    <w:p w14:paraId="1F75877B">
      <w:pPr>
        <w:spacing w:line="360" w:lineRule="auto"/>
        <w:jc w:val="left"/>
        <w:rPr>
          <w:rFonts w:ascii="宋体" w:hAnsi="宋体" w:cs="宋体"/>
          <w:bCs/>
          <w:strike/>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预算金额（万元）：13</w:t>
      </w:r>
      <w:r>
        <w:rPr>
          <w:rFonts w:hint="eastAsia" w:ascii="宋体" w:hAnsi="宋体" w:cs="宋体"/>
          <w:bCs/>
          <w:color w:val="000000" w:themeColor="text1"/>
          <w:szCs w:val="21"/>
          <w:highlight w:val="none"/>
          <w:lang w:val="en-US" w:eastAsia="zh-CN"/>
          <w14:textFill>
            <w14:solidFill>
              <w14:schemeClr w14:val="tx1"/>
            </w14:solidFill>
          </w14:textFill>
        </w:rPr>
        <w:t>0</w:t>
      </w:r>
      <w:r>
        <w:rPr>
          <w:rFonts w:hint="eastAsia" w:ascii="宋体" w:hAnsi="宋体" w:cs="宋体"/>
          <w:bCs/>
          <w:color w:val="000000" w:themeColor="text1"/>
          <w:szCs w:val="21"/>
          <w:highlight w:val="none"/>
          <w14:textFill>
            <w14:solidFill>
              <w14:schemeClr w14:val="tx1"/>
            </w14:solidFill>
          </w14:textFill>
        </w:rPr>
        <w:t>0万元。</w:t>
      </w:r>
    </w:p>
    <w:p w14:paraId="3C2FC90A">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最高限价（万元）：1300万元。</w:t>
      </w:r>
    </w:p>
    <w:p w14:paraId="780039F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采购需求：</w:t>
      </w:r>
      <w:r>
        <w:rPr>
          <w:rFonts w:hint="eastAsia" w:ascii="宋体" w:hAnsi="宋体" w:cs="宋体"/>
          <w:bCs/>
          <w:color w:val="000000" w:themeColor="text1"/>
          <w:szCs w:val="21"/>
          <w:highlight w:val="none"/>
          <w:lang w:val="en-US" w:eastAsia="zh-CN"/>
          <w14:textFill>
            <w14:solidFill>
              <w14:schemeClr w14:val="tx1"/>
            </w14:solidFill>
          </w14:textFill>
        </w:rPr>
        <w:t>对</w:t>
      </w:r>
      <w:r>
        <w:rPr>
          <w:rFonts w:hint="eastAsia" w:ascii="宋体" w:hAnsi="宋体" w:cs="宋体"/>
          <w:bCs/>
          <w:color w:val="000000" w:themeColor="text1"/>
          <w:szCs w:val="21"/>
          <w:highlight w:val="none"/>
          <w14:textFill>
            <w14:solidFill>
              <w14:schemeClr w14:val="tx1"/>
            </w14:solidFill>
          </w14:textFill>
        </w:rPr>
        <w:t>经开区部分道路照明设施进行维修和改造，提升区域道路夜间照明水平，为群众提供安全、高效、快捷的出行提供便利，提升群众幸福指数</w:t>
      </w:r>
      <w:r>
        <w:rPr>
          <w:rFonts w:hint="eastAsia" w:ascii="宋体" w:hAnsi="宋体" w:cs="宋体"/>
          <w:color w:val="000000" w:themeColor="text1"/>
          <w:szCs w:val="21"/>
          <w:highlight w:val="none"/>
          <w14:textFill>
            <w14:solidFill>
              <w14:schemeClr w14:val="tx1"/>
            </w14:solidFill>
          </w14:textFill>
        </w:rPr>
        <w:t>。</w:t>
      </w:r>
    </w:p>
    <w:p w14:paraId="31CC9C85">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质量要求：符合国家、地方、行业现行的相关质量验收标准及规范，且一次性验收合格</w:t>
      </w:r>
      <w:r>
        <w:rPr>
          <w:rFonts w:hint="eastAsia" w:ascii="宋体" w:hAnsi="宋体" w:cs="宋体"/>
          <w:bCs/>
          <w:color w:val="000000" w:themeColor="text1"/>
          <w:szCs w:val="21"/>
          <w:highlight w:val="none"/>
          <w14:textFill>
            <w14:solidFill>
              <w14:schemeClr w14:val="tx1"/>
            </w14:solidFill>
          </w14:textFill>
        </w:rPr>
        <w:t>；</w:t>
      </w:r>
    </w:p>
    <w:p w14:paraId="19C2A7C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合同履行期限：实施周期90日历天，供应商应提供一揽子维修改造方案（含安全生产）并实施完成，确保满足城市照明相关规定并最终完成移交工作</w:t>
      </w:r>
      <w:r>
        <w:rPr>
          <w:rFonts w:hint="eastAsia" w:ascii="宋体" w:hAnsi="宋体" w:cs="宋体"/>
          <w:color w:val="000000" w:themeColor="text1"/>
          <w:szCs w:val="21"/>
          <w:highlight w:val="none"/>
          <w14:textFill>
            <w14:solidFill>
              <w14:schemeClr w14:val="tx1"/>
            </w14:solidFill>
          </w14:textFill>
        </w:rPr>
        <w:t>。</w:t>
      </w:r>
    </w:p>
    <w:p w14:paraId="197F3C02">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本项目（否）接受联合体投标。</w:t>
      </w:r>
    </w:p>
    <w:p w14:paraId="7A42AD7C">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w:t>
      </w:r>
      <w:bookmarkStart w:id="5" w:name="_Hlk78290802"/>
      <w:r>
        <w:rPr>
          <w:rFonts w:hint="eastAsia" w:ascii="宋体" w:hAnsi="宋体" w:cs="宋体"/>
          <w:b/>
          <w:bCs/>
          <w:color w:val="000000" w:themeColor="text1"/>
          <w:szCs w:val="21"/>
          <w:highlight w:val="none"/>
          <w14:textFill>
            <w14:solidFill>
              <w14:schemeClr w14:val="tx1"/>
            </w14:solidFill>
          </w14:textFill>
        </w:rPr>
        <w:t>申请人的资格要求</w:t>
      </w:r>
      <w:bookmarkEnd w:id="5"/>
      <w:r>
        <w:rPr>
          <w:rFonts w:hint="eastAsia" w:ascii="宋体" w:hAnsi="宋体" w:cs="宋体"/>
          <w:b/>
          <w:bCs/>
          <w:color w:val="000000" w:themeColor="text1"/>
          <w:szCs w:val="21"/>
          <w:highlight w:val="none"/>
          <w14:textFill>
            <w14:solidFill>
              <w14:schemeClr w14:val="tx1"/>
            </w14:solidFill>
          </w14:textFill>
        </w:rPr>
        <w:t>：</w:t>
      </w:r>
    </w:p>
    <w:p w14:paraId="26E509D2">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1.满足《中华人民共和国政府采购法》第二十二条规定；</w:t>
      </w:r>
    </w:p>
    <w:p w14:paraId="7A15D600">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2.落实政府采购政策需满足的资格要求：无，本项目不属于专门面向中小微企业采购的项目。</w:t>
      </w:r>
    </w:p>
    <w:p w14:paraId="6B8DD186">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昆明经济技术开发区规划建设局昆明经开区建成市政道路照明设施修复改造项目</w:t>
      </w:r>
      <w:r>
        <w:rPr>
          <w:rFonts w:hint="eastAsia" w:ascii="宋体" w:hAnsi="宋体" w:cs="宋体"/>
          <w:bCs/>
          <w:color w:val="000000" w:themeColor="text1"/>
          <w:szCs w:val="21"/>
          <w:highlight w:val="none"/>
          <w14:textFill>
            <w14:solidFill>
              <w14:schemeClr w14:val="tx1"/>
            </w14:solidFill>
          </w14:textFill>
        </w:rPr>
        <w:t>：小微企业价格扣除优惠比例:10%；</w:t>
      </w:r>
    </w:p>
    <w:p w14:paraId="0845C5FB">
      <w:pPr>
        <w:numPr>
          <w:ilvl w:val="0"/>
          <w:numId w:val="3"/>
        </w:numPr>
        <w:spacing w:line="360" w:lineRule="auto"/>
        <w:jc w:val="left"/>
        <w:rPr>
          <w:rFonts w:hint="eastAsia" w:ascii="宋体" w:hAnsi="宋体" w:cs="宋体"/>
          <w:bCs/>
          <w:szCs w:val="21"/>
          <w:highlight w:val="none"/>
        </w:rPr>
      </w:pPr>
      <w:bookmarkStart w:id="6" w:name="OLE_LINK4"/>
      <w:bookmarkStart w:id="7" w:name="OLE_LINK3"/>
      <w:r>
        <w:rPr>
          <w:rFonts w:hint="eastAsia" w:ascii="宋体" w:hAnsi="宋体" w:cs="宋体"/>
          <w:bCs/>
          <w:szCs w:val="21"/>
          <w:highlight w:val="none"/>
        </w:rPr>
        <w:t>本项目的特定资格要求：</w:t>
      </w:r>
    </w:p>
    <w:p w14:paraId="327FBA12">
      <w:pPr>
        <w:numPr>
          <w:ilvl w:val="0"/>
          <w:numId w:val="0"/>
        </w:numPr>
        <w:spacing w:line="360" w:lineRule="auto"/>
        <w:jc w:val="left"/>
        <w:rPr>
          <w:rFonts w:ascii="宋体" w:hAnsi="宋体" w:cs="宋体"/>
          <w:bCs/>
          <w:szCs w:val="21"/>
          <w:highlight w:val="none"/>
        </w:rPr>
      </w:pPr>
      <w:r>
        <w:rPr>
          <w:rFonts w:hint="eastAsia" w:ascii="宋体" w:hAnsi="宋体" w:cs="宋体"/>
          <w:bCs/>
          <w:szCs w:val="21"/>
          <w:highlight w:val="none"/>
        </w:rPr>
        <w:t>3.1须具有建设行政主管部门核发的市政公用工程施工总承包三级及以上资质或城市及道路照明工程专业承包一级资质，且资质证书在有效期内。</w:t>
      </w:r>
    </w:p>
    <w:p w14:paraId="1D36EA66">
      <w:pPr>
        <w:spacing w:line="360" w:lineRule="auto"/>
        <w:jc w:val="left"/>
        <w:rPr>
          <w:rFonts w:ascii="宋体" w:hAnsi="宋体" w:cs="宋体"/>
          <w:bCs/>
          <w:szCs w:val="21"/>
          <w:highlight w:val="none"/>
        </w:rPr>
      </w:pPr>
      <w:r>
        <w:rPr>
          <w:rFonts w:hint="eastAsia" w:ascii="宋体" w:hAnsi="宋体" w:cs="宋体"/>
          <w:bCs/>
          <w:szCs w:val="21"/>
          <w:highlight w:val="none"/>
        </w:rPr>
        <w:t>3.2须具备有效的安全生产许可证。</w:t>
      </w:r>
    </w:p>
    <w:p w14:paraId="0364C364">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3.3项目负责人须为市政公用工程或机电工程专业二级（及以上）注册建造师，持有安全生产考核合格证书（B证）。</w:t>
      </w:r>
    </w:p>
    <w:p w14:paraId="2AFBC4D3">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3.4单位负责人为同一人或者存在直接控股、管理关系的不同供应商，不得参加同一招标项目包的政府采购活动。</w:t>
      </w:r>
    </w:p>
    <w:p w14:paraId="0BCBD4FD">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3.5本项目提供整体设计、规范编制或者项目管理、监理、检测等服务的供应商，不得再参加本次采购活动。</w:t>
      </w:r>
    </w:p>
    <w:p w14:paraId="44A89FB1">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3.6供应商未被列入“信用中国”网站（www.creditchina.gov.cn）失信被执行人、重大税收违法失信主体及中国政府采购网（www.ccgp.gov.cn）“政府采购严重违法失信行为记录名单”。</w:t>
      </w:r>
    </w:p>
    <w:p w14:paraId="5DD12127">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3.7本项目（否）接受联合体投标。</w:t>
      </w:r>
    </w:p>
    <w:bookmarkEnd w:id="6"/>
    <w:bookmarkEnd w:id="7"/>
    <w:p w14:paraId="6FD78CC3">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三、获取招标文件</w:t>
      </w:r>
    </w:p>
    <w:p w14:paraId="24068184">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时间：2026-</w:t>
      </w:r>
      <w:r>
        <w:rPr>
          <w:rFonts w:hint="eastAsia" w:ascii="宋体" w:hAnsi="宋体" w:cs="宋体"/>
          <w:bCs/>
          <w:color w:val="000000" w:themeColor="text1"/>
          <w:szCs w:val="21"/>
          <w:highlight w:val="none"/>
          <w:lang w:val="en-US" w:eastAsia="zh-CN"/>
          <w14:textFill>
            <w14:solidFill>
              <w14:schemeClr w14:val="tx1"/>
            </w14:solidFill>
          </w14:textFill>
        </w:rPr>
        <w:t>03</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04</w:t>
      </w:r>
      <w:r>
        <w:rPr>
          <w:rFonts w:hint="eastAsia" w:ascii="宋体" w:hAnsi="宋体" w:cs="宋体"/>
          <w:bCs/>
          <w:color w:val="000000" w:themeColor="text1"/>
          <w:szCs w:val="21"/>
          <w:highlight w:val="none"/>
          <w14:textFill>
            <w14:solidFill>
              <w14:schemeClr w14:val="tx1"/>
            </w14:solidFill>
          </w14:textFill>
        </w:rPr>
        <w:t xml:space="preserve"> 至2026-</w:t>
      </w:r>
      <w:r>
        <w:rPr>
          <w:rFonts w:hint="eastAsia" w:ascii="宋体" w:hAnsi="宋体" w:cs="宋体"/>
          <w:bCs/>
          <w:color w:val="000000" w:themeColor="text1"/>
          <w:szCs w:val="21"/>
          <w:highlight w:val="none"/>
          <w:lang w:val="en-US" w:eastAsia="zh-CN"/>
          <w14:textFill>
            <w14:solidFill>
              <w14:schemeClr w14:val="tx1"/>
            </w14:solidFill>
          </w14:textFill>
        </w:rPr>
        <w:t>03</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12</w:t>
      </w:r>
      <w:r>
        <w:rPr>
          <w:rFonts w:hint="eastAsia" w:ascii="宋体" w:hAnsi="宋体" w:cs="宋体"/>
          <w:bCs/>
          <w:color w:val="000000" w:themeColor="text1"/>
          <w:szCs w:val="21"/>
          <w:highlight w:val="none"/>
          <w14:textFill>
            <w14:solidFill>
              <w14:schemeClr w14:val="tx1"/>
            </w14:solidFill>
          </w14:textFill>
        </w:rPr>
        <w:t>，每天上午06:00至12:00，下午12：00至23:59（北京时间，法定节假日除外）</w:t>
      </w:r>
    </w:p>
    <w:p w14:paraId="26F9A34C">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地点：政采云平台线上获取（https://www.zcygov.cn/）</w:t>
      </w:r>
    </w:p>
    <w:p w14:paraId="28C828B4">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2BB5A8CD">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2.按上述要求获取文件的供应商视为合法获取了本项目采购文件，具备本项目的投标资格。</w:t>
      </w:r>
    </w:p>
    <w:p w14:paraId="3D7F34A3">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售价（元）：0</w:t>
      </w:r>
    </w:p>
    <w:p w14:paraId="7F3CBA0C">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四、提交投标文件截止时间、开标时间和地点</w:t>
      </w:r>
    </w:p>
    <w:p w14:paraId="3474B5B8">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w:t>
      </w:r>
      <w:r>
        <w:rPr>
          <w:rFonts w:hint="eastAsia" w:ascii="宋体" w:hAnsi="宋体" w:cs="宋体"/>
          <w:bCs/>
          <w:color w:val="000000" w:themeColor="text1"/>
          <w:szCs w:val="21"/>
          <w:highlight w:val="none"/>
          <w:lang w:val="en-US" w:eastAsia="zh-CN"/>
          <w14:textFill>
            <w14:solidFill>
              <w14:schemeClr w14:val="tx1"/>
            </w14:solidFill>
          </w14:textFill>
        </w:rPr>
        <w:t>03</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26</w:t>
      </w:r>
      <w:r>
        <w:rPr>
          <w:rFonts w:hint="eastAsia" w:ascii="宋体" w:hAnsi="宋体" w:cs="宋体"/>
          <w:bCs/>
          <w:color w:val="000000" w:themeColor="text1"/>
          <w:szCs w:val="21"/>
          <w:highlight w:val="none"/>
          <w14:textFill>
            <w14:solidFill>
              <w14:schemeClr w14:val="tx1"/>
            </w14:solidFill>
          </w14:textFill>
        </w:rPr>
        <w:t xml:space="preserve"> 1</w:t>
      </w:r>
      <w:r>
        <w:rPr>
          <w:rFonts w:hint="eastAsia" w:ascii="宋体" w:hAnsi="宋体" w:cs="宋体"/>
          <w:bCs/>
          <w:color w:val="000000" w:themeColor="text1"/>
          <w:szCs w:val="21"/>
          <w:highlight w:val="none"/>
          <w:lang w:val="en-US" w:eastAsia="zh-CN"/>
          <w14:textFill>
            <w14:solidFill>
              <w14:schemeClr w14:val="tx1"/>
            </w14:solidFill>
          </w14:textFill>
        </w:rPr>
        <w:t>0</w:t>
      </w:r>
      <w:r>
        <w:rPr>
          <w:rFonts w:hint="eastAsia" w:ascii="宋体" w:hAnsi="宋体" w:cs="宋体"/>
          <w:bCs/>
          <w:color w:val="000000" w:themeColor="text1"/>
          <w:szCs w:val="21"/>
          <w:highlight w:val="none"/>
          <w14:textFill>
            <w14:solidFill>
              <w14:schemeClr w14:val="tx1"/>
            </w14:solidFill>
          </w14:textFill>
        </w:rPr>
        <w:t>:00（北京时间）</w:t>
      </w:r>
    </w:p>
    <w:p w14:paraId="3E086A31">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地点：云南省昆明市五华区人民西路328号云南招标股份有限公司办公楼1楼政采评第</w:t>
      </w: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标厅。</w:t>
      </w:r>
    </w:p>
    <w:p w14:paraId="087B7B4B">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五、公告期限</w:t>
      </w:r>
    </w:p>
    <w:p w14:paraId="3E8D814E">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自本公告发布之日起5个工作日</w:t>
      </w:r>
    </w:p>
    <w:p w14:paraId="534B7265">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六、其他补充事宜</w:t>
      </w:r>
    </w:p>
    <w:p w14:paraId="72F8BA91">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开标方式：网上开标</w:t>
      </w:r>
    </w:p>
    <w:p w14:paraId="70EFB1E9">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是否需要缴纳投标保证金：是</w:t>
      </w:r>
    </w:p>
    <w:p w14:paraId="24EDD160">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保证金缴纳金额：100000.00(元) </w:t>
      </w:r>
    </w:p>
    <w:p w14:paraId="73340AEB">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保证金缴纳方式：支票、汇票、本票、保函、保证保险、其他非现金形式：银行转账、网银、电汇等形式。</w:t>
      </w:r>
    </w:p>
    <w:p w14:paraId="4172F778">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保证金缴纳截止时间：2026-</w:t>
      </w:r>
      <w:r>
        <w:rPr>
          <w:rFonts w:hint="eastAsia" w:ascii="宋体" w:hAnsi="宋体" w:cs="宋体"/>
          <w:bCs/>
          <w:color w:val="000000" w:themeColor="text1"/>
          <w:szCs w:val="21"/>
          <w:highlight w:val="none"/>
          <w:lang w:val="en-US" w:eastAsia="zh-CN"/>
          <w14:textFill>
            <w14:solidFill>
              <w14:schemeClr w14:val="tx1"/>
            </w14:solidFill>
          </w14:textFill>
        </w:rPr>
        <w:t>03</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26</w:t>
      </w:r>
      <w:r>
        <w:rPr>
          <w:rFonts w:hint="eastAsia" w:ascii="宋体" w:hAnsi="宋体" w:cs="宋体"/>
          <w:bCs/>
          <w:color w:val="000000" w:themeColor="text1"/>
          <w:szCs w:val="21"/>
          <w:highlight w:val="none"/>
          <w14:textFill>
            <w14:solidFill>
              <w14:schemeClr w14:val="tx1"/>
            </w14:solidFill>
          </w14:textFill>
        </w:rPr>
        <w:t xml:space="preserve"> 1</w:t>
      </w:r>
      <w:r>
        <w:rPr>
          <w:rFonts w:hint="eastAsia" w:ascii="宋体" w:hAnsi="宋体" w:cs="宋体"/>
          <w:bCs/>
          <w:color w:val="000000" w:themeColor="text1"/>
          <w:szCs w:val="21"/>
          <w:highlight w:val="none"/>
          <w:lang w:val="en-US" w:eastAsia="zh-CN"/>
          <w14:textFill>
            <w14:solidFill>
              <w14:schemeClr w14:val="tx1"/>
            </w14:solidFill>
          </w14:textFill>
        </w:rPr>
        <w:t>0</w:t>
      </w:r>
      <w:r>
        <w:rPr>
          <w:rFonts w:hint="eastAsia" w:ascii="宋体" w:hAnsi="宋体" w:cs="宋体"/>
          <w:bCs/>
          <w:color w:val="000000" w:themeColor="text1"/>
          <w:szCs w:val="21"/>
          <w:highlight w:val="none"/>
          <w14:textFill>
            <w14:solidFill>
              <w14:schemeClr w14:val="tx1"/>
            </w14:solidFill>
          </w14:textFill>
        </w:rPr>
        <w:t>:00（北京时间）</w:t>
      </w:r>
    </w:p>
    <w:p w14:paraId="299C86EC">
      <w:pPr>
        <w:spacing w:line="360" w:lineRule="auto"/>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其他：</w:t>
      </w:r>
    </w:p>
    <w:p w14:paraId="455933C1">
      <w:pPr>
        <w:pStyle w:val="2"/>
        <w:spacing w:line="360" w:lineRule="auto"/>
        <w:ind w:left="0" w:leftChars="0" w:firstLine="0" w:firstLineChars="0"/>
        <w:jc w:val="lef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本次招标公告在《云南省政府采购网》、《政府采购云平台》上发布，采购人及采购代理机构对其他网站发布或转载的公告内容不承担任何责任。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云南CA操作问题：请致电云南CA，4006727666；云南CA紧急联系方式：15288315056。云南壹证通CA操作问题请致电：4000040628；云南壹证通CA紧急联系方式：19988166369。（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本项目实行网上投标，采用电子投标文件</w:t>
      </w:r>
      <w:r>
        <w:rPr>
          <w:rFonts w:hint="eastAsia" w:ascii="宋体" w:hAnsi="宋体" w:cs="宋体"/>
          <w:bCs/>
          <w:color w:val="000000" w:themeColor="text1"/>
          <w:szCs w:val="21"/>
          <w:highlight w:val="none"/>
          <w:lang w:eastAsia="zh-CN"/>
          <w14:textFill>
            <w14:solidFill>
              <w14:schemeClr w14:val="tx1"/>
            </w14:solidFill>
          </w14:textFill>
        </w:rPr>
        <w:t>。</w:t>
      </w:r>
    </w:p>
    <w:p w14:paraId="27752AFF">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七、对本次招标提出询问，请按以下方式联系。</w:t>
      </w:r>
    </w:p>
    <w:p w14:paraId="2EEDD81C">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1.采购人信息</w:t>
      </w:r>
    </w:p>
    <w:p w14:paraId="241DD568">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名 称：昆明经济技术开发区规划建设局</w:t>
      </w:r>
    </w:p>
    <w:p w14:paraId="58C6AC28">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14:textFill>
            <w14:solidFill>
              <w14:schemeClr w14:val="tx1"/>
            </w14:solidFill>
          </w14:textFill>
        </w:rPr>
        <w:t>昆明经济技术开发区信息产业基地春漫大道16号</w:t>
      </w:r>
    </w:p>
    <w:p w14:paraId="6EBED555">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联系方式：0871-68162959</w:t>
      </w:r>
    </w:p>
    <w:p w14:paraId="29F7C0F7">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2.采购代理机构信息</w:t>
      </w:r>
    </w:p>
    <w:p w14:paraId="760F8FD7">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名 称：云南招标股份有限公司</w:t>
      </w:r>
    </w:p>
    <w:p w14:paraId="1E2C396E">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地址：云南省昆明市人民西路328号</w:t>
      </w:r>
    </w:p>
    <w:p w14:paraId="3A92FCDE">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联系方式：0871-65317477</w:t>
      </w:r>
    </w:p>
    <w:p w14:paraId="22B99FED">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3.项目联系方式</w:t>
      </w:r>
    </w:p>
    <w:p w14:paraId="4A72513D">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项目联系人：</w:t>
      </w:r>
      <w:r>
        <w:rPr>
          <w:rFonts w:hint="eastAsia" w:ascii="宋体" w:hAnsi="宋体" w:cs="宋体"/>
          <w:color w:val="000000" w:themeColor="text1"/>
          <w:szCs w:val="21"/>
          <w:highlight w:val="none"/>
          <w14:textFill>
            <w14:solidFill>
              <w14:schemeClr w14:val="tx1"/>
            </w14:solidFill>
          </w14:textFill>
        </w:rPr>
        <w:t>杨晴、刘翔</w:t>
      </w:r>
    </w:p>
    <w:p w14:paraId="5D193863">
      <w:pPr>
        <w:spacing w:line="360" w:lineRule="auto"/>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电话：</w:t>
      </w:r>
      <w:bookmarkEnd w:id="2"/>
      <w:bookmarkEnd w:id="3"/>
      <w:r>
        <w:rPr>
          <w:rFonts w:hint="eastAsia" w:ascii="宋体" w:hAnsi="宋体" w:cs="宋体"/>
          <w:bCs/>
          <w:color w:val="000000" w:themeColor="text1"/>
          <w:szCs w:val="21"/>
          <w:highlight w:val="none"/>
          <w:lang w:val="en-US" w:eastAsia="zh-CN"/>
          <w14:textFill>
            <w14:solidFill>
              <w14:schemeClr w14:val="tx1"/>
            </w14:solidFill>
          </w14:textFill>
        </w:rPr>
        <w:t>13668754194、</w:t>
      </w:r>
      <w:r>
        <w:rPr>
          <w:rFonts w:hint="eastAsia" w:ascii="宋体" w:hAnsi="宋体" w:cs="宋体"/>
          <w:color w:val="000000" w:themeColor="text1"/>
          <w:szCs w:val="21"/>
          <w:highlight w:val="none"/>
          <w14:textFill>
            <w14:solidFill>
              <w14:schemeClr w14:val="tx1"/>
            </w14:solidFill>
          </w14:textFill>
        </w:rPr>
        <w:t>0871-65317477</w:t>
      </w:r>
    </w:p>
    <w:bookmarkEnd w:id="4"/>
    <w:p w14:paraId="7E8134CF">
      <w:pPr>
        <w:pStyle w:val="33"/>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bookmarkStart w:id="8" w:name="_Toc14447"/>
      <w:r>
        <w:rPr>
          <w:rFonts w:hint="eastAsia" w:ascii="宋体" w:hAnsi="宋体" w:cs="宋体"/>
          <w:color w:val="000000" w:themeColor="text1"/>
          <w:sz w:val="28"/>
          <w:szCs w:val="28"/>
          <w:highlight w:val="none"/>
          <w14:textFill>
            <w14:solidFill>
              <w14:schemeClr w14:val="tx1"/>
            </w14:solidFill>
          </w14:textFill>
        </w:rPr>
        <w:t>第二章 投标人须知</w:t>
      </w:r>
      <w:bookmarkEnd w:id="8"/>
    </w:p>
    <w:p w14:paraId="2EEDA63A">
      <w:pPr>
        <w:pStyle w:val="8"/>
        <w:numPr>
          <w:ilvl w:val="0"/>
          <w:numId w:val="0"/>
        </w:numPr>
        <w:spacing w:before="0" w:line="240" w:lineRule="auto"/>
        <w:ind w:left="425"/>
        <w:jc w:val="center"/>
        <w:rPr>
          <w:rFonts w:ascii="宋体" w:hAnsi="宋体" w:eastAsia="宋体" w:cs="宋体"/>
          <w:b w:val="0"/>
          <w:color w:val="000000" w:themeColor="text1"/>
          <w:sz w:val="24"/>
          <w:szCs w:val="24"/>
          <w:highlight w:val="none"/>
          <w14:textFill>
            <w14:solidFill>
              <w14:schemeClr w14:val="tx1"/>
            </w14:solidFill>
          </w14:textFill>
        </w:rPr>
      </w:pPr>
      <w:bookmarkStart w:id="9" w:name="_Toc6282"/>
      <w:r>
        <w:rPr>
          <w:rFonts w:hint="eastAsia" w:ascii="宋体" w:hAnsi="宋体" w:eastAsia="宋体" w:cs="宋体"/>
          <w:b w:val="0"/>
          <w:color w:val="000000" w:themeColor="text1"/>
          <w:sz w:val="24"/>
          <w:szCs w:val="24"/>
          <w:highlight w:val="none"/>
          <w14:textFill>
            <w14:solidFill>
              <w14:schemeClr w14:val="tx1"/>
            </w14:solidFill>
          </w14:textFill>
        </w:rPr>
        <w:t>投标人须知前附表</w:t>
      </w:r>
      <w:bookmarkEnd w:id="9"/>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2735"/>
        <w:gridCol w:w="5908"/>
      </w:tblGrid>
      <w:tr w14:paraId="7506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177" w:type="dxa"/>
            <w:vAlign w:val="center"/>
          </w:tcPr>
          <w:p w14:paraId="4F849098">
            <w:pPr>
              <w:pStyle w:val="19"/>
              <w:spacing w:line="300" w:lineRule="exact"/>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条款号</w:t>
            </w:r>
          </w:p>
        </w:tc>
        <w:tc>
          <w:tcPr>
            <w:tcW w:w="2735" w:type="dxa"/>
            <w:vAlign w:val="center"/>
          </w:tcPr>
          <w:p w14:paraId="19940DE9">
            <w:pPr>
              <w:pStyle w:val="19"/>
              <w:spacing w:line="300" w:lineRule="exact"/>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条 款 名 称</w:t>
            </w:r>
          </w:p>
        </w:tc>
        <w:tc>
          <w:tcPr>
            <w:tcW w:w="5908" w:type="dxa"/>
            <w:vAlign w:val="center"/>
          </w:tcPr>
          <w:p w14:paraId="7D314696">
            <w:pPr>
              <w:pStyle w:val="19"/>
              <w:spacing w:line="300" w:lineRule="exact"/>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编 列 内 容</w:t>
            </w:r>
          </w:p>
        </w:tc>
      </w:tr>
      <w:tr w14:paraId="3453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77" w:type="dxa"/>
            <w:vMerge w:val="restart"/>
            <w:vAlign w:val="center"/>
          </w:tcPr>
          <w:p w14:paraId="46300112">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p>
        </w:tc>
        <w:tc>
          <w:tcPr>
            <w:tcW w:w="2735" w:type="dxa"/>
            <w:vAlign w:val="center"/>
          </w:tcPr>
          <w:p w14:paraId="3CD5927E">
            <w:pPr>
              <w:pStyle w:val="19"/>
              <w:spacing w:line="300" w:lineRule="exact"/>
              <w:rPr>
                <w:rFonts w:hAnsi="宋体" w:cs="宋体"/>
                <w:color w:val="000000" w:themeColor="text1"/>
                <w:szCs w:val="21"/>
                <w:highlight w:val="none"/>
                <w:u w:val="singl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采购人</w:t>
            </w:r>
            <w:r>
              <w:rPr>
                <w:rFonts w:hint="eastAsia" w:hAnsi="宋体" w:cs="宋体"/>
                <w:color w:val="000000" w:themeColor="text1"/>
                <w:kern w:val="48"/>
                <w:szCs w:val="21"/>
                <w:highlight w:val="none"/>
                <w14:textFill>
                  <w14:solidFill>
                    <w14:schemeClr w14:val="tx1"/>
                  </w14:solidFill>
                </w14:textFill>
              </w:rPr>
              <w:t xml:space="preserve"> </w:t>
            </w:r>
          </w:p>
        </w:tc>
        <w:tc>
          <w:tcPr>
            <w:tcW w:w="5908" w:type="dxa"/>
            <w:vAlign w:val="center"/>
          </w:tcPr>
          <w:p w14:paraId="6700FD99">
            <w:pPr>
              <w:pStyle w:val="19"/>
              <w:spacing w:line="300" w:lineRule="exact"/>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u w:val="single"/>
                <w14:textFill>
                  <w14:solidFill>
                    <w14:schemeClr w14:val="tx1"/>
                  </w14:solidFill>
                </w14:textFill>
              </w:rPr>
              <w:t>昆明经济技术开发区规划建设局</w:t>
            </w:r>
          </w:p>
        </w:tc>
      </w:tr>
      <w:tr w14:paraId="2A70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77" w:type="dxa"/>
            <w:vMerge w:val="continue"/>
            <w:vAlign w:val="center"/>
          </w:tcPr>
          <w:p w14:paraId="10F785FF">
            <w:pPr>
              <w:spacing w:line="300" w:lineRule="exact"/>
              <w:jc w:val="center"/>
              <w:rPr>
                <w:rFonts w:ascii="宋体" w:hAnsi="宋体" w:cs="宋体"/>
                <w:color w:val="000000" w:themeColor="text1"/>
                <w:szCs w:val="21"/>
                <w:highlight w:val="none"/>
                <w14:textFill>
                  <w14:solidFill>
                    <w14:schemeClr w14:val="tx1"/>
                  </w14:solidFill>
                </w14:textFill>
              </w:rPr>
            </w:pPr>
          </w:p>
        </w:tc>
        <w:tc>
          <w:tcPr>
            <w:tcW w:w="2735" w:type="dxa"/>
            <w:vAlign w:val="center"/>
          </w:tcPr>
          <w:p w14:paraId="7A8A778C">
            <w:pPr>
              <w:pStyle w:val="19"/>
              <w:spacing w:line="300" w:lineRule="exact"/>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采购代理机构</w:t>
            </w:r>
          </w:p>
        </w:tc>
        <w:tc>
          <w:tcPr>
            <w:tcW w:w="5908" w:type="dxa"/>
            <w:vAlign w:val="center"/>
          </w:tcPr>
          <w:p w14:paraId="52550FBA">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云南招标股份有限公司</w:t>
            </w:r>
          </w:p>
        </w:tc>
      </w:tr>
      <w:tr w14:paraId="7BF8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jc w:val="center"/>
        </w:trPr>
        <w:tc>
          <w:tcPr>
            <w:tcW w:w="1177" w:type="dxa"/>
            <w:vMerge w:val="continue"/>
            <w:vAlign w:val="center"/>
          </w:tcPr>
          <w:p w14:paraId="4349D710">
            <w:pPr>
              <w:spacing w:line="300" w:lineRule="exact"/>
              <w:jc w:val="center"/>
              <w:rPr>
                <w:rFonts w:ascii="宋体" w:hAnsi="宋体" w:cs="宋体"/>
                <w:color w:val="000000" w:themeColor="text1"/>
                <w:szCs w:val="21"/>
                <w:highlight w:val="none"/>
                <w14:textFill>
                  <w14:solidFill>
                    <w14:schemeClr w14:val="tx1"/>
                  </w14:solidFill>
                </w14:textFill>
              </w:rPr>
            </w:pPr>
          </w:p>
        </w:tc>
        <w:tc>
          <w:tcPr>
            <w:tcW w:w="2735" w:type="dxa"/>
            <w:vAlign w:val="center"/>
          </w:tcPr>
          <w:p w14:paraId="358294DB">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项目名称及招标编号</w:t>
            </w:r>
          </w:p>
        </w:tc>
        <w:tc>
          <w:tcPr>
            <w:tcW w:w="5908" w:type="dxa"/>
            <w:vAlign w:val="center"/>
          </w:tcPr>
          <w:p w14:paraId="2BD12D04">
            <w:pPr>
              <w:pStyle w:val="19"/>
              <w:spacing w:line="300" w:lineRule="exact"/>
              <w:rPr>
                <w:rFonts w:hint="eastAsia" w:hAnsi="宋体" w:eastAsia="宋体" w:cs="宋体"/>
                <w:color w:val="000000" w:themeColor="text1"/>
                <w:szCs w:val="21"/>
                <w:highlight w:val="none"/>
                <w:u w:val="singl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w:t>
            </w:r>
            <w:r>
              <w:rPr>
                <w:rFonts w:hint="eastAsia" w:hAnsi="宋体" w:cs="宋体"/>
                <w:color w:val="000000" w:themeColor="text1"/>
                <w:szCs w:val="21"/>
                <w:highlight w:val="none"/>
                <w:u w:val="single"/>
                <w:lang w:eastAsia="zh-CN"/>
                <w14:textFill>
                  <w14:solidFill>
                    <w14:schemeClr w14:val="tx1"/>
                  </w14:solidFill>
                </w14:textFill>
              </w:rPr>
              <w:t>昆明经济技术开发区规划建设局昆明经开区建成市政道路照明设施修复改造项目</w:t>
            </w:r>
          </w:p>
          <w:p w14:paraId="71D249BE">
            <w:pPr>
              <w:pStyle w:val="19"/>
              <w:spacing w:line="300" w:lineRule="exact"/>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招标编号：N53A01126001008</w:t>
            </w:r>
          </w:p>
        </w:tc>
      </w:tr>
      <w:tr w14:paraId="271E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177" w:type="dxa"/>
            <w:vAlign w:val="center"/>
          </w:tcPr>
          <w:p w14:paraId="40E63F6D">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w:t>
            </w:r>
          </w:p>
        </w:tc>
        <w:tc>
          <w:tcPr>
            <w:tcW w:w="2735" w:type="dxa"/>
            <w:vAlign w:val="center"/>
          </w:tcPr>
          <w:p w14:paraId="04B285DE">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招标范围</w:t>
            </w:r>
          </w:p>
        </w:tc>
        <w:tc>
          <w:tcPr>
            <w:tcW w:w="5908" w:type="dxa"/>
            <w:vAlign w:val="center"/>
          </w:tcPr>
          <w:p w14:paraId="6CCAC690">
            <w:pPr>
              <w:pStyle w:val="19"/>
              <w:spacing w:line="300" w:lineRule="exact"/>
              <w:jc w:val="lef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技术规格详见招标公告及招标文件第五章</w:t>
            </w:r>
          </w:p>
        </w:tc>
      </w:tr>
      <w:tr w14:paraId="1332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77" w:type="dxa"/>
            <w:vAlign w:val="center"/>
          </w:tcPr>
          <w:p w14:paraId="593567D2">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w:t>
            </w:r>
          </w:p>
        </w:tc>
        <w:tc>
          <w:tcPr>
            <w:tcW w:w="2735" w:type="dxa"/>
            <w:vAlign w:val="center"/>
          </w:tcPr>
          <w:p w14:paraId="5FA07A73">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服务期限及服务地点</w:t>
            </w:r>
          </w:p>
        </w:tc>
        <w:tc>
          <w:tcPr>
            <w:tcW w:w="5908" w:type="dxa"/>
            <w:vAlign w:val="center"/>
          </w:tcPr>
          <w:p w14:paraId="1326426C">
            <w:pPr>
              <w:pStyle w:val="19"/>
              <w:spacing w:line="300" w:lineRule="exact"/>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u w:val="single"/>
                <w14:textFill>
                  <w14:solidFill>
                    <w14:schemeClr w14:val="tx1"/>
                  </w14:solidFill>
                </w14:textFill>
              </w:rPr>
              <w:t>服务期限：</w:t>
            </w:r>
            <w:r>
              <w:rPr>
                <w:rFonts w:hint="eastAsia" w:hAnsi="宋体" w:cs="宋体"/>
                <w:bCs/>
                <w:color w:val="000000" w:themeColor="text1"/>
                <w:szCs w:val="21"/>
                <w:highlight w:val="none"/>
                <w:u w:val="single"/>
                <w14:textFill>
                  <w14:solidFill>
                    <w14:schemeClr w14:val="tx1"/>
                  </w14:solidFill>
                </w14:textFill>
              </w:rPr>
              <w:t>实施周期90日历天，供应商应提供一揽子维修改造方案（含安全生产）并实施完成，确保满足城市照明相关规定并最终完成移交工作</w:t>
            </w:r>
            <w:r>
              <w:rPr>
                <w:rFonts w:hint="eastAsia" w:hAnsi="宋体" w:cs="宋体"/>
                <w:color w:val="000000" w:themeColor="text1"/>
                <w:szCs w:val="21"/>
                <w:highlight w:val="none"/>
                <w:u w:val="single"/>
                <w14:textFill>
                  <w14:solidFill>
                    <w14:schemeClr w14:val="tx1"/>
                  </w14:solidFill>
                </w14:textFill>
              </w:rPr>
              <w:t>。</w:t>
            </w:r>
          </w:p>
          <w:p w14:paraId="28EC1B2C">
            <w:pPr>
              <w:pStyle w:val="19"/>
              <w:spacing w:line="300" w:lineRule="exact"/>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u w:val="single"/>
                <w14:textFill>
                  <w14:solidFill>
                    <w14:schemeClr w14:val="tx1"/>
                  </w14:solidFill>
                </w14:textFill>
              </w:rPr>
              <w:t>服务地点：昆明经济技术开发区。</w:t>
            </w:r>
          </w:p>
        </w:tc>
      </w:tr>
      <w:tr w14:paraId="4384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77" w:type="dxa"/>
            <w:vAlign w:val="center"/>
          </w:tcPr>
          <w:p w14:paraId="3CE14238">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4.1.4</w:t>
            </w:r>
          </w:p>
        </w:tc>
        <w:tc>
          <w:tcPr>
            <w:tcW w:w="2735" w:type="dxa"/>
            <w:vAlign w:val="center"/>
          </w:tcPr>
          <w:p w14:paraId="5A42BDCF">
            <w:pPr>
              <w:autoSpaceDE w:val="0"/>
              <w:autoSpaceDN w:val="0"/>
              <w:snapToGrid w:val="0"/>
              <w:spacing w:line="300" w:lineRule="exact"/>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依法缴纳税收和社会保障资金证明材料的时间范围</w:t>
            </w:r>
          </w:p>
        </w:tc>
        <w:tc>
          <w:tcPr>
            <w:tcW w:w="5908" w:type="dxa"/>
            <w:vAlign w:val="center"/>
          </w:tcPr>
          <w:p w14:paraId="66D7C6CE">
            <w:pPr>
              <w:autoSpaceDE w:val="0"/>
              <w:autoSpaceDN w:val="0"/>
              <w:snapToGrid w:val="0"/>
              <w:spacing w:line="300" w:lineRule="exact"/>
              <w:textAlignment w:val="bottom"/>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见第六章“资格评审标准”</w:t>
            </w:r>
          </w:p>
        </w:tc>
      </w:tr>
      <w:tr w14:paraId="1CC5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77" w:type="dxa"/>
            <w:vAlign w:val="center"/>
          </w:tcPr>
          <w:p w14:paraId="71ACD40E">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4.2</w:t>
            </w:r>
          </w:p>
        </w:tc>
        <w:tc>
          <w:tcPr>
            <w:tcW w:w="2735" w:type="dxa"/>
            <w:vAlign w:val="center"/>
          </w:tcPr>
          <w:p w14:paraId="0437660F">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采购人根据采购项目的特殊要求规定的特定条件</w:t>
            </w:r>
          </w:p>
        </w:tc>
        <w:tc>
          <w:tcPr>
            <w:tcW w:w="5908" w:type="dxa"/>
            <w:vAlign w:val="center"/>
          </w:tcPr>
          <w:p w14:paraId="2B9F7290">
            <w:pPr>
              <w:autoSpaceDE w:val="0"/>
              <w:autoSpaceDN w:val="0"/>
              <w:snapToGrid w:val="0"/>
              <w:spacing w:line="300" w:lineRule="exact"/>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见第一章“招标公告”及第六章“资格评审标准”</w:t>
            </w:r>
          </w:p>
        </w:tc>
      </w:tr>
      <w:tr w14:paraId="1579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77" w:type="dxa"/>
            <w:vAlign w:val="center"/>
          </w:tcPr>
          <w:p w14:paraId="2D651F30">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★4.4</w:t>
            </w:r>
          </w:p>
        </w:tc>
        <w:tc>
          <w:tcPr>
            <w:tcW w:w="2735" w:type="dxa"/>
            <w:vAlign w:val="center"/>
          </w:tcPr>
          <w:p w14:paraId="1EE856F8">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是否政府购买服务项目</w:t>
            </w:r>
          </w:p>
        </w:tc>
        <w:tc>
          <w:tcPr>
            <w:tcW w:w="5908" w:type="dxa"/>
            <w:vAlign w:val="center"/>
          </w:tcPr>
          <w:p w14:paraId="6FB1FE96">
            <w:pPr>
              <w:pStyle w:val="19"/>
              <w:spacing w:line="300" w:lineRule="exact"/>
              <w:jc w:val="left"/>
              <w:rPr>
                <w:rFonts w:hAnsi="宋体" w:cs="宋体"/>
                <w:color w:val="000000" w:themeColor="text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 xml:space="preserve">是      </w:t>
            </w:r>
            <w:r>
              <w:rPr>
                <w:rFonts w:hint="eastAsia" w:hAnsi="宋体" w:cs="宋体"/>
                <w:color w:val="000000" w:themeColor="text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否</w:t>
            </w:r>
          </w:p>
        </w:tc>
      </w:tr>
      <w:tr w14:paraId="70F9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177" w:type="dxa"/>
            <w:vAlign w:val="center"/>
          </w:tcPr>
          <w:p w14:paraId="7020DF0E">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★4.5</w:t>
            </w:r>
          </w:p>
        </w:tc>
        <w:tc>
          <w:tcPr>
            <w:tcW w:w="2735" w:type="dxa"/>
            <w:vAlign w:val="center"/>
          </w:tcPr>
          <w:p w14:paraId="57239AEF">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是否接受联合体投标</w:t>
            </w:r>
          </w:p>
        </w:tc>
        <w:tc>
          <w:tcPr>
            <w:tcW w:w="5908" w:type="dxa"/>
            <w:vAlign w:val="center"/>
          </w:tcPr>
          <w:p w14:paraId="7096F63F">
            <w:pPr>
              <w:pStyle w:val="19"/>
              <w:spacing w:line="300" w:lineRule="exact"/>
              <w:jc w:val="left"/>
              <w:rPr>
                <w:rFonts w:hAnsi="宋体" w:cs="宋体"/>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不接受</w:t>
            </w:r>
          </w:p>
        </w:tc>
      </w:tr>
      <w:tr w14:paraId="2991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77" w:type="dxa"/>
            <w:vAlign w:val="center"/>
          </w:tcPr>
          <w:p w14:paraId="741D5593">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★15.1</w:t>
            </w:r>
          </w:p>
        </w:tc>
        <w:tc>
          <w:tcPr>
            <w:tcW w:w="2735" w:type="dxa"/>
            <w:vAlign w:val="center"/>
          </w:tcPr>
          <w:p w14:paraId="32E67BEA">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本项目预算金额及最高限价</w:t>
            </w:r>
          </w:p>
        </w:tc>
        <w:tc>
          <w:tcPr>
            <w:tcW w:w="5908" w:type="dxa"/>
            <w:vAlign w:val="center"/>
          </w:tcPr>
          <w:p w14:paraId="2EB64CC4">
            <w:pPr>
              <w:autoSpaceDE w:val="0"/>
              <w:autoSpaceDN w:val="0"/>
              <w:snapToGrid w:val="0"/>
              <w:spacing w:line="300" w:lineRule="exact"/>
              <w:textAlignment w:val="bottom"/>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1、本次采购不进行总价报价，本项目采购预算及最高限价见“第一章 招标公告”，最终以采购人委托的第三方造价咨询服务单位依据现行计价依据和标准编制的预算×(1-报价下浮率)作为结算金额为准，最终结算金额不超过最高限价。</w:t>
            </w:r>
          </w:p>
          <w:p w14:paraId="1CA14655">
            <w:pPr>
              <w:autoSpaceDE w:val="0"/>
              <w:autoSpaceDN w:val="0"/>
              <w:snapToGrid w:val="0"/>
              <w:spacing w:line="300" w:lineRule="exact"/>
              <w:textAlignment w:val="bottom"/>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2、供应商需以整体“报价下浮率”进行报价（报价下浮率按实际下浮比例填报，例如：</w:t>
            </w:r>
            <w:r>
              <w:rPr>
                <w:rFonts w:hint="eastAsia" w:ascii="宋体" w:hAnsi="宋体" w:cs="宋体"/>
                <w:b/>
                <w:color w:val="000000" w:themeColor="text1"/>
                <w:szCs w:val="21"/>
                <w:highlight w:val="none"/>
                <w:lang w:val="en-US" w:eastAsia="zh-CN"/>
                <w14:textFill>
                  <w14:solidFill>
                    <w14:schemeClr w14:val="tx1"/>
                  </w14:solidFill>
                </w14:textFill>
              </w:rPr>
              <w:t>项目</w:t>
            </w:r>
            <w:bookmarkStart w:id="103" w:name="_GoBack"/>
            <w:bookmarkEnd w:id="103"/>
            <w:r>
              <w:rPr>
                <w:rFonts w:hint="eastAsia" w:ascii="宋体" w:hAnsi="宋体" w:cs="宋体"/>
                <w:b/>
                <w:color w:val="000000" w:themeColor="text1"/>
                <w:szCs w:val="21"/>
                <w:highlight w:val="none"/>
                <w14:textFill>
                  <w14:solidFill>
                    <w14:schemeClr w14:val="tx1"/>
                  </w14:solidFill>
                </w14:textFill>
              </w:rPr>
              <w:t>发包价格视为基础费率为100%，实际结算按90%收费，报价下浮率即为10%，投标报价收费比例即为90%）。下浮率</w:t>
            </w:r>
            <w:r>
              <w:rPr>
                <w:rFonts w:hint="eastAsia" w:ascii="宋体" w:hAnsi="宋体" w:cs="宋体"/>
                <w:b/>
                <w:bCs/>
                <w:color w:val="000000" w:themeColor="text1"/>
                <w:szCs w:val="16"/>
                <w:highlight w:val="none"/>
                <w14:textFill>
                  <w14:solidFill>
                    <w14:schemeClr w14:val="tx1"/>
                  </w14:solidFill>
                </w14:textFill>
              </w:rPr>
              <w:t>如有小数点仅保留小数点后1位。</w:t>
            </w:r>
          </w:p>
        </w:tc>
      </w:tr>
      <w:tr w14:paraId="2973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77" w:type="dxa"/>
            <w:vAlign w:val="center"/>
          </w:tcPr>
          <w:p w14:paraId="5DE5764E">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★17.1</w:t>
            </w:r>
          </w:p>
        </w:tc>
        <w:tc>
          <w:tcPr>
            <w:tcW w:w="2735" w:type="dxa"/>
            <w:vAlign w:val="center"/>
          </w:tcPr>
          <w:p w14:paraId="78053F03">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投标文件有效期</w:t>
            </w:r>
          </w:p>
        </w:tc>
        <w:tc>
          <w:tcPr>
            <w:tcW w:w="5908" w:type="dxa"/>
            <w:vAlign w:val="center"/>
          </w:tcPr>
          <w:p w14:paraId="3AC61E34">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从提交投标文件截止之日起</w:t>
            </w:r>
            <w:r>
              <w:rPr>
                <w:rFonts w:hint="eastAsia" w:hAnsi="宋体" w:cs="宋体"/>
                <w:color w:val="000000" w:themeColor="text1"/>
                <w:szCs w:val="21"/>
                <w:highlight w:val="none"/>
                <w:u w:val="single"/>
                <w14:textFill>
                  <w14:solidFill>
                    <w14:schemeClr w14:val="tx1"/>
                  </w14:solidFill>
                </w14:textFill>
              </w:rPr>
              <w:t>90</w:t>
            </w:r>
            <w:r>
              <w:rPr>
                <w:rFonts w:hint="eastAsia" w:hAnsi="宋体" w:cs="宋体"/>
                <w:color w:val="000000" w:themeColor="text1"/>
                <w:szCs w:val="21"/>
                <w:highlight w:val="none"/>
                <w14:textFill>
                  <w14:solidFill>
                    <w14:schemeClr w14:val="tx1"/>
                  </w14:solidFill>
                </w14:textFill>
              </w:rPr>
              <w:t>日历天</w:t>
            </w:r>
          </w:p>
        </w:tc>
      </w:tr>
      <w:tr w14:paraId="1F6F7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77" w:type="dxa"/>
            <w:vAlign w:val="center"/>
          </w:tcPr>
          <w:p w14:paraId="2EC84ADF">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18.1</w:t>
            </w:r>
          </w:p>
        </w:tc>
        <w:tc>
          <w:tcPr>
            <w:tcW w:w="2735" w:type="dxa"/>
            <w:vAlign w:val="center"/>
          </w:tcPr>
          <w:p w14:paraId="02456215">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分包</w:t>
            </w:r>
          </w:p>
        </w:tc>
        <w:tc>
          <w:tcPr>
            <w:tcW w:w="5908" w:type="dxa"/>
            <w:vAlign w:val="center"/>
          </w:tcPr>
          <w:p w14:paraId="3267C50A">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本项目不得分包。</w:t>
            </w:r>
          </w:p>
          <w:p w14:paraId="6254BF1F">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□本项目中，</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可以分包。</w:t>
            </w:r>
          </w:p>
        </w:tc>
      </w:tr>
      <w:tr w14:paraId="07B9A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177" w:type="dxa"/>
            <w:vAlign w:val="center"/>
          </w:tcPr>
          <w:p w14:paraId="718E4C74">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21.1</w:t>
            </w:r>
          </w:p>
        </w:tc>
        <w:tc>
          <w:tcPr>
            <w:tcW w:w="2735" w:type="dxa"/>
            <w:vAlign w:val="center"/>
          </w:tcPr>
          <w:p w14:paraId="1B5B47DB">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投标保证金</w:t>
            </w:r>
          </w:p>
        </w:tc>
        <w:tc>
          <w:tcPr>
            <w:tcW w:w="5908" w:type="dxa"/>
            <w:vAlign w:val="center"/>
          </w:tcPr>
          <w:p w14:paraId="0C27A871">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一、缴纳方式：支票、汇票、本票、保函或者保证保险、其他非现金形式：银行转账、网银、电汇等形式，投标人可根据实际情况，选择保证金的提供或缴纳方式。</w:t>
            </w:r>
          </w:p>
          <w:p w14:paraId="6A799676">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二、保证金金额：¥100000.00元；</w:t>
            </w:r>
          </w:p>
          <w:p w14:paraId="3CFE22DD">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缴纳时间：投标文件（响应文件）递交截止时间，以提交或实际到账时间为准。</w:t>
            </w:r>
          </w:p>
          <w:p w14:paraId="3AD9BBE5">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三、投标保证金办理程序</w:t>
            </w:r>
          </w:p>
          <w:p w14:paraId="011BABA6">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1.以转账、电汇方式提交的应以投标人自身的名义提交，并且必须从其基本账户一次性汇入或转入招标人指定的帐户，不得以分支机构其他名义提交（按照规定，投标人可以为自然人的项目除外）</w:t>
            </w:r>
          </w:p>
          <w:p w14:paraId="5628ABC3">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投标保证金缴纳至如下账户：</w:t>
            </w:r>
          </w:p>
          <w:p w14:paraId="2E907F7D">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开户名称：云南招标股份有限公司</w:t>
            </w:r>
          </w:p>
          <w:p w14:paraId="5C86A751">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开户银行：富滇银行股份有限公司昆明科技支行；</w:t>
            </w:r>
          </w:p>
          <w:p w14:paraId="66E52855">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开户账号：010000067503；</w:t>
            </w:r>
          </w:p>
          <w:p w14:paraId="6D7C6666">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2.保证保险：</w:t>
            </w:r>
          </w:p>
          <w:p w14:paraId="67440A78">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（1）当投标人未能按照招投标文件要求履行投标义务而导致招标人受到损失时，由保险公司按照保险合同对招标人的损失承担代偿责任。</w:t>
            </w:r>
          </w:p>
          <w:p w14:paraId="4E70B2D5">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（2）投标人在支付投标保证金保险费时，必须使用基本账号资金支付购买，未从基本账户转出支付保费造成经济纠纷的应由企业自行承担。</w:t>
            </w:r>
          </w:p>
          <w:p w14:paraId="26F3F722">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（3）在投标保证保险中，投标人为投保人，招标人为被保险人。</w:t>
            </w:r>
          </w:p>
          <w:p w14:paraId="079D4E67">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3.银行保函：</w:t>
            </w:r>
          </w:p>
          <w:p w14:paraId="08CE7D11">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（1）当投标人未能按照招投标文件要求履行投标义务而导致招标人受到损失时，由担保银行按照要求对招标人的损失承担代偿责任。</w:t>
            </w:r>
          </w:p>
          <w:p w14:paraId="4499C8BC">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（2）在投标担保中，投标人为被担保人，招标人为受益人。</w:t>
            </w:r>
          </w:p>
          <w:p w14:paraId="68CCE8EF">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四、投标保证退还方式：</w:t>
            </w:r>
          </w:p>
          <w:p w14:paraId="2BE20E0B">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1.以电汇、网银、转账方式缴纳的保证金，以网银对公转账的方式退还到投标人打款账户；</w:t>
            </w:r>
          </w:p>
          <w:p w14:paraId="39EF4233">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2.以支票、汇票及本票等票据方式缴纳的保证金，经财务查账确认后以网银对公转账的方式退还到投标人开户账户；</w:t>
            </w:r>
          </w:p>
          <w:p w14:paraId="448ADF8E">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3.以银行保函或者保证保险方式缴纳的保证金由投标人自行联系出函机构进行退还。</w:t>
            </w:r>
          </w:p>
        </w:tc>
      </w:tr>
      <w:tr w14:paraId="46CD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177" w:type="dxa"/>
            <w:vAlign w:val="center"/>
          </w:tcPr>
          <w:p w14:paraId="03B04FCC">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23.1</w:t>
            </w:r>
          </w:p>
        </w:tc>
        <w:tc>
          <w:tcPr>
            <w:tcW w:w="2735" w:type="dxa"/>
            <w:vAlign w:val="center"/>
          </w:tcPr>
          <w:p w14:paraId="2F56CC56">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提交投标文件截止时间</w:t>
            </w:r>
          </w:p>
        </w:tc>
        <w:tc>
          <w:tcPr>
            <w:tcW w:w="5908" w:type="dxa"/>
            <w:vAlign w:val="center"/>
          </w:tcPr>
          <w:p w14:paraId="22DDEC54">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见第一章“招标公告”</w:t>
            </w:r>
          </w:p>
        </w:tc>
      </w:tr>
      <w:tr w14:paraId="1DBB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77" w:type="dxa"/>
            <w:vAlign w:val="center"/>
          </w:tcPr>
          <w:p w14:paraId="52AF5B9A">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23.2</w:t>
            </w:r>
          </w:p>
        </w:tc>
        <w:tc>
          <w:tcPr>
            <w:tcW w:w="2735" w:type="dxa"/>
            <w:vAlign w:val="center"/>
          </w:tcPr>
          <w:p w14:paraId="1D49FAB2">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提交投标文件的地点</w:t>
            </w:r>
          </w:p>
        </w:tc>
        <w:tc>
          <w:tcPr>
            <w:tcW w:w="5908" w:type="dxa"/>
            <w:vAlign w:val="center"/>
          </w:tcPr>
          <w:p w14:paraId="6A6C3330">
            <w:pPr>
              <w:pStyle w:val="19"/>
              <w:spacing w:line="300" w:lineRule="exact"/>
              <w:ind w:left="695" w:hanging="695" w:hangingChars="331"/>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见第一章“招标公告”</w:t>
            </w:r>
          </w:p>
        </w:tc>
      </w:tr>
      <w:tr w14:paraId="4C17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77" w:type="dxa"/>
            <w:vAlign w:val="center"/>
          </w:tcPr>
          <w:p w14:paraId="771FC741">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23.3</w:t>
            </w:r>
          </w:p>
        </w:tc>
        <w:tc>
          <w:tcPr>
            <w:tcW w:w="2735" w:type="dxa"/>
            <w:vAlign w:val="center"/>
          </w:tcPr>
          <w:p w14:paraId="015A1963">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投标文件的退还</w:t>
            </w:r>
          </w:p>
        </w:tc>
        <w:tc>
          <w:tcPr>
            <w:tcW w:w="5908" w:type="dxa"/>
            <w:vAlign w:val="center"/>
          </w:tcPr>
          <w:p w14:paraId="3DB53D98">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不予退还</w:t>
            </w:r>
          </w:p>
        </w:tc>
      </w:tr>
      <w:tr w14:paraId="16FA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77" w:type="dxa"/>
            <w:vAlign w:val="center"/>
          </w:tcPr>
          <w:p w14:paraId="4E6328BB">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24.1</w:t>
            </w:r>
          </w:p>
        </w:tc>
        <w:tc>
          <w:tcPr>
            <w:tcW w:w="2735" w:type="dxa"/>
            <w:vAlign w:val="center"/>
          </w:tcPr>
          <w:p w14:paraId="5B4AA226">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开标时间和地点</w:t>
            </w:r>
          </w:p>
        </w:tc>
        <w:tc>
          <w:tcPr>
            <w:tcW w:w="5908" w:type="dxa"/>
            <w:vAlign w:val="center"/>
          </w:tcPr>
          <w:p w14:paraId="39D48F00">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同提交投标文件截止时间和地点  </w:t>
            </w:r>
          </w:p>
        </w:tc>
      </w:tr>
      <w:tr w14:paraId="55C6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7" w:type="dxa"/>
            <w:vAlign w:val="center"/>
          </w:tcPr>
          <w:p w14:paraId="65D31490">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26.3</w:t>
            </w:r>
          </w:p>
        </w:tc>
        <w:tc>
          <w:tcPr>
            <w:tcW w:w="2735" w:type="dxa"/>
            <w:vAlign w:val="center"/>
          </w:tcPr>
          <w:p w14:paraId="67348BFB">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评标方法</w:t>
            </w:r>
          </w:p>
        </w:tc>
        <w:tc>
          <w:tcPr>
            <w:tcW w:w="5908" w:type="dxa"/>
            <w:vAlign w:val="center"/>
          </w:tcPr>
          <w:p w14:paraId="4E73AB26">
            <w:pP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综合评分法，见第七章“评标方法”</w:t>
            </w:r>
          </w:p>
        </w:tc>
      </w:tr>
      <w:tr w14:paraId="41F6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177" w:type="dxa"/>
            <w:vAlign w:val="center"/>
          </w:tcPr>
          <w:p w14:paraId="7FA3D31B">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31.1</w:t>
            </w:r>
          </w:p>
        </w:tc>
        <w:tc>
          <w:tcPr>
            <w:tcW w:w="2735" w:type="dxa"/>
            <w:vAlign w:val="center"/>
          </w:tcPr>
          <w:p w14:paraId="5CAB4EE0">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履约担保</w:t>
            </w:r>
          </w:p>
        </w:tc>
        <w:tc>
          <w:tcPr>
            <w:tcW w:w="5908" w:type="dxa"/>
            <w:vAlign w:val="center"/>
          </w:tcPr>
          <w:p w14:paraId="5031F4F8">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本项目不要求提交履约保证金。</w:t>
            </w:r>
          </w:p>
        </w:tc>
      </w:tr>
      <w:tr w14:paraId="1F87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77" w:type="dxa"/>
            <w:vAlign w:val="center"/>
          </w:tcPr>
          <w:p w14:paraId="438724AA">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34.1</w:t>
            </w:r>
          </w:p>
        </w:tc>
        <w:tc>
          <w:tcPr>
            <w:tcW w:w="2735" w:type="dxa"/>
            <w:vAlign w:val="center"/>
          </w:tcPr>
          <w:p w14:paraId="25CC947F">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备选方案</w:t>
            </w:r>
          </w:p>
        </w:tc>
        <w:tc>
          <w:tcPr>
            <w:tcW w:w="5908" w:type="dxa"/>
            <w:vAlign w:val="center"/>
          </w:tcPr>
          <w:p w14:paraId="6469E964">
            <w:pPr>
              <w:pStyle w:val="19"/>
              <w:spacing w:line="30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不接受</w:t>
            </w:r>
          </w:p>
        </w:tc>
      </w:tr>
      <w:tr w14:paraId="7821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77" w:type="dxa"/>
            <w:vAlign w:val="center"/>
          </w:tcPr>
          <w:p w14:paraId="469EA4A5">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34.2</w:t>
            </w:r>
          </w:p>
        </w:tc>
        <w:tc>
          <w:tcPr>
            <w:tcW w:w="8643" w:type="dxa"/>
            <w:gridSpan w:val="2"/>
            <w:vAlign w:val="center"/>
          </w:tcPr>
          <w:p w14:paraId="43F4354C">
            <w:pPr>
              <w:pStyle w:val="19"/>
              <w:spacing w:line="300" w:lineRule="exact"/>
              <w:jc w:val="lef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需要补充的其他内容</w:t>
            </w:r>
          </w:p>
        </w:tc>
      </w:tr>
      <w:tr w14:paraId="4C76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77" w:type="dxa"/>
            <w:vAlign w:val="center"/>
          </w:tcPr>
          <w:p w14:paraId="2FA39688">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w:t>
            </w:r>
          </w:p>
        </w:tc>
        <w:tc>
          <w:tcPr>
            <w:tcW w:w="8643" w:type="dxa"/>
            <w:gridSpan w:val="2"/>
            <w:vAlign w:val="center"/>
          </w:tcPr>
          <w:p w14:paraId="130AD73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省级政府采购中标人须知：</w:t>
            </w:r>
          </w:p>
          <w:p w14:paraId="50EB11C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中标人在《云南省政府采购网》查询到中标公示后，需办理以下事宜：</w:t>
            </w:r>
          </w:p>
          <w:p w14:paraId="0310090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1、在《云南省政府采购网》（http://www.yngp.com）完成云南省政府采购管理信息系统供应商入库申请。</w:t>
            </w:r>
          </w:p>
          <w:p w14:paraId="321E767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2、缴纳招标代理服务费。</w:t>
            </w:r>
          </w:p>
          <w:p w14:paraId="36F01DB4">
            <w:pPr>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3、领取中标通知书，并与采购人联系、洽谈采购合同。</w:t>
            </w:r>
          </w:p>
        </w:tc>
      </w:tr>
      <w:tr w14:paraId="6C9F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77" w:type="dxa"/>
            <w:vAlign w:val="center"/>
          </w:tcPr>
          <w:p w14:paraId="6AEBE256">
            <w:pPr>
              <w:pStyle w:val="19"/>
              <w:spacing w:line="300" w:lineRule="exact"/>
              <w:jc w:val="center"/>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w:t>
            </w:r>
          </w:p>
        </w:tc>
        <w:tc>
          <w:tcPr>
            <w:tcW w:w="8643" w:type="dxa"/>
            <w:gridSpan w:val="2"/>
            <w:vAlign w:val="center"/>
          </w:tcPr>
          <w:p w14:paraId="7A313710">
            <w:pPr>
              <w:pStyle w:val="19"/>
              <w:spacing w:line="32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招标代理服务费发票开具说明：</w:t>
            </w:r>
          </w:p>
          <w:p w14:paraId="39026BA7">
            <w:pPr>
              <w:pStyle w:val="19"/>
              <w:spacing w:line="300" w:lineRule="exact"/>
              <w:ind w:firstLine="420" w:firstLineChars="200"/>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需要开具全信息数电发票的投标人，需要提供在税务机关登记的公司名称、统一社会信用代码、开户行全称、开户行账号、地址、联系电话及收票人邮箱号到云南招标股份有限公司财务部现场办理数电发票开具手续，或将以上开票信息发送邮件到项目负责人邮箱，由项目负责人代为开具。邮箱地址：280382903@qq.com。</w:t>
            </w:r>
          </w:p>
        </w:tc>
      </w:tr>
      <w:tr w14:paraId="7FFF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77" w:type="dxa"/>
            <w:vAlign w:val="center"/>
          </w:tcPr>
          <w:p w14:paraId="2C42DA3E">
            <w:pPr>
              <w:pStyle w:val="19"/>
              <w:spacing w:line="300" w:lineRule="exact"/>
              <w:jc w:val="center"/>
              <w:rPr>
                <w:rFonts w:hint="eastAsia" w:hAnsi="宋体" w:eastAsia="宋体" w:cs="宋体"/>
                <w:color w:val="000000" w:themeColor="text1"/>
                <w:szCs w:val="21"/>
                <w:highlight w:val="none"/>
                <w:lang w:val="en-US" w:eastAsia="zh-CN"/>
                <w14:textFill>
                  <w14:solidFill>
                    <w14:schemeClr w14:val="tx1"/>
                  </w14:solidFill>
                </w14:textFill>
              </w:rPr>
            </w:pPr>
            <w:r>
              <w:rPr>
                <w:rFonts w:hint="eastAsia" w:hAnsi="宋体" w:cs="宋体"/>
                <w:color w:val="000000" w:themeColor="text1"/>
                <w:szCs w:val="21"/>
                <w:highlight w:val="none"/>
                <w:lang w:val="en-US" w:eastAsia="zh-CN"/>
                <w14:textFill>
                  <w14:solidFill>
                    <w14:schemeClr w14:val="tx1"/>
                  </w14:solidFill>
                </w14:textFill>
              </w:rPr>
              <w:t>3）</w:t>
            </w:r>
          </w:p>
        </w:tc>
        <w:tc>
          <w:tcPr>
            <w:tcW w:w="8643" w:type="dxa"/>
            <w:gridSpan w:val="2"/>
            <w:vAlign w:val="center"/>
          </w:tcPr>
          <w:p w14:paraId="31D3C5C9">
            <w:pPr>
              <w:pStyle w:val="19"/>
              <w:spacing w:line="300" w:lineRule="exact"/>
              <w:rPr>
                <w:rFonts w:hint="default" w:hAnsi="宋体" w:eastAsia="宋体" w:cs="宋体"/>
                <w:b/>
                <w:color w:val="000000" w:themeColor="text1"/>
                <w:highlight w:val="none"/>
                <w:lang w:val="en-US" w:eastAsia="zh-CN"/>
                <w14:textFill>
                  <w14:solidFill>
                    <w14:schemeClr w14:val="tx1"/>
                  </w14:solidFill>
                </w14:textFill>
              </w:rPr>
            </w:pPr>
            <w:r>
              <w:rPr>
                <w:rFonts w:hint="eastAsia" w:hAnsi="宋体" w:cs="宋体"/>
                <w:b/>
                <w:color w:val="000000" w:themeColor="text1"/>
                <w:highlight w:val="none"/>
                <w:lang w:val="en-US" w:eastAsia="zh-CN"/>
                <w14:textFill>
                  <w14:solidFill>
                    <w14:schemeClr w14:val="tx1"/>
                  </w14:solidFill>
                </w14:textFill>
              </w:rPr>
              <w:t>本项目适用本国产品标准。</w:t>
            </w:r>
          </w:p>
        </w:tc>
      </w:tr>
      <w:tr w14:paraId="71D4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77" w:type="dxa"/>
            <w:vAlign w:val="center"/>
          </w:tcPr>
          <w:p w14:paraId="0E1888B7">
            <w:pPr>
              <w:pStyle w:val="19"/>
              <w:spacing w:line="300" w:lineRule="exact"/>
              <w:jc w:val="center"/>
              <w:rPr>
                <w:rFonts w:hint="default" w:hAnsi="宋体" w:cs="宋体"/>
                <w:color w:val="000000" w:themeColor="text1"/>
                <w:szCs w:val="21"/>
                <w:highlight w:val="none"/>
                <w:lang w:val="en-US" w:eastAsia="zh-CN"/>
                <w14:textFill>
                  <w14:solidFill>
                    <w14:schemeClr w14:val="tx1"/>
                  </w14:solidFill>
                </w14:textFill>
              </w:rPr>
            </w:pPr>
            <w:r>
              <w:rPr>
                <w:rFonts w:hint="eastAsia" w:hAnsi="宋体" w:cs="宋体"/>
                <w:color w:val="000000" w:themeColor="text1"/>
                <w:szCs w:val="21"/>
                <w:highlight w:val="none"/>
                <w:lang w:val="en-US" w:eastAsia="zh-CN"/>
                <w14:textFill>
                  <w14:solidFill>
                    <w14:schemeClr w14:val="tx1"/>
                  </w14:solidFill>
                </w14:textFill>
              </w:rPr>
              <w:t>4）</w:t>
            </w:r>
          </w:p>
        </w:tc>
        <w:tc>
          <w:tcPr>
            <w:tcW w:w="8643" w:type="dxa"/>
            <w:gridSpan w:val="2"/>
            <w:vAlign w:val="center"/>
          </w:tcPr>
          <w:p w14:paraId="2BA46156">
            <w:pPr>
              <w:pStyle w:val="19"/>
              <w:spacing w:line="300" w:lineRule="exact"/>
              <w:rPr>
                <w:rFonts w:hint="eastAsia" w:hAnsi="宋体" w:cs="宋体"/>
                <w:b/>
                <w:color w:val="000000" w:themeColor="text1"/>
                <w:highlight w:val="none"/>
                <w:lang w:val="en-US" w:eastAsia="zh-CN"/>
                <w14:textFill>
                  <w14:solidFill>
                    <w14:schemeClr w14:val="tx1"/>
                  </w14:solidFill>
                </w14:textFill>
              </w:rPr>
            </w:pPr>
            <w:r>
              <w:rPr>
                <w:rFonts w:hint="eastAsia" w:hAnsi="宋体" w:cs="宋体"/>
                <w:b/>
                <w:color w:val="000000" w:themeColor="text1"/>
                <w:highlight w:val="none"/>
                <w:lang w:val="en-US" w:eastAsia="zh-CN"/>
                <w14:textFill>
                  <w14:solidFill>
                    <w14:schemeClr w14:val="tx1"/>
                  </w14:solidFill>
                </w14:textFill>
              </w:rPr>
              <w:t>本项目属于《关于印发中小企业划型标准规定的通知》（工信部联企业〔2011〕300号）规定中的“其他未列明行业”。</w:t>
            </w:r>
          </w:p>
        </w:tc>
      </w:tr>
    </w:tbl>
    <w:p w14:paraId="0136AFFE">
      <w:pPr>
        <w:pStyle w:val="8"/>
        <w:numPr>
          <w:ilvl w:val="0"/>
          <w:numId w:val="0"/>
        </w:numPr>
        <w:ind w:left="425"/>
        <w:jc w:val="center"/>
        <w:rPr>
          <w:rFonts w:ascii="宋体" w:hAnsi="宋体" w:eastAsia="宋体" w:cs="宋体"/>
          <w:b w:val="0"/>
          <w:color w:val="000000" w:themeColor="text1"/>
          <w:kern w:val="44"/>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bookmarkStart w:id="10" w:name="_Toc9126"/>
      <w:r>
        <w:rPr>
          <w:rFonts w:hint="eastAsia" w:ascii="宋体" w:hAnsi="宋体" w:eastAsia="宋体" w:cs="宋体"/>
          <w:color w:val="000000" w:themeColor="text1"/>
          <w:szCs w:val="28"/>
          <w:highlight w:val="none"/>
          <w14:textFill>
            <w14:solidFill>
              <w14:schemeClr w14:val="tx1"/>
            </w14:solidFill>
          </w14:textFill>
        </w:rPr>
        <w:t>一、总  则</w:t>
      </w:r>
      <w:bookmarkEnd w:id="10"/>
    </w:p>
    <w:p w14:paraId="04D57CE5">
      <w:pPr>
        <w:pStyle w:val="19"/>
        <w:spacing w:line="360" w:lineRule="auto"/>
        <w:ind w:left="212" w:hanging="212" w:hangingChars="101"/>
        <w:jc w:val="left"/>
        <w:rPr>
          <w:rFonts w:hAnsi="宋体" w:cs="宋体"/>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1. 采购人、采购代理机构、</w:t>
      </w:r>
      <w:r>
        <w:rPr>
          <w:rFonts w:hint="eastAsia" w:hAnsi="宋体" w:cs="宋体"/>
          <w:color w:val="000000" w:themeColor="text1"/>
          <w:szCs w:val="21"/>
          <w:highlight w:val="none"/>
          <w14:textFill>
            <w14:solidFill>
              <w14:schemeClr w14:val="tx1"/>
            </w14:solidFill>
          </w14:textFill>
        </w:rPr>
        <w:t>项目名称及招标编号，详见招标文件“</w:t>
      </w:r>
      <w:r>
        <w:rPr>
          <w:rFonts w:hint="eastAsia" w:hAnsi="宋体" w:cs="宋体"/>
          <w:b/>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w:t>
      </w:r>
    </w:p>
    <w:p w14:paraId="332F72E1">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 资金来源</w:t>
      </w:r>
    </w:p>
    <w:p w14:paraId="099B639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”中所述的采购人自筹资金，用于采购“</w:t>
      </w:r>
      <w:r>
        <w:rPr>
          <w:rFonts w:hint="eastAsia" w:ascii="宋体" w:hAnsi="宋体" w:cs="宋体"/>
          <w:b/>
          <w:color w:val="000000" w:themeColor="text1"/>
          <w:szCs w:val="21"/>
          <w:highlight w:val="none"/>
          <w14:textFill>
            <w14:solidFill>
              <w14:schemeClr w14:val="tx1"/>
            </w14:solidFill>
          </w14:textFill>
        </w:rPr>
        <w:t>项目需求</w:t>
      </w:r>
      <w:r>
        <w:rPr>
          <w:rFonts w:hint="eastAsia" w:ascii="宋体" w:hAnsi="宋体" w:cs="宋体"/>
          <w:color w:val="000000" w:themeColor="text1"/>
          <w:szCs w:val="21"/>
          <w:highlight w:val="none"/>
          <w14:textFill>
            <w14:solidFill>
              <w14:schemeClr w14:val="tx1"/>
            </w14:solidFill>
          </w14:textFill>
        </w:rPr>
        <w:t>”所列服务。</w:t>
      </w:r>
    </w:p>
    <w:p w14:paraId="6BFA9D73">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 招标范围</w:t>
      </w:r>
    </w:p>
    <w:p w14:paraId="15B81C2F">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 本项目招标范围：见“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E50F09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 本项目服务期限、服务地点：见“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6B8C2A23">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 合格的投标人</w:t>
      </w:r>
    </w:p>
    <w:p w14:paraId="5B61CC1A">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4.1投标人应具备《中华人民共和国政府采购法》第二十二条规定的条件，并提供下列材料：</w:t>
      </w:r>
    </w:p>
    <w:p w14:paraId="34A787E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4.1.1投标人必须是</w:t>
      </w:r>
      <w:r>
        <w:rPr>
          <w:rFonts w:hint="eastAsia" w:ascii="宋体" w:hAnsi="宋体" w:cs="宋体"/>
          <w:color w:val="000000" w:themeColor="text1"/>
          <w:highlight w:val="none"/>
          <w14:textFill>
            <w14:solidFill>
              <w14:schemeClr w14:val="tx1"/>
            </w14:solidFill>
          </w14:textFill>
        </w:rPr>
        <w:t>具有独立承担民事责任的能力的法人、其他组织或者自然人，</w:t>
      </w:r>
      <w:r>
        <w:rPr>
          <w:rFonts w:hint="eastAsia" w:ascii="宋体" w:hAnsi="宋体" w:cs="宋体"/>
          <w:color w:val="000000" w:themeColor="text1"/>
          <w:szCs w:val="21"/>
          <w:highlight w:val="none"/>
          <w14:textFill>
            <w14:solidFill>
              <w14:schemeClr w14:val="tx1"/>
            </w14:solidFill>
          </w14:textFill>
        </w:rPr>
        <w:t>须提供相关证明材料（扫描件加盖电子公章）：</w:t>
      </w:r>
    </w:p>
    <w:p w14:paraId="597E4270">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1）投标人是企业（包括合伙企业）的，应提供其在市场监督管理部门注册的有效“企业法人营业执照”或“营业执照”；</w:t>
      </w:r>
    </w:p>
    <w:p w14:paraId="6C83032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2）投标人是事业单位的，应提供其有效的“事业单位法人证书”； </w:t>
      </w:r>
    </w:p>
    <w:p w14:paraId="0C5C9DB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3）投标人是个体工商户的，应提供其有效的“个体工商户营业执照”； </w:t>
      </w:r>
    </w:p>
    <w:p w14:paraId="5EC6C84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4）投标人是自然人的，应提供其有效的自然人身份证明。</w:t>
      </w:r>
    </w:p>
    <w:p w14:paraId="02AEB4B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4.1.2投标人须</w:t>
      </w:r>
      <w:r>
        <w:rPr>
          <w:rFonts w:hint="eastAsia" w:ascii="宋体" w:hAnsi="宋体" w:cs="宋体"/>
          <w:color w:val="000000" w:themeColor="text1"/>
          <w:highlight w:val="none"/>
          <w14:textFill>
            <w14:solidFill>
              <w14:schemeClr w14:val="tx1"/>
            </w14:solidFill>
          </w14:textFill>
        </w:rPr>
        <w:t>具有良好的商业信誉和健全的财务会计制度，</w:t>
      </w:r>
      <w:r>
        <w:rPr>
          <w:rFonts w:hint="eastAsia" w:ascii="宋体" w:hAnsi="宋体" w:cs="宋体"/>
          <w:color w:val="000000" w:themeColor="text1"/>
          <w:szCs w:val="21"/>
          <w:highlight w:val="none"/>
          <w14:textFill>
            <w14:solidFill>
              <w14:schemeClr w14:val="tx1"/>
            </w14:solidFill>
          </w14:textFill>
        </w:rPr>
        <w:t>须提供相关证明材料（扫描件加盖电子公章），可提供以下1）、2）、3）三者之一；若投标人成立时间短，不足以出具经审计的财务审计报告的投标人，则提供</w:t>
      </w:r>
      <w:bookmarkStart w:id="11" w:name="_Hlk147844789"/>
      <w:r>
        <w:rPr>
          <w:rFonts w:hint="eastAsia" w:ascii="宋体" w:hAnsi="宋体" w:cs="宋体"/>
          <w:color w:val="000000" w:themeColor="text1"/>
          <w:szCs w:val="21"/>
          <w:highlight w:val="none"/>
          <w14:textFill>
            <w14:solidFill>
              <w14:schemeClr w14:val="tx1"/>
            </w14:solidFill>
          </w14:textFill>
        </w:rPr>
        <w:t>以下</w:t>
      </w:r>
      <w:bookmarkEnd w:id="11"/>
      <w:r>
        <w:rPr>
          <w:rFonts w:hint="eastAsia" w:ascii="宋体" w:hAnsi="宋体" w:cs="宋体"/>
          <w:color w:val="000000" w:themeColor="text1"/>
          <w:szCs w:val="21"/>
          <w:highlight w:val="none"/>
          <w14:textFill>
            <w14:solidFill>
              <w14:schemeClr w14:val="tx1"/>
            </w14:solidFill>
          </w14:textFill>
        </w:rPr>
        <w:t>2）、3）二者之一。</w:t>
      </w:r>
    </w:p>
    <w:p w14:paraId="4BF3712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1））2022年-2024年（或2023年-2025年）任意一年度经审计的财务审计报告，包括财务审计报告及资产负债表、利润表、现金流量表、所有者权益变动表（如有）及其附注（扫描件加盖电子公章）；</w:t>
      </w:r>
    </w:p>
    <w:p w14:paraId="397509A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2）自投标文件提交截止时间前三个月内基本开户银行出具的资信证明（扫描件加盖电子公章）</w:t>
      </w:r>
    </w:p>
    <w:p w14:paraId="17EE5C6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3）财政部门认可的政府采购专业担保机构出具的投标担保函，须同时提供专业担保机构经财政部门认可的证明文件。</w:t>
      </w:r>
    </w:p>
    <w:p w14:paraId="6C78EE5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4.1.3投标人须提供具备履行合同所必需的设备和专业技术能力的证明材料或书面声明；</w:t>
      </w:r>
    </w:p>
    <w:p w14:paraId="6C81BCB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4.1.4投标人须具有依法缴纳税收和社会保障资金的良好记录，须提供相关证明材料：</w:t>
      </w:r>
    </w:p>
    <w:p w14:paraId="7E83E4C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1）投标人是企业的，提供 </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规定时间范围内的税务局税收通用缴款书复印件或银行电子缴税（费）凭证复印件或税务局出具纳税情况的相关证明复印件；提供</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规定时间范围内的社会保险费缴款书复印件或银行电子缴税（费）凭证复印件或社保管理部门出具的有效的缴款证明复印件：</w:t>
      </w:r>
    </w:p>
    <w:p w14:paraId="1775F3AB">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2）投标人是其他组织和自然人的，提供</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规定时间范围内的缴纳税收和社会保险的凭据。</w:t>
      </w:r>
    </w:p>
    <w:p w14:paraId="44DBBD7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3）成立时间不足</w:t>
      </w:r>
      <w:r>
        <w:rPr>
          <w:rFonts w:hint="eastAsia" w:ascii="宋体" w:hAnsi="宋体" w:cs="宋体"/>
          <w:b/>
          <w:color w:val="000000" w:themeColor="text1"/>
          <w:szCs w:val="21"/>
          <w:highlight w:val="none"/>
          <w:lang w:val="en-US" w:eastAsia="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个月</w:t>
      </w:r>
      <w:r>
        <w:rPr>
          <w:rFonts w:hint="eastAsia" w:ascii="宋体" w:hAnsi="宋体" w:cs="宋体"/>
          <w:color w:val="000000" w:themeColor="text1"/>
          <w:szCs w:val="21"/>
          <w:highlight w:val="none"/>
          <w14:textFill>
            <w14:solidFill>
              <w14:schemeClr w14:val="tx1"/>
            </w14:solidFill>
          </w14:textFill>
        </w:rPr>
        <w:t>的投标人，提供依法缴纳税收和社会保障资金的承诺书。</w:t>
      </w:r>
    </w:p>
    <w:p w14:paraId="7411AAF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4）依法免税或不需要缴纳社会保障资金的投标人，须提供相应文件证明其依法免税或不需要缴纳社会保障资金。</w:t>
      </w:r>
    </w:p>
    <w:p w14:paraId="6356113F">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4.1.5投标人</w:t>
      </w:r>
      <w:r>
        <w:rPr>
          <w:rFonts w:hint="eastAsia" w:ascii="宋体" w:hAnsi="宋体" w:cs="宋体"/>
          <w:color w:val="000000" w:themeColor="text1"/>
          <w:highlight w:val="none"/>
          <w14:textFill>
            <w14:solidFill>
              <w14:schemeClr w14:val="tx1"/>
            </w14:solidFill>
          </w14:textFill>
        </w:rPr>
        <w:t>参加政府采购活动前3年内，在经营活动中没有重大违法记录，</w:t>
      </w:r>
      <w:r>
        <w:rPr>
          <w:rFonts w:hint="eastAsia" w:ascii="宋体" w:hAnsi="宋体" w:cs="宋体"/>
          <w:color w:val="000000" w:themeColor="text1"/>
          <w:szCs w:val="21"/>
          <w:highlight w:val="none"/>
          <w14:textFill>
            <w14:solidFill>
              <w14:schemeClr w14:val="tx1"/>
            </w14:solidFill>
          </w14:textFill>
        </w:rPr>
        <w:t>必须提供参加政府采购活动前3年内在经营活动中没有重大违法记录的书面声明（重大违法记录，是指供应商因违法经营受到刑事处罚或者责令停产停业、吊销许可证或者执照、较大数额罚款等行政处罚）；</w:t>
      </w:r>
    </w:p>
    <w:p w14:paraId="7FEAD71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投标人应符合采购人根据采购项目的特殊要求规定的特定条件。特定条件见 “投标人须知前附表”。</w:t>
      </w:r>
    </w:p>
    <w:p w14:paraId="64C49C2F">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4.3本项目信用记录查询及使用作如下规定：</w:t>
      </w:r>
    </w:p>
    <w:p w14:paraId="4F44EB6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4.3.1信用信息查询的查询渠道：“信用中国”网站（www.creditchina.gov.cn）及中国政府采购网（www.ccgp.gov.cn）。</w:t>
      </w:r>
    </w:p>
    <w:p w14:paraId="0796B3C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4.3.2信用信息查询的截止时点：评标前。</w:t>
      </w:r>
    </w:p>
    <w:p w14:paraId="5DC2C29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4.3.3信用信息查询记录和证据留存的具体方式：采购代理机构将于评标前在“信用中国”网站（www.creditchina.gov.cn）失信被执行人、重大税收违法失信主体及中国政府采购网（www.ccgp.gov.cn）“政府采购严重违法失信行为信息记录”对投标人进行信用信息查询。上述网站信用信息查询结果的网页截图或网页打印稿作为证据留存。</w:t>
      </w:r>
    </w:p>
    <w:p w14:paraId="6422663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4.3.4信用信息的使用规则：投标人若被列入“信用中国”网站（www.creditchina.gov.cn）失信被执行人、重大税收违法失信主体及中国政府采购网（www.ccgp.gov.cn）“政府采购严重违法失信行为信息记录”之一且处罚期限尚未届满的，资格审查不合格，不得参与政府采购活动。</w:t>
      </w:r>
    </w:p>
    <w:p w14:paraId="7D1C049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”中说明本项目属于政府购买服务的，投标人不得为公益一类事业单位或使用事业编制且由财政拨款保障的群团组织。</w:t>
      </w:r>
    </w:p>
    <w:p w14:paraId="1DB9423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”规定接受联合体投标的，除应符合本章第4.1-4.3项和“</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”的要求外，还应遵守以下规定：</w:t>
      </w:r>
    </w:p>
    <w:p w14:paraId="0E4E7EF9">
      <w:pPr>
        <w:spacing w:line="360" w:lineRule="auto"/>
        <w:ind w:firstLine="43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联合体中有同类资质的投标人按照联合体分工承担相同工作的，应当按照资质等级较低的投标人确定资质等级；</w:t>
      </w:r>
    </w:p>
    <w:p w14:paraId="2E41FCE8">
      <w:pPr>
        <w:spacing w:line="360" w:lineRule="auto"/>
        <w:ind w:firstLine="43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(2)联合体各方之间应当签订共同投标协议，明确约定联合体各方承担的工作和相应的责任；</w:t>
      </w:r>
    </w:p>
    <w:p w14:paraId="3B2BC829">
      <w:pPr>
        <w:spacing w:line="360" w:lineRule="auto"/>
        <w:ind w:firstLine="43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(3)以联合体形式参加政府采购活动的，联合体各方不得再单独参加或者与其他投标人另外组成联合体参加同一项目包下的政府采购活动。</w:t>
      </w:r>
    </w:p>
    <w:p w14:paraId="053ADCC9">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4.6符合上述条件的投标人应承担投标及履约中应承担的全部责任与义务。</w:t>
      </w:r>
      <w:r>
        <w:rPr>
          <w:rFonts w:hint="eastAsia" w:ascii="宋体" w:hAnsi="宋体" w:cs="宋体"/>
          <w:color w:val="000000" w:themeColor="text1"/>
          <w:szCs w:val="21"/>
          <w:highlight w:val="none"/>
          <w14:textFill>
            <w14:solidFill>
              <w14:schemeClr w14:val="tx1"/>
            </w14:solidFill>
          </w14:textFill>
        </w:rPr>
        <w:cr/>
      </w:r>
      <w:r>
        <w:rPr>
          <w:rFonts w:hint="eastAsia" w:ascii="宋体" w:hAnsi="宋体" w:cs="宋体"/>
          <w:b/>
          <w:color w:val="000000" w:themeColor="text1"/>
          <w:szCs w:val="21"/>
          <w:highlight w:val="none"/>
          <w14:textFill>
            <w14:solidFill>
              <w14:schemeClr w14:val="tx1"/>
            </w14:solidFill>
          </w14:textFill>
        </w:rPr>
        <w:t>5. 投标费用</w:t>
      </w:r>
    </w:p>
    <w:p w14:paraId="1DC112C6">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5.1不论投标结果如何，投标人均应自行承担所有与准备和参加投标活动有关的全部费用。</w:t>
      </w:r>
    </w:p>
    <w:p w14:paraId="7BA46765">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6.询问</w:t>
      </w:r>
    </w:p>
    <w:p w14:paraId="582CF4D5">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6.1投标人可向采购代理机构就招标文件的内容依法提出询问，采购代理机构将在收到询问后 3 个工作日内作出答复。</w:t>
      </w:r>
    </w:p>
    <w:p w14:paraId="5F78C432">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7.质疑</w:t>
      </w:r>
    </w:p>
    <w:p w14:paraId="786353FF">
      <w:pPr>
        <w:spacing w:line="360" w:lineRule="auto"/>
        <w:jc w:val="left"/>
        <w:rPr>
          <w:rFonts w:ascii="宋体" w:hAnsi="宋体" w:cs="宋体"/>
          <w:color w:val="000000" w:themeColor="text1"/>
          <w:szCs w:val="21"/>
          <w:highlight w:val="none"/>
          <w14:textFill>
            <w14:solidFill>
              <w14:schemeClr w14:val="tx1"/>
            </w14:solidFill>
          </w14:textFill>
        </w:rPr>
      </w:pPr>
      <w:bookmarkStart w:id="12" w:name="_Toc321836357"/>
      <w:r>
        <w:rPr>
          <w:rFonts w:hint="eastAsia" w:ascii="宋体" w:hAnsi="宋体" w:cs="宋体"/>
          <w:color w:val="000000" w:themeColor="text1"/>
          <w:szCs w:val="21"/>
          <w:highlight w:val="none"/>
          <w14:textFill>
            <w14:solidFill>
              <w14:schemeClr w14:val="tx1"/>
            </w14:solidFill>
          </w14:textFill>
        </w:rPr>
        <w:t>7.1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质疑函在质疑期满前交邮的，不算过期，提出质疑的日期按交邮日期计。</w:t>
      </w:r>
    </w:p>
    <w:p w14:paraId="3E0B35A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7.2供应商应知其权益受到损害之日，是指：</w:t>
      </w:r>
    </w:p>
    <w:p w14:paraId="44111EBA">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（1）对可以质疑的采购文件提出质疑的，质疑时效期间的起算日期为收到采购文件之日，即：供应商在“政采云电子交易平台”申请获取采购文件之日；</w:t>
      </w:r>
    </w:p>
    <w:p w14:paraId="0490AF3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（2）对采购过程提出质疑的，为各采购程序环节结束之日；</w:t>
      </w:r>
    </w:p>
    <w:p w14:paraId="2B0A554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（3）对中标结果提出质疑的，为中标结果公告期限届满之日。</w:t>
      </w:r>
    </w:p>
    <w:p w14:paraId="3339835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7.3投标人提出质疑应符合中华人民共和国财政部第94号令《政府采购质疑和投诉办法》的规定。提出质疑应当提交质疑函和必要的证明材料。质疑函应当包括下列内容：</w:t>
      </w:r>
    </w:p>
    <w:p w14:paraId="7B9A52C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（1）投标人名称、地址、邮编、联系人及联系电话；</w:t>
      </w:r>
    </w:p>
    <w:p w14:paraId="307B76F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（2）质疑项目的名称、编号；</w:t>
      </w:r>
    </w:p>
    <w:p w14:paraId="5192CB9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（3）具体、明确的质疑事项和与质疑事项相关的请求；</w:t>
      </w:r>
    </w:p>
    <w:p w14:paraId="7B5E471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（4）事实依据；</w:t>
      </w:r>
    </w:p>
    <w:p w14:paraId="20802B4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（5）必要的法律依据；</w:t>
      </w:r>
    </w:p>
    <w:p w14:paraId="402C2FC0">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（6）提出质疑的日期。</w:t>
      </w:r>
    </w:p>
    <w:p w14:paraId="3D003F9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644E1E7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接收质疑函的方式：以书面形式递交由法定代表人、主要负责人签字或者盖章，并加盖公章的质疑函原件和必要的证明材料。</w:t>
      </w:r>
    </w:p>
    <w:p w14:paraId="7D59AE1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联系部门：招标十一部</w:t>
      </w:r>
    </w:p>
    <w:p w14:paraId="53CE1A3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联系电话：0871-65317477</w:t>
      </w:r>
    </w:p>
    <w:p w14:paraId="19A2527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通讯地址：云南省昆明市人民西路328号</w:t>
      </w:r>
    </w:p>
    <w:p w14:paraId="03B85A1A">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7.5有下列情形之一的，属于无效质疑，采购代理机构可不予受理：</w:t>
      </w:r>
    </w:p>
    <w:p w14:paraId="59BA224C">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（1）质疑主体不满足规定的；</w:t>
      </w:r>
    </w:p>
    <w:p w14:paraId="2D2D109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（2）供应商自身合法权益未受到损害的；</w:t>
      </w:r>
    </w:p>
    <w:p w14:paraId="1619526F">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（3）供应商超过法定质疑期提出质疑的；</w:t>
      </w:r>
    </w:p>
    <w:p w14:paraId="50C7BAD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（4）质疑函未按要求签署或盖章的；</w:t>
      </w:r>
    </w:p>
    <w:p w14:paraId="0F5C5783">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（5）其它不符合受理条件情形的。</w:t>
      </w:r>
    </w:p>
    <w:p w14:paraId="2F90E59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7.6采购代理机构将在收到投标人的质疑函后7个工作日内作出答复，并以书面形式通知质疑供应商和其他有关供应商。</w:t>
      </w:r>
    </w:p>
    <w:p w14:paraId="4868F69E">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8.投诉</w:t>
      </w:r>
      <w:bookmarkEnd w:id="12"/>
    </w:p>
    <w:p w14:paraId="793AD30A">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8.1投诉必须首先经过质疑程序。质疑人对采购人、采购代理机构的答复不满意，或者采购人、采购代理机构未在规定的时间内做出答复的，可以在答复期满后15个工作日内书面向同级财政部门提出投诉。</w:t>
      </w:r>
    </w:p>
    <w:p w14:paraId="2E43BCCF">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13" w:name="_Toc6971"/>
      <w:r>
        <w:rPr>
          <w:rFonts w:hint="eastAsia" w:ascii="宋体" w:hAnsi="宋体" w:eastAsia="宋体" w:cs="宋体"/>
          <w:color w:val="000000" w:themeColor="text1"/>
          <w:szCs w:val="28"/>
          <w:highlight w:val="none"/>
          <w14:textFill>
            <w14:solidFill>
              <w14:schemeClr w14:val="tx1"/>
            </w14:solidFill>
          </w14:textFill>
        </w:rPr>
        <w:t>二、招标文件</w:t>
      </w:r>
      <w:bookmarkEnd w:id="13"/>
    </w:p>
    <w:p w14:paraId="73A07D79">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9. 招标文件构成</w:t>
      </w:r>
    </w:p>
    <w:p w14:paraId="639BA7DA">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9.1要求提供的服务、采购过程及合同条款在招标文件中均有说明，招标文件共七章，各章的内容如下：</w:t>
      </w:r>
    </w:p>
    <w:p w14:paraId="3C0A7258">
      <w:pPr>
        <w:spacing w:line="360" w:lineRule="auto"/>
        <w:ind w:firstLine="630" w:firstLineChars="3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第一章  公开招标公告</w:t>
      </w:r>
    </w:p>
    <w:p w14:paraId="51BD8668">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第二章  投标人须知</w:t>
      </w:r>
    </w:p>
    <w:p w14:paraId="04EADA76">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第三章  合同书样式及主要条款</w:t>
      </w:r>
    </w:p>
    <w:p w14:paraId="197F9BC8">
      <w:pPr>
        <w:pStyle w:val="19"/>
        <w:spacing w:line="360" w:lineRule="auto"/>
        <w:ind w:firstLine="630" w:firstLine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第四章  投标文件格式</w:t>
      </w:r>
    </w:p>
    <w:p w14:paraId="2EBBDDED">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第五章  项目需求</w:t>
      </w:r>
    </w:p>
    <w:p w14:paraId="7B4FAF9A">
      <w:pPr>
        <w:pStyle w:val="19"/>
        <w:spacing w:line="360" w:lineRule="auto"/>
        <w:ind w:firstLine="630" w:firstLine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第六章  资格评审标准</w:t>
      </w:r>
    </w:p>
    <w:p w14:paraId="1BF7B831">
      <w:pPr>
        <w:pStyle w:val="19"/>
        <w:spacing w:line="360" w:lineRule="auto"/>
        <w:ind w:firstLine="630" w:firstLine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第七章  评标方法</w:t>
      </w:r>
    </w:p>
    <w:p w14:paraId="3CA52FC3">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10. 招标文件的澄清或者修改</w:t>
      </w:r>
    </w:p>
    <w:p w14:paraId="3E6AD39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3EB57E6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7B40A4E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2D2F47A1">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14" w:name="_Toc22578"/>
      <w:r>
        <w:rPr>
          <w:rFonts w:hint="eastAsia" w:ascii="宋体" w:hAnsi="宋体" w:eastAsia="宋体" w:cs="宋体"/>
          <w:color w:val="000000" w:themeColor="text1"/>
          <w:szCs w:val="28"/>
          <w:highlight w:val="none"/>
          <w14:textFill>
            <w14:solidFill>
              <w14:schemeClr w14:val="tx1"/>
            </w14:solidFill>
          </w14:textFill>
        </w:rPr>
        <w:t>三、投标文件</w:t>
      </w:r>
      <w:bookmarkEnd w:id="14"/>
    </w:p>
    <w:p w14:paraId="2A73A833">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11. 投标文件编写注意事项</w:t>
      </w:r>
    </w:p>
    <w:p w14:paraId="3E47DAC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11.1投标人应仔细阅读招标文件，在完全了解采购的内容、技术性能要求(详见“</w:t>
      </w:r>
      <w:r>
        <w:rPr>
          <w:rFonts w:hint="eastAsia" w:ascii="宋体" w:hAnsi="宋体" w:cs="宋体"/>
          <w:b/>
          <w:color w:val="000000" w:themeColor="text1"/>
          <w:szCs w:val="21"/>
          <w:highlight w:val="none"/>
          <w14:textFill>
            <w14:solidFill>
              <w14:schemeClr w14:val="tx1"/>
            </w14:solidFill>
          </w14:textFill>
        </w:rPr>
        <w:t>项目需求”</w:t>
      </w:r>
      <w:r>
        <w:rPr>
          <w:rFonts w:hint="eastAsia" w:ascii="宋体" w:hAnsi="宋体" w:cs="宋体"/>
          <w:color w:val="000000" w:themeColor="text1"/>
          <w:szCs w:val="21"/>
          <w:highlight w:val="none"/>
          <w14:textFill>
            <w14:solidFill>
              <w14:schemeClr w14:val="tx1"/>
            </w14:solidFill>
          </w14:textFill>
        </w:rPr>
        <w:t>)和商务条件后，编写投标文件。招标文件中标注★号的条款为实质性要求和条件，投标文件必须响应招标文件的实质性要求和条件，不满足任何一条将导致投标无效。</w:t>
      </w:r>
    </w:p>
    <w:p w14:paraId="6369BA6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 对招标文件提出的实质性要求和条件作出响应是指：投标人必须对招标文件中的实质性要求和条件的内容作出满足或者优于原要求和条件的承诺，并提供相应的证明材料。</w:t>
      </w:r>
    </w:p>
    <w:p w14:paraId="2CC5CFFD">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12. 投标的语言及计量单位</w:t>
      </w:r>
    </w:p>
    <w:p w14:paraId="5209F09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12.1投标人的投标文件以及投标人与采购代理机构就有关投标的所有来往函电统一使用中文（特别规定除外）。</w:t>
      </w:r>
    </w:p>
    <w:p w14:paraId="74734E5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12.2投标文件中使用的计量单位除招标文件中有特殊规定外，一律使用中国法定计量单位。</w:t>
      </w:r>
    </w:p>
    <w:p w14:paraId="5744C0AD">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13. 投标文件构成</w:t>
      </w:r>
    </w:p>
    <w:p w14:paraId="17C5F2E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13.1投标人编写的投标文件应由下列部分构成，并按第四章“投标文件格式”要求填写。</w:t>
      </w:r>
    </w:p>
    <w:p w14:paraId="51B77D7A">
      <w:pPr>
        <w:spacing w:line="360" w:lineRule="auto"/>
        <w:ind w:firstLine="359" w:firstLineChars="17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13.1.1开标一览表；</w:t>
      </w:r>
    </w:p>
    <w:p w14:paraId="60DD028E">
      <w:pPr>
        <w:spacing w:line="360" w:lineRule="auto"/>
        <w:ind w:firstLine="359" w:firstLineChars="17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13.1.2资格证明文件；</w:t>
      </w:r>
    </w:p>
    <w:p w14:paraId="31786A82">
      <w:pPr>
        <w:spacing w:line="360" w:lineRule="auto"/>
        <w:ind w:firstLine="359" w:firstLineChars="17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13.1.3投标文件商务部分</w:t>
      </w:r>
    </w:p>
    <w:p w14:paraId="6FBA8E72">
      <w:pPr>
        <w:spacing w:line="360" w:lineRule="auto"/>
        <w:ind w:firstLine="359" w:firstLineChars="17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13.1.4投标文件技术部分</w:t>
      </w:r>
    </w:p>
    <w:p w14:paraId="4CE595D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13.2投标人同时投多个包的，投标文件应按包分别编制，单独成册。</w:t>
      </w:r>
    </w:p>
    <w:p w14:paraId="399795EC">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14. 投标文件的格式要求</w:t>
      </w:r>
    </w:p>
    <w:p w14:paraId="58E9237E">
      <w:pPr>
        <w:pStyle w:val="19"/>
        <w:tabs>
          <w:tab w:val="left" w:pos="3030"/>
        </w:tabs>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14.1投标人应按第四章“</w:t>
      </w:r>
      <w:r>
        <w:rPr>
          <w:rFonts w:hint="eastAsia" w:hAnsi="宋体" w:cs="宋体"/>
          <w:b/>
          <w:color w:val="000000" w:themeColor="text1"/>
          <w:szCs w:val="21"/>
          <w:highlight w:val="none"/>
          <w14:textFill>
            <w14:solidFill>
              <w14:schemeClr w14:val="tx1"/>
            </w14:solidFill>
          </w14:textFill>
        </w:rPr>
        <w:t>投标文件格式</w:t>
      </w:r>
      <w:r>
        <w:rPr>
          <w:rFonts w:hint="eastAsia" w:hAnsi="宋体" w:cs="宋体"/>
          <w:color w:val="000000" w:themeColor="text1"/>
          <w:szCs w:val="21"/>
          <w:highlight w:val="none"/>
          <w14:textFill>
            <w14:solidFill>
              <w14:schemeClr w14:val="tx1"/>
            </w14:solidFill>
          </w14:textFill>
        </w:rPr>
        <w:t>”提供的格式完整地编制。</w:t>
      </w:r>
    </w:p>
    <w:p w14:paraId="2FAF4346">
      <w:pPr>
        <w:pStyle w:val="19"/>
        <w:tabs>
          <w:tab w:val="left" w:pos="3030"/>
        </w:tabs>
        <w:spacing w:line="360" w:lineRule="auto"/>
        <w:rPr>
          <w:rFonts w:hAnsi="宋体" w:cs="宋体"/>
          <w:bCs/>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14.2 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p w14:paraId="77BE22E8">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15. 投标报价</w:t>
      </w:r>
    </w:p>
    <w:p w14:paraId="534C7888">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w:t>
      </w:r>
      <w:r>
        <w:rPr>
          <w:rFonts w:hint="eastAsia" w:hAnsi="宋体" w:cs="宋体"/>
          <w:color w:val="000000" w:themeColor="text1"/>
          <w:szCs w:val="21"/>
          <w:highlight w:val="none"/>
          <w14:textFill>
            <w14:solidFill>
              <w14:schemeClr w14:val="tx1"/>
            </w14:solidFill>
          </w14:textFill>
        </w:rPr>
        <w:t>15.1本项目预算金额及最高限价见“</w:t>
      </w:r>
      <w:r>
        <w:rPr>
          <w:rFonts w:hint="eastAsia" w:hAnsi="宋体" w:cs="宋体"/>
          <w:b/>
          <w:bCs/>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w:t>
      </w:r>
    </w:p>
    <w:p w14:paraId="1417082D">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15.2</w:t>
      </w:r>
      <w:r>
        <w:rPr>
          <w:rFonts w:hint="eastAsia" w:hAnsi="宋体" w:cs="宋体"/>
          <w:b/>
          <w:color w:val="000000" w:themeColor="text1"/>
          <w:szCs w:val="21"/>
          <w:highlight w:val="none"/>
          <w14:textFill>
            <w14:solidFill>
              <w14:schemeClr w14:val="tx1"/>
            </w14:solidFill>
          </w14:textFill>
        </w:rPr>
        <w:t>供应商需以整体“报价下浮率”进行报价（报价下浮率按实际下浮比例填报，例如：发包价格视为基础费率为100%，实际结算按90%收费，报价下浮率即为10%，投标报价收费比例即为90%）</w:t>
      </w:r>
      <w:r>
        <w:rPr>
          <w:rFonts w:hint="eastAsia" w:hAnsi="宋体" w:cs="宋体"/>
          <w:color w:val="000000" w:themeColor="text1"/>
          <w:szCs w:val="21"/>
          <w:highlight w:val="none"/>
          <w14:textFill>
            <w14:solidFill>
              <w14:schemeClr w14:val="tx1"/>
            </w14:solidFill>
          </w14:textFill>
        </w:rPr>
        <w:t>。</w:t>
      </w:r>
    </w:p>
    <w:p w14:paraId="2AC33C07">
      <w:pPr>
        <w:spacing w:line="360" w:lineRule="auto"/>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15.3最终合同结算价款由发包人委托的第三方造价咨询服务单位依据现行计价依据和标准，根据最终完成工作量编制的预算的基础上下浮</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%（中标费率）的形式进行计取，（即：结算价＝经审核的最终工程量预算价×（1—中标的下浮幅度值）</w:t>
      </w:r>
    </w:p>
    <w:p w14:paraId="3E3E4101">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15.4投标人应依据招标文件的要求及有关资料，按国家或行业现行技术经济标准、定额及规范，自行测算出满足招标要求的竞争性报价。该报价应考虑市场风险、政策性风险、汇率风险等因素，并能保证投标人完成履行合同所需的全部工作，此价格在合同签订后不得调整。</w:t>
      </w:r>
    </w:p>
    <w:p w14:paraId="77A2C37C">
      <w:pPr>
        <w:pStyle w:val="19"/>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16. 投标货币</w:t>
      </w:r>
    </w:p>
    <w:p w14:paraId="356084FC">
      <w:pPr>
        <w:pStyle w:val="19"/>
        <w:spacing w:line="360" w:lineRule="auto"/>
        <w:rPr>
          <w:rFonts w:hAnsi="宋体" w:cs="宋体"/>
          <w:bCs/>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16.1投标以人民币报价。</w:t>
      </w:r>
    </w:p>
    <w:p w14:paraId="01E1FE93">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 投标文件有效期</w:t>
      </w:r>
    </w:p>
    <w:p w14:paraId="326C373E">
      <w:pPr>
        <w:pStyle w:val="19"/>
        <w:spacing w:line="360" w:lineRule="auto"/>
        <w:ind w:left="630" w:hanging="630" w:hanging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17.1在“</w:t>
      </w:r>
      <w:r>
        <w:rPr>
          <w:rFonts w:hint="eastAsia" w:hAnsi="宋体" w:cs="宋体"/>
          <w:b/>
          <w:bCs/>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”规定的投标有效期内，投标人不得要求撤销或修改其投标文件。</w:t>
      </w:r>
    </w:p>
    <w:p w14:paraId="0DEC18C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17.2投标有效期从提交投标文件的截止之日起算。投标文件中承诺的投标有效期应当不少于招标文件中载明的投标有效期。投标有效期内投标人撤销投标文件的，采购代理机构可以不退还投标保证金。</w:t>
      </w:r>
    </w:p>
    <w:p w14:paraId="59C0C4C9">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707E3B4">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18.分包</w:t>
      </w:r>
    </w:p>
    <w:p w14:paraId="6CEF5ADF">
      <w:pPr>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18.1“投标人须知前附表”规定允许分包的项目，投标人在中标后只能将项目的非主体、</w:t>
      </w:r>
      <w:r>
        <w:rPr>
          <w:rFonts w:hint="eastAsia" w:ascii="宋体" w:hAnsi="宋体" w:cs="宋体"/>
          <w:color w:val="000000" w:themeColor="text1"/>
          <w:kern w:val="0"/>
          <w:szCs w:val="21"/>
          <w:highlight w:val="none"/>
          <w14:textFill>
            <w14:solidFill>
              <w14:schemeClr w14:val="tx1"/>
            </w14:solidFill>
          </w14:textFill>
        </w:rPr>
        <w:t>非关键性工作分包。投标人应当在投标文件中载明分包承担主体，分包承担主体应当具备相应资质条件且不得再次分包。</w:t>
      </w:r>
    </w:p>
    <w:p w14:paraId="23D0FF5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19. 投标人应当遵循公平竞争的原则，不得恶意串通，不得妨碍其他投标人的竞争行为，不得损害采购人或者其他投标人的合法权益</w:t>
      </w:r>
      <w:r>
        <w:rPr>
          <w:rFonts w:hint="eastAsia" w:ascii="宋体" w:hAnsi="宋体" w:cs="宋体"/>
          <w:color w:val="000000" w:themeColor="text1"/>
          <w:kern w:val="0"/>
          <w:szCs w:val="21"/>
          <w:highlight w:val="none"/>
          <w14:textFill>
            <w14:solidFill>
              <w14:schemeClr w14:val="tx1"/>
            </w14:solidFill>
          </w14:textFill>
        </w:rPr>
        <w:t>。</w:t>
      </w:r>
    </w:p>
    <w:p w14:paraId="07AE4A91">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20. 投标文件的编制</w:t>
      </w:r>
    </w:p>
    <w:p w14:paraId="190F761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20.1投标文件全部采用电子文档，投标人应安装客户端软件—“政采云电子交易客户端”，并按照招标文件和政采云电子交易平台的要求编制，编制后应进行电子签名及加密。</w:t>
      </w:r>
    </w:p>
    <w:p w14:paraId="15DCD2E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★20.2如投标人提交的电子标书不符合20.1要求或开标时无法读取导入或解密，其投标文件将不予受理。</w:t>
      </w:r>
    </w:p>
    <w:p w14:paraId="0354199C">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20.3投标文件应尽量避免涂改、行间插字或删除。如果出现上述情况，改动之处应加盖单位章或由投标人的法定代表人或其委托代理人签字确认。</w:t>
      </w:r>
    </w:p>
    <w:p w14:paraId="2E8641F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★20.4关键内容字迹潦草、表达不清、未按要求填写而导致非唯一理解，视为未实质性响应招标文件的投标文件。</w:t>
      </w:r>
    </w:p>
    <w:p w14:paraId="24D3F1D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20.5投标文件中提供的资料（扫描件），内容必须清晰可辨，若内容模糊，无法辨识，均视为未提供。</w:t>
      </w:r>
    </w:p>
    <w:p w14:paraId="45031A1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★20.6投标文件中对招标文件商务条款及技术要求的应答出现完全或绝大部分复制招标文件要求的，视为未实质性响应招标文件的投标文件。</w:t>
      </w:r>
    </w:p>
    <w:p w14:paraId="25E3F625">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20.6投标文件应由法定代表人或其委托代理人</w:t>
      </w:r>
      <w:r>
        <w:rPr>
          <w:rFonts w:hint="eastAsia" w:ascii="宋体" w:hAnsi="宋体" w:cs="宋体"/>
          <w:b/>
          <w:color w:val="000000" w:themeColor="text1"/>
          <w:szCs w:val="21"/>
          <w:highlight w:val="none"/>
          <w14:textFill>
            <w14:solidFill>
              <w14:schemeClr w14:val="tx1"/>
            </w14:solidFill>
          </w14:textFill>
        </w:rPr>
        <w:t>在规定的电子签名处逐一电子签名（电子签名或电子签章），要求盖章处应盖单位章（电子签章）。</w:t>
      </w:r>
    </w:p>
    <w:p w14:paraId="1CD4B2E5">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21. 投标保证金</w:t>
      </w:r>
    </w:p>
    <w:p w14:paraId="5D52CB53">
      <w:pPr>
        <w:pStyle w:val="19"/>
        <w:tabs>
          <w:tab w:val="left" w:pos="710"/>
        </w:tabs>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21.1投标保证金为人民币。投标人应在提交投标文件截止时间以前按“</w:t>
      </w:r>
      <w:r>
        <w:rPr>
          <w:rFonts w:hint="eastAsia" w:hAnsi="宋体" w:cs="宋体"/>
          <w:b/>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”规定的金额及形式提交，并在规定的时间内保持有效。</w:t>
      </w:r>
    </w:p>
    <w:p w14:paraId="4C275D7D">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21.2</w:t>
      </w:r>
      <w:r>
        <w:rPr>
          <w:rFonts w:hint="eastAsia" w:hAnsi="宋体" w:cs="宋体"/>
          <w:color w:val="000000" w:themeColor="text1"/>
          <w:kern w:val="0"/>
          <w:szCs w:val="21"/>
          <w:highlight w:val="none"/>
          <w14:textFill>
            <w14:solidFill>
              <w14:schemeClr w14:val="tx1"/>
            </w14:solidFill>
          </w14:textFill>
        </w:rPr>
        <w:t>投标人在投标截止时间前撤回已提交的投标文件的，采购代理机构将在自收到投标人书面撤回通知之日起５个工作日内，退还已收取的投标保证金，但因投标人自身原因导致无法及时退还的除外</w:t>
      </w:r>
      <w:r>
        <w:rPr>
          <w:rFonts w:hint="eastAsia" w:hAnsi="宋体" w:cs="宋体"/>
          <w:color w:val="000000" w:themeColor="text1"/>
          <w:szCs w:val="21"/>
          <w:highlight w:val="none"/>
          <w14:textFill>
            <w14:solidFill>
              <w14:schemeClr w14:val="tx1"/>
            </w14:solidFill>
          </w14:textFill>
        </w:rPr>
        <w:t>。</w:t>
      </w:r>
    </w:p>
    <w:p w14:paraId="69E5ADAF">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21.3未中标人的投标保证金</w:t>
      </w:r>
      <w:r>
        <w:rPr>
          <w:rFonts w:hint="eastAsia" w:hAnsi="宋体" w:cs="宋体"/>
          <w:color w:val="000000" w:themeColor="text1"/>
          <w:szCs w:val="21"/>
          <w:highlight w:val="none"/>
          <w:lang w:val="en-US" w:eastAsia="zh-CN"/>
          <w14:textFill>
            <w14:solidFill>
              <w14:schemeClr w14:val="tx1"/>
            </w14:solidFill>
          </w14:textFill>
        </w:rPr>
        <w:t>及利息（如有）</w:t>
      </w:r>
      <w:r>
        <w:rPr>
          <w:rFonts w:hint="eastAsia" w:hAnsi="宋体" w:cs="宋体"/>
          <w:color w:val="000000" w:themeColor="text1"/>
          <w:szCs w:val="21"/>
          <w:highlight w:val="none"/>
          <w14:textFill>
            <w14:solidFill>
              <w14:schemeClr w14:val="tx1"/>
            </w14:solidFill>
          </w14:textFill>
        </w:rPr>
        <w:t>将在中标公告发出后5个工作日退还；中标人的投标保证金将在</w:t>
      </w:r>
      <w:r>
        <w:rPr>
          <w:rFonts w:hint="eastAsia" w:hAnsi="宋体" w:cs="宋体"/>
          <w:color w:val="000000" w:themeColor="text1"/>
          <w:kern w:val="0"/>
          <w:szCs w:val="21"/>
          <w:highlight w:val="none"/>
          <w14:textFill>
            <w14:solidFill>
              <w14:schemeClr w14:val="tx1"/>
            </w14:solidFill>
          </w14:textFill>
        </w:rPr>
        <w:t>采购合同签订之日起5个工作日内退还</w:t>
      </w:r>
      <w:r>
        <w:rPr>
          <w:rFonts w:hint="eastAsia" w:hAnsi="宋体" w:cs="宋体"/>
          <w:color w:val="000000" w:themeColor="text1"/>
          <w:szCs w:val="21"/>
          <w:highlight w:val="none"/>
          <w14:textFill>
            <w14:solidFill>
              <w14:schemeClr w14:val="tx1"/>
            </w14:solidFill>
          </w14:textFill>
        </w:rPr>
        <w:t>。</w:t>
      </w:r>
    </w:p>
    <w:p w14:paraId="667BD71F">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21.4</w:t>
      </w:r>
      <w:r>
        <w:rPr>
          <w:rFonts w:hint="eastAsia" w:hAnsi="宋体" w:cs="宋体"/>
          <w:color w:val="000000" w:themeColor="text1"/>
          <w:kern w:val="0"/>
          <w:szCs w:val="21"/>
          <w:highlight w:val="none"/>
          <w14:textFill>
            <w14:solidFill>
              <w14:schemeClr w14:val="tx1"/>
            </w14:solidFill>
          </w14:textFill>
        </w:rPr>
        <w:t>采购代理机构逾期退还投标保证金的，除退还投标保证金本金外，还将按中国人民银行同期贷款基准利率上浮20％后的利率支付超期资金占用费，但因投标人自身原因导致无法及时退还的除外。</w:t>
      </w:r>
    </w:p>
    <w:p w14:paraId="7F291B29">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21.5下列情况发生时，投标保证金将不予退还</w:t>
      </w:r>
    </w:p>
    <w:p w14:paraId="36BE14D9">
      <w:pPr>
        <w:pStyle w:val="19"/>
        <w:spacing w:line="360" w:lineRule="auto"/>
        <w:ind w:firstLine="424" w:firstLineChars="202"/>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（1）投标人在投标有效期内要求撤回投标的；</w:t>
      </w:r>
    </w:p>
    <w:p w14:paraId="4D14D687">
      <w:pPr>
        <w:spacing w:line="360" w:lineRule="auto"/>
        <w:ind w:firstLine="424" w:firstLineChars="20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投标人在投标文件中提供虚假材料的；</w:t>
      </w:r>
    </w:p>
    <w:p w14:paraId="7EC5D0FC">
      <w:pPr>
        <w:spacing w:line="360" w:lineRule="auto"/>
        <w:ind w:firstLine="424" w:firstLineChars="20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投标人</w:t>
      </w:r>
      <w:r>
        <w:rPr>
          <w:rFonts w:hint="eastAsia" w:ascii="宋体" w:hAnsi="宋体" w:cs="宋体"/>
          <w:color w:val="000000" w:themeColor="text1"/>
          <w:highlight w:val="none"/>
          <w14:textFill>
            <w14:solidFill>
              <w14:schemeClr w14:val="tx1"/>
            </w14:solidFill>
          </w14:textFill>
        </w:rPr>
        <w:t>存在违法违规行为的；</w:t>
      </w:r>
    </w:p>
    <w:p w14:paraId="7714EB56">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中标人中标后</w:t>
      </w:r>
      <w:r>
        <w:rPr>
          <w:rFonts w:hint="eastAsia" w:ascii="宋体" w:hAnsi="宋体" w:cs="宋体"/>
          <w:color w:val="000000" w:themeColor="text1"/>
          <w:highlight w:val="none"/>
          <w14:textFill>
            <w14:solidFill>
              <w14:schemeClr w14:val="tx1"/>
            </w14:solidFill>
          </w14:textFill>
        </w:rPr>
        <w:t>除因不可抗力</w:t>
      </w:r>
      <w:r>
        <w:rPr>
          <w:rFonts w:hint="eastAsia" w:ascii="宋体" w:hAnsi="宋体" w:cs="宋体"/>
          <w:color w:val="000000" w:themeColor="text1"/>
          <w:szCs w:val="21"/>
          <w:highlight w:val="none"/>
          <w14:textFill>
            <w14:solidFill>
              <w14:schemeClr w14:val="tx1"/>
            </w14:solidFill>
          </w14:textFill>
        </w:rPr>
        <w:t>拒绝与采购人签订合同的；</w:t>
      </w:r>
    </w:p>
    <w:p w14:paraId="6C94CF9A">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（5）中标人将中标项目转让给他人，或者在投标文件中未说明，且未经采购人同意，将中标项目分包给他人的；</w:t>
      </w:r>
    </w:p>
    <w:p w14:paraId="1738912F">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招标文件规定的其他情形的。</w:t>
      </w:r>
    </w:p>
    <w:p w14:paraId="02A0E811">
      <w:pPr>
        <w:pStyle w:val="19"/>
        <w:spacing w:line="360" w:lineRule="auto"/>
        <w:rPr>
          <w:rFonts w:hAnsi="宋体" w:cs="宋体"/>
          <w:color w:val="000000" w:themeColor="text1"/>
          <w:szCs w:val="21"/>
          <w:highlight w:val="none"/>
          <w14:textFill>
            <w14:solidFill>
              <w14:schemeClr w14:val="tx1"/>
            </w14:solidFill>
          </w14:textFill>
        </w:rPr>
      </w:pPr>
    </w:p>
    <w:p w14:paraId="07E36EEC">
      <w:pPr>
        <w:pStyle w:val="8"/>
        <w:numPr>
          <w:ilvl w:val="0"/>
          <w:numId w:val="0"/>
        </w:numPr>
        <w:ind w:left="425"/>
        <w:jc w:val="center"/>
        <w:rPr>
          <w:rFonts w:ascii="宋体" w:hAnsi="宋体" w:eastAsia="宋体" w:cs="宋体"/>
          <w:color w:val="000000" w:themeColor="text1"/>
          <w:sz w:val="24"/>
          <w:szCs w:val="24"/>
          <w:highlight w:val="none"/>
          <w14:textFill>
            <w14:solidFill>
              <w14:schemeClr w14:val="tx1"/>
            </w14:solidFill>
          </w14:textFill>
        </w:rPr>
      </w:pPr>
      <w:bookmarkStart w:id="15" w:name="_Toc10972"/>
      <w:r>
        <w:rPr>
          <w:rFonts w:hint="eastAsia" w:ascii="宋体" w:hAnsi="宋体" w:eastAsia="宋体" w:cs="宋体"/>
          <w:color w:val="000000" w:themeColor="text1"/>
          <w:sz w:val="24"/>
          <w:szCs w:val="24"/>
          <w:highlight w:val="none"/>
          <w14:textFill>
            <w14:solidFill>
              <w14:schemeClr w14:val="tx1"/>
            </w14:solidFill>
          </w14:textFill>
        </w:rPr>
        <w:t>四、投标文件的提交</w:t>
      </w:r>
      <w:bookmarkEnd w:id="15"/>
    </w:p>
    <w:p w14:paraId="09ABEF4F">
      <w:pPr>
        <w:pStyle w:val="19"/>
        <w:spacing w:line="360" w:lineRule="auto"/>
        <w:rPr>
          <w:rFonts w:hAnsi="宋体" w:cs="宋体"/>
          <w:b/>
          <w:color w:val="000000" w:themeColor="text1"/>
          <w:kern w:val="0"/>
          <w:szCs w:val="21"/>
          <w:highlight w:val="none"/>
          <w14:textFill>
            <w14:solidFill>
              <w14:schemeClr w14:val="tx1"/>
            </w14:solidFill>
          </w14:textFill>
        </w:rPr>
      </w:pPr>
      <w:r>
        <w:rPr>
          <w:rFonts w:hint="eastAsia" w:hAnsi="宋体" w:cs="宋体"/>
          <w:b/>
          <w:color w:val="000000" w:themeColor="text1"/>
          <w:kern w:val="0"/>
          <w:szCs w:val="21"/>
          <w:highlight w:val="none"/>
          <w14:textFill>
            <w14:solidFill>
              <w14:schemeClr w14:val="tx1"/>
            </w14:solidFill>
          </w14:textFill>
        </w:rPr>
        <w:t>22. 投标文件的密封与标记</w:t>
      </w:r>
    </w:p>
    <w:p w14:paraId="7AAAEFA2">
      <w:pPr>
        <w:pStyle w:val="19"/>
        <w:spacing w:line="360" w:lineRule="auto"/>
        <w:rPr>
          <w:rFonts w:hAnsi="宋体" w:cs="宋体"/>
          <w:color w:val="000000" w:themeColor="text1"/>
          <w:kern w:val="0"/>
          <w:szCs w:val="21"/>
          <w:highlight w:val="none"/>
          <w14:textFill>
            <w14:solidFill>
              <w14:schemeClr w14:val="tx1"/>
            </w14:solidFill>
          </w14:textFill>
        </w:rPr>
      </w:pPr>
      <w:r>
        <w:rPr>
          <w:rFonts w:hint="eastAsia" w:hAnsi="宋体" w:cs="宋体"/>
          <w:color w:val="000000" w:themeColor="text1"/>
          <w:kern w:val="0"/>
          <w:szCs w:val="21"/>
          <w:highlight w:val="none"/>
          <w14:textFill>
            <w14:solidFill>
              <w14:schemeClr w14:val="tx1"/>
            </w14:solidFill>
          </w14:textFill>
        </w:rPr>
        <w:t>22.1投标人进行电子交易应安装客户端软件—“政采云电子交易客户端”，并按照招标文件和电子交易平台的要求编制并加密投标文件。招标人未按规定加密的投标文件，电子交易平台将拒收并提示。</w:t>
      </w:r>
    </w:p>
    <w:p w14:paraId="5516D56B">
      <w:pPr>
        <w:pStyle w:val="19"/>
        <w:spacing w:line="360" w:lineRule="auto"/>
        <w:rPr>
          <w:rFonts w:hAnsi="宋体" w:cs="宋体"/>
          <w:color w:val="000000" w:themeColor="text1"/>
          <w:kern w:val="0"/>
          <w:szCs w:val="21"/>
          <w:highlight w:val="none"/>
          <w14:textFill>
            <w14:solidFill>
              <w14:schemeClr w14:val="tx1"/>
            </w14:solidFill>
          </w14:textFill>
        </w:rPr>
      </w:pPr>
      <w:r>
        <w:rPr>
          <w:rFonts w:hint="eastAsia" w:hAnsi="宋体" w:cs="宋体"/>
          <w:color w:val="000000" w:themeColor="text1"/>
          <w:kern w:val="0"/>
          <w:szCs w:val="21"/>
          <w:highlight w:val="none"/>
          <w14:textFill>
            <w14:solidFill>
              <w14:schemeClr w14:val="tx1"/>
            </w14:solidFill>
          </w14:textFill>
        </w:rPr>
        <w:t>22.2使用“政采云电子交易客户端”需要提前申领CA数字证书。</w:t>
      </w:r>
    </w:p>
    <w:p w14:paraId="485947B3">
      <w:pPr>
        <w:pStyle w:val="19"/>
        <w:spacing w:line="360" w:lineRule="auto"/>
        <w:rPr>
          <w:rFonts w:hAnsi="宋体" w:cs="宋体"/>
          <w:color w:val="000000" w:themeColor="text1"/>
          <w:kern w:val="0"/>
          <w:szCs w:val="21"/>
          <w:highlight w:val="none"/>
          <w14:textFill>
            <w14:solidFill>
              <w14:schemeClr w14:val="tx1"/>
            </w14:solidFill>
          </w14:textFill>
        </w:rPr>
      </w:pPr>
      <w:r>
        <w:rPr>
          <w:rFonts w:hint="eastAsia" w:hAnsi="宋体" w:cs="宋体"/>
          <w:color w:val="000000" w:themeColor="text1"/>
          <w:kern w:val="0"/>
          <w:szCs w:val="21"/>
          <w:highlight w:val="none"/>
          <w14:textFill>
            <w14:solidFill>
              <w14:schemeClr w14:val="tx1"/>
            </w14:solidFill>
          </w14:textFill>
        </w:rPr>
        <w:t>22.3为确保网上操作合法、有效和安全，投标人应当在投标文件提交截止时间前完成在“政府采购云平台”的身份认证，确保在电子交易过程中能够对相关数据电文进行加密和使用电子签名。</w:t>
      </w:r>
    </w:p>
    <w:p w14:paraId="09CFB96F">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23. 提交投标文件截止时间和地点</w:t>
      </w:r>
    </w:p>
    <w:p w14:paraId="7190BAD6">
      <w:pPr>
        <w:pStyle w:val="19"/>
        <w:spacing w:line="360" w:lineRule="auto"/>
        <w:ind w:left="-2" w:leftChars="-5" w:hanging="8" w:hangingChars="4"/>
        <w:rPr>
          <w:rFonts w:hAnsi="宋体" w:cs="宋体"/>
          <w:b/>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23.1投标文件的提交/上传不得迟于“</w:t>
      </w:r>
      <w:r>
        <w:rPr>
          <w:rFonts w:hint="eastAsia" w:hAnsi="宋体" w:cs="宋体"/>
          <w:b/>
          <w:bCs/>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”规定的提交投标文件截止时间。</w:t>
      </w:r>
      <w:r>
        <w:rPr>
          <w:rFonts w:hint="eastAsia" w:hAnsi="宋体" w:cs="宋体"/>
          <w:b/>
          <w:color w:val="000000" w:themeColor="text1"/>
          <w:szCs w:val="21"/>
          <w:highlight w:val="none"/>
          <w14:textFill>
            <w14:solidFill>
              <w14:schemeClr w14:val="tx1"/>
            </w14:solidFill>
          </w14:textFill>
        </w:rPr>
        <w:t>逾期送达/上传的投标文件，将被拒收。</w:t>
      </w:r>
    </w:p>
    <w:p w14:paraId="761E0C38">
      <w:pPr>
        <w:pStyle w:val="19"/>
        <w:spacing w:line="360" w:lineRule="auto"/>
        <w:ind w:left="630" w:hanging="630" w:hanging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23.2投标人必须在规定时间内将投标文件提交到“</w:t>
      </w:r>
      <w:r>
        <w:rPr>
          <w:rFonts w:hint="eastAsia" w:hAnsi="宋体" w:cs="宋体"/>
          <w:b/>
          <w:bCs/>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”规定的地点。</w:t>
      </w:r>
    </w:p>
    <w:p w14:paraId="7B1DDC4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23.3 除“</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”另有规定外，投标人所递交的投标文件不予退还。</w:t>
      </w:r>
    </w:p>
    <w:p w14:paraId="146F128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23.4在投标截止时间前，投标人可以撤回在网上已递交的投标文件，修改后重新上传，无须书面形式通知采购人。</w:t>
      </w:r>
    </w:p>
    <w:p w14:paraId="44568FDB">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23.5修改的投标文件应按照本章第20款、第22款的要求进行重新编制、加密和递交。</w:t>
      </w:r>
    </w:p>
    <w:p w14:paraId="02837D6B">
      <w:pPr>
        <w:pStyle w:val="19"/>
        <w:spacing w:line="360" w:lineRule="auto"/>
        <w:ind w:left="630" w:hanging="630" w:hangingChars="3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23.6在投标截止时间后递交的投标文件不予撤回。</w:t>
      </w:r>
    </w:p>
    <w:p w14:paraId="32DCADF0">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16" w:name="_Toc30751"/>
      <w:r>
        <w:rPr>
          <w:rFonts w:hint="eastAsia" w:ascii="宋体" w:hAnsi="宋体" w:eastAsia="宋体" w:cs="宋体"/>
          <w:color w:val="000000" w:themeColor="text1"/>
          <w:szCs w:val="28"/>
          <w:highlight w:val="none"/>
          <w14:textFill>
            <w14:solidFill>
              <w14:schemeClr w14:val="tx1"/>
            </w14:solidFill>
          </w14:textFill>
        </w:rPr>
        <w:t>五、开标与评标</w:t>
      </w:r>
      <w:bookmarkEnd w:id="16"/>
    </w:p>
    <w:p w14:paraId="1205DF09">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24. 开标</w:t>
      </w:r>
    </w:p>
    <w:p w14:paraId="5ADD7B80">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24.1采购代理机构将在“</w:t>
      </w:r>
      <w:r>
        <w:rPr>
          <w:rFonts w:hint="eastAsia" w:hAnsi="宋体" w:cs="宋体"/>
          <w:b/>
          <w:bCs/>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”规定的时间和地点进行开标。</w:t>
      </w:r>
    </w:p>
    <w:p w14:paraId="39D53F7C">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24.2投标截止后投标人不足3家的，不得开标。</w:t>
      </w:r>
    </w:p>
    <w:p w14:paraId="1BCECC2E">
      <w:pPr>
        <w:pStyle w:val="19"/>
        <w:spacing w:line="360" w:lineRule="auto"/>
        <w:ind w:left="2"/>
        <w:jc w:val="lef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24.3开标程序：</w:t>
      </w:r>
    </w:p>
    <w:p w14:paraId="62572F61">
      <w:pPr>
        <w:pStyle w:val="19"/>
        <w:spacing w:line="360" w:lineRule="auto"/>
        <w:ind w:left="2"/>
        <w:jc w:val="lef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开标会由采购代理机构主持，具体流程如下：</w:t>
      </w:r>
    </w:p>
    <w:p w14:paraId="252DD3BB">
      <w:pPr>
        <w:pStyle w:val="126"/>
        <w:numPr>
          <w:ilvl w:val="0"/>
          <w:numId w:val="4"/>
        </w:numPr>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采购代理机构依托电子交易平台发起开始解密指令，投标人须使用加密时所用的CA锁按平台提示和招标文件的规定登录到“政采云”平台电子开标大厅签到，并在平台规定的解密时间内完成对电子投标文件在线解密。</w:t>
      </w:r>
    </w:p>
    <w:p w14:paraId="282B224F">
      <w:pPr>
        <w:pStyle w:val="126"/>
        <w:numPr>
          <w:ilvl w:val="0"/>
          <w:numId w:val="4"/>
        </w:numPr>
        <w:spacing w:line="360" w:lineRule="auto"/>
        <w:rPr>
          <w:rFonts w:hAnsi="宋体" w:cs="宋体"/>
          <w:color w:val="000000" w:themeColor="text1"/>
          <w:szCs w:val="21"/>
          <w:highlight w:val="none"/>
          <w14:textFill>
            <w14:solidFill>
              <w14:schemeClr w14:val="tx1"/>
            </w14:solidFill>
          </w14:textFill>
        </w:rPr>
      </w:pPr>
      <w:r>
        <w:rPr>
          <w:rFonts w:hint="eastAsia" w:hAnsi="宋体" w:cs="宋体"/>
          <w:sz w:val="22"/>
          <w:szCs w:val="21"/>
          <w:highlight w:val="none"/>
        </w:rPr>
        <w:t>发起解密指令之时起5分钟内投标人还未进行解密的，代理机构可通知投标人，投标人未预留联系方式或预留联系方式无效，导致代理机构无法联系到投标人进行解密且未在平台规定的解密时间内完成解密的，视为撤回投标文件。</w:t>
      </w:r>
    </w:p>
    <w:p w14:paraId="24C3FB95">
      <w:pPr>
        <w:pStyle w:val="126"/>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如投标人成功解密投标文件，但未在“政采云”电子开标大厅完成签字确认的，视同认可开标过程和结果，由此产生的后果由投标人自行负责。</w:t>
      </w:r>
    </w:p>
    <w:p w14:paraId="4BC26E12">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24.4开标工作人员将做开标记录。</w:t>
      </w:r>
    </w:p>
    <w:p w14:paraId="6BA0EF3A">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94C30E6">
      <w:pPr>
        <w:pStyle w:val="19"/>
        <w:spacing w:line="360" w:lineRule="auto"/>
        <w:ind w:left="2"/>
        <w:jc w:val="left"/>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25. 资格审查</w:t>
      </w:r>
    </w:p>
    <w:p w14:paraId="7DE78531">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25.1开标结束后，采购人或者采购代理机构应当按照“第六章 资格评审标准”依法对投标人的资格进行审查，合格投标人不足3家的，不得评标。</w:t>
      </w:r>
    </w:p>
    <w:p w14:paraId="1361C1BF">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25.2招标文件“第六章 资格评审标准”中的评审内容及标准均为招标文件的实质性要求。除招标文件规定的澄清情形外，投标文件响应各款所列材料在开标后不得后补、修正。</w:t>
      </w:r>
    </w:p>
    <w:p w14:paraId="0114ADEA">
      <w:pPr>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26. 评标</w:t>
      </w:r>
    </w:p>
    <w:p w14:paraId="526A409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438DD93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采购人委派代表参加评标委员会的，要向采购代理机构出具授权函。</w:t>
      </w:r>
    </w:p>
    <w:p w14:paraId="5652C964">
      <w:pPr>
        <w:pStyle w:val="19"/>
        <w:spacing w:line="360" w:lineRule="auto"/>
        <w:rPr>
          <w:rFonts w:hAnsi="宋体" w:cs="宋体"/>
          <w:bCs/>
          <w:color w:val="000000" w:themeColor="text1"/>
          <w:szCs w:val="21"/>
          <w:highlight w:val="none"/>
          <w14:textFill>
            <w14:solidFill>
              <w14:schemeClr w14:val="tx1"/>
            </w14:solidFill>
          </w14:textFill>
        </w:rPr>
      </w:pPr>
      <w:bookmarkStart w:id="17" w:name="_Toc191374422"/>
      <w:r>
        <w:rPr>
          <w:rFonts w:hint="eastAsia" w:hAnsi="宋体" w:cs="宋体"/>
          <w:bCs/>
          <w:color w:val="000000" w:themeColor="text1"/>
          <w:szCs w:val="21"/>
          <w:highlight w:val="none"/>
          <w14:textFill>
            <w14:solidFill>
              <w14:schemeClr w14:val="tx1"/>
            </w14:solidFill>
          </w14:textFill>
        </w:rPr>
        <w:t>26.2评标原则</w:t>
      </w:r>
      <w:bookmarkEnd w:id="17"/>
      <w:r>
        <w:rPr>
          <w:rFonts w:hint="eastAsia" w:hAnsi="宋体" w:cs="宋体"/>
          <w:bCs/>
          <w:color w:val="000000" w:themeColor="text1"/>
          <w:szCs w:val="21"/>
          <w:highlight w:val="none"/>
          <w14:textFill>
            <w14:solidFill>
              <w14:schemeClr w14:val="tx1"/>
            </w14:solidFill>
          </w14:textFill>
        </w:rPr>
        <w:t>及方法</w:t>
      </w:r>
    </w:p>
    <w:p w14:paraId="079C4C3A">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评标活动遵循客观、公正、审慎的原则，评审专家应当根据采购文件规定的评审程序、评审方法和评审标准进行独立评审。</w:t>
      </w:r>
    </w:p>
    <w:p w14:paraId="2D55D756">
      <w:pPr>
        <w:pStyle w:val="19"/>
        <w:spacing w:line="360" w:lineRule="auto"/>
        <w:ind w:left="630" w:hanging="630" w:hangingChars="300"/>
        <w:rPr>
          <w:rFonts w:hAnsi="宋体" w:cs="宋体"/>
          <w:bCs/>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26.3</w:t>
      </w:r>
      <w:r>
        <w:rPr>
          <w:rFonts w:hint="eastAsia" w:hAnsi="宋体" w:cs="宋体"/>
          <w:bCs/>
          <w:color w:val="000000" w:themeColor="text1"/>
          <w:szCs w:val="21"/>
          <w:highlight w:val="none"/>
          <w14:textFill>
            <w14:solidFill>
              <w14:schemeClr w14:val="tx1"/>
            </w14:solidFill>
          </w14:textFill>
        </w:rPr>
        <w:t>评标方法</w:t>
      </w:r>
    </w:p>
    <w:p w14:paraId="23400805">
      <w:pPr>
        <w:spacing w:line="360" w:lineRule="auto"/>
        <w:ind w:firstLine="472" w:firstLineChars="22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本项目按“</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”规定的评标方法评标。在评标中，不得改变招标文件中规定的评标标准、方法和中标条件。第七章“</w:t>
      </w:r>
      <w:r>
        <w:rPr>
          <w:rFonts w:hint="eastAsia" w:ascii="宋体" w:hAnsi="宋体" w:cs="宋体"/>
          <w:b/>
          <w:color w:val="000000" w:themeColor="text1"/>
          <w:szCs w:val="21"/>
          <w:highlight w:val="none"/>
          <w14:textFill>
            <w14:solidFill>
              <w14:schemeClr w14:val="tx1"/>
            </w14:solidFill>
          </w14:textFill>
        </w:rPr>
        <w:t>评标方法</w:t>
      </w:r>
      <w:r>
        <w:rPr>
          <w:rFonts w:hint="eastAsia" w:ascii="宋体" w:hAnsi="宋体" w:cs="宋体"/>
          <w:color w:val="000000" w:themeColor="text1"/>
          <w:szCs w:val="21"/>
          <w:highlight w:val="none"/>
          <w14:textFill>
            <w14:solidFill>
              <w14:schemeClr w14:val="tx1"/>
            </w14:solidFill>
          </w14:textFill>
        </w:rPr>
        <w:t>”没有规定的评审因素和标准，不作为评标依据。</w:t>
      </w:r>
    </w:p>
    <w:p w14:paraId="16E499B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26.4评标应当在严格保密的情况下进行。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54537B3E">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26.5有下列情形之一的，属于投标人相互串通投标：</w:t>
      </w:r>
    </w:p>
    <w:p w14:paraId="2237D9BD">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（一）投标人之间协商投标报价等投标文件的实质性内容；</w:t>
      </w:r>
    </w:p>
    <w:p w14:paraId="412570D2">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（二）投标人之间约定中标人；</w:t>
      </w:r>
    </w:p>
    <w:p w14:paraId="6C80AF53">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（三）投标人之间约定部分投标人放弃投标或者中标；</w:t>
      </w:r>
    </w:p>
    <w:p w14:paraId="7DF80202">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（四）属于同一集团、协会、商会等组织成员的投标人按照该组织要求协同投标；</w:t>
      </w:r>
    </w:p>
    <w:p w14:paraId="24734496">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（五）投标人之间为谋取中标或者排斥特定投标人而采取的其他联合行动。</w:t>
      </w:r>
    </w:p>
    <w:p w14:paraId="3AB5A1DE">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26.6有下列情形之一的，视为投标人串通投标，其投标无效：</w:t>
      </w:r>
    </w:p>
    <w:p w14:paraId="35927709">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（一）不同投标人的投标文件由同一单位或者个人编制；</w:t>
      </w:r>
    </w:p>
    <w:p w14:paraId="50A4D209">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（二）不同投标人委托同一单位或者个人办理投标事宜；</w:t>
      </w:r>
    </w:p>
    <w:p w14:paraId="4C40FB03">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（三）不同投标人的投标文件载明的项目管理成员或者联系人员为同一人；</w:t>
      </w:r>
    </w:p>
    <w:p w14:paraId="5247A202">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（四）不同投标人的投标文件异常一致或者投标报价呈规律性差异；</w:t>
      </w:r>
    </w:p>
    <w:p w14:paraId="2B7C856F">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（五）不同投标人的投标文件相互混装；</w:t>
      </w:r>
    </w:p>
    <w:p w14:paraId="76491E80">
      <w:pPr>
        <w:widowControl/>
        <w:spacing w:line="360" w:lineRule="auto"/>
        <w:jc w:val="left"/>
        <w:textAlignment w:val="baseline"/>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（六）不同投标人的投标保证金从同一单位或者个人的账户转出。</w:t>
      </w:r>
    </w:p>
    <w:p w14:paraId="0BC9CFB0">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★26.7</w:t>
      </w:r>
      <w:r>
        <w:rPr>
          <w:rFonts w:hint="eastAsia" w:ascii="宋体" w:hAnsi="宋体" w:cs="宋体"/>
          <w:color w:val="000000" w:themeColor="text1"/>
          <w:kern w:val="0"/>
          <w:szCs w:val="21"/>
          <w:highlight w:val="none"/>
          <w14:textFill>
            <w14:solidFill>
              <w14:schemeClr w14:val="tx1"/>
            </w14:solidFill>
          </w14:textFill>
        </w:rPr>
        <w:t>在评标过程中，评标委员会发现投标人有本须知第19、26.5、26.6条款及规定的情形，将认定其投标无效，并书面报告本级财政部门。</w:t>
      </w:r>
    </w:p>
    <w:p w14:paraId="6470B010">
      <w:pPr>
        <w:pStyle w:val="19"/>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27.1在招标采购中，出现下列情形之一的，应予废标：</w:t>
      </w:r>
    </w:p>
    <w:p w14:paraId="0ADB2A96">
      <w:pPr>
        <w:pStyle w:val="19"/>
        <w:spacing w:line="360" w:lineRule="auto"/>
        <w:ind w:left="719" w:leftChars="342" w:hanging="1"/>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(1)符合专业条件的投标人或者对招标文件作实质响应的投标人不足3家的；</w:t>
      </w:r>
    </w:p>
    <w:p w14:paraId="78012072">
      <w:pPr>
        <w:pStyle w:val="19"/>
        <w:spacing w:line="360" w:lineRule="auto"/>
        <w:ind w:left="719" w:leftChars="342" w:hanging="1"/>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(2)出现影响采购公正的违法、违规行为的；</w:t>
      </w:r>
    </w:p>
    <w:p w14:paraId="6AC8219D">
      <w:pPr>
        <w:pStyle w:val="19"/>
        <w:spacing w:line="360" w:lineRule="auto"/>
        <w:ind w:left="719" w:leftChars="342" w:hanging="1"/>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(3)投标人的报价均超过了采购预算，采购人不能支付的；</w:t>
      </w:r>
    </w:p>
    <w:p w14:paraId="7514B632">
      <w:pPr>
        <w:pStyle w:val="19"/>
        <w:spacing w:line="360" w:lineRule="auto"/>
        <w:ind w:left="719" w:leftChars="342" w:hanging="1"/>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(4)因重大变故，采购任务取消的。</w:t>
      </w:r>
    </w:p>
    <w:p w14:paraId="369DBDAF">
      <w:pPr>
        <w:pStyle w:val="19"/>
        <w:spacing w:line="360" w:lineRule="auto"/>
        <w:ind w:firstLine="525"/>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废标后，采购人应当将废标理由通知所有投标人。</w:t>
      </w:r>
    </w:p>
    <w:p w14:paraId="0134EB24">
      <w:pPr>
        <w:pStyle w:val="19"/>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27.2电子交易活动的中止</w:t>
      </w:r>
    </w:p>
    <w:p w14:paraId="6632E9FB">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采购过程中出现以下情形，导致电子交易平台无法正常运行，或者无法保证电子交易的公平、公正和安全时，采购代理机构可中止电子交易活动：</w:t>
      </w:r>
    </w:p>
    <w:p w14:paraId="78F9B93E">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（1）电子交易平台发生故障而无法登录访问的；</w:t>
      </w:r>
    </w:p>
    <w:p w14:paraId="259DF426">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（2）电子交易平台应用或数据库出现错误，不能进行正常操作的；</w:t>
      </w:r>
    </w:p>
    <w:p w14:paraId="2DD96D09">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（3）电子交易平台发现严重安全漏洞，有潜在泄密危险的；</w:t>
      </w:r>
    </w:p>
    <w:p w14:paraId="7EAB248D">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（4）病毒发作导致不能进行正常操作的；</w:t>
      </w:r>
    </w:p>
    <w:p w14:paraId="6C2643E7">
      <w:pPr>
        <w:pStyle w:val="19"/>
        <w:spacing w:line="360" w:lineRule="auto"/>
        <w:ind w:firstLine="52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（5）其他无法正常操作电子交易平台的情况。</w:t>
      </w:r>
    </w:p>
    <w:p w14:paraId="6914805F">
      <w:pPr>
        <w:pStyle w:val="19"/>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CB90B6A">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18" w:name="_Toc23235"/>
      <w:r>
        <w:rPr>
          <w:rFonts w:hint="eastAsia" w:ascii="宋体" w:hAnsi="宋体" w:eastAsia="宋体" w:cs="宋体"/>
          <w:color w:val="000000" w:themeColor="text1"/>
          <w:szCs w:val="28"/>
          <w:highlight w:val="none"/>
          <w14:textFill>
            <w14:solidFill>
              <w14:schemeClr w14:val="tx1"/>
            </w14:solidFill>
          </w14:textFill>
        </w:rPr>
        <w:t>六、中标结果</w:t>
      </w:r>
      <w:bookmarkEnd w:id="18"/>
    </w:p>
    <w:p w14:paraId="34AFA21E">
      <w:pPr>
        <w:pStyle w:val="19"/>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28. 中标人的确定</w:t>
      </w:r>
    </w:p>
    <w:p w14:paraId="4841AD5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28.1采购代理机构应当在评标结束之日起2个工作日内将评标报告送采购人确认。</w:t>
      </w:r>
    </w:p>
    <w:p w14:paraId="791698E9">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28.2采购人应当在收到评标报告之日起5个工作日内，在评标报告中推荐的中标候选人中按顺序确定中标人。</w:t>
      </w:r>
    </w:p>
    <w:p w14:paraId="62D1CE33">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29. 中标通知书</w:t>
      </w:r>
    </w:p>
    <w:p w14:paraId="1D97B13B">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29.1中标人确定之日起2个工作日内，采购代理机构在省级以上财政部门指定的媒体上公告中标结果，中标公告期限为1个工作日，同时向中标人发出中标通知书。</w:t>
      </w:r>
    </w:p>
    <w:p w14:paraId="7D8CF964">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29.2中标通知书是合同的组成部分。</w:t>
      </w:r>
    </w:p>
    <w:p w14:paraId="1DFD4C47">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30. 签订合同</w:t>
      </w:r>
    </w:p>
    <w:p w14:paraId="12E3DFA1">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30.1采购人与中标人应当在中标通知书发出之日起30日内，按照招标文件和中标人投标文件的规定签订政府采购合同。所签订的合同不得对招标文件确定的事项和中标人投标文件作实质性修改。</w:t>
      </w:r>
    </w:p>
    <w:p w14:paraId="01FC44D8">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0520AAF">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30.3政府采购合同履行中，采购人需追加与合同标的相同的货物的，在不改变合同其他条款的前提下，可以与中标人协商签订补充合同，但所有补充合同的采购金额不得超过原合同采购金额的百分之十。</w:t>
      </w:r>
    </w:p>
    <w:p w14:paraId="2A697EA6">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31. 履约担保</w:t>
      </w:r>
    </w:p>
    <w:p w14:paraId="50F9076F">
      <w:pPr>
        <w:pStyle w:val="19"/>
        <w:tabs>
          <w:tab w:val="left" w:pos="710"/>
        </w:tabs>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31.1签订合同前，中标人应按“</w:t>
      </w:r>
      <w:r>
        <w:rPr>
          <w:rFonts w:hint="eastAsia" w:hAnsi="宋体" w:cs="宋体"/>
          <w:b/>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”规定的履约担保的金额及形式向采购人提交履约担保；联合体中标的，其履约担保由牵头人递交。否则，视为放弃中标项目，投标保证金将不予退还。</w:t>
      </w:r>
    </w:p>
    <w:p w14:paraId="6036AE87">
      <w:pPr>
        <w:pStyle w:val="19"/>
        <w:tabs>
          <w:tab w:val="left" w:pos="710"/>
        </w:tabs>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31.2签订合同后，如中标人不按双方签订合同约定履约，则没收其全部履约保证金，履约保证金不足以赔偿损失的，按实际损失赔偿。</w:t>
      </w:r>
    </w:p>
    <w:p w14:paraId="6E8A7C8D">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32.3履约保证金按合同约定退还。</w:t>
      </w:r>
    </w:p>
    <w:p w14:paraId="10268508">
      <w:pPr>
        <w:pStyle w:val="8"/>
        <w:numPr>
          <w:ilvl w:val="0"/>
          <w:numId w:val="0"/>
        </w:numPr>
        <w:ind w:left="425"/>
        <w:jc w:val="center"/>
        <w:rPr>
          <w:rFonts w:ascii="宋体" w:hAnsi="宋体" w:eastAsia="宋体" w:cs="宋体"/>
          <w:color w:val="000000" w:themeColor="text1"/>
          <w:sz w:val="21"/>
          <w:szCs w:val="21"/>
          <w:highlight w:val="none"/>
          <w14:textFill>
            <w14:solidFill>
              <w14:schemeClr w14:val="tx1"/>
            </w14:solidFill>
          </w14:textFill>
        </w:rPr>
      </w:pPr>
      <w:bookmarkStart w:id="19" w:name="_Toc17662"/>
      <w:r>
        <w:rPr>
          <w:rFonts w:hint="eastAsia" w:ascii="宋体" w:hAnsi="宋体" w:eastAsia="宋体" w:cs="宋体"/>
          <w:color w:val="000000" w:themeColor="text1"/>
          <w:sz w:val="21"/>
          <w:szCs w:val="21"/>
          <w:highlight w:val="none"/>
          <w14:textFill>
            <w14:solidFill>
              <w14:schemeClr w14:val="tx1"/>
            </w14:solidFill>
          </w14:textFill>
        </w:rPr>
        <w:t>七、其他事项</w:t>
      </w:r>
      <w:bookmarkEnd w:id="19"/>
    </w:p>
    <w:p w14:paraId="55A39C7C">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32. 采购代理服务费</w:t>
      </w:r>
    </w:p>
    <w:p w14:paraId="427C89E8">
      <w:pPr>
        <w:spacing w:line="3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32.1采购代理机构以预算金额按《云南省建设工程招标代理服务收费参考意见》云建招协【2023】51号规定计取</w:t>
      </w:r>
      <w:r>
        <w:rPr>
          <w:rFonts w:hint="eastAsia" w:ascii="宋体" w:hAnsi="宋体" w:cs="宋体"/>
          <w:color w:val="000000" w:themeColor="text1"/>
          <w:kern w:val="0"/>
          <w:szCs w:val="21"/>
          <w:highlight w:val="none"/>
          <w14:textFill>
            <w14:solidFill>
              <w14:schemeClr w14:val="tx1"/>
            </w14:solidFill>
          </w14:textFill>
        </w:rPr>
        <w:t>。</w:t>
      </w:r>
    </w:p>
    <w:p w14:paraId="718855DB">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32.2中标人应在接受“</w:t>
      </w:r>
      <w:r>
        <w:rPr>
          <w:rFonts w:hint="eastAsia" w:hAnsi="宋体" w:cs="宋体"/>
          <w:b/>
          <w:color w:val="000000" w:themeColor="text1"/>
          <w:szCs w:val="21"/>
          <w:highlight w:val="none"/>
          <w14:textFill>
            <w14:solidFill>
              <w14:schemeClr w14:val="tx1"/>
            </w14:solidFill>
          </w14:textFill>
        </w:rPr>
        <w:t>中标通知书</w:t>
      </w:r>
      <w:r>
        <w:rPr>
          <w:rFonts w:hint="eastAsia" w:hAnsi="宋体" w:cs="宋体"/>
          <w:color w:val="000000" w:themeColor="text1"/>
          <w:szCs w:val="21"/>
          <w:highlight w:val="none"/>
          <w14:textFill>
            <w14:solidFill>
              <w14:schemeClr w14:val="tx1"/>
            </w14:solidFill>
          </w14:textFill>
        </w:rPr>
        <w:t>”前向采购代理机构一次付清代理服务费。</w:t>
      </w:r>
    </w:p>
    <w:p w14:paraId="7C61CDB7">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33. 招标文件编制依据</w:t>
      </w:r>
    </w:p>
    <w:p w14:paraId="2C777E12">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33.1本招标文件根据《中华人民共和国政府采购法》及相关法律法规编制。</w:t>
      </w:r>
    </w:p>
    <w:p w14:paraId="4590C3A3">
      <w:pPr>
        <w:pStyle w:val="19"/>
        <w:spacing w:line="360" w:lineRule="auto"/>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34.</w:t>
      </w:r>
      <w:r>
        <w:rPr>
          <w:rFonts w:hint="eastAsia" w:hAnsi="宋体" w:cs="宋体"/>
          <w:b/>
          <w:color w:val="000000" w:themeColor="text1"/>
          <w:szCs w:val="21"/>
          <w:highlight w:val="none"/>
          <w14:textFill>
            <w14:solidFill>
              <w14:schemeClr w14:val="tx1"/>
            </w14:solidFill>
          </w14:textFill>
        </w:rPr>
        <w:t>需要补充的其他内容</w:t>
      </w:r>
    </w:p>
    <w:p w14:paraId="69CE0CAC">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34.1 “</w:t>
      </w:r>
      <w:r>
        <w:rPr>
          <w:rFonts w:hint="eastAsia" w:hAnsi="宋体" w:cs="宋体"/>
          <w:b/>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6213B821">
      <w:pPr>
        <w:pStyle w:val="19"/>
        <w:spacing w:line="360" w:lineRule="auto"/>
        <w:ind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评标委员会在对有备选方案的投标人进行评审时，应当以主选方案为准进行评审，如考虑备选方案的，备选方案必须实质性响应招标文件要求。</w:t>
      </w:r>
    </w:p>
    <w:p w14:paraId="1AD10347">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34.2其它需要补充的其他内容：见“</w:t>
      </w:r>
      <w:r>
        <w:rPr>
          <w:rFonts w:hint="eastAsia" w:hAnsi="宋体" w:cs="宋体"/>
          <w:b/>
          <w:color w:val="000000" w:themeColor="text1"/>
          <w:szCs w:val="21"/>
          <w:highlight w:val="none"/>
          <w14:textFill>
            <w14:solidFill>
              <w14:schemeClr w14:val="tx1"/>
            </w14:solidFill>
          </w14:textFill>
        </w:rPr>
        <w:t>投标人须知前附表</w:t>
      </w:r>
      <w:r>
        <w:rPr>
          <w:rFonts w:hint="eastAsia" w:hAnsi="宋体" w:cs="宋体"/>
          <w:color w:val="000000" w:themeColor="text1"/>
          <w:szCs w:val="21"/>
          <w:highlight w:val="none"/>
          <w14:textFill>
            <w14:solidFill>
              <w14:schemeClr w14:val="tx1"/>
            </w14:solidFill>
          </w14:textFill>
        </w:rPr>
        <w:t>”。</w:t>
      </w:r>
    </w:p>
    <w:p w14:paraId="7807B417">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br w:type="page"/>
      </w:r>
    </w:p>
    <w:p w14:paraId="223EA00E">
      <w:pPr>
        <w:pStyle w:val="7"/>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20" w:name="_Toc15240"/>
      <w:bookmarkStart w:id="21" w:name="_Toc213141090"/>
      <w:r>
        <w:rPr>
          <w:rFonts w:hint="eastAsia" w:ascii="宋体" w:hAnsi="宋体" w:eastAsia="宋体" w:cs="宋体"/>
          <w:color w:val="000000" w:themeColor="text1"/>
          <w:szCs w:val="28"/>
          <w:highlight w:val="none"/>
          <w14:textFill>
            <w14:solidFill>
              <w14:schemeClr w14:val="tx1"/>
            </w14:solidFill>
          </w14:textFill>
        </w:rPr>
        <w:t>第三章 合同书样式及主要条款</w:t>
      </w:r>
      <w:bookmarkEnd w:id="20"/>
      <w:bookmarkEnd w:id="21"/>
    </w:p>
    <w:p w14:paraId="409EAFB9">
      <w:pPr>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（本合同内容仅供参考，甲乙双方可根据国家相关法律法规及本项目的情况另行约定）</w:t>
      </w:r>
    </w:p>
    <w:p w14:paraId="533F3A25">
      <w:pPr>
        <w:pStyle w:val="19"/>
        <w:rPr>
          <w:rFonts w:hAnsi="宋体" w:cs="宋体"/>
          <w:b/>
          <w:color w:val="000000" w:themeColor="text1"/>
          <w:sz w:val="24"/>
          <w:highlight w:val="none"/>
          <w14:textFill>
            <w14:solidFill>
              <w14:schemeClr w14:val="tx1"/>
            </w14:solidFill>
          </w14:textFill>
        </w:rPr>
      </w:pPr>
    </w:p>
    <w:p w14:paraId="3B93EB41">
      <w:pPr>
        <w:pStyle w:val="8"/>
        <w:rPr>
          <w:highlight w:val="none"/>
        </w:rPr>
      </w:pPr>
      <w:bookmarkStart w:id="22" w:name="_Toc31585"/>
      <w:bookmarkStart w:id="23" w:name="_Toc213141091"/>
      <w:bookmarkStart w:id="24" w:name="_Toc481694842"/>
      <w:bookmarkStart w:id="25" w:name="_Toc488633613"/>
      <w:bookmarkStart w:id="26" w:name="_Toc489145748"/>
      <w:bookmarkStart w:id="27" w:name="_Toc13610"/>
      <w:bookmarkStart w:id="28" w:name="_Toc143938053"/>
      <w:bookmarkStart w:id="29" w:name="_Toc54862354"/>
      <w:bookmarkStart w:id="30" w:name="_Toc124514152"/>
      <w:bookmarkStart w:id="31" w:name="_Toc124514439"/>
      <w:bookmarkStart w:id="32" w:name="_Toc20171895"/>
      <w:r>
        <w:rPr>
          <w:rFonts w:hint="eastAsia"/>
          <w:highlight w:val="none"/>
        </w:rPr>
        <w:t>合同条款前附表</w:t>
      </w:r>
      <w:bookmarkEnd w:id="22"/>
      <w:bookmarkEnd w:id="23"/>
      <w:bookmarkEnd w:id="24"/>
      <w:bookmarkEnd w:id="25"/>
      <w:bookmarkEnd w:id="26"/>
      <w:bookmarkEnd w:id="27"/>
    </w:p>
    <w:tbl>
      <w:tblPr>
        <w:tblStyle w:val="35"/>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7520"/>
      </w:tblGrid>
      <w:tr w14:paraId="3BF2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119" w:type="dxa"/>
            <w:vAlign w:val="center"/>
          </w:tcPr>
          <w:p w14:paraId="5D019D1C">
            <w:pPr>
              <w:pStyle w:val="19"/>
              <w:spacing w:line="360" w:lineRule="auto"/>
              <w:ind w:firstLine="210" w:firstLineChars="100"/>
              <w:rPr>
                <w:rFonts w:hAnsi="宋体"/>
                <w:b/>
                <w:bCs/>
                <w:szCs w:val="21"/>
                <w:highlight w:val="none"/>
              </w:rPr>
            </w:pPr>
            <w:r>
              <w:rPr>
                <w:rFonts w:hint="eastAsia" w:hAnsi="宋体"/>
                <w:b/>
                <w:bCs/>
                <w:szCs w:val="21"/>
                <w:highlight w:val="none"/>
              </w:rPr>
              <w:t>序号</w:t>
            </w:r>
          </w:p>
        </w:tc>
        <w:tc>
          <w:tcPr>
            <w:tcW w:w="7520" w:type="dxa"/>
            <w:vAlign w:val="center"/>
          </w:tcPr>
          <w:p w14:paraId="54FAD94D">
            <w:pPr>
              <w:pStyle w:val="19"/>
              <w:spacing w:line="360" w:lineRule="auto"/>
              <w:ind w:firstLine="210" w:firstLineChars="100"/>
              <w:jc w:val="center"/>
              <w:rPr>
                <w:rFonts w:hAnsi="宋体"/>
                <w:b/>
                <w:bCs/>
                <w:szCs w:val="21"/>
                <w:highlight w:val="none"/>
              </w:rPr>
            </w:pPr>
            <w:r>
              <w:rPr>
                <w:rFonts w:hint="eastAsia" w:hAnsi="宋体"/>
                <w:b/>
                <w:bCs/>
                <w:szCs w:val="21"/>
                <w:highlight w:val="none"/>
              </w:rPr>
              <w:t>内      容</w:t>
            </w:r>
          </w:p>
        </w:tc>
      </w:tr>
      <w:tr w14:paraId="7014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5" w:hRule="exact"/>
          <w:jc w:val="center"/>
        </w:trPr>
        <w:tc>
          <w:tcPr>
            <w:tcW w:w="1119" w:type="dxa"/>
            <w:vAlign w:val="center"/>
          </w:tcPr>
          <w:p w14:paraId="32343717">
            <w:pPr>
              <w:pStyle w:val="19"/>
              <w:spacing w:line="360" w:lineRule="auto"/>
              <w:ind w:firstLine="422"/>
              <w:jc w:val="center"/>
              <w:rPr>
                <w:rFonts w:hAnsi="宋体"/>
                <w:szCs w:val="21"/>
                <w:highlight w:val="none"/>
              </w:rPr>
            </w:pPr>
            <w:r>
              <w:rPr>
                <w:rFonts w:hint="eastAsia" w:hAnsi="宋体"/>
                <w:szCs w:val="21"/>
                <w:highlight w:val="none"/>
              </w:rPr>
              <w:t>1</w:t>
            </w:r>
          </w:p>
        </w:tc>
        <w:tc>
          <w:tcPr>
            <w:tcW w:w="7520" w:type="dxa"/>
            <w:vAlign w:val="center"/>
          </w:tcPr>
          <w:p w14:paraId="2B28D2F9">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bCs/>
                <w:szCs w:val="21"/>
                <w:highlight w:val="none"/>
              </w:rPr>
              <w:t>服务期限：</w:t>
            </w:r>
            <w:r>
              <w:rPr>
                <w:rFonts w:hint="eastAsia" w:hAnsi="宋体" w:cs="宋体"/>
                <w:bCs/>
                <w:color w:val="000000" w:themeColor="text1"/>
                <w:szCs w:val="21"/>
                <w:highlight w:val="none"/>
                <w14:textFill>
                  <w14:solidFill>
                    <w14:schemeClr w14:val="tx1"/>
                  </w14:solidFill>
                </w14:textFill>
              </w:rPr>
              <w:t>实施周期90日历天，供应商应提供一揽子维修改造方案（含安全生产）并实施完成，确保满足城市照明相关规定并最终完成移交工作</w:t>
            </w:r>
            <w:r>
              <w:rPr>
                <w:rFonts w:hint="eastAsia" w:hAnsi="宋体" w:cs="宋体"/>
                <w:color w:val="000000" w:themeColor="text1"/>
                <w:szCs w:val="21"/>
                <w:highlight w:val="none"/>
                <w14:textFill>
                  <w14:solidFill>
                    <w14:schemeClr w14:val="tx1"/>
                  </w14:solidFill>
                </w14:textFill>
              </w:rPr>
              <w:t>。</w:t>
            </w:r>
          </w:p>
          <w:p w14:paraId="761CD10F">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质保期：12个月。</w:t>
            </w:r>
          </w:p>
          <w:p w14:paraId="4C1E480E">
            <w:pPr>
              <w:pStyle w:val="19"/>
              <w:spacing w:line="360" w:lineRule="auto"/>
              <w:rPr>
                <w:rFonts w:hAnsi="宋体"/>
                <w:szCs w:val="21"/>
                <w:highlight w:val="none"/>
              </w:rPr>
            </w:pPr>
            <w:r>
              <w:rPr>
                <w:rFonts w:hint="eastAsia" w:hAnsi="宋体"/>
                <w:szCs w:val="21"/>
                <w:highlight w:val="none"/>
              </w:rPr>
              <w:t>服务地点：昆明经济技术开发区。</w:t>
            </w:r>
          </w:p>
        </w:tc>
      </w:tr>
      <w:tr w14:paraId="6E13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exact"/>
          <w:jc w:val="center"/>
        </w:trPr>
        <w:tc>
          <w:tcPr>
            <w:tcW w:w="1119" w:type="dxa"/>
            <w:vAlign w:val="center"/>
          </w:tcPr>
          <w:p w14:paraId="03938938">
            <w:pPr>
              <w:pStyle w:val="19"/>
              <w:spacing w:line="360" w:lineRule="auto"/>
              <w:ind w:firstLine="422"/>
              <w:jc w:val="center"/>
              <w:rPr>
                <w:rFonts w:hint="eastAsia" w:hAnsi="宋体" w:eastAsia="宋体"/>
                <w:szCs w:val="21"/>
                <w:highlight w:val="none"/>
                <w:lang w:val="en-US" w:eastAsia="zh-CN"/>
              </w:rPr>
            </w:pPr>
            <w:r>
              <w:rPr>
                <w:rFonts w:hint="eastAsia" w:hAnsi="宋体"/>
                <w:szCs w:val="21"/>
                <w:highlight w:val="none"/>
                <w:lang w:val="en-US" w:eastAsia="zh-CN"/>
              </w:rPr>
              <w:t>2</w:t>
            </w:r>
          </w:p>
        </w:tc>
        <w:tc>
          <w:tcPr>
            <w:tcW w:w="7520" w:type="dxa"/>
            <w:vAlign w:val="center"/>
          </w:tcPr>
          <w:p w14:paraId="07A505B8">
            <w:pPr>
              <w:pStyle w:val="19"/>
              <w:spacing w:line="360" w:lineRule="auto"/>
              <w:rPr>
                <w:rFonts w:hint="default" w:hAnsi="宋体" w:eastAsia="宋体"/>
                <w:szCs w:val="21"/>
                <w:highlight w:val="none"/>
                <w:lang w:val="en-US" w:eastAsia="zh-CN"/>
              </w:rPr>
            </w:pPr>
            <w:r>
              <w:rPr>
                <w:rFonts w:hint="eastAsia" w:hAnsi="宋体"/>
                <w:szCs w:val="21"/>
                <w:highlight w:val="none"/>
                <w:lang w:val="en-US" w:eastAsia="zh-CN"/>
              </w:rPr>
              <w:t>定价方式：固定费率。</w:t>
            </w:r>
          </w:p>
        </w:tc>
      </w:tr>
      <w:tr w14:paraId="558B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3" w:hRule="atLeast"/>
          <w:jc w:val="center"/>
        </w:trPr>
        <w:tc>
          <w:tcPr>
            <w:tcW w:w="1119" w:type="dxa"/>
            <w:vAlign w:val="center"/>
          </w:tcPr>
          <w:p w14:paraId="6EF17B24">
            <w:pPr>
              <w:pStyle w:val="19"/>
              <w:spacing w:line="360" w:lineRule="auto"/>
              <w:ind w:firstLine="422"/>
              <w:jc w:val="center"/>
              <w:rPr>
                <w:rFonts w:hint="eastAsia" w:hAnsi="宋体" w:eastAsia="宋体"/>
                <w:szCs w:val="21"/>
                <w:highlight w:val="none"/>
                <w:lang w:eastAsia="zh-CN"/>
              </w:rPr>
            </w:pPr>
            <w:r>
              <w:rPr>
                <w:rFonts w:hint="eastAsia" w:hAnsi="宋体"/>
                <w:szCs w:val="21"/>
                <w:highlight w:val="none"/>
                <w:lang w:val="en-US" w:eastAsia="zh-CN"/>
              </w:rPr>
              <w:t>3</w:t>
            </w:r>
          </w:p>
        </w:tc>
        <w:tc>
          <w:tcPr>
            <w:tcW w:w="7520" w:type="dxa"/>
            <w:vAlign w:val="center"/>
          </w:tcPr>
          <w:p w14:paraId="4191FBF2">
            <w:pPr>
              <w:pStyle w:val="19"/>
              <w:spacing w:line="360" w:lineRule="auto"/>
              <w:rPr>
                <w:rFonts w:hAnsi="宋体"/>
                <w:szCs w:val="21"/>
                <w:highlight w:val="none"/>
              </w:rPr>
            </w:pPr>
            <w:r>
              <w:rPr>
                <w:rFonts w:hint="eastAsia" w:hAnsi="宋体"/>
                <w:szCs w:val="21"/>
                <w:highlight w:val="none"/>
              </w:rPr>
              <w:t>支付比例：1、合同签订后支付项目预算金额20%的预付款。</w:t>
            </w:r>
          </w:p>
          <w:p w14:paraId="7CEC69A3">
            <w:pPr>
              <w:pStyle w:val="19"/>
              <w:numPr>
                <w:ilvl w:val="0"/>
                <w:numId w:val="5"/>
              </w:numPr>
              <w:spacing w:line="360" w:lineRule="auto"/>
              <w:rPr>
                <w:rFonts w:hint="eastAsia" w:hAnsi="宋体"/>
                <w:szCs w:val="21"/>
                <w:highlight w:val="none"/>
                <w:lang w:val="en-US" w:eastAsia="zh-CN"/>
              </w:rPr>
            </w:pPr>
            <w:r>
              <w:rPr>
                <w:rFonts w:hint="eastAsia" w:hAnsi="宋体"/>
                <w:szCs w:val="21"/>
                <w:highlight w:val="none"/>
                <w:lang w:val="en-US" w:eastAsia="zh-CN"/>
              </w:rPr>
              <w:t>进度款：进度款终验完成后一次性。进度款=</w:t>
            </w:r>
            <w:r>
              <w:rPr>
                <w:rFonts w:hint="eastAsia" w:hAnsi="宋体" w:cs="宋体"/>
                <w:color w:val="000000" w:themeColor="text1"/>
                <w:szCs w:val="21"/>
                <w:highlight w:val="none"/>
                <w14:textFill>
                  <w14:solidFill>
                    <w14:schemeClr w14:val="tx1"/>
                  </w14:solidFill>
                </w14:textFill>
              </w:rPr>
              <w:t>最终合同结算价款</w:t>
            </w:r>
            <w:r>
              <w:rPr>
                <w:rFonts w:hint="eastAsia" w:hAnsi="宋体" w:cs="宋体"/>
                <w:color w:val="000000" w:themeColor="text1"/>
                <w:szCs w:val="21"/>
                <w:highlight w:val="none"/>
                <w:lang w:val="en-US" w:eastAsia="zh-CN"/>
                <w14:textFill>
                  <w14:solidFill>
                    <w14:schemeClr w14:val="tx1"/>
                  </w14:solidFill>
                </w14:textFill>
              </w:rPr>
              <w:t>*97%</w:t>
            </w:r>
            <w:r>
              <w:rPr>
                <w:rFonts w:hint="eastAsia" w:hAnsi="宋体"/>
                <w:szCs w:val="21"/>
                <w:highlight w:val="none"/>
                <w:lang w:val="en-US" w:eastAsia="zh-CN"/>
              </w:rPr>
              <w:t>-预付款。</w:t>
            </w:r>
          </w:p>
          <w:p w14:paraId="3E096388">
            <w:pPr>
              <w:pStyle w:val="19"/>
              <w:numPr>
                <w:ilvl w:val="0"/>
                <w:numId w:val="0"/>
              </w:numPr>
              <w:spacing w:line="360" w:lineRule="auto"/>
              <w:rPr>
                <w:rFonts w:hint="eastAsia" w:hAnsi="宋体"/>
                <w:szCs w:val="21"/>
                <w:highlight w:val="none"/>
                <w:lang w:val="en-US" w:eastAsia="zh-CN"/>
              </w:rPr>
            </w:pPr>
            <w:r>
              <w:rPr>
                <w:rFonts w:hint="eastAsia" w:hAnsi="宋体" w:cs="宋体"/>
                <w:color w:val="000000" w:themeColor="text1"/>
                <w:szCs w:val="21"/>
                <w:highlight w:val="none"/>
                <w14:textFill>
                  <w14:solidFill>
                    <w14:schemeClr w14:val="tx1"/>
                  </w14:solidFill>
                </w14:textFill>
              </w:rPr>
              <w:t>最终合同结算价款由发包人委托的第三方造价咨询服务单位依据现行计价依据和标准，根据最终完成工作量编制的预算的基础上下浮</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%（中标费率）的形式进行计取，（即：结算价＝经审核的最终工程量预算价×（1—中标的下浮幅度值）</w:t>
            </w:r>
            <w:r>
              <w:rPr>
                <w:rFonts w:hint="eastAsia" w:hAnsi="宋体"/>
                <w:szCs w:val="21"/>
                <w:highlight w:val="none"/>
              </w:rPr>
              <w:t>。</w:t>
            </w:r>
          </w:p>
          <w:p w14:paraId="6AB6EEB7">
            <w:pPr>
              <w:pStyle w:val="19"/>
              <w:numPr>
                <w:ilvl w:val="0"/>
                <w:numId w:val="5"/>
              </w:numPr>
              <w:spacing w:line="360" w:lineRule="auto"/>
              <w:rPr>
                <w:rFonts w:hint="default" w:hAnsi="宋体"/>
                <w:szCs w:val="21"/>
                <w:highlight w:val="none"/>
                <w:lang w:val="en-US" w:eastAsia="zh-CN"/>
              </w:rPr>
            </w:pPr>
            <w:r>
              <w:rPr>
                <w:rFonts w:hint="eastAsia" w:hAnsi="宋体"/>
                <w:szCs w:val="21"/>
                <w:highlight w:val="none"/>
                <w:lang w:val="en-US" w:eastAsia="zh-CN"/>
              </w:rPr>
              <w:t>尾款：</w:t>
            </w:r>
            <w:r>
              <w:rPr>
                <w:rFonts w:hint="eastAsia" w:hAnsi="宋体" w:cs="宋体"/>
                <w:color w:val="000000" w:themeColor="text1"/>
                <w:szCs w:val="21"/>
                <w:highlight w:val="none"/>
                <w14:textFill>
                  <w14:solidFill>
                    <w14:schemeClr w14:val="tx1"/>
                  </w14:solidFill>
                </w14:textFill>
              </w:rPr>
              <w:t>最终合同结算价款</w:t>
            </w:r>
            <w:r>
              <w:rPr>
                <w:rFonts w:hint="eastAsia" w:hAnsi="宋体" w:cs="宋体"/>
                <w:color w:val="000000" w:themeColor="text1"/>
                <w:szCs w:val="21"/>
                <w:highlight w:val="none"/>
                <w:lang w:val="en-US" w:eastAsia="zh-CN"/>
                <w14:textFill>
                  <w14:solidFill>
                    <w14:schemeClr w14:val="tx1"/>
                  </w14:solidFill>
                </w14:textFill>
              </w:rPr>
              <w:t>*3%，验收完成1年后支付。</w:t>
            </w:r>
          </w:p>
        </w:tc>
      </w:tr>
    </w:tbl>
    <w:p w14:paraId="59CB452D">
      <w:pPr>
        <w:ind w:firstLine="422"/>
        <w:rPr>
          <w:highlight w:val="none"/>
        </w:rPr>
      </w:pPr>
    </w:p>
    <w:p w14:paraId="7DA33F55">
      <w:pPr>
        <w:pStyle w:val="8"/>
        <w:rPr>
          <w:highlight w:val="none"/>
        </w:rPr>
      </w:pPr>
      <w:r>
        <w:rPr>
          <w:highlight w:val="none"/>
        </w:rPr>
        <w:br w:type="page"/>
      </w:r>
      <w:bookmarkStart w:id="33" w:name="_Toc31602"/>
      <w:bookmarkStart w:id="34" w:name="_Toc31156"/>
      <w:r>
        <w:rPr>
          <w:rFonts w:hint="eastAsia"/>
          <w:highlight w:val="none"/>
        </w:rPr>
        <w:t>合同书样式</w:t>
      </w:r>
      <w:bookmarkEnd w:id="33"/>
      <w:bookmarkEnd w:id="34"/>
    </w:p>
    <w:p w14:paraId="67122EE4">
      <w:pPr>
        <w:spacing w:line="420" w:lineRule="exact"/>
        <w:ind w:firstLine="361"/>
        <w:jc w:val="center"/>
        <w:rPr>
          <w:rFonts w:ascii="Arial" w:hAnsi="Arial" w:eastAsia="黑体" w:cs="Arial"/>
          <w:b/>
          <w:sz w:val="18"/>
          <w:szCs w:val="18"/>
          <w:highlight w:val="none"/>
        </w:rPr>
      </w:pPr>
      <w:r>
        <w:rPr>
          <w:rFonts w:hint="eastAsia" w:ascii="Arial" w:hAnsi="Arial" w:eastAsia="黑体" w:cs="Arial"/>
          <w:b/>
          <w:sz w:val="18"/>
          <w:szCs w:val="18"/>
          <w:highlight w:val="none"/>
        </w:rPr>
        <w:t>（此合同仅供参考，但最终签订合同不得变更采购内容、合同价款等实质性条款）</w:t>
      </w:r>
    </w:p>
    <w:p w14:paraId="2A8710D6">
      <w:pPr>
        <w:pStyle w:val="12"/>
        <w:ind w:firstLine="400"/>
        <w:rPr>
          <w:highlight w:val="none"/>
        </w:rPr>
      </w:pPr>
    </w:p>
    <w:p w14:paraId="648FA8C3">
      <w:pPr>
        <w:spacing w:line="720" w:lineRule="auto"/>
        <w:jc w:val="center"/>
        <w:rPr>
          <w:rFonts w:ascii="宋体" w:cs="宋体"/>
          <w:b/>
          <w:sz w:val="48"/>
          <w:szCs w:val="52"/>
          <w:highlight w:val="none"/>
        </w:rPr>
      </w:pPr>
      <w:r>
        <w:rPr>
          <w:rFonts w:hint="eastAsia" w:ascii="宋体" w:hAnsi="宋体" w:cs="宋体"/>
          <w:b/>
          <w:sz w:val="48"/>
          <w:szCs w:val="52"/>
          <w:highlight w:val="none"/>
          <w:lang w:eastAsia="zh-CN"/>
        </w:rPr>
        <w:t>昆明经济技术开发区规划建设局昆明经开区建成市政道路照明设施修复改造项目</w:t>
      </w:r>
      <w:r>
        <w:rPr>
          <w:rFonts w:hint="eastAsia" w:ascii="宋体" w:hAnsi="宋体" w:cs="宋体"/>
          <w:b/>
          <w:sz w:val="48"/>
          <w:szCs w:val="52"/>
          <w:highlight w:val="none"/>
        </w:rPr>
        <w:t>合同</w:t>
      </w:r>
    </w:p>
    <w:p w14:paraId="46D40C98">
      <w:pPr>
        <w:ind w:firstLine="562"/>
        <w:rPr>
          <w:rFonts w:ascii="宋体" w:cs="宋体"/>
          <w:sz w:val="28"/>
          <w:szCs w:val="28"/>
          <w:highlight w:val="none"/>
        </w:rPr>
      </w:pPr>
    </w:p>
    <w:p w14:paraId="2C6723D9">
      <w:pPr>
        <w:ind w:firstLine="562"/>
        <w:rPr>
          <w:rFonts w:ascii="宋体" w:cs="宋体"/>
          <w:sz w:val="28"/>
          <w:szCs w:val="28"/>
          <w:highlight w:val="none"/>
        </w:rPr>
      </w:pPr>
    </w:p>
    <w:p w14:paraId="7B04E1AB">
      <w:pPr>
        <w:ind w:firstLine="562"/>
        <w:rPr>
          <w:rFonts w:ascii="宋体" w:cs="宋体"/>
          <w:sz w:val="28"/>
          <w:szCs w:val="28"/>
          <w:highlight w:val="none"/>
        </w:rPr>
      </w:pPr>
    </w:p>
    <w:p w14:paraId="4A4DD45A">
      <w:pPr>
        <w:ind w:firstLine="562"/>
        <w:rPr>
          <w:rFonts w:ascii="宋体" w:cs="宋体"/>
          <w:sz w:val="28"/>
          <w:szCs w:val="28"/>
          <w:highlight w:val="none"/>
        </w:rPr>
      </w:pPr>
    </w:p>
    <w:p w14:paraId="70CBD0FA">
      <w:pPr>
        <w:ind w:firstLine="562"/>
        <w:rPr>
          <w:rFonts w:ascii="宋体" w:cs="宋体"/>
          <w:sz w:val="28"/>
          <w:szCs w:val="28"/>
          <w:highlight w:val="none"/>
        </w:rPr>
      </w:pPr>
    </w:p>
    <w:p w14:paraId="47EC029B">
      <w:pPr>
        <w:ind w:firstLine="562"/>
        <w:rPr>
          <w:rFonts w:ascii="宋体" w:cs="宋体"/>
          <w:sz w:val="28"/>
          <w:szCs w:val="28"/>
          <w:highlight w:val="none"/>
        </w:rPr>
      </w:pPr>
    </w:p>
    <w:p w14:paraId="6D712669">
      <w:pPr>
        <w:ind w:firstLine="562"/>
        <w:rPr>
          <w:rFonts w:ascii="宋体" w:cs="宋体"/>
          <w:sz w:val="28"/>
          <w:szCs w:val="28"/>
          <w:highlight w:val="none"/>
        </w:rPr>
      </w:pPr>
    </w:p>
    <w:p w14:paraId="124A81EC">
      <w:pPr>
        <w:ind w:firstLine="562"/>
        <w:rPr>
          <w:rFonts w:ascii="宋体" w:cs="宋体"/>
          <w:sz w:val="28"/>
          <w:szCs w:val="28"/>
          <w:highlight w:val="none"/>
        </w:rPr>
      </w:pPr>
    </w:p>
    <w:p w14:paraId="42AEFD63">
      <w:pPr>
        <w:ind w:firstLine="562"/>
        <w:rPr>
          <w:rFonts w:ascii="宋体" w:cs="宋体"/>
          <w:sz w:val="28"/>
          <w:szCs w:val="28"/>
          <w:highlight w:val="none"/>
        </w:rPr>
      </w:pPr>
    </w:p>
    <w:p w14:paraId="585A7B31">
      <w:pPr>
        <w:ind w:firstLine="562"/>
        <w:rPr>
          <w:rFonts w:ascii="宋体" w:cs="宋体"/>
          <w:sz w:val="28"/>
          <w:szCs w:val="28"/>
          <w:highlight w:val="none"/>
        </w:rPr>
      </w:pPr>
    </w:p>
    <w:p w14:paraId="5CDE12D0">
      <w:pPr>
        <w:spacing w:line="480" w:lineRule="auto"/>
        <w:ind w:firstLine="540" w:firstLineChars="150"/>
        <w:rPr>
          <w:rFonts w:ascii="宋体" w:cs="宋体"/>
          <w:b/>
          <w:bCs/>
          <w:sz w:val="36"/>
          <w:szCs w:val="36"/>
          <w:highlight w:val="none"/>
        </w:rPr>
      </w:pPr>
      <w:r>
        <w:rPr>
          <w:rFonts w:hint="eastAsia" w:ascii="宋体" w:hAnsi="宋体" w:cs="宋体"/>
          <w:b/>
          <w:bCs/>
          <w:sz w:val="36"/>
          <w:szCs w:val="36"/>
          <w:highlight w:val="none"/>
        </w:rPr>
        <w:t>甲方：昆明经济技术开发区规划建设局</w:t>
      </w:r>
    </w:p>
    <w:p w14:paraId="33648065">
      <w:pPr>
        <w:spacing w:line="480" w:lineRule="auto"/>
        <w:ind w:firstLine="540" w:firstLineChars="150"/>
        <w:rPr>
          <w:rFonts w:ascii="宋体" w:cs="宋体"/>
          <w:b/>
          <w:bCs/>
          <w:sz w:val="36"/>
          <w:szCs w:val="36"/>
          <w:highlight w:val="none"/>
        </w:rPr>
      </w:pPr>
      <w:r>
        <w:rPr>
          <w:rFonts w:hint="eastAsia" w:ascii="宋体" w:hAnsi="宋体" w:cs="宋体"/>
          <w:b/>
          <w:bCs/>
          <w:sz w:val="36"/>
          <w:szCs w:val="36"/>
          <w:highlight w:val="none"/>
        </w:rPr>
        <w:t>乙方：</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    </w:t>
      </w:r>
      <w:r>
        <w:rPr>
          <w:rFonts w:ascii="宋体" w:hAnsi="宋体" w:cs="宋体"/>
          <w:b/>
          <w:bCs/>
          <w:sz w:val="36"/>
          <w:szCs w:val="36"/>
          <w:highlight w:val="none"/>
        </w:rPr>
        <w:t xml:space="preserve">            </w:t>
      </w:r>
    </w:p>
    <w:p w14:paraId="50E6C8A6">
      <w:pPr>
        <w:spacing w:line="480" w:lineRule="auto"/>
        <w:ind w:firstLine="540" w:firstLineChars="150"/>
        <w:rPr>
          <w:rFonts w:ascii="宋体" w:cs="宋体"/>
          <w:b/>
          <w:bCs/>
          <w:sz w:val="36"/>
          <w:szCs w:val="36"/>
          <w:highlight w:val="none"/>
        </w:rPr>
      </w:pPr>
      <w:r>
        <w:rPr>
          <w:rFonts w:hint="eastAsia" w:ascii="宋体" w:hAnsi="宋体" w:cs="宋体"/>
          <w:b/>
          <w:bCs/>
          <w:sz w:val="36"/>
          <w:szCs w:val="36"/>
          <w:highlight w:val="none"/>
        </w:rPr>
        <w:t>日期：   年</w:t>
      </w:r>
      <w:r>
        <w:rPr>
          <w:rFonts w:ascii="宋体" w:hAnsi="宋体" w:cs="宋体"/>
          <w:b/>
          <w:bCs/>
          <w:sz w:val="36"/>
          <w:szCs w:val="36"/>
          <w:highlight w:val="none"/>
        </w:rPr>
        <w:t xml:space="preserve">  </w:t>
      </w:r>
      <w:r>
        <w:rPr>
          <w:rFonts w:hint="eastAsia" w:ascii="宋体" w:hAnsi="宋体" w:cs="宋体"/>
          <w:b/>
          <w:bCs/>
          <w:sz w:val="36"/>
          <w:szCs w:val="36"/>
          <w:highlight w:val="none"/>
        </w:rPr>
        <w:t>月</w:t>
      </w:r>
      <w:r>
        <w:rPr>
          <w:rFonts w:ascii="宋体" w:hAnsi="宋体" w:cs="宋体"/>
          <w:b/>
          <w:bCs/>
          <w:sz w:val="36"/>
          <w:szCs w:val="36"/>
          <w:highlight w:val="none"/>
        </w:rPr>
        <w:t xml:space="preserve">  </w:t>
      </w:r>
      <w:r>
        <w:rPr>
          <w:rFonts w:hint="eastAsia" w:ascii="宋体" w:hAnsi="宋体" w:cs="宋体"/>
          <w:b/>
          <w:bCs/>
          <w:sz w:val="36"/>
          <w:szCs w:val="36"/>
          <w:highlight w:val="none"/>
        </w:rPr>
        <w:t>日</w:t>
      </w:r>
    </w:p>
    <w:p w14:paraId="68AF9D90">
      <w:pPr>
        <w:adjustRightInd w:val="0"/>
        <w:snapToGrid w:val="0"/>
        <w:spacing w:line="360" w:lineRule="auto"/>
        <w:rPr>
          <w:rFonts w:ascii="宋体" w:hAnsi="宋体"/>
          <w:b/>
          <w:bCs/>
          <w:sz w:val="44"/>
          <w:szCs w:val="44"/>
          <w:highlight w:val="none"/>
        </w:rPr>
      </w:pPr>
    </w:p>
    <w:p w14:paraId="629F44D9">
      <w:pPr>
        <w:adjustRightInd w:val="0"/>
        <w:snapToGrid w:val="0"/>
        <w:spacing w:line="360" w:lineRule="auto"/>
        <w:ind w:firstLine="883"/>
        <w:jc w:val="center"/>
        <w:rPr>
          <w:rFonts w:ascii="宋体" w:hAnsi="宋体"/>
          <w:b/>
          <w:bCs/>
          <w:sz w:val="44"/>
          <w:szCs w:val="44"/>
          <w:highlight w:val="none"/>
        </w:rPr>
      </w:pPr>
    </w:p>
    <w:p w14:paraId="3ADF65CA">
      <w:pPr>
        <w:pStyle w:val="2"/>
        <w:ind w:firstLine="210"/>
        <w:rPr>
          <w:highlight w:val="none"/>
        </w:rPr>
      </w:pPr>
    </w:p>
    <w:p w14:paraId="3EB2CC9A">
      <w:pPr>
        <w:adjustRightInd w:val="0"/>
        <w:snapToGrid w:val="0"/>
        <w:spacing w:line="360" w:lineRule="auto"/>
        <w:ind w:firstLine="883"/>
        <w:jc w:val="center"/>
        <w:rPr>
          <w:rFonts w:ascii="宋体"/>
          <w:b/>
          <w:bCs/>
          <w:sz w:val="44"/>
          <w:szCs w:val="44"/>
          <w:highlight w:val="none"/>
        </w:rPr>
      </w:pPr>
      <w:r>
        <w:rPr>
          <w:rFonts w:hint="eastAsia" w:ascii="宋体" w:hAnsi="宋体"/>
          <w:b/>
          <w:bCs/>
          <w:sz w:val="44"/>
          <w:szCs w:val="44"/>
          <w:highlight w:val="none"/>
        </w:rPr>
        <w:t>合同条款</w:t>
      </w:r>
    </w:p>
    <w:p w14:paraId="0104FE11">
      <w:pPr>
        <w:pStyle w:val="12"/>
        <w:adjustRightInd w:val="0"/>
        <w:snapToGrid w:val="0"/>
        <w:spacing w:line="360" w:lineRule="auto"/>
        <w:ind w:firstLine="400"/>
        <w:rPr>
          <w:highlight w:val="none"/>
        </w:rPr>
      </w:pPr>
    </w:p>
    <w:p w14:paraId="5BB0A405">
      <w:pPr>
        <w:adjustRightInd w:val="0"/>
        <w:snapToGrid w:val="0"/>
        <w:spacing w:line="360" w:lineRule="auto"/>
        <w:ind w:firstLine="482"/>
        <w:jc w:val="left"/>
        <w:rPr>
          <w:rFonts w:ascii="宋体" w:hAnsi="宋体" w:cs="宋体"/>
          <w:b/>
          <w:sz w:val="24"/>
          <w:highlight w:val="none"/>
          <w:u w:val="single"/>
        </w:rPr>
      </w:pPr>
      <w:r>
        <w:rPr>
          <w:rFonts w:hint="eastAsia" w:ascii="宋体" w:hAnsi="宋体" w:cs="宋体"/>
          <w:sz w:val="24"/>
          <w:highlight w:val="none"/>
        </w:rPr>
        <w:t>甲方：</w:t>
      </w:r>
      <w:r>
        <w:rPr>
          <w:rFonts w:hint="eastAsia" w:ascii="宋体" w:hAnsi="宋体" w:cs="宋体"/>
          <w:b/>
          <w:sz w:val="24"/>
          <w:highlight w:val="none"/>
          <w:u w:val="single"/>
        </w:rPr>
        <w:t>昆明经济技术开发区规划建设局</w:t>
      </w:r>
    </w:p>
    <w:p w14:paraId="521034C5">
      <w:pPr>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乙方：</w:t>
      </w:r>
      <w:r>
        <w:rPr>
          <w:rFonts w:hint="eastAsia" w:ascii="宋体" w:hAnsi="宋体" w:cs="宋体"/>
          <w:b/>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             </w:t>
      </w:r>
    </w:p>
    <w:p w14:paraId="05EC74BC">
      <w:pPr>
        <w:adjustRightInd w:val="0"/>
        <w:snapToGrid w:val="0"/>
        <w:spacing w:line="360" w:lineRule="auto"/>
        <w:ind w:firstLine="482"/>
        <w:jc w:val="left"/>
        <w:rPr>
          <w:rFonts w:ascii="宋体" w:hAnsi="宋体" w:cs="宋体"/>
          <w:sz w:val="24"/>
          <w:highlight w:val="none"/>
        </w:rPr>
      </w:pPr>
    </w:p>
    <w:p w14:paraId="49926496">
      <w:pPr>
        <w:adjustRightInd w:val="0"/>
        <w:snapToGrid w:val="0"/>
        <w:spacing w:line="360" w:lineRule="auto"/>
        <w:ind w:firstLine="540" w:firstLineChars="225"/>
        <w:jc w:val="left"/>
        <w:rPr>
          <w:rFonts w:ascii="宋体" w:hAnsi="宋体" w:cs="宋体"/>
          <w:color w:val="000000"/>
          <w:sz w:val="24"/>
          <w:highlight w:val="none"/>
        </w:rPr>
      </w:pPr>
      <w:r>
        <w:rPr>
          <w:rFonts w:hint="eastAsia" w:ascii="宋体" w:hAnsi="宋体" w:cs="宋体"/>
          <w:color w:val="000000"/>
          <w:sz w:val="24"/>
          <w:highlight w:val="none"/>
        </w:rPr>
        <w:t>甲、乙双方在自</w:t>
      </w:r>
      <w:r>
        <w:rPr>
          <w:rFonts w:hint="eastAsia" w:ascii="宋体" w:hAnsi="宋体" w:cs="宋体"/>
          <w:sz w:val="24"/>
          <w:highlight w:val="none"/>
        </w:rPr>
        <w:t>愿、平等、互利和诚实信用的基础上，</w:t>
      </w:r>
      <w:r>
        <w:rPr>
          <w:rFonts w:hint="eastAsia" w:ascii="宋体" w:hAnsi="宋体" w:cs="宋体"/>
          <w:color w:val="000000"/>
          <w:sz w:val="24"/>
          <w:highlight w:val="none"/>
        </w:rPr>
        <w:t>根据《中华人民共和国民法典》及其他有关法律、法规规定，</w:t>
      </w:r>
      <w:r>
        <w:rPr>
          <w:rFonts w:hint="eastAsia" w:ascii="宋体" w:hAnsi="宋体" w:cs="宋体"/>
          <w:sz w:val="24"/>
          <w:highlight w:val="none"/>
        </w:rPr>
        <w:t>就昆明经开区建成市政道路照明设施修复改造工作，按照招投标文件签订本合同。</w:t>
      </w:r>
      <w:r>
        <w:rPr>
          <w:rFonts w:ascii="宋体" w:hAnsi="宋体" w:cs="宋体"/>
          <w:color w:val="000000"/>
          <w:sz w:val="24"/>
          <w:highlight w:val="none"/>
        </w:rPr>
        <w:t xml:space="preserve"> </w:t>
      </w:r>
    </w:p>
    <w:p w14:paraId="0772C774">
      <w:pPr>
        <w:adjustRightInd w:val="0"/>
        <w:snapToGrid w:val="0"/>
        <w:spacing w:line="360" w:lineRule="auto"/>
        <w:ind w:firstLine="540" w:firstLineChars="225"/>
        <w:jc w:val="left"/>
        <w:rPr>
          <w:rFonts w:ascii="宋体" w:hAnsi="宋体" w:cs="宋体"/>
          <w:b/>
          <w:bCs/>
          <w:sz w:val="24"/>
          <w:highlight w:val="none"/>
        </w:rPr>
      </w:pPr>
      <w:r>
        <w:rPr>
          <w:rFonts w:hint="eastAsia" w:ascii="宋体" w:hAnsi="宋体" w:cs="宋体"/>
          <w:b/>
          <w:bCs/>
          <w:sz w:val="24"/>
          <w:highlight w:val="none"/>
        </w:rPr>
        <w:t>一、合同期限</w:t>
      </w:r>
    </w:p>
    <w:p w14:paraId="275DAA06">
      <w:pPr>
        <w:adjustRightInd w:val="0"/>
        <w:snapToGrid w:val="0"/>
        <w:spacing w:line="360" w:lineRule="auto"/>
        <w:ind w:firstLine="540" w:firstLineChars="225"/>
        <w:jc w:val="left"/>
        <w:rPr>
          <w:rFonts w:ascii="宋体" w:hAnsi="宋体" w:cs="宋体"/>
          <w:sz w:val="24"/>
          <w:highlight w:val="none"/>
        </w:rPr>
      </w:pPr>
      <w:r>
        <w:rPr>
          <w:rFonts w:hint="eastAsia" w:ascii="宋体" w:hAnsi="宋体" w:cs="宋体"/>
          <w:sz w:val="24"/>
          <w:highlight w:val="none"/>
        </w:rPr>
        <w:t>实施周期90日历天，供应商应提供一揽子维修改造方案（含安全生产）并实施完成，确保满足城市照明相关规定并最终完成移交工作。质保期12个月。</w:t>
      </w:r>
    </w:p>
    <w:p w14:paraId="723C7B80">
      <w:pPr>
        <w:adjustRightInd w:val="0"/>
        <w:snapToGrid w:val="0"/>
        <w:spacing w:line="360" w:lineRule="auto"/>
        <w:ind w:firstLine="540" w:firstLineChars="225"/>
        <w:jc w:val="left"/>
        <w:rPr>
          <w:rFonts w:ascii="宋体" w:hAnsi="宋体" w:cs="宋体"/>
          <w:b/>
          <w:bCs/>
          <w:sz w:val="24"/>
          <w:highlight w:val="none"/>
        </w:rPr>
      </w:pPr>
      <w:r>
        <w:rPr>
          <w:rFonts w:hint="eastAsia" w:ascii="宋体" w:hAnsi="宋体" w:cs="宋体"/>
          <w:b/>
          <w:bCs/>
          <w:sz w:val="24"/>
          <w:highlight w:val="none"/>
        </w:rPr>
        <w:t>二、维修改造范围</w:t>
      </w:r>
    </w:p>
    <w:p w14:paraId="00EA0325">
      <w:pPr>
        <w:adjustRightInd w:val="0"/>
        <w:snapToGrid w:val="0"/>
        <w:spacing w:line="360" w:lineRule="auto"/>
        <w:ind w:firstLine="540" w:firstLineChars="225"/>
        <w:jc w:val="left"/>
        <w:rPr>
          <w:rFonts w:ascii="宋体" w:hAnsi="宋体" w:cs="仿宋"/>
          <w:sz w:val="24"/>
          <w:highlight w:val="none"/>
        </w:rPr>
      </w:pPr>
      <w:r>
        <w:rPr>
          <w:rFonts w:hint="eastAsia" w:ascii="宋体" w:hAnsi="宋体" w:cs="仿宋"/>
          <w:sz w:val="24"/>
          <w:highlight w:val="none"/>
        </w:rPr>
        <w:t>（一）。</w:t>
      </w:r>
    </w:p>
    <w:p w14:paraId="159E6371">
      <w:pPr>
        <w:adjustRightInd w:val="0"/>
        <w:snapToGrid w:val="0"/>
        <w:spacing w:line="360" w:lineRule="auto"/>
        <w:ind w:firstLine="540" w:firstLineChars="225"/>
        <w:jc w:val="left"/>
        <w:rPr>
          <w:rFonts w:ascii="宋体" w:hAnsi="宋体" w:cs="仿宋"/>
          <w:sz w:val="24"/>
          <w:highlight w:val="none"/>
        </w:rPr>
      </w:pPr>
      <w:r>
        <w:rPr>
          <w:rFonts w:hint="eastAsia" w:ascii="宋体" w:hAnsi="宋体" w:cs="仿宋"/>
          <w:sz w:val="24"/>
          <w:highlight w:val="none"/>
        </w:rPr>
        <w:t>（二）道路照明设施维修改造。</w:t>
      </w:r>
    </w:p>
    <w:p w14:paraId="628D2768">
      <w:pPr>
        <w:adjustRightInd w:val="0"/>
        <w:snapToGrid w:val="0"/>
        <w:spacing w:line="360" w:lineRule="auto"/>
        <w:ind w:firstLine="540" w:firstLineChars="225"/>
        <w:jc w:val="left"/>
        <w:rPr>
          <w:rFonts w:ascii="宋体" w:hAnsi="宋体" w:cs="仿宋"/>
          <w:sz w:val="24"/>
          <w:highlight w:val="none"/>
        </w:rPr>
      </w:pPr>
      <w:r>
        <w:rPr>
          <w:rFonts w:hint="eastAsia" w:ascii="宋体" w:hAnsi="宋体" w:cs="仿宋"/>
          <w:sz w:val="24"/>
          <w:highlight w:val="none"/>
        </w:rPr>
        <w:t>（三）甲方安排乙方的其它工作。</w:t>
      </w:r>
    </w:p>
    <w:p w14:paraId="5BBAB4D9">
      <w:pPr>
        <w:adjustRightInd w:val="0"/>
        <w:snapToGrid w:val="0"/>
        <w:spacing w:line="360" w:lineRule="auto"/>
        <w:ind w:firstLine="540" w:firstLineChars="225"/>
        <w:jc w:val="left"/>
        <w:rPr>
          <w:rFonts w:ascii="宋体" w:hAnsi="宋体" w:cs="宋体"/>
          <w:b/>
          <w:bCs/>
          <w:sz w:val="24"/>
          <w:highlight w:val="none"/>
        </w:rPr>
      </w:pPr>
      <w:r>
        <w:rPr>
          <w:rFonts w:hint="eastAsia" w:ascii="宋体" w:hAnsi="宋体" w:cs="宋体"/>
          <w:b/>
          <w:bCs/>
          <w:sz w:val="24"/>
          <w:highlight w:val="none"/>
        </w:rPr>
        <w:t>三、维护改造费用</w:t>
      </w:r>
    </w:p>
    <w:p w14:paraId="2204BB15">
      <w:pPr>
        <w:adjustRightInd w:val="0"/>
        <w:snapToGrid w:val="0"/>
        <w:spacing w:line="360" w:lineRule="auto"/>
        <w:ind w:firstLine="540" w:firstLineChars="225"/>
        <w:jc w:val="left"/>
        <w:rPr>
          <w:rFonts w:ascii="宋体" w:hAnsi="宋体" w:cs="宋体"/>
          <w:sz w:val="24"/>
          <w:highlight w:val="none"/>
        </w:rPr>
      </w:pPr>
      <w:r>
        <w:rPr>
          <w:rFonts w:hint="eastAsia" w:ascii="宋体" w:hAnsi="宋体" w:cs="宋体"/>
          <w:sz w:val="24"/>
          <w:highlight w:val="none"/>
        </w:rPr>
        <w:t>包括但不限于维修过程中所需要的人工费、材料费、机械费、运输费、设备采购费、道路和绿化恢复费、安装费、调试费、管理费、措施费、利润、</w:t>
      </w:r>
      <w:r>
        <w:rPr>
          <w:rFonts w:hint="eastAsia" w:ascii="宋体" w:hAnsi="宋体" w:cs="宋体"/>
          <w:sz w:val="24"/>
          <w:highlight w:val="none"/>
          <w:lang w:val="en-US" w:eastAsia="zh-CN"/>
        </w:rPr>
        <w:t>增值税</w:t>
      </w:r>
      <w:r>
        <w:rPr>
          <w:rFonts w:hint="eastAsia" w:ascii="宋体" w:hAnsi="宋体" w:cs="宋体"/>
          <w:sz w:val="24"/>
          <w:highlight w:val="none"/>
        </w:rPr>
        <w:t>等以及维修过程中的所有零星材料。</w:t>
      </w:r>
    </w:p>
    <w:p w14:paraId="18F75DE8">
      <w:pPr>
        <w:adjustRightInd w:val="0"/>
        <w:snapToGrid w:val="0"/>
        <w:spacing w:line="360" w:lineRule="auto"/>
        <w:ind w:firstLine="540" w:firstLineChars="225"/>
        <w:jc w:val="left"/>
        <w:rPr>
          <w:rFonts w:ascii="宋体" w:hAnsi="宋体" w:cs="宋体"/>
          <w:sz w:val="24"/>
          <w:highlight w:val="none"/>
        </w:rPr>
      </w:pPr>
      <w:r>
        <w:rPr>
          <w:rFonts w:hint="eastAsia" w:ascii="宋体" w:hAnsi="宋体" w:cs="宋体"/>
          <w:sz w:val="24"/>
          <w:highlight w:val="none"/>
        </w:rPr>
        <w:t>报价下浮率：</w:t>
      </w:r>
      <w:r>
        <w:rPr>
          <w:rFonts w:hint="eastAsia" w:ascii="宋体" w:hAnsi="宋体" w:cs="宋体"/>
          <w:sz w:val="24"/>
          <w:highlight w:val="none"/>
          <w:u w:val="single"/>
        </w:rPr>
        <w:t xml:space="preserve">    </w:t>
      </w:r>
      <w:r>
        <w:rPr>
          <w:rFonts w:hint="eastAsia" w:ascii="宋体" w:hAnsi="宋体" w:cs="宋体"/>
          <w:sz w:val="24"/>
          <w:highlight w:val="none"/>
        </w:rPr>
        <w:t>。</w:t>
      </w:r>
    </w:p>
    <w:p w14:paraId="38A4BDCF">
      <w:pPr>
        <w:numPr>
          <w:ilvl w:val="0"/>
          <w:numId w:val="6"/>
        </w:numPr>
        <w:adjustRightInd w:val="0"/>
        <w:snapToGrid w:val="0"/>
        <w:spacing w:line="360" w:lineRule="auto"/>
        <w:ind w:firstLine="540" w:firstLineChars="225"/>
        <w:jc w:val="left"/>
        <w:rPr>
          <w:rFonts w:ascii="宋体" w:hAnsi="宋体" w:cs="宋体"/>
          <w:sz w:val="24"/>
          <w:highlight w:val="none"/>
        </w:rPr>
      </w:pPr>
      <w:r>
        <w:rPr>
          <w:rFonts w:hint="eastAsia" w:ascii="宋体" w:hAnsi="宋体" w:cs="宋体"/>
          <w:b/>
          <w:bCs/>
          <w:sz w:val="24"/>
          <w:highlight w:val="none"/>
        </w:rPr>
        <w:t>维护改造工作内容</w:t>
      </w:r>
    </w:p>
    <w:p w14:paraId="08C6A6BD">
      <w:pPr>
        <w:spacing w:line="360" w:lineRule="auto"/>
        <w:ind w:firstLine="480" w:firstLineChars="200"/>
        <w:rPr>
          <w:rFonts w:ascii="宋体" w:hAnsi="宋体"/>
          <w:sz w:val="24"/>
          <w:highlight w:val="none"/>
        </w:rPr>
      </w:pPr>
      <w:r>
        <w:rPr>
          <w:rFonts w:hint="eastAsia" w:ascii="宋体" w:hAnsi="宋体"/>
          <w:sz w:val="24"/>
          <w:highlight w:val="none"/>
        </w:rPr>
        <w:t>（1）维护改造。负责对甲方交付维修改造范围内的所有照明设施的正常的维修改造（包括但不限于更换或维修损坏的器件及设施设备）；</w:t>
      </w:r>
      <w:r>
        <w:rPr>
          <w:rFonts w:hint="eastAsia"/>
          <w:sz w:val="24"/>
          <w:szCs w:val="32"/>
          <w:highlight w:val="none"/>
        </w:rPr>
        <w:t>如遇无法维修须更换新设备情况，须提前与告知甲方，经甲方确认。</w:t>
      </w:r>
    </w:p>
    <w:p w14:paraId="6ECC5758">
      <w:pPr>
        <w:spacing w:line="360" w:lineRule="auto"/>
        <w:ind w:firstLine="480" w:firstLineChars="200"/>
        <w:rPr>
          <w:rFonts w:ascii="宋体" w:hAnsi="宋体"/>
          <w:sz w:val="24"/>
          <w:highlight w:val="none"/>
        </w:rPr>
      </w:pPr>
      <w:r>
        <w:rPr>
          <w:rFonts w:hint="eastAsia" w:ascii="宋体" w:hAnsi="宋体"/>
          <w:sz w:val="24"/>
          <w:highlight w:val="none"/>
        </w:rPr>
        <w:t>（2）防盗巡查及处理。负责对甲方交付维修改造范围内所有照明设施的防盗巡查，发生被盗问题乙方应及时报案，并及时修复；</w:t>
      </w:r>
    </w:p>
    <w:p w14:paraId="3A8513E4">
      <w:pPr>
        <w:spacing w:line="360" w:lineRule="auto"/>
        <w:ind w:firstLine="480" w:firstLineChars="200"/>
        <w:rPr>
          <w:rFonts w:ascii="宋体" w:hAnsi="宋体"/>
          <w:sz w:val="24"/>
          <w:highlight w:val="none"/>
        </w:rPr>
      </w:pPr>
      <w:r>
        <w:rPr>
          <w:rFonts w:hint="eastAsia" w:ascii="宋体" w:hAnsi="宋体"/>
          <w:sz w:val="24"/>
          <w:highlight w:val="none"/>
        </w:rPr>
        <w:t>（3）应急抢修。负责对甲方交付维修改造范围内所有照明设施和特殊情况下甲方安排乙方的应急抢修工作（含委托范围外的应急抢修）;</w:t>
      </w:r>
    </w:p>
    <w:p w14:paraId="482AEA99">
      <w:pPr>
        <w:spacing w:line="360" w:lineRule="auto"/>
        <w:ind w:firstLine="480" w:firstLineChars="200"/>
        <w:rPr>
          <w:rFonts w:ascii="宋体" w:hAnsi="宋体"/>
          <w:sz w:val="24"/>
          <w:highlight w:val="none"/>
        </w:rPr>
      </w:pPr>
      <w:r>
        <w:rPr>
          <w:rFonts w:hint="eastAsia" w:ascii="宋体" w:hAnsi="宋体"/>
          <w:sz w:val="24"/>
          <w:highlight w:val="none"/>
        </w:rPr>
        <w:t>（4）工作台帐。负责对甲方交付维修改造范围内所有照明设施维修改造更换工作台帐的编制上报工作；</w:t>
      </w:r>
    </w:p>
    <w:p w14:paraId="5F3242A0">
      <w:pPr>
        <w:spacing w:line="360" w:lineRule="auto"/>
        <w:ind w:firstLine="480" w:firstLineChars="200"/>
        <w:rPr>
          <w:rFonts w:ascii="宋体" w:hAnsi="宋体"/>
          <w:sz w:val="24"/>
          <w:highlight w:val="none"/>
        </w:rPr>
      </w:pPr>
      <w:r>
        <w:rPr>
          <w:rFonts w:hint="eastAsia" w:ascii="宋体" w:hAnsi="宋体"/>
          <w:sz w:val="24"/>
          <w:highlight w:val="none"/>
        </w:rPr>
        <w:t>（5）灯容灯貌。负责保持甲方交付维修改造范围内所有照明设施的清洁和加固；</w:t>
      </w:r>
    </w:p>
    <w:p w14:paraId="101CE42F">
      <w:pPr>
        <w:spacing w:line="360" w:lineRule="auto"/>
        <w:ind w:firstLine="480" w:firstLineChars="200"/>
        <w:rPr>
          <w:rFonts w:ascii="宋体" w:hAnsi="宋体"/>
          <w:sz w:val="24"/>
          <w:highlight w:val="none"/>
        </w:rPr>
      </w:pPr>
      <w:r>
        <w:rPr>
          <w:rFonts w:hint="eastAsia" w:ascii="宋体" w:hAnsi="宋体"/>
          <w:sz w:val="24"/>
          <w:highlight w:val="none"/>
        </w:rPr>
        <w:t>（6）安全施工。乙方负责自身员工的安全培训，保证用电安全、作业安全和设施安全等；</w:t>
      </w:r>
    </w:p>
    <w:p w14:paraId="57CA5369">
      <w:pPr>
        <w:spacing w:line="360" w:lineRule="auto"/>
        <w:ind w:firstLine="480" w:firstLineChars="200"/>
        <w:rPr>
          <w:rFonts w:ascii="宋体" w:hAnsi="宋体"/>
          <w:sz w:val="24"/>
          <w:highlight w:val="none"/>
        </w:rPr>
      </w:pPr>
      <w:r>
        <w:rPr>
          <w:rFonts w:hint="eastAsia" w:ascii="宋体" w:hAnsi="宋体"/>
          <w:sz w:val="24"/>
          <w:highlight w:val="none"/>
        </w:rPr>
        <w:t>（7）文明施工。按照文明施工的要求开展施工，并按照相关要求做好交通疏导等安全措施；设施维修后，对路面、绿化等周围市容环境做好的恢复。</w:t>
      </w:r>
    </w:p>
    <w:p w14:paraId="200BE024">
      <w:pPr>
        <w:spacing w:line="360" w:lineRule="auto"/>
        <w:ind w:firstLine="480" w:firstLineChars="200"/>
        <w:rPr>
          <w:rFonts w:ascii="宋体" w:hAnsi="宋体"/>
          <w:sz w:val="24"/>
          <w:highlight w:val="none"/>
        </w:rPr>
      </w:pPr>
      <w:r>
        <w:rPr>
          <w:rFonts w:hint="eastAsia" w:ascii="宋体" w:hAnsi="宋体"/>
          <w:sz w:val="24"/>
          <w:highlight w:val="none"/>
        </w:rPr>
        <w:t>（8）电费代缴。乙方按照甲方提供的箱变户号，做好甲方要求的代缴电费工作，乙方代缴电费后提供相应供电局票据及材料，甲方据实结算并支付该款项。</w:t>
      </w:r>
    </w:p>
    <w:p w14:paraId="1EAA2F15">
      <w:pPr>
        <w:spacing w:line="360" w:lineRule="auto"/>
        <w:ind w:firstLine="480" w:firstLineChars="200"/>
        <w:rPr>
          <w:rFonts w:ascii="宋体" w:hAnsi="宋体"/>
          <w:sz w:val="24"/>
          <w:highlight w:val="none"/>
        </w:rPr>
      </w:pPr>
      <w:r>
        <w:rPr>
          <w:rFonts w:hint="eastAsia" w:ascii="宋体" w:hAnsi="宋体"/>
          <w:sz w:val="24"/>
          <w:highlight w:val="none"/>
        </w:rPr>
        <w:t>（9）其他维修。负责甲方安排乙方的维修工作。</w:t>
      </w:r>
    </w:p>
    <w:p w14:paraId="0E4A4C1F">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双方的职责和义务</w:t>
      </w:r>
    </w:p>
    <w:p w14:paraId="6F3596BA">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（一）甲方的权利和义务</w:t>
      </w:r>
    </w:p>
    <w:p w14:paraId="7FA56CB0">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.甲方有权审定乙方拟订的服务管理工作制度、具体维护改造实施方案、安全管理计划等。</w:t>
      </w:r>
    </w:p>
    <w:p w14:paraId="67C8D720">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2.甲方有权监督乙方的维修改造服务工作，如施工作业、安全管理、值班情况、台帐管理等。</w:t>
      </w:r>
    </w:p>
    <w:p w14:paraId="18AB8920">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3.甲方有权对乙方的维修改造服务人员持证情况进行检查。</w:t>
      </w:r>
    </w:p>
    <w:p w14:paraId="71F141F0">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4.当乙方无故停止维修改造服务工作，甲方有权按损失程度扣减维修改造费。若无故停工累计达</w:t>
      </w:r>
      <w:r>
        <w:rPr>
          <w:rFonts w:ascii="宋体" w:hAnsi="宋体" w:cs="宋体"/>
          <w:sz w:val="24"/>
          <w:highlight w:val="none"/>
        </w:rPr>
        <w:t>15</w:t>
      </w:r>
      <w:r>
        <w:rPr>
          <w:rFonts w:hint="eastAsia" w:ascii="宋体" w:hAnsi="宋体" w:cs="宋体"/>
          <w:sz w:val="24"/>
          <w:highlight w:val="none"/>
        </w:rPr>
        <w:t>天或严重违约，甲方有权单方面终止合同；</w:t>
      </w:r>
    </w:p>
    <w:p w14:paraId="7807230E">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5.如因甲方上级对维修改造工作做出重大调整，甲方要求乙方退出。甲方提前一个月书面告知乙方，甲方负责支付维修改造服务截止日实际费用，乙方无条件退出维修改造服务工作，乙方不得提出异议。</w:t>
      </w:r>
    </w:p>
    <w:p w14:paraId="5F60A1D6">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6.甲方需协助乙方做好与维修改造区域内相关单位的协调工作。</w:t>
      </w:r>
    </w:p>
    <w:p w14:paraId="350292E7">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7.甲方有权要求乙方协同核查管理范围及实际管理设施质量。</w:t>
      </w:r>
    </w:p>
    <w:p w14:paraId="6DFED58E">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8.甲方有权委托第三方检测代表甲方对乙方服务工作进行检测。</w:t>
      </w:r>
    </w:p>
    <w:p w14:paraId="7EC9D9F5">
      <w:pPr>
        <w:adjustRightInd w:val="0"/>
        <w:snapToGrid w:val="0"/>
        <w:spacing w:line="360" w:lineRule="auto"/>
        <w:ind w:firstLine="540" w:firstLineChars="225"/>
        <w:rPr>
          <w:rFonts w:ascii="宋体" w:hAnsi="宋体" w:cs="宋体"/>
          <w:sz w:val="24"/>
          <w:highlight w:val="none"/>
        </w:rPr>
      </w:pPr>
      <w:r>
        <w:rPr>
          <w:rFonts w:hint="eastAsia" w:ascii="宋体" w:hAnsi="宋体" w:cs="宋体"/>
          <w:sz w:val="24"/>
          <w:highlight w:val="none"/>
        </w:rPr>
        <w:t>（二）乙方的权利和义务</w:t>
      </w:r>
    </w:p>
    <w:p w14:paraId="79C68D12">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.乙方必须接受甲方和甲方委托的第三方考核服务单位的检测。</w:t>
      </w:r>
    </w:p>
    <w:p w14:paraId="6B4B62E1">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.乙方负责确保质量达标，不得转包或者分包，若有违反甲方有权单方面终止合同，且乙方应向甲方支付年度项目预算金额</w:t>
      </w:r>
      <w:r>
        <w:rPr>
          <w:rFonts w:ascii="宋体" w:hAnsi="宋体" w:cs="宋体"/>
          <w:sz w:val="24"/>
          <w:highlight w:val="none"/>
        </w:rPr>
        <w:t>20%</w:t>
      </w:r>
      <w:r>
        <w:rPr>
          <w:rFonts w:hint="eastAsia" w:ascii="宋体" w:hAnsi="宋体" w:cs="宋体"/>
          <w:sz w:val="24"/>
          <w:highlight w:val="none"/>
        </w:rPr>
        <w:t>的违约金，违约金不足以弥补甲方损失的，乙方还应向甲方承担赔偿责任。</w:t>
      </w:r>
    </w:p>
    <w:p w14:paraId="752FCC4E">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.乙方服务期间遵守《劳动法》及相关法律、法规，按时支付员工工资，所聘用的工作人员所发生的社保、医保及工伤等一切费用及责任均由乙方承担。</w:t>
      </w:r>
    </w:p>
    <w:p w14:paraId="57F42AA3">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.乙方承担维修改造期间的安全责任，严格执行安全操作规程，加强安全防护，落实安全生产措施，且按国家安全规范要求，在进行维护及安装作业时必须认真负责，并注意安全操作，严禁“三违”现象发生。</w:t>
      </w:r>
    </w:p>
    <w:p w14:paraId="6228B5D7">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.乙方在</w:t>
      </w:r>
      <w:r>
        <w:rPr>
          <w:rFonts w:hint="eastAsia"/>
          <w:sz w:val="24"/>
          <w:szCs w:val="32"/>
          <w:highlight w:val="none"/>
        </w:rPr>
        <w:t>维修改造</w:t>
      </w:r>
      <w:r>
        <w:rPr>
          <w:rFonts w:hint="eastAsia" w:ascii="宋体" w:hAnsi="宋体" w:cs="宋体"/>
          <w:sz w:val="24"/>
          <w:highlight w:val="none"/>
        </w:rPr>
        <w:t>过程中除维护自身高空作业安全外，应对管护范围内电器、电缆、灯具等带电设施加强管理与运行安全检查，如在服务期内因管理不善产生的一切安全责任和损失（包括甲乙双方的人员或财物受损及第三方人员或财物受损）均由乙方承担。</w:t>
      </w:r>
    </w:p>
    <w:p w14:paraId="40325532">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6</w:t>
      </w:r>
      <w:r>
        <w:rPr>
          <w:rFonts w:hint="eastAsia" w:ascii="宋体" w:hAnsi="宋体" w:cs="宋体"/>
          <w:sz w:val="24"/>
          <w:highlight w:val="none"/>
        </w:rPr>
        <w:t>.乙方工作人员必须经培训上岗，并且遵守甲方的管理制度和乙方工作人员的工作守则，且甲方有权要求乙方调换不合格的人员，乙方不得拒绝。工作人员应持证上岗，维护人员必须持有电工证且不得少于</w:t>
      </w:r>
      <w:r>
        <w:rPr>
          <w:rFonts w:ascii="宋体" w:hAnsi="宋体" w:cs="宋体"/>
          <w:sz w:val="24"/>
          <w:highlight w:val="none"/>
        </w:rPr>
        <w:t>6</w:t>
      </w:r>
      <w:r>
        <w:rPr>
          <w:rFonts w:hint="eastAsia" w:ascii="宋体" w:hAnsi="宋体" w:cs="宋体"/>
          <w:sz w:val="24"/>
          <w:highlight w:val="none"/>
        </w:rPr>
        <w:t>名，以上人员应相对固定，无证操作被查到，乙方应责令其停止作业。</w:t>
      </w:r>
    </w:p>
    <w:p w14:paraId="798486CC">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7</w:t>
      </w:r>
      <w:r>
        <w:rPr>
          <w:rFonts w:hint="eastAsia" w:ascii="宋体" w:hAnsi="宋体" w:cs="宋体"/>
          <w:sz w:val="24"/>
          <w:highlight w:val="none"/>
        </w:rPr>
        <w:t>.乙方的维护人员须加强业务知识学习，自觉学习安全法规，强化技术训练，不断增强安全防患意识和技术水平。</w:t>
      </w:r>
    </w:p>
    <w:p w14:paraId="6D82B89B">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8</w:t>
      </w:r>
      <w:r>
        <w:rPr>
          <w:rFonts w:hint="eastAsia" w:ascii="宋体" w:hAnsi="宋体" w:cs="宋体"/>
          <w:sz w:val="24"/>
          <w:highlight w:val="none"/>
        </w:rPr>
        <w:t>.乙方严格按电力安全操作规程规范，操作人员在操作时必须穿反光服和绝缘鞋、戴安全帽等；上杆操作人员必须关闭手机，系好安全带，并佩带有身份证明证件或穿印制有“度假区景观照明维护”标志的服装，以便识别；作业维修场地应规范且应设置安全防护警示标志，并有专人看管；设置漏电安全保护设施，若违反操作规程，乙方应承担全部安全和经济责任。</w:t>
      </w:r>
    </w:p>
    <w:p w14:paraId="418B9394">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9</w:t>
      </w:r>
      <w:r>
        <w:rPr>
          <w:rFonts w:hint="eastAsia" w:ascii="宋体" w:hAnsi="宋体" w:cs="宋体"/>
          <w:sz w:val="24"/>
          <w:highlight w:val="none"/>
        </w:rPr>
        <w:t>.乙方安排专人（需佩带工作证、穿工作服、佩戴安全带）日夜巡查景观照明设施运行情况，在维修改造期间要确保照明设施完好、整洁、景观效果良好，保证灯具固定牢固，无灯具器材脱落，线路短、断路或漏电现象。遇突发事件，如撞灯、灯杆倾斜或损坏及灯罩、灯具掉落等事项，应立即采取措施进行修复。若灯具器材脱落，断路或漏电造成安全事故，一切法律责任由乙方自行承担。</w:t>
      </w:r>
    </w:p>
    <w:p w14:paraId="097316A0">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10</w:t>
      </w:r>
      <w:r>
        <w:rPr>
          <w:rFonts w:hint="eastAsia" w:ascii="宋体" w:hAnsi="宋体" w:cs="宋体"/>
          <w:sz w:val="24"/>
          <w:highlight w:val="none"/>
        </w:rPr>
        <w:t>.遇自然灾害（如暴雨等）、重大节日、重大庆典活动时，乙方需安排值班人员对照明设施进行巡查保亮工作，采取相应措施，相应增加人员上路巡查，服从甲方调度。</w:t>
      </w:r>
    </w:p>
    <w:p w14:paraId="4988DEA6">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11</w:t>
      </w:r>
      <w:r>
        <w:rPr>
          <w:rFonts w:hint="eastAsia" w:ascii="宋体" w:hAnsi="宋体" w:cs="宋体"/>
          <w:sz w:val="24"/>
          <w:highlight w:val="none"/>
        </w:rPr>
        <w:t>.乙方进行维修改造的施工现场应保持现场卫生环境，不影响交通，同时上杆操作应注意作业场地安全，不乱扔安装器材与废料，施工维护现场应有明显的警示标志，夜间应有警示灯或照明灯，若有违反，乙方除接受处罚外还必须承担由此造成的全部责任。</w:t>
      </w:r>
    </w:p>
    <w:p w14:paraId="4EE49704">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12</w:t>
      </w:r>
      <w:r>
        <w:rPr>
          <w:rFonts w:hint="eastAsia" w:ascii="宋体" w:hAnsi="宋体" w:cs="宋体"/>
          <w:sz w:val="24"/>
          <w:highlight w:val="none"/>
        </w:rPr>
        <w:t>.乙方更换照明设施、照明设备、电缆管线必须是全新的、符合招标文件规定要求、三证齐全的，采用国内名牌产品，严禁使用假冒伪劣产品。若违反本规定，一经发现，一律返工。</w:t>
      </w:r>
    </w:p>
    <w:p w14:paraId="0BC21DFE">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13</w:t>
      </w:r>
      <w:r>
        <w:rPr>
          <w:rFonts w:hint="eastAsia" w:ascii="宋体" w:hAnsi="宋体" w:cs="宋体"/>
          <w:sz w:val="24"/>
          <w:highlight w:val="none"/>
        </w:rPr>
        <w:t>.乙方安排专人日夜巡查管理，遇到片区路段夜间灭灯或白天亮灯等控制失灵情况，接到通知或发现故障后</w:t>
      </w:r>
      <w:r>
        <w:rPr>
          <w:rFonts w:ascii="宋体" w:hAnsi="宋体" w:cs="宋体"/>
          <w:sz w:val="24"/>
          <w:highlight w:val="none"/>
        </w:rPr>
        <w:t>30</w:t>
      </w:r>
      <w:r>
        <w:rPr>
          <w:rFonts w:hint="eastAsia" w:ascii="宋体" w:hAnsi="宋体" w:cs="宋体"/>
          <w:sz w:val="24"/>
          <w:highlight w:val="none"/>
        </w:rPr>
        <w:t>分钟内到现场修复；发现灯杆张贴、悬挂广告牌或其它构物件（甲方同意除外）应及时拆除；发现偷电应及时制止，并报警。</w:t>
      </w:r>
    </w:p>
    <w:p w14:paraId="57D394C5">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14</w:t>
      </w:r>
      <w:r>
        <w:rPr>
          <w:rFonts w:hint="eastAsia" w:ascii="宋体" w:hAnsi="宋体" w:cs="宋体"/>
          <w:sz w:val="24"/>
          <w:highlight w:val="none"/>
        </w:rPr>
        <w:t>.亮灯率、灯具清洁度必须按甲方的要求达标。</w:t>
      </w:r>
    </w:p>
    <w:p w14:paraId="3CB10C58">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15</w:t>
      </w:r>
      <w:r>
        <w:rPr>
          <w:rFonts w:hint="eastAsia" w:ascii="宋体" w:hAnsi="宋体" w:cs="宋体"/>
          <w:sz w:val="24"/>
          <w:highlight w:val="none"/>
        </w:rPr>
        <w:t>.乙方维修改造期间出现的投诉案件，乙方应按照甲方要求及时反馈，并保证</w:t>
      </w:r>
      <w:r>
        <w:rPr>
          <w:rFonts w:ascii="宋体" w:hAnsi="宋体" w:cs="宋体"/>
          <w:sz w:val="24"/>
          <w:highlight w:val="none"/>
        </w:rPr>
        <w:t>100%</w:t>
      </w:r>
      <w:r>
        <w:rPr>
          <w:rFonts w:hint="eastAsia" w:ascii="宋体" w:hAnsi="宋体" w:cs="宋体"/>
          <w:sz w:val="24"/>
          <w:highlight w:val="none"/>
        </w:rPr>
        <w:t>的结案率，在规定时限内处理完毕，并将处理情况以书面报甲方。</w:t>
      </w:r>
      <w:r>
        <w:rPr>
          <w:rFonts w:ascii="宋体" w:hAnsi="宋体" w:cs="宋体"/>
          <w:sz w:val="24"/>
          <w:highlight w:val="none"/>
        </w:rPr>
        <w:t xml:space="preserve"> </w:t>
      </w:r>
    </w:p>
    <w:p w14:paraId="3833128D">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16</w:t>
      </w:r>
      <w:r>
        <w:rPr>
          <w:rFonts w:hint="eastAsia" w:ascii="宋体" w:hAnsi="宋体" w:cs="宋体"/>
          <w:sz w:val="24"/>
          <w:highlight w:val="none"/>
        </w:rPr>
        <w:t>.乙方负责建立健全照明设施维修改造的资料台帐，确保图纸资料的完整性、正确性，定期报送甲方。</w:t>
      </w:r>
    </w:p>
    <w:p w14:paraId="0C0620E9">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17</w:t>
      </w:r>
      <w:r>
        <w:rPr>
          <w:rFonts w:hint="eastAsia" w:ascii="宋体" w:hAnsi="宋体" w:cs="宋体"/>
          <w:sz w:val="24"/>
          <w:highlight w:val="none"/>
        </w:rPr>
        <w:t>.乙方自觉接受甲方及有关部门的监督管理，每逢法定节假日以及重大活动时，乙方服从甲方安排的突击性任务及迎检活动，按时、按标准、按要求完成甲方所分配的工作。</w:t>
      </w:r>
      <w:r>
        <w:rPr>
          <w:rFonts w:ascii="宋体" w:hAnsi="宋体" w:cs="宋体"/>
          <w:sz w:val="24"/>
          <w:highlight w:val="none"/>
        </w:rPr>
        <w:t> </w:t>
      </w:r>
    </w:p>
    <w:p w14:paraId="7C2C0FA0">
      <w:pPr>
        <w:adjustRightInd w:val="0"/>
        <w:snapToGrid w:val="0"/>
        <w:spacing w:line="360" w:lineRule="auto"/>
        <w:ind w:firstLine="540" w:firstLineChars="225"/>
        <w:rPr>
          <w:rFonts w:ascii="宋体" w:hAnsi="宋体" w:cs="宋体"/>
          <w:sz w:val="24"/>
          <w:highlight w:val="none"/>
        </w:rPr>
      </w:pPr>
      <w:r>
        <w:rPr>
          <w:rFonts w:ascii="宋体" w:hAnsi="宋体" w:cs="宋体"/>
          <w:sz w:val="24"/>
          <w:highlight w:val="none"/>
        </w:rPr>
        <w:t>18</w:t>
      </w:r>
      <w:r>
        <w:rPr>
          <w:rFonts w:hint="eastAsia" w:ascii="宋体" w:hAnsi="宋体" w:cs="宋体"/>
          <w:sz w:val="24"/>
          <w:highlight w:val="none"/>
        </w:rPr>
        <w:t>.乙方保质保量完成维修改造服务后，提交相应资料申请甲方支付维修改造服务费用。</w:t>
      </w:r>
    </w:p>
    <w:p w14:paraId="1487E9B2">
      <w:pPr>
        <w:adjustRightInd w:val="0"/>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19</w:t>
      </w:r>
      <w:r>
        <w:rPr>
          <w:rFonts w:hint="eastAsia" w:ascii="宋体" w:hAnsi="宋体" w:cs="宋体"/>
          <w:sz w:val="24"/>
          <w:highlight w:val="none"/>
        </w:rPr>
        <w:t>.乙方需安排车辆、机械等设备及人员参与甲方的检查考核工作，并保障巡查安全。</w:t>
      </w:r>
    </w:p>
    <w:p w14:paraId="1812F058">
      <w:pPr>
        <w:adjustRightInd w:val="0"/>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20</w:t>
      </w:r>
      <w:r>
        <w:rPr>
          <w:rFonts w:hint="eastAsia" w:ascii="宋体" w:hAnsi="宋体" w:cs="宋体"/>
          <w:sz w:val="24"/>
          <w:highlight w:val="none"/>
        </w:rPr>
        <w:t>.乙方应做好照明设施特别是电缆、控制柜等防盗工作。出现偷盗情况的，乙方应以报警回执单作为依据，并由乙方承担恢复责任，且乙方应保证在</w:t>
      </w:r>
      <w:r>
        <w:rPr>
          <w:rFonts w:ascii="宋体" w:hAnsi="宋体" w:cs="宋体"/>
          <w:sz w:val="24"/>
          <w:highlight w:val="none"/>
        </w:rPr>
        <w:t>24</w:t>
      </w:r>
      <w:r>
        <w:rPr>
          <w:rFonts w:hint="eastAsia" w:ascii="宋体" w:hAnsi="宋体" w:cs="宋体"/>
          <w:sz w:val="24"/>
          <w:highlight w:val="none"/>
        </w:rPr>
        <w:t>个小时内恢复正常使用。</w:t>
      </w:r>
    </w:p>
    <w:p w14:paraId="0F9934A7">
      <w:pPr>
        <w:adjustRightInd w:val="0"/>
        <w:snapToGrid w:val="0"/>
        <w:spacing w:line="360" w:lineRule="auto"/>
        <w:ind w:firstLine="480" w:firstLineChars="200"/>
        <w:jc w:val="left"/>
        <w:rPr>
          <w:rFonts w:ascii="宋体" w:hAnsi="宋体" w:cs="宋体"/>
          <w:sz w:val="24"/>
          <w:highlight w:val="none"/>
        </w:rPr>
      </w:pPr>
      <w:r>
        <w:rPr>
          <w:rFonts w:ascii="宋体" w:hAnsi="宋体" w:cs="宋体"/>
          <w:sz w:val="24"/>
          <w:highlight w:val="none"/>
        </w:rPr>
        <w:t>21</w:t>
      </w:r>
      <w:r>
        <w:rPr>
          <w:rFonts w:hint="eastAsia" w:ascii="宋体" w:hAnsi="宋体" w:cs="宋体"/>
          <w:sz w:val="24"/>
          <w:highlight w:val="none"/>
        </w:rPr>
        <w:t>.维修过程中需要开挖道路或者是绿化带，由乙方自己负责，不再单独计算此部分费用。</w:t>
      </w:r>
    </w:p>
    <w:p w14:paraId="09744460">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22.乙方工作人员在服务过程中发生的人身、财产损害，由乙方自行承担用工责任，与甲方无关。因乙方原因致使双方或第三方人身损害或财产损失的，乙方应承担全部责任。 由此导致甲方损失的，乙方应予赔偿，该损失包括但不限于：赔偿金、违约金、诉讼费、保全费、律师费等所有费用。</w:t>
      </w:r>
    </w:p>
    <w:p w14:paraId="289C79F7">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维修改造费用支付方式</w:t>
      </w:r>
    </w:p>
    <w:p w14:paraId="7FB86DA9">
      <w:pPr>
        <w:pStyle w:val="132"/>
        <w:numPr>
          <w:ilvl w:val="0"/>
          <w:numId w:val="7"/>
        </w:numPr>
        <w:adjustRightInd w:val="0"/>
        <w:snapToGrid w:val="0"/>
        <w:spacing w:line="360" w:lineRule="auto"/>
        <w:ind w:firstLineChars="0"/>
        <w:rPr>
          <w:rFonts w:ascii="宋体" w:hAnsi="宋体" w:cs="宋体"/>
          <w:sz w:val="24"/>
          <w:highlight w:val="none"/>
        </w:rPr>
      </w:pPr>
      <w:r>
        <w:rPr>
          <w:rFonts w:hint="eastAsia" w:ascii="宋体" w:hAnsi="宋体" w:cs="宋体"/>
          <w:sz w:val="24"/>
          <w:highlight w:val="none"/>
        </w:rPr>
        <w:t>支付标准</w:t>
      </w:r>
    </w:p>
    <w:p w14:paraId="2D6743C0">
      <w:pPr>
        <w:adjustRightInd w:val="0"/>
        <w:snapToGrid w:val="0"/>
        <w:spacing w:line="360" w:lineRule="auto"/>
        <w:ind w:firstLine="420" w:firstLineChars="175"/>
        <w:rPr>
          <w:rFonts w:ascii="宋体" w:hAnsi="宋体" w:cs="宋体"/>
          <w:sz w:val="24"/>
          <w:szCs w:val="24"/>
          <w:highlight w:val="none"/>
        </w:rPr>
      </w:pPr>
      <w:r>
        <w:rPr>
          <w:rFonts w:hint="eastAsia" w:ascii="宋体" w:hAnsi="宋体" w:cs="宋体"/>
          <w:sz w:val="24"/>
          <w:szCs w:val="24"/>
          <w:highlight w:val="none"/>
        </w:rPr>
        <w:t>1、合同签订后支付项目预算金额20%的预付款。</w:t>
      </w:r>
    </w:p>
    <w:p w14:paraId="4B4A2700">
      <w:pPr>
        <w:adjustRightInd w:val="0"/>
        <w:snapToGrid w:val="0"/>
        <w:spacing w:line="360" w:lineRule="auto"/>
        <w:ind w:firstLine="420" w:firstLineChars="175"/>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color w:val="000000" w:themeColor="text1"/>
          <w:sz w:val="24"/>
          <w:szCs w:val="24"/>
          <w:highlight w:val="none"/>
          <w14:textFill>
            <w14:solidFill>
              <w14:schemeClr w14:val="tx1"/>
            </w14:solidFill>
          </w14:textFill>
        </w:rPr>
        <w:t>最终合同结算价款在发包人委托的第三方造价咨询服务单位依据现行计价依据和标准，根据最终完成工作量编制的预算的基础上下浮</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%（中标费率）的形式进行计取，（即：结算价＝经审核的最终工程量预算价×（1—中标的下浮幅度值）</w:t>
      </w:r>
      <w:r>
        <w:rPr>
          <w:rFonts w:hint="eastAsia" w:ascii="宋体" w:hAnsi="宋体" w:cs="宋体"/>
          <w:sz w:val="24"/>
          <w:szCs w:val="24"/>
          <w:highlight w:val="none"/>
        </w:rPr>
        <w:t>。</w:t>
      </w:r>
    </w:p>
    <w:p w14:paraId="6CD5DD0D">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二）乙方应遵照甲方财务制度及流程办理维修改造费手续。付款前由乙方开具等额税率为【】%的增值税【】发票。若因乙方开具的发票不符合法律法规及甲方要求，甲方有权顺延付款，乙方负有重新开具合法合规符合甲方要求的发票，在这过程中产生的损失由乙方自行承担。</w:t>
      </w:r>
    </w:p>
    <w:p w14:paraId="57B9625F">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违约责任</w:t>
      </w:r>
    </w:p>
    <w:p w14:paraId="3E8C850C">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（一）乙方须严把材料质量关，更换电器元件、线材等器材必须达到原设计标准，有“</w:t>
      </w:r>
      <w:r>
        <w:rPr>
          <w:rFonts w:ascii="宋体" w:hAnsi="宋体" w:cs="宋体"/>
          <w:sz w:val="24"/>
          <w:highlight w:val="none"/>
        </w:rPr>
        <w:t>CCC</w:t>
      </w:r>
      <w:r>
        <w:rPr>
          <w:rFonts w:hint="eastAsia" w:ascii="宋体" w:hAnsi="宋体" w:cs="宋体"/>
          <w:sz w:val="24"/>
          <w:highlight w:val="none"/>
        </w:rPr>
        <w:t>”认证和国家质量合格证书，严禁使用假冒伪劣产品。一经发现，已实施的工程一律返工，乙方承担所有费用。同时，造成严重后果的，乙方应承担全部安全和经济责任。情况严重的甲方有权启动清退机制，并记录在案。</w:t>
      </w:r>
    </w:p>
    <w:p w14:paraId="7E2F19A9">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（二）</w:t>
      </w:r>
      <w:r>
        <w:rPr>
          <w:rFonts w:ascii="宋体" w:hAnsi="宋体" w:cs="宋体"/>
          <w:sz w:val="24"/>
          <w:highlight w:val="none"/>
        </w:rPr>
        <w:t xml:space="preserve"> </w:t>
      </w:r>
      <w:r>
        <w:rPr>
          <w:rFonts w:hint="eastAsia" w:ascii="宋体" w:hAnsi="宋体" w:cs="宋体"/>
          <w:sz w:val="24"/>
          <w:highlight w:val="none"/>
        </w:rPr>
        <w:t>乙方须在规定的响应时间内及时整改问题，修复设施，对同一位置或同一问题规定时间未修复的，第三方考核服务单位下整改通知，三次整改通知未修复的，甲方有权启动清退机制，并记录在案。如造成重大影响的，乙方承担全部安全和经济责任。</w:t>
      </w:r>
    </w:p>
    <w:p w14:paraId="12AAE305">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（三）安全生产。乙方必须做到安全施工，做好安全生产工作。出现安全事故并造成重大影响，乙方承担全部安全和经济责任。甲方有权启动清退机制，并记录在案。</w:t>
      </w:r>
    </w:p>
    <w:p w14:paraId="2047BF1F">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（四）应急抢修。如遇自然灾害等重大事件，乙方在</w:t>
      </w:r>
      <w:r>
        <w:rPr>
          <w:rFonts w:hint="eastAsia"/>
          <w:sz w:val="24"/>
          <w:szCs w:val="32"/>
          <w:highlight w:val="none"/>
        </w:rPr>
        <w:t>维修改造工作</w:t>
      </w:r>
      <w:r>
        <w:rPr>
          <w:rFonts w:hint="eastAsia" w:ascii="宋体" w:hAnsi="宋体" w:cs="宋体"/>
          <w:sz w:val="24"/>
          <w:highlight w:val="none"/>
        </w:rPr>
        <w:t>范围内必须无条件服从甲方所分配的维修任务进行突击维修。不服从的，甲方可以根据需要安排其他施工单位，费用在乙方的费用中扣除。情况严重的甲方有权启动清退机制，并记录在案。</w:t>
      </w:r>
    </w:p>
    <w:p w14:paraId="517143A2">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（五）因乙方原因给甲方造成损失的，乙方还应赔偿给甲方造成的损失（包括但不限于直接损失、间接损失，以及因此而支出的诉讼费、律师费、差旅费等）。</w:t>
      </w:r>
    </w:p>
    <w:p w14:paraId="163B99BF">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（六）乙方有以下情形之一，视为违约，甲方有权解除合同，并且乙方应向甲方支付年度项目预算金额</w:t>
      </w:r>
      <w:r>
        <w:rPr>
          <w:rFonts w:ascii="宋体" w:hAnsi="宋体" w:cs="宋体"/>
          <w:sz w:val="24"/>
          <w:highlight w:val="none"/>
        </w:rPr>
        <w:t>20%</w:t>
      </w:r>
      <w:r>
        <w:rPr>
          <w:rFonts w:hint="eastAsia" w:ascii="宋体" w:hAnsi="宋体" w:cs="宋体"/>
          <w:sz w:val="24"/>
          <w:highlight w:val="none"/>
        </w:rPr>
        <w:t>的违约责任外，给甲方造成损失的，还应当赔偿甲方的损失。</w:t>
      </w:r>
    </w:p>
    <w:p w14:paraId="10723340">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（1）未经甲方同意，乙方将本合同项下的权利和义务部分或全部转让给第三人，或随意变更项目负责人、服务人员的；</w:t>
      </w:r>
    </w:p>
    <w:p w14:paraId="4C6C23AC">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（2）乙方所提供的服务质量、服务时间等不符合双方合同约定，经甲方提出整改后仍未达到甲方要求的；</w:t>
      </w:r>
    </w:p>
    <w:p w14:paraId="71F56F50">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（八）其他违约责任按相关法律法规执行。</w:t>
      </w:r>
    </w:p>
    <w:p w14:paraId="578FBDF4">
      <w:pPr>
        <w:adjustRightInd w:val="0"/>
        <w:snapToGrid w:val="0"/>
        <w:spacing w:line="360" w:lineRule="auto"/>
        <w:ind w:firstLine="420" w:firstLineChars="175"/>
        <w:rPr>
          <w:rFonts w:ascii="宋体" w:hAnsi="宋体" w:cs="宋体"/>
          <w:sz w:val="24"/>
          <w:highlight w:val="none"/>
        </w:rPr>
      </w:pPr>
      <w:r>
        <w:rPr>
          <w:rFonts w:hint="eastAsia" w:ascii="宋体" w:hAnsi="宋体" w:cs="宋体"/>
          <w:sz w:val="24"/>
          <w:highlight w:val="none"/>
        </w:rPr>
        <w:t>（九）甲方有权从应付乙方的合同价款中直接抵扣因乙方违反合同约定给甲方造成损失的赔偿金和应支付的违约金，不足抵扣的，由乙方继续承担偿付责任。</w:t>
      </w:r>
    </w:p>
    <w:p w14:paraId="11B85420">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不可抗力</w:t>
      </w:r>
    </w:p>
    <w:p w14:paraId="1B66CC94">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.由于不可预见、不可避免、不可克服等不可抗力的原因，乙方不能履行合同义务的，应当在不可抗力发生之日起</w:t>
      </w:r>
      <w:r>
        <w:rPr>
          <w:rFonts w:ascii="宋体" w:hAnsi="宋体" w:cs="宋体"/>
          <w:sz w:val="24"/>
          <w:highlight w:val="none"/>
        </w:rPr>
        <w:t>7</w:t>
      </w:r>
      <w:r>
        <w:rPr>
          <w:rFonts w:hint="eastAsia" w:ascii="宋体" w:hAnsi="宋体" w:cs="宋体"/>
          <w:sz w:val="24"/>
          <w:highlight w:val="none"/>
        </w:rPr>
        <w:t>天内以书面形式通知甲方，证明不可抗力事件的存在。</w:t>
      </w:r>
    </w:p>
    <w:p w14:paraId="3BA3FC36">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.不可抗力事件发生后，甲方和乙方应当积极寻求合理的方式履行本合同。如不可抗力无法消除，致使合同目的无法实现的，双方均有权解除合同，且不互相索赔。</w:t>
      </w:r>
    </w:p>
    <w:p w14:paraId="0B08180A">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争议的解决方法</w:t>
      </w:r>
    </w:p>
    <w:p w14:paraId="57A1F182">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凡与本合同有关的一切争议，双方应本着诚信合作的态度，友好协商解决；如经协商后仍不能达成协议时，双方同意采取以下</w:t>
      </w:r>
      <w:r>
        <w:rPr>
          <w:rFonts w:ascii="宋体" w:hAnsi="宋体" w:cs="宋体"/>
          <w:sz w:val="24"/>
          <w:highlight w:val="none"/>
        </w:rPr>
        <w:t xml:space="preserve"> </w:t>
      </w:r>
      <w:r>
        <w:rPr>
          <w:rFonts w:hint="eastAsia" w:ascii="宋体" w:hAnsi="宋体" w:cs="宋体"/>
          <w:sz w:val="24"/>
          <w:highlight w:val="none"/>
        </w:rPr>
        <w:t>第</w:t>
      </w:r>
      <w:r>
        <w:rPr>
          <w:rFonts w:ascii="宋体" w:hAnsi="宋体" w:cs="宋体"/>
          <w:sz w:val="24"/>
          <w:highlight w:val="none"/>
        </w:rPr>
        <w:t xml:space="preserve"> 2 </w:t>
      </w:r>
      <w:r>
        <w:rPr>
          <w:rFonts w:hint="eastAsia" w:ascii="宋体" w:hAnsi="宋体" w:cs="宋体"/>
          <w:sz w:val="24"/>
          <w:highlight w:val="none"/>
        </w:rPr>
        <w:t>种方式解决：</w:t>
      </w:r>
    </w:p>
    <w:p w14:paraId="30CAB6E9">
      <w:pPr>
        <w:adjustRightInd w:val="0"/>
        <w:snapToGrid w:val="0"/>
        <w:spacing w:line="360" w:lineRule="auto"/>
        <w:ind w:firstLine="480" w:firstLineChars="200"/>
        <w:rPr>
          <w:rFonts w:ascii="宋体" w:hAnsi="宋体" w:cs="宋体"/>
          <w:sz w:val="24"/>
          <w:highlight w:val="none"/>
        </w:rPr>
      </w:pPr>
      <w:r>
        <w:rPr>
          <w:rFonts w:ascii="宋体" w:hAnsi="宋体"/>
          <w:sz w:val="24"/>
          <w:highlight w:val="none"/>
        </w:rPr>
        <w:t>1</w:t>
      </w:r>
      <w:r>
        <w:rPr>
          <w:rFonts w:hint="eastAsia" w:ascii="宋体" w:hAnsi="宋体"/>
          <w:sz w:val="24"/>
          <w:highlight w:val="none"/>
        </w:rPr>
        <w:t>.</w:t>
      </w:r>
      <w:r>
        <w:rPr>
          <w:rFonts w:hint="eastAsia" w:ascii="宋体" w:hAnsi="宋体" w:cs="宋体"/>
          <w:sz w:val="24"/>
          <w:highlight w:val="none"/>
        </w:rPr>
        <w:t>向当地仲裁委员会申请仲裁；</w:t>
      </w:r>
    </w:p>
    <w:p w14:paraId="03354615">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.向甲方住所地有管辖权的人民法院提出诉讼。乙方违约的，需要承担甲方为实现自身权利所支出的全部合理费用，包括但不限于诉讼费、律师费、评估鉴定费、保全费、公证费、保全担保费等所有费用。</w:t>
      </w:r>
    </w:p>
    <w:p w14:paraId="1FDE23CD">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保密要求</w:t>
      </w:r>
    </w:p>
    <w:p w14:paraId="2076A458">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乙方对在履行本合同期间知悉的甲方的秘密，有保密责任，乙方的保密责任不因本合同的终止而终止。乙方若违反保密要求，甲方除按照有关规定追究乙方（单位或个人）经济上的赔偿责任外，有权提请司法机关追究乙方（单位或个人）的法律责任。</w:t>
      </w:r>
    </w:p>
    <w:p w14:paraId="1FA8D5F5">
      <w:pPr>
        <w:numPr>
          <w:ilvl w:val="0"/>
          <w:numId w:val="6"/>
        </w:numPr>
        <w:adjustRightInd w:val="0"/>
        <w:snapToGrid w:val="0"/>
        <w:spacing w:line="360" w:lineRule="auto"/>
        <w:ind w:firstLine="420" w:firstLineChars="175"/>
        <w:jc w:val="left"/>
        <w:rPr>
          <w:rFonts w:ascii="宋体" w:hAnsi="宋体" w:cs="宋体"/>
          <w:b/>
          <w:bCs/>
          <w:sz w:val="24"/>
          <w:highlight w:val="none"/>
        </w:rPr>
      </w:pPr>
      <w:r>
        <w:rPr>
          <w:rFonts w:hint="eastAsia" w:ascii="宋体" w:hAnsi="宋体" w:cs="宋体"/>
          <w:b/>
          <w:bCs/>
          <w:sz w:val="24"/>
          <w:highlight w:val="none"/>
        </w:rPr>
        <w:t>其他</w:t>
      </w:r>
    </w:p>
    <w:p w14:paraId="1B1EE9EE">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.甲方有权根据城市发展和景观照明设施管理的需要组织修订《度假区海埂片区景观照明维修改造合同考核办法》。</w:t>
      </w:r>
    </w:p>
    <w:p w14:paraId="52013603">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.履行该合同过程中甲方发给乙方的各种通知等，均是本合同的有效组成部分，与合同具有同等法律效力，合同与附件之间内容互为补充和解释，但如有模棱两可或互相矛盾之处，以时间在后的文件为准。</w:t>
      </w:r>
    </w:p>
    <w:p w14:paraId="281A27E1">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.双方可对本合同的条款进行补充，以书面形式签订补充协议，补充协议与本合同具有同等法律效力。</w:t>
      </w:r>
    </w:p>
    <w:p w14:paraId="0341D159">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.本合同一式陆份，甲方肆份，乙方贰份，自甲乙双方签字盖章后生效。合同期满本合同自然终止。</w:t>
      </w:r>
    </w:p>
    <w:p w14:paraId="11B4A95A">
      <w:pPr>
        <w:adjustRightInd w:val="0"/>
        <w:snapToGrid w:val="0"/>
        <w:spacing w:line="360" w:lineRule="auto"/>
        <w:ind w:firstLine="480" w:firstLineChars="20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.组成本合同附件：</w:t>
      </w:r>
    </w:p>
    <w:p w14:paraId="437350F3">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（1）《廉政合同》；</w:t>
      </w:r>
    </w:p>
    <w:p w14:paraId="67CAA6A0">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（2）招投标文件及相关法律法规。</w:t>
      </w:r>
    </w:p>
    <w:p w14:paraId="4AACCBDB">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 xml:space="preserve">甲方（盖章）： </w:t>
      </w:r>
      <w:r>
        <w:rPr>
          <w:rFonts w:ascii="宋体" w:hAnsi="宋体" w:cs="宋体"/>
          <w:sz w:val="24"/>
          <w:highlight w:val="none"/>
        </w:rPr>
        <w:t xml:space="preserve">                   </w:t>
      </w:r>
      <w:r>
        <w:rPr>
          <w:rFonts w:hint="eastAsia" w:ascii="宋体" w:hAnsi="宋体" w:cs="宋体"/>
          <w:sz w:val="24"/>
          <w:highlight w:val="none"/>
        </w:rPr>
        <w:t>乙方（盖章）：</w:t>
      </w:r>
      <w:r>
        <w:rPr>
          <w:rFonts w:ascii="宋体" w:hAnsi="宋体" w:cs="宋体"/>
          <w:sz w:val="24"/>
          <w:highlight w:val="none"/>
        </w:rPr>
        <w:t>XX</w:t>
      </w:r>
      <w:r>
        <w:rPr>
          <w:rFonts w:hint="eastAsia" w:ascii="宋体" w:hAnsi="宋体" w:cs="宋体"/>
          <w:sz w:val="24"/>
          <w:highlight w:val="none"/>
        </w:rPr>
        <w:t>XXX</w:t>
      </w:r>
    </w:p>
    <w:p w14:paraId="282E37E2">
      <w:pPr>
        <w:adjustRightInd w:val="0"/>
        <w:snapToGrid w:val="0"/>
        <w:spacing w:line="360" w:lineRule="auto"/>
        <w:ind w:left="5158" w:leftChars="228" w:hanging="4680" w:hangingChars="1950"/>
        <w:rPr>
          <w:rFonts w:ascii="宋体" w:hAnsi="宋体" w:cs="宋体"/>
          <w:sz w:val="24"/>
          <w:highlight w:val="none"/>
        </w:rPr>
      </w:pPr>
      <w:r>
        <w:rPr>
          <w:rFonts w:hint="eastAsia" w:ascii="宋体" w:hAnsi="宋体" w:cs="宋体"/>
          <w:sz w:val="24"/>
          <w:highlight w:val="none"/>
        </w:rPr>
        <w:t>地址：</w:t>
      </w:r>
      <w:r>
        <w:rPr>
          <w:rFonts w:ascii="宋体" w:hAnsi="宋体" w:cs="宋体"/>
          <w:sz w:val="24"/>
          <w:highlight w:val="none"/>
        </w:rPr>
        <w:t xml:space="preserve">                               </w:t>
      </w:r>
      <w:r>
        <w:rPr>
          <w:rFonts w:hint="eastAsia" w:ascii="宋体" w:hAnsi="宋体" w:cs="宋体"/>
          <w:sz w:val="24"/>
          <w:highlight w:val="none"/>
        </w:rPr>
        <w:t>地址：</w:t>
      </w:r>
      <w:r>
        <w:rPr>
          <w:rFonts w:ascii="宋体" w:hAnsi="宋体" w:cs="宋体"/>
          <w:sz w:val="24"/>
          <w:highlight w:val="none"/>
        </w:rPr>
        <w:t xml:space="preserve"> </w:t>
      </w:r>
    </w:p>
    <w:p w14:paraId="0CD60099">
      <w:pPr>
        <w:adjustRightInd w:val="0"/>
        <w:snapToGrid w:val="0"/>
        <w:spacing w:line="360" w:lineRule="auto"/>
        <w:ind w:left="5158" w:leftChars="228" w:hanging="4680" w:hangingChars="1950"/>
        <w:rPr>
          <w:rFonts w:ascii="宋体" w:hAnsi="宋体" w:cs="宋体"/>
          <w:sz w:val="24"/>
          <w:highlight w:val="none"/>
        </w:rPr>
      </w:pPr>
      <w:r>
        <w:rPr>
          <w:rFonts w:hint="eastAsia" w:ascii="宋体" w:hAnsi="宋体" w:cs="宋体"/>
          <w:sz w:val="24"/>
          <w:highlight w:val="none"/>
        </w:rPr>
        <w:t>法定代表人：</w:t>
      </w:r>
      <w:r>
        <w:rPr>
          <w:rFonts w:ascii="宋体" w:hAnsi="宋体" w:cs="宋体"/>
          <w:sz w:val="24"/>
          <w:highlight w:val="none"/>
        </w:rPr>
        <w:t xml:space="preserve">                         </w:t>
      </w:r>
      <w:r>
        <w:rPr>
          <w:rFonts w:hint="eastAsia" w:ascii="宋体" w:hAnsi="宋体" w:cs="宋体"/>
          <w:sz w:val="24"/>
          <w:highlight w:val="none"/>
        </w:rPr>
        <w:t>法定代表人：</w:t>
      </w:r>
    </w:p>
    <w:p w14:paraId="4E1A8074">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负责人：</w:t>
      </w:r>
      <w:r>
        <w:rPr>
          <w:rFonts w:ascii="宋体" w:hAnsi="宋体" w:cs="宋体"/>
          <w:sz w:val="24"/>
          <w:highlight w:val="none"/>
        </w:rPr>
        <w:t xml:space="preserve">                             </w:t>
      </w:r>
      <w:r>
        <w:rPr>
          <w:rFonts w:hint="eastAsia" w:ascii="宋体" w:hAnsi="宋体" w:cs="宋体"/>
          <w:sz w:val="24"/>
          <w:highlight w:val="none"/>
        </w:rPr>
        <w:t>负责人：</w:t>
      </w:r>
    </w:p>
    <w:p w14:paraId="0586317E">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经办人：</w:t>
      </w:r>
      <w:r>
        <w:rPr>
          <w:rFonts w:ascii="宋体" w:hAnsi="宋体" w:cs="宋体"/>
          <w:sz w:val="24"/>
          <w:highlight w:val="none"/>
        </w:rPr>
        <w:t xml:space="preserve">                             </w:t>
      </w:r>
      <w:r>
        <w:rPr>
          <w:rFonts w:hint="eastAsia" w:ascii="宋体" w:hAnsi="宋体" w:cs="宋体"/>
          <w:sz w:val="24"/>
          <w:highlight w:val="none"/>
        </w:rPr>
        <w:t>经办人：</w:t>
      </w:r>
    </w:p>
    <w:p w14:paraId="6939AFD1">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电话：</w:t>
      </w:r>
      <w:r>
        <w:rPr>
          <w:rFonts w:ascii="宋体" w:hAnsi="宋体" w:cs="宋体"/>
          <w:sz w:val="24"/>
          <w:highlight w:val="none"/>
        </w:rPr>
        <w:t xml:space="preserve">                               </w:t>
      </w:r>
      <w:r>
        <w:rPr>
          <w:rFonts w:hint="eastAsia" w:ascii="宋体" w:hAnsi="宋体" w:cs="宋体"/>
          <w:sz w:val="24"/>
          <w:highlight w:val="none"/>
        </w:rPr>
        <w:t>电话：</w:t>
      </w:r>
    </w:p>
    <w:p w14:paraId="4E58A590">
      <w:pPr>
        <w:tabs>
          <w:tab w:val="left" w:pos="4536"/>
          <w:tab w:val="left" w:pos="4820"/>
        </w:tabs>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传真：</w:t>
      </w:r>
      <w:r>
        <w:rPr>
          <w:rFonts w:ascii="宋体" w:hAnsi="宋体" w:cs="宋体"/>
          <w:sz w:val="24"/>
          <w:highlight w:val="none"/>
        </w:rPr>
        <w:t xml:space="preserve">                               </w:t>
      </w:r>
      <w:r>
        <w:rPr>
          <w:rFonts w:hint="eastAsia" w:ascii="宋体" w:hAnsi="宋体" w:cs="宋体"/>
          <w:sz w:val="24"/>
          <w:highlight w:val="none"/>
        </w:rPr>
        <w:t>传真：</w:t>
      </w:r>
    </w:p>
    <w:p w14:paraId="7DA45935">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开户银行：</w:t>
      </w:r>
      <w:r>
        <w:rPr>
          <w:rFonts w:ascii="宋体" w:hAnsi="宋体" w:cs="宋体"/>
          <w:sz w:val="24"/>
          <w:highlight w:val="none"/>
        </w:rPr>
        <w:t xml:space="preserve">                           </w:t>
      </w:r>
      <w:r>
        <w:rPr>
          <w:rFonts w:hint="eastAsia" w:ascii="宋体" w:hAnsi="宋体" w:cs="宋体"/>
          <w:sz w:val="24"/>
          <w:highlight w:val="none"/>
        </w:rPr>
        <w:t>开户银行：</w:t>
      </w:r>
      <w:r>
        <w:rPr>
          <w:rFonts w:ascii="宋体" w:hAnsi="宋体" w:cs="宋体"/>
          <w:sz w:val="24"/>
          <w:highlight w:val="none"/>
        </w:rPr>
        <w:t xml:space="preserve"> </w:t>
      </w:r>
    </w:p>
    <w:p w14:paraId="3D370088">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账号：</w:t>
      </w:r>
      <w:r>
        <w:rPr>
          <w:rFonts w:ascii="宋体" w:hAnsi="宋体" w:cs="宋体"/>
          <w:sz w:val="24"/>
          <w:highlight w:val="none"/>
        </w:rPr>
        <w:t xml:space="preserve">                               </w:t>
      </w:r>
      <w:r>
        <w:rPr>
          <w:rFonts w:hint="eastAsia" w:ascii="宋体" w:hAnsi="宋体" w:cs="宋体"/>
          <w:sz w:val="24"/>
          <w:highlight w:val="none"/>
        </w:rPr>
        <w:t>账号：</w:t>
      </w:r>
    </w:p>
    <w:p w14:paraId="4103DFFE">
      <w:pPr>
        <w:adjustRightInd w:val="0"/>
        <w:snapToGrid w:val="0"/>
        <w:spacing w:line="360" w:lineRule="auto"/>
        <w:ind w:firstLine="482"/>
        <w:rPr>
          <w:rFonts w:ascii="宋体" w:hAnsi="宋体" w:cs="宋体"/>
          <w:sz w:val="24"/>
          <w:highlight w:val="none"/>
        </w:rPr>
      </w:pPr>
      <w:bookmarkStart w:id="35" w:name="_Toc350346464"/>
      <w:bookmarkStart w:id="36" w:name="_Toc384760655"/>
      <w:r>
        <w:rPr>
          <w:rFonts w:hint="eastAsia" w:ascii="宋体" w:hAnsi="宋体" w:cs="宋体"/>
          <w:sz w:val="24"/>
          <w:highlight w:val="none"/>
        </w:rPr>
        <w:t>签约时间：</w:t>
      </w:r>
      <w:r>
        <w:rPr>
          <w:rFonts w:ascii="宋体" w:hAnsi="宋体" w:cs="宋体"/>
          <w:sz w:val="24"/>
          <w:highlight w:val="none"/>
        </w:rPr>
        <w:t xml:space="preserve"> </w:t>
      </w:r>
      <w:r>
        <w:rPr>
          <w:rFonts w:hint="eastAsia" w:ascii="宋体" w:hAnsi="宋体" w:cs="宋体"/>
          <w:sz w:val="24"/>
          <w:highlight w:val="none"/>
        </w:rPr>
        <w:t>年</w:t>
      </w:r>
      <w:r>
        <w:rPr>
          <w:rFonts w:ascii="宋体" w:hAnsi="宋体" w:cs="宋体"/>
          <w:sz w:val="24"/>
          <w:highlight w:val="none"/>
        </w:rPr>
        <w:t xml:space="preserve">  </w:t>
      </w:r>
      <w:r>
        <w:rPr>
          <w:rFonts w:hint="eastAsia" w:ascii="宋体" w:hAnsi="宋体" w:cs="宋体"/>
          <w:sz w:val="24"/>
          <w:highlight w:val="none"/>
        </w:rPr>
        <w:t>月</w:t>
      </w:r>
      <w:r>
        <w:rPr>
          <w:rFonts w:ascii="宋体" w:hAnsi="宋体" w:cs="宋体"/>
          <w:sz w:val="24"/>
          <w:highlight w:val="none"/>
        </w:rPr>
        <w:t xml:space="preserve">   </w:t>
      </w:r>
      <w:r>
        <w:rPr>
          <w:rFonts w:hint="eastAsia" w:ascii="宋体" w:hAnsi="宋体" w:cs="宋体"/>
          <w:sz w:val="24"/>
          <w:highlight w:val="none"/>
        </w:rPr>
        <w:t>日</w:t>
      </w:r>
      <w:r>
        <w:rPr>
          <w:rFonts w:ascii="宋体" w:hAnsi="宋体" w:cs="宋体"/>
          <w:sz w:val="24"/>
          <w:highlight w:val="none"/>
        </w:rPr>
        <w:t xml:space="preserve">           </w:t>
      </w:r>
      <w:r>
        <w:rPr>
          <w:rFonts w:hint="eastAsia" w:ascii="宋体" w:hAnsi="宋体" w:cs="宋体"/>
          <w:sz w:val="24"/>
          <w:highlight w:val="none"/>
        </w:rPr>
        <w:t>签约时间：</w:t>
      </w:r>
      <w:r>
        <w:rPr>
          <w:rFonts w:ascii="宋体" w:hAnsi="宋体" w:cs="宋体"/>
          <w:sz w:val="24"/>
          <w:highlight w:val="none"/>
        </w:rPr>
        <w:t xml:space="preserve"> </w:t>
      </w:r>
      <w:r>
        <w:rPr>
          <w:rFonts w:hint="eastAsia" w:ascii="宋体" w:hAnsi="宋体" w:cs="宋体"/>
          <w:sz w:val="24"/>
          <w:highlight w:val="none"/>
        </w:rPr>
        <w:t>年</w:t>
      </w:r>
      <w:r>
        <w:rPr>
          <w:rFonts w:ascii="宋体" w:hAnsi="宋体" w:cs="宋体"/>
          <w:sz w:val="24"/>
          <w:highlight w:val="none"/>
        </w:rPr>
        <w:t xml:space="preserve"> </w:t>
      </w:r>
      <w:r>
        <w:rPr>
          <w:rFonts w:hint="eastAsia" w:ascii="宋体" w:hAnsi="宋体" w:cs="宋体"/>
          <w:sz w:val="24"/>
          <w:highlight w:val="none"/>
        </w:rPr>
        <w:t>月</w:t>
      </w:r>
      <w:r>
        <w:rPr>
          <w:rFonts w:ascii="宋体" w:hAnsi="宋体" w:cs="宋体"/>
          <w:sz w:val="24"/>
          <w:highlight w:val="none"/>
        </w:rPr>
        <w:t xml:space="preserve">   </w:t>
      </w:r>
      <w:r>
        <w:rPr>
          <w:rFonts w:hint="eastAsia" w:ascii="宋体" w:hAnsi="宋体" w:cs="宋体"/>
          <w:sz w:val="24"/>
          <w:highlight w:val="none"/>
        </w:rPr>
        <w:t>日</w:t>
      </w:r>
      <w:bookmarkEnd w:id="35"/>
      <w:bookmarkEnd w:id="36"/>
    </w:p>
    <w:p w14:paraId="4CE0B5D9">
      <w:pPr>
        <w:adjustRightInd w:val="0"/>
        <w:snapToGrid w:val="0"/>
        <w:spacing w:line="360" w:lineRule="auto"/>
        <w:ind w:firstLine="482"/>
        <w:rPr>
          <w:rFonts w:ascii="宋体" w:hAnsi="宋体" w:cs="宋体"/>
          <w:sz w:val="24"/>
          <w:highlight w:val="none"/>
        </w:rPr>
      </w:pPr>
    </w:p>
    <w:p w14:paraId="7D03C6BF">
      <w:pPr>
        <w:adjustRightInd w:val="0"/>
        <w:snapToGrid w:val="0"/>
        <w:spacing w:line="360" w:lineRule="auto"/>
        <w:ind w:firstLine="482"/>
        <w:rPr>
          <w:rFonts w:ascii="宋体" w:hAnsi="宋体" w:cs="宋体"/>
          <w:sz w:val="24"/>
          <w:highlight w:val="none"/>
        </w:rPr>
      </w:pPr>
    </w:p>
    <w:p w14:paraId="53AFBCC2">
      <w:pPr>
        <w:adjustRightInd w:val="0"/>
        <w:snapToGrid w:val="0"/>
        <w:spacing w:line="360" w:lineRule="auto"/>
        <w:rPr>
          <w:rFonts w:ascii="宋体" w:hAnsi="宋体" w:cs="宋体"/>
          <w:sz w:val="24"/>
          <w:highlight w:val="none"/>
        </w:rPr>
      </w:pPr>
    </w:p>
    <w:p w14:paraId="14453E90">
      <w:pPr>
        <w:rPr>
          <w:rFonts w:hint="eastAsia" w:ascii="宋体" w:hAnsi="宋体" w:cs="宋体"/>
          <w:b/>
          <w:bCs/>
          <w:sz w:val="44"/>
          <w:szCs w:val="44"/>
          <w:highlight w:val="none"/>
        </w:rPr>
      </w:pPr>
      <w:r>
        <w:rPr>
          <w:rFonts w:hint="eastAsia" w:ascii="宋体" w:hAnsi="宋体" w:cs="宋体"/>
          <w:b/>
          <w:bCs/>
          <w:sz w:val="44"/>
          <w:szCs w:val="44"/>
          <w:highlight w:val="none"/>
        </w:rPr>
        <w:br w:type="page"/>
      </w:r>
    </w:p>
    <w:p w14:paraId="37865B06">
      <w:pPr>
        <w:adjustRightInd w:val="0"/>
        <w:snapToGrid w:val="0"/>
        <w:spacing w:line="360" w:lineRule="auto"/>
        <w:ind w:firstLine="883"/>
        <w:jc w:val="center"/>
        <w:rPr>
          <w:rFonts w:ascii="宋体" w:cs="宋体"/>
          <w:b/>
          <w:bCs/>
          <w:sz w:val="44"/>
          <w:szCs w:val="44"/>
          <w:highlight w:val="none"/>
        </w:rPr>
      </w:pPr>
      <w:r>
        <w:rPr>
          <w:rFonts w:hint="eastAsia" w:ascii="宋体" w:hAnsi="宋体" w:cs="宋体"/>
          <w:b/>
          <w:bCs/>
          <w:sz w:val="44"/>
          <w:szCs w:val="44"/>
          <w:highlight w:val="none"/>
        </w:rPr>
        <w:t>廉政合同</w:t>
      </w:r>
    </w:p>
    <w:p w14:paraId="75CAB3DF">
      <w:pPr>
        <w:adjustRightInd w:val="0"/>
        <w:snapToGrid w:val="0"/>
        <w:spacing w:line="360" w:lineRule="auto"/>
        <w:ind w:firstLine="562"/>
        <w:rPr>
          <w:rFonts w:ascii="宋体" w:cs="宋体"/>
          <w:sz w:val="28"/>
          <w:szCs w:val="28"/>
          <w:highlight w:val="none"/>
        </w:rPr>
      </w:pPr>
    </w:p>
    <w:p w14:paraId="1A33DDCC">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甲方：</w:t>
      </w:r>
      <w:r>
        <w:rPr>
          <w:rFonts w:hint="eastAsia" w:ascii="宋体" w:hAnsi="宋体" w:cs="宋体"/>
          <w:b/>
          <w:sz w:val="24"/>
          <w:highlight w:val="none"/>
        </w:rPr>
        <w:t>昆明经济技术开发区规划建设局</w:t>
      </w:r>
    </w:p>
    <w:p w14:paraId="1BAE5C7D">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 xml:space="preserve">乙方：      </w:t>
      </w:r>
    </w:p>
    <w:p w14:paraId="0F94AC21">
      <w:pPr>
        <w:adjustRightInd w:val="0"/>
        <w:snapToGrid w:val="0"/>
        <w:spacing w:line="360" w:lineRule="auto"/>
        <w:ind w:firstLine="482"/>
        <w:rPr>
          <w:rFonts w:ascii="宋体" w:hAnsi="宋体" w:cs="宋体"/>
          <w:sz w:val="24"/>
          <w:highlight w:val="none"/>
        </w:rPr>
      </w:pPr>
    </w:p>
    <w:p w14:paraId="4F3405C3">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根据国家建设部、监察部《关于在工程建设中深入开展反对腐败和反对不正当竞争的通知》和中共云南省纪委、监察厅《关于在全省建设工程中建立工程承包和工程廉政“双合同”机制的通知》精神，坚决执行《反不正当竞争法》《建筑法》和有关法规。确定甲乙双方秉公行事，自愿签订廉政合同。</w:t>
      </w:r>
    </w:p>
    <w:p w14:paraId="171CDF8A">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一、甲方不得接受乙方请吃、请玩；不得接受乙方赠送的礼品、礼金和各种有价证券、信用卡及其他支付凭证；不得接受乙方任何好处费及工程回扣；不得向乙方报销任何应由甲方支付的费用；不得参加乙方举行的任何庆典活动。</w:t>
      </w:r>
    </w:p>
    <w:p w14:paraId="08B80E10">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二、甲方人员向乙方索贿，乙方应予拒绝和检举，经乙方检举，被纪检监察、检察机关查实的，依法或按有关规定处理。</w:t>
      </w:r>
    </w:p>
    <w:p w14:paraId="2E164F30">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三、乙方不得以任何形式邀请甲方人员吃、玩或向甲方赠送礼品、礼金、各种有价证券、信用卡及其他支付凭证。如有违反，对乙方处以年度基准包干合同价</w:t>
      </w:r>
      <w:r>
        <w:rPr>
          <w:rFonts w:ascii="宋体" w:hAnsi="宋体" w:cs="宋体"/>
          <w:sz w:val="24"/>
          <w:highlight w:val="none"/>
        </w:rPr>
        <w:t>3%</w:t>
      </w:r>
      <w:r>
        <w:rPr>
          <w:rFonts w:hint="eastAsia" w:ascii="宋体" w:hAnsi="宋体" w:cs="宋体"/>
          <w:sz w:val="24"/>
          <w:highlight w:val="none"/>
        </w:rPr>
        <w:t>以下的罚款。</w:t>
      </w:r>
    </w:p>
    <w:p w14:paraId="124349D4">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四、乙方在工程项目建设中贿赂甲方人员，被纪检监察机关或司法机关立案查处的，甲方有权终止项目施工合同，由此使甲方所造成的损失以及发生的一切费用均由乙方承担。</w:t>
      </w:r>
    </w:p>
    <w:p w14:paraId="5C6E85FE">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五、甲乙双方人员赠送、贿赂、接受或索要钱物，如果一方发生，另一方当事人应立即报告本单位领导和纪检监察机关或向检察机关举报。对不主动报告情况的有关人员，一经查出，视情节轻重给予党纪、政纪处分直至追究刑事责任。</w:t>
      </w:r>
    </w:p>
    <w:p w14:paraId="3D0732CD">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六、甲乙双方领导干部或法人代表要严格履行《工程廉政合同》，如有违反，对主要领导或法定代表要依法按有关规定进行处理。</w:t>
      </w:r>
    </w:p>
    <w:p w14:paraId="25FF96A7">
      <w:pPr>
        <w:adjustRightInd w:val="0"/>
        <w:snapToGrid w:val="0"/>
        <w:spacing w:line="360" w:lineRule="auto"/>
        <w:ind w:firstLine="360" w:firstLineChars="150"/>
        <w:rPr>
          <w:rFonts w:ascii="宋体" w:hAnsi="宋体" w:cs="宋体"/>
          <w:bCs/>
          <w:sz w:val="24"/>
          <w:highlight w:val="none"/>
        </w:rPr>
      </w:pPr>
      <w:r>
        <w:rPr>
          <w:rFonts w:hint="eastAsia" w:ascii="宋体" w:hAnsi="宋体" w:cs="宋体"/>
          <w:sz w:val="24"/>
          <w:highlight w:val="none"/>
        </w:rPr>
        <w:t>七、本廉政合同为</w:t>
      </w:r>
      <w:r>
        <w:rPr>
          <w:rFonts w:hint="eastAsia" w:ascii="宋体" w:hAnsi="宋体" w:cs="宋体"/>
          <w:b/>
          <w:bCs/>
          <w:sz w:val="24"/>
          <w:highlight w:val="none"/>
        </w:rPr>
        <w:t>昆明经济技术开发区规划建设局</w:t>
      </w:r>
      <w:r>
        <w:rPr>
          <w:rFonts w:hint="eastAsia" w:ascii="宋体" w:hAnsi="宋体" w:cs="宋体"/>
          <w:bCs/>
          <w:sz w:val="24"/>
          <w:highlight w:val="none"/>
        </w:rPr>
        <w:t>城市照明维修改造工程合同附件，与主合同有同等法律效力，甲乙双方签字盖章后生效。</w:t>
      </w:r>
    </w:p>
    <w:p w14:paraId="33A2E94D">
      <w:pPr>
        <w:adjustRightInd w:val="0"/>
        <w:snapToGrid w:val="0"/>
        <w:spacing w:line="360" w:lineRule="auto"/>
        <w:ind w:firstLine="360" w:firstLineChars="150"/>
        <w:rPr>
          <w:rFonts w:ascii="宋体" w:hAnsi="宋体" w:cs="宋体"/>
          <w:bCs/>
          <w:sz w:val="24"/>
          <w:highlight w:val="none"/>
        </w:rPr>
      </w:pPr>
      <w:r>
        <w:rPr>
          <w:rFonts w:hint="eastAsia" w:ascii="宋体" w:hAnsi="宋体" w:cs="宋体"/>
          <w:bCs/>
          <w:sz w:val="24"/>
          <w:highlight w:val="none"/>
        </w:rPr>
        <w:t>八、</w:t>
      </w:r>
      <w:r>
        <w:rPr>
          <w:rFonts w:hint="eastAsia" w:ascii="宋体" w:hAnsi="宋体" w:cs="宋体"/>
          <w:sz w:val="24"/>
          <w:highlight w:val="none"/>
        </w:rPr>
        <w:t>本廉政合同一式陆份，甲方肆份，乙方贰份。</w:t>
      </w:r>
    </w:p>
    <w:p w14:paraId="5C93A18B">
      <w:pPr>
        <w:adjustRightInd w:val="0"/>
        <w:snapToGrid w:val="0"/>
        <w:spacing w:line="360" w:lineRule="auto"/>
        <w:ind w:firstLine="482"/>
        <w:rPr>
          <w:rFonts w:ascii="宋体" w:hAnsi="宋体" w:cs="宋体"/>
          <w:sz w:val="24"/>
          <w:highlight w:val="none"/>
        </w:rPr>
      </w:pPr>
    </w:p>
    <w:p w14:paraId="5AB8F53A">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甲方：（公章）</w:t>
      </w:r>
      <w:r>
        <w:rPr>
          <w:rFonts w:ascii="宋体" w:hAnsi="宋体" w:cs="宋体"/>
          <w:sz w:val="24"/>
          <w:highlight w:val="none"/>
        </w:rPr>
        <w:t xml:space="preserve">                     </w:t>
      </w:r>
      <w:r>
        <w:rPr>
          <w:rFonts w:hint="eastAsia" w:ascii="宋体" w:hAnsi="宋体" w:cs="宋体"/>
          <w:sz w:val="24"/>
          <w:highlight w:val="none"/>
        </w:rPr>
        <w:t>乙方：（公章）</w:t>
      </w:r>
    </w:p>
    <w:p w14:paraId="6E88D12E">
      <w:pPr>
        <w:adjustRightInd w:val="0"/>
        <w:snapToGrid w:val="0"/>
        <w:spacing w:line="360" w:lineRule="auto"/>
        <w:ind w:firstLine="360" w:firstLineChars="150"/>
        <w:rPr>
          <w:rFonts w:ascii="宋体" w:hAnsi="宋体" w:cs="宋体"/>
          <w:sz w:val="24"/>
          <w:highlight w:val="none"/>
        </w:rPr>
      </w:pPr>
    </w:p>
    <w:p w14:paraId="34A4BB40">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法定代表人（签章）：</w:t>
      </w:r>
      <w:r>
        <w:rPr>
          <w:rFonts w:ascii="宋体" w:hAnsi="宋体" w:cs="宋体"/>
          <w:sz w:val="24"/>
          <w:highlight w:val="none"/>
        </w:rPr>
        <w:t xml:space="preserve">               </w:t>
      </w:r>
      <w:r>
        <w:rPr>
          <w:rFonts w:hint="eastAsia" w:ascii="宋体" w:hAnsi="宋体" w:cs="宋体"/>
          <w:sz w:val="24"/>
          <w:highlight w:val="none"/>
        </w:rPr>
        <w:t>法定代表人（签章）：</w:t>
      </w:r>
    </w:p>
    <w:p w14:paraId="1C83BF65">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负责人：                           负责人：</w:t>
      </w:r>
    </w:p>
    <w:p w14:paraId="73723EAA">
      <w:pPr>
        <w:adjustRightInd w:val="0"/>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经办人：</w:t>
      </w:r>
      <w:r>
        <w:rPr>
          <w:rFonts w:ascii="宋体" w:hAnsi="宋体" w:cs="宋体"/>
          <w:sz w:val="24"/>
          <w:highlight w:val="none"/>
        </w:rPr>
        <w:t xml:space="preserve">                           </w:t>
      </w:r>
      <w:r>
        <w:rPr>
          <w:rFonts w:hint="eastAsia" w:ascii="宋体" w:hAnsi="宋体" w:cs="宋体"/>
          <w:sz w:val="24"/>
          <w:highlight w:val="none"/>
        </w:rPr>
        <w:t>经办人：</w:t>
      </w:r>
    </w:p>
    <w:p w14:paraId="499ACEA4">
      <w:pPr>
        <w:adjustRightInd w:val="0"/>
        <w:snapToGrid w:val="0"/>
        <w:spacing w:line="360" w:lineRule="auto"/>
        <w:ind w:firstLine="360" w:firstLineChars="150"/>
        <w:rPr>
          <w:rFonts w:ascii="宋体" w:hAnsi="宋体" w:cs="宋体"/>
          <w:sz w:val="24"/>
          <w:highlight w:val="none"/>
        </w:rPr>
      </w:pPr>
    </w:p>
    <w:p w14:paraId="540F35B1">
      <w:pPr>
        <w:tabs>
          <w:tab w:val="left" w:pos="5245"/>
        </w:tabs>
        <w:adjustRightInd w:val="0"/>
        <w:snapToGrid w:val="0"/>
        <w:spacing w:line="360" w:lineRule="auto"/>
        <w:ind w:firstLine="360" w:firstLineChars="150"/>
        <w:rPr>
          <w:rFonts w:ascii="宋体" w:hAnsi="宋体" w:cs="宋体"/>
          <w:color w:val="000000" w:themeColor="text1"/>
          <w:highlight w:val="none"/>
          <w14:textFill>
            <w14:solidFill>
              <w14:schemeClr w14:val="tx1"/>
            </w14:solidFill>
          </w14:textFill>
        </w:rPr>
      </w:pPr>
      <w:r>
        <w:rPr>
          <w:rFonts w:hint="eastAsia" w:ascii="宋体" w:hAnsi="宋体" w:cs="宋体"/>
          <w:sz w:val="24"/>
          <w:highlight w:val="none"/>
        </w:rPr>
        <w:t>签约时间：</w:t>
      </w:r>
      <w:r>
        <w:rPr>
          <w:rFonts w:ascii="宋体" w:hAnsi="宋体" w:cs="宋体"/>
          <w:sz w:val="24"/>
          <w:highlight w:val="none"/>
        </w:rPr>
        <w:t xml:space="preserve">                         </w:t>
      </w:r>
      <w:r>
        <w:rPr>
          <w:rFonts w:hint="eastAsia" w:ascii="宋体" w:hAnsi="宋体" w:cs="宋体"/>
          <w:sz w:val="24"/>
          <w:highlight w:val="none"/>
        </w:rPr>
        <w:t>签约时间：</w:t>
      </w:r>
      <w:r>
        <w:rPr>
          <w:rFonts w:ascii="宋体" w:hAnsi="宋体" w:cs="宋体"/>
          <w:color w:val="000000" w:themeColor="text1"/>
          <w:highlight w:val="none"/>
          <w14:textFill>
            <w14:solidFill>
              <w14:schemeClr w14:val="tx1"/>
            </w14:solidFill>
          </w14:textFill>
        </w:rPr>
        <w:br w:type="page"/>
      </w:r>
    </w:p>
    <w:bookmarkEnd w:id="28"/>
    <w:bookmarkEnd w:id="29"/>
    <w:bookmarkEnd w:id="30"/>
    <w:bookmarkEnd w:id="31"/>
    <w:bookmarkEnd w:id="32"/>
    <w:p w14:paraId="3573E0F8">
      <w:pPr>
        <w:pStyle w:val="7"/>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37" w:name="_Toc31802"/>
      <w:r>
        <w:rPr>
          <w:rFonts w:hint="eastAsia" w:ascii="宋体" w:hAnsi="宋体" w:eastAsia="宋体" w:cs="宋体"/>
          <w:color w:val="000000" w:themeColor="text1"/>
          <w:szCs w:val="28"/>
          <w:highlight w:val="none"/>
          <w14:textFill>
            <w14:solidFill>
              <w14:schemeClr w14:val="tx1"/>
            </w14:solidFill>
          </w14:textFill>
        </w:rPr>
        <w:t>第四章  投标文件格式</w:t>
      </w:r>
      <w:bookmarkEnd w:id="37"/>
    </w:p>
    <w:p w14:paraId="46F002A6">
      <w:pPr>
        <w:pStyle w:val="19"/>
        <w:spacing w:line="500" w:lineRule="exact"/>
        <w:rPr>
          <w:rFonts w:hAnsi="宋体" w:cs="宋体"/>
          <w:color w:val="000000" w:themeColor="text1"/>
          <w:szCs w:val="21"/>
          <w:highlight w:val="none"/>
          <w14:textFill>
            <w14:solidFill>
              <w14:schemeClr w14:val="tx1"/>
            </w14:solidFill>
          </w14:textFill>
        </w:rPr>
      </w:pPr>
    </w:p>
    <w:p w14:paraId="35D26EC3">
      <w:pPr>
        <w:pStyle w:val="19"/>
        <w:spacing w:line="5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格式1：</w:t>
      </w:r>
    </w:p>
    <w:p w14:paraId="47198EAC">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38" w:name="_Toc213141093"/>
      <w:bookmarkStart w:id="39" w:name="_Toc5863"/>
      <w:r>
        <w:rPr>
          <w:rFonts w:hint="eastAsia" w:ascii="宋体" w:hAnsi="宋体" w:eastAsia="宋体" w:cs="宋体"/>
          <w:color w:val="000000" w:themeColor="text1"/>
          <w:szCs w:val="28"/>
          <w:highlight w:val="none"/>
          <w14:textFill>
            <w14:solidFill>
              <w14:schemeClr w14:val="tx1"/>
            </w14:solidFill>
          </w14:textFill>
        </w:rPr>
        <w:t>开标一览表</w:t>
      </w:r>
      <w:bookmarkEnd w:id="38"/>
      <w:bookmarkEnd w:id="39"/>
    </w:p>
    <w:p w14:paraId="0F535279">
      <w:pPr>
        <w:rPr>
          <w:rFonts w:ascii="宋体" w:hAnsi="宋体" w:cs="宋体"/>
          <w:color w:val="000000" w:themeColor="text1"/>
          <w:szCs w:val="21"/>
          <w:highlight w:val="none"/>
          <w14:textFill>
            <w14:solidFill>
              <w14:schemeClr w14:val="tx1"/>
            </w14:solidFill>
          </w14:textFill>
        </w:rPr>
      </w:pPr>
    </w:p>
    <w:p w14:paraId="0BC0F537">
      <w:pPr>
        <w:pStyle w:val="19"/>
        <w:spacing w:line="500" w:lineRule="exact"/>
        <w:rPr>
          <w:rFonts w:hAnsi="宋体" w:cs="宋体"/>
          <w:b/>
          <w:color w:val="000000" w:themeColor="text1"/>
          <w:sz w:val="24"/>
          <w:szCs w:val="24"/>
          <w:highlight w:val="none"/>
          <w:u w:val="singl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标段：         </w:t>
      </w:r>
      <w:r>
        <w:rPr>
          <w:rFonts w:hint="eastAsia" w:hAnsi="宋体" w:cs="宋体"/>
          <w:b/>
          <w:color w:val="000000" w:themeColor="text1"/>
          <w:sz w:val="24"/>
          <w:szCs w:val="24"/>
          <w:highlight w:val="none"/>
          <w14:textFill>
            <w14:solidFill>
              <w14:schemeClr w14:val="tx1"/>
            </w14:solidFill>
          </w14:textFill>
        </w:rPr>
        <w:t xml:space="preserve">   招标编号：</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3"/>
        <w:gridCol w:w="1456"/>
        <w:gridCol w:w="1229"/>
        <w:gridCol w:w="1229"/>
        <w:gridCol w:w="868"/>
        <w:gridCol w:w="1931"/>
        <w:gridCol w:w="1130"/>
        <w:gridCol w:w="797"/>
      </w:tblGrid>
      <w:tr w14:paraId="0474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4" w:hRule="atLeast"/>
        </w:trPr>
        <w:tc>
          <w:tcPr>
            <w:tcW w:w="736" w:type="pct"/>
            <w:vAlign w:val="center"/>
          </w:tcPr>
          <w:p w14:paraId="28740121">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投标人名称</w:t>
            </w:r>
          </w:p>
        </w:tc>
        <w:tc>
          <w:tcPr>
            <w:tcW w:w="718" w:type="pct"/>
            <w:vAlign w:val="center"/>
          </w:tcPr>
          <w:p w14:paraId="6DD4CF85">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报价下浮率</w:t>
            </w:r>
          </w:p>
        </w:tc>
        <w:tc>
          <w:tcPr>
            <w:tcW w:w="606" w:type="pct"/>
            <w:vAlign w:val="center"/>
          </w:tcPr>
          <w:p w14:paraId="03B60B7D">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投标报价</w:t>
            </w:r>
          </w:p>
          <w:p w14:paraId="28EC05D3">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收费比例</w:t>
            </w:r>
          </w:p>
        </w:tc>
        <w:tc>
          <w:tcPr>
            <w:tcW w:w="606" w:type="pct"/>
            <w:vAlign w:val="center"/>
          </w:tcPr>
          <w:p w14:paraId="67EF5173">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服务期限</w:t>
            </w:r>
          </w:p>
        </w:tc>
        <w:tc>
          <w:tcPr>
            <w:tcW w:w="428" w:type="pct"/>
            <w:vAlign w:val="center"/>
          </w:tcPr>
          <w:p w14:paraId="705056DD">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质量承诺</w:t>
            </w:r>
          </w:p>
        </w:tc>
        <w:tc>
          <w:tcPr>
            <w:tcW w:w="952" w:type="pct"/>
            <w:vAlign w:val="center"/>
          </w:tcPr>
          <w:p w14:paraId="5AB232CB">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项目经理</w:t>
            </w:r>
          </w:p>
        </w:tc>
        <w:tc>
          <w:tcPr>
            <w:tcW w:w="557" w:type="pct"/>
            <w:shd w:val="clear" w:color="auto" w:fill="auto"/>
            <w:vAlign w:val="center"/>
          </w:tcPr>
          <w:p w14:paraId="5BEE8188">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投标保证金形式</w:t>
            </w:r>
          </w:p>
        </w:tc>
        <w:tc>
          <w:tcPr>
            <w:tcW w:w="393" w:type="pct"/>
            <w:shd w:val="clear" w:color="auto" w:fill="auto"/>
            <w:vAlign w:val="center"/>
          </w:tcPr>
          <w:p w14:paraId="3AFFDD2F">
            <w:pPr>
              <w:pStyle w:val="19"/>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备注</w:t>
            </w:r>
          </w:p>
        </w:tc>
      </w:tr>
      <w:tr w14:paraId="4984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736" w:type="pct"/>
            <w:vAlign w:val="center"/>
          </w:tcPr>
          <w:p w14:paraId="79EC8F0C">
            <w:pPr>
              <w:pStyle w:val="19"/>
              <w:rPr>
                <w:rFonts w:hAnsi="宋体" w:cs="宋体"/>
                <w:color w:val="000000" w:themeColor="text1"/>
                <w:sz w:val="24"/>
                <w:szCs w:val="24"/>
                <w:highlight w:val="none"/>
                <w14:textFill>
                  <w14:solidFill>
                    <w14:schemeClr w14:val="tx1"/>
                  </w14:solidFill>
                </w14:textFill>
              </w:rPr>
            </w:pPr>
          </w:p>
        </w:tc>
        <w:tc>
          <w:tcPr>
            <w:tcW w:w="718" w:type="pct"/>
            <w:vAlign w:val="center"/>
          </w:tcPr>
          <w:p w14:paraId="282DB4AF">
            <w:pPr>
              <w:pStyle w:val="19"/>
              <w:ind w:firstLine="480" w:firstLineChars="20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w:t>
            </w:r>
          </w:p>
        </w:tc>
        <w:tc>
          <w:tcPr>
            <w:tcW w:w="606" w:type="pct"/>
            <w:vAlign w:val="center"/>
          </w:tcPr>
          <w:p w14:paraId="6804ACEB">
            <w:pPr>
              <w:pStyle w:val="19"/>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w:t>
            </w:r>
          </w:p>
        </w:tc>
        <w:tc>
          <w:tcPr>
            <w:tcW w:w="606" w:type="pct"/>
            <w:vAlign w:val="center"/>
          </w:tcPr>
          <w:p w14:paraId="2E2C126B">
            <w:pPr>
              <w:pStyle w:val="19"/>
              <w:rPr>
                <w:rFonts w:hAnsi="宋体" w:cs="宋体"/>
                <w:color w:val="000000" w:themeColor="text1"/>
                <w:sz w:val="24"/>
                <w:szCs w:val="24"/>
                <w:highlight w:val="none"/>
                <w14:textFill>
                  <w14:solidFill>
                    <w14:schemeClr w14:val="tx1"/>
                  </w14:solidFill>
                </w14:textFill>
              </w:rPr>
            </w:pPr>
          </w:p>
        </w:tc>
        <w:tc>
          <w:tcPr>
            <w:tcW w:w="428" w:type="pct"/>
            <w:vAlign w:val="center"/>
          </w:tcPr>
          <w:p w14:paraId="78BD4D14">
            <w:pPr>
              <w:pStyle w:val="19"/>
              <w:rPr>
                <w:rFonts w:hAnsi="宋体" w:cs="宋体"/>
                <w:color w:val="000000" w:themeColor="text1"/>
                <w:sz w:val="24"/>
                <w:szCs w:val="24"/>
                <w:highlight w:val="none"/>
                <w14:textFill>
                  <w14:solidFill>
                    <w14:schemeClr w14:val="tx1"/>
                  </w14:solidFill>
                </w14:textFill>
              </w:rPr>
            </w:pPr>
          </w:p>
        </w:tc>
        <w:tc>
          <w:tcPr>
            <w:tcW w:w="952" w:type="pct"/>
            <w:vAlign w:val="center"/>
          </w:tcPr>
          <w:p w14:paraId="56CACFF9">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姓名：</w:t>
            </w:r>
          </w:p>
          <w:p w14:paraId="4EE6F5ED">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注册建造师等级、专业：</w:t>
            </w:r>
          </w:p>
          <w:p w14:paraId="7018D29E">
            <w:pPr>
              <w:pStyle w:val="19"/>
              <w:rPr>
                <w:rFonts w:hAnsi="宋体" w:cs="宋体"/>
                <w:color w:val="000000" w:themeColor="text1"/>
                <w:sz w:val="24"/>
                <w:szCs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注册编号：</w:t>
            </w:r>
          </w:p>
        </w:tc>
        <w:tc>
          <w:tcPr>
            <w:tcW w:w="557" w:type="pct"/>
            <w:vAlign w:val="center"/>
          </w:tcPr>
          <w:p w14:paraId="7165158F">
            <w:pPr>
              <w:pStyle w:val="19"/>
              <w:rPr>
                <w:rFonts w:hAnsi="宋体" w:cs="宋体"/>
                <w:color w:val="000000" w:themeColor="text1"/>
                <w:sz w:val="24"/>
                <w:szCs w:val="24"/>
                <w:highlight w:val="none"/>
                <w14:textFill>
                  <w14:solidFill>
                    <w14:schemeClr w14:val="tx1"/>
                  </w14:solidFill>
                </w14:textFill>
              </w:rPr>
            </w:pPr>
          </w:p>
        </w:tc>
        <w:tc>
          <w:tcPr>
            <w:tcW w:w="393" w:type="pct"/>
            <w:vAlign w:val="center"/>
          </w:tcPr>
          <w:p w14:paraId="4AB077DC">
            <w:pPr>
              <w:pStyle w:val="19"/>
              <w:rPr>
                <w:rFonts w:hAnsi="宋体" w:cs="宋体"/>
                <w:color w:val="000000" w:themeColor="text1"/>
                <w:sz w:val="24"/>
                <w:szCs w:val="24"/>
                <w:highlight w:val="none"/>
                <w14:textFill>
                  <w14:solidFill>
                    <w14:schemeClr w14:val="tx1"/>
                  </w14:solidFill>
                </w14:textFill>
              </w:rPr>
            </w:pPr>
          </w:p>
        </w:tc>
      </w:tr>
    </w:tbl>
    <w:p w14:paraId="78E2A9A2">
      <w:pPr>
        <w:spacing w:line="360" w:lineRule="auto"/>
        <w:ind w:firstLine="2" w:firstLineChars="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16"/>
          <w:highlight w:val="none"/>
          <w14:textFill>
            <w14:solidFill>
              <w14:schemeClr w14:val="tx1"/>
            </w14:solidFill>
          </w14:textFill>
        </w:rPr>
        <w:t>注：供应商需以整体“</w:t>
      </w:r>
      <w:r>
        <w:rPr>
          <w:rFonts w:hint="eastAsia" w:ascii="宋体" w:hAnsi="宋体" w:cs="宋体"/>
          <w:b/>
          <w:bCs/>
          <w:color w:val="000000" w:themeColor="text1"/>
          <w:szCs w:val="16"/>
          <w:highlight w:val="none"/>
          <w:u w:val="single"/>
          <w14:textFill>
            <w14:solidFill>
              <w14:schemeClr w14:val="tx1"/>
            </w14:solidFill>
          </w14:textFill>
        </w:rPr>
        <w:t>报价下浮率</w:t>
      </w:r>
      <w:r>
        <w:rPr>
          <w:rFonts w:hint="eastAsia" w:ascii="宋体" w:hAnsi="宋体" w:cs="宋体"/>
          <w:b/>
          <w:bCs/>
          <w:color w:val="000000" w:themeColor="text1"/>
          <w:szCs w:val="16"/>
          <w:highlight w:val="none"/>
          <w14:textFill>
            <w14:solidFill>
              <w14:schemeClr w14:val="tx1"/>
            </w14:solidFill>
          </w14:textFill>
        </w:rPr>
        <w:t>”进行报价（报价下浮率按实际下浮比例填报，例如：项目发包价格视为基础费率为100%，实际结算按90%收费，报价下浮率即为10%），</w:t>
      </w:r>
      <w:r>
        <w:rPr>
          <w:rFonts w:hint="eastAsia" w:ascii="宋体" w:hAnsi="宋体" w:cs="宋体"/>
          <w:b/>
          <w:color w:val="000000" w:themeColor="text1"/>
          <w:szCs w:val="21"/>
          <w:highlight w:val="none"/>
          <w14:textFill>
            <w14:solidFill>
              <w14:schemeClr w14:val="tx1"/>
            </w14:solidFill>
          </w14:textFill>
        </w:rPr>
        <w:t>投标报价收费比例即为90%</w:t>
      </w:r>
      <w:r>
        <w:rPr>
          <w:rFonts w:hint="eastAsia" w:ascii="宋体" w:hAnsi="宋体" w:cs="宋体"/>
          <w:b/>
          <w:bCs/>
          <w:color w:val="000000" w:themeColor="text1"/>
          <w:szCs w:val="16"/>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下浮率</w:t>
      </w:r>
      <w:r>
        <w:rPr>
          <w:rFonts w:hint="eastAsia" w:ascii="宋体" w:hAnsi="宋体" w:cs="宋体"/>
          <w:b/>
          <w:bCs/>
          <w:color w:val="000000" w:themeColor="text1"/>
          <w:szCs w:val="16"/>
          <w:highlight w:val="none"/>
          <w14:textFill>
            <w14:solidFill>
              <w14:schemeClr w14:val="tx1"/>
            </w14:solidFill>
          </w14:textFill>
        </w:rPr>
        <w:t>如有小数点仅保留小数点后1位。投标报价收费比例=1-报价下浮率。</w:t>
      </w:r>
    </w:p>
    <w:p w14:paraId="4CBBBAC5">
      <w:pPr>
        <w:spacing w:line="360" w:lineRule="auto"/>
        <w:ind w:firstLine="2" w:firstLineChars="1"/>
        <w:rPr>
          <w:rFonts w:ascii="宋体" w:hAnsi="宋体" w:cs="宋体"/>
          <w:color w:val="000000" w:themeColor="text1"/>
          <w:sz w:val="24"/>
          <w:highlight w:val="none"/>
          <w14:textFill>
            <w14:solidFill>
              <w14:schemeClr w14:val="tx1"/>
            </w14:solidFill>
          </w14:textFill>
        </w:rPr>
      </w:pPr>
    </w:p>
    <w:p w14:paraId="4BF11478">
      <w:pPr>
        <w:spacing w:line="360" w:lineRule="auto"/>
        <w:ind w:firstLine="2" w:firstLineChars="1"/>
        <w:rPr>
          <w:rFonts w:ascii="宋体" w:hAnsi="宋体" w:cs="宋体"/>
          <w:color w:val="000000" w:themeColor="text1"/>
          <w:sz w:val="24"/>
          <w:highlight w:val="none"/>
          <w14:textFill>
            <w14:solidFill>
              <w14:schemeClr w14:val="tx1"/>
            </w14:solidFill>
          </w14:textFill>
        </w:rPr>
      </w:pPr>
    </w:p>
    <w:p w14:paraId="33B65F34">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（电子签章）</w:t>
      </w:r>
    </w:p>
    <w:p w14:paraId="32095878">
      <w:pPr>
        <w:spacing w:line="360" w:lineRule="auto"/>
        <w:ind w:firstLine="2" w:firstLineChars="1"/>
        <w:rPr>
          <w:rFonts w:ascii="宋体" w:hAnsi="宋体" w:cs="宋体"/>
          <w:b/>
          <w:color w:val="000000" w:themeColor="text1"/>
          <w:sz w:val="24"/>
          <w:highlight w:val="none"/>
          <w14:textFill>
            <w14:solidFill>
              <w14:schemeClr w14:val="tx1"/>
            </w14:solidFill>
          </w14:textFill>
        </w:rPr>
      </w:pPr>
    </w:p>
    <w:p w14:paraId="64476A05">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（电子签名）</w:t>
      </w:r>
    </w:p>
    <w:p w14:paraId="5AAE3CC7">
      <w:pPr>
        <w:pStyle w:val="19"/>
        <w:spacing w:line="600" w:lineRule="exact"/>
        <w:ind w:left="420"/>
        <w:rPr>
          <w:rFonts w:hAnsi="宋体" w:cs="宋体"/>
          <w:b/>
          <w:color w:val="000000" w:themeColor="text1"/>
          <w:sz w:val="24"/>
          <w:highlight w:val="none"/>
          <w14:textFill>
            <w14:solidFill>
              <w14:schemeClr w14:val="tx1"/>
            </w14:solidFill>
          </w14:textFill>
        </w:rPr>
      </w:pPr>
    </w:p>
    <w:p w14:paraId="6BED3931">
      <w:pPr>
        <w:pStyle w:val="19"/>
        <w:spacing w:line="600" w:lineRule="exact"/>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日期：</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年</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月</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日</w:t>
      </w:r>
    </w:p>
    <w:p w14:paraId="48142FED">
      <w:pPr>
        <w:pStyle w:val="19"/>
        <w:rPr>
          <w:rFonts w:hAnsi="宋体" w:cs="宋体"/>
          <w:b/>
          <w:color w:val="000000" w:themeColor="text1"/>
          <w:szCs w:val="21"/>
          <w:highlight w:val="none"/>
          <w14:textFill>
            <w14:solidFill>
              <w14:schemeClr w14:val="tx1"/>
            </w14:solidFill>
          </w14:textFill>
        </w:rPr>
      </w:pPr>
    </w:p>
    <w:p w14:paraId="2747014B">
      <w:pPr>
        <w:pStyle w:val="19"/>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p>
    <w:p w14:paraId="0C8FB7B3">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bookmarkStart w:id="40" w:name="_Toc69287859"/>
      <w:bookmarkStart w:id="41" w:name="_Toc26637"/>
      <w:r>
        <w:rPr>
          <w:rFonts w:hint="eastAsia" w:ascii="宋体" w:hAnsi="宋体" w:eastAsia="宋体" w:cs="宋体"/>
          <w:color w:val="000000" w:themeColor="text1"/>
          <w:szCs w:val="28"/>
          <w:highlight w:val="none"/>
          <w14:textFill>
            <w14:solidFill>
              <w14:schemeClr w14:val="tx1"/>
            </w14:solidFill>
          </w14:textFill>
        </w:rPr>
        <w:t>二、资格证明文件</w:t>
      </w:r>
      <w:bookmarkEnd w:id="40"/>
      <w:bookmarkEnd w:id="41"/>
    </w:p>
    <w:p w14:paraId="04B18F2B">
      <w:pPr>
        <w:pStyle w:val="19"/>
        <w:rPr>
          <w:rFonts w:hAnsi="宋体" w:cs="宋体"/>
          <w:color w:val="000000" w:themeColor="text1"/>
          <w:sz w:val="24"/>
          <w:szCs w:val="24"/>
          <w:highlight w:val="none"/>
          <w14:textFill>
            <w14:solidFill>
              <w14:schemeClr w14:val="tx1"/>
            </w14:solidFill>
          </w14:textFill>
        </w:rPr>
      </w:pPr>
    </w:p>
    <w:p w14:paraId="6CDB7DD9">
      <w:pPr>
        <w:pStyle w:val="19"/>
        <w:numPr>
          <w:ilvl w:val="0"/>
          <w:numId w:val="8"/>
        </w:num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投标人应按所附格式要求填写并提交。</w:t>
      </w:r>
    </w:p>
    <w:p w14:paraId="0D76A4B9">
      <w:pPr>
        <w:pStyle w:val="19"/>
        <w:numPr>
          <w:ilvl w:val="0"/>
          <w:numId w:val="8"/>
        </w:num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资格声明中的签字人应保证全部声明和填写的内容是真实的和正确的。</w:t>
      </w:r>
    </w:p>
    <w:p w14:paraId="074178AD">
      <w:pPr>
        <w:pStyle w:val="19"/>
        <w:numPr>
          <w:ilvl w:val="0"/>
          <w:numId w:val="8"/>
        </w:num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投标人提交的材料将被保密，但不退还。</w:t>
      </w:r>
    </w:p>
    <w:p w14:paraId="1C436E46">
      <w:pPr>
        <w:pStyle w:val="19"/>
        <w:rPr>
          <w:rFonts w:hAnsi="宋体" w:cs="宋体"/>
          <w:b/>
          <w:color w:val="000000" w:themeColor="text1"/>
          <w:sz w:val="28"/>
          <w:szCs w:val="28"/>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br w:type="page"/>
      </w:r>
      <w:r>
        <w:rPr>
          <w:rFonts w:hint="eastAsia" w:hAnsi="宋体" w:cs="宋体"/>
          <w:b/>
          <w:color w:val="000000" w:themeColor="text1"/>
          <w:sz w:val="28"/>
          <w:szCs w:val="28"/>
          <w:highlight w:val="none"/>
          <w14:textFill>
            <w14:solidFill>
              <w14:schemeClr w14:val="tx1"/>
            </w14:solidFill>
          </w14:textFill>
        </w:rPr>
        <w:t>格式1：</w:t>
      </w:r>
    </w:p>
    <w:p w14:paraId="26B6E83D">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42" w:name="_Toc14663"/>
      <w:bookmarkStart w:id="43" w:name="_Toc213141104"/>
      <w:r>
        <w:rPr>
          <w:rFonts w:hint="eastAsia" w:ascii="宋体" w:hAnsi="宋体" w:eastAsia="宋体" w:cs="宋体"/>
          <w:color w:val="000000" w:themeColor="text1"/>
          <w:szCs w:val="28"/>
          <w:highlight w:val="none"/>
          <w14:textFill>
            <w14:solidFill>
              <w14:schemeClr w14:val="tx1"/>
            </w14:solidFill>
          </w14:textFill>
        </w:rPr>
        <w:t>营 业 执 照</w:t>
      </w:r>
      <w:bookmarkEnd w:id="42"/>
      <w:bookmarkEnd w:id="43"/>
    </w:p>
    <w:p w14:paraId="72EE5A48">
      <w:pPr>
        <w:pStyle w:val="19"/>
        <w:spacing w:line="5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1）投标人是企业（包括合伙企业）的，应提供其在市场监督管理部门注册的有效“企业法人营业执照”或“营业执照”；</w:t>
      </w:r>
    </w:p>
    <w:p w14:paraId="296F4CF7">
      <w:pPr>
        <w:pStyle w:val="19"/>
        <w:spacing w:line="5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2）投标人是事业单位的，应提供其有效的“事业单位法人证书”； </w:t>
      </w:r>
    </w:p>
    <w:p w14:paraId="02652233">
      <w:pPr>
        <w:pStyle w:val="19"/>
        <w:spacing w:line="5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3）投标人是个体工商户的，应提供其有效的“个体工商户营业执照”； </w:t>
      </w:r>
    </w:p>
    <w:p w14:paraId="779631AE">
      <w:pPr>
        <w:pStyle w:val="19"/>
        <w:spacing w:line="500" w:lineRule="exact"/>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4）投标人是自然人的，应提供其有效的自然人身份证明。</w:t>
      </w:r>
    </w:p>
    <w:p w14:paraId="19138E6B">
      <w:pPr>
        <w:pStyle w:val="19"/>
        <w:spacing w:line="500" w:lineRule="exact"/>
        <w:jc w:val="left"/>
        <w:rPr>
          <w:rFonts w:hAnsi="宋体" w:cs="宋体"/>
          <w:color w:val="000000" w:themeColor="text1"/>
          <w:szCs w:val="21"/>
          <w:highlight w:val="none"/>
          <w14:textFill>
            <w14:solidFill>
              <w14:schemeClr w14:val="tx1"/>
            </w14:solidFill>
          </w14:textFill>
        </w:rPr>
      </w:pPr>
    </w:p>
    <w:p w14:paraId="049D35DF">
      <w:pPr>
        <w:pStyle w:val="19"/>
        <w:spacing w:line="500" w:lineRule="exact"/>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（以上证照提供扫描件加盖电子公章）</w:t>
      </w:r>
    </w:p>
    <w:p w14:paraId="0E185D08">
      <w:pPr>
        <w:pStyle w:val="19"/>
        <w:spacing w:line="500" w:lineRule="exact"/>
        <w:jc w:val="left"/>
        <w:rPr>
          <w:rFonts w:hAnsi="宋体" w:cs="宋体"/>
          <w:color w:val="000000" w:themeColor="text1"/>
          <w:szCs w:val="21"/>
          <w:highlight w:val="none"/>
          <w14:textFill>
            <w14:solidFill>
              <w14:schemeClr w14:val="tx1"/>
            </w14:solidFill>
          </w14:textFill>
        </w:rPr>
      </w:pPr>
    </w:p>
    <w:p w14:paraId="776E53ED">
      <w:pPr>
        <w:pStyle w:val="19"/>
        <w:spacing w:line="500" w:lineRule="exact"/>
        <w:jc w:val="left"/>
        <w:rPr>
          <w:rFonts w:hAnsi="宋体" w:cs="宋体"/>
          <w:color w:val="000000" w:themeColor="text1"/>
          <w:szCs w:val="21"/>
          <w:highlight w:val="none"/>
          <w14:textFill>
            <w14:solidFill>
              <w14:schemeClr w14:val="tx1"/>
            </w14:solidFill>
          </w14:textFill>
        </w:rPr>
      </w:pPr>
    </w:p>
    <w:p w14:paraId="33106CFD">
      <w:pPr>
        <w:pStyle w:val="19"/>
        <w:spacing w:line="500" w:lineRule="exact"/>
        <w:jc w:val="left"/>
        <w:rPr>
          <w:rFonts w:hAnsi="宋体" w:cs="宋体"/>
          <w:color w:val="000000" w:themeColor="text1"/>
          <w:szCs w:val="21"/>
          <w:highlight w:val="none"/>
          <w14:textFill>
            <w14:solidFill>
              <w14:schemeClr w14:val="tx1"/>
            </w14:solidFill>
          </w14:textFill>
        </w:rPr>
      </w:pPr>
    </w:p>
    <w:p w14:paraId="7EE440A9">
      <w:pPr>
        <w:pStyle w:val="8"/>
        <w:numPr>
          <w:ilvl w:val="0"/>
          <w:numId w:val="0"/>
        </w:numPr>
        <w:ind w:left="425"/>
        <w:jc w:val="center"/>
        <w:rPr>
          <w:rFonts w:ascii="宋体" w:hAnsi="宋体" w:eastAsia="宋体" w:cs="宋体"/>
          <w:color w:val="000000" w:themeColor="text1"/>
          <w:sz w:val="24"/>
          <w:szCs w:val="24"/>
          <w:highlight w:val="none"/>
          <w14:textFill>
            <w14:solidFill>
              <w14:schemeClr w14:val="tx1"/>
            </w14:solidFill>
          </w14:textFill>
        </w:rPr>
      </w:pPr>
      <w:bookmarkStart w:id="44" w:name="_Toc16135"/>
      <w:bookmarkStart w:id="45" w:name="_Toc132199480"/>
      <w:bookmarkStart w:id="46" w:name="_Toc120277416"/>
      <w:bookmarkStart w:id="47" w:name="_Toc213141105"/>
      <w:r>
        <w:rPr>
          <w:rFonts w:hint="eastAsia" w:ascii="宋体" w:hAnsi="宋体" w:eastAsia="宋体" w:cs="宋体"/>
          <w:color w:val="000000" w:themeColor="text1"/>
          <w:sz w:val="24"/>
          <w:szCs w:val="24"/>
          <w:highlight w:val="none"/>
          <w14:textFill>
            <w14:solidFill>
              <w14:schemeClr w14:val="tx1"/>
            </w14:solidFill>
          </w14:textFill>
        </w:rPr>
        <w:t>联合体协议</w:t>
      </w:r>
      <w:bookmarkEnd w:id="44"/>
      <w:bookmarkEnd w:id="45"/>
      <w:bookmarkEnd w:id="46"/>
      <w:bookmarkEnd w:id="47"/>
    </w:p>
    <w:p w14:paraId="499543C9">
      <w:pPr>
        <w:pStyle w:val="19"/>
        <w:spacing w:line="500" w:lineRule="exact"/>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（如接受联合体投标）</w:t>
      </w:r>
    </w:p>
    <w:p w14:paraId="70D578A4">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注明联合体牵头人及联合体各方承担的工作和义务，关于联合体的投标需遵循招标文件的有关条款。</w:t>
      </w:r>
    </w:p>
    <w:p w14:paraId="2BCE5136">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本项目不接受联合体投标。</w:t>
      </w:r>
    </w:p>
    <w:p w14:paraId="09494DF3">
      <w:pPr>
        <w:pStyle w:val="19"/>
        <w:spacing w:line="500" w:lineRule="exact"/>
        <w:jc w:val="left"/>
        <w:rPr>
          <w:rFonts w:hAnsi="宋体" w:cs="宋体"/>
          <w:color w:val="000000" w:themeColor="text1"/>
          <w:szCs w:val="21"/>
          <w:highlight w:val="none"/>
          <w14:textFill>
            <w14:solidFill>
              <w14:schemeClr w14:val="tx1"/>
            </w14:solidFill>
          </w14:textFill>
        </w:rPr>
      </w:pPr>
    </w:p>
    <w:p w14:paraId="25D853F5">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格式2：</w:t>
      </w:r>
    </w:p>
    <w:p w14:paraId="678FBC94">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48" w:name="_Toc11052"/>
      <w:r>
        <w:rPr>
          <w:rFonts w:hint="eastAsia" w:ascii="宋体" w:hAnsi="宋体" w:eastAsia="宋体" w:cs="宋体"/>
          <w:color w:val="000000" w:themeColor="text1"/>
          <w:szCs w:val="28"/>
          <w:highlight w:val="none"/>
          <w14:textFill>
            <w14:solidFill>
              <w14:schemeClr w14:val="tx1"/>
            </w14:solidFill>
          </w14:textFill>
        </w:rPr>
        <w:t>法定代表人身份证明书</w:t>
      </w:r>
      <w:bookmarkEnd w:id="48"/>
    </w:p>
    <w:p w14:paraId="00D63C09">
      <w:pPr>
        <w:spacing w:line="440" w:lineRule="exact"/>
        <w:jc w:val="center"/>
        <w:rPr>
          <w:rFonts w:ascii="宋体" w:hAnsi="宋体" w:cs="宋体"/>
          <w:b/>
          <w:color w:val="000000" w:themeColor="text1"/>
          <w:sz w:val="24"/>
          <w:highlight w:val="none"/>
          <w14:textFill>
            <w14:solidFill>
              <w14:schemeClr w14:val="tx1"/>
            </w14:solidFill>
          </w14:textFill>
        </w:rPr>
      </w:pPr>
    </w:p>
    <w:p w14:paraId="2D1A613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w:t>
      </w:r>
      <w:r>
        <w:rPr>
          <w:rFonts w:hint="eastAsia" w:ascii="宋体" w:hAnsi="宋体" w:cs="宋体"/>
          <w:color w:val="000000" w:themeColor="text1"/>
          <w:sz w:val="24"/>
          <w:highlight w:val="none"/>
          <w:u w:val="single"/>
          <w14:textFill>
            <w14:solidFill>
              <w14:schemeClr w14:val="tx1"/>
            </w14:solidFill>
          </w14:textFill>
        </w:rPr>
        <w:t xml:space="preserve">                        </w:t>
      </w:r>
    </w:p>
    <w:p w14:paraId="4ABEB47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单位性质：</w:t>
      </w:r>
      <w:r>
        <w:rPr>
          <w:rFonts w:hint="eastAsia" w:ascii="宋体" w:hAnsi="宋体" w:cs="宋体"/>
          <w:color w:val="000000" w:themeColor="text1"/>
          <w:sz w:val="24"/>
          <w:highlight w:val="none"/>
          <w:u w:val="single"/>
          <w14:textFill>
            <w14:solidFill>
              <w14:schemeClr w14:val="tx1"/>
            </w14:solidFill>
          </w14:textFill>
        </w:rPr>
        <w:t xml:space="preserve">                          </w:t>
      </w:r>
    </w:p>
    <w:p w14:paraId="25BAAD6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4AA5D0F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经营期限：</w:t>
      </w:r>
      <w:r>
        <w:rPr>
          <w:rFonts w:hint="eastAsia" w:ascii="宋体" w:hAnsi="宋体" w:cs="宋体"/>
          <w:color w:val="000000" w:themeColor="text1"/>
          <w:sz w:val="24"/>
          <w:highlight w:val="none"/>
          <w:u w:val="single"/>
          <w14:textFill>
            <w14:solidFill>
              <w14:schemeClr w14:val="tx1"/>
            </w14:solidFill>
          </w14:textFill>
        </w:rPr>
        <w:t xml:space="preserve">                          </w:t>
      </w:r>
    </w:p>
    <w:p w14:paraId="7B26ECBE">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 xml:space="preserve">            </w:t>
      </w:r>
    </w:p>
    <w:p w14:paraId="090FA7C2">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（投标人名称）的法定代表人。</w:t>
      </w:r>
    </w:p>
    <w:p w14:paraId="68F47078">
      <w:pPr>
        <w:spacing w:line="360" w:lineRule="auto"/>
        <w:rPr>
          <w:rFonts w:ascii="宋体" w:hAnsi="宋体" w:cs="宋体"/>
          <w:color w:val="000000" w:themeColor="text1"/>
          <w:sz w:val="24"/>
          <w:highlight w:val="none"/>
          <w14:textFill>
            <w14:solidFill>
              <w14:schemeClr w14:val="tx1"/>
            </w14:solidFill>
          </w14:textFill>
        </w:rPr>
      </w:pPr>
    </w:p>
    <w:p w14:paraId="67EB473F">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56C406F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3DBF808E">
      <w:pPr>
        <w:spacing w:line="360" w:lineRule="auto"/>
        <w:rPr>
          <w:rFonts w:ascii="宋体" w:hAnsi="宋体" w:cs="宋体"/>
          <w:color w:val="000000" w:themeColor="text1"/>
          <w:sz w:val="24"/>
          <w:highlight w:val="none"/>
          <w14:textFill>
            <w14:solidFill>
              <w14:schemeClr w14:val="tx1"/>
            </w14:solidFill>
          </w14:textFill>
        </w:rPr>
      </w:pPr>
    </w:p>
    <w:p w14:paraId="5EB692F9">
      <w:pPr>
        <w:spacing w:line="360" w:lineRule="auto"/>
        <w:rPr>
          <w:rFonts w:ascii="宋体" w:hAnsi="宋体" w:cs="宋体"/>
          <w:color w:val="000000" w:themeColor="text1"/>
          <w:sz w:val="24"/>
          <w:highlight w:val="none"/>
          <w14:textFill>
            <w14:solidFill>
              <w14:schemeClr w14:val="tx1"/>
            </w14:solidFill>
          </w14:textFill>
        </w:rPr>
      </w:pPr>
    </w:p>
    <w:p w14:paraId="6E08972F">
      <w:pPr>
        <w:pStyle w:val="19"/>
        <w:spacing w:line="500" w:lineRule="exact"/>
        <w:ind w:left="420"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注:后附法定代表人身份证复印件。</w:t>
      </w:r>
    </w:p>
    <w:p w14:paraId="2725D16C">
      <w:pPr>
        <w:spacing w:line="360" w:lineRule="auto"/>
        <w:rPr>
          <w:rFonts w:ascii="宋体" w:hAnsi="宋体" w:cs="宋体"/>
          <w:color w:val="000000" w:themeColor="text1"/>
          <w:sz w:val="24"/>
          <w:highlight w:val="none"/>
          <w14:textFill>
            <w14:solidFill>
              <w14:schemeClr w14:val="tx1"/>
            </w14:solidFill>
          </w14:textFill>
        </w:rPr>
      </w:pPr>
    </w:p>
    <w:p w14:paraId="596F1714">
      <w:pPr>
        <w:spacing w:line="360" w:lineRule="auto"/>
        <w:rPr>
          <w:rFonts w:ascii="宋体" w:hAnsi="宋体" w:cs="宋体"/>
          <w:color w:val="000000" w:themeColor="text1"/>
          <w:sz w:val="24"/>
          <w:highlight w:val="none"/>
          <w14:textFill>
            <w14:solidFill>
              <w14:schemeClr w14:val="tx1"/>
            </w14:solidFill>
          </w14:textFill>
        </w:rPr>
      </w:pPr>
    </w:p>
    <w:p w14:paraId="3FB5AE59">
      <w:pPr>
        <w:spacing w:line="360" w:lineRule="auto"/>
        <w:ind w:left="4536" w:leftChars="21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（电子签章）</w:t>
      </w:r>
    </w:p>
    <w:p w14:paraId="16C170C0">
      <w:pPr>
        <w:spacing w:line="360" w:lineRule="auto"/>
        <w:ind w:left="5397" w:leftChars="2570"/>
        <w:rPr>
          <w:rFonts w:ascii="宋体" w:hAnsi="宋体" w:cs="宋体"/>
          <w:color w:val="000000" w:themeColor="text1"/>
          <w:sz w:val="24"/>
          <w:highlight w:val="none"/>
          <w14:textFill>
            <w14:solidFill>
              <w14:schemeClr w14:val="tx1"/>
            </w14:solidFill>
          </w14:textFill>
        </w:rPr>
      </w:pPr>
    </w:p>
    <w:p w14:paraId="63BC6FE4">
      <w:pPr>
        <w:spacing w:line="360" w:lineRule="auto"/>
        <w:ind w:left="5397" w:leftChars="2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00BC5C3D">
      <w:pPr>
        <w:spacing w:line="360" w:lineRule="auto"/>
        <w:rPr>
          <w:rFonts w:ascii="宋体" w:hAnsi="宋体" w:cs="宋体"/>
          <w:color w:val="000000" w:themeColor="text1"/>
          <w:szCs w:val="21"/>
          <w:highlight w:val="none"/>
          <w14:textFill>
            <w14:solidFill>
              <w14:schemeClr w14:val="tx1"/>
            </w14:solidFill>
          </w14:textFill>
        </w:rPr>
      </w:pPr>
    </w:p>
    <w:p w14:paraId="410F478A">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格式3：</w:t>
      </w:r>
    </w:p>
    <w:p w14:paraId="7394F78A">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49" w:name="_Toc29057"/>
      <w:bookmarkStart w:id="50" w:name="_Toc213141107"/>
      <w:r>
        <w:rPr>
          <w:rFonts w:hint="eastAsia" w:ascii="宋体" w:hAnsi="宋体" w:eastAsia="宋体" w:cs="宋体"/>
          <w:color w:val="000000" w:themeColor="text1"/>
          <w:szCs w:val="28"/>
          <w:highlight w:val="none"/>
          <w14:textFill>
            <w14:solidFill>
              <w14:schemeClr w14:val="tx1"/>
            </w14:solidFill>
          </w14:textFill>
        </w:rPr>
        <w:t>法定代表人授权委托书</w:t>
      </w:r>
      <w:bookmarkEnd w:id="49"/>
      <w:bookmarkEnd w:id="50"/>
    </w:p>
    <w:p w14:paraId="684D1F01">
      <w:pPr>
        <w:pStyle w:val="19"/>
        <w:spacing w:line="360" w:lineRule="auto"/>
        <w:ind w:firstLine="420" w:firstLineChars="200"/>
        <w:rPr>
          <w:rFonts w:hAnsi="宋体" w:cs="宋体"/>
          <w:color w:val="000000" w:themeColor="text1"/>
          <w:szCs w:val="21"/>
          <w:highlight w:val="none"/>
          <w14:textFill>
            <w14:solidFill>
              <w14:schemeClr w14:val="tx1"/>
            </w14:solidFill>
          </w14:textFill>
        </w:rPr>
      </w:pPr>
    </w:p>
    <w:p w14:paraId="448AAC1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本授权书声明：</w:t>
      </w:r>
      <w:r>
        <w:rPr>
          <w:rFonts w:hint="eastAsia" w:ascii="宋体" w:hAnsi="宋体" w:cs="宋体"/>
          <w:color w:val="000000" w:themeColor="text1"/>
          <w:sz w:val="24"/>
          <w:highlight w:val="none"/>
          <w:u w:val="single"/>
          <w14:textFill>
            <w14:solidFill>
              <w14:schemeClr w14:val="tx1"/>
            </w14:solidFill>
          </w14:textFill>
        </w:rPr>
        <w:t xml:space="preserve">  （投标人全称） </w:t>
      </w:r>
      <w:r>
        <w:rPr>
          <w:rFonts w:hint="eastAsia" w:ascii="宋体" w:hAnsi="宋体" w:cs="宋体"/>
          <w:color w:val="000000" w:themeColor="text1"/>
          <w:sz w:val="24"/>
          <w:highlight w:val="none"/>
          <w14:textFill>
            <w14:solidFill>
              <w14:schemeClr w14:val="tx1"/>
            </w14:solidFill>
          </w14:textFill>
        </w:rPr>
        <w:t>的法定代表人代表本公司授权</w:t>
      </w:r>
      <w:r>
        <w:rPr>
          <w:rFonts w:hint="eastAsia" w:ascii="宋体" w:hAnsi="宋体" w:cs="宋体"/>
          <w:color w:val="000000" w:themeColor="text1"/>
          <w:sz w:val="24"/>
          <w:highlight w:val="none"/>
          <w:u w:val="single"/>
          <w14:textFill>
            <w14:solidFill>
              <w14:schemeClr w14:val="tx1"/>
            </w14:solidFill>
          </w14:textFill>
        </w:rPr>
        <w:t>（委托代理人姓名）</w:t>
      </w:r>
      <w:r>
        <w:rPr>
          <w:rFonts w:hint="eastAsia" w:ascii="宋体" w:hAnsi="宋体" w:cs="宋体"/>
          <w:color w:val="000000" w:themeColor="text1"/>
          <w:sz w:val="24"/>
          <w:highlight w:val="none"/>
          <w14:textFill>
            <w14:solidFill>
              <w14:schemeClr w14:val="tx1"/>
            </w14:solidFill>
          </w14:textFill>
        </w:rPr>
        <w:t>为本公司合法代理人，就贵方组织的有关</w:t>
      </w:r>
      <w:r>
        <w:rPr>
          <w:rFonts w:hint="eastAsia" w:ascii="宋体" w:hAnsi="宋体" w:cs="宋体"/>
          <w:color w:val="000000" w:themeColor="text1"/>
          <w:sz w:val="24"/>
          <w:highlight w:val="none"/>
          <w:u w:val="single"/>
          <w14:textFill>
            <w14:solidFill>
              <w14:schemeClr w14:val="tx1"/>
            </w14:solidFill>
          </w14:textFill>
        </w:rPr>
        <w:t>（采购项目名称）</w:t>
      </w:r>
      <w:r>
        <w:rPr>
          <w:rFonts w:hint="eastAsia" w:ascii="宋体" w:hAnsi="宋体" w:cs="宋体"/>
          <w:color w:val="000000" w:themeColor="text1"/>
          <w:sz w:val="24"/>
          <w:highlight w:val="none"/>
          <w14:textFill>
            <w14:solidFill>
              <w14:schemeClr w14:val="tx1"/>
            </w14:solidFill>
          </w14:textFill>
        </w:rPr>
        <w:t>项目（招标编号：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）的招标，以本单位名义投标。代理人在本项目投标过程中所签署的一切文件和处理与之有关的一切事务，我方均予承认。</w:t>
      </w:r>
    </w:p>
    <w:p w14:paraId="30B199FD">
      <w:pPr>
        <w:pStyle w:val="19"/>
        <w:spacing w:line="500" w:lineRule="exact"/>
        <w:ind w:left="420" w:firstLine="42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代理人无转委托权。</w:t>
      </w:r>
    </w:p>
    <w:p w14:paraId="1B5B6497">
      <w:pPr>
        <w:pStyle w:val="19"/>
        <w:spacing w:line="500" w:lineRule="exact"/>
        <w:ind w:left="420" w:firstLine="420"/>
        <w:rPr>
          <w:rFonts w:hAnsi="宋体" w:cs="宋体"/>
          <w:color w:val="000000" w:themeColor="text1"/>
          <w:sz w:val="24"/>
          <w:szCs w:val="24"/>
          <w:highlight w:val="none"/>
          <w14:textFill>
            <w14:solidFill>
              <w14:schemeClr w14:val="tx1"/>
            </w14:solidFill>
          </w14:textFill>
        </w:rPr>
      </w:pPr>
    </w:p>
    <w:p w14:paraId="11B86BF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w:t>
      </w:r>
      <w:r>
        <w:rPr>
          <w:rFonts w:hint="eastAsia" w:ascii="宋体" w:hAnsi="宋体" w:cs="宋体"/>
          <w:color w:val="000000" w:themeColor="text1"/>
          <w:sz w:val="24"/>
          <w:highlight w:val="none"/>
          <w:u w:val="single"/>
          <w14:textFill>
            <w14:solidFill>
              <w14:schemeClr w14:val="tx1"/>
            </w14:solidFill>
          </w14:textFill>
        </w:rPr>
        <w:t xml:space="preserve">       （全称）       </w:t>
      </w:r>
      <w:r>
        <w:rPr>
          <w:rFonts w:hint="eastAsia" w:ascii="宋体" w:hAnsi="宋体" w:cs="宋体"/>
          <w:color w:val="000000" w:themeColor="text1"/>
          <w:sz w:val="24"/>
          <w:highlight w:val="none"/>
          <w14:textFill>
            <w14:solidFill>
              <w14:schemeClr w14:val="tx1"/>
            </w14:solidFill>
          </w14:textFill>
        </w:rPr>
        <w:t>（电子签章）</w:t>
      </w:r>
    </w:p>
    <w:p w14:paraId="7E328D5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（电子签名或签字）</w:t>
      </w:r>
    </w:p>
    <w:p w14:paraId="6876B42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法定代表人身份证号码：</w:t>
      </w:r>
      <w:r>
        <w:rPr>
          <w:rFonts w:hint="eastAsia" w:ascii="宋体" w:hAnsi="宋体" w:cs="宋体"/>
          <w:color w:val="000000" w:themeColor="text1"/>
          <w:sz w:val="24"/>
          <w:highlight w:val="none"/>
          <w:u w:val="single"/>
          <w14:textFill>
            <w14:solidFill>
              <w14:schemeClr w14:val="tx1"/>
            </w14:solidFill>
          </w14:textFill>
        </w:rPr>
        <w:t xml:space="preserve">                   </w:t>
      </w:r>
    </w:p>
    <w:p w14:paraId="5FB4BD2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委托代理人：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（电子签名或签字）</w:t>
      </w:r>
    </w:p>
    <w:p w14:paraId="337FDA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      务：</w:t>
      </w:r>
      <w:r>
        <w:rPr>
          <w:rFonts w:hint="eastAsia" w:ascii="宋体" w:hAnsi="宋体" w:cs="宋体"/>
          <w:color w:val="000000" w:themeColor="text1"/>
          <w:sz w:val="24"/>
          <w:highlight w:val="none"/>
          <w:u w:val="single"/>
          <w14:textFill>
            <w14:solidFill>
              <w14:schemeClr w14:val="tx1"/>
            </w14:solidFill>
          </w14:textFill>
        </w:rPr>
        <w:t xml:space="preserve">                             </w:t>
      </w:r>
    </w:p>
    <w:p w14:paraId="6980364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代理人身份证号码：</w:t>
      </w:r>
      <w:r>
        <w:rPr>
          <w:rFonts w:hint="eastAsia" w:ascii="宋体" w:hAnsi="宋体" w:cs="宋体"/>
          <w:color w:val="000000" w:themeColor="text1"/>
          <w:sz w:val="24"/>
          <w:highlight w:val="none"/>
          <w:u w:val="single"/>
          <w14:textFill>
            <w14:solidFill>
              <w14:schemeClr w14:val="tx1"/>
            </w14:solidFill>
          </w14:textFill>
        </w:rPr>
        <w:t xml:space="preserve">                       </w:t>
      </w:r>
    </w:p>
    <w:p w14:paraId="199C7AEF">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p>
    <w:p w14:paraId="18FCA4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7777ED4F">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4339602C">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附：委托代理人详细地址：</w:t>
      </w:r>
      <w:r>
        <w:rPr>
          <w:rFonts w:hint="eastAsia" w:ascii="宋体" w:hAnsi="宋体" w:cs="宋体"/>
          <w:color w:val="000000" w:themeColor="text1"/>
          <w:sz w:val="24"/>
          <w:highlight w:val="none"/>
          <w:u w:val="single"/>
          <w14:textFill>
            <w14:solidFill>
              <w14:schemeClr w14:val="tx1"/>
            </w14:solidFill>
          </w14:textFill>
        </w:rPr>
        <w:t xml:space="preserve">                             </w:t>
      </w:r>
    </w:p>
    <w:p w14:paraId="6DC2224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电话：</w:t>
      </w:r>
      <w:r>
        <w:rPr>
          <w:rFonts w:hint="eastAsia" w:ascii="宋体" w:hAnsi="宋体" w:cs="宋体"/>
          <w:color w:val="000000" w:themeColor="text1"/>
          <w:sz w:val="24"/>
          <w:highlight w:val="none"/>
          <w:u w:val="single"/>
          <w14:textFill>
            <w14:solidFill>
              <w14:schemeClr w14:val="tx1"/>
            </w14:solidFill>
          </w14:textFill>
        </w:rPr>
        <w:t xml:space="preserve">                             </w:t>
      </w:r>
    </w:p>
    <w:p w14:paraId="77C9ECD0">
      <w:pPr>
        <w:pStyle w:val="19"/>
        <w:spacing w:line="500" w:lineRule="exact"/>
        <w:ind w:left="420" w:firstLine="420"/>
        <w:rPr>
          <w:rFonts w:hAnsi="宋体" w:cs="宋体"/>
          <w:color w:val="000000" w:themeColor="text1"/>
          <w:sz w:val="24"/>
          <w:szCs w:val="24"/>
          <w:highlight w:val="none"/>
          <w14:textFill>
            <w14:solidFill>
              <w14:schemeClr w14:val="tx1"/>
            </w14:solidFill>
          </w14:textFill>
        </w:rPr>
      </w:pPr>
    </w:p>
    <w:p w14:paraId="54695306">
      <w:pPr>
        <w:pStyle w:val="19"/>
        <w:spacing w:line="500" w:lineRule="exact"/>
        <w:ind w:left="420" w:firstLine="420"/>
        <w:rPr>
          <w:rFonts w:hAnsi="宋体" w:cs="宋体"/>
          <w:color w:val="000000" w:themeColor="text1"/>
          <w:sz w:val="24"/>
          <w:szCs w:val="24"/>
          <w:highlight w:val="none"/>
          <w14:textFill>
            <w14:solidFill>
              <w14:schemeClr w14:val="tx1"/>
            </w14:solidFill>
          </w14:textFill>
        </w:rPr>
      </w:pPr>
    </w:p>
    <w:p w14:paraId="00F7125B">
      <w:pPr>
        <w:pStyle w:val="19"/>
        <w:spacing w:line="500" w:lineRule="exact"/>
        <w:ind w:firstLine="480" w:firstLineChars="200"/>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注:1.在投标文件中附委托代理人身份证扫描件。</w:t>
      </w:r>
    </w:p>
    <w:p w14:paraId="53C267E2">
      <w:pPr>
        <w:pStyle w:val="19"/>
        <w:spacing w:line="50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2</w:t>
      </w:r>
      <w:r>
        <w:rPr>
          <w:rFonts w:hint="eastAsia" w:hAnsi="宋体" w:cs="宋体"/>
          <w:b/>
          <w:bCs/>
          <w:color w:val="000000" w:themeColor="text1"/>
          <w:sz w:val="24"/>
          <w:szCs w:val="24"/>
          <w:highlight w:val="none"/>
          <w14:textFill>
            <w14:solidFill>
              <w14:schemeClr w14:val="tx1"/>
            </w14:solidFill>
          </w14:textFill>
        </w:rPr>
        <w:t>如投标人代表不是法定代表人，应当在《法定代表人授权委托书》后提供以下材料：</w:t>
      </w:r>
    </w:p>
    <w:p w14:paraId="17994748">
      <w:pPr>
        <w:pStyle w:val="19"/>
        <w:spacing w:line="50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①授权代表由投标人缴纳社保的证明材料，其他单位代缴社保的证明材料不予认可（新成立不满两个月的不作要求）。</w:t>
      </w:r>
    </w:p>
    <w:p w14:paraId="66998B67">
      <w:pPr>
        <w:pStyle w:val="19"/>
        <w:spacing w:line="500" w:lineRule="exact"/>
        <w:ind w:firstLine="420"/>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②授权代表的在职证明。</w:t>
      </w:r>
    </w:p>
    <w:p w14:paraId="219389F4">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格式4：</w:t>
      </w:r>
    </w:p>
    <w:p w14:paraId="18207145">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51" w:name="_Toc13669"/>
      <w:r>
        <w:rPr>
          <w:rFonts w:hint="eastAsia" w:ascii="宋体" w:hAnsi="宋体" w:eastAsia="宋体" w:cs="宋体"/>
          <w:color w:val="000000" w:themeColor="text1"/>
          <w:szCs w:val="28"/>
          <w:highlight w:val="none"/>
          <w14:textFill>
            <w14:solidFill>
              <w14:schemeClr w14:val="tx1"/>
            </w14:solidFill>
          </w14:textFill>
        </w:rPr>
        <w:t>投标人财务状况报告</w:t>
      </w:r>
      <w:bookmarkEnd w:id="51"/>
    </w:p>
    <w:p w14:paraId="0D23F677">
      <w:pPr>
        <w:spacing w:line="360" w:lineRule="auto"/>
        <w:ind w:firstLine="240" w:firstLineChars="100"/>
        <w:jc w:val="left"/>
        <w:rPr>
          <w:rFonts w:ascii="宋体" w:hAnsi="宋体" w:cs="宋体"/>
          <w:color w:val="000000" w:themeColor="text1"/>
          <w:sz w:val="24"/>
          <w:highlight w:val="none"/>
          <w14:textFill>
            <w14:solidFill>
              <w14:schemeClr w14:val="tx1"/>
            </w14:solidFill>
          </w14:textFill>
        </w:rPr>
      </w:pPr>
    </w:p>
    <w:p w14:paraId="4E13135D">
      <w:pPr>
        <w:spacing w:line="480" w:lineRule="auto"/>
        <w:ind w:left="283" w:leftChars="135" w:right="138" w:rightChars="6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投标人须提供财务状况报告，可提供以下1）、2）、3）三者之一；若投标人成立时间短，不足以出具经审计的财务审计报告的投标人，则提供以下2）、3）二者之一。</w:t>
      </w:r>
    </w:p>
    <w:p w14:paraId="70EFF93D">
      <w:pPr>
        <w:spacing w:line="480" w:lineRule="auto"/>
        <w:ind w:left="283" w:leftChars="135" w:right="138" w:rightChars="6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1）2022年-2024年（或2023年-2025年）任意一年度经审计的财务审计报告，包括财务审计报告及资产负债表、利润表、现金流量表、所有者权益变动表（如有）及其附注（扫描件加盖电子公章）；</w:t>
      </w:r>
    </w:p>
    <w:p w14:paraId="7EF9C8CD">
      <w:pPr>
        <w:spacing w:line="480" w:lineRule="auto"/>
        <w:ind w:left="283" w:leftChars="135" w:right="138" w:rightChars="6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2）自投标文件提交截止时间前三个月内基本开户银行出具的资信证明（扫描件加盖电子公章）</w:t>
      </w:r>
    </w:p>
    <w:p w14:paraId="3D249A42">
      <w:pPr>
        <w:spacing w:line="480" w:lineRule="auto"/>
        <w:ind w:left="283" w:leftChars="135" w:right="138" w:rightChars="6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3）财政部门认可的政府采购专业担保机构出具的投标担保函，须同时提供专业担保机构经财政部门认可的证明文件。</w:t>
      </w: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格式5：</w:t>
      </w:r>
    </w:p>
    <w:p w14:paraId="108EBED0">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52" w:name="_Toc16254"/>
      <w:r>
        <w:rPr>
          <w:rFonts w:hint="eastAsia" w:ascii="宋体" w:hAnsi="宋体" w:eastAsia="宋体" w:cs="宋体"/>
          <w:color w:val="000000" w:themeColor="text1"/>
          <w:szCs w:val="28"/>
          <w:highlight w:val="none"/>
          <w14:textFill>
            <w14:solidFill>
              <w14:schemeClr w14:val="tx1"/>
            </w14:solidFill>
          </w14:textFill>
        </w:rPr>
        <w:t>投标人依法缴纳税收的证明材料</w:t>
      </w:r>
      <w:bookmarkEnd w:id="52"/>
    </w:p>
    <w:p w14:paraId="4F520CC1">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格式6：</w:t>
      </w:r>
    </w:p>
    <w:p w14:paraId="18443868">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53" w:name="_Toc4247"/>
      <w:r>
        <w:rPr>
          <w:rFonts w:hint="eastAsia" w:ascii="宋体" w:hAnsi="宋体" w:eastAsia="宋体" w:cs="宋体"/>
          <w:color w:val="000000" w:themeColor="text1"/>
          <w:szCs w:val="28"/>
          <w:highlight w:val="none"/>
          <w14:textFill>
            <w14:solidFill>
              <w14:schemeClr w14:val="tx1"/>
            </w14:solidFill>
          </w14:textFill>
        </w:rPr>
        <w:t>投标人依法缴纳社会保障资金的证明材料</w:t>
      </w:r>
      <w:bookmarkEnd w:id="53"/>
    </w:p>
    <w:p w14:paraId="76559421">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格式7：</w:t>
      </w:r>
    </w:p>
    <w:p w14:paraId="23474D3E">
      <w:pPr>
        <w:pStyle w:val="8"/>
        <w:numPr>
          <w:ilvl w:val="0"/>
          <w:numId w:val="0"/>
        </w:numPr>
        <w:ind w:left="425"/>
        <w:jc w:val="center"/>
        <w:rPr>
          <w:rFonts w:hint="eastAsia" w:ascii="宋体" w:hAnsi="宋体" w:eastAsia="宋体" w:cs="宋体"/>
          <w:color w:val="000000" w:themeColor="text1"/>
          <w:szCs w:val="28"/>
          <w:highlight w:val="none"/>
          <w:lang w:val="en-US" w:eastAsia="zh-CN"/>
          <w14:textFill>
            <w14:solidFill>
              <w14:schemeClr w14:val="tx1"/>
            </w14:solidFill>
          </w14:textFill>
        </w:rPr>
      </w:pPr>
      <w:bookmarkStart w:id="54" w:name="_Toc15636"/>
      <w:r>
        <w:rPr>
          <w:rFonts w:hint="eastAsia" w:ascii="宋体" w:hAnsi="宋体" w:eastAsia="宋体" w:cs="宋体"/>
          <w:color w:val="000000" w:themeColor="text1"/>
          <w:szCs w:val="28"/>
          <w:highlight w:val="none"/>
          <w14:textFill>
            <w14:solidFill>
              <w14:schemeClr w14:val="tx1"/>
            </w14:solidFill>
          </w14:textFill>
        </w:rPr>
        <w:t>投标人具备履行合同所必需的设备和专业技术能力的证明材料</w:t>
      </w:r>
      <w:r>
        <w:rPr>
          <w:rFonts w:hint="eastAsia" w:ascii="宋体" w:hAnsi="宋体" w:eastAsia="宋体" w:cs="宋体"/>
          <w:color w:val="000000" w:themeColor="text1"/>
          <w:szCs w:val="28"/>
          <w:highlight w:val="none"/>
          <w:lang w:val="en-US" w:eastAsia="zh-CN"/>
          <w14:textFill>
            <w14:solidFill>
              <w14:schemeClr w14:val="tx1"/>
            </w14:solidFill>
          </w14:textFill>
        </w:rPr>
        <w:t>或</w:t>
      </w:r>
      <w:r>
        <w:rPr>
          <w:rFonts w:hint="eastAsia" w:ascii="宋体" w:hAnsi="宋体" w:eastAsia="宋体" w:cs="宋体"/>
          <w:color w:val="000000" w:themeColor="text1"/>
          <w:szCs w:val="28"/>
          <w:highlight w:val="none"/>
          <w14:textFill>
            <w14:solidFill>
              <w14:schemeClr w14:val="tx1"/>
            </w14:solidFill>
          </w14:textFill>
        </w:rPr>
        <w:t>书面声明</w:t>
      </w:r>
      <w:bookmarkEnd w:id="54"/>
    </w:p>
    <w:p w14:paraId="1BFFE065">
      <w:pPr>
        <w:pStyle w:val="19"/>
        <w:spacing w:line="600" w:lineRule="exact"/>
        <w:rPr>
          <w:rFonts w:hAnsi="宋体" w:cs="宋体"/>
          <w:b/>
          <w:color w:val="000000" w:themeColor="text1"/>
          <w:szCs w:val="21"/>
          <w:highlight w:val="none"/>
          <w14:textFill>
            <w14:solidFill>
              <w14:schemeClr w14:val="tx1"/>
            </w14:solidFill>
          </w14:textFill>
        </w:rPr>
      </w:pPr>
    </w:p>
    <w:p w14:paraId="1DD14E00">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格式8：</w:t>
      </w:r>
    </w:p>
    <w:p w14:paraId="10C23C8B">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55" w:name="_Toc20085"/>
      <w:r>
        <w:rPr>
          <w:rFonts w:hint="eastAsia" w:ascii="宋体" w:hAnsi="宋体" w:eastAsia="宋体" w:cs="宋体"/>
          <w:color w:val="000000" w:themeColor="text1"/>
          <w:szCs w:val="28"/>
          <w:highlight w:val="none"/>
          <w14:textFill>
            <w14:solidFill>
              <w14:schemeClr w14:val="tx1"/>
            </w14:solidFill>
          </w14:textFill>
        </w:rPr>
        <w:t>参加政府采购活动前3年内在经营活动中没有重大违法记录的书面声明</w:t>
      </w:r>
      <w:bookmarkEnd w:id="55"/>
    </w:p>
    <w:p w14:paraId="2B110497">
      <w:pPr>
        <w:ind w:firstLine="4410" w:firstLineChars="2100"/>
        <w:rPr>
          <w:rFonts w:ascii="宋体" w:hAnsi="宋体" w:cs="宋体"/>
          <w:color w:val="000000" w:themeColor="text1"/>
          <w:szCs w:val="21"/>
          <w:highlight w:val="none"/>
          <w14:textFill>
            <w14:solidFill>
              <w14:schemeClr w14:val="tx1"/>
            </w14:solidFill>
          </w14:textFill>
        </w:rPr>
      </w:pPr>
    </w:p>
    <w:p w14:paraId="5B9144D9">
      <w:pPr>
        <w:ind w:firstLine="4410" w:firstLineChars="2100"/>
        <w:rPr>
          <w:rFonts w:ascii="宋体" w:hAnsi="宋体" w:cs="宋体"/>
          <w:color w:val="000000" w:themeColor="text1"/>
          <w:szCs w:val="21"/>
          <w:highlight w:val="none"/>
          <w14:textFill>
            <w14:solidFill>
              <w14:schemeClr w14:val="tx1"/>
            </w14:solidFill>
          </w14:textFill>
        </w:rPr>
      </w:pPr>
    </w:p>
    <w:p w14:paraId="7F2DB3C1">
      <w:pPr>
        <w:ind w:firstLine="735" w:firstLineChars="35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（投标自行承诺及说明，内容自拟）</w:t>
      </w:r>
    </w:p>
    <w:p w14:paraId="0278A4E7">
      <w:pPr>
        <w:spacing w:line="360" w:lineRule="auto"/>
        <w:jc w:val="left"/>
        <w:rPr>
          <w:rFonts w:ascii="宋体" w:hAnsi="宋体" w:cs="宋体"/>
          <w:color w:val="000000" w:themeColor="text1"/>
          <w:szCs w:val="21"/>
          <w:highlight w:val="none"/>
          <w14:textFill>
            <w14:solidFill>
              <w14:schemeClr w14:val="tx1"/>
            </w14:solidFill>
          </w14:textFill>
        </w:rPr>
      </w:pPr>
    </w:p>
    <w:p w14:paraId="4FCAAD76">
      <w:pPr>
        <w:spacing w:line="360" w:lineRule="auto"/>
        <w:jc w:val="left"/>
        <w:rPr>
          <w:rFonts w:ascii="宋体" w:hAnsi="宋体" w:cs="宋体"/>
          <w:color w:val="000000" w:themeColor="text1"/>
          <w:szCs w:val="21"/>
          <w:highlight w:val="none"/>
          <w14:textFill>
            <w14:solidFill>
              <w14:schemeClr w14:val="tx1"/>
            </w14:solidFill>
          </w14:textFill>
        </w:rPr>
      </w:pPr>
    </w:p>
    <w:p w14:paraId="1FAD87D5">
      <w:pPr>
        <w:spacing w:line="360" w:lineRule="auto"/>
        <w:jc w:val="left"/>
        <w:rPr>
          <w:rFonts w:ascii="宋体" w:hAnsi="宋体" w:cs="宋体"/>
          <w:color w:val="000000" w:themeColor="text1"/>
          <w:szCs w:val="21"/>
          <w:highlight w:val="none"/>
          <w14:textFill>
            <w14:solidFill>
              <w14:schemeClr w14:val="tx1"/>
            </w14:solidFill>
          </w14:textFill>
        </w:rPr>
      </w:pPr>
    </w:p>
    <w:p w14:paraId="26B03866">
      <w:pPr>
        <w:spacing w:line="360" w:lineRule="auto"/>
        <w:jc w:val="left"/>
        <w:rPr>
          <w:rFonts w:ascii="宋体" w:hAnsi="宋体" w:cs="宋体"/>
          <w:color w:val="000000" w:themeColor="text1"/>
          <w:szCs w:val="21"/>
          <w:highlight w:val="none"/>
          <w14:textFill>
            <w14:solidFill>
              <w14:schemeClr w14:val="tx1"/>
            </w14:solidFill>
          </w14:textFill>
        </w:rPr>
      </w:pPr>
    </w:p>
    <w:p w14:paraId="3B8F31EE">
      <w:pPr>
        <w:spacing w:line="360" w:lineRule="auto"/>
        <w:jc w:val="left"/>
        <w:rPr>
          <w:rFonts w:ascii="宋体" w:hAnsi="宋体" w:cs="宋体"/>
          <w:color w:val="000000" w:themeColor="text1"/>
          <w:szCs w:val="21"/>
          <w:highlight w:val="none"/>
          <w14:textFill>
            <w14:solidFill>
              <w14:schemeClr w14:val="tx1"/>
            </w14:solidFill>
          </w14:textFill>
        </w:rPr>
      </w:pPr>
    </w:p>
    <w:p w14:paraId="753EBD10">
      <w:pPr>
        <w:spacing w:line="360" w:lineRule="auto"/>
        <w:jc w:val="left"/>
        <w:rPr>
          <w:rFonts w:ascii="宋体" w:hAnsi="宋体" w:cs="宋体"/>
          <w:color w:val="000000" w:themeColor="text1"/>
          <w:szCs w:val="21"/>
          <w:highlight w:val="none"/>
          <w14:textFill>
            <w14:solidFill>
              <w14:schemeClr w14:val="tx1"/>
            </w14:solidFill>
          </w14:textFill>
        </w:rPr>
      </w:pPr>
    </w:p>
    <w:p w14:paraId="1846F7C2">
      <w:pPr>
        <w:spacing w:line="360" w:lineRule="auto"/>
        <w:jc w:val="left"/>
        <w:rPr>
          <w:rFonts w:ascii="宋体" w:hAnsi="宋体" w:cs="宋体"/>
          <w:color w:val="000000" w:themeColor="text1"/>
          <w:szCs w:val="21"/>
          <w:highlight w:val="none"/>
          <w14:textFill>
            <w14:solidFill>
              <w14:schemeClr w14:val="tx1"/>
            </w14:solidFill>
          </w14:textFill>
        </w:rPr>
      </w:pPr>
    </w:p>
    <w:p w14:paraId="259E4AD7">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注：重大违法记录，是指供应商因违法经营受到刑事处罚或者责令停产停业、吊销许可证或者执照、较大数额罚款等行政处罚。</w:t>
      </w:r>
    </w:p>
    <w:p w14:paraId="08383CCF">
      <w:pPr>
        <w:spacing w:line="360" w:lineRule="auto"/>
        <w:jc w:val="left"/>
        <w:rPr>
          <w:rFonts w:ascii="宋体" w:hAnsi="宋体" w:cs="宋体"/>
          <w:color w:val="000000" w:themeColor="text1"/>
          <w:sz w:val="24"/>
          <w:highlight w:val="none"/>
          <w14:textFill>
            <w14:solidFill>
              <w14:schemeClr w14:val="tx1"/>
            </w14:solidFill>
          </w14:textFill>
        </w:rPr>
      </w:pPr>
    </w:p>
    <w:p w14:paraId="59F995E7">
      <w:pPr>
        <w:spacing w:line="360" w:lineRule="auto"/>
        <w:rPr>
          <w:rFonts w:ascii="宋体" w:hAnsi="宋体" w:cs="宋体"/>
          <w:color w:val="000000" w:themeColor="text1"/>
          <w:sz w:val="24"/>
          <w:highlight w:val="none"/>
          <w14:textFill>
            <w14:solidFill>
              <w14:schemeClr w14:val="tx1"/>
            </w14:solidFill>
          </w14:textFill>
        </w:rPr>
      </w:pPr>
    </w:p>
    <w:p w14:paraId="73D42B3D">
      <w:pPr>
        <w:spacing w:line="360" w:lineRule="auto"/>
        <w:rPr>
          <w:rFonts w:ascii="宋体" w:hAnsi="宋体" w:cs="宋体"/>
          <w:color w:val="000000" w:themeColor="text1"/>
          <w:sz w:val="24"/>
          <w:highlight w:val="none"/>
          <w14:textFill>
            <w14:solidFill>
              <w14:schemeClr w14:val="tx1"/>
            </w14:solidFill>
          </w14:textFill>
        </w:rPr>
      </w:pPr>
    </w:p>
    <w:p w14:paraId="14539742">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（电子签章）</w:t>
      </w:r>
    </w:p>
    <w:p w14:paraId="4D24983C">
      <w:pPr>
        <w:spacing w:line="360" w:lineRule="auto"/>
        <w:ind w:firstLine="2" w:firstLineChars="1"/>
        <w:rPr>
          <w:rFonts w:ascii="宋体" w:hAnsi="宋体" w:cs="宋体"/>
          <w:b/>
          <w:color w:val="000000" w:themeColor="text1"/>
          <w:sz w:val="24"/>
          <w:highlight w:val="none"/>
          <w14:textFill>
            <w14:solidFill>
              <w14:schemeClr w14:val="tx1"/>
            </w14:solidFill>
          </w14:textFill>
        </w:rPr>
      </w:pPr>
    </w:p>
    <w:p w14:paraId="6332E84F">
      <w:pPr>
        <w:spacing w:line="360" w:lineRule="auto"/>
        <w:ind w:firstLine="2" w:firstLineChars="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法定代表人或其委托代理人：</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（电子签名）</w:t>
      </w:r>
    </w:p>
    <w:p w14:paraId="4DAF98B6">
      <w:pPr>
        <w:pStyle w:val="19"/>
        <w:spacing w:line="600" w:lineRule="exact"/>
        <w:ind w:left="420"/>
        <w:rPr>
          <w:rFonts w:hAnsi="宋体" w:cs="宋体"/>
          <w:b/>
          <w:color w:val="000000" w:themeColor="text1"/>
          <w:sz w:val="24"/>
          <w:highlight w:val="none"/>
          <w14:textFill>
            <w14:solidFill>
              <w14:schemeClr w14:val="tx1"/>
            </w14:solidFill>
          </w14:textFill>
        </w:rPr>
      </w:pPr>
    </w:p>
    <w:p w14:paraId="55EDEE6F">
      <w:pPr>
        <w:pStyle w:val="19"/>
        <w:spacing w:line="600" w:lineRule="exact"/>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日期：</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年</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月</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日</w:t>
      </w:r>
    </w:p>
    <w:p w14:paraId="23683DB4">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格式9：</w:t>
      </w:r>
    </w:p>
    <w:p w14:paraId="70592B98">
      <w:pPr>
        <w:spacing w:line="600" w:lineRule="exact"/>
        <w:jc w:val="center"/>
        <w:outlineLvl w:val="2"/>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资质证明</w:t>
      </w:r>
    </w:p>
    <w:p w14:paraId="0242EF34">
      <w:pPr>
        <w:spacing w:line="600" w:lineRule="exact"/>
        <w:rPr>
          <w:rFonts w:ascii="宋体" w:hAnsi="宋体" w:cs="宋体"/>
          <w:color w:val="000000" w:themeColor="text1"/>
          <w:kern w:val="0"/>
          <w:sz w:val="24"/>
          <w:highlight w:val="none"/>
          <w14:textFill>
            <w14:solidFill>
              <w14:schemeClr w14:val="tx1"/>
            </w14:solidFill>
          </w14:textFill>
        </w:rPr>
      </w:pPr>
    </w:p>
    <w:p w14:paraId="2EF8C5F0">
      <w:pPr>
        <w:numPr>
          <w:ilvl w:val="0"/>
          <w:numId w:val="9"/>
        </w:numPr>
        <w:spacing w:line="60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须具有建设行政主管部门核发的市政公用工程施工总承包三级及以上资质或城市及道路照明工程专业承包一级资质，且资质证书在有效期内。</w:t>
      </w:r>
    </w:p>
    <w:p w14:paraId="2ABD6F28">
      <w:pPr>
        <w:numPr>
          <w:ilvl w:val="0"/>
          <w:numId w:val="9"/>
        </w:numPr>
        <w:spacing w:line="60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具备有效的安全生产许可证。</w:t>
      </w:r>
    </w:p>
    <w:p w14:paraId="4F96E4BB">
      <w:pPr>
        <w:numPr>
          <w:ilvl w:val="0"/>
          <w:numId w:val="0"/>
        </w:numPr>
        <w:spacing w:line="60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以上</w:t>
      </w:r>
      <w:r>
        <w:rPr>
          <w:rFonts w:hint="eastAsia" w:ascii="宋体" w:hAnsi="宋体" w:cs="宋体"/>
          <w:color w:val="000000" w:themeColor="text1"/>
          <w:sz w:val="24"/>
          <w:highlight w:val="none"/>
          <w14:textFill>
            <w14:solidFill>
              <w14:schemeClr w14:val="tx1"/>
            </w14:solidFill>
          </w14:textFill>
        </w:rPr>
        <w:t>提供相关证明材料。</w:t>
      </w:r>
    </w:p>
    <w:p w14:paraId="3365C3B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25ECDF18">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格式9：</w:t>
      </w:r>
    </w:p>
    <w:p w14:paraId="02F1DD1D">
      <w:pPr>
        <w:pStyle w:val="19"/>
        <w:rPr>
          <w:rFonts w:hAnsi="宋体" w:cs="宋体"/>
          <w:color w:val="000000" w:themeColor="text1"/>
          <w:highlight w:val="none"/>
          <w14:textFill>
            <w14:solidFill>
              <w14:schemeClr w14:val="tx1"/>
            </w14:solidFill>
          </w14:textFill>
        </w:rPr>
      </w:pPr>
    </w:p>
    <w:p w14:paraId="18DA1A5F">
      <w:pPr>
        <w:spacing w:line="600" w:lineRule="exact"/>
        <w:ind w:firstLine="594" w:firstLineChars="198"/>
        <w:jc w:val="center"/>
        <w:outlineLvl w:val="2"/>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t>拟派项目人员</w:t>
      </w:r>
      <w:r>
        <w:rPr>
          <w:rFonts w:hint="eastAsia" w:ascii="宋体" w:hAnsi="宋体" w:cs="宋体"/>
          <w:b/>
          <w:color w:val="000000" w:themeColor="text1"/>
          <w:kern w:val="0"/>
          <w:sz w:val="32"/>
          <w:szCs w:val="32"/>
          <w:highlight w:val="none"/>
          <w14:textFill>
            <w14:solidFill>
              <w14:schemeClr w14:val="tx1"/>
            </w14:solidFill>
          </w14:textFill>
        </w:rPr>
        <w:t>资质证明材料</w:t>
      </w:r>
    </w:p>
    <w:p w14:paraId="05624E26">
      <w:pPr>
        <w:spacing w:line="600" w:lineRule="exact"/>
        <w:ind w:firstLine="475" w:firstLineChars="198"/>
        <w:rPr>
          <w:rFonts w:ascii="宋体" w:hAnsi="宋体" w:cs="宋体"/>
          <w:color w:val="000000" w:themeColor="text1"/>
          <w:kern w:val="0"/>
          <w:sz w:val="24"/>
          <w:highlight w:val="none"/>
          <w14:textFill>
            <w14:solidFill>
              <w14:schemeClr w14:val="tx1"/>
            </w14:solidFill>
          </w14:textFill>
        </w:rPr>
      </w:pPr>
    </w:p>
    <w:p w14:paraId="16EAC881">
      <w:pPr>
        <w:spacing w:line="588"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项目负责人须为市政公用工程专业或机电工程专业二级（及以上）注册建造师，持有安全生产考核合格证书（B证）</w:t>
      </w:r>
    </w:p>
    <w:p w14:paraId="26C3B0E4">
      <w:pPr>
        <w:spacing w:line="588" w:lineRule="exact"/>
        <w:jc w:val="left"/>
        <w:rPr>
          <w:rFonts w:ascii="宋体" w:hAnsi="宋体" w:cs="宋体"/>
          <w:color w:val="000000" w:themeColor="text1"/>
          <w:szCs w:val="21"/>
          <w:highlight w:val="none"/>
          <w14:textFill>
            <w14:solidFill>
              <w14:schemeClr w14:val="tx1"/>
            </w14:solidFill>
          </w14:textFill>
        </w:rPr>
      </w:pPr>
    </w:p>
    <w:p w14:paraId="088C85B9">
      <w:pPr>
        <w:spacing w:line="360" w:lineRule="auto"/>
        <w:ind w:firstLine="480" w:firstLineChars="200"/>
        <w:rPr>
          <w:rFonts w:ascii="宋体" w:hAnsi="宋体" w:cs="宋体"/>
          <w:b/>
          <w:color w:val="000000" w:themeColor="text1"/>
          <w:sz w:val="24"/>
          <w:highlight w:val="none"/>
          <w14:textFill>
            <w14:solidFill>
              <w14:schemeClr w14:val="tx1"/>
            </w14:solidFill>
          </w14:textFill>
        </w:rPr>
      </w:pPr>
    </w:p>
    <w:p w14:paraId="461FC2C7">
      <w:pPr>
        <w:spacing w:line="360" w:lineRule="auto"/>
        <w:ind w:firstLine="480" w:firstLineChars="200"/>
        <w:rPr>
          <w:rFonts w:ascii="宋体" w:hAnsi="宋体" w:cs="宋体"/>
          <w:b/>
          <w:color w:val="000000" w:themeColor="text1"/>
          <w:sz w:val="24"/>
          <w:highlight w:val="none"/>
          <w14:textFill>
            <w14:solidFill>
              <w14:schemeClr w14:val="tx1"/>
            </w14:solidFill>
          </w14:textFill>
        </w:rPr>
      </w:pPr>
    </w:p>
    <w:p w14:paraId="179E92DB">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注：关于注册建造师的证书规定</w:t>
      </w:r>
    </w:p>
    <w:p w14:paraId="7C6E0411">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若供应商拟派的注册建造师为一级注册建造师，证书须符合《住房和城乡建设部办公厅关于全面实行一级建造师电子注册证书的通知》（建办市〔2021〕40号）文件的有关规定：</w:t>
      </w:r>
    </w:p>
    <w:p w14:paraId="40359644">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5E658C18">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（2）一级建造师打印电子证书后，应在个人签名处手写本人签名，未手写签名或与签名图像笔迹不一致的，该电子证书无效。</w:t>
      </w:r>
    </w:p>
    <w:p w14:paraId="04365E9B">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（3）电子证书与纸质注册证书的聘用单位信息、个人基本信息、注册专业有效期等不一致的，以电子证书信息为准。</w:t>
      </w:r>
    </w:p>
    <w:p w14:paraId="32B61EFB">
      <w:pPr>
        <w:spacing w:line="588"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格式10：</w:t>
      </w:r>
    </w:p>
    <w:p w14:paraId="2C137085">
      <w:pPr>
        <w:pStyle w:val="8"/>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56" w:name="_Toc119918839"/>
      <w:bookmarkStart w:id="57" w:name="_Toc13112"/>
      <w:r>
        <w:rPr>
          <w:rFonts w:hint="eastAsia" w:ascii="宋体" w:hAnsi="宋体" w:eastAsia="宋体" w:cs="宋体"/>
          <w:color w:val="000000" w:themeColor="text1"/>
          <w:szCs w:val="28"/>
          <w:highlight w:val="none"/>
          <w14:textFill>
            <w14:solidFill>
              <w14:schemeClr w14:val="tx1"/>
            </w14:solidFill>
          </w14:textFill>
        </w:rPr>
        <w:t>投标人无直接控股、管理关系书面声明函</w:t>
      </w:r>
      <w:bookmarkEnd w:id="56"/>
      <w:bookmarkEnd w:id="57"/>
    </w:p>
    <w:p w14:paraId="100AAAE3">
      <w:pPr>
        <w:snapToGrid w:val="0"/>
        <w:spacing w:line="36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云南招标股份有限公司：</w:t>
      </w:r>
    </w:p>
    <w:p w14:paraId="7BBB9F38">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一、下述公司负责人与我公司单位负责人为同一人：（如无则本项填写“无”）  </w:t>
      </w:r>
    </w:p>
    <w:p w14:paraId="10E2C79E">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szCs w:val="21"/>
          <w:highlight w:val="none"/>
          <w:u w:val="single"/>
          <w14:textFill>
            <w14:solidFill>
              <w14:schemeClr w14:val="tx1"/>
            </w14:solidFill>
          </w14:textFill>
        </w:rPr>
        <w:t xml:space="preserve">                              </w:t>
      </w:r>
    </w:p>
    <w:p w14:paraId="1E151345">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p>
    <w:p w14:paraId="063B18F0">
      <w:pPr>
        <w:snapToGrid w:val="0"/>
        <w:spacing w:line="36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 xml:space="preserve">                              </w:t>
      </w:r>
    </w:p>
    <w:p w14:paraId="6C182505">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081F8B17">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（可自行添加）</w:t>
      </w:r>
    </w:p>
    <w:p w14:paraId="78FA2799">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二、我公司与下述公司存在直接控股关系：（如无则本项填写“无”） </w:t>
      </w:r>
    </w:p>
    <w:p w14:paraId="23F94680">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szCs w:val="21"/>
          <w:highlight w:val="none"/>
          <w:u w:val="single"/>
          <w14:textFill>
            <w14:solidFill>
              <w14:schemeClr w14:val="tx1"/>
            </w14:solidFill>
          </w14:textFill>
        </w:rPr>
        <w:t xml:space="preserve">                              </w:t>
      </w:r>
    </w:p>
    <w:p w14:paraId="62EEC500">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p>
    <w:p w14:paraId="1FCDD54C">
      <w:pPr>
        <w:snapToGrid w:val="0"/>
        <w:spacing w:line="36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 xml:space="preserve">                              </w:t>
      </w:r>
    </w:p>
    <w:p w14:paraId="61544F29">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380E20D1">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（可自行添加）</w:t>
      </w:r>
    </w:p>
    <w:p w14:paraId="0D452026">
      <w:pPr>
        <w:snapToGrid w:val="0"/>
        <w:spacing w:line="360" w:lineRule="exact"/>
        <w:rPr>
          <w:rFonts w:ascii="宋体" w:hAnsi="宋体" w:cs="宋体"/>
          <w:color w:val="000000" w:themeColor="text1"/>
          <w:highlight w:val="none"/>
          <w14:textFill>
            <w14:solidFill>
              <w14:schemeClr w14:val="tx1"/>
            </w14:solidFill>
          </w14:textFill>
        </w:rPr>
      </w:pPr>
    </w:p>
    <w:p w14:paraId="39E17DB8">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三、我公司与下述公司存在管理关系：（如无则本项填写“无”） </w:t>
      </w:r>
    </w:p>
    <w:p w14:paraId="7390C0F9">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szCs w:val="21"/>
          <w:highlight w:val="none"/>
          <w:u w:val="single"/>
          <w14:textFill>
            <w14:solidFill>
              <w14:schemeClr w14:val="tx1"/>
            </w14:solidFill>
          </w14:textFill>
        </w:rPr>
        <w:t xml:space="preserve">                              </w:t>
      </w:r>
    </w:p>
    <w:p w14:paraId="3DF7A829">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p>
    <w:p w14:paraId="6202C497">
      <w:pPr>
        <w:snapToGrid w:val="0"/>
        <w:spacing w:line="36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 xml:space="preserve">                              </w:t>
      </w:r>
    </w:p>
    <w:p w14:paraId="2C6CA40B">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4A00FE8E">
      <w:pPr>
        <w:snapToGrid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（可自行添加）</w:t>
      </w:r>
    </w:p>
    <w:p w14:paraId="1B0CD83D">
      <w:pPr>
        <w:spacing w:line="3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我单位郑重声明：与本单位负责人为同一人或者与本单位存在直接控股关系、管理关系的供应商未参与</w:t>
      </w:r>
      <w:r>
        <w:rPr>
          <w:rFonts w:hint="eastAsia" w:ascii="宋体" w:hAnsi="宋体" w:cs="宋体"/>
          <w:color w:val="000000" w:themeColor="text1"/>
          <w:highlight w:val="none"/>
          <w:u w:val="single"/>
          <w14:textFill>
            <w14:solidFill>
              <w14:schemeClr w14:val="tx1"/>
            </w14:solidFill>
          </w14:textFill>
        </w:rPr>
        <w:t xml:space="preserve">_    (项目名称)      </w:t>
      </w:r>
      <w:r>
        <w:rPr>
          <w:rFonts w:hint="eastAsia" w:ascii="宋体" w:hAnsi="宋体" w:cs="宋体"/>
          <w:color w:val="000000" w:themeColor="text1"/>
          <w:highlight w:val="none"/>
          <w14:textFill>
            <w14:solidFill>
              <w14:schemeClr w14:val="tx1"/>
            </w14:solidFill>
          </w14:textFill>
        </w:rPr>
        <w:t xml:space="preserve">同一合同项下的投标。 </w:t>
      </w:r>
    </w:p>
    <w:p w14:paraId="78C3AB4D">
      <w:pPr>
        <w:spacing w:line="3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我单位保证上述声明真实、有效、可查。 </w:t>
      </w:r>
    </w:p>
    <w:p w14:paraId="6968B09D">
      <w:pPr>
        <w:spacing w:line="3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特此声明。 </w:t>
      </w:r>
    </w:p>
    <w:p w14:paraId="4940C070">
      <w:pPr>
        <w:spacing w:line="360" w:lineRule="auto"/>
        <w:rPr>
          <w:rFonts w:ascii="宋体" w:hAnsi="宋体" w:cs="宋体"/>
          <w:color w:val="000000" w:themeColor="text1"/>
          <w:highlight w:val="none"/>
          <w14:textFill>
            <w14:solidFill>
              <w14:schemeClr w14:val="tx1"/>
            </w14:solidFill>
          </w14:textFill>
        </w:rPr>
      </w:pPr>
    </w:p>
    <w:p w14:paraId="0F4783BA">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投标人：</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（电子签章）</w:t>
      </w:r>
    </w:p>
    <w:p w14:paraId="79D35A69">
      <w:pPr>
        <w:spacing w:line="360" w:lineRule="auto"/>
        <w:ind w:firstLine="2" w:firstLineChars="1"/>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法定代表人或其委托代理人：</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（电子签名）</w:t>
      </w:r>
    </w:p>
    <w:p w14:paraId="4466895F">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日期：</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年</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月</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日</w:t>
      </w:r>
    </w:p>
    <w:p w14:paraId="08F2D17F">
      <w:pPr>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w:t>
      </w:r>
    </w:p>
    <w:p w14:paraId="0ECA3B75">
      <w:pPr>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1、单位负责人，是指单位法定代表人或者法律、行政法规规定代表单位行使职权的主要负责人。</w:t>
      </w:r>
    </w:p>
    <w:p w14:paraId="70AEBE9E">
      <w:pPr>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2、直接控股关系，</w:t>
      </w:r>
      <w:r>
        <w:rPr>
          <w:rFonts w:hint="eastAsia" w:ascii="宋体" w:hAnsi="宋体" w:cs="宋体"/>
          <w:b/>
          <w:color w:val="000000" w:themeColor="text1"/>
          <w:sz w:val="18"/>
          <w:szCs w:val="18"/>
          <w:highlight w:val="none"/>
          <w:shd w:val="clear" w:color="auto" w:fill="FFFFFF"/>
          <w14:textFill>
            <w14:solidFill>
              <w14:schemeClr w14:val="tx1"/>
            </w14:solidFill>
          </w14:textFill>
        </w:rPr>
        <w:t>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cs="宋体"/>
          <w:b/>
          <w:color w:val="000000" w:themeColor="text1"/>
          <w:sz w:val="18"/>
          <w:szCs w:val="18"/>
          <w:highlight w:val="none"/>
          <w14:textFill>
            <w14:solidFill>
              <w14:schemeClr w14:val="tx1"/>
            </w14:solidFill>
          </w14:textFill>
        </w:rPr>
        <w:t>。</w:t>
      </w:r>
    </w:p>
    <w:p w14:paraId="045F7A98">
      <w:pPr>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3、直接管理关系，是指不具有出资持股关系的其他单位之间存在的直接管理与被管理关系，如上下级关系的事业单位和团体组织。</w:t>
      </w:r>
    </w:p>
    <w:p w14:paraId="4F6A4D62">
      <w:pPr>
        <w:rPr>
          <w:rFonts w:ascii="宋体" w:hAnsi="宋体" w:cs="宋体"/>
          <w:color w:val="000000" w:themeColor="text1"/>
          <w:highlight w:val="none"/>
          <w14:textFill>
            <w14:solidFill>
              <w14:schemeClr w14:val="tx1"/>
            </w14:solidFill>
          </w14:textFill>
        </w:rPr>
        <w:sectPr>
          <w:headerReference r:id="rId7" w:type="first"/>
          <w:pgSz w:w="11906" w:h="16838"/>
          <w:pgMar w:top="1134" w:right="851" w:bottom="1304" w:left="1134" w:header="680" w:footer="680" w:gutter="0"/>
          <w:cols w:space="720" w:num="1"/>
          <w:titlePg/>
          <w:docGrid w:type="linesAndChars" w:linePitch="331" w:charSpace="0"/>
        </w:sectPr>
      </w:pPr>
      <w:bookmarkStart w:id="58" w:name="_Hlk88502301"/>
      <w:bookmarkStart w:id="59" w:name="_Toc327190555"/>
    </w:p>
    <w:p w14:paraId="007535C3">
      <w:pPr>
        <w:pStyle w:val="19"/>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格式11：</w:t>
      </w:r>
    </w:p>
    <w:p w14:paraId="0AF636FE">
      <w:pPr>
        <w:pStyle w:val="8"/>
        <w:numPr>
          <w:ilvl w:val="0"/>
          <w:numId w:val="0"/>
        </w:numPr>
        <w:ind w:left="-171"/>
        <w:jc w:val="center"/>
        <w:rPr>
          <w:rFonts w:ascii="宋体" w:hAnsi="宋体" w:eastAsia="宋体" w:cs="宋体"/>
          <w:color w:val="000000" w:themeColor="text1"/>
          <w:szCs w:val="28"/>
          <w:highlight w:val="none"/>
          <w14:textFill>
            <w14:solidFill>
              <w14:schemeClr w14:val="tx1"/>
            </w14:solidFill>
          </w14:textFill>
        </w:rPr>
      </w:pPr>
      <w:bookmarkStart w:id="60" w:name="_Toc25067"/>
      <w:bookmarkStart w:id="61" w:name="_Toc113451594"/>
      <w:bookmarkStart w:id="62" w:name="_Toc116304966"/>
      <w:bookmarkStart w:id="63" w:name="_Toc113362417"/>
      <w:r>
        <w:rPr>
          <w:rFonts w:hint="eastAsia" w:ascii="宋体" w:hAnsi="宋体" w:eastAsia="宋体" w:cs="宋体"/>
          <w:color w:val="000000" w:themeColor="text1"/>
          <w:szCs w:val="28"/>
          <w:highlight w:val="none"/>
          <w14:textFill>
            <w14:solidFill>
              <w14:schemeClr w14:val="tx1"/>
            </w14:solidFill>
          </w14:textFill>
        </w:rPr>
        <w:t>无串通投标行为的承诺函</w:t>
      </w:r>
      <w:bookmarkEnd w:id="60"/>
      <w:bookmarkEnd w:id="61"/>
      <w:bookmarkEnd w:id="62"/>
      <w:bookmarkEnd w:id="63"/>
    </w:p>
    <w:p w14:paraId="46C2D9C7">
      <w:pPr>
        <w:spacing w:line="360" w:lineRule="auto"/>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一、有下列情形之一的，属于恶意串通投标：</w:t>
      </w:r>
    </w:p>
    <w:p w14:paraId="4E581C4A">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（一）投标人直接或者间接从采购人或者采购代理机构处获得其他投标人的相关情况并修改其投标文件或者响应文件；</w:t>
      </w:r>
    </w:p>
    <w:p w14:paraId="7B75C3BD">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（二）投标人按照采购人或者采购代理机构的授意撤换、修改投标文件或者响应文件；</w:t>
      </w:r>
    </w:p>
    <w:p w14:paraId="34356268">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（三）投标人之间协商报价、技术方案等投标文件或者响应文件的实质性内容；</w:t>
      </w:r>
    </w:p>
    <w:p w14:paraId="53418493">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（四）属于同一集团、协会、商会等组织成员的投标人按照该组织要求协同参加政府采购活动；</w:t>
      </w:r>
    </w:p>
    <w:p w14:paraId="79DA775B">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（五）投标人之间事先约定由某一特定投标人中标、成交；</w:t>
      </w:r>
    </w:p>
    <w:p w14:paraId="3CCB259D">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（六）投标人之间商定部分投标人放弃参加政府采购活动或者放弃中标、成交；</w:t>
      </w:r>
    </w:p>
    <w:p w14:paraId="2934ACEE">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（七）投标人与采购人或者采购代理机构之间、投标人相互之间，为谋求特定投标人中标、成交或者排斥其他投标人的其他串通行为。</w:t>
      </w:r>
    </w:p>
    <w:p w14:paraId="04E6029C">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二、有下列情形之一的，视为投标人串通投标，其投标无效：</w:t>
      </w:r>
    </w:p>
    <w:p w14:paraId="2BC9F44D">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（一）不同投标人的投标文件由同一单位或者个人编制；</w:t>
      </w:r>
    </w:p>
    <w:p w14:paraId="0855195C">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（二）不同投标人委托同一单位或者个人办理投标事宜；</w:t>
      </w:r>
    </w:p>
    <w:p w14:paraId="740ABE6E">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（三）不同投标人的投标文件载明的项目管理成员或者联系人员为同一人；</w:t>
      </w:r>
    </w:p>
    <w:p w14:paraId="57C55F75">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（四）不同投标人的投标文件异常一致或者投标报价呈规律性差异；</w:t>
      </w:r>
    </w:p>
    <w:p w14:paraId="2D134D99">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（五）不同投标人的投标文件相互混装；</w:t>
      </w:r>
    </w:p>
    <w:p w14:paraId="1D1FD830">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（六）不同投标人的投标保证金从同一单位或者个人的账户转出。</w:t>
      </w:r>
    </w:p>
    <w:p w14:paraId="365D085C">
      <w:pPr>
        <w:spacing w:line="360" w:lineRule="auto"/>
        <w:rPr>
          <w:rFonts w:ascii="宋体" w:hAnsi="宋体" w:cs="宋体"/>
          <w:color w:val="000000" w:themeColor="text1"/>
          <w:kern w:val="0"/>
          <w:szCs w:val="21"/>
          <w:highlight w:val="none"/>
          <w14:textFill>
            <w14:solidFill>
              <w14:schemeClr w14:val="tx1"/>
            </w14:solidFill>
          </w14:textFill>
        </w:rPr>
      </w:pPr>
    </w:p>
    <w:p w14:paraId="2F0AC63C">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请投标人出具是否存在上述情形的承诺函（内容自拟）。如出现上述情形的，将向财政部门报告，依照政府采购法第七十七条第一款的规定追究法律责任。</w:t>
      </w:r>
    </w:p>
    <w:p w14:paraId="4E639DBE">
      <w:pPr>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投标人：</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（电子签章）</w:t>
      </w:r>
    </w:p>
    <w:p w14:paraId="061C1340">
      <w:pPr>
        <w:spacing w:line="400" w:lineRule="exact"/>
        <w:ind w:firstLine="2" w:firstLineChars="1"/>
        <w:rPr>
          <w:rFonts w:ascii="宋体" w:hAnsi="宋体" w:cs="宋体"/>
          <w:b/>
          <w:color w:val="000000" w:themeColor="text1"/>
          <w:szCs w:val="21"/>
          <w:highlight w:val="none"/>
          <w14:textFill>
            <w14:solidFill>
              <w14:schemeClr w14:val="tx1"/>
            </w14:solidFill>
          </w14:textFill>
        </w:rPr>
      </w:pPr>
    </w:p>
    <w:p w14:paraId="6830F58D">
      <w:pPr>
        <w:spacing w:line="400" w:lineRule="exact"/>
        <w:ind w:firstLine="2" w:firstLineChars="1"/>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法定代表人或其委托代理人：</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（电子签名）</w:t>
      </w:r>
    </w:p>
    <w:p w14:paraId="62F5A597">
      <w:pPr>
        <w:pStyle w:val="19"/>
        <w:spacing w:line="400" w:lineRule="exact"/>
        <w:ind w:left="420"/>
        <w:rPr>
          <w:rFonts w:hAnsi="宋体" w:cs="宋体"/>
          <w:b/>
          <w:color w:val="000000" w:themeColor="text1"/>
          <w:szCs w:val="21"/>
          <w:highlight w:val="none"/>
          <w14:textFill>
            <w14:solidFill>
              <w14:schemeClr w14:val="tx1"/>
            </w14:solidFill>
          </w14:textFill>
        </w:rPr>
      </w:pPr>
    </w:p>
    <w:p w14:paraId="229D6DEC">
      <w:pPr>
        <w:pStyle w:val="19"/>
        <w:spacing w:line="400" w:lineRule="exact"/>
        <w:rPr>
          <w:rFonts w:hAnsi="宋体" w:cs="宋体"/>
          <w:b/>
          <w:color w:val="000000" w:themeColor="text1"/>
          <w:szCs w:val="21"/>
          <w:highlight w:val="none"/>
          <w14:textFill>
            <w14:solidFill>
              <w14:schemeClr w14:val="tx1"/>
            </w14:solidFill>
          </w14:textFill>
        </w:rPr>
        <w:sectPr>
          <w:pgSz w:w="11906" w:h="16838"/>
          <w:pgMar w:top="1191" w:right="1219" w:bottom="1134" w:left="1219" w:header="567" w:footer="567" w:gutter="0"/>
          <w:cols w:space="720" w:num="1"/>
          <w:docGrid w:type="linesAndChars" w:linePitch="331" w:charSpace="0"/>
        </w:sectPr>
      </w:pPr>
      <w:r>
        <w:rPr>
          <w:rFonts w:hint="eastAsia" w:hAnsi="宋体" w:cs="宋体"/>
          <w:b/>
          <w:color w:val="000000" w:themeColor="text1"/>
          <w:szCs w:val="21"/>
          <w:highlight w:val="none"/>
          <w14:textFill>
            <w14:solidFill>
              <w14:schemeClr w14:val="tx1"/>
            </w14:solidFill>
          </w14:textFill>
        </w:rPr>
        <w:t>日期：</w:t>
      </w:r>
      <w:r>
        <w:rPr>
          <w:rFonts w:hint="eastAsia" w:hAnsi="宋体" w:cs="宋体"/>
          <w:b/>
          <w:color w:val="000000" w:themeColor="text1"/>
          <w:szCs w:val="21"/>
          <w:highlight w:val="none"/>
          <w:u w:val="single"/>
          <w14:textFill>
            <w14:solidFill>
              <w14:schemeClr w14:val="tx1"/>
            </w14:solidFill>
          </w14:textFill>
        </w:rPr>
        <w:t xml:space="preserve">            </w:t>
      </w:r>
      <w:r>
        <w:rPr>
          <w:rFonts w:hint="eastAsia" w:hAnsi="宋体" w:cs="宋体"/>
          <w:b/>
          <w:color w:val="000000" w:themeColor="text1"/>
          <w:szCs w:val="21"/>
          <w:highlight w:val="none"/>
          <w14:textFill>
            <w14:solidFill>
              <w14:schemeClr w14:val="tx1"/>
            </w14:solidFill>
          </w14:textFill>
        </w:rPr>
        <w:t>年</w:t>
      </w:r>
      <w:r>
        <w:rPr>
          <w:rFonts w:hint="eastAsia" w:hAnsi="宋体" w:cs="宋体"/>
          <w:b/>
          <w:color w:val="000000" w:themeColor="text1"/>
          <w:szCs w:val="21"/>
          <w:highlight w:val="none"/>
          <w:u w:val="single"/>
          <w14:textFill>
            <w14:solidFill>
              <w14:schemeClr w14:val="tx1"/>
            </w14:solidFill>
          </w14:textFill>
        </w:rPr>
        <w:t xml:space="preserve">       </w:t>
      </w:r>
      <w:r>
        <w:rPr>
          <w:rFonts w:hint="eastAsia" w:hAnsi="宋体" w:cs="宋体"/>
          <w:b/>
          <w:color w:val="000000" w:themeColor="text1"/>
          <w:szCs w:val="21"/>
          <w:highlight w:val="none"/>
          <w14:textFill>
            <w14:solidFill>
              <w14:schemeClr w14:val="tx1"/>
            </w14:solidFill>
          </w14:textFill>
        </w:rPr>
        <w:t>月</w:t>
      </w:r>
      <w:r>
        <w:rPr>
          <w:rFonts w:hint="eastAsia" w:hAnsi="宋体" w:cs="宋体"/>
          <w:b/>
          <w:color w:val="000000" w:themeColor="text1"/>
          <w:szCs w:val="21"/>
          <w:highlight w:val="none"/>
          <w:u w:val="single"/>
          <w14:textFill>
            <w14:solidFill>
              <w14:schemeClr w14:val="tx1"/>
            </w14:solidFill>
          </w14:textFill>
        </w:rPr>
        <w:t xml:space="preserve">       </w:t>
      </w:r>
      <w:r>
        <w:rPr>
          <w:rFonts w:hint="eastAsia" w:hAnsi="宋体" w:cs="宋体"/>
          <w:b/>
          <w:color w:val="000000" w:themeColor="text1"/>
          <w:szCs w:val="21"/>
          <w:highlight w:val="none"/>
          <w14:textFill>
            <w14:solidFill>
              <w14:schemeClr w14:val="tx1"/>
            </w14:solidFill>
          </w14:textFill>
        </w:rPr>
        <w:t>日</w:t>
      </w:r>
    </w:p>
    <w:p w14:paraId="24036B75">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格式12：</w:t>
      </w:r>
    </w:p>
    <w:bookmarkEnd w:id="58"/>
    <w:p w14:paraId="5FBB0EF1">
      <w:pPr>
        <w:pStyle w:val="19"/>
        <w:spacing w:line="600" w:lineRule="exact"/>
        <w:jc w:val="center"/>
        <w:rPr>
          <w:rFonts w:hAnsi="宋体" w:cs="宋体"/>
          <w:b/>
          <w:bCs/>
          <w:color w:val="000000" w:themeColor="text1"/>
          <w:sz w:val="28"/>
          <w:szCs w:val="28"/>
          <w:highlight w:val="none"/>
          <w14:textFill>
            <w14:solidFill>
              <w14:schemeClr w14:val="tx1"/>
            </w14:solidFill>
          </w14:textFill>
        </w:rPr>
      </w:pPr>
      <w:bookmarkStart w:id="64" w:name="_Toc120277426"/>
      <w:r>
        <w:rPr>
          <w:rFonts w:hint="eastAsia" w:hAnsi="宋体" w:cs="宋体"/>
          <w:b/>
          <w:bCs/>
          <w:color w:val="000000" w:themeColor="text1"/>
          <w:sz w:val="28"/>
          <w:szCs w:val="28"/>
          <w:highlight w:val="none"/>
          <w14:textFill>
            <w14:solidFill>
              <w14:schemeClr w14:val="tx1"/>
            </w14:solidFill>
          </w14:textFill>
        </w:rPr>
        <w:t>投标保证金交纳凭证</w:t>
      </w:r>
      <w:bookmarkEnd w:id="64"/>
    </w:p>
    <w:p w14:paraId="158C2D67">
      <w:pPr>
        <w:pStyle w:val="19"/>
        <w:spacing w:line="600" w:lineRule="exact"/>
        <w:jc w:val="left"/>
        <w:rPr>
          <w:rFonts w:hAnsi="宋体" w:cs="宋体"/>
          <w:b/>
          <w:color w:val="000000" w:themeColor="text1"/>
          <w:sz w:val="28"/>
          <w:szCs w:val="28"/>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br w:type="page"/>
      </w:r>
      <w:r>
        <w:rPr>
          <w:rFonts w:hint="eastAsia" w:hAnsi="宋体" w:cs="宋体"/>
          <w:b/>
          <w:color w:val="000000" w:themeColor="text1"/>
          <w:sz w:val="28"/>
          <w:szCs w:val="28"/>
          <w:highlight w:val="none"/>
          <w14:textFill>
            <w14:solidFill>
              <w14:schemeClr w14:val="tx1"/>
            </w14:solidFill>
          </w14:textFill>
        </w:rPr>
        <w:t>格式13：</w:t>
      </w:r>
    </w:p>
    <w:p w14:paraId="59E4E496">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65" w:name="_Toc1996"/>
      <w:bookmarkStart w:id="66" w:name="_Toc120277427"/>
      <w:r>
        <w:rPr>
          <w:rFonts w:hint="eastAsia" w:ascii="宋体" w:hAnsi="宋体" w:eastAsia="宋体" w:cs="宋体"/>
          <w:color w:val="000000" w:themeColor="text1"/>
          <w:szCs w:val="28"/>
          <w:highlight w:val="none"/>
          <w14:textFill>
            <w14:solidFill>
              <w14:schemeClr w14:val="tx1"/>
            </w14:solidFill>
          </w14:textFill>
        </w:rPr>
        <w:t>招标文件第一章“投标人资格要求”中要求提供的其他资格证明文件</w:t>
      </w:r>
      <w:bookmarkEnd w:id="65"/>
      <w:bookmarkEnd w:id="66"/>
    </w:p>
    <w:p w14:paraId="690BABA2">
      <w:pPr>
        <w:pStyle w:val="8"/>
        <w:numPr>
          <w:ilvl w:val="0"/>
          <w:numId w:val="0"/>
        </w:numPr>
        <w:jc w:val="center"/>
        <w:rPr>
          <w:rFonts w:ascii="宋体" w:hAnsi="宋体" w:eastAsia="宋体" w:cs="宋体"/>
          <w:color w:val="000000" w:themeColor="text1"/>
          <w:sz w:val="24"/>
          <w:szCs w:val="24"/>
          <w:highlight w:val="none"/>
          <w14:textFill>
            <w14:solidFill>
              <w14:schemeClr w14:val="tx1"/>
            </w14:solidFill>
          </w14:textFill>
        </w:rPr>
      </w:pPr>
    </w:p>
    <w:p w14:paraId="2A1AD441">
      <w:pPr>
        <w:keepNext/>
        <w:tabs>
          <w:tab w:val="left" w:pos="360"/>
          <w:tab w:val="left" w:pos="1021"/>
        </w:tabs>
        <w:adjustRightInd w:val="0"/>
        <w:spacing w:before="120" w:line="360" w:lineRule="auto"/>
        <w:jc w:val="center"/>
        <w:textAlignment w:val="baseline"/>
        <w:outlineLvl w:val="2"/>
        <w:rPr>
          <w:rFonts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为本项目提供整体设计、规范编制或者项目管理、监理、检测等服务的供应商，不得再参加本次采购活动</w:t>
      </w:r>
    </w:p>
    <w:p w14:paraId="2BECBB4B">
      <w:pPr>
        <w:spacing w:line="360" w:lineRule="auto"/>
        <w:ind w:firstLine="482"/>
        <w:rPr>
          <w:rFonts w:ascii="宋体" w:hAnsi="宋体" w:cs="宋体"/>
          <w:color w:val="000000" w:themeColor="text1"/>
          <w:sz w:val="24"/>
          <w:highlight w:val="none"/>
          <w14:textFill>
            <w14:solidFill>
              <w14:schemeClr w14:val="tx1"/>
            </w14:solidFill>
          </w14:textFill>
        </w:rPr>
      </w:pPr>
    </w:p>
    <w:p w14:paraId="3B151EB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（自行承诺或说明，格式自拟）</w:t>
      </w:r>
    </w:p>
    <w:p w14:paraId="31ACD057">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bookmarkStart w:id="67" w:name="_Toc25970"/>
      <w:r>
        <w:rPr>
          <w:rFonts w:hint="eastAsia" w:ascii="宋体" w:hAnsi="宋体" w:eastAsia="宋体" w:cs="宋体"/>
          <w:color w:val="000000" w:themeColor="text1"/>
          <w:szCs w:val="28"/>
          <w:highlight w:val="none"/>
          <w14:textFill>
            <w14:solidFill>
              <w14:schemeClr w14:val="tx1"/>
            </w14:solidFill>
          </w14:textFill>
        </w:rPr>
        <w:t>三、商务部分</w:t>
      </w:r>
      <w:bookmarkEnd w:id="67"/>
    </w:p>
    <w:p w14:paraId="4D3F52C6">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格式1：</w:t>
      </w:r>
    </w:p>
    <w:p w14:paraId="77D1E10F">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68" w:name="_Toc28436"/>
      <w:r>
        <w:rPr>
          <w:rFonts w:hint="eastAsia" w:ascii="宋体" w:hAnsi="宋体" w:eastAsia="宋体" w:cs="宋体"/>
          <w:color w:val="000000" w:themeColor="text1"/>
          <w:szCs w:val="28"/>
          <w:highlight w:val="none"/>
          <w14:textFill>
            <w14:solidFill>
              <w14:schemeClr w14:val="tx1"/>
            </w14:solidFill>
          </w14:textFill>
        </w:rPr>
        <w:t>投 标 函</w:t>
      </w:r>
      <w:bookmarkEnd w:id="68"/>
    </w:p>
    <w:p w14:paraId="087752A7">
      <w:pPr>
        <w:pStyle w:val="19"/>
        <w:spacing w:line="360" w:lineRule="exact"/>
        <w:ind w:left="42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致：</w:t>
      </w:r>
      <w:r>
        <w:rPr>
          <w:rFonts w:hint="eastAsia" w:hAnsi="宋体" w:cs="宋体"/>
          <w:color w:val="000000" w:themeColor="text1"/>
          <w:sz w:val="24"/>
          <w:szCs w:val="24"/>
          <w:highlight w:val="none"/>
          <w:u w:val="single"/>
          <w14:textFill>
            <w14:solidFill>
              <w14:schemeClr w14:val="tx1"/>
            </w14:solidFill>
          </w14:textFill>
        </w:rPr>
        <w:t xml:space="preserve">                  </w:t>
      </w:r>
    </w:p>
    <w:p w14:paraId="7F8DE8E7">
      <w:pPr>
        <w:pStyle w:val="19"/>
        <w:spacing w:line="360" w:lineRule="exact"/>
        <w:ind w:left="420" w:firstLine="482"/>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我方仔细研究了</w:t>
      </w:r>
      <w:r>
        <w:rPr>
          <w:rFonts w:hint="eastAsia" w:hAnsi="宋体" w:cs="宋体"/>
          <w:color w:val="000000" w:themeColor="text1"/>
          <w:szCs w:val="21"/>
          <w:highlight w:val="none"/>
          <w:u w:val="single"/>
          <w14:textFill>
            <w14:solidFill>
              <w14:schemeClr w14:val="tx1"/>
            </w14:solidFill>
          </w14:textFill>
        </w:rPr>
        <w:t xml:space="preserve">（采购项目名称）   </w:t>
      </w:r>
      <w:r>
        <w:rPr>
          <w:rFonts w:hint="eastAsia" w:hAnsi="宋体" w:cs="宋体"/>
          <w:color w:val="000000" w:themeColor="text1"/>
          <w:szCs w:val="21"/>
          <w:highlight w:val="none"/>
          <w14:textFill>
            <w14:solidFill>
              <w14:schemeClr w14:val="tx1"/>
            </w14:solidFill>
          </w14:textFill>
        </w:rPr>
        <w:t>（招标编号：</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b/>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）项目招标文件的全部内容，正式授权下述签字人</w:t>
      </w:r>
      <w:r>
        <w:rPr>
          <w:rFonts w:hint="eastAsia" w:hAnsi="宋体" w:cs="宋体"/>
          <w:color w:val="000000" w:themeColor="text1"/>
          <w:szCs w:val="21"/>
          <w:highlight w:val="none"/>
          <w:u w:val="single"/>
          <w14:textFill>
            <w14:solidFill>
              <w14:schemeClr w14:val="tx1"/>
            </w14:solidFill>
          </w14:textFill>
        </w:rPr>
        <w:t xml:space="preserve">   （姓名和职务）     </w:t>
      </w:r>
      <w:r>
        <w:rPr>
          <w:rFonts w:hint="eastAsia" w:hAnsi="宋体" w:cs="宋体"/>
          <w:color w:val="000000" w:themeColor="text1"/>
          <w:szCs w:val="21"/>
          <w:highlight w:val="none"/>
          <w14:textFill>
            <w14:solidFill>
              <w14:schemeClr w14:val="tx1"/>
            </w14:solidFill>
          </w14:textFill>
        </w:rPr>
        <w:t>全权代表投标人</w:t>
      </w:r>
      <w:r>
        <w:rPr>
          <w:rFonts w:hint="eastAsia" w:hAnsi="宋体" w:cs="宋体"/>
          <w:color w:val="000000" w:themeColor="text1"/>
          <w:szCs w:val="21"/>
          <w:highlight w:val="none"/>
          <w:u w:val="single"/>
          <w14:textFill>
            <w14:solidFill>
              <w14:schemeClr w14:val="tx1"/>
            </w14:solidFill>
          </w14:textFill>
        </w:rPr>
        <w:t xml:space="preserve">  （投标人全称）   </w:t>
      </w:r>
      <w:r>
        <w:rPr>
          <w:rFonts w:hint="eastAsia" w:hAnsi="宋体" w:cs="宋体"/>
          <w:color w:val="000000" w:themeColor="text1"/>
          <w:szCs w:val="21"/>
          <w:highlight w:val="none"/>
          <w14:textFill>
            <w14:solidFill>
              <w14:schemeClr w14:val="tx1"/>
            </w14:solidFill>
          </w14:textFill>
        </w:rPr>
        <w:t>参加投标，并按招标文件规定提交投标文件。</w:t>
      </w:r>
    </w:p>
    <w:p w14:paraId="6C9F41B9">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据此函，签字人兹宣布同意如下：</w:t>
      </w:r>
    </w:p>
    <w:p w14:paraId="2CD09426">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1、投标报价</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w:t>
      </w:r>
    </w:p>
    <w:p w14:paraId="074D1FB0">
      <w:pPr>
        <w:pStyle w:val="19"/>
        <w:spacing w:line="360" w:lineRule="exact"/>
        <w:ind w:left="420" w:firstLine="420"/>
        <w:rPr>
          <w:rFonts w:hAnsi="宋体" w:cs="宋体"/>
          <w:color w:val="000000" w:themeColor="text1"/>
          <w:spacing w:val="-10"/>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w:t>
      </w:r>
      <w:r>
        <w:rPr>
          <w:rFonts w:hint="eastAsia" w:hAnsi="宋体" w:cs="宋体"/>
          <w:color w:val="000000" w:themeColor="text1"/>
          <w:spacing w:val="-10"/>
          <w:szCs w:val="21"/>
          <w:highlight w:val="none"/>
          <w14:textFill>
            <w14:solidFill>
              <w14:schemeClr w14:val="tx1"/>
            </w14:solidFill>
          </w14:textFill>
        </w:rPr>
        <w:t>我方已详细审查全部招标文件，包括</w:t>
      </w:r>
      <w:r>
        <w:rPr>
          <w:rFonts w:hint="eastAsia" w:hAnsi="宋体" w:cs="宋体"/>
          <w:i/>
          <w:color w:val="000000" w:themeColor="text1"/>
          <w:spacing w:val="-10"/>
          <w:szCs w:val="21"/>
          <w:highlight w:val="none"/>
          <w:u w:val="single"/>
          <w14:textFill>
            <w14:solidFill>
              <w14:schemeClr w14:val="tx1"/>
            </w14:solidFill>
          </w14:textFill>
        </w:rPr>
        <w:t>（澄清文件）</w:t>
      </w:r>
      <w:r>
        <w:rPr>
          <w:rFonts w:hint="eastAsia" w:hAnsi="宋体" w:cs="宋体"/>
          <w:color w:val="000000" w:themeColor="text1"/>
          <w:spacing w:val="-10"/>
          <w:szCs w:val="21"/>
          <w:highlight w:val="none"/>
          <w:u w:val="single"/>
          <w14:textFill>
            <w14:solidFill>
              <w14:schemeClr w14:val="tx1"/>
            </w14:solidFill>
          </w14:textFill>
        </w:rPr>
        <w:t>(若有)</w:t>
      </w:r>
      <w:r>
        <w:rPr>
          <w:rFonts w:hint="eastAsia" w:hAnsi="宋体" w:cs="宋体"/>
          <w:color w:val="000000" w:themeColor="text1"/>
          <w:spacing w:val="-10"/>
          <w:szCs w:val="21"/>
          <w:highlight w:val="none"/>
          <w14:textFill>
            <w14:solidFill>
              <w14:schemeClr w14:val="tx1"/>
            </w14:solidFill>
          </w14:textFill>
        </w:rPr>
        <w:t>。我方完全理解相关文件要求，并承担对这方面有不明及误解的后果。</w:t>
      </w:r>
    </w:p>
    <w:p w14:paraId="10DB21C5">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3、在《投标人须知》规定的开标日期起遵循本投标文件，并在投标人须知第17.1条规定的投标文件有效期满之前均具有约束力。</w:t>
      </w:r>
    </w:p>
    <w:p w14:paraId="35B4474C">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4、同意《投标人须知》中关于投标保证金不予退还的规定。</w:t>
      </w:r>
    </w:p>
    <w:p w14:paraId="72C07809">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5、同意应贵方要求提供与本投标有关的任何数据或资料，并保证数据和资料的完整性和真实性。</w:t>
      </w:r>
    </w:p>
    <w:p w14:paraId="1FA6DADE">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6、如我方中标：</w:t>
      </w:r>
    </w:p>
    <w:p w14:paraId="056E5671">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（1）我方承诺在收到中标通知书后，按中标通知书内容在法律规定的期限内与贵方签订合同，并履行相应的合同责任和义务。</w:t>
      </w:r>
    </w:p>
    <w:p w14:paraId="55FE6AA5">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（2）我方承诺按照招标文件规定向贵方提交履约担保。</w:t>
      </w:r>
    </w:p>
    <w:p w14:paraId="3A21277C">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（3）我方承诺将承担售后服务及保修责任。</w:t>
      </w:r>
    </w:p>
    <w:p w14:paraId="489D5A09">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7．我方在此声明，所递交的投标文件及有关资料内容完整、真实和准确。</w:t>
      </w:r>
    </w:p>
    <w:p w14:paraId="4B037CBE">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8．</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（其他补充说明）。</w:t>
      </w:r>
    </w:p>
    <w:p w14:paraId="075076AD">
      <w:pPr>
        <w:pStyle w:val="19"/>
        <w:spacing w:line="360" w:lineRule="exact"/>
        <w:ind w:left="420" w:firstLine="420"/>
        <w:rPr>
          <w:rFonts w:hAnsi="宋体" w:cs="宋体"/>
          <w:color w:val="000000" w:themeColor="text1"/>
          <w:szCs w:val="21"/>
          <w:highlight w:val="none"/>
          <w14:textFill>
            <w14:solidFill>
              <w14:schemeClr w14:val="tx1"/>
            </w14:solidFill>
          </w14:textFill>
        </w:rPr>
      </w:pPr>
    </w:p>
    <w:p w14:paraId="319584BF">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与本投标有关的正式通讯地址为：</w:t>
      </w:r>
    </w:p>
    <w:p w14:paraId="051469C9">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地址：</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 xml:space="preserve"> 邮政编码：</w:t>
      </w:r>
      <w:r>
        <w:rPr>
          <w:rFonts w:hint="eastAsia" w:hAnsi="宋体" w:cs="宋体"/>
          <w:color w:val="000000" w:themeColor="text1"/>
          <w:szCs w:val="21"/>
          <w:highlight w:val="none"/>
          <w:u w:val="single"/>
          <w14:textFill>
            <w14:solidFill>
              <w14:schemeClr w14:val="tx1"/>
            </w14:solidFill>
          </w14:textFill>
        </w:rPr>
        <w:t xml:space="preserve">             </w:t>
      </w:r>
    </w:p>
    <w:p w14:paraId="3BB65E74">
      <w:pPr>
        <w:pStyle w:val="19"/>
        <w:spacing w:line="360" w:lineRule="exact"/>
        <w:ind w:left="420" w:firstLine="420"/>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电话：</w:t>
      </w:r>
      <w:r>
        <w:rPr>
          <w:rFonts w:hint="eastAsia" w:hAnsi="宋体" w:cs="宋体"/>
          <w:color w:val="000000" w:themeColor="text1"/>
          <w:szCs w:val="21"/>
          <w:highlight w:val="none"/>
          <w:u w:val="single"/>
          <w14:textFill>
            <w14:solidFill>
              <w14:schemeClr w14:val="tx1"/>
            </w14:solidFill>
          </w14:textFill>
        </w:rPr>
        <w:t xml:space="preserve">                                      　　　　　　　　　</w:t>
      </w:r>
    </w:p>
    <w:p w14:paraId="2C5C47B0">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传真：</w:t>
      </w:r>
      <w:r>
        <w:rPr>
          <w:rFonts w:hint="eastAsia" w:hAnsi="宋体" w:cs="宋体"/>
          <w:color w:val="000000" w:themeColor="text1"/>
          <w:szCs w:val="21"/>
          <w:highlight w:val="none"/>
          <w:u w:val="single"/>
          <w14:textFill>
            <w14:solidFill>
              <w14:schemeClr w14:val="tx1"/>
            </w14:solidFill>
          </w14:textFill>
        </w:rPr>
        <w:t>　　　　　　　　　　　　　　　　　　　　　　　　　　　　</w:t>
      </w:r>
    </w:p>
    <w:p w14:paraId="4CE3A8A0">
      <w:pPr>
        <w:pStyle w:val="19"/>
        <w:spacing w:line="360" w:lineRule="exact"/>
        <w:ind w:left="420" w:firstLine="420"/>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开户名称：</w:t>
      </w:r>
      <w:r>
        <w:rPr>
          <w:rFonts w:hint="eastAsia" w:hAnsi="宋体" w:cs="宋体"/>
          <w:color w:val="000000" w:themeColor="text1"/>
          <w:szCs w:val="21"/>
          <w:highlight w:val="none"/>
          <w:u w:val="single"/>
          <w14:textFill>
            <w14:solidFill>
              <w14:schemeClr w14:val="tx1"/>
            </w14:solidFill>
          </w14:textFill>
        </w:rPr>
        <w:t xml:space="preserve">                                                    </w:t>
      </w:r>
    </w:p>
    <w:p w14:paraId="5D5DF209">
      <w:pPr>
        <w:pStyle w:val="19"/>
        <w:spacing w:line="360" w:lineRule="exact"/>
        <w:ind w:left="420" w:firstLine="420"/>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开户银行：</w:t>
      </w:r>
      <w:r>
        <w:rPr>
          <w:rFonts w:hint="eastAsia" w:hAnsi="宋体" w:cs="宋体"/>
          <w:color w:val="000000" w:themeColor="text1"/>
          <w:szCs w:val="21"/>
          <w:highlight w:val="none"/>
          <w:u w:val="single"/>
          <w14:textFill>
            <w14:solidFill>
              <w14:schemeClr w14:val="tx1"/>
            </w14:solidFill>
          </w14:textFill>
        </w:rPr>
        <w:t xml:space="preserve">                                                    </w:t>
      </w:r>
    </w:p>
    <w:p w14:paraId="02CF1FBB">
      <w:pPr>
        <w:pStyle w:val="19"/>
        <w:spacing w:line="360" w:lineRule="exact"/>
        <w:ind w:left="420" w:firstLine="420"/>
        <w:rPr>
          <w:rFonts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帐    号：</w:t>
      </w:r>
      <w:r>
        <w:rPr>
          <w:rFonts w:hint="eastAsia" w:hAnsi="宋体" w:cs="宋体"/>
          <w:color w:val="000000" w:themeColor="text1"/>
          <w:szCs w:val="21"/>
          <w:highlight w:val="none"/>
          <w:u w:val="single"/>
          <w14:textFill>
            <w14:solidFill>
              <w14:schemeClr w14:val="tx1"/>
            </w14:solidFill>
          </w14:textFill>
        </w:rPr>
        <w:t xml:space="preserve">                                                    </w:t>
      </w:r>
    </w:p>
    <w:p w14:paraId="680DD724">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投标人：</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（电子签章）</w:t>
      </w:r>
    </w:p>
    <w:p w14:paraId="5BBC63EA">
      <w:pPr>
        <w:pStyle w:val="19"/>
        <w:spacing w:line="360" w:lineRule="exact"/>
        <w:ind w:left="420"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法定代表人或其委托代理人：</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（电子签名）</w:t>
      </w:r>
    </w:p>
    <w:p w14:paraId="5796451B">
      <w:pPr>
        <w:spacing w:line="588" w:lineRule="exact"/>
        <w:ind w:firstLine="840" w:firstLineChars="400"/>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6950BAF">
      <w:pPr>
        <w:spacing w:line="360" w:lineRule="auto"/>
        <w:ind w:firstLine="2" w:firstLineChars="1"/>
        <w:rPr>
          <w:rFonts w:ascii="宋体" w:hAnsi="宋体" w:cs="宋体"/>
          <w:b/>
          <w:color w:val="000000" w:themeColor="text1"/>
          <w:sz w:val="24"/>
          <w:highlight w:val="none"/>
          <w14:textFill>
            <w14:solidFill>
              <w14:schemeClr w14:val="tx1"/>
            </w14:solidFill>
          </w14:textFill>
        </w:rPr>
      </w:pPr>
    </w:p>
    <w:bookmarkEnd w:id="59"/>
    <w:p w14:paraId="0C2C689A">
      <w:pPr>
        <w:spacing w:line="588" w:lineRule="exact"/>
        <w:jc w:val="left"/>
        <w:rPr>
          <w:rFonts w:ascii="宋体" w:hAnsi="宋体" w:cs="宋体"/>
          <w:b/>
          <w:color w:val="000000" w:themeColor="text1"/>
          <w:sz w:val="28"/>
          <w:szCs w:val="28"/>
          <w:highlight w:val="none"/>
          <w14:textFill>
            <w14:solidFill>
              <w14:schemeClr w14:val="tx1"/>
            </w14:solidFill>
          </w14:textFill>
        </w:rPr>
        <w:sectPr>
          <w:headerReference r:id="rId8" w:type="first"/>
          <w:pgSz w:w="11906" w:h="16838"/>
          <w:pgMar w:top="1134" w:right="851" w:bottom="1304" w:left="1276" w:header="720" w:footer="720" w:gutter="0"/>
          <w:cols w:space="720" w:num="1"/>
          <w:docGrid w:type="linesAndChars" w:linePitch="331" w:charSpace="0"/>
        </w:sectPr>
      </w:pPr>
    </w:p>
    <w:p w14:paraId="16AE349E">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格式2：</w:t>
      </w:r>
    </w:p>
    <w:p w14:paraId="41738033">
      <w:pPr>
        <w:spacing w:line="588" w:lineRule="exact"/>
        <w:jc w:val="center"/>
        <w:rPr>
          <w:rFonts w:ascii="宋体" w:hAnsi="宋体" w:cs="宋体"/>
          <w:b/>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pacing w:val="6"/>
          <w:sz w:val="28"/>
          <w:szCs w:val="28"/>
          <w:highlight w:val="none"/>
          <w14:textFill>
            <w14:solidFill>
              <w14:schemeClr w14:val="tx1"/>
            </w14:solidFill>
          </w14:textFill>
        </w:rPr>
        <w:t>中小企业声明函（服务）</w:t>
      </w:r>
    </w:p>
    <w:p w14:paraId="0494B122">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spacing w:val="6"/>
          <w:szCs w:val="21"/>
          <w:highlight w:val="none"/>
          <w:u w:val="single"/>
          <w14:textFill>
            <w14:solidFill>
              <w14:schemeClr w14:val="tx1"/>
            </w14:solidFill>
          </w14:textFill>
        </w:rPr>
        <w:t xml:space="preserve">   （ 单 位 名 称 ）    </w:t>
      </w:r>
      <w:r>
        <w:rPr>
          <w:rFonts w:hint="eastAsia" w:ascii="宋体" w:hAnsi="宋体" w:cs="宋体"/>
          <w:color w:val="000000" w:themeColor="text1"/>
          <w:spacing w:val="6"/>
          <w:szCs w:val="21"/>
          <w:highlight w:val="none"/>
          <w14:textFill>
            <w14:solidFill>
              <w14:schemeClr w14:val="tx1"/>
            </w14:solidFill>
          </w14:textFill>
        </w:rPr>
        <w:t>的</w:t>
      </w:r>
      <w:r>
        <w:rPr>
          <w:rFonts w:hint="eastAsia" w:ascii="宋体" w:hAnsi="宋体" w:cs="宋体"/>
          <w:color w:val="000000" w:themeColor="text1"/>
          <w:spacing w:val="6"/>
          <w:szCs w:val="21"/>
          <w:highlight w:val="none"/>
          <w:u w:val="single"/>
          <w14:textFill>
            <w14:solidFill>
              <w14:schemeClr w14:val="tx1"/>
            </w14:solidFill>
          </w14:textFill>
        </w:rPr>
        <w:t xml:space="preserve">    （ 项 目 名 称 ）   </w:t>
      </w:r>
      <w:r>
        <w:rPr>
          <w:rFonts w:hint="eastAsia" w:ascii="宋体" w:hAnsi="宋体" w:cs="宋体"/>
          <w:color w:val="000000" w:themeColor="text1"/>
          <w:spacing w:val="6"/>
          <w:szCs w:val="21"/>
          <w:highlight w:val="none"/>
          <w14:textFill>
            <w14:solidFill>
              <w14:schemeClr w14:val="tx1"/>
            </w14:solidFill>
          </w14:textFill>
        </w:rPr>
        <w:t xml:space="preserve"> 采购活动，提供的服务全部由符合政策要求的中小企业承接。相关企业 （含联合体中的中小企业、签订分包意向协议的中小企业）的具体情况如下：</w:t>
      </w:r>
    </w:p>
    <w:p w14:paraId="71A4423A">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1.</w:t>
      </w:r>
      <w:r>
        <w:rPr>
          <w:rFonts w:hint="eastAsia" w:ascii="宋体" w:hAnsi="宋体" w:cs="宋体"/>
          <w:color w:val="000000" w:themeColor="text1"/>
          <w:spacing w:val="6"/>
          <w:szCs w:val="21"/>
          <w:highlight w:val="none"/>
          <w:u w:val="single"/>
          <w14:textFill>
            <w14:solidFill>
              <w14:schemeClr w14:val="tx1"/>
            </w14:solidFill>
          </w14:textFill>
        </w:rPr>
        <w:t xml:space="preserve">    （ 标 的 名 称 ）</w:t>
      </w:r>
      <w:r>
        <w:rPr>
          <w:rFonts w:hint="eastAsia" w:ascii="宋体" w:hAnsi="宋体" w:cs="宋体"/>
          <w:color w:val="000000" w:themeColor="text1"/>
          <w:spacing w:val="6"/>
          <w:szCs w:val="21"/>
          <w:highlight w:val="none"/>
          <w14:textFill>
            <w14:solidFill>
              <w14:schemeClr w14:val="tx1"/>
            </w14:solidFill>
          </w14:textFill>
        </w:rPr>
        <w:t xml:space="preserve"> ，属于</w:t>
      </w:r>
      <w:r>
        <w:rPr>
          <w:rFonts w:hint="eastAsia" w:ascii="宋体" w:hAnsi="宋体" w:cs="宋体"/>
          <w:color w:val="000000" w:themeColor="text1"/>
          <w:spacing w:val="6"/>
          <w:szCs w:val="21"/>
          <w:highlight w:val="none"/>
          <w:u w:val="single"/>
          <w14:textFill>
            <w14:solidFill>
              <w14:schemeClr w14:val="tx1"/>
            </w14:solidFill>
          </w14:textFill>
        </w:rPr>
        <w:t xml:space="preserve">   （ 采 购 文 件 中 明 确 的 所 属 行 业 ）</w:t>
      </w:r>
      <w:r>
        <w:rPr>
          <w:rFonts w:hint="eastAsia" w:ascii="宋体" w:hAnsi="宋体" w:cs="宋体"/>
          <w:color w:val="000000" w:themeColor="text1"/>
          <w:spacing w:val="6"/>
          <w:szCs w:val="21"/>
          <w:highlight w:val="none"/>
          <w14:textFill>
            <w14:solidFill>
              <w14:schemeClr w14:val="tx1"/>
            </w14:solidFill>
          </w14:textFill>
        </w:rPr>
        <w:t xml:space="preserve"> 行 业 ；</w:t>
      </w:r>
      <w:r>
        <w:rPr>
          <w:rFonts w:hint="eastAsia" w:ascii="宋体" w:hAnsi="宋体" w:cs="宋体"/>
          <w:color w:val="000000" w:themeColor="text1"/>
          <w:szCs w:val="21"/>
          <w:highlight w:val="none"/>
          <w14:textFill>
            <w14:solidFill>
              <w14:schemeClr w14:val="tx1"/>
            </w14:solidFill>
          </w14:textFill>
        </w:rPr>
        <w:t>承建（承接）企业为</w:t>
      </w:r>
      <w:r>
        <w:rPr>
          <w:rFonts w:hint="eastAsia" w:ascii="宋体" w:hAnsi="宋体" w:cs="宋体"/>
          <w:color w:val="000000" w:themeColor="text1"/>
          <w:spacing w:val="6"/>
          <w:szCs w:val="21"/>
          <w:highlight w:val="none"/>
          <w:u w:val="single"/>
          <w14:textFill>
            <w14:solidFill>
              <w14:schemeClr w14:val="tx1"/>
            </w14:solidFill>
          </w14:textFill>
        </w:rPr>
        <w:t xml:space="preserve">   （ 企 业 名 称 ）   </w:t>
      </w:r>
      <w:r>
        <w:rPr>
          <w:rFonts w:hint="eastAsia" w:ascii="宋体" w:hAnsi="宋体" w:cs="宋体"/>
          <w:color w:val="000000" w:themeColor="text1"/>
          <w:spacing w:val="6"/>
          <w:szCs w:val="21"/>
          <w:highlight w:val="none"/>
          <w14:textFill>
            <w14:solidFill>
              <w14:schemeClr w14:val="tx1"/>
            </w14:solidFill>
          </w14:textFill>
        </w:rPr>
        <w:t>，从业人员</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人，营业收入为</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万元，资产总额为</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万元</w:t>
      </w:r>
      <w:r>
        <w:rPr>
          <w:rFonts w:hint="eastAsia" w:ascii="宋体" w:hAnsi="宋体" w:cs="宋体"/>
          <w:color w:val="000000" w:themeColor="text1"/>
          <w:spacing w:val="6"/>
          <w:szCs w:val="21"/>
          <w:highlight w:val="none"/>
          <w:vertAlign w:val="superscript"/>
          <w14:textFill>
            <w14:solidFill>
              <w14:schemeClr w14:val="tx1"/>
            </w14:solidFill>
          </w14:textFill>
        </w:rPr>
        <w:t>1</w:t>
      </w:r>
      <w:r>
        <w:rPr>
          <w:rFonts w:hint="eastAsia" w:ascii="宋体" w:hAnsi="宋体" w:cs="宋体"/>
          <w:color w:val="000000" w:themeColor="text1"/>
          <w:spacing w:val="6"/>
          <w:szCs w:val="21"/>
          <w:highlight w:val="none"/>
          <w14:textFill>
            <w14:solidFill>
              <w14:schemeClr w14:val="tx1"/>
            </w14:solidFill>
          </w14:textFill>
        </w:rPr>
        <w:t xml:space="preserve">，属于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大型企业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中型企业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小型企业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微型企业</w:t>
      </w:r>
      <w:r>
        <w:rPr>
          <w:rFonts w:hint="eastAsia" w:ascii="宋体" w:hAnsi="宋体" w:cs="宋体"/>
          <w:color w:val="000000" w:themeColor="text1"/>
          <w:spacing w:val="6"/>
          <w:szCs w:val="21"/>
          <w:highlight w:val="none"/>
          <w14:textFill>
            <w14:solidFill>
              <w14:schemeClr w14:val="tx1"/>
            </w14:solidFill>
          </w14:textFill>
        </w:rPr>
        <w:t xml:space="preserve">（只能勾选一种类型）； </w:t>
      </w:r>
    </w:p>
    <w:p w14:paraId="03252DC9">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r>
        <w:rPr>
          <w:rFonts w:hint="eastAsia" w:ascii="宋体" w:hAnsi="宋体" w:cs="宋体"/>
          <w:color w:val="000000" w:themeColor="text1"/>
          <w:spacing w:val="6"/>
          <w:szCs w:val="21"/>
          <w:highlight w:val="none"/>
          <w:u w:val="single"/>
          <w14:textFill>
            <w14:solidFill>
              <w14:schemeClr w14:val="tx1"/>
            </w14:solidFill>
          </w14:textFill>
        </w:rPr>
        <w:t xml:space="preserve">    （ 标 的 名 称 ）</w:t>
      </w:r>
      <w:r>
        <w:rPr>
          <w:rFonts w:hint="eastAsia" w:ascii="宋体" w:hAnsi="宋体" w:cs="宋体"/>
          <w:color w:val="000000" w:themeColor="text1"/>
          <w:spacing w:val="6"/>
          <w:szCs w:val="21"/>
          <w:highlight w:val="none"/>
          <w14:textFill>
            <w14:solidFill>
              <w14:schemeClr w14:val="tx1"/>
            </w14:solidFill>
          </w14:textFill>
        </w:rPr>
        <w:t xml:space="preserve"> ，属于</w:t>
      </w:r>
      <w:r>
        <w:rPr>
          <w:rFonts w:hint="eastAsia" w:ascii="宋体" w:hAnsi="宋体" w:cs="宋体"/>
          <w:color w:val="000000" w:themeColor="text1"/>
          <w:spacing w:val="6"/>
          <w:szCs w:val="21"/>
          <w:highlight w:val="none"/>
          <w:u w:val="single"/>
          <w14:textFill>
            <w14:solidFill>
              <w14:schemeClr w14:val="tx1"/>
            </w14:solidFill>
          </w14:textFill>
        </w:rPr>
        <w:t xml:space="preserve">   （ 采 购 文 件 中 明 确 的 所 属 行 业 ）</w:t>
      </w:r>
      <w:r>
        <w:rPr>
          <w:rFonts w:hint="eastAsia" w:ascii="宋体" w:hAnsi="宋体" w:cs="宋体"/>
          <w:color w:val="000000" w:themeColor="text1"/>
          <w:spacing w:val="6"/>
          <w:szCs w:val="21"/>
          <w:highlight w:val="none"/>
          <w14:textFill>
            <w14:solidFill>
              <w14:schemeClr w14:val="tx1"/>
            </w14:solidFill>
          </w14:textFill>
        </w:rPr>
        <w:t xml:space="preserve"> 行 业 ；</w:t>
      </w:r>
      <w:r>
        <w:rPr>
          <w:rFonts w:hint="eastAsia" w:ascii="宋体" w:hAnsi="宋体" w:cs="宋体"/>
          <w:color w:val="000000" w:themeColor="text1"/>
          <w:szCs w:val="21"/>
          <w:highlight w:val="none"/>
          <w14:textFill>
            <w14:solidFill>
              <w14:schemeClr w14:val="tx1"/>
            </w14:solidFill>
          </w14:textFill>
        </w:rPr>
        <w:t>承建（承接）企业为</w:t>
      </w:r>
      <w:r>
        <w:rPr>
          <w:rFonts w:hint="eastAsia" w:ascii="宋体" w:hAnsi="宋体" w:cs="宋体"/>
          <w:color w:val="000000" w:themeColor="text1"/>
          <w:spacing w:val="6"/>
          <w:szCs w:val="21"/>
          <w:highlight w:val="none"/>
          <w:u w:val="single"/>
          <w14:textFill>
            <w14:solidFill>
              <w14:schemeClr w14:val="tx1"/>
            </w14:solidFill>
          </w14:textFill>
        </w:rPr>
        <w:t xml:space="preserve">   （ 企 业 名 称 ）   </w:t>
      </w:r>
      <w:r>
        <w:rPr>
          <w:rFonts w:hint="eastAsia" w:ascii="宋体" w:hAnsi="宋体" w:cs="宋体"/>
          <w:color w:val="000000" w:themeColor="text1"/>
          <w:spacing w:val="6"/>
          <w:szCs w:val="21"/>
          <w:highlight w:val="none"/>
          <w14:textFill>
            <w14:solidFill>
              <w14:schemeClr w14:val="tx1"/>
            </w14:solidFill>
          </w14:textFill>
        </w:rPr>
        <w:t>，从业人员</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人，营业收入为</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万元，资产总额为</w:t>
      </w:r>
      <w:r>
        <w:rPr>
          <w:rFonts w:hint="eastAsia" w:ascii="宋体" w:hAnsi="宋体" w:cs="宋体"/>
          <w:color w:val="000000" w:themeColor="text1"/>
          <w:spacing w:val="6"/>
          <w:szCs w:val="21"/>
          <w:highlight w:val="none"/>
          <w:u w:val="singl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万元</w:t>
      </w:r>
      <w:r>
        <w:rPr>
          <w:rFonts w:hint="eastAsia" w:ascii="宋体" w:hAnsi="宋体" w:cs="宋体"/>
          <w:color w:val="000000" w:themeColor="text1"/>
          <w:spacing w:val="6"/>
          <w:szCs w:val="21"/>
          <w:highlight w:val="none"/>
          <w:vertAlign w:val="superscript"/>
          <w14:textFill>
            <w14:solidFill>
              <w14:schemeClr w14:val="tx1"/>
            </w14:solidFill>
          </w14:textFill>
        </w:rPr>
        <w:t>1</w:t>
      </w:r>
      <w:r>
        <w:rPr>
          <w:rFonts w:hint="eastAsia" w:ascii="宋体" w:hAnsi="宋体" w:cs="宋体"/>
          <w:color w:val="000000" w:themeColor="text1"/>
          <w:spacing w:val="6"/>
          <w:szCs w:val="21"/>
          <w:highlight w:val="none"/>
          <w14:textFill>
            <w14:solidFill>
              <w14:schemeClr w14:val="tx1"/>
            </w14:solidFill>
          </w14:textFill>
        </w:rPr>
        <w:t>，属于</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大型企业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中型企业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 xml:space="preserve">小型企业 </w:t>
      </w: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pacing w:val="6"/>
          <w:szCs w:val="21"/>
          <w:highlight w:val="none"/>
          <w:u w:val="single"/>
          <w14:textFill>
            <w14:solidFill>
              <w14:schemeClr w14:val="tx1"/>
            </w14:solidFill>
          </w14:textFill>
        </w:rPr>
        <w:t>微型企业</w:t>
      </w:r>
      <w:r>
        <w:rPr>
          <w:rFonts w:hint="eastAsia" w:ascii="宋体" w:hAnsi="宋体" w:cs="宋体"/>
          <w:color w:val="000000" w:themeColor="text1"/>
          <w:spacing w:val="6"/>
          <w:szCs w:val="21"/>
          <w:highlight w:val="none"/>
          <w14:textFill>
            <w14:solidFill>
              <w14:schemeClr w14:val="tx1"/>
            </w14:solidFill>
          </w14:textFill>
        </w:rPr>
        <w:t>（只能勾选一种类型）；</w:t>
      </w:r>
    </w:p>
    <w:p w14:paraId="0A91DC38">
      <w:pPr>
        <w:pStyle w:val="3"/>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7E8099CE">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以上企业，不属于大企业的分支机构，不存在控股股东为大企业的情形，也不存在与大企业的负责人为同一人的情形。 </w:t>
      </w:r>
    </w:p>
    <w:p w14:paraId="07C7FD30">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本企业对上述声明内容的真实性负责。如有虚假，将依法承担相应责任。 </w:t>
      </w:r>
    </w:p>
    <w:p w14:paraId="2E929365">
      <w:pPr>
        <w:spacing w:line="440" w:lineRule="exact"/>
        <w:ind w:firstLine="444" w:firstLineChars="200"/>
        <w:rPr>
          <w:rFonts w:ascii="宋体" w:hAnsi="宋体" w:cs="宋体"/>
          <w:color w:val="000000" w:themeColor="text1"/>
          <w:spacing w:val="6"/>
          <w:szCs w:val="21"/>
          <w:highlight w:val="none"/>
          <w14:textFill>
            <w14:solidFill>
              <w14:schemeClr w14:val="tx1"/>
            </w14:solidFill>
          </w14:textFill>
        </w:rPr>
      </w:pPr>
    </w:p>
    <w:p w14:paraId="68BA21E3">
      <w:pPr>
        <w:spacing w:line="440" w:lineRule="exact"/>
        <w:ind w:firstLine="444" w:firstLineChars="200"/>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企业名称（盖章）：</w:t>
      </w:r>
    </w:p>
    <w:p w14:paraId="2DC006A3">
      <w:pPr>
        <w:spacing w:line="440" w:lineRule="exact"/>
        <w:ind w:firstLine="444" w:firstLineChars="200"/>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p>
    <w:p w14:paraId="454BE05A">
      <w:pPr>
        <w:pStyle w:val="3"/>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从业人员、营业收入、资产总额填报上一年度数据，无上一年度数据的新成立企业可不填报。</w:t>
      </w:r>
    </w:p>
    <w:p w14:paraId="3C01F01A">
      <w:pPr>
        <w:pStyle w:val="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注：</w:t>
      </w:r>
    </w:p>
    <w:p w14:paraId="6F2F16CE">
      <w:pPr>
        <w:pStyle w:val="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1.投标人须如实出具声明函。享受本招标文件规定的中小企业扶持政策的，将随中标结果公开中标人的《中小企业声明函》。</w:t>
      </w:r>
    </w:p>
    <w:p w14:paraId="1FB6B3C2">
      <w:pPr>
        <w:pStyle w:val="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2.所声明的从业人员人数、营业收入金额或资产总额不实的，依照《中华人民共和国政府采购法》等国家有关规定追究相应责任。</w:t>
      </w:r>
    </w:p>
    <w:p w14:paraId="338E48F8">
      <w:pPr>
        <w:pStyle w:val="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3.投标人须按招标文件规定的所属行业，核对《关于印发中小企业划型标准规定的通知》（工信部联企业〔2011〕300号）规定的中小企业划型标准，如实出具声明函。</w:t>
      </w:r>
    </w:p>
    <w:p w14:paraId="745B585D">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4. 若采购项目包含多个标的物的，须按第五章“采购标的物清单”逐项相关信息全部列入《中小企业声明函》，并由投标人出具、加盖投标人电子公章。</w:t>
      </w:r>
    </w:p>
    <w:p w14:paraId="40BA694B">
      <w:pPr>
        <w:pStyle w:val="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5.本项目属于《关于印发中小企业划型标准规定的通知》（工信部联企业〔2011〕300号）规定中的“其他未列明行业”。</w:t>
      </w:r>
    </w:p>
    <w:p w14:paraId="5D1743A5">
      <w:pPr>
        <w:pStyle w:val="19"/>
        <w:rPr>
          <w:rFonts w:hAnsi="宋体" w:cs="宋体"/>
          <w:highlight w:val="none"/>
        </w:rPr>
      </w:pPr>
    </w:p>
    <w:p w14:paraId="2264B81E">
      <w:pPr>
        <w:pStyle w:val="3"/>
        <w:rPr>
          <w:rFonts w:ascii="宋体" w:hAnsi="宋体" w:cs="宋体"/>
          <w:color w:val="000000" w:themeColor="text1"/>
          <w:szCs w:val="21"/>
          <w:highlight w:val="none"/>
          <w14:textFill>
            <w14:solidFill>
              <w14:schemeClr w14:val="tx1"/>
            </w14:solidFill>
          </w14:textFill>
        </w:rPr>
      </w:pPr>
    </w:p>
    <w:p w14:paraId="626B56B8">
      <w:pPr>
        <w:pStyle w:val="3"/>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w:t>
      </w:r>
    </w:p>
    <w:p w14:paraId="3988A293">
      <w:pPr>
        <w:pStyle w:val="3"/>
        <w:ind w:firstLine="630" w:firstLineChars="3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《关于印发中小企业划型标准规定的通知》（</w:t>
      </w:r>
      <w:r>
        <w:rPr>
          <w:rFonts w:hint="eastAsia" w:ascii="宋体" w:hAnsi="宋体" w:cs="宋体"/>
          <w:color w:val="000000" w:themeColor="text1"/>
          <w:szCs w:val="21"/>
          <w:highlight w:val="none"/>
          <w14:textFill>
            <w14:solidFill>
              <w14:schemeClr w14:val="tx1"/>
            </w14:solidFill>
          </w14:textFill>
        </w:rPr>
        <w:t>工信部联企业〔2011〕300号</w:t>
      </w:r>
      <w:r>
        <w:rPr>
          <w:rFonts w:hint="eastAsia" w:ascii="宋体" w:hAnsi="宋体" w:cs="宋体"/>
          <w:bCs/>
          <w:color w:val="000000" w:themeColor="text1"/>
          <w:szCs w:val="21"/>
          <w:highlight w:val="none"/>
          <w14:textFill>
            <w14:solidFill>
              <w14:schemeClr w14:val="tx1"/>
            </w14:solidFill>
          </w14:textFill>
        </w:rPr>
        <w:t>）中小企业划型标准规定节选：</w:t>
      </w:r>
    </w:p>
    <w:p w14:paraId="51A32AAA">
      <w:pPr>
        <w:pStyle w:val="3"/>
        <w:ind w:firstLine="630" w:firstLineChars="300"/>
        <w:rPr>
          <w:rFonts w:ascii="宋体" w:hAnsi="宋体" w:cs="宋体"/>
          <w:color w:val="000000" w:themeColor="text1"/>
          <w:szCs w:val="21"/>
          <w:highlight w:val="none"/>
          <w14:textFill>
            <w14:solidFill>
              <w14:schemeClr w14:val="tx1"/>
            </w14:solidFill>
          </w14:textFill>
        </w:rPr>
      </w:pPr>
    </w:p>
    <w:p w14:paraId="122E7D19">
      <w:pPr>
        <w:pStyle w:val="19"/>
        <w:spacing w:line="500" w:lineRule="exact"/>
        <w:ind w:firstLine="210" w:firstLineChars="100"/>
        <w:jc w:val="left"/>
        <w:rPr>
          <w:rFonts w:hAnsi="宋体" w:cs="宋体"/>
          <w:b/>
          <w:color w:val="000000" w:themeColor="text1"/>
          <w:sz w:val="28"/>
          <w:szCs w:val="28"/>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四、各行业划型标准为：</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color w:val="000000" w:themeColor="text1"/>
          <w:szCs w:val="21"/>
          <w:highlight w:val="none"/>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r>
        <w:rPr>
          <w:rFonts w:hint="eastAsia" w:hAnsi="宋体" w:cs="宋体"/>
          <w:color w:val="000000" w:themeColor="text1"/>
          <w:szCs w:val="21"/>
          <w:highlight w:val="none"/>
          <w14:textFill>
            <w14:solidFill>
              <w14:schemeClr w14:val="tx1"/>
            </w14:solidFill>
          </w14:textFill>
        </w:rPr>
        <w:br w:type="textWrapping"/>
      </w:r>
      <w:r>
        <w:rPr>
          <w:rFonts w:hint="eastAsia" w:hAnsi="宋体" w:cs="宋体"/>
          <w:b/>
          <w:color w:val="000000" w:themeColor="text1"/>
          <w:szCs w:val="21"/>
          <w:highlight w:val="none"/>
          <w14:textFill>
            <w14:solidFill>
              <w14:schemeClr w14:val="tx1"/>
            </w14:solidFill>
          </w14:textFill>
        </w:rPr>
        <w:br w:type="page"/>
      </w:r>
      <w:r>
        <w:rPr>
          <w:rFonts w:hint="eastAsia" w:hAnsi="宋体" w:cs="宋体"/>
          <w:b/>
          <w:color w:val="000000" w:themeColor="text1"/>
          <w:sz w:val="28"/>
          <w:szCs w:val="28"/>
          <w:highlight w:val="none"/>
          <w14:textFill>
            <w14:solidFill>
              <w14:schemeClr w14:val="tx1"/>
            </w14:solidFill>
          </w14:textFill>
        </w:rPr>
        <w:t>格式3：</w:t>
      </w:r>
    </w:p>
    <w:p w14:paraId="5536743B">
      <w:pPr>
        <w:spacing w:line="588" w:lineRule="exact"/>
        <w:jc w:val="center"/>
        <w:rPr>
          <w:rFonts w:ascii="宋体" w:hAnsi="宋体" w:cs="宋体"/>
          <w:b/>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pacing w:val="6"/>
          <w:sz w:val="28"/>
          <w:szCs w:val="28"/>
          <w:highlight w:val="none"/>
          <w14:textFill>
            <w14:solidFill>
              <w14:schemeClr w14:val="tx1"/>
            </w14:solidFill>
          </w14:textFill>
        </w:rPr>
        <w:t>残疾人福利性单位声明函</w:t>
      </w:r>
    </w:p>
    <w:p w14:paraId="63460AF8">
      <w:pPr>
        <w:spacing w:line="588" w:lineRule="exact"/>
        <w:ind w:firstLine="624" w:firstLineChars="200"/>
        <w:rPr>
          <w:rFonts w:ascii="宋体" w:hAnsi="宋体" w:cs="宋体"/>
          <w:color w:val="000000" w:themeColor="text1"/>
          <w:spacing w:val="6"/>
          <w:sz w:val="30"/>
          <w:szCs w:val="30"/>
          <w:highlight w:val="none"/>
          <w14:textFill>
            <w14:solidFill>
              <w14:schemeClr w14:val="tx1"/>
            </w14:solidFill>
          </w14:textFill>
        </w:rPr>
      </w:pPr>
    </w:p>
    <w:p w14:paraId="4C326844">
      <w:pPr>
        <w:spacing w:line="588" w:lineRule="exact"/>
        <w:ind w:firstLine="624" w:firstLineChars="200"/>
        <w:rPr>
          <w:rFonts w:ascii="宋体" w:hAnsi="宋体" w:cs="宋体"/>
          <w:color w:val="000000" w:themeColor="text1"/>
          <w:spacing w:val="6"/>
          <w:sz w:val="30"/>
          <w:szCs w:val="30"/>
          <w:highlight w:val="none"/>
          <w14:textFill>
            <w14:solidFill>
              <w14:schemeClr w14:val="tx1"/>
            </w14:solidFill>
          </w14:textFill>
        </w:rPr>
      </w:pPr>
    </w:p>
    <w:p w14:paraId="74AB6E33">
      <w:pPr>
        <w:spacing w:line="588"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〔2017〕 141</w:t>
      </w:r>
      <w:r>
        <w:rPr>
          <w:rFonts w:hint="eastAsia" w:ascii="宋体" w:hAnsi="宋体" w:cs="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10C902A">
      <w:pPr>
        <w:spacing w:line="588" w:lineRule="exact"/>
        <w:ind w:firstLine="444"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本单位对上述声明的真实性负责。如有虚假，将依法承担相应责任。</w:t>
      </w:r>
    </w:p>
    <w:p w14:paraId="67972C6E">
      <w:pPr>
        <w:spacing w:line="588" w:lineRule="exact"/>
        <w:ind w:firstLine="444" w:firstLineChars="200"/>
        <w:rPr>
          <w:rFonts w:ascii="宋体" w:hAnsi="宋体" w:cs="宋体"/>
          <w:color w:val="000000" w:themeColor="text1"/>
          <w:spacing w:val="6"/>
          <w:szCs w:val="21"/>
          <w:highlight w:val="none"/>
          <w14:textFill>
            <w14:solidFill>
              <w14:schemeClr w14:val="tx1"/>
            </w14:solidFill>
          </w14:textFill>
        </w:rPr>
      </w:pPr>
    </w:p>
    <w:p w14:paraId="4E803888">
      <w:pPr>
        <w:spacing w:line="588" w:lineRule="exact"/>
        <w:ind w:firstLine="444" w:firstLineChars="200"/>
        <w:rPr>
          <w:rFonts w:ascii="宋体" w:hAnsi="宋体" w:cs="宋体"/>
          <w:color w:val="000000" w:themeColor="text1"/>
          <w:spacing w:val="6"/>
          <w:szCs w:val="21"/>
          <w:highlight w:val="none"/>
          <w14:textFill>
            <w14:solidFill>
              <w14:schemeClr w14:val="tx1"/>
            </w14:solidFill>
          </w14:textFill>
        </w:rPr>
      </w:pPr>
    </w:p>
    <w:p w14:paraId="452A4A12">
      <w:pPr>
        <w:tabs>
          <w:tab w:val="left" w:pos="4860"/>
        </w:tabs>
        <w:spacing w:line="588" w:lineRule="exact"/>
        <w:ind w:right="1560" w:firstLine="444" w:firstLineChars="200"/>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p>
    <w:p w14:paraId="3224E884">
      <w:pPr>
        <w:tabs>
          <w:tab w:val="left" w:pos="4860"/>
        </w:tabs>
        <w:spacing w:line="588" w:lineRule="exact"/>
        <w:ind w:right="1560" w:firstLine="444" w:firstLineChars="200"/>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p>
    <w:p w14:paraId="54B65A4F">
      <w:pPr>
        <w:spacing w:line="588" w:lineRule="exact"/>
        <w:rPr>
          <w:rFonts w:ascii="宋体" w:hAnsi="宋体" w:cs="宋体"/>
          <w:color w:val="000000" w:themeColor="text1"/>
          <w:szCs w:val="21"/>
          <w:highlight w:val="none"/>
          <w14:textFill>
            <w14:solidFill>
              <w14:schemeClr w14:val="tx1"/>
            </w14:solidFill>
          </w14:textFill>
        </w:rPr>
      </w:pPr>
    </w:p>
    <w:p w14:paraId="62ACD6F8">
      <w:pPr>
        <w:spacing w:line="588" w:lineRule="exact"/>
        <w:rPr>
          <w:rFonts w:ascii="宋体" w:hAnsi="宋体" w:cs="宋体"/>
          <w:color w:val="000000" w:themeColor="text1"/>
          <w:szCs w:val="21"/>
          <w:highlight w:val="none"/>
          <w14:textFill>
            <w14:solidFill>
              <w14:schemeClr w14:val="tx1"/>
            </w14:solidFill>
          </w14:textFill>
        </w:rPr>
      </w:pPr>
    </w:p>
    <w:p w14:paraId="156B9015">
      <w:pPr>
        <w:spacing w:line="588" w:lineRule="exact"/>
        <w:rPr>
          <w:rFonts w:ascii="宋体" w:hAnsi="宋体" w:cs="宋体"/>
          <w:color w:val="000000" w:themeColor="text1"/>
          <w:highlight w:val="none"/>
          <w14:textFill>
            <w14:solidFill>
              <w14:schemeClr w14:val="tx1"/>
            </w14:solidFill>
          </w14:textFill>
        </w:rPr>
      </w:pPr>
    </w:p>
    <w:p w14:paraId="146D839E">
      <w:pPr>
        <w:spacing w:line="588" w:lineRule="exact"/>
        <w:rPr>
          <w:rFonts w:ascii="宋体" w:hAnsi="宋体" w:cs="宋体"/>
          <w:color w:val="000000" w:themeColor="text1"/>
          <w:highlight w:val="none"/>
          <w14:textFill>
            <w14:solidFill>
              <w14:schemeClr w14:val="tx1"/>
            </w14:solidFill>
          </w14:textFill>
        </w:rPr>
      </w:pPr>
    </w:p>
    <w:p w14:paraId="10CFEEEF">
      <w:pPr>
        <w:spacing w:line="588"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 1、投标人若非上述企业，则不需提供此附件</w:t>
      </w:r>
    </w:p>
    <w:p w14:paraId="39083125">
      <w:pPr>
        <w:spacing w:line="588"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6B927357">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格式4：</w:t>
      </w:r>
    </w:p>
    <w:p w14:paraId="28E07E3E">
      <w:pPr>
        <w:widowControl/>
        <w:jc w:val="center"/>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监狱企业证明文件</w:t>
      </w:r>
    </w:p>
    <w:p w14:paraId="1889413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p>
    <w:p w14:paraId="5167E6B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67C5B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3EF240D5">
      <w:pPr>
        <w:pStyle w:val="19"/>
        <w:spacing w:line="500" w:lineRule="exact"/>
        <w:ind w:firstLine="210" w:firstLineChars="100"/>
        <w:jc w:val="left"/>
        <w:rPr>
          <w:rFonts w:hAnsi="宋体" w:cs="宋体"/>
          <w:color w:val="000000" w:themeColor="text1"/>
          <w:kern w:val="0"/>
          <w:szCs w:val="21"/>
          <w:highlight w:val="none"/>
          <w14:textFill>
            <w14:solidFill>
              <w14:schemeClr w14:val="tx1"/>
            </w14:solidFill>
          </w14:textFill>
        </w:rPr>
      </w:pPr>
    </w:p>
    <w:p w14:paraId="476E49B5">
      <w:pPr>
        <w:pStyle w:val="19"/>
        <w:spacing w:line="500" w:lineRule="exact"/>
        <w:ind w:firstLine="210" w:firstLineChars="100"/>
        <w:jc w:val="left"/>
        <w:rPr>
          <w:rFonts w:hAnsi="宋体" w:cs="宋体"/>
          <w:color w:val="000000" w:themeColor="text1"/>
          <w:kern w:val="0"/>
          <w:szCs w:val="21"/>
          <w:highlight w:val="none"/>
          <w14:textFill>
            <w14:solidFill>
              <w14:schemeClr w14:val="tx1"/>
            </w14:solidFill>
          </w14:textFill>
        </w:rPr>
      </w:pPr>
    </w:p>
    <w:p w14:paraId="11CDBBD2">
      <w:pPr>
        <w:pStyle w:val="19"/>
        <w:spacing w:line="500" w:lineRule="exact"/>
        <w:ind w:firstLine="210" w:firstLineChars="100"/>
        <w:jc w:val="left"/>
        <w:rPr>
          <w:rFonts w:hAnsi="宋体" w:cs="宋体"/>
          <w:color w:val="000000" w:themeColor="text1"/>
          <w:kern w:val="0"/>
          <w:szCs w:val="21"/>
          <w:highlight w:val="none"/>
          <w14:textFill>
            <w14:solidFill>
              <w14:schemeClr w14:val="tx1"/>
            </w14:solidFill>
          </w14:textFill>
        </w:rPr>
      </w:pPr>
    </w:p>
    <w:p w14:paraId="0ED0F6EF">
      <w:pPr>
        <w:pStyle w:val="19"/>
        <w:spacing w:line="500" w:lineRule="exact"/>
        <w:ind w:firstLine="210" w:firstLineChars="100"/>
        <w:jc w:val="left"/>
        <w:rPr>
          <w:rFonts w:hAnsi="宋体" w:cs="宋体"/>
          <w:color w:val="000000" w:themeColor="text1"/>
          <w:kern w:val="0"/>
          <w:szCs w:val="21"/>
          <w:highlight w:val="none"/>
          <w14:textFill>
            <w14:solidFill>
              <w14:schemeClr w14:val="tx1"/>
            </w14:solidFill>
          </w14:textFill>
        </w:rPr>
      </w:pPr>
    </w:p>
    <w:p w14:paraId="2EB45647">
      <w:pPr>
        <w:pStyle w:val="19"/>
        <w:spacing w:line="500" w:lineRule="exact"/>
        <w:ind w:firstLine="210" w:firstLineChars="100"/>
        <w:jc w:val="left"/>
        <w:rPr>
          <w:rFonts w:hAnsi="宋体" w:cs="宋体"/>
          <w:color w:val="000000" w:themeColor="text1"/>
          <w:kern w:val="0"/>
          <w:szCs w:val="21"/>
          <w:highlight w:val="none"/>
          <w14:textFill>
            <w14:solidFill>
              <w14:schemeClr w14:val="tx1"/>
            </w14:solidFill>
          </w14:textFill>
        </w:rPr>
      </w:pPr>
    </w:p>
    <w:p w14:paraId="26DF7522">
      <w:pPr>
        <w:pStyle w:val="19"/>
        <w:spacing w:line="500" w:lineRule="exact"/>
        <w:ind w:firstLine="240" w:firstLineChars="100"/>
        <w:jc w:val="left"/>
        <w:rPr>
          <w:rFonts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注：1、投标人若非上述企业，则不需提供此附件</w:t>
      </w:r>
    </w:p>
    <w:p w14:paraId="21BBC5C5">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37F688ED">
      <w:pPr>
        <w:autoSpaceDE w:val="0"/>
        <w:autoSpaceDN w:val="0"/>
        <w:adjustRightInd w:val="0"/>
        <w:jc w:val="left"/>
        <w:rPr>
          <w:rFonts w:hint="eastAsia" w:ascii="宋体"/>
          <w:b/>
          <w:kern w:val="0"/>
          <w:sz w:val="28"/>
          <w:szCs w:val="28"/>
          <w:highlight w:val="none"/>
        </w:rPr>
      </w:pPr>
      <w:r>
        <w:rPr>
          <w:rFonts w:hint="eastAsia" w:ascii="宋体"/>
          <w:b/>
          <w:kern w:val="0"/>
          <w:sz w:val="28"/>
          <w:szCs w:val="28"/>
          <w:highlight w:val="none"/>
        </w:rPr>
        <w:t>格式5：</w:t>
      </w:r>
    </w:p>
    <w:p w14:paraId="13AE9D08">
      <w:pPr>
        <w:spacing w:line="600" w:lineRule="exact"/>
        <w:rPr>
          <w:rFonts w:hint="eastAsia" w:asciiTheme="minorEastAsia" w:hAnsiTheme="minorEastAsia"/>
          <w:b/>
          <w:sz w:val="28"/>
          <w:szCs w:val="28"/>
          <w:highlight w:val="none"/>
        </w:rPr>
      </w:pPr>
      <w:r>
        <w:rPr>
          <w:rFonts w:hint="eastAsia" w:asciiTheme="minorEastAsia" w:hAnsiTheme="minorEastAsia"/>
          <w:b/>
          <w:sz w:val="28"/>
          <w:szCs w:val="28"/>
          <w:highlight w:val="none"/>
        </w:rPr>
        <w:t>格式5-1：</w:t>
      </w:r>
    </w:p>
    <w:p w14:paraId="1E7EB0F2">
      <w:pPr>
        <w:jc w:val="center"/>
        <w:rPr>
          <w:rFonts w:hint="eastAsia" w:asciiTheme="minorEastAsia" w:hAnsiTheme="minorEastAsia"/>
          <w:b/>
          <w:sz w:val="28"/>
          <w:szCs w:val="28"/>
          <w:highlight w:val="none"/>
          <w:lang w:val="en-US" w:eastAsia="zh-CN"/>
        </w:rPr>
      </w:pPr>
      <w:r>
        <w:rPr>
          <w:rFonts w:hint="eastAsia" w:asciiTheme="minorEastAsia" w:hAnsiTheme="minorEastAsia"/>
          <w:b/>
          <w:sz w:val="28"/>
          <w:szCs w:val="28"/>
          <w:highlight w:val="none"/>
          <w:lang w:val="en-US" w:eastAsia="zh-CN"/>
        </w:rPr>
        <w:t>货物明细表</w:t>
      </w:r>
    </w:p>
    <w:p w14:paraId="66364617">
      <w:pPr>
        <w:pStyle w:val="2"/>
        <w:rPr>
          <w:rFonts w:hint="default"/>
          <w:highlight w:val="none"/>
          <w:lang w:val="en-US" w:eastAsia="zh-CN"/>
        </w:rPr>
      </w:pPr>
    </w:p>
    <w:tbl>
      <w:tblPr>
        <w:tblStyle w:val="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1563"/>
        <w:gridCol w:w="1613"/>
        <w:gridCol w:w="2413"/>
        <w:gridCol w:w="1667"/>
        <w:gridCol w:w="1668"/>
      </w:tblGrid>
      <w:tr w14:paraId="0704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4" w:hRule="atLeast"/>
        </w:trPr>
        <w:tc>
          <w:tcPr>
            <w:tcW w:w="534" w:type="pct"/>
          </w:tcPr>
          <w:p w14:paraId="0A3F435D">
            <w:pPr>
              <w:jc w:val="center"/>
              <w:rPr>
                <w:rFonts w:hint="eastAsia" w:ascii="宋体" w:eastAsia="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序号</w:t>
            </w:r>
          </w:p>
        </w:tc>
        <w:tc>
          <w:tcPr>
            <w:tcW w:w="782" w:type="pct"/>
          </w:tcPr>
          <w:p w14:paraId="26B7231A">
            <w:pPr>
              <w:jc w:val="center"/>
              <w:rPr>
                <w:rFonts w:hint="default" w:ascii="宋体" w:eastAsia="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产品名称</w:t>
            </w:r>
          </w:p>
        </w:tc>
        <w:tc>
          <w:tcPr>
            <w:tcW w:w="807" w:type="pct"/>
          </w:tcPr>
          <w:p w14:paraId="012BEDE7">
            <w:pPr>
              <w:jc w:val="center"/>
              <w:rPr>
                <w:rFonts w:hint="eastAsia" w:ascii="宋体" w:eastAsia="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品牌</w:t>
            </w:r>
          </w:p>
        </w:tc>
        <w:tc>
          <w:tcPr>
            <w:tcW w:w="1207" w:type="pct"/>
          </w:tcPr>
          <w:p w14:paraId="2495D698">
            <w:pPr>
              <w:jc w:val="center"/>
              <w:rPr>
                <w:rFonts w:hint="eastAsia" w:ascii="宋体" w:eastAsia="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制造商</w:t>
            </w:r>
          </w:p>
        </w:tc>
        <w:tc>
          <w:tcPr>
            <w:tcW w:w="834" w:type="pct"/>
          </w:tcPr>
          <w:p w14:paraId="15CD4166">
            <w:pPr>
              <w:jc w:val="center"/>
              <w:rPr>
                <w:rFonts w:hint="eastAsia" w:ascii="宋体" w:eastAsia="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产地或制造商国别</w:t>
            </w:r>
          </w:p>
        </w:tc>
        <w:tc>
          <w:tcPr>
            <w:tcW w:w="834" w:type="pct"/>
          </w:tcPr>
          <w:p w14:paraId="5E0FA6CD">
            <w:pPr>
              <w:jc w:val="center"/>
              <w:rPr>
                <w:rFonts w:hint="eastAsia" w:ascii="宋体"/>
                <w:b/>
                <w:kern w:val="0"/>
                <w:sz w:val="21"/>
                <w:szCs w:val="21"/>
                <w:highlight w:val="none"/>
                <w:vertAlign w:val="baseline"/>
                <w:lang w:val="en-US" w:eastAsia="zh-CN"/>
              </w:rPr>
            </w:pPr>
            <w:r>
              <w:rPr>
                <w:rFonts w:hint="eastAsia" w:ascii="宋体"/>
                <w:b/>
                <w:kern w:val="0"/>
                <w:sz w:val="21"/>
                <w:szCs w:val="21"/>
                <w:highlight w:val="none"/>
                <w:vertAlign w:val="baseline"/>
                <w:lang w:val="en-US" w:eastAsia="zh-CN"/>
              </w:rPr>
              <w:t>备注</w:t>
            </w:r>
          </w:p>
        </w:tc>
      </w:tr>
      <w:tr w14:paraId="7CC5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34" w:type="pct"/>
          </w:tcPr>
          <w:p w14:paraId="68B261C9">
            <w:pPr>
              <w:rPr>
                <w:rFonts w:hint="eastAsia" w:ascii="宋体"/>
                <w:b/>
                <w:kern w:val="0"/>
                <w:sz w:val="28"/>
                <w:szCs w:val="28"/>
                <w:highlight w:val="none"/>
                <w:vertAlign w:val="baseline"/>
              </w:rPr>
            </w:pPr>
          </w:p>
        </w:tc>
        <w:tc>
          <w:tcPr>
            <w:tcW w:w="782" w:type="pct"/>
          </w:tcPr>
          <w:p w14:paraId="32BB311A">
            <w:pPr>
              <w:rPr>
                <w:rFonts w:hint="eastAsia" w:ascii="宋体"/>
                <w:b/>
                <w:kern w:val="0"/>
                <w:sz w:val="28"/>
                <w:szCs w:val="28"/>
                <w:highlight w:val="none"/>
                <w:vertAlign w:val="baseline"/>
              </w:rPr>
            </w:pPr>
          </w:p>
        </w:tc>
        <w:tc>
          <w:tcPr>
            <w:tcW w:w="807" w:type="pct"/>
          </w:tcPr>
          <w:p w14:paraId="39417748">
            <w:pPr>
              <w:rPr>
                <w:rFonts w:hint="eastAsia" w:ascii="宋体"/>
                <w:b/>
                <w:kern w:val="0"/>
                <w:sz w:val="28"/>
                <w:szCs w:val="28"/>
                <w:highlight w:val="none"/>
                <w:vertAlign w:val="baseline"/>
              </w:rPr>
            </w:pPr>
          </w:p>
        </w:tc>
        <w:tc>
          <w:tcPr>
            <w:tcW w:w="1207" w:type="pct"/>
          </w:tcPr>
          <w:p w14:paraId="0635D30C">
            <w:pPr>
              <w:rPr>
                <w:rFonts w:hint="eastAsia" w:ascii="宋体"/>
                <w:b/>
                <w:kern w:val="0"/>
                <w:sz w:val="28"/>
                <w:szCs w:val="28"/>
                <w:highlight w:val="none"/>
                <w:vertAlign w:val="baseline"/>
              </w:rPr>
            </w:pPr>
          </w:p>
        </w:tc>
        <w:tc>
          <w:tcPr>
            <w:tcW w:w="834" w:type="pct"/>
          </w:tcPr>
          <w:p w14:paraId="11AE34D0">
            <w:pPr>
              <w:rPr>
                <w:rFonts w:hint="eastAsia" w:ascii="宋体"/>
                <w:b/>
                <w:kern w:val="0"/>
                <w:sz w:val="28"/>
                <w:szCs w:val="28"/>
                <w:highlight w:val="none"/>
                <w:vertAlign w:val="baseline"/>
              </w:rPr>
            </w:pPr>
          </w:p>
        </w:tc>
        <w:tc>
          <w:tcPr>
            <w:tcW w:w="834" w:type="pct"/>
          </w:tcPr>
          <w:p w14:paraId="529D71C4">
            <w:pPr>
              <w:rPr>
                <w:rFonts w:hint="eastAsia" w:ascii="宋体"/>
                <w:b/>
                <w:kern w:val="0"/>
                <w:sz w:val="28"/>
                <w:szCs w:val="28"/>
                <w:highlight w:val="none"/>
                <w:vertAlign w:val="baseline"/>
              </w:rPr>
            </w:pPr>
          </w:p>
        </w:tc>
      </w:tr>
      <w:tr w14:paraId="4945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34" w:type="pct"/>
          </w:tcPr>
          <w:p w14:paraId="699C6854">
            <w:pPr>
              <w:rPr>
                <w:rFonts w:hint="eastAsia" w:ascii="宋体"/>
                <w:b/>
                <w:kern w:val="0"/>
                <w:sz w:val="28"/>
                <w:szCs w:val="28"/>
                <w:highlight w:val="none"/>
                <w:vertAlign w:val="baseline"/>
              </w:rPr>
            </w:pPr>
          </w:p>
        </w:tc>
        <w:tc>
          <w:tcPr>
            <w:tcW w:w="782" w:type="pct"/>
          </w:tcPr>
          <w:p w14:paraId="3E581B26">
            <w:pPr>
              <w:rPr>
                <w:rFonts w:hint="eastAsia" w:ascii="宋体"/>
                <w:b/>
                <w:kern w:val="0"/>
                <w:sz w:val="28"/>
                <w:szCs w:val="28"/>
                <w:highlight w:val="none"/>
                <w:vertAlign w:val="baseline"/>
              </w:rPr>
            </w:pPr>
          </w:p>
        </w:tc>
        <w:tc>
          <w:tcPr>
            <w:tcW w:w="807" w:type="pct"/>
          </w:tcPr>
          <w:p w14:paraId="0CD4AD23">
            <w:pPr>
              <w:rPr>
                <w:rFonts w:hint="eastAsia" w:ascii="宋体"/>
                <w:b/>
                <w:kern w:val="0"/>
                <w:sz w:val="28"/>
                <w:szCs w:val="28"/>
                <w:highlight w:val="none"/>
                <w:vertAlign w:val="baseline"/>
              </w:rPr>
            </w:pPr>
          </w:p>
        </w:tc>
        <w:tc>
          <w:tcPr>
            <w:tcW w:w="1207" w:type="pct"/>
          </w:tcPr>
          <w:p w14:paraId="714F5552">
            <w:pPr>
              <w:rPr>
                <w:rFonts w:hint="eastAsia" w:ascii="宋体"/>
                <w:b/>
                <w:kern w:val="0"/>
                <w:sz w:val="28"/>
                <w:szCs w:val="28"/>
                <w:highlight w:val="none"/>
                <w:vertAlign w:val="baseline"/>
              </w:rPr>
            </w:pPr>
          </w:p>
        </w:tc>
        <w:tc>
          <w:tcPr>
            <w:tcW w:w="834" w:type="pct"/>
          </w:tcPr>
          <w:p w14:paraId="496F5576">
            <w:pPr>
              <w:rPr>
                <w:rFonts w:hint="eastAsia" w:ascii="宋体"/>
                <w:b/>
                <w:kern w:val="0"/>
                <w:sz w:val="28"/>
                <w:szCs w:val="28"/>
                <w:highlight w:val="none"/>
                <w:vertAlign w:val="baseline"/>
              </w:rPr>
            </w:pPr>
          </w:p>
        </w:tc>
        <w:tc>
          <w:tcPr>
            <w:tcW w:w="834" w:type="pct"/>
          </w:tcPr>
          <w:p w14:paraId="4EC6B6B9">
            <w:pPr>
              <w:rPr>
                <w:rFonts w:hint="eastAsia" w:ascii="宋体"/>
                <w:b/>
                <w:kern w:val="0"/>
                <w:sz w:val="28"/>
                <w:szCs w:val="28"/>
                <w:highlight w:val="none"/>
                <w:vertAlign w:val="baseline"/>
              </w:rPr>
            </w:pPr>
          </w:p>
        </w:tc>
      </w:tr>
      <w:tr w14:paraId="5337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34" w:type="pct"/>
          </w:tcPr>
          <w:p w14:paraId="787C2E7F">
            <w:pPr>
              <w:rPr>
                <w:rFonts w:hint="eastAsia" w:ascii="宋体"/>
                <w:b/>
                <w:kern w:val="0"/>
                <w:sz w:val="28"/>
                <w:szCs w:val="28"/>
                <w:highlight w:val="none"/>
                <w:vertAlign w:val="baseline"/>
              </w:rPr>
            </w:pPr>
          </w:p>
        </w:tc>
        <w:tc>
          <w:tcPr>
            <w:tcW w:w="782" w:type="pct"/>
          </w:tcPr>
          <w:p w14:paraId="5859CACA">
            <w:pPr>
              <w:rPr>
                <w:rFonts w:hint="eastAsia" w:ascii="宋体"/>
                <w:b/>
                <w:kern w:val="0"/>
                <w:sz w:val="28"/>
                <w:szCs w:val="28"/>
                <w:highlight w:val="none"/>
                <w:vertAlign w:val="baseline"/>
              </w:rPr>
            </w:pPr>
          </w:p>
        </w:tc>
        <w:tc>
          <w:tcPr>
            <w:tcW w:w="807" w:type="pct"/>
          </w:tcPr>
          <w:p w14:paraId="2FF80D31">
            <w:pPr>
              <w:rPr>
                <w:rFonts w:hint="eastAsia" w:ascii="宋体"/>
                <w:b/>
                <w:kern w:val="0"/>
                <w:sz w:val="28"/>
                <w:szCs w:val="28"/>
                <w:highlight w:val="none"/>
                <w:vertAlign w:val="baseline"/>
              </w:rPr>
            </w:pPr>
          </w:p>
        </w:tc>
        <w:tc>
          <w:tcPr>
            <w:tcW w:w="1207" w:type="pct"/>
          </w:tcPr>
          <w:p w14:paraId="64EE2E7E">
            <w:pPr>
              <w:rPr>
                <w:rFonts w:hint="eastAsia" w:ascii="宋体"/>
                <w:b/>
                <w:kern w:val="0"/>
                <w:sz w:val="28"/>
                <w:szCs w:val="28"/>
                <w:highlight w:val="none"/>
                <w:vertAlign w:val="baseline"/>
              </w:rPr>
            </w:pPr>
          </w:p>
        </w:tc>
        <w:tc>
          <w:tcPr>
            <w:tcW w:w="834" w:type="pct"/>
          </w:tcPr>
          <w:p w14:paraId="4B6A3457">
            <w:pPr>
              <w:rPr>
                <w:rFonts w:hint="eastAsia" w:ascii="宋体"/>
                <w:b/>
                <w:kern w:val="0"/>
                <w:sz w:val="28"/>
                <w:szCs w:val="28"/>
                <w:highlight w:val="none"/>
                <w:vertAlign w:val="baseline"/>
              </w:rPr>
            </w:pPr>
          </w:p>
        </w:tc>
        <w:tc>
          <w:tcPr>
            <w:tcW w:w="834" w:type="pct"/>
          </w:tcPr>
          <w:p w14:paraId="202153F2">
            <w:pPr>
              <w:rPr>
                <w:rFonts w:hint="eastAsia" w:ascii="宋体"/>
                <w:b/>
                <w:kern w:val="0"/>
                <w:sz w:val="28"/>
                <w:szCs w:val="28"/>
                <w:highlight w:val="none"/>
                <w:vertAlign w:val="baseline"/>
              </w:rPr>
            </w:pPr>
          </w:p>
        </w:tc>
      </w:tr>
      <w:tr w14:paraId="5702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34" w:type="pct"/>
          </w:tcPr>
          <w:p w14:paraId="71E2CF51">
            <w:pPr>
              <w:rPr>
                <w:rFonts w:hint="eastAsia" w:ascii="宋体"/>
                <w:b/>
                <w:kern w:val="0"/>
                <w:sz w:val="28"/>
                <w:szCs w:val="28"/>
                <w:highlight w:val="none"/>
                <w:vertAlign w:val="baseline"/>
              </w:rPr>
            </w:pPr>
          </w:p>
        </w:tc>
        <w:tc>
          <w:tcPr>
            <w:tcW w:w="782" w:type="pct"/>
          </w:tcPr>
          <w:p w14:paraId="0DB500E9">
            <w:pPr>
              <w:rPr>
                <w:rFonts w:hint="eastAsia" w:ascii="宋体"/>
                <w:b/>
                <w:kern w:val="0"/>
                <w:sz w:val="28"/>
                <w:szCs w:val="28"/>
                <w:highlight w:val="none"/>
                <w:vertAlign w:val="baseline"/>
              </w:rPr>
            </w:pPr>
          </w:p>
        </w:tc>
        <w:tc>
          <w:tcPr>
            <w:tcW w:w="807" w:type="pct"/>
          </w:tcPr>
          <w:p w14:paraId="151329C3">
            <w:pPr>
              <w:rPr>
                <w:rFonts w:hint="eastAsia" w:ascii="宋体"/>
                <w:b/>
                <w:kern w:val="0"/>
                <w:sz w:val="28"/>
                <w:szCs w:val="28"/>
                <w:highlight w:val="none"/>
                <w:vertAlign w:val="baseline"/>
              </w:rPr>
            </w:pPr>
          </w:p>
        </w:tc>
        <w:tc>
          <w:tcPr>
            <w:tcW w:w="1207" w:type="pct"/>
          </w:tcPr>
          <w:p w14:paraId="24A36D8C">
            <w:pPr>
              <w:rPr>
                <w:rFonts w:hint="eastAsia" w:ascii="宋体"/>
                <w:b/>
                <w:kern w:val="0"/>
                <w:sz w:val="28"/>
                <w:szCs w:val="28"/>
                <w:highlight w:val="none"/>
                <w:vertAlign w:val="baseline"/>
              </w:rPr>
            </w:pPr>
          </w:p>
        </w:tc>
        <w:tc>
          <w:tcPr>
            <w:tcW w:w="834" w:type="pct"/>
          </w:tcPr>
          <w:p w14:paraId="752F20EB">
            <w:pPr>
              <w:rPr>
                <w:rFonts w:hint="eastAsia" w:ascii="宋体"/>
                <w:b/>
                <w:kern w:val="0"/>
                <w:sz w:val="28"/>
                <w:szCs w:val="28"/>
                <w:highlight w:val="none"/>
                <w:vertAlign w:val="baseline"/>
              </w:rPr>
            </w:pPr>
          </w:p>
        </w:tc>
        <w:tc>
          <w:tcPr>
            <w:tcW w:w="834" w:type="pct"/>
          </w:tcPr>
          <w:p w14:paraId="09603EA8">
            <w:pPr>
              <w:rPr>
                <w:rFonts w:hint="eastAsia" w:ascii="宋体"/>
                <w:b/>
                <w:kern w:val="0"/>
                <w:sz w:val="28"/>
                <w:szCs w:val="28"/>
                <w:highlight w:val="none"/>
                <w:vertAlign w:val="baseline"/>
              </w:rPr>
            </w:pPr>
          </w:p>
        </w:tc>
      </w:tr>
      <w:tr w14:paraId="752D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4" w:hRule="atLeast"/>
        </w:trPr>
        <w:tc>
          <w:tcPr>
            <w:tcW w:w="534" w:type="pct"/>
          </w:tcPr>
          <w:p w14:paraId="42BFBCAA">
            <w:pPr>
              <w:rPr>
                <w:rFonts w:hint="eastAsia" w:ascii="宋体"/>
                <w:b/>
                <w:kern w:val="0"/>
                <w:sz w:val="28"/>
                <w:szCs w:val="28"/>
                <w:highlight w:val="none"/>
                <w:vertAlign w:val="baseline"/>
              </w:rPr>
            </w:pPr>
          </w:p>
        </w:tc>
        <w:tc>
          <w:tcPr>
            <w:tcW w:w="782" w:type="pct"/>
          </w:tcPr>
          <w:p w14:paraId="46AA0EF7">
            <w:pPr>
              <w:rPr>
                <w:rFonts w:hint="eastAsia" w:ascii="宋体"/>
                <w:b/>
                <w:kern w:val="0"/>
                <w:sz w:val="28"/>
                <w:szCs w:val="28"/>
                <w:highlight w:val="none"/>
                <w:vertAlign w:val="baseline"/>
              </w:rPr>
            </w:pPr>
          </w:p>
        </w:tc>
        <w:tc>
          <w:tcPr>
            <w:tcW w:w="807" w:type="pct"/>
          </w:tcPr>
          <w:p w14:paraId="49D6390F">
            <w:pPr>
              <w:rPr>
                <w:rFonts w:hint="eastAsia" w:ascii="宋体"/>
                <w:b/>
                <w:kern w:val="0"/>
                <w:sz w:val="28"/>
                <w:szCs w:val="28"/>
                <w:highlight w:val="none"/>
                <w:vertAlign w:val="baseline"/>
              </w:rPr>
            </w:pPr>
          </w:p>
        </w:tc>
        <w:tc>
          <w:tcPr>
            <w:tcW w:w="1207" w:type="pct"/>
          </w:tcPr>
          <w:p w14:paraId="12E2C657">
            <w:pPr>
              <w:rPr>
                <w:rFonts w:hint="eastAsia" w:ascii="宋体"/>
                <w:b/>
                <w:kern w:val="0"/>
                <w:sz w:val="28"/>
                <w:szCs w:val="28"/>
                <w:highlight w:val="none"/>
                <w:vertAlign w:val="baseline"/>
              </w:rPr>
            </w:pPr>
          </w:p>
        </w:tc>
        <w:tc>
          <w:tcPr>
            <w:tcW w:w="834" w:type="pct"/>
          </w:tcPr>
          <w:p w14:paraId="3E03C6AB">
            <w:pPr>
              <w:rPr>
                <w:rFonts w:hint="eastAsia" w:ascii="宋体"/>
                <w:b/>
                <w:kern w:val="0"/>
                <w:sz w:val="28"/>
                <w:szCs w:val="28"/>
                <w:highlight w:val="none"/>
                <w:vertAlign w:val="baseline"/>
              </w:rPr>
            </w:pPr>
          </w:p>
        </w:tc>
        <w:tc>
          <w:tcPr>
            <w:tcW w:w="834" w:type="pct"/>
          </w:tcPr>
          <w:p w14:paraId="09A5F587">
            <w:pPr>
              <w:rPr>
                <w:rFonts w:hint="eastAsia" w:ascii="宋体"/>
                <w:b/>
                <w:kern w:val="0"/>
                <w:sz w:val="28"/>
                <w:szCs w:val="28"/>
                <w:highlight w:val="none"/>
                <w:vertAlign w:val="baseline"/>
              </w:rPr>
            </w:pPr>
          </w:p>
        </w:tc>
      </w:tr>
    </w:tbl>
    <w:p w14:paraId="74A131D1">
      <w:pPr>
        <w:rPr>
          <w:rFonts w:hint="eastAsia" w:ascii="宋体"/>
          <w:b/>
          <w:kern w:val="0"/>
          <w:sz w:val="28"/>
          <w:szCs w:val="28"/>
          <w:highlight w:val="none"/>
        </w:rPr>
      </w:pPr>
      <w:r>
        <w:rPr>
          <w:rFonts w:hint="eastAsia" w:ascii="宋体"/>
          <w:b w:val="0"/>
          <w:bCs/>
          <w:kern w:val="0"/>
          <w:sz w:val="24"/>
          <w:szCs w:val="24"/>
          <w:highlight w:val="none"/>
          <w:lang w:val="en-US" w:eastAsia="zh-CN"/>
        </w:rPr>
        <w:t>注：根据第五章“本服务项目涉及货物”进行填报。</w:t>
      </w:r>
      <w:r>
        <w:rPr>
          <w:rFonts w:hint="eastAsia" w:ascii="宋体"/>
          <w:b/>
          <w:kern w:val="0"/>
          <w:sz w:val="28"/>
          <w:szCs w:val="28"/>
          <w:highlight w:val="none"/>
        </w:rPr>
        <w:br w:type="page"/>
      </w:r>
    </w:p>
    <w:p w14:paraId="611A8003">
      <w:pPr>
        <w:pStyle w:val="2"/>
        <w:rPr>
          <w:highlight w:val="none"/>
        </w:rPr>
      </w:pPr>
    </w:p>
    <w:p w14:paraId="3771B371">
      <w:pPr>
        <w:spacing w:line="600" w:lineRule="exact"/>
        <w:rPr>
          <w:rFonts w:asciiTheme="minorEastAsia" w:hAnsiTheme="minorEastAsia"/>
          <w:b/>
          <w:sz w:val="28"/>
          <w:szCs w:val="28"/>
          <w:highlight w:val="none"/>
        </w:rPr>
      </w:pPr>
      <w:r>
        <w:rPr>
          <w:rFonts w:hint="eastAsia" w:asciiTheme="minorEastAsia" w:hAnsiTheme="minorEastAsia"/>
          <w:b/>
          <w:sz w:val="28"/>
          <w:szCs w:val="28"/>
          <w:highlight w:val="none"/>
        </w:rPr>
        <w:t>格式5-</w:t>
      </w:r>
      <w:r>
        <w:rPr>
          <w:rFonts w:hint="eastAsia" w:asciiTheme="minorEastAsia" w:hAnsiTheme="minorEastAsia"/>
          <w:b/>
          <w:sz w:val="28"/>
          <w:szCs w:val="28"/>
          <w:highlight w:val="none"/>
          <w:lang w:val="en-US" w:eastAsia="zh-CN"/>
        </w:rPr>
        <w:t>2</w:t>
      </w:r>
      <w:r>
        <w:rPr>
          <w:rFonts w:hint="eastAsia" w:asciiTheme="minorEastAsia" w:hAnsiTheme="minorEastAsia"/>
          <w:b/>
          <w:sz w:val="28"/>
          <w:szCs w:val="28"/>
          <w:highlight w:val="none"/>
        </w:rPr>
        <w:t>：</w:t>
      </w:r>
    </w:p>
    <w:p w14:paraId="1A195AFC">
      <w:pPr>
        <w:spacing w:line="360" w:lineRule="auto"/>
        <w:jc w:val="center"/>
        <w:outlineLvl w:val="2"/>
        <w:rPr>
          <w:rFonts w:asciiTheme="minorEastAsia" w:hAnsiTheme="minorEastAsia"/>
          <w:b/>
          <w:bCs/>
          <w:sz w:val="28"/>
          <w:szCs w:val="36"/>
          <w:highlight w:val="none"/>
        </w:rPr>
      </w:pPr>
      <w:r>
        <w:rPr>
          <w:rFonts w:hint="eastAsia" w:asciiTheme="minorEastAsia" w:hAnsiTheme="minorEastAsia"/>
          <w:b/>
          <w:bCs/>
          <w:sz w:val="28"/>
          <w:szCs w:val="36"/>
          <w:highlight w:val="none"/>
        </w:rPr>
        <w:t>关于符合本国产品标准的声明函</w:t>
      </w:r>
    </w:p>
    <w:p w14:paraId="0FE6CEF5">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5469EA39">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1.</w:t>
      </w:r>
      <w:r>
        <w:rPr>
          <w:rFonts w:hint="eastAsia" w:hAnsi="宋体"/>
          <w:color w:val="000000"/>
          <w:szCs w:val="21"/>
          <w:highlight w:val="none"/>
          <w:u w:val="single"/>
        </w:rPr>
        <w:t>（产品名称1）</w:t>
      </w:r>
      <w:r>
        <w:rPr>
          <w:rFonts w:hint="eastAsia" w:hAnsi="宋体"/>
          <w:color w:val="000000"/>
          <w:szCs w:val="21"/>
          <w:highlight w:val="none"/>
        </w:rPr>
        <w:t>，生产厂为</w:t>
      </w:r>
      <w:r>
        <w:rPr>
          <w:rFonts w:hint="eastAsia" w:hAnsi="宋体"/>
          <w:color w:val="000000"/>
          <w:szCs w:val="21"/>
          <w:highlight w:val="none"/>
          <w:u w:val="single"/>
        </w:rPr>
        <w:t>（厂名）</w:t>
      </w:r>
      <w:r>
        <w:rPr>
          <w:rFonts w:hint="eastAsia" w:hAnsi="宋体"/>
          <w:color w:val="000000"/>
          <w:szCs w:val="21"/>
          <w:highlight w:val="none"/>
        </w:rPr>
        <w:t>，厂址为</w:t>
      </w:r>
      <w:r>
        <w:rPr>
          <w:rFonts w:hint="eastAsia" w:hAnsi="宋体"/>
          <w:color w:val="000000"/>
          <w:szCs w:val="21"/>
          <w:highlight w:val="none"/>
          <w:u w:val="single"/>
        </w:rPr>
        <w:t>（生产厂址）</w:t>
      </w:r>
      <w:r>
        <w:rPr>
          <w:rFonts w:hint="eastAsia" w:hAnsi="宋体"/>
          <w:color w:val="000000"/>
          <w:szCs w:val="21"/>
          <w:highlight w:val="none"/>
        </w:rPr>
        <w:t>。（产品名称1）的中国境内生产的组件成本占比≥（规定比例）。</w:t>
      </w:r>
      <w:r>
        <w:rPr>
          <w:rFonts w:hint="eastAsia" w:hAnsi="宋体"/>
          <w:color w:val="000000"/>
          <w:szCs w:val="21"/>
          <w:highlight w:val="none"/>
          <w:u w:val="single"/>
        </w:rPr>
        <w:t>（产品名称1）</w:t>
      </w:r>
      <w:r>
        <w:rPr>
          <w:rFonts w:hint="eastAsia" w:hAnsi="宋体"/>
          <w:color w:val="000000"/>
          <w:szCs w:val="21"/>
          <w:highlight w:val="none"/>
        </w:rPr>
        <w:t>的</w:t>
      </w:r>
      <w:r>
        <w:rPr>
          <w:rFonts w:hint="eastAsia" w:hAnsi="宋体"/>
          <w:color w:val="000000"/>
          <w:szCs w:val="21"/>
          <w:highlight w:val="none"/>
          <w:u w:val="single"/>
        </w:rPr>
        <w:t>（关键组件）</w:t>
      </w:r>
      <w:r>
        <w:rPr>
          <w:rFonts w:hint="eastAsia" w:hAnsi="宋体"/>
          <w:color w:val="000000"/>
          <w:szCs w:val="21"/>
          <w:highlight w:val="none"/>
        </w:rPr>
        <w:t>在中国境内生产。</w:t>
      </w:r>
      <w:r>
        <w:rPr>
          <w:rFonts w:hint="eastAsia" w:hAnsi="宋体"/>
          <w:color w:val="000000"/>
          <w:szCs w:val="21"/>
          <w:highlight w:val="none"/>
          <w:u w:val="single"/>
        </w:rPr>
        <w:t>（产品名称1）</w:t>
      </w:r>
      <w:r>
        <w:rPr>
          <w:rFonts w:hint="eastAsia" w:hAnsi="宋体"/>
          <w:color w:val="000000"/>
          <w:szCs w:val="21"/>
          <w:highlight w:val="none"/>
        </w:rPr>
        <w:t>的</w:t>
      </w:r>
      <w:r>
        <w:rPr>
          <w:rFonts w:hint="eastAsia" w:hAnsi="宋体"/>
          <w:color w:val="000000"/>
          <w:szCs w:val="21"/>
          <w:highlight w:val="none"/>
          <w:u w:val="single"/>
        </w:rPr>
        <w:t>（关键工序）</w:t>
      </w:r>
      <w:r>
        <w:rPr>
          <w:rFonts w:hint="eastAsia" w:hAnsi="宋体"/>
          <w:color w:val="000000"/>
          <w:szCs w:val="21"/>
          <w:highlight w:val="none"/>
        </w:rPr>
        <w:t>在中国境内完成。</w:t>
      </w:r>
    </w:p>
    <w:p w14:paraId="7626E2E9">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2.</w:t>
      </w:r>
      <w:r>
        <w:rPr>
          <w:rFonts w:hint="eastAsia" w:hAnsi="宋体"/>
          <w:color w:val="000000"/>
          <w:szCs w:val="21"/>
          <w:highlight w:val="none"/>
          <w:u w:val="single"/>
        </w:rPr>
        <w:t>（产品名称2）</w:t>
      </w:r>
      <w:r>
        <w:rPr>
          <w:rFonts w:hint="eastAsia" w:hAnsi="宋体"/>
          <w:color w:val="000000"/>
          <w:szCs w:val="21"/>
          <w:highlight w:val="none"/>
        </w:rPr>
        <w:t>，生产厂为</w:t>
      </w:r>
      <w:r>
        <w:rPr>
          <w:rFonts w:hint="eastAsia" w:hAnsi="宋体"/>
          <w:color w:val="000000"/>
          <w:szCs w:val="21"/>
          <w:highlight w:val="none"/>
          <w:u w:val="single"/>
        </w:rPr>
        <w:t>（厂名）</w:t>
      </w:r>
      <w:r>
        <w:rPr>
          <w:rFonts w:hint="eastAsia" w:hAnsi="宋体"/>
          <w:color w:val="000000"/>
          <w:szCs w:val="21"/>
          <w:highlight w:val="none"/>
        </w:rPr>
        <w:t>，厂址为</w:t>
      </w:r>
      <w:r>
        <w:rPr>
          <w:rFonts w:hint="eastAsia" w:hAnsi="宋体"/>
          <w:color w:val="000000"/>
          <w:szCs w:val="21"/>
          <w:highlight w:val="none"/>
          <w:u w:val="single"/>
        </w:rPr>
        <w:t>（生产厂址）</w:t>
      </w:r>
      <w:r>
        <w:rPr>
          <w:rFonts w:hint="eastAsia" w:hAnsi="宋体"/>
          <w:color w:val="000000"/>
          <w:szCs w:val="21"/>
          <w:highlight w:val="none"/>
        </w:rPr>
        <w:t>。</w:t>
      </w:r>
      <w:r>
        <w:rPr>
          <w:rFonts w:hint="eastAsia" w:hAnsi="宋体"/>
          <w:color w:val="000000"/>
          <w:szCs w:val="21"/>
          <w:highlight w:val="none"/>
          <w:u w:val="single"/>
        </w:rPr>
        <w:t>（产品名称2）</w:t>
      </w:r>
      <w:r>
        <w:rPr>
          <w:rFonts w:hint="eastAsia" w:hAnsi="宋体"/>
          <w:color w:val="000000"/>
          <w:szCs w:val="21"/>
          <w:highlight w:val="none"/>
        </w:rPr>
        <w:t>的中国境内生产的组件成本占比≥（规定比例）。</w:t>
      </w:r>
      <w:r>
        <w:rPr>
          <w:rFonts w:hint="eastAsia" w:hAnsi="宋体"/>
          <w:color w:val="000000"/>
          <w:szCs w:val="21"/>
          <w:highlight w:val="none"/>
          <w:u w:val="single"/>
        </w:rPr>
        <w:t>（产品名称2）</w:t>
      </w:r>
      <w:r>
        <w:rPr>
          <w:rFonts w:hint="eastAsia" w:hAnsi="宋体"/>
          <w:color w:val="000000"/>
          <w:szCs w:val="21"/>
          <w:highlight w:val="none"/>
        </w:rPr>
        <w:t>的</w:t>
      </w:r>
      <w:r>
        <w:rPr>
          <w:rFonts w:hint="eastAsia" w:hAnsi="宋体"/>
          <w:color w:val="000000"/>
          <w:szCs w:val="21"/>
          <w:highlight w:val="none"/>
          <w:u w:val="single"/>
        </w:rPr>
        <w:t>（关键组件）</w:t>
      </w:r>
      <w:r>
        <w:rPr>
          <w:rFonts w:hint="eastAsia" w:hAnsi="宋体"/>
          <w:color w:val="000000"/>
          <w:szCs w:val="21"/>
          <w:highlight w:val="none"/>
        </w:rPr>
        <w:t>在中国境内生产。</w:t>
      </w:r>
      <w:r>
        <w:rPr>
          <w:rFonts w:hint="eastAsia" w:hAnsi="宋体"/>
          <w:color w:val="000000"/>
          <w:szCs w:val="21"/>
          <w:highlight w:val="none"/>
          <w:u w:val="single"/>
        </w:rPr>
        <w:t>（产品名称2）</w:t>
      </w:r>
      <w:r>
        <w:rPr>
          <w:rFonts w:hint="eastAsia" w:hAnsi="宋体"/>
          <w:color w:val="000000"/>
          <w:szCs w:val="21"/>
          <w:highlight w:val="none"/>
        </w:rPr>
        <w:t>的</w:t>
      </w:r>
      <w:r>
        <w:rPr>
          <w:rFonts w:hint="eastAsia" w:hAnsi="宋体"/>
          <w:color w:val="000000"/>
          <w:szCs w:val="21"/>
          <w:highlight w:val="none"/>
          <w:u w:val="single"/>
        </w:rPr>
        <w:t>（关键工序）</w:t>
      </w:r>
      <w:r>
        <w:rPr>
          <w:rFonts w:hint="eastAsia" w:hAnsi="宋体"/>
          <w:color w:val="000000"/>
          <w:szCs w:val="21"/>
          <w:highlight w:val="none"/>
        </w:rPr>
        <w:t>在中国境内完成。</w:t>
      </w:r>
    </w:p>
    <w:p w14:paraId="510822DD">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w:t>
      </w:r>
    </w:p>
    <w:p w14:paraId="4F57ADC0">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本公司（单位）对上述声明内容的真实性负责。如有虚假，愿承担相应法律责任。</w:t>
      </w:r>
    </w:p>
    <w:p w14:paraId="6862229A">
      <w:pPr>
        <w:pStyle w:val="19"/>
        <w:spacing w:line="500" w:lineRule="exact"/>
        <w:ind w:firstLine="210" w:firstLineChars="100"/>
        <w:jc w:val="left"/>
        <w:rPr>
          <w:rFonts w:hAnsi="宋体"/>
          <w:color w:val="000000"/>
          <w:szCs w:val="21"/>
          <w:highlight w:val="none"/>
        </w:rPr>
      </w:pPr>
    </w:p>
    <w:p w14:paraId="51DFDEE9">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公司（单位）名称（盖章）：</w:t>
      </w:r>
      <w:r>
        <w:rPr>
          <w:rFonts w:hAnsi="宋体"/>
          <w:color w:val="000000"/>
          <w:szCs w:val="21"/>
          <w:highlight w:val="none"/>
        </w:rPr>
        <w:t xml:space="preserve"> </w:t>
      </w:r>
    </w:p>
    <w:p w14:paraId="1852F9C9">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 xml:space="preserve">日期： </w:t>
      </w:r>
      <w:r>
        <w:rPr>
          <w:rFonts w:hAnsi="宋体"/>
          <w:color w:val="000000"/>
          <w:szCs w:val="21"/>
          <w:highlight w:val="none"/>
        </w:rPr>
        <w:t xml:space="preserve">           </w:t>
      </w:r>
      <w:r>
        <w:rPr>
          <w:rFonts w:hint="eastAsia" w:hAnsi="宋体"/>
          <w:color w:val="000000"/>
          <w:szCs w:val="21"/>
          <w:highlight w:val="none"/>
        </w:rPr>
        <w:t xml:space="preserve">年 </w:t>
      </w:r>
      <w:r>
        <w:rPr>
          <w:rFonts w:hAnsi="宋体"/>
          <w:color w:val="000000"/>
          <w:szCs w:val="21"/>
          <w:highlight w:val="none"/>
        </w:rPr>
        <w:t xml:space="preserve">    </w:t>
      </w:r>
      <w:r>
        <w:rPr>
          <w:rFonts w:hint="eastAsia" w:hAnsi="宋体"/>
          <w:color w:val="000000"/>
          <w:szCs w:val="21"/>
          <w:highlight w:val="none"/>
        </w:rPr>
        <w:t xml:space="preserve">月 </w:t>
      </w:r>
      <w:r>
        <w:rPr>
          <w:rFonts w:hAnsi="宋体"/>
          <w:color w:val="000000"/>
          <w:szCs w:val="21"/>
          <w:highlight w:val="none"/>
        </w:rPr>
        <w:t xml:space="preserve">    </w:t>
      </w:r>
      <w:r>
        <w:rPr>
          <w:rFonts w:hint="eastAsia" w:hAnsi="宋体"/>
          <w:color w:val="000000"/>
          <w:szCs w:val="21"/>
          <w:highlight w:val="none"/>
        </w:rPr>
        <w:t>日</w:t>
      </w:r>
      <w:r>
        <w:rPr>
          <w:rFonts w:hAnsi="宋体"/>
          <w:color w:val="000000"/>
          <w:szCs w:val="21"/>
          <w:highlight w:val="none"/>
        </w:rPr>
        <w:t xml:space="preserve"> </w:t>
      </w:r>
    </w:p>
    <w:p w14:paraId="30ECAA5B">
      <w:pPr>
        <w:pStyle w:val="19"/>
        <w:spacing w:line="500" w:lineRule="exact"/>
        <w:ind w:firstLine="210" w:firstLineChars="100"/>
        <w:jc w:val="left"/>
        <w:rPr>
          <w:rFonts w:hAnsi="宋体"/>
          <w:color w:val="000000"/>
          <w:szCs w:val="21"/>
          <w:highlight w:val="none"/>
        </w:rPr>
      </w:pPr>
    </w:p>
    <w:p w14:paraId="23B0E0FC">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1.产品如有型号，请在“产品名称”栏一并填写。</w:t>
      </w:r>
    </w:p>
    <w:p w14:paraId="39415847">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2.生产厂名与厂址应与生产厂营业执照载明的相关信息保持一致。</w:t>
      </w:r>
    </w:p>
    <w:p w14:paraId="6B47F7C6">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3.该产品的中国境内生产的组件成本占比相关要求实施前，“规定比例”栏可不填，下同。</w:t>
      </w:r>
    </w:p>
    <w:p w14:paraId="42EEAF65">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4.该产品的关键组件要求实施前，“关键组件”栏可不填，下同。</w:t>
      </w:r>
    </w:p>
    <w:p w14:paraId="25419CA5">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5.该产品的关键工序要求实施前，“关键工序”栏可不填，下同。</w:t>
      </w:r>
    </w:p>
    <w:p w14:paraId="57127025">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6.当采购项目或者采购包中含有多种产品，应当逐项填写。</w:t>
      </w:r>
    </w:p>
    <w:p w14:paraId="64B49E20">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7.服务采购项目中涉及的货物，也应按本函格式，逐项填写。</w:t>
      </w:r>
    </w:p>
    <w:p w14:paraId="51BE2F98">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8.招标代理机构将随中标、成交结果同时公告中标、成交供应商提供的《声明函》或有关证明文件，请各投标人如实进行声明。</w:t>
      </w:r>
    </w:p>
    <w:p w14:paraId="00C7B863">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9.供应商提供虚假《声明函》、虚假证明文件谋取中标、成交的，依照《中华人民共和国政府采购法》等法律法规规定追究相应责任。</w:t>
      </w:r>
    </w:p>
    <w:p w14:paraId="40A3F9EF">
      <w:pPr>
        <w:spacing w:line="600" w:lineRule="exact"/>
        <w:rPr>
          <w:rFonts w:asciiTheme="minorEastAsia" w:hAnsiTheme="minorEastAsia"/>
          <w:b/>
          <w:sz w:val="28"/>
          <w:szCs w:val="28"/>
          <w:highlight w:val="none"/>
        </w:rPr>
      </w:pPr>
      <w:r>
        <w:rPr>
          <w:rFonts w:hint="eastAsia" w:hAnsi="宋体"/>
          <w:color w:val="000000"/>
          <w:szCs w:val="21"/>
          <w:highlight w:val="none"/>
        </w:rPr>
        <w:t>10. 若供应商认为提供的货物不符合本国产品标准，可以不填写声明函，不享受价格折扣政策。</w:t>
      </w:r>
      <w:r>
        <w:rPr>
          <w:rFonts w:hAnsi="宋体"/>
          <w:b/>
          <w:color w:val="000000"/>
          <w:szCs w:val="21"/>
          <w:highlight w:val="none"/>
        </w:rPr>
        <w:br w:type="page"/>
      </w:r>
      <w:r>
        <w:rPr>
          <w:rFonts w:hint="eastAsia" w:asciiTheme="minorEastAsia" w:hAnsiTheme="minorEastAsia"/>
          <w:b/>
          <w:sz w:val="28"/>
          <w:szCs w:val="28"/>
          <w:highlight w:val="none"/>
        </w:rPr>
        <w:t>格式5-</w:t>
      </w:r>
      <w:r>
        <w:rPr>
          <w:rFonts w:hint="eastAsia" w:asciiTheme="minorEastAsia" w:hAnsiTheme="minorEastAsia"/>
          <w:b/>
          <w:sz w:val="28"/>
          <w:szCs w:val="28"/>
          <w:highlight w:val="none"/>
          <w:lang w:val="en-US" w:eastAsia="zh-CN"/>
        </w:rPr>
        <w:t>3</w:t>
      </w:r>
      <w:r>
        <w:rPr>
          <w:rFonts w:hint="eastAsia" w:asciiTheme="minorEastAsia" w:hAnsiTheme="minorEastAsia"/>
          <w:b/>
          <w:sz w:val="28"/>
          <w:szCs w:val="28"/>
          <w:highlight w:val="none"/>
        </w:rPr>
        <w:t>：</w:t>
      </w:r>
    </w:p>
    <w:p w14:paraId="04497430">
      <w:pPr>
        <w:spacing w:line="600" w:lineRule="exact"/>
        <w:rPr>
          <w:rFonts w:hAnsi="宋体"/>
          <w:b/>
          <w:color w:val="000000"/>
          <w:sz w:val="28"/>
          <w:szCs w:val="28"/>
          <w:highlight w:val="none"/>
        </w:rPr>
      </w:pPr>
    </w:p>
    <w:p w14:paraId="587B7E6D">
      <w:pPr>
        <w:spacing w:line="360" w:lineRule="auto"/>
        <w:jc w:val="center"/>
        <w:outlineLvl w:val="2"/>
        <w:rPr>
          <w:rFonts w:asciiTheme="minorEastAsia" w:hAnsiTheme="minorEastAsia"/>
          <w:b/>
          <w:bCs/>
          <w:sz w:val="28"/>
          <w:szCs w:val="36"/>
          <w:highlight w:val="none"/>
        </w:rPr>
      </w:pPr>
      <w:r>
        <w:rPr>
          <w:rFonts w:hint="eastAsia" w:asciiTheme="minorEastAsia" w:hAnsiTheme="minorEastAsia"/>
          <w:b/>
          <w:bCs/>
          <w:sz w:val="28"/>
          <w:szCs w:val="36"/>
          <w:highlight w:val="none"/>
        </w:rPr>
        <w:t>本国产品支持政策价格评审优惠声明函</w:t>
      </w:r>
    </w:p>
    <w:p w14:paraId="004113C5">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2FB77638">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本公司（单位）郑重声明：符合本国产品标准的产品成本之和占该我公司提供的全部产品成本之和的比例达到80%，具体内容如下：</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6090"/>
      </w:tblGrid>
      <w:tr w14:paraId="2019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52" w:type="dxa"/>
            <w:vAlign w:val="center"/>
          </w:tcPr>
          <w:p w14:paraId="70608453">
            <w:pPr>
              <w:pStyle w:val="32"/>
              <w:shd w:val="clear" w:color="auto" w:fill="FFFFFF"/>
              <w:spacing w:before="20" w:beforeAutospacing="0" w:after="20" w:afterAutospacing="0"/>
              <w:jc w:val="center"/>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项目名称</w:t>
            </w:r>
          </w:p>
        </w:tc>
        <w:tc>
          <w:tcPr>
            <w:tcW w:w="6090" w:type="dxa"/>
            <w:vAlign w:val="center"/>
          </w:tcPr>
          <w:p w14:paraId="2D1FC2B7">
            <w:pPr>
              <w:pStyle w:val="32"/>
              <w:shd w:val="clear" w:color="auto" w:fill="FFFFFF"/>
              <w:spacing w:before="20" w:beforeAutospacing="0" w:after="20" w:afterAutospacing="0"/>
              <w:jc w:val="center"/>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符合本国产品标准的产品成本之和占全部产品成本之和的比例（%）</w:t>
            </w:r>
          </w:p>
        </w:tc>
      </w:tr>
      <w:tr w14:paraId="6326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952" w:type="dxa"/>
          </w:tcPr>
          <w:p w14:paraId="271BD6BF">
            <w:pPr>
              <w:pStyle w:val="32"/>
              <w:spacing w:before="20" w:beforeAutospacing="0" w:after="20" w:afterAutospacing="0" w:line="360" w:lineRule="auto"/>
              <w:jc w:val="center"/>
              <w:textAlignment w:val="baseline"/>
              <w:rPr>
                <w:rFonts w:cs="宋体"/>
                <w:color w:val="000000"/>
                <w:sz w:val="21"/>
                <w:szCs w:val="21"/>
                <w:highlight w:val="none"/>
                <w:shd w:val="clear" w:color="auto" w:fill="FFFFFF"/>
              </w:rPr>
            </w:pPr>
          </w:p>
        </w:tc>
        <w:tc>
          <w:tcPr>
            <w:tcW w:w="6090" w:type="dxa"/>
          </w:tcPr>
          <w:p w14:paraId="3FB72231">
            <w:pPr>
              <w:pStyle w:val="32"/>
              <w:spacing w:before="20" w:beforeAutospacing="0" w:after="20" w:afterAutospacing="0" w:line="360" w:lineRule="auto"/>
              <w:jc w:val="center"/>
              <w:textAlignment w:val="baseline"/>
              <w:rPr>
                <w:rFonts w:cs="宋体"/>
                <w:color w:val="000000"/>
                <w:sz w:val="21"/>
                <w:szCs w:val="21"/>
                <w:highlight w:val="none"/>
                <w:shd w:val="clear" w:color="auto" w:fill="FFFFFF"/>
              </w:rPr>
            </w:pPr>
          </w:p>
        </w:tc>
      </w:tr>
    </w:tbl>
    <w:p w14:paraId="788D3E34">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本公司（单位）对上述声明内容的真实性负责。如有虚假，愿承担相应法律责任。</w:t>
      </w:r>
    </w:p>
    <w:p w14:paraId="640D8CBF">
      <w:pPr>
        <w:pStyle w:val="19"/>
        <w:spacing w:line="500" w:lineRule="exact"/>
        <w:ind w:firstLine="210" w:firstLineChars="100"/>
        <w:jc w:val="left"/>
        <w:rPr>
          <w:rFonts w:hAnsi="宋体"/>
          <w:color w:val="000000"/>
          <w:szCs w:val="21"/>
          <w:highlight w:val="none"/>
        </w:rPr>
      </w:pPr>
    </w:p>
    <w:p w14:paraId="447E3C48">
      <w:pPr>
        <w:pStyle w:val="19"/>
        <w:spacing w:line="500" w:lineRule="exact"/>
        <w:ind w:firstLine="210" w:firstLineChars="100"/>
        <w:jc w:val="left"/>
        <w:rPr>
          <w:rFonts w:hAnsi="宋体"/>
          <w:color w:val="000000"/>
          <w:szCs w:val="21"/>
          <w:highlight w:val="none"/>
        </w:rPr>
      </w:pPr>
    </w:p>
    <w:p w14:paraId="0DFDE04B">
      <w:pPr>
        <w:pStyle w:val="19"/>
        <w:spacing w:line="500" w:lineRule="exact"/>
        <w:ind w:firstLine="210" w:firstLineChars="100"/>
        <w:jc w:val="left"/>
        <w:rPr>
          <w:rFonts w:hAnsi="宋体"/>
          <w:color w:val="000000"/>
          <w:szCs w:val="21"/>
          <w:highlight w:val="none"/>
        </w:rPr>
      </w:pPr>
    </w:p>
    <w:p w14:paraId="77224FCC">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投标人：                                   （电子签章）</w:t>
      </w:r>
    </w:p>
    <w:p w14:paraId="6FC8AAE0">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法定代表人或其委托代理人：               （电子签名）</w:t>
      </w:r>
    </w:p>
    <w:p w14:paraId="662AE4EF">
      <w:pPr>
        <w:pStyle w:val="19"/>
        <w:spacing w:line="500" w:lineRule="exact"/>
        <w:ind w:firstLine="210" w:firstLineChars="100"/>
        <w:jc w:val="left"/>
        <w:rPr>
          <w:rFonts w:hAnsi="宋体"/>
          <w:color w:val="000000"/>
          <w:szCs w:val="21"/>
          <w:highlight w:val="none"/>
        </w:rPr>
      </w:pPr>
      <w:r>
        <w:rPr>
          <w:rFonts w:hint="eastAsia" w:hAnsi="宋体"/>
          <w:color w:val="000000"/>
          <w:szCs w:val="21"/>
          <w:highlight w:val="none"/>
        </w:rPr>
        <w:t>日期：            年       月       日</w:t>
      </w:r>
    </w:p>
    <w:p w14:paraId="7E27CE1B">
      <w:pPr>
        <w:pStyle w:val="19"/>
        <w:spacing w:line="500" w:lineRule="exact"/>
        <w:ind w:firstLine="210" w:firstLineChars="100"/>
        <w:jc w:val="left"/>
        <w:rPr>
          <w:rFonts w:hAnsi="宋体"/>
          <w:b/>
          <w:color w:val="000000"/>
          <w:szCs w:val="21"/>
          <w:highlight w:val="none"/>
        </w:rPr>
      </w:pPr>
    </w:p>
    <w:p w14:paraId="62D60D73">
      <w:pPr>
        <w:pStyle w:val="19"/>
        <w:spacing w:line="500" w:lineRule="exact"/>
        <w:ind w:firstLine="210" w:firstLineChars="100"/>
        <w:jc w:val="left"/>
        <w:rPr>
          <w:rFonts w:hAnsi="宋体"/>
          <w:b/>
          <w:color w:val="000000"/>
          <w:szCs w:val="21"/>
          <w:highlight w:val="none"/>
        </w:rPr>
      </w:pPr>
    </w:p>
    <w:p w14:paraId="6CE8338B">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以下内容仅为示例，各投标人编制投标文件时，请按投标项目实际情况，按上表格式填写。</w:t>
      </w:r>
    </w:p>
    <w:p w14:paraId="6EE1036B">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示例1：投标人A参加某货物采购项目，投标报价总价为X万元，其中包含n（n＞1）种货物，符合本国产品标准的产品成本之和占该供应商提供的全部产品成本之和的比例为82%。则本表应当填写为：</w:t>
      </w:r>
    </w:p>
    <w:p w14:paraId="6F33B672">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本公司（单位）郑重声明：符合本国产品标准的产品成本之和占该我公司提供的全部产品成本之和的比例达到80%，具体内容如下：</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6333"/>
      </w:tblGrid>
      <w:tr w14:paraId="44A8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52" w:type="dxa"/>
            <w:vAlign w:val="center"/>
          </w:tcPr>
          <w:p w14:paraId="04B84D62">
            <w:pPr>
              <w:pStyle w:val="32"/>
              <w:shd w:val="clear" w:color="auto" w:fill="FFFFFF"/>
              <w:spacing w:before="20" w:beforeAutospacing="0" w:after="20" w:afterAutospacing="0"/>
              <w:jc w:val="center"/>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项目名称</w:t>
            </w:r>
          </w:p>
        </w:tc>
        <w:tc>
          <w:tcPr>
            <w:tcW w:w="6333" w:type="dxa"/>
            <w:vAlign w:val="center"/>
          </w:tcPr>
          <w:p w14:paraId="5FF58253">
            <w:pPr>
              <w:pStyle w:val="32"/>
              <w:shd w:val="clear" w:color="auto" w:fill="FFFFFF"/>
              <w:spacing w:before="20" w:beforeAutospacing="0" w:after="20" w:afterAutospacing="0"/>
              <w:jc w:val="center"/>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符合本国产品标准的产品成本之和占全部产品成本之和的比例（%）</w:t>
            </w:r>
          </w:p>
        </w:tc>
      </w:tr>
      <w:tr w14:paraId="1D51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952" w:type="dxa"/>
          </w:tcPr>
          <w:p w14:paraId="4CC273AC">
            <w:pPr>
              <w:pStyle w:val="32"/>
              <w:spacing w:before="20" w:beforeAutospacing="0" w:after="20" w:afterAutospacing="0" w:line="360" w:lineRule="auto"/>
              <w:jc w:val="center"/>
              <w:textAlignment w:val="baseline"/>
              <w:rPr>
                <w:rFonts w:cs="宋体"/>
                <w:color w:val="000000"/>
                <w:sz w:val="21"/>
                <w:szCs w:val="21"/>
                <w:highlight w:val="none"/>
                <w:shd w:val="clear" w:color="auto" w:fill="FFFFFF"/>
              </w:rPr>
            </w:pPr>
            <w:r>
              <w:rPr>
                <w:rFonts w:hint="eastAsia" w:cs="宋体"/>
                <w:color w:val="000000"/>
                <w:sz w:val="21"/>
                <w:szCs w:val="21"/>
                <w:highlight w:val="none"/>
                <w:shd w:val="clear" w:color="auto" w:fill="FFFFFF"/>
              </w:rPr>
              <w:t>**采购项目</w:t>
            </w:r>
          </w:p>
        </w:tc>
        <w:tc>
          <w:tcPr>
            <w:tcW w:w="6333" w:type="dxa"/>
          </w:tcPr>
          <w:p w14:paraId="002DD875">
            <w:pPr>
              <w:pStyle w:val="32"/>
              <w:spacing w:before="20" w:beforeAutospacing="0" w:after="20" w:afterAutospacing="0" w:line="360" w:lineRule="auto"/>
              <w:jc w:val="center"/>
              <w:textAlignment w:val="baseline"/>
              <w:rPr>
                <w:rFonts w:cs="宋体"/>
                <w:color w:val="000000"/>
                <w:sz w:val="21"/>
                <w:szCs w:val="21"/>
                <w:highlight w:val="none"/>
                <w:shd w:val="clear" w:color="auto" w:fill="FFFFFF"/>
              </w:rPr>
            </w:pPr>
            <w:r>
              <w:rPr>
                <w:rFonts w:cs="宋体"/>
                <w:color w:val="000000"/>
                <w:sz w:val="21"/>
                <w:szCs w:val="21"/>
                <w:highlight w:val="none"/>
                <w:shd w:val="clear" w:color="auto" w:fill="FFFFFF"/>
              </w:rPr>
              <w:t>82%</w:t>
            </w:r>
          </w:p>
        </w:tc>
      </w:tr>
    </w:tbl>
    <w:p w14:paraId="7E67ED51">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本公司（单位）对上述声明内容的真实性负责。如有虚假，愿承担相应法律责任。</w:t>
      </w:r>
    </w:p>
    <w:p w14:paraId="5C916DA7">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投标人：                                   （电子签章）</w:t>
      </w:r>
    </w:p>
    <w:p w14:paraId="22492D2B">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法定代表人或其委托代理人：               （电子签名）</w:t>
      </w:r>
    </w:p>
    <w:p w14:paraId="6AEB09E3">
      <w:pPr>
        <w:pStyle w:val="19"/>
        <w:spacing w:line="500" w:lineRule="exact"/>
        <w:ind w:firstLine="210" w:firstLineChars="100"/>
        <w:jc w:val="left"/>
        <w:rPr>
          <w:rFonts w:hAnsi="宋体"/>
          <w:b/>
          <w:color w:val="000000"/>
          <w:szCs w:val="21"/>
          <w:highlight w:val="none"/>
        </w:rPr>
      </w:pPr>
      <w:r>
        <w:rPr>
          <w:rFonts w:hint="eastAsia" w:hAnsi="宋体"/>
          <w:b/>
          <w:color w:val="000000"/>
          <w:szCs w:val="21"/>
          <w:highlight w:val="none"/>
        </w:rPr>
        <w:t>日期：            年       月       日</w:t>
      </w:r>
    </w:p>
    <w:p w14:paraId="0667DCE2">
      <w:pPr>
        <w:rPr>
          <w:highlight w:val="none"/>
        </w:rPr>
      </w:pPr>
      <w:r>
        <w:rPr>
          <w:rFonts w:hint="eastAsia" w:hAnsi="宋体"/>
          <w:color w:val="000000"/>
          <w:szCs w:val="21"/>
          <w:highlight w:val="none"/>
        </w:rPr>
        <w:t>上述示例数据中，（1）大于80%，对该供应商提供的全部产品总报价给予20%的价格扣除，即:X*20%万元。</w:t>
      </w:r>
    </w:p>
    <w:p w14:paraId="6462057D">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w:t>
      </w:r>
      <w:r>
        <w:rPr>
          <w:rFonts w:hint="eastAsia" w:ascii="宋体" w:hAnsi="宋体" w:cs="宋体"/>
          <w:b/>
          <w:color w:val="000000" w:themeColor="text1"/>
          <w:sz w:val="28"/>
          <w:szCs w:val="28"/>
          <w:highlight w:val="none"/>
          <w:lang w:val="en-US" w:eastAsia="zh-CN"/>
          <w14:textFill>
            <w14:solidFill>
              <w14:schemeClr w14:val="tx1"/>
            </w14:solidFill>
          </w14:textFill>
        </w:rPr>
        <w:t>6</w:t>
      </w:r>
      <w:r>
        <w:rPr>
          <w:rFonts w:hint="eastAsia" w:ascii="宋体" w:hAnsi="宋体" w:cs="宋体"/>
          <w:b/>
          <w:color w:val="000000" w:themeColor="text1"/>
          <w:sz w:val="28"/>
          <w:szCs w:val="28"/>
          <w:highlight w:val="none"/>
          <w14:textFill>
            <w14:solidFill>
              <w14:schemeClr w14:val="tx1"/>
            </w14:solidFill>
          </w14:textFill>
        </w:rPr>
        <w:t>：</w:t>
      </w:r>
    </w:p>
    <w:p w14:paraId="6E612779">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69" w:name="_Toc31009"/>
      <w:bookmarkStart w:id="70" w:name="_Toc213141100"/>
      <w:r>
        <w:rPr>
          <w:rFonts w:hint="eastAsia" w:ascii="宋体" w:hAnsi="宋体" w:eastAsia="宋体" w:cs="宋体"/>
          <w:color w:val="000000" w:themeColor="text1"/>
          <w:szCs w:val="28"/>
          <w:highlight w:val="none"/>
          <w14:textFill>
            <w14:solidFill>
              <w14:schemeClr w14:val="tx1"/>
            </w14:solidFill>
          </w14:textFill>
        </w:rPr>
        <w:t>商务条款偏离表</w:t>
      </w:r>
      <w:bookmarkEnd w:id="69"/>
      <w:bookmarkEnd w:id="70"/>
    </w:p>
    <w:p w14:paraId="1D6E3FAF">
      <w:pPr>
        <w:pStyle w:val="19"/>
        <w:spacing w:line="400" w:lineRule="exact"/>
        <w:ind w:left="420" w:firstLine="4" w:firstLineChars="2"/>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投标人须逐条对应招标文件中要求的商务条款，认真填写本表。</w:t>
      </w:r>
    </w:p>
    <w:p w14:paraId="518BF535">
      <w:pPr>
        <w:pStyle w:val="19"/>
        <w:spacing w:line="400" w:lineRule="exact"/>
        <w:ind w:left="420" w:firstLine="4" w:firstLineChars="2"/>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商务条款是指：本项目中要求的服务期限、服务地点、</w:t>
      </w:r>
      <w:r>
        <w:rPr>
          <w:rFonts w:hint="eastAsia" w:hAnsi="宋体" w:cs="宋体"/>
          <w:b/>
          <w:color w:val="000000" w:themeColor="text1"/>
          <w:sz w:val="24"/>
          <w:szCs w:val="24"/>
          <w:highlight w:val="none"/>
          <w:lang w:val="en-US" w:eastAsia="zh-CN"/>
          <w14:textFill>
            <w14:solidFill>
              <w14:schemeClr w14:val="tx1"/>
            </w14:solidFill>
          </w14:textFill>
        </w:rPr>
        <w:t>质保期、</w:t>
      </w:r>
      <w:r>
        <w:rPr>
          <w:rFonts w:hint="eastAsia" w:hAnsi="宋体" w:cs="宋体"/>
          <w:b/>
          <w:color w:val="000000" w:themeColor="text1"/>
          <w:sz w:val="24"/>
          <w:szCs w:val="24"/>
          <w:highlight w:val="none"/>
          <w14:textFill>
            <w14:solidFill>
              <w14:schemeClr w14:val="tx1"/>
            </w14:solidFill>
          </w14:textFill>
        </w:rPr>
        <w:t>定价方式、付款方式等。</w:t>
      </w:r>
    </w:p>
    <w:p w14:paraId="6A31946D">
      <w:pPr>
        <w:pStyle w:val="19"/>
        <w:rPr>
          <w:rFonts w:hAnsi="宋体" w:cs="宋体"/>
          <w:b/>
          <w:color w:val="000000" w:themeColor="text1"/>
          <w:sz w:val="24"/>
          <w:szCs w:val="24"/>
          <w:highlight w:val="none"/>
          <w14:textFill>
            <w14:solidFill>
              <w14:schemeClr w14:val="tx1"/>
            </w14:solidFill>
          </w14:textFill>
        </w:rPr>
      </w:pPr>
    </w:p>
    <w:p w14:paraId="7BCAE873">
      <w:pPr>
        <w:pStyle w:val="19"/>
        <w:rPr>
          <w:rFonts w:hAnsi="宋体" w:cs="宋体"/>
          <w:b/>
          <w:color w:val="000000" w:themeColor="text1"/>
          <w:szCs w:val="21"/>
          <w:highlight w:val="none"/>
          <w:u w:val="singl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招标编号：</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r>
        <w:rPr>
          <w:rFonts w:hint="eastAsia" w:hAnsi="宋体" w:cs="宋体"/>
          <w:b/>
          <w:color w:val="000000" w:themeColor="text1"/>
          <w:szCs w:val="21"/>
          <w:highlight w:val="none"/>
          <w14:textFill>
            <w14:solidFill>
              <w14:schemeClr w14:val="tx1"/>
            </w14:solidFill>
          </w14:textFill>
        </w:rPr>
        <w:t xml:space="preserve"> </w:t>
      </w:r>
    </w:p>
    <w:tbl>
      <w:tblPr>
        <w:tblStyle w:val="35"/>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067"/>
        <w:gridCol w:w="2589"/>
        <w:gridCol w:w="2417"/>
        <w:gridCol w:w="1586"/>
        <w:gridCol w:w="1577"/>
      </w:tblGrid>
      <w:tr w14:paraId="738D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Align w:val="center"/>
          </w:tcPr>
          <w:p w14:paraId="6729F3F0">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序号</w:t>
            </w:r>
          </w:p>
        </w:tc>
        <w:tc>
          <w:tcPr>
            <w:tcW w:w="1067" w:type="dxa"/>
            <w:vAlign w:val="center"/>
          </w:tcPr>
          <w:p w14:paraId="7281D9A0">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招标文件页码及条目号</w:t>
            </w:r>
          </w:p>
        </w:tc>
        <w:tc>
          <w:tcPr>
            <w:tcW w:w="2589" w:type="dxa"/>
            <w:vAlign w:val="center"/>
          </w:tcPr>
          <w:p w14:paraId="71C709EA">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招标文件的商务条款</w:t>
            </w:r>
          </w:p>
        </w:tc>
        <w:tc>
          <w:tcPr>
            <w:tcW w:w="2417" w:type="dxa"/>
            <w:vAlign w:val="center"/>
          </w:tcPr>
          <w:p w14:paraId="50B18C86">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投标文件的商务条款</w:t>
            </w:r>
          </w:p>
        </w:tc>
        <w:tc>
          <w:tcPr>
            <w:tcW w:w="1586" w:type="dxa"/>
            <w:vAlign w:val="center"/>
          </w:tcPr>
          <w:p w14:paraId="2F8BE257">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响应情况说明</w:t>
            </w:r>
          </w:p>
        </w:tc>
        <w:tc>
          <w:tcPr>
            <w:tcW w:w="1577" w:type="dxa"/>
            <w:vAlign w:val="center"/>
          </w:tcPr>
          <w:p w14:paraId="78CD3422">
            <w:pPr>
              <w:pStyle w:val="19"/>
              <w:jc w:val="center"/>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商务条件支持资料索引</w:t>
            </w:r>
          </w:p>
          <w:p w14:paraId="1B1B6F39">
            <w:pPr>
              <w:pStyle w:val="19"/>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（页码及条目号等）</w:t>
            </w:r>
          </w:p>
        </w:tc>
      </w:tr>
      <w:tr w14:paraId="38D7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6EE7C2FB">
            <w:pPr>
              <w:pStyle w:val="19"/>
              <w:rPr>
                <w:rFonts w:hAnsi="宋体" w:cs="宋体"/>
                <w:color w:val="000000" w:themeColor="text1"/>
                <w:szCs w:val="21"/>
                <w:highlight w:val="none"/>
                <w14:textFill>
                  <w14:solidFill>
                    <w14:schemeClr w14:val="tx1"/>
                  </w14:solidFill>
                </w14:textFill>
              </w:rPr>
            </w:pPr>
          </w:p>
        </w:tc>
        <w:tc>
          <w:tcPr>
            <w:tcW w:w="1067" w:type="dxa"/>
          </w:tcPr>
          <w:p w14:paraId="05AA0A14">
            <w:pPr>
              <w:pStyle w:val="19"/>
              <w:rPr>
                <w:rFonts w:hAnsi="宋体" w:cs="宋体"/>
                <w:color w:val="000000" w:themeColor="text1"/>
                <w:szCs w:val="21"/>
                <w:highlight w:val="none"/>
                <w14:textFill>
                  <w14:solidFill>
                    <w14:schemeClr w14:val="tx1"/>
                  </w14:solidFill>
                </w14:textFill>
              </w:rPr>
            </w:pPr>
          </w:p>
        </w:tc>
        <w:tc>
          <w:tcPr>
            <w:tcW w:w="2589" w:type="dxa"/>
          </w:tcPr>
          <w:p w14:paraId="2352748B">
            <w:pPr>
              <w:pStyle w:val="19"/>
              <w:rPr>
                <w:rFonts w:hAnsi="宋体" w:cs="宋体"/>
                <w:color w:val="000000" w:themeColor="text1"/>
                <w:szCs w:val="21"/>
                <w:highlight w:val="none"/>
                <w14:textFill>
                  <w14:solidFill>
                    <w14:schemeClr w14:val="tx1"/>
                  </w14:solidFill>
                </w14:textFill>
              </w:rPr>
            </w:pPr>
          </w:p>
        </w:tc>
        <w:tc>
          <w:tcPr>
            <w:tcW w:w="2417" w:type="dxa"/>
          </w:tcPr>
          <w:p w14:paraId="15AC220D">
            <w:pPr>
              <w:pStyle w:val="19"/>
              <w:rPr>
                <w:rFonts w:hAnsi="宋体" w:cs="宋体"/>
                <w:color w:val="000000" w:themeColor="text1"/>
                <w:szCs w:val="21"/>
                <w:highlight w:val="none"/>
                <w14:textFill>
                  <w14:solidFill>
                    <w14:schemeClr w14:val="tx1"/>
                  </w14:solidFill>
                </w14:textFill>
              </w:rPr>
            </w:pPr>
          </w:p>
        </w:tc>
        <w:tc>
          <w:tcPr>
            <w:tcW w:w="1586" w:type="dxa"/>
          </w:tcPr>
          <w:p w14:paraId="09A13A9C">
            <w:pPr>
              <w:pStyle w:val="19"/>
              <w:rPr>
                <w:rFonts w:hAnsi="宋体" w:cs="宋体"/>
                <w:color w:val="000000" w:themeColor="text1"/>
                <w:szCs w:val="21"/>
                <w:highlight w:val="none"/>
                <w14:textFill>
                  <w14:solidFill>
                    <w14:schemeClr w14:val="tx1"/>
                  </w14:solidFill>
                </w14:textFill>
              </w:rPr>
            </w:pPr>
          </w:p>
        </w:tc>
        <w:tc>
          <w:tcPr>
            <w:tcW w:w="1577" w:type="dxa"/>
          </w:tcPr>
          <w:p w14:paraId="28B0CEC7">
            <w:pPr>
              <w:pStyle w:val="19"/>
              <w:rPr>
                <w:rFonts w:hAnsi="宋体" w:cs="宋体"/>
                <w:color w:val="000000" w:themeColor="text1"/>
                <w:szCs w:val="21"/>
                <w:highlight w:val="none"/>
                <w14:textFill>
                  <w14:solidFill>
                    <w14:schemeClr w14:val="tx1"/>
                  </w14:solidFill>
                </w14:textFill>
              </w:rPr>
            </w:pPr>
          </w:p>
        </w:tc>
      </w:tr>
      <w:tr w14:paraId="1952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61F61166">
            <w:pPr>
              <w:pStyle w:val="19"/>
              <w:rPr>
                <w:rFonts w:hAnsi="宋体" w:cs="宋体"/>
                <w:color w:val="000000" w:themeColor="text1"/>
                <w:szCs w:val="21"/>
                <w:highlight w:val="none"/>
                <w14:textFill>
                  <w14:solidFill>
                    <w14:schemeClr w14:val="tx1"/>
                  </w14:solidFill>
                </w14:textFill>
              </w:rPr>
            </w:pPr>
          </w:p>
        </w:tc>
        <w:tc>
          <w:tcPr>
            <w:tcW w:w="1067" w:type="dxa"/>
          </w:tcPr>
          <w:p w14:paraId="50B8B114">
            <w:pPr>
              <w:pStyle w:val="19"/>
              <w:rPr>
                <w:rFonts w:hAnsi="宋体" w:cs="宋体"/>
                <w:color w:val="000000" w:themeColor="text1"/>
                <w:szCs w:val="21"/>
                <w:highlight w:val="none"/>
                <w14:textFill>
                  <w14:solidFill>
                    <w14:schemeClr w14:val="tx1"/>
                  </w14:solidFill>
                </w14:textFill>
              </w:rPr>
            </w:pPr>
          </w:p>
        </w:tc>
        <w:tc>
          <w:tcPr>
            <w:tcW w:w="2589" w:type="dxa"/>
          </w:tcPr>
          <w:p w14:paraId="3C7D98F0">
            <w:pPr>
              <w:pStyle w:val="19"/>
              <w:rPr>
                <w:rFonts w:hAnsi="宋体" w:cs="宋体"/>
                <w:color w:val="000000" w:themeColor="text1"/>
                <w:szCs w:val="21"/>
                <w:highlight w:val="none"/>
                <w14:textFill>
                  <w14:solidFill>
                    <w14:schemeClr w14:val="tx1"/>
                  </w14:solidFill>
                </w14:textFill>
              </w:rPr>
            </w:pPr>
          </w:p>
        </w:tc>
        <w:tc>
          <w:tcPr>
            <w:tcW w:w="2417" w:type="dxa"/>
          </w:tcPr>
          <w:p w14:paraId="061CA0E4">
            <w:pPr>
              <w:pStyle w:val="19"/>
              <w:rPr>
                <w:rFonts w:hAnsi="宋体" w:cs="宋体"/>
                <w:color w:val="000000" w:themeColor="text1"/>
                <w:szCs w:val="21"/>
                <w:highlight w:val="none"/>
                <w14:textFill>
                  <w14:solidFill>
                    <w14:schemeClr w14:val="tx1"/>
                  </w14:solidFill>
                </w14:textFill>
              </w:rPr>
            </w:pPr>
          </w:p>
        </w:tc>
        <w:tc>
          <w:tcPr>
            <w:tcW w:w="1586" w:type="dxa"/>
          </w:tcPr>
          <w:p w14:paraId="09A98B3A">
            <w:pPr>
              <w:pStyle w:val="19"/>
              <w:rPr>
                <w:rFonts w:hAnsi="宋体" w:cs="宋体"/>
                <w:color w:val="000000" w:themeColor="text1"/>
                <w:szCs w:val="21"/>
                <w:highlight w:val="none"/>
                <w14:textFill>
                  <w14:solidFill>
                    <w14:schemeClr w14:val="tx1"/>
                  </w14:solidFill>
                </w14:textFill>
              </w:rPr>
            </w:pPr>
          </w:p>
        </w:tc>
        <w:tc>
          <w:tcPr>
            <w:tcW w:w="1577" w:type="dxa"/>
          </w:tcPr>
          <w:p w14:paraId="04F85490">
            <w:pPr>
              <w:pStyle w:val="19"/>
              <w:rPr>
                <w:rFonts w:hAnsi="宋体" w:cs="宋体"/>
                <w:color w:val="000000" w:themeColor="text1"/>
                <w:szCs w:val="21"/>
                <w:highlight w:val="none"/>
                <w14:textFill>
                  <w14:solidFill>
                    <w14:schemeClr w14:val="tx1"/>
                  </w14:solidFill>
                </w14:textFill>
              </w:rPr>
            </w:pPr>
          </w:p>
        </w:tc>
      </w:tr>
      <w:tr w14:paraId="53F0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6F86893F">
            <w:pPr>
              <w:pStyle w:val="19"/>
              <w:rPr>
                <w:rFonts w:hAnsi="宋体" w:cs="宋体"/>
                <w:color w:val="000000" w:themeColor="text1"/>
                <w:szCs w:val="21"/>
                <w:highlight w:val="none"/>
                <w14:textFill>
                  <w14:solidFill>
                    <w14:schemeClr w14:val="tx1"/>
                  </w14:solidFill>
                </w14:textFill>
              </w:rPr>
            </w:pPr>
          </w:p>
        </w:tc>
        <w:tc>
          <w:tcPr>
            <w:tcW w:w="1067" w:type="dxa"/>
          </w:tcPr>
          <w:p w14:paraId="688D6282">
            <w:pPr>
              <w:pStyle w:val="19"/>
              <w:rPr>
                <w:rFonts w:hAnsi="宋体" w:cs="宋体"/>
                <w:color w:val="000000" w:themeColor="text1"/>
                <w:szCs w:val="21"/>
                <w:highlight w:val="none"/>
                <w14:textFill>
                  <w14:solidFill>
                    <w14:schemeClr w14:val="tx1"/>
                  </w14:solidFill>
                </w14:textFill>
              </w:rPr>
            </w:pPr>
          </w:p>
        </w:tc>
        <w:tc>
          <w:tcPr>
            <w:tcW w:w="2589" w:type="dxa"/>
          </w:tcPr>
          <w:p w14:paraId="31ED2D86">
            <w:pPr>
              <w:pStyle w:val="19"/>
              <w:rPr>
                <w:rFonts w:hAnsi="宋体" w:cs="宋体"/>
                <w:color w:val="000000" w:themeColor="text1"/>
                <w:szCs w:val="21"/>
                <w:highlight w:val="none"/>
                <w14:textFill>
                  <w14:solidFill>
                    <w14:schemeClr w14:val="tx1"/>
                  </w14:solidFill>
                </w14:textFill>
              </w:rPr>
            </w:pPr>
          </w:p>
        </w:tc>
        <w:tc>
          <w:tcPr>
            <w:tcW w:w="2417" w:type="dxa"/>
          </w:tcPr>
          <w:p w14:paraId="435A2690">
            <w:pPr>
              <w:pStyle w:val="19"/>
              <w:rPr>
                <w:rFonts w:hAnsi="宋体" w:cs="宋体"/>
                <w:color w:val="000000" w:themeColor="text1"/>
                <w:szCs w:val="21"/>
                <w:highlight w:val="none"/>
                <w14:textFill>
                  <w14:solidFill>
                    <w14:schemeClr w14:val="tx1"/>
                  </w14:solidFill>
                </w14:textFill>
              </w:rPr>
            </w:pPr>
          </w:p>
        </w:tc>
        <w:tc>
          <w:tcPr>
            <w:tcW w:w="1586" w:type="dxa"/>
          </w:tcPr>
          <w:p w14:paraId="6F48746D">
            <w:pPr>
              <w:pStyle w:val="19"/>
              <w:rPr>
                <w:rFonts w:hAnsi="宋体" w:cs="宋体"/>
                <w:color w:val="000000" w:themeColor="text1"/>
                <w:szCs w:val="21"/>
                <w:highlight w:val="none"/>
                <w14:textFill>
                  <w14:solidFill>
                    <w14:schemeClr w14:val="tx1"/>
                  </w14:solidFill>
                </w14:textFill>
              </w:rPr>
            </w:pPr>
          </w:p>
        </w:tc>
        <w:tc>
          <w:tcPr>
            <w:tcW w:w="1577" w:type="dxa"/>
          </w:tcPr>
          <w:p w14:paraId="0994CE93">
            <w:pPr>
              <w:pStyle w:val="19"/>
              <w:rPr>
                <w:rFonts w:hAnsi="宋体" w:cs="宋体"/>
                <w:color w:val="000000" w:themeColor="text1"/>
                <w:szCs w:val="21"/>
                <w:highlight w:val="none"/>
                <w14:textFill>
                  <w14:solidFill>
                    <w14:schemeClr w14:val="tx1"/>
                  </w14:solidFill>
                </w14:textFill>
              </w:rPr>
            </w:pPr>
          </w:p>
        </w:tc>
      </w:tr>
      <w:tr w14:paraId="38D5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10656DA4">
            <w:pPr>
              <w:pStyle w:val="19"/>
              <w:rPr>
                <w:rFonts w:hAnsi="宋体" w:cs="宋体"/>
                <w:color w:val="000000" w:themeColor="text1"/>
                <w:szCs w:val="21"/>
                <w:highlight w:val="none"/>
                <w14:textFill>
                  <w14:solidFill>
                    <w14:schemeClr w14:val="tx1"/>
                  </w14:solidFill>
                </w14:textFill>
              </w:rPr>
            </w:pPr>
          </w:p>
        </w:tc>
        <w:tc>
          <w:tcPr>
            <w:tcW w:w="1067" w:type="dxa"/>
          </w:tcPr>
          <w:p w14:paraId="042FB18B">
            <w:pPr>
              <w:pStyle w:val="19"/>
              <w:rPr>
                <w:rFonts w:hAnsi="宋体" w:cs="宋体"/>
                <w:color w:val="000000" w:themeColor="text1"/>
                <w:szCs w:val="21"/>
                <w:highlight w:val="none"/>
                <w14:textFill>
                  <w14:solidFill>
                    <w14:schemeClr w14:val="tx1"/>
                  </w14:solidFill>
                </w14:textFill>
              </w:rPr>
            </w:pPr>
          </w:p>
        </w:tc>
        <w:tc>
          <w:tcPr>
            <w:tcW w:w="2589" w:type="dxa"/>
          </w:tcPr>
          <w:p w14:paraId="2EE7BF9D">
            <w:pPr>
              <w:pStyle w:val="19"/>
              <w:rPr>
                <w:rFonts w:hAnsi="宋体" w:cs="宋体"/>
                <w:color w:val="000000" w:themeColor="text1"/>
                <w:szCs w:val="21"/>
                <w:highlight w:val="none"/>
                <w14:textFill>
                  <w14:solidFill>
                    <w14:schemeClr w14:val="tx1"/>
                  </w14:solidFill>
                </w14:textFill>
              </w:rPr>
            </w:pPr>
          </w:p>
        </w:tc>
        <w:tc>
          <w:tcPr>
            <w:tcW w:w="2417" w:type="dxa"/>
          </w:tcPr>
          <w:p w14:paraId="73E2AFD8">
            <w:pPr>
              <w:pStyle w:val="19"/>
              <w:rPr>
                <w:rFonts w:hAnsi="宋体" w:cs="宋体"/>
                <w:color w:val="000000" w:themeColor="text1"/>
                <w:szCs w:val="21"/>
                <w:highlight w:val="none"/>
                <w14:textFill>
                  <w14:solidFill>
                    <w14:schemeClr w14:val="tx1"/>
                  </w14:solidFill>
                </w14:textFill>
              </w:rPr>
            </w:pPr>
          </w:p>
        </w:tc>
        <w:tc>
          <w:tcPr>
            <w:tcW w:w="1586" w:type="dxa"/>
          </w:tcPr>
          <w:p w14:paraId="6AB650AB">
            <w:pPr>
              <w:pStyle w:val="19"/>
              <w:rPr>
                <w:rFonts w:hAnsi="宋体" w:cs="宋体"/>
                <w:color w:val="000000" w:themeColor="text1"/>
                <w:szCs w:val="21"/>
                <w:highlight w:val="none"/>
                <w14:textFill>
                  <w14:solidFill>
                    <w14:schemeClr w14:val="tx1"/>
                  </w14:solidFill>
                </w14:textFill>
              </w:rPr>
            </w:pPr>
          </w:p>
        </w:tc>
        <w:tc>
          <w:tcPr>
            <w:tcW w:w="1577" w:type="dxa"/>
          </w:tcPr>
          <w:p w14:paraId="79451315">
            <w:pPr>
              <w:pStyle w:val="19"/>
              <w:rPr>
                <w:rFonts w:hAnsi="宋体" w:cs="宋体"/>
                <w:color w:val="000000" w:themeColor="text1"/>
                <w:szCs w:val="21"/>
                <w:highlight w:val="none"/>
                <w14:textFill>
                  <w14:solidFill>
                    <w14:schemeClr w14:val="tx1"/>
                  </w14:solidFill>
                </w14:textFill>
              </w:rPr>
            </w:pPr>
          </w:p>
        </w:tc>
      </w:tr>
      <w:tr w14:paraId="1FCF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707DDB46">
            <w:pPr>
              <w:pStyle w:val="19"/>
              <w:rPr>
                <w:rFonts w:hAnsi="宋体" w:cs="宋体"/>
                <w:color w:val="000000" w:themeColor="text1"/>
                <w:szCs w:val="21"/>
                <w:highlight w:val="none"/>
                <w14:textFill>
                  <w14:solidFill>
                    <w14:schemeClr w14:val="tx1"/>
                  </w14:solidFill>
                </w14:textFill>
              </w:rPr>
            </w:pPr>
          </w:p>
        </w:tc>
        <w:tc>
          <w:tcPr>
            <w:tcW w:w="1067" w:type="dxa"/>
          </w:tcPr>
          <w:p w14:paraId="3EDF3498">
            <w:pPr>
              <w:pStyle w:val="19"/>
              <w:rPr>
                <w:rFonts w:hAnsi="宋体" w:cs="宋体"/>
                <w:color w:val="000000" w:themeColor="text1"/>
                <w:szCs w:val="21"/>
                <w:highlight w:val="none"/>
                <w14:textFill>
                  <w14:solidFill>
                    <w14:schemeClr w14:val="tx1"/>
                  </w14:solidFill>
                </w14:textFill>
              </w:rPr>
            </w:pPr>
          </w:p>
        </w:tc>
        <w:tc>
          <w:tcPr>
            <w:tcW w:w="2589" w:type="dxa"/>
          </w:tcPr>
          <w:p w14:paraId="3BE7353E">
            <w:pPr>
              <w:pStyle w:val="19"/>
              <w:rPr>
                <w:rFonts w:hAnsi="宋体" w:cs="宋体"/>
                <w:color w:val="000000" w:themeColor="text1"/>
                <w:szCs w:val="21"/>
                <w:highlight w:val="none"/>
                <w14:textFill>
                  <w14:solidFill>
                    <w14:schemeClr w14:val="tx1"/>
                  </w14:solidFill>
                </w14:textFill>
              </w:rPr>
            </w:pPr>
          </w:p>
        </w:tc>
        <w:tc>
          <w:tcPr>
            <w:tcW w:w="2417" w:type="dxa"/>
          </w:tcPr>
          <w:p w14:paraId="358F3CCE">
            <w:pPr>
              <w:pStyle w:val="19"/>
              <w:rPr>
                <w:rFonts w:hAnsi="宋体" w:cs="宋体"/>
                <w:color w:val="000000" w:themeColor="text1"/>
                <w:szCs w:val="21"/>
                <w:highlight w:val="none"/>
                <w14:textFill>
                  <w14:solidFill>
                    <w14:schemeClr w14:val="tx1"/>
                  </w14:solidFill>
                </w14:textFill>
              </w:rPr>
            </w:pPr>
          </w:p>
        </w:tc>
        <w:tc>
          <w:tcPr>
            <w:tcW w:w="1586" w:type="dxa"/>
          </w:tcPr>
          <w:p w14:paraId="0260DDE0">
            <w:pPr>
              <w:pStyle w:val="19"/>
              <w:rPr>
                <w:rFonts w:hAnsi="宋体" w:cs="宋体"/>
                <w:color w:val="000000" w:themeColor="text1"/>
                <w:szCs w:val="21"/>
                <w:highlight w:val="none"/>
                <w14:textFill>
                  <w14:solidFill>
                    <w14:schemeClr w14:val="tx1"/>
                  </w14:solidFill>
                </w14:textFill>
              </w:rPr>
            </w:pPr>
          </w:p>
        </w:tc>
        <w:tc>
          <w:tcPr>
            <w:tcW w:w="1577" w:type="dxa"/>
          </w:tcPr>
          <w:p w14:paraId="70518551">
            <w:pPr>
              <w:pStyle w:val="19"/>
              <w:rPr>
                <w:rFonts w:hAnsi="宋体" w:cs="宋体"/>
                <w:color w:val="000000" w:themeColor="text1"/>
                <w:szCs w:val="21"/>
                <w:highlight w:val="none"/>
                <w14:textFill>
                  <w14:solidFill>
                    <w14:schemeClr w14:val="tx1"/>
                  </w14:solidFill>
                </w14:textFill>
              </w:rPr>
            </w:pPr>
          </w:p>
        </w:tc>
      </w:tr>
      <w:tr w14:paraId="0DE5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3A1E3DF4">
            <w:pPr>
              <w:pStyle w:val="19"/>
              <w:rPr>
                <w:rFonts w:hAnsi="宋体" w:cs="宋体"/>
                <w:color w:val="000000" w:themeColor="text1"/>
                <w:szCs w:val="21"/>
                <w:highlight w:val="none"/>
                <w14:textFill>
                  <w14:solidFill>
                    <w14:schemeClr w14:val="tx1"/>
                  </w14:solidFill>
                </w14:textFill>
              </w:rPr>
            </w:pPr>
          </w:p>
        </w:tc>
        <w:tc>
          <w:tcPr>
            <w:tcW w:w="1067" w:type="dxa"/>
          </w:tcPr>
          <w:p w14:paraId="606DF41A">
            <w:pPr>
              <w:pStyle w:val="19"/>
              <w:rPr>
                <w:rFonts w:hAnsi="宋体" w:cs="宋体"/>
                <w:color w:val="000000" w:themeColor="text1"/>
                <w:szCs w:val="21"/>
                <w:highlight w:val="none"/>
                <w14:textFill>
                  <w14:solidFill>
                    <w14:schemeClr w14:val="tx1"/>
                  </w14:solidFill>
                </w14:textFill>
              </w:rPr>
            </w:pPr>
          </w:p>
        </w:tc>
        <w:tc>
          <w:tcPr>
            <w:tcW w:w="2589" w:type="dxa"/>
          </w:tcPr>
          <w:p w14:paraId="55828BF6">
            <w:pPr>
              <w:pStyle w:val="19"/>
              <w:rPr>
                <w:rFonts w:hAnsi="宋体" w:cs="宋体"/>
                <w:color w:val="000000" w:themeColor="text1"/>
                <w:szCs w:val="21"/>
                <w:highlight w:val="none"/>
                <w14:textFill>
                  <w14:solidFill>
                    <w14:schemeClr w14:val="tx1"/>
                  </w14:solidFill>
                </w14:textFill>
              </w:rPr>
            </w:pPr>
          </w:p>
        </w:tc>
        <w:tc>
          <w:tcPr>
            <w:tcW w:w="2417" w:type="dxa"/>
          </w:tcPr>
          <w:p w14:paraId="01CCFF09">
            <w:pPr>
              <w:pStyle w:val="19"/>
              <w:rPr>
                <w:rFonts w:hAnsi="宋体" w:cs="宋体"/>
                <w:color w:val="000000" w:themeColor="text1"/>
                <w:szCs w:val="21"/>
                <w:highlight w:val="none"/>
                <w14:textFill>
                  <w14:solidFill>
                    <w14:schemeClr w14:val="tx1"/>
                  </w14:solidFill>
                </w14:textFill>
              </w:rPr>
            </w:pPr>
          </w:p>
        </w:tc>
        <w:tc>
          <w:tcPr>
            <w:tcW w:w="1586" w:type="dxa"/>
          </w:tcPr>
          <w:p w14:paraId="6965E86C">
            <w:pPr>
              <w:pStyle w:val="19"/>
              <w:rPr>
                <w:rFonts w:hAnsi="宋体" w:cs="宋体"/>
                <w:color w:val="000000" w:themeColor="text1"/>
                <w:szCs w:val="21"/>
                <w:highlight w:val="none"/>
                <w14:textFill>
                  <w14:solidFill>
                    <w14:schemeClr w14:val="tx1"/>
                  </w14:solidFill>
                </w14:textFill>
              </w:rPr>
            </w:pPr>
          </w:p>
        </w:tc>
        <w:tc>
          <w:tcPr>
            <w:tcW w:w="1577" w:type="dxa"/>
          </w:tcPr>
          <w:p w14:paraId="02AEC234">
            <w:pPr>
              <w:pStyle w:val="19"/>
              <w:rPr>
                <w:rFonts w:hAnsi="宋体" w:cs="宋体"/>
                <w:color w:val="000000" w:themeColor="text1"/>
                <w:szCs w:val="21"/>
                <w:highlight w:val="none"/>
                <w14:textFill>
                  <w14:solidFill>
                    <w14:schemeClr w14:val="tx1"/>
                  </w14:solidFill>
                </w14:textFill>
              </w:rPr>
            </w:pPr>
          </w:p>
        </w:tc>
      </w:tr>
      <w:tr w14:paraId="343D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4C18366B">
            <w:pPr>
              <w:pStyle w:val="19"/>
              <w:rPr>
                <w:rFonts w:hAnsi="宋体" w:cs="宋体"/>
                <w:color w:val="000000" w:themeColor="text1"/>
                <w:szCs w:val="21"/>
                <w:highlight w:val="none"/>
                <w14:textFill>
                  <w14:solidFill>
                    <w14:schemeClr w14:val="tx1"/>
                  </w14:solidFill>
                </w14:textFill>
              </w:rPr>
            </w:pPr>
          </w:p>
        </w:tc>
        <w:tc>
          <w:tcPr>
            <w:tcW w:w="1067" w:type="dxa"/>
          </w:tcPr>
          <w:p w14:paraId="1D12B9F9">
            <w:pPr>
              <w:pStyle w:val="19"/>
              <w:rPr>
                <w:rFonts w:hAnsi="宋体" w:cs="宋体"/>
                <w:color w:val="000000" w:themeColor="text1"/>
                <w:szCs w:val="21"/>
                <w:highlight w:val="none"/>
                <w14:textFill>
                  <w14:solidFill>
                    <w14:schemeClr w14:val="tx1"/>
                  </w14:solidFill>
                </w14:textFill>
              </w:rPr>
            </w:pPr>
          </w:p>
        </w:tc>
        <w:tc>
          <w:tcPr>
            <w:tcW w:w="2589" w:type="dxa"/>
          </w:tcPr>
          <w:p w14:paraId="139E94C8">
            <w:pPr>
              <w:pStyle w:val="19"/>
              <w:rPr>
                <w:rFonts w:hAnsi="宋体" w:cs="宋体"/>
                <w:color w:val="000000" w:themeColor="text1"/>
                <w:szCs w:val="21"/>
                <w:highlight w:val="none"/>
                <w14:textFill>
                  <w14:solidFill>
                    <w14:schemeClr w14:val="tx1"/>
                  </w14:solidFill>
                </w14:textFill>
              </w:rPr>
            </w:pPr>
          </w:p>
        </w:tc>
        <w:tc>
          <w:tcPr>
            <w:tcW w:w="2417" w:type="dxa"/>
          </w:tcPr>
          <w:p w14:paraId="4EFF10E4">
            <w:pPr>
              <w:pStyle w:val="19"/>
              <w:rPr>
                <w:rFonts w:hAnsi="宋体" w:cs="宋体"/>
                <w:color w:val="000000" w:themeColor="text1"/>
                <w:szCs w:val="21"/>
                <w:highlight w:val="none"/>
                <w14:textFill>
                  <w14:solidFill>
                    <w14:schemeClr w14:val="tx1"/>
                  </w14:solidFill>
                </w14:textFill>
              </w:rPr>
            </w:pPr>
          </w:p>
        </w:tc>
        <w:tc>
          <w:tcPr>
            <w:tcW w:w="1586" w:type="dxa"/>
          </w:tcPr>
          <w:p w14:paraId="78C257B0">
            <w:pPr>
              <w:pStyle w:val="19"/>
              <w:rPr>
                <w:rFonts w:hAnsi="宋体" w:cs="宋体"/>
                <w:color w:val="000000" w:themeColor="text1"/>
                <w:szCs w:val="21"/>
                <w:highlight w:val="none"/>
                <w14:textFill>
                  <w14:solidFill>
                    <w14:schemeClr w14:val="tx1"/>
                  </w14:solidFill>
                </w14:textFill>
              </w:rPr>
            </w:pPr>
          </w:p>
        </w:tc>
        <w:tc>
          <w:tcPr>
            <w:tcW w:w="1577" w:type="dxa"/>
          </w:tcPr>
          <w:p w14:paraId="3B3B623A">
            <w:pPr>
              <w:pStyle w:val="19"/>
              <w:rPr>
                <w:rFonts w:hAnsi="宋体" w:cs="宋体"/>
                <w:color w:val="000000" w:themeColor="text1"/>
                <w:szCs w:val="21"/>
                <w:highlight w:val="none"/>
                <w14:textFill>
                  <w14:solidFill>
                    <w14:schemeClr w14:val="tx1"/>
                  </w14:solidFill>
                </w14:textFill>
              </w:rPr>
            </w:pPr>
          </w:p>
        </w:tc>
      </w:tr>
      <w:tr w14:paraId="24FE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3DFC281D">
            <w:pPr>
              <w:pStyle w:val="19"/>
              <w:rPr>
                <w:rFonts w:hAnsi="宋体" w:cs="宋体"/>
                <w:color w:val="000000" w:themeColor="text1"/>
                <w:szCs w:val="21"/>
                <w:highlight w:val="none"/>
                <w14:textFill>
                  <w14:solidFill>
                    <w14:schemeClr w14:val="tx1"/>
                  </w14:solidFill>
                </w14:textFill>
              </w:rPr>
            </w:pPr>
          </w:p>
        </w:tc>
        <w:tc>
          <w:tcPr>
            <w:tcW w:w="1067" w:type="dxa"/>
          </w:tcPr>
          <w:p w14:paraId="07FEDD16">
            <w:pPr>
              <w:pStyle w:val="19"/>
              <w:rPr>
                <w:rFonts w:hAnsi="宋体" w:cs="宋体"/>
                <w:color w:val="000000" w:themeColor="text1"/>
                <w:szCs w:val="21"/>
                <w:highlight w:val="none"/>
                <w14:textFill>
                  <w14:solidFill>
                    <w14:schemeClr w14:val="tx1"/>
                  </w14:solidFill>
                </w14:textFill>
              </w:rPr>
            </w:pPr>
          </w:p>
        </w:tc>
        <w:tc>
          <w:tcPr>
            <w:tcW w:w="2589" w:type="dxa"/>
          </w:tcPr>
          <w:p w14:paraId="0146EB75">
            <w:pPr>
              <w:pStyle w:val="19"/>
              <w:rPr>
                <w:rFonts w:hAnsi="宋体" w:cs="宋体"/>
                <w:color w:val="000000" w:themeColor="text1"/>
                <w:szCs w:val="21"/>
                <w:highlight w:val="none"/>
                <w14:textFill>
                  <w14:solidFill>
                    <w14:schemeClr w14:val="tx1"/>
                  </w14:solidFill>
                </w14:textFill>
              </w:rPr>
            </w:pPr>
          </w:p>
        </w:tc>
        <w:tc>
          <w:tcPr>
            <w:tcW w:w="2417" w:type="dxa"/>
          </w:tcPr>
          <w:p w14:paraId="3F1AB93B">
            <w:pPr>
              <w:pStyle w:val="19"/>
              <w:rPr>
                <w:rFonts w:hAnsi="宋体" w:cs="宋体"/>
                <w:color w:val="000000" w:themeColor="text1"/>
                <w:szCs w:val="21"/>
                <w:highlight w:val="none"/>
                <w14:textFill>
                  <w14:solidFill>
                    <w14:schemeClr w14:val="tx1"/>
                  </w14:solidFill>
                </w14:textFill>
              </w:rPr>
            </w:pPr>
          </w:p>
        </w:tc>
        <w:tc>
          <w:tcPr>
            <w:tcW w:w="1586" w:type="dxa"/>
          </w:tcPr>
          <w:p w14:paraId="615A6FB3">
            <w:pPr>
              <w:pStyle w:val="19"/>
              <w:rPr>
                <w:rFonts w:hAnsi="宋体" w:cs="宋体"/>
                <w:color w:val="000000" w:themeColor="text1"/>
                <w:szCs w:val="21"/>
                <w:highlight w:val="none"/>
                <w14:textFill>
                  <w14:solidFill>
                    <w14:schemeClr w14:val="tx1"/>
                  </w14:solidFill>
                </w14:textFill>
              </w:rPr>
            </w:pPr>
          </w:p>
        </w:tc>
        <w:tc>
          <w:tcPr>
            <w:tcW w:w="1577" w:type="dxa"/>
          </w:tcPr>
          <w:p w14:paraId="068BDFE9">
            <w:pPr>
              <w:pStyle w:val="19"/>
              <w:rPr>
                <w:rFonts w:hAnsi="宋体" w:cs="宋体"/>
                <w:color w:val="000000" w:themeColor="text1"/>
                <w:szCs w:val="21"/>
                <w:highlight w:val="none"/>
                <w14:textFill>
                  <w14:solidFill>
                    <w14:schemeClr w14:val="tx1"/>
                  </w14:solidFill>
                </w14:textFill>
              </w:rPr>
            </w:pPr>
          </w:p>
        </w:tc>
      </w:tr>
      <w:tr w14:paraId="553D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98210A4">
            <w:pPr>
              <w:pStyle w:val="19"/>
              <w:rPr>
                <w:rFonts w:hAnsi="宋体" w:cs="宋体"/>
                <w:color w:val="000000" w:themeColor="text1"/>
                <w:szCs w:val="21"/>
                <w:highlight w:val="none"/>
                <w14:textFill>
                  <w14:solidFill>
                    <w14:schemeClr w14:val="tx1"/>
                  </w14:solidFill>
                </w14:textFill>
              </w:rPr>
            </w:pPr>
          </w:p>
        </w:tc>
        <w:tc>
          <w:tcPr>
            <w:tcW w:w="1067" w:type="dxa"/>
          </w:tcPr>
          <w:p w14:paraId="18C5445A">
            <w:pPr>
              <w:pStyle w:val="19"/>
              <w:rPr>
                <w:rFonts w:hAnsi="宋体" w:cs="宋体"/>
                <w:color w:val="000000" w:themeColor="text1"/>
                <w:szCs w:val="21"/>
                <w:highlight w:val="none"/>
                <w14:textFill>
                  <w14:solidFill>
                    <w14:schemeClr w14:val="tx1"/>
                  </w14:solidFill>
                </w14:textFill>
              </w:rPr>
            </w:pPr>
          </w:p>
        </w:tc>
        <w:tc>
          <w:tcPr>
            <w:tcW w:w="2589" w:type="dxa"/>
          </w:tcPr>
          <w:p w14:paraId="0C8791C3">
            <w:pPr>
              <w:pStyle w:val="19"/>
              <w:rPr>
                <w:rFonts w:hAnsi="宋体" w:cs="宋体"/>
                <w:color w:val="000000" w:themeColor="text1"/>
                <w:szCs w:val="21"/>
                <w:highlight w:val="none"/>
                <w14:textFill>
                  <w14:solidFill>
                    <w14:schemeClr w14:val="tx1"/>
                  </w14:solidFill>
                </w14:textFill>
              </w:rPr>
            </w:pPr>
          </w:p>
        </w:tc>
        <w:tc>
          <w:tcPr>
            <w:tcW w:w="2417" w:type="dxa"/>
          </w:tcPr>
          <w:p w14:paraId="0A9AA0F5">
            <w:pPr>
              <w:pStyle w:val="19"/>
              <w:rPr>
                <w:rFonts w:hAnsi="宋体" w:cs="宋体"/>
                <w:color w:val="000000" w:themeColor="text1"/>
                <w:szCs w:val="21"/>
                <w:highlight w:val="none"/>
                <w14:textFill>
                  <w14:solidFill>
                    <w14:schemeClr w14:val="tx1"/>
                  </w14:solidFill>
                </w14:textFill>
              </w:rPr>
            </w:pPr>
          </w:p>
        </w:tc>
        <w:tc>
          <w:tcPr>
            <w:tcW w:w="1586" w:type="dxa"/>
          </w:tcPr>
          <w:p w14:paraId="4E46E75F">
            <w:pPr>
              <w:pStyle w:val="19"/>
              <w:rPr>
                <w:rFonts w:hAnsi="宋体" w:cs="宋体"/>
                <w:color w:val="000000" w:themeColor="text1"/>
                <w:szCs w:val="21"/>
                <w:highlight w:val="none"/>
                <w14:textFill>
                  <w14:solidFill>
                    <w14:schemeClr w14:val="tx1"/>
                  </w14:solidFill>
                </w14:textFill>
              </w:rPr>
            </w:pPr>
          </w:p>
        </w:tc>
        <w:tc>
          <w:tcPr>
            <w:tcW w:w="1577" w:type="dxa"/>
          </w:tcPr>
          <w:p w14:paraId="6BBA6AF5">
            <w:pPr>
              <w:pStyle w:val="19"/>
              <w:rPr>
                <w:rFonts w:hAnsi="宋体" w:cs="宋体"/>
                <w:color w:val="000000" w:themeColor="text1"/>
                <w:szCs w:val="21"/>
                <w:highlight w:val="none"/>
                <w14:textFill>
                  <w14:solidFill>
                    <w14:schemeClr w14:val="tx1"/>
                  </w14:solidFill>
                </w14:textFill>
              </w:rPr>
            </w:pPr>
          </w:p>
        </w:tc>
      </w:tr>
      <w:tr w14:paraId="29C2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7C053FFD">
            <w:pPr>
              <w:pStyle w:val="19"/>
              <w:rPr>
                <w:rFonts w:hAnsi="宋体" w:cs="宋体"/>
                <w:color w:val="000000" w:themeColor="text1"/>
                <w:szCs w:val="21"/>
                <w:highlight w:val="none"/>
                <w14:textFill>
                  <w14:solidFill>
                    <w14:schemeClr w14:val="tx1"/>
                  </w14:solidFill>
                </w14:textFill>
              </w:rPr>
            </w:pPr>
          </w:p>
        </w:tc>
        <w:tc>
          <w:tcPr>
            <w:tcW w:w="1067" w:type="dxa"/>
          </w:tcPr>
          <w:p w14:paraId="6C831E10">
            <w:pPr>
              <w:pStyle w:val="19"/>
              <w:rPr>
                <w:rFonts w:hAnsi="宋体" w:cs="宋体"/>
                <w:color w:val="000000" w:themeColor="text1"/>
                <w:szCs w:val="21"/>
                <w:highlight w:val="none"/>
                <w14:textFill>
                  <w14:solidFill>
                    <w14:schemeClr w14:val="tx1"/>
                  </w14:solidFill>
                </w14:textFill>
              </w:rPr>
            </w:pPr>
          </w:p>
        </w:tc>
        <w:tc>
          <w:tcPr>
            <w:tcW w:w="2589" w:type="dxa"/>
          </w:tcPr>
          <w:p w14:paraId="6BF4C519">
            <w:pPr>
              <w:pStyle w:val="19"/>
              <w:rPr>
                <w:rFonts w:hAnsi="宋体" w:cs="宋体"/>
                <w:color w:val="000000" w:themeColor="text1"/>
                <w:szCs w:val="21"/>
                <w:highlight w:val="none"/>
                <w14:textFill>
                  <w14:solidFill>
                    <w14:schemeClr w14:val="tx1"/>
                  </w14:solidFill>
                </w14:textFill>
              </w:rPr>
            </w:pPr>
          </w:p>
        </w:tc>
        <w:tc>
          <w:tcPr>
            <w:tcW w:w="2417" w:type="dxa"/>
          </w:tcPr>
          <w:p w14:paraId="6F89C934">
            <w:pPr>
              <w:pStyle w:val="19"/>
              <w:rPr>
                <w:rFonts w:hAnsi="宋体" w:cs="宋体"/>
                <w:color w:val="000000" w:themeColor="text1"/>
                <w:szCs w:val="21"/>
                <w:highlight w:val="none"/>
                <w14:textFill>
                  <w14:solidFill>
                    <w14:schemeClr w14:val="tx1"/>
                  </w14:solidFill>
                </w14:textFill>
              </w:rPr>
            </w:pPr>
          </w:p>
        </w:tc>
        <w:tc>
          <w:tcPr>
            <w:tcW w:w="1586" w:type="dxa"/>
          </w:tcPr>
          <w:p w14:paraId="5A890216">
            <w:pPr>
              <w:pStyle w:val="19"/>
              <w:rPr>
                <w:rFonts w:hAnsi="宋体" w:cs="宋体"/>
                <w:color w:val="000000" w:themeColor="text1"/>
                <w:szCs w:val="21"/>
                <w:highlight w:val="none"/>
                <w14:textFill>
                  <w14:solidFill>
                    <w14:schemeClr w14:val="tx1"/>
                  </w14:solidFill>
                </w14:textFill>
              </w:rPr>
            </w:pPr>
          </w:p>
        </w:tc>
        <w:tc>
          <w:tcPr>
            <w:tcW w:w="1577" w:type="dxa"/>
          </w:tcPr>
          <w:p w14:paraId="177E733C">
            <w:pPr>
              <w:pStyle w:val="19"/>
              <w:rPr>
                <w:rFonts w:hAnsi="宋体" w:cs="宋体"/>
                <w:color w:val="000000" w:themeColor="text1"/>
                <w:szCs w:val="21"/>
                <w:highlight w:val="none"/>
                <w14:textFill>
                  <w14:solidFill>
                    <w14:schemeClr w14:val="tx1"/>
                  </w14:solidFill>
                </w14:textFill>
              </w:rPr>
            </w:pPr>
          </w:p>
        </w:tc>
      </w:tr>
    </w:tbl>
    <w:p w14:paraId="2D2DBAFE">
      <w:pPr>
        <w:pStyle w:val="19"/>
        <w:spacing w:line="600" w:lineRule="exact"/>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注：对于商务条款响应要求需有证明材料支持的，必须在投标文件中提供证明材料，并将该证明材料在投标文件中的索引（页码及条目号等）标注在“</w:t>
      </w:r>
      <w:r>
        <w:rPr>
          <w:rFonts w:hint="eastAsia" w:hAnsi="宋体" w:cs="宋体"/>
          <w:b/>
          <w:bCs/>
          <w:color w:val="000000" w:themeColor="text1"/>
          <w:szCs w:val="21"/>
          <w:highlight w:val="none"/>
          <w14:textFill>
            <w14:solidFill>
              <w14:schemeClr w14:val="tx1"/>
            </w14:solidFill>
          </w14:textFill>
        </w:rPr>
        <w:t>商务条件支持资料索引</w:t>
      </w:r>
      <w:r>
        <w:rPr>
          <w:rFonts w:hint="eastAsia" w:hAnsi="宋体" w:cs="宋体"/>
          <w:b/>
          <w:color w:val="000000" w:themeColor="text1"/>
          <w:szCs w:val="21"/>
          <w:highlight w:val="none"/>
          <w14:textFill>
            <w14:solidFill>
              <w14:schemeClr w14:val="tx1"/>
            </w14:solidFill>
          </w14:textFill>
        </w:rPr>
        <w:t>”中。</w:t>
      </w:r>
    </w:p>
    <w:p w14:paraId="4D9EA62E">
      <w:pPr>
        <w:pStyle w:val="19"/>
        <w:spacing w:line="600" w:lineRule="exact"/>
        <w:rPr>
          <w:rFonts w:hAnsi="宋体" w:cs="宋体"/>
          <w:color w:val="000000" w:themeColor="text1"/>
          <w:szCs w:val="21"/>
          <w:highlight w:val="none"/>
          <w14:textFill>
            <w14:solidFill>
              <w14:schemeClr w14:val="tx1"/>
            </w14:solidFill>
          </w14:textFill>
        </w:rPr>
      </w:pPr>
    </w:p>
    <w:p w14:paraId="6918C709">
      <w:pPr>
        <w:pStyle w:val="19"/>
        <w:rPr>
          <w:rFonts w:hAnsi="宋体" w:cs="宋体"/>
          <w:b/>
          <w:color w:val="000000" w:themeColor="text1"/>
          <w:szCs w:val="21"/>
          <w:highlight w:val="none"/>
          <w14:textFill>
            <w14:solidFill>
              <w14:schemeClr w14:val="tx1"/>
            </w14:solidFill>
          </w14:textFill>
        </w:rPr>
        <w:sectPr>
          <w:pgSz w:w="11906" w:h="16838"/>
          <w:pgMar w:top="1134" w:right="851" w:bottom="1304" w:left="1276" w:header="720" w:footer="720" w:gutter="0"/>
          <w:cols w:space="720" w:num="1"/>
          <w:docGrid w:type="linesAndChars" w:linePitch="331" w:charSpace="0"/>
        </w:sectPr>
      </w:pPr>
      <w:bookmarkStart w:id="71" w:name="_Toc213141101"/>
    </w:p>
    <w:p w14:paraId="0BECBBB9">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w:t>
      </w:r>
      <w:r>
        <w:rPr>
          <w:rFonts w:hint="eastAsia" w:ascii="宋体" w:hAnsi="宋体" w:cs="宋体"/>
          <w:b/>
          <w:color w:val="000000" w:themeColor="text1"/>
          <w:sz w:val="28"/>
          <w:szCs w:val="28"/>
          <w:highlight w:val="none"/>
          <w:lang w:val="en-US" w:eastAsia="zh-CN"/>
          <w14:textFill>
            <w14:solidFill>
              <w14:schemeClr w14:val="tx1"/>
            </w14:solidFill>
          </w14:textFill>
        </w:rPr>
        <w:t>7</w:t>
      </w:r>
      <w:r>
        <w:rPr>
          <w:rFonts w:hint="eastAsia" w:ascii="宋体" w:hAnsi="宋体" w:cs="宋体"/>
          <w:b/>
          <w:color w:val="000000" w:themeColor="text1"/>
          <w:sz w:val="28"/>
          <w:szCs w:val="28"/>
          <w:highlight w:val="none"/>
          <w14:textFill>
            <w14:solidFill>
              <w14:schemeClr w14:val="tx1"/>
            </w14:solidFill>
          </w14:textFill>
        </w:rPr>
        <w:t>：</w:t>
      </w:r>
    </w:p>
    <w:bookmarkEnd w:id="71"/>
    <w:p w14:paraId="5A9F2AAE">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72" w:name="_Toc31245"/>
      <w:r>
        <w:rPr>
          <w:rFonts w:hint="eastAsia" w:ascii="宋体" w:hAnsi="宋体" w:eastAsia="宋体" w:cs="宋体"/>
          <w:color w:val="000000" w:themeColor="text1"/>
          <w:szCs w:val="28"/>
          <w:highlight w:val="none"/>
          <w14:textFill>
            <w14:solidFill>
              <w14:schemeClr w14:val="tx1"/>
            </w14:solidFill>
          </w14:textFill>
        </w:rPr>
        <w:t>服务承诺书</w:t>
      </w:r>
      <w:bookmarkEnd w:id="72"/>
    </w:p>
    <w:p w14:paraId="27BEF25F">
      <w:pPr>
        <w:rPr>
          <w:rFonts w:ascii="宋体" w:hAnsi="宋体" w:cs="宋体"/>
          <w:color w:val="000000" w:themeColor="text1"/>
          <w:szCs w:val="21"/>
          <w:highlight w:val="none"/>
          <w14:textFill>
            <w14:solidFill>
              <w14:schemeClr w14:val="tx1"/>
            </w14:solidFill>
          </w14:textFill>
        </w:rPr>
      </w:pPr>
    </w:p>
    <w:p w14:paraId="40021941">
      <w:pPr>
        <w:pStyle w:val="19"/>
        <w:jc w:val="center"/>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(由投标人按《项目需求》服务及要求自行分别填写)</w:t>
      </w:r>
    </w:p>
    <w:p w14:paraId="6E5ADACC">
      <w:pPr>
        <w:pStyle w:val="19"/>
        <w:rPr>
          <w:rFonts w:hAnsi="宋体" w:cs="宋体"/>
          <w:color w:val="000000" w:themeColor="text1"/>
          <w:szCs w:val="21"/>
          <w:highlight w:val="none"/>
          <w14:textFill>
            <w14:solidFill>
              <w14:schemeClr w14:val="tx1"/>
            </w14:solidFill>
          </w14:textFill>
        </w:rPr>
      </w:pPr>
    </w:p>
    <w:p w14:paraId="10D83100">
      <w:pPr>
        <w:pStyle w:val="19"/>
        <w:rPr>
          <w:rFonts w:hAnsi="宋体" w:cs="宋体"/>
          <w:color w:val="000000" w:themeColor="text1"/>
          <w:szCs w:val="21"/>
          <w:highlight w:val="none"/>
          <w14:textFill>
            <w14:solidFill>
              <w14:schemeClr w14:val="tx1"/>
            </w14:solidFill>
          </w14:textFill>
        </w:rPr>
      </w:pPr>
    </w:p>
    <w:p w14:paraId="74662AAE">
      <w:pPr>
        <w:pStyle w:val="19"/>
        <w:rPr>
          <w:rFonts w:hAnsi="宋体" w:cs="宋体"/>
          <w:color w:val="000000" w:themeColor="text1"/>
          <w:szCs w:val="21"/>
          <w:highlight w:val="none"/>
          <w14:textFill>
            <w14:solidFill>
              <w14:schemeClr w14:val="tx1"/>
            </w14:solidFill>
          </w14:textFill>
        </w:rPr>
      </w:pPr>
    </w:p>
    <w:p w14:paraId="308AD1EB">
      <w:pPr>
        <w:pStyle w:val="19"/>
        <w:rPr>
          <w:rFonts w:hAnsi="宋体" w:cs="宋体"/>
          <w:color w:val="000000" w:themeColor="text1"/>
          <w:szCs w:val="21"/>
          <w:highlight w:val="none"/>
          <w14:textFill>
            <w14:solidFill>
              <w14:schemeClr w14:val="tx1"/>
            </w14:solidFill>
          </w14:textFill>
        </w:rPr>
      </w:pPr>
    </w:p>
    <w:p w14:paraId="5158E9C5">
      <w:pPr>
        <w:pStyle w:val="19"/>
        <w:rPr>
          <w:rFonts w:hAnsi="宋体" w:cs="宋体"/>
          <w:color w:val="000000" w:themeColor="text1"/>
          <w:szCs w:val="21"/>
          <w:highlight w:val="none"/>
          <w14:textFill>
            <w14:solidFill>
              <w14:schemeClr w14:val="tx1"/>
            </w14:solidFill>
          </w14:textFill>
        </w:rPr>
      </w:pPr>
    </w:p>
    <w:p w14:paraId="5B638807">
      <w:pPr>
        <w:pStyle w:val="19"/>
        <w:rPr>
          <w:rFonts w:hAnsi="宋体" w:cs="宋体"/>
          <w:color w:val="000000" w:themeColor="text1"/>
          <w:szCs w:val="21"/>
          <w:highlight w:val="none"/>
          <w14:textFill>
            <w14:solidFill>
              <w14:schemeClr w14:val="tx1"/>
            </w14:solidFill>
          </w14:textFill>
        </w:rPr>
      </w:pPr>
    </w:p>
    <w:p w14:paraId="32D45549">
      <w:pPr>
        <w:pStyle w:val="19"/>
        <w:rPr>
          <w:rFonts w:hAnsi="宋体" w:cs="宋体"/>
          <w:color w:val="000000" w:themeColor="text1"/>
          <w:szCs w:val="21"/>
          <w:highlight w:val="none"/>
          <w14:textFill>
            <w14:solidFill>
              <w14:schemeClr w14:val="tx1"/>
            </w14:solidFill>
          </w14:textFill>
        </w:rPr>
      </w:pPr>
    </w:p>
    <w:p w14:paraId="72B45E22">
      <w:pPr>
        <w:pStyle w:val="19"/>
        <w:rPr>
          <w:rFonts w:hAnsi="宋体" w:cs="宋体"/>
          <w:color w:val="000000" w:themeColor="text1"/>
          <w:szCs w:val="21"/>
          <w:highlight w:val="none"/>
          <w14:textFill>
            <w14:solidFill>
              <w14:schemeClr w14:val="tx1"/>
            </w14:solidFill>
          </w14:textFill>
        </w:rPr>
      </w:pPr>
    </w:p>
    <w:p w14:paraId="4F24E566">
      <w:pPr>
        <w:pStyle w:val="19"/>
        <w:rPr>
          <w:rFonts w:hAnsi="宋体" w:cs="宋体"/>
          <w:color w:val="000000" w:themeColor="text1"/>
          <w:szCs w:val="21"/>
          <w:highlight w:val="none"/>
          <w14:textFill>
            <w14:solidFill>
              <w14:schemeClr w14:val="tx1"/>
            </w14:solidFill>
          </w14:textFill>
        </w:rPr>
      </w:pPr>
    </w:p>
    <w:p w14:paraId="5526AB46">
      <w:pPr>
        <w:pStyle w:val="19"/>
        <w:rPr>
          <w:rFonts w:hAnsi="宋体" w:cs="宋体"/>
          <w:color w:val="000000" w:themeColor="text1"/>
          <w:szCs w:val="21"/>
          <w:highlight w:val="none"/>
          <w14:textFill>
            <w14:solidFill>
              <w14:schemeClr w14:val="tx1"/>
            </w14:solidFill>
          </w14:textFill>
        </w:rPr>
      </w:pPr>
    </w:p>
    <w:p w14:paraId="688D799B">
      <w:pPr>
        <w:pStyle w:val="19"/>
        <w:rPr>
          <w:rFonts w:hAnsi="宋体" w:cs="宋体"/>
          <w:color w:val="000000" w:themeColor="text1"/>
          <w:szCs w:val="21"/>
          <w:highlight w:val="none"/>
          <w14:textFill>
            <w14:solidFill>
              <w14:schemeClr w14:val="tx1"/>
            </w14:solidFill>
          </w14:textFill>
        </w:rPr>
      </w:pPr>
    </w:p>
    <w:p w14:paraId="67E86C4A">
      <w:pPr>
        <w:pStyle w:val="19"/>
        <w:rPr>
          <w:rFonts w:hAnsi="宋体" w:cs="宋体"/>
          <w:color w:val="000000" w:themeColor="text1"/>
          <w:szCs w:val="21"/>
          <w:highlight w:val="none"/>
          <w14:textFill>
            <w14:solidFill>
              <w14:schemeClr w14:val="tx1"/>
            </w14:solidFill>
          </w14:textFill>
        </w:rPr>
      </w:pPr>
    </w:p>
    <w:p w14:paraId="3ADF3E93">
      <w:pPr>
        <w:pStyle w:val="19"/>
        <w:rPr>
          <w:rFonts w:hAnsi="宋体" w:cs="宋体"/>
          <w:color w:val="000000" w:themeColor="text1"/>
          <w:szCs w:val="21"/>
          <w:highlight w:val="none"/>
          <w14:textFill>
            <w14:solidFill>
              <w14:schemeClr w14:val="tx1"/>
            </w14:solidFill>
          </w14:textFill>
        </w:rPr>
      </w:pPr>
    </w:p>
    <w:p w14:paraId="00F426DA">
      <w:pPr>
        <w:pStyle w:val="19"/>
        <w:rPr>
          <w:rFonts w:hAnsi="宋体" w:cs="宋体"/>
          <w:color w:val="000000" w:themeColor="text1"/>
          <w:szCs w:val="21"/>
          <w:highlight w:val="none"/>
          <w14:textFill>
            <w14:solidFill>
              <w14:schemeClr w14:val="tx1"/>
            </w14:solidFill>
          </w14:textFill>
        </w:rPr>
      </w:pPr>
    </w:p>
    <w:p w14:paraId="2DF71E1A">
      <w:pPr>
        <w:pStyle w:val="19"/>
        <w:rPr>
          <w:rFonts w:hAnsi="宋体" w:cs="宋体"/>
          <w:color w:val="000000" w:themeColor="text1"/>
          <w:szCs w:val="21"/>
          <w:highlight w:val="none"/>
          <w14:textFill>
            <w14:solidFill>
              <w14:schemeClr w14:val="tx1"/>
            </w14:solidFill>
          </w14:textFill>
        </w:rPr>
      </w:pPr>
    </w:p>
    <w:p w14:paraId="4A9477DD">
      <w:pPr>
        <w:pStyle w:val="8"/>
        <w:numPr>
          <w:ilvl w:val="0"/>
          <w:numId w:val="0"/>
        </w:numPr>
        <w:jc w:val="left"/>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bookmarkStart w:id="73" w:name="_Toc128653020"/>
      <w:bookmarkStart w:id="74" w:name="_Toc7744"/>
      <w:bookmarkStart w:id="75" w:name="_Toc135996713"/>
      <w:bookmarkStart w:id="76" w:name="_Toc128652963"/>
      <w:r>
        <w:rPr>
          <w:rFonts w:hint="eastAsia" w:ascii="宋体" w:hAnsi="宋体" w:eastAsia="宋体" w:cs="宋体"/>
          <w:color w:val="000000" w:themeColor="text1"/>
          <w:szCs w:val="28"/>
          <w:highlight w:val="none"/>
          <w14:textFill>
            <w14:solidFill>
              <w14:schemeClr w14:val="tx1"/>
            </w14:solidFill>
          </w14:textFill>
        </w:rPr>
        <w:t>格式</w:t>
      </w:r>
      <w:r>
        <w:rPr>
          <w:rFonts w:hint="eastAsia" w:ascii="宋体" w:hAnsi="宋体" w:eastAsia="宋体" w:cs="宋体"/>
          <w:color w:val="000000" w:themeColor="text1"/>
          <w:szCs w:val="28"/>
          <w:highlight w:val="none"/>
          <w:lang w:val="en-US" w:eastAsia="zh-CN"/>
          <w14:textFill>
            <w14:solidFill>
              <w14:schemeClr w14:val="tx1"/>
            </w14:solidFill>
          </w14:textFill>
        </w:rPr>
        <w:t>8</w:t>
      </w:r>
      <w:r>
        <w:rPr>
          <w:rFonts w:hint="eastAsia" w:ascii="宋体" w:hAnsi="宋体" w:eastAsia="宋体" w:cs="宋体"/>
          <w:color w:val="000000" w:themeColor="text1"/>
          <w:szCs w:val="28"/>
          <w:highlight w:val="none"/>
          <w14:textFill>
            <w14:solidFill>
              <w14:schemeClr w14:val="tx1"/>
            </w14:solidFill>
          </w14:textFill>
        </w:rPr>
        <w:t>：</w:t>
      </w:r>
      <w:bookmarkEnd w:id="73"/>
      <w:bookmarkEnd w:id="74"/>
      <w:bookmarkEnd w:id="75"/>
      <w:bookmarkEnd w:id="76"/>
    </w:p>
    <w:p w14:paraId="7BD19C6E">
      <w:pPr>
        <w:pStyle w:val="8"/>
        <w:numPr>
          <w:ilvl w:val="0"/>
          <w:numId w:val="0"/>
        </w:numPr>
        <w:ind w:left="1021"/>
        <w:jc w:val="center"/>
        <w:rPr>
          <w:rFonts w:ascii="宋体" w:hAnsi="宋体" w:eastAsia="宋体" w:cs="宋体"/>
          <w:color w:val="000000" w:themeColor="text1"/>
          <w:szCs w:val="28"/>
          <w:highlight w:val="none"/>
          <w14:textFill>
            <w14:solidFill>
              <w14:schemeClr w14:val="tx1"/>
            </w14:solidFill>
          </w14:textFill>
        </w:rPr>
      </w:pPr>
      <w:bookmarkStart w:id="77" w:name="_Toc28724"/>
      <w:bookmarkStart w:id="78" w:name="_Toc128653021"/>
      <w:r>
        <w:rPr>
          <w:rFonts w:hint="eastAsia" w:ascii="宋体" w:hAnsi="宋体" w:eastAsia="宋体" w:cs="宋体"/>
          <w:color w:val="000000" w:themeColor="text1"/>
          <w:szCs w:val="28"/>
          <w:highlight w:val="none"/>
          <w14:textFill>
            <w14:solidFill>
              <w14:schemeClr w14:val="tx1"/>
            </w14:solidFill>
          </w14:textFill>
        </w:rPr>
        <w:t>业绩列表及相对应的业绩证明材料</w:t>
      </w:r>
      <w:bookmarkEnd w:id="77"/>
      <w:bookmarkEnd w:id="78"/>
    </w:p>
    <w:p w14:paraId="3003D3F4">
      <w:pPr>
        <w:pStyle w:val="19"/>
        <w:spacing w:line="500" w:lineRule="exact"/>
        <w:rPr>
          <w:rFonts w:hAnsi="宋体" w:cs="宋体"/>
          <w:b/>
          <w:color w:val="000000" w:themeColor="text1"/>
          <w:sz w:val="24"/>
          <w:szCs w:val="24"/>
          <w:highlight w:val="none"/>
          <w:u w:val="singl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招标编号：</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5"/>
        <w:gridCol w:w="1843"/>
        <w:gridCol w:w="1509"/>
        <w:gridCol w:w="1999"/>
      </w:tblGrid>
      <w:tr w14:paraId="058B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59" w:type="dxa"/>
            <w:vAlign w:val="center"/>
          </w:tcPr>
          <w:p w14:paraId="31584E97">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3685" w:type="dxa"/>
            <w:vAlign w:val="center"/>
          </w:tcPr>
          <w:p w14:paraId="175FD18A">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项目名称</w:t>
            </w:r>
          </w:p>
        </w:tc>
        <w:tc>
          <w:tcPr>
            <w:tcW w:w="1843" w:type="dxa"/>
            <w:vAlign w:val="center"/>
          </w:tcPr>
          <w:p w14:paraId="2D5E0C35">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采购人或业主</w:t>
            </w:r>
          </w:p>
        </w:tc>
        <w:tc>
          <w:tcPr>
            <w:tcW w:w="1509" w:type="dxa"/>
            <w:vAlign w:val="center"/>
          </w:tcPr>
          <w:p w14:paraId="6414B286">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服务期限</w:t>
            </w:r>
          </w:p>
        </w:tc>
        <w:tc>
          <w:tcPr>
            <w:tcW w:w="1999" w:type="dxa"/>
            <w:vAlign w:val="center"/>
          </w:tcPr>
          <w:p w14:paraId="4B25C895">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合同金额（万元）</w:t>
            </w:r>
          </w:p>
        </w:tc>
      </w:tr>
      <w:tr w14:paraId="12C3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59" w:type="dxa"/>
            <w:vAlign w:val="center"/>
          </w:tcPr>
          <w:p w14:paraId="7899BC7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3685" w:type="dxa"/>
            <w:vAlign w:val="center"/>
          </w:tcPr>
          <w:p w14:paraId="528CAF93">
            <w:pPr>
              <w:jc w:val="center"/>
              <w:rPr>
                <w:rFonts w:ascii="宋体" w:hAnsi="宋体" w:cs="宋体"/>
                <w:color w:val="000000" w:themeColor="text1"/>
                <w:sz w:val="24"/>
                <w:highlight w:val="none"/>
                <w14:textFill>
                  <w14:solidFill>
                    <w14:schemeClr w14:val="tx1"/>
                  </w14:solidFill>
                </w14:textFill>
              </w:rPr>
            </w:pPr>
          </w:p>
        </w:tc>
        <w:tc>
          <w:tcPr>
            <w:tcW w:w="1843" w:type="dxa"/>
            <w:vAlign w:val="center"/>
          </w:tcPr>
          <w:p w14:paraId="01FB35E0">
            <w:pPr>
              <w:jc w:val="center"/>
              <w:rPr>
                <w:rFonts w:ascii="宋体" w:hAnsi="宋体" w:cs="宋体"/>
                <w:color w:val="000000" w:themeColor="text1"/>
                <w:sz w:val="24"/>
                <w:highlight w:val="none"/>
                <w14:textFill>
                  <w14:solidFill>
                    <w14:schemeClr w14:val="tx1"/>
                  </w14:solidFill>
                </w14:textFill>
              </w:rPr>
            </w:pPr>
          </w:p>
        </w:tc>
        <w:tc>
          <w:tcPr>
            <w:tcW w:w="1509" w:type="dxa"/>
            <w:vAlign w:val="center"/>
          </w:tcPr>
          <w:p w14:paraId="2B819AA0">
            <w:pPr>
              <w:jc w:val="center"/>
              <w:rPr>
                <w:rFonts w:ascii="宋体" w:hAnsi="宋体" w:cs="宋体"/>
                <w:color w:val="000000" w:themeColor="text1"/>
                <w:sz w:val="24"/>
                <w:highlight w:val="none"/>
                <w14:textFill>
                  <w14:solidFill>
                    <w14:schemeClr w14:val="tx1"/>
                  </w14:solidFill>
                </w14:textFill>
              </w:rPr>
            </w:pPr>
          </w:p>
        </w:tc>
        <w:tc>
          <w:tcPr>
            <w:tcW w:w="1999" w:type="dxa"/>
            <w:vAlign w:val="center"/>
          </w:tcPr>
          <w:p w14:paraId="4C694FB9">
            <w:pPr>
              <w:jc w:val="center"/>
              <w:rPr>
                <w:rFonts w:ascii="宋体" w:hAnsi="宋体" w:cs="宋体"/>
                <w:color w:val="000000" w:themeColor="text1"/>
                <w:sz w:val="24"/>
                <w:highlight w:val="none"/>
                <w14:textFill>
                  <w14:solidFill>
                    <w14:schemeClr w14:val="tx1"/>
                  </w14:solidFill>
                </w14:textFill>
              </w:rPr>
            </w:pPr>
          </w:p>
        </w:tc>
      </w:tr>
      <w:tr w14:paraId="2E65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59" w:type="dxa"/>
            <w:vAlign w:val="center"/>
          </w:tcPr>
          <w:p w14:paraId="5CE439E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3685" w:type="dxa"/>
            <w:vAlign w:val="center"/>
          </w:tcPr>
          <w:p w14:paraId="38CDD450">
            <w:pPr>
              <w:jc w:val="center"/>
              <w:rPr>
                <w:rFonts w:ascii="宋体" w:hAnsi="宋体" w:cs="宋体"/>
                <w:color w:val="000000" w:themeColor="text1"/>
                <w:sz w:val="24"/>
                <w:highlight w:val="none"/>
                <w14:textFill>
                  <w14:solidFill>
                    <w14:schemeClr w14:val="tx1"/>
                  </w14:solidFill>
                </w14:textFill>
              </w:rPr>
            </w:pPr>
          </w:p>
        </w:tc>
        <w:tc>
          <w:tcPr>
            <w:tcW w:w="1843" w:type="dxa"/>
            <w:vAlign w:val="center"/>
          </w:tcPr>
          <w:p w14:paraId="7E9780C3">
            <w:pPr>
              <w:jc w:val="center"/>
              <w:rPr>
                <w:rFonts w:ascii="宋体" w:hAnsi="宋体" w:cs="宋体"/>
                <w:color w:val="000000" w:themeColor="text1"/>
                <w:sz w:val="24"/>
                <w:highlight w:val="none"/>
                <w14:textFill>
                  <w14:solidFill>
                    <w14:schemeClr w14:val="tx1"/>
                  </w14:solidFill>
                </w14:textFill>
              </w:rPr>
            </w:pPr>
          </w:p>
        </w:tc>
        <w:tc>
          <w:tcPr>
            <w:tcW w:w="1509" w:type="dxa"/>
            <w:vAlign w:val="center"/>
          </w:tcPr>
          <w:p w14:paraId="78765B26">
            <w:pPr>
              <w:jc w:val="center"/>
              <w:rPr>
                <w:rFonts w:ascii="宋体" w:hAnsi="宋体" w:cs="宋体"/>
                <w:color w:val="000000" w:themeColor="text1"/>
                <w:sz w:val="24"/>
                <w:highlight w:val="none"/>
                <w14:textFill>
                  <w14:solidFill>
                    <w14:schemeClr w14:val="tx1"/>
                  </w14:solidFill>
                </w14:textFill>
              </w:rPr>
            </w:pPr>
          </w:p>
        </w:tc>
        <w:tc>
          <w:tcPr>
            <w:tcW w:w="1999" w:type="dxa"/>
            <w:vAlign w:val="center"/>
          </w:tcPr>
          <w:p w14:paraId="6D915D8C">
            <w:pPr>
              <w:jc w:val="center"/>
              <w:rPr>
                <w:rFonts w:ascii="宋体" w:hAnsi="宋体" w:cs="宋体"/>
                <w:color w:val="000000" w:themeColor="text1"/>
                <w:sz w:val="24"/>
                <w:highlight w:val="none"/>
                <w14:textFill>
                  <w14:solidFill>
                    <w14:schemeClr w14:val="tx1"/>
                  </w14:solidFill>
                </w14:textFill>
              </w:rPr>
            </w:pPr>
          </w:p>
        </w:tc>
      </w:tr>
      <w:tr w14:paraId="6FC7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59" w:type="dxa"/>
            <w:vAlign w:val="center"/>
          </w:tcPr>
          <w:p w14:paraId="1A9F81A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3685" w:type="dxa"/>
            <w:vAlign w:val="center"/>
          </w:tcPr>
          <w:p w14:paraId="70649C59">
            <w:pPr>
              <w:jc w:val="center"/>
              <w:rPr>
                <w:rFonts w:ascii="宋体" w:hAnsi="宋体" w:cs="宋体"/>
                <w:color w:val="000000" w:themeColor="text1"/>
                <w:sz w:val="24"/>
                <w:highlight w:val="none"/>
                <w14:textFill>
                  <w14:solidFill>
                    <w14:schemeClr w14:val="tx1"/>
                  </w14:solidFill>
                </w14:textFill>
              </w:rPr>
            </w:pPr>
          </w:p>
        </w:tc>
        <w:tc>
          <w:tcPr>
            <w:tcW w:w="1843" w:type="dxa"/>
            <w:vAlign w:val="center"/>
          </w:tcPr>
          <w:p w14:paraId="18948041">
            <w:pPr>
              <w:jc w:val="center"/>
              <w:rPr>
                <w:rFonts w:ascii="宋体" w:hAnsi="宋体" w:cs="宋体"/>
                <w:color w:val="000000" w:themeColor="text1"/>
                <w:sz w:val="24"/>
                <w:highlight w:val="none"/>
                <w14:textFill>
                  <w14:solidFill>
                    <w14:schemeClr w14:val="tx1"/>
                  </w14:solidFill>
                </w14:textFill>
              </w:rPr>
            </w:pPr>
          </w:p>
        </w:tc>
        <w:tc>
          <w:tcPr>
            <w:tcW w:w="1509" w:type="dxa"/>
            <w:vAlign w:val="center"/>
          </w:tcPr>
          <w:p w14:paraId="25A7D9BD">
            <w:pPr>
              <w:jc w:val="center"/>
              <w:rPr>
                <w:rFonts w:ascii="宋体" w:hAnsi="宋体" w:cs="宋体"/>
                <w:color w:val="000000" w:themeColor="text1"/>
                <w:sz w:val="24"/>
                <w:highlight w:val="none"/>
                <w14:textFill>
                  <w14:solidFill>
                    <w14:schemeClr w14:val="tx1"/>
                  </w14:solidFill>
                </w14:textFill>
              </w:rPr>
            </w:pPr>
          </w:p>
        </w:tc>
        <w:tc>
          <w:tcPr>
            <w:tcW w:w="1999" w:type="dxa"/>
            <w:vAlign w:val="center"/>
          </w:tcPr>
          <w:p w14:paraId="3473B027">
            <w:pPr>
              <w:jc w:val="center"/>
              <w:rPr>
                <w:rFonts w:ascii="宋体" w:hAnsi="宋体" w:cs="宋体"/>
                <w:color w:val="000000" w:themeColor="text1"/>
                <w:sz w:val="24"/>
                <w:highlight w:val="none"/>
                <w14:textFill>
                  <w14:solidFill>
                    <w14:schemeClr w14:val="tx1"/>
                  </w14:solidFill>
                </w14:textFill>
              </w:rPr>
            </w:pPr>
          </w:p>
        </w:tc>
      </w:tr>
      <w:tr w14:paraId="1FFD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59" w:type="dxa"/>
            <w:vAlign w:val="center"/>
          </w:tcPr>
          <w:p w14:paraId="60E0A44C">
            <w:pPr>
              <w:jc w:val="center"/>
              <w:rPr>
                <w:rFonts w:ascii="宋体" w:hAnsi="宋体" w:cs="宋体"/>
                <w:color w:val="000000" w:themeColor="text1"/>
                <w:sz w:val="24"/>
                <w:highlight w:val="none"/>
                <w14:textFill>
                  <w14:solidFill>
                    <w14:schemeClr w14:val="tx1"/>
                  </w14:solidFill>
                </w14:textFill>
              </w:rPr>
            </w:pPr>
          </w:p>
        </w:tc>
        <w:tc>
          <w:tcPr>
            <w:tcW w:w="3685" w:type="dxa"/>
            <w:vAlign w:val="center"/>
          </w:tcPr>
          <w:p w14:paraId="51E44F6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1843" w:type="dxa"/>
            <w:vAlign w:val="center"/>
          </w:tcPr>
          <w:p w14:paraId="521B036A">
            <w:pPr>
              <w:jc w:val="center"/>
              <w:rPr>
                <w:rFonts w:ascii="宋体" w:hAnsi="宋体" w:cs="宋体"/>
                <w:color w:val="000000" w:themeColor="text1"/>
                <w:sz w:val="24"/>
                <w:highlight w:val="none"/>
                <w14:textFill>
                  <w14:solidFill>
                    <w14:schemeClr w14:val="tx1"/>
                  </w14:solidFill>
                </w14:textFill>
              </w:rPr>
            </w:pPr>
          </w:p>
        </w:tc>
        <w:tc>
          <w:tcPr>
            <w:tcW w:w="1509" w:type="dxa"/>
            <w:vAlign w:val="center"/>
          </w:tcPr>
          <w:p w14:paraId="1096560C">
            <w:pPr>
              <w:jc w:val="center"/>
              <w:rPr>
                <w:rFonts w:ascii="宋体" w:hAnsi="宋体" w:cs="宋体"/>
                <w:color w:val="000000" w:themeColor="text1"/>
                <w:sz w:val="24"/>
                <w:highlight w:val="none"/>
                <w14:textFill>
                  <w14:solidFill>
                    <w14:schemeClr w14:val="tx1"/>
                  </w14:solidFill>
                </w14:textFill>
              </w:rPr>
            </w:pPr>
          </w:p>
        </w:tc>
        <w:tc>
          <w:tcPr>
            <w:tcW w:w="1999" w:type="dxa"/>
            <w:vAlign w:val="center"/>
          </w:tcPr>
          <w:p w14:paraId="11C6EC42">
            <w:pPr>
              <w:jc w:val="center"/>
              <w:rPr>
                <w:rFonts w:ascii="宋体" w:hAnsi="宋体" w:cs="宋体"/>
                <w:color w:val="000000" w:themeColor="text1"/>
                <w:sz w:val="24"/>
                <w:highlight w:val="none"/>
                <w14:textFill>
                  <w14:solidFill>
                    <w14:schemeClr w14:val="tx1"/>
                  </w14:solidFill>
                </w14:textFill>
              </w:rPr>
            </w:pPr>
          </w:p>
        </w:tc>
      </w:tr>
    </w:tbl>
    <w:p w14:paraId="5EE67ECB">
      <w:pPr>
        <w:spacing w:line="3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注：投标文件中须提供业绩列表及相对应的业绩证明材料，</w:t>
      </w:r>
      <w:r>
        <w:rPr>
          <w:rFonts w:hint="eastAsia" w:ascii="宋体" w:hAnsi="宋体" w:cs="宋体"/>
          <w:b/>
          <w:color w:val="000000" w:themeColor="text1"/>
          <w:sz w:val="24"/>
          <w:highlight w:val="none"/>
          <w14:textFill>
            <w14:solidFill>
              <w14:schemeClr w14:val="tx1"/>
            </w14:solidFill>
          </w14:textFill>
        </w:rPr>
        <w:t>业绩证明材料为合同扫描件</w:t>
      </w:r>
      <w:r>
        <w:rPr>
          <w:rFonts w:hint="eastAsia" w:ascii="宋体" w:hAnsi="宋体" w:cs="宋体"/>
          <w:b/>
          <w:bCs/>
          <w:color w:val="000000" w:themeColor="text1"/>
          <w:sz w:val="24"/>
          <w:highlight w:val="none"/>
          <w14:textFill>
            <w14:solidFill>
              <w14:schemeClr w14:val="tx1"/>
            </w14:solidFill>
          </w14:textFill>
        </w:rPr>
        <w:t>。无证明材料或证明材料不明确的，不予认可。</w:t>
      </w:r>
    </w:p>
    <w:p w14:paraId="7175E5C1">
      <w:pPr>
        <w:spacing w:line="588" w:lineRule="exact"/>
        <w:jc w:val="left"/>
        <w:rPr>
          <w:rFonts w:ascii="宋体" w:hAnsi="宋体" w:cs="宋体"/>
          <w:b/>
          <w:color w:val="000000" w:themeColor="text1"/>
          <w:sz w:val="28"/>
          <w:szCs w:val="28"/>
          <w:highlight w:val="none"/>
          <w14:textFill>
            <w14:solidFill>
              <w14:schemeClr w14:val="tx1"/>
            </w14:solidFill>
          </w14:textFill>
        </w:rPr>
      </w:pPr>
    </w:p>
    <w:p w14:paraId="37156A98">
      <w:pPr>
        <w:spacing w:line="588" w:lineRule="exact"/>
        <w:jc w:val="left"/>
        <w:rPr>
          <w:rFonts w:ascii="宋体" w:hAnsi="宋体" w:cs="宋体"/>
          <w:color w:val="000000" w:themeColor="text1"/>
          <w:kern w:val="0"/>
          <w:szCs w:val="21"/>
          <w:highlight w:val="none"/>
          <w14:textFill>
            <w14:solidFill>
              <w14:schemeClr w14:val="tx1"/>
            </w14:solidFill>
          </w14:textFill>
        </w:rPr>
      </w:pPr>
    </w:p>
    <w:p w14:paraId="1C85BDBE">
      <w:pPr>
        <w:spacing w:line="588" w:lineRule="exact"/>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w:t>
      </w:r>
      <w:r>
        <w:rPr>
          <w:rFonts w:hint="eastAsia" w:ascii="宋体" w:hAnsi="宋体" w:cs="宋体"/>
          <w:b/>
          <w:color w:val="000000" w:themeColor="text1"/>
          <w:sz w:val="28"/>
          <w:szCs w:val="28"/>
          <w:highlight w:val="none"/>
          <w:lang w:val="en-US" w:eastAsia="zh-CN"/>
          <w14:textFill>
            <w14:solidFill>
              <w14:schemeClr w14:val="tx1"/>
            </w14:solidFill>
          </w14:textFill>
        </w:rPr>
        <w:t>9</w:t>
      </w:r>
      <w:r>
        <w:rPr>
          <w:rFonts w:hint="eastAsia" w:ascii="宋体" w:hAnsi="宋体" w:cs="宋体"/>
          <w:b/>
          <w:color w:val="000000" w:themeColor="text1"/>
          <w:sz w:val="28"/>
          <w:szCs w:val="28"/>
          <w:highlight w:val="none"/>
          <w14:textFill>
            <w14:solidFill>
              <w14:schemeClr w14:val="tx1"/>
            </w14:solidFill>
          </w14:textFill>
        </w:rPr>
        <w:t>：</w:t>
      </w:r>
    </w:p>
    <w:p w14:paraId="6B85145C">
      <w:pPr>
        <w:pStyle w:val="8"/>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79" w:name="_Toc25694"/>
      <w:r>
        <w:rPr>
          <w:rFonts w:hint="eastAsia" w:ascii="宋体" w:hAnsi="宋体" w:eastAsia="宋体" w:cs="宋体"/>
          <w:color w:val="000000" w:themeColor="text1"/>
          <w:szCs w:val="28"/>
          <w:highlight w:val="none"/>
          <w14:textFill>
            <w14:solidFill>
              <w14:schemeClr w14:val="tx1"/>
            </w14:solidFill>
          </w14:textFill>
        </w:rPr>
        <w:t>投标人信息表</w:t>
      </w:r>
      <w:bookmarkEnd w:id="79"/>
    </w:p>
    <w:p w14:paraId="7A44084A">
      <w:pPr>
        <w:pStyle w:val="19"/>
        <w:spacing w:line="400" w:lineRule="exact"/>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（请投标人如实填写本表信息）</w:t>
      </w:r>
    </w:p>
    <w:tbl>
      <w:tblPr>
        <w:tblStyle w:val="35"/>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508"/>
        <w:gridCol w:w="1551"/>
        <w:gridCol w:w="1893"/>
        <w:gridCol w:w="1155"/>
        <w:gridCol w:w="1257"/>
        <w:gridCol w:w="2771"/>
      </w:tblGrid>
      <w:tr w14:paraId="669EA0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1509" w:type="pct"/>
            <w:gridSpan w:val="2"/>
            <w:tcBorders>
              <w:right w:val="single" w:color="auto" w:sz="4" w:space="0"/>
            </w:tcBorders>
            <w:vAlign w:val="center"/>
          </w:tcPr>
          <w:p w14:paraId="02A2E4B1">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公司名称</w:t>
            </w:r>
          </w:p>
        </w:tc>
        <w:tc>
          <w:tcPr>
            <w:tcW w:w="3490" w:type="pct"/>
            <w:gridSpan w:val="4"/>
            <w:tcBorders>
              <w:left w:val="single" w:color="auto" w:sz="4" w:space="0"/>
            </w:tcBorders>
            <w:vAlign w:val="center"/>
          </w:tcPr>
          <w:p w14:paraId="5C252111">
            <w:pPr>
              <w:widowControl/>
              <w:jc w:val="left"/>
              <w:rPr>
                <w:rFonts w:ascii="宋体" w:hAnsi="宋体" w:cs="宋体"/>
                <w:color w:val="000000" w:themeColor="text1"/>
                <w:szCs w:val="21"/>
                <w:highlight w:val="none"/>
                <w14:textFill>
                  <w14:solidFill>
                    <w14:schemeClr w14:val="tx1"/>
                  </w14:solidFill>
                </w14:textFill>
              </w:rPr>
            </w:pPr>
          </w:p>
        </w:tc>
      </w:tr>
      <w:tr w14:paraId="5AC69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1509" w:type="pct"/>
            <w:gridSpan w:val="2"/>
            <w:tcBorders>
              <w:right w:val="single" w:color="auto" w:sz="4" w:space="0"/>
            </w:tcBorders>
            <w:vAlign w:val="center"/>
          </w:tcPr>
          <w:p w14:paraId="733DF9C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公司地址</w:t>
            </w:r>
          </w:p>
        </w:tc>
        <w:tc>
          <w:tcPr>
            <w:tcW w:w="3490" w:type="pct"/>
            <w:gridSpan w:val="4"/>
            <w:tcBorders>
              <w:left w:val="single" w:color="auto" w:sz="4" w:space="0"/>
            </w:tcBorders>
            <w:vAlign w:val="center"/>
          </w:tcPr>
          <w:p w14:paraId="4D219903">
            <w:pPr>
              <w:widowControl/>
              <w:jc w:val="center"/>
              <w:rPr>
                <w:rFonts w:ascii="宋体" w:hAnsi="宋体" w:cs="宋体"/>
                <w:color w:val="000000" w:themeColor="text1"/>
                <w:szCs w:val="21"/>
                <w:highlight w:val="none"/>
                <w14:textFill>
                  <w14:solidFill>
                    <w14:schemeClr w14:val="tx1"/>
                  </w14:solidFill>
                </w14:textFill>
              </w:rPr>
            </w:pPr>
          </w:p>
        </w:tc>
      </w:tr>
      <w:tr w14:paraId="7D974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1509" w:type="pct"/>
            <w:gridSpan w:val="2"/>
            <w:tcBorders>
              <w:right w:val="single" w:color="auto" w:sz="4" w:space="0"/>
            </w:tcBorders>
            <w:vAlign w:val="center"/>
          </w:tcPr>
          <w:p w14:paraId="6B49C948">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公司性质</w:t>
            </w:r>
          </w:p>
        </w:tc>
        <w:tc>
          <w:tcPr>
            <w:tcW w:w="934" w:type="pct"/>
            <w:tcBorders>
              <w:left w:val="single" w:color="auto" w:sz="4" w:space="0"/>
              <w:right w:val="single" w:color="auto" w:sz="4" w:space="0"/>
            </w:tcBorders>
            <w:vAlign w:val="center"/>
          </w:tcPr>
          <w:p w14:paraId="68B1D9E6">
            <w:pPr>
              <w:widowControl/>
              <w:jc w:val="center"/>
              <w:rPr>
                <w:rFonts w:ascii="宋体" w:hAnsi="宋体" w:cs="宋体"/>
                <w:color w:val="000000" w:themeColor="text1"/>
                <w:szCs w:val="21"/>
                <w:highlight w:val="none"/>
                <w14:textFill>
                  <w14:solidFill>
                    <w14:schemeClr w14:val="tx1"/>
                  </w14:solidFill>
                </w14:textFill>
              </w:rPr>
            </w:pPr>
          </w:p>
        </w:tc>
        <w:tc>
          <w:tcPr>
            <w:tcW w:w="1190" w:type="pct"/>
            <w:gridSpan w:val="2"/>
            <w:tcBorders>
              <w:left w:val="single" w:color="auto" w:sz="4" w:space="0"/>
              <w:right w:val="single" w:color="auto" w:sz="4" w:space="0"/>
            </w:tcBorders>
            <w:vAlign w:val="center"/>
          </w:tcPr>
          <w:p w14:paraId="53D19839">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公司类型</w:t>
            </w:r>
          </w:p>
        </w:tc>
        <w:tc>
          <w:tcPr>
            <w:tcW w:w="1364" w:type="pct"/>
            <w:tcBorders>
              <w:left w:val="single" w:color="auto" w:sz="4" w:space="0"/>
            </w:tcBorders>
            <w:vAlign w:val="center"/>
          </w:tcPr>
          <w:p w14:paraId="672DC0C6">
            <w:pPr>
              <w:widowControl/>
              <w:jc w:val="center"/>
              <w:rPr>
                <w:rFonts w:ascii="宋体" w:hAnsi="宋体" w:cs="宋体"/>
                <w:color w:val="000000" w:themeColor="text1"/>
                <w:szCs w:val="21"/>
                <w:highlight w:val="none"/>
                <w14:textFill>
                  <w14:solidFill>
                    <w14:schemeClr w14:val="tx1"/>
                  </w14:solidFill>
                </w14:textFill>
              </w:rPr>
            </w:pPr>
          </w:p>
        </w:tc>
      </w:tr>
      <w:tr w14:paraId="5594DF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09" w:type="pct"/>
            <w:gridSpan w:val="2"/>
            <w:vAlign w:val="center"/>
          </w:tcPr>
          <w:p w14:paraId="14E9AC78">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p>
        </w:tc>
        <w:tc>
          <w:tcPr>
            <w:tcW w:w="934" w:type="pct"/>
            <w:vAlign w:val="center"/>
          </w:tcPr>
          <w:p w14:paraId="4DB3C52D">
            <w:pPr>
              <w:widowControl/>
              <w:jc w:val="center"/>
              <w:rPr>
                <w:rFonts w:ascii="宋体" w:hAnsi="宋体" w:cs="宋体"/>
                <w:color w:val="000000" w:themeColor="text1"/>
                <w:szCs w:val="21"/>
                <w:highlight w:val="none"/>
                <w14:textFill>
                  <w14:solidFill>
                    <w14:schemeClr w14:val="tx1"/>
                  </w14:solidFill>
                </w14:textFill>
              </w:rPr>
            </w:pPr>
          </w:p>
        </w:tc>
        <w:tc>
          <w:tcPr>
            <w:tcW w:w="1190" w:type="pct"/>
            <w:gridSpan w:val="2"/>
            <w:tcBorders>
              <w:right w:val="single" w:color="auto" w:sz="4" w:space="0"/>
            </w:tcBorders>
            <w:vAlign w:val="center"/>
          </w:tcPr>
          <w:p w14:paraId="1AC4951C">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注册资金</w:t>
            </w:r>
          </w:p>
        </w:tc>
        <w:tc>
          <w:tcPr>
            <w:tcW w:w="1364" w:type="pct"/>
            <w:tcBorders>
              <w:left w:val="single" w:color="auto" w:sz="4" w:space="0"/>
            </w:tcBorders>
            <w:vAlign w:val="center"/>
          </w:tcPr>
          <w:p w14:paraId="17928576">
            <w:pPr>
              <w:widowControl/>
              <w:jc w:val="center"/>
              <w:rPr>
                <w:rFonts w:ascii="宋体" w:hAnsi="宋体" w:cs="宋体"/>
                <w:color w:val="000000" w:themeColor="text1"/>
                <w:szCs w:val="21"/>
                <w:highlight w:val="none"/>
                <w14:textFill>
                  <w14:solidFill>
                    <w14:schemeClr w14:val="tx1"/>
                  </w14:solidFill>
                </w14:textFill>
              </w:rPr>
            </w:pPr>
          </w:p>
        </w:tc>
      </w:tr>
      <w:tr w14:paraId="71DF4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1509" w:type="pct"/>
            <w:gridSpan w:val="2"/>
            <w:vMerge w:val="restart"/>
            <w:vAlign w:val="center"/>
          </w:tcPr>
          <w:p w14:paraId="71D23B0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注册日期</w:t>
            </w:r>
          </w:p>
        </w:tc>
        <w:tc>
          <w:tcPr>
            <w:tcW w:w="934" w:type="pct"/>
            <w:vMerge w:val="restart"/>
            <w:vAlign w:val="center"/>
          </w:tcPr>
          <w:p w14:paraId="1E8401F7">
            <w:pPr>
              <w:widowControl/>
              <w:jc w:val="center"/>
              <w:rPr>
                <w:rFonts w:ascii="宋体" w:hAnsi="宋体" w:cs="宋体"/>
                <w:color w:val="000000" w:themeColor="text1"/>
                <w:szCs w:val="21"/>
                <w:highlight w:val="none"/>
                <w14:textFill>
                  <w14:solidFill>
                    <w14:schemeClr w14:val="tx1"/>
                  </w14:solidFill>
                </w14:textFill>
              </w:rPr>
            </w:pPr>
          </w:p>
        </w:tc>
        <w:tc>
          <w:tcPr>
            <w:tcW w:w="1190" w:type="pct"/>
            <w:gridSpan w:val="2"/>
            <w:tcBorders>
              <w:bottom w:val="single" w:color="auto" w:sz="4" w:space="0"/>
            </w:tcBorders>
            <w:vAlign w:val="center"/>
          </w:tcPr>
          <w:p w14:paraId="014F283B">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p>
        </w:tc>
        <w:tc>
          <w:tcPr>
            <w:tcW w:w="1364" w:type="pct"/>
            <w:tcBorders>
              <w:bottom w:val="single" w:color="auto" w:sz="4" w:space="0"/>
            </w:tcBorders>
            <w:vAlign w:val="center"/>
          </w:tcPr>
          <w:p w14:paraId="504CB1B9">
            <w:pPr>
              <w:widowControl/>
              <w:jc w:val="center"/>
              <w:rPr>
                <w:rFonts w:ascii="宋体" w:hAnsi="宋体" w:cs="宋体"/>
                <w:color w:val="000000" w:themeColor="text1"/>
                <w:szCs w:val="21"/>
                <w:highlight w:val="none"/>
                <w14:textFill>
                  <w14:solidFill>
                    <w14:schemeClr w14:val="tx1"/>
                  </w14:solidFill>
                </w14:textFill>
              </w:rPr>
            </w:pPr>
          </w:p>
        </w:tc>
      </w:tr>
      <w:tr w14:paraId="1C022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1509" w:type="pct"/>
            <w:gridSpan w:val="2"/>
            <w:vMerge w:val="continue"/>
            <w:vAlign w:val="center"/>
          </w:tcPr>
          <w:p w14:paraId="25D6A830">
            <w:pPr>
              <w:widowControl/>
              <w:jc w:val="center"/>
              <w:rPr>
                <w:rFonts w:ascii="宋体" w:hAnsi="宋体" w:cs="宋体"/>
                <w:color w:val="000000" w:themeColor="text1"/>
                <w:szCs w:val="21"/>
                <w:highlight w:val="none"/>
                <w14:textFill>
                  <w14:solidFill>
                    <w14:schemeClr w14:val="tx1"/>
                  </w14:solidFill>
                </w14:textFill>
              </w:rPr>
            </w:pPr>
          </w:p>
        </w:tc>
        <w:tc>
          <w:tcPr>
            <w:tcW w:w="934" w:type="pct"/>
            <w:vMerge w:val="continue"/>
            <w:vAlign w:val="center"/>
          </w:tcPr>
          <w:p w14:paraId="2C8FC1C7">
            <w:pPr>
              <w:widowControl/>
              <w:jc w:val="center"/>
              <w:rPr>
                <w:rFonts w:ascii="宋体" w:hAnsi="宋体" w:cs="宋体"/>
                <w:color w:val="000000" w:themeColor="text1"/>
                <w:szCs w:val="21"/>
                <w:highlight w:val="none"/>
                <w14:textFill>
                  <w14:solidFill>
                    <w14:schemeClr w14:val="tx1"/>
                  </w14:solidFill>
                </w14:textFill>
              </w:rPr>
            </w:pPr>
          </w:p>
        </w:tc>
        <w:tc>
          <w:tcPr>
            <w:tcW w:w="1190" w:type="pct"/>
            <w:gridSpan w:val="2"/>
            <w:tcBorders>
              <w:top w:val="single" w:color="auto" w:sz="4" w:space="0"/>
            </w:tcBorders>
            <w:vAlign w:val="center"/>
          </w:tcPr>
          <w:p w14:paraId="59EE31A0">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开户基本账号</w:t>
            </w:r>
          </w:p>
        </w:tc>
        <w:tc>
          <w:tcPr>
            <w:tcW w:w="1364" w:type="pct"/>
            <w:tcBorders>
              <w:top w:val="single" w:color="auto" w:sz="4" w:space="0"/>
            </w:tcBorders>
            <w:vAlign w:val="center"/>
          </w:tcPr>
          <w:p w14:paraId="2FB4C82A">
            <w:pPr>
              <w:widowControl/>
              <w:jc w:val="center"/>
              <w:rPr>
                <w:rFonts w:ascii="宋体" w:hAnsi="宋体" w:cs="宋体"/>
                <w:color w:val="000000" w:themeColor="text1"/>
                <w:szCs w:val="21"/>
                <w:highlight w:val="none"/>
                <w14:textFill>
                  <w14:solidFill>
                    <w14:schemeClr w14:val="tx1"/>
                  </w14:solidFill>
                </w14:textFill>
              </w:rPr>
            </w:pPr>
          </w:p>
        </w:tc>
      </w:tr>
      <w:tr w14:paraId="78A0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1509" w:type="pct"/>
            <w:gridSpan w:val="2"/>
            <w:vMerge w:val="restart"/>
            <w:vAlign w:val="center"/>
          </w:tcPr>
          <w:p w14:paraId="49636B7C">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p>
        </w:tc>
        <w:tc>
          <w:tcPr>
            <w:tcW w:w="934" w:type="pct"/>
            <w:vMerge w:val="restart"/>
            <w:vAlign w:val="center"/>
          </w:tcPr>
          <w:p w14:paraId="70DB4290">
            <w:pPr>
              <w:widowControl/>
              <w:jc w:val="center"/>
              <w:rPr>
                <w:rFonts w:ascii="宋体" w:hAnsi="宋体" w:cs="宋体"/>
                <w:color w:val="000000" w:themeColor="text1"/>
                <w:szCs w:val="21"/>
                <w:highlight w:val="none"/>
                <w14:textFill>
                  <w14:solidFill>
                    <w14:schemeClr w14:val="tx1"/>
                  </w14:solidFill>
                </w14:textFill>
              </w:rPr>
            </w:pPr>
          </w:p>
        </w:tc>
        <w:tc>
          <w:tcPr>
            <w:tcW w:w="570" w:type="pct"/>
            <w:vMerge w:val="restart"/>
            <w:vAlign w:val="center"/>
          </w:tcPr>
          <w:p w14:paraId="03BF68FC">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p>
        </w:tc>
        <w:tc>
          <w:tcPr>
            <w:tcW w:w="620" w:type="pct"/>
            <w:vAlign w:val="center"/>
          </w:tcPr>
          <w:p w14:paraId="4FC4E357">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手机</w:t>
            </w:r>
          </w:p>
        </w:tc>
        <w:tc>
          <w:tcPr>
            <w:tcW w:w="1364" w:type="pct"/>
            <w:vAlign w:val="center"/>
          </w:tcPr>
          <w:p w14:paraId="2860EA4C">
            <w:pPr>
              <w:widowControl/>
              <w:jc w:val="center"/>
              <w:rPr>
                <w:rFonts w:ascii="宋体" w:hAnsi="宋体" w:cs="宋体"/>
                <w:color w:val="000000" w:themeColor="text1"/>
                <w:szCs w:val="21"/>
                <w:highlight w:val="none"/>
                <w14:textFill>
                  <w14:solidFill>
                    <w14:schemeClr w14:val="tx1"/>
                  </w14:solidFill>
                </w14:textFill>
              </w:rPr>
            </w:pPr>
          </w:p>
        </w:tc>
      </w:tr>
      <w:tr w14:paraId="649EB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1509" w:type="pct"/>
            <w:gridSpan w:val="2"/>
            <w:vMerge w:val="continue"/>
            <w:vAlign w:val="center"/>
          </w:tcPr>
          <w:p w14:paraId="243CB170">
            <w:pPr>
              <w:widowControl/>
              <w:jc w:val="center"/>
              <w:rPr>
                <w:rFonts w:ascii="宋体" w:hAnsi="宋体" w:cs="宋体"/>
                <w:color w:val="000000" w:themeColor="text1"/>
                <w:szCs w:val="21"/>
                <w:highlight w:val="none"/>
                <w14:textFill>
                  <w14:solidFill>
                    <w14:schemeClr w14:val="tx1"/>
                  </w14:solidFill>
                </w14:textFill>
              </w:rPr>
            </w:pPr>
          </w:p>
        </w:tc>
        <w:tc>
          <w:tcPr>
            <w:tcW w:w="934" w:type="pct"/>
            <w:vMerge w:val="continue"/>
            <w:vAlign w:val="center"/>
          </w:tcPr>
          <w:p w14:paraId="013E0FEE">
            <w:pPr>
              <w:widowControl/>
              <w:jc w:val="center"/>
              <w:rPr>
                <w:rFonts w:ascii="宋体" w:hAnsi="宋体" w:cs="宋体"/>
                <w:color w:val="000000" w:themeColor="text1"/>
                <w:szCs w:val="21"/>
                <w:highlight w:val="none"/>
                <w14:textFill>
                  <w14:solidFill>
                    <w14:schemeClr w14:val="tx1"/>
                  </w14:solidFill>
                </w14:textFill>
              </w:rPr>
            </w:pPr>
          </w:p>
        </w:tc>
        <w:tc>
          <w:tcPr>
            <w:tcW w:w="570" w:type="pct"/>
            <w:vMerge w:val="continue"/>
            <w:vAlign w:val="center"/>
          </w:tcPr>
          <w:p w14:paraId="787B0758">
            <w:pPr>
              <w:widowControl/>
              <w:jc w:val="center"/>
              <w:rPr>
                <w:rFonts w:ascii="宋体" w:hAnsi="宋体" w:cs="宋体"/>
                <w:color w:val="000000" w:themeColor="text1"/>
                <w:szCs w:val="21"/>
                <w:highlight w:val="none"/>
                <w14:textFill>
                  <w14:solidFill>
                    <w14:schemeClr w14:val="tx1"/>
                  </w14:solidFill>
                </w14:textFill>
              </w:rPr>
            </w:pPr>
          </w:p>
        </w:tc>
        <w:tc>
          <w:tcPr>
            <w:tcW w:w="620" w:type="pct"/>
            <w:vAlign w:val="center"/>
          </w:tcPr>
          <w:p w14:paraId="0CA0CD6C">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固话</w:t>
            </w:r>
          </w:p>
        </w:tc>
        <w:tc>
          <w:tcPr>
            <w:tcW w:w="1364" w:type="pct"/>
            <w:vAlign w:val="center"/>
          </w:tcPr>
          <w:p w14:paraId="642F5943">
            <w:pPr>
              <w:widowControl/>
              <w:jc w:val="center"/>
              <w:rPr>
                <w:rFonts w:ascii="宋体" w:hAnsi="宋体" w:cs="宋体"/>
                <w:color w:val="000000" w:themeColor="text1"/>
                <w:szCs w:val="21"/>
                <w:highlight w:val="none"/>
                <w14:textFill>
                  <w14:solidFill>
                    <w14:schemeClr w14:val="tx1"/>
                  </w14:solidFill>
                </w14:textFill>
              </w:rPr>
            </w:pPr>
          </w:p>
        </w:tc>
      </w:tr>
      <w:tr w14:paraId="3430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509" w:type="pct"/>
            <w:gridSpan w:val="2"/>
            <w:vAlign w:val="center"/>
          </w:tcPr>
          <w:p w14:paraId="35D91B6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联系传真</w:t>
            </w:r>
          </w:p>
        </w:tc>
        <w:tc>
          <w:tcPr>
            <w:tcW w:w="934" w:type="pct"/>
            <w:vAlign w:val="center"/>
          </w:tcPr>
          <w:p w14:paraId="45709BC5">
            <w:pPr>
              <w:widowControl/>
              <w:jc w:val="center"/>
              <w:rPr>
                <w:rFonts w:ascii="宋体" w:hAnsi="宋体" w:cs="宋体"/>
                <w:color w:val="000000" w:themeColor="text1"/>
                <w:szCs w:val="21"/>
                <w:highlight w:val="none"/>
                <w14:textFill>
                  <w14:solidFill>
                    <w14:schemeClr w14:val="tx1"/>
                  </w14:solidFill>
                </w14:textFill>
              </w:rPr>
            </w:pPr>
          </w:p>
        </w:tc>
        <w:tc>
          <w:tcPr>
            <w:tcW w:w="1190" w:type="pct"/>
            <w:gridSpan w:val="2"/>
            <w:vAlign w:val="center"/>
          </w:tcPr>
          <w:p w14:paraId="7D807F3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联系邮箱</w:t>
            </w:r>
          </w:p>
        </w:tc>
        <w:tc>
          <w:tcPr>
            <w:tcW w:w="1364" w:type="pct"/>
            <w:vAlign w:val="center"/>
          </w:tcPr>
          <w:p w14:paraId="7C889D58">
            <w:pPr>
              <w:widowControl/>
              <w:jc w:val="center"/>
              <w:rPr>
                <w:rFonts w:ascii="宋体" w:hAnsi="宋体" w:cs="宋体"/>
                <w:color w:val="000000" w:themeColor="text1"/>
                <w:szCs w:val="21"/>
                <w:highlight w:val="none"/>
                <w14:textFill>
                  <w14:solidFill>
                    <w14:schemeClr w14:val="tx1"/>
                  </w14:solidFill>
                </w14:textFill>
              </w:rPr>
            </w:pPr>
          </w:p>
        </w:tc>
      </w:tr>
      <w:tr w14:paraId="524FA4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1509" w:type="pct"/>
            <w:gridSpan w:val="2"/>
            <w:vAlign w:val="center"/>
          </w:tcPr>
          <w:p w14:paraId="2D3BB09D">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经营范围</w:t>
            </w:r>
          </w:p>
        </w:tc>
        <w:tc>
          <w:tcPr>
            <w:tcW w:w="3490" w:type="pct"/>
            <w:gridSpan w:val="4"/>
            <w:vAlign w:val="center"/>
          </w:tcPr>
          <w:p w14:paraId="12023653">
            <w:pPr>
              <w:widowControl/>
              <w:jc w:val="center"/>
              <w:rPr>
                <w:rFonts w:ascii="宋体" w:hAnsi="宋体" w:cs="宋体"/>
                <w:color w:val="000000" w:themeColor="text1"/>
                <w:szCs w:val="21"/>
                <w:highlight w:val="none"/>
                <w14:textFill>
                  <w14:solidFill>
                    <w14:schemeClr w14:val="tx1"/>
                  </w14:solidFill>
                </w14:textFill>
              </w:rPr>
            </w:pPr>
          </w:p>
        </w:tc>
      </w:tr>
      <w:tr w14:paraId="4C409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1509" w:type="pct"/>
            <w:gridSpan w:val="2"/>
            <w:vAlign w:val="center"/>
          </w:tcPr>
          <w:p w14:paraId="7AD41336">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公司管理体系认证</w:t>
            </w:r>
          </w:p>
        </w:tc>
        <w:tc>
          <w:tcPr>
            <w:tcW w:w="3490" w:type="pct"/>
            <w:gridSpan w:val="4"/>
            <w:vAlign w:val="center"/>
          </w:tcPr>
          <w:p w14:paraId="329BE92E">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（质量、职业、环境管理体系）</w:t>
            </w:r>
          </w:p>
        </w:tc>
      </w:tr>
      <w:tr w14:paraId="5877C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5000" w:type="pct"/>
            <w:gridSpan w:val="6"/>
            <w:vAlign w:val="center"/>
          </w:tcPr>
          <w:p w14:paraId="398EBB95">
            <w:pPr>
              <w:widowControl/>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公司资质及各类生产、经营许可</w:t>
            </w:r>
          </w:p>
        </w:tc>
      </w:tr>
      <w:tr w14:paraId="737BD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5000" w:type="pct"/>
            <w:gridSpan w:val="6"/>
            <w:vAlign w:val="center"/>
          </w:tcPr>
          <w:p w14:paraId="13116666">
            <w:pP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如：工程类资质（工程单位）、设备制造商</w:t>
            </w:r>
            <w:bookmarkStart w:id="80" w:name="OLE_LINK21"/>
            <w:bookmarkStart w:id="81" w:name="OLE_LINK22"/>
            <w:r>
              <w:rPr>
                <w:rFonts w:hint="eastAsia" w:ascii="宋体" w:hAnsi="宋体" w:cs="宋体"/>
                <w:color w:val="000000" w:themeColor="text1"/>
                <w:szCs w:val="21"/>
                <w:highlight w:val="none"/>
                <w14:textFill>
                  <w14:solidFill>
                    <w14:schemeClr w14:val="tx1"/>
                  </w14:solidFill>
                </w14:textFill>
              </w:rPr>
              <w:t>、经销商（生产、经营许可证</w:t>
            </w:r>
            <w:bookmarkEnd w:id="80"/>
            <w:bookmarkEnd w:id="81"/>
            <w:r>
              <w:rPr>
                <w:rFonts w:hint="eastAsia" w:ascii="宋体" w:hAnsi="宋体" w:cs="宋体"/>
                <w:color w:val="000000" w:themeColor="text1"/>
                <w:szCs w:val="21"/>
                <w:highlight w:val="none"/>
                <w14:textFill>
                  <w14:solidFill>
                    <w14:schemeClr w14:val="tx1"/>
                  </w14:solidFill>
                </w14:textFill>
              </w:rPr>
              <w:t>、产品认证）、其它资质。</w:t>
            </w:r>
          </w:p>
        </w:tc>
      </w:tr>
      <w:tr w14:paraId="646C7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744" w:type="pct"/>
            <w:vAlign w:val="center"/>
          </w:tcPr>
          <w:p w14:paraId="2D063BC8">
            <w:pPr>
              <w:widowControl/>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c>
          <w:tcPr>
            <w:tcW w:w="4255" w:type="pct"/>
            <w:gridSpan w:val="5"/>
            <w:vAlign w:val="center"/>
          </w:tcPr>
          <w:p w14:paraId="2A44E973">
            <w:pPr>
              <w:widowControl/>
              <w:jc w:val="center"/>
              <w:rPr>
                <w:rFonts w:ascii="宋体" w:hAnsi="宋体" w:cs="宋体"/>
                <w:color w:val="000000" w:themeColor="text1"/>
                <w:szCs w:val="21"/>
                <w:highlight w:val="none"/>
                <w14:textFill>
                  <w14:solidFill>
                    <w14:schemeClr w14:val="tx1"/>
                  </w14:solidFill>
                </w14:textFill>
              </w:rPr>
            </w:pPr>
          </w:p>
        </w:tc>
      </w:tr>
    </w:tbl>
    <w:p w14:paraId="124206FB">
      <w:pPr>
        <w:pStyle w:val="19"/>
        <w:spacing w:line="400" w:lineRule="exact"/>
        <w:jc w:val="center"/>
        <w:rPr>
          <w:rFonts w:hAnsi="宋体" w:cs="宋体"/>
          <w:b/>
          <w:color w:val="000000" w:themeColor="text1"/>
          <w:szCs w:val="21"/>
          <w:highlight w:val="none"/>
          <w14:textFill>
            <w14:solidFill>
              <w14:schemeClr w14:val="tx1"/>
            </w14:solidFill>
          </w14:textFill>
        </w:rPr>
      </w:pPr>
    </w:p>
    <w:p w14:paraId="543901B1">
      <w:pPr>
        <w:pStyle w:val="19"/>
        <w:spacing w:line="480" w:lineRule="auto"/>
        <w:rPr>
          <w:rFonts w:hAnsi="宋体" w:cs="宋体"/>
          <w:color w:val="000000" w:themeColor="text1"/>
          <w:szCs w:val="21"/>
          <w:highlight w:val="none"/>
          <w14:textFill>
            <w14:solidFill>
              <w14:schemeClr w14:val="tx1"/>
            </w14:solidFill>
          </w14:textFill>
        </w:rPr>
      </w:pPr>
    </w:p>
    <w:p w14:paraId="0386B50F">
      <w:pP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w:t>
      </w:r>
      <w:r>
        <w:rPr>
          <w:rFonts w:hint="eastAsia" w:ascii="宋体" w:hAnsi="宋体" w:cs="宋体"/>
          <w:b/>
          <w:color w:val="000000" w:themeColor="text1"/>
          <w:sz w:val="28"/>
          <w:szCs w:val="28"/>
          <w:highlight w:val="none"/>
          <w:lang w:val="en-US" w:eastAsia="zh-CN"/>
          <w14:textFill>
            <w14:solidFill>
              <w14:schemeClr w14:val="tx1"/>
            </w14:solidFill>
          </w14:textFill>
        </w:rPr>
        <w:t>10</w:t>
      </w:r>
      <w:r>
        <w:rPr>
          <w:rFonts w:hint="eastAsia" w:ascii="宋体" w:hAnsi="宋体" w:cs="宋体"/>
          <w:b/>
          <w:color w:val="000000" w:themeColor="text1"/>
          <w:sz w:val="28"/>
          <w:szCs w:val="28"/>
          <w:highlight w:val="none"/>
          <w14:textFill>
            <w14:solidFill>
              <w14:schemeClr w14:val="tx1"/>
            </w14:solidFill>
          </w14:textFill>
        </w:rPr>
        <w:t>：</w:t>
      </w:r>
    </w:p>
    <w:p w14:paraId="5B58D637">
      <w:pPr>
        <w:pStyle w:val="8"/>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82" w:name="_Toc6332"/>
      <w:r>
        <w:rPr>
          <w:rFonts w:hint="eastAsia" w:ascii="宋体" w:hAnsi="宋体" w:eastAsia="宋体" w:cs="宋体"/>
          <w:color w:val="000000" w:themeColor="text1"/>
          <w:szCs w:val="28"/>
          <w:highlight w:val="none"/>
          <w14:textFill>
            <w14:solidFill>
              <w14:schemeClr w14:val="tx1"/>
            </w14:solidFill>
          </w14:textFill>
        </w:rPr>
        <w:t>构成投标文件商务部分的其他资料</w:t>
      </w:r>
      <w:bookmarkEnd w:id="82"/>
    </w:p>
    <w:p w14:paraId="3D5F6D69">
      <w:pPr>
        <w:spacing w:line="360" w:lineRule="auto"/>
        <w:jc w:val="center"/>
        <w:rPr>
          <w:rFonts w:ascii="宋体" w:hAnsi="宋体" w:cs="宋体"/>
          <w:color w:val="000000" w:themeColor="text1"/>
          <w:szCs w:val="21"/>
          <w:highlight w:val="none"/>
          <w14:textFill>
            <w14:solidFill>
              <w14:schemeClr w14:val="tx1"/>
            </w14:solidFill>
          </w14:textFill>
        </w:rPr>
      </w:pPr>
    </w:p>
    <w:p w14:paraId="4ED976B7">
      <w:pPr>
        <w:pStyle w:val="19"/>
        <w:spacing w:line="360" w:lineRule="auto"/>
        <w:ind w:firstLine="211" w:firstLineChars="100"/>
        <w:jc w:val="left"/>
        <w:rPr>
          <w:rFonts w:hAnsi="宋体" w:cs="宋体"/>
          <w:b/>
          <w:bCs/>
          <w:color w:val="000000" w:themeColor="text1"/>
          <w:szCs w:val="21"/>
          <w:highlight w:val="none"/>
          <w14:textFill>
            <w14:solidFill>
              <w14:schemeClr w14:val="tx1"/>
            </w14:solidFill>
          </w14:textFill>
        </w:rPr>
      </w:pPr>
    </w:p>
    <w:p w14:paraId="4F15D95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投标人认为应当提交的其他商务部分资料，格式自拟。</w:t>
      </w:r>
    </w:p>
    <w:p w14:paraId="416E15D8">
      <w:pPr>
        <w:pStyle w:val="19"/>
        <w:spacing w:line="600" w:lineRule="exact"/>
        <w:rPr>
          <w:rFonts w:hAnsi="宋体" w:cs="宋体"/>
          <w:color w:val="000000" w:themeColor="text1"/>
          <w:szCs w:val="21"/>
          <w:highlight w:val="none"/>
          <w:u w:val="single"/>
          <w14:textFill>
            <w14:solidFill>
              <w14:schemeClr w14:val="tx1"/>
            </w14:solidFill>
          </w14:textFill>
        </w:rPr>
      </w:pPr>
    </w:p>
    <w:p w14:paraId="7FD50C0B">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bookmarkStart w:id="83" w:name="_Toc7232"/>
      <w:r>
        <w:rPr>
          <w:rFonts w:hint="eastAsia" w:ascii="宋体" w:hAnsi="宋体" w:eastAsia="宋体" w:cs="宋体"/>
          <w:color w:val="000000" w:themeColor="text1"/>
          <w:szCs w:val="28"/>
          <w:highlight w:val="none"/>
          <w14:textFill>
            <w14:solidFill>
              <w14:schemeClr w14:val="tx1"/>
            </w14:solidFill>
          </w14:textFill>
        </w:rPr>
        <w:t>四、技术部分</w:t>
      </w:r>
      <w:bookmarkEnd w:id="83"/>
    </w:p>
    <w:p w14:paraId="292B51AB">
      <w:pPr>
        <w:pStyle w:val="19"/>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格式1：</w:t>
      </w:r>
    </w:p>
    <w:p w14:paraId="67A36F40">
      <w:pPr>
        <w:pStyle w:val="8"/>
        <w:numPr>
          <w:ilvl w:val="0"/>
          <w:numId w:val="0"/>
        </w:numPr>
        <w:spacing w:before="240" w:beforeLines="100"/>
        <w:ind w:left="1021"/>
        <w:jc w:val="center"/>
        <w:rPr>
          <w:rFonts w:ascii="宋体" w:hAnsi="宋体" w:eastAsia="宋体" w:cs="宋体"/>
          <w:color w:val="000000" w:themeColor="text1"/>
          <w:szCs w:val="28"/>
          <w:highlight w:val="none"/>
          <w14:textFill>
            <w14:solidFill>
              <w14:schemeClr w14:val="tx1"/>
            </w14:solidFill>
          </w14:textFill>
        </w:rPr>
      </w:pPr>
      <w:bookmarkStart w:id="84" w:name="_Toc30281"/>
      <w:bookmarkStart w:id="85" w:name="_Toc213141099"/>
      <w:r>
        <w:rPr>
          <w:rFonts w:hint="eastAsia" w:ascii="宋体" w:hAnsi="宋体" w:eastAsia="宋体" w:cs="宋体"/>
          <w:color w:val="000000" w:themeColor="text1"/>
          <w:szCs w:val="28"/>
          <w:highlight w:val="none"/>
          <w14:textFill>
            <w14:solidFill>
              <w14:schemeClr w14:val="tx1"/>
            </w14:solidFill>
          </w14:textFill>
        </w:rPr>
        <w:t>技术规格偏离表</w:t>
      </w:r>
      <w:bookmarkEnd w:id="84"/>
      <w:bookmarkEnd w:id="85"/>
    </w:p>
    <w:p w14:paraId="447C5314">
      <w:pPr>
        <w:rPr>
          <w:rFonts w:ascii="宋体" w:hAnsi="宋体" w:cs="宋体"/>
          <w:color w:val="000000" w:themeColor="text1"/>
          <w:szCs w:val="21"/>
          <w:highlight w:val="none"/>
          <w14:textFill>
            <w14:solidFill>
              <w14:schemeClr w14:val="tx1"/>
            </w14:solidFill>
          </w14:textFill>
        </w:rPr>
      </w:pPr>
    </w:p>
    <w:p w14:paraId="045F7303">
      <w:pPr>
        <w:pStyle w:val="19"/>
        <w:spacing w:line="400" w:lineRule="exact"/>
        <w:ind w:left="420" w:firstLine="5" w:firstLineChars="2"/>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投标人须逐条对应招标文件中要求的技术条款，认真填写本表。</w:t>
      </w:r>
    </w:p>
    <w:p w14:paraId="25239461">
      <w:pPr>
        <w:pStyle w:val="19"/>
        <w:spacing w:line="400" w:lineRule="exact"/>
        <w:ind w:left="420" w:firstLine="5" w:firstLineChars="2"/>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技术条款是指：招标文件第五章《项目需求》中要求的服务要求。</w:t>
      </w:r>
    </w:p>
    <w:p w14:paraId="2EFEC71A">
      <w:pPr>
        <w:pStyle w:val="19"/>
        <w:ind w:firstLine="240" w:firstLineChars="100"/>
        <w:rPr>
          <w:rFonts w:hAnsi="宋体" w:cs="宋体"/>
          <w:color w:val="000000" w:themeColor="text1"/>
          <w:sz w:val="24"/>
          <w:szCs w:val="24"/>
          <w:highlight w:val="none"/>
          <w14:textFill>
            <w14:solidFill>
              <w14:schemeClr w14:val="tx1"/>
            </w14:solidFill>
          </w14:textFill>
        </w:rPr>
      </w:pPr>
    </w:p>
    <w:p w14:paraId="50114740">
      <w:pPr>
        <w:pStyle w:val="19"/>
        <w:ind w:firstLine="241" w:firstLineChars="100"/>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项目名称：</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招标编号：</w:t>
      </w:r>
      <w:r>
        <w:rPr>
          <w:rFonts w:hint="eastAsia" w:hAnsi="宋体" w:cs="宋体"/>
          <w:b/>
          <w:color w:val="000000" w:themeColor="text1"/>
          <w:sz w:val="24"/>
          <w:szCs w:val="24"/>
          <w:highlight w:val="none"/>
          <w:u w:val="singl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p>
    <w:tbl>
      <w:tblPr>
        <w:tblStyle w:val="35"/>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3281"/>
        <w:gridCol w:w="2268"/>
        <w:gridCol w:w="992"/>
        <w:gridCol w:w="2268"/>
      </w:tblGrid>
      <w:tr w14:paraId="6BDD9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1080" w:type="dxa"/>
            <w:vAlign w:val="center"/>
          </w:tcPr>
          <w:p w14:paraId="3BCDC4FC">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3281" w:type="dxa"/>
            <w:vAlign w:val="center"/>
          </w:tcPr>
          <w:p w14:paraId="439844A0">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招标文件要求</w:t>
            </w:r>
          </w:p>
        </w:tc>
        <w:tc>
          <w:tcPr>
            <w:tcW w:w="2268" w:type="dxa"/>
            <w:vAlign w:val="center"/>
          </w:tcPr>
          <w:p w14:paraId="7E808673">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投标响应</w:t>
            </w:r>
          </w:p>
        </w:tc>
        <w:tc>
          <w:tcPr>
            <w:tcW w:w="992" w:type="dxa"/>
            <w:vAlign w:val="center"/>
          </w:tcPr>
          <w:p w14:paraId="0EAF3788">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偏离</w:t>
            </w:r>
          </w:p>
        </w:tc>
        <w:tc>
          <w:tcPr>
            <w:tcW w:w="2268" w:type="dxa"/>
            <w:vAlign w:val="center"/>
          </w:tcPr>
          <w:p w14:paraId="3BDA0172">
            <w:pPr>
              <w:ind w:right="71" w:rightChars="34"/>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技术支持资料索引（页码及条目号等）</w:t>
            </w:r>
          </w:p>
        </w:tc>
      </w:tr>
      <w:tr w14:paraId="3800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1080" w:type="dxa"/>
            <w:vAlign w:val="center"/>
          </w:tcPr>
          <w:p w14:paraId="5019D09C">
            <w:pPr>
              <w:spacing w:line="360" w:lineRule="auto"/>
              <w:jc w:val="center"/>
              <w:rPr>
                <w:rFonts w:ascii="宋体" w:hAnsi="宋体" w:cs="宋体"/>
                <w:color w:val="000000" w:themeColor="text1"/>
                <w:szCs w:val="21"/>
                <w:highlight w:val="none"/>
                <w14:textFill>
                  <w14:solidFill>
                    <w14:schemeClr w14:val="tx1"/>
                  </w14:solidFill>
                </w14:textFill>
              </w:rPr>
            </w:pPr>
          </w:p>
        </w:tc>
        <w:tc>
          <w:tcPr>
            <w:tcW w:w="3281" w:type="dxa"/>
            <w:vAlign w:val="center"/>
          </w:tcPr>
          <w:p w14:paraId="2749DF09">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62AB2506">
            <w:pPr>
              <w:spacing w:line="360" w:lineRule="auto"/>
              <w:jc w:val="center"/>
              <w:rPr>
                <w:rFonts w:ascii="宋体" w:hAnsi="宋体" w:cs="宋体"/>
                <w:color w:val="000000" w:themeColor="text1"/>
                <w:szCs w:val="21"/>
                <w:highlight w:val="none"/>
                <w14:textFill>
                  <w14:solidFill>
                    <w14:schemeClr w14:val="tx1"/>
                  </w14:solidFill>
                </w14:textFill>
              </w:rPr>
            </w:pPr>
          </w:p>
        </w:tc>
        <w:tc>
          <w:tcPr>
            <w:tcW w:w="992" w:type="dxa"/>
          </w:tcPr>
          <w:p w14:paraId="50E869D7">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0D679DAC">
            <w:pPr>
              <w:spacing w:line="360" w:lineRule="auto"/>
              <w:jc w:val="center"/>
              <w:rPr>
                <w:rFonts w:ascii="宋体" w:hAnsi="宋体" w:cs="宋体"/>
                <w:color w:val="000000" w:themeColor="text1"/>
                <w:szCs w:val="21"/>
                <w:highlight w:val="none"/>
                <w14:textFill>
                  <w14:solidFill>
                    <w14:schemeClr w14:val="tx1"/>
                  </w14:solidFill>
                </w14:textFill>
              </w:rPr>
            </w:pPr>
          </w:p>
        </w:tc>
      </w:tr>
      <w:tr w14:paraId="0DF6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1080" w:type="dxa"/>
            <w:vAlign w:val="center"/>
          </w:tcPr>
          <w:p w14:paraId="469C4888">
            <w:pPr>
              <w:spacing w:line="360" w:lineRule="auto"/>
              <w:jc w:val="center"/>
              <w:rPr>
                <w:rFonts w:ascii="宋体" w:hAnsi="宋体" w:cs="宋体"/>
                <w:color w:val="000000" w:themeColor="text1"/>
                <w:szCs w:val="21"/>
                <w:highlight w:val="none"/>
                <w14:textFill>
                  <w14:solidFill>
                    <w14:schemeClr w14:val="tx1"/>
                  </w14:solidFill>
                </w14:textFill>
              </w:rPr>
            </w:pPr>
          </w:p>
        </w:tc>
        <w:tc>
          <w:tcPr>
            <w:tcW w:w="3281" w:type="dxa"/>
            <w:vAlign w:val="center"/>
          </w:tcPr>
          <w:p w14:paraId="25000FC0">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7CE084DC">
            <w:pPr>
              <w:spacing w:line="360" w:lineRule="auto"/>
              <w:jc w:val="center"/>
              <w:rPr>
                <w:rFonts w:ascii="宋体" w:hAnsi="宋体" w:cs="宋体"/>
                <w:color w:val="000000" w:themeColor="text1"/>
                <w:szCs w:val="21"/>
                <w:highlight w:val="none"/>
                <w14:textFill>
                  <w14:solidFill>
                    <w14:schemeClr w14:val="tx1"/>
                  </w14:solidFill>
                </w14:textFill>
              </w:rPr>
            </w:pPr>
          </w:p>
        </w:tc>
        <w:tc>
          <w:tcPr>
            <w:tcW w:w="992" w:type="dxa"/>
          </w:tcPr>
          <w:p w14:paraId="03247E3F">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654E3A6E">
            <w:pPr>
              <w:spacing w:line="360" w:lineRule="auto"/>
              <w:jc w:val="center"/>
              <w:rPr>
                <w:rFonts w:ascii="宋体" w:hAnsi="宋体" w:cs="宋体"/>
                <w:color w:val="000000" w:themeColor="text1"/>
                <w:szCs w:val="21"/>
                <w:highlight w:val="none"/>
                <w14:textFill>
                  <w14:solidFill>
                    <w14:schemeClr w14:val="tx1"/>
                  </w14:solidFill>
                </w14:textFill>
              </w:rPr>
            </w:pPr>
          </w:p>
        </w:tc>
      </w:tr>
      <w:tr w14:paraId="5C5A1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1080" w:type="dxa"/>
            <w:vAlign w:val="center"/>
          </w:tcPr>
          <w:p w14:paraId="107CAC40">
            <w:pPr>
              <w:spacing w:line="360" w:lineRule="auto"/>
              <w:jc w:val="center"/>
              <w:rPr>
                <w:rFonts w:ascii="宋体" w:hAnsi="宋体" w:cs="宋体"/>
                <w:color w:val="000000" w:themeColor="text1"/>
                <w:szCs w:val="21"/>
                <w:highlight w:val="none"/>
                <w14:textFill>
                  <w14:solidFill>
                    <w14:schemeClr w14:val="tx1"/>
                  </w14:solidFill>
                </w14:textFill>
              </w:rPr>
            </w:pPr>
          </w:p>
        </w:tc>
        <w:tc>
          <w:tcPr>
            <w:tcW w:w="3281" w:type="dxa"/>
            <w:vAlign w:val="center"/>
          </w:tcPr>
          <w:p w14:paraId="47C86B14">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3D26A8B9">
            <w:pPr>
              <w:spacing w:line="360" w:lineRule="auto"/>
              <w:jc w:val="center"/>
              <w:rPr>
                <w:rFonts w:ascii="宋体" w:hAnsi="宋体" w:cs="宋体"/>
                <w:color w:val="000000" w:themeColor="text1"/>
                <w:szCs w:val="21"/>
                <w:highlight w:val="none"/>
                <w14:textFill>
                  <w14:solidFill>
                    <w14:schemeClr w14:val="tx1"/>
                  </w14:solidFill>
                </w14:textFill>
              </w:rPr>
            </w:pPr>
          </w:p>
        </w:tc>
        <w:tc>
          <w:tcPr>
            <w:tcW w:w="992" w:type="dxa"/>
          </w:tcPr>
          <w:p w14:paraId="306511A5">
            <w:pPr>
              <w:spacing w:line="360" w:lineRule="auto"/>
              <w:jc w:val="center"/>
              <w:rPr>
                <w:rFonts w:ascii="宋体" w:hAnsi="宋体" w:cs="宋体"/>
                <w:color w:val="000000" w:themeColor="text1"/>
                <w:szCs w:val="21"/>
                <w:highlight w:val="none"/>
                <w14:textFill>
                  <w14:solidFill>
                    <w14:schemeClr w14:val="tx1"/>
                  </w14:solidFill>
                </w14:textFill>
              </w:rPr>
            </w:pPr>
          </w:p>
        </w:tc>
        <w:tc>
          <w:tcPr>
            <w:tcW w:w="2268" w:type="dxa"/>
            <w:vAlign w:val="center"/>
          </w:tcPr>
          <w:p w14:paraId="5DC821D1">
            <w:pPr>
              <w:spacing w:line="360" w:lineRule="auto"/>
              <w:jc w:val="center"/>
              <w:rPr>
                <w:rFonts w:ascii="宋体" w:hAnsi="宋体" w:cs="宋体"/>
                <w:color w:val="000000" w:themeColor="text1"/>
                <w:szCs w:val="21"/>
                <w:highlight w:val="none"/>
                <w14:textFill>
                  <w14:solidFill>
                    <w14:schemeClr w14:val="tx1"/>
                  </w14:solidFill>
                </w14:textFill>
              </w:rPr>
            </w:pPr>
          </w:p>
        </w:tc>
      </w:tr>
    </w:tbl>
    <w:p w14:paraId="0BB56F23">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w:t>
      </w:r>
    </w:p>
    <w:p w14:paraId="062D333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上表中“偏离”一列，投标人须如实填写“正偏离”、“负偏离”或“无偏离”。凡投标内容高于招标文件要求的，按“正偏离”填写；低于招标文件要求的，按“负偏离”填写；满足招标文件要求的，按“无偏离”填写。</w:t>
      </w:r>
    </w:p>
    <w:p w14:paraId="2EA254E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2、上表“序号”一列，应对应在第五章《项目需求》服务要求中的序号。</w:t>
      </w:r>
    </w:p>
    <w:p w14:paraId="715658E6">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3、各投标人必须对招标文件第五章《项目需求》中的服务要求，逐条作出全面、真实的反映。</w:t>
      </w:r>
    </w:p>
    <w:p w14:paraId="1793938E">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4.投标人应将支持该项技术要求响应的技术支持资料在投标文件中的索引（页码或条目号等）标注在“技术支持资料索引”一栏中。</w:t>
      </w:r>
    </w:p>
    <w:p w14:paraId="28D708F8">
      <w:pPr>
        <w:pStyle w:val="19"/>
        <w:spacing w:line="600" w:lineRule="exact"/>
        <w:jc w:val="left"/>
        <w:rPr>
          <w:rFonts w:hAnsi="宋体" w:cs="宋体"/>
          <w:b/>
          <w:color w:val="000000" w:themeColor="text1"/>
          <w:sz w:val="28"/>
          <w:szCs w:val="28"/>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br w:type="page"/>
      </w:r>
      <w:r>
        <w:rPr>
          <w:rFonts w:hint="eastAsia" w:hAnsi="宋体" w:cs="宋体"/>
          <w:b/>
          <w:color w:val="000000" w:themeColor="text1"/>
          <w:sz w:val="28"/>
          <w:szCs w:val="28"/>
          <w:highlight w:val="none"/>
          <w14:textFill>
            <w14:solidFill>
              <w14:schemeClr w14:val="tx1"/>
            </w14:solidFill>
          </w14:textFill>
        </w:rPr>
        <w:t>格式2：</w:t>
      </w:r>
      <w:r>
        <w:rPr>
          <w:rFonts w:hint="eastAsia" w:hAnsi="宋体" w:cs="宋体"/>
          <w:b/>
          <w:bCs/>
          <w:color w:val="000000" w:themeColor="text1"/>
          <w:sz w:val="28"/>
          <w:szCs w:val="28"/>
          <w:highlight w:val="none"/>
          <w14:textFill>
            <w14:solidFill>
              <w14:schemeClr w14:val="tx1"/>
            </w14:solidFill>
          </w14:textFill>
        </w:rPr>
        <w:t>项目管理机构</w:t>
      </w:r>
      <w:r>
        <w:rPr>
          <w:rFonts w:hint="eastAsia" w:hAnsi="宋体" w:cs="宋体"/>
          <w:b/>
          <w:color w:val="000000" w:themeColor="text1"/>
          <w:sz w:val="28"/>
          <w:szCs w:val="28"/>
          <w:highlight w:val="none"/>
          <w14:textFill>
            <w14:solidFill>
              <w14:schemeClr w14:val="tx1"/>
            </w14:solidFill>
          </w14:textFill>
        </w:rPr>
        <w:t>配置</w:t>
      </w:r>
    </w:p>
    <w:p w14:paraId="1C99BB48">
      <w:pPr>
        <w:rPr>
          <w:rFonts w:ascii="宋体" w:hAnsi="宋体" w:cs="宋体"/>
          <w:color w:val="000000" w:themeColor="text1"/>
          <w:highlight w:val="none"/>
          <w14:textFill>
            <w14:solidFill>
              <w14:schemeClr w14:val="tx1"/>
            </w14:solidFill>
          </w14:textFill>
        </w:rPr>
      </w:pPr>
    </w:p>
    <w:p w14:paraId="553E2B69">
      <w:pPr>
        <w:spacing w:before="240" w:beforeLines="100" w:after="120" w:afterLines="50"/>
        <w:ind w:firstLine="562" w:firstLineChars="200"/>
        <w:jc w:val="center"/>
        <w:outlineLvl w:val="2"/>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项目管理机构</w:t>
      </w:r>
    </w:p>
    <w:p w14:paraId="0435D286">
      <w:pPr>
        <w:spacing w:after="240" w:afterLines="100" w:line="420" w:lineRule="exact"/>
        <w:ind w:firstLine="560" w:firstLineChars="20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（1）项目管理机构组成表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8"/>
        <w:gridCol w:w="704"/>
        <w:gridCol w:w="706"/>
        <w:gridCol w:w="1365"/>
        <w:gridCol w:w="14"/>
        <w:gridCol w:w="1166"/>
        <w:gridCol w:w="972"/>
        <w:gridCol w:w="1320"/>
        <w:gridCol w:w="2351"/>
        <w:gridCol w:w="840"/>
      </w:tblGrid>
      <w:tr w14:paraId="45E9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5" w:type="pct"/>
            <w:gridSpan w:val="2"/>
            <w:vMerge w:val="restart"/>
            <w:vAlign w:val="center"/>
          </w:tcPr>
          <w:p w14:paraId="5B09420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347" w:type="pct"/>
            <w:vMerge w:val="restart"/>
            <w:vAlign w:val="center"/>
          </w:tcPr>
          <w:p w14:paraId="27A0386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348" w:type="pct"/>
            <w:vMerge w:val="restart"/>
            <w:vAlign w:val="center"/>
          </w:tcPr>
          <w:p w14:paraId="49AB1A5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3544" w:type="pct"/>
            <w:gridSpan w:val="6"/>
            <w:vAlign w:val="center"/>
          </w:tcPr>
          <w:p w14:paraId="6510ACC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执业或职业资格证明</w:t>
            </w:r>
          </w:p>
        </w:tc>
        <w:tc>
          <w:tcPr>
            <w:tcW w:w="414" w:type="pct"/>
            <w:vAlign w:val="center"/>
          </w:tcPr>
          <w:p w14:paraId="0F7A8B6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5146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5" w:type="pct"/>
            <w:gridSpan w:val="2"/>
            <w:vMerge w:val="continue"/>
            <w:vAlign w:val="center"/>
          </w:tcPr>
          <w:p w14:paraId="2F89FD49">
            <w:pPr>
              <w:ind w:firstLine="480" w:firstLineChars="200"/>
              <w:jc w:val="center"/>
              <w:rPr>
                <w:rFonts w:ascii="宋体" w:hAnsi="宋体" w:cs="宋体"/>
                <w:color w:val="000000" w:themeColor="text1"/>
                <w:sz w:val="24"/>
                <w:highlight w:val="none"/>
                <w14:textFill>
                  <w14:solidFill>
                    <w14:schemeClr w14:val="tx1"/>
                  </w14:solidFill>
                </w14:textFill>
              </w:rPr>
            </w:pPr>
          </w:p>
        </w:tc>
        <w:tc>
          <w:tcPr>
            <w:tcW w:w="347" w:type="pct"/>
            <w:vMerge w:val="continue"/>
            <w:vAlign w:val="center"/>
          </w:tcPr>
          <w:p w14:paraId="5EC5009D">
            <w:pPr>
              <w:ind w:firstLine="480" w:firstLineChars="200"/>
              <w:jc w:val="center"/>
              <w:rPr>
                <w:rFonts w:ascii="宋体" w:hAnsi="宋体" w:cs="宋体"/>
                <w:color w:val="000000" w:themeColor="text1"/>
                <w:sz w:val="24"/>
                <w:highlight w:val="none"/>
                <w14:textFill>
                  <w14:solidFill>
                    <w14:schemeClr w14:val="tx1"/>
                  </w14:solidFill>
                </w14:textFill>
              </w:rPr>
            </w:pPr>
          </w:p>
        </w:tc>
        <w:tc>
          <w:tcPr>
            <w:tcW w:w="348" w:type="pct"/>
            <w:vMerge w:val="continue"/>
            <w:vAlign w:val="center"/>
          </w:tcPr>
          <w:p w14:paraId="1937009A">
            <w:pPr>
              <w:ind w:firstLine="480" w:firstLineChars="200"/>
              <w:jc w:val="center"/>
              <w:rPr>
                <w:rFonts w:ascii="宋体" w:hAnsi="宋体" w:cs="宋体"/>
                <w:color w:val="000000" w:themeColor="text1"/>
                <w:sz w:val="24"/>
                <w:highlight w:val="none"/>
                <w14:textFill>
                  <w14:solidFill>
                    <w14:schemeClr w14:val="tx1"/>
                  </w14:solidFill>
                </w14:textFill>
              </w:rPr>
            </w:pPr>
          </w:p>
        </w:tc>
        <w:tc>
          <w:tcPr>
            <w:tcW w:w="680" w:type="pct"/>
            <w:gridSpan w:val="2"/>
            <w:vAlign w:val="center"/>
          </w:tcPr>
          <w:p w14:paraId="2497404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证书名称</w:t>
            </w:r>
          </w:p>
        </w:tc>
        <w:tc>
          <w:tcPr>
            <w:tcW w:w="575" w:type="pct"/>
            <w:vAlign w:val="center"/>
          </w:tcPr>
          <w:p w14:paraId="7B54B22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级别</w:t>
            </w:r>
          </w:p>
        </w:tc>
        <w:tc>
          <w:tcPr>
            <w:tcW w:w="479" w:type="pct"/>
            <w:vAlign w:val="center"/>
          </w:tcPr>
          <w:p w14:paraId="196F7BD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证号</w:t>
            </w:r>
          </w:p>
        </w:tc>
        <w:tc>
          <w:tcPr>
            <w:tcW w:w="651" w:type="pct"/>
            <w:vAlign w:val="center"/>
          </w:tcPr>
          <w:p w14:paraId="7597553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1158" w:type="pct"/>
            <w:vAlign w:val="center"/>
          </w:tcPr>
          <w:p w14:paraId="41B35FF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养老保险</w:t>
            </w:r>
          </w:p>
        </w:tc>
        <w:tc>
          <w:tcPr>
            <w:tcW w:w="414" w:type="pct"/>
            <w:vAlign w:val="center"/>
          </w:tcPr>
          <w:p w14:paraId="08646668">
            <w:pPr>
              <w:ind w:firstLine="480" w:firstLineChars="200"/>
              <w:jc w:val="center"/>
              <w:rPr>
                <w:rFonts w:ascii="宋体" w:hAnsi="宋体" w:cs="宋体"/>
                <w:color w:val="000000" w:themeColor="text1"/>
                <w:sz w:val="24"/>
                <w:highlight w:val="none"/>
                <w14:textFill>
                  <w14:solidFill>
                    <w14:schemeClr w14:val="tx1"/>
                  </w14:solidFill>
                </w14:textFill>
              </w:rPr>
            </w:pPr>
          </w:p>
        </w:tc>
      </w:tr>
      <w:tr w14:paraId="0B57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132BA43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247577C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43EBEC82">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7D8D2C0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5EFC5CF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6C21598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5DB4F49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7506C5A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5DC9D37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2D13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62A5FE7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7C9B725B">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774F21A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0A1B4DF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3166F0DE">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4EF060A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1098FC4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03F3F4A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78E852B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14FC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6DC3B2E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70A7F33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0BC22B1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506AAB6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224A155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5DBC3FCE">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53F5AFD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5917FD2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0FF1E0E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1C9B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3DB1DBE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76DF269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3D75D9A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4EEF2CA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32FB640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54096E2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2A3B379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57FCF5B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435DFE9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506E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3D211A6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0C9C566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3C24D12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06BBDE5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2B13E25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6DB2216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5E81C992">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49B54FA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27B0467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7993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25CCACA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6AF2012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4F0D285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7B0BB90B">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5C03AA5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2974FB1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0FA70A9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42ECAB2E">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08CF216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4244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166D7DD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230441D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3639EF6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58FF0DDB">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0AD1DBF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2C60A31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45F912F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58B73AA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65D5A40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4F69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5D187BE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3BA7031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4292DF4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3CA1D24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416B8B0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704A003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6717ABD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67C084B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1100576E">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291A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0D72081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277D790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5142596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0F78BA4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0DF50F12">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1536285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53003E3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72E86E5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653FC19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4976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3A314C3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62E9BC8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65B6756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65BC907B">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763F581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5DC64D33">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0081745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0CE73A2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05CCB36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6377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1EEC4FB2">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554D40D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0CDF5873">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5BD678D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70556E0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482DECA2">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1EA09A3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456A4AA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1D1B8D7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557F9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3F81303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268D2FC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4A4DA3D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797AC0D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1352C91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58AEEBD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5607FA0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524F67F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06C7FC16">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4395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036B182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541CFF7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258EA8E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05E96F4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022E554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2E9FB9C9">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29145FA8">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5C526BE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36E0AE0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10C9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77DAEDC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6AD190C1">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70911F3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5B19061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0C87B96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756AF17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008C331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629F6507">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1A77628E">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r w14:paraId="2A9D2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1" w:type="pct"/>
            <w:vAlign w:val="center"/>
          </w:tcPr>
          <w:p w14:paraId="36D8DCFA">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51" w:type="pct"/>
            <w:gridSpan w:val="2"/>
            <w:vAlign w:val="center"/>
          </w:tcPr>
          <w:p w14:paraId="0DDAB28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348" w:type="pct"/>
            <w:vAlign w:val="center"/>
          </w:tcPr>
          <w:p w14:paraId="6AB8B1B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73" w:type="pct"/>
            <w:vAlign w:val="center"/>
          </w:tcPr>
          <w:p w14:paraId="3B803C40">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582" w:type="pct"/>
            <w:gridSpan w:val="2"/>
            <w:vAlign w:val="center"/>
          </w:tcPr>
          <w:p w14:paraId="37FF80F4">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79" w:type="pct"/>
            <w:vAlign w:val="center"/>
          </w:tcPr>
          <w:p w14:paraId="48ECE7A5">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651" w:type="pct"/>
            <w:vAlign w:val="center"/>
          </w:tcPr>
          <w:p w14:paraId="62482FCD">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1158" w:type="pct"/>
            <w:vAlign w:val="center"/>
          </w:tcPr>
          <w:p w14:paraId="1AED94CC">
            <w:pPr>
              <w:ind w:firstLine="560" w:firstLineChars="200"/>
              <w:jc w:val="center"/>
              <w:rPr>
                <w:rFonts w:ascii="宋体" w:hAnsi="宋体" w:cs="宋体"/>
                <w:color w:val="000000" w:themeColor="text1"/>
                <w:sz w:val="28"/>
                <w:szCs w:val="28"/>
                <w:highlight w:val="none"/>
                <w14:textFill>
                  <w14:solidFill>
                    <w14:schemeClr w14:val="tx1"/>
                  </w14:solidFill>
                </w14:textFill>
              </w:rPr>
            </w:pPr>
          </w:p>
        </w:tc>
        <w:tc>
          <w:tcPr>
            <w:tcW w:w="413" w:type="pct"/>
            <w:vAlign w:val="center"/>
          </w:tcPr>
          <w:p w14:paraId="4EDBAEEF">
            <w:pPr>
              <w:ind w:firstLine="560" w:firstLineChars="200"/>
              <w:jc w:val="center"/>
              <w:rPr>
                <w:rFonts w:ascii="宋体" w:hAnsi="宋体" w:cs="宋体"/>
                <w:color w:val="000000" w:themeColor="text1"/>
                <w:sz w:val="28"/>
                <w:szCs w:val="28"/>
                <w:highlight w:val="none"/>
                <w14:textFill>
                  <w14:solidFill>
                    <w14:schemeClr w14:val="tx1"/>
                  </w14:solidFill>
                </w14:textFill>
              </w:rPr>
            </w:pPr>
          </w:p>
        </w:tc>
      </w:tr>
    </w:tbl>
    <w:p w14:paraId="14706A11">
      <w:pPr>
        <w:spacing w:line="360" w:lineRule="auto"/>
        <w:rPr>
          <w:rFonts w:ascii="宋体" w:hAnsi="宋体" w:cs="宋体"/>
          <w:color w:val="000000" w:themeColor="text1"/>
          <w:szCs w:val="21"/>
          <w:highlight w:val="none"/>
          <w14:textFill>
            <w14:solidFill>
              <w14:schemeClr w14:val="tx1"/>
            </w14:solidFill>
          </w14:textFill>
        </w:rPr>
      </w:pPr>
    </w:p>
    <w:p w14:paraId="71C7C02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说明：相关资质证书（如有）等证明材料附后。</w:t>
      </w:r>
    </w:p>
    <w:p w14:paraId="4DBB0EA2">
      <w:pPr>
        <w:jc w:val="center"/>
        <w:rPr>
          <w:rFonts w:ascii="宋体" w:hAnsi="宋体" w:cs="宋体"/>
          <w:color w:val="000000" w:themeColor="text1"/>
          <w:highlight w:val="none"/>
          <w14:textFill>
            <w14:solidFill>
              <w14:schemeClr w14:val="tx1"/>
            </w14:solidFill>
          </w14:textFill>
        </w:rPr>
      </w:pPr>
    </w:p>
    <w:p w14:paraId="080CC653">
      <w:pPr>
        <w:pStyle w:val="19"/>
        <w:spacing w:line="276" w:lineRule="auto"/>
        <w:rPr>
          <w:rFonts w:hAnsi="宋体" w:cs="宋体"/>
          <w:color w:val="000000" w:themeColor="text1"/>
          <w:highlight w:val="none"/>
          <w14:textFill>
            <w14:solidFill>
              <w14:schemeClr w14:val="tx1"/>
            </w14:solidFill>
          </w14:textFill>
        </w:rPr>
      </w:pPr>
    </w:p>
    <w:p w14:paraId="0C368CDC">
      <w:pPr>
        <w:pStyle w:val="19"/>
        <w:spacing w:line="276" w:lineRule="auto"/>
        <w:rPr>
          <w:rFonts w:hAnsi="宋体" w:cs="宋体"/>
          <w:color w:val="000000" w:themeColor="text1"/>
          <w:highlight w:val="none"/>
          <w14:textFill>
            <w14:solidFill>
              <w14:schemeClr w14:val="tx1"/>
            </w14:solidFill>
          </w14:textFill>
        </w:rPr>
      </w:pPr>
    </w:p>
    <w:p w14:paraId="028B3985">
      <w:pPr>
        <w:pStyle w:val="19"/>
        <w:spacing w:line="600" w:lineRule="exact"/>
        <w:rPr>
          <w:rFonts w:hAnsi="宋体" w:cs="宋体"/>
          <w:b/>
          <w:color w:val="000000" w:themeColor="text1"/>
          <w:szCs w:val="21"/>
          <w:highlight w:val="none"/>
          <w14:textFill>
            <w14:solidFill>
              <w14:schemeClr w14:val="tx1"/>
            </w14:solidFill>
          </w14:textFill>
        </w:rPr>
      </w:pPr>
    </w:p>
    <w:p w14:paraId="637CE8E6">
      <w:pPr>
        <w:pStyle w:val="19"/>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br w:type="page"/>
      </w:r>
      <w:r>
        <w:rPr>
          <w:rFonts w:hint="eastAsia" w:hAnsi="宋体" w:cs="宋体"/>
          <w:b/>
          <w:color w:val="000000" w:themeColor="text1"/>
          <w:sz w:val="28"/>
          <w:szCs w:val="28"/>
          <w:highlight w:val="none"/>
          <w14:textFill>
            <w14:solidFill>
              <w14:schemeClr w14:val="tx1"/>
            </w14:solidFill>
          </w14:textFill>
        </w:rPr>
        <w:t>格式3：</w:t>
      </w:r>
    </w:p>
    <w:p w14:paraId="145494BC">
      <w:pPr>
        <w:pStyle w:val="8"/>
        <w:numPr>
          <w:ilvl w:val="0"/>
          <w:numId w:val="0"/>
        </w:numPr>
        <w:ind w:left="425"/>
        <w:jc w:val="center"/>
        <w:rPr>
          <w:rFonts w:ascii="宋体" w:hAnsi="宋体" w:eastAsia="宋体" w:cs="宋体"/>
          <w:color w:val="000000" w:themeColor="text1"/>
          <w:szCs w:val="28"/>
          <w:highlight w:val="none"/>
          <w14:textFill>
            <w14:solidFill>
              <w14:schemeClr w14:val="tx1"/>
            </w14:solidFill>
          </w14:textFill>
        </w:rPr>
      </w:pPr>
      <w:bookmarkStart w:id="86" w:name="_Toc10019"/>
      <w:r>
        <w:rPr>
          <w:rFonts w:hint="eastAsia" w:ascii="宋体" w:hAnsi="宋体" w:eastAsia="宋体" w:cs="宋体"/>
          <w:color w:val="000000" w:themeColor="text1"/>
          <w:szCs w:val="28"/>
          <w:highlight w:val="none"/>
          <w14:textFill>
            <w14:solidFill>
              <w14:schemeClr w14:val="tx1"/>
            </w14:solidFill>
          </w14:textFill>
        </w:rPr>
        <w:t>技 术 文 件</w:t>
      </w:r>
      <w:bookmarkEnd w:id="86"/>
    </w:p>
    <w:p w14:paraId="34D113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应包括（但不限于）以下内容：</w:t>
      </w:r>
    </w:p>
    <w:p w14:paraId="0642230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（1）总体服务技术方案大纲</w:t>
      </w:r>
    </w:p>
    <w:p w14:paraId="646A534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（2）应急响应措施</w:t>
      </w:r>
    </w:p>
    <w:p w14:paraId="2857FF5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（3）质量管理体系与措施</w:t>
      </w:r>
    </w:p>
    <w:p w14:paraId="0EDFA60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（4）售后服务方案内容</w:t>
      </w:r>
    </w:p>
    <w:p w14:paraId="51DE8F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（5）安全管理体系与措施</w:t>
      </w:r>
    </w:p>
    <w:p w14:paraId="6E26ED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（6）项目管理机构配置</w:t>
      </w:r>
    </w:p>
    <w:p w14:paraId="030D2529">
      <w:pPr>
        <w:spacing w:line="360" w:lineRule="auto"/>
        <w:ind w:firstLine="420" w:firstLineChars="20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b/>
          <w:color w:val="000000" w:themeColor="text1"/>
          <w:sz w:val="28"/>
          <w:szCs w:val="28"/>
          <w:highlight w:val="none"/>
          <w14:textFill>
            <w14:solidFill>
              <w14:schemeClr w14:val="tx1"/>
            </w14:solidFill>
          </w14:textFill>
        </w:rPr>
        <w:t>格式4：</w:t>
      </w:r>
    </w:p>
    <w:p w14:paraId="4F00D0C3">
      <w:pPr>
        <w:pStyle w:val="8"/>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87" w:name="_Toc20901"/>
      <w:r>
        <w:rPr>
          <w:rFonts w:hint="eastAsia" w:ascii="宋体" w:hAnsi="宋体" w:eastAsia="宋体" w:cs="宋体"/>
          <w:color w:val="000000" w:themeColor="text1"/>
          <w:szCs w:val="28"/>
          <w:highlight w:val="none"/>
          <w14:textFill>
            <w14:solidFill>
              <w14:schemeClr w14:val="tx1"/>
            </w14:solidFill>
          </w14:textFill>
        </w:rPr>
        <w:t>构成投标文件技术部分的其他资料</w:t>
      </w:r>
      <w:bookmarkEnd w:id="87"/>
    </w:p>
    <w:p w14:paraId="1951BF7B">
      <w:pPr>
        <w:spacing w:line="360" w:lineRule="auto"/>
        <w:jc w:val="center"/>
        <w:rPr>
          <w:rFonts w:ascii="宋体" w:hAnsi="宋体" w:cs="宋体"/>
          <w:color w:val="000000" w:themeColor="text1"/>
          <w:szCs w:val="21"/>
          <w:highlight w:val="none"/>
          <w14:textFill>
            <w14:solidFill>
              <w14:schemeClr w14:val="tx1"/>
            </w14:solidFill>
          </w14:textFill>
        </w:rPr>
      </w:pPr>
    </w:p>
    <w:p w14:paraId="01FD764B">
      <w:pPr>
        <w:pStyle w:val="19"/>
        <w:spacing w:line="360" w:lineRule="auto"/>
        <w:ind w:firstLine="211" w:firstLineChars="100"/>
        <w:jc w:val="left"/>
        <w:rPr>
          <w:rFonts w:hAnsi="宋体" w:cs="宋体"/>
          <w:b/>
          <w:bCs/>
          <w:color w:val="000000" w:themeColor="text1"/>
          <w:szCs w:val="21"/>
          <w:highlight w:val="none"/>
          <w14:textFill>
            <w14:solidFill>
              <w14:schemeClr w14:val="tx1"/>
            </w14:solidFill>
          </w14:textFill>
        </w:rPr>
      </w:pPr>
    </w:p>
    <w:p w14:paraId="73CE8DB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投标人认为应当提交的其他技术部分资料，格式自拟。</w:t>
      </w:r>
    </w:p>
    <w:p w14:paraId="5DC60FCC">
      <w:pPr>
        <w:spacing w:line="588"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14:paraId="1CA3BC34">
      <w:pPr>
        <w:pStyle w:val="7"/>
        <w:numPr>
          <w:ilvl w:val="0"/>
          <w:numId w:val="0"/>
        </w:numPr>
        <w:jc w:val="center"/>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bookmarkStart w:id="88" w:name="_Toc27938"/>
      <w:bookmarkStart w:id="89" w:name="_Hlk36142337"/>
      <w:r>
        <w:rPr>
          <w:rFonts w:hint="eastAsia" w:ascii="宋体" w:hAnsi="宋体" w:eastAsia="宋体" w:cs="宋体"/>
          <w:color w:val="000000" w:themeColor="text1"/>
          <w:szCs w:val="28"/>
          <w:highlight w:val="none"/>
          <w14:textFill>
            <w14:solidFill>
              <w14:schemeClr w14:val="tx1"/>
            </w14:solidFill>
          </w14:textFill>
        </w:rPr>
        <w:t>第五章  项目需求</w:t>
      </w:r>
      <w:bookmarkEnd w:id="88"/>
    </w:p>
    <w:bookmarkEnd w:id="89"/>
    <w:p w14:paraId="5288682D">
      <w:pPr>
        <w:rPr>
          <w:sz w:val="24"/>
          <w:szCs w:val="32"/>
          <w:highlight w:val="none"/>
        </w:rPr>
      </w:pPr>
      <w:bookmarkStart w:id="90" w:name="_Toc20365"/>
      <w:bookmarkStart w:id="91" w:name="_Toc21642"/>
    </w:p>
    <w:p w14:paraId="1B5D77BE">
      <w:pPr>
        <w:rPr>
          <w:sz w:val="24"/>
          <w:szCs w:val="32"/>
          <w:highlight w:val="none"/>
        </w:rPr>
      </w:pPr>
      <w:r>
        <w:rPr>
          <w:rFonts w:hint="eastAsia"/>
          <w:sz w:val="24"/>
          <w:szCs w:val="32"/>
          <w:highlight w:val="none"/>
        </w:rPr>
        <w:t>一、本服务项目涉及货物：</w:t>
      </w:r>
    </w:p>
    <w:tbl>
      <w:tblPr>
        <w:tblStyle w:val="36"/>
        <w:tblpPr w:leftFromText="180" w:rightFromText="180" w:vertAnchor="text" w:tblpX="260" w:tblpY="11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5"/>
        <w:gridCol w:w="4980"/>
        <w:gridCol w:w="1725"/>
      </w:tblGrid>
      <w:tr w14:paraId="6B54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35" w:type="dxa"/>
            <w:vAlign w:val="center"/>
          </w:tcPr>
          <w:p w14:paraId="0F6BDA4F">
            <w:pPr>
              <w:jc w:val="center"/>
              <w:rPr>
                <w:sz w:val="24"/>
                <w:szCs w:val="32"/>
                <w:highlight w:val="none"/>
              </w:rPr>
            </w:pPr>
            <w:r>
              <w:rPr>
                <w:rFonts w:hint="eastAsia"/>
                <w:sz w:val="24"/>
                <w:szCs w:val="32"/>
                <w:highlight w:val="none"/>
              </w:rPr>
              <w:t>序号</w:t>
            </w:r>
          </w:p>
        </w:tc>
        <w:tc>
          <w:tcPr>
            <w:tcW w:w="4980" w:type="dxa"/>
            <w:vAlign w:val="center"/>
          </w:tcPr>
          <w:p w14:paraId="3F46CC5F">
            <w:pPr>
              <w:jc w:val="center"/>
              <w:rPr>
                <w:sz w:val="24"/>
                <w:szCs w:val="32"/>
                <w:highlight w:val="none"/>
              </w:rPr>
            </w:pPr>
            <w:r>
              <w:rPr>
                <w:rFonts w:hint="eastAsia"/>
                <w:sz w:val="24"/>
                <w:szCs w:val="32"/>
                <w:highlight w:val="none"/>
              </w:rPr>
              <w:t>货物名称</w:t>
            </w:r>
          </w:p>
        </w:tc>
        <w:tc>
          <w:tcPr>
            <w:tcW w:w="1725" w:type="dxa"/>
            <w:vAlign w:val="center"/>
          </w:tcPr>
          <w:p w14:paraId="444FAD60">
            <w:pPr>
              <w:jc w:val="center"/>
              <w:rPr>
                <w:sz w:val="24"/>
                <w:szCs w:val="32"/>
                <w:highlight w:val="none"/>
              </w:rPr>
            </w:pPr>
            <w:r>
              <w:rPr>
                <w:rFonts w:hint="eastAsia"/>
                <w:sz w:val="24"/>
                <w:szCs w:val="32"/>
                <w:highlight w:val="none"/>
              </w:rPr>
              <w:t>备注</w:t>
            </w:r>
          </w:p>
        </w:tc>
      </w:tr>
      <w:tr w14:paraId="7289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35" w:type="dxa"/>
            <w:vAlign w:val="center"/>
          </w:tcPr>
          <w:p w14:paraId="657605F3">
            <w:pPr>
              <w:jc w:val="center"/>
              <w:rPr>
                <w:rFonts w:hint="eastAsia"/>
                <w:sz w:val="24"/>
                <w:szCs w:val="32"/>
                <w:highlight w:val="none"/>
              </w:rPr>
            </w:pPr>
            <w:r>
              <w:rPr>
                <w:rFonts w:hint="eastAsia"/>
                <w:sz w:val="24"/>
                <w:szCs w:val="32"/>
                <w:highlight w:val="none"/>
              </w:rPr>
              <w:t>1</w:t>
            </w:r>
          </w:p>
        </w:tc>
        <w:tc>
          <w:tcPr>
            <w:tcW w:w="4980" w:type="dxa"/>
            <w:vAlign w:val="center"/>
          </w:tcPr>
          <w:p w14:paraId="4F1F2454">
            <w:pPr>
              <w:jc w:val="center"/>
              <w:rPr>
                <w:rFonts w:hint="eastAsia"/>
                <w:sz w:val="24"/>
                <w:szCs w:val="32"/>
                <w:highlight w:val="none"/>
              </w:rPr>
            </w:pPr>
            <w:r>
              <w:rPr>
                <w:rFonts w:hint="eastAsia"/>
                <w:sz w:val="24"/>
                <w:szCs w:val="32"/>
                <w:highlight w:val="none"/>
              </w:rPr>
              <w:t>变压器</w:t>
            </w:r>
          </w:p>
        </w:tc>
        <w:tc>
          <w:tcPr>
            <w:tcW w:w="1725" w:type="dxa"/>
            <w:vAlign w:val="center"/>
          </w:tcPr>
          <w:p w14:paraId="14FB206D">
            <w:pPr>
              <w:jc w:val="center"/>
              <w:rPr>
                <w:rFonts w:hint="eastAsia"/>
                <w:sz w:val="24"/>
                <w:szCs w:val="32"/>
                <w:highlight w:val="none"/>
              </w:rPr>
            </w:pPr>
          </w:p>
        </w:tc>
      </w:tr>
      <w:tr w14:paraId="5DEF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35" w:type="dxa"/>
            <w:vAlign w:val="center"/>
          </w:tcPr>
          <w:p w14:paraId="49CA1B94">
            <w:pPr>
              <w:jc w:val="center"/>
              <w:rPr>
                <w:sz w:val="24"/>
                <w:szCs w:val="32"/>
                <w:highlight w:val="none"/>
              </w:rPr>
            </w:pPr>
            <w:r>
              <w:rPr>
                <w:rFonts w:hint="eastAsia"/>
                <w:sz w:val="24"/>
                <w:szCs w:val="32"/>
                <w:highlight w:val="none"/>
              </w:rPr>
              <w:t>2</w:t>
            </w:r>
          </w:p>
        </w:tc>
        <w:tc>
          <w:tcPr>
            <w:tcW w:w="4980" w:type="dxa"/>
            <w:vAlign w:val="center"/>
          </w:tcPr>
          <w:p w14:paraId="167C00C2">
            <w:pPr>
              <w:jc w:val="center"/>
              <w:rPr>
                <w:sz w:val="24"/>
                <w:szCs w:val="32"/>
                <w:highlight w:val="none"/>
              </w:rPr>
            </w:pPr>
            <w:r>
              <w:rPr>
                <w:rFonts w:hint="eastAsia"/>
                <w:sz w:val="24"/>
                <w:szCs w:val="32"/>
                <w:highlight w:val="none"/>
              </w:rPr>
              <w:t>路灯光源</w:t>
            </w:r>
          </w:p>
        </w:tc>
        <w:tc>
          <w:tcPr>
            <w:tcW w:w="1725" w:type="dxa"/>
            <w:vAlign w:val="center"/>
          </w:tcPr>
          <w:p w14:paraId="42752317">
            <w:pPr>
              <w:jc w:val="center"/>
              <w:rPr>
                <w:sz w:val="24"/>
                <w:szCs w:val="32"/>
                <w:highlight w:val="none"/>
              </w:rPr>
            </w:pPr>
          </w:p>
        </w:tc>
      </w:tr>
      <w:tr w14:paraId="367E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35" w:type="dxa"/>
            <w:vAlign w:val="center"/>
          </w:tcPr>
          <w:p w14:paraId="5447F6A0">
            <w:pPr>
              <w:jc w:val="center"/>
              <w:rPr>
                <w:sz w:val="24"/>
                <w:szCs w:val="32"/>
                <w:highlight w:val="none"/>
              </w:rPr>
            </w:pPr>
            <w:r>
              <w:rPr>
                <w:rFonts w:hint="eastAsia"/>
                <w:sz w:val="24"/>
                <w:szCs w:val="32"/>
                <w:highlight w:val="none"/>
              </w:rPr>
              <w:t>3</w:t>
            </w:r>
          </w:p>
        </w:tc>
        <w:tc>
          <w:tcPr>
            <w:tcW w:w="4980" w:type="dxa"/>
            <w:vAlign w:val="center"/>
          </w:tcPr>
          <w:p w14:paraId="2F117A15">
            <w:pPr>
              <w:jc w:val="center"/>
              <w:rPr>
                <w:sz w:val="24"/>
                <w:szCs w:val="32"/>
                <w:highlight w:val="none"/>
              </w:rPr>
            </w:pPr>
            <w:r>
              <w:rPr>
                <w:rFonts w:hint="eastAsia"/>
                <w:sz w:val="24"/>
                <w:szCs w:val="32"/>
                <w:highlight w:val="none"/>
              </w:rPr>
              <w:t>电线</w:t>
            </w:r>
          </w:p>
        </w:tc>
        <w:tc>
          <w:tcPr>
            <w:tcW w:w="1725" w:type="dxa"/>
            <w:vAlign w:val="center"/>
          </w:tcPr>
          <w:p w14:paraId="6715FBED">
            <w:pPr>
              <w:jc w:val="center"/>
              <w:rPr>
                <w:sz w:val="24"/>
                <w:szCs w:val="32"/>
                <w:highlight w:val="none"/>
              </w:rPr>
            </w:pPr>
          </w:p>
        </w:tc>
      </w:tr>
      <w:tr w14:paraId="1AD0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8" w:hRule="atLeast"/>
        </w:trPr>
        <w:tc>
          <w:tcPr>
            <w:tcW w:w="2535" w:type="dxa"/>
            <w:vAlign w:val="center"/>
          </w:tcPr>
          <w:p w14:paraId="46DF961D">
            <w:pPr>
              <w:jc w:val="center"/>
              <w:rPr>
                <w:sz w:val="24"/>
                <w:szCs w:val="32"/>
                <w:highlight w:val="none"/>
              </w:rPr>
            </w:pPr>
            <w:r>
              <w:rPr>
                <w:rFonts w:hint="eastAsia"/>
                <w:sz w:val="24"/>
                <w:szCs w:val="32"/>
                <w:highlight w:val="none"/>
              </w:rPr>
              <w:t>4</w:t>
            </w:r>
          </w:p>
        </w:tc>
        <w:tc>
          <w:tcPr>
            <w:tcW w:w="4980" w:type="dxa"/>
            <w:vAlign w:val="center"/>
          </w:tcPr>
          <w:p w14:paraId="36DBB628">
            <w:pPr>
              <w:jc w:val="center"/>
              <w:rPr>
                <w:sz w:val="24"/>
                <w:szCs w:val="32"/>
                <w:highlight w:val="none"/>
              </w:rPr>
            </w:pPr>
            <w:r>
              <w:rPr>
                <w:rFonts w:hint="eastAsia"/>
                <w:sz w:val="24"/>
                <w:szCs w:val="32"/>
                <w:highlight w:val="none"/>
              </w:rPr>
              <w:t>电缆</w:t>
            </w:r>
          </w:p>
        </w:tc>
        <w:tc>
          <w:tcPr>
            <w:tcW w:w="1725" w:type="dxa"/>
            <w:vAlign w:val="center"/>
          </w:tcPr>
          <w:p w14:paraId="1925455D">
            <w:pPr>
              <w:jc w:val="center"/>
              <w:rPr>
                <w:sz w:val="24"/>
                <w:szCs w:val="32"/>
                <w:highlight w:val="none"/>
              </w:rPr>
            </w:pPr>
          </w:p>
        </w:tc>
      </w:tr>
    </w:tbl>
    <w:p w14:paraId="24871C0F">
      <w:pPr>
        <w:rPr>
          <w:sz w:val="24"/>
          <w:szCs w:val="32"/>
          <w:highlight w:val="none"/>
        </w:rPr>
      </w:pPr>
    </w:p>
    <w:p w14:paraId="782667D9">
      <w:pPr>
        <w:rPr>
          <w:highlight w:val="none"/>
        </w:rPr>
      </w:pPr>
    </w:p>
    <w:bookmarkEnd w:id="90"/>
    <w:bookmarkEnd w:id="91"/>
    <w:p w14:paraId="0F65BC67">
      <w:pPr>
        <w:rPr>
          <w:sz w:val="24"/>
          <w:szCs w:val="32"/>
          <w:highlight w:val="none"/>
        </w:rPr>
      </w:pPr>
      <w:r>
        <w:rPr>
          <w:rFonts w:hint="eastAsia"/>
          <w:sz w:val="24"/>
          <w:szCs w:val="32"/>
          <w:highlight w:val="none"/>
        </w:rPr>
        <w:t>二、服务要求</w:t>
      </w:r>
    </w:p>
    <w:p w14:paraId="396F1E13">
      <w:pPr>
        <w:rPr>
          <w:sz w:val="24"/>
          <w:szCs w:val="32"/>
          <w:highlight w:val="none"/>
        </w:rPr>
      </w:pPr>
    </w:p>
    <w:p w14:paraId="71BFB665">
      <w:pPr>
        <w:spacing w:line="360" w:lineRule="auto"/>
        <w:rPr>
          <w:sz w:val="24"/>
          <w:szCs w:val="32"/>
          <w:highlight w:val="none"/>
        </w:rPr>
      </w:pPr>
      <w:r>
        <w:rPr>
          <w:rFonts w:hint="eastAsia"/>
          <w:sz w:val="24"/>
          <w:szCs w:val="32"/>
          <w:highlight w:val="none"/>
        </w:rPr>
        <w:t>1、服务内容</w:t>
      </w:r>
    </w:p>
    <w:p w14:paraId="776B73D6">
      <w:pPr>
        <w:numPr>
          <w:ilvl w:val="0"/>
          <w:numId w:val="10"/>
        </w:numPr>
        <w:spacing w:line="360" w:lineRule="auto"/>
        <w:rPr>
          <w:sz w:val="24"/>
          <w:szCs w:val="32"/>
          <w:highlight w:val="none"/>
        </w:rPr>
      </w:pPr>
      <w:r>
        <w:rPr>
          <w:rFonts w:hint="eastAsia"/>
          <w:sz w:val="24"/>
          <w:szCs w:val="32"/>
          <w:highlight w:val="none"/>
        </w:rPr>
        <w:t>维护改造。负责对甲方交付维修改造范围内的所有照明设施的正常的维修改造（</w:t>
      </w:r>
      <w:r>
        <w:rPr>
          <w:rFonts w:hint="eastAsia" w:ascii="宋体" w:hAnsi="宋体"/>
          <w:sz w:val="24"/>
          <w:highlight w:val="none"/>
        </w:rPr>
        <w:t>包括但不限于更换或维修损坏的器件及设施设备</w:t>
      </w:r>
      <w:r>
        <w:rPr>
          <w:rFonts w:hint="eastAsia"/>
          <w:sz w:val="24"/>
          <w:szCs w:val="32"/>
          <w:highlight w:val="none"/>
        </w:rPr>
        <w:t>）；确保片区内照明设施正常使用，项目按质按量移交。</w:t>
      </w:r>
    </w:p>
    <w:p w14:paraId="789AA211">
      <w:pPr>
        <w:pStyle w:val="2"/>
        <w:numPr>
          <w:ilvl w:val="0"/>
          <w:numId w:val="10"/>
        </w:numPr>
        <w:ind w:firstLineChars="0"/>
        <w:rPr>
          <w:highlight w:val="none"/>
        </w:rPr>
      </w:pPr>
      <w:r>
        <w:rPr>
          <w:rFonts w:hint="eastAsia"/>
          <w:sz w:val="24"/>
          <w:szCs w:val="32"/>
          <w:highlight w:val="none"/>
        </w:rPr>
        <w:t>如遇无法维修须更换新设备情况，须提前与告知甲方，经甲方确认。</w:t>
      </w:r>
    </w:p>
    <w:p w14:paraId="254034D8">
      <w:pPr>
        <w:numPr>
          <w:ilvl w:val="0"/>
          <w:numId w:val="10"/>
        </w:numPr>
        <w:spacing w:line="360" w:lineRule="auto"/>
        <w:rPr>
          <w:sz w:val="24"/>
          <w:szCs w:val="32"/>
          <w:highlight w:val="none"/>
        </w:rPr>
      </w:pPr>
      <w:r>
        <w:rPr>
          <w:rFonts w:hint="eastAsia"/>
          <w:sz w:val="24"/>
          <w:szCs w:val="32"/>
          <w:highlight w:val="none"/>
        </w:rPr>
        <w:t>防盗巡查及处理。负责对甲方交付维修改造范围内所有照明设施的防盗巡查，发生被盗问题乙方应及时报案，并及时修复；</w:t>
      </w:r>
    </w:p>
    <w:p w14:paraId="75A72129">
      <w:pPr>
        <w:numPr>
          <w:ilvl w:val="0"/>
          <w:numId w:val="10"/>
        </w:numPr>
        <w:spacing w:line="360" w:lineRule="auto"/>
        <w:rPr>
          <w:sz w:val="24"/>
          <w:szCs w:val="32"/>
          <w:highlight w:val="none"/>
        </w:rPr>
      </w:pPr>
      <w:r>
        <w:rPr>
          <w:rFonts w:hint="eastAsia"/>
          <w:sz w:val="24"/>
          <w:szCs w:val="32"/>
          <w:highlight w:val="none"/>
        </w:rPr>
        <w:t>应急抢修。负责对甲方交付维修改造范围内所有照明设施和特殊情况下甲方安排乙方的应急抢修工作（含委托范围外的应急抢修）;</w:t>
      </w:r>
    </w:p>
    <w:p w14:paraId="7C148A71">
      <w:pPr>
        <w:numPr>
          <w:ilvl w:val="0"/>
          <w:numId w:val="10"/>
        </w:numPr>
        <w:spacing w:line="360" w:lineRule="auto"/>
        <w:rPr>
          <w:sz w:val="24"/>
          <w:szCs w:val="32"/>
          <w:highlight w:val="none"/>
        </w:rPr>
      </w:pPr>
      <w:r>
        <w:rPr>
          <w:rFonts w:hint="eastAsia"/>
          <w:sz w:val="24"/>
          <w:szCs w:val="32"/>
          <w:highlight w:val="none"/>
        </w:rPr>
        <w:t>工作台帐。负责对甲方交付维修改造范围内所有照明设施维修改造更换工作台帐的编制上报工作；</w:t>
      </w:r>
    </w:p>
    <w:p w14:paraId="7BEAA675">
      <w:pPr>
        <w:numPr>
          <w:ilvl w:val="0"/>
          <w:numId w:val="10"/>
        </w:numPr>
        <w:spacing w:line="360" w:lineRule="auto"/>
        <w:rPr>
          <w:sz w:val="24"/>
          <w:szCs w:val="32"/>
          <w:highlight w:val="none"/>
        </w:rPr>
      </w:pPr>
      <w:r>
        <w:rPr>
          <w:rFonts w:hint="eastAsia"/>
          <w:sz w:val="24"/>
          <w:szCs w:val="32"/>
          <w:highlight w:val="none"/>
        </w:rPr>
        <w:t>灯容灯貌。负责保持甲方交付维修改造范围内所有照明设施的清洁和加固；</w:t>
      </w:r>
    </w:p>
    <w:p w14:paraId="2E1BCBA2">
      <w:pPr>
        <w:numPr>
          <w:ilvl w:val="0"/>
          <w:numId w:val="10"/>
        </w:numPr>
        <w:spacing w:line="360" w:lineRule="auto"/>
        <w:rPr>
          <w:sz w:val="24"/>
          <w:szCs w:val="32"/>
          <w:highlight w:val="none"/>
        </w:rPr>
      </w:pPr>
      <w:r>
        <w:rPr>
          <w:rFonts w:hint="eastAsia"/>
          <w:sz w:val="24"/>
          <w:szCs w:val="32"/>
          <w:highlight w:val="none"/>
        </w:rPr>
        <w:t>安全施工。乙方负责自身员工的安全培训，保证用电安全、作业安全和设施安全等；</w:t>
      </w:r>
    </w:p>
    <w:p w14:paraId="6491CD99">
      <w:pPr>
        <w:numPr>
          <w:ilvl w:val="0"/>
          <w:numId w:val="10"/>
        </w:numPr>
        <w:spacing w:line="360" w:lineRule="auto"/>
        <w:rPr>
          <w:sz w:val="24"/>
          <w:szCs w:val="32"/>
          <w:highlight w:val="none"/>
        </w:rPr>
      </w:pPr>
      <w:r>
        <w:rPr>
          <w:rFonts w:hint="eastAsia"/>
          <w:sz w:val="24"/>
          <w:szCs w:val="32"/>
          <w:highlight w:val="none"/>
        </w:rPr>
        <w:t>文明施工。按照文明施工的要求开展施工，并按照相关要求做好交通疏导等安全措施；设施维修后，对路面、绿化等周围市容环境做好的恢复。</w:t>
      </w:r>
    </w:p>
    <w:p w14:paraId="59479746">
      <w:pPr>
        <w:numPr>
          <w:ilvl w:val="0"/>
          <w:numId w:val="10"/>
        </w:numPr>
        <w:spacing w:line="360" w:lineRule="auto"/>
        <w:rPr>
          <w:sz w:val="24"/>
          <w:szCs w:val="32"/>
          <w:highlight w:val="none"/>
        </w:rPr>
      </w:pPr>
      <w:r>
        <w:rPr>
          <w:rFonts w:hint="eastAsia"/>
          <w:sz w:val="24"/>
          <w:szCs w:val="32"/>
          <w:highlight w:val="none"/>
        </w:rPr>
        <w:t>电费代缴。乙方按照甲方提供的箱变户号，做好甲方要求的代缴电费工作，乙方代缴电费后提供相应供电局票据及材料，甲方据实结算并支付该款项。</w:t>
      </w:r>
    </w:p>
    <w:p w14:paraId="73076F82">
      <w:pPr>
        <w:numPr>
          <w:ilvl w:val="0"/>
          <w:numId w:val="10"/>
        </w:numPr>
        <w:spacing w:line="360" w:lineRule="auto"/>
        <w:rPr>
          <w:sz w:val="24"/>
          <w:szCs w:val="32"/>
          <w:highlight w:val="none"/>
        </w:rPr>
      </w:pPr>
      <w:r>
        <w:rPr>
          <w:rFonts w:hint="eastAsia"/>
          <w:sz w:val="24"/>
          <w:szCs w:val="32"/>
          <w:highlight w:val="none"/>
        </w:rPr>
        <w:t>其他维修。负责甲方安排乙方的维修工作。</w:t>
      </w:r>
    </w:p>
    <w:p w14:paraId="3BD140CD">
      <w:pPr>
        <w:spacing w:line="360" w:lineRule="auto"/>
        <w:rPr>
          <w:sz w:val="24"/>
          <w:szCs w:val="32"/>
          <w:highlight w:val="none"/>
        </w:rPr>
      </w:pPr>
    </w:p>
    <w:p w14:paraId="03A2F935">
      <w:pPr>
        <w:spacing w:line="360" w:lineRule="auto"/>
        <w:rPr>
          <w:sz w:val="24"/>
          <w:szCs w:val="32"/>
          <w:highlight w:val="none"/>
        </w:rPr>
      </w:pPr>
    </w:p>
    <w:p w14:paraId="34C61703">
      <w:pPr>
        <w:spacing w:line="360" w:lineRule="auto"/>
        <w:rPr>
          <w:sz w:val="24"/>
          <w:szCs w:val="32"/>
          <w:highlight w:val="none"/>
        </w:rPr>
      </w:pPr>
      <w:r>
        <w:rPr>
          <w:rFonts w:hint="eastAsia"/>
          <w:sz w:val="24"/>
          <w:szCs w:val="32"/>
          <w:highlight w:val="none"/>
        </w:rPr>
        <w:t>2、安全要求</w:t>
      </w:r>
    </w:p>
    <w:p w14:paraId="41A68BAB">
      <w:pPr>
        <w:numPr>
          <w:ilvl w:val="0"/>
          <w:numId w:val="11"/>
        </w:numPr>
        <w:spacing w:line="360" w:lineRule="auto"/>
        <w:rPr>
          <w:sz w:val="24"/>
          <w:szCs w:val="32"/>
          <w:highlight w:val="none"/>
        </w:rPr>
      </w:pPr>
      <w:r>
        <w:rPr>
          <w:rFonts w:hint="eastAsia"/>
          <w:sz w:val="24"/>
          <w:szCs w:val="32"/>
          <w:highlight w:val="none"/>
        </w:rPr>
        <w:t>乙方承担维修改造期间的安全责任，严格执行安全操作规程，加强安全防护，落实安全生产措施，且按国家安全规范要求，在进行维护及安装作业时必须认真负责，并注意安全操作，严禁“三违”现象发生。</w:t>
      </w:r>
    </w:p>
    <w:p w14:paraId="5D5C0C93">
      <w:pPr>
        <w:numPr>
          <w:ilvl w:val="0"/>
          <w:numId w:val="11"/>
        </w:numPr>
        <w:spacing w:line="360" w:lineRule="auto"/>
        <w:rPr>
          <w:sz w:val="24"/>
          <w:szCs w:val="32"/>
          <w:highlight w:val="none"/>
        </w:rPr>
      </w:pPr>
      <w:r>
        <w:rPr>
          <w:rFonts w:hint="eastAsia"/>
          <w:sz w:val="24"/>
          <w:szCs w:val="32"/>
          <w:highlight w:val="none"/>
        </w:rPr>
        <w:t>乙方在维修改造过程中除维护自身高空作业安全外，应对管护范围内电器、电缆、灯具等带电设施加强管理与运行安全检查，如在服务期内因管理不善产生的一切安全责任和损失（包括甲乙双方的人员或财物受损及第三方人员或财物受损）均由乙方承担。</w:t>
      </w:r>
    </w:p>
    <w:p w14:paraId="736742D0">
      <w:pPr>
        <w:numPr>
          <w:ilvl w:val="0"/>
          <w:numId w:val="11"/>
        </w:numPr>
        <w:spacing w:line="360" w:lineRule="auto"/>
        <w:rPr>
          <w:sz w:val="24"/>
          <w:szCs w:val="32"/>
          <w:highlight w:val="none"/>
        </w:rPr>
      </w:pPr>
      <w:r>
        <w:rPr>
          <w:rFonts w:hint="eastAsia"/>
          <w:sz w:val="24"/>
          <w:szCs w:val="32"/>
          <w:highlight w:val="none"/>
        </w:rPr>
        <w:t>乙方工作人员必须经培训上岗，并且遵守甲方的管理制度和乙方工作人员的工作守则，且甲方有权要求乙方调换不合格的人员，乙方不得拒绝。工作人员应持证上岗，维护人员必须持有电工证且不得少于</w:t>
      </w:r>
      <w:r>
        <w:rPr>
          <w:sz w:val="24"/>
          <w:szCs w:val="32"/>
          <w:highlight w:val="none"/>
        </w:rPr>
        <w:t>6</w:t>
      </w:r>
      <w:r>
        <w:rPr>
          <w:rFonts w:hint="eastAsia"/>
          <w:sz w:val="24"/>
          <w:szCs w:val="32"/>
          <w:highlight w:val="none"/>
        </w:rPr>
        <w:t>名，以上人员应相对固定，无证操作被查到，乙方应责令其停止作业。</w:t>
      </w:r>
    </w:p>
    <w:p w14:paraId="50953513">
      <w:pPr>
        <w:numPr>
          <w:ilvl w:val="0"/>
          <w:numId w:val="11"/>
        </w:numPr>
        <w:spacing w:line="360" w:lineRule="auto"/>
        <w:rPr>
          <w:sz w:val="24"/>
          <w:szCs w:val="32"/>
          <w:highlight w:val="none"/>
        </w:rPr>
      </w:pPr>
      <w:r>
        <w:rPr>
          <w:rFonts w:hint="eastAsia"/>
          <w:sz w:val="24"/>
          <w:szCs w:val="32"/>
          <w:highlight w:val="none"/>
        </w:rPr>
        <w:t>乙方的维护人员须加强业务知识学习，自觉学习安全法规，强化技术训练，不断增强安全防患意识和技术水平。</w:t>
      </w:r>
    </w:p>
    <w:p w14:paraId="33323CEC">
      <w:pPr>
        <w:numPr>
          <w:ilvl w:val="0"/>
          <w:numId w:val="11"/>
        </w:numPr>
        <w:spacing w:line="360" w:lineRule="auto"/>
        <w:rPr>
          <w:sz w:val="24"/>
          <w:szCs w:val="32"/>
          <w:highlight w:val="none"/>
        </w:rPr>
      </w:pPr>
      <w:r>
        <w:rPr>
          <w:rFonts w:hint="eastAsia"/>
          <w:sz w:val="24"/>
          <w:szCs w:val="32"/>
          <w:highlight w:val="none"/>
        </w:rPr>
        <w:t>乙方严格按电力安全操作规程规范，操作人员在操作时必须穿反光服和绝缘鞋、戴安全帽等；上杆操作人员必须关闭手机，系好安全带，并佩带有身份证明证件或穿印制有“度假区景观照明维护”标志的服装，以便识别；作业维修场地应规范且应设置安全防护警示标志，并有专人看管；设置漏电安全保护设施，若违反操作规程，乙方应承担全部安全和经济责任。</w:t>
      </w:r>
    </w:p>
    <w:p w14:paraId="410EE8E5">
      <w:pPr>
        <w:numPr>
          <w:ilvl w:val="0"/>
          <w:numId w:val="11"/>
        </w:numPr>
        <w:spacing w:line="360" w:lineRule="auto"/>
        <w:rPr>
          <w:rFonts w:ascii="宋体" w:hAnsi="宋体" w:cs="宋体"/>
          <w:sz w:val="24"/>
          <w:highlight w:val="none"/>
        </w:rPr>
      </w:pPr>
      <w:r>
        <w:rPr>
          <w:rFonts w:hint="eastAsia"/>
          <w:sz w:val="24"/>
          <w:szCs w:val="32"/>
          <w:highlight w:val="none"/>
        </w:rPr>
        <w:t>乙方安排专人（需佩带工作证、穿工作服、佩戴安全带）日夜巡查景观照明设施运行情况，在维修改造期间要确保照明设施完好、整洁、景观效果良好，保证灯具固定牢固，无灯具器材脱落，线路短、断路或漏电现象。遇突发事件，如撞灯、灯杆倾斜或损坏及灯罩、灯具掉落等事项，应立即采取措施进行</w:t>
      </w:r>
      <w:r>
        <w:rPr>
          <w:rFonts w:hint="eastAsia" w:ascii="宋体" w:hAnsi="宋体" w:cs="宋体"/>
          <w:sz w:val="24"/>
          <w:highlight w:val="none"/>
        </w:rPr>
        <w:t>修复。若灯具器材脱落，断路或漏电造成安全事故，一切法律责任由乙方自行承担。</w:t>
      </w:r>
    </w:p>
    <w:p w14:paraId="79893EFA">
      <w:pPr>
        <w:rPr>
          <w:highlight w:val="none"/>
        </w:rPr>
      </w:pPr>
    </w:p>
    <w:p w14:paraId="72330886">
      <w:pPr>
        <w:rPr>
          <w:rFonts w:ascii="宋体" w:hAnsi="宋体" w:cs="宋体"/>
          <w:color w:val="000000" w:themeColor="text1"/>
          <w:szCs w:val="28"/>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r>
    </w:p>
    <w:p w14:paraId="1EC24CC6">
      <w:pPr>
        <w:pStyle w:val="7"/>
        <w:numPr>
          <w:ilvl w:val="0"/>
          <w:numId w:val="0"/>
        </w:numPr>
        <w:jc w:val="center"/>
        <w:rPr>
          <w:rFonts w:ascii="宋体" w:hAnsi="宋体" w:eastAsia="宋体" w:cs="宋体"/>
          <w:b w:val="0"/>
          <w:color w:val="000000" w:themeColor="text1"/>
          <w:szCs w:val="28"/>
          <w:highlight w:val="none"/>
          <w14:textFill>
            <w14:solidFill>
              <w14:schemeClr w14:val="tx1"/>
            </w14:solidFill>
          </w14:textFill>
        </w:rPr>
      </w:pPr>
      <w:bookmarkStart w:id="92" w:name="_Toc4881"/>
      <w:r>
        <w:rPr>
          <w:rFonts w:hint="eastAsia" w:ascii="宋体" w:hAnsi="宋体" w:eastAsia="宋体" w:cs="宋体"/>
          <w:color w:val="000000" w:themeColor="text1"/>
          <w:szCs w:val="28"/>
          <w:highlight w:val="none"/>
          <w14:textFill>
            <w14:solidFill>
              <w14:schemeClr w14:val="tx1"/>
            </w14:solidFill>
          </w14:textFill>
        </w:rPr>
        <w:t>第六章 资格评审标准</w:t>
      </w:r>
      <w:bookmarkEnd w:id="92"/>
    </w:p>
    <w:p w14:paraId="2C4EB613">
      <w:pPr>
        <w:pStyle w:val="19"/>
        <w:tabs>
          <w:tab w:val="left" w:pos="2472"/>
        </w:tabs>
        <w:spacing w:line="320" w:lineRule="exact"/>
        <w:ind w:firstLine="480" w:firstLineChars="20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正。</w:t>
      </w:r>
    </w:p>
    <w:tbl>
      <w:tblPr>
        <w:tblStyle w:val="35"/>
        <w:tblW w:w="1006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356"/>
      </w:tblGrid>
      <w:tr w14:paraId="399C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blHeader/>
        </w:trPr>
        <w:tc>
          <w:tcPr>
            <w:tcW w:w="10065" w:type="dxa"/>
            <w:gridSpan w:val="2"/>
            <w:vAlign w:val="center"/>
          </w:tcPr>
          <w:p w14:paraId="1D6C0F1D">
            <w:pPr>
              <w:spacing w:before="100" w:beforeAutospacing="1" w:after="100" w:afterAutospacing="1" w:line="24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内 容 及 标 准</w:t>
            </w:r>
          </w:p>
        </w:tc>
      </w:tr>
      <w:tr w14:paraId="5CBA8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09" w:type="dxa"/>
            <w:vAlign w:val="center"/>
          </w:tcPr>
          <w:p w14:paraId="53812AA3">
            <w:pPr>
              <w:spacing w:before="100" w:beforeAutospacing="1" w:after="100" w:afterAutospacing="1" w:line="2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356" w:type="dxa"/>
            <w:vAlign w:val="center"/>
          </w:tcPr>
          <w:p w14:paraId="126E1D39">
            <w:pPr>
              <w:spacing w:before="100" w:beforeAutospacing="1" w:after="100" w:afterAutospacing="1" w:line="260" w:lineRule="exact"/>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投标人应具备《中华人民共和国政府采购法》第二十二条规定的条件，并提供下列材料：</w:t>
            </w:r>
          </w:p>
        </w:tc>
      </w:tr>
      <w:tr w14:paraId="1923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09" w:type="dxa"/>
            <w:vAlign w:val="center"/>
          </w:tcPr>
          <w:p w14:paraId="603F9783">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tc>
        <w:tc>
          <w:tcPr>
            <w:tcW w:w="9356" w:type="dxa"/>
            <w:vAlign w:val="center"/>
          </w:tcPr>
          <w:p w14:paraId="5516B91D">
            <w:p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投标人必须具备独立承担民事责任的能力的证明材料</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扫描件加盖电子公章</w:t>
            </w:r>
            <w:r>
              <w:rPr>
                <w:rFonts w:hint="eastAsia" w:ascii="宋体" w:hAnsi="宋体" w:cs="宋体"/>
                <w:color w:val="000000" w:themeColor="text1"/>
                <w:highlight w:val="none"/>
                <w14:textFill>
                  <w14:solidFill>
                    <w14:schemeClr w14:val="tx1"/>
                  </w14:solidFill>
                </w14:textFill>
              </w:rPr>
              <w:t>）</w:t>
            </w:r>
          </w:p>
        </w:tc>
      </w:tr>
      <w:tr w14:paraId="7BDA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709" w:type="dxa"/>
            <w:vAlign w:val="center"/>
          </w:tcPr>
          <w:p w14:paraId="17F4DF81">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p>
        </w:tc>
        <w:tc>
          <w:tcPr>
            <w:tcW w:w="9356" w:type="dxa"/>
            <w:vAlign w:val="center"/>
          </w:tcPr>
          <w:p w14:paraId="32A4C506">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投标人须提供财务状况报告，可提供以下1）、2）、3）三者之一；若投标人成立时间短，不足以出具经审计的财务审计报告的投标人，则提供以下2）、3）二者之一。</w:t>
            </w:r>
          </w:p>
          <w:p w14:paraId="453C2540">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1）2022年-2024年（或2023年-2025年）任意一年度经审计的财务审计报告，包括财务审计报告及资产负债表、利润表、现金流量表、所有者权益变动表（如有）及其附注（扫描件加盖电子公章）；</w:t>
            </w:r>
          </w:p>
          <w:p w14:paraId="66BBFA75">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2）自投标文件提交截止时间前三个月内基本开户银行出具的资信证明（扫描件加盖电子公章）</w:t>
            </w:r>
          </w:p>
          <w:p w14:paraId="5C7A8037">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3）财政部门认可的政府采购专业担保机构出具的投标担保函，须同时提供专业担保机构经财政部门认可的证明文件。</w:t>
            </w:r>
          </w:p>
        </w:tc>
      </w:tr>
      <w:tr w14:paraId="31AC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709" w:type="dxa"/>
            <w:vAlign w:val="center"/>
          </w:tcPr>
          <w:p w14:paraId="55C00D04">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p>
        </w:tc>
        <w:tc>
          <w:tcPr>
            <w:tcW w:w="9356" w:type="dxa"/>
            <w:vAlign w:val="center"/>
          </w:tcPr>
          <w:p w14:paraId="6B063E33">
            <w:pPr>
              <w:spacing w:before="100" w:beforeAutospacing="1" w:after="100" w:afterAutospacing="1" w:line="260" w:lineRule="exact"/>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投标人须提供具备履行合同所必需的设备和专业技术能力的证明材料</w:t>
            </w:r>
            <w:r>
              <w:rPr>
                <w:rFonts w:hint="eastAsia" w:ascii="宋体" w:hAnsi="宋体" w:cs="宋体"/>
                <w:color w:val="000000" w:themeColor="text1"/>
                <w:szCs w:val="21"/>
                <w:highlight w:val="none"/>
                <w:lang w:val="en-US" w:eastAsia="zh-CN"/>
                <w14:textFill>
                  <w14:solidFill>
                    <w14:schemeClr w14:val="tx1"/>
                  </w14:solidFill>
                </w14:textFill>
              </w:rPr>
              <w:t>或书面声明</w:t>
            </w:r>
          </w:p>
        </w:tc>
      </w:tr>
      <w:tr w14:paraId="4AB1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709" w:type="dxa"/>
            <w:vAlign w:val="center"/>
          </w:tcPr>
          <w:p w14:paraId="255A0302">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w:t>
            </w:r>
          </w:p>
        </w:tc>
        <w:tc>
          <w:tcPr>
            <w:tcW w:w="9356" w:type="dxa"/>
            <w:vAlign w:val="center"/>
          </w:tcPr>
          <w:p w14:paraId="4436BC21">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1）投标人是企业的，提供 </w:t>
            </w:r>
            <w:r>
              <w:rPr>
                <w:rFonts w:hint="eastAsia" w:ascii="宋体" w:hAnsi="宋体" w:cs="宋体"/>
                <w:b/>
                <w:color w:val="000000" w:themeColor="text1"/>
                <w:szCs w:val="21"/>
                <w:highlight w:val="none"/>
                <w14:textFill>
                  <w14:solidFill>
                    <w14:schemeClr w14:val="tx1"/>
                  </w14:solidFill>
                </w14:textFill>
              </w:rPr>
              <w:t>2025年</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月至投标截止日期前任意1个月</w:t>
            </w:r>
            <w:r>
              <w:rPr>
                <w:rFonts w:hint="eastAsia" w:ascii="宋体" w:hAnsi="宋体" w:cs="宋体"/>
                <w:color w:val="000000" w:themeColor="text1"/>
                <w:szCs w:val="21"/>
                <w:highlight w:val="none"/>
                <w14:textFill>
                  <w14:solidFill>
                    <w14:schemeClr w14:val="tx1"/>
                  </w14:solidFill>
                </w14:textFill>
              </w:rPr>
              <w:t>的税务局税收通用缴款书复印件或银行电子缴税（费）凭证复印件或税务局出具纳税情况的相关证明复印件；提供</w:t>
            </w:r>
            <w:r>
              <w:rPr>
                <w:rFonts w:hint="eastAsia" w:ascii="宋体" w:hAnsi="宋体" w:cs="宋体"/>
                <w:b/>
                <w:color w:val="000000" w:themeColor="text1"/>
                <w:szCs w:val="21"/>
                <w:highlight w:val="none"/>
                <w14:textFill>
                  <w14:solidFill>
                    <w14:schemeClr w14:val="tx1"/>
                  </w14:solidFill>
                </w14:textFill>
              </w:rPr>
              <w:t>2025年</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月至投标截止日期前任意1个月</w:t>
            </w:r>
            <w:r>
              <w:rPr>
                <w:rFonts w:hint="eastAsia" w:ascii="宋体" w:hAnsi="宋体" w:cs="宋体"/>
                <w:color w:val="000000" w:themeColor="text1"/>
                <w:szCs w:val="21"/>
                <w:highlight w:val="none"/>
                <w14:textFill>
                  <w14:solidFill>
                    <w14:schemeClr w14:val="tx1"/>
                  </w14:solidFill>
                </w14:textFill>
              </w:rPr>
              <w:t>的社会保险费缴款书复印件或银行电子缴税（费）凭证复印件或社保管理部门出具的有效的缴款证明复印件：</w:t>
            </w:r>
          </w:p>
          <w:p w14:paraId="6A7A4505">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2）投标人是其他组织和自然人的，提供</w:t>
            </w:r>
            <w:r>
              <w:rPr>
                <w:rFonts w:hint="eastAsia" w:ascii="宋体" w:hAnsi="宋体" w:cs="宋体"/>
                <w:b/>
                <w:color w:val="000000" w:themeColor="text1"/>
                <w:szCs w:val="21"/>
                <w:highlight w:val="none"/>
                <w14:textFill>
                  <w14:solidFill>
                    <w14:schemeClr w14:val="tx1"/>
                  </w14:solidFill>
                </w14:textFill>
              </w:rPr>
              <w:t>2025年</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月至投标截止日期前任意1个月</w:t>
            </w:r>
            <w:r>
              <w:rPr>
                <w:rFonts w:hint="eastAsia" w:ascii="宋体" w:hAnsi="宋体" w:cs="宋体"/>
                <w:color w:val="000000" w:themeColor="text1"/>
                <w:szCs w:val="21"/>
                <w:highlight w:val="none"/>
                <w14:textFill>
                  <w14:solidFill>
                    <w14:schemeClr w14:val="tx1"/>
                  </w14:solidFill>
                </w14:textFill>
              </w:rPr>
              <w:t>的缴纳税收和社会保险的凭据。</w:t>
            </w:r>
          </w:p>
          <w:p w14:paraId="7D8EA165">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3）成立时间不足</w:t>
            </w:r>
            <w:r>
              <w:rPr>
                <w:rFonts w:hint="eastAsia" w:ascii="宋体" w:hAnsi="宋体" w:cs="宋体"/>
                <w:b/>
                <w:color w:val="000000" w:themeColor="text1"/>
                <w:szCs w:val="21"/>
                <w:highlight w:val="none"/>
                <w14:textFill>
                  <w14:solidFill>
                    <w14:schemeClr w14:val="tx1"/>
                  </w14:solidFill>
                </w14:textFill>
              </w:rPr>
              <w:t>1个月</w:t>
            </w:r>
            <w:r>
              <w:rPr>
                <w:rFonts w:hint="eastAsia" w:ascii="宋体" w:hAnsi="宋体" w:cs="宋体"/>
                <w:color w:val="000000" w:themeColor="text1"/>
                <w:szCs w:val="21"/>
                <w:highlight w:val="none"/>
                <w14:textFill>
                  <w14:solidFill>
                    <w14:schemeClr w14:val="tx1"/>
                  </w14:solidFill>
                </w14:textFill>
              </w:rPr>
              <w:t>的投标人，提供依法缴纳税收和社会保障资金的承诺书。</w:t>
            </w:r>
          </w:p>
          <w:p w14:paraId="6095B4EE">
            <w:pPr>
              <w:spacing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4）依法免税或不需要缴纳社会保障资金的投标人，须提供相应文件证明其依法免税或不需要缴纳社会保障资金。</w:t>
            </w:r>
          </w:p>
        </w:tc>
      </w:tr>
      <w:tr w14:paraId="37FA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709" w:type="dxa"/>
            <w:vAlign w:val="center"/>
          </w:tcPr>
          <w:p w14:paraId="3203A50E">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p>
        </w:tc>
        <w:tc>
          <w:tcPr>
            <w:tcW w:w="9356" w:type="dxa"/>
            <w:vAlign w:val="center"/>
          </w:tcPr>
          <w:p w14:paraId="2D434E95">
            <w:p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tc>
      </w:tr>
      <w:tr w14:paraId="03A5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09" w:type="dxa"/>
            <w:vAlign w:val="center"/>
          </w:tcPr>
          <w:p w14:paraId="74753130">
            <w:pPr>
              <w:spacing w:before="100" w:beforeAutospacing="1" w:after="100" w:afterAutospacing="1" w:line="26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356" w:type="dxa"/>
            <w:vAlign w:val="center"/>
          </w:tcPr>
          <w:p w14:paraId="6AFA17B4">
            <w:pPr>
              <w:spacing w:before="100" w:beforeAutospacing="1" w:after="100" w:afterAutospacing="1" w:line="260" w:lineRule="exact"/>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投标人应符合采购人根据采购项目的特殊要求规定的特定条件</w:t>
            </w:r>
          </w:p>
        </w:tc>
      </w:tr>
      <w:tr w14:paraId="3822B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709" w:type="dxa"/>
            <w:vAlign w:val="center"/>
          </w:tcPr>
          <w:p w14:paraId="4FFC039A">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w:t>
            </w:r>
          </w:p>
        </w:tc>
        <w:tc>
          <w:tcPr>
            <w:tcW w:w="9356" w:type="dxa"/>
            <w:vAlign w:val="center"/>
          </w:tcPr>
          <w:p w14:paraId="20E9CEA3">
            <w:pPr>
              <w:numPr>
                <w:ilvl w:val="0"/>
                <w:numId w:val="12"/>
              </w:num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szCs w:val="21"/>
                <w:highlight w:val="none"/>
              </w:rPr>
              <w:t>须具有建设行政主管部门核发的市政公用工程施工总承包三级及以上资质或城市及道路照明工程专业承包一级资质，且资质证书在有效期内。</w:t>
            </w:r>
          </w:p>
          <w:p w14:paraId="4D8E3168">
            <w:pPr>
              <w:numPr>
                <w:ilvl w:val="0"/>
                <w:numId w:val="12"/>
              </w:num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须具备有效的安全生产许可证。</w:t>
            </w:r>
          </w:p>
          <w:p w14:paraId="2A1BE748">
            <w:pPr>
              <w:numPr>
                <w:ilvl w:val="0"/>
                <w:numId w:val="12"/>
              </w:num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项目负责人须为市政公用工程专业或机电工程专业二级（及以上）注册建造师，持有安全生产考核合格证书（B证）。</w:t>
            </w:r>
          </w:p>
        </w:tc>
      </w:tr>
      <w:tr w14:paraId="46AD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09" w:type="dxa"/>
            <w:vAlign w:val="center"/>
          </w:tcPr>
          <w:p w14:paraId="7ADCD33F">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w:t>
            </w:r>
          </w:p>
        </w:tc>
        <w:tc>
          <w:tcPr>
            <w:tcW w:w="9356" w:type="dxa"/>
            <w:vAlign w:val="center"/>
          </w:tcPr>
          <w:p w14:paraId="0593E8AE">
            <w:pPr>
              <w:spacing w:before="100" w:beforeAutospacing="1" w:after="100" w:afterAutospacing="1" w:line="2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投标人未被列入“信用中国”网站（www.creditchina.gov.cn）失信被执行人、重大税收违法失信主体及中国政府采购网（www.ccgp.gov.cn）“政府采购严重违法失信行为信息记录”</w:t>
            </w:r>
            <w:r>
              <w:rPr>
                <w:rFonts w:hint="eastAsia" w:ascii="宋体" w:hAnsi="宋体" w:cs="宋体"/>
                <w:bCs/>
                <w:color w:val="000000" w:themeColor="text1"/>
                <w:szCs w:val="21"/>
                <w:highlight w:val="none"/>
                <w14:textFill>
                  <w14:solidFill>
                    <w14:schemeClr w14:val="tx1"/>
                  </w14:solidFill>
                </w14:textFill>
              </w:rPr>
              <w:t xml:space="preserve"> （处罚期限尚未届满的）</w:t>
            </w:r>
          </w:p>
        </w:tc>
      </w:tr>
      <w:tr w14:paraId="405C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709" w:type="dxa"/>
            <w:vAlign w:val="center"/>
          </w:tcPr>
          <w:p w14:paraId="760A18CB">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w:t>
            </w:r>
          </w:p>
        </w:tc>
        <w:tc>
          <w:tcPr>
            <w:tcW w:w="9356" w:type="dxa"/>
            <w:vAlign w:val="center"/>
          </w:tcPr>
          <w:p w14:paraId="7F978FF1">
            <w:pPr>
              <w:spacing w:before="100" w:beforeAutospacing="1" w:after="100" w:afterAutospacing="1" w:line="2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单位负责人为同一人或者存在直接控股、管理关系的不同投标人，不得参加同一招标项目包的政府采购活动。</w:t>
            </w:r>
          </w:p>
        </w:tc>
      </w:tr>
      <w:tr w14:paraId="0F05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09" w:type="dxa"/>
            <w:vAlign w:val="center"/>
          </w:tcPr>
          <w:p w14:paraId="02DCA02A">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w:t>
            </w:r>
          </w:p>
        </w:tc>
        <w:tc>
          <w:tcPr>
            <w:tcW w:w="9356" w:type="dxa"/>
            <w:vAlign w:val="center"/>
          </w:tcPr>
          <w:p w14:paraId="7911131E">
            <w:pPr>
              <w:spacing w:before="100" w:beforeAutospacing="1" w:after="100" w:afterAutospacing="1" w:line="2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为本项目提供整体设计、规范编制或者项目管理、监理、检测等服务的供应商，不得再参加本项目投标。</w:t>
            </w:r>
          </w:p>
        </w:tc>
      </w:tr>
      <w:tr w14:paraId="2E5F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09" w:type="dxa"/>
            <w:vAlign w:val="center"/>
          </w:tcPr>
          <w:p w14:paraId="24E8E391">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9356" w:type="dxa"/>
            <w:vAlign w:val="center"/>
          </w:tcPr>
          <w:p w14:paraId="138ED9BF">
            <w:pPr>
              <w:spacing w:before="100" w:beforeAutospacing="1" w:after="100" w:afterAutospacing="1" w:line="26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本项目不接受联合体投标</w:t>
            </w:r>
          </w:p>
        </w:tc>
      </w:tr>
      <w:tr w14:paraId="1421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09" w:type="dxa"/>
            <w:vAlign w:val="center"/>
          </w:tcPr>
          <w:p w14:paraId="38D0924E">
            <w:pPr>
              <w:spacing w:before="100" w:beforeAutospacing="1" w:after="100" w:afterAutospacing="1" w:line="2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9356" w:type="dxa"/>
            <w:vAlign w:val="center"/>
          </w:tcPr>
          <w:p w14:paraId="5EF3D2B8">
            <w:pPr>
              <w:spacing w:before="100" w:beforeAutospacing="1" w:after="100" w:afterAutospacing="1" w:line="2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投标人按招标文件规定提交了投标保证金</w:t>
            </w:r>
          </w:p>
        </w:tc>
      </w:tr>
    </w:tbl>
    <w:p w14:paraId="5CE0F644">
      <w:pPr>
        <w:pStyle w:val="19"/>
        <w:tabs>
          <w:tab w:val="left" w:pos="2472"/>
        </w:tabs>
        <w:spacing w:line="480" w:lineRule="exact"/>
        <w:ind w:firstLine="420" w:firstLineChars="200"/>
        <w:rPr>
          <w:rFonts w:hAnsi="宋体" w:cs="宋体"/>
          <w:color w:val="000000" w:themeColor="text1"/>
          <w:szCs w:val="28"/>
          <w:highlight w:val="none"/>
          <w14:textFill>
            <w14:solidFill>
              <w14:schemeClr w14:val="tx1"/>
            </w14:solidFill>
          </w14:textFill>
        </w:rPr>
      </w:pPr>
    </w:p>
    <w:p w14:paraId="3891F4C9">
      <w:pPr>
        <w:pStyle w:val="7"/>
        <w:numPr>
          <w:ilvl w:val="0"/>
          <w:numId w:val="0"/>
        </w:numPr>
        <w:jc w:val="center"/>
        <w:rPr>
          <w:rFonts w:ascii="宋体" w:hAnsi="宋体" w:eastAsia="宋体" w:cs="宋体"/>
          <w:color w:val="000000" w:themeColor="text1"/>
          <w:szCs w:val="28"/>
          <w:highlight w:val="none"/>
          <w14:textFill>
            <w14:solidFill>
              <w14:schemeClr w14:val="tx1"/>
            </w14:solidFill>
          </w14:textFill>
        </w:rPr>
      </w:pPr>
      <w:bookmarkStart w:id="93" w:name="_Toc7107"/>
      <w:r>
        <w:rPr>
          <w:rFonts w:hint="eastAsia" w:ascii="宋体" w:hAnsi="宋体" w:eastAsia="宋体" w:cs="宋体"/>
          <w:color w:val="000000" w:themeColor="text1"/>
          <w:szCs w:val="28"/>
          <w:highlight w:val="none"/>
          <w14:textFill>
            <w14:solidFill>
              <w14:schemeClr w14:val="tx1"/>
            </w14:solidFill>
          </w14:textFill>
        </w:rPr>
        <w:t>第七章 评标方法（综合评分法）</w:t>
      </w:r>
      <w:bookmarkEnd w:id="93"/>
    </w:p>
    <w:p w14:paraId="0BFA14B2">
      <w:pPr>
        <w:pStyle w:val="8"/>
        <w:numPr>
          <w:ilvl w:val="0"/>
          <w:numId w:val="0"/>
        </w:numPr>
        <w:ind w:left="420" w:leftChars="200" w:firstLine="590" w:firstLineChars="245"/>
        <w:jc w:val="center"/>
        <w:rPr>
          <w:rFonts w:ascii="宋体" w:hAnsi="宋体" w:eastAsia="宋体" w:cs="宋体"/>
          <w:color w:val="000000" w:themeColor="text1"/>
          <w:sz w:val="24"/>
          <w:szCs w:val="24"/>
          <w:highlight w:val="none"/>
          <w14:textFill>
            <w14:solidFill>
              <w14:schemeClr w14:val="tx1"/>
            </w14:solidFill>
          </w14:textFill>
        </w:rPr>
      </w:pPr>
      <w:bookmarkStart w:id="94" w:name="_Toc402942147"/>
      <w:bookmarkStart w:id="95" w:name="_Toc398126394"/>
      <w:bookmarkStart w:id="96" w:name="_Toc10010"/>
      <w:bookmarkStart w:id="97" w:name="_Toc16168596"/>
      <w:r>
        <w:rPr>
          <w:rFonts w:hint="eastAsia" w:ascii="宋体" w:hAnsi="宋体" w:eastAsia="宋体" w:cs="宋体"/>
          <w:color w:val="000000" w:themeColor="text1"/>
          <w:sz w:val="24"/>
          <w:szCs w:val="24"/>
          <w:highlight w:val="none"/>
          <w14:textFill>
            <w14:solidFill>
              <w14:schemeClr w14:val="tx1"/>
            </w14:solidFill>
          </w14:textFill>
        </w:rPr>
        <w:t>评标方法前附表</w:t>
      </w:r>
      <w:bookmarkEnd w:id="94"/>
      <w:bookmarkEnd w:id="95"/>
      <w:bookmarkEnd w:id="96"/>
      <w:bookmarkEnd w:id="97"/>
    </w:p>
    <w:tbl>
      <w:tblPr>
        <w:tblStyle w:val="35"/>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696"/>
        <w:gridCol w:w="6100"/>
      </w:tblGrid>
      <w:tr w14:paraId="4B43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vAlign w:val="center"/>
          </w:tcPr>
          <w:p w14:paraId="2008D571">
            <w:pPr>
              <w:spacing w:before="100" w:beforeAutospacing="1" w:after="100" w:afterAutospacing="1"/>
              <w:jc w:val="center"/>
              <w:rPr>
                <w:rFonts w:ascii="宋体" w:hAnsi="宋体" w:cs="宋体"/>
                <w:b/>
                <w:color w:val="000000" w:themeColor="text1"/>
                <w:szCs w:val="21"/>
                <w:highlight w:val="none"/>
                <w14:textFill>
                  <w14:solidFill>
                    <w14:schemeClr w14:val="tx1"/>
                  </w14:solidFill>
                </w14:textFill>
              </w:rPr>
            </w:pPr>
            <w:bookmarkStart w:id="98" w:name="_Hlk36142283"/>
            <w:r>
              <w:rPr>
                <w:rFonts w:hint="eastAsia" w:ascii="宋体" w:hAnsi="宋体" w:cs="宋体"/>
                <w:b/>
                <w:color w:val="000000" w:themeColor="text1"/>
                <w:szCs w:val="21"/>
                <w:highlight w:val="none"/>
                <w14:textFill>
                  <w14:solidFill>
                    <w14:schemeClr w14:val="tx1"/>
                  </w14:solidFill>
                </w14:textFill>
              </w:rPr>
              <w:t>条款号</w:t>
            </w:r>
          </w:p>
        </w:tc>
        <w:tc>
          <w:tcPr>
            <w:tcW w:w="1276" w:type="dxa"/>
            <w:vAlign w:val="center"/>
          </w:tcPr>
          <w:p w14:paraId="4F2D7298">
            <w:pPr>
              <w:spacing w:before="100" w:beforeAutospacing="1" w:after="100" w:afterAutospacing="1"/>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评审程序</w:t>
            </w:r>
          </w:p>
        </w:tc>
        <w:tc>
          <w:tcPr>
            <w:tcW w:w="7796" w:type="dxa"/>
            <w:gridSpan w:val="2"/>
            <w:vAlign w:val="center"/>
          </w:tcPr>
          <w:p w14:paraId="20F33A18">
            <w:pPr>
              <w:spacing w:before="100" w:beforeAutospacing="1" w:after="100" w:afterAutospacing="1"/>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内 容 及 标 准</w:t>
            </w:r>
          </w:p>
        </w:tc>
      </w:tr>
      <w:tr w14:paraId="540F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vAlign w:val="center"/>
          </w:tcPr>
          <w:p w14:paraId="4EF14E2B">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w:t>
            </w:r>
          </w:p>
        </w:tc>
        <w:tc>
          <w:tcPr>
            <w:tcW w:w="1276" w:type="dxa"/>
            <w:vMerge w:val="restart"/>
            <w:vAlign w:val="center"/>
          </w:tcPr>
          <w:p w14:paraId="313A2FDF">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符合性评审标准</w:t>
            </w:r>
          </w:p>
        </w:tc>
        <w:tc>
          <w:tcPr>
            <w:tcW w:w="7796" w:type="dxa"/>
            <w:gridSpan w:val="2"/>
            <w:vAlign w:val="center"/>
          </w:tcPr>
          <w:p w14:paraId="78F36AE2">
            <w:pPr>
              <w:spacing w:before="100" w:beforeAutospacing="1" w:after="100" w:afterAutospacing="1"/>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投标人存在下列情况之一的，投标无效：</w:t>
            </w:r>
          </w:p>
        </w:tc>
      </w:tr>
      <w:tr w14:paraId="2862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2900E94B">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0E959860">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p>
        </w:tc>
        <w:tc>
          <w:tcPr>
            <w:tcW w:w="1696" w:type="dxa"/>
            <w:vAlign w:val="center"/>
          </w:tcPr>
          <w:p w14:paraId="7B62F224">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w:t>
            </w:r>
          </w:p>
        </w:tc>
        <w:tc>
          <w:tcPr>
            <w:tcW w:w="6100" w:type="dxa"/>
            <w:vAlign w:val="center"/>
          </w:tcPr>
          <w:p w14:paraId="228C9C39">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投标文件签章与政采云平台、营业执照登记（事业单位法人证书、个体工商户营业执照、自然人身份证）的名称不一致的</w:t>
            </w:r>
          </w:p>
        </w:tc>
      </w:tr>
      <w:tr w14:paraId="1CFF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000C75EA">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0653C0FD">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030BF2DD">
            <w:pPr>
              <w:spacing w:before="100" w:beforeAutospacing="1" w:after="100" w:afterAutospacing="1"/>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投标文件签署、盖章</w:t>
            </w:r>
          </w:p>
        </w:tc>
        <w:tc>
          <w:tcPr>
            <w:tcW w:w="6100" w:type="dxa"/>
            <w:shd w:val="clear" w:color="auto" w:fill="auto"/>
            <w:vAlign w:val="center"/>
          </w:tcPr>
          <w:p w14:paraId="501A0BEB">
            <w:pPr>
              <w:spacing w:before="100" w:beforeAutospacing="1" w:after="100" w:afterAutospacing="1"/>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投标文件未按招标文件要求签署、盖章的；</w:t>
            </w:r>
          </w:p>
        </w:tc>
      </w:tr>
      <w:tr w14:paraId="5D6C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05DDD599">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6842DF80">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5B82B67C">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法定代表人身份证明书及法定代表人授权委托书</w:t>
            </w:r>
          </w:p>
        </w:tc>
        <w:tc>
          <w:tcPr>
            <w:tcW w:w="6100" w:type="dxa"/>
            <w:vAlign w:val="center"/>
          </w:tcPr>
          <w:p w14:paraId="019102A8">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未按招标文件要求的内容提供或未按要求签署、盖章的；</w:t>
            </w:r>
          </w:p>
        </w:tc>
      </w:tr>
      <w:tr w14:paraId="03E3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4CF61BB1">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31BDD9B4">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7870F2CB">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tc>
        <w:tc>
          <w:tcPr>
            <w:tcW w:w="6100" w:type="dxa"/>
            <w:vAlign w:val="center"/>
          </w:tcPr>
          <w:p w14:paraId="5D8295B6">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有多个投标报价的；</w:t>
            </w:r>
          </w:p>
        </w:tc>
      </w:tr>
      <w:tr w14:paraId="4B6D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4C2A0D10">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5B540F82">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73D96F25">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不能接受的附加条件</w:t>
            </w:r>
          </w:p>
        </w:tc>
        <w:tc>
          <w:tcPr>
            <w:tcW w:w="6100" w:type="dxa"/>
            <w:vAlign w:val="center"/>
          </w:tcPr>
          <w:p w14:paraId="7827D1CC">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投标文件含有采购人不能接受的附加条件的;</w:t>
            </w:r>
          </w:p>
        </w:tc>
      </w:tr>
      <w:tr w14:paraId="70C1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5733E9D9">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3326EFFB">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63B218D1">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其它实质性条件</w:t>
            </w:r>
          </w:p>
        </w:tc>
        <w:tc>
          <w:tcPr>
            <w:tcW w:w="6100" w:type="dxa"/>
            <w:vAlign w:val="center"/>
          </w:tcPr>
          <w:p w14:paraId="0E839BBD">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未实质性响应招标文件中标注★条款内容的；</w:t>
            </w:r>
          </w:p>
        </w:tc>
      </w:tr>
      <w:tr w14:paraId="09A81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3FE20DB3">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575EA027">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772EC172">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r>
              <w:rPr>
                <w:rFonts w:hint="eastAsia" w:ascii="宋体" w:hAnsi="宋体" w:cs="宋体"/>
                <w:color w:val="000000" w:themeColor="text1"/>
                <w:szCs w:val="28"/>
                <w:highlight w:val="none"/>
                <w14:textFill>
                  <w14:solidFill>
                    <w14:schemeClr w14:val="tx1"/>
                  </w14:solidFill>
                </w14:textFill>
              </w:rPr>
              <w:t>串通投标情形</w:t>
            </w:r>
          </w:p>
        </w:tc>
        <w:tc>
          <w:tcPr>
            <w:tcW w:w="6100" w:type="dxa"/>
            <w:vAlign w:val="center"/>
          </w:tcPr>
          <w:p w14:paraId="0D0C3EC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有下列情形之一的，视为投标人串通投标：</w:t>
            </w:r>
          </w:p>
          <w:p w14:paraId="4C60270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①不同投标人的投标文件由同一单位或者个人编制；</w:t>
            </w:r>
          </w:p>
          <w:p w14:paraId="5E9127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②不同投标人委托同一单位或者个人办理投标事宜；</w:t>
            </w:r>
          </w:p>
          <w:p w14:paraId="28F2B5B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③不同投标人的投标文件载明的项目管理成员或者联系人员为同一人；</w:t>
            </w:r>
          </w:p>
          <w:p w14:paraId="6297DD8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④不同投标人的投标文件异常一致或者投标报价呈规律性差异；</w:t>
            </w:r>
          </w:p>
          <w:p w14:paraId="7DCB501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⑤不同投标人的投标文件相互混装；</w:t>
            </w:r>
          </w:p>
          <w:p w14:paraId="1298865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⑥不同投标人的投标保证金从同一单位或者个人的账户转出。</w:t>
            </w:r>
          </w:p>
          <w:p w14:paraId="7869BBA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⑦其他围标串标的情形</w:t>
            </w:r>
          </w:p>
        </w:tc>
      </w:tr>
      <w:tr w14:paraId="0215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47E1E481">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4B0C8E52">
            <w:pPr>
              <w:spacing w:before="100" w:beforeAutospacing="1" w:after="100" w:afterAutospacing="1"/>
              <w:rPr>
                <w:rFonts w:ascii="宋体" w:hAnsi="宋体" w:cs="宋体"/>
                <w:color w:val="000000" w:themeColor="text1"/>
                <w:szCs w:val="21"/>
                <w:highlight w:val="none"/>
                <w14:textFill>
                  <w14:solidFill>
                    <w14:schemeClr w14:val="tx1"/>
                  </w14:solidFill>
                </w14:textFill>
              </w:rPr>
            </w:pPr>
          </w:p>
        </w:tc>
        <w:tc>
          <w:tcPr>
            <w:tcW w:w="1696" w:type="dxa"/>
            <w:vAlign w:val="center"/>
          </w:tcPr>
          <w:p w14:paraId="2062247D">
            <w:pPr>
              <w:spacing w:before="100" w:beforeAutospacing="1" w:after="100" w:afterAutospacing="1"/>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其他无效情形</w:t>
            </w:r>
          </w:p>
        </w:tc>
        <w:tc>
          <w:tcPr>
            <w:tcW w:w="6100" w:type="dxa"/>
            <w:vAlign w:val="center"/>
          </w:tcPr>
          <w:p w14:paraId="357F96A3">
            <w:pPr>
              <w:spacing w:before="100" w:beforeAutospacing="1" w:after="100" w:afterAutospacing="1"/>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法律、法规和招标文件规定的其他无效情形。</w:t>
            </w:r>
          </w:p>
        </w:tc>
      </w:tr>
      <w:tr w14:paraId="6EFF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973" w:type="dxa"/>
            <w:vMerge w:val="restart"/>
            <w:vAlign w:val="center"/>
          </w:tcPr>
          <w:p w14:paraId="62B22E99">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w:t>
            </w:r>
          </w:p>
        </w:tc>
        <w:tc>
          <w:tcPr>
            <w:tcW w:w="1276" w:type="dxa"/>
            <w:vMerge w:val="restart"/>
            <w:vAlign w:val="center"/>
          </w:tcPr>
          <w:p w14:paraId="71094A00">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详细评审标准</w:t>
            </w:r>
          </w:p>
        </w:tc>
        <w:tc>
          <w:tcPr>
            <w:tcW w:w="1696" w:type="dxa"/>
            <w:vAlign w:val="center"/>
          </w:tcPr>
          <w:p w14:paraId="2C1497E2">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1、评标总得分计算公式</w:t>
            </w:r>
          </w:p>
        </w:tc>
        <w:tc>
          <w:tcPr>
            <w:tcW w:w="6100" w:type="dxa"/>
            <w:vAlign w:val="center"/>
          </w:tcPr>
          <w:p w14:paraId="5FE81A1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投标人的评标总得分＝F1＋F2</w:t>
            </w:r>
          </w:p>
          <w:p w14:paraId="31651209">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w:t>
            </w:r>
          </w:p>
          <w:p w14:paraId="4E7B90B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①F1、F2分别为技术部分投标报价2项评分因素的汇总得分；</w:t>
            </w:r>
          </w:p>
        </w:tc>
      </w:tr>
      <w:tr w14:paraId="715D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973" w:type="dxa"/>
            <w:vMerge w:val="continue"/>
            <w:vAlign w:val="center"/>
          </w:tcPr>
          <w:p w14:paraId="330E27D4">
            <w:pP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4492B82F">
            <w:pPr>
              <w:rPr>
                <w:rFonts w:ascii="宋体" w:hAnsi="宋体" w:cs="宋体"/>
                <w:color w:val="000000" w:themeColor="text1"/>
                <w:szCs w:val="21"/>
                <w:highlight w:val="none"/>
                <w14:textFill>
                  <w14:solidFill>
                    <w14:schemeClr w14:val="tx1"/>
                  </w14:solidFill>
                </w14:textFill>
              </w:rPr>
            </w:pPr>
          </w:p>
        </w:tc>
        <w:tc>
          <w:tcPr>
            <w:tcW w:w="1696" w:type="dxa"/>
            <w:vAlign w:val="center"/>
          </w:tcPr>
          <w:p w14:paraId="44CD1CC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2、评分因素</w:t>
            </w:r>
          </w:p>
          <w:p w14:paraId="60D5A766">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分值</w:t>
            </w:r>
          </w:p>
        </w:tc>
        <w:tc>
          <w:tcPr>
            <w:tcW w:w="6100" w:type="dxa"/>
            <w:vAlign w:val="center"/>
          </w:tcPr>
          <w:p w14:paraId="53EE406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技术部分F1：满分90分；</w:t>
            </w:r>
          </w:p>
          <w:p w14:paraId="3D7BDC04">
            <w:pPr>
              <w:ind w:left="1258" w:hanging="1258"/>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投标报价F2：满分10分；</w:t>
            </w:r>
          </w:p>
        </w:tc>
      </w:tr>
      <w:tr w14:paraId="3687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restart"/>
            <w:vAlign w:val="center"/>
          </w:tcPr>
          <w:p w14:paraId="6B632E74">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w:t>
            </w:r>
          </w:p>
        </w:tc>
        <w:tc>
          <w:tcPr>
            <w:tcW w:w="1276" w:type="dxa"/>
            <w:vMerge w:val="restart"/>
            <w:vAlign w:val="center"/>
          </w:tcPr>
          <w:p w14:paraId="2E4FAC6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详细评审标准</w:t>
            </w:r>
          </w:p>
        </w:tc>
        <w:tc>
          <w:tcPr>
            <w:tcW w:w="1696" w:type="dxa"/>
            <w:shd w:val="clear" w:color="auto" w:fill="auto"/>
            <w:vAlign w:val="center"/>
          </w:tcPr>
          <w:p w14:paraId="2CE2DD6E">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（1）总体服务技术方案大纲</w:t>
            </w:r>
          </w:p>
          <w:p w14:paraId="20EDAA83">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（满分42分）</w:t>
            </w:r>
          </w:p>
        </w:tc>
        <w:tc>
          <w:tcPr>
            <w:tcW w:w="6100" w:type="dxa"/>
            <w:shd w:val="clear" w:color="auto" w:fill="auto"/>
            <w:vAlign w:val="center"/>
          </w:tcPr>
          <w:p w14:paraId="77F73B1C">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总体服务技术方案大纲（满分42分）</w:t>
            </w:r>
          </w:p>
          <w:p w14:paraId="3B39E551">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投标人根据采购需求及项目地理位置分析，并结合自身实力提供技术方案大纲，内容包含但不仅限于：（1）日常维护；（2）维修改造方案；（3）防盗巡查及处理；（4）工作台帐记录管理；（5）灯容灯貌保障；（6）安全文明施工（含登高作业）；（7）移交承诺及保障措施。</w:t>
            </w:r>
          </w:p>
          <w:p w14:paraId="1D706462">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注：以上7项打分点每缺漏一项或者与要求无关扣6分，每1个得分点内容编写有缺陷或不切合项目实际扣3分。</w:t>
            </w:r>
          </w:p>
        </w:tc>
      </w:tr>
      <w:tr w14:paraId="64E8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5A1BA862">
            <w:pPr>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012DA098">
            <w:pP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4EFB61B2">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（2）应急响应措施（满分10分）</w:t>
            </w:r>
          </w:p>
        </w:tc>
        <w:tc>
          <w:tcPr>
            <w:tcW w:w="6100" w:type="dxa"/>
            <w:shd w:val="clear" w:color="auto" w:fill="auto"/>
            <w:vAlign w:val="center"/>
          </w:tcPr>
          <w:p w14:paraId="0732D2BB">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应急响应措施（满分10分）</w:t>
            </w:r>
          </w:p>
          <w:p w14:paraId="4E0FB7BC">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供应商针对本项目编制的应急响应措施，内容包括： 1）响应时间、2）人员组织、3）设备机械、4）材料安排</w:t>
            </w:r>
          </w:p>
          <w:p w14:paraId="26E86D9C">
            <w:pPr>
              <w:pStyle w:val="19"/>
              <w:spacing w:line="360" w:lineRule="auto"/>
              <w:rPr>
                <w:rFonts w:hAnsi="宋体" w:cs="宋体"/>
                <w:b/>
                <w:bCs w:val="0"/>
                <w:color w:val="000000" w:themeColor="text1"/>
                <w:highlight w:val="none"/>
                <w14:textFill>
                  <w14:solidFill>
                    <w14:schemeClr w14:val="tx1"/>
                  </w14:solidFill>
                </w14:textFill>
              </w:rPr>
            </w:pPr>
            <w:r>
              <w:rPr>
                <w:rFonts w:hint="eastAsia" w:hAnsi="宋体" w:cs="宋体"/>
                <w:b/>
                <w:bCs w:val="0"/>
                <w:color w:val="000000" w:themeColor="text1"/>
                <w:szCs w:val="21"/>
                <w:highlight w:val="none"/>
                <w14:textFill>
                  <w14:solidFill>
                    <w14:schemeClr w14:val="tx1"/>
                  </w14:solidFill>
                </w14:textFill>
              </w:rPr>
              <w:t>注：以上4项内容</w:t>
            </w:r>
            <w:r>
              <w:rPr>
                <w:rFonts w:hint="eastAsia" w:ascii="宋体" w:hAnsi="宋体" w:cs="宋体"/>
                <w:b/>
                <w:bCs w:val="0"/>
                <w:color w:val="000000" w:themeColor="text1"/>
                <w:szCs w:val="21"/>
                <w:highlight w:val="none"/>
                <w14:textFill>
                  <w14:solidFill>
                    <w14:schemeClr w14:val="tx1"/>
                  </w14:solidFill>
                </w14:textFill>
              </w:rPr>
              <w:t>每缺漏一项或者与要求无关扣</w:t>
            </w:r>
            <w:r>
              <w:rPr>
                <w:rFonts w:hint="eastAsia" w:hAnsi="宋体" w:cs="宋体"/>
                <w:b/>
                <w:bCs w:val="0"/>
                <w:color w:val="000000" w:themeColor="text1"/>
                <w:szCs w:val="21"/>
                <w:highlight w:val="none"/>
                <w14:textFill>
                  <w14:solidFill>
                    <w14:schemeClr w14:val="tx1"/>
                  </w14:solidFill>
                </w14:textFill>
              </w:rPr>
              <w:t>2.5分，扣完为止；每有一项要求的内容有缺陷或不切合项目实际的扣1分。不提供方案或未拟标题的不得分。</w:t>
            </w:r>
          </w:p>
        </w:tc>
      </w:tr>
      <w:tr w14:paraId="4194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19B74C21">
            <w:pPr>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0EE5C6CD">
            <w:pP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05CD5724">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（3）质量管理体系与措施（满分10分）</w:t>
            </w:r>
          </w:p>
        </w:tc>
        <w:tc>
          <w:tcPr>
            <w:tcW w:w="6100" w:type="dxa"/>
            <w:shd w:val="clear" w:color="auto" w:fill="auto"/>
            <w:vAlign w:val="center"/>
          </w:tcPr>
          <w:p w14:paraId="2BA5AE55">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质量管理体系与措施内容评审（满分10分）</w:t>
            </w:r>
          </w:p>
          <w:p w14:paraId="4B2416D8">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供应商针对本项目编制的质量管理体系与措施，内容包括：1）质量控制体系；2）保证体系；3）管理措施；4）质量违约承诺书（函）；</w:t>
            </w:r>
          </w:p>
          <w:p w14:paraId="315D7D7B">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注：以上4项内容每缺漏一项或者与要求无关扣2.5分，扣完为止；每有一项要求的内容有缺陷或不切合项目实际的扣1分。不提供方案或未拟标题的不得分。</w:t>
            </w:r>
          </w:p>
        </w:tc>
      </w:tr>
      <w:tr w14:paraId="7B36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7224B554">
            <w:pPr>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3B881C81">
            <w:pP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685908C7">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（4）售后服务方案内容评审（满分5分）</w:t>
            </w:r>
          </w:p>
          <w:p w14:paraId="09947945">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p>
        </w:tc>
        <w:tc>
          <w:tcPr>
            <w:tcW w:w="6100" w:type="dxa"/>
            <w:shd w:val="clear" w:color="auto" w:fill="auto"/>
            <w:vAlign w:val="center"/>
          </w:tcPr>
          <w:p w14:paraId="492CBD78">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售后服务方案内容评审（满分5分）</w:t>
            </w:r>
          </w:p>
          <w:p w14:paraId="76D004DE">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供应商针对本项目编制的售后服务方案，内容包括：1）售后服务响应时间及质保期承诺；2）售后服务保障措施及违约惩罚措施</w:t>
            </w:r>
          </w:p>
          <w:p w14:paraId="19B0ADAB">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注：以上2</w:t>
            </w:r>
            <w:r>
              <w:rPr>
                <w:rFonts w:hint="eastAsia" w:ascii="宋体" w:hAnsi="宋体" w:cs="宋体"/>
                <w:b/>
                <w:bCs w:val="0"/>
                <w:color w:val="000000" w:themeColor="text1"/>
                <w:szCs w:val="21"/>
                <w:highlight w:val="none"/>
                <w:lang w:val="en-US" w:eastAsia="zh-CN"/>
                <w14:textFill>
                  <w14:solidFill>
                    <w14:schemeClr w14:val="tx1"/>
                  </w14:solidFill>
                </w14:textFill>
              </w:rPr>
              <w:t>项</w:t>
            </w:r>
            <w:r>
              <w:rPr>
                <w:rFonts w:hint="eastAsia" w:ascii="宋体" w:hAnsi="宋体" w:cs="宋体"/>
                <w:b/>
                <w:bCs w:val="0"/>
                <w:color w:val="000000" w:themeColor="text1"/>
                <w:szCs w:val="21"/>
                <w:highlight w:val="none"/>
                <w14:textFill>
                  <w14:solidFill>
                    <w14:schemeClr w14:val="tx1"/>
                  </w14:solidFill>
                </w14:textFill>
              </w:rPr>
              <w:t>内容每缺漏一项或者与要求无关扣2.5分，扣完为止；每有一项要求的方案内容有缺陷或不切合项目实际的扣1分。不提供方案或未拟标题的不得分。</w:t>
            </w:r>
          </w:p>
        </w:tc>
      </w:tr>
      <w:tr w14:paraId="36A39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11E3BB94">
            <w:pPr>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4BFDF3B8">
            <w:pP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26CE6D08">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（5）安全管理体系与措施</w:t>
            </w:r>
          </w:p>
          <w:p w14:paraId="3F945B06">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（满分10分）</w:t>
            </w:r>
          </w:p>
        </w:tc>
        <w:tc>
          <w:tcPr>
            <w:tcW w:w="6100" w:type="dxa"/>
            <w:shd w:val="clear" w:color="auto" w:fill="auto"/>
            <w:vAlign w:val="center"/>
          </w:tcPr>
          <w:p w14:paraId="7D19ED0D">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安全管理体系与措施内容评审（10分）</w:t>
            </w:r>
          </w:p>
          <w:p w14:paraId="69D2723F">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供应商针对本项目编制的安全管理体系与措施，内容包括：1）安全管理制度；2）安全生产教育培训制度；3）人员安全防护用品的佩戴及项目现场安全警示标志；4）突发安全事故的应急预案；5）安全检查及隐患整改方案。</w:t>
            </w:r>
          </w:p>
          <w:p w14:paraId="6F10B409">
            <w:pPr>
              <w:tabs>
                <w:tab w:val="center" w:pos="5181"/>
              </w:tabs>
              <w:adjustRightInd w:val="0"/>
              <w:snapToGrid w:val="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注：以上5项内容每缺漏一项或者与要求无关扣2分，扣完为止；每有一项要求的内容有缺陷或不切合项目实际的扣0.5分。不提供方案或未拟标题的不得分。</w:t>
            </w:r>
          </w:p>
        </w:tc>
      </w:tr>
      <w:tr w14:paraId="1254A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7A9AA3DA">
            <w:pPr>
              <w:jc w:val="cente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710CA86B">
            <w:pPr>
              <w:rPr>
                <w:rFonts w:ascii="宋体" w:hAnsi="宋体" w:cs="宋体"/>
                <w:color w:val="000000" w:themeColor="text1"/>
                <w:szCs w:val="21"/>
                <w:highlight w:val="none"/>
                <w14:textFill>
                  <w14:solidFill>
                    <w14:schemeClr w14:val="tx1"/>
                  </w14:solidFill>
                </w14:textFill>
              </w:rPr>
            </w:pPr>
          </w:p>
        </w:tc>
        <w:tc>
          <w:tcPr>
            <w:tcW w:w="1696" w:type="dxa"/>
            <w:shd w:val="clear" w:color="auto" w:fill="auto"/>
            <w:vAlign w:val="center"/>
          </w:tcPr>
          <w:p w14:paraId="3E999492">
            <w:pPr>
              <w:numPr>
                <w:ilvl w:val="0"/>
                <w:numId w:val="13"/>
              </w:num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项目管理机构配置评审</w:t>
            </w:r>
          </w:p>
          <w:p w14:paraId="47964809">
            <w:p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（满分5分）</w:t>
            </w:r>
          </w:p>
        </w:tc>
        <w:tc>
          <w:tcPr>
            <w:tcW w:w="6100" w:type="dxa"/>
            <w:shd w:val="clear" w:color="auto" w:fill="auto"/>
            <w:vAlign w:val="center"/>
          </w:tcPr>
          <w:p w14:paraId="44A79350">
            <w:p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项目管理机构配置评审（满分5分）</w:t>
            </w:r>
          </w:p>
          <w:p w14:paraId="33935E3F">
            <w:p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①对岗位划分及岗位职责进行了说明（主要岗位包括：项目负责人、</w:t>
            </w:r>
            <w:r>
              <w:rPr>
                <w:rFonts w:hint="eastAsia" w:ascii="宋体" w:hAnsi="宋体" w:cs="宋体"/>
                <w:b/>
                <w:bCs/>
                <w:color w:val="000000" w:themeColor="text1"/>
                <w:szCs w:val="21"/>
                <w:highlight w:val="none"/>
                <w:lang w:val="en-US" w:eastAsia="zh-CN"/>
                <w14:textFill>
                  <w14:solidFill>
                    <w14:schemeClr w14:val="tx1"/>
                  </w14:solidFill>
                </w14:textFill>
              </w:rPr>
              <w:t>技术负责人、</w:t>
            </w:r>
            <w:r>
              <w:rPr>
                <w:rFonts w:hint="eastAsia" w:ascii="宋体" w:hAnsi="宋体" w:cs="宋体"/>
                <w:b/>
                <w:bCs/>
                <w:color w:val="000000" w:themeColor="text1"/>
                <w:szCs w:val="21"/>
                <w:highlight w:val="none"/>
                <w14:textFill>
                  <w14:solidFill>
                    <w14:schemeClr w14:val="tx1"/>
                  </w14:solidFill>
                </w14:textFill>
              </w:rPr>
              <w:t>安全负责人、财务负责人、巡查负责人），得2分，否则不得分。</w:t>
            </w:r>
          </w:p>
          <w:p w14:paraId="242D2BB7">
            <w:p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②供应商的项目组织机构配置中，每1人具备初级职称及以上职称的得1分（1人最多得1分，不重复加分），此部分最多得3分。</w:t>
            </w:r>
          </w:p>
          <w:p w14:paraId="2D6AD853">
            <w:pPr>
              <w:tabs>
                <w:tab w:val="center" w:pos="5181"/>
              </w:tabs>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注：须提供其他人员的劳动合同（或社保证明）及职称证书（若有）、执业资格证书（若有）。未提供或模糊不清或无法辨别不得分。</w:t>
            </w:r>
          </w:p>
        </w:tc>
      </w:tr>
      <w:tr w14:paraId="48F0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jc w:val="center"/>
        </w:trPr>
        <w:tc>
          <w:tcPr>
            <w:tcW w:w="973" w:type="dxa"/>
            <w:vMerge w:val="continue"/>
            <w:vAlign w:val="center"/>
          </w:tcPr>
          <w:p w14:paraId="31464EAE">
            <w:pP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1CEAA6F2">
            <w:pPr>
              <w:rPr>
                <w:rFonts w:ascii="宋体" w:hAnsi="宋体" w:cs="宋体"/>
                <w:color w:val="000000" w:themeColor="text1"/>
                <w:szCs w:val="21"/>
                <w:highlight w:val="none"/>
                <w14:textFill>
                  <w14:solidFill>
                    <w14:schemeClr w14:val="tx1"/>
                  </w14:solidFill>
                </w14:textFill>
              </w:rPr>
            </w:pPr>
          </w:p>
        </w:tc>
        <w:tc>
          <w:tcPr>
            <w:tcW w:w="1696" w:type="dxa"/>
            <w:vAlign w:val="center"/>
          </w:tcPr>
          <w:p w14:paraId="7DA2D66A">
            <w:pPr>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（7）业绩评分</w:t>
            </w:r>
          </w:p>
          <w:p w14:paraId="5505D982">
            <w:pPr>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（满分8分）</w:t>
            </w:r>
          </w:p>
        </w:tc>
        <w:tc>
          <w:tcPr>
            <w:tcW w:w="6100" w:type="dxa"/>
            <w:vAlign w:val="center"/>
          </w:tcPr>
          <w:p w14:paraId="10DB17BF">
            <w:pPr>
              <w:snapToGrid w:val="0"/>
              <w:spacing w:line="360" w:lineRule="auto"/>
              <w:jc w:val="left"/>
              <w:rPr>
                <w:rFonts w:ascii="宋体" w:hAnsi="宋体" w:cs="宋体"/>
                <w:b/>
                <w:bCs/>
                <w:color w:val="000000" w:themeColor="text1"/>
                <w:szCs w:val="21"/>
                <w:highlight w:val="none"/>
                <w14:textFill>
                  <w14:solidFill>
                    <w14:schemeClr w14:val="tx1"/>
                  </w14:solidFill>
                </w14:textFill>
              </w:rPr>
            </w:pPr>
            <w:bookmarkStart w:id="99" w:name="OLE_LINK7"/>
            <w:bookmarkStart w:id="100" w:name="OLE_LINK8"/>
            <w:r>
              <w:rPr>
                <w:rFonts w:hint="eastAsia" w:ascii="宋体" w:hAnsi="宋体" w:cs="宋体"/>
                <w:b/>
                <w:bCs/>
                <w:color w:val="000000" w:themeColor="text1"/>
                <w:szCs w:val="21"/>
                <w:highlight w:val="none"/>
                <w14:textFill>
                  <w14:solidFill>
                    <w14:schemeClr w14:val="tx1"/>
                  </w14:solidFill>
                </w14:textFill>
              </w:rPr>
              <w:t>业绩评分（满分8分）</w:t>
            </w:r>
          </w:p>
          <w:p w14:paraId="58DE918C">
            <w:pPr>
              <w:snapToGrid w:val="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投标人自2020年1月1日至今（以合同签订日期为准）有道路照明设施维修改造或安装类业绩，每提供1个业绩得2分，最多得8分。</w:t>
            </w:r>
          </w:p>
          <w:p w14:paraId="58EF3A46">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注：投标文件中须提供业绩列表及相对应的业绩证明材料，业绩证明材料为合同扫描件。无证明材料或证明材料不能明确的不予认可。</w:t>
            </w:r>
            <w:bookmarkEnd w:id="99"/>
            <w:bookmarkEnd w:id="100"/>
          </w:p>
        </w:tc>
      </w:tr>
      <w:tr w14:paraId="4DF1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1A4E1838">
            <w:pPr>
              <w:rPr>
                <w:rFonts w:ascii="宋体" w:hAnsi="宋体" w:cs="宋体"/>
                <w:color w:val="000000" w:themeColor="text1"/>
                <w:szCs w:val="21"/>
                <w:highlight w:val="none"/>
                <w14:textFill>
                  <w14:solidFill>
                    <w14:schemeClr w14:val="tx1"/>
                  </w14:solidFill>
                </w14:textFill>
              </w:rPr>
            </w:pPr>
          </w:p>
        </w:tc>
        <w:tc>
          <w:tcPr>
            <w:tcW w:w="1276" w:type="dxa"/>
            <w:vMerge w:val="continue"/>
            <w:vAlign w:val="center"/>
          </w:tcPr>
          <w:p w14:paraId="1AA361EC">
            <w:pPr>
              <w:rPr>
                <w:rFonts w:ascii="宋体" w:hAnsi="宋体" w:cs="宋体"/>
                <w:color w:val="000000" w:themeColor="text1"/>
                <w:szCs w:val="21"/>
                <w:highlight w:val="none"/>
                <w14:textFill>
                  <w14:solidFill>
                    <w14:schemeClr w14:val="tx1"/>
                  </w14:solidFill>
                </w14:textFill>
              </w:rPr>
            </w:pPr>
          </w:p>
        </w:tc>
        <w:tc>
          <w:tcPr>
            <w:tcW w:w="1696" w:type="dxa"/>
            <w:vAlign w:val="center"/>
          </w:tcPr>
          <w:p w14:paraId="5E4744DB">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投标报价收费比例评审F3</w:t>
            </w:r>
          </w:p>
          <w:p w14:paraId="7C1C64CE">
            <w:pP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（满分</w:t>
            </w:r>
            <w:r>
              <w:rPr>
                <w:rFonts w:hint="eastAsia" w:ascii="宋体" w:hAnsi="宋体" w:cs="宋体"/>
                <w:b/>
                <w:bCs/>
                <w:color w:val="000000" w:themeColor="text1"/>
                <w:szCs w:val="21"/>
                <w:highlight w:val="none"/>
                <w:lang w:val="en-US" w:eastAsia="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0分）</w:t>
            </w:r>
          </w:p>
        </w:tc>
        <w:tc>
          <w:tcPr>
            <w:tcW w:w="6100" w:type="dxa"/>
            <w:vAlign w:val="center"/>
          </w:tcPr>
          <w:p w14:paraId="005D2D0A">
            <w:pPr>
              <w:adjustRightIn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投标报价计算公式= </w:t>
            </w:r>
            <w:r>
              <w:rPr>
                <w:rFonts w:hint="eastAsia" w:ascii="宋体" w:hAnsi="宋体" w:eastAsia="宋体" w:cs="宋体"/>
                <w:color w:val="000000" w:themeColor="text1"/>
                <w:position w:val="-26"/>
                <w:szCs w:val="21"/>
                <w:highlight w:val="none"/>
                <w14:textFill>
                  <w14:solidFill>
                    <w14:schemeClr w14:val="tx1"/>
                  </w14:solidFill>
                </w14:textFill>
              </w:rPr>
              <w:object>
                <v:shape id="_x0000_i1025" o:spt="75" type="#_x0000_t75" style="height:36pt;width:77.25pt;" o:ole="t" filled="f" o:preferrelative="t" stroked="f" coordsize="21600,21600">
                  <v:path/>
                  <v:fill on="f" focussize="0,0"/>
                  <v:stroke on="f" joinstyle="miter"/>
                  <v:imagedata r:id="rId11" o:title="341228446826312"/>
                  <o:lock v:ext="edit" aspectratio="t"/>
                  <w10:wrap type="none"/>
                  <w10:anchorlock/>
                </v:shape>
                <o:OLEObject Type="Embed" ProgID="Equation.3" ShapeID="_x0000_i1025" DrawAspect="Content" ObjectID="_1468075725" r:id="rId10">
                  <o:LockedField>false</o:LockedField>
                </o:OLEObject>
              </w:objec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0</w:t>
            </w:r>
          </w:p>
          <w:p w14:paraId="21419DE9">
            <w:pPr>
              <w:adjustRightIn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即：F3=[C/（B1，B2，…，Bn）]×</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0</w:t>
            </w:r>
          </w:p>
          <w:p w14:paraId="78773537">
            <w:pPr>
              <w:adjustRightIn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注：C为评标基准价，即经符合性评审合格且投标价格最低的投标报价收费比例；</w:t>
            </w:r>
          </w:p>
          <w:p w14:paraId="6143D001">
            <w:pPr>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B1，B2，…，Bn为第n个经符合性评审合格的投标报价。</w:t>
            </w:r>
          </w:p>
          <w:p w14:paraId="40D0AD65">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注：</w:t>
            </w:r>
          </w:p>
          <w:p w14:paraId="13AA18AE">
            <w:pP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Cs w:val="21"/>
                <w:highlight w:val="none"/>
              </w:rPr>
              <w:t>1.在计算投标报价得分时，</w:t>
            </w:r>
            <w:r>
              <w:rPr>
                <w:rFonts w:hint="eastAsia" w:ascii="宋体" w:hAnsi="宋体" w:eastAsia="宋体" w:cs="宋体"/>
                <w:color w:val="000000"/>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r>
              <w:rPr>
                <w:rFonts w:hint="eastAsia" w:ascii="宋体" w:hAnsi="宋体" w:cs="宋体"/>
                <w:color w:val="000000"/>
                <w:highlight w:val="none"/>
                <w:lang w:eastAsia="zh-CN"/>
              </w:rPr>
              <w:t>。</w:t>
            </w:r>
          </w:p>
          <w:p w14:paraId="58D97871">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2.对小型或微型企业报价给予10%的扣除，用扣除后的价格参加评审。残疾人福利性单位、监狱企业视同小型、微型企业；监狱企业或残疾人福利性单位属于小型、微型企业的，不重复计算，只进行一次价格扣除。</w:t>
            </w:r>
          </w:p>
          <w:p w14:paraId="35A4809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highlight w:val="none"/>
              </w:rPr>
              <w:t>3.当涉及以上政府采购政策叠加适用的，相关价格评审扣除优惠，均在供应商原始报价基础上计算，用扣除后的价格参与评审。</w:t>
            </w:r>
          </w:p>
        </w:tc>
      </w:tr>
      <w:bookmarkEnd w:id="98"/>
    </w:tbl>
    <w:p w14:paraId="01B221BD">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p>
    <w:p w14:paraId="6C301A64">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en-US" w:eastAsia="zh-CN"/>
          <w14:textFill>
            <w14:solidFill>
              <w14:schemeClr w14:val="tx1"/>
            </w14:solidFill>
          </w14:textFill>
        </w:rPr>
        <w:t>缺陷或</w:t>
      </w:r>
      <w:r>
        <w:rPr>
          <w:rFonts w:hint="eastAsia" w:ascii="宋体" w:hAnsi="宋体" w:cs="宋体"/>
          <w:color w:val="000000" w:themeColor="text1"/>
          <w:szCs w:val="21"/>
          <w:highlight w:val="none"/>
          <w14:textFill>
            <w14:solidFill>
              <w14:schemeClr w14:val="tx1"/>
            </w14:solidFill>
          </w14:textFill>
        </w:rPr>
        <w:t>针对性不足是指：与项目实际情况不匹配、不符合项目特点、不适用于本项目或与本项目采购要求不相符；</w:t>
      </w:r>
    </w:p>
    <w:p w14:paraId="492D5C8F">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（2）过于简略是指：内容过于简单而不能对采购需求作出足够响应；</w:t>
      </w:r>
    </w:p>
    <w:p w14:paraId="091F523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（3）瑕疵或有明显错误是指：文字表述、技术描述、引用、图表制作有明显错误。</w:t>
      </w:r>
    </w:p>
    <w:p w14:paraId="305F9F57">
      <w:pPr>
        <w:rPr>
          <w:rFonts w:ascii="宋体" w:hAnsi="宋体" w:cs="宋体"/>
          <w:color w:val="000000" w:themeColor="text1"/>
          <w:highlight w:val="none"/>
          <w14:textFill>
            <w14:solidFill>
              <w14:schemeClr w14:val="tx1"/>
            </w14:solidFill>
          </w14:textFill>
        </w:rPr>
      </w:pPr>
    </w:p>
    <w:p w14:paraId="47F893C1">
      <w:pPr>
        <w:pStyle w:val="19"/>
        <w:tabs>
          <w:tab w:val="left" w:pos="2472"/>
        </w:tabs>
        <w:snapToGrid w:val="0"/>
        <w:spacing w:line="36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1.评标方法：</w:t>
      </w:r>
    </w:p>
    <w:p w14:paraId="7485D322">
      <w:pPr>
        <w:pStyle w:val="21"/>
        <w:tabs>
          <w:tab w:val="left" w:pos="540"/>
        </w:tabs>
        <w:adjustRightInd w:val="0"/>
        <w:snapToGrid w:val="0"/>
        <w:spacing w:after="0" w:line="360" w:lineRule="auto"/>
        <w:ind w:left="0" w:leftChars="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1.1本次评标采用综合评分法。</w:t>
      </w:r>
      <w:r>
        <w:rPr>
          <w:rFonts w:hint="eastAsia" w:ascii="宋体" w:hAnsi="宋体" w:eastAsia="宋体" w:cs="宋体"/>
          <w:bCs/>
          <w:color w:val="000000" w:themeColor="text1"/>
          <w:szCs w:val="21"/>
          <w:highlight w:val="none"/>
          <w14:textFill>
            <w14:solidFill>
              <w14:schemeClr w14:val="tx1"/>
            </w14:solidFill>
          </w14:textFill>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评标总得分及投标报价相等时，评标委员会将依次按技术部分得分高优先的顺序推荐；所有得分均相等的，按总体服务方案得分高优先的顺序推荐中标候选人。</w:t>
      </w:r>
    </w:p>
    <w:p w14:paraId="016DE389">
      <w:pPr>
        <w:pStyle w:val="21"/>
        <w:tabs>
          <w:tab w:val="left" w:pos="540"/>
        </w:tabs>
        <w:adjustRightInd w:val="0"/>
        <w:snapToGrid w:val="0"/>
        <w:spacing w:after="0" w:line="360" w:lineRule="auto"/>
        <w:ind w:left="0" w:leftChars="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2.政府采购政策：</w:t>
      </w:r>
    </w:p>
    <w:p w14:paraId="03BD1473">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2.1中小企业扶持政策</w:t>
      </w:r>
    </w:p>
    <w:p w14:paraId="1179A14C">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2.1.1根据《关于印发&lt;政府采购促进中小企业发展管理办法&gt;的通知》（财库【2020】46号）的规定，供应商提供的货物、工程或者服务符合下列情形的，享受评标方法中小企业扶持政策：</w:t>
      </w:r>
    </w:p>
    <w:p w14:paraId="236139CF">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（一）在货物采购项目中，货物由中小企业制造，即货物由中小企业生产且使用该中小企业商号或者注册商标；</w:t>
      </w:r>
    </w:p>
    <w:p w14:paraId="0C4736C6">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（二）在工程采购项目中，工程由中小企业承建，即工程施工单位为中小企业；</w:t>
      </w:r>
    </w:p>
    <w:p w14:paraId="56CCEB15">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017A23B4">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在货物采购项目中，供应商提供的货物既有中小企业制造货物，也有大型企业制造货物的，不享受评标方法规定的中小企业扶持政策。</w:t>
      </w:r>
    </w:p>
    <w:p w14:paraId="4CE0CF86">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5809FDC2">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2.1.2根据《云南省工业和信息化厅关于落实政府采购促进中小企业发展 政策意见的通知》（云财采〔2022〕13号）的规定，供应商提供的货物既有中型企业制造，也有小微企业制造的，不享受《办法》规定的小微企业扶持政策。</w:t>
      </w:r>
    </w:p>
    <w:p w14:paraId="1F3D6681">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2.1.3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2D69F9B">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符合中小企业划分标准的个体工商户，在政府采购活动中视同中小企业。</w:t>
      </w:r>
    </w:p>
    <w:p w14:paraId="1CD09B22">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2.1.4中小企业参加政府采购活动，应当出具《中小企业声明函》（详见《投标文件格式》），否则不得享受相关中小企业扶持政策。</w:t>
      </w:r>
    </w:p>
    <w:p w14:paraId="2CA28FD7">
      <w:pPr>
        <w:pStyle w:val="19"/>
        <w:tabs>
          <w:tab w:val="left" w:pos="2472"/>
        </w:tabs>
        <w:snapToGrid w:val="0"/>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2.2监狱企业扶持政策</w:t>
      </w:r>
    </w:p>
    <w:p w14:paraId="657B80BF">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855C1AB">
      <w:pPr>
        <w:pStyle w:val="19"/>
        <w:tabs>
          <w:tab w:val="left" w:pos="2472"/>
        </w:tabs>
        <w:snapToGrid w:val="0"/>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2.3残疾人福利性单位扶持政策</w:t>
      </w:r>
    </w:p>
    <w:p w14:paraId="61218799">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2.3.1根据《财政部 民政部 中国残疾人联合会关于促进残疾人就业政府采购政策的通知》，享受政府采购支持政策的残疾人福利性单位应当同时满足以下条件：</w:t>
      </w:r>
    </w:p>
    <w:p w14:paraId="1EF5A4D0">
      <w:pPr>
        <w:pStyle w:val="19"/>
        <w:tabs>
          <w:tab w:val="left" w:pos="2472"/>
        </w:tabs>
        <w:snapToGrid w:val="0"/>
        <w:spacing w:line="360" w:lineRule="auto"/>
        <w:ind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（1）安置的残疾人占本单位在职职工人数的比例不低于25%（含25%），并且安置的残疾人人数不少于10人（含10人）；</w:t>
      </w:r>
    </w:p>
    <w:p w14:paraId="2865C250">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（2）依法与安置的每位残疾人签订了一年以上（含一年）的劳动合同或服务协议；</w:t>
      </w:r>
    </w:p>
    <w:p w14:paraId="767383B3">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（3）为安置的每位残疾人按月足额缴纳了基本养老保险、基本医疗保险、失业保险、工伤保险和生育保险等社会保险费；</w:t>
      </w:r>
    </w:p>
    <w:p w14:paraId="6F2838A2">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（4）通过银行等金融机构向安置的每位残疾人，按月支付了不低于单位所在区县适用的经省级人民政府批准的月最低工资标准的工资；</w:t>
      </w:r>
    </w:p>
    <w:p w14:paraId="5ACA1919">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（5）提供本单位制造的货物、承担的工程或者服务（以下简称产品），或者提供其他残疾人福利性单位制造的货物（不包括使用非残疾人福利性单位注册商标的货物）。</w:t>
      </w:r>
    </w:p>
    <w:p w14:paraId="4EA3C6E4">
      <w:pPr>
        <w:pStyle w:val="19"/>
        <w:tabs>
          <w:tab w:val="left" w:pos="2472"/>
        </w:tabs>
        <w:snapToGrid w:val="0"/>
        <w:spacing w:line="360" w:lineRule="auto"/>
        <w:ind w:firstLine="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2C897EC">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2.3.2符合条件的残疾人福利性单位在参加政府采购活动时，应当提供《残疾人福利性单位声明函》，并对声明的真实性负责。</w:t>
      </w:r>
    </w:p>
    <w:p w14:paraId="288749D6">
      <w:pPr>
        <w:pStyle w:val="19"/>
        <w:tabs>
          <w:tab w:val="left" w:pos="2472"/>
        </w:tabs>
        <w:snapToGrid w:val="0"/>
        <w:spacing w:line="360" w:lineRule="auto"/>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2.4节能、环境标志产品扶持政策</w:t>
      </w:r>
    </w:p>
    <w:p w14:paraId="2F98FAA3">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2.4.1节能产品是指列入财政部和国家发改委公布的《节能产品政府采购品目清单》中的货物。政府强制采购节能产品是指《节能产品政府采购品目清单》中以“★”标注类别的产品。</w:t>
      </w:r>
    </w:p>
    <w:p w14:paraId="52D3C3D2">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2.4.2环境标志产品是指列入财政部、生态环境部公布的《环境标志产品政府采购品目清单》中的货物。</w:t>
      </w:r>
    </w:p>
    <w:p w14:paraId="641D9929">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★2.4.3本项目采购清单中若有政府强制采购节能产品，只接受强制节能产品投标，投标人必须选报，否则按不实质性响应招标文件要求处理。</w:t>
      </w:r>
    </w:p>
    <w:p w14:paraId="59BCA53D">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2.4.4投标人应在投标文件中提供所投标产品国家确定的认证机构出具的、处于有效期之内的节能产品、环境标志产品认证证书，否则不予认可。</w:t>
      </w:r>
    </w:p>
    <w:p w14:paraId="35E29FA8">
      <w:pPr>
        <w:pStyle w:val="19"/>
        <w:tabs>
          <w:tab w:val="left" w:pos="2472"/>
        </w:tabs>
        <w:snapToGrid w:val="0"/>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2.4.5《节能产品政府采购品目清单》及《环境标志产品政府采购品目清单》可通过中国政府采购网（http://www.ccgp.gov.cn/ ）查阅、下载。</w:t>
      </w:r>
    </w:p>
    <w:p w14:paraId="696A8E05">
      <w:pPr>
        <w:pStyle w:val="19"/>
        <w:tabs>
          <w:tab w:val="left" w:pos="2472"/>
        </w:tabs>
        <w:snapToGrid w:val="0"/>
        <w:spacing w:line="360" w:lineRule="auto"/>
        <w:rPr>
          <w:rFonts w:hAnsi="宋体"/>
          <w:b/>
          <w:color w:val="000000"/>
          <w:szCs w:val="21"/>
          <w:highlight w:val="none"/>
        </w:rPr>
      </w:pPr>
      <w:r>
        <w:rPr>
          <w:rFonts w:hint="eastAsia" w:hAnsi="宋体"/>
          <w:b/>
          <w:color w:val="000000"/>
          <w:szCs w:val="21"/>
          <w:highlight w:val="none"/>
        </w:rPr>
        <w:t>2.5 本国产品支持政策</w:t>
      </w:r>
    </w:p>
    <w:p w14:paraId="34181BEA">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根据《国务院办公厅关于在政府采购中实施本国产品标准及相关政策的通知》（国办发〔2025〕34号）</w:t>
      </w:r>
      <w:r>
        <w:rPr>
          <w:rFonts w:hint="eastAsia" w:hAnsi="宋体"/>
          <w:color w:val="000000"/>
          <w:szCs w:val="21"/>
          <w:highlight w:val="none"/>
        </w:rPr>
        <w:t>以及《关于贯彻落实&lt;国务院办公厅关于在政府采购中实施本国产品标准及相关政策的通知&gt;的意见》（ 财库〔2025〕30号），供应商提供的产品符合本国产品标准及相关政策的，享受评标方法规定的本国产品支持政策。</w:t>
      </w:r>
    </w:p>
    <w:p w14:paraId="77708FAC">
      <w:pPr>
        <w:pStyle w:val="19"/>
        <w:tabs>
          <w:tab w:val="left" w:pos="2472"/>
        </w:tabs>
        <w:snapToGrid w:val="0"/>
        <w:spacing w:line="360" w:lineRule="auto"/>
        <w:rPr>
          <w:rFonts w:hAnsi="宋体"/>
          <w:color w:val="000000"/>
          <w:szCs w:val="21"/>
          <w:highlight w:val="none"/>
        </w:rPr>
      </w:pPr>
      <w:r>
        <w:rPr>
          <w:rFonts w:hint="eastAsia" w:hAnsi="宋体"/>
          <w:color w:val="000000"/>
          <w:szCs w:val="21"/>
          <w:highlight w:val="none"/>
        </w:rPr>
        <w:t>2.5.1</w:t>
      </w:r>
      <w:r>
        <w:rPr>
          <w:rFonts w:hAnsi="宋体"/>
          <w:color w:val="000000"/>
          <w:szCs w:val="21"/>
          <w:highlight w:val="none"/>
        </w:rPr>
        <w:t>本国产品标准</w:t>
      </w:r>
    </w:p>
    <w:p w14:paraId="3BCFF4F4">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本国产品应当符合以下条件：</w:t>
      </w:r>
    </w:p>
    <w:p w14:paraId="4ABFCDE1">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（一）在中国境内生产</w:t>
      </w:r>
    </w:p>
    <w:p w14:paraId="1878BB07">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产品应当在中国境内生产，即在中华人民共和国关境内实现从原材料、组件到产品的属性改变。</w:t>
      </w:r>
    </w:p>
    <w:p w14:paraId="2AA3FFC1">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属性改变是指经过制造、加工或者组装等工序，产生完全不同于原材料、组件的新产品，并具有新的名称和特征（用途）。属性改变不包括以下细微操作：</w:t>
      </w:r>
    </w:p>
    <w:p w14:paraId="46DA1FA6">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1.为确保产品在运输或者储存期间保持某种状态而进行的操作；</w:t>
      </w:r>
    </w:p>
    <w:p w14:paraId="3D45F453">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2.为产品运输或者销售进行的包装或者展示；</w:t>
      </w:r>
    </w:p>
    <w:p w14:paraId="3467716A">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3.在产品或者其包装上粘贴或者印刷品牌、标志、标识以及其他用于区别的标记；</w:t>
      </w:r>
    </w:p>
    <w:p w14:paraId="54FC3135">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4.简单的上漆、磨光和分装；</w:t>
      </w:r>
    </w:p>
    <w:p w14:paraId="7096BC9C">
      <w:pPr>
        <w:pStyle w:val="19"/>
        <w:tabs>
          <w:tab w:val="left" w:pos="2472"/>
        </w:tabs>
        <w:snapToGrid w:val="0"/>
        <w:spacing w:line="360" w:lineRule="auto"/>
        <w:rPr>
          <w:rFonts w:hAnsi="宋体"/>
          <w:color w:val="000000"/>
          <w:szCs w:val="21"/>
          <w:highlight w:val="none"/>
        </w:rPr>
      </w:pPr>
      <w:r>
        <w:rPr>
          <w:rFonts w:hAnsi="宋体"/>
          <w:color w:val="000000"/>
          <w:szCs w:val="21"/>
          <w:highlight w:val="none"/>
        </w:rPr>
        <w:t>5.其他不属于属性改变的情形。</w:t>
      </w:r>
    </w:p>
    <w:p w14:paraId="0058AB6F">
      <w:pPr>
        <w:pStyle w:val="19"/>
        <w:tabs>
          <w:tab w:val="left" w:pos="2472"/>
        </w:tabs>
        <w:snapToGrid w:val="0"/>
        <w:spacing w:line="360" w:lineRule="auto"/>
        <w:ind w:firstLine="420" w:firstLineChars="200"/>
        <w:rPr>
          <w:rFonts w:hAnsi="宋体"/>
          <w:color w:val="000000"/>
          <w:szCs w:val="21"/>
          <w:highlight w:val="none"/>
        </w:rPr>
      </w:pPr>
      <w:r>
        <w:rPr>
          <w:rFonts w:hint="eastAsia" w:hAnsi="宋体"/>
          <w:color w:val="000000"/>
          <w:szCs w:val="21"/>
          <w:highlight w:val="none"/>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955D377">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（二）在中国境内生产的组件成本占比达到规定比例</w:t>
      </w:r>
    </w:p>
    <w:p w14:paraId="58B922C2">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产品在中国境内生产的组件成本占比应当达到规定比例，计算公式为：</w:t>
      </w:r>
    </w:p>
    <w:p w14:paraId="6ED141CA">
      <w:pPr>
        <w:pStyle w:val="19"/>
        <w:tabs>
          <w:tab w:val="left" w:pos="2472"/>
        </w:tabs>
        <w:snapToGrid w:val="0"/>
        <w:spacing w:line="360" w:lineRule="auto"/>
        <w:rPr>
          <w:rFonts w:hAnsi="宋体"/>
          <w:color w:val="000000"/>
          <w:szCs w:val="21"/>
          <w:highlight w:val="none"/>
        </w:rPr>
      </w:pPr>
      <w:r>
        <w:rPr>
          <w:rFonts w:hAnsi="宋体" w:cs="宋体"/>
          <w:color w:val="000000"/>
          <w:sz w:val="24"/>
          <w:szCs w:val="24"/>
          <w:highlight w:val="none"/>
        </w:rPr>
        <w:drawing>
          <wp:inline distT="0" distB="0" distL="114300" distR="114300">
            <wp:extent cx="4829175" cy="764540"/>
            <wp:effectExtent l="0" t="0" r="9525" b="1651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12"/>
                    <a:stretch>
                      <a:fillRect/>
                    </a:stretch>
                  </pic:blipFill>
                  <pic:spPr>
                    <a:xfrm>
                      <a:off x="0" y="0"/>
                      <a:ext cx="4829175" cy="764540"/>
                    </a:xfrm>
                    <a:prstGeom prst="rect">
                      <a:avLst/>
                    </a:prstGeom>
                    <a:noFill/>
                    <a:ln>
                      <a:noFill/>
                    </a:ln>
                  </pic:spPr>
                </pic:pic>
              </a:graphicData>
            </a:graphic>
          </wp:inline>
        </w:drawing>
      </w:r>
    </w:p>
    <w:p w14:paraId="7D03BF6A">
      <w:pPr>
        <w:pStyle w:val="19"/>
        <w:tabs>
          <w:tab w:val="left" w:pos="2472"/>
        </w:tabs>
        <w:snapToGrid w:val="0"/>
        <w:spacing w:line="360" w:lineRule="auto"/>
        <w:rPr>
          <w:rFonts w:hAnsi="宋体"/>
          <w:color w:val="000000"/>
          <w:szCs w:val="21"/>
          <w:highlight w:val="none"/>
        </w:rPr>
      </w:pPr>
    </w:p>
    <w:p w14:paraId="381964E8">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财政部会同有关行业主管部门，分产品确定在中国境内生产的组件成本占比应当达到的规定比例。在分产品的中国境内生产的组件成本占比相关要求实施前，符合第（一）项条件的产品在政府采购活动中视同本国产品。</w:t>
      </w:r>
    </w:p>
    <w:p w14:paraId="4252E6EC">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（三）特定产品的关键组件、关键工序符合相关要求</w:t>
      </w:r>
    </w:p>
    <w:p w14:paraId="4ABA9C92">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对特定产品，在符合《国务院办公厅关于在政府采购中实施本国产品标准及相关政策的通知》（国办发〔2025〕34号）第一条第（一）项和第（二）项条件的基础上，应当符合财政部会同有关行业主管部门确定的其关键组件、关键工序在中国境内生产、完成等要求。</w:t>
      </w:r>
    </w:p>
    <w:p w14:paraId="6FC80E79">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财政部会同有关行业主管部门自</w:t>
      </w:r>
      <w:r>
        <w:rPr>
          <w:rFonts w:hint="eastAsia" w:hAnsi="宋体"/>
          <w:color w:val="000000"/>
          <w:szCs w:val="21"/>
          <w:highlight w:val="none"/>
        </w:rPr>
        <w:t>该</w:t>
      </w:r>
      <w:r>
        <w:rPr>
          <w:rFonts w:hAnsi="宋体"/>
          <w:color w:val="000000"/>
          <w:szCs w:val="21"/>
          <w:highlight w:val="none"/>
        </w:rPr>
        <w:t>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ADD45EB">
      <w:pPr>
        <w:pStyle w:val="19"/>
        <w:tabs>
          <w:tab w:val="left" w:pos="2472"/>
        </w:tabs>
        <w:snapToGrid w:val="0"/>
        <w:spacing w:line="360" w:lineRule="auto"/>
        <w:rPr>
          <w:rFonts w:hAnsi="宋体"/>
          <w:color w:val="000000"/>
          <w:szCs w:val="21"/>
          <w:highlight w:val="none"/>
        </w:rPr>
      </w:pPr>
      <w:r>
        <w:rPr>
          <w:rFonts w:hint="eastAsia" w:hAnsi="宋体"/>
          <w:color w:val="000000"/>
          <w:szCs w:val="21"/>
          <w:highlight w:val="none"/>
        </w:rPr>
        <w:t xml:space="preserve">2.5.2 </w:t>
      </w:r>
      <w:r>
        <w:rPr>
          <w:rFonts w:hAnsi="宋体"/>
          <w:color w:val="000000"/>
          <w:szCs w:val="21"/>
          <w:highlight w:val="none"/>
        </w:rPr>
        <w:t>本国产品标准的适用范围</w:t>
      </w:r>
    </w:p>
    <w:p w14:paraId="23EB8D3B">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920A4B">
      <w:pPr>
        <w:pStyle w:val="19"/>
        <w:tabs>
          <w:tab w:val="left" w:pos="2472"/>
        </w:tabs>
        <w:snapToGrid w:val="0"/>
        <w:spacing w:line="360" w:lineRule="auto"/>
        <w:rPr>
          <w:rFonts w:hAnsi="宋体"/>
          <w:color w:val="000000"/>
          <w:szCs w:val="21"/>
          <w:highlight w:val="none"/>
        </w:rPr>
      </w:pPr>
      <w:r>
        <w:rPr>
          <w:rFonts w:hint="eastAsia" w:hAnsi="宋体"/>
          <w:color w:val="000000"/>
          <w:szCs w:val="21"/>
          <w:highlight w:val="none"/>
        </w:rPr>
        <w:t xml:space="preserve">2.5.3 </w:t>
      </w:r>
      <w:r>
        <w:rPr>
          <w:rFonts w:hAnsi="宋体"/>
          <w:color w:val="000000"/>
          <w:szCs w:val="21"/>
          <w:highlight w:val="none"/>
        </w:rPr>
        <w:t>对本国产品的支持政策</w:t>
      </w:r>
    </w:p>
    <w:p w14:paraId="3DF4265F">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政府采购活动中既有本国产品又有非本国产品参与竞争的，依法对本国产品给予价格评审优惠，对本国产品的报价给予20%的价格扣除，用扣除后的价格参与评审。</w:t>
      </w:r>
    </w:p>
    <w:p w14:paraId="33F1E00A">
      <w:pPr>
        <w:pStyle w:val="19"/>
        <w:tabs>
          <w:tab w:val="left" w:pos="2472"/>
        </w:tabs>
        <w:snapToGrid w:val="0"/>
        <w:spacing w:line="360" w:lineRule="auto"/>
        <w:ind w:firstLine="420" w:firstLineChars="200"/>
        <w:rPr>
          <w:rFonts w:hAnsi="宋体"/>
          <w:color w:val="000000"/>
          <w:szCs w:val="21"/>
          <w:highlight w:val="none"/>
        </w:rPr>
      </w:pPr>
      <w:r>
        <w:rPr>
          <w:rFonts w:hAnsi="宋体"/>
          <w:color w:val="00000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olor w:val="000000"/>
          <w:szCs w:val="21"/>
          <w:highlight w:val="none"/>
        </w:rPr>
        <w:t>全部产品是指：货物或服务采购项目或采购包中包含的全部货物、服务产品。</w:t>
      </w:r>
    </w:p>
    <w:p w14:paraId="566DC677">
      <w:pPr>
        <w:pStyle w:val="19"/>
        <w:tabs>
          <w:tab w:val="left" w:pos="2472"/>
        </w:tabs>
        <w:snapToGrid w:val="0"/>
        <w:spacing w:line="360" w:lineRule="auto"/>
        <w:rPr>
          <w:rFonts w:hAnsi="宋体"/>
          <w:color w:val="000000"/>
          <w:szCs w:val="21"/>
          <w:highlight w:val="none"/>
        </w:rPr>
      </w:pPr>
      <w:r>
        <w:rPr>
          <w:rFonts w:hint="eastAsia" w:hAnsi="宋体"/>
          <w:color w:val="000000"/>
          <w:szCs w:val="21"/>
          <w:highlight w:val="none"/>
        </w:rPr>
        <w:t>2.5.4 评审中发现《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国办发〔2025〕34号）规定要求的，供应商提供的相关产品视为不符合本国产品标准。</w:t>
      </w:r>
    </w:p>
    <w:p w14:paraId="064121C5">
      <w:pPr>
        <w:pStyle w:val="19"/>
        <w:tabs>
          <w:tab w:val="left" w:pos="2472"/>
        </w:tabs>
        <w:snapToGrid w:val="0"/>
        <w:spacing w:line="360" w:lineRule="auto"/>
        <w:ind w:left="420"/>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3. 评标程序及标准</w:t>
      </w:r>
    </w:p>
    <w:p w14:paraId="73E819B1">
      <w:pPr>
        <w:pStyle w:val="19"/>
        <w:tabs>
          <w:tab w:val="left" w:pos="2472"/>
        </w:tabs>
        <w:snapToGrid w:val="0"/>
        <w:spacing w:line="360" w:lineRule="auto"/>
        <w:ind w:left="420"/>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3.1符合性评审</w:t>
      </w:r>
    </w:p>
    <w:p w14:paraId="31FE8452">
      <w:pPr>
        <w:pStyle w:val="19"/>
        <w:tabs>
          <w:tab w:val="left" w:pos="2472"/>
        </w:tabs>
        <w:snapToGrid w:val="0"/>
        <w:spacing w:line="360" w:lineRule="auto"/>
        <w:ind w:left="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3.1.1依据招标文件的规定，评标委员会对符合资格的投标人的投标文件进行符合性审查，以确定其是否满足招标文件的实质性要求，见评标方法前附表。</w:t>
      </w:r>
    </w:p>
    <w:p w14:paraId="0B7FE780">
      <w:pPr>
        <w:pStyle w:val="19"/>
        <w:tabs>
          <w:tab w:val="left" w:pos="2472"/>
        </w:tabs>
        <w:snapToGrid w:val="0"/>
        <w:spacing w:line="360" w:lineRule="auto"/>
        <w:ind w:left="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3.1.2算术性错误修正。</w:t>
      </w:r>
      <w:r>
        <w:rPr>
          <w:rFonts w:hint="eastAsia" w:hAnsi="宋体" w:cs="宋体"/>
          <w:color w:val="000000" w:themeColor="text1"/>
          <w:kern w:val="0"/>
          <w:szCs w:val="21"/>
          <w:highlight w:val="none"/>
          <w14:textFill>
            <w14:solidFill>
              <w14:schemeClr w14:val="tx1"/>
            </w14:solidFill>
          </w14:textFill>
        </w:rPr>
        <w:t>投标文件报价出现前后不一致的，按照下列规定修正</w:t>
      </w:r>
      <w:r>
        <w:rPr>
          <w:rFonts w:hint="eastAsia" w:hAnsi="宋体" w:cs="宋体"/>
          <w:color w:val="000000" w:themeColor="text1"/>
          <w:szCs w:val="21"/>
          <w:highlight w:val="none"/>
          <w14:textFill>
            <w14:solidFill>
              <w14:schemeClr w14:val="tx1"/>
            </w14:solidFill>
          </w14:textFill>
        </w:rPr>
        <w:t>：</w:t>
      </w:r>
    </w:p>
    <w:p w14:paraId="29A13DFE">
      <w:pPr>
        <w:pStyle w:val="19"/>
        <w:tabs>
          <w:tab w:val="left" w:pos="2472"/>
        </w:tabs>
        <w:snapToGrid w:val="0"/>
        <w:spacing w:line="360" w:lineRule="auto"/>
        <w:ind w:left="420"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（一）投标文件中开标一览表（报价表）内容与投标文件中相应内容不一致的，以开标一览表（报价表）为准；</w:t>
      </w:r>
    </w:p>
    <w:p w14:paraId="0B5B2920">
      <w:pPr>
        <w:pStyle w:val="19"/>
        <w:tabs>
          <w:tab w:val="left" w:pos="2472"/>
        </w:tabs>
        <w:snapToGrid w:val="0"/>
        <w:spacing w:line="360" w:lineRule="auto"/>
        <w:ind w:left="420"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（二）大写金额和小写金额不一致的，以大写金额为准；</w:t>
      </w:r>
    </w:p>
    <w:p w14:paraId="717F34C9">
      <w:pPr>
        <w:pStyle w:val="19"/>
        <w:tabs>
          <w:tab w:val="left" w:pos="2472"/>
        </w:tabs>
        <w:snapToGrid w:val="0"/>
        <w:spacing w:line="360" w:lineRule="auto"/>
        <w:ind w:left="420"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（三）单价金额小数点或者百分比有明显错位的，以开标一览表的总价为准，并修改单价；</w:t>
      </w:r>
    </w:p>
    <w:p w14:paraId="705259A0">
      <w:pPr>
        <w:pStyle w:val="19"/>
        <w:tabs>
          <w:tab w:val="left" w:pos="2472"/>
        </w:tabs>
        <w:snapToGrid w:val="0"/>
        <w:spacing w:line="360" w:lineRule="auto"/>
        <w:ind w:left="420"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（四）总价金额与按单价汇总金额不一致的，以单价金额计算结果为准。</w:t>
      </w:r>
    </w:p>
    <w:p w14:paraId="4090B913">
      <w:pPr>
        <w:pStyle w:val="19"/>
        <w:tabs>
          <w:tab w:val="left" w:pos="2472"/>
        </w:tabs>
        <w:snapToGrid w:val="0"/>
        <w:spacing w:line="360" w:lineRule="auto"/>
        <w:ind w:left="420" w:firstLine="420" w:firstLineChars="20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★同时出现两种以上不一致的，按照前款规定的顺序修正。修正后的报价按照本章3.1.2款的规定经投标人确认后产生约束力，投标人不确认的，其投标无效。</w:t>
      </w:r>
    </w:p>
    <w:p w14:paraId="7369534B">
      <w:pPr>
        <w:pStyle w:val="9"/>
        <w:numPr>
          <w:ilvl w:val="0"/>
          <w:numId w:val="0"/>
        </w:numPr>
        <w:snapToGrid w:val="0"/>
        <w:spacing w:before="0"/>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★3.1.3投标文件的澄清 </w:t>
      </w:r>
    </w:p>
    <w:p w14:paraId="0277BEBC">
      <w:pPr>
        <w:snapToGrid w:val="0"/>
        <w:spacing w:line="360" w:lineRule="auto"/>
        <w:ind w:firstLine="424" w:firstLineChars="202"/>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0B7EE47A">
      <w:pPr>
        <w:snapToGrid w:val="0"/>
        <w:spacing w:line="360" w:lineRule="auto"/>
        <w:ind w:firstLine="424" w:firstLineChars="202"/>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3E9FC29B">
      <w:pPr>
        <w:snapToGrid w:val="0"/>
        <w:spacing w:line="360" w:lineRule="auto"/>
        <w:ind w:firstLine="424" w:firstLineChars="202"/>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（三）评标委员会对投标人提交的澄清、说明有疑问的，可以要求投标人进一步澄清、说明。</w:t>
      </w:r>
    </w:p>
    <w:p w14:paraId="6E0F8AE6">
      <w:pPr>
        <w:snapToGrid w:val="0"/>
        <w:spacing w:line="360" w:lineRule="auto"/>
        <w:jc w:val="left"/>
        <w:rPr>
          <w:rFonts w:ascii="宋体" w:hAnsi="宋体"/>
          <w:b/>
          <w:color w:val="000000"/>
          <w:szCs w:val="21"/>
          <w:highlight w:val="none"/>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b/>
          <w:color w:val="000000"/>
          <w:szCs w:val="21"/>
          <w:highlight w:val="none"/>
        </w:rPr>
        <w:t>3.1.4 异常低价审查</w:t>
      </w:r>
    </w:p>
    <w:p w14:paraId="5A1A4CBD">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在评标过程中出现下列情形之一的，评标委员会应当启动异常低价投标审查程序：</w:t>
      </w:r>
    </w:p>
    <w:p w14:paraId="3C57A48F">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1.投标报价低于全部通过符合性审查供应商投标报价平均值50%的，即投标报价&lt;全部通过符合性审查供应商投标报价平均值×50%；</w:t>
      </w:r>
    </w:p>
    <w:p w14:paraId="55619051">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2.投标报价低于通过符合性审查的次低报价供应商投标报价50%的，即投标报价&lt;通过符合性审查的次低报价供应商投标报价×50%；</w:t>
      </w:r>
    </w:p>
    <w:p w14:paraId="7CCE7F10">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3.投标报价低于采购项目最高限价45%的，即投标报价&lt;采购项目最高限价×45%；</w:t>
      </w:r>
    </w:p>
    <w:p w14:paraId="7F3F5E51">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4.评标委员会基于专业判断，认为供应商报价过低，有可能影响产品质量或者不能诚信履约的其他情形。</w:t>
      </w:r>
    </w:p>
    <w:p w14:paraId="7345211E">
      <w:pPr>
        <w:snapToGrid w:val="0"/>
        <w:spacing w:line="360" w:lineRule="auto"/>
        <w:ind w:firstLine="424" w:firstLineChars="202"/>
        <w:jc w:val="left"/>
        <w:rPr>
          <w:rFonts w:ascii="宋体" w:hAnsi="宋体"/>
          <w:color w:val="000000"/>
          <w:szCs w:val="21"/>
          <w:highlight w:val="none"/>
        </w:rPr>
      </w:pPr>
      <w:r>
        <w:rPr>
          <w:rFonts w:hint="eastAsia" w:ascii="宋体" w:hAnsi="宋体"/>
          <w:color w:val="000000"/>
          <w:szCs w:val="21"/>
          <w:highlight w:val="none"/>
        </w:rPr>
        <w:t>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2ED7ABFF">
      <w:pPr>
        <w:snapToGrid w:val="0"/>
        <w:spacing w:line="360" w:lineRule="auto"/>
        <w:ind w:firstLine="424" w:firstLineChars="202"/>
        <w:jc w:val="left"/>
        <w:rPr>
          <w:highlight w:val="none"/>
        </w:rPr>
      </w:pPr>
      <w:r>
        <w:rPr>
          <w:rFonts w:hint="eastAsia" w:ascii="宋体" w:hAnsi="宋体"/>
          <w:color w:val="000000"/>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4C3756C">
      <w:pPr>
        <w:snapToGrid w:val="0"/>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3.2详细评审</w:t>
      </w:r>
    </w:p>
    <w:p w14:paraId="06F40AB2">
      <w:pPr>
        <w:pStyle w:val="19"/>
        <w:tabs>
          <w:tab w:val="left" w:pos="2472"/>
        </w:tabs>
        <w:snapToGrid w:val="0"/>
        <w:spacing w:line="360" w:lineRule="auto"/>
        <w:ind w:left="420"/>
        <w:rPr>
          <w:rFonts w:hAnsi="宋体" w:cs="宋体"/>
          <w:color w:val="000000" w:themeColor="text1"/>
          <w:szCs w:val="21"/>
          <w:highlight w:val="none"/>
          <w14:textFill>
            <w14:solidFill>
              <w14:schemeClr w14:val="tx1"/>
            </w14:solidFill>
          </w14:textFill>
        </w:rPr>
      </w:pPr>
      <w:bookmarkStart w:id="101" w:name="_Toc321836408"/>
      <w:r>
        <w:rPr>
          <w:rFonts w:hint="eastAsia" w:hAnsi="宋体" w:cs="宋体"/>
          <w:color w:val="000000" w:themeColor="text1"/>
          <w:szCs w:val="21"/>
          <w:highlight w:val="none"/>
          <w14:textFill>
            <w14:solidFill>
              <w14:schemeClr w14:val="tx1"/>
            </w14:solidFill>
          </w14:textFill>
        </w:rPr>
        <w:t>3.2.1</w:t>
      </w:r>
      <w:bookmarkEnd w:id="101"/>
      <w:r>
        <w:rPr>
          <w:rFonts w:hint="eastAsia" w:hAnsi="宋体" w:cs="宋体"/>
          <w:color w:val="000000" w:themeColor="text1"/>
          <w:kern w:val="0"/>
          <w:szCs w:val="21"/>
          <w:highlight w:val="none"/>
          <w14:textFill>
            <w14:solidFill>
              <w14:schemeClr w14:val="tx1"/>
            </w14:solidFill>
          </w14:textFill>
        </w:rPr>
        <w:t>评标委员会按照招标文件中规定的评标方法和标准，对符合性审查合格的投标文件进行商务和技术评估，综合比较与评价</w:t>
      </w:r>
      <w:r>
        <w:rPr>
          <w:rFonts w:hint="eastAsia" w:hAnsi="宋体" w:cs="宋体"/>
          <w:color w:val="000000" w:themeColor="text1"/>
          <w:szCs w:val="21"/>
          <w:highlight w:val="none"/>
          <w14:textFill>
            <w14:solidFill>
              <w14:schemeClr w14:val="tx1"/>
            </w14:solidFill>
          </w14:textFill>
        </w:rPr>
        <w:t>, 见评标方法前附表。</w:t>
      </w:r>
    </w:p>
    <w:p w14:paraId="540F81FB">
      <w:pPr>
        <w:pStyle w:val="19"/>
        <w:tabs>
          <w:tab w:val="left" w:pos="2472"/>
        </w:tabs>
        <w:snapToGrid w:val="0"/>
        <w:spacing w:line="360" w:lineRule="auto"/>
        <w:ind w:left="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3.2.2评标委员会各成员要依法独立评审，并对评审意见承担个人责任。对投标人的客观评分项的评分应当一致，对其他需要借助专业知识评判的主观评分项，应当严格按照评分细则公正评分。</w:t>
      </w:r>
    </w:p>
    <w:p w14:paraId="096B4F64">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3.2.3 价格部分（F3）按评标方法前附表规定的投标报价计算公式，计算出各投标人价格部分得分。技术部分（F1）和商务部分（F2）得分由评标委员会成员独立评分，投标</w:t>
      </w:r>
      <w:r>
        <w:rPr>
          <w:rFonts w:hint="eastAsia" w:ascii="宋体" w:hAnsi="宋体" w:cs="宋体"/>
          <w:bCs/>
          <w:color w:val="000000" w:themeColor="text1"/>
          <w:szCs w:val="21"/>
          <w:highlight w:val="none"/>
          <w14:textFill>
            <w14:solidFill>
              <w14:schemeClr w14:val="tx1"/>
            </w14:solidFill>
          </w14:textFill>
        </w:rPr>
        <w:t>人各项评分因素得分为该项因素各评委评分的算术平均值。所有计算结果均保留小数点后两位</w:t>
      </w:r>
      <w:r>
        <w:rPr>
          <w:rFonts w:hint="eastAsia" w:ascii="宋体" w:hAnsi="宋体" w:cs="宋体"/>
          <w:color w:val="000000" w:themeColor="text1"/>
          <w:szCs w:val="21"/>
          <w:highlight w:val="none"/>
          <w14:textFill>
            <w14:solidFill>
              <w14:schemeClr w14:val="tx1"/>
            </w14:solidFill>
          </w14:textFill>
        </w:rPr>
        <w:t>，小数点后第三位“四舍五入”。</w:t>
      </w:r>
    </w:p>
    <w:p w14:paraId="29A01283">
      <w:pPr>
        <w:pStyle w:val="19"/>
        <w:tabs>
          <w:tab w:val="left" w:pos="2472"/>
        </w:tabs>
        <w:snapToGrid w:val="0"/>
        <w:spacing w:line="360" w:lineRule="auto"/>
        <w:ind w:left="420"/>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3.2.4评标委员会成员对需要共同认定的事项存在争议的，按照少数服从多数的原则做出结论。持不同意见的评标委员会成员应当在评标报告上签署不同意见并说明理由，否则视为同意。</w:t>
      </w:r>
    </w:p>
    <w:p w14:paraId="1404CA99">
      <w:pPr>
        <w:pStyle w:val="9"/>
        <w:numPr>
          <w:ilvl w:val="0"/>
          <w:numId w:val="0"/>
        </w:numPr>
        <w:snapToGrid w:val="0"/>
        <w:spacing w:before="0"/>
        <w:rPr>
          <w:rFonts w:ascii="宋体" w:hAnsi="宋体" w:eastAsia="宋体" w:cs="宋体"/>
          <w:color w:val="000000" w:themeColor="text1"/>
          <w:sz w:val="21"/>
          <w:szCs w:val="21"/>
          <w:highlight w:val="none"/>
          <w14:textFill>
            <w14:solidFill>
              <w14:schemeClr w14:val="tx1"/>
            </w14:solidFill>
          </w14:textFill>
        </w:rPr>
      </w:pPr>
      <w:bookmarkStart w:id="102" w:name="_Toc321836413"/>
      <w:r>
        <w:rPr>
          <w:rFonts w:hint="eastAsia" w:ascii="宋体" w:hAnsi="宋体" w:eastAsia="宋体" w:cs="宋体"/>
          <w:color w:val="000000" w:themeColor="text1"/>
          <w:sz w:val="21"/>
          <w:szCs w:val="21"/>
          <w:highlight w:val="none"/>
          <w14:textFill>
            <w14:solidFill>
              <w14:schemeClr w14:val="tx1"/>
            </w14:solidFill>
          </w14:textFill>
        </w:rPr>
        <w:t>4.评标结果</w:t>
      </w:r>
      <w:bookmarkEnd w:id="102"/>
    </w:p>
    <w:p w14:paraId="179A94F2">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4.1评标委员会按最终得分由高到低顺序推荐3名中标候选人，并提出书面评标报告。</w:t>
      </w:r>
    </w:p>
    <w:p w14:paraId="2FBD453D">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采购人根据评标委员会提出的书面评标报告和推荐的中标候选人名单，确定中标人。</w:t>
      </w:r>
    </w:p>
    <w:p w14:paraId="3D21F37B">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具有行贿、提供虚假材料或者串通等违法行为的,应当及时向财政部门报告。</w:t>
      </w:r>
    </w:p>
    <w:p w14:paraId="515F28D4">
      <w:pPr>
        <w:spacing w:line="360" w:lineRule="auto"/>
        <w:jc w:val="left"/>
        <w:rPr>
          <w:rFonts w:ascii="宋体" w:hAnsi="宋体" w:cs="宋体"/>
          <w:color w:val="000000" w:themeColor="text1"/>
          <w:szCs w:val="21"/>
          <w:highlight w:val="none"/>
          <w14:textFill>
            <w14:solidFill>
              <w14:schemeClr w14:val="tx1"/>
            </w14:solidFill>
          </w14:textFill>
        </w:rPr>
      </w:pPr>
    </w:p>
    <w:sectPr>
      <w:pgSz w:w="11906" w:h="16838"/>
      <w:pgMar w:top="1134" w:right="851" w:bottom="1304" w:left="1134" w:header="720"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B7A98">
    <w:pPr>
      <w:pStyle w:val="23"/>
      <w:ind w:right="360"/>
      <w:jc w:val="both"/>
    </w:pPr>
    <w: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0</wp:posOffset>
              </wp:positionV>
              <wp:extent cx="114300" cy="147955"/>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14300" cy="147955"/>
                      </a:xfrm>
                      <a:prstGeom prst="rect">
                        <a:avLst/>
                      </a:prstGeom>
                      <a:noFill/>
                      <a:ln>
                        <a:noFill/>
                      </a:ln>
                    </wps:spPr>
                    <wps:txbx>
                      <w:txbxContent>
                        <w:p w14:paraId="68DF2675">
                          <w:pPr>
                            <w:pStyle w:val="23"/>
                            <w:rPr>
                              <w:rStyle w:val="39"/>
                            </w:rPr>
                          </w:pPr>
                          <w:r>
                            <w:fldChar w:fldCharType="begin"/>
                          </w:r>
                          <w:r>
                            <w:rPr>
                              <w:rStyle w:val="39"/>
                            </w:rPr>
                            <w:instrText xml:space="preserve">Page</w:instrText>
                          </w:r>
                          <w:r>
                            <w:fldChar w:fldCharType="separate"/>
                          </w:r>
                          <w:r>
                            <w:rPr>
                              <w:rStyle w:val="39"/>
                            </w:rPr>
                            <w:t>80</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1.65pt;width:9pt;mso-position-horizontal:righ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A1IGw0wAAAAMBAAAPAAAAAAAAAAEAIAAAACIAAABkcnMvZG93bnJldi54bWxQ&#10;SwECFAAUAAAACACHTuJAG7Wk6cMBAAB/AwAADgAAAAAAAAABACAAAAAiAQAAZHJzL2Uyb0RvYy54&#10;bWxQSwUGAAAAAAYABgBZAQAAVwUAAAAA&#10;">
              <v:fill on="f" focussize="0,0"/>
              <v:stroke on="f"/>
              <v:imagedata o:title=""/>
              <o:lock v:ext="edit" aspectratio="f"/>
              <v:textbox inset="0mm,0mm,0mm,0mm">
                <w:txbxContent>
                  <w:p w14:paraId="68DF2675">
                    <w:pPr>
                      <w:pStyle w:val="23"/>
                      <w:rPr>
                        <w:rStyle w:val="39"/>
                      </w:rPr>
                    </w:pPr>
                    <w:r>
                      <w:fldChar w:fldCharType="begin"/>
                    </w:r>
                    <w:r>
                      <w:rPr>
                        <w:rStyle w:val="39"/>
                      </w:rPr>
                      <w:instrText xml:space="preserve">Page</w:instrText>
                    </w:r>
                    <w:r>
                      <w:fldChar w:fldCharType="separate"/>
                    </w:r>
                    <w:r>
                      <w:rPr>
                        <w:rStyle w:val="39"/>
                      </w:rPr>
                      <w:t>80</w:t>
                    </w:r>
                    <w:r>
                      <w:fldChar w:fldCharType="end"/>
                    </w:r>
                  </w:p>
                </w:txbxContent>
              </v:textbox>
              <w10:wrap type="square"/>
            </v:shape>
          </w:pict>
        </mc:Fallback>
      </mc:AlternateContent>
    </w:r>
    <w:r>
      <w:rPr>
        <w:sz w:val="21"/>
        <w:szCs w:val="21"/>
      </w:rPr>
      <w:drawing>
        <wp:inline distT="0" distB="0" distL="114300" distR="114300">
          <wp:extent cx="1029970" cy="229235"/>
          <wp:effectExtent l="0" t="0" r="17780" b="18415"/>
          <wp:docPr id="3" name="图片 2"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381228446826312"/>
                  <pic:cNvPicPr>
                    <a:picLocks noChangeAspect="1"/>
                  </pic:cNvPicPr>
                </pic:nvPicPr>
                <pic:blipFill>
                  <a:blip r:embed="rId1"/>
                  <a:stretch>
                    <a:fillRect/>
                  </a:stretch>
                </pic:blipFill>
                <pic:spPr>
                  <a:xfrm>
                    <a:off x="0" y="0"/>
                    <a:ext cx="1029970" cy="22923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71BD">
    <w:pPr>
      <w:pStyle w:val="23"/>
      <w:framePr w:wrap="around" w:vAnchor="text" w:hAnchor="margin" w:xAlign="center" w:y="1"/>
      <w:rPr>
        <w:rStyle w:val="39"/>
      </w:rPr>
    </w:pPr>
    <w:r>
      <w:fldChar w:fldCharType="begin"/>
    </w:r>
    <w:r>
      <w:rPr>
        <w:rStyle w:val="39"/>
      </w:rPr>
      <w:instrText xml:space="preserve">PAGE  </w:instrText>
    </w:r>
    <w:r>
      <w:fldChar w:fldCharType="separate"/>
    </w:r>
    <w:r>
      <w:rPr>
        <w:rStyle w:val="39"/>
      </w:rPr>
      <w:t>19</w:t>
    </w:r>
    <w:r>
      <w:fldChar w:fldCharType="end"/>
    </w:r>
  </w:p>
  <w:p w14:paraId="091AE0B2">
    <w:pPr>
      <w:pStyle w:val="23"/>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2F0CC5AB">
                          <w:pPr>
                            <w:pStyle w:val="23"/>
                            <w:rPr>
                              <w:rStyle w:val="39"/>
                              <w:sz w:val="21"/>
                            </w:rPr>
                          </w:pPr>
                          <w:r>
                            <w:rPr>
                              <w:sz w:val="21"/>
                            </w:rPr>
                            <w:fldChar w:fldCharType="begin"/>
                          </w:r>
                          <w:r>
                            <w:rPr>
                              <w:rStyle w:val="39"/>
                              <w:sz w:val="21"/>
                            </w:rPr>
                            <w:instrText xml:space="preserve">Page</w:instrText>
                          </w:r>
                          <w:r>
                            <w:rPr>
                              <w:sz w:val="21"/>
                            </w:rPr>
                            <w:fldChar w:fldCharType="separate"/>
                          </w:r>
                          <w:r>
                            <w:rPr>
                              <w:rStyle w:val="39"/>
                              <w:sz w:val="21"/>
                            </w:rPr>
                            <w:t>19</w:t>
                          </w:r>
                          <w:r>
                            <w:rPr>
                              <w:sz w:val="21"/>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0n7CvTAAAAAwEAAA8AAAAAAAAAAQAgAAAAIgAAAGRycy9kb3ducmV2LnhtbFBL&#10;AQIUABQAAAAIAIdO4kD66EbowgEAAH4DAAAOAAAAAAAAAAEAIAAAACIBAABkcnMvZTJvRG9jLnht&#10;bFBLBQYAAAAABgAGAFkBAABWBQAAAAA=&#10;">
              <v:fill on="f" focussize="0,0"/>
              <v:stroke on="f"/>
              <v:imagedata o:title=""/>
              <o:lock v:ext="edit" aspectratio="f"/>
              <v:textbox inset="0mm,0mm,0mm,0mm">
                <w:txbxContent>
                  <w:p w14:paraId="2F0CC5AB">
                    <w:pPr>
                      <w:pStyle w:val="23"/>
                      <w:rPr>
                        <w:rStyle w:val="39"/>
                        <w:sz w:val="21"/>
                      </w:rPr>
                    </w:pPr>
                    <w:r>
                      <w:rPr>
                        <w:sz w:val="21"/>
                      </w:rPr>
                      <w:fldChar w:fldCharType="begin"/>
                    </w:r>
                    <w:r>
                      <w:rPr>
                        <w:rStyle w:val="39"/>
                        <w:sz w:val="21"/>
                      </w:rPr>
                      <w:instrText xml:space="preserve">Page</w:instrText>
                    </w:r>
                    <w:r>
                      <w:rPr>
                        <w:sz w:val="21"/>
                      </w:rPr>
                      <w:fldChar w:fldCharType="separate"/>
                    </w:r>
                    <w:r>
                      <w:rPr>
                        <w:rStyle w:val="39"/>
                        <w:sz w:val="21"/>
                      </w:rPr>
                      <w:t>19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CF0B">
    <w:pPr>
      <w:pStyle w:val="23"/>
      <w:jc w:val="right"/>
    </w:pPr>
    <w:r>
      <w:fldChar w:fldCharType="begin"/>
    </w:r>
    <w:r>
      <w:instrText xml:space="preserve"> PAGE   \* MERGEFORMAT </w:instrText>
    </w:r>
    <w:r>
      <w:fldChar w:fldCharType="separate"/>
    </w:r>
    <w:r>
      <w:rPr>
        <w:lang w:val="zh-CN"/>
      </w:rPr>
      <w:t>6</w:t>
    </w:r>
    <w:r>
      <w:fldChar w:fldCharType="end"/>
    </w:r>
  </w:p>
  <w:p w14:paraId="0DCC4C62">
    <w:pPr>
      <w:pStyle w:val="23"/>
    </w:pPr>
    <w:r>
      <w:rPr>
        <w:sz w:val="21"/>
        <w:szCs w:val="21"/>
      </w:rPr>
      <w:drawing>
        <wp:inline distT="0" distB="0" distL="114300" distR="114300">
          <wp:extent cx="1029970" cy="229235"/>
          <wp:effectExtent l="0" t="0" r="17780" b="18415"/>
          <wp:docPr id="4" name="图片 3"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381228446826312"/>
                  <pic:cNvPicPr>
                    <a:picLocks noChangeAspect="1"/>
                  </pic:cNvPicPr>
                </pic:nvPicPr>
                <pic:blipFill>
                  <a:blip r:embed="rId1"/>
                  <a:stretch>
                    <a:fillRect/>
                  </a:stretch>
                </pic:blipFill>
                <pic:spPr>
                  <a:xfrm>
                    <a:off x="0" y="0"/>
                    <a:ext cx="1029970" cy="229235"/>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7D0A8">
    <w:pPr>
      <w:pStyle w:val="24"/>
    </w:pPr>
    <w:r>
      <w:rPr>
        <w:rFonts w:hint="eastAsia"/>
      </w:rPr>
      <w:t xml:space="preserve">                                                                        </w:t>
    </w:r>
    <w:r>
      <w:t xml:space="preserve">                          </w:t>
    </w:r>
    <w:r>
      <w:rPr>
        <w:rFonts w:hint="eastAsia"/>
      </w:rPr>
      <w:t>招标文件</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EACB6">
    <w:pPr>
      <w:pStyle w:val="24"/>
      <w:jc w:val="right"/>
    </w:pP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B2F19">
    <w:pPr>
      <w:pStyle w:val="24"/>
      <w:jc w:val="both"/>
    </w:pPr>
    <w:r>
      <w:rPr>
        <w:rFonts w:hint="eastAsia" w:ascii="宋体"/>
        <w:lang w:val="en-GB"/>
      </w:rPr>
      <w:t xml:space="preserve">（项目名称）                                </w:t>
    </w:r>
    <w:r>
      <w:rPr>
        <w:rFonts w:hint="eastAsia" w:ascii="宋体"/>
      </w:rPr>
      <w:t xml:space="preserve">                                           招标编号：</w:t>
    </w:r>
    <w:r>
      <w:rPr>
        <w:rFonts w:hint="eastAsia" w:ascii="宋体"/>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65F429"/>
    <w:multiLevelType w:val="singleLevel"/>
    <w:tmpl w:val="9665F429"/>
    <w:lvl w:ilvl="0" w:tentative="0">
      <w:start w:val="1"/>
      <w:numFmt w:val="decimal"/>
      <w:suff w:val="nothing"/>
      <w:lvlText w:val="%1、"/>
      <w:lvlJc w:val="left"/>
    </w:lvl>
  </w:abstractNum>
  <w:abstractNum w:abstractNumId="1">
    <w:nsid w:val="F49A274F"/>
    <w:multiLevelType w:val="singleLevel"/>
    <w:tmpl w:val="F49A274F"/>
    <w:lvl w:ilvl="0" w:tentative="0">
      <w:start w:val="6"/>
      <w:numFmt w:val="decimal"/>
      <w:suff w:val="nothing"/>
      <w:lvlText w:val="（%1）"/>
      <w:lvlJc w:val="left"/>
    </w:lvl>
  </w:abstractNum>
  <w:abstractNum w:abstractNumId="2">
    <w:nsid w:val="FFFFFFFB"/>
    <w:multiLevelType w:val="multilevel"/>
    <w:tmpl w:val="FFFFFFFB"/>
    <w:lvl w:ilvl="0" w:tentative="0">
      <w:start w:val="1"/>
      <w:numFmt w:val="decimal"/>
      <w:lvlText w:val="%1."/>
      <w:legacy w:legacy="1" w:legacySpace="0" w:legacyIndent="425"/>
      <w:lvlJc w:val="left"/>
      <w:pPr>
        <w:ind w:left="4394" w:hanging="425"/>
      </w:pPr>
    </w:lvl>
    <w:lvl w:ilvl="1" w:tentative="0">
      <w:start w:val="1"/>
      <w:numFmt w:val="decimal"/>
      <w:lvlText w:val="%1.%2."/>
      <w:legacy w:legacy="1" w:legacySpace="0" w:legacyIndent="425"/>
      <w:lvlJc w:val="left"/>
      <w:pPr>
        <w:ind w:left="4819" w:hanging="425"/>
      </w:pPr>
    </w:lvl>
    <w:lvl w:ilvl="2" w:tentative="0">
      <w:start w:val="1"/>
      <w:numFmt w:val="decimal"/>
      <w:lvlText w:val="%1.%2.%3."/>
      <w:legacy w:legacy="1" w:legacySpace="0" w:legacyIndent="425"/>
      <w:lvlJc w:val="left"/>
      <w:pPr>
        <w:ind w:left="5244" w:hanging="425"/>
      </w:pPr>
    </w:lvl>
    <w:lvl w:ilvl="3" w:tentative="0">
      <w:start w:val="1"/>
      <w:numFmt w:val="decimal"/>
      <w:lvlText w:val="%1.%2.%3.%4."/>
      <w:legacy w:legacy="1" w:legacySpace="0" w:legacyIndent="425"/>
      <w:lvlJc w:val="left"/>
      <w:pPr>
        <w:ind w:left="5669" w:hanging="425"/>
      </w:pPr>
    </w:lvl>
    <w:lvl w:ilvl="4" w:tentative="0">
      <w:start w:val="1"/>
      <w:numFmt w:val="decimal"/>
      <w:pStyle w:val="11"/>
      <w:lvlText w:val="%1.%2.%3.%4.%5."/>
      <w:legacy w:legacy="1" w:legacySpace="0" w:legacyIndent="425"/>
      <w:lvlJc w:val="left"/>
      <w:pPr>
        <w:ind w:left="6094" w:hanging="425"/>
      </w:pPr>
    </w:lvl>
    <w:lvl w:ilvl="5" w:tentative="0">
      <w:start w:val="1"/>
      <w:numFmt w:val="decimal"/>
      <w:lvlText w:val="%1.%2.%3.%4.%5.%6."/>
      <w:legacy w:legacy="1" w:legacySpace="0" w:legacyIndent="425"/>
      <w:lvlJc w:val="left"/>
      <w:pPr>
        <w:ind w:left="6519" w:hanging="425"/>
      </w:pPr>
    </w:lvl>
    <w:lvl w:ilvl="6" w:tentative="0">
      <w:start w:val="1"/>
      <w:numFmt w:val="decimal"/>
      <w:lvlText w:val="%1.%2.%3.%4.%5.%6.%7."/>
      <w:legacy w:legacy="1" w:legacySpace="0" w:legacyIndent="425"/>
      <w:lvlJc w:val="left"/>
      <w:pPr>
        <w:ind w:left="6944" w:hanging="425"/>
      </w:pPr>
    </w:lvl>
    <w:lvl w:ilvl="7" w:tentative="0">
      <w:start w:val="1"/>
      <w:numFmt w:val="decimal"/>
      <w:lvlText w:val="%1.%2.%3.%4.%5.%6.%7.%8."/>
      <w:legacy w:legacy="1" w:legacySpace="0" w:legacyIndent="425"/>
      <w:lvlJc w:val="left"/>
      <w:pPr>
        <w:ind w:left="7369" w:hanging="425"/>
      </w:pPr>
    </w:lvl>
    <w:lvl w:ilvl="8" w:tentative="0">
      <w:start w:val="1"/>
      <w:numFmt w:val="decimal"/>
      <w:lvlText w:val="%1.%2.%3.%4.%5.%6.%7.%8.%9."/>
      <w:legacy w:legacy="1" w:legacySpace="0" w:legacyIndent="425"/>
      <w:lvlJc w:val="left"/>
      <w:pPr>
        <w:ind w:left="7794" w:hanging="425"/>
      </w:pPr>
    </w:lvl>
  </w:abstractNum>
  <w:abstractNum w:abstractNumId="3">
    <w:nsid w:val="00000005"/>
    <w:multiLevelType w:val="singleLevel"/>
    <w:tmpl w:val="00000005"/>
    <w:lvl w:ilvl="0" w:tentative="0">
      <w:start w:val="4"/>
      <w:numFmt w:val="chineseCounting"/>
      <w:suff w:val="nothing"/>
      <w:lvlText w:val="%1、"/>
      <w:lvlJc w:val="left"/>
      <w:rPr>
        <w:rFonts w:cs="Times New Roman"/>
      </w:rPr>
    </w:lvl>
  </w:abstractNum>
  <w:abstractNum w:abstractNumId="4">
    <w:nsid w:val="0315620E"/>
    <w:multiLevelType w:val="multilevel"/>
    <w:tmpl w:val="0315620E"/>
    <w:lvl w:ilvl="0" w:tentative="0">
      <w:start w:val="1"/>
      <w:numFmt w:val="decimal"/>
      <w:pStyle w:val="7"/>
      <w:lvlText w:val="%1"/>
      <w:lvlJc w:val="left"/>
      <w:pPr>
        <w:tabs>
          <w:tab w:val="left" w:pos="360"/>
        </w:tabs>
        <w:ind w:left="284" w:hanging="284"/>
      </w:pPr>
      <w:rPr>
        <w:rFonts w:hint="default" w:ascii="Times New Roman" w:hAnsi="Times New Roman"/>
        <w:b/>
        <w:i w:val="0"/>
        <w:sz w:val="28"/>
      </w:rPr>
    </w:lvl>
    <w:lvl w:ilvl="1" w:tentative="0">
      <w:start w:val="1"/>
      <w:numFmt w:val="decimal"/>
      <w:pStyle w:val="8"/>
      <w:lvlText w:val="%1.%2"/>
      <w:lvlJc w:val="left"/>
      <w:pPr>
        <w:tabs>
          <w:tab w:val="left" w:pos="1021"/>
        </w:tabs>
        <w:ind w:left="1021" w:hanging="596"/>
      </w:pPr>
      <w:rPr>
        <w:rFonts w:hint="default" w:ascii="Times New Roman" w:hAnsi="Times New Roman"/>
        <w:b/>
        <w:i w:val="0"/>
        <w:sz w:val="28"/>
      </w:rPr>
    </w:lvl>
    <w:lvl w:ilvl="2" w:tentative="0">
      <w:start w:val="1"/>
      <w:numFmt w:val="decimal"/>
      <w:pStyle w:val="9"/>
      <w:lvlText w:val="%1.%2.%3"/>
      <w:lvlJc w:val="left"/>
      <w:pPr>
        <w:tabs>
          <w:tab w:val="left" w:pos="1588"/>
        </w:tabs>
        <w:ind w:left="1588" w:hanging="737"/>
      </w:pPr>
      <w:rPr>
        <w:rFonts w:hint="default" w:ascii="Times New Roman" w:hAnsi="Times New Roman"/>
        <w:b/>
        <w:i w:val="0"/>
        <w:sz w:val="24"/>
      </w:rPr>
    </w:lvl>
    <w:lvl w:ilvl="3" w:tentative="0">
      <w:start w:val="1"/>
      <w:numFmt w:val="decimal"/>
      <w:pStyle w:val="10"/>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082D4FF2"/>
    <w:multiLevelType w:val="singleLevel"/>
    <w:tmpl w:val="082D4FF2"/>
    <w:lvl w:ilvl="0" w:tentative="0">
      <w:start w:val="2"/>
      <w:numFmt w:val="decimal"/>
      <w:suff w:val="nothing"/>
      <w:lvlText w:val="%1、"/>
      <w:lvlJc w:val="left"/>
    </w:lvl>
  </w:abstractNum>
  <w:abstractNum w:abstractNumId="6">
    <w:nsid w:val="27B3343D"/>
    <w:multiLevelType w:val="multilevel"/>
    <w:tmpl w:val="27B3343D"/>
    <w:lvl w:ilvl="0" w:tentative="0">
      <w:start w:val="1"/>
      <w:numFmt w:val="japaneseCounting"/>
      <w:lvlText w:val="（%1）"/>
      <w:lvlJc w:val="left"/>
      <w:pPr>
        <w:ind w:left="1720" w:hanging="1080"/>
      </w:pPr>
      <w:rPr>
        <w:rFonts w:hint="default" w:cs="Times New Roman"/>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7">
    <w:nsid w:val="4258691E"/>
    <w:multiLevelType w:val="singleLevel"/>
    <w:tmpl w:val="4258691E"/>
    <w:lvl w:ilvl="0" w:tentative="0">
      <w:start w:val="1"/>
      <w:numFmt w:val="decimal"/>
      <w:suff w:val="nothing"/>
      <w:lvlText w:val="（%1）"/>
      <w:lvlJc w:val="left"/>
    </w:lvl>
  </w:abstractNum>
  <w:abstractNum w:abstractNumId="8">
    <w:nsid w:val="5060D334"/>
    <w:multiLevelType w:val="singleLevel"/>
    <w:tmpl w:val="5060D334"/>
    <w:lvl w:ilvl="0" w:tentative="0">
      <w:start w:val="1"/>
      <w:numFmt w:val="decimal"/>
      <w:lvlText w:val="(%1)"/>
      <w:lvlJc w:val="left"/>
      <w:pPr>
        <w:ind w:left="425" w:hanging="425"/>
      </w:pPr>
      <w:rPr>
        <w:rFonts w:hint="default" w:asciiTheme="minorEastAsia" w:hAnsiTheme="minorEastAsia" w:eastAsiaTheme="minorEastAsia" w:cstheme="minorEastAsia"/>
      </w:rPr>
    </w:lvl>
  </w:abstractNum>
  <w:abstractNum w:abstractNumId="9">
    <w:nsid w:val="540066F4"/>
    <w:multiLevelType w:val="singleLevel"/>
    <w:tmpl w:val="540066F4"/>
    <w:lvl w:ilvl="0" w:tentative="0">
      <w:start w:val="1"/>
      <w:numFmt w:val="decimal"/>
      <w:lvlText w:val="(%1)"/>
      <w:lvlJc w:val="left"/>
      <w:pPr>
        <w:ind w:left="425" w:hanging="425"/>
      </w:pPr>
      <w:rPr>
        <w:rFonts w:hint="default" w:asciiTheme="minorEastAsia" w:hAnsiTheme="minorEastAsia" w:eastAsiaTheme="minorEastAsia" w:cstheme="minorEastAsia"/>
      </w:rPr>
    </w:lvl>
  </w:abstractNum>
  <w:abstractNum w:abstractNumId="10">
    <w:nsid w:val="6950D5D4"/>
    <w:multiLevelType w:val="singleLevel"/>
    <w:tmpl w:val="6950D5D4"/>
    <w:lvl w:ilvl="0" w:tentative="0">
      <w:start w:val="3"/>
      <w:numFmt w:val="decimal"/>
      <w:lvlText w:val="%1."/>
      <w:lvlJc w:val="left"/>
      <w:pPr>
        <w:tabs>
          <w:tab w:val="left" w:pos="312"/>
        </w:tabs>
      </w:pPr>
    </w:lvl>
  </w:abstractNum>
  <w:abstractNum w:abstractNumId="11">
    <w:nsid w:val="6A44877E"/>
    <w:multiLevelType w:val="singleLevel"/>
    <w:tmpl w:val="6A44877E"/>
    <w:lvl w:ilvl="0" w:tentative="0">
      <w:start w:val="1"/>
      <w:numFmt w:val="decimal"/>
      <w:suff w:val="nothing"/>
      <w:lvlText w:val="%1、"/>
      <w:lvlJc w:val="left"/>
    </w:lvl>
  </w:abstractNum>
  <w:abstractNum w:abstractNumId="12">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2"/>
  </w:num>
  <w:num w:numId="3">
    <w:abstractNumId w:val="10"/>
  </w:num>
  <w:num w:numId="4">
    <w:abstractNumId w:val="7"/>
  </w:num>
  <w:num w:numId="5">
    <w:abstractNumId w:val="5"/>
  </w:num>
  <w:num w:numId="6">
    <w:abstractNumId w:val="3"/>
    <w:lvlOverride w:ilvl="0">
      <w:startOverride w:val="4"/>
    </w:lvlOverride>
  </w:num>
  <w:num w:numId="7">
    <w:abstractNumId w:val="6"/>
  </w:num>
  <w:num w:numId="8">
    <w:abstractNumId w:val="12"/>
  </w:num>
  <w:num w:numId="9">
    <w:abstractNumId w:val="0"/>
  </w:num>
  <w:num w:numId="10">
    <w:abstractNumId w:val="8"/>
  </w:num>
  <w:num w:numId="11">
    <w:abstractNumId w:val="9"/>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xYzUwMTJmMDA1MDYyZTRkZjJhZjYxYTkzYjQwNDQifQ=="/>
  </w:docVars>
  <w:rsids>
    <w:rsidRoot w:val="002647EC"/>
    <w:rsid w:val="00000028"/>
    <w:rsid w:val="00000CA6"/>
    <w:rsid w:val="00001B50"/>
    <w:rsid w:val="00001C1C"/>
    <w:rsid w:val="00001C4B"/>
    <w:rsid w:val="00001EB4"/>
    <w:rsid w:val="00001F08"/>
    <w:rsid w:val="0000237F"/>
    <w:rsid w:val="00004095"/>
    <w:rsid w:val="0000427F"/>
    <w:rsid w:val="00004999"/>
    <w:rsid w:val="000049A7"/>
    <w:rsid w:val="00004B15"/>
    <w:rsid w:val="00004D79"/>
    <w:rsid w:val="00006ADF"/>
    <w:rsid w:val="00007970"/>
    <w:rsid w:val="000109D9"/>
    <w:rsid w:val="00011084"/>
    <w:rsid w:val="00011E5C"/>
    <w:rsid w:val="00011E67"/>
    <w:rsid w:val="000127DF"/>
    <w:rsid w:val="00012B1D"/>
    <w:rsid w:val="0001376C"/>
    <w:rsid w:val="00013BF4"/>
    <w:rsid w:val="0001416D"/>
    <w:rsid w:val="00014AE9"/>
    <w:rsid w:val="00014C89"/>
    <w:rsid w:val="00014CD9"/>
    <w:rsid w:val="00015236"/>
    <w:rsid w:val="000157C2"/>
    <w:rsid w:val="00016929"/>
    <w:rsid w:val="000176C4"/>
    <w:rsid w:val="00017C9C"/>
    <w:rsid w:val="00020431"/>
    <w:rsid w:val="000207C3"/>
    <w:rsid w:val="0002200A"/>
    <w:rsid w:val="000222D9"/>
    <w:rsid w:val="000234A0"/>
    <w:rsid w:val="000236A2"/>
    <w:rsid w:val="000237A5"/>
    <w:rsid w:val="00023860"/>
    <w:rsid w:val="00023FBC"/>
    <w:rsid w:val="00024FD7"/>
    <w:rsid w:val="000256B5"/>
    <w:rsid w:val="00025935"/>
    <w:rsid w:val="00025BA8"/>
    <w:rsid w:val="00025C37"/>
    <w:rsid w:val="0002629E"/>
    <w:rsid w:val="0002753A"/>
    <w:rsid w:val="0002758B"/>
    <w:rsid w:val="000276C4"/>
    <w:rsid w:val="0002776D"/>
    <w:rsid w:val="00027D06"/>
    <w:rsid w:val="00027E1F"/>
    <w:rsid w:val="000316F0"/>
    <w:rsid w:val="00032803"/>
    <w:rsid w:val="00032A9F"/>
    <w:rsid w:val="00032D5C"/>
    <w:rsid w:val="00035541"/>
    <w:rsid w:val="00035CCA"/>
    <w:rsid w:val="000366DC"/>
    <w:rsid w:val="000369F6"/>
    <w:rsid w:val="00036A00"/>
    <w:rsid w:val="000376EF"/>
    <w:rsid w:val="0003796A"/>
    <w:rsid w:val="00037FD9"/>
    <w:rsid w:val="00041461"/>
    <w:rsid w:val="00041AE5"/>
    <w:rsid w:val="00043330"/>
    <w:rsid w:val="000433BE"/>
    <w:rsid w:val="000433EE"/>
    <w:rsid w:val="00043529"/>
    <w:rsid w:val="0004427C"/>
    <w:rsid w:val="000448B1"/>
    <w:rsid w:val="000448C0"/>
    <w:rsid w:val="000448E1"/>
    <w:rsid w:val="00045927"/>
    <w:rsid w:val="00045B84"/>
    <w:rsid w:val="00045F15"/>
    <w:rsid w:val="00046568"/>
    <w:rsid w:val="000465E2"/>
    <w:rsid w:val="00047070"/>
    <w:rsid w:val="00047150"/>
    <w:rsid w:val="0004770F"/>
    <w:rsid w:val="000477A7"/>
    <w:rsid w:val="000477EF"/>
    <w:rsid w:val="00047C59"/>
    <w:rsid w:val="00050498"/>
    <w:rsid w:val="00050AA6"/>
    <w:rsid w:val="000515E0"/>
    <w:rsid w:val="0005187F"/>
    <w:rsid w:val="00052761"/>
    <w:rsid w:val="00052821"/>
    <w:rsid w:val="00053217"/>
    <w:rsid w:val="000536C5"/>
    <w:rsid w:val="00053D47"/>
    <w:rsid w:val="000540C4"/>
    <w:rsid w:val="000548B1"/>
    <w:rsid w:val="000556A6"/>
    <w:rsid w:val="0005699F"/>
    <w:rsid w:val="00056C7E"/>
    <w:rsid w:val="00056F2B"/>
    <w:rsid w:val="00057008"/>
    <w:rsid w:val="00057596"/>
    <w:rsid w:val="00057B33"/>
    <w:rsid w:val="00057F0C"/>
    <w:rsid w:val="00060EF9"/>
    <w:rsid w:val="000611DC"/>
    <w:rsid w:val="0006120B"/>
    <w:rsid w:val="000617F1"/>
    <w:rsid w:val="00061845"/>
    <w:rsid w:val="000627F1"/>
    <w:rsid w:val="00062E1F"/>
    <w:rsid w:val="000641EB"/>
    <w:rsid w:val="00064836"/>
    <w:rsid w:val="00064A94"/>
    <w:rsid w:val="00064E95"/>
    <w:rsid w:val="0006552A"/>
    <w:rsid w:val="000657A1"/>
    <w:rsid w:val="00065DAB"/>
    <w:rsid w:val="00066418"/>
    <w:rsid w:val="00066602"/>
    <w:rsid w:val="000668EE"/>
    <w:rsid w:val="000673EB"/>
    <w:rsid w:val="00067422"/>
    <w:rsid w:val="00067938"/>
    <w:rsid w:val="00070148"/>
    <w:rsid w:val="00070853"/>
    <w:rsid w:val="000708CF"/>
    <w:rsid w:val="00070976"/>
    <w:rsid w:val="00070DA0"/>
    <w:rsid w:val="0007119E"/>
    <w:rsid w:val="0007141C"/>
    <w:rsid w:val="00071651"/>
    <w:rsid w:val="000719A2"/>
    <w:rsid w:val="00071FE9"/>
    <w:rsid w:val="00072C1F"/>
    <w:rsid w:val="00072D3F"/>
    <w:rsid w:val="00072F7F"/>
    <w:rsid w:val="000733C3"/>
    <w:rsid w:val="00073A90"/>
    <w:rsid w:val="00073B26"/>
    <w:rsid w:val="00073D10"/>
    <w:rsid w:val="000742DC"/>
    <w:rsid w:val="000744EB"/>
    <w:rsid w:val="00074796"/>
    <w:rsid w:val="00074C6C"/>
    <w:rsid w:val="00075DF9"/>
    <w:rsid w:val="00076D60"/>
    <w:rsid w:val="00076EDB"/>
    <w:rsid w:val="00077128"/>
    <w:rsid w:val="00077480"/>
    <w:rsid w:val="0008016B"/>
    <w:rsid w:val="00080AAB"/>
    <w:rsid w:val="0008134F"/>
    <w:rsid w:val="000816CB"/>
    <w:rsid w:val="0008239B"/>
    <w:rsid w:val="000823C3"/>
    <w:rsid w:val="00082948"/>
    <w:rsid w:val="000830A4"/>
    <w:rsid w:val="0008332D"/>
    <w:rsid w:val="0008363D"/>
    <w:rsid w:val="000845E2"/>
    <w:rsid w:val="00084EF9"/>
    <w:rsid w:val="000851FE"/>
    <w:rsid w:val="0008557E"/>
    <w:rsid w:val="000857B0"/>
    <w:rsid w:val="00086420"/>
    <w:rsid w:val="00086855"/>
    <w:rsid w:val="00086AD3"/>
    <w:rsid w:val="00086E3F"/>
    <w:rsid w:val="00086FFD"/>
    <w:rsid w:val="00087195"/>
    <w:rsid w:val="00087655"/>
    <w:rsid w:val="00090781"/>
    <w:rsid w:val="0009098F"/>
    <w:rsid w:val="000919B4"/>
    <w:rsid w:val="00091F63"/>
    <w:rsid w:val="00093237"/>
    <w:rsid w:val="00093327"/>
    <w:rsid w:val="0009363A"/>
    <w:rsid w:val="00093EC3"/>
    <w:rsid w:val="00093EE5"/>
    <w:rsid w:val="00094796"/>
    <w:rsid w:val="000950FB"/>
    <w:rsid w:val="00095241"/>
    <w:rsid w:val="000953B3"/>
    <w:rsid w:val="00096620"/>
    <w:rsid w:val="0009757D"/>
    <w:rsid w:val="00097C19"/>
    <w:rsid w:val="000A00E6"/>
    <w:rsid w:val="000A01B8"/>
    <w:rsid w:val="000A0D8F"/>
    <w:rsid w:val="000A1AD7"/>
    <w:rsid w:val="000A1F81"/>
    <w:rsid w:val="000A2644"/>
    <w:rsid w:val="000A26DB"/>
    <w:rsid w:val="000A2B8E"/>
    <w:rsid w:val="000A2B92"/>
    <w:rsid w:val="000A36C3"/>
    <w:rsid w:val="000A421E"/>
    <w:rsid w:val="000A48FE"/>
    <w:rsid w:val="000A4ADA"/>
    <w:rsid w:val="000A51EE"/>
    <w:rsid w:val="000A544B"/>
    <w:rsid w:val="000A5591"/>
    <w:rsid w:val="000A5651"/>
    <w:rsid w:val="000A5833"/>
    <w:rsid w:val="000A5DB5"/>
    <w:rsid w:val="000A5F55"/>
    <w:rsid w:val="000A7532"/>
    <w:rsid w:val="000A77FB"/>
    <w:rsid w:val="000A7CFC"/>
    <w:rsid w:val="000B0B38"/>
    <w:rsid w:val="000B1AE8"/>
    <w:rsid w:val="000B1F44"/>
    <w:rsid w:val="000B1FBC"/>
    <w:rsid w:val="000B2B03"/>
    <w:rsid w:val="000B2DDB"/>
    <w:rsid w:val="000B3278"/>
    <w:rsid w:val="000B3ED6"/>
    <w:rsid w:val="000B423E"/>
    <w:rsid w:val="000B4BAC"/>
    <w:rsid w:val="000B4EFD"/>
    <w:rsid w:val="000B6329"/>
    <w:rsid w:val="000B65E5"/>
    <w:rsid w:val="000B6B5F"/>
    <w:rsid w:val="000B7E36"/>
    <w:rsid w:val="000C0334"/>
    <w:rsid w:val="000C0A0D"/>
    <w:rsid w:val="000C12F0"/>
    <w:rsid w:val="000C1620"/>
    <w:rsid w:val="000C2740"/>
    <w:rsid w:val="000C2A80"/>
    <w:rsid w:val="000C2E0A"/>
    <w:rsid w:val="000C2F95"/>
    <w:rsid w:val="000C305F"/>
    <w:rsid w:val="000C3B0A"/>
    <w:rsid w:val="000C3F42"/>
    <w:rsid w:val="000C68E0"/>
    <w:rsid w:val="000C7047"/>
    <w:rsid w:val="000C75A7"/>
    <w:rsid w:val="000D1644"/>
    <w:rsid w:val="000D2015"/>
    <w:rsid w:val="000D2C10"/>
    <w:rsid w:val="000D2F9A"/>
    <w:rsid w:val="000D3C42"/>
    <w:rsid w:val="000D43BA"/>
    <w:rsid w:val="000D47FC"/>
    <w:rsid w:val="000D4BAB"/>
    <w:rsid w:val="000D4EC3"/>
    <w:rsid w:val="000D50F7"/>
    <w:rsid w:val="000D51E6"/>
    <w:rsid w:val="000D53D3"/>
    <w:rsid w:val="000D5EE1"/>
    <w:rsid w:val="000D6308"/>
    <w:rsid w:val="000D6320"/>
    <w:rsid w:val="000D6469"/>
    <w:rsid w:val="000D66A2"/>
    <w:rsid w:val="000D72BD"/>
    <w:rsid w:val="000D7A20"/>
    <w:rsid w:val="000E01B0"/>
    <w:rsid w:val="000E0461"/>
    <w:rsid w:val="000E0542"/>
    <w:rsid w:val="000E1D4A"/>
    <w:rsid w:val="000E215B"/>
    <w:rsid w:val="000E23CE"/>
    <w:rsid w:val="000E3161"/>
    <w:rsid w:val="000E33BC"/>
    <w:rsid w:val="000E437E"/>
    <w:rsid w:val="000E7446"/>
    <w:rsid w:val="000E744C"/>
    <w:rsid w:val="000F198B"/>
    <w:rsid w:val="000F1BCB"/>
    <w:rsid w:val="000F1FCD"/>
    <w:rsid w:val="000F2072"/>
    <w:rsid w:val="000F23A6"/>
    <w:rsid w:val="000F2B08"/>
    <w:rsid w:val="000F3184"/>
    <w:rsid w:val="000F35CB"/>
    <w:rsid w:val="000F36A7"/>
    <w:rsid w:val="000F397D"/>
    <w:rsid w:val="000F3BB7"/>
    <w:rsid w:val="000F3FEA"/>
    <w:rsid w:val="000F42CA"/>
    <w:rsid w:val="000F5083"/>
    <w:rsid w:val="000F5DC6"/>
    <w:rsid w:val="000F6178"/>
    <w:rsid w:val="000F6E5C"/>
    <w:rsid w:val="000F7DFC"/>
    <w:rsid w:val="0010091A"/>
    <w:rsid w:val="00100C23"/>
    <w:rsid w:val="001016A2"/>
    <w:rsid w:val="001018BA"/>
    <w:rsid w:val="0010192C"/>
    <w:rsid w:val="0010225C"/>
    <w:rsid w:val="00102489"/>
    <w:rsid w:val="001024FF"/>
    <w:rsid w:val="0010291C"/>
    <w:rsid w:val="00102B12"/>
    <w:rsid w:val="00102DDE"/>
    <w:rsid w:val="00102FE7"/>
    <w:rsid w:val="001031EA"/>
    <w:rsid w:val="001033BC"/>
    <w:rsid w:val="00103485"/>
    <w:rsid w:val="001035B7"/>
    <w:rsid w:val="00103618"/>
    <w:rsid w:val="00103E7A"/>
    <w:rsid w:val="00104697"/>
    <w:rsid w:val="00106141"/>
    <w:rsid w:val="0010618A"/>
    <w:rsid w:val="00106258"/>
    <w:rsid w:val="001062BB"/>
    <w:rsid w:val="0010697C"/>
    <w:rsid w:val="00106BCB"/>
    <w:rsid w:val="00106C41"/>
    <w:rsid w:val="00107784"/>
    <w:rsid w:val="00107F33"/>
    <w:rsid w:val="001101FA"/>
    <w:rsid w:val="00110494"/>
    <w:rsid w:val="0011133A"/>
    <w:rsid w:val="0011197E"/>
    <w:rsid w:val="00111C17"/>
    <w:rsid w:val="00111E09"/>
    <w:rsid w:val="001124B7"/>
    <w:rsid w:val="00113A32"/>
    <w:rsid w:val="0011463B"/>
    <w:rsid w:val="00114C5D"/>
    <w:rsid w:val="001151F0"/>
    <w:rsid w:val="001153A2"/>
    <w:rsid w:val="001154CF"/>
    <w:rsid w:val="00116467"/>
    <w:rsid w:val="00116825"/>
    <w:rsid w:val="00117925"/>
    <w:rsid w:val="00117A59"/>
    <w:rsid w:val="00120209"/>
    <w:rsid w:val="0012070E"/>
    <w:rsid w:val="00120FD4"/>
    <w:rsid w:val="001217E2"/>
    <w:rsid w:val="00121A67"/>
    <w:rsid w:val="00121B06"/>
    <w:rsid w:val="00121EF3"/>
    <w:rsid w:val="00122585"/>
    <w:rsid w:val="00122D06"/>
    <w:rsid w:val="00122D6D"/>
    <w:rsid w:val="001233F0"/>
    <w:rsid w:val="00124815"/>
    <w:rsid w:val="00124C5A"/>
    <w:rsid w:val="00125B1C"/>
    <w:rsid w:val="00126C2D"/>
    <w:rsid w:val="00126CF4"/>
    <w:rsid w:val="00126F05"/>
    <w:rsid w:val="001276C5"/>
    <w:rsid w:val="00127C2A"/>
    <w:rsid w:val="0013055D"/>
    <w:rsid w:val="001307C1"/>
    <w:rsid w:val="001309AD"/>
    <w:rsid w:val="00130DDD"/>
    <w:rsid w:val="001313A2"/>
    <w:rsid w:val="00133005"/>
    <w:rsid w:val="00133DB3"/>
    <w:rsid w:val="00133DDC"/>
    <w:rsid w:val="00134693"/>
    <w:rsid w:val="00134C45"/>
    <w:rsid w:val="0013552E"/>
    <w:rsid w:val="001358F1"/>
    <w:rsid w:val="001363A5"/>
    <w:rsid w:val="001364B3"/>
    <w:rsid w:val="00136D89"/>
    <w:rsid w:val="001401A2"/>
    <w:rsid w:val="001401B7"/>
    <w:rsid w:val="00140349"/>
    <w:rsid w:val="001403D0"/>
    <w:rsid w:val="00140C14"/>
    <w:rsid w:val="00141933"/>
    <w:rsid w:val="001420A7"/>
    <w:rsid w:val="001422BE"/>
    <w:rsid w:val="001425DB"/>
    <w:rsid w:val="001425FB"/>
    <w:rsid w:val="00142D3D"/>
    <w:rsid w:val="00142FE2"/>
    <w:rsid w:val="00143B58"/>
    <w:rsid w:val="00143D9E"/>
    <w:rsid w:val="00144004"/>
    <w:rsid w:val="00144073"/>
    <w:rsid w:val="00144CBE"/>
    <w:rsid w:val="00145292"/>
    <w:rsid w:val="001455AD"/>
    <w:rsid w:val="00145612"/>
    <w:rsid w:val="00145864"/>
    <w:rsid w:val="001467D4"/>
    <w:rsid w:val="00146FD3"/>
    <w:rsid w:val="00147E24"/>
    <w:rsid w:val="001504F3"/>
    <w:rsid w:val="001505AF"/>
    <w:rsid w:val="0015145E"/>
    <w:rsid w:val="00151BCA"/>
    <w:rsid w:val="00151C18"/>
    <w:rsid w:val="00151E66"/>
    <w:rsid w:val="001522B8"/>
    <w:rsid w:val="001522DE"/>
    <w:rsid w:val="00152310"/>
    <w:rsid w:val="001529FB"/>
    <w:rsid w:val="00153D25"/>
    <w:rsid w:val="0015416A"/>
    <w:rsid w:val="00154A59"/>
    <w:rsid w:val="00154FB3"/>
    <w:rsid w:val="0015531F"/>
    <w:rsid w:val="001553C1"/>
    <w:rsid w:val="00155605"/>
    <w:rsid w:val="001562E1"/>
    <w:rsid w:val="0015704D"/>
    <w:rsid w:val="00157BBB"/>
    <w:rsid w:val="001600AF"/>
    <w:rsid w:val="001600B6"/>
    <w:rsid w:val="00160393"/>
    <w:rsid w:val="001605E3"/>
    <w:rsid w:val="00160A79"/>
    <w:rsid w:val="00162A84"/>
    <w:rsid w:val="001630E2"/>
    <w:rsid w:val="00163195"/>
    <w:rsid w:val="001631D7"/>
    <w:rsid w:val="001646F4"/>
    <w:rsid w:val="0016488C"/>
    <w:rsid w:val="00164B80"/>
    <w:rsid w:val="00164D7D"/>
    <w:rsid w:val="00165F94"/>
    <w:rsid w:val="00166087"/>
    <w:rsid w:val="00166EE5"/>
    <w:rsid w:val="00167E7D"/>
    <w:rsid w:val="00170014"/>
    <w:rsid w:val="0017031D"/>
    <w:rsid w:val="0017041F"/>
    <w:rsid w:val="00170CD4"/>
    <w:rsid w:val="00170F2C"/>
    <w:rsid w:val="001712BA"/>
    <w:rsid w:val="0017191F"/>
    <w:rsid w:val="00171938"/>
    <w:rsid w:val="00171A8B"/>
    <w:rsid w:val="00171F7E"/>
    <w:rsid w:val="001724D3"/>
    <w:rsid w:val="001726CC"/>
    <w:rsid w:val="00172E29"/>
    <w:rsid w:val="0017335D"/>
    <w:rsid w:val="001739CF"/>
    <w:rsid w:val="001739D1"/>
    <w:rsid w:val="0017504F"/>
    <w:rsid w:val="001752C0"/>
    <w:rsid w:val="00175C85"/>
    <w:rsid w:val="00175D05"/>
    <w:rsid w:val="001764E1"/>
    <w:rsid w:val="00176763"/>
    <w:rsid w:val="001767B8"/>
    <w:rsid w:val="00176CD4"/>
    <w:rsid w:val="00176E89"/>
    <w:rsid w:val="00176EDA"/>
    <w:rsid w:val="00177E06"/>
    <w:rsid w:val="00180190"/>
    <w:rsid w:val="00180B5D"/>
    <w:rsid w:val="00182000"/>
    <w:rsid w:val="00182DE7"/>
    <w:rsid w:val="00182F50"/>
    <w:rsid w:val="00183019"/>
    <w:rsid w:val="001842A0"/>
    <w:rsid w:val="001846DF"/>
    <w:rsid w:val="00184F09"/>
    <w:rsid w:val="00185B33"/>
    <w:rsid w:val="00185E76"/>
    <w:rsid w:val="00186590"/>
    <w:rsid w:val="00186619"/>
    <w:rsid w:val="001900C7"/>
    <w:rsid w:val="001900F1"/>
    <w:rsid w:val="00190255"/>
    <w:rsid w:val="00190BBB"/>
    <w:rsid w:val="00192197"/>
    <w:rsid w:val="001929EA"/>
    <w:rsid w:val="00192AB6"/>
    <w:rsid w:val="0019428E"/>
    <w:rsid w:val="00194CD5"/>
    <w:rsid w:val="00194D39"/>
    <w:rsid w:val="00195E4B"/>
    <w:rsid w:val="0019630B"/>
    <w:rsid w:val="001965D4"/>
    <w:rsid w:val="00196C30"/>
    <w:rsid w:val="001A0230"/>
    <w:rsid w:val="001A02AD"/>
    <w:rsid w:val="001A0B49"/>
    <w:rsid w:val="001A269D"/>
    <w:rsid w:val="001A2EFD"/>
    <w:rsid w:val="001A31D4"/>
    <w:rsid w:val="001A3311"/>
    <w:rsid w:val="001A366F"/>
    <w:rsid w:val="001A40EF"/>
    <w:rsid w:val="001A436C"/>
    <w:rsid w:val="001A5085"/>
    <w:rsid w:val="001A572C"/>
    <w:rsid w:val="001A677D"/>
    <w:rsid w:val="001A68F1"/>
    <w:rsid w:val="001A68F9"/>
    <w:rsid w:val="001A6C44"/>
    <w:rsid w:val="001A78A3"/>
    <w:rsid w:val="001A7CC8"/>
    <w:rsid w:val="001A7FF4"/>
    <w:rsid w:val="001B0022"/>
    <w:rsid w:val="001B011F"/>
    <w:rsid w:val="001B0CCE"/>
    <w:rsid w:val="001B1707"/>
    <w:rsid w:val="001B23EE"/>
    <w:rsid w:val="001B2EBB"/>
    <w:rsid w:val="001B35F9"/>
    <w:rsid w:val="001B45DB"/>
    <w:rsid w:val="001B489A"/>
    <w:rsid w:val="001B4903"/>
    <w:rsid w:val="001B4996"/>
    <w:rsid w:val="001B67DB"/>
    <w:rsid w:val="001B6E69"/>
    <w:rsid w:val="001B6F30"/>
    <w:rsid w:val="001B7114"/>
    <w:rsid w:val="001B75E2"/>
    <w:rsid w:val="001B7701"/>
    <w:rsid w:val="001B7BBE"/>
    <w:rsid w:val="001C0D8F"/>
    <w:rsid w:val="001C1699"/>
    <w:rsid w:val="001C1ECE"/>
    <w:rsid w:val="001C20BF"/>
    <w:rsid w:val="001C20D2"/>
    <w:rsid w:val="001C2118"/>
    <w:rsid w:val="001C2692"/>
    <w:rsid w:val="001C2EFB"/>
    <w:rsid w:val="001C2F15"/>
    <w:rsid w:val="001C3465"/>
    <w:rsid w:val="001C35BD"/>
    <w:rsid w:val="001C3F46"/>
    <w:rsid w:val="001C42F9"/>
    <w:rsid w:val="001C43D6"/>
    <w:rsid w:val="001C454B"/>
    <w:rsid w:val="001C538F"/>
    <w:rsid w:val="001C580E"/>
    <w:rsid w:val="001C5E48"/>
    <w:rsid w:val="001C6094"/>
    <w:rsid w:val="001C6450"/>
    <w:rsid w:val="001C6783"/>
    <w:rsid w:val="001C6969"/>
    <w:rsid w:val="001C6ACD"/>
    <w:rsid w:val="001C6C59"/>
    <w:rsid w:val="001D03C2"/>
    <w:rsid w:val="001D04D4"/>
    <w:rsid w:val="001D0F0B"/>
    <w:rsid w:val="001D17AB"/>
    <w:rsid w:val="001D1EBF"/>
    <w:rsid w:val="001D243E"/>
    <w:rsid w:val="001D27AE"/>
    <w:rsid w:val="001D3515"/>
    <w:rsid w:val="001D3834"/>
    <w:rsid w:val="001D498F"/>
    <w:rsid w:val="001D4EFA"/>
    <w:rsid w:val="001D51B9"/>
    <w:rsid w:val="001D5C56"/>
    <w:rsid w:val="001D6039"/>
    <w:rsid w:val="001D6321"/>
    <w:rsid w:val="001D6C5C"/>
    <w:rsid w:val="001D6C68"/>
    <w:rsid w:val="001D719C"/>
    <w:rsid w:val="001E0194"/>
    <w:rsid w:val="001E022E"/>
    <w:rsid w:val="001E131A"/>
    <w:rsid w:val="001E1624"/>
    <w:rsid w:val="001E1699"/>
    <w:rsid w:val="001E1853"/>
    <w:rsid w:val="001E1B1A"/>
    <w:rsid w:val="001E2152"/>
    <w:rsid w:val="001E2486"/>
    <w:rsid w:val="001E30E2"/>
    <w:rsid w:val="001E3979"/>
    <w:rsid w:val="001E3FA9"/>
    <w:rsid w:val="001E4081"/>
    <w:rsid w:val="001E41B6"/>
    <w:rsid w:val="001E5088"/>
    <w:rsid w:val="001E5149"/>
    <w:rsid w:val="001E60EA"/>
    <w:rsid w:val="001E752A"/>
    <w:rsid w:val="001E7BAA"/>
    <w:rsid w:val="001E7DA1"/>
    <w:rsid w:val="001F0091"/>
    <w:rsid w:val="001F0D2C"/>
    <w:rsid w:val="001F2B87"/>
    <w:rsid w:val="001F2E9C"/>
    <w:rsid w:val="001F35B6"/>
    <w:rsid w:val="001F3787"/>
    <w:rsid w:val="001F48BA"/>
    <w:rsid w:val="001F48DA"/>
    <w:rsid w:val="001F4C11"/>
    <w:rsid w:val="001F51F1"/>
    <w:rsid w:val="001F595B"/>
    <w:rsid w:val="001F6984"/>
    <w:rsid w:val="001F7A37"/>
    <w:rsid w:val="001F7D09"/>
    <w:rsid w:val="00200144"/>
    <w:rsid w:val="002009FB"/>
    <w:rsid w:val="00200C12"/>
    <w:rsid w:val="0020152B"/>
    <w:rsid w:val="00201817"/>
    <w:rsid w:val="00201D07"/>
    <w:rsid w:val="002020DE"/>
    <w:rsid w:val="00203111"/>
    <w:rsid w:val="002043FD"/>
    <w:rsid w:val="002044EE"/>
    <w:rsid w:val="00205E97"/>
    <w:rsid w:val="00205F56"/>
    <w:rsid w:val="0020636E"/>
    <w:rsid w:val="0020679B"/>
    <w:rsid w:val="00206BF1"/>
    <w:rsid w:val="00206F4A"/>
    <w:rsid w:val="00206FCC"/>
    <w:rsid w:val="0020702C"/>
    <w:rsid w:val="00207295"/>
    <w:rsid w:val="0020756C"/>
    <w:rsid w:val="002078CE"/>
    <w:rsid w:val="002108EC"/>
    <w:rsid w:val="002111E2"/>
    <w:rsid w:val="0021167D"/>
    <w:rsid w:val="0021367A"/>
    <w:rsid w:val="00215143"/>
    <w:rsid w:val="00215284"/>
    <w:rsid w:val="002159F3"/>
    <w:rsid w:val="00215EE3"/>
    <w:rsid w:val="0021694B"/>
    <w:rsid w:val="002169E5"/>
    <w:rsid w:val="00217D47"/>
    <w:rsid w:val="00220A8F"/>
    <w:rsid w:val="00221022"/>
    <w:rsid w:val="0022186B"/>
    <w:rsid w:val="00222200"/>
    <w:rsid w:val="0022368A"/>
    <w:rsid w:val="00223733"/>
    <w:rsid w:val="00223A2B"/>
    <w:rsid w:val="00223EA4"/>
    <w:rsid w:val="0022419E"/>
    <w:rsid w:val="00225D7C"/>
    <w:rsid w:val="00225F3D"/>
    <w:rsid w:val="00225FC4"/>
    <w:rsid w:val="002263B5"/>
    <w:rsid w:val="00226F92"/>
    <w:rsid w:val="0022703B"/>
    <w:rsid w:val="00227C08"/>
    <w:rsid w:val="00230316"/>
    <w:rsid w:val="002308E2"/>
    <w:rsid w:val="00230B9D"/>
    <w:rsid w:val="0023112D"/>
    <w:rsid w:val="00231251"/>
    <w:rsid w:val="002318D1"/>
    <w:rsid w:val="00232D5C"/>
    <w:rsid w:val="00233398"/>
    <w:rsid w:val="00233629"/>
    <w:rsid w:val="00233788"/>
    <w:rsid w:val="00234218"/>
    <w:rsid w:val="002349D1"/>
    <w:rsid w:val="00234C33"/>
    <w:rsid w:val="0023555E"/>
    <w:rsid w:val="00235640"/>
    <w:rsid w:val="002356D5"/>
    <w:rsid w:val="00236392"/>
    <w:rsid w:val="0023639D"/>
    <w:rsid w:val="00236D14"/>
    <w:rsid w:val="00237204"/>
    <w:rsid w:val="0023745B"/>
    <w:rsid w:val="0024035E"/>
    <w:rsid w:val="00240367"/>
    <w:rsid w:val="002405C6"/>
    <w:rsid w:val="00241288"/>
    <w:rsid w:val="002415A0"/>
    <w:rsid w:val="002428A7"/>
    <w:rsid w:val="002428DF"/>
    <w:rsid w:val="00242A20"/>
    <w:rsid w:val="00243972"/>
    <w:rsid w:val="002439FC"/>
    <w:rsid w:val="00244688"/>
    <w:rsid w:val="00245908"/>
    <w:rsid w:val="0024640F"/>
    <w:rsid w:val="002466D5"/>
    <w:rsid w:val="00246C81"/>
    <w:rsid w:val="00247AF9"/>
    <w:rsid w:val="0025103F"/>
    <w:rsid w:val="00252049"/>
    <w:rsid w:val="00252184"/>
    <w:rsid w:val="00252E23"/>
    <w:rsid w:val="00254807"/>
    <w:rsid w:val="00254B17"/>
    <w:rsid w:val="00254F0A"/>
    <w:rsid w:val="00255B7B"/>
    <w:rsid w:val="00256055"/>
    <w:rsid w:val="00256194"/>
    <w:rsid w:val="0025641C"/>
    <w:rsid w:val="002566E8"/>
    <w:rsid w:val="0025696F"/>
    <w:rsid w:val="002573DC"/>
    <w:rsid w:val="00257AE0"/>
    <w:rsid w:val="002606CB"/>
    <w:rsid w:val="002609BB"/>
    <w:rsid w:val="00262D61"/>
    <w:rsid w:val="00263078"/>
    <w:rsid w:val="002639EC"/>
    <w:rsid w:val="00264668"/>
    <w:rsid w:val="002647EC"/>
    <w:rsid w:val="00264868"/>
    <w:rsid w:val="0026489D"/>
    <w:rsid w:val="00264E21"/>
    <w:rsid w:val="00266958"/>
    <w:rsid w:val="00267827"/>
    <w:rsid w:val="002703CB"/>
    <w:rsid w:val="002704B9"/>
    <w:rsid w:val="0027144A"/>
    <w:rsid w:val="002716E8"/>
    <w:rsid w:val="0027208C"/>
    <w:rsid w:val="00272272"/>
    <w:rsid w:val="002738B7"/>
    <w:rsid w:val="00273ABD"/>
    <w:rsid w:val="00273C90"/>
    <w:rsid w:val="00275DEF"/>
    <w:rsid w:val="00276630"/>
    <w:rsid w:val="0027696C"/>
    <w:rsid w:val="00277147"/>
    <w:rsid w:val="00277949"/>
    <w:rsid w:val="00277A62"/>
    <w:rsid w:val="00280F67"/>
    <w:rsid w:val="002817AF"/>
    <w:rsid w:val="00281957"/>
    <w:rsid w:val="00281C4F"/>
    <w:rsid w:val="00282407"/>
    <w:rsid w:val="00282574"/>
    <w:rsid w:val="00282CB1"/>
    <w:rsid w:val="00282E92"/>
    <w:rsid w:val="00283782"/>
    <w:rsid w:val="0028395D"/>
    <w:rsid w:val="002839C0"/>
    <w:rsid w:val="00283BE6"/>
    <w:rsid w:val="00283CB7"/>
    <w:rsid w:val="002840F9"/>
    <w:rsid w:val="00285057"/>
    <w:rsid w:val="00285373"/>
    <w:rsid w:val="00285ABD"/>
    <w:rsid w:val="00286472"/>
    <w:rsid w:val="002878A4"/>
    <w:rsid w:val="00287AFC"/>
    <w:rsid w:val="00287D60"/>
    <w:rsid w:val="0029051E"/>
    <w:rsid w:val="002906DD"/>
    <w:rsid w:val="0029099B"/>
    <w:rsid w:val="00290E10"/>
    <w:rsid w:val="002917BC"/>
    <w:rsid w:val="0029365F"/>
    <w:rsid w:val="00293A98"/>
    <w:rsid w:val="0029498B"/>
    <w:rsid w:val="00295448"/>
    <w:rsid w:val="00295627"/>
    <w:rsid w:val="00295763"/>
    <w:rsid w:val="002957C6"/>
    <w:rsid w:val="0029595B"/>
    <w:rsid w:val="0029684D"/>
    <w:rsid w:val="00296FC9"/>
    <w:rsid w:val="002977D7"/>
    <w:rsid w:val="002A0023"/>
    <w:rsid w:val="002A07D0"/>
    <w:rsid w:val="002A0E88"/>
    <w:rsid w:val="002A18F9"/>
    <w:rsid w:val="002A1AB1"/>
    <w:rsid w:val="002A2150"/>
    <w:rsid w:val="002A2242"/>
    <w:rsid w:val="002A27D6"/>
    <w:rsid w:val="002A31DC"/>
    <w:rsid w:val="002A3BBE"/>
    <w:rsid w:val="002A3C21"/>
    <w:rsid w:val="002A3EB8"/>
    <w:rsid w:val="002A4274"/>
    <w:rsid w:val="002A469C"/>
    <w:rsid w:val="002A48E7"/>
    <w:rsid w:val="002A4B78"/>
    <w:rsid w:val="002A4FE3"/>
    <w:rsid w:val="002A6174"/>
    <w:rsid w:val="002A651D"/>
    <w:rsid w:val="002A6D5A"/>
    <w:rsid w:val="002A7799"/>
    <w:rsid w:val="002B0436"/>
    <w:rsid w:val="002B0DBD"/>
    <w:rsid w:val="002B10ED"/>
    <w:rsid w:val="002B1267"/>
    <w:rsid w:val="002B1A2D"/>
    <w:rsid w:val="002B249C"/>
    <w:rsid w:val="002B2502"/>
    <w:rsid w:val="002B2634"/>
    <w:rsid w:val="002B2689"/>
    <w:rsid w:val="002B28F5"/>
    <w:rsid w:val="002B294F"/>
    <w:rsid w:val="002B2F8A"/>
    <w:rsid w:val="002B3036"/>
    <w:rsid w:val="002B315D"/>
    <w:rsid w:val="002B3B67"/>
    <w:rsid w:val="002B3D91"/>
    <w:rsid w:val="002B42C5"/>
    <w:rsid w:val="002B460F"/>
    <w:rsid w:val="002B4B0A"/>
    <w:rsid w:val="002B4EF7"/>
    <w:rsid w:val="002B542E"/>
    <w:rsid w:val="002B54C4"/>
    <w:rsid w:val="002B5FDD"/>
    <w:rsid w:val="002B6D14"/>
    <w:rsid w:val="002B7062"/>
    <w:rsid w:val="002B7180"/>
    <w:rsid w:val="002B7ED1"/>
    <w:rsid w:val="002C07B7"/>
    <w:rsid w:val="002C07EA"/>
    <w:rsid w:val="002C0A8D"/>
    <w:rsid w:val="002C175C"/>
    <w:rsid w:val="002C2265"/>
    <w:rsid w:val="002C28AC"/>
    <w:rsid w:val="002C3B77"/>
    <w:rsid w:val="002C751C"/>
    <w:rsid w:val="002D037E"/>
    <w:rsid w:val="002D1606"/>
    <w:rsid w:val="002D16C5"/>
    <w:rsid w:val="002D3545"/>
    <w:rsid w:val="002D3A7C"/>
    <w:rsid w:val="002D3D66"/>
    <w:rsid w:val="002D46A5"/>
    <w:rsid w:val="002D52C7"/>
    <w:rsid w:val="002D5AC0"/>
    <w:rsid w:val="002D6A05"/>
    <w:rsid w:val="002D6C6F"/>
    <w:rsid w:val="002D6DC0"/>
    <w:rsid w:val="002D6DFE"/>
    <w:rsid w:val="002D705B"/>
    <w:rsid w:val="002D715A"/>
    <w:rsid w:val="002D7B65"/>
    <w:rsid w:val="002E071F"/>
    <w:rsid w:val="002E0DE7"/>
    <w:rsid w:val="002E2099"/>
    <w:rsid w:val="002E2697"/>
    <w:rsid w:val="002E3C9D"/>
    <w:rsid w:val="002E3E61"/>
    <w:rsid w:val="002E4763"/>
    <w:rsid w:val="002E5B80"/>
    <w:rsid w:val="002E603C"/>
    <w:rsid w:val="002E617A"/>
    <w:rsid w:val="002E67AD"/>
    <w:rsid w:val="002E71CE"/>
    <w:rsid w:val="002E79EA"/>
    <w:rsid w:val="002E7CAD"/>
    <w:rsid w:val="002F005C"/>
    <w:rsid w:val="002F0FBC"/>
    <w:rsid w:val="002F182C"/>
    <w:rsid w:val="002F244D"/>
    <w:rsid w:val="002F2E4F"/>
    <w:rsid w:val="002F2F42"/>
    <w:rsid w:val="002F34BD"/>
    <w:rsid w:val="002F36A1"/>
    <w:rsid w:val="002F4C49"/>
    <w:rsid w:val="002F5766"/>
    <w:rsid w:val="002F5B92"/>
    <w:rsid w:val="002F61AC"/>
    <w:rsid w:val="002F6EA6"/>
    <w:rsid w:val="002F724E"/>
    <w:rsid w:val="003007E3"/>
    <w:rsid w:val="00300F4F"/>
    <w:rsid w:val="003022B2"/>
    <w:rsid w:val="00302371"/>
    <w:rsid w:val="0030246D"/>
    <w:rsid w:val="003028B2"/>
    <w:rsid w:val="00302ABE"/>
    <w:rsid w:val="0030380C"/>
    <w:rsid w:val="00303A69"/>
    <w:rsid w:val="00304272"/>
    <w:rsid w:val="00304591"/>
    <w:rsid w:val="00305416"/>
    <w:rsid w:val="003058EC"/>
    <w:rsid w:val="00305F69"/>
    <w:rsid w:val="003061D2"/>
    <w:rsid w:val="00306621"/>
    <w:rsid w:val="00306821"/>
    <w:rsid w:val="00306C2B"/>
    <w:rsid w:val="003074BF"/>
    <w:rsid w:val="00307B16"/>
    <w:rsid w:val="003102D0"/>
    <w:rsid w:val="003108F8"/>
    <w:rsid w:val="00310932"/>
    <w:rsid w:val="0031097A"/>
    <w:rsid w:val="00310D6B"/>
    <w:rsid w:val="00314550"/>
    <w:rsid w:val="0031495E"/>
    <w:rsid w:val="003150CE"/>
    <w:rsid w:val="00315FCC"/>
    <w:rsid w:val="00316F1A"/>
    <w:rsid w:val="00317666"/>
    <w:rsid w:val="0032119E"/>
    <w:rsid w:val="00322A83"/>
    <w:rsid w:val="00322D14"/>
    <w:rsid w:val="00325C1C"/>
    <w:rsid w:val="00325C6F"/>
    <w:rsid w:val="00326800"/>
    <w:rsid w:val="00327539"/>
    <w:rsid w:val="0032782C"/>
    <w:rsid w:val="00327A86"/>
    <w:rsid w:val="00327C18"/>
    <w:rsid w:val="0033079D"/>
    <w:rsid w:val="003309ED"/>
    <w:rsid w:val="00330CD4"/>
    <w:rsid w:val="00331451"/>
    <w:rsid w:val="00331640"/>
    <w:rsid w:val="00331817"/>
    <w:rsid w:val="0033187F"/>
    <w:rsid w:val="00332422"/>
    <w:rsid w:val="003324AD"/>
    <w:rsid w:val="00332904"/>
    <w:rsid w:val="00332A16"/>
    <w:rsid w:val="00333107"/>
    <w:rsid w:val="003337E7"/>
    <w:rsid w:val="0033395A"/>
    <w:rsid w:val="003339A3"/>
    <w:rsid w:val="00334C19"/>
    <w:rsid w:val="00334D33"/>
    <w:rsid w:val="003350F7"/>
    <w:rsid w:val="003357D4"/>
    <w:rsid w:val="00336458"/>
    <w:rsid w:val="00337265"/>
    <w:rsid w:val="0034097F"/>
    <w:rsid w:val="0034099B"/>
    <w:rsid w:val="00340A60"/>
    <w:rsid w:val="00340D4E"/>
    <w:rsid w:val="0034164D"/>
    <w:rsid w:val="00341724"/>
    <w:rsid w:val="003419C9"/>
    <w:rsid w:val="00342F12"/>
    <w:rsid w:val="00343032"/>
    <w:rsid w:val="00343200"/>
    <w:rsid w:val="00343952"/>
    <w:rsid w:val="00343A3F"/>
    <w:rsid w:val="00343AE4"/>
    <w:rsid w:val="00343CB7"/>
    <w:rsid w:val="00344119"/>
    <w:rsid w:val="00344D75"/>
    <w:rsid w:val="003452B6"/>
    <w:rsid w:val="00345DAC"/>
    <w:rsid w:val="00346DCC"/>
    <w:rsid w:val="00347212"/>
    <w:rsid w:val="003479CF"/>
    <w:rsid w:val="00347AFB"/>
    <w:rsid w:val="00347DF9"/>
    <w:rsid w:val="00347FB6"/>
    <w:rsid w:val="00350E92"/>
    <w:rsid w:val="003510E8"/>
    <w:rsid w:val="00352B3C"/>
    <w:rsid w:val="00352C48"/>
    <w:rsid w:val="00354871"/>
    <w:rsid w:val="003550D4"/>
    <w:rsid w:val="003568D1"/>
    <w:rsid w:val="00356993"/>
    <w:rsid w:val="003572AC"/>
    <w:rsid w:val="00357540"/>
    <w:rsid w:val="003577A4"/>
    <w:rsid w:val="00357942"/>
    <w:rsid w:val="003579D8"/>
    <w:rsid w:val="00357CC3"/>
    <w:rsid w:val="00357CD3"/>
    <w:rsid w:val="003600AA"/>
    <w:rsid w:val="0036084F"/>
    <w:rsid w:val="00360A72"/>
    <w:rsid w:val="003613C6"/>
    <w:rsid w:val="00362AC7"/>
    <w:rsid w:val="00362FA3"/>
    <w:rsid w:val="003641B4"/>
    <w:rsid w:val="003642A2"/>
    <w:rsid w:val="00364A07"/>
    <w:rsid w:val="00364CBF"/>
    <w:rsid w:val="0036543A"/>
    <w:rsid w:val="00365D91"/>
    <w:rsid w:val="00366B48"/>
    <w:rsid w:val="00366CFD"/>
    <w:rsid w:val="00370139"/>
    <w:rsid w:val="00370980"/>
    <w:rsid w:val="00371BF2"/>
    <w:rsid w:val="00371E81"/>
    <w:rsid w:val="003725E2"/>
    <w:rsid w:val="00373B70"/>
    <w:rsid w:val="00373E1C"/>
    <w:rsid w:val="003742C0"/>
    <w:rsid w:val="003747CC"/>
    <w:rsid w:val="003747DA"/>
    <w:rsid w:val="00375383"/>
    <w:rsid w:val="003755B3"/>
    <w:rsid w:val="00376455"/>
    <w:rsid w:val="003769DF"/>
    <w:rsid w:val="00377B59"/>
    <w:rsid w:val="00377ED2"/>
    <w:rsid w:val="00380187"/>
    <w:rsid w:val="00380FCD"/>
    <w:rsid w:val="00381025"/>
    <w:rsid w:val="003810CC"/>
    <w:rsid w:val="00381289"/>
    <w:rsid w:val="003821EB"/>
    <w:rsid w:val="003826E5"/>
    <w:rsid w:val="00382732"/>
    <w:rsid w:val="00382E39"/>
    <w:rsid w:val="00383743"/>
    <w:rsid w:val="00383986"/>
    <w:rsid w:val="00383988"/>
    <w:rsid w:val="00383E21"/>
    <w:rsid w:val="00383F20"/>
    <w:rsid w:val="00384BB4"/>
    <w:rsid w:val="00384D65"/>
    <w:rsid w:val="00385151"/>
    <w:rsid w:val="00385907"/>
    <w:rsid w:val="00385D14"/>
    <w:rsid w:val="00385E40"/>
    <w:rsid w:val="00386CD7"/>
    <w:rsid w:val="00386F1B"/>
    <w:rsid w:val="003874F8"/>
    <w:rsid w:val="00387558"/>
    <w:rsid w:val="0038782D"/>
    <w:rsid w:val="00387AAD"/>
    <w:rsid w:val="00387FA6"/>
    <w:rsid w:val="0039025C"/>
    <w:rsid w:val="0039074A"/>
    <w:rsid w:val="00390D8C"/>
    <w:rsid w:val="003911BB"/>
    <w:rsid w:val="0039187A"/>
    <w:rsid w:val="00392020"/>
    <w:rsid w:val="00392892"/>
    <w:rsid w:val="00392E8D"/>
    <w:rsid w:val="00392F42"/>
    <w:rsid w:val="003938D2"/>
    <w:rsid w:val="00393AA3"/>
    <w:rsid w:val="00393ADE"/>
    <w:rsid w:val="00393F54"/>
    <w:rsid w:val="003942B7"/>
    <w:rsid w:val="0039484C"/>
    <w:rsid w:val="0039577B"/>
    <w:rsid w:val="00397806"/>
    <w:rsid w:val="00397A8D"/>
    <w:rsid w:val="003A0DF4"/>
    <w:rsid w:val="003A10A4"/>
    <w:rsid w:val="003A133F"/>
    <w:rsid w:val="003A1428"/>
    <w:rsid w:val="003A2CE0"/>
    <w:rsid w:val="003A3356"/>
    <w:rsid w:val="003A47C3"/>
    <w:rsid w:val="003A4BAD"/>
    <w:rsid w:val="003A5B66"/>
    <w:rsid w:val="003A5D84"/>
    <w:rsid w:val="003A62CD"/>
    <w:rsid w:val="003A65BD"/>
    <w:rsid w:val="003A66A9"/>
    <w:rsid w:val="003A6980"/>
    <w:rsid w:val="003A6BB8"/>
    <w:rsid w:val="003A6D97"/>
    <w:rsid w:val="003A6E4C"/>
    <w:rsid w:val="003A776A"/>
    <w:rsid w:val="003A7D1A"/>
    <w:rsid w:val="003B08EB"/>
    <w:rsid w:val="003B0CC1"/>
    <w:rsid w:val="003B0F15"/>
    <w:rsid w:val="003B1302"/>
    <w:rsid w:val="003B13DA"/>
    <w:rsid w:val="003B1BBB"/>
    <w:rsid w:val="003B1DFA"/>
    <w:rsid w:val="003B2198"/>
    <w:rsid w:val="003B3477"/>
    <w:rsid w:val="003B3F20"/>
    <w:rsid w:val="003B4254"/>
    <w:rsid w:val="003B451B"/>
    <w:rsid w:val="003B472E"/>
    <w:rsid w:val="003B4749"/>
    <w:rsid w:val="003B47AF"/>
    <w:rsid w:val="003B516F"/>
    <w:rsid w:val="003B539C"/>
    <w:rsid w:val="003B5B9F"/>
    <w:rsid w:val="003B5D92"/>
    <w:rsid w:val="003B604E"/>
    <w:rsid w:val="003B6FA5"/>
    <w:rsid w:val="003B7335"/>
    <w:rsid w:val="003B7FF6"/>
    <w:rsid w:val="003C019A"/>
    <w:rsid w:val="003C0292"/>
    <w:rsid w:val="003C0645"/>
    <w:rsid w:val="003C0799"/>
    <w:rsid w:val="003C1452"/>
    <w:rsid w:val="003C1457"/>
    <w:rsid w:val="003C1717"/>
    <w:rsid w:val="003C1B38"/>
    <w:rsid w:val="003C1B47"/>
    <w:rsid w:val="003C1D8B"/>
    <w:rsid w:val="003C1F8F"/>
    <w:rsid w:val="003C26C5"/>
    <w:rsid w:val="003C2F6F"/>
    <w:rsid w:val="003C36EA"/>
    <w:rsid w:val="003C3B24"/>
    <w:rsid w:val="003C3D79"/>
    <w:rsid w:val="003C43D3"/>
    <w:rsid w:val="003C4893"/>
    <w:rsid w:val="003C53E3"/>
    <w:rsid w:val="003C68E1"/>
    <w:rsid w:val="003C734F"/>
    <w:rsid w:val="003C7470"/>
    <w:rsid w:val="003C757E"/>
    <w:rsid w:val="003C7769"/>
    <w:rsid w:val="003D004C"/>
    <w:rsid w:val="003D0824"/>
    <w:rsid w:val="003D08DB"/>
    <w:rsid w:val="003D0A07"/>
    <w:rsid w:val="003D0A2F"/>
    <w:rsid w:val="003D0E6E"/>
    <w:rsid w:val="003D137F"/>
    <w:rsid w:val="003D16A6"/>
    <w:rsid w:val="003D17E9"/>
    <w:rsid w:val="003D1E20"/>
    <w:rsid w:val="003D3044"/>
    <w:rsid w:val="003D357F"/>
    <w:rsid w:val="003D3D4F"/>
    <w:rsid w:val="003D40CA"/>
    <w:rsid w:val="003D4224"/>
    <w:rsid w:val="003D43F0"/>
    <w:rsid w:val="003D4400"/>
    <w:rsid w:val="003D6662"/>
    <w:rsid w:val="003D6A02"/>
    <w:rsid w:val="003D6D3C"/>
    <w:rsid w:val="003D6F23"/>
    <w:rsid w:val="003E02A4"/>
    <w:rsid w:val="003E061B"/>
    <w:rsid w:val="003E0879"/>
    <w:rsid w:val="003E08C6"/>
    <w:rsid w:val="003E0C2A"/>
    <w:rsid w:val="003E0D32"/>
    <w:rsid w:val="003E0FC0"/>
    <w:rsid w:val="003E1D2D"/>
    <w:rsid w:val="003E2032"/>
    <w:rsid w:val="003E2576"/>
    <w:rsid w:val="003E2820"/>
    <w:rsid w:val="003E3089"/>
    <w:rsid w:val="003E396F"/>
    <w:rsid w:val="003E4A87"/>
    <w:rsid w:val="003E5087"/>
    <w:rsid w:val="003E5383"/>
    <w:rsid w:val="003E6743"/>
    <w:rsid w:val="003E7999"/>
    <w:rsid w:val="003E7C85"/>
    <w:rsid w:val="003F0312"/>
    <w:rsid w:val="003F03EC"/>
    <w:rsid w:val="003F0877"/>
    <w:rsid w:val="003F11AD"/>
    <w:rsid w:val="003F25F6"/>
    <w:rsid w:val="003F292F"/>
    <w:rsid w:val="003F2A04"/>
    <w:rsid w:val="003F2DC0"/>
    <w:rsid w:val="003F33CC"/>
    <w:rsid w:val="003F38FD"/>
    <w:rsid w:val="003F45D7"/>
    <w:rsid w:val="003F47FE"/>
    <w:rsid w:val="003F4ACE"/>
    <w:rsid w:val="003F4B0E"/>
    <w:rsid w:val="003F5051"/>
    <w:rsid w:val="003F5306"/>
    <w:rsid w:val="003F5BA5"/>
    <w:rsid w:val="003F634A"/>
    <w:rsid w:val="003F6475"/>
    <w:rsid w:val="003F7603"/>
    <w:rsid w:val="003F7688"/>
    <w:rsid w:val="003F7748"/>
    <w:rsid w:val="00400118"/>
    <w:rsid w:val="0040065A"/>
    <w:rsid w:val="00400AF9"/>
    <w:rsid w:val="00401066"/>
    <w:rsid w:val="00403004"/>
    <w:rsid w:val="00403982"/>
    <w:rsid w:val="0040456A"/>
    <w:rsid w:val="00406E81"/>
    <w:rsid w:val="0040777D"/>
    <w:rsid w:val="004079C8"/>
    <w:rsid w:val="00407A39"/>
    <w:rsid w:val="00407EB3"/>
    <w:rsid w:val="00410B79"/>
    <w:rsid w:val="00410C9A"/>
    <w:rsid w:val="00411832"/>
    <w:rsid w:val="00411A8D"/>
    <w:rsid w:val="004120D5"/>
    <w:rsid w:val="00412C78"/>
    <w:rsid w:val="00412F1D"/>
    <w:rsid w:val="00413394"/>
    <w:rsid w:val="004134D7"/>
    <w:rsid w:val="00413586"/>
    <w:rsid w:val="0041495F"/>
    <w:rsid w:val="00416C39"/>
    <w:rsid w:val="00417DDB"/>
    <w:rsid w:val="00420A20"/>
    <w:rsid w:val="00420FFD"/>
    <w:rsid w:val="004211FD"/>
    <w:rsid w:val="00421303"/>
    <w:rsid w:val="00421847"/>
    <w:rsid w:val="00421D28"/>
    <w:rsid w:val="0042360A"/>
    <w:rsid w:val="004236F3"/>
    <w:rsid w:val="00423B1F"/>
    <w:rsid w:val="00423D26"/>
    <w:rsid w:val="00423E7C"/>
    <w:rsid w:val="00424F0F"/>
    <w:rsid w:val="004251B8"/>
    <w:rsid w:val="004259A2"/>
    <w:rsid w:val="00425D02"/>
    <w:rsid w:val="00425ECC"/>
    <w:rsid w:val="00425F97"/>
    <w:rsid w:val="004263C2"/>
    <w:rsid w:val="004266AD"/>
    <w:rsid w:val="0042729C"/>
    <w:rsid w:val="00427F57"/>
    <w:rsid w:val="00430145"/>
    <w:rsid w:val="00430971"/>
    <w:rsid w:val="00430E46"/>
    <w:rsid w:val="004314AB"/>
    <w:rsid w:val="00431568"/>
    <w:rsid w:val="00431D14"/>
    <w:rsid w:val="004327D4"/>
    <w:rsid w:val="00433481"/>
    <w:rsid w:val="0043375D"/>
    <w:rsid w:val="004351A3"/>
    <w:rsid w:val="004364F4"/>
    <w:rsid w:val="00436CD8"/>
    <w:rsid w:val="004371F7"/>
    <w:rsid w:val="00437566"/>
    <w:rsid w:val="0044019A"/>
    <w:rsid w:val="00440711"/>
    <w:rsid w:val="00440776"/>
    <w:rsid w:val="0044089F"/>
    <w:rsid w:val="0044201C"/>
    <w:rsid w:val="00443A11"/>
    <w:rsid w:val="004440F2"/>
    <w:rsid w:val="004449F0"/>
    <w:rsid w:val="00444E25"/>
    <w:rsid w:val="0044516C"/>
    <w:rsid w:val="00446266"/>
    <w:rsid w:val="00446A21"/>
    <w:rsid w:val="0044723B"/>
    <w:rsid w:val="00447A58"/>
    <w:rsid w:val="00447B93"/>
    <w:rsid w:val="00450B74"/>
    <w:rsid w:val="00452F5F"/>
    <w:rsid w:val="00452F9C"/>
    <w:rsid w:val="00453051"/>
    <w:rsid w:val="00453AF3"/>
    <w:rsid w:val="00453E86"/>
    <w:rsid w:val="004543C8"/>
    <w:rsid w:val="00455008"/>
    <w:rsid w:val="00455056"/>
    <w:rsid w:val="0045536E"/>
    <w:rsid w:val="00455BF8"/>
    <w:rsid w:val="00455E28"/>
    <w:rsid w:val="004565CF"/>
    <w:rsid w:val="00456C4F"/>
    <w:rsid w:val="00456DC2"/>
    <w:rsid w:val="004577F5"/>
    <w:rsid w:val="00457C53"/>
    <w:rsid w:val="00460A9B"/>
    <w:rsid w:val="00461B12"/>
    <w:rsid w:val="00461BCF"/>
    <w:rsid w:val="00461DBB"/>
    <w:rsid w:val="00461EDA"/>
    <w:rsid w:val="00462187"/>
    <w:rsid w:val="0046236D"/>
    <w:rsid w:val="00462544"/>
    <w:rsid w:val="00462E90"/>
    <w:rsid w:val="0046310A"/>
    <w:rsid w:val="004631DB"/>
    <w:rsid w:val="00463844"/>
    <w:rsid w:val="004638C1"/>
    <w:rsid w:val="004643C9"/>
    <w:rsid w:val="004649C1"/>
    <w:rsid w:val="00464CB5"/>
    <w:rsid w:val="00464D11"/>
    <w:rsid w:val="00465068"/>
    <w:rsid w:val="00465236"/>
    <w:rsid w:val="004659DA"/>
    <w:rsid w:val="00465C73"/>
    <w:rsid w:val="00465E01"/>
    <w:rsid w:val="004663B3"/>
    <w:rsid w:val="0046764D"/>
    <w:rsid w:val="004705E8"/>
    <w:rsid w:val="00470781"/>
    <w:rsid w:val="00470784"/>
    <w:rsid w:val="00470F98"/>
    <w:rsid w:val="0047178C"/>
    <w:rsid w:val="004734EE"/>
    <w:rsid w:val="004734F7"/>
    <w:rsid w:val="00473EBB"/>
    <w:rsid w:val="00473FB5"/>
    <w:rsid w:val="004741A5"/>
    <w:rsid w:val="004741F1"/>
    <w:rsid w:val="004746D9"/>
    <w:rsid w:val="00474C6C"/>
    <w:rsid w:val="0047510F"/>
    <w:rsid w:val="0047512C"/>
    <w:rsid w:val="00475366"/>
    <w:rsid w:val="00475E06"/>
    <w:rsid w:val="004763EB"/>
    <w:rsid w:val="004765DC"/>
    <w:rsid w:val="00476E3D"/>
    <w:rsid w:val="00477422"/>
    <w:rsid w:val="004774C5"/>
    <w:rsid w:val="00477648"/>
    <w:rsid w:val="004777D7"/>
    <w:rsid w:val="00477BD4"/>
    <w:rsid w:val="00477F44"/>
    <w:rsid w:val="00480A33"/>
    <w:rsid w:val="004817F2"/>
    <w:rsid w:val="00481BC7"/>
    <w:rsid w:val="004820C7"/>
    <w:rsid w:val="00482606"/>
    <w:rsid w:val="0048364D"/>
    <w:rsid w:val="004838A1"/>
    <w:rsid w:val="00483BE8"/>
    <w:rsid w:val="0048408C"/>
    <w:rsid w:val="004842D6"/>
    <w:rsid w:val="0048491D"/>
    <w:rsid w:val="004852B1"/>
    <w:rsid w:val="004854E5"/>
    <w:rsid w:val="00485D32"/>
    <w:rsid w:val="004863BC"/>
    <w:rsid w:val="00487761"/>
    <w:rsid w:val="004909FB"/>
    <w:rsid w:val="00491728"/>
    <w:rsid w:val="0049176E"/>
    <w:rsid w:val="0049187A"/>
    <w:rsid w:val="00491CA8"/>
    <w:rsid w:val="00491F74"/>
    <w:rsid w:val="0049206D"/>
    <w:rsid w:val="00492DDC"/>
    <w:rsid w:val="004932AA"/>
    <w:rsid w:val="0049397E"/>
    <w:rsid w:val="00494683"/>
    <w:rsid w:val="00494D5B"/>
    <w:rsid w:val="004951A9"/>
    <w:rsid w:val="00495898"/>
    <w:rsid w:val="0049598C"/>
    <w:rsid w:val="00496EA2"/>
    <w:rsid w:val="0049770D"/>
    <w:rsid w:val="004A04F1"/>
    <w:rsid w:val="004A05D0"/>
    <w:rsid w:val="004A1BD6"/>
    <w:rsid w:val="004A1D50"/>
    <w:rsid w:val="004A2967"/>
    <w:rsid w:val="004A2F66"/>
    <w:rsid w:val="004A324B"/>
    <w:rsid w:val="004A33B6"/>
    <w:rsid w:val="004A344D"/>
    <w:rsid w:val="004A576E"/>
    <w:rsid w:val="004A63E4"/>
    <w:rsid w:val="004A6C97"/>
    <w:rsid w:val="004A6CA1"/>
    <w:rsid w:val="004A6EA8"/>
    <w:rsid w:val="004A7040"/>
    <w:rsid w:val="004A7534"/>
    <w:rsid w:val="004A761D"/>
    <w:rsid w:val="004A7965"/>
    <w:rsid w:val="004B04B7"/>
    <w:rsid w:val="004B05FB"/>
    <w:rsid w:val="004B07BB"/>
    <w:rsid w:val="004B207B"/>
    <w:rsid w:val="004B3962"/>
    <w:rsid w:val="004B3C34"/>
    <w:rsid w:val="004B3C56"/>
    <w:rsid w:val="004B43F2"/>
    <w:rsid w:val="004B449A"/>
    <w:rsid w:val="004B4515"/>
    <w:rsid w:val="004B4941"/>
    <w:rsid w:val="004B5102"/>
    <w:rsid w:val="004B52CB"/>
    <w:rsid w:val="004B5A59"/>
    <w:rsid w:val="004B5BF1"/>
    <w:rsid w:val="004B5FE7"/>
    <w:rsid w:val="004B6306"/>
    <w:rsid w:val="004B6BE9"/>
    <w:rsid w:val="004B6D8D"/>
    <w:rsid w:val="004B704B"/>
    <w:rsid w:val="004B730D"/>
    <w:rsid w:val="004B7C02"/>
    <w:rsid w:val="004C067A"/>
    <w:rsid w:val="004C114C"/>
    <w:rsid w:val="004C1EC5"/>
    <w:rsid w:val="004C4374"/>
    <w:rsid w:val="004C481B"/>
    <w:rsid w:val="004C4926"/>
    <w:rsid w:val="004C4DB9"/>
    <w:rsid w:val="004C529C"/>
    <w:rsid w:val="004C5873"/>
    <w:rsid w:val="004C5986"/>
    <w:rsid w:val="004C6154"/>
    <w:rsid w:val="004C621B"/>
    <w:rsid w:val="004C6677"/>
    <w:rsid w:val="004C6EE9"/>
    <w:rsid w:val="004D0D8D"/>
    <w:rsid w:val="004D1A7A"/>
    <w:rsid w:val="004D2319"/>
    <w:rsid w:val="004D231C"/>
    <w:rsid w:val="004D2ED8"/>
    <w:rsid w:val="004D510B"/>
    <w:rsid w:val="004D5219"/>
    <w:rsid w:val="004D5A09"/>
    <w:rsid w:val="004D6013"/>
    <w:rsid w:val="004D6661"/>
    <w:rsid w:val="004D675E"/>
    <w:rsid w:val="004D6D77"/>
    <w:rsid w:val="004D75A7"/>
    <w:rsid w:val="004E000B"/>
    <w:rsid w:val="004E0B85"/>
    <w:rsid w:val="004E0F70"/>
    <w:rsid w:val="004E0FF9"/>
    <w:rsid w:val="004E2604"/>
    <w:rsid w:val="004E3C24"/>
    <w:rsid w:val="004E3D4D"/>
    <w:rsid w:val="004E404D"/>
    <w:rsid w:val="004E40C5"/>
    <w:rsid w:val="004E561D"/>
    <w:rsid w:val="004E5B7B"/>
    <w:rsid w:val="004E71D4"/>
    <w:rsid w:val="004E7538"/>
    <w:rsid w:val="004E7672"/>
    <w:rsid w:val="004F0643"/>
    <w:rsid w:val="004F0819"/>
    <w:rsid w:val="004F0D17"/>
    <w:rsid w:val="004F196B"/>
    <w:rsid w:val="004F1E8C"/>
    <w:rsid w:val="004F2103"/>
    <w:rsid w:val="004F2575"/>
    <w:rsid w:val="004F2F7D"/>
    <w:rsid w:val="004F3EB9"/>
    <w:rsid w:val="004F3EDD"/>
    <w:rsid w:val="004F48AD"/>
    <w:rsid w:val="004F5AAE"/>
    <w:rsid w:val="004F5D93"/>
    <w:rsid w:val="004F6500"/>
    <w:rsid w:val="004F6F30"/>
    <w:rsid w:val="004F707C"/>
    <w:rsid w:val="004F76C8"/>
    <w:rsid w:val="005003C6"/>
    <w:rsid w:val="00501A10"/>
    <w:rsid w:val="00502EB5"/>
    <w:rsid w:val="00503E8E"/>
    <w:rsid w:val="0050485E"/>
    <w:rsid w:val="005053C8"/>
    <w:rsid w:val="00505417"/>
    <w:rsid w:val="0050545A"/>
    <w:rsid w:val="00505657"/>
    <w:rsid w:val="00505CAC"/>
    <w:rsid w:val="00505ECF"/>
    <w:rsid w:val="0050614C"/>
    <w:rsid w:val="00506B58"/>
    <w:rsid w:val="00506C7B"/>
    <w:rsid w:val="00510C66"/>
    <w:rsid w:val="0051195C"/>
    <w:rsid w:val="005125BD"/>
    <w:rsid w:val="005127E2"/>
    <w:rsid w:val="00512CCE"/>
    <w:rsid w:val="00513210"/>
    <w:rsid w:val="00513337"/>
    <w:rsid w:val="00515F0D"/>
    <w:rsid w:val="0051648B"/>
    <w:rsid w:val="00521CF6"/>
    <w:rsid w:val="00521F0A"/>
    <w:rsid w:val="005227D0"/>
    <w:rsid w:val="00522B2F"/>
    <w:rsid w:val="00523E6F"/>
    <w:rsid w:val="00524171"/>
    <w:rsid w:val="005242F5"/>
    <w:rsid w:val="00524ED9"/>
    <w:rsid w:val="00525BE1"/>
    <w:rsid w:val="00525DBC"/>
    <w:rsid w:val="00525FF3"/>
    <w:rsid w:val="0052719B"/>
    <w:rsid w:val="00527D22"/>
    <w:rsid w:val="00530356"/>
    <w:rsid w:val="00530F73"/>
    <w:rsid w:val="00531A00"/>
    <w:rsid w:val="00531ACD"/>
    <w:rsid w:val="00532837"/>
    <w:rsid w:val="005330B3"/>
    <w:rsid w:val="00533877"/>
    <w:rsid w:val="00533E82"/>
    <w:rsid w:val="0053428F"/>
    <w:rsid w:val="0053438B"/>
    <w:rsid w:val="00534EDD"/>
    <w:rsid w:val="005352FA"/>
    <w:rsid w:val="00535C23"/>
    <w:rsid w:val="00535DA1"/>
    <w:rsid w:val="005365F8"/>
    <w:rsid w:val="00536641"/>
    <w:rsid w:val="00536771"/>
    <w:rsid w:val="00537265"/>
    <w:rsid w:val="00537CD9"/>
    <w:rsid w:val="00537E15"/>
    <w:rsid w:val="0054123C"/>
    <w:rsid w:val="005418CB"/>
    <w:rsid w:val="0054251F"/>
    <w:rsid w:val="00542A57"/>
    <w:rsid w:val="00542D39"/>
    <w:rsid w:val="00543A1F"/>
    <w:rsid w:val="00544C56"/>
    <w:rsid w:val="0054596C"/>
    <w:rsid w:val="005460D4"/>
    <w:rsid w:val="005464AE"/>
    <w:rsid w:val="00546541"/>
    <w:rsid w:val="005467FC"/>
    <w:rsid w:val="005469A8"/>
    <w:rsid w:val="00546FCD"/>
    <w:rsid w:val="00546FED"/>
    <w:rsid w:val="005470ED"/>
    <w:rsid w:val="00547155"/>
    <w:rsid w:val="005476C1"/>
    <w:rsid w:val="005479EE"/>
    <w:rsid w:val="00550B77"/>
    <w:rsid w:val="00551377"/>
    <w:rsid w:val="00551505"/>
    <w:rsid w:val="00551AD8"/>
    <w:rsid w:val="00551FBD"/>
    <w:rsid w:val="00552A3B"/>
    <w:rsid w:val="00555409"/>
    <w:rsid w:val="005557D6"/>
    <w:rsid w:val="005561EC"/>
    <w:rsid w:val="00556BB3"/>
    <w:rsid w:val="00557C83"/>
    <w:rsid w:val="005600A0"/>
    <w:rsid w:val="0056020D"/>
    <w:rsid w:val="0056050E"/>
    <w:rsid w:val="00560CB4"/>
    <w:rsid w:val="00560DD6"/>
    <w:rsid w:val="00560E79"/>
    <w:rsid w:val="00560F53"/>
    <w:rsid w:val="00562148"/>
    <w:rsid w:val="0056277D"/>
    <w:rsid w:val="005631E0"/>
    <w:rsid w:val="00563654"/>
    <w:rsid w:val="005638F4"/>
    <w:rsid w:val="00563EEB"/>
    <w:rsid w:val="00564439"/>
    <w:rsid w:val="00564723"/>
    <w:rsid w:val="005648B9"/>
    <w:rsid w:val="00564AB1"/>
    <w:rsid w:val="00564CB5"/>
    <w:rsid w:val="00564D6E"/>
    <w:rsid w:val="00564ED0"/>
    <w:rsid w:val="00565798"/>
    <w:rsid w:val="00565B29"/>
    <w:rsid w:val="00565EB5"/>
    <w:rsid w:val="005667A0"/>
    <w:rsid w:val="0056682F"/>
    <w:rsid w:val="00567243"/>
    <w:rsid w:val="0056767C"/>
    <w:rsid w:val="00567BCA"/>
    <w:rsid w:val="00567EF0"/>
    <w:rsid w:val="0057101B"/>
    <w:rsid w:val="00571104"/>
    <w:rsid w:val="0057198A"/>
    <w:rsid w:val="00571A76"/>
    <w:rsid w:val="005729AA"/>
    <w:rsid w:val="0057304B"/>
    <w:rsid w:val="00573114"/>
    <w:rsid w:val="00573127"/>
    <w:rsid w:val="00573147"/>
    <w:rsid w:val="0057423D"/>
    <w:rsid w:val="00574BC4"/>
    <w:rsid w:val="005752FD"/>
    <w:rsid w:val="005754C3"/>
    <w:rsid w:val="00575645"/>
    <w:rsid w:val="00575825"/>
    <w:rsid w:val="00575ABA"/>
    <w:rsid w:val="00576695"/>
    <w:rsid w:val="00580688"/>
    <w:rsid w:val="0058083F"/>
    <w:rsid w:val="00581FA6"/>
    <w:rsid w:val="0058201D"/>
    <w:rsid w:val="00582700"/>
    <w:rsid w:val="00582985"/>
    <w:rsid w:val="00583690"/>
    <w:rsid w:val="0058370E"/>
    <w:rsid w:val="00583EF8"/>
    <w:rsid w:val="00584CFA"/>
    <w:rsid w:val="00584F7A"/>
    <w:rsid w:val="005850ED"/>
    <w:rsid w:val="0058520C"/>
    <w:rsid w:val="0058527E"/>
    <w:rsid w:val="0058579F"/>
    <w:rsid w:val="00585C7D"/>
    <w:rsid w:val="00586647"/>
    <w:rsid w:val="00586868"/>
    <w:rsid w:val="005868C8"/>
    <w:rsid w:val="00586EFA"/>
    <w:rsid w:val="005872B3"/>
    <w:rsid w:val="00590F28"/>
    <w:rsid w:val="005916AD"/>
    <w:rsid w:val="005918B5"/>
    <w:rsid w:val="00591FF0"/>
    <w:rsid w:val="005925BB"/>
    <w:rsid w:val="00592BD1"/>
    <w:rsid w:val="00593251"/>
    <w:rsid w:val="0059408A"/>
    <w:rsid w:val="005945BC"/>
    <w:rsid w:val="005947DF"/>
    <w:rsid w:val="00594CBE"/>
    <w:rsid w:val="00594DE5"/>
    <w:rsid w:val="00594F7E"/>
    <w:rsid w:val="005952B2"/>
    <w:rsid w:val="00595725"/>
    <w:rsid w:val="00595973"/>
    <w:rsid w:val="00595A8A"/>
    <w:rsid w:val="00595C35"/>
    <w:rsid w:val="00596750"/>
    <w:rsid w:val="00596ECB"/>
    <w:rsid w:val="00597088"/>
    <w:rsid w:val="00597596"/>
    <w:rsid w:val="00597D45"/>
    <w:rsid w:val="00597DB6"/>
    <w:rsid w:val="00597E46"/>
    <w:rsid w:val="00597E8C"/>
    <w:rsid w:val="005A1756"/>
    <w:rsid w:val="005A3046"/>
    <w:rsid w:val="005A452F"/>
    <w:rsid w:val="005A652F"/>
    <w:rsid w:val="005A6795"/>
    <w:rsid w:val="005A6904"/>
    <w:rsid w:val="005A6A1F"/>
    <w:rsid w:val="005A6FBD"/>
    <w:rsid w:val="005A7318"/>
    <w:rsid w:val="005A73D2"/>
    <w:rsid w:val="005A7E94"/>
    <w:rsid w:val="005B046B"/>
    <w:rsid w:val="005B35D5"/>
    <w:rsid w:val="005B44A9"/>
    <w:rsid w:val="005B4DF5"/>
    <w:rsid w:val="005B51FF"/>
    <w:rsid w:val="005B5CEE"/>
    <w:rsid w:val="005B5E82"/>
    <w:rsid w:val="005B610B"/>
    <w:rsid w:val="005B6316"/>
    <w:rsid w:val="005B64A3"/>
    <w:rsid w:val="005B67AB"/>
    <w:rsid w:val="005B6B9D"/>
    <w:rsid w:val="005B6FD2"/>
    <w:rsid w:val="005B71ED"/>
    <w:rsid w:val="005B7327"/>
    <w:rsid w:val="005B7831"/>
    <w:rsid w:val="005B7C21"/>
    <w:rsid w:val="005B7EE7"/>
    <w:rsid w:val="005C045A"/>
    <w:rsid w:val="005C0636"/>
    <w:rsid w:val="005C06A4"/>
    <w:rsid w:val="005C08E7"/>
    <w:rsid w:val="005C0AB9"/>
    <w:rsid w:val="005C0CD2"/>
    <w:rsid w:val="005C0F97"/>
    <w:rsid w:val="005C1979"/>
    <w:rsid w:val="005C1C77"/>
    <w:rsid w:val="005C21C1"/>
    <w:rsid w:val="005C22C9"/>
    <w:rsid w:val="005C2F09"/>
    <w:rsid w:val="005C2F2C"/>
    <w:rsid w:val="005C3138"/>
    <w:rsid w:val="005C4078"/>
    <w:rsid w:val="005C4B4C"/>
    <w:rsid w:val="005C4CAF"/>
    <w:rsid w:val="005C4EAF"/>
    <w:rsid w:val="005C4FD3"/>
    <w:rsid w:val="005C512B"/>
    <w:rsid w:val="005C6321"/>
    <w:rsid w:val="005C6585"/>
    <w:rsid w:val="005C696F"/>
    <w:rsid w:val="005C7213"/>
    <w:rsid w:val="005D00E4"/>
    <w:rsid w:val="005D03FF"/>
    <w:rsid w:val="005D069E"/>
    <w:rsid w:val="005D1091"/>
    <w:rsid w:val="005D1891"/>
    <w:rsid w:val="005D3292"/>
    <w:rsid w:val="005D388A"/>
    <w:rsid w:val="005D4A01"/>
    <w:rsid w:val="005D4FC8"/>
    <w:rsid w:val="005D59BC"/>
    <w:rsid w:val="005D5E43"/>
    <w:rsid w:val="005E03A8"/>
    <w:rsid w:val="005E0888"/>
    <w:rsid w:val="005E0C1C"/>
    <w:rsid w:val="005E289D"/>
    <w:rsid w:val="005E304D"/>
    <w:rsid w:val="005E38F1"/>
    <w:rsid w:val="005E45E2"/>
    <w:rsid w:val="005E52D6"/>
    <w:rsid w:val="005E5C8A"/>
    <w:rsid w:val="005E6FCD"/>
    <w:rsid w:val="005E75DA"/>
    <w:rsid w:val="005F000F"/>
    <w:rsid w:val="005F1789"/>
    <w:rsid w:val="005F21B7"/>
    <w:rsid w:val="005F2B37"/>
    <w:rsid w:val="005F2F7B"/>
    <w:rsid w:val="005F33F1"/>
    <w:rsid w:val="005F3792"/>
    <w:rsid w:val="005F4297"/>
    <w:rsid w:val="005F5244"/>
    <w:rsid w:val="005F54CE"/>
    <w:rsid w:val="005F5866"/>
    <w:rsid w:val="005F5F38"/>
    <w:rsid w:val="005F6CC0"/>
    <w:rsid w:val="005F770E"/>
    <w:rsid w:val="005F7727"/>
    <w:rsid w:val="005F7CDC"/>
    <w:rsid w:val="005F7F26"/>
    <w:rsid w:val="006001DB"/>
    <w:rsid w:val="00600921"/>
    <w:rsid w:val="00600C39"/>
    <w:rsid w:val="0060139A"/>
    <w:rsid w:val="006015A7"/>
    <w:rsid w:val="006016BA"/>
    <w:rsid w:val="006018C0"/>
    <w:rsid w:val="00601B7D"/>
    <w:rsid w:val="00601CEB"/>
    <w:rsid w:val="0060373D"/>
    <w:rsid w:val="0060425D"/>
    <w:rsid w:val="0060635C"/>
    <w:rsid w:val="006066D3"/>
    <w:rsid w:val="00606A53"/>
    <w:rsid w:val="00606B88"/>
    <w:rsid w:val="00607072"/>
    <w:rsid w:val="006078B8"/>
    <w:rsid w:val="00607A39"/>
    <w:rsid w:val="00610117"/>
    <w:rsid w:val="00610AB1"/>
    <w:rsid w:val="0061289C"/>
    <w:rsid w:val="0061443A"/>
    <w:rsid w:val="006147B3"/>
    <w:rsid w:val="006156E1"/>
    <w:rsid w:val="006159BA"/>
    <w:rsid w:val="006169BF"/>
    <w:rsid w:val="006174F5"/>
    <w:rsid w:val="00620745"/>
    <w:rsid w:val="00620B02"/>
    <w:rsid w:val="00621879"/>
    <w:rsid w:val="00621BF4"/>
    <w:rsid w:val="00622468"/>
    <w:rsid w:val="006224F1"/>
    <w:rsid w:val="006228F1"/>
    <w:rsid w:val="0062294E"/>
    <w:rsid w:val="006229F6"/>
    <w:rsid w:val="00622A76"/>
    <w:rsid w:val="00622AF0"/>
    <w:rsid w:val="0062369F"/>
    <w:rsid w:val="00623948"/>
    <w:rsid w:val="00623BD7"/>
    <w:rsid w:val="006240A2"/>
    <w:rsid w:val="00624383"/>
    <w:rsid w:val="0062445C"/>
    <w:rsid w:val="006245BA"/>
    <w:rsid w:val="006248B6"/>
    <w:rsid w:val="00624FA9"/>
    <w:rsid w:val="00625547"/>
    <w:rsid w:val="00625A65"/>
    <w:rsid w:val="00625F04"/>
    <w:rsid w:val="0062622D"/>
    <w:rsid w:val="00626526"/>
    <w:rsid w:val="006269D9"/>
    <w:rsid w:val="0062781C"/>
    <w:rsid w:val="0062787C"/>
    <w:rsid w:val="00627CCF"/>
    <w:rsid w:val="00630408"/>
    <w:rsid w:val="00630A0F"/>
    <w:rsid w:val="00630C4E"/>
    <w:rsid w:val="00630C95"/>
    <w:rsid w:val="00630E17"/>
    <w:rsid w:val="00631665"/>
    <w:rsid w:val="00633665"/>
    <w:rsid w:val="006337D6"/>
    <w:rsid w:val="0063406F"/>
    <w:rsid w:val="00634784"/>
    <w:rsid w:val="00634865"/>
    <w:rsid w:val="0063536A"/>
    <w:rsid w:val="006357BE"/>
    <w:rsid w:val="0063667C"/>
    <w:rsid w:val="0063719A"/>
    <w:rsid w:val="00637D57"/>
    <w:rsid w:val="0064012C"/>
    <w:rsid w:val="0064094E"/>
    <w:rsid w:val="00641F7E"/>
    <w:rsid w:val="00642BF5"/>
    <w:rsid w:val="00643B89"/>
    <w:rsid w:val="00643D5B"/>
    <w:rsid w:val="00644A51"/>
    <w:rsid w:val="00644E74"/>
    <w:rsid w:val="00644F44"/>
    <w:rsid w:val="00645094"/>
    <w:rsid w:val="00645E26"/>
    <w:rsid w:val="00647038"/>
    <w:rsid w:val="00650615"/>
    <w:rsid w:val="006511D5"/>
    <w:rsid w:val="006515F8"/>
    <w:rsid w:val="00651D7A"/>
    <w:rsid w:val="00652728"/>
    <w:rsid w:val="00652D5F"/>
    <w:rsid w:val="006535A8"/>
    <w:rsid w:val="00653B71"/>
    <w:rsid w:val="006549B6"/>
    <w:rsid w:val="00654BBE"/>
    <w:rsid w:val="00656352"/>
    <w:rsid w:val="006563FB"/>
    <w:rsid w:val="006566F3"/>
    <w:rsid w:val="0065744C"/>
    <w:rsid w:val="00657F68"/>
    <w:rsid w:val="00660E2D"/>
    <w:rsid w:val="0066124A"/>
    <w:rsid w:val="0066192B"/>
    <w:rsid w:val="00662066"/>
    <w:rsid w:val="006621A2"/>
    <w:rsid w:val="00662407"/>
    <w:rsid w:val="00663136"/>
    <w:rsid w:val="0066463C"/>
    <w:rsid w:val="006647DF"/>
    <w:rsid w:val="006648F2"/>
    <w:rsid w:val="006650A2"/>
    <w:rsid w:val="006651BB"/>
    <w:rsid w:val="006657BA"/>
    <w:rsid w:val="006663C2"/>
    <w:rsid w:val="00666727"/>
    <w:rsid w:val="0066677C"/>
    <w:rsid w:val="006668F2"/>
    <w:rsid w:val="00666D86"/>
    <w:rsid w:val="00666F1B"/>
    <w:rsid w:val="00667277"/>
    <w:rsid w:val="006675E2"/>
    <w:rsid w:val="006677FF"/>
    <w:rsid w:val="00667C62"/>
    <w:rsid w:val="006701B1"/>
    <w:rsid w:val="00670695"/>
    <w:rsid w:val="0067097E"/>
    <w:rsid w:val="00670CFF"/>
    <w:rsid w:val="0067128A"/>
    <w:rsid w:val="00671934"/>
    <w:rsid w:val="00671CA1"/>
    <w:rsid w:val="00673394"/>
    <w:rsid w:val="00673724"/>
    <w:rsid w:val="00673AB1"/>
    <w:rsid w:val="00673CF6"/>
    <w:rsid w:val="006740A0"/>
    <w:rsid w:val="0067446F"/>
    <w:rsid w:val="0067455A"/>
    <w:rsid w:val="00674908"/>
    <w:rsid w:val="00674B3C"/>
    <w:rsid w:val="00674F2B"/>
    <w:rsid w:val="006769CA"/>
    <w:rsid w:val="00676FBA"/>
    <w:rsid w:val="00677679"/>
    <w:rsid w:val="00677DC3"/>
    <w:rsid w:val="00677F73"/>
    <w:rsid w:val="00681079"/>
    <w:rsid w:val="0068128C"/>
    <w:rsid w:val="006812AB"/>
    <w:rsid w:val="00681958"/>
    <w:rsid w:val="0068263C"/>
    <w:rsid w:val="006826C8"/>
    <w:rsid w:val="00683999"/>
    <w:rsid w:val="0068450B"/>
    <w:rsid w:val="00684731"/>
    <w:rsid w:val="006849CA"/>
    <w:rsid w:val="0068552D"/>
    <w:rsid w:val="00686D31"/>
    <w:rsid w:val="00686F2B"/>
    <w:rsid w:val="00687804"/>
    <w:rsid w:val="00690426"/>
    <w:rsid w:val="006904A0"/>
    <w:rsid w:val="00690CD3"/>
    <w:rsid w:val="006929C0"/>
    <w:rsid w:val="00692ABC"/>
    <w:rsid w:val="006936E1"/>
    <w:rsid w:val="00693E24"/>
    <w:rsid w:val="00693EC9"/>
    <w:rsid w:val="0069579E"/>
    <w:rsid w:val="00695EBC"/>
    <w:rsid w:val="00696147"/>
    <w:rsid w:val="00696B6E"/>
    <w:rsid w:val="006977EF"/>
    <w:rsid w:val="006A0284"/>
    <w:rsid w:val="006A072E"/>
    <w:rsid w:val="006A08FD"/>
    <w:rsid w:val="006A097D"/>
    <w:rsid w:val="006A1F20"/>
    <w:rsid w:val="006A2811"/>
    <w:rsid w:val="006A2F2B"/>
    <w:rsid w:val="006A33D2"/>
    <w:rsid w:val="006A34AA"/>
    <w:rsid w:val="006A3F3C"/>
    <w:rsid w:val="006A493B"/>
    <w:rsid w:val="006A49E6"/>
    <w:rsid w:val="006A519F"/>
    <w:rsid w:val="006A53A0"/>
    <w:rsid w:val="006A5FCA"/>
    <w:rsid w:val="006A6F3C"/>
    <w:rsid w:val="006A7A27"/>
    <w:rsid w:val="006A7B35"/>
    <w:rsid w:val="006B0205"/>
    <w:rsid w:val="006B043F"/>
    <w:rsid w:val="006B045D"/>
    <w:rsid w:val="006B0683"/>
    <w:rsid w:val="006B0738"/>
    <w:rsid w:val="006B08D6"/>
    <w:rsid w:val="006B09A8"/>
    <w:rsid w:val="006B1344"/>
    <w:rsid w:val="006B1B53"/>
    <w:rsid w:val="006B1BAD"/>
    <w:rsid w:val="006B284B"/>
    <w:rsid w:val="006B2C07"/>
    <w:rsid w:val="006B3356"/>
    <w:rsid w:val="006B370E"/>
    <w:rsid w:val="006B3821"/>
    <w:rsid w:val="006B3951"/>
    <w:rsid w:val="006B39B4"/>
    <w:rsid w:val="006B4137"/>
    <w:rsid w:val="006B4589"/>
    <w:rsid w:val="006B48A2"/>
    <w:rsid w:val="006B4DF3"/>
    <w:rsid w:val="006B4F8B"/>
    <w:rsid w:val="006B4FE1"/>
    <w:rsid w:val="006B7036"/>
    <w:rsid w:val="006B77E2"/>
    <w:rsid w:val="006C09AE"/>
    <w:rsid w:val="006C155B"/>
    <w:rsid w:val="006C1598"/>
    <w:rsid w:val="006C162E"/>
    <w:rsid w:val="006C1F98"/>
    <w:rsid w:val="006C2447"/>
    <w:rsid w:val="006C2FC1"/>
    <w:rsid w:val="006C36D2"/>
    <w:rsid w:val="006C384E"/>
    <w:rsid w:val="006C3ED6"/>
    <w:rsid w:val="006C40F3"/>
    <w:rsid w:val="006C4688"/>
    <w:rsid w:val="006C4D42"/>
    <w:rsid w:val="006C5B76"/>
    <w:rsid w:val="006C5B8A"/>
    <w:rsid w:val="006C652E"/>
    <w:rsid w:val="006C6871"/>
    <w:rsid w:val="006C6F63"/>
    <w:rsid w:val="006C7F96"/>
    <w:rsid w:val="006C7FEF"/>
    <w:rsid w:val="006D0332"/>
    <w:rsid w:val="006D0F1C"/>
    <w:rsid w:val="006D1E48"/>
    <w:rsid w:val="006D2421"/>
    <w:rsid w:val="006D2708"/>
    <w:rsid w:val="006D271F"/>
    <w:rsid w:val="006D28D3"/>
    <w:rsid w:val="006D2AD7"/>
    <w:rsid w:val="006D3351"/>
    <w:rsid w:val="006D37BA"/>
    <w:rsid w:val="006D4A7E"/>
    <w:rsid w:val="006D4F0C"/>
    <w:rsid w:val="006D53F1"/>
    <w:rsid w:val="006D5ADD"/>
    <w:rsid w:val="006D5C05"/>
    <w:rsid w:val="006D5EBC"/>
    <w:rsid w:val="006D6A0E"/>
    <w:rsid w:val="006E1785"/>
    <w:rsid w:val="006E23CB"/>
    <w:rsid w:val="006E32F9"/>
    <w:rsid w:val="006E33A7"/>
    <w:rsid w:val="006E388A"/>
    <w:rsid w:val="006E3AD5"/>
    <w:rsid w:val="006E3E7A"/>
    <w:rsid w:val="006E4CF0"/>
    <w:rsid w:val="006E5C74"/>
    <w:rsid w:val="006E641D"/>
    <w:rsid w:val="006E6CAC"/>
    <w:rsid w:val="006F084D"/>
    <w:rsid w:val="006F0ABA"/>
    <w:rsid w:val="006F1015"/>
    <w:rsid w:val="006F20E7"/>
    <w:rsid w:val="006F22C5"/>
    <w:rsid w:val="006F35A9"/>
    <w:rsid w:val="006F3FCA"/>
    <w:rsid w:val="006F4CA2"/>
    <w:rsid w:val="006F5606"/>
    <w:rsid w:val="006F5723"/>
    <w:rsid w:val="006F59A5"/>
    <w:rsid w:val="006F5E49"/>
    <w:rsid w:val="006F634C"/>
    <w:rsid w:val="006F675F"/>
    <w:rsid w:val="006F7233"/>
    <w:rsid w:val="006F783C"/>
    <w:rsid w:val="00700804"/>
    <w:rsid w:val="007015FA"/>
    <w:rsid w:val="00701DE6"/>
    <w:rsid w:val="00702B89"/>
    <w:rsid w:val="00704B35"/>
    <w:rsid w:val="00704F21"/>
    <w:rsid w:val="00705732"/>
    <w:rsid w:val="007057A4"/>
    <w:rsid w:val="007073A8"/>
    <w:rsid w:val="0070773A"/>
    <w:rsid w:val="00707E76"/>
    <w:rsid w:val="00710489"/>
    <w:rsid w:val="007115ED"/>
    <w:rsid w:val="0071190A"/>
    <w:rsid w:val="00711CB6"/>
    <w:rsid w:val="00711D4C"/>
    <w:rsid w:val="007122BB"/>
    <w:rsid w:val="007135BC"/>
    <w:rsid w:val="0071402F"/>
    <w:rsid w:val="007147F1"/>
    <w:rsid w:val="007156CD"/>
    <w:rsid w:val="00715BFA"/>
    <w:rsid w:val="007168ED"/>
    <w:rsid w:val="00717292"/>
    <w:rsid w:val="00717737"/>
    <w:rsid w:val="007179F6"/>
    <w:rsid w:val="007213DF"/>
    <w:rsid w:val="00721933"/>
    <w:rsid w:val="00721D3F"/>
    <w:rsid w:val="00721D4C"/>
    <w:rsid w:val="00722255"/>
    <w:rsid w:val="00722EC1"/>
    <w:rsid w:val="00723A64"/>
    <w:rsid w:val="007243D2"/>
    <w:rsid w:val="00724957"/>
    <w:rsid w:val="00724F0E"/>
    <w:rsid w:val="007252B4"/>
    <w:rsid w:val="00725E74"/>
    <w:rsid w:val="00726260"/>
    <w:rsid w:val="0072670D"/>
    <w:rsid w:val="00726AD2"/>
    <w:rsid w:val="007270ED"/>
    <w:rsid w:val="007271B0"/>
    <w:rsid w:val="0072774A"/>
    <w:rsid w:val="0072776A"/>
    <w:rsid w:val="007320B0"/>
    <w:rsid w:val="00732414"/>
    <w:rsid w:val="007328F3"/>
    <w:rsid w:val="00732C73"/>
    <w:rsid w:val="00732FDD"/>
    <w:rsid w:val="007335B5"/>
    <w:rsid w:val="00733E48"/>
    <w:rsid w:val="007341C4"/>
    <w:rsid w:val="00734391"/>
    <w:rsid w:val="00735C5A"/>
    <w:rsid w:val="007374E7"/>
    <w:rsid w:val="00737C8F"/>
    <w:rsid w:val="00740B02"/>
    <w:rsid w:val="007416A7"/>
    <w:rsid w:val="007420FE"/>
    <w:rsid w:val="0074223E"/>
    <w:rsid w:val="00742454"/>
    <w:rsid w:val="007424D3"/>
    <w:rsid w:val="00742F2B"/>
    <w:rsid w:val="00742F9C"/>
    <w:rsid w:val="00743120"/>
    <w:rsid w:val="007447A9"/>
    <w:rsid w:val="00744AC3"/>
    <w:rsid w:val="00744E70"/>
    <w:rsid w:val="00745028"/>
    <w:rsid w:val="0074524B"/>
    <w:rsid w:val="00745311"/>
    <w:rsid w:val="007457E5"/>
    <w:rsid w:val="007477F8"/>
    <w:rsid w:val="00747BAB"/>
    <w:rsid w:val="00747F77"/>
    <w:rsid w:val="0075011F"/>
    <w:rsid w:val="00750CDC"/>
    <w:rsid w:val="00750EFA"/>
    <w:rsid w:val="00752122"/>
    <w:rsid w:val="007521B4"/>
    <w:rsid w:val="00752400"/>
    <w:rsid w:val="00752490"/>
    <w:rsid w:val="0075331B"/>
    <w:rsid w:val="00753FF4"/>
    <w:rsid w:val="00754C0B"/>
    <w:rsid w:val="00754E74"/>
    <w:rsid w:val="007553FD"/>
    <w:rsid w:val="007555F4"/>
    <w:rsid w:val="00756931"/>
    <w:rsid w:val="00757915"/>
    <w:rsid w:val="00757F8F"/>
    <w:rsid w:val="0076086E"/>
    <w:rsid w:val="00760894"/>
    <w:rsid w:val="00760928"/>
    <w:rsid w:val="007609EA"/>
    <w:rsid w:val="00763260"/>
    <w:rsid w:val="007645D6"/>
    <w:rsid w:val="007648E7"/>
    <w:rsid w:val="007659CE"/>
    <w:rsid w:val="00766A48"/>
    <w:rsid w:val="0076741E"/>
    <w:rsid w:val="00767794"/>
    <w:rsid w:val="00770311"/>
    <w:rsid w:val="007716A4"/>
    <w:rsid w:val="00771E00"/>
    <w:rsid w:val="00772FCB"/>
    <w:rsid w:val="00773CE4"/>
    <w:rsid w:val="00775521"/>
    <w:rsid w:val="007756A1"/>
    <w:rsid w:val="00776563"/>
    <w:rsid w:val="00776B85"/>
    <w:rsid w:val="00776FC3"/>
    <w:rsid w:val="007803D5"/>
    <w:rsid w:val="00781846"/>
    <w:rsid w:val="007834FC"/>
    <w:rsid w:val="0078418B"/>
    <w:rsid w:val="00784450"/>
    <w:rsid w:val="0078486F"/>
    <w:rsid w:val="00784D5E"/>
    <w:rsid w:val="00785D52"/>
    <w:rsid w:val="00786737"/>
    <w:rsid w:val="00786CB7"/>
    <w:rsid w:val="00790701"/>
    <w:rsid w:val="0079109A"/>
    <w:rsid w:val="00791374"/>
    <w:rsid w:val="0079158B"/>
    <w:rsid w:val="00792F61"/>
    <w:rsid w:val="007942A5"/>
    <w:rsid w:val="007947A5"/>
    <w:rsid w:val="00795C68"/>
    <w:rsid w:val="00796300"/>
    <w:rsid w:val="007967B9"/>
    <w:rsid w:val="0079690C"/>
    <w:rsid w:val="00796CF7"/>
    <w:rsid w:val="00797021"/>
    <w:rsid w:val="00797D24"/>
    <w:rsid w:val="007A1CBD"/>
    <w:rsid w:val="007A2D42"/>
    <w:rsid w:val="007A3010"/>
    <w:rsid w:val="007A4211"/>
    <w:rsid w:val="007A4484"/>
    <w:rsid w:val="007A45F1"/>
    <w:rsid w:val="007A487F"/>
    <w:rsid w:val="007A4B81"/>
    <w:rsid w:val="007A53AF"/>
    <w:rsid w:val="007A5B28"/>
    <w:rsid w:val="007A5BC6"/>
    <w:rsid w:val="007A5EEA"/>
    <w:rsid w:val="007A6561"/>
    <w:rsid w:val="007A7809"/>
    <w:rsid w:val="007B023E"/>
    <w:rsid w:val="007B041D"/>
    <w:rsid w:val="007B0436"/>
    <w:rsid w:val="007B0FCA"/>
    <w:rsid w:val="007B10B5"/>
    <w:rsid w:val="007B133C"/>
    <w:rsid w:val="007B1ADA"/>
    <w:rsid w:val="007B2000"/>
    <w:rsid w:val="007B2E48"/>
    <w:rsid w:val="007B302C"/>
    <w:rsid w:val="007B312E"/>
    <w:rsid w:val="007B35EA"/>
    <w:rsid w:val="007B4265"/>
    <w:rsid w:val="007B638F"/>
    <w:rsid w:val="007B677D"/>
    <w:rsid w:val="007B711C"/>
    <w:rsid w:val="007C051B"/>
    <w:rsid w:val="007C0809"/>
    <w:rsid w:val="007C09FA"/>
    <w:rsid w:val="007C0EE8"/>
    <w:rsid w:val="007C1318"/>
    <w:rsid w:val="007C138B"/>
    <w:rsid w:val="007C3261"/>
    <w:rsid w:val="007C3933"/>
    <w:rsid w:val="007C3D58"/>
    <w:rsid w:val="007C4D60"/>
    <w:rsid w:val="007C5EE0"/>
    <w:rsid w:val="007C62B6"/>
    <w:rsid w:val="007C69A7"/>
    <w:rsid w:val="007D00FD"/>
    <w:rsid w:val="007D0222"/>
    <w:rsid w:val="007D03CA"/>
    <w:rsid w:val="007D07DD"/>
    <w:rsid w:val="007D18DE"/>
    <w:rsid w:val="007D1921"/>
    <w:rsid w:val="007D1CB9"/>
    <w:rsid w:val="007D23A8"/>
    <w:rsid w:val="007D2809"/>
    <w:rsid w:val="007D2A9C"/>
    <w:rsid w:val="007D359C"/>
    <w:rsid w:val="007D35FA"/>
    <w:rsid w:val="007D3F84"/>
    <w:rsid w:val="007D774D"/>
    <w:rsid w:val="007D7865"/>
    <w:rsid w:val="007D7CF3"/>
    <w:rsid w:val="007E02A3"/>
    <w:rsid w:val="007E0C99"/>
    <w:rsid w:val="007E1359"/>
    <w:rsid w:val="007E1EE2"/>
    <w:rsid w:val="007E1FEB"/>
    <w:rsid w:val="007E3322"/>
    <w:rsid w:val="007E33EC"/>
    <w:rsid w:val="007E3412"/>
    <w:rsid w:val="007E38EE"/>
    <w:rsid w:val="007E398A"/>
    <w:rsid w:val="007E3AAC"/>
    <w:rsid w:val="007E3EE6"/>
    <w:rsid w:val="007E4E50"/>
    <w:rsid w:val="007E5466"/>
    <w:rsid w:val="007E552B"/>
    <w:rsid w:val="007E5C1D"/>
    <w:rsid w:val="007E5E93"/>
    <w:rsid w:val="007E5EEE"/>
    <w:rsid w:val="007E650E"/>
    <w:rsid w:val="007E687A"/>
    <w:rsid w:val="007E687D"/>
    <w:rsid w:val="007E6A09"/>
    <w:rsid w:val="007E71D1"/>
    <w:rsid w:val="007E74C5"/>
    <w:rsid w:val="007F0201"/>
    <w:rsid w:val="007F07C9"/>
    <w:rsid w:val="007F10A2"/>
    <w:rsid w:val="007F12D5"/>
    <w:rsid w:val="007F16C6"/>
    <w:rsid w:val="007F1AD0"/>
    <w:rsid w:val="007F25D7"/>
    <w:rsid w:val="007F2C38"/>
    <w:rsid w:val="007F3100"/>
    <w:rsid w:val="007F3560"/>
    <w:rsid w:val="007F3811"/>
    <w:rsid w:val="007F3CAA"/>
    <w:rsid w:val="007F53C2"/>
    <w:rsid w:val="007F5CFD"/>
    <w:rsid w:val="007F5F64"/>
    <w:rsid w:val="007F63F0"/>
    <w:rsid w:val="007F6564"/>
    <w:rsid w:val="007F6754"/>
    <w:rsid w:val="007F6BDA"/>
    <w:rsid w:val="007F7558"/>
    <w:rsid w:val="007F7EE3"/>
    <w:rsid w:val="008008CB"/>
    <w:rsid w:val="00800D20"/>
    <w:rsid w:val="00800E20"/>
    <w:rsid w:val="00801F63"/>
    <w:rsid w:val="0080318D"/>
    <w:rsid w:val="00803199"/>
    <w:rsid w:val="008040DD"/>
    <w:rsid w:val="0080420E"/>
    <w:rsid w:val="00804269"/>
    <w:rsid w:val="00805330"/>
    <w:rsid w:val="008062B2"/>
    <w:rsid w:val="008064F6"/>
    <w:rsid w:val="0080687F"/>
    <w:rsid w:val="008069CF"/>
    <w:rsid w:val="008079D8"/>
    <w:rsid w:val="008111AD"/>
    <w:rsid w:val="00811B9E"/>
    <w:rsid w:val="00812E96"/>
    <w:rsid w:val="00813543"/>
    <w:rsid w:val="00813C66"/>
    <w:rsid w:val="008147BA"/>
    <w:rsid w:val="00814A3B"/>
    <w:rsid w:val="00814DE4"/>
    <w:rsid w:val="00815452"/>
    <w:rsid w:val="00815823"/>
    <w:rsid w:val="00815B76"/>
    <w:rsid w:val="008161CB"/>
    <w:rsid w:val="008165B9"/>
    <w:rsid w:val="0081794F"/>
    <w:rsid w:val="00817A23"/>
    <w:rsid w:val="00817D1B"/>
    <w:rsid w:val="00817F04"/>
    <w:rsid w:val="00820FA1"/>
    <w:rsid w:val="008210EE"/>
    <w:rsid w:val="00821505"/>
    <w:rsid w:val="00821586"/>
    <w:rsid w:val="008218CE"/>
    <w:rsid w:val="008223CC"/>
    <w:rsid w:val="008225B4"/>
    <w:rsid w:val="00822FD6"/>
    <w:rsid w:val="0082469F"/>
    <w:rsid w:val="008247BB"/>
    <w:rsid w:val="00824BDD"/>
    <w:rsid w:val="008250F2"/>
    <w:rsid w:val="0082513F"/>
    <w:rsid w:val="00825B7C"/>
    <w:rsid w:val="00825C0D"/>
    <w:rsid w:val="008266A5"/>
    <w:rsid w:val="008266F3"/>
    <w:rsid w:val="008269CD"/>
    <w:rsid w:val="00826DA0"/>
    <w:rsid w:val="008272A0"/>
    <w:rsid w:val="00827E34"/>
    <w:rsid w:val="00827E38"/>
    <w:rsid w:val="008301CE"/>
    <w:rsid w:val="00830A9C"/>
    <w:rsid w:val="00831AD6"/>
    <w:rsid w:val="0083210E"/>
    <w:rsid w:val="008324E6"/>
    <w:rsid w:val="0083263A"/>
    <w:rsid w:val="00832AF1"/>
    <w:rsid w:val="00832D6F"/>
    <w:rsid w:val="00832DEE"/>
    <w:rsid w:val="008337EB"/>
    <w:rsid w:val="0083522C"/>
    <w:rsid w:val="0083585D"/>
    <w:rsid w:val="00836984"/>
    <w:rsid w:val="00836D92"/>
    <w:rsid w:val="00837063"/>
    <w:rsid w:val="008373E7"/>
    <w:rsid w:val="00837A0D"/>
    <w:rsid w:val="00837B25"/>
    <w:rsid w:val="0084042F"/>
    <w:rsid w:val="00841794"/>
    <w:rsid w:val="00841800"/>
    <w:rsid w:val="0084194D"/>
    <w:rsid w:val="00842067"/>
    <w:rsid w:val="0084289F"/>
    <w:rsid w:val="00842E70"/>
    <w:rsid w:val="00843687"/>
    <w:rsid w:val="00843A75"/>
    <w:rsid w:val="00844EA2"/>
    <w:rsid w:val="008450B7"/>
    <w:rsid w:val="008454E5"/>
    <w:rsid w:val="0084636E"/>
    <w:rsid w:val="0084723C"/>
    <w:rsid w:val="00847311"/>
    <w:rsid w:val="00847CF2"/>
    <w:rsid w:val="00850923"/>
    <w:rsid w:val="00850D2B"/>
    <w:rsid w:val="00850F25"/>
    <w:rsid w:val="00850F6C"/>
    <w:rsid w:val="008510FB"/>
    <w:rsid w:val="00851415"/>
    <w:rsid w:val="00851A5C"/>
    <w:rsid w:val="0085353B"/>
    <w:rsid w:val="0085413D"/>
    <w:rsid w:val="0085450D"/>
    <w:rsid w:val="008549D6"/>
    <w:rsid w:val="00855053"/>
    <w:rsid w:val="008555F7"/>
    <w:rsid w:val="00856575"/>
    <w:rsid w:val="00856B3F"/>
    <w:rsid w:val="00857473"/>
    <w:rsid w:val="008575B4"/>
    <w:rsid w:val="0085762A"/>
    <w:rsid w:val="00860394"/>
    <w:rsid w:val="00861072"/>
    <w:rsid w:val="00861A94"/>
    <w:rsid w:val="00861D53"/>
    <w:rsid w:val="008626B0"/>
    <w:rsid w:val="008632CF"/>
    <w:rsid w:val="008641A2"/>
    <w:rsid w:val="00865615"/>
    <w:rsid w:val="00865898"/>
    <w:rsid w:val="00865D87"/>
    <w:rsid w:val="00865F4B"/>
    <w:rsid w:val="00866D4A"/>
    <w:rsid w:val="00866E7E"/>
    <w:rsid w:val="008670CA"/>
    <w:rsid w:val="008671FB"/>
    <w:rsid w:val="00867BE7"/>
    <w:rsid w:val="00867C80"/>
    <w:rsid w:val="008710C9"/>
    <w:rsid w:val="0087189E"/>
    <w:rsid w:val="00871BBA"/>
    <w:rsid w:val="00871C91"/>
    <w:rsid w:val="00871D6E"/>
    <w:rsid w:val="008721A4"/>
    <w:rsid w:val="0087259A"/>
    <w:rsid w:val="00872C5C"/>
    <w:rsid w:val="00874D78"/>
    <w:rsid w:val="00875213"/>
    <w:rsid w:val="00875998"/>
    <w:rsid w:val="00875C84"/>
    <w:rsid w:val="0087692C"/>
    <w:rsid w:val="0087759F"/>
    <w:rsid w:val="00877662"/>
    <w:rsid w:val="00877931"/>
    <w:rsid w:val="008806C0"/>
    <w:rsid w:val="008808DF"/>
    <w:rsid w:val="00880D73"/>
    <w:rsid w:val="00880F55"/>
    <w:rsid w:val="008816B5"/>
    <w:rsid w:val="008821EA"/>
    <w:rsid w:val="008823EC"/>
    <w:rsid w:val="008826EB"/>
    <w:rsid w:val="0088438A"/>
    <w:rsid w:val="00884480"/>
    <w:rsid w:val="00884915"/>
    <w:rsid w:val="00884EE1"/>
    <w:rsid w:val="008856DD"/>
    <w:rsid w:val="008859A5"/>
    <w:rsid w:val="00885D85"/>
    <w:rsid w:val="008860BC"/>
    <w:rsid w:val="00886207"/>
    <w:rsid w:val="00886B56"/>
    <w:rsid w:val="0088778B"/>
    <w:rsid w:val="00887E1B"/>
    <w:rsid w:val="008901D8"/>
    <w:rsid w:val="00890211"/>
    <w:rsid w:val="00890A99"/>
    <w:rsid w:val="00890C45"/>
    <w:rsid w:val="00890EAE"/>
    <w:rsid w:val="008911F3"/>
    <w:rsid w:val="0089210C"/>
    <w:rsid w:val="00892678"/>
    <w:rsid w:val="00892B3B"/>
    <w:rsid w:val="00892D75"/>
    <w:rsid w:val="00892EBC"/>
    <w:rsid w:val="00892F90"/>
    <w:rsid w:val="0089323D"/>
    <w:rsid w:val="00893437"/>
    <w:rsid w:val="00893C34"/>
    <w:rsid w:val="008945BB"/>
    <w:rsid w:val="00895135"/>
    <w:rsid w:val="008952E4"/>
    <w:rsid w:val="008955ED"/>
    <w:rsid w:val="00895F18"/>
    <w:rsid w:val="00896AB8"/>
    <w:rsid w:val="00897769"/>
    <w:rsid w:val="00897B69"/>
    <w:rsid w:val="00897BC9"/>
    <w:rsid w:val="008A0458"/>
    <w:rsid w:val="008A2118"/>
    <w:rsid w:val="008A2372"/>
    <w:rsid w:val="008A323E"/>
    <w:rsid w:val="008A35CD"/>
    <w:rsid w:val="008A3FC8"/>
    <w:rsid w:val="008A4AB4"/>
    <w:rsid w:val="008A4B14"/>
    <w:rsid w:val="008A4B46"/>
    <w:rsid w:val="008A4C1E"/>
    <w:rsid w:val="008A4D4B"/>
    <w:rsid w:val="008A5E01"/>
    <w:rsid w:val="008A60C7"/>
    <w:rsid w:val="008A6F85"/>
    <w:rsid w:val="008A7790"/>
    <w:rsid w:val="008B007B"/>
    <w:rsid w:val="008B0361"/>
    <w:rsid w:val="008B0496"/>
    <w:rsid w:val="008B057A"/>
    <w:rsid w:val="008B199C"/>
    <w:rsid w:val="008B2009"/>
    <w:rsid w:val="008B28C0"/>
    <w:rsid w:val="008B2E00"/>
    <w:rsid w:val="008B34E8"/>
    <w:rsid w:val="008B3500"/>
    <w:rsid w:val="008B3B1B"/>
    <w:rsid w:val="008B43DB"/>
    <w:rsid w:val="008B467B"/>
    <w:rsid w:val="008B46DC"/>
    <w:rsid w:val="008B5105"/>
    <w:rsid w:val="008B51AF"/>
    <w:rsid w:val="008B559F"/>
    <w:rsid w:val="008B5AE1"/>
    <w:rsid w:val="008B5BE3"/>
    <w:rsid w:val="008B5CED"/>
    <w:rsid w:val="008B5DA2"/>
    <w:rsid w:val="008B61C6"/>
    <w:rsid w:val="008B63BC"/>
    <w:rsid w:val="008B67D6"/>
    <w:rsid w:val="008B68D5"/>
    <w:rsid w:val="008B6A30"/>
    <w:rsid w:val="008B74C1"/>
    <w:rsid w:val="008B7829"/>
    <w:rsid w:val="008B788C"/>
    <w:rsid w:val="008B78DF"/>
    <w:rsid w:val="008C00E1"/>
    <w:rsid w:val="008C011A"/>
    <w:rsid w:val="008C0625"/>
    <w:rsid w:val="008C078F"/>
    <w:rsid w:val="008C1DC9"/>
    <w:rsid w:val="008C25CE"/>
    <w:rsid w:val="008C25E3"/>
    <w:rsid w:val="008C289D"/>
    <w:rsid w:val="008C30BB"/>
    <w:rsid w:val="008C3687"/>
    <w:rsid w:val="008C3EB4"/>
    <w:rsid w:val="008C406C"/>
    <w:rsid w:val="008C4564"/>
    <w:rsid w:val="008C45D3"/>
    <w:rsid w:val="008C4A5D"/>
    <w:rsid w:val="008C4EC2"/>
    <w:rsid w:val="008C530A"/>
    <w:rsid w:val="008C5AA8"/>
    <w:rsid w:val="008C5D80"/>
    <w:rsid w:val="008C60D9"/>
    <w:rsid w:val="008C621C"/>
    <w:rsid w:val="008C64AD"/>
    <w:rsid w:val="008C6524"/>
    <w:rsid w:val="008C7179"/>
    <w:rsid w:val="008C754F"/>
    <w:rsid w:val="008D0B98"/>
    <w:rsid w:val="008D1074"/>
    <w:rsid w:val="008D1A01"/>
    <w:rsid w:val="008D2867"/>
    <w:rsid w:val="008D301D"/>
    <w:rsid w:val="008D32D4"/>
    <w:rsid w:val="008D438B"/>
    <w:rsid w:val="008D4423"/>
    <w:rsid w:val="008D4F73"/>
    <w:rsid w:val="008D5C94"/>
    <w:rsid w:val="008D5CF3"/>
    <w:rsid w:val="008D698D"/>
    <w:rsid w:val="008D6B62"/>
    <w:rsid w:val="008D6F52"/>
    <w:rsid w:val="008D7E66"/>
    <w:rsid w:val="008E0449"/>
    <w:rsid w:val="008E1A1A"/>
    <w:rsid w:val="008E2336"/>
    <w:rsid w:val="008E2442"/>
    <w:rsid w:val="008E2FB3"/>
    <w:rsid w:val="008E4E92"/>
    <w:rsid w:val="008E505C"/>
    <w:rsid w:val="008E50B8"/>
    <w:rsid w:val="008E59E9"/>
    <w:rsid w:val="008E5B94"/>
    <w:rsid w:val="008E5C12"/>
    <w:rsid w:val="008E6033"/>
    <w:rsid w:val="008E6095"/>
    <w:rsid w:val="008E6610"/>
    <w:rsid w:val="008E6DBF"/>
    <w:rsid w:val="008E7016"/>
    <w:rsid w:val="008F0F0F"/>
    <w:rsid w:val="008F20EA"/>
    <w:rsid w:val="008F2369"/>
    <w:rsid w:val="008F253C"/>
    <w:rsid w:val="008F2C76"/>
    <w:rsid w:val="008F320C"/>
    <w:rsid w:val="008F388A"/>
    <w:rsid w:val="008F3B62"/>
    <w:rsid w:val="008F4836"/>
    <w:rsid w:val="008F5A28"/>
    <w:rsid w:val="008F60AE"/>
    <w:rsid w:val="008F6D9A"/>
    <w:rsid w:val="008F6E86"/>
    <w:rsid w:val="008F76DC"/>
    <w:rsid w:val="00900254"/>
    <w:rsid w:val="009004DB"/>
    <w:rsid w:val="00900941"/>
    <w:rsid w:val="00901791"/>
    <w:rsid w:val="00901991"/>
    <w:rsid w:val="009019D3"/>
    <w:rsid w:val="00902045"/>
    <w:rsid w:val="00902C65"/>
    <w:rsid w:val="00903398"/>
    <w:rsid w:val="00903A5A"/>
    <w:rsid w:val="00903F05"/>
    <w:rsid w:val="00904CFB"/>
    <w:rsid w:val="0090542C"/>
    <w:rsid w:val="009058DE"/>
    <w:rsid w:val="00905ECA"/>
    <w:rsid w:val="0090626E"/>
    <w:rsid w:val="0090662F"/>
    <w:rsid w:val="00906D76"/>
    <w:rsid w:val="0090790D"/>
    <w:rsid w:val="00910236"/>
    <w:rsid w:val="009111E6"/>
    <w:rsid w:val="0091189A"/>
    <w:rsid w:val="009118F2"/>
    <w:rsid w:val="009119A4"/>
    <w:rsid w:val="0091244D"/>
    <w:rsid w:val="00912979"/>
    <w:rsid w:val="0091315D"/>
    <w:rsid w:val="00913547"/>
    <w:rsid w:val="0091377D"/>
    <w:rsid w:val="0091420A"/>
    <w:rsid w:val="00914284"/>
    <w:rsid w:val="0091451B"/>
    <w:rsid w:val="00914522"/>
    <w:rsid w:val="00914613"/>
    <w:rsid w:val="00914974"/>
    <w:rsid w:val="00914ED6"/>
    <w:rsid w:val="00914EFC"/>
    <w:rsid w:val="0091524A"/>
    <w:rsid w:val="009156D7"/>
    <w:rsid w:val="00915E0A"/>
    <w:rsid w:val="009165B4"/>
    <w:rsid w:val="009166C4"/>
    <w:rsid w:val="0091732F"/>
    <w:rsid w:val="00917681"/>
    <w:rsid w:val="00917E71"/>
    <w:rsid w:val="00921732"/>
    <w:rsid w:val="00921AEE"/>
    <w:rsid w:val="00921B8D"/>
    <w:rsid w:val="00921C44"/>
    <w:rsid w:val="0092246A"/>
    <w:rsid w:val="009225C7"/>
    <w:rsid w:val="00922AC9"/>
    <w:rsid w:val="0092327C"/>
    <w:rsid w:val="009237CC"/>
    <w:rsid w:val="00924101"/>
    <w:rsid w:val="00924BFC"/>
    <w:rsid w:val="00924D9E"/>
    <w:rsid w:val="0092635B"/>
    <w:rsid w:val="009268FE"/>
    <w:rsid w:val="00926AE6"/>
    <w:rsid w:val="00927068"/>
    <w:rsid w:val="00927111"/>
    <w:rsid w:val="00927DDA"/>
    <w:rsid w:val="009307AA"/>
    <w:rsid w:val="00930887"/>
    <w:rsid w:val="0093095A"/>
    <w:rsid w:val="00930E58"/>
    <w:rsid w:val="00931439"/>
    <w:rsid w:val="009315D9"/>
    <w:rsid w:val="009315E5"/>
    <w:rsid w:val="0093170A"/>
    <w:rsid w:val="0093173C"/>
    <w:rsid w:val="009326CF"/>
    <w:rsid w:val="00932F43"/>
    <w:rsid w:val="009338CB"/>
    <w:rsid w:val="00933B7D"/>
    <w:rsid w:val="009340BC"/>
    <w:rsid w:val="009345B3"/>
    <w:rsid w:val="009348D4"/>
    <w:rsid w:val="00934904"/>
    <w:rsid w:val="0093490E"/>
    <w:rsid w:val="00935CFB"/>
    <w:rsid w:val="00935FB2"/>
    <w:rsid w:val="00936636"/>
    <w:rsid w:val="0093667F"/>
    <w:rsid w:val="00937291"/>
    <w:rsid w:val="00937BBE"/>
    <w:rsid w:val="009400D5"/>
    <w:rsid w:val="00940492"/>
    <w:rsid w:val="00940968"/>
    <w:rsid w:val="00941392"/>
    <w:rsid w:val="0094263A"/>
    <w:rsid w:val="009426A5"/>
    <w:rsid w:val="009427B9"/>
    <w:rsid w:val="009427E0"/>
    <w:rsid w:val="009430DF"/>
    <w:rsid w:val="00943238"/>
    <w:rsid w:val="00944364"/>
    <w:rsid w:val="009444BE"/>
    <w:rsid w:val="00944524"/>
    <w:rsid w:val="00944BF7"/>
    <w:rsid w:val="00944C77"/>
    <w:rsid w:val="00945A70"/>
    <w:rsid w:val="00946067"/>
    <w:rsid w:val="009460FD"/>
    <w:rsid w:val="00946BDB"/>
    <w:rsid w:val="00947A4F"/>
    <w:rsid w:val="00947C63"/>
    <w:rsid w:val="00947F2A"/>
    <w:rsid w:val="00950005"/>
    <w:rsid w:val="0095016E"/>
    <w:rsid w:val="009506C1"/>
    <w:rsid w:val="009512CD"/>
    <w:rsid w:val="00951D63"/>
    <w:rsid w:val="009522B8"/>
    <w:rsid w:val="00953EE8"/>
    <w:rsid w:val="00954129"/>
    <w:rsid w:val="009541D7"/>
    <w:rsid w:val="0095427C"/>
    <w:rsid w:val="0095487D"/>
    <w:rsid w:val="00954D8C"/>
    <w:rsid w:val="00954E09"/>
    <w:rsid w:val="00955411"/>
    <w:rsid w:val="00955D3F"/>
    <w:rsid w:val="00955F79"/>
    <w:rsid w:val="009568BC"/>
    <w:rsid w:val="00956A02"/>
    <w:rsid w:val="00956A23"/>
    <w:rsid w:val="009576E7"/>
    <w:rsid w:val="00957B63"/>
    <w:rsid w:val="00957C03"/>
    <w:rsid w:val="009609C6"/>
    <w:rsid w:val="0096151C"/>
    <w:rsid w:val="0096172A"/>
    <w:rsid w:val="00961D79"/>
    <w:rsid w:val="009624D0"/>
    <w:rsid w:val="00962556"/>
    <w:rsid w:val="009625ED"/>
    <w:rsid w:val="00962B73"/>
    <w:rsid w:val="00963CAE"/>
    <w:rsid w:val="00963CC7"/>
    <w:rsid w:val="00964A5B"/>
    <w:rsid w:val="009652B6"/>
    <w:rsid w:val="00965B1F"/>
    <w:rsid w:val="00965BB7"/>
    <w:rsid w:val="009668F9"/>
    <w:rsid w:val="00966954"/>
    <w:rsid w:val="00970963"/>
    <w:rsid w:val="00970D68"/>
    <w:rsid w:val="00970F65"/>
    <w:rsid w:val="00971798"/>
    <w:rsid w:val="00972A8F"/>
    <w:rsid w:val="00972EC0"/>
    <w:rsid w:val="00972F16"/>
    <w:rsid w:val="009734AD"/>
    <w:rsid w:val="009736F0"/>
    <w:rsid w:val="00974652"/>
    <w:rsid w:val="00974EB8"/>
    <w:rsid w:val="009758CA"/>
    <w:rsid w:val="009758FF"/>
    <w:rsid w:val="0097593A"/>
    <w:rsid w:val="00976660"/>
    <w:rsid w:val="00976C3B"/>
    <w:rsid w:val="00976E61"/>
    <w:rsid w:val="009774EE"/>
    <w:rsid w:val="0097774A"/>
    <w:rsid w:val="0098006E"/>
    <w:rsid w:val="00980213"/>
    <w:rsid w:val="00980D2A"/>
    <w:rsid w:val="00981B51"/>
    <w:rsid w:val="00981BBA"/>
    <w:rsid w:val="009826D8"/>
    <w:rsid w:val="0098281F"/>
    <w:rsid w:val="00982A41"/>
    <w:rsid w:val="0098402F"/>
    <w:rsid w:val="00984ED8"/>
    <w:rsid w:val="00985124"/>
    <w:rsid w:val="00985697"/>
    <w:rsid w:val="00985B4B"/>
    <w:rsid w:val="00985F80"/>
    <w:rsid w:val="009867CB"/>
    <w:rsid w:val="009869A2"/>
    <w:rsid w:val="00986D1B"/>
    <w:rsid w:val="0098759A"/>
    <w:rsid w:val="00990786"/>
    <w:rsid w:val="00990D98"/>
    <w:rsid w:val="0099192E"/>
    <w:rsid w:val="00992794"/>
    <w:rsid w:val="00993BC6"/>
    <w:rsid w:val="009941A3"/>
    <w:rsid w:val="0099437E"/>
    <w:rsid w:val="00994649"/>
    <w:rsid w:val="009951CD"/>
    <w:rsid w:val="0099664E"/>
    <w:rsid w:val="0099705B"/>
    <w:rsid w:val="009A02D0"/>
    <w:rsid w:val="009A0A68"/>
    <w:rsid w:val="009A170D"/>
    <w:rsid w:val="009A2FEB"/>
    <w:rsid w:val="009A37CE"/>
    <w:rsid w:val="009A394D"/>
    <w:rsid w:val="009A3B7C"/>
    <w:rsid w:val="009A403D"/>
    <w:rsid w:val="009A5605"/>
    <w:rsid w:val="009A587C"/>
    <w:rsid w:val="009A5AB2"/>
    <w:rsid w:val="009A5C56"/>
    <w:rsid w:val="009A5CC6"/>
    <w:rsid w:val="009A64FD"/>
    <w:rsid w:val="009A65E0"/>
    <w:rsid w:val="009A6E70"/>
    <w:rsid w:val="009A6FE9"/>
    <w:rsid w:val="009A7B60"/>
    <w:rsid w:val="009B010C"/>
    <w:rsid w:val="009B040F"/>
    <w:rsid w:val="009B1BE1"/>
    <w:rsid w:val="009B1D55"/>
    <w:rsid w:val="009B1F00"/>
    <w:rsid w:val="009B1F64"/>
    <w:rsid w:val="009B3807"/>
    <w:rsid w:val="009B44B8"/>
    <w:rsid w:val="009B4765"/>
    <w:rsid w:val="009B5313"/>
    <w:rsid w:val="009B54D3"/>
    <w:rsid w:val="009B563D"/>
    <w:rsid w:val="009B5717"/>
    <w:rsid w:val="009B5A18"/>
    <w:rsid w:val="009B6711"/>
    <w:rsid w:val="009B6CC1"/>
    <w:rsid w:val="009B6CFA"/>
    <w:rsid w:val="009C00A6"/>
    <w:rsid w:val="009C01B2"/>
    <w:rsid w:val="009C0D5A"/>
    <w:rsid w:val="009C0FAB"/>
    <w:rsid w:val="009C135E"/>
    <w:rsid w:val="009C19D2"/>
    <w:rsid w:val="009C2003"/>
    <w:rsid w:val="009C23C0"/>
    <w:rsid w:val="009C282E"/>
    <w:rsid w:val="009C35BF"/>
    <w:rsid w:val="009C4667"/>
    <w:rsid w:val="009C4886"/>
    <w:rsid w:val="009C5166"/>
    <w:rsid w:val="009C53A9"/>
    <w:rsid w:val="009C7043"/>
    <w:rsid w:val="009D01CE"/>
    <w:rsid w:val="009D0440"/>
    <w:rsid w:val="009D1D75"/>
    <w:rsid w:val="009D2900"/>
    <w:rsid w:val="009D2904"/>
    <w:rsid w:val="009D2C4B"/>
    <w:rsid w:val="009D36BE"/>
    <w:rsid w:val="009D39DA"/>
    <w:rsid w:val="009D3A78"/>
    <w:rsid w:val="009D49F0"/>
    <w:rsid w:val="009D4E80"/>
    <w:rsid w:val="009D58B8"/>
    <w:rsid w:val="009D5DE3"/>
    <w:rsid w:val="009D642C"/>
    <w:rsid w:val="009D6776"/>
    <w:rsid w:val="009D7A38"/>
    <w:rsid w:val="009D7A57"/>
    <w:rsid w:val="009D7BCB"/>
    <w:rsid w:val="009E0289"/>
    <w:rsid w:val="009E0ACD"/>
    <w:rsid w:val="009E1418"/>
    <w:rsid w:val="009E1887"/>
    <w:rsid w:val="009E25CC"/>
    <w:rsid w:val="009E3F70"/>
    <w:rsid w:val="009E50D8"/>
    <w:rsid w:val="009E58BF"/>
    <w:rsid w:val="009E63F6"/>
    <w:rsid w:val="009E6522"/>
    <w:rsid w:val="009E68C3"/>
    <w:rsid w:val="009E6C9D"/>
    <w:rsid w:val="009E6E1F"/>
    <w:rsid w:val="009E7BE8"/>
    <w:rsid w:val="009F0635"/>
    <w:rsid w:val="009F1450"/>
    <w:rsid w:val="009F1B4A"/>
    <w:rsid w:val="009F1C85"/>
    <w:rsid w:val="009F2009"/>
    <w:rsid w:val="009F21FA"/>
    <w:rsid w:val="009F2B65"/>
    <w:rsid w:val="009F378E"/>
    <w:rsid w:val="009F4240"/>
    <w:rsid w:val="009F43F5"/>
    <w:rsid w:val="009F449B"/>
    <w:rsid w:val="009F538C"/>
    <w:rsid w:val="009F54B4"/>
    <w:rsid w:val="009F5D78"/>
    <w:rsid w:val="009F61F7"/>
    <w:rsid w:val="009F6A52"/>
    <w:rsid w:val="009F6BC8"/>
    <w:rsid w:val="009F78E2"/>
    <w:rsid w:val="00A010F4"/>
    <w:rsid w:val="00A02A04"/>
    <w:rsid w:val="00A04904"/>
    <w:rsid w:val="00A06522"/>
    <w:rsid w:val="00A065A4"/>
    <w:rsid w:val="00A065DE"/>
    <w:rsid w:val="00A07538"/>
    <w:rsid w:val="00A07B47"/>
    <w:rsid w:val="00A1042D"/>
    <w:rsid w:val="00A10C43"/>
    <w:rsid w:val="00A11076"/>
    <w:rsid w:val="00A116D2"/>
    <w:rsid w:val="00A124BF"/>
    <w:rsid w:val="00A12873"/>
    <w:rsid w:val="00A12947"/>
    <w:rsid w:val="00A12A9F"/>
    <w:rsid w:val="00A12C71"/>
    <w:rsid w:val="00A12D41"/>
    <w:rsid w:val="00A13808"/>
    <w:rsid w:val="00A141E5"/>
    <w:rsid w:val="00A1503D"/>
    <w:rsid w:val="00A15CEF"/>
    <w:rsid w:val="00A16115"/>
    <w:rsid w:val="00A17739"/>
    <w:rsid w:val="00A17BF7"/>
    <w:rsid w:val="00A20595"/>
    <w:rsid w:val="00A20924"/>
    <w:rsid w:val="00A21848"/>
    <w:rsid w:val="00A21D55"/>
    <w:rsid w:val="00A21DF6"/>
    <w:rsid w:val="00A221EE"/>
    <w:rsid w:val="00A224EC"/>
    <w:rsid w:val="00A22C5D"/>
    <w:rsid w:val="00A23AC2"/>
    <w:rsid w:val="00A23D0D"/>
    <w:rsid w:val="00A24BAE"/>
    <w:rsid w:val="00A250E8"/>
    <w:rsid w:val="00A25913"/>
    <w:rsid w:val="00A25B2D"/>
    <w:rsid w:val="00A267D9"/>
    <w:rsid w:val="00A26CC8"/>
    <w:rsid w:val="00A26D04"/>
    <w:rsid w:val="00A26E24"/>
    <w:rsid w:val="00A272A7"/>
    <w:rsid w:val="00A2756B"/>
    <w:rsid w:val="00A27D04"/>
    <w:rsid w:val="00A30313"/>
    <w:rsid w:val="00A3097E"/>
    <w:rsid w:val="00A326E6"/>
    <w:rsid w:val="00A3478D"/>
    <w:rsid w:val="00A34A2C"/>
    <w:rsid w:val="00A34FE6"/>
    <w:rsid w:val="00A350CA"/>
    <w:rsid w:val="00A35114"/>
    <w:rsid w:val="00A35136"/>
    <w:rsid w:val="00A359EF"/>
    <w:rsid w:val="00A36211"/>
    <w:rsid w:val="00A36B04"/>
    <w:rsid w:val="00A36E6A"/>
    <w:rsid w:val="00A374A3"/>
    <w:rsid w:val="00A37651"/>
    <w:rsid w:val="00A37B73"/>
    <w:rsid w:val="00A4034E"/>
    <w:rsid w:val="00A40611"/>
    <w:rsid w:val="00A40769"/>
    <w:rsid w:val="00A40DB1"/>
    <w:rsid w:val="00A41737"/>
    <w:rsid w:val="00A42513"/>
    <w:rsid w:val="00A42794"/>
    <w:rsid w:val="00A42832"/>
    <w:rsid w:val="00A42A6C"/>
    <w:rsid w:val="00A42C91"/>
    <w:rsid w:val="00A432F7"/>
    <w:rsid w:val="00A43549"/>
    <w:rsid w:val="00A44494"/>
    <w:rsid w:val="00A445A8"/>
    <w:rsid w:val="00A44812"/>
    <w:rsid w:val="00A47039"/>
    <w:rsid w:val="00A47B17"/>
    <w:rsid w:val="00A47DB3"/>
    <w:rsid w:val="00A47FE2"/>
    <w:rsid w:val="00A501A9"/>
    <w:rsid w:val="00A50574"/>
    <w:rsid w:val="00A516EF"/>
    <w:rsid w:val="00A51A26"/>
    <w:rsid w:val="00A5230B"/>
    <w:rsid w:val="00A5259F"/>
    <w:rsid w:val="00A52727"/>
    <w:rsid w:val="00A52C50"/>
    <w:rsid w:val="00A52D54"/>
    <w:rsid w:val="00A52D9D"/>
    <w:rsid w:val="00A52DD2"/>
    <w:rsid w:val="00A532B7"/>
    <w:rsid w:val="00A53607"/>
    <w:rsid w:val="00A542DD"/>
    <w:rsid w:val="00A57613"/>
    <w:rsid w:val="00A57693"/>
    <w:rsid w:val="00A5778E"/>
    <w:rsid w:val="00A57D21"/>
    <w:rsid w:val="00A60CF6"/>
    <w:rsid w:val="00A6125B"/>
    <w:rsid w:val="00A6186E"/>
    <w:rsid w:val="00A61925"/>
    <w:rsid w:val="00A61AD5"/>
    <w:rsid w:val="00A61B2F"/>
    <w:rsid w:val="00A620F5"/>
    <w:rsid w:val="00A6396F"/>
    <w:rsid w:val="00A640E9"/>
    <w:rsid w:val="00A64455"/>
    <w:rsid w:val="00A64B61"/>
    <w:rsid w:val="00A66562"/>
    <w:rsid w:val="00A66C28"/>
    <w:rsid w:val="00A66C42"/>
    <w:rsid w:val="00A6705D"/>
    <w:rsid w:val="00A67577"/>
    <w:rsid w:val="00A67763"/>
    <w:rsid w:val="00A70BDD"/>
    <w:rsid w:val="00A716C0"/>
    <w:rsid w:val="00A71957"/>
    <w:rsid w:val="00A71A06"/>
    <w:rsid w:val="00A71DD3"/>
    <w:rsid w:val="00A7203C"/>
    <w:rsid w:val="00A72DF6"/>
    <w:rsid w:val="00A72F19"/>
    <w:rsid w:val="00A7301B"/>
    <w:rsid w:val="00A74161"/>
    <w:rsid w:val="00A749C8"/>
    <w:rsid w:val="00A74E3F"/>
    <w:rsid w:val="00A7571B"/>
    <w:rsid w:val="00A7583D"/>
    <w:rsid w:val="00A7619A"/>
    <w:rsid w:val="00A76AF2"/>
    <w:rsid w:val="00A76D1D"/>
    <w:rsid w:val="00A7772F"/>
    <w:rsid w:val="00A80F6D"/>
    <w:rsid w:val="00A81345"/>
    <w:rsid w:val="00A81360"/>
    <w:rsid w:val="00A816FB"/>
    <w:rsid w:val="00A820A1"/>
    <w:rsid w:val="00A82B33"/>
    <w:rsid w:val="00A835A8"/>
    <w:rsid w:val="00A8421D"/>
    <w:rsid w:val="00A84654"/>
    <w:rsid w:val="00A84D07"/>
    <w:rsid w:val="00A85B02"/>
    <w:rsid w:val="00A85B28"/>
    <w:rsid w:val="00A864AD"/>
    <w:rsid w:val="00A866DD"/>
    <w:rsid w:val="00A86F76"/>
    <w:rsid w:val="00A8700F"/>
    <w:rsid w:val="00A87935"/>
    <w:rsid w:val="00A87943"/>
    <w:rsid w:val="00A90428"/>
    <w:rsid w:val="00A90640"/>
    <w:rsid w:val="00A90977"/>
    <w:rsid w:val="00A910CE"/>
    <w:rsid w:val="00A910D3"/>
    <w:rsid w:val="00A919AA"/>
    <w:rsid w:val="00A92070"/>
    <w:rsid w:val="00A926FA"/>
    <w:rsid w:val="00A9303A"/>
    <w:rsid w:val="00A93220"/>
    <w:rsid w:val="00A93ED4"/>
    <w:rsid w:val="00A943E9"/>
    <w:rsid w:val="00A94984"/>
    <w:rsid w:val="00A94D8B"/>
    <w:rsid w:val="00A94D98"/>
    <w:rsid w:val="00A963A7"/>
    <w:rsid w:val="00A96516"/>
    <w:rsid w:val="00A9651C"/>
    <w:rsid w:val="00AA02F0"/>
    <w:rsid w:val="00AA0755"/>
    <w:rsid w:val="00AA1330"/>
    <w:rsid w:val="00AA2268"/>
    <w:rsid w:val="00AA2C2F"/>
    <w:rsid w:val="00AA3373"/>
    <w:rsid w:val="00AA38F9"/>
    <w:rsid w:val="00AA42FD"/>
    <w:rsid w:val="00AA4616"/>
    <w:rsid w:val="00AA4BB0"/>
    <w:rsid w:val="00AA5BBC"/>
    <w:rsid w:val="00AA6126"/>
    <w:rsid w:val="00AA6712"/>
    <w:rsid w:val="00AA6EE7"/>
    <w:rsid w:val="00AA7257"/>
    <w:rsid w:val="00AA75B1"/>
    <w:rsid w:val="00AA7646"/>
    <w:rsid w:val="00AB02E7"/>
    <w:rsid w:val="00AB04CF"/>
    <w:rsid w:val="00AB1A56"/>
    <w:rsid w:val="00AB1DAD"/>
    <w:rsid w:val="00AB2856"/>
    <w:rsid w:val="00AB328B"/>
    <w:rsid w:val="00AB36E6"/>
    <w:rsid w:val="00AB3BB0"/>
    <w:rsid w:val="00AB3E1D"/>
    <w:rsid w:val="00AB494A"/>
    <w:rsid w:val="00AB4BA2"/>
    <w:rsid w:val="00AB5404"/>
    <w:rsid w:val="00AB5B27"/>
    <w:rsid w:val="00AB6B00"/>
    <w:rsid w:val="00AC01AC"/>
    <w:rsid w:val="00AC07A0"/>
    <w:rsid w:val="00AC0A91"/>
    <w:rsid w:val="00AC0F25"/>
    <w:rsid w:val="00AC1302"/>
    <w:rsid w:val="00AC151F"/>
    <w:rsid w:val="00AC191A"/>
    <w:rsid w:val="00AC27D7"/>
    <w:rsid w:val="00AC2CF4"/>
    <w:rsid w:val="00AC3681"/>
    <w:rsid w:val="00AC36F8"/>
    <w:rsid w:val="00AC3913"/>
    <w:rsid w:val="00AC3B2E"/>
    <w:rsid w:val="00AC463C"/>
    <w:rsid w:val="00AC6734"/>
    <w:rsid w:val="00AC6C9F"/>
    <w:rsid w:val="00AC6E21"/>
    <w:rsid w:val="00AC70FE"/>
    <w:rsid w:val="00AC7595"/>
    <w:rsid w:val="00AC79A8"/>
    <w:rsid w:val="00AD0106"/>
    <w:rsid w:val="00AD030A"/>
    <w:rsid w:val="00AD05D3"/>
    <w:rsid w:val="00AD0606"/>
    <w:rsid w:val="00AD0944"/>
    <w:rsid w:val="00AD28D5"/>
    <w:rsid w:val="00AD2DCB"/>
    <w:rsid w:val="00AD3B89"/>
    <w:rsid w:val="00AD55B1"/>
    <w:rsid w:val="00AD5DFB"/>
    <w:rsid w:val="00AD6637"/>
    <w:rsid w:val="00AD69DF"/>
    <w:rsid w:val="00AD77ED"/>
    <w:rsid w:val="00AE025A"/>
    <w:rsid w:val="00AE1868"/>
    <w:rsid w:val="00AE2950"/>
    <w:rsid w:val="00AE2C5E"/>
    <w:rsid w:val="00AE38F1"/>
    <w:rsid w:val="00AE3B3F"/>
    <w:rsid w:val="00AE3BED"/>
    <w:rsid w:val="00AE3E74"/>
    <w:rsid w:val="00AE4085"/>
    <w:rsid w:val="00AE50E4"/>
    <w:rsid w:val="00AE6537"/>
    <w:rsid w:val="00AE67E5"/>
    <w:rsid w:val="00AE6800"/>
    <w:rsid w:val="00AE6F1B"/>
    <w:rsid w:val="00AE6F23"/>
    <w:rsid w:val="00AE7485"/>
    <w:rsid w:val="00AE750E"/>
    <w:rsid w:val="00AE7921"/>
    <w:rsid w:val="00AE7D0D"/>
    <w:rsid w:val="00AF11D4"/>
    <w:rsid w:val="00AF1651"/>
    <w:rsid w:val="00AF1A3B"/>
    <w:rsid w:val="00AF1CAA"/>
    <w:rsid w:val="00AF1F16"/>
    <w:rsid w:val="00AF1F20"/>
    <w:rsid w:val="00AF25FC"/>
    <w:rsid w:val="00AF2C22"/>
    <w:rsid w:val="00AF3507"/>
    <w:rsid w:val="00AF4952"/>
    <w:rsid w:val="00AF5619"/>
    <w:rsid w:val="00AF63B1"/>
    <w:rsid w:val="00AF6451"/>
    <w:rsid w:val="00AF6568"/>
    <w:rsid w:val="00AF69DC"/>
    <w:rsid w:val="00AF7030"/>
    <w:rsid w:val="00AF714E"/>
    <w:rsid w:val="00AF7A5A"/>
    <w:rsid w:val="00AF7BC2"/>
    <w:rsid w:val="00B00178"/>
    <w:rsid w:val="00B00854"/>
    <w:rsid w:val="00B01004"/>
    <w:rsid w:val="00B01912"/>
    <w:rsid w:val="00B0219B"/>
    <w:rsid w:val="00B022A1"/>
    <w:rsid w:val="00B023F3"/>
    <w:rsid w:val="00B02926"/>
    <w:rsid w:val="00B02B22"/>
    <w:rsid w:val="00B034F2"/>
    <w:rsid w:val="00B036A2"/>
    <w:rsid w:val="00B03CF8"/>
    <w:rsid w:val="00B03E35"/>
    <w:rsid w:val="00B042A4"/>
    <w:rsid w:val="00B04F09"/>
    <w:rsid w:val="00B062E7"/>
    <w:rsid w:val="00B063BD"/>
    <w:rsid w:val="00B0657A"/>
    <w:rsid w:val="00B075F3"/>
    <w:rsid w:val="00B077ED"/>
    <w:rsid w:val="00B07C81"/>
    <w:rsid w:val="00B07D25"/>
    <w:rsid w:val="00B07E3D"/>
    <w:rsid w:val="00B10029"/>
    <w:rsid w:val="00B10067"/>
    <w:rsid w:val="00B10088"/>
    <w:rsid w:val="00B101C0"/>
    <w:rsid w:val="00B1056F"/>
    <w:rsid w:val="00B10B13"/>
    <w:rsid w:val="00B119C2"/>
    <w:rsid w:val="00B11D48"/>
    <w:rsid w:val="00B11D63"/>
    <w:rsid w:val="00B12201"/>
    <w:rsid w:val="00B125D4"/>
    <w:rsid w:val="00B1269C"/>
    <w:rsid w:val="00B1295A"/>
    <w:rsid w:val="00B13141"/>
    <w:rsid w:val="00B134FE"/>
    <w:rsid w:val="00B13769"/>
    <w:rsid w:val="00B1463E"/>
    <w:rsid w:val="00B1467D"/>
    <w:rsid w:val="00B14841"/>
    <w:rsid w:val="00B15D01"/>
    <w:rsid w:val="00B15EC2"/>
    <w:rsid w:val="00B1640F"/>
    <w:rsid w:val="00B16E1B"/>
    <w:rsid w:val="00B16F07"/>
    <w:rsid w:val="00B17FEF"/>
    <w:rsid w:val="00B20255"/>
    <w:rsid w:val="00B20282"/>
    <w:rsid w:val="00B20824"/>
    <w:rsid w:val="00B20DAF"/>
    <w:rsid w:val="00B217D4"/>
    <w:rsid w:val="00B218E6"/>
    <w:rsid w:val="00B21B1E"/>
    <w:rsid w:val="00B229D0"/>
    <w:rsid w:val="00B23A2E"/>
    <w:rsid w:val="00B23FB0"/>
    <w:rsid w:val="00B241F0"/>
    <w:rsid w:val="00B24E92"/>
    <w:rsid w:val="00B25ACD"/>
    <w:rsid w:val="00B25D99"/>
    <w:rsid w:val="00B2666B"/>
    <w:rsid w:val="00B26725"/>
    <w:rsid w:val="00B26E37"/>
    <w:rsid w:val="00B27FD1"/>
    <w:rsid w:val="00B3012C"/>
    <w:rsid w:val="00B30508"/>
    <w:rsid w:val="00B30E76"/>
    <w:rsid w:val="00B31024"/>
    <w:rsid w:val="00B3144D"/>
    <w:rsid w:val="00B3155B"/>
    <w:rsid w:val="00B31A91"/>
    <w:rsid w:val="00B3283D"/>
    <w:rsid w:val="00B3348F"/>
    <w:rsid w:val="00B336BC"/>
    <w:rsid w:val="00B3448D"/>
    <w:rsid w:val="00B35501"/>
    <w:rsid w:val="00B36655"/>
    <w:rsid w:val="00B36687"/>
    <w:rsid w:val="00B36D7E"/>
    <w:rsid w:val="00B37435"/>
    <w:rsid w:val="00B37841"/>
    <w:rsid w:val="00B37AEE"/>
    <w:rsid w:val="00B37E0C"/>
    <w:rsid w:val="00B402A5"/>
    <w:rsid w:val="00B40C4C"/>
    <w:rsid w:val="00B41253"/>
    <w:rsid w:val="00B422E2"/>
    <w:rsid w:val="00B42CA7"/>
    <w:rsid w:val="00B4315A"/>
    <w:rsid w:val="00B43E7D"/>
    <w:rsid w:val="00B44065"/>
    <w:rsid w:val="00B446D8"/>
    <w:rsid w:val="00B45281"/>
    <w:rsid w:val="00B46975"/>
    <w:rsid w:val="00B46BB6"/>
    <w:rsid w:val="00B46C7F"/>
    <w:rsid w:val="00B47021"/>
    <w:rsid w:val="00B47774"/>
    <w:rsid w:val="00B51072"/>
    <w:rsid w:val="00B51087"/>
    <w:rsid w:val="00B51328"/>
    <w:rsid w:val="00B516FC"/>
    <w:rsid w:val="00B518BD"/>
    <w:rsid w:val="00B519DA"/>
    <w:rsid w:val="00B51A9F"/>
    <w:rsid w:val="00B51DF3"/>
    <w:rsid w:val="00B5220F"/>
    <w:rsid w:val="00B5273B"/>
    <w:rsid w:val="00B549BA"/>
    <w:rsid w:val="00B54D2D"/>
    <w:rsid w:val="00B5563C"/>
    <w:rsid w:val="00B55763"/>
    <w:rsid w:val="00B5643A"/>
    <w:rsid w:val="00B56580"/>
    <w:rsid w:val="00B573F5"/>
    <w:rsid w:val="00B577D7"/>
    <w:rsid w:val="00B57AD3"/>
    <w:rsid w:val="00B606F0"/>
    <w:rsid w:val="00B62855"/>
    <w:rsid w:val="00B629A6"/>
    <w:rsid w:val="00B62B92"/>
    <w:rsid w:val="00B63FDC"/>
    <w:rsid w:val="00B64115"/>
    <w:rsid w:val="00B64152"/>
    <w:rsid w:val="00B64D02"/>
    <w:rsid w:val="00B64F46"/>
    <w:rsid w:val="00B64F97"/>
    <w:rsid w:val="00B65062"/>
    <w:rsid w:val="00B65916"/>
    <w:rsid w:val="00B65FAA"/>
    <w:rsid w:val="00B66516"/>
    <w:rsid w:val="00B665B3"/>
    <w:rsid w:val="00B666C3"/>
    <w:rsid w:val="00B66B81"/>
    <w:rsid w:val="00B66D65"/>
    <w:rsid w:val="00B66DB3"/>
    <w:rsid w:val="00B66F28"/>
    <w:rsid w:val="00B6708D"/>
    <w:rsid w:val="00B67228"/>
    <w:rsid w:val="00B6738A"/>
    <w:rsid w:val="00B679F4"/>
    <w:rsid w:val="00B67C4E"/>
    <w:rsid w:val="00B67E37"/>
    <w:rsid w:val="00B67E3D"/>
    <w:rsid w:val="00B701B5"/>
    <w:rsid w:val="00B7048E"/>
    <w:rsid w:val="00B70874"/>
    <w:rsid w:val="00B71E3B"/>
    <w:rsid w:val="00B721AD"/>
    <w:rsid w:val="00B7266D"/>
    <w:rsid w:val="00B726E2"/>
    <w:rsid w:val="00B72ED1"/>
    <w:rsid w:val="00B73366"/>
    <w:rsid w:val="00B73C3C"/>
    <w:rsid w:val="00B73E7D"/>
    <w:rsid w:val="00B745B2"/>
    <w:rsid w:val="00B74B3F"/>
    <w:rsid w:val="00B74BA2"/>
    <w:rsid w:val="00B75032"/>
    <w:rsid w:val="00B7553F"/>
    <w:rsid w:val="00B76483"/>
    <w:rsid w:val="00B767BD"/>
    <w:rsid w:val="00B76D7F"/>
    <w:rsid w:val="00B80628"/>
    <w:rsid w:val="00B807F5"/>
    <w:rsid w:val="00B80943"/>
    <w:rsid w:val="00B80D85"/>
    <w:rsid w:val="00B80F89"/>
    <w:rsid w:val="00B81542"/>
    <w:rsid w:val="00B815F0"/>
    <w:rsid w:val="00B81A18"/>
    <w:rsid w:val="00B81AB4"/>
    <w:rsid w:val="00B82096"/>
    <w:rsid w:val="00B82229"/>
    <w:rsid w:val="00B829A9"/>
    <w:rsid w:val="00B82CE0"/>
    <w:rsid w:val="00B83924"/>
    <w:rsid w:val="00B839AC"/>
    <w:rsid w:val="00B83C25"/>
    <w:rsid w:val="00B83D05"/>
    <w:rsid w:val="00B83DCA"/>
    <w:rsid w:val="00B83E47"/>
    <w:rsid w:val="00B83E85"/>
    <w:rsid w:val="00B842EC"/>
    <w:rsid w:val="00B84662"/>
    <w:rsid w:val="00B853D5"/>
    <w:rsid w:val="00B855D3"/>
    <w:rsid w:val="00B865F2"/>
    <w:rsid w:val="00B87CCF"/>
    <w:rsid w:val="00B87E20"/>
    <w:rsid w:val="00B902E4"/>
    <w:rsid w:val="00B905C8"/>
    <w:rsid w:val="00B90C42"/>
    <w:rsid w:val="00B912BF"/>
    <w:rsid w:val="00B9167F"/>
    <w:rsid w:val="00B91FEF"/>
    <w:rsid w:val="00B92423"/>
    <w:rsid w:val="00B92CA7"/>
    <w:rsid w:val="00B93C95"/>
    <w:rsid w:val="00B9502A"/>
    <w:rsid w:val="00B95495"/>
    <w:rsid w:val="00B95A15"/>
    <w:rsid w:val="00B95D5C"/>
    <w:rsid w:val="00B96CDE"/>
    <w:rsid w:val="00BA0143"/>
    <w:rsid w:val="00BA029A"/>
    <w:rsid w:val="00BA0901"/>
    <w:rsid w:val="00BA098D"/>
    <w:rsid w:val="00BA0A18"/>
    <w:rsid w:val="00BA116D"/>
    <w:rsid w:val="00BA16A2"/>
    <w:rsid w:val="00BA173D"/>
    <w:rsid w:val="00BA1B42"/>
    <w:rsid w:val="00BA1EE0"/>
    <w:rsid w:val="00BA2FAA"/>
    <w:rsid w:val="00BA3C96"/>
    <w:rsid w:val="00BA4B37"/>
    <w:rsid w:val="00BA4B82"/>
    <w:rsid w:val="00BA5AD3"/>
    <w:rsid w:val="00BA6426"/>
    <w:rsid w:val="00BA69E8"/>
    <w:rsid w:val="00BA6EA2"/>
    <w:rsid w:val="00BA71C4"/>
    <w:rsid w:val="00BA76CF"/>
    <w:rsid w:val="00BA781B"/>
    <w:rsid w:val="00BA7963"/>
    <w:rsid w:val="00BA7A42"/>
    <w:rsid w:val="00BB0BA0"/>
    <w:rsid w:val="00BB0C55"/>
    <w:rsid w:val="00BB0FAE"/>
    <w:rsid w:val="00BB0FE3"/>
    <w:rsid w:val="00BB11B5"/>
    <w:rsid w:val="00BB13C5"/>
    <w:rsid w:val="00BB1475"/>
    <w:rsid w:val="00BB1A66"/>
    <w:rsid w:val="00BB1ADC"/>
    <w:rsid w:val="00BB1CFF"/>
    <w:rsid w:val="00BB2391"/>
    <w:rsid w:val="00BB2B6E"/>
    <w:rsid w:val="00BB321F"/>
    <w:rsid w:val="00BB4329"/>
    <w:rsid w:val="00BB4358"/>
    <w:rsid w:val="00BB4520"/>
    <w:rsid w:val="00BB4C93"/>
    <w:rsid w:val="00BB571B"/>
    <w:rsid w:val="00BB59A1"/>
    <w:rsid w:val="00BB5AE4"/>
    <w:rsid w:val="00BB6698"/>
    <w:rsid w:val="00BB6896"/>
    <w:rsid w:val="00BB6BBE"/>
    <w:rsid w:val="00BB6E17"/>
    <w:rsid w:val="00BB71CA"/>
    <w:rsid w:val="00BB7A7B"/>
    <w:rsid w:val="00BB7E42"/>
    <w:rsid w:val="00BC00CB"/>
    <w:rsid w:val="00BC1563"/>
    <w:rsid w:val="00BC1693"/>
    <w:rsid w:val="00BC1980"/>
    <w:rsid w:val="00BC1E86"/>
    <w:rsid w:val="00BC1EA8"/>
    <w:rsid w:val="00BC23EB"/>
    <w:rsid w:val="00BC2B00"/>
    <w:rsid w:val="00BC3CDC"/>
    <w:rsid w:val="00BC4984"/>
    <w:rsid w:val="00BC4BCD"/>
    <w:rsid w:val="00BC4F80"/>
    <w:rsid w:val="00BC60B3"/>
    <w:rsid w:val="00BC635A"/>
    <w:rsid w:val="00BC653F"/>
    <w:rsid w:val="00BC747C"/>
    <w:rsid w:val="00BC76FF"/>
    <w:rsid w:val="00BC792E"/>
    <w:rsid w:val="00BC7B7B"/>
    <w:rsid w:val="00BC7E1D"/>
    <w:rsid w:val="00BD09C6"/>
    <w:rsid w:val="00BD0B24"/>
    <w:rsid w:val="00BD0F0B"/>
    <w:rsid w:val="00BD1199"/>
    <w:rsid w:val="00BD13F2"/>
    <w:rsid w:val="00BD1764"/>
    <w:rsid w:val="00BD1D29"/>
    <w:rsid w:val="00BD30A9"/>
    <w:rsid w:val="00BD31BF"/>
    <w:rsid w:val="00BD33FA"/>
    <w:rsid w:val="00BD3755"/>
    <w:rsid w:val="00BD3A69"/>
    <w:rsid w:val="00BD3F89"/>
    <w:rsid w:val="00BD46D7"/>
    <w:rsid w:val="00BD5124"/>
    <w:rsid w:val="00BD5198"/>
    <w:rsid w:val="00BD64F1"/>
    <w:rsid w:val="00BD69EB"/>
    <w:rsid w:val="00BD7782"/>
    <w:rsid w:val="00BD7DA6"/>
    <w:rsid w:val="00BE0011"/>
    <w:rsid w:val="00BE1EFD"/>
    <w:rsid w:val="00BE2091"/>
    <w:rsid w:val="00BE2A84"/>
    <w:rsid w:val="00BE2CD9"/>
    <w:rsid w:val="00BE32BA"/>
    <w:rsid w:val="00BE3A25"/>
    <w:rsid w:val="00BE487A"/>
    <w:rsid w:val="00BE4A89"/>
    <w:rsid w:val="00BE4F51"/>
    <w:rsid w:val="00BE50C8"/>
    <w:rsid w:val="00BE5205"/>
    <w:rsid w:val="00BE5447"/>
    <w:rsid w:val="00BE5EA9"/>
    <w:rsid w:val="00BE658A"/>
    <w:rsid w:val="00BE6E23"/>
    <w:rsid w:val="00BE6F95"/>
    <w:rsid w:val="00BE7EAC"/>
    <w:rsid w:val="00BF04E3"/>
    <w:rsid w:val="00BF0A46"/>
    <w:rsid w:val="00BF1727"/>
    <w:rsid w:val="00BF22A1"/>
    <w:rsid w:val="00BF2C26"/>
    <w:rsid w:val="00BF349F"/>
    <w:rsid w:val="00BF34EF"/>
    <w:rsid w:val="00BF37E0"/>
    <w:rsid w:val="00BF389D"/>
    <w:rsid w:val="00BF3B08"/>
    <w:rsid w:val="00BF3B5B"/>
    <w:rsid w:val="00BF3BD5"/>
    <w:rsid w:val="00BF3DF1"/>
    <w:rsid w:val="00BF4209"/>
    <w:rsid w:val="00BF43F0"/>
    <w:rsid w:val="00BF44C5"/>
    <w:rsid w:val="00BF50D8"/>
    <w:rsid w:val="00BF5256"/>
    <w:rsid w:val="00BF5484"/>
    <w:rsid w:val="00BF5FBC"/>
    <w:rsid w:val="00BF684E"/>
    <w:rsid w:val="00BF6F01"/>
    <w:rsid w:val="00BF6F6B"/>
    <w:rsid w:val="00C000E2"/>
    <w:rsid w:val="00C002BC"/>
    <w:rsid w:val="00C00704"/>
    <w:rsid w:val="00C00AAA"/>
    <w:rsid w:val="00C01544"/>
    <w:rsid w:val="00C0205F"/>
    <w:rsid w:val="00C03116"/>
    <w:rsid w:val="00C033AC"/>
    <w:rsid w:val="00C0415F"/>
    <w:rsid w:val="00C04B83"/>
    <w:rsid w:val="00C0538F"/>
    <w:rsid w:val="00C05534"/>
    <w:rsid w:val="00C05A56"/>
    <w:rsid w:val="00C0776B"/>
    <w:rsid w:val="00C07BF6"/>
    <w:rsid w:val="00C10382"/>
    <w:rsid w:val="00C107A4"/>
    <w:rsid w:val="00C107FA"/>
    <w:rsid w:val="00C10E53"/>
    <w:rsid w:val="00C11331"/>
    <w:rsid w:val="00C11C6A"/>
    <w:rsid w:val="00C11CAD"/>
    <w:rsid w:val="00C12482"/>
    <w:rsid w:val="00C146E0"/>
    <w:rsid w:val="00C15023"/>
    <w:rsid w:val="00C1515A"/>
    <w:rsid w:val="00C15304"/>
    <w:rsid w:val="00C15801"/>
    <w:rsid w:val="00C15C31"/>
    <w:rsid w:val="00C15F53"/>
    <w:rsid w:val="00C17450"/>
    <w:rsid w:val="00C1794B"/>
    <w:rsid w:val="00C2063C"/>
    <w:rsid w:val="00C2075A"/>
    <w:rsid w:val="00C20B52"/>
    <w:rsid w:val="00C20C38"/>
    <w:rsid w:val="00C20C7D"/>
    <w:rsid w:val="00C2246A"/>
    <w:rsid w:val="00C22B45"/>
    <w:rsid w:val="00C23CC5"/>
    <w:rsid w:val="00C23D66"/>
    <w:rsid w:val="00C2429C"/>
    <w:rsid w:val="00C246A7"/>
    <w:rsid w:val="00C247EB"/>
    <w:rsid w:val="00C24A54"/>
    <w:rsid w:val="00C24E0D"/>
    <w:rsid w:val="00C2542A"/>
    <w:rsid w:val="00C25DF4"/>
    <w:rsid w:val="00C2627E"/>
    <w:rsid w:val="00C26BB6"/>
    <w:rsid w:val="00C26CC2"/>
    <w:rsid w:val="00C274AF"/>
    <w:rsid w:val="00C3010F"/>
    <w:rsid w:val="00C30753"/>
    <w:rsid w:val="00C30823"/>
    <w:rsid w:val="00C30891"/>
    <w:rsid w:val="00C312FE"/>
    <w:rsid w:val="00C318B1"/>
    <w:rsid w:val="00C31983"/>
    <w:rsid w:val="00C32934"/>
    <w:rsid w:val="00C32B58"/>
    <w:rsid w:val="00C33080"/>
    <w:rsid w:val="00C33D0F"/>
    <w:rsid w:val="00C344EF"/>
    <w:rsid w:val="00C34A9B"/>
    <w:rsid w:val="00C34C3F"/>
    <w:rsid w:val="00C350F1"/>
    <w:rsid w:val="00C3560B"/>
    <w:rsid w:val="00C35713"/>
    <w:rsid w:val="00C364C7"/>
    <w:rsid w:val="00C36500"/>
    <w:rsid w:val="00C36D84"/>
    <w:rsid w:val="00C40A94"/>
    <w:rsid w:val="00C40BCC"/>
    <w:rsid w:val="00C426D7"/>
    <w:rsid w:val="00C43075"/>
    <w:rsid w:val="00C43AEA"/>
    <w:rsid w:val="00C43E4F"/>
    <w:rsid w:val="00C43EFA"/>
    <w:rsid w:val="00C44751"/>
    <w:rsid w:val="00C449C4"/>
    <w:rsid w:val="00C44A68"/>
    <w:rsid w:val="00C44B77"/>
    <w:rsid w:val="00C44C9B"/>
    <w:rsid w:val="00C44CB5"/>
    <w:rsid w:val="00C45439"/>
    <w:rsid w:val="00C4605D"/>
    <w:rsid w:val="00C4637B"/>
    <w:rsid w:val="00C46F92"/>
    <w:rsid w:val="00C47909"/>
    <w:rsid w:val="00C5094F"/>
    <w:rsid w:val="00C50D4A"/>
    <w:rsid w:val="00C50F5A"/>
    <w:rsid w:val="00C51494"/>
    <w:rsid w:val="00C514AC"/>
    <w:rsid w:val="00C51879"/>
    <w:rsid w:val="00C51CDA"/>
    <w:rsid w:val="00C51D1E"/>
    <w:rsid w:val="00C52CBF"/>
    <w:rsid w:val="00C53AA8"/>
    <w:rsid w:val="00C53D53"/>
    <w:rsid w:val="00C543DB"/>
    <w:rsid w:val="00C544C1"/>
    <w:rsid w:val="00C557C0"/>
    <w:rsid w:val="00C55958"/>
    <w:rsid w:val="00C5638B"/>
    <w:rsid w:val="00C56821"/>
    <w:rsid w:val="00C5685E"/>
    <w:rsid w:val="00C56A06"/>
    <w:rsid w:val="00C56B21"/>
    <w:rsid w:val="00C56B82"/>
    <w:rsid w:val="00C57D09"/>
    <w:rsid w:val="00C60061"/>
    <w:rsid w:val="00C60193"/>
    <w:rsid w:val="00C60765"/>
    <w:rsid w:val="00C61CDF"/>
    <w:rsid w:val="00C62328"/>
    <w:rsid w:val="00C62727"/>
    <w:rsid w:val="00C62B68"/>
    <w:rsid w:val="00C6361C"/>
    <w:rsid w:val="00C63C37"/>
    <w:rsid w:val="00C643C1"/>
    <w:rsid w:val="00C64A40"/>
    <w:rsid w:val="00C658C9"/>
    <w:rsid w:val="00C66BA4"/>
    <w:rsid w:val="00C66C66"/>
    <w:rsid w:val="00C675B3"/>
    <w:rsid w:val="00C70236"/>
    <w:rsid w:val="00C70726"/>
    <w:rsid w:val="00C7084A"/>
    <w:rsid w:val="00C7184D"/>
    <w:rsid w:val="00C7186A"/>
    <w:rsid w:val="00C72476"/>
    <w:rsid w:val="00C7347D"/>
    <w:rsid w:val="00C73923"/>
    <w:rsid w:val="00C73D2F"/>
    <w:rsid w:val="00C746AE"/>
    <w:rsid w:val="00C74DD3"/>
    <w:rsid w:val="00C759B4"/>
    <w:rsid w:val="00C75BA8"/>
    <w:rsid w:val="00C75CD9"/>
    <w:rsid w:val="00C7689D"/>
    <w:rsid w:val="00C769B5"/>
    <w:rsid w:val="00C76C44"/>
    <w:rsid w:val="00C77A87"/>
    <w:rsid w:val="00C8044B"/>
    <w:rsid w:val="00C81649"/>
    <w:rsid w:val="00C81B02"/>
    <w:rsid w:val="00C82781"/>
    <w:rsid w:val="00C82991"/>
    <w:rsid w:val="00C83348"/>
    <w:rsid w:val="00C83751"/>
    <w:rsid w:val="00C837E7"/>
    <w:rsid w:val="00C83E73"/>
    <w:rsid w:val="00C8418E"/>
    <w:rsid w:val="00C84C04"/>
    <w:rsid w:val="00C84E4B"/>
    <w:rsid w:val="00C85C4B"/>
    <w:rsid w:val="00C85CD3"/>
    <w:rsid w:val="00C86CF5"/>
    <w:rsid w:val="00C86CFC"/>
    <w:rsid w:val="00C8732F"/>
    <w:rsid w:val="00C8752D"/>
    <w:rsid w:val="00C919C0"/>
    <w:rsid w:val="00C91D9D"/>
    <w:rsid w:val="00C92A71"/>
    <w:rsid w:val="00C92CD0"/>
    <w:rsid w:val="00C95332"/>
    <w:rsid w:val="00C957A2"/>
    <w:rsid w:val="00C95DD2"/>
    <w:rsid w:val="00C96323"/>
    <w:rsid w:val="00C96BED"/>
    <w:rsid w:val="00C96F5C"/>
    <w:rsid w:val="00C976EA"/>
    <w:rsid w:val="00CA024B"/>
    <w:rsid w:val="00CA050B"/>
    <w:rsid w:val="00CA0BB4"/>
    <w:rsid w:val="00CA2455"/>
    <w:rsid w:val="00CA25C5"/>
    <w:rsid w:val="00CA2728"/>
    <w:rsid w:val="00CA2D61"/>
    <w:rsid w:val="00CA335B"/>
    <w:rsid w:val="00CA3BE9"/>
    <w:rsid w:val="00CA425D"/>
    <w:rsid w:val="00CA4277"/>
    <w:rsid w:val="00CA45F0"/>
    <w:rsid w:val="00CA5044"/>
    <w:rsid w:val="00CA5FD3"/>
    <w:rsid w:val="00CA6CAD"/>
    <w:rsid w:val="00CA6D98"/>
    <w:rsid w:val="00CA6DFB"/>
    <w:rsid w:val="00CA7063"/>
    <w:rsid w:val="00CA7DB3"/>
    <w:rsid w:val="00CB0E77"/>
    <w:rsid w:val="00CB15BC"/>
    <w:rsid w:val="00CB1C38"/>
    <w:rsid w:val="00CB1EB1"/>
    <w:rsid w:val="00CB2937"/>
    <w:rsid w:val="00CB31F5"/>
    <w:rsid w:val="00CB37DF"/>
    <w:rsid w:val="00CB4463"/>
    <w:rsid w:val="00CB5639"/>
    <w:rsid w:val="00CB791D"/>
    <w:rsid w:val="00CC0DE9"/>
    <w:rsid w:val="00CC246F"/>
    <w:rsid w:val="00CC26FF"/>
    <w:rsid w:val="00CC2910"/>
    <w:rsid w:val="00CC3E05"/>
    <w:rsid w:val="00CC418C"/>
    <w:rsid w:val="00CC4B1A"/>
    <w:rsid w:val="00CC5E4F"/>
    <w:rsid w:val="00CC65F8"/>
    <w:rsid w:val="00CC6A19"/>
    <w:rsid w:val="00CC7A17"/>
    <w:rsid w:val="00CC7D74"/>
    <w:rsid w:val="00CD0CC0"/>
    <w:rsid w:val="00CD10E0"/>
    <w:rsid w:val="00CD154C"/>
    <w:rsid w:val="00CD22B8"/>
    <w:rsid w:val="00CD302B"/>
    <w:rsid w:val="00CD3B59"/>
    <w:rsid w:val="00CD3B5C"/>
    <w:rsid w:val="00CD4E1C"/>
    <w:rsid w:val="00CD5E08"/>
    <w:rsid w:val="00CD5F37"/>
    <w:rsid w:val="00CD61F1"/>
    <w:rsid w:val="00CD631D"/>
    <w:rsid w:val="00CD6BC5"/>
    <w:rsid w:val="00CD6DB7"/>
    <w:rsid w:val="00CD71E7"/>
    <w:rsid w:val="00CD7488"/>
    <w:rsid w:val="00CE0308"/>
    <w:rsid w:val="00CE067D"/>
    <w:rsid w:val="00CE0A9B"/>
    <w:rsid w:val="00CE257C"/>
    <w:rsid w:val="00CE2953"/>
    <w:rsid w:val="00CE2E7F"/>
    <w:rsid w:val="00CE3E1E"/>
    <w:rsid w:val="00CE422E"/>
    <w:rsid w:val="00CE4267"/>
    <w:rsid w:val="00CE4886"/>
    <w:rsid w:val="00CE4D32"/>
    <w:rsid w:val="00CE548A"/>
    <w:rsid w:val="00CE5C4C"/>
    <w:rsid w:val="00CE600A"/>
    <w:rsid w:val="00CE633F"/>
    <w:rsid w:val="00CE6711"/>
    <w:rsid w:val="00CE6CDE"/>
    <w:rsid w:val="00CF0A89"/>
    <w:rsid w:val="00CF1248"/>
    <w:rsid w:val="00CF1415"/>
    <w:rsid w:val="00CF18E6"/>
    <w:rsid w:val="00CF1C44"/>
    <w:rsid w:val="00CF205D"/>
    <w:rsid w:val="00CF35B3"/>
    <w:rsid w:val="00CF37F7"/>
    <w:rsid w:val="00CF3A25"/>
    <w:rsid w:val="00CF3A9C"/>
    <w:rsid w:val="00CF41B5"/>
    <w:rsid w:val="00CF4E76"/>
    <w:rsid w:val="00CF566A"/>
    <w:rsid w:val="00CF5923"/>
    <w:rsid w:val="00CF6DC7"/>
    <w:rsid w:val="00CF7309"/>
    <w:rsid w:val="00CF760A"/>
    <w:rsid w:val="00D000F0"/>
    <w:rsid w:val="00D001B0"/>
    <w:rsid w:val="00D006CE"/>
    <w:rsid w:val="00D00D33"/>
    <w:rsid w:val="00D00DEB"/>
    <w:rsid w:val="00D01A6C"/>
    <w:rsid w:val="00D01D97"/>
    <w:rsid w:val="00D02882"/>
    <w:rsid w:val="00D02F0B"/>
    <w:rsid w:val="00D038FF"/>
    <w:rsid w:val="00D03AB0"/>
    <w:rsid w:val="00D04A1C"/>
    <w:rsid w:val="00D04BA2"/>
    <w:rsid w:val="00D060F7"/>
    <w:rsid w:val="00D06D88"/>
    <w:rsid w:val="00D06FD0"/>
    <w:rsid w:val="00D0736B"/>
    <w:rsid w:val="00D0772A"/>
    <w:rsid w:val="00D07BFF"/>
    <w:rsid w:val="00D10385"/>
    <w:rsid w:val="00D108D2"/>
    <w:rsid w:val="00D111DD"/>
    <w:rsid w:val="00D11A25"/>
    <w:rsid w:val="00D11B44"/>
    <w:rsid w:val="00D13F46"/>
    <w:rsid w:val="00D1459B"/>
    <w:rsid w:val="00D145A5"/>
    <w:rsid w:val="00D14878"/>
    <w:rsid w:val="00D15416"/>
    <w:rsid w:val="00D15578"/>
    <w:rsid w:val="00D15D33"/>
    <w:rsid w:val="00D15DDA"/>
    <w:rsid w:val="00D15F08"/>
    <w:rsid w:val="00D16548"/>
    <w:rsid w:val="00D166F3"/>
    <w:rsid w:val="00D16836"/>
    <w:rsid w:val="00D16BBC"/>
    <w:rsid w:val="00D16F29"/>
    <w:rsid w:val="00D17755"/>
    <w:rsid w:val="00D20B99"/>
    <w:rsid w:val="00D20EFA"/>
    <w:rsid w:val="00D212FA"/>
    <w:rsid w:val="00D21324"/>
    <w:rsid w:val="00D219EE"/>
    <w:rsid w:val="00D21C2D"/>
    <w:rsid w:val="00D21E90"/>
    <w:rsid w:val="00D21FAF"/>
    <w:rsid w:val="00D22ADB"/>
    <w:rsid w:val="00D22E1E"/>
    <w:rsid w:val="00D22EB5"/>
    <w:rsid w:val="00D22FA5"/>
    <w:rsid w:val="00D232C7"/>
    <w:rsid w:val="00D23FBC"/>
    <w:rsid w:val="00D2506E"/>
    <w:rsid w:val="00D25576"/>
    <w:rsid w:val="00D25951"/>
    <w:rsid w:val="00D26EAF"/>
    <w:rsid w:val="00D27EC9"/>
    <w:rsid w:val="00D31343"/>
    <w:rsid w:val="00D31580"/>
    <w:rsid w:val="00D31F92"/>
    <w:rsid w:val="00D328D0"/>
    <w:rsid w:val="00D32CE7"/>
    <w:rsid w:val="00D3337D"/>
    <w:rsid w:val="00D33E6D"/>
    <w:rsid w:val="00D3429A"/>
    <w:rsid w:val="00D34374"/>
    <w:rsid w:val="00D34ACD"/>
    <w:rsid w:val="00D34B65"/>
    <w:rsid w:val="00D34FF7"/>
    <w:rsid w:val="00D363BE"/>
    <w:rsid w:val="00D367D4"/>
    <w:rsid w:val="00D37084"/>
    <w:rsid w:val="00D37D56"/>
    <w:rsid w:val="00D37DA4"/>
    <w:rsid w:val="00D40163"/>
    <w:rsid w:val="00D4099A"/>
    <w:rsid w:val="00D4145E"/>
    <w:rsid w:val="00D41844"/>
    <w:rsid w:val="00D42812"/>
    <w:rsid w:val="00D43273"/>
    <w:rsid w:val="00D4346A"/>
    <w:rsid w:val="00D4365B"/>
    <w:rsid w:val="00D43A70"/>
    <w:rsid w:val="00D43BD5"/>
    <w:rsid w:val="00D43CF4"/>
    <w:rsid w:val="00D443B7"/>
    <w:rsid w:val="00D44556"/>
    <w:rsid w:val="00D44D2A"/>
    <w:rsid w:val="00D46146"/>
    <w:rsid w:val="00D461D7"/>
    <w:rsid w:val="00D46386"/>
    <w:rsid w:val="00D465E6"/>
    <w:rsid w:val="00D47DD1"/>
    <w:rsid w:val="00D50AFF"/>
    <w:rsid w:val="00D50CFD"/>
    <w:rsid w:val="00D5132F"/>
    <w:rsid w:val="00D51502"/>
    <w:rsid w:val="00D51669"/>
    <w:rsid w:val="00D52118"/>
    <w:rsid w:val="00D5264E"/>
    <w:rsid w:val="00D52A73"/>
    <w:rsid w:val="00D54983"/>
    <w:rsid w:val="00D55A0D"/>
    <w:rsid w:val="00D55E63"/>
    <w:rsid w:val="00D5601D"/>
    <w:rsid w:val="00D5668A"/>
    <w:rsid w:val="00D5687D"/>
    <w:rsid w:val="00D56C60"/>
    <w:rsid w:val="00D57414"/>
    <w:rsid w:val="00D601B0"/>
    <w:rsid w:val="00D61BC9"/>
    <w:rsid w:val="00D61CA6"/>
    <w:rsid w:val="00D6253B"/>
    <w:rsid w:val="00D62616"/>
    <w:rsid w:val="00D637F8"/>
    <w:rsid w:val="00D63B4D"/>
    <w:rsid w:val="00D6475F"/>
    <w:rsid w:val="00D648D6"/>
    <w:rsid w:val="00D64C6C"/>
    <w:rsid w:val="00D65213"/>
    <w:rsid w:val="00D656E9"/>
    <w:rsid w:val="00D658EC"/>
    <w:rsid w:val="00D659D7"/>
    <w:rsid w:val="00D66A0D"/>
    <w:rsid w:val="00D66C5E"/>
    <w:rsid w:val="00D67078"/>
    <w:rsid w:val="00D670FE"/>
    <w:rsid w:val="00D67AEF"/>
    <w:rsid w:val="00D67C73"/>
    <w:rsid w:val="00D70444"/>
    <w:rsid w:val="00D71401"/>
    <w:rsid w:val="00D71456"/>
    <w:rsid w:val="00D71798"/>
    <w:rsid w:val="00D72B43"/>
    <w:rsid w:val="00D72B91"/>
    <w:rsid w:val="00D72C79"/>
    <w:rsid w:val="00D72EEF"/>
    <w:rsid w:val="00D73537"/>
    <w:rsid w:val="00D75211"/>
    <w:rsid w:val="00D75ABE"/>
    <w:rsid w:val="00D75E45"/>
    <w:rsid w:val="00D76C08"/>
    <w:rsid w:val="00D76ED6"/>
    <w:rsid w:val="00D77493"/>
    <w:rsid w:val="00D779B3"/>
    <w:rsid w:val="00D77BEF"/>
    <w:rsid w:val="00D77D6B"/>
    <w:rsid w:val="00D8045B"/>
    <w:rsid w:val="00D816D2"/>
    <w:rsid w:val="00D81B4A"/>
    <w:rsid w:val="00D81CE5"/>
    <w:rsid w:val="00D82F7B"/>
    <w:rsid w:val="00D83D60"/>
    <w:rsid w:val="00D85339"/>
    <w:rsid w:val="00D85598"/>
    <w:rsid w:val="00D87150"/>
    <w:rsid w:val="00D874EF"/>
    <w:rsid w:val="00D87929"/>
    <w:rsid w:val="00D87CB9"/>
    <w:rsid w:val="00D9050F"/>
    <w:rsid w:val="00D90E23"/>
    <w:rsid w:val="00D91B0A"/>
    <w:rsid w:val="00D91EE0"/>
    <w:rsid w:val="00D935B2"/>
    <w:rsid w:val="00D93B50"/>
    <w:rsid w:val="00D93C23"/>
    <w:rsid w:val="00D93FD0"/>
    <w:rsid w:val="00D9423B"/>
    <w:rsid w:val="00D95950"/>
    <w:rsid w:val="00D962B7"/>
    <w:rsid w:val="00D96B9E"/>
    <w:rsid w:val="00D96D1F"/>
    <w:rsid w:val="00D96DAC"/>
    <w:rsid w:val="00D97945"/>
    <w:rsid w:val="00D97B68"/>
    <w:rsid w:val="00DA0381"/>
    <w:rsid w:val="00DA0585"/>
    <w:rsid w:val="00DA06A5"/>
    <w:rsid w:val="00DA09FD"/>
    <w:rsid w:val="00DA20E9"/>
    <w:rsid w:val="00DA238F"/>
    <w:rsid w:val="00DA23FD"/>
    <w:rsid w:val="00DA2A0E"/>
    <w:rsid w:val="00DA2B28"/>
    <w:rsid w:val="00DA2B61"/>
    <w:rsid w:val="00DA3037"/>
    <w:rsid w:val="00DA32FB"/>
    <w:rsid w:val="00DA331E"/>
    <w:rsid w:val="00DA384B"/>
    <w:rsid w:val="00DA424E"/>
    <w:rsid w:val="00DA4515"/>
    <w:rsid w:val="00DA4A88"/>
    <w:rsid w:val="00DA4C3A"/>
    <w:rsid w:val="00DA4F87"/>
    <w:rsid w:val="00DA6AEE"/>
    <w:rsid w:val="00DA7911"/>
    <w:rsid w:val="00DA7D03"/>
    <w:rsid w:val="00DB02C6"/>
    <w:rsid w:val="00DB0485"/>
    <w:rsid w:val="00DB12D1"/>
    <w:rsid w:val="00DB1916"/>
    <w:rsid w:val="00DB2033"/>
    <w:rsid w:val="00DB26DC"/>
    <w:rsid w:val="00DB279F"/>
    <w:rsid w:val="00DB2D73"/>
    <w:rsid w:val="00DB2D91"/>
    <w:rsid w:val="00DB304D"/>
    <w:rsid w:val="00DB31D7"/>
    <w:rsid w:val="00DB3B18"/>
    <w:rsid w:val="00DB3EAE"/>
    <w:rsid w:val="00DB4E8E"/>
    <w:rsid w:val="00DB63FB"/>
    <w:rsid w:val="00DB691A"/>
    <w:rsid w:val="00DB6B61"/>
    <w:rsid w:val="00DB6BB4"/>
    <w:rsid w:val="00DB71AD"/>
    <w:rsid w:val="00DB71C7"/>
    <w:rsid w:val="00DC0FE4"/>
    <w:rsid w:val="00DC174C"/>
    <w:rsid w:val="00DC214E"/>
    <w:rsid w:val="00DC2431"/>
    <w:rsid w:val="00DC2DC7"/>
    <w:rsid w:val="00DC2E61"/>
    <w:rsid w:val="00DC30B4"/>
    <w:rsid w:val="00DC32E7"/>
    <w:rsid w:val="00DC37C6"/>
    <w:rsid w:val="00DC430A"/>
    <w:rsid w:val="00DC4618"/>
    <w:rsid w:val="00DC47AD"/>
    <w:rsid w:val="00DC483F"/>
    <w:rsid w:val="00DC4EA4"/>
    <w:rsid w:val="00DC502F"/>
    <w:rsid w:val="00DC5172"/>
    <w:rsid w:val="00DC5943"/>
    <w:rsid w:val="00DC6690"/>
    <w:rsid w:val="00DC695F"/>
    <w:rsid w:val="00DC70B3"/>
    <w:rsid w:val="00DC71DC"/>
    <w:rsid w:val="00DC76CF"/>
    <w:rsid w:val="00DC7A36"/>
    <w:rsid w:val="00DD0406"/>
    <w:rsid w:val="00DD044D"/>
    <w:rsid w:val="00DD15F4"/>
    <w:rsid w:val="00DD18AF"/>
    <w:rsid w:val="00DD1E30"/>
    <w:rsid w:val="00DD1EDB"/>
    <w:rsid w:val="00DD29CF"/>
    <w:rsid w:val="00DD3C96"/>
    <w:rsid w:val="00DD3E80"/>
    <w:rsid w:val="00DD48A3"/>
    <w:rsid w:val="00DD5330"/>
    <w:rsid w:val="00DD558F"/>
    <w:rsid w:val="00DD5ED9"/>
    <w:rsid w:val="00DD5EEC"/>
    <w:rsid w:val="00DD664F"/>
    <w:rsid w:val="00DD6B63"/>
    <w:rsid w:val="00DD714E"/>
    <w:rsid w:val="00DD7DE0"/>
    <w:rsid w:val="00DE05A8"/>
    <w:rsid w:val="00DE0993"/>
    <w:rsid w:val="00DE151E"/>
    <w:rsid w:val="00DE1E2E"/>
    <w:rsid w:val="00DE1F8E"/>
    <w:rsid w:val="00DE227B"/>
    <w:rsid w:val="00DE28AB"/>
    <w:rsid w:val="00DE2A9A"/>
    <w:rsid w:val="00DE3DCB"/>
    <w:rsid w:val="00DE3E39"/>
    <w:rsid w:val="00DE3F52"/>
    <w:rsid w:val="00DE3FA6"/>
    <w:rsid w:val="00DE43D9"/>
    <w:rsid w:val="00DE627F"/>
    <w:rsid w:val="00DE6F6F"/>
    <w:rsid w:val="00DE7098"/>
    <w:rsid w:val="00DE7D01"/>
    <w:rsid w:val="00DE7F39"/>
    <w:rsid w:val="00DF2BA5"/>
    <w:rsid w:val="00DF2EC3"/>
    <w:rsid w:val="00DF40D0"/>
    <w:rsid w:val="00DF4209"/>
    <w:rsid w:val="00DF4BFF"/>
    <w:rsid w:val="00DF4C18"/>
    <w:rsid w:val="00DF52DE"/>
    <w:rsid w:val="00DF53FC"/>
    <w:rsid w:val="00DF55B3"/>
    <w:rsid w:val="00DF584F"/>
    <w:rsid w:val="00DF59D0"/>
    <w:rsid w:val="00DF6099"/>
    <w:rsid w:val="00DF6E21"/>
    <w:rsid w:val="00DF6F72"/>
    <w:rsid w:val="00DF76B0"/>
    <w:rsid w:val="00DF7C98"/>
    <w:rsid w:val="00E00085"/>
    <w:rsid w:val="00E006CF"/>
    <w:rsid w:val="00E0107A"/>
    <w:rsid w:val="00E016E6"/>
    <w:rsid w:val="00E021FD"/>
    <w:rsid w:val="00E03150"/>
    <w:rsid w:val="00E03AAC"/>
    <w:rsid w:val="00E03AD2"/>
    <w:rsid w:val="00E041A7"/>
    <w:rsid w:val="00E0431B"/>
    <w:rsid w:val="00E05375"/>
    <w:rsid w:val="00E05724"/>
    <w:rsid w:val="00E057DC"/>
    <w:rsid w:val="00E05A21"/>
    <w:rsid w:val="00E05D5B"/>
    <w:rsid w:val="00E06ADC"/>
    <w:rsid w:val="00E07809"/>
    <w:rsid w:val="00E104EC"/>
    <w:rsid w:val="00E105C3"/>
    <w:rsid w:val="00E10E60"/>
    <w:rsid w:val="00E10F02"/>
    <w:rsid w:val="00E10F61"/>
    <w:rsid w:val="00E1127E"/>
    <w:rsid w:val="00E1163B"/>
    <w:rsid w:val="00E1194B"/>
    <w:rsid w:val="00E120F9"/>
    <w:rsid w:val="00E1247E"/>
    <w:rsid w:val="00E127E8"/>
    <w:rsid w:val="00E12E8D"/>
    <w:rsid w:val="00E134C0"/>
    <w:rsid w:val="00E1403D"/>
    <w:rsid w:val="00E145BB"/>
    <w:rsid w:val="00E14BAD"/>
    <w:rsid w:val="00E16AD6"/>
    <w:rsid w:val="00E16E90"/>
    <w:rsid w:val="00E17DF7"/>
    <w:rsid w:val="00E20062"/>
    <w:rsid w:val="00E203F6"/>
    <w:rsid w:val="00E21203"/>
    <w:rsid w:val="00E227DB"/>
    <w:rsid w:val="00E22AF1"/>
    <w:rsid w:val="00E22B4B"/>
    <w:rsid w:val="00E23562"/>
    <w:rsid w:val="00E23DFF"/>
    <w:rsid w:val="00E2423C"/>
    <w:rsid w:val="00E2455F"/>
    <w:rsid w:val="00E24AED"/>
    <w:rsid w:val="00E24CD8"/>
    <w:rsid w:val="00E254D3"/>
    <w:rsid w:val="00E257A2"/>
    <w:rsid w:val="00E2781B"/>
    <w:rsid w:val="00E27AF8"/>
    <w:rsid w:val="00E300C6"/>
    <w:rsid w:val="00E308F6"/>
    <w:rsid w:val="00E310EC"/>
    <w:rsid w:val="00E3250A"/>
    <w:rsid w:val="00E3264D"/>
    <w:rsid w:val="00E32781"/>
    <w:rsid w:val="00E3337B"/>
    <w:rsid w:val="00E34C58"/>
    <w:rsid w:val="00E34D92"/>
    <w:rsid w:val="00E356FA"/>
    <w:rsid w:val="00E363E3"/>
    <w:rsid w:val="00E36F8E"/>
    <w:rsid w:val="00E3720E"/>
    <w:rsid w:val="00E37C83"/>
    <w:rsid w:val="00E4175F"/>
    <w:rsid w:val="00E41D94"/>
    <w:rsid w:val="00E42FF1"/>
    <w:rsid w:val="00E4349F"/>
    <w:rsid w:val="00E435EA"/>
    <w:rsid w:val="00E438BF"/>
    <w:rsid w:val="00E43F08"/>
    <w:rsid w:val="00E44AC5"/>
    <w:rsid w:val="00E4537B"/>
    <w:rsid w:val="00E45673"/>
    <w:rsid w:val="00E45FFC"/>
    <w:rsid w:val="00E4641E"/>
    <w:rsid w:val="00E47E24"/>
    <w:rsid w:val="00E50185"/>
    <w:rsid w:val="00E504D0"/>
    <w:rsid w:val="00E509E4"/>
    <w:rsid w:val="00E510A8"/>
    <w:rsid w:val="00E511CB"/>
    <w:rsid w:val="00E51616"/>
    <w:rsid w:val="00E516BC"/>
    <w:rsid w:val="00E517CD"/>
    <w:rsid w:val="00E52010"/>
    <w:rsid w:val="00E52EEB"/>
    <w:rsid w:val="00E53886"/>
    <w:rsid w:val="00E53C5E"/>
    <w:rsid w:val="00E54BB4"/>
    <w:rsid w:val="00E54F97"/>
    <w:rsid w:val="00E553ED"/>
    <w:rsid w:val="00E5601A"/>
    <w:rsid w:val="00E56C64"/>
    <w:rsid w:val="00E5744F"/>
    <w:rsid w:val="00E604DD"/>
    <w:rsid w:val="00E60556"/>
    <w:rsid w:val="00E608EA"/>
    <w:rsid w:val="00E61567"/>
    <w:rsid w:val="00E619CF"/>
    <w:rsid w:val="00E61C0D"/>
    <w:rsid w:val="00E61D53"/>
    <w:rsid w:val="00E61E79"/>
    <w:rsid w:val="00E6281D"/>
    <w:rsid w:val="00E6299F"/>
    <w:rsid w:val="00E62E67"/>
    <w:rsid w:val="00E632F5"/>
    <w:rsid w:val="00E6345D"/>
    <w:rsid w:val="00E63558"/>
    <w:rsid w:val="00E64BEE"/>
    <w:rsid w:val="00E64C4D"/>
    <w:rsid w:val="00E65A4D"/>
    <w:rsid w:val="00E65AAB"/>
    <w:rsid w:val="00E66889"/>
    <w:rsid w:val="00E67450"/>
    <w:rsid w:val="00E677E3"/>
    <w:rsid w:val="00E7030B"/>
    <w:rsid w:val="00E70B0A"/>
    <w:rsid w:val="00E70E4E"/>
    <w:rsid w:val="00E71215"/>
    <w:rsid w:val="00E72B67"/>
    <w:rsid w:val="00E74878"/>
    <w:rsid w:val="00E7575F"/>
    <w:rsid w:val="00E76665"/>
    <w:rsid w:val="00E7681D"/>
    <w:rsid w:val="00E77169"/>
    <w:rsid w:val="00E779AB"/>
    <w:rsid w:val="00E77A37"/>
    <w:rsid w:val="00E8063E"/>
    <w:rsid w:val="00E8064F"/>
    <w:rsid w:val="00E8069B"/>
    <w:rsid w:val="00E80981"/>
    <w:rsid w:val="00E80A78"/>
    <w:rsid w:val="00E80CAC"/>
    <w:rsid w:val="00E81227"/>
    <w:rsid w:val="00E81314"/>
    <w:rsid w:val="00E81F21"/>
    <w:rsid w:val="00E826AB"/>
    <w:rsid w:val="00E8283D"/>
    <w:rsid w:val="00E82CE6"/>
    <w:rsid w:val="00E82D19"/>
    <w:rsid w:val="00E83742"/>
    <w:rsid w:val="00E83973"/>
    <w:rsid w:val="00E83E1E"/>
    <w:rsid w:val="00E83FB0"/>
    <w:rsid w:val="00E84DC7"/>
    <w:rsid w:val="00E84F84"/>
    <w:rsid w:val="00E85C33"/>
    <w:rsid w:val="00E85E2B"/>
    <w:rsid w:val="00E861A7"/>
    <w:rsid w:val="00E86E47"/>
    <w:rsid w:val="00E86EB5"/>
    <w:rsid w:val="00E908CF"/>
    <w:rsid w:val="00E90AE0"/>
    <w:rsid w:val="00E90BB8"/>
    <w:rsid w:val="00E90D3E"/>
    <w:rsid w:val="00E912F8"/>
    <w:rsid w:val="00E9159B"/>
    <w:rsid w:val="00E92112"/>
    <w:rsid w:val="00E92E40"/>
    <w:rsid w:val="00E9346D"/>
    <w:rsid w:val="00E94258"/>
    <w:rsid w:val="00E948F1"/>
    <w:rsid w:val="00E94E6A"/>
    <w:rsid w:val="00E95445"/>
    <w:rsid w:val="00E95BA0"/>
    <w:rsid w:val="00E95F32"/>
    <w:rsid w:val="00E95FDD"/>
    <w:rsid w:val="00E96099"/>
    <w:rsid w:val="00E96A46"/>
    <w:rsid w:val="00E96D54"/>
    <w:rsid w:val="00E9734E"/>
    <w:rsid w:val="00E97E0C"/>
    <w:rsid w:val="00EA0020"/>
    <w:rsid w:val="00EA08E3"/>
    <w:rsid w:val="00EA172D"/>
    <w:rsid w:val="00EA18D1"/>
    <w:rsid w:val="00EA222C"/>
    <w:rsid w:val="00EA4D31"/>
    <w:rsid w:val="00EA6D56"/>
    <w:rsid w:val="00EA72B4"/>
    <w:rsid w:val="00EA7D4E"/>
    <w:rsid w:val="00EB00D6"/>
    <w:rsid w:val="00EB0347"/>
    <w:rsid w:val="00EB0963"/>
    <w:rsid w:val="00EB146E"/>
    <w:rsid w:val="00EB1AC4"/>
    <w:rsid w:val="00EB2103"/>
    <w:rsid w:val="00EB2318"/>
    <w:rsid w:val="00EB2703"/>
    <w:rsid w:val="00EB2773"/>
    <w:rsid w:val="00EB35A3"/>
    <w:rsid w:val="00EB38C9"/>
    <w:rsid w:val="00EB423E"/>
    <w:rsid w:val="00EB4783"/>
    <w:rsid w:val="00EB47ED"/>
    <w:rsid w:val="00EB4D55"/>
    <w:rsid w:val="00EB4FBD"/>
    <w:rsid w:val="00EB54DA"/>
    <w:rsid w:val="00EB5E65"/>
    <w:rsid w:val="00EB61E8"/>
    <w:rsid w:val="00EB64C6"/>
    <w:rsid w:val="00EB6945"/>
    <w:rsid w:val="00EB69AF"/>
    <w:rsid w:val="00EB6A9D"/>
    <w:rsid w:val="00EB6AE8"/>
    <w:rsid w:val="00EB726B"/>
    <w:rsid w:val="00EB7342"/>
    <w:rsid w:val="00EB7C4D"/>
    <w:rsid w:val="00EB7D56"/>
    <w:rsid w:val="00EC1FF6"/>
    <w:rsid w:val="00EC3E6A"/>
    <w:rsid w:val="00EC45C0"/>
    <w:rsid w:val="00EC4FB8"/>
    <w:rsid w:val="00EC6D8A"/>
    <w:rsid w:val="00EC70F3"/>
    <w:rsid w:val="00EC710F"/>
    <w:rsid w:val="00EC7AB3"/>
    <w:rsid w:val="00EC7B9F"/>
    <w:rsid w:val="00ED025A"/>
    <w:rsid w:val="00ED0E85"/>
    <w:rsid w:val="00ED1BC5"/>
    <w:rsid w:val="00ED1F1C"/>
    <w:rsid w:val="00ED21BF"/>
    <w:rsid w:val="00ED2C8A"/>
    <w:rsid w:val="00ED33A6"/>
    <w:rsid w:val="00ED3B06"/>
    <w:rsid w:val="00ED3DFE"/>
    <w:rsid w:val="00ED3E28"/>
    <w:rsid w:val="00ED4636"/>
    <w:rsid w:val="00ED4926"/>
    <w:rsid w:val="00ED496B"/>
    <w:rsid w:val="00ED49EF"/>
    <w:rsid w:val="00ED4E44"/>
    <w:rsid w:val="00ED4E99"/>
    <w:rsid w:val="00ED562B"/>
    <w:rsid w:val="00ED5A98"/>
    <w:rsid w:val="00ED5CA3"/>
    <w:rsid w:val="00ED5FA2"/>
    <w:rsid w:val="00ED61C9"/>
    <w:rsid w:val="00ED695A"/>
    <w:rsid w:val="00ED6E18"/>
    <w:rsid w:val="00ED7289"/>
    <w:rsid w:val="00ED73BF"/>
    <w:rsid w:val="00ED7988"/>
    <w:rsid w:val="00ED7A26"/>
    <w:rsid w:val="00ED7BB8"/>
    <w:rsid w:val="00ED7F32"/>
    <w:rsid w:val="00EE01D9"/>
    <w:rsid w:val="00EE21A3"/>
    <w:rsid w:val="00EE23E0"/>
    <w:rsid w:val="00EE2759"/>
    <w:rsid w:val="00EE298B"/>
    <w:rsid w:val="00EE2F5C"/>
    <w:rsid w:val="00EE2F9A"/>
    <w:rsid w:val="00EE3124"/>
    <w:rsid w:val="00EE347F"/>
    <w:rsid w:val="00EE3D84"/>
    <w:rsid w:val="00EE5250"/>
    <w:rsid w:val="00EE6357"/>
    <w:rsid w:val="00EE6637"/>
    <w:rsid w:val="00EE7023"/>
    <w:rsid w:val="00EE7F3F"/>
    <w:rsid w:val="00EF03E0"/>
    <w:rsid w:val="00EF049F"/>
    <w:rsid w:val="00EF0814"/>
    <w:rsid w:val="00EF0C09"/>
    <w:rsid w:val="00EF2146"/>
    <w:rsid w:val="00EF2ED1"/>
    <w:rsid w:val="00EF3256"/>
    <w:rsid w:val="00EF347F"/>
    <w:rsid w:val="00EF3711"/>
    <w:rsid w:val="00EF44B0"/>
    <w:rsid w:val="00EF54E5"/>
    <w:rsid w:val="00EF5645"/>
    <w:rsid w:val="00EF5F1D"/>
    <w:rsid w:val="00EF7764"/>
    <w:rsid w:val="00F000B9"/>
    <w:rsid w:val="00F01112"/>
    <w:rsid w:val="00F0142B"/>
    <w:rsid w:val="00F01BC2"/>
    <w:rsid w:val="00F027C3"/>
    <w:rsid w:val="00F02BA6"/>
    <w:rsid w:val="00F02F18"/>
    <w:rsid w:val="00F03733"/>
    <w:rsid w:val="00F03EF8"/>
    <w:rsid w:val="00F04321"/>
    <w:rsid w:val="00F04A21"/>
    <w:rsid w:val="00F05411"/>
    <w:rsid w:val="00F055FE"/>
    <w:rsid w:val="00F05D45"/>
    <w:rsid w:val="00F05E5D"/>
    <w:rsid w:val="00F0723E"/>
    <w:rsid w:val="00F0757F"/>
    <w:rsid w:val="00F07DF9"/>
    <w:rsid w:val="00F11774"/>
    <w:rsid w:val="00F11F34"/>
    <w:rsid w:val="00F12195"/>
    <w:rsid w:val="00F12405"/>
    <w:rsid w:val="00F12BCD"/>
    <w:rsid w:val="00F12D6B"/>
    <w:rsid w:val="00F12FCD"/>
    <w:rsid w:val="00F1355C"/>
    <w:rsid w:val="00F14B1B"/>
    <w:rsid w:val="00F15EE6"/>
    <w:rsid w:val="00F1661A"/>
    <w:rsid w:val="00F168F7"/>
    <w:rsid w:val="00F17844"/>
    <w:rsid w:val="00F2049C"/>
    <w:rsid w:val="00F213FA"/>
    <w:rsid w:val="00F214A9"/>
    <w:rsid w:val="00F2189E"/>
    <w:rsid w:val="00F21DDB"/>
    <w:rsid w:val="00F21E36"/>
    <w:rsid w:val="00F21E3D"/>
    <w:rsid w:val="00F21E71"/>
    <w:rsid w:val="00F2225A"/>
    <w:rsid w:val="00F23221"/>
    <w:rsid w:val="00F2426E"/>
    <w:rsid w:val="00F243A9"/>
    <w:rsid w:val="00F24CB5"/>
    <w:rsid w:val="00F25226"/>
    <w:rsid w:val="00F262C5"/>
    <w:rsid w:val="00F27076"/>
    <w:rsid w:val="00F2707F"/>
    <w:rsid w:val="00F274A0"/>
    <w:rsid w:val="00F31325"/>
    <w:rsid w:val="00F31C1F"/>
    <w:rsid w:val="00F32298"/>
    <w:rsid w:val="00F3255B"/>
    <w:rsid w:val="00F32D00"/>
    <w:rsid w:val="00F33125"/>
    <w:rsid w:val="00F33404"/>
    <w:rsid w:val="00F33570"/>
    <w:rsid w:val="00F340C8"/>
    <w:rsid w:val="00F34155"/>
    <w:rsid w:val="00F34372"/>
    <w:rsid w:val="00F34A80"/>
    <w:rsid w:val="00F3549D"/>
    <w:rsid w:val="00F356AF"/>
    <w:rsid w:val="00F3699D"/>
    <w:rsid w:val="00F37193"/>
    <w:rsid w:val="00F3754C"/>
    <w:rsid w:val="00F3754D"/>
    <w:rsid w:val="00F4363C"/>
    <w:rsid w:val="00F439E9"/>
    <w:rsid w:val="00F44128"/>
    <w:rsid w:val="00F45162"/>
    <w:rsid w:val="00F45835"/>
    <w:rsid w:val="00F46802"/>
    <w:rsid w:val="00F47AF2"/>
    <w:rsid w:val="00F47EC8"/>
    <w:rsid w:val="00F50E7A"/>
    <w:rsid w:val="00F51590"/>
    <w:rsid w:val="00F51854"/>
    <w:rsid w:val="00F521E3"/>
    <w:rsid w:val="00F53F33"/>
    <w:rsid w:val="00F556A1"/>
    <w:rsid w:val="00F55802"/>
    <w:rsid w:val="00F560D4"/>
    <w:rsid w:val="00F56145"/>
    <w:rsid w:val="00F564DA"/>
    <w:rsid w:val="00F56827"/>
    <w:rsid w:val="00F56CBC"/>
    <w:rsid w:val="00F5738C"/>
    <w:rsid w:val="00F57BD0"/>
    <w:rsid w:val="00F6055A"/>
    <w:rsid w:val="00F60568"/>
    <w:rsid w:val="00F611E5"/>
    <w:rsid w:val="00F6198C"/>
    <w:rsid w:val="00F624F3"/>
    <w:rsid w:val="00F62C80"/>
    <w:rsid w:val="00F6367C"/>
    <w:rsid w:val="00F63EFC"/>
    <w:rsid w:val="00F63F1D"/>
    <w:rsid w:val="00F64582"/>
    <w:rsid w:val="00F6537D"/>
    <w:rsid w:val="00F65840"/>
    <w:rsid w:val="00F6587F"/>
    <w:rsid w:val="00F6660D"/>
    <w:rsid w:val="00F6669E"/>
    <w:rsid w:val="00F66D8E"/>
    <w:rsid w:val="00F6710B"/>
    <w:rsid w:val="00F67DAD"/>
    <w:rsid w:val="00F67E1F"/>
    <w:rsid w:val="00F71075"/>
    <w:rsid w:val="00F715FB"/>
    <w:rsid w:val="00F718B9"/>
    <w:rsid w:val="00F718E2"/>
    <w:rsid w:val="00F71FBA"/>
    <w:rsid w:val="00F722AD"/>
    <w:rsid w:val="00F72B66"/>
    <w:rsid w:val="00F73384"/>
    <w:rsid w:val="00F73529"/>
    <w:rsid w:val="00F7547F"/>
    <w:rsid w:val="00F75BEF"/>
    <w:rsid w:val="00F75D01"/>
    <w:rsid w:val="00F76A49"/>
    <w:rsid w:val="00F76AE1"/>
    <w:rsid w:val="00F76DDF"/>
    <w:rsid w:val="00F77479"/>
    <w:rsid w:val="00F80F94"/>
    <w:rsid w:val="00F81BD5"/>
    <w:rsid w:val="00F81D7D"/>
    <w:rsid w:val="00F81E04"/>
    <w:rsid w:val="00F82A22"/>
    <w:rsid w:val="00F82AE7"/>
    <w:rsid w:val="00F82D1A"/>
    <w:rsid w:val="00F838B1"/>
    <w:rsid w:val="00F83AF2"/>
    <w:rsid w:val="00F8482D"/>
    <w:rsid w:val="00F858B8"/>
    <w:rsid w:val="00F8597F"/>
    <w:rsid w:val="00F85BC0"/>
    <w:rsid w:val="00F85D81"/>
    <w:rsid w:val="00F863C7"/>
    <w:rsid w:val="00F874C4"/>
    <w:rsid w:val="00F87E62"/>
    <w:rsid w:val="00F90564"/>
    <w:rsid w:val="00F9192C"/>
    <w:rsid w:val="00F91A6B"/>
    <w:rsid w:val="00F91D60"/>
    <w:rsid w:val="00F9204C"/>
    <w:rsid w:val="00F9283B"/>
    <w:rsid w:val="00F92B8E"/>
    <w:rsid w:val="00F937A1"/>
    <w:rsid w:val="00F93AD3"/>
    <w:rsid w:val="00F93D80"/>
    <w:rsid w:val="00F93E06"/>
    <w:rsid w:val="00F9423C"/>
    <w:rsid w:val="00F95969"/>
    <w:rsid w:val="00FA0AD3"/>
    <w:rsid w:val="00FA0B96"/>
    <w:rsid w:val="00FA12CA"/>
    <w:rsid w:val="00FA18CF"/>
    <w:rsid w:val="00FA309F"/>
    <w:rsid w:val="00FA34EF"/>
    <w:rsid w:val="00FA36B0"/>
    <w:rsid w:val="00FA4338"/>
    <w:rsid w:val="00FA45A4"/>
    <w:rsid w:val="00FA4932"/>
    <w:rsid w:val="00FA496F"/>
    <w:rsid w:val="00FA4FB4"/>
    <w:rsid w:val="00FA52C2"/>
    <w:rsid w:val="00FA52CC"/>
    <w:rsid w:val="00FA55DA"/>
    <w:rsid w:val="00FA59AE"/>
    <w:rsid w:val="00FA5B84"/>
    <w:rsid w:val="00FA5DBD"/>
    <w:rsid w:val="00FA5E7C"/>
    <w:rsid w:val="00FA6460"/>
    <w:rsid w:val="00FA6636"/>
    <w:rsid w:val="00FA7172"/>
    <w:rsid w:val="00FA7BD8"/>
    <w:rsid w:val="00FB04D4"/>
    <w:rsid w:val="00FB0969"/>
    <w:rsid w:val="00FB0B4E"/>
    <w:rsid w:val="00FB0BEE"/>
    <w:rsid w:val="00FB0E6B"/>
    <w:rsid w:val="00FB2758"/>
    <w:rsid w:val="00FB2AD8"/>
    <w:rsid w:val="00FB2BE8"/>
    <w:rsid w:val="00FB32D0"/>
    <w:rsid w:val="00FB3404"/>
    <w:rsid w:val="00FB3767"/>
    <w:rsid w:val="00FB3CA7"/>
    <w:rsid w:val="00FB4079"/>
    <w:rsid w:val="00FB4174"/>
    <w:rsid w:val="00FB43FB"/>
    <w:rsid w:val="00FB444A"/>
    <w:rsid w:val="00FB48F6"/>
    <w:rsid w:val="00FB4990"/>
    <w:rsid w:val="00FB4DB9"/>
    <w:rsid w:val="00FB56B9"/>
    <w:rsid w:val="00FB5FD0"/>
    <w:rsid w:val="00FB65E6"/>
    <w:rsid w:val="00FB682A"/>
    <w:rsid w:val="00FB6C49"/>
    <w:rsid w:val="00FB6D1F"/>
    <w:rsid w:val="00FB6E29"/>
    <w:rsid w:val="00FB72E1"/>
    <w:rsid w:val="00FB7763"/>
    <w:rsid w:val="00FB779F"/>
    <w:rsid w:val="00FB785C"/>
    <w:rsid w:val="00FC0CF5"/>
    <w:rsid w:val="00FC1B77"/>
    <w:rsid w:val="00FC1FEB"/>
    <w:rsid w:val="00FC241E"/>
    <w:rsid w:val="00FC2717"/>
    <w:rsid w:val="00FC2A78"/>
    <w:rsid w:val="00FC4069"/>
    <w:rsid w:val="00FC452C"/>
    <w:rsid w:val="00FC453E"/>
    <w:rsid w:val="00FC462E"/>
    <w:rsid w:val="00FC4D75"/>
    <w:rsid w:val="00FC4FDA"/>
    <w:rsid w:val="00FC519D"/>
    <w:rsid w:val="00FC57D6"/>
    <w:rsid w:val="00FC583B"/>
    <w:rsid w:val="00FC598D"/>
    <w:rsid w:val="00FC6EA7"/>
    <w:rsid w:val="00FC721D"/>
    <w:rsid w:val="00FC7A21"/>
    <w:rsid w:val="00FC7DBE"/>
    <w:rsid w:val="00FD0637"/>
    <w:rsid w:val="00FD0977"/>
    <w:rsid w:val="00FD0EFE"/>
    <w:rsid w:val="00FD1284"/>
    <w:rsid w:val="00FD1A55"/>
    <w:rsid w:val="00FD2536"/>
    <w:rsid w:val="00FD2A13"/>
    <w:rsid w:val="00FD2C30"/>
    <w:rsid w:val="00FD2F72"/>
    <w:rsid w:val="00FD3214"/>
    <w:rsid w:val="00FD34AE"/>
    <w:rsid w:val="00FD4366"/>
    <w:rsid w:val="00FD53E9"/>
    <w:rsid w:val="00FD56E6"/>
    <w:rsid w:val="00FD5BFC"/>
    <w:rsid w:val="00FD5DC0"/>
    <w:rsid w:val="00FD61C5"/>
    <w:rsid w:val="00FD645D"/>
    <w:rsid w:val="00FD6CBF"/>
    <w:rsid w:val="00FD6F34"/>
    <w:rsid w:val="00FD72B1"/>
    <w:rsid w:val="00FD755B"/>
    <w:rsid w:val="00FD7620"/>
    <w:rsid w:val="00FD7D8E"/>
    <w:rsid w:val="00FE0294"/>
    <w:rsid w:val="00FE0639"/>
    <w:rsid w:val="00FE08AA"/>
    <w:rsid w:val="00FE09D4"/>
    <w:rsid w:val="00FE2FC9"/>
    <w:rsid w:val="00FE326F"/>
    <w:rsid w:val="00FE33A0"/>
    <w:rsid w:val="00FE37BE"/>
    <w:rsid w:val="00FE3A77"/>
    <w:rsid w:val="00FE3B48"/>
    <w:rsid w:val="00FE3C5A"/>
    <w:rsid w:val="00FE3E11"/>
    <w:rsid w:val="00FE4037"/>
    <w:rsid w:val="00FE48EB"/>
    <w:rsid w:val="00FE67F1"/>
    <w:rsid w:val="00FE6AF6"/>
    <w:rsid w:val="00FE6B10"/>
    <w:rsid w:val="00FE7AE5"/>
    <w:rsid w:val="00FF025C"/>
    <w:rsid w:val="00FF02C0"/>
    <w:rsid w:val="00FF03E9"/>
    <w:rsid w:val="00FF047D"/>
    <w:rsid w:val="00FF0C8C"/>
    <w:rsid w:val="00FF0CFE"/>
    <w:rsid w:val="00FF15A3"/>
    <w:rsid w:val="00FF2BA5"/>
    <w:rsid w:val="00FF2BF7"/>
    <w:rsid w:val="00FF32B9"/>
    <w:rsid w:val="00FF3D06"/>
    <w:rsid w:val="00FF3DC8"/>
    <w:rsid w:val="00FF42B4"/>
    <w:rsid w:val="00FF44BB"/>
    <w:rsid w:val="00FF4D0E"/>
    <w:rsid w:val="00FF6095"/>
    <w:rsid w:val="00FF68FB"/>
    <w:rsid w:val="00FF6A0F"/>
    <w:rsid w:val="00FF7514"/>
    <w:rsid w:val="00FF7626"/>
    <w:rsid w:val="00FF763E"/>
    <w:rsid w:val="00FF76DF"/>
    <w:rsid w:val="012D2791"/>
    <w:rsid w:val="01347A59"/>
    <w:rsid w:val="01746AEF"/>
    <w:rsid w:val="02204206"/>
    <w:rsid w:val="022C33BC"/>
    <w:rsid w:val="026223A4"/>
    <w:rsid w:val="02AD7AC3"/>
    <w:rsid w:val="033B6E7D"/>
    <w:rsid w:val="034F46D6"/>
    <w:rsid w:val="03646B67"/>
    <w:rsid w:val="03CB68DE"/>
    <w:rsid w:val="04F46C31"/>
    <w:rsid w:val="051D2DF0"/>
    <w:rsid w:val="06030233"/>
    <w:rsid w:val="069D12EF"/>
    <w:rsid w:val="06BD621D"/>
    <w:rsid w:val="06EA14A4"/>
    <w:rsid w:val="06EF2208"/>
    <w:rsid w:val="074020F9"/>
    <w:rsid w:val="08472F45"/>
    <w:rsid w:val="0A312D88"/>
    <w:rsid w:val="0A492DB3"/>
    <w:rsid w:val="0A6767AA"/>
    <w:rsid w:val="0AC1534A"/>
    <w:rsid w:val="0B971310"/>
    <w:rsid w:val="0BB93FD8"/>
    <w:rsid w:val="0C024CA0"/>
    <w:rsid w:val="0C0452F3"/>
    <w:rsid w:val="0D244E26"/>
    <w:rsid w:val="0D492C0C"/>
    <w:rsid w:val="0D6214AA"/>
    <w:rsid w:val="0DCB5F30"/>
    <w:rsid w:val="0DCD1019"/>
    <w:rsid w:val="0DD201DC"/>
    <w:rsid w:val="0E406095"/>
    <w:rsid w:val="0F89209D"/>
    <w:rsid w:val="129874E3"/>
    <w:rsid w:val="12A111D6"/>
    <w:rsid w:val="12CE139B"/>
    <w:rsid w:val="13EA061C"/>
    <w:rsid w:val="14771CDF"/>
    <w:rsid w:val="14AB1989"/>
    <w:rsid w:val="14D236A7"/>
    <w:rsid w:val="15B72D64"/>
    <w:rsid w:val="17474AA0"/>
    <w:rsid w:val="17DF19D2"/>
    <w:rsid w:val="17F11DA8"/>
    <w:rsid w:val="18581A4A"/>
    <w:rsid w:val="18F97167"/>
    <w:rsid w:val="19F14E85"/>
    <w:rsid w:val="1A6E76E0"/>
    <w:rsid w:val="1A976C37"/>
    <w:rsid w:val="1AC066EA"/>
    <w:rsid w:val="1B064AC0"/>
    <w:rsid w:val="1B3F107D"/>
    <w:rsid w:val="1BCC408A"/>
    <w:rsid w:val="1C2C199B"/>
    <w:rsid w:val="1D0E6C3B"/>
    <w:rsid w:val="1FA3607E"/>
    <w:rsid w:val="20717F2A"/>
    <w:rsid w:val="240F3CE2"/>
    <w:rsid w:val="24310CA1"/>
    <w:rsid w:val="24B2466D"/>
    <w:rsid w:val="24C60962"/>
    <w:rsid w:val="24DB0907"/>
    <w:rsid w:val="251D5F8B"/>
    <w:rsid w:val="254A22B8"/>
    <w:rsid w:val="26AB74FD"/>
    <w:rsid w:val="26E53B13"/>
    <w:rsid w:val="272E0923"/>
    <w:rsid w:val="274A3283"/>
    <w:rsid w:val="280A2427"/>
    <w:rsid w:val="28EF7C3E"/>
    <w:rsid w:val="29B02F80"/>
    <w:rsid w:val="2B583306"/>
    <w:rsid w:val="2B6F53D1"/>
    <w:rsid w:val="2C905B42"/>
    <w:rsid w:val="2E17491C"/>
    <w:rsid w:val="2EAE34B8"/>
    <w:rsid w:val="2F7F6703"/>
    <w:rsid w:val="2F8F3F29"/>
    <w:rsid w:val="30C145B6"/>
    <w:rsid w:val="31A17F44"/>
    <w:rsid w:val="341902E6"/>
    <w:rsid w:val="34605E94"/>
    <w:rsid w:val="358160C2"/>
    <w:rsid w:val="361127F4"/>
    <w:rsid w:val="36E4131C"/>
    <w:rsid w:val="37246E46"/>
    <w:rsid w:val="376F0758"/>
    <w:rsid w:val="37D20E57"/>
    <w:rsid w:val="387415AD"/>
    <w:rsid w:val="38B504FA"/>
    <w:rsid w:val="3A0D3FF9"/>
    <w:rsid w:val="3AB4755E"/>
    <w:rsid w:val="3AE72E6B"/>
    <w:rsid w:val="3B137CB8"/>
    <w:rsid w:val="3B881A60"/>
    <w:rsid w:val="3C63576E"/>
    <w:rsid w:val="3CC76DFB"/>
    <w:rsid w:val="3CE47A48"/>
    <w:rsid w:val="3D15373E"/>
    <w:rsid w:val="3D163050"/>
    <w:rsid w:val="3DDE5D20"/>
    <w:rsid w:val="3F2226C4"/>
    <w:rsid w:val="3F9203F7"/>
    <w:rsid w:val="40436D96"/>
    <w:rsid w:val="40C03509"/>
    <w:rsid w:val="413255F2"/>
    <w:rsid w:val="415B6233"/>
    <w:rsid w:val="423E4D7E"/>
    <w:rsid w:val="430E5F3A"/>
    <w:rsid w:val="431B011E"/>
    <w:rsid w:val="433B1FA6"/>
    <w:rsid w:val="43506302"/>
    <w:rsid w:val="43A30E21"/>
    <w:rsid w:val="44F41DCC"/>
    <w:rsid w:val="453C0257"/>
    <w:rsid w:val="454D49ED"/>
    <w:rsid w:val="4592323E"/>
    <w:rsid w:val="46682F99"/>
    <w:rsid w:val="46A22A74"/>
    <w:rsid w:val="473751E4"/>
    <w:rsid w:val="47E04ECA"/>
    <w:rsid w:val="48335942"/>
    <w:rsid w:val="48403BBB"/>
    <w:rsid w:val="48774066"/>
    <w:rsid w:val="48FD5F50"/>
    <w:rsid w:val="490E0FE9"/>
    <w:rsid w:val="4A8A736F"/>
    <w:rsid w:val="4A8C1339"/>
    <w:rsid w:val="4ACC7988"/>
    <w:rsid w:val="4B2B4BFE"/>
    <w:rsid w:val="4BE01748"/>
    <w:rsid w:val="4BEB208F"/>
    <w:rsid w:val="4C9E1B9D"/>
    <w:rsid w:val="4CC0351C"/>
    <w:rsid w:val="4CCD492B"/>
    <w:rsid w:val="4CDA52F2"/>
    <w:rsid w:val="4D137DCC"/>
    <w:rsid w:val="4D333CEE"/>
    <w:rsid w:val="4D453A21"/>
    <w:rsid w:val="4E7718A9"/>
    <w:rsid w:val="4ECB2D04"/>
    <w:rsid w:val="4ECF1A06"/>
    <w:rsid w:val="4F561F16"/>
    <w:rsid w:val="4FB235F0"/>
    <w:rsid w:val="501B2221"/>
    <w:rsid w:val="502E4997"/>
    <w:rsid w:val="50666188"/>
    <w:rsid w:val="50756584"/>
    <w:rsid w:val="524B6671"/>
    <w:rsid w:val="528C45CC"/>
    <w:rsid w:val="52F45E9C"/>
    <w:rsid w:val="55517407"/>
    <w:rsid w:val="55C01DB5"/>
    <w:rsid w:val="56A874FB"/>
    <w:rsid w:val="56E65920"/>
    <w:rsid w:val="57E272DC"/>
    <w:rsid w:val="588A0994"/>
    <w:rsid w:val="58EE427D"/>
    <w:rsid w:val="597D20BB"/>
    <w:rsid w:val="59864DBC"/>
    <w:rsid w:val="598A4D00"/>
    <w:rsid w:val="59AA17DC"/>
    <w:rsid w:val="59ED3476"/>
    <w:rsid w:val="5A166D9B"/>
    <w:rsid w:val="5A751DEA"/>
    <w:rsid w:val="5BA875EC"/>
    <w:rsid w:val="5C49708A"/>
    <w:rsid w:val="5CF87892"/>
    <w:rsid w:val="5EBF6905"/>
    <w:rsid w:val="608B1A5A"/>
    <w:rsid w:val="60EB5790"/>
    <w:rsid w:val="617C3A5E"/>
    <w:rsid w:val="63A24AB5"/>
    <w:rsid w:val="649317EA"/>
    <w:rsid w:val="64B27F54"/>
    <w:rsid w:val="64E009B0"/>
    <w:rsid w:val="65197815"/>
    <w:rsid w:val="652E4449"/>
    <w:rsid w:val="660B715E"/>
    <w:rsid w:val="679522B9"/>
    <w:rsid w:val="68695036"/>
    <w:rsid w:val="69A973BA"/>
    <w:rsid w:val="6B9A4BD7"/>
    <w:rsid w:val="6C164AAF"/>
    <w:rsid w:val="6D1E4E5A"/>
    <w:rsid w:val="6DE52429"/>
    <w:rsid w:val="6F3747E3"/>
    <w:rsid w:val="6F5D4B5F"/>
    <w:rsid w:val="70554752"/>
    <w:rsid w:val="71042F00"/>
    <w:rsid w:val="71B40FF2"/>
    <w:rsid w:val="71C034F3"/>
    <w:rsid w:val="72247F25"/>
    <w:rsid w:val="7568637B"/>
    <w:rsid w:val="77771A00"/>
    <w:rsid w:val="7A205476"/>
    <w:rsid w:val="7A780BF7"/>
    <w:rsid w:val="7AA54835"/>
    <w:rsid w:val="7B7A0BB6"/>
    <w:rsid w:val="7BD61D42"/>
    <w:rsid w:val="7C2E1981"/>
    <w:rsid w:val="7D630740"/>
    <w:rsid w:val="7DF965E5"/>
    <w:rsid w:val="7E447259"/>
    <w:rsid w:val="7EF83D22"/>
    <w:rsid w:val="7F0E0E60"/>
    <w:rsid w:val="7F9E2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qFormat="1" w:unhideWhenUsed="0" w:uiPriority="0" w:semiHidden="0" w:name="toc 5"/>
    <w:lsdException w:unhideWhenUsed="0" w:uiPriority="39" w:semiHidden="0" w:name="toc 6"/>
    <w:lsdException w:unhideWhenUsed="0" w:uiPriority="39" w:semiHidden="0" w:name="toc 7"/>
    <w:lsdException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44"/>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8">
    <w:name w:val="heading 2"/>
    <w:basedOn w:val="1"/>
    <w:next w:val="1"/>
    <w:link w:val="45"/>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9">
    <w:name w:val="heading 3"/>
    <w:basedOn w:val="1"/>
    <w:next w:val="1"/>
    <w:link w:val="46"/>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10">
    <w:name w:val="heading 4"/>
    <w:basedOn w:val="1"/>
    <w:next w:val="1"/>
    <w:link w:val="47"/>
    <w:qFormat/>
    <w:uiPriority w:val="99"/>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11">
    <w:name w:val="heading 5"/>
    <w:basedOn w:val="1"/>
    <w:next w:val="1"/>
    <w:link w:val="48"/>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rFonts w:ascii="Calibri" w:hAnsi="Calibri"/>
      <w:szCs w:val="22"/>
    </w:rPr>
  </w:style>
  <w:style w:type="paragraph" w:styleId="3">
    <w:name w:val="Body Text"/>
    <w:basedOn w:val="1"/>
    <w:next w:val="4"/>
    <w:link w:val="43"/>
    <w:qFormat/>
    <w:uiPriority w:val="0"/>
    <w:pPr>
      <w:spacing w:after="120"/>
    </w:pPr>
  </w:style>
  <w:style w:type="paragraph" w:customStyle="1" w:styleId="4">
    <w:name w:val="style4"/>
    <w:basedOn w:val="5"/>
    <w:next w:val="6"/>
    <w:qFormat/>
    <w:uiPriority w:val="0"/>
    <w:pPr>
      <w:spacing w:before="100" w:beforeAutospacing="1" w:after="100" w:afterAutospacing="1"/>
      <w:jc w:val="left"/>
    </w:pPr>
    <w:rPr>
      <w:rFonts w:ascii="宋体" w:hAnsi="宋体" w:cs="宋体"/>
      <w:kern w:val="0"/>
      <w:sz w:val="18"/>
      <w:szCs w:val="18"/>
    </w:rPr>
  </w:style>
  <w:style w:type="paragraph" w:customStyle="1" w:styleId="5">
    <w:name w:val="正文1"/>
    <w:next w:val="2"/>
    <w:qFormat/>
    <w:uiPriority w:val="0"/>
    <w:pPr>
      <w:jc w:val="both"/>
    </w:pPr>
    <w:rPr>
      <w:rFonts w:ascii="Times New Roman" w:hAnsi="Times New Roman" w:eastAsia="宋体" w:cs="Times New Roman"/>
      <w:kern w:val="2"/>
      <w:sz w:val="21"/>
      <w:szCs w:val="21"/>
      <w:lang w:val="en-US" w:eastAsia="zh-CN" w:bidi="ar-SA"/>
    </w:rPr>
  </w:style>
  <w:style w:type="paragraph" w:customStyle="1" w:styleId="6">
    <w:name w:val="2"/>
    <w:basedOn w:val="1"/>
    <w:next w:val="1"/>
    <w:qFormat/>
    <w:uiPriority w:val="0"/>
    <w:pPr>
      <w:spacing w:line="360" w:lineRule="auto"/>
    </w:pPr>
    <w:rPr>
      <w:rFonts w:eastAsia="仿宋_GB2312"/>
      <w:sz w:val="28"/>
      <w:szCs w:val="28"/>
    </w:rPr>
  </w:style>
  <w:style w:type="paragraph" w:styleId="12">
    <w:name w:val="Normal Indent"/>
    <w:basedOn w:val="1"/>
    <w:link w:val="49"/>
    <w:qFormat/>
    <w:uiPriority w:val="0"/>
    <w:pPr>
      <w:widowControl/>
      <w:ind w:firstLine="420" w:firstLineChars="200"/>
      <w:jc w:val="left"/>
    </w:pPr>
    <w:rPr>
      <w:kern w:val="0"/>
      <w:sz w:val="20"/>
      <w:szCs w:val="20"/>
    </w:rPr>
  </w:style>
  <w:style w:type="paragraph" w:styleId="13">
    <w:name w:val="Document Map"/>
    <w:basedOn w:val="1"/>
    <w:semiHidden/>
    <w:qFormat/>
    <w:uiPriority w:val="0"/>
    <w:pPr>
      <w:shd w:val="clear" w:color="auto" w:fill="000080"/>
    </w:pPr>
  </w:style>
  <w:style w:type="paragraph" w:styleId="14">
    <w:name w:val="annotation text"/>
    <w:basedOn w:val="1"/>
    <w:link w:val="50"/>
    <w:qFormat/>
    <w:uiPriority w:val="99"/>
    <w:pPr>
      <w:suppressAutoHyphens/>
      <w:autoSpaceDN w:val="0"/>
      <w:jc w:val="left"/>
      <w:textAlignment w:val="baseline"/>
    </w:pPr>
    <w:rPr>
      <w:kern w:val="3"/>
      <w:sz w:val="24"/>
      <w:szCs w:val="20"/>
    </w:rPr>
  </w:style>
  <w:style w:type="paragraph" w:styleId="15">
    <w:name w:val="Body Text 3"/>
    <w:basedOn w:val="1"/>
    <w:link w:val="51"/>
    <w:qFormat/>
    <w:uiPriority w:val="0"/>
    <w:pPr>
      <w:spacing w:after="120"/>
    </w:pPr>
    <w:rPr>
      <w:sz w:val="16"/>
      <w:szCs w:val="16"/>
    </w:rPr>
  </w:style>
  <w:style w:type="paragraph" w:styleId="16">
    <w:name w:val="Body Text Indent"/>
    <w:basedOn w:val="1"/>
    <w:qFormat/>
    <w:uiPriority w:val="0"/>
    <w:pPr>
      <w:spacing w:after="120"/>
      <w:ind w:left="420" w:leftChars="200"/>
    </w:pPr>
  </w:style>
  <w:style w:type="paragraph" w:styleId="17">
    <w:name w:val="toc 5"/>
    <w:basedOn w:val="1"/>
    <w:next w:val="1"/>
    <w:qFormat/>
    <w:uiPriority w:val="0"/>
    <w:pPr>
      <w:ind w:left="840"/>
      <w:jc w:val="left"/>
    </w:pPr>
    <w:rPr>
      <w:rFonts w:ascii="Calibri" w:hAnsi="Calibri"/>
      <w:sz w:val="18"/>
      <w:szCs w:val="18"/>
    </w:rPr>
  </w:style>
  <w:style w:type="paragraph" w:styleId="18">
    <w:name w:val="toc 3"/>
    <w:basedOn w:val="1"/>
    <w:next w:val="1"/>
    <w:qFormat/>
    <w:uiPriority w:val="39"/>
    <w:pPr>
      <w:ind w:left="840" w:leftChars="400"/>
    </w:pPr>
  </w:style>
  <w:style w:type="paragraph" w:styleId="19">
    <w:name w:val="Plain Text"/>
    <w:basedOn w:val="1"/>
    <w:link w:val="52"/>
    <w:qFormat/>
    <w:uiPriority w:val="0"/>
    <w:rPr>
      <w:rFonts w:ascii="宋体"/>
      <w:szCs w:val="20"/>
    </w:rPr>
  </w:style>
  <w:style w:type="paragraph" w:styleId="20">
    <w:name w:val="Date"/>
    <w:basedOn w:val="1"/>
    <w:next w:val="1"/>
    <w:link w:val="53"/>
    <w:qFormat/>
    <w:uiPriority w:val="0"/>
    <w:pPr>
      <w:ind w:left="100" w:leftChars="2500"/>
    </w:pPr>
  </w:style>
  <w:style w:type="paragraph" w:styleId="21">
    <w:name w:val="Body Text Indent 2"/>
    <w:basedOn w:val="1"/>
    <w:link w:val="54"/>
    <w:qFormat/>
    <w:uiPriority w:val="0"/>
    <w:pPr>
      <w:spacing w:after="120" w:line="480" w:lineRule="auto"/>
      <w:ind w:left="200" w:leftChars="200"/>
    </w:pPr>
  </w:style>
  <w:style w:type="paragraph" w:styleId="22">
    <w:name w:val="Balloon Text"/>
    <w:basedOn w:val="1"/>
    <w:link w:val="55"/>
    <w:semiHidden/>
    <w:qFormat/>
    <w:uiPriority w:val="99"/>
    <w:rPr>
      <w:sz w:val="18"/>
      <w:szCs w:val="18"/>
    </w:rPr>
  </w:style>
  <w:style w:type="paragraph" w:styleId="23">
    <w:name w:val="footer"/>
    <w:basedOn w:val="1"/>
    <w:link w:val="56"/>
    <w:qFormat/>
    <w:uiPriority w:val="99"/>
    <w:pPr>
      <w:tabs>
        <w:tab w:val="center" w:pos="4153"/>
        <w:tab w:val="right" w:pos="8306"/>
      </w:tabs>
      <w:snapToGrid w:val="0"/>
      <w:jc w:val="left"/>
    </w:pPr>
    <w:rPr>
      <w:rFonts w:ascii="宋体"/>
      <w:sz w:val="18"/>
      <w:szCs w:val="20"/>
    </w:rPr>
  </w:style>
  <w:style w:type="paragraph" w:styleId="24">
    <w:name w:val="header"/>
    <w:basedOn w:val="1"/>
    <w:link w:val="57"/>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6">
    <w:name w:val="List"/>
    <w:basedOn w:val="1"/>
    <w:qFormat/>
    <w:uiPriority w:val="99"/>
    <w:pPr>
      <w:ind w:firstLine="420" w:firstLineChars="200"/>
    </w:pPr>
    <w:rPr>
      <w:rFonts w:ascii="Calibri" w:hAnsi="Calibri"/>
      <w:szCs w:val="22"/>
    </w:rPr>
  </w:style>
  <w:style w:type="paragraph" w:styleId="27">
    <w:name w:val="Body Text Indent 3"/>
    <w:basedOn w:val="1"/>
    <w:link w:val="58"/>
    <w:qFormat/>
    <w:uiPriority w:val="0"/>
    <w:pPr>
      <w:spacing w:after="120"/>
      <w:ind w:left="420" w:leftChars="200"/>
    </w:pPr>
    <w:rPr>
      <w:sz w:val="16"/>
      <w:szCs w:val="16"/>
    </w:rPr>
  </w:style>
  <w:style w:type="paragraph" w:styleId="28">
    <w:name w:val="toc 2"/>
    <w:basedOn w:val="1"/>
    <w:next w:val="1"/>
    <w:qFormat/>
    <w:uiPriority w:val="39"/>
    <w:pPr>
      <w:tabs>
        <w:tab w:val="right" w:leader="dot" w:pos="9628"/>
      </w:tabs>
      <w:spacing w:line="260" w:lineRule="exact"/>
      <w:ind w:left="210"/>
      <w:jc w:val="left"/>
    </w:pPr>
    <w:rPr>
      <w:smallCaps/>
      <w:sz w:val="20"/>
      <w:szCs w:val="20"/>
    </w:rPr>
  </w:style>
  <w:style w:type="paragraph" w:styleId="29">
    <w:name w:val="toc 9"/>
    <w:basedOn w:val="1"/>
    <w:next w:val="1"/>
    <w:qFormat/>
    <w:uiPriority w:val="39"/>
    <w:pPr>
      <w:ind w:left="1680"/>
      <w:jc w:val="left"/>
    </w:pPr>
    <w:rPr>
      <w:sz w:val="18"/>
      <w:szCs w:val="18"/>
    </w:rPr>
  </w:style>
  <w:style w:type="paragraph" w:styleId="30">
    <w:name w:val="Body Text 2"/>
    <w:basedOn w:val="1"/>
    <w:link w:val="59"/>
    <w:qFormat/>
    <w:uiPriority w:val="0"/>
    <w:pPr>
      <w:spacing w:after="120" w:line="480" w:lineRule="auto"/>
    </w:pPr>
  </w:style>
  <w:style w:type="paragraph" w:styleId="3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2">
    <w:name w:val="Normal (Web)"/>
    <w:basedOn w:val="1"/>
    <w:link w:val="60"/>
    <w:qFormat/>
    <w:uiPriority w:val="99"/>
    <w:pPr>
      <w:widowControl/>
      <w:spacing w:before="100" w:beforeAutospacing="1" w:after="100" w:afterAutospacing="1"/>
      <w:jc w:val="left"/>
    </w:pPr>
    <w:rPr>
      <w:rFonts w:ascii="宋体" w:hAnsi="宋体"/>
      <w:kern w:val="0"/>
      <w:sz w:val="24"/>
    </w:rPr>
  </w:style>
  <w:style w:type="paragraph" w:styleId="33">
    <w:name w:val="Title"/>
    <w:basedOn w:val="1"/>
    <w:next w:val="1"/>
    <w:link w:val="61"/>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62"/>
    <w:qFormat/>
    <w:uiPriority w:val="99"/>
    <w:rPr>
      <w:rFonts w:ascii="Calibri" w:hAnsi="Calibri"/>
      <w:b/>
      <w:bCs/>
      <w:szCs w:val="24"/>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22"/>
    <w:rPr>
      <w:b/>
      <w:bCs/>
    </w:rPr>
  </w:style>
  <w:style w:type="character" w:styleId="39">
    <w:name w:val="page number"/>
    <w:qFormat/>
    <w:uiPriority w:val="0"/>
  </w:style>
  <w:style w:type="character" w:styleId="40">
    <w:name w:val="Hyperlink"/>
    <w:qFormat/>
    <w:uiPriority w:val="99"/>
    <w:rPr>
      <w:color w:val="0000FF"/>
      <w:u w:val="single"/>
    </w:rPr>
  </w:style>
  <w:style w:type="character" w:styleId="41">
    <w:name w:val="annotation reference"/>
    <w:qFormat/>
    <w:uiPriority w:val="99"/>
    <w:rPr>
      <w:sz w:val="21"/>
      <w:szCs w:val="21"/>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正文文本 Char"/>
    <w:link w:val="3"/>
    <w:qFormat/>
    <w:uiPriority w:val="0"/>
    <w:rPr>
      <w:kern w:val="2"/>
      <w:sz w:val="21"/>
      <w:szCs w:val="24"/>
    </w:rPr>
  </w:style>
  <w:style w:type="character" w:customStyle="1" w:styleId="44">
    <w:name w:val="标题 1 Char"/>
    <w:link w:val="7"/>
    <w:qFormat/>
    <w:uiPriority w:val="0"/>
    <w:rPr>
      <w:rFonts w:eastAsia="黑体"/>
      <w:b/>
      <w:kern w:val="44"/>
      <w:sz w:val="28"/>
    </w:rPr>
  </w:style>
  <w:style w:type="character" w:customStyle="1" w:styleId="45">
    <w:name w:val="标题 2 Char1"/>
    <w:link w:val="8"/>
    <w:qFormat/>
    <w:uiPriority w:val="0"/>
    <w:rPr>
      <w:rFonts w:eastAsia="黑体"/>
      <w:b/>
      <w:sz w:val="28"/>
    </w:rPr>
  </w:style>
  <w:style w:type="character" w:customStyle="1" w:styleId="46">
    <w:name w:val="标题 3 Char2"/>
    <w:link w:val="9"/>
    <w:qFormat/>
    <w:uiPriority w:val="0"/>
    <w:rPr>
      <w:rFonts w:eastAsia="黑体"/>
      <w:b/>
      <w:sz w:val="28"/>
    </w:rPr>
  </w:style>
  <w:style w:type="character" w:customStyle="1" w:styleId="47">
    <w:name w:val="标题 4 Char"/>
    <w:link w:val="10"/>
    <w:qFormat/>
    <w:locked/>
    <w:uiPriority w:val="99"/>
    <w:rPr>
      <w:rFonts w:ascii="Arial" w:hAnsi="Arial" w:eastAsia="黑体"/>
      <w:sz w:val="28"/>
    </w:rPr>
  </w:style>
  <w:style w:type="character" w:customStyle="1" w:styleId="48">
    <w:name w:val="标题 5 Char"/>
    <w:link w:val="11"/>
    <w:qFormat/>
    <w:uiPriority w:val="0"/>
    <w:rPr>
      <w:b/>
      <w:sz w:val="28"/>
      <w:szCs w:val="24"/>
    </w:rPr>
  </w:style>
  <w:style w:type="character" w:customStyle="1" w:styleId="49">
    <w:name w:val="正文缩进 Char"/>
    <w:link w:val="12"/>
    <w:qFormat/>
    <w:uiPriority w:val="0"/>
  </w:style>
  <w:style w:type="character" w:customStyle="1" w:styleId="50">
    <w:name w:val="批注文字 Char"/>
    <w:link w:val="14"/>
    <w:qFormat/>
    <w:locked/>
    <w:uiPriority w:val="99"/>
    <w:rPr>
      <w:kern w:val="3"/>
      <w:sz w:val="24"/>
    </w:rPr>
  </w:style>
  <w:style w:type="character" w:customStyle="1" w:styleId="51">
    <w:name w:val="正文文本 3 Char"/>
    <w:link w:val="15"/>
    <w:qFormat/>
    <w:uiPriority w:val="0"/>
    <w:rPr>
      <w:kern w:val="2"/>
      <w:sz w:val="16"/>
      <w:szCs w:val="16"/>
    </w:rPr>
  </w:style>
  <w:style w:type="character" w:customStyle="1" w:styleId="52">
    <w:name w:val="纯文本 Char3"/>
    <w:link w:val="19"/>
    <w:qFormat/>
    <w:uiPriority w:val="0"/>
    <w:rPr>
      <w:rFonts w:ascii="宋体" w:eastAsia="宋体"/>
      <w:kern w:val="2"/>
      <w:sz w:val="21"/>
      <w:lang w:val="en-US" w:eastAsia="zh-CN" w:bidi="ar-SA"/>
    </w:rPr>
  </w:style>
  <w:style w:type="character" w:customStyle="1" w:styleId="53">
    <w:name w:val="日期 Char"/>
    <w:link w:val="20"/>
    <w:qFormat/>
    <w:uiPriority w:val="0"/>
    <w:rPr>
      <w:kern w:val="2"/>
      <w:sz w:val="21"/>
      <w:szCs w:val="24"/>
    </w:rPr>
  </w:style>
  <w:style w:type="character" w:customStyle="1" w:styleId="54">
    <w:name w:val="正文文本缩进 2 Char"/>
    <w:link w:val="21"/>
    <w:qFormat/>
    <w:uiPriority w:val="0"/>
    <w:rPr>
      <w:kern w:val="2"/>
      <w:sz w:val="21"/>
      <w:szCs w:val="24"/>
    </w:rPr>
  </w:style>
  <w:style w:type="character" w:customStyle="1" w:styleId="55">
    <w:name w:val="批注框文本 Char"/>
    <w:link w:val="22"/>
    <w:semiHidden/>
    <w:qFormat/>
    <w:locked/>
    <w:uiPriority w:val="99"/>
    <w:rPr>
      <w:kern w:val="2"/>
      <w:sz w:val="18"/>
      <w:szCs w:val="18"/>
    </w:rPr>
  </w:style>
  <w:style w:type="character" w:customStyle="1" w:styleId="56">
    <w:name w:val="页脚 Char"/>
    <w:link w:val="23"/>
    <w:qFormat/>
    <w:uiPriority w:val="99"/>
    <w:rPr>
      <w:rFonts w:ascii="宋体"/>
      <w:kern w:val="2"/>
      <w:sz w:val="18"/>
    </w:rPr>
  </w:style>
  <w:style w:type="character" w:customStyle="1" w:styleId="57">
    <w:name w:val="页眉 Char"/>
    <w:link w:val="24"/>
    <w:qFormat/>
    <w:locked/>
    <w:uiPriority w:val="99"/>
    <w:rPr>
      <w:kern w:val="2"/>
      <w:sz w:val="18"/>
      <w:szCs w:val="18"/>
    </w:rPr>
  </w:style>
  <w:style w:type="character" w:customStyle="1" w:styleId="58">
    <w:name w:val="正文文本缩进 3 Char"/>
    <w:link w:val="27"/>
    <w:qFormat/>
    <w:uiPriority w:val="0"/>
    <w:rPr>
      <w:kern w:val="2"/>
      <w:sz w:val="16"/>
      <w:szCs w:val="16"/>
    </w:rPr>
  </w:style>
  <w:style w:type="character" w:customStyle="1" w:styleId="59">
    <w:name w:val="正文文本 2 Char"/>
    <w:link w:val="30"/>
    <w:qFormat/>
    <w:uiPriority w:val="0"/>
    <w:rPr>
      <w:kern w:val="2"/>
      <w:sz w:val="21"/>
      <w:szCs w:val="24"/>
    </w:rPr>
  </w:style>
  <w:style w:type="character" w:customStyle="1" w:styleId="60">
    <w:name w:val="普通(网站) Char"/>
    <w:link w:val="32"/>
    <w:qFormat/>
    <w:uiPriority w:val="99"/>
    <w:rPr>
      <w:rFonts w:ascii="宋体" w:hAnsi="宋体"/>
      <w:sz w:val="24"/>
      <w:szCs w:val="24"/>
    </w:rPr>
  </w:style>
  <w:style w:type="character" w:customStyle="1" w:styleId="61">
    <w:name w:val="标题 Char"/>
    <w:link w:val="33"/>
    <w:qFormat/>
    <w:uiPriority w:val="0"/>
    <w:rPr>
      <w:rFonts w:ascii="Cambria" w:hAnsi="Cambria" w:cs="Times New Roman"/>
      <w:b/>
      <w:bCs/>
      <w:kern w:val="2"/>
      <w:sz w:val="32"/>
      <w:szCs w:val="32"/>
    </w:rPr>
  </w:style>
  <w:style w:type="character" w:customStyle="1" w:styleId="62">
    <w:name w:val="批注主题 Char"/>
    <w:link w:val="34"/>
    <w:qFormat/>
    <w:uiPriority w:val="99"/>
    <w:rPr>
      <w:rFonts w:ascii="Calibri" w:hAnsi="Calibri"/>
      <w:b/>
      <w:bCs/>
      <w:kern w:val="3"/>
      <w:sz w:val="24"/>
      <w:szCs w:val="24"/>
    </w:rPr>
  </w:style>
  <w:style w:type="character" w:customStyle="1" w:styleId="63">
    <w:name w:val="标题 3 Char1"/>
    <w:qFormat/>
    <w:uiPriority w:val="0"/>
    <w:rPr>
      <w:rFonts w:eastAsia="宋体"/>
      <w:b/>
      <w:bCs/>
      <w:kern w:val="2"/>
      <w:sz w:val="32"/>
      <w:szCs w:val="32"/>
      <w:lang w:val="en-US" w:eastAsia="zh-CN" w:bidi="ar-SA"/>
    </w:rPr>
  </w:style>
  <w:style w:type="character" w:customStyle="1" w:styleId="64">
    <w:name w:val="列出段落 Char"/>
    <w:link w:val="65"/>
    <w:qFormat/>
    <w:uiPriority w:val="0"/>
    <w:rPr>
      <w:kern w:val="2"/>
      <w:sz w:val="21"/>
      <w:szCs w:val="24"/>
    </w:rPr>
  </w:style>
  <w:style w:type="paragraph" w:styleId="65">
    <w:name w:val="List Paragraph"/>
    <w:basedOn w:val="1"/>
    <w:link w:val="64"/>
    <w:qFormat/>
    <w:uiPriority w:val="0"/>
    <w:pPr>
      <w:ind w:firstLine="420" w:firstLineChars="200"/>
    </w:pPr>
  </w:style>
  <w:style w:type="character" w:customStyle="1" w:styleId="66">
    <w:name w:val="dy_biao_content1"/>
    <w:qFormat/>
    <w:uiPriority w:val="0"/>
    <w:rPr>
      <w:rFonts w:hint="eastAsia" w:ascii="宋体" w:hAnsi="宋体" w:eastAsia="宋体"/>
      <w:sz w:val="24"/>
      <w:szCs w:val="24"/>
    </w:rPr>
  </w:style>
  <w:style w:type="character" w:customStyle="1" w:styleId="67">
    <w:name w:val="纯文本 Char1"/>
    <w:qFormat/>
    <w:uiPriority w:val="0"/>
    <w:rPr>
      <w:rFonts w:ascii="宋体" w:eastAsia="宋体"/>
      <w:kern w:val="2"/>
      <w:sz w:val="21"/>
      <w:lang w:val="en-US" w:eastAsia="zh-CN" w:bidi="ar-SA"/>
    </w:rPr>
  </w:style>
  <w:style w:type="character" w:customStyle="1" w:styleId="68">
    <w:name w:val="标题 3 Char"/>
    <w:qFormat/>
    <w:uiPriority w:val="0"/>
    <w:rPr>
      <w:rFonts w:eastAsia="宋体"/>
      <w:b/>
      <w:bCs/>
      <w:kern w:val="2"/>
      <w:sz w:val="32"/>
      <w:szCs w:val="32"/>
      <w:lang w:val="en-US" w:eastAsia="zh-CN" w:bidi="ar-SA"/>
    </w:rPr>
  </w:style>
  <w:style w:type="character" w:customStyle="1" w:styleId="69">
    <w:name w:val="grame"/>
    <w:qFormat/>
    <w:uiPriority w:val="0"/>
  </w:style>
  <w:style w:type="character" w:customStyle="1" w:styleId="70">
    <w:name w:val="_Style 62"/>
    <w:qFormat/>
    <w:uiPriority w:val="0"/>
    <w:rPr>
      <w:rFonts w:eastAsia="仿宋_GB2312"/>
      <w:iCs/>
      <w:color w:val="auto"/>
      <w:sz w:val="24"/>
    </w:rPr>
  </w:style>
  <w:style w:type="character" w:customStyle="1" w:styleId="71">
    <w:name w:val="孙普文字 Char"/>
    <w:qFormat/>
    <w:uiPriority w:val="0"/>
    <w:rPr>
      <w:rFonts w:ascii="宋体" w:hAnsi="Times New Roman" w:eastAsia="宋体" w:cs="Times New Roman"/>
      <w:szCs w:val="20"/>
    </w:rPr>
  </w:style>
  <w:style w:type="character" w:customStyle="1" w:styleId="72">
    <w:name w:val="Date Char Char"/>
    <w:link w:val="73"/>
    <w:qFormat/>
    <w:uiPriority w:val="0"/>
    <w:rPr>
      <w:kern w:val="2"/>
      <w:sz w:val="21"/>
    </w:rPr>
  </w:style>
  <w:style w:type="paragraph" w:customStyle="1" w:styleId="73">
    <w:name w:val="日期1"/>
    <w:basedOn w:val="1"/>
    <w:next w:val="1"/>
    <w:link w:val="72"/>
    <w:qFormat/>
    <w:uiPriority w:val="0"/>
    <w:rPr>
      <w:szCs w:val="20"/>
    </w:rPr>
  </w:style>
  <w:style w:type="character" w:customStyle="1" w:styleId="74">
    <w:name w:val="页脚 字符"/>
    <w:qFormat/>
    <w:uiPriority w:val="99"/>
    <w:rPr>
      <w:kern w:val="2"/>
      <w:sz w:val="18"/>
      <w:szCs w:val="18"/>
    </w:rPr>
  </w:style>
  <w:style w:type="character" w:customStyle="1" w:styleId="75">
    <w:name w:val="承康医疗 Char"/>
    <w:link w:val="76"/>
    <w:qFormat/>
    <w:uiPriority w:val="0"/>
    <w:rPr>
      <w:rFonts w:ascii="微软雅黑" w:hAnsi="微软雅黑" w:eastAsia="微软雅黑"/>
      <w:sz w:val="21"/>
      <w:szCs w:val="21"/>
    </w:rPr>
  </w:style>
  <w:style w:type="paragraph" w:customStyle="1" w:styleId="76">
    <w:name w:val="承康医疗"/>
    <w:basedOn w:val="1"/>
    <w:link w:val="75"/>
    <w:qFormat/>
    <w:uiPriority w:val="0"/>
    <w:pPr>
      <w:widowControl/>
      <w:jc w:val="left"/>
    </w:pPr>
    <w:rPr>
      <w:rFonts w:ascii="微软雅黑" w:hAnsi="微软雅黑" w:eastAsia="微软雅黑"/>
      <w:kern w:val="0"/>
      <w:szCs w:val="21"/>
    </w:rPr>
  </w:style>
  <w:style w:type="character" w:customStyle="1" w:styleId="77">
    <w:name w:val="纯文本 字符1"/>
    <w:qFormat/>
    <w:uiPriority w:val="0"/>
    <w:rPr>
      <w:rFonts w:ascii="宋体" w:eastAsia="宋体"/>
      <w:kern w:val="2"/>
      <w:sz w:val="21"/>
      <w:lang w:val="en-US" w:eastAsia="zh-CN" w:bidi="ar-SA"/>
    </w:rPr>
  </w:style>
  <w:style w:type="character" w:customStyle="1" w:styleId="78">
    <w:name w:val="纯文本 Char2"/>
    <w:qFormat/>
    <w:uiPriority w:val="0"/>
    <w:rPr>
      <w:rFonts w:ascii="宋体" w:hAnsi="Times New Roman" w:eastAsia="宋体" w:cs="Times New Roman"/>
      <w:kern w:val="2"/>
      <w:sz w:val="21"/>
      <w:lang w:val="en-US" w:eastAsia="zh-CN" w:bidi="ar-SA"/>
    </w:rPr>
  </w:style>
  <w:style w:type="paragraph" w:customStyle="1" w:styleId="79">
    <w:name w:val="表格"/>
    <w:basedOn w:val="1"/>
    <w:qFormat/>
    <w:uiPriority w:val="0"/>
    <w:pPr>
      <w:tabs>
        <w:tab w:val="left" w:pos="1200"/>
      </w:tabs>
      <w:spacing w:line="500" w:lineRule="exact"/>
      <w:jc w:val="center"/>
    </w:pPr>
    <w:rPr>
      <w:rFonts w:ascii="宋体"/>
      <w:sz w:val="24"/>
      <w:szCs w:val="18"/>
    </w:rPr>
  </w:style>
  <w:style w:type="paragraph" w:customStyle="1" w:styleId="80">
    <w:name w:val="xl23"/>
    <w:next w:val="29"/>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81">
    <w:name w:val="正文五号"/>
    <w:basedOn w:val="1"/>
    <w:qFormat/>
    <w:uiPriority w:val="0"/>
    <w:rPr>
      <w:rFonts w:ascii="宋体" w:eastAsia="仿宋_GB2312"/>
      <w:szCs w:val="20"/>
    </w:rPr>
  </w:style>
  <w:style w:type="paragraph" w:customStyle="1" w:styleId="82">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83">
    <w:name w:val="Char Char Char"/>
    <w:basedOn w:val="1"/>
    <w:qFormat/>
    <w:uiPriority w:val="0"/>
    <w:pPr>
      <w:ind w:firstLine="200" w:firstLineChars="200"/>
    </w:pPr>
    <w:rPr>
      <w:sz w:val="24"/>
    </w:rPr>
  </w:style>
  <w:style w:type="paragraph" w:customStyle="1" w:styleId="84">
    <w:name w:val="列出段落1"/>
    <w:basedOn w:val="1"/>
    <w:qFormat/>
    <w:uiPriority w:val="0"/>
    <w:pPr>
      <w:ind w:firstLine="420" w:firstLineChars="200"/>
    </w:pPr>
    <w:rPr>
      <w:szCs w:val="21"/>
    </w:rPr>
  </w:style>
  <w:style w:type="paragraph" w:customStyle="1" w:styleId="85">
    <w:name w:val="Char2 Char Char Char Char Char Char"/>
    <w:basedOn w:val="13"/>
    <w:qFormat/>
    <w:uiPriority w:val="0"/>
    <w:rPr>
      <w:rFonts w:ascii="Tahoma" w:hAnsi="Tahoma"/>
      <w:sz w:val="24"/>
    </w:rPr>
  </w:style>
  <w:style w:type="paragraph" w:customStyle="1" w:styleId="86">
    <w:name w:val="Char"/>
    <w:basedOn w:val="1"/>
    <w:qFormat/>
    <w:uiPriority w:val="0"/>
  </w:style>
  <w:style w:type="paragraph" w:customStyle="1" w:styleId="87">
    <w:name w:val="Absatz2AL"/>
    <w:basedOn w:val="3"/>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88">
    <w:name w:val="Char Char1 Char Char"/>
    <w:basedOn w:val="1"/>
    <w:qFormat/>
    <w:uiPriority w:val="0"/>
    <w:pPr>
      <w:tabs>
        <w:tab w:val="left" w:pos="360"/>
      </w:tabs>
    </w:pPr>
    <w:rPr>
      <w:szCs w:val="20"/>
    </w:rPr>
  </w:style>
  <w:style w:type="paragraph" w:customStyle="1" w:styleId="89">
    <w:name w:val="样式2"/>
    <w:basedOn w:val="1"/>
    <w:qFormat/>
    <w:uiPriority w:val="0"/>
    <w:pPr>
      <w:spacing w:line="360" w:lineRule="auto"/>
    </w:pPr>
    <w:rPr>
      <w:rFonts w:ascii="Century Gothic" w:hAnsi="Century Gothic" w:eastAsia="黑体"/>
      <w:b/>
      <w:sz w:val="32"/>
      <w:szCs w:val="30"/>
    </w:rPr>
  </w:style>
  <w:style w:type="paragraph" w:customStyle="1" w:styleId="90">
    <w:name w:val="Char13"/>
    <w:basedOn w:val="1"/>
    <w:qFormat/>
    <w:uiPriority w:val="0"/>
  </w:style>
  <w:style w:type="paragraph" w:customStyle="1" w:styleId="91">
    <w:name w:val="缺省文本"/>
    <w:basedOn w:val="1"/>
    <w:qFormat/>
    <w:uiPriority w:val="0"/>
    <w:pPr>
      <w:autoSpaceDE w:val="0"/>
      <w:autoSpaceDN w:val="0"/>
      <w:adjustRightInd w:val="0"/>
      <w:jc w:val="left"/>
    </w:pPr>
    <w:rPr>
      <w:kern w:val="0"/>
      <w:sz w:val="24"/>
      <w:szCs w:val="20"/>
    </w:rPr>
  </w:style>
  <w:style w:type="paragraph" w:customStyle="1" w:styleId="92">
    <w:name w:val="抬头"/>
    <w:basedOn w:val="1"/>
    <w:qFormat/>
    <w:uiPriority w:val="0"/>
    <w:pPr>
      <w:spacing w:beforeLines="50" w:line="360" w:lineRule="auto"/>
    </w:pPr>
    <w:rPr>
      <w:rFonts w:ascii="宋体"/>
      <w:sz w:val="24"/>
    </w:rPr>
  </w:style>
  <w:style w:type="paragraph" w:customStyle="1" w:styleId="93">
    <w:name w:val="Char1"/>
    <w:basedOn w:val="1"/>
    <w:qFormat/>
    <w:uiPriority w:val="0"/>
    <w:pPr>
      <w:ind w:firstLine="200" w:firstLineChars="200"/>
    </w:pPr>
  </w:style>
  <w:style w:type="paragraph" w:customStyle="1" w:styleId="94">
    <w:name w:val="5"/>
    <w:basedOn w:val="1"/>
    <w:qFormat/>
    <w:uiPriority w:val="0"/>
    <w:pPr>
      <w:tabs>
        <w:tab w:val="right" w:pos="-2120"/>
      </w:tabs>
      <w:snapToGrid w:val="0"/>
    </w:pPr>
    <w:rPr>
      <w:rFonts w:ascii="Tahoma" w:hAnsi="Tahoma"/>
      <w:spacing w:val="6"/>
      <w:sz w:val="24"/>
      <w:szCs w:val="20"/>
    </w:rPr>
  </w:style>
  <w:style w:type="paragraph" w:customStyle="1" w:styleId="95">
    <w:name w:val="p0"/>
    <w:basedOn w:val="1"/>
    <w:qFormat/>
    <w:uiPriority w:val="0"/>
    <w:pPr>
      <w:widowControl/>
    </w:pPr>
    <w:rPr>
      <w:kern w:val="0"/>
      <w:szCs w:val="21"/>
    </w:rPr>
  </w:style>
  <w:style w:type="paragraph" w:customStyle="1" w:styleId="96">
    <w:name w:val="Char Char Char Char Char Char"/>
    <w:basedOn w:val="1"/>
    <w:qFormat/>
    <w:uiPriority w:val="0"/>
    <w:rPr>
      <w:rFonts w:ascii="Tahoma" w:hAnsi="Tahoma"/>
      <w:sz w:val="24"/>
      <w:szCs w:val="20"/>
    </w:rPr>
  </w:style>
  <w:style w:type="paragraph" w:styleId="9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98">
    <w:name w:val="无间隔1"/>
    <w:basedOn w:val="1"/>
    <w:qFormat/>
    <w:uiPriority w:val="0"/>
    <w:pPr>
      <w:widowControl/>
      <w:jc w:val="left"/>
    </w:pPr>
    <w:rPr>
      <w:kern w:val="0"/>
      <w:sz w:val="22"/>
      <w:szCs w:val="20"/>
      <w:lang w:eastAsia="en-US" w:bidi="en-US"/>
    </w:rPr>
  </w:style>
  <w:style w:type="paragraph" w:customStyle="1" w:styleId="99">
    <w:name w:val="中等深浅网格 2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00">
    <w:name w:val="List Paragraph1"/>
    <w:basedOn w:val="1"/>
    <w:qFormat/>
    <w:uiPriority w:val="0"/>
    <w:pPr>
      <w:ind w:firstLine="420" w:firstLineChars="200"/>
    </w:pPr>
    <w:rPr>
      <w:szCs w:val="21"/>
    </w:rPr>
  </w:style>
  <w:style w:type="character" w:customStyle="1" w:styleId="101">
    <w:name w:val="纯文本 字符"/>
    <w:qFormat/>
    <w:uiPriority w:val="0"/>
    <w:rPr>
      <w:rFonts w:ascii="宋体" w:hAnsi="Courier New"/>
      <w:kern w:val="2"/>
      <w:sz w:val="21"/>
      <w:szCs w:val="21"/>
    </w:rPr>
  </w:style>
  <w:style w:type="paragraph" w:customStyle="1" w:styleId="102">
    <w:name w:val="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103">
    <w:name w:val="正文缩进 字符"/>
    <w:qFormat/>
    <w:uiPriority w:val="0"/>
  </w:style>
  <w:style w:type="character" w:customStyle="1" w:styleId="104">
    <w:name w:val="标题 1 字符"/>
    <w:qFormat/>
    <w:locked/>
    <w:uiPriority w:val="99"/>
    <w:rPr>
      <w:rFonts w:cs="Times New Roman"/>
      <w:b/>
      <w:bCs/>
      <w:kern w:val="44"/>
      <w:sz w:val="44"/>
      <w:szCs w:val="44"/>
    </w:rPr>
  </w:style>
  <w:style w:type="character" w:customStyle="1" w:styleId="105">
    <w:name w:val="标题 2 字符"/>
    <w:qFormat/>
    <w:locked/>
    <w:uiPriority w:val="0"/>
    <w:rPr>
      <w:rFonts w:ascii="等线 Light" w:hAnsi="等线 Light" w:eastAsia="等线 Light" w:cs="Times New Roman"/>
      <w:b/>
      <w:bCs/>
      <w:sz w:val="32"/>
      <w:szCs w:val="32"/>
    </w:rPr>
  </w:style>
  <w:style w:type="character" w:customStyle="1" w:styleId="106">
    <w:name w:val="标题 3 字符"/>
    <w:qFormat/>
    <w:locked/>
    <w:uiPriority w:val="0"/>
    <w:rPr>
      <w:rFonts w:ascii="Calibri" w:hAnsi="Calibri" w:eastAsia="宋体" w:cs="Times New Roman"/>
      <w:b/>
      <w:sz w:val="32"/>
    </w:rPr>
  </w:style>
  <w:style w:type="character" w:customStyle="1" w:styleId="107">
    <w:name w:val="批注文字 字符1"/>
    <w:qFormat/>
    <w:uiPriority w:val="99"/>
    <w:rPr>
      <w:kern w:val="2"/>
      <w:sz w:val="21"/>
      <w:szCs w:val="24"/>
    </w:rPr>
  </w:style>
  <w:style w:type="character" w:customStyle="1" w:styleId="108">
    <w:name w:val="标题 字符"/>
    <w:qFormat/>
    <w:locked/>
    <w:uiPriority w:val="0"/>
    <w:rPr>
      <w:rFonts w:ascii="等线 Light" w:hAnsi="等线 Light" w:eastAsia="宋体" w:cs="Times New Roman"/>
      <w:b/>
      <w:bCs/>
      <w:sz w:val="32"/>
      <w:szCs w:val="32"/>
    </w:rPr>
  </w:style>
  <w:style w:type="paragraph" w:customStyle="1" w:styleId="109">
    <w:name w:val="列出段落3"/>
    <w:basedOn w:val="1"/>
    <w:qFormat/>
    <w:uiPriority w:val="99"/>
    <w:pPr>
      <w:ind w:firstLine="420" w:firstLineChars="200"/>
    </w:pPr>
    <w:rPr>
      <w:rFonts w:ascii="Calibri" w:hAnsi="Calibri"/>
      <w:szCs w:val="22"/>
    </w:rPr>
  </w:style>
  <w:style w:type="character" w:customStyle="1" w:styleId="110">
    <w:name w:val="正文文本 2 字符"/>
    <w:qFormat/>
    <w:uiPriority w:val="0"/>
    <w:rPr>
      <w:kern w:val="2"/>
      <w:sz w:val="21"/>
      <w:szCs w:val="24"/>
    </w:rPr>
  </w:style>
  <w:style w:type="character" w:customStyle="1" w:styleId="111">
    <w:name w:val="标题 2 字符1"/>
    <w:qFormat/>
    <w:uiPriority w:val="0"/>
    <w:rPr>
      <w:rFonts w:eastAsia="黑体"/>
      <w:b/>
      <w:sz w:val="28"/>
    </w:rPr>
  </w:style>
  <w:style w:type="character" w:customStyle="1" w:styleId="112">
    <w:name w:val="纯文本 字符4"/>
    <w:qFormat/>
    <w:uiPriority w:val="0"/>
    <w:rPr>
      <w:rFonts w:ascii="宋体" w:eastAsia="宋体"/>
      <w:kern w:val="2"/>
      <w:sz w:val="21"/>
      <w:lang w:val="en-US" w:eastAsia="zh-CN" w:bidi="ar-SA"/>
    </w:rPr>
  </w:style>
  <w:style w:type="character" w:customStyle="1" w:styleId="113">
    <w:name w:val="列出段落 字符"/>
    <w:qFormat/>
    <w:uiPriority w:val="0"/>
    <w:rPr>
      <w:rFonts w:ascii="等线" w:hAnsi="等线" w:eastAsia="等线" w:cs="Times New Roman"/>
      <w:kern w:val="2"/>
      <w:sz w:val="21"/>
      <w:szCs w:val="22"/>
    </w:rPr>
  </w:style>
  <w:style w:type="character" w:customStyle="1" w:styleId="114">
    <w:name w:val="列出段落 字符1"/>
    <w:qFormat/>
    <w:uiPriority w:val="0"/>
    <w:rPr>
      <w:kern w:val="2"/>
      <w:sz w:val="21"/>
      <w:szCs w:val="24"/>
    </w:rPr>
  </w:style>
  <w:style w:type="character" w:customStyle="1" w:styleId="115">
    <w:name w:val="正文文本 3 字符1"/>
    <w:qFormat/>
    <w:uiPriority w:val="0"/>
    <w:rPr>
      <w:kern w:val="2"/>
      <w:sz w:val="16"/>
      <w:szCs w:val="16"/>
    </w:rPr>
  </w:style>
  <w:style w:type="character" w:customStyle="1" w:styleId="116">
    <w:name w:val="纯文本 字符2"/>
    <w:qFormat/>
    <w:uiPriority w:val="0"/>
    <w:rPr>
      <w:rFonts w:ascii="宋体" w:eastAsia="宋体"/>
      <w:kern w:val="2"/>
      <w:sz w:val="21"/>
      <w:lang w:val="en-US" w:eastAsia="zh-CN" w:bidi="ar-SA"/>
    </w:rPr>
  </w:style>
  <w:style w:type="character" w:customStyle="1" w:styleId="117">
    <w:name w:val="正文文本 字符"/>
    <w:qFormat/>
    <w:uiPriority w:val="0"/>
    <w:rPr>
      <w:kern w:val="2"/>
      <w:sz w:val="21"/>
      <w:szCs w:val="24"/>
    </w:rPr>
  </w:style>
  <w:style w:type="character" w:customStyle="1" w:styleId="118">
    <w:name w:val="标题 2 Char"/>
    <w:qFormat/>
    <w:uiPriority w:val="0"/>
    <w:rPr>
      <w:rFonts w:eastAsia="黑体"/>
      <w:b/>
      <w:sz w:val="28"/>
    </w:rPr>
  </w:style>
  <w:style w:type="character" w:customStyle="1" w:styleId="119">
    <w:name w:val="纯文本 Char"/>
    <w:qFormat/>
    <w:uiPriority w:val="0"/>
    <w:rPr>
      <w:rFonts w:ascii="宋体" w:eastAsia="宋体"/>
      <w:kern w:val="2"/>
      <w:sz w:val="21"/>
      <w:lang w:val="en-US" w:eastAsia="zh-CN" w:bidi="ar-SA"/>
    </w:rPr>
  </w:style>
  <w:style w:type="paragraph" w:customStyle="1" w:styleId="120">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character" w:customStyle="1" w:styleId="121">
    <w:name w:val="未处理的提及"/>
    <w:unhideWhenUsed/>
    <w:qFormat/>
    <w:uiPriority w:val="99"/>
    <w:rPr>
      <w:color w:val="605E5C"/>
      <w:shd w:val="clear" w:color="auto" w:fill="E1DFDD"/>
    </w:rPr>
  </w:style>
  <w:style w:type="character" w:customStyle="1" w:styleId="122">
    <w:name w:val="text_utvkh"/>
    <w:qFormat/>
    <w:uiPriority w:val="0"/>
  </w:style>
  <w:style w:type="paragraph" w:customStyle="1" w:styleId="123">
    <w:name w:val="Normal_0"/>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Table Paragraph"/>
    <w:basedOn w:val="1"/>
    <w:qFormat/>
    <w:uiPriority w:val="1"/>
    <w:pPr>
      <w:autoSpaceDE w:val="0"/>
      <w:autoSpaceDN w:val="0"/>
      <w:spacing w:before="80"/>
      <w:jc w:val="center"/>
    </w:pPr>
    <w:rPr>
      <w:rFonts w:ascii="Calibri" w:hAnsi="Calibri" w:eastAsia="Calibri" w:cs="Calibri"/>
      <w:kern w:val="0"/>
      <w:sz w:val="22"/>
      <w:szCs w:val="22"/>
      <w:lang w:eastAsia="en-US"/>
    </w:rPr>
  </w:style>
  <w:style w:type="paragraph" w:customStyle="1" w:styleId="125">
    <w:name w:val="_Style 118"/>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纯文本1"/>
    <w:basedOn w:val="1"/>
    <w:qFormat/>
    <w:uiPriority w:val="0"/>
    <w:rPr>
      <w:rFonts w:ascii="宋体"/>
      <w:szCs w:val="20"/>
    </w:rPr>
  </w:style>
  <w:style w:type="character" w:customStyle="1" w:styleId="127">
    <w:name w:val="font41"/>
    <w:qFormat/>
    <w:uiPriority w:val="0"/>
    <w:rPr>
      <w:rFonts w:hint="eastAsia" w:ascii="宋体" w:hAnsi="宋体" w:eastAsia="宋体" w:cs="宋体"/>
      <w:color w:val="000000"/>
      <w:sz w:val="18"/>
      <w:szCs w:val="18"/>
      <w:u w:val="none"/>
    </w:rPr>
  </w:style>
  <w:style w:type="paragraph" w:customStyle="1" w:styleId="128">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
    <w:name w:val="正文首行缩进1"/>
    <w:basedOn w:val="3"/>
    <w:qFormat/>
    <w:uiPriority w:val="0"/>
    <w:pPr>
      <w:tabs>
        <w:tab w:val="left" w:pos="7655"/>
      </w:tabs>
      <w:ind w:firstLine="200" w:firstLineChars="200"/>
    </w:pPr>
  </w:style>
  <w:style w:type="paragraph" w:customStyle="1" w:styleId="130">
    <w:name w:val="opening2"/>
    <w:basedOn w:val="1"/>
    <w:qFormat/>
    <w:uiPriority w:val="0"/>
    <w:pPr>
      <w:spacing w:before="100" w:beforeAutospacing="1" w:after="100" w:afterAutospacing="1"/>
    </w:pPr>
    <w:rPr>
      <w:rFonts w:ascii="宋体" w:hAnsi="宋体" w:cs="宋体"/>
      <w:color w:val="000000"/>
      <w:sz w:val="23"/>
      <w:szCs w:val="23"/>
    </w:rPr>
  </w:style>
  <w:style w:type="character" w:customStyle="1" w:styleId="131">
    <w:name w:val="列表段落 字符"/>
    <w:link w:val="132"/>
    <w:qFormat/>
    <w:locked/>
    <w:uiPriority w:val="0"/>
    <w:rPr>
      <w:kern w:val="2"/>
      <w:sz w:val="21"/>
      <w:szCs w:val="24"/>
    </w:rPr>
  </w:style>
  <w:style w:type="paragraph" w:customStyle="1" w:styleId="132">
    <w:name w:val="_Style 268"/>
    <w:basedOn w:val="1"/>
    <w:next w:val="65"/>
    <w:link w:val="131"/>
    <w:qFormat/>
    <w:uiPriority w:val="0"/>
    <w:pPr>
      <w:ind w:firstLine="420" w:firstLineChars="200"/>
    </w:pPr>
  </w:style>
  <w:style w:type="character" w:customStyle="1" w:styleId="133">
    <w:name w:val="Font Style13"/>
    <w:basedOn w:val="37"/>
    <w:qFormat/>
    <w:uiPriority w:val="99"/>
    <w:rPr>
      <w:rFonts w:ascii="Arial" w:hAnsi="Arial" w:cs="Arial"/>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oleObject" Target="embeddings/oleObject1.bin"/><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19342</Words>
  <Characters>20739</Characters>
  <Lines>346</Lines>
  <Paragraphs>97</Paragraphs>
  <TotalTime>36</TotalTime>
  <ScaleCrop>false</ScaleCrop>
  <LinksUpToDate>false</LinksUpToDate>
  <CharactersWithSpaces>21427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2025-04-23T07:48:00Z</dcterms:created>
  <dc:creator>User</dc:creator>
  <cp:lastModifiedBy>NTKO</cp:lastModifiedBy>
  <cp:lastPrinted>2025-05-06T08:48:00Z</cp:lastPrinted>
  <dcterms:modified xsi:type="dcterms:W3CDTF">2026-03-04T10:12:15Z</dcterms:modified>
  <dc:title>云南省肿瘤医院</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B5D5854F67644A7BACD185A6658F16A4_13</vt:lpwstr>
  </property>
  <property fmtid="{D5CDD505-2E9C-101B-9397-08002B2CF9AE}" pid="4" name="KSOTemplateDocerSaveRecord">
    <vt:lpwstr>eyJoZGlkIjoiMDUwYmIzZmYwMTgxYjQ4YWU1NDRhOGYzYmNjNDRmYjYiLCJ1c2VySWQiOiIzMzgyMzE5MzcifQ==</vt:lpwstr>
  </property>
</Properties>
</file>