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440001-2026-30437</w:t>
      </w:r>
    </w:p>
    <w:p>
      <w:pPr>
        <w:pStyle w:val="null3"/>
        <w:jc w:val="center"/>
        <w:outlineLvl w:val="3"/>
      </w:pPr>
      <w:r>
        <w:rPr>
          <w:sz w:val="24"/>
          <w:b/>
        </w:rPr>
        <w:t>采购项目编号：</w:t>
      </w:r>
      <w:r>
        <w:rPr>
          <w:sz w:val="24"/>
          <w:b/>
        </w:rPr>
        <w:t>440001-2026-30437</w:t>
      </w:r>
    </w:p>
    <w:p>
      <w:pPr>
        <w:pStyle w:val="null3"/>
        <w:jc w:val="center"/>
        <w:outlineLvl w:val="3"/>
      </w:pPr>
      <w:r>
        <w:rPr>
          <w:sz w:val="24"/>
          <w:b/>
        </w:rPr>
        <w:t>项目名称：</w:t>
      </w:r>
      <w:r>
        <w:rPr>
          <w:sz w:val="24"/>
          <w:b/>
        </w:rPr>
        <w:t>广东医科大学荧光光谱仪更新采购项目</w:t>
      </w:r>
    </w:p>
    <w:p>
      <w:pPr>
        <w:pStyle w:val="null3"/>
        <w:jc w:val="center"/>
        <w:outlineLvl w:val="3"/>
      </w:pPr>
      <w:r>
        <w:rPr>
          <w:sz w:val="24"/>
          <w:b/>
        </w:rPr>
        <w:t>采购人：</w:t>
      </w:r>
      <w:r>
        <w:rPr>
          <w:sz w:val="24"/>
          <w:b/>
        </w:rPr>
        <w:t>广东医科大学</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广东中元招标代理有限公司</w:t>
      </w:r>
      <w:r>
        <w:rPr/>
        <w:t>受</w:t>
      </w:r>
      <w:r>
        <w:rPr/>
        <w:t>广东医科大学</w:t>
      </w:r>
      <w:r>
        <w:rPr/>
        <w:t>的委托，采用</w:t>
      </w:r>
      <w:r>
        <w:rPr/>
        <w:t>公开招标</w:t>
      </w:r>
      <w:r>
        <w:rPr/>
        <w:t>方式组织采购</w:t>
      </w:r>
      <w:r>
        <w:rPr/>
        <w:t>广东医科大学荧光光谱仪更新采购项目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广东医科大学荧光光谱仪更新采购项目</w:t>
      </w:r>
    </w:p>
    <w:p>
      <w:pPr>
        <w:pStyle w:val="null3"/>
        <w:ind w:firstLine="480"/>
      </w:pPr>
      <w:r>
        <w:rPr/>
        <w:t>采购计划编号：</w:t>
      </w:r>
      <w:r>
        <w:rPr/>
        <w:t>440001-2026-30437</w:t>
      </w:r>
    </w:p>
    <w:p>
      <w:pPr>
        <w:pStyle w:val="null3"/>
        <w:ind w:firstLine="480"/>
      </w:pPr>
      <w:r>
        <w:rPr/>
        <w:t>采购项目编号：</w:t>
      </w:r>
      <w:r>
        <w:rPr/>
        <w:t>440001-2026-30437</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采购包1(广东医科大学荧光光谱仪更新采购项目):</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其他分析仪器</w:t>
            </w:r>
          </w:p>
        </w:tc>
        <w:tc>
          <w:tcPr>
            <w:tcW w:type="dxa" w:w="2136"/>
          </w:tcPr>
          <w:p>
            <w:pPr>
              <w:pStyle w:val="null3"/>
            </w:pPr>
            <w:r>
              <w:rPr/>
              <w:t>荧光光谱仪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其他分析仪器</w:t>
            </w:r>
          </w:p>
        </w:tc>
        <w:tc>
          <w:tcPr>
            <w:tcW w:type="dxa" w:w="2076"/>
          </w:tcPr>
          <w:p>
            <w:pPr>
              <w:pStyle w:val="null3"/>
              <w:jc w:val="left"/>
            </w:pPr>
            <w:r>
              <w:rPr/>
              <w:t>荧光光谱仪</w:t>
            </w:r>
          </w:p>
        </w:tc>
        <w:tc>
          <w:tcPr>
            <w:tcW w:type="dxa" w:w="2076"/>
          </w:tcPr>
          <w:p>
            <w:pPr>
              <w:pStyle w:val="null3"/>
              <w:jc w:val="left"/>
            </w:pPr>
            <w:r>
              <w:rPr/>
              <w:t>荧光光谱仪</w:t>
            </w:r>
          </w:p>
        </w:tc>
      </w:tr>
    </w:tbl>
    <w:p>
      <w:pPr>
        <w:pStyle w:val="null3"/>
      </w:pPr>
      <w:r>
        <w:rPr/>
        <w:t>本采购包不接受联合体投标</w:t>
      </w:r>
    </w:p>
    <w:p>
      <w:pPr>
        <w:pStyle w:val="null3"/>
      </w:pPr>
      <w:r>
        <w:rPr/>
        <w:t>合同分包：不允许合同分包</w:t>
      </w:r>
    </w:p>
    <w:p>
      <w:pPr>
        <w:pStyle w:val="null3"/>
      </w:pPr>
      <w:r>
        <w:rPr/>
        <w:t>合同履行期限：详见第二章采购需求。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2）有依法缴纳税收和社会保障资金的良好记录：投标文件中提供《资格条件承诺函》（格式详见第二章 采购需求）。</w:t>
      </w:r>
    </w:p>
    <w:p>
      <w:pPr>
        <w:pStyle w:val="null3"/>
      </w:pPr>
      <w:r>
        <w:rPr/>
        <w:t>3）具有良好的商业信誉和健全的财务会计制度：投标文件中提供《资格条件承诺函》（格式详见第二章 采购需求）。</w:t>
      </w:r>
    </w:p>
    <w:p>
      <w:pPr>
        <w:pStyle w:val="null3"/>
      </w:pPr>
      <w:r>
        <w:rPr/>
        <w:t>4）履行合同所必需的设备和专业技术能力：投标文件中提供《资格条件承诺函》（格式详见第二章 采购需求）。</w:t>
      </w:r>
    </w:p>
    <w:p>
      <w:pPr>
        <w:pStyle w:val="null3"/>
      </w:pPr>
      <w:r>
        <w:rPr/>
        <w:t>5）参加采购活动前3年内，在经营活动中没有重大违法记录：投标文件中提供《资格条件承诺函》（格式详见第二章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采购包1（广东医科大学荧光光谱仪更新采购项目）：</w:t>
      </w:r>
      <w:r>
        <w:rPr/>
        <w:t>①本项目不属于专门面向中小企业采购的项目，本项目中小企业划分标准所属行业为：工业。②《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关于运用政府采购政策支持脱贫攻坚的通知》（财库〔2019〕27号）、《关于印发&lt;商品包装政府采购需求标准（试行）&gt;、&lt;快递包装政府采购需求标准（试行）&gt;的通知》（财办库〔2020〕123号）。</w:t>
      </w:r>
    </w:p>
    <w:p>
      <w:pPr>
        <w:pStyle w:val="null3"/>
        <w:outlineLvl w:val="3"/>
      </w:pPr>
      <w:r>
        <w:rPr>
          <w:sz w:val="24"/>
          <w:b/>
        </w:rPr>
        <w:t>3.本项目特定的资格要求：</w:t>
      </w:r>
    </w:p>
    <w:p>
      <w:pPr>
        <w:pStyle w:val="null3"/>
      </w:pPr>
      <w:r>
        <w:rPr/>
        <w:t>采购包1（广东医科大学荧光光谱仪更新采购项目）：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广东中元招标网（www.zhongyuanzb.com）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w:t>
      </w:r>
    </w:p>
    <w:p>
      <w:pPr>
        <w:pStyle w:val="null3"/>
        <w:ind w:firstLine="480"/>
      </w:pPr>
      <w:r>
        <w:rPr/>
        <w:t xml:space="preserve"> 地址：</w:t>
      </w:r>
      <w:r>
        <w:rPr/>
        <w:t>广东省东莞市松山湖科技产业园区新城大道1号</w:t>
      </w:r>
    </w:p>
    <w:p>
      <w:pPr>
        <w:pStyle w:val="null3"/>
        <w:ind w:firstLine="480"/>
      </w:pPr>
      <w:r>
        <w:rPr/>
        <w:t xml:space="preserve"> 联系方式：</w:t>
      </w:r>
      <w:r>
        <w:rPr/>
        <w:t>0769-22896133</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杨自立</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一、广东医科大学荧光光谱仪更新采购项目共</w:t>
      </w:r>
      <w:r>
        <w:rPr>
          <w:sz w:val="21"/>
          <w:b/>
        </w:rPr>
        <w:t>1</w:t>
      </w:r>
      <w:r>
        <w:rPr>
          <w:sz w:val="21"/>
          <w:b/>
        </w:rPr>
        <w:t>个包，具体详见对应采购包的商务、技术要求。</w:t>
      </w:r>
    </w:p>
    <w:p>
      <w:pPr>
        <w:pStyle w:val="null3"/>
        <w:ind w:firstLine="480"/>
        <w:jc w:val="both"/>
      </w:pPr>
      <w:r>
        <w:rPr>
          <w:sz w:val="21"/>
          <w:b/>
        </w:rPr>
        <w:t>二、以下《资格条件承诺函》，投标人须在“格式</w:t>
      </w:r>
      <w:r>
        <w:rPr>
          <w:sz w:val="21"/>
          <w:b/>
        </w:rPr>
        <w:t>二十</w:t>
      </w:r>
      <w:r>
        <w:rPr>
          <w:sz w:val="21"/>
          <w:b/>
        </w:rPr>
        <w:t>各类证明材料”中提供。</w:t>
      </w:r>
    </w:p>
    <w:p>
      <w:pPr>
        <w:pStyle w:val="null3"/>
        <w:ind w:firstLine="480"/>
        <w:jc w:val="center"/>
      </w:pPr>
      <w:r>
        <w:rPr>
          <w:sz w:val="21"/>
          <w:b/>
        </w:rPr>
        <w:t>资格条件承诺函</w:t>
      </w:r>
    </w:p>
    <w:p>
      <w:pPr>
        <w:pStyle w:val="null3"/>
        <w:ind w:firstLine="480"/>
        <w:jc w:val="center"/>
      </w:pPr>
      <w:r>
        <w:rPr>
          <w:sz w:val="21"/>
        </w:rPr>
        <w:t>（样张）</w:t>
      </w:r>
    </w:p>
    <w:p>
      <w:pPr>
        <w:pStyle w:val="null3"/>
        <w:ind w:firstLine="640"/>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640"/>
        <w:jc w:val="both"/>
      </w:pPr>
      <w:r>
        <w:rPr>
          <w:sz w:val="21"/>
        </w:rPr>
        <w:t>1.</w:t>
      </w:r>
      <w:r>
        <w:rPr>
          <w:sz w:val="21"/>
        </w:rPr>
        <w:t>具有良好的商业信誉和健全的财务会计制度；</w:t>
      </w:r>
    </w:p>
    <w:p>
      <w:pPr>
        <w:pStyle w:val="null3"/>
        <w:ind w:firstLine="640"/>
        <w:jc w:val="both"/>
      </w:pPr>
      <w:r>
        <w:rPr>
          <w:sz w:val="21"/>
        </w:rPr>
        <w:t>2.</w:t>
      </w:r>
      <w:r>
        <w:rPr>
          <w:sz w:val="21"/>
        </w:rPr>
        <w:t>具有履行合同所必需的设备和专业技术能力；</w:t>
      </w:r>
    </w:p>
    <w:p>
      <w:pPr>
        <w:pStyle w:val="null3"/>
        <w:ind w:firstLine="640"/>
        <w:jc w:val="both"/>
      </w:pPr>
      <w:r>
        <w:rPr>
          <w:sz w:val="21"/>
        </w:rPr>
        <w:t>3.</w:t>
      </w:r>
      <w:r>
        <w:rPr>
          <w:sz w:val="21"/>
        </w:rPr>
        <w:t>具有依法缴纳税收和社会保障资金的良好记录；</w:t>
      </w:r>
    </w:p>
    <w:p>
      <w:pPr>
        <w:pStyle w:val="null3"/>
        <w:ind w:firstLine="640"/>
        <w:jc w:val="both"/>
      </w:pPr>
      <w:r>
        <w:rPr>
          <w:sz w:val="21"/>
        </w:rPr>
        <w:t>4.</w:t>
      </w:r>
      <w:r>
        <w:rPr>
          <w:sz w:val="21"/>
        </w:rPr>
        <w:t>参加政府采购活动前三年内，在经营活动中没有重大违法记录。</w:t>
      </w:r>
    </w:p>
    <w:p>
      <w:pPr>
        <w:pStyle w:val="null3"/>
        <w:ind w:firstLine="64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640"/>
        <w:jc w:val="both"/>
      </w:pPr>
      <w:r>
        <w:rPr>
          <w:sz w:val="21"/>
        </w:rPr>
        <w:t>特此承诺。</w:t>
      </w:r>
    </w:p>
    <w:p>
      <w:pPr>
        <w:pStyle w:val="null3"/>
        <w:ind w:firstLine="640"/>
        <w:jc w:val="both"/>
      </w:pPr>
      <w:r>
        <w:rPr>
          <w:sz w:val="21"/>
        </w:rPr>
        <w:t>供应商名称（公章）</w:t>
      </w:r>
    </w:p>
    <w:p>
      <w:pPr>
        <w:pStyle w:val="null3"/>
        <w:ind w:firstLine="640"/>
        <w:jc w:val="right"/>
      </w:pPr>
      <w:r>
        <w:rPr>
          <w:sz w:val="21"/>
        </w:rPr>
        <w:t>日期：</w:t>
      </w:r>
    </w:p>
    <w:p>
      <w:pPr>
        <w:pStyle w:val="null3"/>
      </w:pPr>
      <w:r>
        <w:rPr/>
        <w:t>采购包1（广东医科大学荧光光谱仪更新采购项目）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自合同签订之日起，120日内完成供货、安装和调试。</w:t>
            </w:r>
          </w:p>
        </w:tc>
      </w:tr>
      <w:tr>
        <w:tc>
          <w:tcPr>
            <w:tcW w:type="dxa" w:w="4153"/>
          </w:tcPr>
          <w:p>
            <w:pPr>
              <w:pStyle w:val="null3"/>
            </w:pPr>
            <w:r>
              <w:rPr/>
              <w:t>标的提供的地点</w:t>
            </w:r>
          </w:p>
        </w:tc>
        <w:tc>
          <w:tcPr>
            <w:tcW w:type="dxa" w:w="4153"/>
          </w:tcPr>
          <w:p>
            <w:pPr>
              <w:pStyle w:val="null3"/>
            </w:pPr>
            <w:r>
              <w:rPr/>
              <w:t>广东医科大学东莞校区。</w:t>
            </w:r>
          </w:p>
        </w:tc>
      </w:tr>
      <w:tr>
        <w:tc>
          <w:tcPr>
            <w:tcW w:type="dxa" w:w="4153"/>
          </w:tcPr>
          <w:p>
            <w:pPr>
              <w:pStyle w:val="null3"/>
            </w:pPr>
            <w:r>
              <w:rPr/>
              <w:t>付款方式</w:t>
            </w:r>
          </w:p>
        </w:tc>
        <w:tc>
          <w:tcPr>
            <w:tcW w:type="dxa" w:w="4153"/>
          </w:tcPr>
          <w:p>
            <w:pPr>
              <w:pStyle w:val="null3"/>
            </w:pPr>
            <w:r>
              <w:rPr/>
              <w:t>1期：支付比例100%,进口产品：经外贸公司通过银行开出100%L/C（信用证）后，凭有效装运单证及L/C（信用证）规定的单证支付合同总额的50%；剩余50％的款项中标人需凭采购人发出的仪器设备合格验收报告方可支付。国产产品：1.本项目验收合格，中标人经采购人计算出总金额后开具增值税专用发票，采购人收到发票之日起10个工作日内，向中标人支付合同结算总金额的全额。2.若中标人为符合本项目规定的中小企业，按如下付款：（1）合同签订后，中标人提供标的订货订单（订货合同）或定金支付凭证后，采购人于10个工作日内支付合同金额的30%（中标人须提供等额增值税专用发票）；（2）本项目验收合格，中标人经采购人计算结算总金额并开具正式增值税专用发票，采购人收到发票之日起10个工作日内支付合同总金额的余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运抵采购人指定地点后，双方对货物进行初验。（1）检查货物外观，包括但不限于：外包装有无损伤、货物是否有损坏及腐蚀、掉漆现象。若外观有损坏及腐蚀、掉漆等，影响用户使用，中标人应负责更换。（2）检查货物标识，设备类应有铭牌、标注货物名称、规格、型号、生产商、出厂日期等。 2.货物初验后，需按采购人要求，安装在指定位置，并配置至设备能正常运行后，由中标人向采购人提出正式验收申请,采购人验收组织部门收到申请之日起在7个日历日内组织履约验收。（1）正式验收以签订合同中各类目的数量与参数作为验收条件。设备应能正常运转，设备配件与配套软件应符合合同要求。（2）若提供的货物数量、参数不符，或设备不能运转的，采购人不给予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账号：2010027319200016139</w:t>
            </w:r>
          </w:p>
          <w:p>
            <w:pPr>
              <w:pStyle w:val="null3"/>
            </w:pPr>
            <w:r>
              <w:rPr/>
              <w:t>户名：广东医科大学</w:t>
            </w:r>
          </w:p>
          <w:p>
            <w:pPr>
              <w:pStyle w:val="null3"/>
            </w:pPr>
            <w:r>
              <w:rPr/>
              <w:t>开户行：工商银行东莞市大岭山支行</w:t>
            </w:r>
          </w:p>
          <w:p>
            <w:pPr>
              <w:pStyle w:val="null3"/>
            </w:pPr>
            <w:r>
              <w:rPr/>
              <w:t>说明：1.合同签订前，中标人向采购人缴纳合同总金额的5%作为履约保证金给采购人。2.履约保证金在项目验收合格之日起，如无违约等问题，则于30日内不计利息退还中标人。中标人如未及时缴纳履约保证金的，采购人有权取消中标人中标资格。</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一、售后服务要求</w:t>
            </w:r>
          </w:p>
        </w:tc>
        <w:tc>
          <w:tcPr>
            <w:tcW w:type="dxa" w:w="2076"/>
          </w:tcPr>
          <w:p>
            <w:pPr>
              <w:pStyle w:val="null3"/>
              <w:jc w:val="left"/>
            </w:pPr>
            <w:r>
              <w:rPr/>
              <w:t>1.★质保期：项目验收合格之日起算，质保期至少三年。（包含所有软件的升级维护，若国家或生产厂家对本项目所涉及货物的质保期的规定高于本项目的要求，应按国家或生产厂家的规定执行，所产生的费用已包含在投标人报价中） 2.日常维护要求：①质保期内中标人必须配置专业的维护团队，团队须提供至少1人作为维护对接人，该人员必须是参加本项目的主要人员，对接人须协助采购人处理本项目的建设和维护工作。②质保期内提供的维护服务内容和方式包括：软件升级、提供技术指导、功能优化与支持服务等内容，服务方式应包括但不限于网络支持与现场服务等。③质保期内中标人至少每半年对本项目设备进行全面的巡检（巡检内容包括设备整体检测、设备保养评估、故障隐患排查等），对巡检过程中发现的故障及隐患进行及时处理，并生成巡检报告提交采购人。 3.应急维护要求：中标人须提供应急维护方案，且质保期内提供24小时电话服务热线，保证在接到故障电话后即时响应，2小时内到达故障现场，并在48小时内修复设备，如48小时内无法修复的，中标人须配套提供不低于原设备性能的替代货物给采购人使用，直到故障货物修复为止。质保服务方式均为中标人上门服务。</w:t>
            </w:r>
          </w:p>
        </w:tc>
      </w:tr>
      <w:tr>
        <w:tc>
          <w:tcPr>
            <w:tcW w:type="dxa" w:w="2076"/>
          </w:tcPr>
          <w:p/>
        </w:tc>
        <w:tc>
          <w:tcPr>
            <w:tcW w:type="dxa" w:w="2076"/>
          </w:tcPr>
          <w:p>
            <w:pPr>
              <w:pStyle w:val="null3"/>
              <w:jc w:val="center"/>
            </w:pPr>
            <w:r>
              <w:rPr/>
              <w:t>2</w:t>
            </w:r>
          </w:p>
        </w:tc>
        <w:tc>
          <w:tcPr>
            <w:tcW w:type="dxa" w:w="2076"/>
          </w:tcPr>
          <w:p>
            <w:pPr>
              <w:pStyle w:val="null3"/>
              <w:jc w:val="left"/>
            </w:pPr>
            <w:r>
              <w:rPr/>
              <w:t>二、项目实施要求</w:t>
            </w:r>
          </w:p>
        </w:tc>
        <w:tc>
          <w:tcPr>
            <w:tcW w:type="dxa" w:w="2076"/>
          </w:tcPr>
          <w:p>
            <w:pPr>
              <w:pStyle w:val="null3"/>
              <w:jc w:val="left"/>
            </w:pPr>
            <w:r>
              <w:rPr/>
              <w:t>1.包装、运输及保管要求：（1）设备材料的包装须是制造商原厂包装，其包装均应有良好的防湿、防锈、防潮、防雨、防腐及防碰撞的措施。凡由于包装不良造成的损失和由此产生的费用均由中标人承担；（2）中标人负责将设备材料货到现场过程中的全部运输，包括装卸车、货物现场的搬运。（3）货物在现场的保管由中标人负责，直至项目验收完毕。 2.安装要求：所供设备和材料中标人必须送货上门和负责安装调试。货物及订制所需材料在实施订制及安装前需通知采购人代表查验相关货物的出厂合格证或出厂测试报告、序列号、包装箱号与出厂批号等资料，并可追索查阅。所有随设备的附件必须齐全，以备验收使用。 3.调试要求：中标人必须依照招标文件的要求和投标文件的承诺，将设备、系统安装并调试至正常运行的最佳状态。</w:t>
            </w:r>
          </w:p>
        </w:tc>
      </w:tr>
      <w:tr>
        <w:tc>
          <w:tcPr>
            <w:tcW w:type="dxa" w:w="2076"/>
          </w:tcPr>
          <w:p/>
        </w:tc>
        <w:tc>
          <w:tcPr>
            <w:tcW w:type="dxa" w:w="2076"/>
          </w:tcPr>
          <w:p>
            <w:pPr>
              <w:pStyle w:val="null3"/>
              <w:jc w:val="center"/>
            </w:pPr>
            <w:r>
              <w:rPr/>
              <w:t>3</w:t>
            </w:r>
          </w:p>
        </w:tc>
        <w:tc>
          <w:tcPr>
            <w:tcW w:type="dxa" w:w="2076"/>
          </w:tcPr>
          <w:p>
            <w:pPr>
              <w:pStyle w:val="null3"/>
              <w:jc w:val="left"/>
            </w:pPr>
            <w:r>
              <w:rPr/>
              <w:t>三、质量保证要求</w:t>
            </w:r>
          </w:p>
        </w:tc>
        <w:tc>
          <w:tcPr>
            <w:tcW w:type="dxa" w:w="2076"/>
          </w:tcPr>
          <w:p>
            <w:pPr>
              <w:pStyle w:val="null3"/>
              <w:jc w:val="left"/>
            </w:pPr>
            <w:r>
              <w:rPr/>
              <w:t>1.中标人必须提供符合国家质量检测标准的全新、未使用过的货物(包括所有零配件、专用工具等)，表面无划伤，无碰撞，并提供货物出厂合格证、使用说明书、货物配置清单等相关资料。 2.采购人使用过程中实际发现的货品瑕疵责任，对此中标人仍应承担无条件包修、包换或者包退的质量保证责任，并承担修理、调换或退货所发生运费、维修人员交通差旅费等费用以及采购人因此造成的全部损失。</w:t>
            </w:r>
          </w:p>
        </w:tc>
      </w:tr>
      <w:tr>
        <w:tc>
          <w:tcPr>
            <w:tcW w:type="dxa" w:w="2076"/>
          </w:tcPr>
          <w:p/>
        </w:tc>
        <w:tc>
          <w:tcPr>
            <w:tcW w:type="dxa" w:w="2076"/>
          </w:tcPr>
          <w:p>
            <w:pPr>
              <w:pStyle w:val="null3"/>
              <w:jc w:val="center"/>
            </w:pPr>
            <w:r>
              <w:rPr/>
              <w:t>4</w:t>
            </w:r>
          </w:p>
        </w:tc>
        <w:tc>
          <w:tcPr>
            <w:tcW w:type="dxa" w:w="2076"/>
          </w:tcPr>
          <w:p>
            <w:pPr>
              <w:pStyle w:val="null3"/>
              <w:jc w:val="left"/>
            </w:pPr>
            <w:r>
              <w:rPr/>
              <w:t>四、培训要求</w:t>
            </w:r>
          </w:p>
        </w:tc>
        <w:tc>
          <w:tcPr>
            <w:tcW w:type="dxa" w:w="2076"/>
          </w:tcPr>
          <w:p>
            <w:pPr>
              <w:pStyle w:val="null3"/>
              <w:jc w:val="left"/>
            </w:pPr>
            <w:r>
              <w:rPr/>
              <w:t>为保证采购人熟悉设备的使用及日常维护，中标人须为采购人提供培训方案，培训方案须包括：①培训内容（设备的基本操作、常见故障排除、系统维护技巧等）；②培训形式（线上或线下或其他方式培训）；③培训人员配置情况；④培训实施计划（培训时长不少于1个小时 、频次不少于两次等）。中标人需按照采购人指定的时间、地点向采购人提供培训服务，培训所需全部费用（含培训、交通、食宿等）均由中标人负责。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五、项目进度管理要求</w:t>
            </w:r>
          </w:p>
        </w:tc>
        <w:tc>
          <w:tcPr>
            <w:tcW w:type="dxa" w:w="2076"/>
          </w:tcPr>
          <w:p>
            <w:pPr>
              <w:pStyle w:val="null3"/>
              <w:jc w:val="left"/>
            </w:pPr>
            <w:r>
              <w:rPr/>
              <w:t>1.中标人须在投标文件中提供项目进度管理方案，内容包括但不限于：①项目总体进度计划，明确合同签订、设备供货、运输到货、安装调试等各阶段的时间安排及关键节点，并满足商务要求中“标的提供的时间”（自合同签订之日起120日内完成供货、安装和调试）的要求，项目进度计划应与投标文件格式十九《履约进度计划表》内容保持一致；②进度保障措施，包括供货渠道保障、备货安排、进度控制机制等；③进度风险识别及应对措施；④进度报告机制，明确报告周期、内容及重大问题处理方式。 2.项目实施过程中，中标人须按约定周期向采购人提交项目进度报告，如实反映进度执行情况及存在的问题；如遇重大问题或变更，应及时书面告知采购人并提出解决方案。 3.因中标人原因导致逾期交付的，按合同违约责任条款执行。</w:t>
            </w:r>
          </w:p>
        </w:tc>
      </w:tr>
      <w:tr>
        <w:tc>
          <w:tcPr>
            <w:tcW w:type="dxa" w:w="2076"/>
          </w:tcPr>
          <w:p/>
        </w:tc>
        <w:tc>
          <w:tcPr>
            <w:tcW w:type="dxa" w:w="2076"/>
          </w:tcPr>
          <w:p>
            <w:pPr>
              <w:pStyle w:val="null3"/>
              <w:jc w:val="center"/>
            </w:pPr>
            <w:r>
              <w:rPr/>
              <w:t>6</w:t>
            </w:r>
          </w:p>
        </w:tc>
        <w:tc>
          <w:tcPr>
            <w:tcW w:type="dxa" w:w="2076"/>
          </w:tcPr>
          <w:p>
            <w:pPr>
              <w:pStyle w:val="null3"/>
              <w:jc w:val="left"/>
            </w:pPr>
            <w:r>
              <w:rPr/>
              <w:t>六、报价要求</w:t>
            </w:r>
          </w:p>
        </w:tc>
        <w:tc>
          <w:tcPr>
            <w:tcW w:type="dxa" w:w="2076"/>
          </w:tcPr>
          <w:p>
            <w:pPr>
              <w:pStyle w:val="null3"/>
              <w:jc w:val="left"/>
            </w:pPr>
            <w:r>
              <w:rPr/>
              <w:t>投标报价为采购人指定地点的现场交货价，包括但不限于： ①货物及标准附件、备品备件、专用工具的价格； ②运输、装卸、安装、调试、培训、技术支持、售后服务等费用； ③必要的保险费用和各项税费。 ④投标人须对每个设备单价报价。 ⑤进口产品的外贸公司进口代理费（如进口代理手续费、银行手续费、海关监管手续费、报关报检费用、商检费用、申办免税机电批文费用、机场码头费等）。</w:t>
            </w:r>
          </w:p>
        </w:tc>
      </w:tr>
      <w:tr>
        <w:tc>
          <w:tcPr>
            <w:tcW w:type="dxa" w:w="2076"/>
          </w:tcPr>
          <w:p/>
        </w:tc>
        <w:tc>
          <w:tcPr>
            <w:tcW w:type="dxa" w:w="2076"/>
          </w:tcPr>
          <w:p>
            <w:pPr>
              <w:pStyle w:val="null3"/>
              <w:jc w:val="center"/>
            </w:pPr>
            <w:r>
              <w:rPr/>
              <w:t>7</w:t>
            </w:r>
          </w:p>
        </w:tc>
        <w:tc>
          <w:tcPr>
            <w:tcW w:type="dxa" w:w="2076"/>
          </w:tcPr>
          <w:p>
            <w:pPr>
              <w:pStyle w:val="null3"/>
              <w:jc w:val="left"/>
            </w:pPr>
            <w:r>
              <w:rPr/>
              <w:t>七、其他</w:t>
            </w:r>
          </w:p>
        </w:tc>
        <w:tc>
          <w:tcPr>
            <w:tcW w:type="dxa" w:w="2076"/>
          </w:tcPr>
          <w:p>
            <w:pPr>
              <w:pStyle w:val="null3"/>
              <w:jc w:val="left"/>
            </w:pPr>
            <w:r>
              <w:rPr/>
              <w:t>1.★投标人所投产品若为进口免税产品，如因国家政策原因影响，导致不能办理免税或免税外加征关税所产生的税金、或因投标人原因自愿放弃办理免税所产生的税金，均由投标人自行承担。（须提供承诺函加盖投标人公章，格式自拟） 2.进口产品的外贸代理业务由中标人从采购人指定的进口代理公司库内自由选择。 3.投标人须保证投标文件中所提供的资料真实有效，采购人有权要求中标人提供投标相关资料的原件进行核查，如发现中标人提供虚假材料谋取中标的，将上报政府采购监管部门处理。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其他分析仪器</w:t>
            </w:r>
          </w:p>
        </w:tc>
        <w:tc>
          <w:tcPr>
            <w:tcW w:type="dxa" w:w="831"/>
          </w:tcPr>
          <w:p>
            <w:pPr>
              <w:pStyle w:val="null3"/>
              <w:jc w:val="left"/>
            </w:pPr>
            <w:r>
              <w:rPr/>
              <w:t>荧光光谱仪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荧光光谱仪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sz w:val="20"/>
              </w:rPr>
              <w:t>整机系统要求</w:t>
            </w:r>
          </w:p>
          <w:p>
            <w:pPr>
              <w:pStyle w:val="null3"/>
            </w:pPr>
            <w:r>
              <w:rPr>
                <w:sz w:val="20"/>
              </w:rPr>
              <w:t xml:space="preserve">1.1 </w:t>
            </w:r>
            <w:r>
              <w:rPr>
                <w:sz w:val="20"/>
              </w:rPr>
              <w:t>设备为一体式高灵敏稳态瞬态荧光光谱仪，整机集成光源、参比检测器、反射光路、样品架、双单色仪、荧光检测器等核心模块。</w:t>
            </w:r>
          </w:p>
          <w:p>
            <w:pPr>
              <w:pStyle w:val="null3"/>
            </w:pPr>
            <w:r>
              <w:rPr>
                <w:sz w:val="20"/>
              </w:rPr>
              <w:t>1.2</w:t>
            </w:r>
            <w:r>
              <w:rPr>
                <w:sz w:val="20"/>
              </w:rPr>
              <w:t>支持校正激发光谱、发射光谱、三维荧光光谱、同步扫描光谱、光度计定量等基础测试功能，可完成荧光动力学、荧光寿命、绝对量子产率、上转换材料光谱及寿命分析，覆盖</w:t>
            </w:r>
            <w:r>
              <w:rPr>
                <w:sz w:val="20"/>
              </w:rPr>
              <w:t xml:space="preserve"> UV-VIS-NIR </w:t>
            </w:r>
            <w:r>
              <w:rPr>
                <w:sz w:val="20"/>
              </w:rPr>
              <w:t>全波段测试需求。</w:t>
            </w:r>
          </w:p>
          <w:p>
            <w:pPr>
              <w:pStyle w:val="null3"/>
            </w:pPr>
            <w:r>
              <w:rPr>
                <w:sz w:val="20"/>
              </w:rPr>
              <w:t xml:space="preserve">1.3 </w:t>
            </w:r>
            <w:r>
              <w:rPr>
                <w:sz w:val="20"/>
              </w:rPr>
              <w:t>灵敏度：水拉曼信噪比≥</w:t>
            </w:r>
            <w:r>
              <w:rPr>
                <w:sz w:val="20"/>
              </w:rPr>
              <w:t>13000:1</w:t>
            </w:r>
            <w:r>
              <w:rPr>
                <w:sz w:val="20"/>
              </w:rPr>
              <w:t>（</w:t>
            </w:r>
            <w:r>
              <w:rPr>
                <w:sz w:val="20"/>
              </w:rPr>
              <w:t xml:space="preserve">FSD </w:t>
            </w:r>
            <w:r>
              <w:rPr>
                <w:sz w:val="20"/>
              </w:rPr>
              <w:t>法，标准测试工况）。</w:t>
            </w:r>
          </w:p>
          <w:p>
            <w:pPr>
              <w:pStyle w:val="null3"/>
            </w:pPr>
            <w:r>
              <w:rPr>
                <w:sz w:val="20"/>
              </w:rPr>
              <w:t>1.4</w:t>
            </w:r>
            <w:r>
              <w:rPr>
                <w:sz w:val="20"/>
              </w:rPr>
              <w:t>波长准确性：≤</w:t>
            </w:r>
            <w:r>
              <w:rPr>
                <w:sz w:val="20"/>
              </w:rPr>
              <w:t>0.1nm</w:t>
            </w:r>
            <w:r>
              <w:rPr>
                <w:sz w:val="20"/>
              </w:rPr>
              <w:t>，波长重复性≤</w:t>
            </w:r>
            <w:r>
              <w:rPr>
                <w:sz w:val="20"/>
              </w:rPr>
              <w:t>0.1nm</w:t>
            </w:r>
            <w:r>
              <w:rPr>
                <w:sz w:val="20"/>
              </w:rPr>
              <w:t>。</w:t>
            </w:r>
          </w:p>
          <w:p>
            <w:pPr>
              <w:pStyle w:val="null3"/>
            </w:pPr>
            <w:r>
              <w:rPr>
                <w:sz w:val="20"/>
              </w:rPr>
              <w:t xml:space="preserve">1.5 </w:t>
            </w:r>
            <w:r>
              <w:rPr>
                <w:sz w:val="20"/>
              </w:rPr>
              <w:t>稳态荧光动力学单点点采集速度≤</w:t>
            </w:r>
            <w:r>
              <w:rPr>
                <w:sz w:val="20"/>
              </w:rPr>
              <w:t>5ms/point</w:t>
            </w:r>
            <w:r>
              <w:rPr>
                <w:sz w:val="20"/>
              </w:rPr>
              <w:t>，积分时间覆盖</w:t>
            </w:r>
            <w:r>
              <w:rPr>
                <w:sz w:val="20"/>
              </w:rPr>
              <w:t xml:space="preserve"> 1ms-200s</w:t>
            </w:r>
            <w:r>
              <w:rPr>
                <w:sz w:val="20"/>
              </w:rPr>
              <w:t>，支持长时间连续采集。</w:t>
            </w:r>
          </w:p>
          <w:p>
            <w:pPr>
              <w:pStyle w:val="null3"/>
            </w:pPr>
            <w:r>
              <w:rPr>
                <w:sz w:val="20"/>
              </w:rPr>
              <w:t>2.</w:t>
            </w:r>
            <w:r>
              <w:rPr>
                <w:sz w:val="20"/>
              </w:rPr>
              <w:t>光源和检测系统。</w:t>
            </w:r>
          </w:p>
          <w:p>
            <w:pPr>
              <w:pStyle w:val="null3"/>
            </w:pPr>
            <w:r>
              <w:rPr>
                <w:sz w:val="20"/>
              </w:rPr>
              <w:t xml:space="preserve">2.1 </w:t>
            </w:r>
            <w:r>
              <w:rPr>
                <w:sz w:val="20"/>
              </w:rPr>
              <w:t>光源：功率≥</w:t>
            </w:r>
            <w:r>
              <w:rPr>
                <w:sz w:val="20"/>
              </w:rPr>
              <w:t>150W</w:t>
            </w:r>
            <w:r>
              <w:rPr>
                <w:sz w:val="20"/>
              </w:rPr>
              <w:t>无臭氧氙灯，另</w:t>
            </w:r>
            <w:r>
              <w:rPr>
                <w:sz w:val="20"/>
              </w:rPr>
              <w:t>配置</w:t>
            </w:r>
            <w:r>
              <w:rPr>
                <w:sz w:val="20"/>
              </w:rPr>
              <w:t>氙灯</w:t>
            </w:r>
            <w:r>
              <w:rPr>
                <w:sz w:val="20"/>
              </w:rPr>
              <w:t>三</w:t>
            </w:r>
            <w:r>
              <w:rPr>
                <w:sz w:val="20"/>
              </w:rPr>
              <w:t>个</w:t>
            </w:r>
            <w:r>
              <w:rPr>
                <w:sz w:val="20"/>
              </w:rPr>
              <w:t>，含人工服务费</w:t>
            </w:r>
            <w:r>
              <w:rPr>
                <w:sz w:val="20"/>
              </w:rPr>
              <w:t>。</w:t>
            </w:r>
          </w:p>
          <w:p>
            <w:pPr>
              <w:pStyle w:val="null3"/>
            </w:pPr>
            <w:r>
              <w:rPr>
                <w:sz w:val="20"/>
              </w:rPr>
              <w:t xml:space="preserve">2.2 </w:t>
            </w:r>
            <w:r>
              <w:rPr>
                <w:sz w:val="20"/>
              </w:rPr>
              <w:t>低杂散光设计，满足超微弱荧光检测。</w:t>
            </w:r>
          </w:p>
          <w:p>
            <w:pPr>
              <w:pStyle w:val="null3"/>
            </w:pPr>
            <w:r>
              <w:rPr>
                <w:sz w:val="20"/>
              </w:rPr>
              <w:t>★</w:t>
            </w:r>
            <w:r>
              <w:rPr>
                <w:sz w:val="20"/>
              </w:rPr>
              <w:t xml:space="preserve">2.3 </w:t>
            </w:r>
            <w:r>
              <w:rPr>
                <w:sz w:val="20"/>
              </w:rPr>
              <w:t>紫外可见近红外</w:t>
            </w:r>
            <w:r>
              <w:rPr>
                <w:sz w:val="20"/>
              </w:rPr>
              <w:t>UV-VIS-NIR</w:t>
            </w:r>
            <w:r>
              <w:rPr>
                <w:sz w:val="20"/>
              </w:rPr>
              <w:t>全波段稳态、瞬态荧光光谱测量，波长覆盖：至少</w:t>
            </w:r>
            <w:r>
              <w:rPr>
                <w:sz w:val="20"/>
              </w:rPr>
              <w:t>260-1650nm</w:t>
            </w:r>
            <w:r>
              <w:rPr>
                <w:sz w:val="20"/>
              </w:rPr>
              <w:t>，另配激发连续激光器：</w:t>
            </w:r>
            <w:r>
              <w:rPr>
                <w:sz w:val="20"/>
              </w:rPr>
              <w:t>650nm</w:t>
            </w:r>
            <w:r>
              <w:rPr>
                <w:sz w:val="20"/>
              </w:rPr>
              <w:t>（或</w:t>
            </w:r>
            <w:r>
              <w:rPr>
                <w:sz w:val="20"/>
              </w:rPr>
              <w:t>660nm</w:t>
            </w:r>
            <w:r>
              <w:rPr>
                <w:sz w:val="20"/>
              </w:rPr>
              <w:t>），</w:t>
            </w:r>
            <w:r>
              <w:rPr>
                <w:sz w:val="20"/>
              </w:rPr>
              <w:t>808nm</w:t>
            </w:r>
            <w:r>
              <w:rPr>
                <w:sz w:val="20"/>
              </w:rPr>
              <w:t>，</w:t>
            </w:r>
            <w:r>
              <w:rPr>
                <w:sz w:val="20"/>
              </w:rPr>
              <w:t>980nm</w:t>
            </w:r>
            <w:r>
              <w:rPr>
                <w:sz w:val="20"/>
              </w:rPr>
              <w:t>，功率</w:t>
            </w:r>
            <w:r>
              <w:rPr>
                <w:sz w:val="20"/>
              </w:rPr>
              <w:t>2w</w:t>
            </w:r>
            <w:r>
              <w:rPr>
                <w:sz w:val="20"/>
              </w:rPr>
              <w:t>。</w:t>
            </w:r>
          </w:p>
          <w:p>
            <w:pPr>
              <w:pStyle w:val="null3"/>
            </w:pPr>
            <w:r>
              <w:rPr>
                <w:sz w:val="20"/>
              </w:rPr>
              <w:t xml:space="preserve">2.4 </w:t>
            </w:r>
            <w:r>
              <w:rPr>
                <w:sz w:val="20"/>
              </w:rPr>
              <w:t>标准检测器</w:t>
            </w:r>
            <w:r>
              <w:rPr>
                <w:sz w:val="20"/>
              </w:rPr>
              <w:t>:PMT</w:t>
            </w:r>
            <w:r>
              <w:rPr>
                <w:sz w:val="20"/>
              </w:rPr>
              <w:t>光电倍增管，光谱范围</w:t>
            </w:r>
            <w:r>
              <w:rPr>
                <w:sz w:val="20"/>
              </w:rPr>
              <w:t>260-870nm</w:t>
            </w:r>
            <w:r>
              <w:rPr>
                <w:sz w:val="20"/>
              </w:rPr>
              <w:t>。</w:t>
            </w:r>
          </w:p>
          <w:p>
            <w:pPr>
              <w:pStyle w:val="null3"/>
            </w:pPr>
            <w:r>
              <w:rPr>
                <w:sz w:val="20"/>
              </w:rPr>
              <w:t xml:space="preserve">2.5 </w:t>
            </w:r>
            <w:r>
              <w:rPr>
                <w:sz w:val="20"/>
              </w:rPr>
              <w:t>近红外探测器</w:t>
            </w:r>
            <w:r>
              <w:rPr>
                <w:sz w:val="20"/>
              </w:rPr>
              <w:t>:InGaAs</w:t>
            </w:r>
            <w:r>
              <w:rPr>
                <w:sz w:val="20"/>
              </w:rPr>
              <w:t>检测器，检测波长</w:t>
            </w:r>
            <w:r>
              <w:rPr>
                <w:sz w:val="20"/>
              </w:rPr>
              <w:t>:870-1650nm</w:t>
            </w:r>
            <w:r>
              <w:rPr>
                <w:sz w:val="20"/>
              </w:rPr>
              <w:t>，液氮制冷。</w:t>
            </w:r>
          </w:p>
          <w:p>
            <w:pPr>
              <w:pStyle w:val="null3"/>
            </w:pPr>
            <w:r>
              <w:rPr>
                <w:sz w:val="20"/>
              </w:rPr>
              <w:t>▲</w:t>
            </w:r>
            <w:r>
              <w:rPr>
                <w:sz w:val="20"/>
              </w:rPr>
              <w:t>2.6 TCSPC</w:t>
            </w:r>
            <w:r>
              <w:rPr>
                <w:sz w:val="20"/>
              </w:rPr>
              <w:t>荧光寿命检测系统。荧光寿命范围：</w:t>
            </w:r>
            <w:r>
              <w:rPr>
                <w:sz w:val="20"/>
              </w:rPr>
              <w:t>150ps-10us</w:t>
            </w:r>
            <w:r>
              <w:rPr>
                <w:sz w:val="20"/>
              </w:rPr>
              <w:t>。满足皮秒级超快荧光动力学测试。</w:t>
            </w:r>
          </w:p>
          <w:p>
            <w:pPr>
              <w:pStyle w:val="null3"/>
            </w:pPr>
            <w:r>
              <w:rPr>
                <w:sz w:val="20"/>
              </w:rPr>
              <w:t xml:space="preserve">2.7 </w:t>
            </w:r>
            <w:r>
              <w:rPr>
                <w:sz w:val="20"/>
              </w:rPr>
              <w:t>皮秒脉冲激光器：</w:t>
            </w:r>
            <w:r>
              <w:rPr>
                <w:sz w:val="20"/>
              </w:rPr>
              <w:t>455</w:t>
            </w:r>
            <w:r>
              <w:rPr>
                <w:sz w:val="20"/>
              </w:rPr>
              <w:t>±</w:t>
            </w:r>
            <w:r>
              <w:rPr>
                <w:sz w:val="20"/>
              </w:rPr>
              <w:t>10nm</w:t>
            </w:r>
            <w:r>
              <w:rPr>
                <w:sz w:val="20"/>
              </w:rPr>
              <w:t>皮秒脉冲，最大脉冲频率≥</w:t>
            </w:r>
            <w:r>
              <w:rPr>
                <w:sz w:val="20"/>
              </w:rPr>
              <w:t>25MHz</w:t>
            </w:r>
            <w:r>
              <w:rPr>
                <w:sz w:val="20"/>
              </w:rPr>
              <w:t>，高重复频率，可匹配</w:t>
            </w:r>
            <w:r>
              <w:rPr>
                <w:sz w:val="20"/>
              </w:rPr>
              <w:t>TCSPC</w:t>
            </w:r>
            <w:r>
              <w:rPr>
                <w:sz w:val="20"/>
              </w:rPr>
              <w:t>超快寿命测试。</w:t>
            </w:r>
          </w:p>
          <w:p>
            <w:pPr>
              <w:pStyle w:val="null3"/>
            </w:pPr>
            <w:r>
              <w:rPr>
                <w:sz w:val="20"/>
              </w:rPr>
              <w:t xml:space="preserve">2.8 </w:t>
            </w:r>
            <w:r>
              <w:rPr>
                <w:sz w:val="20"/>
              </w:rPr>
              <w:t>配液体样品支架和固体样品支架，固体样本支架</w:t>
            </w:r>
            <w:r>
              <w:rPr>
                <w:sz w:val="20"/>
              </w:rPr>
              <w:t>360</w:t>
            </w:r>
            <w:r>
              <w:rPr>
                <w:sz w:val="20"/>
              </w:rPr>
              <w:t>度可旋转，并带角度刻度盘。</w:t>
            </w:r>
          </w:p>
          <w:p>
            <w:pPr>
              <w:pStyle w:val="null3"/>
            </w:pPr>
            <w:r>
              <w:rPr>
                <w:sz w:val="20"/>
              </w:rPr>
              <w:t xml:space="preserve">2.9 </w:t>
            </w:r>
            <w:r>
              <w:rPr>
                <w:sz w:val="20"/>
              </w:rPr>
              <w:t>至少配</w:t>
            </w:r>
            <w:r>
              <w:rPr>
                <w:sz w:val="20"/>
              </w:rPr>
              <w:t>7</w:t>
            </w:r>
            <w:r>
              <w:rPr>
                <w:sz w:val="20"/>
              </w:rPr>
              <w:t>片以上的</w:t>
            </w:r>
            <w:r>
              <w:rPr>
                <w:sz w:val="20"/>
              </w:rPr>
              <w:t>295-645nm</w:t>
            </w:r>
            <w:r>
              <w:rPr>
                <w:sz w:val="20"/>
              </w:rPr>
              <w:t>范围的长通滤光片。</w:t>
            </w:r>
          </w:p>
          <w:p>
            <w:pPr>
              <w:pStyle w:val="null3"/>
            </w:pPr>
            <w:r>
              <w:rPr>
                <w:sz w:val="20"/>
              </w:rPr>
              <w:t>▲</w:t>
            </w:r>
            <w:r>
              <w:rPr>
                <w:sz w:val="20"/>
              </w:rPr>
              <w:t xml:space="preserve">2.10 </w:t>
            </w:r>
            <w:r>
              <w:rPr>
                <w:sz w:val="20"/>
              </w:rPr>
              <w:t>配置液氮低温恒温器，温度控制单位</w:t>
            </w:r>
            <w:r>
              <w:rPr>
                <w:sz w:val="20"/>
              </w:rPr>
              <w:t>78K-500K</w:t>
            </w:r>
            <w:r>
              <w:rPr>
                <w:sz w:val="20"/>
              </w:rPr>
              <w:t>。</w:t>
            </w:r>
          </w:p>
          <w:p>
            <w:pPr>
              <w:pStyle w:val="null3"/>
            </w:pPr>
            <w:r>
              <w:rPr>
                <w:sz w:val="20"/>
              </w:rPr>
              <w:t>▲</w:t>
            </w:r>
            <w:r>
              <w:rPr>
                <w:sz w:val="20"/>
              </w:rPr>
              <w:t xml:space="preserve">2.11 </w:t>
            </w:r>
            <w:r>
              <w:rPr>
                <w:sz w:val="20"/>
              </w:rPr>
              <w:t>光致发光绝对量子产率</w:t>
            </w:r>
            <w:r>
              <w:rPr>
                <w:sz w:val="20"/>
              </w:rPr>
              <w:t>(PLQY)</w:t>
            </w:r>
            <w:r>
              <w:rPr>
                <w:sz w:val="20"/>
              </w:rPr>
              <w:t>的测量附件或组件。</w:t>
            </w:r>
          </w:p>
          <w:p>
            <w:pPr>
              <w:pStyle w:val="null3"/>
            </w:pPr>
            <w:r>
              <w:rPr>
                <w:sz w:val="20"/>
              </w:rPr>
              <w:t>2.12</w:t>
            </w:r>
            <w:r>
              <w:rPr>
                <w:sz w:val="20"/>
              </w:rPr>
              <w:t>至少配</w:t>
            </w:r>
            <w:r>
              <w:rPr>
                <w:sz w:val="20"/>
              </w:rPr>
              <w:t>6</w:t>
            </w:r>
            <w:r>
              <w:rPr>
                <w:sz w:val="20"/>
              </w:rPr>
              <w:t>片以上衰减片，</w:t>
            </w:r>
            <w:r>
              <w:rPr>
                <w:sz w:val="20"/>
              </w:rPr>
              <w:t>OD</w:t>
            </w:r>
            <w:r>
              <w:rPr>
                <w:sz w:val="20"/>
              </w:rPr>
              <w:t>值覆盖</w:t>
            </w:r>
            <w:r>
              <w:rPr>
                <w:sz w:val="20"/>
              </w:rPr>
              <w:t>0.1</w:t>
            </w:r>
            <w:r>
              <w:rPr>
                <w:sz w:val="20"/>
              </w:rPr>
              <w:t>到</w:t>
            </w:r>
            <w:r>
              <w:rPr>
                <w:sz w:val="20"/>
              </w:rPr>
              <w:t>3.0</w:t>
            </w:r>
            <w:r>
              <w:rPr>
                <w:sz w:val="20"/>
              </w:rPr>
              <w:t>，波长范围覆盖</w:t>
            </w:r>
            <w:r>
              <w:rPr>
                <w:sz w:val="20"/>
              </w:rPr>
              <w:t>300-2000nm</w:t>
            </w:r>
            <w:r>
              <w:rPr>
                <w:sz w:val="20"/>
              </w:rPr>
              <w:t>。</w:t>
            </w:r>
          </w:p>
          <w:p>
            <w:pPr>
              <w:pStyle w:val="null3"/>
            </w:pPr>
            <w:r>
              <w:rPr>
                <w:sz w:val="20"/>
              </w:rPr>
              <w:t xml:space="preserve">2.13 </w:t>
            </w:r>
            <w:r>
              <w:rPr>
                <w:sz w:val="20"/>
              </w:rPr>
              <w:t>软件功能：</w:t>
            </w:r>
          </w:p>
          <w:p>
            <w:pPr>
              <w:pStyle w:val="null3"/>
            </w:pPr>
            <w:r>
              <w:rPr>
                <w:sz w:val="20"/>
              </w:rPr>
              <w:t>（</w:t>
            </w:r>
            <w:r>
              <w:rPr>
                <w:sz w:val="20"/>
              </w:rPr>
              <w:t>1</w:t>
            </w:r>
            <w:r>
              <w:rPr>
                <w:sz w:val="20"/>
              </w:rPr>
              <w:t>）稳态、瞬态测试和数据处理全部由原厂一个软件实现。</w:t>
            </w:r>
          </w:p>
          <w:p>
            <w:pPr>
              <w:pStyle w:val="null3"/>
            </w:pPr>
            <w:r>
              <w:rPr>
                <w:sz w:val="20"/>
              </w:rPr>
              <w:t>（</w:t>
            </w:r>
            <w:r>
              <w:rPr>
                <w:sz w:val="20"/>
              </w:rPr>
              <w:t>2</w:t>
            </w:r>
            <w:r>
              <w:rPr>
                <w:sz w:val="20"/>
              </w:rPr>
              <w:t>）软件可进行激发光谱，发射光谱和同步光谱进行稳态测试，三维荧光光谱测试，荧光寿命包括寿命衰减曲线，衰减曲线，时间分辨发射光谱全局分析，能够实现半峰宽以及</w:t>
            </w:r>
            <w:r>
              <w:rPr>
                <w:sz w:val="20"/>
              </w:rPr>
              <w:t>CIE</w:t>
            </w:r>
            <w:r>
              <w:rPr>
                <w:sz w:val="20"/>
              </w:rPr>
              <w:t>色度坐标输出。</w:t>
            </w:r>
          </w:p>
          <w:p>
            <w:pPr>
              <w:pStyle w:val="null3"/>
            </w:pPr>
            <w:r>
              <w:rPr>
                <w:sz w:val="20"/>
              </w:rPr>
              <w:t>（</w:t>
            </w:r>
            <w:r>
              <w:rPr>
                <w:sz w:val="20"/>
              </w:rPr>
              <w:t>3</w:t>
            </w:r>
            <w:r>
              <w:rPr>
                <w:sz w:val="20"/>
              </w:rPr>
              <w:t>）支持数据原始留存、通用格式导出，满足科研数据溯源与分析要求。</w:t>
            </w:r>
          </w:p>
          <w:p>
            <w:pPr>
              <w:pStyle w:val="null3"/>
            </w:pPr>
            <w:r>
              <w:rPr>
                <w:sz w:val="20"/>
              </w:rPr>
              <w:t>8.</w:t>
            </w:r>
            <w:r>
              <w:rPr>
                <w:sz w:val="20"/>
              </w:rPr>
              <w:t>配置组成</w:t>
            </w:r>
          </w:p>
          <w:tbl>
            <w:tblPr>
              <w:tblBorders>
                <w:top w:val="none" w:color="000000" w:sz="4"/>
                <w:left w:val="none" w:color="000000" w:sz="4"/>
                <w:bottom w:val="none" w:color="000000" w:sz="4"/>
                <w:right w:val="none" w:color="000000" w:sz="4"/>
                <w:insideH w:val="none"/>
                <w:insideV w:val="none"/>
              </w:tblBorders>
            </w:tblPr>
            <w:tblGrid>
              <w:gridCol w:w="767"/>
              <w:gridCol w:w="3837"/>
              <w:gridCol w:w="993"/>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3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名称</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数量</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近红外荧光光谱仪主机</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标准可见光检测器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升级近红外检测器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量子产率附件</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液氮控温附件</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皮秒脉冲激光器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连续激光器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液体、固体样品架</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3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软件工作站</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中标/成交供应商须向招标代理机构一次性支付代理服务费（参照国家计委“计价格[2002]1980号文”为计算依据）；收款人：广东中元招标代理有限公司；开户银行：中国银行东莞会展支行；银行账号：654857750168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广东中元招标网（www.zhongyuanzb.com）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广东中元招标网（www.zhongyuanzb.com）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杨自立</w:t>
      </w:r>
    </w:p>
    <w:p>
      <w:pPr>
        <w:pStyle w:val="null3"/>
        <w:ind w:firstLine="480"/>
      </w:pPr>
      <w:r>
        <w:rPr/>
        <w:t>电话：</w:t>
      </w:r>
      <w:r>
        <w:rPr/>
        <w:t>0769-23663761</w:t>
      </w:r>
    </w:p>
    <w:p>
      <w:pPr>
        <w:pStyle w:val="null3"/>
        <w:ind w:firstLine="480"/>
      </w:pPr>
      <w:r>
        <w:rPr/>
        <w:t>传真：</w:t>
      </w:r>
      <w:r>
        <w:rPr/>
        <w:t>0769-23663760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医科大学荧光光谱仪更新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采购包1（广东医科大学荧光光谱仪更新采购项目）：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采购包1（广东医科大学荧光光谱仪更新采购项目）：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本项目中小企业划分标准所属行业为：工业。②《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关于运用政府采购政策支持脱贫攻坚的通知》（财库〔2019〕27号）、《关于印发&lt;商品包装政府采购需求标准（试行）&gt;、&lt;快递包装政府采购需求标准（试行）&gt;的通知》（财办库〔2020〕123号）。</w:t>
            </w:r>
          </w:p>
        </w:tc>
      </w:tr>
    </w:tbl>
    <w:p>
      <w:pPr>
        <w:pStyle w:val="null3"/>
        <w:ind w:firstLine="480"/>
      </w:pPr>
      <w:r>
        <w:rPr/>
        <w:t>表二符合性审查表：</w:t>
      </w:r>
    </w:p>
    <w:p>
      <w:pPr>
        <w:pStyle w:val="null3"/>
      </w:pPr>
      <w:r>
        <w:rPr/>
        <w:t>采购包1（广东医科大学荧光光谱仪更新采购项目）：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投标报价未超出财政批复预算或最高限价（如有），并且满足投标报价要求。</w:t>
            </w:r>
          </w:p>
        </w:tc>
        <w:tc>
          <w:tcPr>
            <w:tcW w:type="dxa" w:w="4238"/>
          </w:tcPr>
          <w:p>
            <w:pPr>
              <w:pStyle w:val="null3"/>
            </w:pPr>
            <w:r>
              <w:rPr/>
              <w:t>投标报价未超出财政批复预算或最高限价（如有），并且满足投标报价要求。</w:t>
            </w:r>
          </w:p>
        </w:tc>
      </w:tr>
      <w:tr>
        <w:tc>
          <w:tcPr>
            <w:tcW w:type="dxa" w:w="890"/>
          </w:tcPr>
          <w:p>
            <w:pPr>
              <w:pStyle w:val="null3"/>
            </w:pPr>
            <w:r>
              <w:rPr/>
              <w:t>2</w:t>
            </w:r>
          </w:p>
        </w:tc>
        <w:tc>
          <w:tcPr>
            <w:tcW w:type="dxa" w:w="3178"/>
          </w:tcPr>
          <w:p>
            <w:pPr>
              <w:pStyle w:val="null3"/>
            </w:pPr>
            <w:r>
              <w:rPr/>
              <w:t>投标有效期满足招标文件要求。</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投标文件的签名和盖章符合要求。</w:t>
            </w:r>
          </w:p>
        </w:tc>
        <w:tc>
          <w:tcPr>
            <w:tcW w:type="dxa" w:w="4238"/>
          </w:tcPr>
          <w:p>
            <w:pPr>
              <w:pStyle w:val="null3"/>
            </w:pPr>
            <w:r>
              <w:rPr/>
              <w:t>投标文件的签名和盖章符合要求。</w:t>
            </w:r>
          </w:p>
        </w:tc>
      </w:tr>
      <w:tr>
        <w:tc>
          <w:tcPr>
            <w:tcW w:type="dxa" w:w="890"/>
          </w:tcPr>
          <w:p>
            <w:pPr>
              <w:pStyle w:val="null3"/>
            </w:pPr>
            <w:r>
              <w:rPr/>
              <w:t>4</w:t>
            </w:r>
          </w:p>
        </w:tc>
        <w:tc>
          <w:tcPr>
            <w:tcW w:type="dxa" w:w="3178"/>
          </w:tcPr>
          <w:p>
            <w:pPr>
              <w:pStyle w:val="null3"/>
            </w:pPr>
            <w:r>
              <w:rPr/>
              <w:t>投标文件商务要求未出现以下情况：①招标文件商务要求带“★”的条款有负偏离的；②《商务条件响应表》未按招标文件要求填写；③其它未实质性响应招标文件商务要求的。</w:t>
            </w:r>
          </w:p>
        </w:tc>
        <w:tc>
          <w:tcPr>
            <w:tcW w:type="dxa" w:w="4238"/>
          </w:tcPr>
          <w:p>
            <w:pPr>
              <w:pStyle w:val="null3"/>
            </w:pPr>
            <w:r>
              <w:rPr/>
              <w:t>投标文件商务要求未出现以下情况：①招标文件商务要求带“★”的条款有负偏离的；②《商务条件响应表》未按招标文件要求填写；③其它未实质性响应招标文件商务要求的。</w:t>
            </w:r>
          </w:p>
        </w:tc>
      </w:tr>
      <w:tr>
        <w:tc>
          <w:tcPr>
            <w:tcW w:type="dxa" w:w="890"/>
          </w:tcPr>
          <w:p>
            <w:pPr>
              <w:pStyle w:val="null3"/>
            </w:pPr>
            <w:r>
              <w:rPr/>
              <w:t>5</w:t>
            </w:r>
          </w:p>
        </w:tc>
        <w:tc>
          <w:tcPr>
            <w:tcW w:type="dxa" w:w="3178"/>
          </w:tcPr>
          <w:p>
            <w:pPr>
              <w:pStyle w:val="null3"/>
            </w:pPr>
            <w:r>
              <w:rPr/>
              <w:t>投标文件技术要求未出现以下情况：①招标文件技术要求带“★”的条款有负偏离的；②《技术和服务要求响应表》未按招标文件要求填写；③其它未实质性响应招标文件技术要求的。</w:t>
            </w:r>
          </w:p>
        </w:tc>
        <w:tc>
          <w:tcPr>
            <w:tcW w:type="dxa" w:w="4238"/>
          </w:tcPr>
          <w:p>
            <w:pPr>
              <w:pStyle w:val="null3"/>
            </w:pPr>
            <w:r>
              <w:rPr/>
              <w:t>投标文件技术要求未出现以下情况：①招标文件技术要求带“★”的条款有负偏离的；②《技术和服务要求响应表》未按招标文件要求填写；③其它未实质性响应招标文件技术要求的。</w:t>
            </w:r>
          </w:p>
        </w:tc>
      </w:tr>
      <w:tr>
        <w:tc>
          <w:tcPr>
            <w:tcW w:type="dxa" w:w="890"/>
          </w:tcPr>
          <w:p>
            <w:pPr>
              <w:pStyle w:val="null3"/>
            </w:pPr>
            <w:r>
              <w:rPr/>
              <w:t>6</w:t>
            </w:r>
          </w:p>
        </w:tc>
        <w:tc>
          <w:tcPr>
            <w:tcW w:type="dxa" w:w="3178"/>
          </w:tcPr>
          <w:p>
            <w:pPr>
              <w:pStyle w:val="null3"/>
            </w:pPr>
            <w:r>
              <w:rPr/>
              <w:t>未出现法律、法规或招标文件中规定投标无效的其它情形。</w:t>
            </w:r>
          </w:p>
        </w:tc>
        <w:tc>
          <w:tcPr>
            <w:tcW w:type="dxa" w:w="4238"/>
          </w:tcPr>
          <w:p>
            <w:pPr>
              <w:pStyle w:val="null3"/>
            </w:pPr>
            <w:r>
              <w:rPr/>
              <w:t>未出现法律、法规或招标文件中规定投标无效的其它情形。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采购包1(广东医科大学荧光光谱仪更新采购项目):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技术需求响应情况 (15.0分)</w:t>
            </w:r>
          </w:p>
        </w:tc>
        <w:tc>
          <w:tcPr>
            <w:tcW w:type="dxa" w:w="5076"/>
          </w:tcPr>
          <w:p>
            <w:pPr>
              <w:pStyle w:val="null3"/>
              <w:jc w:val="left"/>
            </w:pPr>
            <w:r>
              <w:rPr/>
              <w:t>根据投标人所投产品对《采购需求》中加注“▲”号的技术参数（共3条）响应情况进行评分：全部满足的得15分，每出现一项负偏离扣5分，扣完为止。 注：①用户需求书要求提供证明资料的，则投标文件中须提供对应产品参数的证明资料。 ②用户需求书未要求提供证明资料的，则投标文件中须提供所投产品制造商的公开网址链接及参数截图或制造商针对本项目所作的技术参数说明或国家认可的第三方检测机构出具的检测报告或制造商公开发行的彩页复印件等，并加盖投标人公章。 ③不提供证明材料或证明材料不符合要求均视为未响应。</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对投标人根据采购需求“项目实施要求”提供的项目实施方案（包含但不限于：①包装、运输及保管方案、②安装与调试方案）进行评分： （1）投标人所提供的项目实施方案详细完整，对设备的运输过程有针对性保障手段、明确实施所需的人员、物资和设备等资源，并安排合理，得10分； （2）投标人所提供的项目实施方案基本完整，对设备的运输过程有基本的保障手段，具备一定可行性，得6分； （3）投标人所提供的项目实施方案存在缺漏或缺失，项目实施方案无法满足项目要求，得2分； （4）未提供方案不得分。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对投标人根据采购需求“质量保证要求”提供的质量保证方案进行评分： （1）质量目标清晰明确，质量控制措施合理可行，质量保证体系系统科学、保证措施严谨规范，质量保证方案内容完善详细的，得10分； （2）质量目标明确，质量控制措施合理可行，质量保证体系及保证措施较规范，质量保证方案内容较详细的，得6分； （3）质量目标基本明确，质量控制措施、质量保证体系及保证措施方案简单，质量保证方案内容简单的，得2分； （4）未提供对应方案的不得分。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对投标人根据采购需求“培训要求”提供的培训方案（包含但不限于：①培训内容②培训形式③培训实施计划）进行评分： （1）培训方案详尽全面，方案中明确列出了培训的内容、形式、时间、培训师资质、培训效果评估及后续支持措施，确保采购人技术人员能够全面掌握设备的基本操作、日常维护、故障排除及优化使用等知识，提供了对不合格人员提供免费重修及定期回访等具体措施，得8分； （2）培训方案基本满足采购文件要求，具备一定合理性，某些具体细节上存在一定的不足或偏差，得5分； （3）培训方案存在缺漏，存在较大的偏差或不足，缺乏合理性，得2分； （4）未提供不得分。</w:t>
            </w:r>
          </w:p>
        </w:tc>
      </w:tr>
      <w:tr>
        <w:tc>
          <w:tcPr>
            <w:tcW w:type="dxa" w:w="922"/>
            <w:gridSpan w:val="2"/>
            <w:vMerge/>
          </w:tcPr>
          <w:p/>
        </w:tc>
        <w:tc>
          <w:tcPr>
            <w:tcW w:type="dxa" w:w="2307"/>
          </w:tcPr>
          <w:p>
            <w:pPr>
              <w:pStyle w:val="null3"/>
              <w:jc w:val="left"/>
            </w:pPr>
            <w:r>
              <w:rPr/>
              <w:t>项目进度管理方案 (7.0分)</w:t>
            </w:r>
          </w:p>
        </w:tc>
        <w:tc>
          <w:tcPr>
            <w:tcW w:type="dxa" w:w="5076"/>
          </w:tcPr>
          <w:p>
            <w:pPr>
              <w:pStyle w:val="null3"/>
              <w:jc w:val="left"/>
            </w:pPr>
            <w:r>
              <w:rPr/>
              <w:t>对投标人根据采购需求“项目进度管理要求”提供的项目进度管理方案进行评分： （1）进度计划完整覆盖供货、运输到货全过程，阶段划分清晰、关键节点明确且有控制措施，进度保障措施具体可行，风险识别全面、应对措施针对性强，完全满足项目工期要求，得7分； （2）进度计划基本覆盖各主要阶段，有关键节点说明及保障措施，能满足项目整体工期要求，但风险应对或节点控制措施不够具体，得4分； （3）进度计划存在明显缺漏，缺少关键阶段或节点控制，保障措施及风险应对笼统，难以有效保证项目按期交付，得1分； （4）未提供方案或方案与本项目无关，不得分。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p>
        </w:tc>
        <w:tc>
          <w:tcPr>
            <w:tcW w:type="dxa" w:w="5076"/>
          </w:tcPr>
          <w:p>
            <w:pPr>
              <w:pStyle w:val="null3"/>
              <w:jc w:val="left"/>
            </w:pPr>
            <w:r>
              <w:rPr/>
              <w:t>投标人具有由国家认证认可监督管理部门批准设立的认证机构颁发并在有效期内的质量管理体系认证证书，得3分。 注：须提供证书复印件，同时提供在“全国认证认可信息公共服务平台”（http://cx.cnca.cn）对体系证书的信息查询截图作为评审依据，已失效、撤销、暂停或不提供的不得分。以上证书如因企业成立时间不足3个月的原因而未能获得认证，可对应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投标人提供自2023年1月1日以来（以合同签订时间为准）具有实验室设备类销售业绩，每提供一个有效业绩得1分，最高得10分。 须提供合同复印件加盖投标人公章，以合同签订时间为准。</w:t>
            </w:r>
          </w:p>
        </w:tc>
      </w:tr>
      <w:tr>
        <w:tc>
          <w:tcPr>
            <w:tcW w:type="dxa" w:w="922"/>
            <w:gridSpan w:val="2"/>
            <w:vMerge/>
          </w:tcPr>
          <w:p/>
        </w:tc>
        <w:tc>
          <w:tcPr>
            <w:tcW w:type="dxa" w:w="2307"/>
          </w:tcPr>
          <w:p>
            <w:pPr>
              <w:pStyle w:val="null3"/>
              <w:jc w:val="left"/>
            </w:pPr>
            <w:r>
              <w:rPr/>
              <w:t>日常维护方案 (4.0分)</w:t>
            </w:r>
          </w:p>
        </w:tc>
        <w:tc>
          <w:tcPr>
            <w:tcW w:type="dxa" w:w="5076"/>
          </w:tcPr>
          <w:p>
            <w:pPr>
              <w:pStyle w:val="null3"/>
              <w:jc w:val="left"/>
            </w:pPr>
            <w:r>
              <w:rPr/>
              <w:t>对投标人根据采购需求“售后服务要求”的“2.日常维护要求”提供的日常维护方案（包括但不限于：①运维团队配置②运维服务内容和方式③项目巡检方案）进行评分： （1）运维团队配置合理，运维服务内容（包括技术指导、功能优化等）和方式（包括提供网络支持与现场服务等多种方式）详尽具体，有详细的项目巡检方案，完全符合采购需求的要求，得4分； （2）运维团队配置基本合理，运维服务内容和方式涵盖了主要内容，有基本可行的项目巡检方案，基本符合采购需求的要求，得2分； （3）运维团队配置缺乏合理性，或运维服务内容和方式单一，或巡检方案有缺失，得1分； （4）未提供不得分。</w:t>
            </w:r>
          </w:p>
        </w:tc>
      </w:tr>
      <w:tr>
        <w:tc>
          <w:tcPr>
            <w:tcW w:type="dxa" w:w="922"/>
            <w:gridSpan w:val="2"/>
            <w:vMerge/>
          </w:tcPr>
          <w:p/>
        </w:tc>
        <w:tc>
          <w:tcPr>
            <w:tcW w:type="dxa" w:w="2307"/>
          </w:tcPr>
          <w:p>
            <w:pPr>
              <w:pStyle w:val="null3"/>
              <w:jc w:val="left"/>
            </w:pPr>
            <w:r>
              <w:rPr/>
              <w:t>应急维护预案 (3.0分)</w:t>
            </w:r>
          </w:p>
        </w:tc>
        <w:tc>
          <w:tcPr>
            <w:tcW w:type="dxa" w:w="5076"/>
          </w:tcPr>
          <w:p>
            <w:pPr>
              <w:pStyle w:val="null3"/>
              <w:jc w:val="left"/>
            </w:pPr>
            <w:r>
              <w:rPr/>
              <w:t>对投标人根据采购需求“售后服务要求”的“3.应急维护要求”提供的应急维护预案（包括但不限于①应急响应时间②应急维护措施）进行评分： （1）应急维护预案详细完整，具有详细的应急响应计划，有明确发生故障时的应对措施和流程（包括服务热线的设立、售后服务人员的即时响应机制、远程处理或现场分析的承诺，以及规定时间内解决问题的要求），完全符合用户需求的要求，得3分。 （2）应急维护预案基本完整，涵盖了应急响应的主要环节（如服务热线、响应时间和问题解决流程等），基本符合用户需求的要求，得2分。 （3）应急维护预案有缺漏，或不能满足用户需求的要求，得1分。 （4）未提供不得分。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广东医科大学荧光光谱仪更新采购项目合同</w:t>
      </w:r>
    </w:p>
    <w:p>
      <w:pPr>
        <w:pStyle w:val="null3"/>
        <w:spacing w:before="240" w:after="240"/>
        <w:jc w:val="center"/>
      </w:pPr>
      <w:r>
        <w:rPr>
          <w:sz w:val="28"/>
          <w:b/>
        </w:rPr>
        <w:t>[</w:t>
      </w:r>
      <w:r>
        <w:rPr>
          <w:sz w:val="28"/>
          <w:b/>
        </w:rPr>
        <w:t>项目编号：]</w:t>
      </w:r>
    </w:p>
    <w:p>
      <w:pPr>
        <w:pStyle w:val="null3"/>
        <w:spacing w:before="240" w:after="240"/>
        <w:jc w:val="center"/>
      </w:pPr>
      <w:r>
        <w:rPr>
          <w:sz w:val="28"/>
          <w:b/>
        </w:rPr>
        <w:t>[</w:t>
      </w:r>
      <w:r>
        <w:rPr>
          <w:sz w:val="28"/>
          <w:b/>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2874"/>
        <w:gridCol w:w="5432"/>
      </w:tblGrid>
      <w:tr>
        <w:tc>
          <w:tcPr>
            <w:tcW w:type="dxa" w:w="2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甲方：</w:t>
            </w:r>
          </w:p>
        </w:tc>
        <w:tc>
          <w:tcPr>
            <w:tcW w:type="dxa" w:w="5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乙方：</w:t>
            </w:r>
          </w:p>
        </w:tc>
        <w:tc>
          <w:tcPr>
            <w:tcW w:type="dxa" w:w="5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sz w:val="24"/>
          <w:b/>
        </w:rPr>
        <w:t>广东医科大学荧光光谱仪更新采购项目合同</w:t>
      </w:r>
    </w:p>
    <w:p>
      <w:pPr>
        <w:pStyle w:val="null3"/>
        <w:ind w:firstLine="420"/>
        <w:jc w:val="both"/>
      </w:pPr>
      <w:r>
        <w:rPr>
          <w:sz w:val="21"/>
        </w:rPr>
        <w:t>甲方：</w:t>
      </w:r>
    </w:p>
    <w:p>
      <w:pPr>
        <w:pStyle w:val="null3"/>
        <w:ind w:firstLine="420"/>
        <w:jc w:val="both"/>
      </w:pPr>
      <w:r>
        <w:rPr>
          <w:sz w:val="21"/>
        </w:rPr>
        <w:t>乙方：</w:t>
      </w:r>
    </w:p>
    <w:p>
      <w:pPr>
        <w:pStyle w:val="null3"/>
        <w:ind w:firstLine="420"/>
        <w:jc w:val="both"/>
      </w:pPr>
      <w:r>
        <w:rPr>
          <w:sz w:val="21"/>
        </w:rPr>
        <w:t>根据</w:t>
      </w:r>
      <w:r>
        <w:rPr>
          <w:sz w:val="20"/>
        </w:rPr>
        <w:t xml:space="preserve">  </w:t>
      </w:r>
      <w:r>
        <w:rPr>
          <w:sz w:val="21"/>
        </w:rPr>
        <w:t>年</w:t>
      </w:r>
      <w:r>
        <w:rPr>
          <w:sz w:val="20"/>
        </w:rPr>
        <w:t xml:space="preserve">  </w:t>
      </w:r>
      <w:r>
        <w:rPr>
          <w:sz w:val="21"/>
        </w:rPr>
        <w:t>月</w:t>
      </w:r>
      <w:r>
        <w:rPr>
          <w:sz w:val="20"/>
        </w:rPr>
        <w:t xml:space="preserve">  </w:t>
      </w:r>
      <w:r>
        <w:rPr>
          <w:sz w:val="21"/>
        </w:rPr>
        <w:t>日由</w:t>
      </w:r>
      <w:r>
        <w:rPr>
          <w:sz w:val="21"/>
        </w:rPr>
        <w:t>广东中元招标代理有限公司</w:t>
      </w:r>
      <w:r>
        <w:rPr>
          <w:sz w:val="21"/>
        </w:rPr>
        <w:t>组织的广东医科大学</w:t>
      </w:r>
      <w:r>
        <w:rPr>
          <w:sz w:val="21"/>
        </w:rPr>
        <w:t>荧光</w:t>
      </w:r>
      <w:r>
        <w:rPr>
          <w:sz w:val="21"/>
        </w:rPr>
        <w:t>光谱仪更新采购项目（项目编号：</w:t>
      </w:r>
      <w:r>
        <w:rPr>
          <w:sz w:val="20"/>
        </w:rPr>
        <w:t xml:space="preserve">             </w:t>
      </w:r>
      <w:r>
        <w:rPr>
          <w:sz w:val="21"/>
        </w:rPr>
        <w:t>）的要求，按照《中华人民共和国民法典》的相关规定，本着平等互利和诚实信用的原则，经甲、乙双方协商一致，为明确双方责任和权利，特签订本合同，共同遵守。具体条款如下：</w:t>
      </w:r>
    </w:p>
    <w:p>
      <w:pPr>
        <w:pStyle w:val="null3"/>
        <w:ind w:firstLine="422"/>
        <w:jc w:val="both"/>
      </w:pPr>
      <w:r>
        <w:rPr>
          <w:sz w:val="21"/>
          <w:b/>
        </w:rPr>
        <w:t>一、供货品目及金额（技术参数详见附件清单）</w:t>
      </w:r>
    </w:p>
    <w:tbl>
      <w:tblPr>
        <w:tblW w:w="0" w:type="auto"/>
        <w:tblBorders>
          <w:top w:val="none" w:color="000000" w:sz="4"/>
          <w:left w:val="none" w:color="000000" w:sz="4"/>
          <w:bottom w:val="none" w:color="000000" w:sz="4"/>
          <w:right w:val="none" w:color="000000" w:sz="4"/>
          <w:insideH w:val="none"/>
          <w:insideV w:val="none"/>
        </w:tblBorders>
      </w:tblPr>
      <w:tblGrid>
        <w:gridCol w:w="612"/>
        <w:gridCol w:w="1049"/>
        <w:gridCol w:w="1137"/>
        <w:gridCol w:w="1049"/>
        <w:gridCol w:w="612"/>
        <w:gridCol w:w="699"/>
        <w:gridCol w:w="1224"/>
        <w:gridCol w:w="1224"/>
        <w:gridCol w:w="699"/>
      </w:tblGrid>
      <w:tr>
        <w:tc>
          <w:tcPr>
            <w:tcW w:type="dxa" w:w="612"/>
            <w:tcBorders>
              <w:top w:val="double" w:color="000000" w:sz="8"/>
              <w:left w:val="double" w:color="000000" w:sz="8"/>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049"/>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货物名称</w:t>
            </w:r>
          </w:p>
        </w:tc>
        <w:tc>
          <w:tcPr>
            <w:tcW w:type="dxa" w:w="1137"/>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w:t>
            </w:r>
          </w:p>
          <w:p>
            <w:pPr>
              <w:pStyle w:val="null3"/>
              <w:jc w:val="center"/>
            </w:pPr>
            <w:r>
              <w:rPr>
                <w:sz w:val="21"/>
                <w:b/>
              </w:rPr>
              <w:t>制造商</w:t>
            </w:r>
          </w:p>
        </w:tc>
        <w:tc>
          <w:tcPr>
            <w:tcW w:type="dxa" w:w="1049"/>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型号规格</w:t>
            </w:r>
          </w:p>
        </w:tc>
        <w:tc>
          <w:tcPr>
            <w:tcW w:type="dxa" w:w="612"/>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699"/>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1224"/>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单价（元）</w:t>
            </w:r>
          </w:p>
        </w:tc>
        <w:tc>
          <w:tcPr>
            <w:tcW w:type="dxa" w:w="1224"/>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总价（元）</w:t>
            </w:r>
          </w:p>
        </w:tc>
        <w:tc>
          <w:tcPr>
            <w:tcW w:type="dxa" w:w="699"/>
            <w:tcBorders>
              <w:top w:val="double" w:color="000000" w:sz="8"/>
              <w:left w:val="none" w:color="000000" w:sz="4"/>
              <w:bottom w:val="single" w:color="000000" w:sz="4"/>
              <w:right w:val="double" w:color="000000" w:sz="8"/>
            </w:tcBorders>
            <w:tcMar>
              <w:top w:type="dxa" w:w="0"/>
              <w:left w:type="dxa" w:w="105"/>
              <w:bottom w:type="dxa" w:w="0"/>
              <w:right w:type="dxa" w:w="105"/>
            </w:tcMar>
          </w:tcPr>
          <w:p>
            <w:pPr>
              <w:pStyle w:val="null3"/>
              <w:jc w:val="center"/>
            </w:pPr>
            <w:r>
              <w:rPr>
                <w:sz w:val="21"/>
                <w:b/>
              </w:rPr>
              <w:t>备注</w:t>
            </w:r>
          </w:p>
        </w:tc>
      </w:tr>
      <w:tr>
        <w:tc>
          <w:tcPr>
            <w:tcW w:type="dxa" w:w="612"/>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12"/>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12"/>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8305"/>
            <w:gridSpan w:val="9"/>
            <w:tcBorders>
              <w:top w:val="none" w:color="000000" w:sz="4"/>
              <w:left w:val="double" w:color="000000" w:sz="8"/>
              <w:bottom w:val="double" w:color="000000" w:sz="8"/>
              <w:right w:val="double" w:color="000000" w:sz="8"/>
            </w:tcBorders>
            <w:tcMar>
              <w:top w:type="dxa" w:w="0"/>
              <w:left w:type="dxa" w:w="105"/>
              <w:bottom w:type="dxa" w:w="0"/>
              <w:right w:type="dxa" w:w="105"/>
            </w:tcMar>
          </w:tcPr>
          <w:p>
            <w:pPr>
              <w:pStyle w:val="null3"/>
              <w:jc w:val="right"/>
            </w:pPr>
            <w:r>
              <w:rPr>
                <w:sz w:val="21"/>
              </w:rPr>
              <w:t>总计：人民币        整（￥0.00）</w:t>
            </w:r>
          </w:p>
        </w:tc>
      </w:tr>
    </w:tbl>
    <w:p>
      <w:pPr>
        <w:pStyle w:val="null3"/>
        <w:ind w:firstLine="420"/>
        <w:jc w:val="both"/>
      </w:pPr>
      <w:r>
        <w:rPr>
          <w:sz w:val="21"/>
        </w:rPr>
        <w:t>1</w:t>
      </w:r>
      <w:r>
        <w:rPr>
          <w:sz w:val="21"/>
        </w:rPr>
        <w:t>、此合同价格为规定地点交货价（包括货物报价、运输费、装卸费、保险费、安装调试费、技术培训费、税金及免费保修期内所发生的维修、维护费等所有费用。）</w:t>
      </w:r>
    </w:p>
    <w:p>
      <w:pPr>
        <w:pStyle w:val="null3"/>
        <w:ind w:firstLine="420"/>
        <w:jc w:val="both"/>
      </w:pPr>
      <w:r>
        <w:rPr>
          <w:sz w:val="21"/>
        </w:rPr>
        <w:t>2</w:t>
      </w:r>
      <w:r>
        <w:rPr>
          <w:sz w:val="21"/>
        </w:rPr>
        <w:t>、如为合同货物为进口产品，报价还需包含进口产品的外贸公司进口代理费（如进口代理手费续、银行手续费、海关监管手续费、报关报检费用、商检费用、申办免税机电批文费用、机场码头费等）。甲方享受海关科教用品免税政策，但如国家政策原因影响导致不能办理免税或免税外加征关税所产生的税金，或因乙方原因自愿放弃办理免税所产生的税金，均由乙方承担。</w:t>
      </w:r>
    </w:p>
    <w:p>
      <w:pPr>
        <w:pStyle w:val="null3"/>
        <w:ind w:firstLine="420"/>
        <w:jc w:val="both"/>
      </w:pPr>
      <w:r>
        <w:rPr>
          <w:sz w:val="21"/>
        </w:rPr>
        <w:t>3</w:t>
      </w:r>
      <w:r>
        <w:rPr>
          <w:sz w:val="21"/>
        </w:rPr>
        <w:t>、如实际到货产品及施工材料数量、型号等发生变更，合同总价相应调整，具体结算金额以甲方核算的金额为准。</w:t>
      </w:r>
    </w:p>
    <w:p>
      <w:pPr>
        <w:pStyle w:val="null3"/>
        <w:ind w:firstLine="422"/>
        <w:jc w:val="both"/>
      </w:pPr>
      <w:r>
        <w:rPr>
          <w:sz w:val="21"/>
          <w:b/>
        </w:rPr>
        <w:t>二、货品质量要求</w:t>
      </w:r>
    </w:p>
    <w:p>
      <w:pPr>
        <w:pStyle w:val="null3"/>
        <w:ind w:firstLine="420"/>
        <w:jc w:val="both"/>
      </w:pPr>
      <w:r>
        <w:rPr>
          <w:sz w:val="21"/>
        </w:rPr>
        <w:t>1</w:t>
      </w:r>
      <w:r>
        <w:rPr>
          <w:sz w:val="21"/>
        </w:rPr>
        <w:t>、乙方提供的货品必须符合中华人民共和国国家安全环保标准以及该产品的出厂标准。</w:t>
      </w:r>
    </w:p>
    <w:p>
      <w:pPr>
        <w:pStyle w:val="null3"/>
        <w:ind w:firstLine="420"/>
        <w:jc w:val="both"/>
      </w:pPr>
      <w:r>
        <w:rPr>
          <w:sz w:val="21"/>
        </w:rPr>
        <w:t>2</w:t>
      </w:r>
      <w:r>
        <w:rPr>
          <w:sz w:val="21"/>
        </w:rPr>
        <w:t>、本合同全部工程所需之材料及设备由乙方负责提供，并提供质量保证。乙方提供的货品必须是全新的原装设备（含零件、配件、随机工具等），表面无划伤、无碰撞且性能稳定。</w:t>
      </w:r>
    </w:p>
    <w:p>
      <w:pPr>
        <w:pStyle w:val="null3"/>
        <w:ind w:firstLine="420"/>
        <w:jc w:val="both"/>
      </w:pPr>
      <w:r>
        <w:rPr>
          <w:sz w:val="21"/>
        </w:rPr>
        <w:t>3</w:t>
      </w:r>
      <w:r>
        <w:rPr>
          <w:sz w:val="21"/>
        </w:rPr>
        <w:t>、因货品的质量问题发生争议，甲方有权委托相关质量技术监督部门进行质量鉴定，鉴定费由乙方承担。</w:t>
      </w:r>
    </w:p>
    <w:p>
      <w:pPr>
        <w:pStyle w:val="null3"/>
        <w:ind w:firstLine="420"/>
        <w:jc w:val="both"/>
      </w:pPr>
      <w:r>
        <w:rPr>
          <w:sz w:val="21"/>
        </w:rPr>
        <w:t>4</w:t>
      </w:r>
      <w:r>
        <w:rPr>
          <w:sz w:val="21"/>
        </w:rPr>
        <w:t>、乙方负责仪器设备的安装调试，并对本合同的所有设备及线路（天灾或人为因素除外）提供</w:t>
      </w:r>
      <w:r>
        <w:rPr>
          <w:sz w:val="20"/>
          <w:u w:val="single"/>
        </w:rPr>
        <w:t xml:space="preserve">   </w:t>
      </w:r>
      <w:r>
        <w:rPr>
          <w:sz w:val="21"/>
        </w:rPr>
        <w:t>年免费保修。</w:t>
      </w:r>
    </w:p>
    <w:p>
      <w:pPr>
        <w:pStyle w:val="null3"/>
        <w:ind w:firstLine="420"/>
        <w:jc w:val="both"/>
      </w:pPr>
      <w:r>
        <w:rPr>
          <w:sz w:val="21"/>
        </w:rPr>
        <w:t>5</w:t>
      </w:r>
      <w:r>
        <w:rPr>
          <w:sz w:val="21"/>
        </w:rPr>
        <w:t>、货物的包装均应有良好的防湿、防锈、防潮、防雨、防腐及防碰撞的措施。凡由于包装不良造成的损失和由此产生的费用均由乙方承担。</w:t>
      </w:r>
    </w:p>
    <w:p>
      <w:pPr>
        <w:pStyle w:val="null3"/>
        <w:ind w:firstLine="420"/>
        <w:jc w:val="both"/>
      </w:pPr>
      <w:r>
        <w:rPr>
          <w:sz w:val="21"/>
        </w:rPr>
        <w:t>6</w:t>
      </w:r>
      <w:r>
        <w:rPr>
          <w:sz w:val="21"/>
        </w:rPr>
        <w:t>、如果合同货物运输和调试过程中因事故造成货物短缺、损坏，乙方应及时安排换装，以保证合同货物调试的成功完成，换货的相关费用由乙方承担。</w:t>
      </w:r>
    </w:p>
    <w:p>
      <w:pPr>
        <w:pStyle w:val="null3"/>
        <w:ind w:firstLine="420"/>
        <w:jc w:val="both"/>
      </w:pPr>
      <w:r>
        <w:rPr>
          <w:sz w:val="21"/>
        </w:rPr>
        <w:t>7</w:t>
      </w:r>
      <w:r>
        <w:rPr>
          <w:sz w:val="21"/>
        </w:rPr>
        <w:t>、乙方保证合同项下提供的设备不侵犯任何第三方的专利、商标或版权。否则，乙方须承担对第三方的专利或版权的侵权责任并承担因此而发生的所有费用。</w:t>
      </w:r>
    </w:p>
    <w:p>
      <w:pPr>
        <w:pStyle w:val="null3"/>
        <w:ind w:firstLine="422"/>
        <w:jc w:val="both"/>
      </w:pPr>
      <w:r>
        <w:rPr>
          <w:sz w:val="21"/>
          <w:b/>
        </w:rPr>
        <w:t>三、交货及验收：</w:t>
      </w:r>
    </w:p>
    <w:p>
      <w:pPr>
        <w:pStyle w:val="null3"/>
        <w:ind w:firstLine="420"/>
        <w:jc w:val="both"/>
      </w:pPr>
      <w:r>
        <w:rPr>
          <w:sz w:val="21"/>
        </w:rPr>
        <w:t>1</w:t>
      </w:r>
      <w:r>
        <w:rPr>
          <w:sz w:val="21"/>
        </w:rPr>
        <w:t>、自合同签订之日起，</w:t>
      </w:r>
      <w:r>
        <w:rPr>
          <w:sz w:val="21"/>
        </w:rPr>
        <w:t>6</w:t>
      </w:r>
      <w:r>
        <w:rPr>
          <w:sz w:val="21"/>
        </w:rPr>
        <w:t>0</w:t>
      </w:r>
      <w:r>
        <w:rPr>
          <w:sz w:val="21"/>
        </w:rPr>
        <w:t>日内完成供货、安装和调试。</w:t>
      </w:r>
    </w:p>
    <w:p>
      <w:pPr>
        <w:pStyle w:val="null3"/>
        <w:ind w:firstLine="420"/>
        <w:jc w:val="both"/>
      </w:pPr>
      <w:r>
        <w:rPr>
          <w:sz w:val="21"/>
        </w:rPr>
        <w:t>2</w:t>
      </w:r>
      <w:r>
        <w:rPr>
          <w:sz w:val="21"/>
        </w:rPr>
        <w:t>、交货地点：广东医科大学东莞校区。</w:t>
      </w:r>
    </w:p>
    <w:p>
      <w:pPr>
        <w:pStyle w:val="null3"/>
        <w:ind w:firstLine="420"/>
        <w:jc w:val="both"/>
      </w:pPr>
      <w:r>
        <w:rPr>
          <w:sz w:val="21"/>
        </w:rPr>
        <w:t>3</w:t>
      </w:r>
      <w:r>
        <w:rPr>
          <w:sz w:val="21"/>
        </w:rPr>
        <w:t>、交货要求：全部货物现场开封，验收时如发现所交付的设备有短缺、次品、损坏或其它不符合本合同规定之情形者，甲方应做出详尽的现场记录，或由甲乙双方签署备忘录。此现场记录或备忘录可用作补充、缺失和更换损坏部件的有效证据，由此产生的有关费用由乙方承担。其它验收细则以乙方在投标文件提供的设备技术资料及双方签订的合同条款为准。</w:t>
      </w:r>
    </w:p>
    <w:p>
      <w:pPr>
        <w:pStyle w:val="null3"/>
        <w:ind w:firstLine="420"/>
        <w:jc w:val="both"/>
      </w:pPr>
      <w:r>
        <w:rPr>
          <w:sz w:val="21"/>
        </w:rPr>
        <w:t>4</w:t>
      </w:r>
      <w:r>
        <w:rPr>
          <w:sz w:val="21"/>
        </w:rPr>
        <w:t>、设备的安装与调试：</w:t>
      </w:r>
    </w:p>
    <w:p>
      <w:pPr>
        <w:pStyle w:val="null3"/>
        <w:ind w:firstLine="420"/>
        <w:jc w:val="both"/>
      </w:pPr>
      <w:r>
        <w:rPr>
          <w:sz w:val="21"/>
        </w:rPr>
        <w:t>（</w:t>
      </w:r>
      <w:r>
        <w:rPr>
          <w:sz w:val="21"/>
        </w:rPr>
        <w:t>1</w:t>
      </w:r>
      <w:r>
        <w:rPr>
          <w:sz w:val="21"/>
        </w:rPr>
        <w:t>）乙方应派有资质的技术人员到甲方指定地点完成合同项下的安装与调试，并将设备调试到最佳状态。</w:t>
      </w:r>
    </w:p>
    <w:p>
      <w:pPr>
        <w:pStyle w:val="null3"/>
        <w:ind w:firstLine="420"/>
        <w:jc w:val="both"/>
      </w:pPr>
      <w:r>
        <w:rPr>
          <w:sz w:val="21"/>
        </w:rPr>
        <w:t>（</w:t>
      </w:r>
      <w:r>
        <w:rPr>
          <w:sz w:val="21"/>
        </w:rPr>
        <w:t>2</w:t>
      </w:r>
      <w:r>
        <w:rPr>
          <w:sz w:val="21"/>
        </w:rPr>
        <w:t>）乙方技术人员在甲方现场进行安装与调试，安装与调试所产生的一切费用由乙方负责。</w:t>
      </w:r>
    </w:p>
    <w:p>
      <w:pPr>
        <w:pStyle w:val="null3"/>
        <w:ind w:firstLine="420"/>
        <w:jc w:val="both"/>
      </w:pPr>
      <w:r>
        <w:rPr>
          <w:sz w:val="21"/>
        </w:rPr>
        <w:t>（</w:t>
      </w:r>
      <w:r>
        <w:rPr>
          <w:sz w:val="21"/>
        </w:rPr>
        <w:t>3</w:t>
      </w:r>
      <w:r>
        <w:rPr>
          <w:sz w:val="21"/>
        </w:rPr>
        <w:t>）如因乙方责任造成的延期，所有因安装与调试延期而产生的费用由乙方负责。</w:t>
      </w:r>
    </w:p>
    <w:p>
      <w:pPr>
        <w:pStyle w:val="null3"/>
        <w:ind w:firstLine="420"/>
        <w:jc w:val="both"/>
      </w:pPr>
      <w:r>
        <w:rPr>
          <w:sz w:val="21"/>
        </w:rPr>
        <w:t>（</w:t>
      </w:r>
      <w:r>
        <w:rPr>
          <w:sz w:val="21"/>
        </w:rPr>
        <w:t>4</w:t>
      </w:r>
      <w:r>
        <w:rPr>
          <w:sz w:val="21"/>
        </w:rPr>
        <w:t>）乙方进行设备安装与调试时，须对各安装与调试场地内的其它设备、设施有良好的保护措施，如因妨碍施工而需要搬迁或移动的设备，施工完毕后，乙方应予以恢复原貌。如造成设备或设施损坏，乙方需给甲方相应赔偿。</w:t>
      </w:r>
    </w:p>
    <w:p>
      <w:pPr>
        <w:pStyle w:val="null3"/>
        <w:ind w:firstLine="420"/>
        <w:jc w:val="both"/>
      </w:pPr>
      <w:r>
        <w:rPr>
          <w:sz w:val="21"/>
        </w:rPr>
        <w:t>（</w:t>
      </w:r>
      <w:r>
        <w:rPr>
          <w:sz w:val="21"/>
        </w:rPr>
        <w:t>5</w:t>
      </w:r>
      <w:r>
        <w:rPr>
          <w:sz w:val="21"/>
        </w:rPr>
        <w:t>）货物及订制所需材料在实施订制及安装前需通知甲方代表查验相关货物的出厂合格证或出厂测试报告、序列号、包装箱号与出厂批号等资料，并可追索查阅。所有随设备的附件必须齐全，以备验收使用。</w:t>
      </w:r>
    </w:p>
    <w:p>
      <w:pPr>
        <w:pStyle w:val="null3"/>
        <w:ind w:firstLine="420"/>
        <w:jc w:val="both"/>
      </w:pPr>
      <w:r>
        <w:rPr>
          <w:sz w:val="21"/>
        </w:rPr>
        <w:t>（</w:t>
      </w:r>
      <w:r>
        <w:rPr>
          <w:sz w:val="21"/>
        </w:rPr>
        <w:t>6</w:t>
      </w:r>
      <w:r>
        <w:rPr>
          <w:sz w:val="21"/>
        </w:rPr>
        <w:t>）调试要求：乙方必须依照招标文件的要求和投标文件的承诺，将设备、系统安装并调试至正常运行的最佳状态。</w:t>
      </w:r>
    </w:p>
    <w:p>
      <w:pPr>
        <w:pStyle w:val="null3"/>
        <w:ind w:firstLine="420"/>
        <w:jc w:val="both"/>
      </w:pPr>
      <w:r>
        <w:rPr>
          <w:sz w:val="21"/>
        </w:rPr>
        <w:t>5</w:t>
      </w:r>
      <w:r>
        <w:rPr>
          <w:sz w:val="21"/>
        </w:rPr>
        <w:t>、技术培训：设备调试过程中及设备使用前，乙方技术人员应免费负责对甲方人员进行设备使用、维护保养及技术操作方面的相关培训，同时，乙方技术人员要预留时间作为用户熟悉设备的现场指导。培训的时间、地点由甲方指定。</w:t>
      </w:r>
    </w:p>
    <w:p>
      <w:pPr>
        <w:pStyle w:val="null3"/>
        <w:ind w:firstLine="420"/>
        <w:jc w:val="both"/>
      </w:pPr>
      <w:r>
        <w:rPr>
          <w:sz w:val="21"/>
        </w:rPr>
        <w:t>6</w:t>
      </w:r>
      <w:r>
        <w:rPr>
          <w:sz w:val="21"/>
        </w:rPr>
        <w:t>、设备验收：</w:t>
      </w:r>
    </w:p>
    <w:p>
      <w:pPr>
        <w:pStyle w:val="null3"/>
        <w:ind w:firstLine="420"/>
        <w:jc w:val="both"/>
      </w:pPr>
      <w:r>
        <w:rPr>
          <w:sz w:val="21"/>
        </w:rPr>
        <w:t>（</w:t>
      </w:r>
      <w:r>
        <w:rPr>
          <w:sz w:val="21"/>
        </w:rPr>
        <w:t>1</w:t>
      </w:r>
      <w:r>
        <w:rPr>
          <w:sz w:val="21"/>
        </w:rPr>
        <w:t>）交付验收标准依次序对照适用标准为：</w:t>
      </w:r>
    </w:p>
    <w:p>
      <w:pPr>
        <w:pStyle w:val="null3"/>
        <w:ind w:firstLine="420"/>
        <w:jc w:val="both"/>
      </w:pPr>
      <w:r>
        <w:rPr>
          <w:sz w:val="21"/>
        </w:rPr>
        <w:t>①</w:t>
      </w:r>
      <w:r>
        <w:rPr>
          <w:sz w:val="21"/>
        </w:rPr>
        <w:t>符合中华人民共和国国家安全质量标准、环保标准或行业标准；</w:t>
      </w:r>
    </w:p>
    <w:p>
      <w:pPr>
        <w:pStyle w:val="null3"/>
        <w:ind w:firstLine="420"/>
        <w:jc w:val="both"/>
      </w:pPr>
      <w:r>
        <w:rPr>
          <w:sz w:val="21"/>
        </w:rPr>
        <w:t>②</w:t>
      </w:r>
      <w:r>
        <w:rPr>
          <w:sz w:val="21"/>
        </w:rPr>
        <w:t>符合甲方认可的合理最佳配置、参数及各项要求；</w:t>
      </w:r>
    </w:p>
    <w:p>
      <w:pPr>
        <w:pStyle w:val="null3"/>
        <w:ind w:firstLine="420"/>
        <w:jc w:val="both"/>
      </w:pPr>
      <w:r>
        <w:rPr>
          <w:sz w:val="21"/>
        </w:rPr>
        <w:t>（</w:t>
      </w:r>
      <w:r>
        <w:rPr>
          <w:sz w:val="21"/>
        </w:rPr>
        <w:t>2</w:t>
      </w:r>
      <w:r>
        <w:rPr>
          <w:sz w:val="21"/>
        </w:rPr>
        <w:t>）进口产品必须具备原产地证明和商检局的检验证明及合法进货渠道证明。（如有适用）</w:t>
      </w:r>
    </w:p>
    <w:p>
      <w:pPr>
        <w:pStyle w:val="null3"/>
        <w:ind w:firstLine="420"/>
        <w:jc w:val="both"/>
      </w:pPr>
      <w:r>
        <w:rPr>
          <w:sz w:val="21"/>
        </w:rPr>
        <w:t>（</w:t>
      </w: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w:t>
      </w: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w:t>
      </w:r>
      <w:r>
        <w:rPr>
          <w:sz w:val="21"/>
        </w:rPr>
        <w:t>5</w:t>
      </w:r>
      <w:r>
        <w:rPr>
          <w:sz w:val="21"/>
        </w:rPr>
        <w:t>）设备安装调试完成后将进行为期</w:t>
      </w:r>
      <w:r>
        <w:rPr>
          <w:sz w:val="21"/>
        </w:rPr>
        <w:t>1</w:t>
      </w:r>
      <w:r>
        <w:rPr>
          <w:sz w:val="21"/>
        </w:rPr>
        <w:t>个月的试运行期，如设备运行正常则在试运行期结束后验收，否则，试运行期将顺延。验收应在甲乙双方共同参加下进行，必要时邀请相关的专业人员或机构参与验收。</w:t>
      </w:r>
    </w:p>
    <w:p>
      <w:pPr>
        <w:pStyle w:val="null3"/>
        <w:ind w:firstLine="420"/>
        <w:jc w:val="both"/>
      </w:pPr>
      <w:r>
        <w:rPr>
          <w:sz w:val="21"/>
        </w:rPr>
        <w:t>（</w:t>
      </w:r>
      <w:r>
        <w:rPr>
          <w:sz w:val="21"/>
        </w:rPr>
        <w:t>6</w:t>
      </w:r>
      <w:r>
        <w:rPr>
          <w:sz w:val="21"/>
        </w:rPr>
        <w:t>）乙方应在验收前，向甲方提供按本合同的技术规格、技术规范的要求进行的测试与验收方案，验收以投标文件、合同技术规格、产品相应的技术说明为标准，质量需符合国家对相关产品的质量标准。</w:t>
      </w:r>
    </w:p>
    <w:p>
      <w:pPr>
        <w:pStyle w:val="null3"/>
        <w:ind w:firstLine="420"/>
        <w:jc w:val="both"/>
      </w:pPr>
      <w:r>
        <w:rPr>
          <w:sz w:val="21"/>
        </w:rPr>
        <w:t>（</w:t>
      </w:r>
      <w:r>
        <w:rPr>
          <w:sz w:val="21"/>
        </w:rPr>
        <w:t>7</w:t>
      </w:r>
      <w:r>
        <w:rPr>
          <w:sz w:val="21"/>
        </w:rPr>
        <w:t>）验收由甲方对货物的质量、规格、数量和运行状况及其他进行检验。如发现任何一项与招标文件规定要求不符，甲方有权拒绝验收。</w:t>
      </w:r>
    </w:p>
    <w:p>
      <w:pPr>
        <w:pStyle w:val="null3"/>
        <w:ind w:firstLine="420"/>
        <w:jc w:val="both"/>
      </w:pPr>
      <w:r>
        <w:rPr>
          <w:sz w:val="21"/>
        </w:rPr>
        <w:t>（</w:t>
      </w:r>
      <w:r>
        <w:rPr>
          <w:sz w:val="21"/>
        </w:rPr>
        <w:t>8</w:t>
      </w:r>
      <w:r>
        <w:rPr>
          <w:sz w:val="21"/>
        </w:rPr>
        <w:t>）验收未能通过的，乙方负责及时整改。若整改后仍未合格的，甲方依法追究其经济及法律责任。</w:t>
      </w:r>
    </w:p>
    <w:p>
      <w:pPr>
        <w:pStyle w:val="null3"/>
        <w:ind w:firstLine="420"/>
        <w:jc w:val="both"/>
      </w:pPr>
      <w:r>
        <w:rPr>
          <w:sz w:val="21"/>
        </w:rPr>
        <w:t>（</w:t>
      </w:r>
      <w:r>
        <w:rPr>
          <w:sz w:val="21"/>
        </w:rPr>
        <w:t>9</w:t>
      </w:r>
      <w:r>
        <w:rPr>
          <w:sz w:val="21"/>
        </w:rPr>
        <w:t>）因货物的质量问题发生争议，由广东省或东莞市质检部门进行质量鉴定。货物符合质量标准的，鉴定费由甲方承担；货物不符合质量标准的，鉴定费由乙方承担，并负责免费退换该货物。</w:t>
      </w:r>
    </w:p>
    <w:p>
      <w:pPr>
        <w:pStyle w:val="null3"/>
        <w:ind w:firstLine="422"/>
        <w:jc w:val="both"/>
      </w:pPr>
      <w:r>
        <w:rPr>
          <w:sz w:val="21"/>
          <w:b/>
        </w:rPr>
        <w:t>四、付款：</w:t>
      </w:r>
    </w:p>
    <w:p>
      <w:pPr>
        <w:pStyle w:val="null3"/>
        <w:ind w:firstLine="420"/>
        <w:jc w:val="both"/>
      </w:pPr>
      <w:r>
        <w:rPr>
          <w:sz w:val="21"/>
        </w:rPr>
        <w:t>1</w:t>
      </w:r>
      <w:r>
        <w:rPr>
          <w:sz w:val="21"/>
        </w:rPr>
        <w:t>、签订合同前，乙方需缴纳合同总额的</w:t>
      </w:r>
      <w:r>
        <w:rPr>
          <w:sz w:val="21"/>
        </w:rPr>
        <w:t>5%</w:t>
      </w:r>
      <w:r>
        <w:rPr>
          <w:sz w:val="21"/>
        </w:rPr>
        <w:t>作为履约保证金给甲方。</w:t>
      </w:r>
    </w:p>
    <w:p>
      <w:pPr>
        <w:pStyle w:val="null3"/>
        <w:ind w:firstLine="420"/>
        <w:jc w:val="both"/>
      </w:pPr>
      <w:r>
        <w:rPr>
          <w:sz w:val="21"/>
        </w:rPr>
        <w:t>2</w:t>
      </w:r>
      <w:r>
        <w:rPr>
          <w:sz w:val="21"/>
        </w:rPr>
        <w:t>、履约保证金在项目验收合格之日起，如无违约等问题，则于</w:t>
      </w:r>
      <w:r>
        <w:rPr>
          <w:sz w:val="21"/>
        </w:rPr>
        <w:t>30</w:t>
      </w:r>
      <w:r>
        <w:rPr>
          <w:sz w:val="21"/>
        </w:rPr>
        <w:t>日内不计利息退还乙方。</w:t>
      </w:r>
    </w:p>
    <w:p>
      <w:pPr>
        <w:pStyle w:val="null3"/>
        <w:ind w:firstLine="420"/>
        <w:jc w:val="both"/>
      </w:pPr>
      <w:r>
        <w:rPr>
          <w:sz w:val="21"/>
        </w:rPr>
        <w:t>3</w:t>
      </w:r>
      <w:r>
        <w:rPr>
          <w:sz w:val="21"/>
        </w:rPr>
        <w:t>、进口产品：经外贸公司通过银行开出</w:t>
      </w:r>
      <w:r>
        <w:rPr>
          <w:sz w:val="21"/>
        </w:rPr>
        <w:t>100%L/C</w:t>
      </w:r>
      <w:r>
        <w:rPr>
          <w:sz w:val="21"/>
        </w:rPr>
        <w:t>（信用证）后，凭有效装运单证及</w:t>
      </w:r>
      <w:r>
        <w:rPr>
          <w:sz w:val="21"/>
        </w:rPr>
        <w:t>L/C</w:t>
      </w:r>
      <w:r>
        <w:rPr>
          <w:sz w:val="21"/>
        </w:rPr>
        <w:t>（信用证）规定的单证支付合同总额的</w:t>
      </w:r>
      <w:r>
        <w:rPr>
          <w:sz w:val="21"/>
        </w:rPr>
        <w:t>50%</w:t>
      </w:r>
      <w:r>
        <w:rPr>
          <w:sz w:val="21"/>
        </w:rPr>
        <w:t>；剩余</w:t>
      </w:r>
      <w:r>
        <w:rPr>
          <w:sz w:val="21"/>
        </w:rPr>
        <w:t>50</w:t>
      </w:r>
      <w:r>
        <w:rPr>
          <w:sz w:val="21"/>
        </w:rPr>
        <w:t>％的款项乙方需凭甲方发出的仪器设备合格验收报告方可支付。</w:t>
      </w:r>
    </w:p>
    <w:p>
      <w:pPr>
        <w:pStyle w:val="null3"/>
        <w:ind w:firstLine="420"/>
        <w:jc w:val="both"/>
      </w:pPr>
      <w:r>
        <w:rPr>
          <w:sz w:val="21"/>
        </w:rPr>
        <w:t>国产产品：（</w:t>
      </w:r>
      <w:r>
        <w:rPr>
          <w:sz w:val="21"/>
        </w:rPr>
        <w:t>1</w:t>
      </w:r>
      <w:r>
        <w:rPr>
          <w:sz w:val="21"/>
        </w:rPr>
        <w:t>）本项目验收合格，乙方经甲方计算出总金额后开具增值税专用发票，甲方收到发票之日起</w:t>
      </w:r>
      <w:r>
        <w:rPr>
          <w:sz w:val="21"/>
        </w:rPr>
        <w:t>10</w:t>
      </w:r>
      <w:r>
        <w:rPr>
          <w:sz w:val="21"/>
        </w:rPr>
        <w:t>个工作日内，向乙方支付合同结算总金额的全额。（</w:t>
      </w:r>
      <w:r>
        <w:rPr>
          <w:sz w:val="21"/>
        </w:rPr>
        <w:t>2</w:t>
      </w:r>
      <w:r>
        <w:rPr>
          <w:sz w:val="21"/>
        </w:rPr>
        <w:t>）若乙方为符合本项目规定的中小企业，按如下付款：</w:t>
      </w:r>
      <w:r>
        <w:rPr>
          <w:sz w:val="21"/>
        </w:rPr>
        <w:t>1</w:t>
      </w:r>
      <w:r>
        <w:rPr>
          <w:sz w:val="21"/>
        </w:rPr>
        <w:t>）合同签订后，乙方提供标的订货订单（订货合同）或定金支付凭证后，甲方于</w:t>
      </w:r>
      <w:r>
        <w:rPr>
          <w:sz w:val="21"/>
        </w:rPr>
        <w:t>10</w:t>
      </w:r>
      <w:r>
        <w:rPr>
          <w:sz w:val="21"/>
        </w:rPr>
        <w:t>个工作日内支付合同金额的</w:t>
      </w:r>
      <w:r>
        <w:rPr>
          <w:sz w:val="21"/>
        </w:rPr>
        <w:t>30%</w:t>
      </w:r>
      <w:r>
        <w:rPr>
          <w:sz w:val="21"/>
        </w:rPr>
        <w:t>（乙方须提供等额增值税专用发票）；</w:t>
      </w:r>
      <w:r>
        <w:rPr>
          <w:sz w:val="21"/>
        </w:rPr>
        <w:t>2</w:t>
      </w:r>
      <w:r>
        <w:rPr>
          <w:sz w:val="21"/>
        </w:rPr>
        <w:t>）本项目验收合格，乙方经甲方计算结算总金额并开具正式增值税专用发票，甲方收到发票之日起</w:t>
      </w:r>
      <w:r>
        <w:rPr>
          <w:sz w:val="21"/>
        </w:rPr>
        <w:t>10</w:t>
      </w:r>
      <w:r>
        <w:rPr>
          <w:sz w:val="21"/>
        </w:rPr>
        <w:t>个工作</w:t>
      </w:r>
      <w:r>
        <w:rPr>
          <w:sz w:val="21"/>
        </w:rPr>
        <w:t>日</w:t>
      </w:r>
      <w:r>
        <w:rPr>
          <w:sz w:val="21"/>
        </w:rPr>
        <w:t>内支付合同总金额的余额。</w:t>
      </w:r>
    </w:p>
    <w:p>
      <w:pPr>
        <w:pStyle w:val="null3"/>
        <w:ind w:firstLine="420"/>
        <w:jc w:val="both"/>
      </w:pPr>
      <w:r>
        <w:rPr>
          <w:sz w:val="21"/>
        </w:rPr>
        <w:t>4</w:t>
      </w:r>
      <w:r>
        <w:rPr>
          <w:sz w:val="21"/>
        </w:rPr>
        <w:t>、乙方不得委托他人收款。</w:t>
      </w:r>
    </w:p>
    <w:p>
      <w:pPr>
        <w:pStyle w:val="null3"/>
        <w:ind w:firstLine="420"/>
        <w:jc w:val="both"/>
      </w:pPr>
      <w:r>
        <w:rPr>
          <w:sz w:val="21"/>
        </w:rPr>
        <w:t>5</w:t>
      </w:r>
      <w:r>
        <w:rPr>
          <w:sz w:val="21"/>
        </w:rPr>
        <w:t>、如果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rPr>
        <w:t>五、技术支持及售后服务</w:t>
      </w:r>
    </w:p>
    <w:p>
      <w:pPr>
        <w:pStyle w:val="null3"/>
        <w:ind w:firstLine="420"/>
        <w:jc w:val="both"/>
      </w:pPr>
      <w:r>
        <w:rPr>
          <w:sz w:val="21"/>
        </w:rPr>
        <w:t>1</w:t>
      </w:r>
      <w:r>
        <w:rPr>
          <w:sz w:val="21"/>
        </w:rPr>
        <w:t>、所供设备和材料乙方必须免费送货上门和免费负责安装调试。</w:t>
      </w:r>
    </w:p>
    <w:p>
      <w:pPr>
        <w:pStyle w:val="null3"/>
        <w:ind w:firstLine="420"/>
        <w:jc w:val="both"/>
      </w:pPr>
      <w:r>
        <w:rPr>
          <w:sz w:val="21"/>
        </w:rPr>
        <w:t>2</w:t>
      </w:r>
      <w:r>
        <w:rPr>
          <w:sz w:val="21"/>
        </w:rPr>
        <w:t>、乙方对甲方技术人员提供免费维护保养技术培训。</w:t>
      </w:r>
    </w:p>
    <w:p>
      <w:pPr>
        <w:pStyle w:val="null3"/>
        <w:ind w:firstLine="420"/>
        <w:jc w:val="both"/>
      </w:pPr>
      <w:r>
        <w:rPr>
          <w:sz w:val="21"/>
        </w:rPr>
        <w:t>3</w:t>
      </w:r>
      <w:r>
        <w:rPr>
          <w:sz w:val="21"/>
        </w:rPr>
        <w:t>、乙方对所有设备及线路（天灾或人为因素除外）提供</w:t>
      </w:r>
      <w:r>
        <w:rPr>
          <w:sz w:val="20"/>
          <w:u w:val="single"/>
        </w:rPr>
        <w:t xml:space="preserve">    </w:t>
      </w:r>
      <w:r>
        <w:rPr>
          <w:sz w:val="21"/>
        </w:rPr>
        <w:t>年免费保修，终身免费技术支持服务及软件升级服务。</w:t>
      </w:r>
      <w:r>
        <w:rPr>
          <w:sz w:val="20"/>
          <w:u w:val="single"/>
        </w:rPr>
        <w:t xml:space="preserve">    </w:t>
      </w:r>
      <w:r>
        <w:rPr>
          <w:sz w:val="21"/>
        </w:rPr>
        <w:t>年质保期内，乙方对所供货物实行免费上门包修、包维护保养（含更换零配件）。质保期满后的维修服务，另行协商付费。保修期内设备检修后</w:t>
      </w:r>
      <w:r>
        <w:rPr>
          <w:sz w:val="21"/>
        </w:rPr>
        <w:t>30</w:t>
      </w:r>
      <w:r>
        <w:rPr>
          <w:sz w:val="21"/>
        </w:rPr>
        <w:t>个日历日内出现相同故障，乙方应整机无偿更换不低于同一档次设备，以保障设备的连续正常运行。</w:t>
      </w:r>
    </w:p>
    <w:p>
      <w:pPr>
        <w:pStyle w:val="null3"/>
        <w:ind w:firstLine="420"/>
        <w:jc w:val="both"/>
      </w:pPr>
      <w:r>
        <w:rPr>
          <w:sz w:val="21"/>
        </w:rPr>
        <w:t>4</w:t>
      </w:r>
      <w:r>
        <w:rPr>
          <w:sz w:val="21"/>
        </w:rPr>
        <w:t>、质保期内乙方必须提供</w:t>
      </w:r>
      <w:r>
        <w:rPr>
          <w:sz w:val="21"/>
        </w:rPr>
        <w:t>24</w:t>
      </w:r>
      <w:r>
        <w:rPr>
          <w:sz w:val="21"/>
        </w:rPr>
        <w:t>小时电话服务热线，保证在接到故障电话后即时响应，</w:t>
      </w:r>
      <w:r>
        <w:rPr>
          <w:sz w:val="21"/>
        </w:rPr>
        <w:t>2</w:t>
      </w:r>
      <w:r>
        <w:rPr>
          <w:sz w:val="21"/>
        </w:rPr>
        <w:t>小时内到场，在出现技术支持与售后服务需求时，技术人员能更快捷的到现场处理；并在</w:t>
      </w:r>
      <w:r>
        <w:rPr>
          <w:sz w:val="21"/>
        </w:rPr>
        <w:t xml:space="preserve"> 48</w:t>
      </w:r>
      <w:r>
        <w:rPr>
          <w:sz w:val="21"/>
        </w:rPr>
        <w:t>小时内修复装备，如</w:t>
      </w:r>
      <w:r>
        <w:rPr>
          <w:sz w:val="21"/>
        </w:rPr>
        <w:t>48</w:t>
      </w:r>
      <w:r>
        <w:rPr>
          <w:sz w:val="21"/>
        </w:rPr>
        <w:t>小时内无法修复的，乙方须免费提供替代货物给甲方使用，直到故障货物修复为止。质保服务方式均为乙方上门服务。</w:t>
      </w:r>
    </w:p>
    <w:p>
      <w:pPr>
        <w:pStyle w:val="null3"/>
        <w:ind w:firstLine="420"/>
        <w:jc w:val="both"/>
      </w:pPr>
      <w:r>
        <w:rPr>
          <w:sz w:val="21"/>
        </w:rPr>
        <w:t>5</w:t>
      </w:r>
      <w:r>
        <w:rPr>
          <w:sz w:val="21"/>
        </w:rPr>
        <w:t>、乙方提供原厂备用易损易耗件备件服务。</w:t>
      </w:r>
    </w:p>
    <w:p>
      <w:pPr>
        <w:pStyle w:val="null3"/>
        <w:ind w:firstLine="422"/>
        <w:jc w:val="both"/>
      </w:pPr>
      <w:r>
        <w:rPr>
          <w:sz w:val="21"/>
          <w:b/>
        </w:rPr>
        <w:t>六、合同的转让和分包</w:t>
      </w:r>
    </w:p>
    <w:p>
      <w:pPr>
        <w:pStyle w:val="null3"/>
        <w:ind w:firstLine="420"/>
        <w:jc w:val="both"/>
      </w:pPr>
      <w:r>
        <w:rPr>
          <w:sz w:val="21"/>
        </w:rPr>
        <w:t>1</w:t>
      </w:r>
      <w:r>
        <w:rPr>
          <w:sz w:val="21"/>
        </w:rPr>
        <w:t>、本合同为总承包合同，不能以任何形式进行分包；</w:t>
      </w:r>
    </w:p>
    <w:p>
      <w:pPr>
        <w:pStyle w:val="null3"/>
        <w:ind w:firstLine="420"/>
        <w:jc w:val="both"/>
      </w:pPr>
      <w:r>
        <w:rPr>
          <w:sz w:val="21"/>
        </w:rPr>
        <w:t>2</w:t>
      </w:r>
      <w:r>
        <w:rPr>
          <w:sz w:val="21"/>
        </w:rPr>
        <w:t>、乙方不得部分转让或全部转让其应履行的合同义务。如甲方发现乙方转包或分包证据，乙方立刻失去继续供货资格，乙方不得破坏现场与施工效果，甲方不再付款。</w:t>
      </w:r>
    </w:p>
    <w:p>
      <w:pPr>
        <w:pStyle w:val="null3"/>
        <w:ind w:firstLine="422"/>
        <w:jc w:val="both"/>
      </w:pPr>
      <w:r>
        <w:rPr>
          <w:sz w:val="21"/>
          <w:b/>
        </w:rPr>
        <w:t>七、保密</w:t>
      </w:r>
    </w:p>
    <w:p>
      <w:pPr>
        <w:pStyle w:val="null3"/>
        <w:ind w:firstLine="420"/>
        <w:jc w:val="both"/>
      </w:pPr>
      <w:r>
        <w:rPr>
          <w:sz w:val="21"/>
        </w:rPr>
        <w:t>1</w:t>
      </w:r>
      <w:r>
        <w:rPr>
          <w:sz w:val="21"/>
        </w:rPr>
        <w:t>、未经甲方事先书面同意，乙方不得将由甲方为本合同提供的条文、规格、计划、图纸、模型、样品或资料提供给予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、除了合同本身之外，上款所列举的任何物件均是甲方的财产。如果甲方有要求，乙方在完成合同后应将这些物件及全部自制件还给甲方。</w:t>
      </w:r>
    </w:p>
    <w:p>
      <w:pPr>
        <w:pStyle w:val="null3"/>
        <w:ind w:firstLine="422"/>
        <w:jc w:val="both"/>
      </w:pPr>
      <w:r>
        <w:rPr>
          <w:sz w:val="21"/>
          <w:b/>
        </w:rPr>
        <w:t>八、知识产权</w:t>
      </w:r>
    </w:p>
    <w:p>
      <w:pPr>
        <w:pStyle w:val="null3"/>
        <w:ind w:firstLine="420"/>
        <w:jc w:val="both"/>
      </w:pPr>
      <w:r>
        <w:rPr>
          <w:sz w:val="21"/>
        </w:rPr>
        <w:t>1</w:t>
      </w:r>
      <w:r>
        <w:rPr>
          <w:sz w:val="21"/>
        </w:rPr>
        <w:t>、乙方应保证，甲方在中华人民共和国使用该货物或货物的任何一部分时，如受第三方提出的侵犯其专利权、商标权或其他知识产权的起诉，由乙方承担一切责任。</w:t>
      </w:r>
    </w:p>
    <w:p>
      <w:pPr>
        <w:pStyle w:val="null3"/>
        <w:ind w:firstLine="420"/>
        <w:jc w:val="both"/>
      </w:pPr>
      <w:r>
        <w:rPr>
          <w:sz w:val="21"/>
        </w:rPr>
        <w:t>2</w:t>
      </w:r>
      <w:r>
        <w:rPr>
          <w:sz w:val="21"/>
        </w:rPr>
        <w:t>、乙方为执行本合同而提供的技术资料、软件的使用权归甲方所有。</w:t>
      </w:r>
    </w:p>
    <w:p>
      <w:pPr>
        <w:pStyle w:val="null3"/>
        <w:ind w:firstLine="422"/>
        <w:jc w:val="both"/>
      </w:pPr>
      <w:r>
        <w:rPr>
          <w:sz w:val="21"/>
          <w:b/>
        </w:rPr>
        <w:t>九、产权与风险转移</w:t>
      </w:r>
    </w:p>
    <w:p>
      <w:pPr>
        <w:pStyle w:val="null3"/>
        <w:ind w:firstLine="420"/>
        <w:jc w:val="both"/>
      </w:pPr>
      <w:r>
        <w:rPr>
          <w:sz w:val="21"/>
        </w:rPr>
        <w:t>1</w:t>
      </w:r>
      <w:r>
        <w:rPr>
          <w:sz w:val="21"/>
        </w:rPr>
        <w:t>、乙方交由承运人运输的在途货物，毁损、灭失的风险由乙方承担。</w:t>
      </w:r>
    </w:p>
    <w:p>
      <w:pPr>
        <w:pStyle w:val="null3"/>
        <w:ind w:firstLine="420"/>
        <w:jc w:val="both"/>
      </w:pPr>
      <w:r>
        <w:rPr>
          <w:sz w:val="21"/>
        </w:rPr>
        <w:t>2</w:t>
      </w:r>
      <w:r>
        <w:rPr>
          <w:sz w:val="21"/>
        </w:rPr>
        <w:t>、货物的产权，损坏、灭失的风险，在货物通过验收合格交付使用时起由乙方转移至甲方。</w:t>
      </w:r>
    </w:p>
    <w:p>
      <w:pPr>
        <w:pStyle w:val="null3"/>
        <w:ind w:firstLine="420"/>
        <w:jc w:val="both"/>
      </w:pPr>
      <w:r>
        <w:rPr>
          <w:sz w:val="21"/>
        </w:rPr>
        <w:t>3</w:t>
      </w:r>
      <w:r>
        <w:rPr>
          <w:sz w:val="21"/>
        </w:rPr>
        <w:t>、因货物验收不合格甲方拒收，或双方已解除合同，货物毁损、灭失的风险由乙方承担。</w:t>
      </w:r>
    </w:p>
    <w:p>
      <w:pPr>
        <w:pStyle w:val="null3"/>
        <w:ind w:firstLine="420"/>
        <w:jc w:val="both"/>
      </w:pPr>
      <w:r>
        <w:rPr>
          <w:sz w:val="21"/>
        </w:rPr>
        <w:t>4</w:t>
      </w:r>
      <w:r>
        <w:rPr>
          <w:sz w:val="21"/>
        </w:rPr>
        <w:t>、产权和风险的转移，不影响因乙方履行义务不符合约定，甲方要求其承担违约责任的权利。</w:t>
      </w:r>
    </w:p>
    <w:p>
      <w:pPr>
        <w:pStyle w:val="null3"/>
        <w:ind w:firstLine="422"/>
        <w:jc w:val="both"/>
      </w:pPr>
      <w:r>
        <w:rPr>
          <w:sz w:val="21"/>
          <w:b/>
        </w:rPr>
        <w:t>十、违约责任</w:t>
      </w:r>
    </w:p>
    <w:p>
      <w:pPr>
        <w:pStyle w:val="null3"/>
        <w:ind w:firstLine="420"/>
        <w:jc w:val="both"/>
      </w:pPr>
      <w:r>
        <w:rPr>
          <w:sz w:val="21"/>
        </w:rPr>
        <w:t>1</w:t>
      </w:r>
      <w:r>
        <w:rPr>
          <w:sz w:val="21"/>
        </w:rPr>
        <w:t>、乙方未能交付物品，则向甲方支付合同总额</w:t>
      </w:r>
      <w:r>
        <w:rPr>
          <w:sz w:val="21"/>
        </w:rPr>
        <w:t>20%</w:t>
      </w:r>
      <w:r>
        <w:rPr>
          <w:sz w:val="21"/>
        </w:rPr>
        <w:t>的违约金。</w:t>
      </w:r>
    </w:p>
    <w:p>
      <w:pPr>
        <w:pStyle w:val="null3"/>
        <w:ind w:firstLine="420"/>
        <w:jc w:val="both"/>
      </w:pPr>
      <w:r>
        <w:rPr>
          <w:sz w:val="21"/>
        </w:rPr>
        <w:t>2</w:t>
      </w:r>
      <w:r>
        <w:rPr>
          <w:sz w:val="21"/>
        </w:rPr>
        <w:t>、乙方交付的物品及服务不符合投标文件或本合同规定的，甲方有权拒收，乙方向甲方支付合同总额</w:t>
      </w:r>
      <w:r>
        <w:rPr>
          <w:sz w:val="21"/>
        </w:rPr>
        <w:t>20%</w:t>
      </w:r>
      <w:r>
        <w:rPr>
          <w:sz w:val="21"/>
        </w:rPr>
        <w:t>的违约金，且甲方不退还乙方交纳的履约保证金。</w:t>
      </w:r>
    </w:p>
    <w:p>
      <w:pPr>
        <w:pStyle w:val="null3"/>
        <w:ind w:firstLine="420"/>
        <w:jc w:val="both"/>
      </w:pPr>
      <w:r>
        <w:rPr>
          <w:sz w:val="21"/>
        </w:rPr>
        <w:t>3</w:t>
      </w:r>
      <w:r>
        <w:rPr>
          <w:sz w:val="21"/>
        </w:rPr>
        <w:t>、甲方无正当理由拒收物品，拒付货款的，则向乙方支付合同总额</w:t>
      </w:r>
      <w:r>
        <w:rPr>
          <w:sz w:val="21"/>
        </w:rPr>
        <w:t>20%</w:t>
      </w:r>
      <w:r>
        <w:rPr>
          <w:sz w:val="21"/>
        </w:rPr>
        <w:t>的违约金。</w:t>
      </w:r>
    </w:p>
    <w:p>
      <w:pPr>
        <w:pStyle w:val="null3"/>
        <w:ind w:firstLine="420"/>
        <w:jc w:val="both"/>
      </w:pPr>
      <w:r>
        <w:rPr>
          <w:sz w:val="21"/>
        </w:rPr>
        <w:t>4</w:t>
      </w:r>
      <w:r>
        <w:rPr>
          <w:sz w:val="21"/>
        </w:rPr>
        <w:t>、乙方逾期交付物品，则每日按合同总额</w:t>
      </w:r>
      <w:r>
        <w:rPr>
          <w:sz w:val="21"/>
        </w:rPr>
        <w:t>3</w:t>
      </w:r>
      <w:r>
        <w:rPr>
          <w:sz w:val="21"/>
        </w:rPr>
        <w:t>‰向甲方偿付违约金，违约金总额不超过合同总金额的</w:t>
      </w:r>
      <w:r>
        <w:rPr>
          <w:sz w:val="21"/>
        </w:rPr>
        <w:t>20%</w:t>
      </w:r>
      <w:r>
        <w:rPr>
          <w:sz w:val="21"/>
        </w:rPr>
        <w:t>。逾期交付超过</w:t>
      </w:r>
      <w:r>
        <w:rPr>
          <w:sz w:val="21"/>
        </w:rPr>
        <w:t>30</w:t>
      </w:r>
      <w:r>
        <w:rPr>
          <w:sz w:val="21"/>
        </w:rPr>
        <w:t>天，甲方有权终止合同，不退还乙方交纳的履约保证金，乙方仍须向甲方支付前述违约金。</w:t>
      </w:r>
    </w:p>
    <w:p>
      <w:pPr>
        <w:pStyle w:val="null3"/>
        <w:ind w:firstLine="420"/>
        <w:jc w:val="both"/>
      </w:pPr>
      <w:r>
        <w:rPr>
          <w:sz w:val="21"/>
        </w:rPr>
        <w:t>5</w:t>
      </w:r>
      <w:r>
        <w:rPr>
          <w:sz w:val="21"/>
        </w:rPr>
        <w:t>、乙方必须按甲方指定地点按时交货，货物不符合质量标准的，乙方必须按时负责调换至合格为止，并承担由此产生的实际费用。不能按时调换至合格者，按不能交货处理</w:t>
      </w:r>
    </w:p>
    <w:p>
      <w:pPr>
        <w:pStyle w:val="null3"/>
        <w:ind w:firstLine="420"/>
        <w:jc w:val="both"/>
      </w:pPr>
      <w:r>
        <w:rPr>
          <w:sz w:val="21"/>
        </w:rPr>
        <w:t>6</w:t>
      </w:r>
      <w:r>
        <w:rPr>
          <w:sz w:val="21"/>
        </w:rPr>
        <w:t>、乙方未按约定提供技术支持和售后服务的，应当承担违约责任。乙方响应甲方报障不及时，延误达四小时以上的，或累计延误达到三次的，乙方应当每次向甲方按合同总额的</w:t>
      </w:r>
      <w:r>
        <w:rPr>
          <w:sz w:val="21"/>
        </w:rPr>
        <w:t>1%</w:t>
      </w:r>
      <w:r>
        <w:rPr>
          <w:sz w:val="21"/>
        </w:rPr>
        <w:t>支付违约金；给甲方造成损失的，还应当赔偿损失。如设备未能按要求修复，乙方又未能提供同类设备替代的，乙方应当向甲方按合同总额的</w:t>
      </w:r>
      <w:r>
        <w:rPr>
          <w:sz w:val="21"/>
        </w:rPr>
        <w:t>20%</w:t>
      </w:r>
      <w:r>
        <w:rPr>
          <w:sz w:val="21"/>
        </w:rPr>
        <w:t>支付违约金，且甲方不退还乙方交纳的履约保证金；甲方在乙方不能修复也不提供同类设备替代的情况下，有权交由第三方提供维修服务和更换故障设备，所需费用由乙方承担。</w:t>
      </w:r>
    </w:p>
    <w:p>
      <w:pPr>
        <w:pStyle w:val="null3"/>
        <w:ind w:firstLine="422"/>
        <w:jc w:val="both"/>
      </w:pPr>
      <w:r>
        <w:rPr>
          <w:sz w:val="21"/>
          <w:b/>
        </w:rPr>
        <w:t>十一、争议的解决</w:t>
      </w:r>
    </w:p>
    <w:p>
      <w:pPr>
        <w:pStyle w:val="null3"/>
        <w:ind w:firstLine="420"/>
        <w:jc w:val="both"/>
      </w:pPr>
      <w:r>
        <w:rPr>
          <w:sz w:val="21"/>
        </w:rPr>
        <w:t>本合同发生争议，由双方协商解决，协商不成时可向甲方所在地人民法院起诉。</w:t>
      </w:r>
    </w:p>
    <w:p>
      <w:pPr>
        <w:pStyle w:val="null3"/>
        <w:ind w:firstLine="422"/>
        <w:jc w:val="both"/>
      </w:pPr>
      <w:r>
        <w:rPr>
          <w:sz w:val="21"/>
          <w:b/>
        </w:rPr>
        <w:t>十二、合同终止</w:t>
      </w:r>
    </w:p>
    <w:p>
      <w:pPr>
        <w:pStyle w:val="null3"/>
        <w:ind w:firstLine="420"/>
        <w:jc w:val="both"/>
      </w:pPr>
      <w:r>
        <w:rPr>
          <w:sz w:val="21"/>
        </w:rPr>
        <w:t>如果一方严重违反合同，并在收到对方违约通知书后在</w:t>
      </w:r>
      <w:r>
        <w:rPr>
          <w:sz w:val="21"/>
        </w:rPr>
        <w:t>30</w:t>
      </w:r>
      <w:r>
        <w:rPr>
          <w:sz w:val="21"/>
        </w:rPr>
        <w:t>天内仍未能改正违约的，另一方可立即终止本合同。</w:t>
      </w:r>
    </w:p>
    <w:p>
      <w:pPr>
        <w:pStyle w:val="null3"/>
        <w:ind w:firstLine="422"/>
        <w:jc w:val="both"/>
      </w:pPr>
      <w:r>
        <w:rPr>
          <w:sz w:val="21"/>
          <w:b/>
        </w:rPr>
        <w:t>十三、不可抗力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十四、其它约定条款</w:t>
      </w:r>
    </w:p>
    <w:p>
      <w:pPr>
        <w:pStyle w:val="null3"/>
        <w:ind w:firstLine="420"/>
        <w:jc w:val="both"/>
      </w:pPr>
      <w:r>
        <w:rPr>
          <w:sz w:val="21"/>
        </w:rPr>
        <w:t>1</w:t>
      </w:r>
      <w:r>
        <w:rPr>
          <w:sz w:val="21"/>
        </w:rPr>
        <w:t>、本合同一式陆份，甲方执肆份，乙方执贰份。陆份合同具有同等法律效力。</w:t>
      </w:r>
    </w:p>
    <w:p>
      <w:pPr>
        <w:pStyle w:val="null3"/>
        <w:ind w:firstLine="420"/>
        <w:jc w:val="both"/>
      </w:pPr>
      <w:r>
        <w:rPr>
          <w:sz w:val="21"/>
        </w:rPr>
        <w:t>2</w:t>
      </w:r>
      <w:r>
        <w:rPr>
          <w:sz w:val="21"/>
        </w:rPr>
        <w:t>、本合同所有附件、招标文件、投标文件、中标通知书均为合同的有效组成部分，与本合同具有同等法律效力。</w:t>
      </w:r>
    </w:p>
    <w:p>
      <w:pPr>
        <w:pStyle w:val="null3"/>
        <w:ind w:firstLine="420"/>
        <w:jc w:val="both"/>
      </w:pPr>
      <w:r>
        <w:rPr>
          <w:sz w:val="21"/>
        </w:rPr>
        <w:t>3</w:t>
      </w:r>
      <w:r>
        <w:rPr>
          <w:sz w:val="21"/>
        </w:rPr>
        <w:t>、在执行本合同的过程中，所有经双方签署确认的文件（包括会议纪要、补充协议、往来信函）即成为本合同的有效组成部分。文件解释说明如出现前后不一致之处，在供需双方协商未果的情况下，以文件生成时间在后的解释说明为准。</w:t>
      </w:r>
    </w:p>
    <w:p>
      <w:pPr>
        <w:pStyle w:val="null3"/>
        <w:ind w:firstLine="420"/>
        <w:jc w:val="both"/>
      </w:pPr>
      <w:r>
        <w:rPr>
          <w:sz w:val="21"/>
        </w:rPr>
        <w:t>4</w:t>
      </w:r>
      <w:r>
        <w:rPr>
          <w:sz w:val="21"/>
        </w:rPr>
        <w:t>、除需方事先书面同意外，供方不得部分或全部转让其应履行的合同项下的义务。</w:t>
      </w:r>
    </w:p>
    <w:p>
      <w:pPr>
        <w:pStyle w:val="null3"/>
        <w:ind w:firstLine="420"/>
        <w:jc w:val="both"/>
      </w:pPr>
      <w:r>
        <w:rPr>
          <w:sz w:val="21"/>
        </w:rPr>
        <w:t>5</w:t>
      </w:r>
      <w:r>
        <w:rPr>
          <w:sz w:val="21"/>
        </w:rPr>
        <w:t>、未尽事宜，由甲乙双方协商解决。</w:t>
      </w:r>
    </w:p>
    <w:p>
      <w:pPr>
        <w:pStyle w:val="null3"/>
        <w:ind w:firstLine="420"/>
        <w:jc w:val="both"/>
      </w:pPr>
      <w:r>
        <w:rPr>
          <w:sz w:val="21"/>
        </w:rPr>
        <w:t>6</w:t>
      </w:r>
      <w:r>
        <w:rPr>
          <w:sz w:val="21"/>
        </w:rPr>
        <w:t>、本合同在甲乙双方法人代表或其授权代表签字盖章后即生效。</w:t>
      </w:r>
    </w:p>
    <w:p>
      <w:pPr>
        <w:pStyle w:val="null3"/>
        <w:ind w:firstLine="420"/>
        <w:jc w:val="both"/>
      </w:pPr>
      <w:r>
        <w:rPr>
          <w:sz w:val="21"/>
        </w:rPr>
        <w:t>甲方：</w:t>
      </w:r>
      <w:r>
        <w:rPr>
          <w:sz w:val="20"/>
        </w:rPr>
        <w:t xml:space="preserve">                              </w:t>
      </w:r>
      <w:r>
        <w:rPr>
          <w:sz w:val="21"/>
        </w:rPr>
        <w:t>乙方：</w:t>
      </w:r>
    </w:p>
    <w:p>
      <w:pPr>
        <w:pStyle w:val="null3"/>
        <w:ind w:firstLine="420"/>
        <w:jc w:val="both"/>
      </w:pPr>
      <w:r>
        <w:rPr>
          <w:sz w:val="21"/>
        </w:rPr>
        <w:t>地址：</w:t>
      </w:r>
      <w:r>
        <w:rPr>
          <w:sz w:val="20"/>
        </w:rPr>
        <w:t xml:space="preserve">                              </w:t>
      </w:r>
      <w:r>
        <w:rPr>
          <w:sz w:val="21"/>
        </w:rPr>
        <w:t>地址：</w:t>
      </w:r>
    </w:p>
    <w:p>
      <w:pPr>
        <w:pStyle w:val="null3"/>
        <w:ind w:firstLine="420"/>
        <w:jc w:val="both"/>
      </w:pPr>
      <w:r>
        <w:rPr>
          <w:sz w:val="21"/>
        </w:rPr>
        <w:t>法定代表人：</w:t>
      </w:r>
      <w:r>
        <w:rPr>
          <w:sz w:val="20"/>
        </w:rPr>
        <w:t xml:space="preserve">                        </w:t>
      </w:r>
      <w:r>
        <w:rPr>
          <w:sz w:val="21"/>
        </w:rPr>
        <w:t>法定代表人：</w:t>
      </w:r>
    </w:p>
    <w:p>
      <w:pPr>
        <w:pStyle w:val="null3"/>
        <w:ind w:firstLine="420"/>
        <w:jc w:val="both"/>
      </w:pPr>
      <w:r>
        <w:rPr>
          <w:sz w:val="21"/>
        </w:rPr>
        <w:t>授权委托代理人：</w:t>
      </w:r>
      <w:r>
        <w:rPr>
          <w:sz w:val="20"/>
        </w:rPr>
        <w:t xml:space="preserve">                    </w:t>
      </w:r>
      <w:r>
        <w:rPr>
          <w:sz w:val="21"/>
        </w:rPr>
        <w:t>授权委托代理人：</w:t>
      </w:r>
    </w:p>
    <w:p>
      <w:pPr>
        <w:pStyle w:val="null3"/>
        <w:ind w:firstLine="420"/>
        <w:jc w:val="both"/>
      </w:pPr>
      <w:r>
        <w:rPr>
          <w:sz w:val="21"/>
        </w:rPr>
        <w:t>电话：</w:t>
      </w:r>
      <w:r>
        <w:rPr>
          <w:sz w:val="20"/>
        </w:rPr>
        <w:t xml:space="preserve">                              </w:t>
      </w:r>
      <w:r>
        <w:rPr>
          <w:sz w:val="21"/>
        </w:rPr>
        <w:t>电话：</w:t>
      </w:r>
    </w:p>
    <w:p>
      <w:pPr>
        <w:pStyle w:val="null3"/>
        <w:ind w:firstLine="420"/>
        <w:jc w:val="both"/>
      </w:pPr>
      <w:r>
        <w:rPr>
          <w:sz w:val="21"/>
        </w:rPr>
        <w:t>传真：</w:t>
      </w:r>
      <w:r>
        <w:rPr>
          <w:sz w:val="20"/>
        </w:rPr>
        <w:t xml:space="preserve">                              </w:t>
      </w:r>
      <w:r>
        <w:rPr>
          <w:sz w:val="21"/>
        </w:rPr>
        <w:t>传真：</w:t>
      </w:r>
    </w:p>
    <w:p>
      <w:pPr>
        <w:pStyle w:val="null3"/>
        <w:ind w:firstLine="420"/>
        <w:jc w:val="both"/>
      </w:pPr>
      <w:r>
        <w:rPr>
          <w:sz w:val="21"/>
        </w:rPr>
        <w:t>开户银行：</w:t>
      </w:r>
      <w:r>
        <w:rPr>
          <w:sz w:val="20"/>
        </w:rPr>
        <w:t xml:space="preserve">                          </w:t>
      </w:r>
      <w:r>
        <w:rPr>
          <w:sz w:val="21"/>
        </w:rPr>
        <w:t>开户银行：</w:t>
      </w:r>
    </w:p>
    <w:p>
      <w:pPr>
        <w:pStyle w:val="null3"/>
        <w:ind w:firstLine="420"/>
        <w:jc w:val="both"/>
      </w:pPr>
      <w:r>
        <w:rPr>
          <w:sz w:val="21"/>
        </w:rPr>
        <w:t>帐</w:t>
      </w:r>
      <w:r>
        <w:rPr>
          <w:sz w:val="20"/>
        </w:rPr>
        <w:t xml:space="preserve">  </w:t>
      </w:r>
      <w:r>
        <w:rPr>
          <w:sz w:val="21"/>
        </w:rPr>
        <w:t>号：</w:t>
      </w:r>
      <w:r>
        <w:rPr>
          <w:sz w:val="20"/>
        </w:rPr>
        <w:t xml:space="preserve">                            </w:t>
      </w:r>
      <w:r>
        <w:rPr>
          <w:sz w:val="21"/>
        </w:rPr>
        <w:t>帐</w:t>
      </w:r>
      <w:r>
        <w:rPr>
          <w:sz w:val="20"/>
        </w:rPr>
        <w:t xml:space="preserve">   </w:t>
      </w:r>
      <w:r>
        <w:rPr>
          <w:sz w:val="21"/>
        </w:rPr>
        <w:t>号：</w:t>
      </w:r>
    </w:p>
    <w:p>
      <w:pPr>
        <w:pStyle w:val="null3"/>
        <w:ind w:firstLine="420"/>
        <w:jc w:val="both"/>
      </w:pPr>
      <w:r>
        <w:rPr>
          <w:sz w:val="21"/>
        </w:rPr>
        <w:t>日</w:t>
      </w:r>
      <w:r>
        <w:rPr>
          <w:sz w:val="20"/>
        </w:rPr>
        <w:t xml:space="preserve">  </w:t>
      </w:r>
      <w:r>
        <w:rPr>
          <w:sz w:val="21"/>
        </w:rPr>
        <w:t>期：</w:t>
      </w:r>
      <w:r>
        <w:rPr>
          <w:sz w:val="20"/>
        </w:rPr>
        <w:t xml:space="preserve">                            </w:t>
      </w:r>
      <w:r>
        <w:rPr>
          <w:sz w:val="21"/>
        </w:rPr>
        <w:t>日</w:t>
      </w:r>
      <w:r>
        <w:rPr>
          <w:sz w:val="20"/>
        </w:rPr>
        <w:t xml:space="preserve">   </w:t>
      </w:r>
      <w:r>
        <w:rPr>
          <w:sz w:val="21"/>
        </w:rPr>
        <w:t>期：</w:t>
      </w:r>
    </w:p>
    <w:p>
      <w:pPr>
        <w:pStyle w:val="null3"/>
        <w:ind w:firstLine="420"/>
        <w:jc w:val="both"/>
      </w:pPr>
      <w:r>
        <w:rPr>
          <w:sz w:val="21"/>
          <w:b/>
        </w:rPr>
        <w:t>附件：技术参数</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440001-2026-30437</w:t>
      </w:r>
    </w:p>
    <w:p>
      <w:pPr>
        <w:pStyle w:val="null3"/>
        <w:jc w:val="center"/>
        <w:outlineLvl w:val="3"/>
      </w:pPr>
      <w:r>
        <w:rPr>
          <w:sz w:val="24"/>
          <w:b/>
        </w:rPr>
        <w:t>采购项目编号：</w:t>
      </w:r>
      <w:r>
        <w:rPr>
          <w:sz w:val="24"/>
          <w:b/>
        </w:rPr>
        <w:t>440001-2026-30437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广东医科大学荧光光谱仪更新采购项目</w:t>
      </w:r>
      <w:r>
        <w:rPr>
          <w:u w:val="single"/>
        </w:rPr>
        <w:t>”</w:t>
      </w:r>
      <w:r>
        <w:rPr/>
        <w:t>项目的招标[采购项目编号为：</w:t>
      </w:r>
      <w:r>
        <w:rPr>
          <w:u w:val="single"/>
        </w:rPr>
        <w:t>440001-2026-30437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广东医科大学荧光光谱仪更新采购项目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广东医科大学荧光光谱仪更新采购项目</w:t>
      </w:r>
      <w:r>
        <w:rPr/>
        <w:t>”项目采购[采购项目编号为</w:t>
      </w:r>
      <w:r>
        <w:rPr/>
        <w:t>440001-2026-30437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广东医科大学荧光光谱仪更新采购项目</w:t>
      </w:r>
      <w:r>
        <w:rPr/>
        <w:t>招标中获中标（采购项目编号：</w:t>
      </w:r>
      <w:r>
        <w:rPr/>
        <w:t>440001-2026-30437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广东医科大学荧光光谱仪更新采购项目</w:t>
      </w:r>
      <w:r>
        <w:rPr/>
        <w:t>”项目（采购项目编号：</w:t>
      </w:r>
      <w:r>
        <w:rPr/>
        <w:t>440001-2026-30437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