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03E0B">
      <w:pPr>
        <w:pStyle w:val="6"/>
        <w:jc w:val="center"/>
        <w:outlineLvl w:val="1"/>
        <w:rPr>
          <w:rFonts w:hint="default"/>
          <w:highlight w:val="none"/>
        </w:rPr>
      </w:pPr>
      <w:r>
        <w:rPr>
          <w:rFonts w:ascii="仿宋_GB2312" w:hAnsi="仿宋_GB2312" w:eastAsia="仿宋_GB2312" w:cs="仿宋_GB2312"/>
          <w:b/>
          <w:sz w:val="36"/>
          <w:highlight w:val="none"/>
        </w:rPr>
        <w:t>拟签订采购合同文本</w:t>
      </w:r>
    </w:p>
    <w:p w14:paraId="027B5151">
      <w:pPr>
        <w:spacing w:line="312" w:lineRule="auto"/>
        <w:jc w:val="center"/>
        <w:outlineLvl w:val="0"/>
        <w:rPr>
          <w:rFonts w:ascii="仿宋" w:hAnsi="仿宋" w:eastAsia="仿宋" w:cs="仿宋"/>
          <w:b/>
          <w:bCs/>
          <w:sz w:val="28"/>
          <w:szCs w:val="28"/>
          <w:highlight w:val="none"/>
        </w:rPr>
      </w:pPr>
      <w:r>
        <w:rPr>
          <w:rFonts w:ascii="仿宋_GB2312" w:hAnsi="仿宋_GB2312" w:eastAsia="仿宋_GB2312" w:cs="仿宋_GB2312"/>
          <w:b/>
          <w:sz w:val="48"/>
          <w:highlight w:val="none"/>
        </w:rPr>
        <w:t xml:space="preserve"> </w:t>
      </w:r>
      <w:r>
        <w:rPr>
          <w:rFonts w:hint="eastAsia" w:ascii="仿宋" w:hAnsi="仿宋" w:eastAsia="仿宋" w:cs="仿宋"/>
          <w:b/>
          <w:bCs/>
          <w:spacing w:val="10"/>
          <w:sz w:val="28"/>
          <w:szCs w:val="28"/>
          <w:highlight w:val="none"/>
        </w:rPr>
        <w:t>政府采购合同（服务类）</w:t>
      </w:r>
    </w:p>
    <w:p w14:paraId="3BE0FB59">
      <w:pPr>
        <w:spacing w:line="312" w:lineRule="auto"/>
        <w:rPr>
          <w:rFonts w:ascii="仿宋" w:hAnsi="仿宋" w:eastAsia="仿宋" w:cs="仿宋"/>
          <w:spacing w:val="-21"/>
          <w:sz w:val="28"/>
          <w:szCs w:val="28"/>
          <w:highlight w:val="none"/>
        </w:rPr>
      </w:pPr>
    </w:p>
    <w:p w14:paraId="2EE561AE">
      <w:pPr>
        <w:snapToGrid w:val="0"/>
        <w:spacing w:line="312" w:lineRule="auto"/>
        <w:rPr>
          <w:rFonts w:ascii="仿宋" w:hAnsi="仿宋" w:eastAsia="仿宋" w:cs="仿宋"/>
          <w:b/>
          <w:bCs/>
          <w:color w:val="000000"/>
          <w:sz w:val="24"/>
          <w:highlight w:val="none"/>
        </w:rPr>
      </w:pPr>
      <w:r>
        <w:rPr>
          <w:rFonts w:hint="eastAsia" w:ascii="仿宋" w:hAnsi="仿宋" w:eastAsia="仿宋" w:cs="仿宋"/>
          <w:b/>
          <w:bCs/>
          <w:color w:val="000000"/>
          <w:sz w:val="24"/>
          <w:highlight w:val="none"/>
        </w:rPr>
        <w:t xml:space="preserve">合同编号： </w:t>
      </w:r>
    </w:p>
    <w:p w14:paraId="4C7122F9">
      <w:pPr>
        <w:snapToGrid w:val="0"/>
        <w:spacing w:line="312" w:lineRule="auto"/>
        <w:rPr>
          <w:rFonts w:ascii="仿宋" w:hAnsi="仿宋" w:eastAsia="仿宋" w:cs="仿宋"/>
          <w:b/>
          <w:bCs/>
          <w:color w:val="000000"/>
          <w:sz w:val="24"/>
          <w:highlight w:val="none"/>
        </w:rPr>
      </w:pPr>
      <w:r>
        <w:rPr>
          <w:rFonts w:hint="eastAsia" w:ascii="仿宋" w:hAnsi="仿宋" w:eastAsia="仿宋" w:cs="仿宋"/>
          <w:b/>
          <w:bCs/>
          <w:color w:val="000000"/>
          <w:sz w:val="24"/>
          <w:highlight w:val="none"/>
        </w:rPr>
        <w:t>签订地点：</w:t>
      </w:r>
    </w:p>
    <w:p w14:paraId="6B86C3EF">
      <w:pPr>
        <w:snapToGrid w:val="0"/>
        <w:spacing w:line="312" w:lineRule="auto"/>
        <w:rPr>
          <w:rFonts w:ascii="仿宋" w:hAnsi="仿宋" w:eastAsia="仿宋" w:cs="仿宋"/>
          <w:b/>
          <w:bCs/>
          <w:color w:val="000000"/>
          <w:sz w:val="24"/>
          <w:highlight w:val="none"/>
        </w:rPr>
      </w:pPr>
      <w:r>
        <w:rPr>
          <w:rFonts w:hint="eastAsia" w:ascii="仿宋" w:hAnsi="仿宋" w:eastAsia="仿宋" w:cs="仿宋"/>
          <w:b/>
          <w:bCs/>
          <w:color w:val="000000"/>
          <w:sz w:val="24"/>
          <w:highlight w:val="none"/>
        </w:rPr>
        <w:t>签订时间：</w:t>
      </w:r>
      <w:r>
        <w:rPr>
          <w:rFonts w:hint="eastAsia" w:ascii="仿宋" w:hAnsi="仿宋" w:eastAsia="仿宋" w:cs="仿宋"/>
          <w:b/>
          <w:bCs/>
          <w:color w:val="000000"/>
          <w:sz w:val="24"/>
          <w:highlight w:val="none"/>
          <w:u w:val="single"/>
        </w:rPr>
        <w:t>2025年  月  日</w:t>
      </w:r>
    </w:p>
    <w:p w14:paraId="70A3577E">
      <w:pPr>
        <w:snapToGrid w:val="0"/>
        <w:spacing w:line="312" w:lineRule="auto"/>
        <w:rPr>
          <w:rFonts w:ascii="仿宋" w:hAnsi="仿宋" w:eastAsia="仿宋" w:cs="仿宋"/>
          <w:b/>
          <w:bCs/>
          <w:color w:val="000000"/>
          <w:sz w:val="24"/>
          <w:highlight w:val="none"/>
          <w:u w:val="single"/>
        </w:rPr>
      </w:pPr>
      <w:r>
        <w:rPr>
          <w:rFonts w:hint="eastAsia" w:ascii="仿宋" w:hAnsi="仿宋" w:eastAsia="仿宋" w:cs="仿宋"/>
          <w:b/>
          <w:bCs/>
          <w:color w:val="000000"/>
          <w:sz w:val="24"/>
          <w:highlight w:val="none"/>
        </w:rPr>
        <w:t>采购人（甲方）：</w:t>
      </w:r>
      <w:r>
        <w:rPr>
          <w:rFonts w:hint="eastAsia" w:ascii="仿宋" w:hAnsi="仿宋" w:eastAsia="仿宋" w:cs="仿宋"/>
          <w:b/>
          <w:bCs/>
          <w:color w:val="000000"/>
          <w:sz w:val="24"/>
          <w:highlight w:val="none"/>
          <w:u w:val="single"/>
        </w:rPr>
        <w:t xml:space="preserve"> 四川省成都市中级人民法院  </w:t>
      </w:r>
    </w:p>
    <w:p w14:paraId="076BCD92">
      <w:pPr>
        <w:snapToGrid w:val="0"/>
        <w:spacing w:line="312" w:lineRule="auto"/>
        <w:rPr>
          <w:rFonts w:ascii="仿宋" w:hAnsi="仿宋" w:eastAsia="仿宋" w:cs="仿宋"/>
          <w:color w:val="000000"/>
          <w:sz w:val="24"/>
          <w:highlight w:val="none"/>
          <w:u w:val="single"/>
        </w:rPr>
      </w:pPr>
      <w:r>
        <w:rPr>
          <w:rFonts w:hint="eastAsia" w:ascii="仿宋" w:hAnsi="仿宋" w:eastAsia="仿宋" w:cs="仿宋"/>
          <w:b/>
          <w:bCs/>
          <w:color w:val="000000"/>
          <w:sz w:val="24"/>
          <w:highlight w:val="none"/>
        </w:rPr>
        <w:t>供应商（乙方）：</w:t>
      </w:r>
      <w:r>
        <w:rPr>
          <w:rFonts w:hint="eastAsia" w:ascii="仿宋" w:hAnsi="仿宋" w:eastAsia="仿宋" w:cs="仿宋"/>
          <w:b/>
          <w:bCs/>
          <w:color w:val="000000"/>
          <w:sz w:val="24"/>
          <w:highlight w:val="none"/>
          <w:u w:val="single"/>
        </w:rPr>
        <w:t xml:space="preserve">  </w:t>
      </w:r>
      <w:r>
        <w:rPr>
          <w:rFonts w:hint="eastAsia" w:ascii="仿宋" w:hAnsi="仿宋" w:eastAsia="仿宋" w:cs="仿宋"/>
          <w:color w:val="000000"/>
          <w:sz w:val="24"/>
          <w:highlight w:val="none"/>
          <w:u w:val="single"/>
        </w:rPr>
        <w:t xml:space="preserve">                            </w:t>
      </w:r>
    </w:p>
    <w:p w14:paraId="6E896FB0">
      <w:pPr>
        <w:snapToGrid w:val="0"/>
        <w:spacing w:line="312" w:lineRule="auto"/>
        <w:ind w:firstLine="480" w:firstLineChars="200"/>
        <w:rPr>
          <w:rFonts w:ascii="仿宋" w:hAnsi="仿宋" w:eastAsia="仿宋" w:cs="仿宋"/>
          <w:color w:val="000000"/>
          <w:sz w:val="24"/>
          <w:highlight w:val="none"/>
        </w:rPr>
      </w:pPr>
    </w:p>
    <w:p w14:paraId="318E9E13">
      <w:pPr>
        <w:tabs>
          <w:tab w:val="left" w:pos="1440"/>
        </w:tabs>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依据《中华人民共和国民法典》 《中华人民共和国政府采购法》与项目行业有关的法律法规，以及</w:t>
      </w:r>
      <w:r>
        <w:rPr>
          <w:rFonts w:hint="eastAsia" w:ascii="仿宋" w:hAnsi="仿宋" w:eastAsia="仿宋" w:cs="仿宋"/>
          <w:color w:val="000000"/>
          <w:sz w:val="24"/>
          <w:highlight w:val="none"/>
          <w:u w:val="single"/>
        </w:rPr>
        <w:t xml:space="preserve">  信息化集成服务项目 </w:t>
      </w:r>
      <w:r>
        <w:rPr>
          <w:rFonts w:hint="eastAsia" w:ascii="仿宋" w:hAnsi="仿宋" w:eastAsia="仿宋" w:cs="仿宋"/>
          <w:color w:val="000000"/>
          <w:sz w:val="24"/>
          <w:highlight w:val="none"/>
        </w:rPr>
        <w:t>采购项目的 《招标文件》 ，乙方的《投标（响应）文件》及《中标（成交）通知书》，甲乙双方同意签订本合同。具体情况及要求如下：</w:t>
      </w:r>
    </w:p>
    <w:p w14:paraId="76DD1F24">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第一条 项目基本情况</w:t>
      </w:r>
    </w:p>
    <w:p w14:paraId="126BE4FC">
      <w:pPr>
        <w:wordWrap w:val="0"/>
        <w:snapToGrid w:val="0"/>
        <w:spacing w:line="312" w:lineRule="auto"/>
        <w:ind w:firstLine="480" w:firstLineChars="200"/>
        <w:rPr>
          <w:rFonts w:ascii="仿宋" w:hAnsi="仿宋" w:eastAsia="仿宋" w:cs="仿宋"/>
          <w:color w:val="000000"/>
          <w:sz w:val="24"/>
          <w:highlight w:val="none"/>
          <w:u w:val="single"/>
        </w:rPr>
      </w:pPr>
      <w:r>
        <w:rPr>
          <w:rFonts w:hint="eastAsia" w:ascii="仿宋" w:hAnsi="仿宋" w:eastAsia="仿宋" w:cs="仿宋"/>
          <w:kern w:val="44"/>
          <w:sz w:val="24"/>
          <w:szCs w:val="24"/>
          <w:highlight w:val="none"/>
        </w:rPr>
        <w:t>为切实做好专案办理及保障工作，引入整体信息化集成服务系统，全面提升专案审理的质量、效率和安全性。</w:t>
      </w:r>
    </w:p>
    <w:p w14:paraId="41C4D909">
      <w:pPr>
        <w:snapToGrid w:val="0"/>
        <w:spacing w:line="312" w:lineRule="auto"/>
        <w:rPr>
          <w:rFonts w:ascii="仿宋" w:hAnsi="仿宋" w:eastAsia="仿宋" w:cs="仿宋"/>
          <w:b/>
          <w:color w:val="000000"/>
          <w:sz w:val="24"/>
          <w:highlight w:val="none"/>
        </w:rPr>
      </w:pPr>
      <w:r>
        <w:rPr>
          <w:rFonts w:hint="eastAsia" w:ascii="仿宋" w:hAnsi="仿宋" w:eastAsia="仿宋" w:cs="仿宋"/>
          <w:b/>
          <w:bCs/>
          <w:color w:val="000000"/>
          <w:sz w:val="24"/>
          <w:highlight w:val="none"/>
        </w:rPr>
        <w:t xml:space="preserve">第二条 </w:t>
      </w:r>
      <w:r>
        <w:rPr>
          <w:rFonts w:hint="eastAsia" w:ascii="仿宋" w:hAnsi="仿宋" w:eastAsia="仿宋" w:cs="仿宋"/>
          <w:b/>
          <w:color w:val="000000"/>
          <w:sz w:val="24"/>
          <w:highlight w:val="none"/>
        </w:rPr>
        <w:t>合同期限</w:t>
      </w:r>
    </w:p>
    <w:p w14:paraId="41479F8D">
      <w:pPr>
        <w:snapToGrid w:val="0"/>
        <w:spacing w:line="312" w:lineRule="auto"/>
        <w:rPr>
          <w:rFonts w:ascii="仿宋" w:hAnsi="仿宋" w:eastAsia="仿宋" w:cs="仿宋"/>
          <w:color w:val="000000"/>
          <w:sz w:val="24"/>
          <w:highlight w:val="none"/>
        </w:rPr>
      </w:pPr>
      <w:bookmarkStart w:id="0" w:name="_Toc225670751"/>
      <w:bookmarkStart w:id="1" w:name="_Toc185395249"/>
      <w:bookmarkStart w:id="2" w:name="_Toc212019594"/>
      <w:bookmarkStart w:id="3" w:name="_Toc239233914"/>
      <w:bookmarkStart w:id="4" w:name="_Toc225244852"/>
      <w:bookmarkStart w:id="5" w:name="_Toc239568418"/>
      <w:bookmarkStart w:id="6" w:name="_Toc282696226"/>
      <w:bookmarkStart w:id="7" w:name="_Toc232492928"/>
      <w:bookmarkStart w:id="8" w:name="_Toc211854449"/>
      <w:bookmarkStart w:id="9" w:name="_Toc251768862"/>
      <w:bookmarkStart w:id="10" w:name="_Toc241833903"/>
      <w:bookmarkStart w:id="11" w:name="_Toc225654644"/>
      <w:bookmarkStart w:id="12" w:name="_Toc237145406"/>
      <w:bookmarkStart w:id="13" w:name="_Toc283019214"/>
      <w:bookmarkStart w:id="14" w:name="_Toc211911348"/>
      <w:bookmarkStart w:id="15" w:name="_Toc286993786"/>
      <w:bookmarkStart w:id="16" w:name="_Toc247334841"/>
      <w:bookmarkStart w:id="17" w:name="_Toc238984975"/>
      <w:r>
        <w:rPr>
          <w:rFonts w:hint="eastAsia" w:ascii="仿宋" w:hAnsi="仿宋" w:eastAsia="仿宋" w:cs="仿宋"/>
          <w:b/>
          <w:bCs/>
          <w:color w:val="000000"/>
          <w:sz w:val="24"/>
          <w:highlight w:val="none"/>
          <w:u w:val="single"/>
        </w:rPr>
        <w:t xml:space="preserve"> </w:t>
      </w:r>
      <w:r>
        <w:rPr>
          <w:rFonts w:hint="eastAsia" w:ascii="仿宋" w:hAnsi="仿宋" w:eastAsia="仿宋" w:cs="仿宋"/>
          <w:color w:val="000000"/>
          <w:sz w:val="24"/>
          <w:highlight w:val="none"/>
          <w:u w:val="single"/>
        </w:rPr>
        <w:t xml:space="preserve">合同签订之日起90日  </w:t>
      </w:r>
      <w:r>
        <w:rPr>
          <w:rFonts w:hint="eastAsia" w:ascii="仿宋" w:hAnsi="仿宋" w:eastAsia="仿宋" w:cs="仿宋"/>
          <w:color w:val="000000"/>
          <w:sz w:val="24"/>
          <w:highlight w:val="none"/>
        </w:rPr>
        <w:t>。</w:t>
      </w:r>
    </w:p>
    <w:p w14:paraId="246D42DB">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第三条 服务内容与质量标准</w:t>
      </w:r>
    </w:p>
    <w:p w14:paraId="0B95E0C7">
      <w:pPr>
        <w:snapToGrid w:val="0"/>
        <w:spacing w:line="312" w:lineRule="auto"/>
        <w:rPr>
          <w:rFonts w:ascii="仿宋" w:hAnsi="仿宋" w:eastAsia="仿宋" w:cs="仿宋"/>
          <w:color w:val="000000"/>
          <w:sz w:val="24"/>
          <w:highlight w:val="none"/>
          <w:u w:val="single"/>
        </w:rPr>
      </w:pPr>
      <w:r>
        <w:rPr>
          <w:rFonts w:hint="eastAsia" w:ascii="仿宋" w:hAnsi="仿宋" w:eastAsia="仿宋" w:cs="仿宋"/>
          <w:b/>
          <w:bCs/>
          <w:color w:val="000000"/>
          <w:sz w:val="24"/>
          <w:highlight w:val="none"/>
          <w:u w:val="single"/>
        </w:rPr>
        <w:t xml:space="preserve"> （一）服务内容：</w:t>
      </w:r>
      <w:r>
        <w:rPr>
          <w:rFonts w:hint="eastAsia" w:ascii="仿宋" w:hAnsi="仿宋" w:eastAsia="仿宋" w:cs="仿宋"/>
          <w:color w:val="000000"/>
          <w:sz w:val="24"/>
          <w:highlight w:val="none"/>
          <w:u w:val="single"/>
        </w:rPr>
        <w:t xml:space="preserve">提供移动式高清图像视频采集系统、光盘打印刻录一体化系统、刻录光盘存储系统、案件讨论证据辅助展示系统、便携式审讯系统、移动阅卷系统、多功能卷宗成册输出系统、证据采集系统、专业思维导图辅助制作系统、专线通信对讲系统、执法记录系统、成册卷宗扫描采集系统和文件中转智能系统的信息化集成服务。                                            </w:t>
      </w:r>
    </w:p>
    <w:p w14:paraId="529A0FF9">
      <w:pPr>
        <w:snapToGrid w:val="0"/>
        <w:spacing w:line="312" w:lineRule="auto"/>
        <w:ind w:left="3915" w:hanging="3855" w:hangingChars="1600"/>
        <w:rPr>
          <w:rFonts w:ascii="仿宋" w:hAnsi="仿宋" w:eastAsia="仿宋" w:cs="仿宋"/>
          <w:color w:val="000000"/>
          <w:sz w:val="24"/>
          <w:highlight w:val="none"/>
        </w:rPr>
      </w:pPr>
      <w:r>
        <w:rPr>
          <w:rFonts w:hint="eastAsia" w:ascii="仿宋" w:hAnsi="仿宋" w:eastAsia="仿宋" w:cs="仿宋"/>
          <w:b/>
          <w:bCs/>
          <w:color w:val="000000"/>
          <w:sz w:val="24"/>
          <w:highlight w:val="none"/>
          <w:u w:val="single"/>
        </w:rPr>
        <w:t>（二）质量标准：</w:t>
      </w:r>
      <w:r>
        <w:rPr>
          <w:rFonts w:hint="eastAsia" w:ascii="仿宋" w:hAnsi="仿宋" w:eastAsia="仿宋" w:cs="仿宋"/>
          <w:color w:val="000000"/>
          <w:sz w:val="24"/>
          <w:highlight w:val="none"/>
          <w:u w:val="single"/>
        </w:rPr>
        <w:t xml:space="preserve">具体以乙方投标文件响应情况为准。      </w:t>
      </w:r>
    </w:p>
    <w:p w14:paraId="4B8947DF">
      <w:pPr>
        <w:snapToGrid w:val="0"/>
        <w:spacing w:line="312" w:lineRule="auto"/>
        <w:rPr>
          <w:rFonts w:ascii="仿宋" w:hAnsi="仿宋" w:eastAsia="仿宋" w:cs="仿宋"/>
          <w:b/>
          <w:bCs/>
          <w:color w:val="000000"/>
          <w:sz w:val="24"/>
          <w:highlight w:val="none"/>
        </w:rPr>
      </w:pPr>
      <w:r>
        <w:rPr>
          <w:rFonts w:hint="eastAsia" w:ascii="仿宋" w:hAnsi="仿宋" w:eastAsia="仿宋" w:cs="仿宋"/>
          <w:b/>
          <w:color w:val="000000"/>
          <w:sz w:val="24"/>
          <w:highlight w:val="none"/>
        </w:rPr>
        <w:t xml:space="preserve">第四条 </w:t>
      </w:r>
      <w:r>
        <w:rPr>
          <w:rFonts w:hint="eastAsia" w:ascii="仿宋" w:hAnsi="仿宋" w:eastAsia="仿宋" w:cs="仿宋"/>
          <w:b/>
          <w:bCs/>
          <w:color w:val="000000"/>
          <w:sz w:val="24"/>
          <w:highlight w:val="none"/>
        </w:rPr>
        <w:t>服务期限和服务地点</w:t>
      </w:r>
    </w:p>
    <w:p w14:paraId="55355C2D">
      <w:pPr>
        <w:snapToGrid w:val="0"/>
        <w:spacing w:line="312" w:lineRule="auto"/>
        <w:rPr>
          <w:rFonts w:ascii="仿宋" w:hAnsi="仿宋" w:eastAsia="仿宋" w:cs="仿宋"/>
          <w:color w:val="000000"/>
          <w:sz w:val="24"/>
          <w:highlight w:val="none"/>
          <w:u w:val="single"/>
        </w:rPr>
      </w:pPr>
      <w:r>
        <w:rPr>
          <w:rFonts w:hint="eastAsia" w:ascii="仿宋" w:hAnsi="仿宋" w:eastAsia="仿宋" w:cs="仿宋"/>
          <w:b/>
          <w:bCs/>
          <w:color w:val="000000"/>
          <w:sz w:val="24"/>
          <w:highlight w:val="none"/>
          <w:u w:val="single"/>
        </w:rPr>
        <w:t>（一）服务期限：</w:t>
      </w:r>
      <w:r>
        <w:rPr>
          <w:rFonts w:hint="eastAsia" w:ascii="仿宋" w:hAnsi="仿宋" w:eastAsia="仿宋" w:cs="仿宋"/>
          <w:color w:val="000000"/>
          <w:sz w:val="24"/>
          <w:highlight w:val="none"/>
          <w:u w:val="single"/>
        </w:rPr>
        <w:t>合同签订之日起90日。</w:t>
      </w:r>
    </w:p>
    <w:p w14:paraId="57BF3E8A">
      <w:pPr>
        <w:snapToGrid w:val="0"/>
        <w:spacing w:line="312" w:lineRule="auto"/>
        <w:rPr>
          <w:rFonts w:ascii="仿宋" w:hAnsi="仿宋" w:eastAsia="仿宋" w:cs="仿宋"/>
          <w:b/>
          <w:bCs/>
          <w:color w:val="000000"/>
          <w:sz w:val="24"/>
          <w:highlight w:val="none"/>
        </w:rPr>
      </w:pPr>
      <w:r>
        <w:rPr>
          <w:rFonts w:hint="eastAsia" w:ascii="仿宋" w:hAnsi="仿宋" w:eastAsia="仿宋" w:cs="仿宋"/>
          <w:b/>
          <w:bCs/>
          <w:color w:val="000000"/>
          <w:sz w:val="24"/>
          <w:highlight w:val="none"/>
          <w:u w:val="single"/>
        </w:rPr>
        <w:t>（二）服务地点：</w:t>
      </w:r>
      <w:r>
        <w:rPr>
          <w:rFonts w:hint="eastAsia" w:ascii="仿宋" w:hAnsi="仿宋" w:eastAsia="仿宋" w:cs="仿宋"/>
          <w:color w:val="000000"/>
          <w:sz w:val="24"/>
          <w:highlight w:val="none"/>
          <w:u w:val="single"/>
        </w:rPr>
        <w:t xml:space="preserve">四川省成都市中级人民法院（四川省成都市金牛区抚琴西路109号）  </w:t>
      </w:r>
      <w:r>
        <w:rPr>
          <w:rFonts w:hint="eastAsia" w:ascii="仿宋" w:hAnsi="仿宋" w:eastAsia="仿宋" w:cs="仿宋"/>
          <w:color w:val="000000"/>
          <w:sz w:val="24"/>
          <w:highlight w:val="none"/>
        </w:rPr>
        <w:t>。</w:t>
      </w:r>
    </w:p>
    <w:p w14:paraId="3A12C282">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第五条 合同金额及支付方式</w:t>
      </w:r>
    </w:p>
    <w:p w14:paraId="2A134A6B">
      <w:pPr>
        <w:pStyle w:val="7"/>
        <w:snapToGrid w:val="0"/>
        <w:spacing w:line="312" w:lineRule="auto"/>
        <w:ind w:firstLine="489"/>
        <w:rPr>
          <w:rFonts w:ascii="仿宋" w:hAnsi="仿宋" w:eastAsia="仿宋" w:cs="仿宋"/>
          <w:color w:val="000000"/>
          <w:highlight w:val="none"/>
        </w:rPr>
      </w:pPr>
      <w:r>
        <w:rPr>
          <w:rFonts w:hint="eastAsia" w:ascii="仿宋" w:hAnsi="仿宋" w:eastAsia="仿宋" w:cs="仿宋"/>
          <w:b/>
          <w:color w:val="000000"/>
          <w:highlight w:val="none"/>
        </w:rPr>
        <w:t>（一）本项目合同金额为</w:t>
      </w:r>
      <w:r>
        <w:rPr>
          <w:rFonts w:hint="eastAsia" w:ascii="仿宋" w:hAnsi="仿宋" w:eastAsia="仿宋" w:cs="仿宋"/>
          <w:b/>
          <w:color w:val="000000"/>
          <w:highlight w:val="none"/>
          <w:lang w:eastAsia="zh-CN"/>
        </w:rPr>
        <w:t>：</w:t>
      </w:r>
      <w:r>
        <w:rPr>
          <w:rFonts w:hint="eastAsia" w:ascii="仿宋" w:hAnsi="仿宋" w:eastAsia="仿宋" w:cs="仿宋"/>
          <w:b/>
          <w:color w:val="000000"/>
          <w:highlight w:val="none"/>
          <w:lang w:val="en-US" w:eastAsia="zh-CN"/>
        </w:rPr>
        <w:t>XX</w:t>
      </w:r>
      <w:r>
        <w:rPr>
          <w:rFonts w:hint="eastAsia" w:ascii="仿宋" w:hAnsi="仿宋" w:eastAsia="仿宋" w:cs="仿宋"/>
          <w:b/>
          <w:color w:val="000000"/>
          <w:highlight w:val="none"/>
        </w:rPr>
        <w:t>万元（具体以中标金额为准）</w:t>
      </w:r>
    </w:p>
    <w:p w14:paraId="1C1A9FCA">
      <w:pPr>
        <w:tabs>
          <w:tab w:val="left" w:pos="780"/>
        </w:tabs>
        <w:snapToGrid w:val="0"/>
        <w:spacing w:line="312" w:lineRule="auto"/>
        <w:ind w:firstLine="482" w:firstLineChars="200"/>
        <w:rPr>
          <w:rFonts w:ascii="仿宋" w:hAnsi="仿宋" w:eastAsia="仿宋" w:cs="仿宋"/>
          <w:b/>
          <w:color w:val="000000"/>
          <w:sz w:val="24"/>
          <w:highlight w:val="none"/>
        </w:rPr>
      </w:pPr>
      <w:r>
        <w:rPr>
          <w:rFonts w:hint="eastAsia" w:ascii="仿宋" w:hAnsi="仿宋" w:eastAsia="仿宋" w:cs="仿宋"/>
          <w:b/>
          <w:color w:val="000000"/>
          <w:sz w:val="24"/>
          <w:highlight w:val="none"/>
        </w:rPr>
        <w:t>（二）支付方式：</w:t>
      </w:r>
    </w:p>
    <w:p w14:paraId="15CF60EF">
      <w:pPr>
        <w:snapToGrid w:val="0"/>
        <w:spacing w:line="312" w:lineRule="auto"/>
        <w:rPr>
          <w:rFonts w:ascii="仿宋" w:hAnsi="仿宋" w:eastAsia="仿宋" w:cs="仿宋"/>
          <w:color w:val="000000"/>
          <w:sz w:val="24"/>
          <w:highlight w:val="none"/>
          <w:u w:val="single"/>
        </w:rPr>
      </w:pPr>
      <w:r>
        <w:rPr>
          <w:rFonts w:hint="eastAsia" w:ascii="仿宋" w:hAnsi="仿宋" w:eastAsia="仿宋" w:cs="仿宋"/>
          <w:color w:val="000000"/>
          <w:sz w:val="24"/>
          <w:highlight w:val="none"/>
          <w:u w:val="single"/>
        </w:rPr>
        <w:t>1、支付方式：分期付款；</w:t>
      </w:r>
    </w:p>
    <w:p w14:paraId="7C8555A5">
      <w:pPr>
        <w:snapToGrid w:val="0"/>
        <w:spacing w:line="312" w:lineRule="auto"/>
        <w:rPr>
          <w:rFonts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2、</w:t>
      </w:r>
      <w:r>
        <w:rPr>
          <w:rFonts w:ascii="仿宋_GB2312" w:hAnsi="仿宋_GB2312" w:eastAsia="仿宋_GB2312" w:cs="仿宋_GB2312"/>
          <w:sz w:val="24"/>
          <w:szCs w:val="24"/>
          <w:highlight w:val="none"/>
          <w:u w:val="single"/>
        </w:rPr>
        <w:t>付款进度安排</w:t>
      </w:r>
      <w:r>
        <w:rPr>
          <w:rFonts w:hint="eastAsia" w:ascii="仿宋_GB2312" w:hAnsi="仿宋_GB2312" w:eastAsia="仿宋_GB2312" w:cs="仿宋_GB2312"/>
          <w:sz w:val="24"/>
          <w:szCs w:val="24"/>
          <w:highlight w:val="none"/>
          <w:u w:val="single"/>
        </w:rPr>
        <w:t>：合同签订后，采购人在收到供应商开具的发票之日起，达到付款条件10日内，支付合同总金额的40%；所有工作完成并经采购人验收合格后 ，达到付款条件起 10 日内，支付合同总金额的60%。</w:t>
      </w:r>
    </w:p>
    <w:p w14:paraId="100A07E5">
      <w:pPr>
        <w:snapToGrid w:val="0"/>
        <w:spacing w:line="312" w:lineRule="auto"/>
        <w:rPr>
          <w:rFonts w:ascii="仿宋" w:hAnsi="仿宋" w:eastAsia="仿宋" w:cs="仿宋"/>
          <w:b/>
          <w:bCs/>
          <w:kern w:val="0"/>
          <w:sz w:val="24"/>
          <w:highlight w:val="none"/>
        </w:rPr>
      </w:pPr>
      <w:r>
        <w:rPr>
          <w:rFonts w:hint="eastAsia" w:ascii="仿宋" w:hAnsi="仿宋" w:eastAsia="仿宋" w:cs="仿宋"/>
          <w:b/>
          <w:color w:val="000000"/>
          <w:sz w:val="24"/>
          <w:highlight w:val="none"/>
        </w:rPr>
        <w:t xml:space="preserve">第六条 </w:t>
      </w:r>
      <w:r>
        <w:rPr>
          <w:rFonts w:hint="eastAsia" w:ascii="仿宋" w:hAnsi="仿宋" w:eastAsia="仿宋" w:cs="仿宋"/>
          <w:b/>
          <w:bCs/>
          <w:kern w:val="0"/>
          <w:sz w:val="24"/>
          <w:highlight w:val="none"/>
        </w:rPr>
        <w:t>验收方法和标准：</w:t>
      </w:r>
    </w:p>
    <w:p w14:paraId="57DA6D27">
      <w:pPr>
        <w:snapToGrid w:val="0"/>
        <w:spacing w:line="312" w:lineRule="auto"/>
        <w:rPr>
          <w:rFonts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u w:val="single"/>
        </w:rPr>
        <w:t>1、验收方法：采购人自行验收。</w:t>
      </w:r>
    </w:p>
    <w:p w14:paraId="66D78095">
      <w:pPr>
        <w:snapToGrid w:val="0"/>
        <w:spacing w:line="312" w:lineRule="auto"/>
        <w:rPr>
          <w:rFonts w:ascii="仿宋" w:hAnsi="仿宋" w:eastAsia="仿宋" w:cs="仿宋"/>
          <w:color w:val="000000"/>
          <w:sz w:val="24"/>
          <w:szCs w:val="24"/>
          <w:highlight w:val="none"/>
        </w:rPr>
      </w:pPr>
      <w:r>
        <w:rPr>
          <w:rFonts w:hint="eastAsia" w:ascii="仿宋_GB2312" w:hAnsi="仿宋_GB2312" w:eastAsia="仿宋_GB2312" w:cs="仿宋_GB2312"/>
          <w:sz w:val="24"/>
          <w:szCs w:val="24"/>
          <w:highlight w:val="none"/>
          <w:u w:val="single"/>
        </w:rPr>
        <w:t>2、验收标准：按《招标文件》的技术、商务要求、中标人《投标文件》及承诺约定标准进行验收。其他未尽事宜严格按照《财政部关于进一步加强政府采购需求和履约验收管理的指导意见》（财库〔2016〕205号）、《政府采购需求管理办法》（财库〔2021〕22号）的要求进行验收；符合国家、四川省地方强制标准规定。</w:t>
      </w:r>
    </w:p>
    <w:p w14:paraId="3F31FCB7">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第七条 知识产权</w:t>
      </w:r>
    </w:p>
    <w:p w14:paraId="28D8CA84">
      <w:pPr>
        <w:tabs>
          <w:tab w:val="left" w:pos="1440"/>
        </w:tabs>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乙方应保证所提供的服务或其任何一部分均不会侵犯任何第三方的专利权、商标权或著作权。</w:t>
      </w:r>
    </w:p>
    <w:p w14:paraId="4064FEC5">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第八条 无产权瑕疵条款</w:t>
      </w:r>
    </w:p>
    <w:p w14:paraId="4ACEA294">
      <w:pPr>
        <w:tabs>
          <w:tab w:val="left" w:pos="1440"/>
        </w:tabs>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乙方保证所提供的服务的所有权完全属于乙方且无任何抵押、查封等产权瑕疵。如有产权瑕疵的，视为乙方违约。乙方应负担由此而产生的一切损失。</w:t>
      </w:r>
    </w:p>
    <w:p w14:paraId="668CE95D">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第九条  甲方的权利和义务</w:t>
      </w:r>
    </w:p>
    <w:p w14:paraId="13FFA8A6">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1FC70ED">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2、甲方有权对乙方提供的服务进行定期考评。</w:t>
      </w:r>
    </w:p>
    <w:p w14:paraId="195EA2A3">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3、负责检查监督乙方管理工作的实施及制度的执行情况。</w:t>
      </w:r>
    </w:p>
    <w:p w14:paraId="603FBDC7">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4、根据本合同规定，按时向乙方支付应付服务费用。</w:t>
      </w:r>
    </w:p>
    <w:p w14:paraId="530E62D1">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5、国家法律、法规所规定由甲方承担的其他责任。</w:t>
      </w:r>
    </w:p>
    <w:p w14:paraId="570B3BFC">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第十条 乙方的权利和义务</w:t>
      </w:r>
    </w:p>
    <w:p w14:paraId="7DDF417C">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1、对本合同规定的委托服务范围内的项目享有管理权及服务义务。</w:t>
      </w:r>
    </w:p>
    <w:p w14:paraId="02BD3A4A">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2、根据本合同的规定向甲方收取相关服务费用，并有权在本项目管理范围内管理及合理使用。</w:t>
      </w:r>
    </w:p>
    <w:p w14:paraId="6F2FBBEC">
      <w:pPr>
        <w:adjustRightInd w:val="0"/>
        <w:snapToGrid w:val="0"/>
        <w:spacing w:line="312" w:lineRule="auto"/>
        <w:ind w:firstLine="480" w:firstLineChars="200"/>
        <w:jc w:val="left"/>
        <w:textAlignment w:val="baseline"/>
        <w:rPr>
          <w:rFonts w:ascii="仿宋" w:hAnsi="仿宋" w:eastAsia="仿宋" w:cs="仿宋"/>
          <w:color w:val="000000"/>
          <w:sz w:val="24"/>
          <w:highlight w:val="none"/>
        </w:rPr>
      </w:pPr>
      <w:r>
        <w:rPr>
          <w:rFonts w:hint="eastAsia" w:ascii="仿宋" w:hAnsi="仿宋" w:eastAsia="仿宋" w:cs="仿宋"/>
          <w:color w:val="000000"/>
          <w:sz w:val="24"/>
          <w:highlight w:val="none"/>
        </w:rPr>
        <w:t>3、及时向甲方通告本项目服务范围内有关服务的重大事项，及时配合处理投诉。</w:t>
      </w:r>
    </w:p>
    <w:p w14:paraId="150BF659">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color w:val="000000"/>
          <w:sz w:val="24"/>
          <w:highlight w:val="none"/>
        </w:rPr>
        <w:t>4、</w:t>
      </w:r>
      <w:r>
        <w:rPr>
          <w:rFonts w:hint="eastAsia" w:ascii="仿宋" w:hAnsi="仿宋" w:eastAsia="仿宋" w:cs="仿宋"/>
          <w:bCs/>
          <w:color w:val="000000"/>
          <w:sz w:val="24"/>
          <w:highlight w:val="none"/>
        </w:rPr>
        <w:t>接受项目行业管理部门及政府有关部门的指导，接受甲方的监督。</w:t>
      </w:r>
    </w:p>
    <w:p w14:paraId="5BE570D9">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5、国家法律、法规所规定由乙方承担的其他责任。</w:t>
      </w:r>
    </w:p>
    <w:p w14:paraId="13634FB4">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6、严格完全根据甲方磋商文件要求及乙方响应文件响应的其他承诺及服务进行履约。</w:t>
      </w:r>
    </w:p>
    <w:p w14:paraId="60EE41E2">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第十一条 违约责任</w:t>
      </w:r>
    </w:p>
    <w:p w14:paraId="32CA6D76">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1、甲乙双方必须遵守本合同并执行合同中的各项规定，保证本合同的正常履行。</w:t>
      </w:r>
    </w:p>
    <w:p w14:paraId="038F5A94">
      <w:pPr>
        <w:adjustRightInd w:val="0"/>
        <w:snapToGrid w:val="0"/>
        <w:spacing w:line="312" w:lineRule="auto"/>
        <w:ind w:firstLine="480" w:firstLineChars="200"/>
        <w:jc w:val="left"/>
        <w:textAlignment w:val="baseline"/>
        <w:rPr>
          <w:rFonts w:ascii="仿宋" w:hAnsi="仿宋" w:eastAsia="仿宋" w:cs="仿宋"/>
          <w:bCs/>
          <w:color w:val="000000"/>
          <w:sz w:val="24"/>
          <w:highlight w:val="none"/>
        </w:rPr>
      </w:pPr>
      <w:r>
        <w:rPr>
          <w:rFonts w:hint="eastAsia" w:ascii="仿宋" w:hAnsi="仿宋" w:eastAsia="仿宋" w:cs="仿宋"/>
          <w:bCs/>
          <w:color w:val="000000"/>
          <w:sz w:val="24"/>
          <w:highlight w:val="none"/>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7618252">
      <w:pPr>
        <w:pStyle w:val="6"/>
        <w:keepNext w:val="0"/>
        <w:keepLines w:val="0"/>
        <w:pageBreakBefore w:val="0"/>
        <w:widowControl/>
        <w:kinsoku/>
        <w:wordWrap/>
        <w:overflowPunct/>
        <w:topLinePunct w:val="0"/>
        <w:autoSpaceDE/>
        <w:autoSpaceDN/>
        <w:bidi w:val="0"/>
        <w:adjustRightInd/>
        <w:snapToGrid/>
        <w:spacing w:line="312" w:lineRule="auto"/>
        <w:ind w:firstLine="480" w:firstLineChars="200"/>
        <w:textAlignment w:val="auto"/>
        <w:rPr>
          <w:rFonts w:hint="default" w:ascii="仿宋" w:hAnsi="仿宋" w:eastAsia="仿宋" w:cs="仿宋"/>
          <w:bCs/>
          <w:color w:val="000000"/>
          <w:kern w:val="2"/>
          <w:sz w:val="24"/>
          <w:szCs w:val="22"/>
          <w:highlight w:val="none"/>
          <w:lang w:val="en-US" w:eastAsia="zh-CN" w:bidi="ar-SA"/>
        </w:rPr>
      </w:pPr>
      <w:r>
        <w:rPr>
          <w:rFonts w:hint="eastAsia" w:ascii="仿宋" w:hAnsi="仿宋" w:eastAsia="仿宋" w:cs="仿宋"/>
          <w:bCs/>
          <w:color w:val="000000"/>
          <w:kern w:val="2"/>
          <w:sz w:val="24"/>
          <w:szCs w:val="22"/>
          <w:highlight w:val="none"/>
          <w:lang w:val="en-US" w:eastAsia="zh-CN" w:bidi="ar-SA"/>
        </w:rPr>
        <w:t>3、本项目若验收不合格，乙方在规定时间内进行整改，限期整改不到位的，甲方可不予结算费用，并可根据实际情况解除合同且不承担任何违约责任，同时有权要求乙方支付合同总金额20%的违约金，且乙方还应退还甲方已支付的全部款项及利息（按全国银行间同业拆借中心公布的贷款市场报价利率计算）。</w:t>
      </w:r>
    </w:p>
    <w:p w14:paraId="72A5BB0A">
      <w:pPr>
        <w:pStyle w:val="6"/>
        <w:keepNext w:val="0"/>
        <w:keepLines w:val="0"/>
        <w:pageBreakBefore w:val="0"/>
        <w:widowControl/>
        <w:kinsoku/>
        <w:wordWrap/>
        <w:overflowPunct/>
        <w:topLinePunct w:val="0"/>
        <w:autoSpaceDE/>
        <w:autoSpaceDN/>
        <w:bidi w:val="0"/>
        <w:adjustRightInd/>
        <w:snapToGrid/>
        <w:spacing w:line="312" w:lineRule="auto"/>
        <w:ind w:firstLine="480" w:firstLineChars="200"/>
        <w:textAlignment w:val="auto"/>
        <w:rPr>
          <w:rFonts w:hint="default" w:ascii="仿宋" w:hAnsi="仿宋" w:eastAsia="仿宋" w:cs="仿宋"/>
          <w:bCs/>
          <w:color w:val="000000"/>
          <w:kern w:val="2"/>
          <w:sz w:val="24"/>
          <w:szCs w:val="22"/>
          <w:highlight w:val="none"/>
          <w:lang w:val="en-US" w:eastAsia="zh-CN" w:bidi="ar-SA"/>
        </w:rPr>
      </w:pPr>
      <w:r>
        <w:rPr>
          <w:rFonts w:hint="eastAsia" w:ascii="仿宋" w:hAnsi="仿宋" w:eastAsia="仿宋" w:cs="仿宋"/>
          <w:bCs/>
          <w:color w:val="000000"/>
          <w:kern w:val="2"/>
          <w:sz w:val="24"/>
          <w:szCs w:val="22"/>
          <w:highlight w:val="none"/>
          <w:lang w:val="en-US" w:eastAsia="zh-CN" w:bidi="ar-SA"/>
        </w:rPr>
        <w:t>4、甲方未按照约定支付采购资金的，每逾期一日，应就逾期支付部分金额的万分之一向乙方支付违约金。</w:t>
      </w:r>
    </w:p>
    <w:p w14:paraId="380C93CA">
      <w:pPr>
        <w:snapToGrid w:val="0"/>
        <w:spacing w:line="312" w:lineRule="auto"/>
        <w:rPr>
          <w:rFonts w:ascii="仿宋" w:hAnsi="仿宋" w:eastAsia="仿宋" w:cs="仿宋"/>
          <w:b/>
          <w:color w:val="000000"/>
          <w:sz w:val="24"/>
          <w:highlight w:val="none"/>
        </w:rPr>
      </w:pPr>
      <w:r>
        <w:rPr>
          <w:rFonts w:hint="eastAsia" w:ascii="仿宋" w:hAnsi="仿宋" w:eastAsia="仿宋" w:cs="仿宋"/>
          <w:b/>
          <w:color w:val="000000"/>
          <w:sz w:val="24"/>
          <w:highlight w:val="none"/>
        </w:rPr>
        <w:t>第十二条 不可抗力事件处理</w:t>
      </w:r>
    </w:p>
    <w:p w14:paraId="448384BE">
      <w:pPr>
        <w:tabs>
          <w:tab w:val="left" w:pos="0"/>
        </w:tabs>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1、在合同有效期内，任何一方因不可抗力事件导致不能履行合同，则合同履行期可延长，其延长期与不可抗力影响期相同。</w:t>
      </w:r>
    </w:p>
    <w:p w14:paraId="78D68B8D">
      <w:pPr>
        <w:tabs>
          <w:tab w:val="left" w:pos="0"/>
        </w:tabs>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2、不可抗力事件发生后，应立即通知对方，并寄送有关权威机构出具的证明。</w:t>
      </w:r>
    </w:p>
    <w:p w14:paraId="3463754F">
      <w:pPr>
        <w:tabs>
          <w:tab w:val="left" w:pos="0"/>
        </w:tabs>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3、不可抗力事件延续</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eastAsia="zh"/>
        </w:rPr>
        <w:t>30</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79ADBE1">
      <w:pPr>
        <w:pStyle w:val="8"/>
        <w:snapToGrid w:val="0"/>
        <w:spacing w:line="312" w:lineRule="auto"/>
        <w:jc w:val="both"/>
        <w:rPr>
          <w:rFonts w:ascii="仿宋" w:hAnsi="仿宋" w:eastAsia="仿宋" w:cs="仿宋"/>
          <w:b/>
          <w:color w:val="000000"/>
          <w:highlight w:val="none"/>
        </w:rPr>
      </w:pPr>
      <w:r>
        <w:rPr>
          <w:rFonts w:hint="eastAsia" w:ascii="仿宋" w:hAnsi="仿宋" w:eastAsia="仿宋" w:cs="仿宋"/>
          <w:b/>
          <w:color w:val="000000"/>
          <w:kern w:val="2"/>
          <w:highlight w:val="none"/>
        </w:rPr>
        <w:t>第十三条 解决争议的办法</w:t>
      </w:r>
    </w:p>
    <w:p w14:paraId="13DF4E9D">
      <w:pPr>
        <w:pStyle w:val="8"/>
        <w:snapToGrid w:val="0"/>
        <w:spacing w:line="312" w:lineRule="auto"/>
        <w:ind w:firstLine="480" w:firstLineChars="200"/>
        <w:jc w:val="both"/>
        <w:rPr>
          <w:rFonts w:ascii="仿宋" w:hAnsi="仿宋" w:eastAsia="仿宋" w:cs="仿宋"/>
          <w:highlight w:val="none"/>
        </w:rPr>
      </w:pPr>
      <w:r>
        <w:rPr>
          <w:rFonts w:hint="eastAsia" w:ascii="仿宋" w:hAnsi="仿宋" w:eastAsia="仿宋" w:cs="仿宋"/>
          <w:color w:val="000000"/>
          <w:highlight w:val="none"/>
        </w:rPr>
        <w:t>合同履行期间,若双方发生争议，可协商或由有关部门调解解决，协商或调解不成的，由当事人依法向</w:t>
      </w:r>
      <w:r>
        <w:rPr>
          <w:rFonts w:hint="eastAsia" w:ascii="仿宋" w:hAnsi="仿宋" w:eastAsia="仿宋" w:cs="仿宋"/>
          <w:color w:val="000000"/>
          <w:highlight w:val="none"/>
          <w:u w:val="single"/>
        </w:rPr>
        <w:t>合同签订所在地有管辖权</w:t>
      </w:r>
      <w:r>
        <w:rPr>
          <w:rFonts w:hint="eastAsia" w:ascii="仿宋" w:hAnsi="仿宋" w:eastAsia="仿宋" w:cs="仿宋"/>
          <w:color w:val="000000"/>
          <w:highlight w:val="none"/>
        </w:rPr>
        <w:t>的法院提起诉讼维护其合法权益。</w:t>
      </w:r>
    </w:p>
    <w:p w14:paraId="1B1C1F0F">
      <w:pPr>
        <w:pStyle w:val="9"/>
        <w:adjustRightInd w:val="0"/>
        <w:snapToGrid w:val="0"/>
        <w:spacing w:line="312" w:lineRule="auto"/>
        <w:ind w:firstLine="0" w:firstLineChars="0"/>
        <w:rPr>
          <w:rFonts w:ascii="仿宋" w:hAnsi="仿宋" w:eastAsia="仿宋" w:cs="仿宋"/>
          <w:b/>
          <w:color w:val="000000"/>
          <w:sz w:val="24"/>
          <w:highlight w:val="none"/>
        </w:rPr>
      </w:pPr>
      <w:r>
        <w:rPr>
          <w:rFonts w:hint="eastAsia" w:ascii="仿宋" w:hAnsi="仿宋" w:eastAsia="仿宋" w:cs="仿宋"/>
          <w:b/>
          <w:color w:val="000000"/>
          <w:sz w:val="24"/>
          <w:highlight w:val="none"/>
        </w:rPr>
        <w:t>第十四条 合同生效及其他</w:t>
      </w:r>
    </w:p>
    <w:p w14:paraId="55514500">
      <w:pPr>
        <w:pStyle w:val="9"/>
        <w:adjustRightInd w:val="0"/>
        <w:snapToGrid w:val="0"/>
        <w:spacing w:line="312" w:lineRule="auto"/>
        <w:ind w:firstLine="480"/>
        <w:rPr>
          <w:rFonts w:ascii="仿宋" w:hAnsi="仿宋" w:eastAsia="仿宋" w:cs="仿宋"/>
          <w:color w:val="000000"/>
          <w:sz w:val="24"/>
          <w:highlight w:val="none"/>
        </w:rPr>
      </w:pPr>
      <w:r>
        <w:rPr>
          <w:rFonts w:hint="eastAsia" w:ascii="仿宋" w:hAnsi="仿宋" w:eastAsia="仿宋" w:cs="仿宋"/>
          <w:color w:val="000000"/>
          <w:sz w:val="24"/>
          <w:highlight w:val="none"/>
        </w:rPr>
        <w:t>1、合同经双方法定代表人或授权委托代理人签字或加盖单位公章后生效。</w:t>
      </w:r>
    </w:p>
    <w:p w14:paraId="3DE4DE0C">
      <w:pPr>
        <w:pStyle w:val="9"/>
        <w:adjustRightInd w:val="0"/>
        <w:snapToGrid w:val="0"/>
        <w:spacing w:line="312" w:lineRule="auto"/>
        <w:ind w:firstLine="480"/>
        <w:rPr>
          <w:rFonts w:ascii="仿宋" w:hAnsi="仿宋" w:eastAsia="仿宋" w:cs="仿宋"/>
          <w:color w:val="000000"/>
          <w:sz w:val="24"/>
          <w:highlight w:val="none"/>
        </w:rPr>
      </w:pPr>
      <w:r>
        <w:rPr>
          <w:rFonts w:hint="eastAsia" w:ascii="仿宋" w:hAnsi="仿宋" w:eastAsia="仿宋" w:cs="仿宋"/>
          <w:color w:val="000000"/>
          <w:sz w:val="24"/>
          <w:highlight w:val="none"/>
        </w:rPr>
        <w:t>2、合同执行中涉及采购资金和采购内容修改或补充的，须经政府采购监管部门审批，并签订书面补充协议报政府采购监督管理部门备案，方可作为主合同不可分割的一部分。</w:t>
      </w:r>
    </w:p>
    <w:p w14:paraId="604FD190">
      <w:pPr>
        <w:pStyle w:val="9"/>
        <w:adjustRightInd w:val="0"/>
        <w:snapToGrid w:val="0"/>
        <w:spacing w:line="312" w:lineRule="auto"/>
        <w:ind w:firstLine="480"/>
        <w:rPr>
          <w:rFonts w:ascii="仿宋" w:hAnsi="仿宋" w:eastAsia="仿宋" w:cs="仿宋"/>
          <w:color w:val="000000"/>
          <w:sz w:val="24"/>
          <w:highlight w:val="none"/>
        </w:rPr>
      </w:pPr>
      <w:r>
        <w:rPr>
          <w:rFonts w:hint="eastAsia" w:ascii="仿宋" w:hAnsi="仿宋" w:eastAsia="仿宋" w:cs="仿宋"/>
          <w:color w:val="000000"/>
          <w:sz w:val="24"/>
          <w:highlight w:val="none"/>
        </w:rPr>
        <w:t>3、本合同一式6份，自双方签章之日起起效。甲方2份，乙方2份，政府采购代理机构1份，同级财政部门备案1份，具有同等法律效力。</w:t>
      </w:r>
    </w:p>
    <w:p w14:paraId="075890A3">
      <w:pPr>
        <w:snapToGrid w:val="0"/>
        <w:spacing w:line="312" w:lineRule="auto"/>
        <w:rPr>
          <w:rFonts w:ascii="仿宋" w:hAnsi="仿宋" w:eastAsia="仿宋" w:cs="仿宋"/>
          <w:color w:val="000000"/>
          <w:sz w:val="24"/>
          <w:highlight w:val="none"/>
        </w:rPr>
      </w:pPr>
    </w:p>
    <w:p w14:paraId="17C293B6">
      <w:pPr>
        <w:snapToGrid w:val="0"/>
        <w:spacing w:line="312" w:lineRule="auto"/>
        <w:rPr>
          <w:rFonts w:ascii="仿宋" w:hAnsi="仿宋" w:eastAsia="仿宋" w:cs="仿宋"/>
          <w:highlight w:val="none"/>
        </w:rPr>
      </w:pPr>
    </w:p>
    <w:p w14:paraId="2A7B59E4">
      <w:pPr>
        <w:snapToGrid w:val="0"/>
        <w:spacing w:line="312" w:lineRule="auto"/>
        <w:ind w:firstLine="480" w:firstLineChars="200"/>
        <w:rPr>
          <w:rFonts w:hint="eastAsia" w:ascii="仿宋" w:hAnsi="仿宋" w:eastAsia="仿宋" w:cs="仿宋"/>
          <w:color w:val="000000"/>
          <w:sz w:val="24"/>
          <w:highlight w:val="none"/>
        </w:rPr>
      </w:pPr>
    </w:p>
    <w:p w14:paraId="23ED1F8D">
      <w:pPr>
        <w:snapToGrid w:val="0"/>
        <w:spacing w:line="312" w:lineRule="auto"/>
        <w:ind w:left="0" w:leftChars="0" w:firstLine="0" w:firstLineChars="0"/>
        <w:rPr>
          <w:rFonts w:hint="eastAsia" w:ascii="仿宋" w:hAnsi="仿宋" w:eastAsia="仿宋" w:cs="仿宋"/>
          <w:color w:val="000000"/>
          <w:sz w:val="24"/>
          <w:highlight w:val="none"/>
        </w:rPr>
      </w:pPr>
    </w:p>
    <w:p w14:paraId="54D875CB">
      <w:pPr>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 xml:space="preserve">甲方：   （盖章）   </w:t>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 xml:space="preserve">       乙方：   （盖章）</w:t>
      </w:r>
    </w:p>
    <w:p w14:paraId="65C13732">
      <w:pPr>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法定代表人（授权代表）：           法定代表人（授权代表）：</w:t>
      </w:r>
    </w:p>
    <w:p w14:paraId="1CFC1327">
      <w:pPr>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地    址：                         地    址：</w:t>
      </w:r>
    </w:p>
    <w:p w14:paraId="0715915D">
      <w:pPr>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开户银行：                         开户银行：</w:t>
      </w:r>
    </w:p>
    <w:p w14:paraId="413399AD">
      <w:pPr>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账号：                             账号：</w:t>
      </w:r>
    </w:p>
    <w:p w14:paraId="365E0230">
      <w:pPr>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电    话：                         电    话：</w:t>
      </w:r>
    </w:p>
    <w:p w14:paraId="43F985D7">
      <w:pPr>
        <w:snapToGrid w:val="0"/>
        <w:spacing w:line="312" w:lineRule="auto"/>
        <w:ind w:firstLine="480" w:firstLineChars="200"/>
        <w:rPr>
          <w:rFonts w:ascii="仿宋" w:hAnsi="仿宋" w:eastAsia="仿宋" w:cs="仿宋"/>
          <w:color w:val="000000"/>
          <w:sz w:val="24"/>
          <w:highlight w:val="none"/>
        </w:rPr>
      </w:pPr>
      <w:r>
        <w:rPr>
          <w:rFonts w:hint="eastAsia" w:ascii="仿宋" w:hAnsi="仿宋" w:eastAsia="仿宋" w:cs="仿宋"/>
          <w:color w:val="000000"/>
          <w:sz w:val="24"/>
          <w:highlight w:val="none"/>
        </w:rPr>
        <w:t>传    真：                         传    真：</w:t>
      </w:r>
    </w:p>
    <w:p w14:paraId="5B4322F2">
      <w:pPr>
        <w:snapToGrid w:val="0"/>
        <w:spacing w:line="312"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签约日期：XX年XX月XX日 </w:t>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ab/>
      </w:r>
      <w:r>
        <w:rPr>
          <w:rFonts w:hint="eastAsia" w:ascii="仿宋" w:hAnsi="仿宋" w:eastAsia="仿宋" w:cs="仿宋"/>
          <w:color w:val="000000"/>
          <w:sz w:val="24"/>
          <w:highlight w:val="none"/>
        </w:rPr>
        <w:t>签约日期：XX年XX月XX日</w:t>
      </w:r>
    </w:p>
    <w:p w14:paraId="67A390A6">
      <w:pPr>
        <w:pStyle w:val="6"/>
        <w:ind w:firstLine="960"/>
        <w:rPr>
          <w:rFonts w:ascii="仿宋_GB2312" w:hAnsi="仿宋_GB2312" w:eastAsia="仿宋_GB2312" w:cs="仿宋_GB2312"/>
          <w:highlight w:val="none"/>
        </w:rPr>
        <w:sectPr>
          <w:pgSz w:w="11906" w:h="16838"/>
          <w:pgMar w:top="1440" w:right="1800" w:bottom="1440" w:left="1800" w:header="851" w:footer="992" w:gutter="0"/>
          <w:cols w:space="425" w:num="1"/>
          <w:docGrid w:type="lines" w:linePitch="312" w:charSpace="0"/>
        </w:sectPr>
      </w:pPr>
      <w:bookmarkStart w:id="18" w:name="_GoBack"/>
      <w:bookmarkEnd w:id="18"/>
    </w:p>
    <w:p w14:paraId="76541DA3">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854C87"/>
    <w:rsid w:val="05854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4670" w:firstLineChars="200"/>
      <w:jc w:val="both"/>
    </w:pPr>
    <w:rPr>
      <w:rFonts w:ascii="Calibri" w:hAnsi="Calibri" w:eastAsia="仿宋_GB2312" w:cs="Times New Roman"/>
      <w:kern w:val="0"/>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Body Text First Indent"/>
    <w:basedOn w:val="2"/>
    <w:next w:val="1"/>
    <w:unhideWhenUsed/>
    <w:qFormat/>
    <w:uiPriority w:val="99"/>
    <w:pPr>
      <w:ind w:firstLine="420" w:firstLineChars="100"/>
    </w:p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样式 首行缩进:  2 字符"/>
    <w:basedOn w:val="1"/>
    <w:qFormat/>
    <w:uiPriority w:val="0"/>
    <w:pPr>
      <w:spacing w:line="400" w:lineRule="exact"/>
      <w:ind w:firstLine="200" w:firstLineChars="200"/>
    </w:pPr>
    <w:rPr>
      <w:rFonts w:cs="宋体"/>
      <w:sz w:val="24"/>
      <w:szCs w:val="24"/>
    </w:rPr>
  </w:style>
  <w:style w:type="paragraph" w:customStyle="1" w:styleId="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styleId="9">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2025-04-25T08:29:00Z</dcterms:created>
  <dc:creator>......</dc:creator>
  <cp:lastModifiedBy>......</cp:lastModifiedBy>
  <dcterms:modified xsi:type="dcterms:W3CDTF">2025-04-25T08:30:06Z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AC047A0F89F74D6B936D45E832875A2D_11</vt:lpwstr>
  </property>
  <property fmtid="{D5CDD505-2E9C-101B-9397-08002B2CF9AE}" pid="4" name="KSOTemplateDocerSaveRecord">
    <vt:lpwstr>eyJoZGlkIjoiODJlYTU3NzU0YTljOWVjODNlOWZjM2JkNGRhODhlNGUiLCJ1c2VySWQiOiIzOTQ5NTQ1NjgifQ==</vt:lpwstr>
  </property>
</Properties>
</file>