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440201-2025-00754</w:t>
      </w:r>
    </w:p>
    <w:p>
      <w:pPr>
        <w:pStyle w:val="null3"/>
        <w:jc w:val="center"/>
        <w:outlineLvl w:val="3"/>
      </w:pPr>
      <w:r>
        <w:rPr>
          <w:sz w:val="24"/>
          <w:b/>
        </w:rPr>
        <w:t>采购项目编号：</w:t>
      </w:r>
      <w:r>
        <w:rPr>
          <w:sz w:val="24"/>
          <w:b/>
        </w:rPr>
        <w:t>CLZ0124SG00ZC77</w:t>
      </w:r>
    </w:p>
    <w:p>
      <w:pPr>
        <w:pStyle w:val="null3"/>
        <w:jc w:val="center"/>
        <w:outlineLvl w:val="3"/>
      </w:pPr>
      <w:r>
        <w:rPr>
          <w:sz w:val="24"/>
          <w:b/>
        </w:rPr>
        <w:t>项目名称：</w:t>
      </w:r>
      <w:r>
        <w:rPr>
          <w:sz w:val="24"/>
          <w:b/>
        </w:rPr>
        <w:t>韶关市职业卫生与健康教育所实验室检测设备采购项目</w:t>
      </w:r>
    </w:p>
    <w:p>
      <w:pPr>
        <w:pStyle w:val="null3"/>
        <w:jc w:val="center"/>
        <w:outlineLvl w:val="3"/>
      </w:pPr>
      <w:r>
        <w:rPr>
          <w:sz w:val="24"/>
          <w:b/>
        </w:rPr>
        <w:t>采购人：</w:t>
      </w:r>
      <w:r>
        <w:rPr>
          <w:sz w:val="24"/>
          <w:b/>
        </w:rPr>
        <w:t>韶关市职业卫生与健康教育所</w:t>
      </w:r>
    </w:p>
    <w:p>
      <w:pPr>
        <w:pStyle w:val="null3"/>
        <w:jc w:val="center"/>
        <w:outlineLvl w:val="3"/>
      </w:pPr>
      <w:r>
        <w:rPr>
          <w:sz w:val="24"/>
          <w:b/>
        </w:rPr>
        <w:t>采购代理机构：</w:t>
      </w:r>
      <w:r>
        <w:rPr>
          <w:sz w:val="24"/>
          <w:b/>
        </w:rPr>
        <w:t>韶关市采联采购招标有限公司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韶关市采联采购招标有限公司</w:t>
      </w:r>
      <w:r>
        <w:rPr/>
        <w:t>受</w:t>
      </w:r>
      <w:r>
        <w:rPr/>
        <w:t>韶关市职业卫生与健康教育所</w:t>
      </w:r>
      <w:r>
        <w:rPr/>
        <w:t>的委托，采用</w:t>
      </w:r>
      <w:r>
        <w:rPr/>
        <w:t>公开招标</w:t>
      </w:r>
      <w:r>
        <w:rPr/>
        <w:t>方式组织采购</w:t>
      </w:r>
      <w:r>
        <w:rPr/>
        <w:t>韶关市职业卫生与健康教育所实验室检测设备采购项目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韶关市职业卫生与健康教育所实验室检测设备采购项目</w:t>
      </w:r>
    </w:p>
    <w:p>
      <w:pPr>
        <w:pStyle w:val="null3"/>
        <w:ind w:firstLine="480"/>
      </w:pPr>
      <w:r>
        <w:rPr/>
        <w:t>采购计划编号：</w:t>
      </w:r>
      <w:r>
        <w:rPr/>
        <w:t>440201-2025-00754</w:t>
      </w:r>
    </w:p>
    <w:p>
      <w:pPr>
        <w:pStyle w:val="null3"/>
        <w:ind w:firstLine="480"/>
      </w:pPr>
      <w:r>
        <w:rPr/>
        <w:t>采购项目编号：</w:t>
      </w:r>
      <w:r>
        <w:rPr/>
        <w:t>CLZ0124SG00ZC77</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采购包1(韶关市职业卫生与健康教育所实验室检测设备采购项目):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质谱仪</w:t>
            </w:r>
          </w:p>
        </w:tc>
        <w:tc>
          <w:tcPr>
            <w:tcW w:type="dxa" w:w="2136"/>
          </w:tcPr>
          <w:p>
            <w:pPr>
              <w:pStyle w:val="null3"/>
            </w:pPr>
            <w:r>
              <w:rPr/>
              <w:t>电感耦合等离子体质谱仪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其他仪器仪表</w:t>
            </w:r>
          </w:p>
        </w:tc>
        <w:tc>
          <w:tcPr>
            <w:tcW w:type="dxa" w:w="2136"/>
          </w:tcPr>
          <w:p>
            <w:pPr>
              <w:pStyle w:val="null3"/>
            </w:pPr>
            <w:r>
              <w:rPr/>
              <w:t>便携式γ能谱仪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合同履行期限：签订合同后30日历天内交货，并按质保要求履约完成。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 如国家另有规定的，则从其规定。</w:t>
      </w:r>
    </w:p>
    <w:p>
      <w:pPr>
        <w:pStyle w:val="null3"/>
      </w:pPr>
      <w:r>
        <w:rPr/>
        <w:t>2）有依法缴纳税收和社会保障资金的良好记录：提供《资格条件承诺函》，格式详见招标公告附件。</w:t>
      </w:r>
    </w:p>
    <w:p>
      <w:pPr>
        <w:pStyle w:val="null3"/>
      </w:pPr>
      <w:r>
        <w:rPr/>
        <w:t>3）具有良好的商业信誉和健全的财务会计制度：提供《资格条件承诺函》，格式详见招标公告附件 。</w:t>
      </w:r>
    </w:p>
    <w:p>
      <w:pPr>
        <w:pStyle w:val="null3"/>
      </w:pPr>
      <w:r>
        <w:rPr/>
        <w:t>4）履行合同所必需的设备和专业技术能力：提供《资格条件承诺函》，格式详见招标公告附件。</w:t>
      </w:r>
    </w:p>
    <w:p>
      <w:pPr>
        <w:pStyle w:val="null3"/>
      </w:pPr>
      <w:r>
        <w:rPr/>
        <w:t>5）参加采购活动前3年内，在经营活动中没有重大违法记录：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采购包1（韶关市职业卫生与健康教育所实验室检测设备采购项目）：</w:t>
      </w:r>
      <w:r>
        <w:rPr/>
        <w:t>无，本项目不属于专门面向中小企业采购的项目。</w:t>
      </w:r>
    </w:p>
    <w:p>
      <w:pPr>
        <w:pStyle w:val="null3"/>
        <w:outlineLvl w:val="3"/>
      </w:pPr>
      <w:r>
        <w:rPr>
          <w:sz w:val="24"/>
          <w:b/>
        </w:rPr>
        <w:t>3.本项目特定的资格要求：</w:t>
      </w:r>
    </w:p>
    <w:p>
      <w:pPr>
        <w:pStyle w:val="null3"/>
      </w:pPr>
      <w:r>
        <w:rPr/>
        <w:t>采购包1（韶关市职业卫生与健康教育所实验室检测设备采购项目）：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韶关市采联采购招标有限公司（ http://www.chinapsp.cn/）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韶关市职业卫生与健康教育所</w:t>
      </w:r>
    </w:p>
    <w:p>
      <w:pPr>
        <w:pStyle w:val="null3"/>
        <w:ind w:firstLine="480"/>
      </w:pPr>
      <w:r>
        <w:rPr/>
        <w:t xml:space="preserve"> 地址：</w:t>
      </w:r>
      <w:r>
        <w:rPr/>
        <w:t>韶关市武江区建设路11号</w:t>
      </w:r>
    </w:p>
    <w:p>
      <w:pPr>
        <w:pStyle w:val="null3"/>
        <w:ind w:firstLine="480"/>
      </w:pPr>
      <w:r>
        <w:rPr/>
        <w:t xml:space="preserve"> 联系方式：</w:t>
      </w:r>
      <w:r>
        <w:rPr/>
        <w:t>0751-8723828</w:t>
      </w:r>
    </w:p>
    <w:p>
      <w:pPr>
        <w:pStyle w:val="null3"/>
        <w:outlineLvl w:val="3"/>
      </w:pPr>
      <w:r>
        <w:rPr>
          <w:sz w:val="24"/>
          <w:b/>
        </w:rPr>
        <w:t xml:space="preserve"> 2.采购代理机构信息</w:t>
      </w:r>
    </w:p>
    <w:p>
      <w:pPr>
        <w:pStyle w:val="null3"/>
        <w:ind w:firstLine="480"/>
      </w:pPr>
      <w:r>
        <w:rPr/>
        <w:t xml:space="preserve"> 名称：</w:t>
      </w:r>
      <w:r>
        <w:rPr/>
        <w:t>韶关市采联采购招标有限公司</w:t>
      </w:r>
    </w:p>
    <w:p>
      <w:pPr>
        <w:pStyle w:val="null3"/>
        <w:ind w:firstLine="480"/>
      </w:pPr>
      <w:r>
        <w:rPr/>
        <w:t xml:space="preserve"> 地址：</w:t>
      </w:r>
      <w:r>
        <w:rPr/>
        <w:t>韶关市武江区新华南路40号湘商大厦6楼601B-1</w:t>
      </w:r>
    </w:p>
    <w:p>
      <w:pPr>
        <w:pStyle w:val="null3"/>
        <w:ind w:firstLine="480"/>
      </w:pPr>
      <w:r>
        <w:rPr/>
        <w:t xml:space="preserve"> 联系方式：</w:t>
      </w:r>
      <w:r>
        <w:rPr/>
        <w:t>0751-8329009-2111</w:t>
      </w:r>
    </w:p>
    <w:p>
      <w:pPr>
        <w:pStyle w:val="null3"/>
        <w:outlineLvl w:val="3"/>
      </w:pPr>
      <w:r>
        <w:rPr>
          <w:sz w:val="24"/>
          <w:b/>
        </w:rPr>
        <w:t xml:space="preserve"> 3.项目联系方式</w:t>
      </w:r>
    </w:p>
    <w:p>
      <w:pPr>
        <w:pStyle w:val="null3"/>
        <w:ind w:firstLine="480"/>
      </w:pPr>
      <w:r>
        <w:rPr/>
        <w:t xml:space="preserve"> 项目联系人：</w:t>
      </w:r>
      <w:r>
        <w:rPr/>
        <w:t>王小姐</w:t>
      </w:r>
    </w:p>
    <w:p>
      <w:pPr>
        <w:pStyle w:val="null3"/>
        <w:ind w:firstLine="480"/>
      </w:pPr>
      <w:r>
        <w:rPr/>
        <w:t xml:space="preserve"> 电话：</w:t>
      </w:r>
      <w:r>
        <w:rPr/>
        <w:t>0751-8329009-2111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韶关市采联采购招标有限公司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（一）有关说明</w:t>
      </w:r>
    </w:p>
    <w:p>
      <w:pPr>
        <w:pStyle w:val="null3"/>
        <w:ind w:left="-135" w:right="45"/>
      </w:pPr>
      <w:r>
        <w:rPr>
          <w:sz w:val="24"/>
          <w:color w:val="000000"/>
        </w:rPr>
        <w:t>1</w:t>
      </w:r>
      <w:r>
        <w:rPr>
          <w:sz w:val="24"/>
          <w:color w:val="000000"/>
        </w:rPr>
        <w:t>、投标人须对本项目以采购包为单位的采购标的进行整体投标，任何只对以采购包为单位的采购标的其中一部分内容、数量进行的投标都被视为无效投标。</w:t>
      </w:r>
    </w:p>
    <w:p>
      <w:pPr>
        <w:pStyle w:val="null3"/>
        <w:ind w:left="-135" w:right="45"/>
      </w:pPr>
      <w:r>
        <w:rPr>
          <w:sz w:val="24"/>
          <w:color w:val="000000"/>
        </w:rPr>
        <w:t>2</w:t>
      </w:r>
      <w:r>
        <w:rPr>
          <w:sz w:val="24"/>
          <w:color w:val="000000"/>
        </w:rPr>
        <w:t>、</w:t>
      </w:r>
      <w:r>
        <w:rPr>
          <w:sz w:val="24"/>
          <w:color w:val="000000"/>
        </w:rPr>
        <w:t>采购需求中标注</w:t>
      </w:r>
      <w:r>
        <w:rPr>
          <w:sz w:val="24"/>
          <w:color w:val="000000"/>
        </w:rPr>
        <w:t>“</w:t>
      </w:r>
      <w:r>
        <w:rPr>
          <w:sz w:val="24"/>
          <w:color w:val="000000"/>
        </w:rPr>
        <w:t>★</w:t>
      </w:r>
      <w:r>
        <w:rPr>
          <w:sz w:val="24"/>
          <w:color w:val="000000"/>
        </w:rPr>
        <w:t>”</w:t>
      </w:r>
      <w:r>
        <w:rPr>
          <w:sz w:val="24"/>
          <w:color w:val="000000"/>
        </w:rPr>
        <w:t>号条款为实质性条款，必须逐条进行响应，有任何一条负偏离的，将导致</w:t>
      </w:r>
      <w:r>
        <w:rPr>
          <w:sz w:val="24"/>
          <w:b/>
          <w:color w:val="000000"/>
        </w:rPr>
        <w:t>无效投标</w:t>
      </w:r>
      <w:r>
        <w:rPr>
          <w:sz w:val="24"/>
          <w:color w:val="000000"/>
        </w:rPr>
        <w:t>。</w:t>
      </w:r>
    </w:p>
    <w:p>
      <w:pPr>
        <w:pStyle w:val="null3"/>
        <w:ind w:left="-135" w:right="45"/>
      </w:pPr>
      <w:r>
        <w:rPr>
          <w:sz w:val="24"/>
          <w:color w:val="000000"/>
        </w:rPr>
        <w:t>3</w:t>
      </w:r>
      <w:r>
        <w:rPr>
          <w:sz w:val="24"/>
          <w:color w:val="000000"/>
        </w:rPr>
        <w:t>、</w:t>
      </w:r>
      <w:r>
        <w:rPr>
          <w:sz w:val="24"/>
          <w:color w:val="000000"/>
        </w:rPr>
        <w:t>采购需求中标注</w:t>
      </w:r>
      <w:r>
        <w:rPr>
          <w:sz w:val="24"/>
          <w:color w:val="000000"/>
        </w:rPr>
        <w:t>“</w:t>
      </w:r>
      <w:r>
        <w:rPr>
          <w:sz w:val="24"/>
          <w:color w:val="000000"/>
        </w:rPr>
        <w:t>▲</w:t>
      </w:r>
      <w:r>
        <w:rPr>
          <w:sz w:val="24"/>
          <w:color w:val="000000"/>
        </w:rPr>
        <w:t>”</w:t>
      </w:r>
      <w:r>
        <w:rPr>
          <w:sz w:val="24"/>
          <w:color w:val="000000"/>
        </w:rPr>
        <w:t>号条款为重要技术参数，但不作为无效投标条款。</w:t>
      </w:r>
    </w:p>
    <w:p>
      <w:pPr>
        <w:pStyle w:val="null3"/>
        <w:ind w:left="-135" w:right="45"/>
      </w:pPr>
      <w:r>
        <w:rPr>
          <w:sz w:val="24"/>
          <w:color w:val="000000"/>
        </w:rPr>
        <w:t>（二）</w:t>
      </w:r>
      <w:r>
        <w:rPr>
          <w:sz w:val="24"/>
          <w:b/>
          <w:color w:val="000000"/>
        </w:rPr>
        <w:t>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919"/>
        <w:gridCol w:w="1839"/>
        <w:gridCol w:w="752"/>
        <w:gridCol w:w="1421"/>
        <w:gridCol w:w="1588"/>
        <w:gridCol w:w="1588"/>
      </w:tblGrid>
      <w:tr>
        <w:tc>
          <w:tcPr>
            <w:tcW w:type="dxa" w:w="91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color w:val="000000"/>
              </w:rPr>
              <w:t>序号</w:t>
            </w:r>
          </w:p>
        </w:tc>
        <w:tc>
          <w:tcPr>
            <w:tcW w:type="dxa" w:w="1839"/>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color w:val="000000"/>
              </w:rPr>
              <w:t>标的名称</w:t>
            </w:r>
          </w:p>
        </w:tc>
        <w:tc>
          <w:tcPr>
            <w:tcW w:type="dxa" w:w="752"/>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color w:val="000000"/>
              </w:rPr>
              <w:t>数量</w:t>
            </w:r>
          </w:p>
        </w:tc>
        <w:tc>
          <w:tcPr>
            <w:tcW w:type="dxa" w:w="1421"/>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color w:val="000000"/>
              </w:rPr>
              <w:t>核心产品</w:t>
            </w:r>
          </w:p>
        </w:tc>
        <w:tc>
          <w:tcPr>
            <w:tcW w:type="dxa" w:w="1588"/>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color w:val="000000"/>
              </w:rPr>
              <w:t>主要标的</w:t>
            </w:r>
          </w:p>
        </w:tc>
        <w:tc>
          <w:tcPr>
            <w:tcW w:type="dxa" w:w="1588"/>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color w:val="000000"/>
              </w:rPr>
              <w:t>预算金额</w:t>
            </w:r>
          </w:p>
          <w:p>
            <w:pPr>
              <w:pStyle w:val="null3"/>
              <w:jc w:val="center"/>
            </w:pPr>
            <w:r>
              <w:rPr>
                <w:sz w:val="24"/>
                <w:b/>
                <w:color w:val="000000"/>
              </w:rPr>
              <w:t>（人民币</w:t>
            </w:r>
            <w:r>
              <w:rPr>
                <w:sz w:val="21"/>
                <w:b/>
                <w:color w:val="000000"/>
              </w:rPr>
              <w:t xml:space="preserve">  </w:t>
            </w:r>
            <w:r>
              <w:rPr>
                <w:sz w:val="24"/>
                <w:b/>
                <w:color w:val="000000"/>
              </w:rPr>
              <w:t>元）</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电感耦合等离子体质谱仪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r>
              <w:rPr>
                <w:sz w:val="24"/>
                <w:color w:val="000000"/>
              </w:rPr>
              <w:t>台</w:t>
            </w:r>
          </w:p>
        </w:tc>
        <w:tc>
          <w:tcPr>
            <w:tcW w:type="dxa" w:w="14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电感耦合等离子体质谱仪</w:t>
            </w:r>
          </w:p>
        </w:tc>
        <w:tc>
          <w:tcPr>
            <w:tcW w:type="dxa" w:w="1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电感耦合等离子体质谱仪、便携式γ能谱仪</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1,550,000.00</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便携式γ能谱仪</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r>
              <w:rPr>
                <w:sz w:val="24"/>
                <w:color w:val="000000"/>
              </w:rPr>
              <w:t>台</w:t>
            </w:r>
          </w:p>
        </w:tc>
        <w:tc>
          <w:tcPr>
            <w:tcW w:type="dxa" w:w="1421"/>
            <w:vMerge/>
            <w:tcBorders>
              <w:top w:val="none" w:color="000000" w:sz="4"/>
              <w:left w:val="none" w:color="000000" w:sz="4"/>
              <w:bottom w:val="single" w:color="000000" w:sz="4"/>
              <w:right w:val="single" w:color="000000" w:sz="4"/>
            </w:tcBorders>
          </w:tcPr>
          <w:p/>
        </w:tc>
        <w:tc>
          <w:tcPr>
            <w:tcW w:type="dxa" w:w="1588"/>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450,000.00</w:t>
            </w:r>
          </w:p>
        </w:tc>
      </w:tr>
    </w:tbl>
    <w:p>
      <w:pPr>
        <w:pStyle w:val="null3"/>
        <w:jc w:val="both"/>
      </w:pPr>
      <w:r>
        <w:rPr>
          <w:sz w:val="24"/>
        </w:rPr>
        <w:t>备注：</w:t>
      </w:r>
    </w:p>
    <w:p>
      <w:pPr>
        <w:pStyle w:val="null3"/>
        <w:jc w:val="both"/>
      </w:pPr>
      <w:r>
        <w:rPr>
          <w:sz w:val="24"/>
          <w:color w:val="000000"/>
        </w:rPr>
        <w:t>1.</w:t>
      </w:r>
      <w:r>
        <w:rPr>
          <w:sz w:val="24"/>
          <w:color w:val="000000"/>
        </w:rPr>
        <w:t>投标人投标时，采购的主要标的应</w:t>
      </w:r>
      <w:r>
        <w:rPr>
          <w:sz w:val="24"/>
          <w:color w:val="000000"/>
        </w:rPr>
        <w:t>在</w:t>
      </w:r>
      <w:r>
        <w:rPr>
          <w:sz w:val="24"/>
          <w:color w:val="000000"/>
        </w:rPr>
        <w:t>《分项报价表》</w:t>
      </w:r>
      <w:r>
        <w:rPr>
          <w:sz w:val="24"/>
          <w:color w:val="000000"/>
        </w:rPr>
        <w:t>中</w:t>
      </w:r>
      <w:r>
        <w:rPr>
          <w:sz w:val="24"/>
          <w:color w:val="000000"/>
        </w:rPr>
        <w:t>清晰列明“</w:t>
      </w:r>
      <w:r>
        <w:rPr>
          <w:sz w:val="24"/>
          <w:color w:val="000000"/>
        </w:rPr>
        <w:t>货物</w:t>
      </w:r>
      <w:r>
        <w:rPr>
          <w:sz w:val="24"/>
          <w:color w:val="000000"/>
        </w:rPr>
        <w:t>名称、规格型号、单价、数量”。</w:t>
      </w:r>
    </w:p>
    <w:p>
      <w:pPr>
        <w:pStyle w:val="null3"/>
        <w:jc w:val="both"/>
      </w:pPr>
      <w:r>
        <w:rPr>
          <w:sz w:val="24"/>
          <w:color w:val="000000"/>
        </w:rPr>
        <w:t>2.</w:t>
      </w:r>
      <w:r>
        <w:rPr>
          <w:sz w:val="24"/>
          <w:color w:val="000000"/>
        </w:rPr>
        <w:t>投标人投标时，</w:t>
      </w:r>
      <w:r>
        <w:rPr>
          <w:sz w:val="24"/>
          <w:color w:val="000000"/>
        </w:rPr>
        <w:t>采购的核心产品</w:t>
      </w:r>
      <w:r>
        <w:rPr>
          <w:sz w:val="24"/>
          <w:color w:val="000000"/>
        </w:rPr>
        <w:t>应在《分项报价表》中清晰列明“产品名称、品牌”</w:t>
      </w:r>
      <w:r>
        <w:rPr>
          <w:sz w:val="24"/>
          <w:color w:val="000000"/>
        </w:rPr>
        <w:t>，</w:t>
      </w:r>
      <w:r>
        <w:rPr>
          <w:sz w:val="24"/>
          <w:color w:val="000000"/>
        </w:rPr>
        <w:t>否则，视为无效投标。</w:t>
      </w:r>
    </w:p>
    <w:p>
      <w:pPr>
        <w:pStyle w:val="null3"/>
      </w:pPr>
      <w:r>
        <w:rPr/>
        <w:t>采购包1（韶关市职业卫生与健康教育所实验室检测设备采购项目）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签订合同后30日历天内交货，并按质保要求履约完成</w:t>
            </w:r>
          </w:p>
        </w:tc>
      </w:tr>
      <w:tr>
        <w:tc>
          <w:tcPr>
            <w:tcW w:type="dxa" w:w="4153"/>
          </w:tcPr>
          <w:p>
            <w:pPr>
              <w:pStyle w:val="null3"/>
            </w:pPr>
            <w:r>
              <w:rPr/>
              <w:t>标的提供的地点</w:t>
            </w:r>
          </w:p>
        </w:tc>
        <w:tc>
          <w:tcPr>
            <w:tcW w:type="dxa" w:w="4153"/>
          </w:tcPr>
          <w:p>
            <w:pPr>
              <w:pStyle w:val="null3"/>
            </w:pPr>
            <w:r>
              <w:rPr/>
              <w:t>韶关市职业卫生与健康教育所内，采购人指定地点</w:t>
            </w:r>
          </w:p>
        </w:tc>
      </w:tr>
      <w:tr/>
      <w:tr/>
      <w:tr>
        <w:tc>
          <w:tcPr>
            <w:tcW w:type="dxa" w:w="4153"/>
          </w:tcPr>
          <w:p>
            <w:pPr>
              <w:pStyle w:val="null3"/>
            </w:pPr>
            <w:r>
              <w:rPr/>
              <w:t>付款方式</w:t>
            </w:r>
          </w:p>
        </w:tc>
        <w:tc>
          <w:tcPr>
            <w:tcW w:type="dxa" w:w="4153"/>
          </w:tcPr>
          <w:p>
            <w:pPr>
              <w:pStyle w:val="null3"/>
            </w:pPr>
            <w:r>
              <w:rPr/>
              <w:t>第1期为(预付款)：支付比例50%，签订合同后，采购人自收到发票后10个工作日内向中标人支付合同总价的50%作为预付款。</w:t>
            </w:r>
          </w:p>
          <w:p>
            <w:pPr>
              <w:pStyle w:val="null3"/>
            </w:pPr>
            <w:r>
              <w:rPr/>
              <w:t>第2期为(尾款)：支付比例50%，全部合同货物到达交货地点，并安装调试且验收合格后，凭验收合格单或验收合格报告，采购人自收到发票后10个工作日内向中标人支付合同总价的50%。 注：(1)每次按合同支付款项前，中标人应向采购人提供与支付金额相符的有效发票，且收款方、出具发票方、合同乙方均必须与中标人名称一致； (2)违约责任：采购人逾期支付合同款项的，除应当支付合同款项外，还应当每日按合同总价的0.2‰向中标人偿付违约金，但因中标人自身原因导致无法及时支付的除外。 (3)因采购人使用的是财政资金，采购人在规定时间向支付部门提出支付申请，如因财政支付部门审核时间导致无法按期支付的，采购人不承担违约责任。 (4)付款方式：采用支票、银行汇票、电汇三种形式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1期：(1)采购人收到供应商项目验收申请之日起7日内按照合同的约定对履约情况进行验收，对每一项技术、服务、安全标准的履约情况进行确认。 (2)设备验收在采购人和中标人双方共同参与下按国家有关的规定、规范进行。 (3)验收时如发现所交付的设备有短装、次品、损坏或其它不符合本合同规定之情形者，采购人应作出详尽的现场记录，或由采购人、中标人双方签署备忘录。此现场记录或备忘录可用作补充、缺失和更换损坏部件的有效证据。因此产生的有关费用由中标人承担。 (4)如果合同设备运输和安装过程中因事故造成货物短缺、损坏，中标人应及时安排补货、换货， 以保证合同设备安装的成功完成。换货的相关费用由中标人承担。 (5)中标人保证合同项下提供的设备不侵犯任何第三方的专利、商标或版权。否则，中标人须承担 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1、交付验收标准依次序对照适用标准，(1)符合中华人民共和国国家安全质量标准、环保标准或行业标准。 (2)符合招标文件和响应承诺中采购人认可的合理最佳配置、参数及各项要求。 (3)符合货物来源国官方标准。</w:t>
            </w:r>
          </w:p>
          <w:p>
            <w:pPr>
              <w:pStyle w:val="null3"/>
            </w:pPr>
            <w:r>
              <w:rPr/>
              <w:t>2、售后服务要求，(1)质量保修范围：由于材料、工艺等问题而导致的产品功能失效、性能下降等缺陷(属于自然力或战争等不可抗拒力、人为因素等造成的除外)。 (2)质保期为3年，质保期自货物最终验收合格之日起算，质保期内中标人对所供货物实行包修、包换、包退、包维护保养，质保期后设备维修配件更换只收取成本费用。 (3)对采购人的服务通知，中标人在接报后1小时内响应，4小时内到达现场，48小时内处理完毕。若在48小时内仍未能有效解决，中标人须免费提供同等档次的设备予采购人临时使用。 （4）标的两台仪器设备交货之后10个工作日内完成检定或校准。</w:t>
            </w:r>
          </w:p>
          <w:p>
            <w:pPr>
              <w:pStyle w:val="null3"/>
            </w:pPr>
            <w:r>
              <w:rPr/>
              <w:t>3、安装与调试，(1) 中标人必须按项目进度安排计划，派出适当的技术人员到安装现场负责免费安装和调试工作。在安装施工期间，严格遵守采购人的有关规定。 (2)中标人必须依照招标文件的要求和投标文件的承诺，将设备、系统安装并调试至正常运行的最佳状态。 (3)合同设备安装：中标人负责合同设备的安装，一切费用由中标人负责。中标人安装时须对各安装场地内的其他设备、设施有良好保护措施。</w:t>
            </w:r>
          </w:p>
          <w:p>
            <w:pPr>
              <w:pStyle w:val="null3"/>
            </w:pPr>
            <w:r>
              <w:rPr/>
              <w:t>4、技术培训，(1) 中标人需提供专业技术人员为采购人提供日常操作及维护培训，培训内容主要为设备的基本结构、性能、主要部件的构造及原理，日常使用操作、保养与管理，常见故障的排除，紧急情况的处理等，并将详细过程形成书面或电子资料供采购人使用。培训包括设备现场安装培训和厂家培训，设备现场安装培训：设备安装调试时，现场为采购人提供不少于3日的设备安装调试、仪器操作、日常维护、所有监测指标技术方面的培训，厂家培训：邀请厂家为采购人至少培训一次，培训内容以采购人通知为准。费用包含在本项目报价中。 (2)应提供完整的培训计划和方案，列明培训人员数量、达到的水平等，培训内容包括设备的安装调试、操作、日常维修、简单故障的识别及排除等。培训所需全部费用均由中标人支付。</w:t>
            </w:r>
          </w:p>
          <w:p>
            <w:pPr>
              <w:pStyle w:val="null3"/>
            </w:pPr>
            <w:r>
              <w:rPr/>
              <w:t>5、包装和运输，(1)中标人应提供运至交付地点所需要的包装，包装应符合经济、牢固、美观的要求，采取防潮、防晒、防锈、防震及防止其它损坏的必要措施，以防止货物在运转中损坏或变质。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p>
            <w:pPr>
              <w:pStyle w:val="null3"/>
            </w:pPr>
            <w:r>
              <w:rPr/>
              <w:t>6、保险 ，货物交付运输前，采购人已经支付部分或全部款项的，中标人应当办理以采购人为受益人的货物“一切险”，投保金额不少于采购人已经支付款项总额，保险保至项目最终交货地点。</w:t>
            </w:r>
          </w:p>
          <w:p>
            <w:pPr>
              <w:pStyle w:val="null3"/>
            </w:pPr>
            <w:r>
              <w:rPr/>
              <w:t>7、设备要求，(1)货物为原制造商制造的全新产品，整机无污染，无侵权行为、表面无划损、无任何缺陷隐患，在中国境内可依常规安全合法使用。 (2)货物为原厂商未启封全新包装，具出厂合格证，序列号、包装箱号与出厂批号一致，并可追索查阅。 (3)有关键主机设备的用户手册、保修手册、有关单证资料及配备件、随机工具等，使用操作及安全 须知等重要资料应附有中文说明。</w:t>
            </w:r>
          </w:p>
          <w:p>
            <w:pPr>
              <w:pStyle w:val="null3"/>
            </w:pPr>
            <w:r>
              <w:rPr/>
              <w:t>8、其他，(1)投标人同意采购方以任何形式对其投标文件内容及采购方认为有必要的相关资料的真实性和有效性进行审查、验证。 (2)招标文件附件，投标人应将招标公告中公布的“附件”内容填写好相关信息后附在投标文件中（如有）。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质谱仪</w:t>
            </w:r>
          </w:p>
        </w:tc>
        <w:tc>
          <w:tcPr>
            <w:tcW w:type="dxa" w:w="831"/>
          </w:tcPr>
          <w:p>
            <w:pPr>
              <w:pStyle w:val="null3"/>
              <w:jc w:val="left"/>
            </w:pPr>
            <w:r>
              <w:rPr/>
              <w:t>电感耦合等离子体质谱仪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1,550,000.00</w:t>
            </w:r>
          </w:p>
        </w:tc>
        <w:tc>
          <w:tcPr>
            <w:tcW w:type="dxa" w:w="831"/>
          </w:tcPr>
          <w:p>
            <w:pPr>
              <w:pStyle w:val="null3"/>
              <w:jc w:val="right"/>
            </w:pPr>
            <w:r>
              <w:rPr/>
              <w:t>1,550,000.00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便携式γ能谱仪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电感耦合等离子体质谱仪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ind w:firstLine="482"/>
            </w:pPr>
            <w:r>
              <w:rPr>
                <w:b/>
              </w:rPr>
              <w:t>（一）技术参数</w:t>
            </w:r>
          </w:p>
          <w:p>
            <w:pPr>
              <w:pStyle w:val="null3"/>
              <w:spacing w:after="165"/>
              <w:ind w:firstLine="482"/>
            </w:pPr>
            <w:r>
              <w:rPr>
                <w:b/>
              </w:rPr>
              <w:t>1.</w:t>
            </w:r>
            <w:r>
              <w:rPr>
                <w:b/>
              </w:rPr>
              <w:t>总体要求</w:t>
            </w:r>
          </w:p>
          <w:p>
            <w:pPr>
              <w:pStyle w:val="null3"/>
              <w:spacing w:after="165"/>
              <w:ind w:firstLine="480"/>
            </w:pPr>
            <w:r>
              <w:rPr/>
              <w:t xml:space="preserve">1.1 </w:t>
            </w:r>
            <w:r>
              <w:rPr/>
              <w:t>本次招标电感耦合等离子体质谱要求包含以下核心部件：可拆卸进样系统、可拆卸离子透镜组、碰撞反应池、四极杆质量分析器、脉冲模拟双模式检测器、自动进样器；</w:t>
            </w:r>
          </w:p>
          <w:p>
            <w:pPr>
              <w:pStyle w:val="null3"/>
              <w:spacing w:after="165"/>
              <w:ind w:firstLine="480"/>
            </w:pPr>
            <w:r>
              <w:rPr/>
              <w:t xml:space="preserve">1.2 </w:t>
            </w:r>
            <w:r>
              <w:rPr/>
              <w:t>仪器适用于不同应用领域的各类样品的元素分析、同位素分析和元素形态分析任务，满足环境、食品、化工、生物、材料等分析要求；</w:t>
            </w:r>
          </w:p>
          <w:p>
            <w:pPr>
              <w:pStyle w:val="null3"/>
              <w:spacing w:after="165"/>
              <w:ind w:firstLine="482"/>
            </w:pPr>
            <w:r>
              <w:rPr>
                <w:b/>
              </w:rPr>
              <w:t>2.</w:t>
            </w:r>
            <w:r>
              <w:rPr>
                <w:b/>
              </w:rPr>
              <w:t>主机</w:t>
            </w:r>
          </w:p>
          <w:p>
            <w:pPr>
              <w:pStyle w:val="null3"/>
              <w:spacing w:after="165"/>
              <w:ind w:firstLine="480"/>
            </w:pPr>
            <w:r>
              <w:rPr/>
              <w:t xml:space="preserve">2.1 </w:t>
            </w:r>
            <w:r>
              <w:rPr/>
              <w:t>可拆卸进样系统，包括不限于雾化器、雾化室、炬管；</w:t>
            </w:r>
          </w:p>
          <w:p>
            <w:pPr>
              <w:pStyle w:val="null3"/>
              <w:spacing w:after="165"/>
              <w:ind w:firstLine="480"/>
            </w:pPr>
            <w:r>
              <w:rPr/>
              <w:t xml:space="preserve">2.2 </w:t>
            </w:r>
            <w:r>
              <w:rPr/>
              <w:t>雾化器：耐高盐（耐盐度25%以上）、石英同心雾化器；</w:t>
            </w:r>
          </w:p>
          <w:p>
            <w:pPr>
              <w:pStyle w:val="null3"/>
              <w:spacing w:after="165"/>
              <w:ind w:firstLine="480"/>
            </w:pPr>
            <w:r>
              <w:rPr/>
              <w:t>2.3</w:t>
            </w:r>
            <w:r>
              <w:rPr/>
              <w:t>雾室：双通道石英雾室，雾室外配置全包裹式半导体制冷装置；</w:t>
            </w:r>
          </w:p>
          <w:p>
            <w:pPr>
              <w:pStyle w:val="null3"/>
              <w:spacing w:after="165"/>
              <w:ind w:firstLine="480"/>
            </w:pPr>
            <w:r>
              <w:rPr/>
              <w:t xml:space="preserve">2.4 </w:t>
            </w:r>
            <w:r>
              <w:rPr/>
              <w:t>▲炬管：采用约2.5mm中心管的一体式石英炬管（使用中心管尺寸小于2.5mm的小炬管的型号需多配10根炬管）；</w:t>
            </w:r>
          </w:p>
          <w:p>
            <w:pPr>
              <w:pStyle w:val="null3"/>
              <w:spacing w:after="165"/>
              <w:ind w:firstLine="480"/>
            </w:pPr>
            <w:r>
              <w:rPr/>
              <w:t xml:space="preserve">2.5 </w:t>
            </w:r>
            <w:r>
              <w:rPr/>
              <w:t>★接口：镍制样品锥和截取锥组成的双锥接口，采样锥孔径≤1.0mm，截取锥孔径≤0.45mm；</w:t>
            </w:r>
          </w:p>
          <w:p>
            <w:pPr>
              <w:pStyle w:val="null3"/>
              <w:spacing w:after="165"/>
              <w:ind w:firstLine="480"/>
            </w:pPr>
            <w:r>
              <w:rPr/>
              <w:t xml:space="preserve">2.6 </w:t>
            </w:r>
            <w:r>
              <w:rPr/>
              <w:t>高盐样品进样系统：仪器配置全自动气体在线稀释装置，可直接测定总溶解固体量（TDS）不小于25%的样品溶液。配置2路气体即补偿气和稀释气体，软件实现两种气体在线切换，流量范围0~2.00L/min，流速0.01L/min连续可调；稀释气体拥有5种不同稀释比，可实现4倍、8倍、25倍、50倍、100倍的预设稀释条件自由切换。（需分别提供软件界面稀释倍数截图和稀释气流量调节范围截图）。</w:t>
            </w:r>
          </w:p>
          <w:p>
            <w:pPr>
              <w:pStyle w:val="null3"/>
              <w:spacing w:after="165"/>
              <w:ind w:firstLine="480"/>
            </w:pPr>
            <w:r>
              <w:rPr/>
              <w:t xml:space="preserve">2.7 </w:t>
            </w:r>
            <w:r>
              <w:rPr/>
              <w:t>▲离子源：数控式、固态射频发生器，射频频率≤28 MHz，功率范围至少覆盖500~1600W；（提供射频频率、功率范围的软件界面截图证明）</w:t>
            </w:r>
          </w:p>
          <w:p>
            <w:pPr>
              <w:pStyle w:val="null3"/>
              <w:spacing w:after="165"/>
              <w:ind w:firstLine="480"/>
            </w:pPr>
            <w:r>
              <w:rPr/>
              <w:t xml:space="preserve">2.8 </w:t>
            </w:r>
            <w:r>
              <w:rPr/>
              <w:t>二次放电消除技术：需具备屏蔽炬物理接地技术（提供屏蔽片与炬管组合安装的实物图片）</w:t>
            </w:r>
          </w:p>
          <w:p>
            <w:pPr>
              <w:pStyle w:val="null3"/>
              <w:spacing w:after="165"/>
              <w:ind w:firstLine="480"/>
            </w:pPr>
            <w:r>
              <w:rPr/>
              <w:t xml:space="preserve">2.9 </w:t>
            </w:r>
            <w:r>
              <w:rPr/>
              <w:t>卡拆卸离子透镜组：同时装有不少于2个提取透镜，每个提取透镜可独立施加正负电压；（提供两个透镜分别设置正正、负负、正负三种电压组合的软件界面截图证明）</w:t>
            </w:r>
          </w:p>
          <w:p>
            <w:pPr>
              <w:pStyle w:val="null3"/>
              <w:spacing w:after="165"/>
              <w:ind w:firstLine="480"/>
            </w:pPr>
            <w:r>
              <w:rPr/>
              <w:t xml:space="preserve">2.10 </w:t>
            </w:r>
            <w:r>
              <w:rPr/>
              <w:t>★碰撞反应池：池内必须装配八极杆离子导杆（提供八极杆维护界面软件截图或彩页证明）</w:t>
            </w:r>
          </w:p>
          <w:p>
            <w:pPr>
              <w:pStyle w:val="null3"/>
              <w:spacing w:after="165"/>
              <w:ind w:firstLine="480"/>
            </w:pPr>
            <w:r>
              <w:rPr/>
              <w:t xml:space="preserve">2.11 </w:t>
            </w:r>
            <w:r>
              <w:rPr/>
              <w:t>▲四极杆质量分析器：四极杆驱动频率不得小于2.8 MHz；</w:t>
            </w:r>
          </w:p>
          <w:p>
            <w:pPr>
              <w:pStyle w:val="null3"/>
              <w:spacing w:after="165"/>
              <w:ind w:firstLine="480"/>
            </w:pPr>
            <w:r>
              <w:rPr/>
              <w:t xml:space="preserve">2.12 </w:t>
            </w:r>
            <w:r>
              <w:rPr/>
              <w:t>四极杆质量分析器质量数范围：至少覆盖2~258 amu范围；</w:t>
            </w:r>
          </w:p>
          <w:p>
            <w:pPr>
              <w:pStyle w:val="null3"/>
              <w:spacing w:after="165"/>
              <w:ind w:firstLine="480"/>
            </w:pPr>
            <w:r>
              <w:rPr/>
              <w:t xml:space="preserve">2.13 </w:t>
            </w:r>
            <w:r>
              <w:rPr/>
              <w:t>脉冲模拟双模式检测器：检测器离子技术范围至少覆盖0.1~10^9 cps范围，即不使用电子稀释等数学手段下动态范围不低于10个数量级；</w:t>
            </w:r>
          </w:p>
          <w:p>
            <w:pPr>
              <w:pStyle w:val="null3"/>
              <w:spacing w:after="165"/>
              <w:ind w:firstLine="480"/>
            </w:pPr>
            <w:r>
              <w:rPr/>
              <w:t xml:space="preserve">2.14 </w:t>
            </w:r>
            <w:r>
              <w:rPr/>
              <w:t>循环水系统：配置带≥4.3寸液晶显示冷却循环水机，温度范围至少覆盖-10°C to 70°C范围。并能实现ICP-MS软件直接控制开关和状态监控。（提供带液晶显示的循环水机实物图以及软件控制和状态监控截图）</w:t>
            </w:r>
          </w:p>
          <w:p>
            <w:pPr>
              <w:pStyle w:val="null3"/>
              <w:spacing w:after="165"/>
              <w:ind w:firstLine="480"/>
            </w:pPr>
            <w:r>
              <w:rPr/>
              <w:t>2.15</w:t>
            </w:r>
            <w:r>
              <w:rPr/>
              <w:t>▲废液排放系统：废液排放采用蠕动泵主动排水（不接受重力排废）。</w:t>
            </w:r>
          </w:p>
          <w:p>
            <w:pPr>
              <w:pStyle w:val="null3"/>
              <w:spacing w:after="165"/>
              <w:ind w:firstLine="482"/>
            </w:pPr>
            <w:r>
              <w:rPr>
                <w:b/>
              </w:rPr>
              <w:t>3.</w:t>
            </w:r>
            <w:r>
              <w:rPr>
                <w:b/>
              </w:rPr>
              <w:t>自动进样器</w:t>
            </w:r>
          </w:p>
          <w:p>
            <w:pPr>
              <w:pStyle w:val="null3"/>
              <w:spacing w:after="165"/>
              <w:ind w:firstLine="480"/>
            </w:pPr>
            <w:r>
              <w:rPr/>
              <w:t xml:space="preserve">3.1 </w:t>
            </w:r>
            <w:r>
              <w:rPr/>
              <w:t>★有不少于4个样品架摆放位置，每个位置均可支持60位样品架；或4个架子可同时一次性摆放不少于200个样品。</w:t>
            </w:r>
          </w:p>
          <w:p>
            <w:pPr>
              <w:pStyle w:val="null3"/>
              <w:spacing w:after="165"/>
              <w:ind w:firstLine="480"/>
            </w:pPr>
            <w:r>
              <w:rPr/>
              <w:t xml:space="preserve">3.2 </w:t>
            </w:r>
            <w:r>
              <w:rPr/>
              <w:t>可自由替换适应不同样品管尺寸的样品架，最多可拓至不少于350位的样品位。</w:t>
            </w:r>
          </w:p>
          <w:p>
            <w:pPr>
              <w:pStyle w:val="null3"/>
              <w:spacing w:after="165"/>
              <w:ind w:firstLine="480"/>
            </w:pPr>
            <w:r>
              <w:rPr/>
              <w:t xml:space="preserve">3.3 </w:t>
            </w:r>
            <w:r>
              <w:rPr/>
              <w:t>气体样品位数：≥12个样品瓶，在运行过程中可随时更换样品。</w:t>
            </w:r>
          </w:p>
          <w:p>
            <w:pPr>
              <w:pStyle w:val="null3"/>
              <w:spacing w:after="165"/>
              <w:ind w:firstLine="480"/>
            </w:pPr>
            <w:r>
              <w:rPr/>
              <w:t xml:space="preserve">3.4 </w:t>
            </w:r>
            <w:r>
              <w:rPr/>
              <w:t>可对样品瓶独立加压,漏压检测。</w:t>
            </w:r>
          </w:p>
          <w:p>
            <w:pPr>
              <w:pStyle w:val="null3"/>
              <w:spacing w:after="165"/>
              <w:ind w:firstLine="480"/>
            </w:pPr>
            <w:r>
              <w:rPr/>
              <w:t xml:space="preserve">3.5 </w:t>
            </w:r>
            <w:r>
              <w:rPr/>
              <w:t>可使用包括但不限于20ml，10ml或22ml的钳口或罗纹口样品瓶，10ml的样品瓶不需要转换座。</w:t>
            </w:r>
          </w:p>
          <w:p>
            <w:pPr>
              <w:pStyle w:val="null3"/>
              <w:spacing w:after="165"/>
              <w:ind w:firstLine="480"/>
            </w:pPr>
            <w:r>
              <w:rPr/>
              <w:t xml:space="preserve">3.6 </w:t>
            </w:r>
            <w:r>
              <w:rPr/>
              <w:t>阀和样品环温度: 最大可达210°C或以上;传输管温度：最高可达250°C或以上。</w:t>
            </w:r>
          </w:p>
          <w:p>
            <w:pPr>
              <w:pStyle w:val="null3"/>
              <w:spacing w:after="165"/>
              <w:ind w:firstLine="482"/>
            </w:pPr>
            <w:r>
              <w:rPr>
                <w:b/>
              </w:rPr>
              <w:t xml:space="preserve">4. </w:t>
            </w:r>
            <w:r>
              <w:rPr>
                <w:b/>
              </w:rPr>
              <w:t>工作站</w:t>
            </w:r>
          </w:p>
          <w:p>
            <w:pPr>
              <w:pStyle w:val="null3"/>
              <w:spacing w:after="165"/>
              <w:ind w:firstLine="480"/>
            </w:pPr>
            <w:r>
              <w:rPr/>
              <w:t xml:space="preserve">4.1 </w:t>
            </w:r>
            <w:r>
              <w:rPr/>
              <w:t>配置要求不低于：四核3.0 GHz； 16G内存；1000G HDD；16倍速DVD；24吋显示设备；具有激光打印功能，可外接；</w:t>
            </w:r>
          </w:p>
          <w:p>
            <w:pPr>
              <w:pStyle w:val="null3"/>
              <w:spacing w:after="165"/>
              <w:ind w:firstLine="480"/>
            </w:pPr>
            <w:r>
              <w:rPr/>
              <w:t xml:space="preserve">4.2 </w:t>
            </w:r>
            <w:r>
              <w:rPr/>
              <w:t>软件应具备自动调谐设备的功能；</w:t>
            </w:r>
          </w:p>
          <w:p>
            <w:pPr>
              <w:pStyle w:val="null3"/>
              <w:spacing w:after="165"/>
              <w:ind w:firstLine="480"/>
            </w:pPr>
            <w:r>
              <w:rPr/>
              <w:t xml:space="preserve">4.3 </w:t>
            </w:r>
            <w:r>
              <w:rPr/>
              <w:t>软件应具备快速半定量功能，可在全定量过程中同时进行半定量获取样品全元素谱数据（除不可测定元素），半定量时间不超过5s；</w:t>
            </w:r>
          </w:p>
          <w:p>
            <w:pPr>
              <w:pStyle w:val="null3"/>
              <w:spacing w:after="165"/>
              <w:ind w:firstLine="480"/>
            </w:pPr>
            <w:r>
              <w:rPr/>
              <w:t xml:space="preserve">4.4 </w:t>
            </w:r>
            <w:r>
              <w:rPr/>
              <w:t>软件应具备虚拟内标、自动报告打印、报告模版编辑、LIMS格式数据生成和系统连接等功能；</w:t>
            </w:r>
          </w:p>
          <w:p>
            <w:pPr>
              <w:pStyle w:val="null3"/>
              <w:spacing w:after="165"/>
              <w:ind w:firstLine="482"/>
            </w:pPr>
            <w:r>
              <w:rPr>
                <w:b/>
              </w:rPr>
              <w:t>5.</w:t>
            </w:r>
            <w:r>
              <w:rPr>
                <w:b/>
              </w:rPr>
              <w:t>设备性能</w:t>
            </w:r>
          </w:p>
          <w:p>
            <w:pPr>
              <w:pStyle w:val="null3"/>
              <w:spacing w:after="165"/>
              <w:ind w:firstLine="480"/>
            </w:pPr>
            <w:r>
              <w:rPr/>
              <w:t xml:space="preserve">5.1 </w:t>
            </w:r>
            <w:r>
              <w:rPr/>
              <w:t>灵敏度【cps/ppm】：</w:t>
            </w:r>
          </w:p>
          <w:p>
            <w:pPr>
              <w:pStyle w:val="null3"/>
              <w:spacing w:after="165"/>
              <w:ind w:firstLine="210"/>
            </w:pPr>
            <w:r>
              <w:rPr/>
              <w:t xml:space="preserve">     5.1.1</w:t>
            </w:r>
            <w:r>
              <w:rPr/>
              <w:t>低质量数：Li(7) ≥50 M</w:t>
            </w:r>
          </w:p>
          <w:p>
            <w:pPr>
              <w:pStyle w:val="null3"/>
              <w:spacing w:after="165"/>
              <w:ind w:firstLine="210"/>
            </w:pPr>
            <w:r>
              <w:rPr/>
              <w:t xml:space="preserve">     5.1.2</w:t>
            </w:r>
            <w:r>
              <w:rPr/>
              <w:t>中质量数：Y(89) ≥200 M</w:t>
            </w:r>
          </w:p>
          <w:p>
            <w:pPr>
              <w:pStyle w:val="null3"/>
              <w:spacing w:after="165"/>
              <w:ind w:firstLine="210"/>
            </w:pPr>
            <w:r>
              <w:rPr/>
              <w:t xml:space="preserve">     5.1.3</w:t>
            </w:r>
            <w:r>
              <w:rPr/>
              <w:t>高质量数：Tl(205) ≥160 M</w:t>
            </w:r>
          </w:p>
          <w:p>
            <w:pPr>
              <w:pStyle w:val="null3"/>
              <w:spacing w:after="165"/>
              <w:ind w:firstLine="480"/>
            </w:pPr>
            <w:r>
              <w:rPr/>
              <w:t xml:space="preserve">5.2 </w:t>
            </w:r>
            <w:r>
              <w:rPr/>
              <w:t>检测限【3*sigma，ppt】：</w:t>
            </w:r>
          </w:p>
          <w:p>
            <w:pPr>
              <w:pStyle w:val="null3"/>
              <w:spacing w:after="165"/>
              <w:ind w:firstLine="210"/>
            </w:pPr>
            <w:r>
              <w:rPr/>
              <w:t xml:space="preserve">    5.2.1 Be(9) </w:t>
            </w:r>
            <w:r>
              <w:rPr/>
              <w:t>≤ 0.5 ppt</w:t>
            </w:r>
          </w:p>
          <w:p>
            <w:pPr>
              <w:pStyle w:val="null3"/>
              <w:spacing w:after="165"/>
              <w:ind w:firstLine="210"/>
            </w:pPr>
            <w:r>
              <w:rPr/>
              <w:t xml:space="preserve">    5.2.2 In(115) </w:t>
            </w:r>
            <w:r>
              <w:rPr/>
              <w:t>≤ 0.1 ppt</w:t>
            </w:r>
          </w:p>
          <w:p>
            <w:pPr>
              <w:pStyle w:val="null3"/>
              <w:spacing w:after="165"/>
              <w:ind w:firstLine="210"/>
            </w:pPr>
            <w:r>
              <w:rPr/>
              <w:t xml:space="preserve">    5..2.3 Bi(209) </w:t>
            </w:r>
            <w:r>
              <w:rPr/>
              <w:t>≤ 0.1 ppt</w:t>
            </w:r>
          </w:p>
          <w:p>
            <w:pPr>
              <w:pStyle w:val="null3"/>
              <w:spacing w:after="165"/>
              <w:ind w:firstLine="480"/>
            </w:pPr>
            <w:r>
              <w:rPr/>
              <w:t xml:space="preserve">5.3 </w:t>
            </w:r>
            <w:r>
              <w:rPr/>
              <w:t>背景：≤1.0 cps （在质量数9 amu处实测背景）</w:t>
            </w:r>
          </w:p>
          <w:p>
            <w:pPr>
              <w:pStyle w:val="null3"/>
              <w:spacing w:after="165"/>
              <w:ind w:firstLine="480"/>
            </w:pPr>
            <w:r>
              <w:rPr/>
              <w:t xml:space="preserve">5.4 </w:t>
            </w:r>
            <w:r>
              <w:rPr/>
              <w:t>氧化物产率(CeO+/Ce+) ：≤1.5 %</w:t>
            </w:r>
          </w:p>
          <w:p>
            <w:pPr>
              <w:pStyle w:val="null3"/>
              <w:spacing w:after="165"/>
              <w:ind w:firstLine="480"/>
            </w:pPr>
            <w:r>
              <w:rPr/>
              <w:t xml:space="preserve">5.5 </w:t>
            </w:r>
            <w:r>
              <w:rPr/>
              <w:t>双电荷产率(Ce2+/Ce+)：≤3.0 %</w:t>
            </w:r>
          </w:p>
          <w:p>
            <w:pPr>
              <w:pStyle w:val="null3"/>
              <w:spacing w:after="165"/>
              <w:ind w:firstLine="480"/>
            </w:pPr>
            <w:r>
              <w:rPr/>
              <w:t xml:space="preserve">5.6 </w:t>
            </w:r>
            <w:r>
              <w:rPr/>
              <w:t>短期稳定性(RSD)： ≤2% (20 min) (须在1ppb 标准溶液中测定)</w:t>
            </w:r>
          </w:p>
          <w:p>
            <w:pPr>
              <w:pStyle w:val="null3"/>
              <w:spacing w:after="165"/>
              <w:ind w:firstLine="480"/>
            </w:pPr>
            <w:r>
              <w:rPr/>
              <w:t xml:space="preserve">5.7 </w:t>
            </w:r>
            <w:r>
              <w:rPr/>
              <w:t>长期稳定性(RSD)：≤3% (2 hrs) (须在1ppb 标准溶液中测定)</w:t>
            </w:r>
          </w:p>
          <w:p>
            <w:pPr>
              <w:pStyle w:val="null3"/>
              <w:spacing w:after="165"/>
              <w:ind w:firstLine="482"/>
            </w:pPr>
            <w:r>
              <w:rPr>
                <w:b/>
              </w:rPr>
              <w:t>6.</w:t>
            </w:r>
            <w:r>
              <w:rPr>
                <w:b/>
              </w:rPr>
              <w:t>指标要求</w:t>
            </w:r>
          </w:p>
          <w:p>
            <w:pPr>
              <w:pStyle w:val="null3"/>
              <w:spacing w:after="165"/>
              <w:ind w:firstLine="480"/>
            </w:pPr>
            <w:r>
              <w:rPr/>
              <w:t>6.1</w:t>
            </w:r>
            <w:r>
              <w:rPr/>
              <w:t>▲水质快速分析能力：分析水质中元素的检出限应满足Hg＜5ppt、As＜10ppt、Cd＜3ppt、U＜1ppt；（提供相关证明文件）</w:t>
            </w:r>
          </w:p>
          <w:p>
            <w:pPr>
              <w:pStyle w:val="null3"/>
              <w:spacing w:after="165"/>
              <w:ind w:firstLine="480"/>
            </w:pPr>
            <w:r>
              <w:rPr/>
              <w:t>6.2</w:t>
            </w:r>
            <w:r>
              <w:rPr/>
              <w:t>▲样品适应性：具备分析未消解尿液的能力，可直接分析稀释尿液中的常见职业环境污染元素，如砷 (As)、铝 (Al)、镉 (Cd)、铬 (Cr)、汞 (Hg)、镍 (Ni) 和铅 (Pb) 等；且尿液中上述元素的检出限（LOD或MDL）应满足以下要求Al≤0.07 µg/l、As≤0.1µg/l、Cd≤0.01µg/l、Cr≤0.04µg/l、Hg≤0.01µg/l、Pb≤0.04µg/l、Ni≤0.01µg/l；（提供相关证明文件）</w:t>
            </w:r>
          </w:p>
          <w:p>
            <w:pPr>
              <w:pStyle w:val="null3"/>
              <w:spacing w:after="165"/>
              <w:ind w:firstLine="482"/>
            </w:pPr>
            <w:r>
              <w:rPr>
                <w:b/>
              </w:rPr>
              <w:t>（二）配置，包括但不限于：</w:t>
            </w:r>
          </w:p>
          <w:p>
            <w:pPr>
              <w:pStyle w:val="null3"/>
              <w:spacing w:after="165"/>
              <w:ind w:firstLine="480"/>
            </w:pPr>
            <w:r>
              <w:rPr/>
              <w:t>（1） ICP-MS 主机1台 (含碰撞反应池系统)；</w:t>
            </w:r>
          </w:p>
          <w:p>
            <w:pPr>
              <w:pStyle w:val="null3"/>
              <w:spacing w:after="165"/>
              <w:ind w:firstLine="480"/>
            </w:pPr>
            <w:r>
              <w:rPr/>
              <w:t>（2）雾化室的半导体制冷模块1套；</w:t>
            </w:r>
          </w:p>
          <w:p>
            <w:pPr>
              <w:pStyle w:val="null3"/>
              <w:spacing w:after="165"/>
              <w:ind w:firstLine="480"/>
            </w:pPr>
            <w:r>
              <w:rPr/>
              <w:t>（3） ICP-MS 原装操作软件1套；</w:t>
            </w:r>
          </w:p>
          <w:p>
            <w:pPr>
              <w:pStyle w:val="null3"/>
              <w:spacing w:after="165"/>
              <w:ind w:firstLine="480"/>
            </w:pPr>
            <w:r>
              <w:rPr/>
              <w:t>（4）带压缩机的循环冷却水机1台；</w:t>
            </w:r>
          </w:p>
          <w:p>
            <w:pPr>
              <w:pStyle w:val="null3"/>
              <w:spacing w:after="165"/>
              <w:ind w:firstLine="480"/>
            </w:pPr>
            <w:r>
              <w:rPr/>
              <w:t>（5）自动进样器1台；</w:t>
            </w:r>
          </w:p>
          <w:p>
            <w:pPr>
              <w:pStyle w:val="null3"/>
              <w:spacing w:after="165"/>
              <w:ind w:firstLine="480"/>
            </w:pPr>
            <w:r>
              <w:rPr/>
              <w:t>（6） ICP-MS调谐液、多元素标准溶液、内标溶液各1套；</w:t>
            </w:r>
          </w:p>
          <w:p>
            <w:pPr>
              <w:pStyle w:val="null3"/>
              <w:spacing w:after="165"/>
              <w:ind w:firstLine="480"/>
            </w:pPr>
            <w:r>
              <w:rPr/>
              <w:t>（7）采样锥、截取锥一套（除主机标配的一套以外）</w:t>
            </w:r>
          </w:p>
          <w:p>
            <w:pPr>
              <w:pStyle w:val="null3"/>
            </w:pPr>
            <w:r>
              <w:rPr>
                <w:sz w:val="21"/>
              </w:rPr>
              <w:t>（8）</w:t>
            </w:r>
            <w:r>
              <w:rPr>
                <w:sz w:val="21"/>
              </w:rPr>
              <w:t>循环水机专用冷却液</w:t>
            </w:r>
            <w:r>
              <w:rPr>
                <w:sz w:val="21"/>
              </w:rPr>
              <w:t>1L</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便携式γ能谱仪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一.技术参数：</w:t>
            </w:r>
          </w:p>
          <w:p>
            <w:pPr>
              <w:pStyle w:val="null3"/>
            </w:pPr>
            <w:r>
              <w:rPr>
                <w:sz w:val="21"/>
                <w:b/>
                <w:color w:val="000000"/>
              </w:rPr>
              <w:t>1.1</w:t>
            </w:r>
            <w:r>
              <w:rPr>
                <w:sz w:val="21"/>
                <w:b/>
                <w:color w:val="000000"/>
              </w:rPr>
              <w:t>探测系统</w:t>
            </w:r>
          </w:p>
          <w:p>
            <w:pPr>
              <w:pStyle w:val="null3"/>
            </w:pPr>
            <w:r>
              <w:rPr>
                <w:sz w:val="21"/>
                <w:color w:val="000000"/>
              </w:rPr>
              <w:t>1.1.1</w:t>
            </w:r>
            <w:r>
              <w:rPr>
                <w:sz w:val="21"/>
                <w:color w:val="000000"/>
              </w:rPr>
              <w:t>探测器：NaI 探测器</w:t>
            </w:r>
          </w:p>
          <w:p>
            <w:pPr>
              <w:pStyle w:val="null3"/>
            </w:pPr>
            <w:r>
              <w:rPr>
                <w:sz w:val="21"/>
                <w:color w:val="000000"/>
              </w:rPr>
              <w:t>1.1.2</w:t>
            </w:r>
            <w:r>
              <w:rPr>
                <w:sz w:val="21"/>
                <w:color w:val="000000"/>
              </w:rPr>
              <w:t>探测器数量：≥1 个</w:t>
            </w:r>
          </w:p>
          <w:p>
            <w:pPr>
              <w:pStyle w:val="null3"/>
            </w:pPr>
            <w:r>
              <w:rPr>
                <w:sz w:val="21"/>
                <w:color w:val="000000"/>
              </w:rPr>
              <w:t xml:space="preserve">▲1.1.3探测器体积：直径≥75mm长度≥75mm  </w:t>
            </w:r>
          </w:p>
          <w:p>
            <w:pPr>
              <w:pStyle w:val="null3"/>
            </w:pPr>
            <w:r>
              <w:rPr>
                <w:sz w:val="21"/>
                <w:color w:val="000000"/>
              </w:rPr>
              <w:t>1.1.4 MCA</w:t>
            </w:r>
            <w:r>
              <w:rPr>
                <w:sz w:val="21"/>
                <w:color w:val="000000"/>
              </w:rPr>
              <w:t>：≥4096道</w:t>
            </w:r>
          </w:p>
          <w:p>
            <w:pPr>
              <w:pStyle w:val="null3"/>
            </w:pPr>
            <w:r>
              <w:rPr>
                <w:sz w:val="21"/>
                <w:color w:val="000000"/>
              </w:rPr>
              <w:t>1.1.5</w:t>
            </w:r>
            <w:r>
              <w:rPr>
                <w:sz w:val="21"/>
                <w:color w:val="000000"/>
              </w:rPr>
              <w:t>屏蔽环：≥1.5mm</w:t>
            </w:r>
          </w:p>
          <w:p>
            <w:pPr>
              <w:pStyle w:val="null3"/>
            </w:pPr>
            <w:r>
              <w:rPr>
                <w:sz w:val="21"/>
                <w:color w:val="000000"/>
              </w:rPr>
              <w:t>1.1.6</w:t>
            </w:r>
            <w:r>
              <w:rPr>
                <w:sz w:val="21"/>
                <w:color w:val="000000"/>
              </w:rPr>
              <w:t>本底计数≤15/s</w:t>
            </w:r>
          </w:p>
          <w:p>
            <w:pPr>
              <w:pStyle w:val="null3"/>
            </w:pPr>
            <w:r>
              <w:rPr>
                <w:sz w:val="21"/>
                <w:color w:val="000000"/>
              </w:rPr>
              <w:t>1.1.7</w:t>
            </w:r>
            <w:r>
              <w:rPr>
                <w:sz w:val="21"/>
                <w:color w:val="000000"/>
              </w:rPr>
              <w:t>灵敏度：≥0.25/m.Bq</w:t>
            </w:r>
          </w:p>
          <w:p>
            <w:pPr>
              <w:pStyle w:val="null3"/>
            </w:pPr>
            <w:r>
              <w:rPr>
                <w:sz w:val="21"/>
                <w:color w:val="000000"/>
              </w:rPr>
              <w:t>1.1.8</w:t>
            </w:r>
            <w:r>
              <w:rPr>
                <w:sz w:val="21"/>
                <w:color w:val="000000"/>
              </w:rPr>
              <w:t>积分非线性：≤±1%</w:t>
            </w:r>
          </w:p>
          <w:p>
            <w:pPr>
              <w:pStyle w:val="null3"/>
            </w:pPr>
            <w:r>
              <w:rPr>
                <w:sz w:val="21"/>
                <w:color w:val="000000"/>
              </w:rPr>
              <w:t>1.1.9</w:t>
            </w:r>
            <w:r>
              <w:rPr>
                <w:sz w:val="21"/>
                <w:color w:val="000000"/>
              </w:rPr>
              <w:t>探测下限：≤15Bq（120s），待积有效剂量≤5μSv</w:t>
            </w:r>
          </w:p>
          <w:p>
            <w:pPr>
              <w:pStyle w:val="null3"/>
            </w:pPr>
            <w:r>
              <w:rPr>
                <w:sz w:val="21"/>
                <w:color w:val="000000"/>
              </w:rPr>
              <w:t>1.1.10</w:t>
            </w:r>
            <w:r>
              <w:rPr>
                <w:sz w:val="21"/>
                <w:color w:val="000000"/>
              </w:rPr>
              <w:t>能量分辨率：≤8%（137Cs）</w:t>
            </w:r>
          </w:p>
          <w:p>
            <w:pPr>
              <w:pStyle w:val="null3"/>
            </w:pPr>
            <w:r>
              <w:rPr>
                <w:sz w:val="21"/>
                <w:color w:val="000000"/>
              </w:rPr>
              <w:t>1.1.11</w:t>
            </w:r>
            <w:r>
              <w:rPr>
                <w:sz w:val="21"/>
                <w:color w:val="000000"/>
              </w:rPr>
              <w:t>测量速度：≥15 人/小时</w:t>
            </w:r>
          </w:p>
          <w:p>
            <w:pPr>
              <w:pStyle w:val="null3"/>
            </w:pPr>
            <w:r>
              <w:rPr>
                <w:sz w:val="21"/>
                <w:color w:val="000000"/>
              </w:rPr>
              <w:t>1.1.12</w:t>
            </w:r>
            <w:r>
              <w:rPr>
                <w:sz w:val="21"/>
                <w:color w:val="000000"/>
              </w:rPr>
              <w:t>测量误差：≤±5%</w:t>
            </w:r>
          </w:p>
          <w:p>
            <w:pPr>
              <w:pStyle w:val="null3"/>
            </w:pPr>
            <w:r>
              <w:rPr>
                <w:sz w:val="21"/>
                <w:color w:val="000000"/>
              </w:rPr>
              <w:t>1.1.13</w:t>
            </w:r>
            <w:r>
              <w:rPr>
                <w:sz w:val="21"/>
                <w:color w:val="000000"/>
              </w:rPr>
              <w:t>开机预热时间：≤10min</w:t>
            </w:r>
          </w:p>
          <w:p>
            <w:pPr>
              <w:pStyle w:val="null3"/>
            </w:pPr>
            <w:r>
              <w:rPr>
                <w:sz w:val="21"/>
                <w:color w:val="000000"/>
              </w:rPr>
              <w:t>1.1.14</w:t>
            </w:r>
            <w:r>
              <w:rPr>
                <w:sz w:val="21"/>
                <w:color w:val="000000"/>
              </w:rPr>
              <w:t>连续检测时间：≥24h</w:t>
            </w:r>
          </w:p>
          <w:p>
            <w:pPr>
              <w:pStyle w:val="null3"/>
            </w:pPr>
            <w:r>
              <w:rPr>
                <w:sz w:val="21"/>
                <w:color w:val="000000"/>
              </w:rPr>
              <w:t>1.1.15</w:t>
            </w:r>
            <w:r>
              <w:rPr>
                <w:sz w:val="21"/>
                <w:color w:val="000000"/>
              </w:rPr>
              <w:t>工作温度：0℃~35℃或更宽</w:t>
            </w:r>
          </w:p>
          <w:p>
            <w:pPr>
              <w:pStyle w:val="null3"/>
            </w:pPr>
            <w:r>
              <w:rPr>
                <w:sz w:val="21"/>
                <w:color w:val="000000"/>
              </w:rPr>
              <w:t>1.1.16</w:t>
            </w:r>
            <w:r>
              <w:rPr>
                <w:sz w:val="21"/>
                <w:color w:val="000000"/>
              </w:rPr>
              <w:t>相对湿度要求：≥70%</w:t>
            </w:r>
          </w:p>
          <w:p>
            <w:pPr>
              <w:pStyle w:val="null3"/>
            </w:pPr>
            <w:r>
              <w:rPr>
                <w:sz w:val="21"/>
                <w:color w:val="000000"/>
              </w:rPr>
              <w:t>1.1.17</w:t>
            </w:r>
            <w:r>
              <w:rPr>
                <w:sz w:val="21"/>
                <w:color w:val="000000"/>
              </w:rPr>
              <w:t>总重量：≤30kg</w:t>
            </w:r>
          </w:p>
          <w:p>
            <w:pPr>
              <w:pStyle w:val="null3"/>
            </w:pPr>
            <w:r>
              <w:rPr>
                <w:sz w:val="21"/>
                <w:color w:val="000000"/>
              </w:rPr>
              <w:t>▲1.1.18人机设计: 可进行俯仰角度调节范围至少覆盖：-75°— +90°,左右调节范围：0°—360° ,工作高度调节范围至少覆盖：80—190cm （提供实物图片证明）。</w:t>
            </w:r>
          </w:p>
          <w:p>
            <w:pPr>
              <w:pStyle w:val="null3"/>
            </w:pPr>
            <w:r>
              <w:rPr>
                <w:sz w:val="21"/>
                <w:color w:val="000000"/>
              </w:rPr>
              <w:t>1.1.19</w:t>
            </w:r>
            <w:r>
              <w:rPr>
                <w:sz w:val="21"/>
                <w:color w:val="000000"/>
              </w:rPr>
              <w:t>甲状腺刻度模体：符合GBZ120—2020标准活度模拟检测要求</w:t>
            </w:r>
          </w:p>
          <w:p>
            <w:pPr>
              <w:pStyle w:val="null3"/>
            </w:pPr>
            <w:r>
              <w:rPr>
                <w:sz w:val="21"/>
                <w:b/>
                <w:color w:val="000000"/>
              </w:rPr>
              <w:t>1.2</w:t>
            </w:r>
            <w:r>
              <w:rPr>
                <w:sz w:val="21"/>
                <w:b/>
                <w:color w:val="000000"/>
              </w:rPr>
              <w:t>软件系统</w:t>
            </w:r>
          </w:p>
          <w:p>
            <w:pPr>
              <w:pStyle w:val="null3"/>
            </w:pPr>
            <w:r>
              <w:rPr>
                <w:sz w:val="21"/>
                <w:color w:val="000000"/>
              </w:rPr>
              <w:t>1.2.1</w:t>
            </w:r>
            <w:r>
              <w:rPr>
                <w:sz w:val="21"/>
                <w:color w:val="000000"/>
              </w:rPr>
              <w:t>显示实时剂量率数值、仪表盘、实时计数率、死时间占比、高压等信息；</w:t>
            </w:r>
          </w:p>
          <w:p>
            <w:pPr>
              <w:pStyle w:val="null3"/>
            </w:pPr>
            <w:r>
              <w:rPr>
                <w:sz w:val="21"/>
                <w:color w:val="000000"/>
              </w:rPr>
              <w:t>▲1.2.2 具有能谱记录及能谱分析功能，并根据查询条件展示能谱曲线以及识别到的核素信息；可使用能谱寻峰、输入能量点刻度、输入刻度系数、选择刻度文件四种方式进行能量刻度；具有G函数计算刻度功能。（提供软件功能界面截图）</w:t>
            </w:r>
          </w:p>
          <w:p>
            <w:pPr>
              <w:pStyle w:val="null3"/>
            </w:pPr>
            <w:r>
              <w:rPr>
                <w:sz w:val="21"/>
                <w:color w:val="000000"/>
              </w:rPr>
              <w:t xml:space="preserve">1.2.3 </w:t>
            </w:r>
            <w:r>
              <w:rPr>
                <w:sz w:val="21"/>
                <w:color w:val="000000"/>
              </w:rPr>
              <w:t>具有核算识别功能，可设置核素识别时间、核素库、识别模式等；每个谱可设置任意数量感兴趣区；核素库：核材料、工业、医用同位素；支持自定义核素库。</w:t>
            </w:r>
          </w:p>
          <w:p>
            <w:pPr>
              <w:pStyle w:val="null3"/>
            </w:pPr>
            <w:r>
              <w:rPr>
                <w:sz w:val="21"/>
                <w:color w:val="000000"/>
              </w:rPr>
              <w:t>1.2.4</w:t>
            </w:r>
            <w:r>
              <w:rPr>
                <w:sz w:val="21"/>
                <w:color w:val="000000"/>
              </w:rPr>
              <w:t>甲状腺测量评价模块：使用测量的活体测量数据和本底数据进行感兴趣核素的滞留量、摄入量和待积当量剂量的计算评价。（提供软件功能界面截图）</w:t>
            </w:r>
          </w:p>
          <w:p>
            <w:pPr>
              <w:pStyle w:val="null3"/>
            </w:pPr>
            <w:r>
              <w:rPr>
                <w:sz w:val="21"/>
                <w:color w:val="000000"/>
              </w:rPr>
              <w:t>▲1.2.5甲状腺测量自动报告系统：在评价模块进行计算之后，将即时生成对应的报告数据，在评价结果页面可以进行报告数据的查询和相关操作。（提供软件功能界面截图）</w:t>
            </w:r>
          </w:p>
          <w:p>
            <w:pPr>
              <w:pStyle w:val="null3"/>
            </w:pPr>
            <w:r>
              <w:rPr>
                <w:sz w:val="21"/>
                <w:b/>
                <w:color w:val="000000"/>
              </w:rPr>
              <w:t>1.3</w:t>
            </w:r>
            <w:r>
              <w:rPr>
                <w:sz w:val="21"/>
                <w:b/>
                <w:color w:val="000000"/>
              </w:rPr>
              <w:t>为保证产品质量，非生产厂家投标的供应商需提供生产厂家（或总代理）出具售后服务承诺书。</w:t>
            </w:r>
          </w:p>
          <w:p>
            <w:pPr>
              <w:pStyle w:val="null3"/>
            </w:pPr>
            <w:r>
              <w:rPr>
                <w:sz w:val="21"/>
                <w:b/>
                <w:color w:val="000000"/>
              </w:rPr>
              <w:t>二.功能：</w:t>
            </w:r>
            <w:r>
              <w:rPr>
                <w:sz w:val="21"/>
                <w:color w:val="000000"/>
              </w:rPr>
              <w:t>用于放射性γ射线剂量检测，核素识别、甲状腺内照射检测等。</w:t>
            </w:r>
          </w:p>
          <w:p>
            <w:pPr>
              <w:pStyle w:val="null3"/>
            </w:pPr>
            <w:r>
              <w:rPr>
                <w:sz w:val="21"/>
                <w:b/>
                <w:color w:val="000000"/>
              </w:rPr>
              <w:t>三.配置，</w:t>
            </w:r>
            <w:r>
              <w:rPr>
                <w:sz w:val="21"/>
                <w:b/>
                <w:color w:val="000000"/>
              </w:rPr>
              <w:t>包括但不限于</w:t>
            </w:r>
            <w:r>
              <w:rPr>
                <w:sz w:val="21"/>
                <w:b/>
                <w:color w:val="000000"/>
              </w:rPr>
              <w:t>：</w:t>
            </w:r>
          </w:p>
          <w:p>
            <w:pPr>
              <w:pStyle w:val="null3"/>
              <w:ind w:left="420"/>
            </w:pPr>
            <w:r>
              <w:rPr>
                <w:sz w:val="21"/>
                <w:color w:val="000000"/>
              </w:rPr>
              <w:t>（1）主机：1台；</w:t>
            </w:r>
          </w:p>
          <w:p>
            <w:pPr>
              <w:pStyle w:val="null3"/>
              <w:ind w:left="420"/>
            </w:pPr>
            <w:r>
              <w:rPr>
                <w:sz w:val="21"/>
                <w:color w:val="000000"/>
              </w:rPr>
              <w:t>（2）测量评价软件平台(含探测器控制与数据获取系统，能谱展示系统，活度计算、待积效剂量评价系统；工作站)：1套；</w:t>
            </w:r>
          </w:p>
          <w:p>
            <w:pPr>
              <w:pStyle w:val="null3"/>
              <w:ind w:left="420"/>
            </w:pPr>
            <w:r>
              <w:rPr>
                <w:sz w:val="21"/>
                <w:color w:val="000000"/>
              </w:rPr>
              <w:t>（4）甲状腺刻度模体：1套；</w:t>
            </w:r>
          </w:p>
          <w:p>
            <w:pPr>
              <w:pStyle w:val="null3"/>
              <w:ind w:left="420"/>
            </w:pPr>
            <w:r>
              <w:rPr>
                <w:sz w:val="21"/>
                <w:color w:val="000000"/>
              </w:rPr>
              <w:t>（5）数据线：1根；</w:t>
            </w:r>
          </w:p>
          <w:p>
            <w:pPr>
              <w:pStyle w:val="null3"/>
              <w:ind w:left="420"/>
            </w:pPr>
            <w:r>
              <w:rPr>
                <w:sz w:val="21"/>
                <w:color w:val="000000"/>
              </w:rPr>
              <w:t>（6）说明书：1份；</w:t>
            </w:r>
          </w:p>
          <w:p>
            <w:pPr>
              <w:pStyle w:val="null3"/>
              <w:ind w:left="420"/>
            </w:pPr>
            <w:r>
              <w:rPr>
                <w:sz w:val="21"/>
                <w:color w:val="000000"/>
              </w:rPr>
              <w:t>（7）便携箱：1个；</w:t>
            </w:r>
          </w:p>
          <w:p>
            <w:pPr>
              <w:pStyle w:val="null3"/>
            </w:pPr>
            <w:r>
              <w:rPr>
                <w:sz w:val="21"/>
              </w:rPr>
              <w:t>（8）固定支架：1个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1.采购代理机构：本项目是指韶关市采联采购招标有限公司，负责整个采购活动的组织，依法负责编制和发布招标文件，对招标文件拥有最终的解释权，不以任何身份出任评标委员会成员。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韶关市职业卫生与健康教育所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采购机构代理服务收费标准：差额定率累进法收费：以中标通知书中的中标金额作为采购代理服务费的计算基数。按照下述规定的“货物类”费率标准计费，采购代理服务费不足7500元的按7500元收取。 货物类计算基数对应的费率标准： 100万元以下 1.5%；100～500万元 1.1%；500～1000万元 0.8%；1000～5000万元 0.5%；5000万元～1亿元 0.25%；1～5亿元 0.05%；5～10亿元 0.035%；10～50亿元 0.008%；50～100亿元 0.006%；100亿以上 0.004%。</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开标当天，供应商需登录云平台通过“新供应商开标大厅”进行开标签到及投标文件解密。2、供应商进行投标文件解密时，电脑需提前安装CA签章客户端，并运行CA证书。3、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商品包装政府采购需求标准（试行）》（财办库〔2020〕123号）、《快递包装政府采购需求标准（试行）》（财办库〔2020〕123号）等。4、本项目为货物类采购项目。5、本项目只允许采购本国产品。6、本项目政府采购监督管理部门为韶关市财政局。7、分包：不允许。8、转包：中标人不得将政府采购合同转包。9、供应商（投标人）向本招标文件中所述的采购代理机构咨询的有关本招标项目事项，一切以法律法规的规定和采购代理机构书面答复为准，其他一切形式均为个人意见，不代表采购代理机构的意见。</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韶关市采联采购招标有限公司</w:t>
      </w:r>
      <w:r>
        <w:rPr/>
        <w:t>代收。具体操作要求详见</w:t>
      </w:r>
      <w:r>
        <w:rPr/>
        <w:t>韶关市采联采购招标有限公司</w:t>
      </w:r>
      <w:r>
        <w:rPr/>
        <w:t>有关指引，递交事宜请自行咨询</w:t>
      </w:r>
      <w:r>
        <w:rPr/>
        <w:t>韶关市采联采购招标有限公司</w:t>
      </w:r>
      <w:r>
        <w:rPr/>
        <w:t>；请各投标人在投标文件递交截止时间前按须知前附表规定的金额递交至</w:t>
      </w:r>
      <w:r>
        <w:rPr/>
        <w:t>韶关市采联采购招标有限公司</w:t>
      </w:r>
      <w:r>
        <w:rPr/>
        <w:t>，到账情况以开标时</w:t>
      </w:r>
      <w:r>
        <w:rPr/>
        <w:t>韶关市采联采购招标有限公司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韶关市采联采购招标有限公司（ http://www.chinapsp.cn/）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韶关市采联采购招标有限公司（ http://www.chinapsp.cn/）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王小姐</w:t>
      </w:r>
    </w:p>
    <w:p>
      <w:pPr>
        <w:pStyle w:val="null3"/>
        <w:ind w:firstLine="480"/>
      </w:pPr>
      <w:r>
        <w:rPr/>
        <w:t>电话：</w:t>
      </w:r>
      <w:r>
        <w:rPr/>
        <w:t>0751-8329009-2111</w:t>
      </w:r>
    </w:p>
    <w:p>
      <w:pPr>
        <w:pStyle w:val="null3"/>
        <w:ind w:firstLine="480"/>
      </w:pPr>
      <w:r>
        <w:rPr/>
        <w:t>传真：</w:t>
      </w:r>
      <w:r>
        <w:rPr/>
        <w:t>0751-8329007</w:t>
      </w:r>
    </w:p>
    <w:p>
      <w:pPr>
        <w:pStyle w:val="null3"/>
        <w:ind w:firstLine="480"/>
      </w:pPr>
      <w:r>
        <w:rPr/>
        <w:t>邮箱：</w:t>
      </w:r>
      <w:r>
        <w:rPr/>
        <w:t>sgzy@chinapsp.cn（提交时请备注XX项目询问函/质疑函，并提前跟我司工作人员联系）</w:t>
      </w:r>
    </w:p>
    <w:p>
      <w:pPr>
        <w:pStyle w:val="null3"/>
        <w:ind w:firstLine="480"/>
      </w:pPr>
      <w:r>
        <w:rPr/>
        <w:t>地址：</w:t>
      </w:r>
      <w:r>
        <w:rPr/>
        <w:t>韶关市武江区新华南路40号湘商大厦6楼601B-1（如采用邮寄形式提交，请提前跟我司工作人员联系，并同步将邮寄底单发送至我司邮箱）</w:t>
      </w:r>
    </w:p>
    <w:p>
      <w:pPr>
        <w:pStyle w:val="null3"/>
        <w:ind w:firstLine="480"/>
      </w:pPr>
      <w:r>
        <w:rPr/>
        <w:t>邮编：</w:t>
      </w:r>
      <w:r>
        <w:rPr/>
        <w:t>512026</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职业卫生与健康教育所实验室检测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韶关市采联采购招标有限公司</w:t>
      </w:r>
      <w:r>
        <w:rPr/>
        <w:t>统一对外发布。</w:t>
      </w:r>
    </w:p>
    <w:p>
      <w:pPr>
        <w:pStyle w:val="null3"/>
        <w:ind w:firstLine="480"/>
      </w:pPr>
      <w:r>
        <w:rPr/>
        <w:t>（2）对</w:t>
      </w:r>
      <w:r>
        <w:rPr/>
        <w:t>韶关市采联采购招标有限公司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采购包1（韶关市职业卫生与健康教育所实验室检测设备采购项目）：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采购包1（韶关市职业卫生与健康教育所实验室检测设备采购项目）：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 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提供《资格条件承诺函》，格式详见招标公告附件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w:t>
            </w:r>
          </w:p>
        </w:tc>
      </w:tr>
    </w:tbl>
    <w:p>
      <w:pPr>
        <w:pStyle w:val="null3"/>
        <w:ind w:firstLine="480"/>
      </w:pPr>
      <w:r>
        <w:rPr/>
        <w:t>表二符合性审查表：</w:t>
      </w:r>
    </w:p>
    <w:p>
      <w:pPr>
        <w:pStyle w:val="null3"/>
      </w:pPr>
      <w:r>
        <w:rPr/>
        <w:t>采购包1（韶关市职业卫生与健康教育所实验室检测设备采购项目）：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 、盖章且投标文件有法定代 表人签字或盖个人名章（或 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投标报价确定且未超过本项目预算金额的。</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 无负偏离的。</w:t>
            </w:r>
          </w:p>
        </w:tc>
      </w:tr>
      <w:tr>
        <w:tc>
          <w:tcPr>
            <w:tcW w:type="dxa" w:w="890"/>
          </w:tcPr>
          <w:p>
            <w:pPr>
              <w:pStyle w:val="null3"/>
            </w:pPr>
            <w:r>
              <w:rPr/>
              <w:t>6</w:t>
            </w:r>
          </w:p>
        </w:tc>
        <w:tc>
          <w:tcPr>
            <w:tcW w:type="dxa" w:w="3178"/>
          </w:tcPr>
          <w:p>
            <w:pPr>
              <w:pStyle w:val="null3"/>
            </w:pPr>
            <w:r>
              <w:rPr/>
              <w:t>按招标文件要求提供本国产品的</w:t>
            </w:r>
          </w:p>
        </w:tc>
        <w:tc>
          <w:tcPr>
            <w:tcW w:type="dxa" w:w="4238"/>
          </w:tcPr>
          <w:p>
            <w:pPr>
              <w:pStyle w:val="null3"/>
            </w:pPr>
            <w:r>
              <w:rPr/>
              <w:t>按招标文件要求提供本国产品的。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采购包1(韶关市职业卫生与健康教育所实验室检测设备采购项目):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重要技术参数的响应情况 (30.0分)</w:t>
            </w:r>
          </w:p>
        </w:tc>
        <w:tc>
          <w:tcPr>
            <w:tcW w:type="dxa" w:w="5076"/>
          </w:tcPr>
          <w:p>
            <w:pPr>
              <w:pStyle w:val="null3"/>
              <w:jc w:val="left"/>
            </w:pPr>
            <w:r>
              <w:rPr/>
              <w:t>根据各投标人所投产品对《第二章 采购需求》具体技术(参数)要求中“（一）技术参数”中标注“▲”的重要技术参数的响应情况进行评审： 标注“▲”的重要技术参数（共10项），该项为“正偏离”或“符合”或“无偏离”的，该项得3分，满分30分。 响应为“负偏离”的，该项不得分。 备注：如采购需求中有明确提供的证明资料，则以采购需求中要求的为准，如采购需求中无明确证明材料的，则以投标人提供的《技术和服务要求响应表》的响应情况进行评审。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一般技术参数的响应情况 (10.0分)</w:t>
            </w:r>
          </w:p>
        </w:tc>
        <w:tc>
          <w:tcPr>
            <w:tcW w:type="dxa" w:w="5076"/>
          </w:tcPr>
          <w:p>
            <w:pPr>
              <w:pStyle w:val="null3"/>
              <w:jc w:val="left"/>
            </w:pPr>
            <w:r>
              <w:rPr/>
              <w:t>根据各投标人所投产品对《第二章 采购需求》具体技术(参数)要求中“（一）技术参数”中未标注“★”或“▲”的一般技术参数的响应情况进行评审： 完全满足或优于所有未标注“★”或“▲”的一般技术参数（共52项）的得满分10分，负偏离总数≤10项的，每出现一项负偏离，扣0.5分，最多扣5分；负偏离总数＞10条的，扣分＝5分＋（负偏离总数-10条）/（一般技术参数总数-10条）×5分，结果四舍五入保留两位小数，扣完为止。 备注：以最末级序号为一项，如采购需求中有明确提供的证明资料，则以采购需求中要求的为准，如采购需求中无明确证明材料的，则以投标人提供的《技术和服务要求响应表》的响应情况进行评审。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val="restart"/>
          </w:tcPr>
          <w:p>
            <w:pPr>
              <w:pStyle w:val="null3"/>
              <w:jc w:val="center"/>
            </w:pPr>
            <w:r>
              <w:rPr/>
              <w:t>商务部分</w:t>
            </w:r>
          </w:p>
        </w:tc>
        <w:tc>
          <w:tcPr>
            <w:tcW w:type="dxa" w:w="2307"/>
          </w:tcPr>
          <w:p>
            <w:pPr>
              <w:pStyle w:val="null3"/>
              <w:jc w:val="left"/>
            </w:pPr>
            <w:r>
              <w:rPr/>
              <w:t>2022年1月1日（以合同签订时间为准）至今同类业绩经验 (4.0分)</w:t>
            </w:r>
          </w:p>
        </w:tc>
        <w:tc>
          <w:tcPr>
            <w:tcW w:type="dxa" w:w="5076"/>
          </w:tcPr>
          <w:p>
            <w:pPr>
              <w:pStyle w:val="null3"/>
              <w:jc w:val="left"/>
            </w:pPr>
            <w:r>
              <w:rPr/>
              <w:t>每提供一项得2分，本项最高得4分。 请附上合同关键页（含签订合同双方的单位名称、合同项目名称与含签订合同双方的落款盖章、签订日期的关键页）复印件作为同类业绩评价证明资料。</w:t>
            </w:r>
          </w:p>
        </w:tc>
      </w:tr>
      <w:tr>
        <w:tc>
          <w:tcPr>
            <w:tcW w:type="dxa" w:w="922"/>
            <w:gridSpan w:val="2"/>
            <w:vMerge/>
          </w:tcPr>
          <w:p/>
        </w:tc>
        <w:tc>
          <w:tcPr>
            <w:tcW w:type="dxa" w:w="2307"/>
          </w:tcPr>
          <w:p>
            <w:pPr>
              <w:pStyle w:val="null3"/>
              <w:jc w:val="left"/>
            </w:pPr>
            <w:r>
              <w:rPr/>
              <w:t>供货方案 (6.0分)</w:t>
            </w:r>
          </w:p>
        </w:tc>
        <w:tc>
          <w:tcPr>
            <w:tcW w:type="dxa" w:w="5076"/>
          </w:tcPr>
          <w:p>
            <w:pPr>
              <w:pStyle w:val="null3"/>
              <w:jc w:val="left"/>
            </w:pPr>
            <w:r>
              <w:rPr/>
              <w:t>投标人根据第二章采购需求1.主要商务要求其他中“5、包装和运输、6、保险、7、设备要求”的要求提出供货方案： 1、供货方案内容详细，考虑全面，提出有针对性的措施，完全满足且优于采购需求的，得6分； 2、供货方案内容清晰但不够详细，考虑不够全面，提出详细措施，针对性不强，完全满足采购需求的，得3分； 3、供货方案内容较简单，不完全满足采购需求的，得1分。 4、未提供方案的，得0分。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投标人根据第二章采购需求1.主要商务要求其他中“3.安装与调试” 的要求提出安装调试方案： 1、安装调试方案内容详细，考虑全面，提出有针对性的措施，完全满足且优于采购需求的，得5分； 2、安装调试方案内容清晰但不够详细，考虑不够全面，提出详细措施，针对性不强，完全满足采购需求的，得3分； 3、安装调试方案内容较简单，不完全满足采购需求的，得1分。 4、未提供方案的，得0分。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投标人根据第二章采购需求1.主要商务要求其他中“2、售后服务要求”的要求提出售后服务方案： 1、售后服务方案内容详细，考虑全面，提出有针对性的售后服务承诺，完全满足且优于采购需求的，得5分； 2、售后服务方案内容清晰但不够详细，考虑不够全面，提出详细售后服务承诺，针对性不强，完全满足采购需求的，得3分； 3、售后服务方案内容较简单，不完全满足采购需求的，得1分。 4、其他或未提供方案的，得0分。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投标人根据第二章采购需求1.主要商务要求其他中“4、技术培训” 的要求提出培训方案： 1、培训方案内容详细，考虑全面，针对性强，完全满足且优于采购需求的，得5分； 2、培训方案内容清晰但不够详细，考虑不够全面，针对性较强，完全满足采购需求的，得3分； 3、培训方案内容较简单，针对性不强，不完全满足采购需求的，得1分。 4、其他或未提供方案的，得0分。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投标（响应）供应商诚信状况；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注：采购单位、采购代理机构应在评审活动开始前，通过广东政府采购网“其他监管检查公告”栏和韶关市财政局政务信息公开网站“政府采购”栏查询投标（响应）供应商诚信状况，提供给评审委员会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4"/>
          <w:color w:val="000000"/>
        </w:rPr>
        <w:t xml:space="preserve">根据 </w:t>
      </w:r>
      <w:r>
        <w:rPr>
          <w:sz w:val="24"/>
          <w:color w:val="000000"/>
          <w:u w:val="single"/>
        </w:rPr>
        <w:t xml:space="preserve">              </w:t>
      </w:r>
      <w:r>
        <w:rPr>
          <w:sz w:val="24"/>
          <w:color w:val="000000"/>
          <w:u w:val="single"/>
        </w:rPr>
        <w:t>项目</w:t>
      </w:r>
      <w:r>
        <w:rPr>
          <w:sz w:val="24"/>
          <w:color w:val="000000"/>
        </w:rPr>
        <w:t>的采购结果，按照《中华人民共和国政府采购法》、《中华人民共和国民法典(合同编)》的规定，经双方协商，本着平等互利和诚实信用的原则，一致同意签订本合同如下。</w:t>
      </w:r>
    </w:p>
    <w:p>
      <w:pPr>
        <w:pStyle w:val="null3"/>
      </w:pPr>
      <w:r>
        <w:rPr>
          <w:sz w:val="24"/>
          <w:b/>
          <w:color w:val="000000"/>
        </w:rPr>
        <w:t>一、</w:t>
      </w:r>
      <w:r>
        <w:rPr>
          <w:sz w:val="21"/>
          <w:color w:val="000000"/>
        </w:rPr>
        <w:t xml:space="preserve"> </w:t>
      </w:r>
      <w:r>
        <w:rPr>
          <w:sz w:val="24"/>
          <w:b/>
          <w:color w:val="000000"/>
        </w:rPr>
        <w:t>货物内容</w:t>
      </w:r>
    </w:p>
    <w:tbl>
      <w:tblPr>
        <w:tblW w:w="0" w:type="auto"/>
        <w:tblBorders>
          <w:top w:val="single"/>
          <w:left w:val="single"/>
          <w:bottom w:val="single"/>
          <w:right w:val="single"/>
          <w:insideH w:val="single"/>
          <w:insideV w:val="single"/>
        </w:tblBorders>
      </w:tblPr>
      <w:tblGrid>
        <w:gridCol w:w="690"/>
        <w:gridCol w:w="3513"/>
        <w:gridCol w:w="690"/>
        <w:gridCol w:w="470"/>
        <w:gridCol w:w="470"/>
        <w:gridCol w:w="705"/>
        <w:gridCol w:w="705"/>
      </w:tblGrid>
      <w:tr>
        <w:tc>
          <w:tcPr>
            <w:tcW w:type="dxa" w:w="690"/>
            <w:tcBorders>
              <w:top w:val="single" w:color="CCCCCC" w:sz="4"/>
              <w:left w:val="single" w:color="CCCCCC" w:sz="4"/>
              <w:bottom w:val="single" w:color="CCCCCC" w:sz="8"/>
              <w:right w:val="single" w:color="CCCCCC" w:sz="4"/>
            </w:tcBorders>
            <w:tcMar>
              <w:top w:type="dxa" w:w="45"/>
              <w:left w:type="dxa" w:w="75"/>
              <w:bottom w:type="dxa" w:w="30"/>
              <w:right w:type="dxa" w:w="75"/>
            </w:tcMar>
          </w:tcPr>
          <w:p>
            <w:pPr>
              <w:pStyle w:val="null3"/>
            </w:pPr>
            <w:r>
              <w:rPr>
                <w:sz w:val="24"/>
                <w:color w:val="000000"/>
              </w:rPr>
              <w:t>名称</w:t>
            </w:r>
          </w:p>
        </w:tc>
        <w:tc>
          <w:tcPr>
            <w:tcW w:type="dxa" w:w="3513"/>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pPr>
            <w:r>
              <w:rPr>
                <w:sz w:val="24"/>
                <w:color w:val="000000"/>
              </w:rPr>
              <w:t xml:space="preserve">品牌、规格、标准/主要服务内容 </w:t>
            </w:r>
          </w:p>
        </w:tc>
        <w:tc>
          <w:tcPr>
            <w:tcW w:type="dxa" w:w="690"/>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pPr>
            <w:r>
              <w:rPr>
                <w:sz w:val="24"/>
                <w:color w:val="000000"/>
              </w:rPr>
              <w:t>产地</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pPr>
            <w:r>
              <w:rPr>
                <w:sz w:val="24"/>
                <w:color w:val="000000"/>
              </w:rPr>
              <w:t>数量</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pPr>
            <w:r>
              <w:rPr>
                <w:sz w:val="24"/>
                <w:color w:val="000000"/>
              </w:rPr>
              <w:t>单位</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pPr>
            <w:r>
              <w:rPr>
                <w:sz w:val="24"/>
                <w:color w:val="000000"/>
              </w:rPr>
              <w:t>单价</w:t>
            </w:r>
          </w:p>
          <w:p>
            <w:pPr>
              <w:pStyle w:val="null3"/>
            </w:pPr>
            <w:r>
              <w:rPr>
                <w:sz w:val="24"/>
                <w:color w:val="000000"/>
              </w:rPr>
              <w:t>（元）</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pPr>
            <w:r>
              <w:rPr>
                <w:sz w:val="24"/>
                <w:color w:val="000000"/>
              </w:rPr>
              <w:t>金额</w:t>
            </w:r>
          </w:p>
          <w:p>
            <w:pPr>
              <w:pStyle w:val="null3"/>
            </w:pPr>
            <w:r>
              <w:rPr>
                <w:sz w:val="24"/>
                <w:color w:val="000000"/>
              </w:rPr>
              <w:t>（元）</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pPr>
            <w:r>
              <w:rPr>
                <w:sz w:val="24"/>
                <w:color w:val="000000"/>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4"/>
                <w:color w:val="000000"/>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4"/>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4"/>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4"/>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4"/>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4"/>
                <w:color w:val="000000"/>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1"/>
                <w:color w:val="000000"/>
              </w:rPr>
              <w:t xml:space="preserve"> </w:t>
            </w:r>
          </w:p>
        </w:tc>
      </w:tr>
      <w:tr>
        <w:tc>
          <w:tcPr>
            <w:tcW w:type="dxa" w:w="6538"/>
            <w:gridSpan w:val="6"/>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pPr>
            <w:r>
              <w:rPr>
                <w:sz w:val="24"/>
                <w:color w:val="000000"/>
              </w:rPr>
              <w:t>合计：人民币大写：**元整</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pPr>
            <w:r>
              <w:rPr>
                <w:sz w:val="24"/>
                <w:color w:val="000000"/>
              </w:rPr>
              <w:t>￥：**</w:t>
            </w:r>
          </w:p>
        </w:tc>
      </w:tr>
      <w:tr>
        <w:tc>
          <w:tcPr>
            <w:tcW w:type="dxa" w:w="690"/>
            <w:tcMar>
              <w:top w:type="dxa" w:w="0"/>
              <w:left w:type="dxa" w:w="0"/>
              <w:bottom w:type="dxa" w:w="0"/>
              <w:right w:type="dxa" w:w="0"/>
            </w:tcMar>
          </w:tcPr>
          <w:p>
            <w:pPr>
              <w:pStyle w:val="null3"/>
            </w:pPr>
            <w:r>
              <w:rPr>
                <w:sz w:val="21"/>
                <w:color w:val="000000"/>
              </w:rPr>
              <w:t xml:space="preserve"> </w:t>
            </w:r>
          </w:p>
        </w:tc>
        <w:tc>
          <w:tcPr>
            <w:tcW w:type="dxa" w:w="3513"/>
            <w:tcMar>
              <w:top w:type="dxa" w:w="0"/>
              <w:left w:type="dxa" w:w="0"/>
              <w:bottom w:type="dxa" w:w="0"/>
              <w:right w:type="dxa" w:w="0"/>
            </w:tcMar>
          </w:tcPr>
          <w:p>
            <w:pPr>
              <w:pStyle w:val="null3"/>
            </w:pPr>
            <w:r>
              <w:rPr>
                <w:sz w:val="21"/>
                <w:color w:val="000000"/>
              </w:rPr>
              <w:t xml:space="preserve"> </w:t>
            </w:r>
          </w:p>
        </w:tc>
        <w:tc>
          <w:tcPr>
            <w:tcW w:type="dxa" w:w="690"/>
            <w:tcMar>
              <w:top w:type="dxa" w:w="0"/>
              <w:left w:type="dxa" w:w="0"/>
              <w:bottom w:type="dxa" w:w="0"/>
              <w:right w:type="dxa" w:w="0"/>
            </w:tcMar>
          </w:tcPr>
          <w:p>
            <w:pPr>
              <w:pStyle w:val="null3"/>
            </w:pPr>
            <w:r>
              <w:rPr>
                <w:sz w:val="21"/>
                <w:color w:val="000000"/>
              </w:rPr>
              <w:t xml:space="preserve"> </w:t>
            </w:r>
          </w:p>
        </w:tc>
        <w:tc>
          <w:tcPr>
            <w:tcW w:type="dxa" w:w="470"/>
            <w:tcMar>
              <w:top w:type="dxa" w:w="0"/>
              <w:left w:type="dxa" w:w="0"/>
              <w:bottom w:type="dxa" w:w="0"/>
              <w:right w:type="dxa" w:w="0"/>
            </w:tcMar>
          </w:tcPr>
          <w:p>
            <w:pPr>
              <w:pStyle w:val="null3"/>
            </w:pPr>
            <w:r>
              <w:rPr>
                <w:sz w:val="21"/>
                <w:color w:val="000000"/>
              </w:rPr>
              <w:t xml:space="preserve"> </w:t>
            </w:r>
          </w:p>
        </w:tc>
        <w:tc>
          <w:tcPr>
            <w:tcW w:type="dxa" w:w="470"/>
            <w:tcMar>
              <w:top w:type="dxa" w:w="0"/>
              <w:left w:type="dxa" w:w="0"/>
              <w:bottom w:type="dxa" w:w="0"/>
              <w:right w:type="dxa" w:w="0"/>
            </w:tcMar>
          </w:tcPr>
          <w:p>
            <w:pPr>
              <w:pStyle w:val="null3"/>
            </w:pPr>
            <w:r>
              <w:rPr>
                <w:sz w:val="21"/>
                <w:color w:val="000000"/>
              </w:rPr>
              <w:t xml:space="preserve"> </w:t>
            </w:r>
          </w:p>
        </w:tc>
        <w:tc>
          <w:tcPr>
            <w:tcW w:type="dxa" w:w="705"/>
            <w:tcMar>
              <w:top w:type="dxa" w:w="0"/>
              <w:left w:type="dxa" w:w="0"/>
              <w:bottom w:type="dxa" w:w="0"/>
              <w:right w:type="dxa" w:w="0"/>
            </w:tcMar>
          </w:tcPr>
          <w:p>
            <w:pPr>
              <w:pStyle w:val="null3"/>
            </w:pPr>
            <w:r>
              <w:rPr>
                <w:sz w:val="21"/>
                <w:color w:val="000000"/>
              </w:rPr>
              <w:t xml:space="preserve"> </w:t>
            </w:r>
          </w:p>
        </w:tc>
        <w:tc>
          <w:tcPr>
            <w:tcW w:type="dxa" w:w="705"/>
            <w:tcMar>
              <w:top w:type="dxa" w:w="0"/>
              <w:left w:type="dxa" w:w="0"/>
              <w:bottom w:type="dxa" w:w="0"/>
              <w:right w:type="dxa" w:w="0"/>
            </w:tcMar>
          </w:tcPr>
          <w:p>
            <w:pPr>
              <w:pStyle w:val="null3"/>
            </w:pPr>
            <w:r>
              <w:rPr>
                <w:sz w:val="21"/>
                <w:color w:val="000000"/>
              </w:rPr>
              <w:t xml:space="preserve"> </w:t>
            </w:r>
          </w:p>
        </w:tc>
      </w:tr>
    </w:tbl>
    <w:p>
      <w:pPr>
        <w:pStyle w:val="null3"/>
      </w:pPr>
      <w:r>
        <w:rPr>
          <w:sz w:val="21"/>
          <w:color w:val="000000"/>
        </w:rPr>
        <w:t xml:space="preserve">   </w:t>
      </w:r>
      <w:r>
        <w:rPr>
          <w:sz w:val="24"/>
          <w:color w:val="000000"/>
        </w:rPr>
        <w:t>合同总额包括乙方设计、安装、随机零配件、标配工具、运输保险、调试、培训、质保期服务、各项税费及合同实施过程中不可预见费用等。</w:t>
      </w:r>
    </w:p>
    <w:p>
      <w:pPr>
        <w:pStyle w:val="null3"/>
      </w:pPr>
      <w:r>
        <w:rPr>
          <w:sz w:val="24"/>
          <w:color w:val="000000"/>
        </w:rPr>
        <w:t>注：货物名称内容必须与投标文件中货物名称内容一致。</w:t>
      </w:r>
    </w:p>
    <w:p>
      <w:pPr>
        <w:pStyle w:val="null3"/>
      </w:pPr>
      <w:r>
        <w:rPr>
          <w:sz w:val="24"/>
          <w:b/>
          <w:color w:val="000000"/>
        </w:rPr>
        <w:t>二、</w:t>
      </w:r>
      <w:r>
        <w:rPr>
          <w:sz w:val="21"/>
          <w:color w:val="000000"/>
        </w:rPr>
        <w:t xml:space="preserve"> </w:t>
      </w:r>
      <w:r>
        <w:rPr>
          <w:sz w:val="24"/>
          <w:b/>
          <w:color w:val="000000"/>
        </w:rPr>
        <w:t>合同金额</w:t>
      </w:r>
    </w:p>
    <w:p>
      <w:pPr>
        <w:pStyle w:val="null3"/>
      </w:pPr>
      <w:r>
        <w:rPr>
          <w:sz w:val="24"/>
          <w:color w:val="000000"/>
        </w:rPr>
        <w:t>合同金额为（大写）：_________________元（￥_______________元）人民币。</w:t>
      </w:r>
    </w:p>
    <w:p>
      <w:pPr>
        <w:pStyle w:val="null3"/>
      </w:pPr>
      <w:r>
        <w:rPr>
          <w:sz w:val="24"/>
          <w:b/>
          <w:color w:val="000000"/>
        </w:rPr>
        <w:t>三、设备要求</w:t>
      </w:r>
    </w:p>
    <w:p>
      <w:pPr>
        <w:pStyle w:val="null3"/>
      </w:pPr>
      <w:r>
        <w:rPr>
          <w:sz w:val="24"/>
          <w:color w:val="000000"/>
        </w:rPr>
        <w:t>(1)</w:t>
      </w:r>
      <w:r>
        <w:rPr>
          <w:sz w:val="24"/>
          <w:color w:val="000000"/>
        </w:rPr>
        <w:t>货物为原制造商制造的全新产品，整机无污染，无侵权行为、表面无划损、无任何缺陷隐患，在中国境内可依常规安全合法使用。</w:t>
      </w:r>
    </w:p>
    <w:p>
      <w:pPr>
        <w:pStyle w:val="null3"/>
      </w:pPr>
      <w:r>
        <w:rPr>
          <w:sz w:val="24"/>
          <w:color w:val="000000"/>
        </w:rPr>
        <w:t>(2)</w:t>
      </w:r>
      <w:r>
        <w:rPr>
          <w:sz w:val="24"/>
          <w:color w:val="000000"/>
        </w:rPr>
        <w:t>货物为原厂商未启封全新包装，具出厂合格证，序列号、包装箱号与出厂批号一致，并可追索查阅。</w:t>
      </w:r>
    </w:p>
    <w:p>
      <w:pPr>
        <w:pStyle w:val="null3"/>
      </w:pPr>
      <w:r>
        <w:rPr>
          <w:sz w:val="24"/>
          <w:color w:val="000000"/>
        </w:rPr>
        <w:t>(3)</w:t>
      </w:r>
      <w:r>
        <w:rPr>
          <w:sz w:val="24"/>
          <w:color w:val="000000"/>
        </w:rPr>
        <w:t>有关键设备的用户手册、保修手册、有关单证资料及配备件、随机工具等，使用操作及安全须知等重要资料应附有中文说明。</w:t>
      </w:r>
    </w:p>
    <w:p>
      <w:pPr>
        <w:pStyle w:val="null3"/>
      </w:pPr>
      <w:r>
        <w:rPr>
          <w:sz w:val="24"/>
          <w:b/>
          <w:color w:val="000000"/>
        </w:rPr>
        <w:t>四、</w:t>
      </w:r>
      <w:r>
        <w:rPr>
          <w:sz w:val="24"/>
          <w:b/>
          <w:color w:val="000000"/>
        </w:rPr>
        <w:t>售后服务</w:t>
      </w:r>
    </w:p>
    <w:p>
      <w:pPr>
        <w:pStyle w:val="null3"/>
        <w:spacing w:before="60"/>
        <w:ind w:firstLine="102"/>
      </w:pPr>
      <w:r>
        <w:rPr>
          <w:sz w:val="24"/>
          <w:color w:val="000000"/>
        </w:rPr>
        <w:t>(1)</w:t>
      </w:r>
      <w:r>
        <w:rPr>
          <w:sz w:val="24"/>
          <w:color w:val="000000"/>
        </w:rPr>
        <w:t>质量保修范围：由于材料、工艺等问题而导致的产品功能失效、性能下降等缺陷(属于自然力或战争等不可抗拒力、人为因素等造成的除外)。</w:t>
      </w:r>
    </w:p>
    <w:p>
      <w:pPr>
        <w:pStyle w:val="null3"/>
        <w:spacing w:before="60"/>
        <w:ind w:firstLine="102"/>
      </w:pPr>
      <w:r>
        <w:rPr>
          <w:sz w:val="24"/>
          <w:color w:val="000000"/>
        </w:rPr>
        <w:t>(2)</w:t>
      </w:r>
      <w:r>
        <w:rPr>
          <w:sz w:val="24"/>
          <w:color w:val="000000"/>
        </w:rPr>
        <w:t>质保期为</w:t>
      </w:r>
      <w:r>
        <w:rPr>
          <w:sz w:val="24"/>
          <w:color w:val="000000"/>
          <w:u w:val="single"/>
        </w:rPr>
        <w:t xml:space="preserve">    </w:t>
      </w:r>
      <w:r>
        <w:rPr>
          <w:sz w:val="24"/>
          <w:color w:val="000000"/>
        </w:rPr>
        <w:t>年，质保期自货物最终验收合格之日起算，质保期内乙方对所供货物实行包修、包换、包退、包维护保养，</w:t>
      </w:r>
      <w:r>
        <w:rPr>
          <w:sz w:val="24"/>
          <w:color w:val="000000"/>
        </w:rPr>
        <w:t>质保期后设备维修配件更换只收取成本费用</w:t>
      </w:r>
      <w:r>
        <w:rPr>
          <w:sz w:val="24"/>
          <w:color w:val="000000"/>
        </w:rPr>
        <w:t>。</w:t>
      </w:r>
    </w:p>
    <w:p>
      <w:pPr>
        <w:pStyle w:val="null3"/>
        <w:spacing w:before="60"/>
        <w:ind w:firstLine="102"/>
      </w:pPr>
      <w:r>
        <w:rPr>
          <w:sz w:val="24"/>
          <w:color w:val="000000"/>
        </w:rPr>
        <w:t>(3)</w:t>
      </w:r>
      <w:r>
        <w:rPr>
          <w:sz w:val="24"/>
          <w:color w:val="000000"/>
        </w:rPr>
        <w:t>对甲方的服务通知，乙方在接报后</w:t>
      </w:r>
      <w:r>
        <w:rPr>
          <w:sz w:val="24"/>
          <w:color w:val="000000"/>
          <w:u w:val="single"/>
        </w:rPr>
        <w:t xml:space="preserve">   </w:t>
      </w:r>
      <w:r>
        <w:rPr>
          <w:sz w:val="24"/>
          <w:color w:val="000000"/>
        </w:rPr>
        <w:t>小时内响应，</w:t>
      </w:r>
      <w:r>
        <w:rPr>
          <w:sz w:val="24"/>
          <w:color w:val="000000"/>
          <w:u w:val="single"/>
        </w:rPr>
        <w:t xml:space="preserve">   </w:t>
      </w:r>
      <w:r>
        <w:rPr>
          <w:sz w:val="24"/>
          <w:color w:val="000000"/>
        </w:rPr>
        <w:t>小时内到达现场，</w:t>
      </w:r>
      <w:r>
        <w:rPr>
          <w:sz w:val="24"/>
          <w:color w:val="000000"/>
          <w:u w:val="single"/>
        </w:rPr>
        <w:t xml:space="preserve">   </w:t>
      </w:r>
      <w:r>
        <w:rPr>
          <w:sz w:val="24"/>
          <w:color w:val="000000"/>
        </w:rPr>
        <w:t>小时内处理完毕。若在</w:t>
      </w:r>
      <w:r>
        <w:rPr>
          <w:sz w:val="24"/>
          <w:color w:val="000000"/>
          <w:u w:val="single"/>
        </w:rPr>
        <w:t xml:space="preserve">   </w:t>
      </w:r>
      <w:r>
        <w:rPr>
          <w:sz w:val="24"/>
          <w:color w:val="000000"/>
        </w:rPr>
        <w:t>小时内仍未能有效解决，乙方须免费提供同等档次的设备予甲方临时使用。</w:t>
      </w:r>
    </w:p>
    <w:p>
      <w:pPr>
        <w:pStyle w:val="null3"/>
      </w:pPr>
      <w:r>
        <w:rPr>
          <w:sz w:val="24"/>
          <w:b/>
          <w:color w:val="000000"/>
        </w:rPr>
        <w:t>五、采购项目交付（实施）的时间（期限）和地点（范围）：</w:t>
      </w:r>
    </w:p>
    <w:p>
      <w:pPr>
        <w:pStyle w:val="null3"/>
      </w:pPr>
      <w:r>
        <w:rPr>
          <w:sz w:val="24"/>
          <w:b/>
          <w:color w:val="000000"/>
        </w:rPr>
        <w:t>1.</w:t>
      </w:r>
      <w:r>
        <w:rPr>
          <w:sz w:val="24"/>
          <w:b/>
          <w:color w:val="000000"/>
        </w:rPr>
        <w:t>交付（实施）的时间（期限）：</w:t>
      </w:r>
      <w:r>
        <w:rPr>
          <w:sz w:val="24"/>
          <w:color w:val="000000"/>
        </w:rPr>
        <w:t>签订合同后</w:t>
      </w:r>
      <w:r>
        <w:rPr>
          <w:sz w:val="21"/>
          <w:color w:val="000000"/>
          <w:u w:val="single"/>
        </w:rPr>
        <w:t xml:space="preserve">    </w:t>
      </w:r>
      <w:r>
        <w:rPr>
          <w:sz w:val="24"/>
          <w:color w:val="000000"/>
        </w:rPr>
        <w:t>日历天内交货，并按质保要求履约完成</w:t>
      </w:r>
    </w:p>
    <w:p>
      <w:pPr>
        <w:pStyle w:val="null3"/>
      </w:pPr>
      <w:r>
        <w:rPr>
          <w:sz w:val="24"/>
          <w:b/>
          <w:color w:val="000000"/>
        </w:rPr>
        <w:t>2.</w:t>
      </w:r>
      <w:r>
        <w:rPr>
          <w:sz w:val="24"/>
          <w:b/>
          <w:color w:val="000000"/>
        </w:rPr>
        <w:t>地点：</w:t>
      </w:r>
      <w:r>
        <w:rPr>
          <w:sz w:val="24"/>
          <w:color w:val="000000"/>
        </w:rPr>
        <w:t>韶关市职业卫生与健康教育所内，甲方指定地点</w:t>
      </w:r>
    </w:p>
    <w:p>
      <w:pPr>
        <w:pStyle w:val="null3"/>
      </w:pPr>
      <w:r>
        <w:rPr>
          <w:sz w:val="24"/>
          <w:b/>
          <w:color w:val="000000"/>
        </w:rPr>
        <w:t>六、付款方式：</w:t>
      </w:r>
    </w:p>
    <w:p>
      <w:pPr>
        <w:pStyle w:val="null3"/>
        <w:ind w:right="105"/>
      </w:pPr>
      <w:r>
        <w:rPr>
          <w:sz w:val="24"/>
          <w:color w:val="000000"/>
        </w:rPr>
        <w:t>1</w:t>
      </w:r>
      <w:r>
        <w:rPr>
          <w:sz w:val="24"/>
          <w:color w:val="000000"/>
        </w:rPr>
        <w:t>期：支付比例</w:t>
      </w:r>
      <w:r>
        <w:rPr>
          <w:sz w:val="24"/>
          <w:color w:val="000000"/>
          <w:u w:val="single"/>
        </w:rPr>
        <w:t>50</w:t>
      </w:r>
      <w:r>
        <w:rPr>
          <w:sz w:val="24"/>
          <w:color w:val="000000"/>
        </w:rPr>
        <w:t>%，签订合同后，</w:t>
      </w:r>
      <w:r>
        <w:rPr>
          <w:sz w:val="24"/>
          <w:color w:val="000000"/>
        </w:rPr>
        <w:t>甲方</w:t>
      </w:r>
      <w:r>
        <w:rPr>
          <w:sz w:val="24"/>
          <w:color w:val="000000"/>
        </w:rPr>
        <w:t>自收到发票后</w:t>
      </w:r>
      <w:r>
        <w:rPr>
          <w:sz w:val="24"/>
          <w:color w:val="000000"/>
          <w:u w:val="single"/>
        </w:rPr>
        <w:t>10个工作日内</w:t>
      </w:r>
      <w:r>
        <w:rPr>
          <w:sz w:val="24"/>
          <w:color w:val="000000"/>
        </w:rPr>
        <w:t>向乙方支付合同总价的</w:t>
      </w:r>
      <w:r>
        <w:rPr>
          <w:sz w:val="24"/>
          <w:color w:val="000000"/>
          <w:u w:val="single"/>
        </w:rPr>
        <w:t>50%</w:t>
      </w:r>
      <w:r>
        <w:rPr>
          <w:sz w:val="24"/>
          <w:color w:val="000000"/>
        </w:rPr>
        <w:t>作为预付款；</w:t>
      </w:r>
    </w:p>
    <w:p>
      <w:pPr>
        <w:pStyle w:val="null3"/>
        <w:ind w:right="105"/>
      </w:pPr>
      <w:r>
        <w:rPr>
          <w:sz w:val="24"/>
          <w:color w:val="000000"/>
        </w:rPr>
        <w:t>2</w:t>
      </w:r>
      <w:r>
        <w:rPr>
          <w:sz w:val="24"/>
          <w:color w:val="000000"/>
        </w:rPr>
        <w:t>期：支付比例50%，全部合同货物到达交货地点，并安装调试且验收合格后，凭验收合格单或验收合格报告，</w:t>
      </w:r>
      <w:r>
        <w:rPr>
          <w:sz w:val="24"/>
          <w:color w:val="000000"/>
        </w:rPr>
        <w:t>甲方</w:t>
      </w:r>
      <w:r>
        <w:rPr>
          <w:sz w:val="24"/>
          <w:color w:val="000000"/>
        </w:rPr>
        <w:t>自收到发票后</w:t>
      </w:r>
      <w:r>
        <w:rPr>
          <w:sz w:val="24"/>
          <w:color w:val="000000"/>
          <w:u w:val="single"/>
        </w:rPr>
        <w:t>10个工作日内</w:t>
      </w:r>
      <w:r>
        <w:rPr>
          <w:sz w:val="24"/>
          <w:color w:val="000000"/>
        </w:rPr>
        <w:t>向乙方支付合同总价的50%。</w:t>
      </w:r>
    </w:p>
    <w:p>
      <w:pPr>
        <w:pStyle w:val="null3"/>
      </w:pPr>
      <w:r>
        <w:rPr>
          <w:sz w:val="24"/>
          <w:color w:val="000000"/>
        </w:rPr>
        <w:t>注：(1)</w:t>
      </w:r>
      <w:r>
        <w:rPr>
          <w:sz w:val="24"/>
          <w:color w:val="000000"/>
        </w:rPr>
        <w:t>每次按合同支付款项前，</w:t>
      </w:r>
      <w:r>
        <w:rPr>
          <w:sz w:val="24"/>
          <w:color w:val="000000"/>
        </w:rPr>
        <w:t>乙方</w:t>
      </w:r>
      <w:r>
        <w:rPr>
          <w:sz w:val="24"/>
          <w:color w:val="000000"/>
        </w:rPr>
        <w:t>应向</w:t>
      </w:r>
      <w:r>
        <w:rPr>
          <w:sz w:val="24"/>
          <w:color w:val="000000"/>
        </w:rPr>
        <w:t>甲方</w:t>
      </w:r>
      <w:r>
        <w:rPr>
          <w:sz w:val="24"/>
          <w:color w:val="000000"/>
        </w:rPr>
        <w:t>提供与支付金额相符的有效发票，且收款方、出具发票方、合同乙方均必须与</w:t>
      </w:r>
      <w:r>
        <w:rPr>
          <w:sz w:val="24"/>
          <w:color w:val="000000"/>
        </w:rPr>
        <w:t>乙方</w:t>
      </w:r>
      <w:r>
        <w:rPr>
          <w:sz w:val="24"/>
          <w:color w:val="000000"/>
        </w:rPr>
        <w:t>名称一致；</w:t>
      </w:r>
      <w:r>
        <w:br/>
      </w:r>
      <w:r>
        <w:rPr>
          <w:sz w:val="24"/>
          <w:color w:val="000000"/>
        </w:rPr>
        <w:t>(2)</w:t>
      </w:r>
      <w:r>
        <w:rPr>
          <w:sz w:val="24"/>
          <w:color w:val="000000"/>
        </w:rPr>
        <w:t>违约责任：</w:t>
      </w:r>
      <w:r>
        <w:rPr>
          <w:sz w:val="24"/>
          <w:color w:val="000000"/>
        </w:rPr>
        <w:t>甲方</w:t>
      </w:r>
      <w:r>
        <w:rPr>
          <w:sz w:val="24"/>
          <w:color w:val="000000"/>
        </w:rPr>
        <w:t>逾期支付合同款项的，除应当支付合同款项外，还应当每日按合同总价的0.2‰向</w:t>
      </w:r>
      <w:r>
        <w:rPr>
          <w:sz w:val="24"/>
          <w:color w:val="000000"/>
        </w:rPr>
        <w:t>乙方</w:t>
      </w:r>
      <w:r>
        <w:rPr>
          <w:sz w:val="24"/>
          <w:color w:val="000000"/>
        </w:rPr>
        <w:t>偿付违约金，但因</w:t>
      </w:r>
      <w:r>
        <w:rPr>
          <w:sz w:val="24"/>
          <w:color w:val="000000"/>
        </w:rPr>
        <w:t>乙方</w:t>
      </w:r>
      <w:r>
        <w:rPr>
          <w:sz w:val="24"/>
          <w:color w:val="000000"/>
        </w:rPr>
        <w:t>自身原因导致无法及时支付的除外。</w:t>
      </w:r>
      <w:r>
        <w:br/>
      </w:r>
      <w:r>
        <w:rPr>
          <w:sz w:val="24"/>
          <w:color w:val="000000"/>
        </w:rPr>
        <w:t>(3)</w:t>
      </w:r>
      <w:r>
        <w:rPr>
          <w:sz w:val="24"/>
          <w:color w:val="000000"/>
        </w:rPr>
        <w:t>因</w:t>
      </w:r>
      <w:r>
        <w:rPr>
          <w:sz w:val="24"/>
          <w:color w:val="000000"/>
        </w:rPr>
        <w:t>甲方</w:t>
      </w:r>
      <w:r>
        <w:rPr>
          <w:sz w:val="24"/>
          <w:color w:val="000000"/>
        </w:rPr>
        <w:t>使用的是财政资金，</w:t>
      </w:r>
      <w:r>
        <w:rPr>
          <w:sz w:val="24"/>
          <w:color w:val="000000"/>
        </w:rPr>
        <w:t>甲方</w:t>
      </w:r>
      <w:r>
        <w:rPr>
          <w:sz w:val="24"/>
          <w:color w:val="000000"/>
        </w:rPr>
        <w:t>在规定时间向支付部门提出支付申请，如因财政支付部门审核时间导致无法按期支付的，</w:t>
      </w:r>
      <w:r>
        <w:rPr>
          <w:sz w:val="24"/>
          <w:color w:val="000000"/>
        </w:rPr>
        <w:t>甲方</w:t>
      </w:r>
      <w:r>
        <w:rPr>
          <w:sz w:val="24"/>
          <w:color w:val="000000"/>
        </w:rPr>
        <w:t>不承担违约责任。</w:t>
      </w:r>
    </w:p>
    <w:p>
      <w:pPr>
        <w:pStyle w:val="null3"/>
      </w:pPr>
      <w:r>
        <w:rPr>
          <w:sz w:val="24"/>
          <w:color w:val="000000"/>
        </w:rPr>
        <w:t>(4)</w:t>
      </w:r>
      <w:r>
        <w:rPr>
          <w:sz w:val="24"/>
          <w:color w:val="000000"/>
        </w:rPr>
        <w:t>付款方式：采用支票、银行汇票、电汇三种形式。</w:t>
      </w:r>
    </w:p>
    <w:p>
      <w:pPr>
        <w:pStyle w:val="null3"/>
      </w:pPr>
      <w:r>
        <w:rPr>
          <w:sz w:val="24"/>
          <w:b/>
          <w:color w:val="000000"/>
        </w:rPr>
        <w:t>七、</w:t>
      </w:r>
      <w:r>
        <w:rPr>
          <w:sz w:val="24"/>
          <w:b/>
          <w:color w:val="000000"/>
        </w:rPr>
        <w:t>安装与调试</w:t>
      </w:r>
    </w:p>
    <w:p>
      <w:pPr>
        <w:pStyle w:val="null3"/>
        <w:spacing w:before="60"/>
        <w:ind w:firstLine="102"/>
      </w:pPr>
      <w:r>
        <w:rPr>
          <w:sz w:val="24"/>
          <w:color w:val="000000"/>
        </w:rPr>
        <w:t>(1)</w:t>
      </w:r>
      <w:r>
        <w:rPr>
          <w:sz w:val="24"/>
          <w:color w:val="000000"/>
        </w:rPr>
        <w:t>乙方</w:t>
      </w:r>
      <w:r>
        <w:rPr>
          <w:sz w:val="24"/>
          <w:color w:val="000000"/>
        </w:rPr>
        <w:t>必须按项目进度安排计划，派出适当的技术人员到安装现场负责免费安装和调试工作。在安装施工期间，严格遵守</w:t>
      </w:r>
      <w:r>
        <w:rPr>
          <w:sz w:val="24"/>
          <w:color w:val="000000"/>
        </w:rPr>
        <w:t>甲</w:t>
      </w:r>
      <w:r>
        <w:rPr>
          <w:sz w:val="24"/>
          <w:color w:val="000000"/>
        </w:rPr>
        <w:t>方的有关规定。</w:t>
      </w:r>
    </w:p>
    <w:p>
      <w:pPr>
        <w:pStyle w:val="null3"/>
        <w:spacing w:before="60"/>
        <w:ind w:firstLine="102"/>
      </w:pPr>
      <w:r>
        <w:rPr>
          <w:sz w:val="24"/>
          <w:color w:val="000000"/>
        </w:rPr>
        <w:t>(2)</w:t>
      </w:r>
      <w:r>
        <w:rPr>
          <w:sz w:val="24"/>
          <w:color w:val="000000"/>
        </w:rPr>
        <w:t>乙方</w:t>
      </w:r>
      <w:r>
        <w:rPr>
          <w:sz w:val="24"/>
          <w:color w:val="000000"/>
        </w:rPr>
        <w:t>必须依照招标文件的要求和投标文件的承诺，将设备、系统安装并调试至正常运行的最佳状态。</w:t>
      </w:r>
    </w:p>
    <w:p>
      <w:pPr>
        <w:pStyle w:val="null3"/>
        <w:spacing w:before="60"/>
        <w:ind w:firstLine="102"/>
      </w:pPr>
      <w:r>
        <w:rPr>
          <w:sz w:val="24"/>
          <w:color w:val="000000"/>
        </w:rPr>
        <w:t>(3)</w:t>
      </w:r>
      <w:r>
        <w:rPr>
          <w:sz w:val="24"/>
          <w:color w:val="000000"/>
        </w:rPr>
        <w:t>合同设备安装：</w:t>
      </w:r>
      <w:r>
        <w:rPr>
          <w:sz w:val="24"/>
          <w:color w:val="000000"/>
        </w:rPr>
        <w:t>乙方</w:t>
      </w:r>
      <w:r>
        <w:rPr>
          <w:sz w:val="24"/>
          <w:color w:val="000000"/>
        </w:rPr>
        <w:t>负责合同设备的安装，一切费用由</w:t>
      </w:r>
      <w:r>
        <w:rPr>
          <w:sz w:val="24"/>
          <w:color w:val="000000"/>
        </w:rPr>
        <w:t>乙方</w:t>
      </w:r>
      <w:r>
        <w:rPr>
          <w:sz w:val="24"/>
          <w:color w:val="000000"/>
        </w:rPr>
        <w:t>负责。</w:t>
      </w:r>
      <w:r>
        <w:rPr>
          <w:sz w:val="24"/>
          <w:color w:val="000000"/>
        </w:rPr>
        <w:t>乙方</w:t>
      </w:r>
      <w:r>
        <w:rPr>
          <w:sz w:val="24"/>
          <w:color w:val="000000"/>
        </w:rPr>
        <w:t>安装时须对各安装场地内的其他设备、设施有良好保护措施。</w:t>
      </w:r>
    </w:p>
    <w:p>
      <w:pPr>
        <w:pStyle w:val="null3"/>
      </w:pPr>
      <w:r>
        <w:rPr>
          <w:sz w:val="24"/>
          <w:b/>
          <w:color w:val="000000"/>
        </w:rPr>
        <w:t>八、技术培训</w:t>
      </w:r>
    </w:p>
    <w:p>
      <w:pPr>
        <w:pStyle w:val="null3"/>
        <w:spacing w:before="60"/>
      </w:pPr>
      <w:r>
        <w:rPr>
          <w:sz w:val="24"/>
          <w:color w:val="000000"/>
        </w:rPr>
        <w:t>(1)</w:t>
      </w:r>
      <w:r>
        <w:rPr>
          <w:sz w:val="24"/>
          <w:color w:val="000000"/>
        </w:rPr>
        <w:t>安装验收期间，在</w:t>
      </w:r>
      <w:r>
        <w:rPr>
          <w:sz w:val="24"/>
          <w:color w:val="000000"/>
        </w:rPr>
        <w:t>甲方</w:t>
      </w:r>
      <w:r>
        <w:rPr>
          <w:sz w:val="24"/>
          <w:color w:val="000000"/>
        </w:rPr>
        <w:t>所在地对</w:t>
      </w:r>
      <w:r>
        <w:rPr>
          <w:sz w:val="24"/>
          <w:color w:val="000000"/>
        </w:rPr>
        <w:t>甲方</w:t>
      </w:r>
      <w:r>
        <w:rPr>
          <w:sz w:val="24"/>
          <w:color w:val="000000"/>
        </w:rPr>
        <w:t>进行</w:t>
      </w:r>
      <w:r>
        <w:rPr>
          <w:sz w:val="24"/>
          <w:color w:val="000000"/>
        </w:rPr>
        <w:t>3</w:t>
      </w:r>
      <w:r>
        <w:rPr>
          <w:sz w:val="24"/>
          <w:color w:val="000000"/>
        </w:rPr>
        <w:t>日仪器操作、日常维护、所有监测指标的现场培训。</w:t>
      </w:r>
    </w:p>
    <w:p>
      <w:pPr>
        <w:pStyle w:val="null3"/>
        <w:spacing w:before="60"/>
      </w:pPr>
      <w:r>
        <w:rPr>
          <w:sz w:val="24"/>
          <w:color w:val="000000"/>
        </w:rPr>
        <w:t>(2)</w:t>
      </w:r>
      <w:r>
        <w:rPr>
          <w:sz w:val="24"/>
          <w:color w:val="000000"/>
        </w:rPr>
        <w:t>应提供完整的培训计划和方案，列明培训人员数量、达到的水平等，培训内容包括设备的操作、日常维修、简单故障的识别及排除等。培训所需全部费用均由</w:t>
      </w:r>
      <w:r>
        <w:rPr>
          <w:sz w:val="24"/>
          <w:color w:val="000000"/>
        </w:rPr>
        <w:t>中</w:t>
      </w:r>
      <w:r>
        <w:rPr>
          <w:sz w:val="24"/>
          <w:color w:val="000000"/>
        </w:rPr>
        <w:t>标人支付</w:t>
      </w:r>
      <w:r>
        <w:rPr>
          <w:sz w:val="24"/>
          <w:color w:val="000000"/>
        </w:rPr>
        <w:t>。</w:t>
      </w:r>
    </w:p>
    <w:p>
      <w:pPr>
        <w:pStyle w:val="null3"/>
        <w:spacing w:before="60"/>
      </w:pPr>
      <w:r>
        <w:rPr>
          <w:sz w:val="24"/>
          <w:color w:val="000000"/>
        </w:rPr>
        <w:t>(3)</w:t>
      </w:r>
      <w:r>
        <w:rPr>
          <w:sz w:val="24"/>
          <w:color w:val="000000"/>
        </w:rPr>
        <w:t>如遇设备升级更新，</w:t>
      </w:r>
      <w:r>
        <w:rPr>
          <w:sz w:val="24"/>
          <w:color w:val="000000"/>
        </w:rPr>
        <w:t>乙方</w:t>
      </w:r>
      <w:r>
        <w:rPr>
          <w:sz w:val="24"/>
          <w:color w:val="000000"/>
        </w:rPr>
        <w:t>需及时提供更新操作指导。</w:t>
      </w:r>
    </w:p>
    <w:p>
      <w:pPr>
        <w:pStyle w:val="null3"/>
      </w:pPr>
      <w:r>
        <w:rPr>
          <w:sz w:val="24"/>
          <w:b/>
          <w:color w:val="000000"/>
        </w:rPr>
        <w:t>九、包装和运输</w:t>
      </w:r>
    </w:p>
    <w:p>
      <w:pPr>
        <w:pStyle w:val="null3"/>
        <w:spacing w:before="60"/>
      </w:pPr>
      <w:r>
        <w:rPr>
          <w:sz w:val="24"/>
          <w:color w:val="000000"/>
        </w:rPr>
        <w:t>(1)</w:t>
      </w:r>
      <w:r>
        <w:rPr>
          <w:sz w:val="24"/>
          <w:color w:val="000000"/>
        </w:rPr>
        <w:t>乙方</w:t>
      </w:r>
      <w:r>
        <w:rPr>
          <w:sz w:val="24"/>
          <w:color w:val="000000"/>
        </w:rPr>
        <w:t>应提供运至交付地点所需要的包装，包装应符合经济、牢固、美观的要求，采取防潮、防晒、防锈、防震及防止其它损坏的必要措施，以防止货物在运转中损坏或变质。</w:t>
      </w:r>
    </w:p>
    <w:p>
      <w:pPr>
        <w:pStyle w:val="null3"/>
        <w:spacing w:before="60"/>
      </w:pPr>
      <w:r>
        <w:rPr>
          <w:sz w:val="24"/>
          <w:color w:val="000000"/>
        </w:rPr>
        <w:t>(2)</w:t>
      </w:r>
      <w:r>
        <w:rPr>
          <w:sz w:val="24"/>
          <w:color w:val="000000"/>
        </w:rPr>
        <w:t>包装必须要符合相关法律、法规的要求，包括与环境、职业健康和安全有关的法律、法规标准。</w:t>
      </w:r>
    </w:p>
    <w:p>
      <w:pPr>
        <w:pStyle w:val="null3"/>
        <w:spacing w:before="60"/>
      </w:pPr>
      <w:r>
        <w:rPr>
          <w:sz w:val="24"/>
          <w:color w:val="000000"/>
        </w:rPr>
        <w:t>(3)</w:t>
      </w:r>
      <w:r>
        <w:rPr>
          <w:sz w:val="24"/>
          <w:color w:val="000000"/>
        </w:rPr>
        <w:t>运输包装应根据产品的特点及国家相关标准标注有相应的运输标志。</w:t>
      </w:r>
    </w:p>
    <w:p>
      <w:pPr>
        <w:pStyle w:val="null3"/>
      </w:pPr>
      <w:r>
        <w:rPr>
          <w:sz w:val="24"/>
          <w:color w:val="000000"/>
        </w:rPr>
        <w:t>(4)</w:t>
      </w:r>
      <w:r>
        <w:rPr>
          <w:sz w:val="24"/>
          <w:color w:val="000000"/>
        </w:rPr>
        <w:t>乙方</w:t>
      </w:r>
      <w:r>
        <w:rPr>
          <w:sz w:val="24"/>
          <w:color w:val="000000"/>
        </w:rPr>
        <w:t>负责将货物运输并卸载到甲方指定地点。</w:t>
      </w:r>
    </w:p>
    <w:p>
      <w:pPr>
        <w:pStyle w:val="null3"/>
      </w:pPr>
      <w:r>
        <w:rPr>
          <w:sz w:val="24"/>
          <w:b/>
          <w:color w:val="000000"/>
        </w:rPr>
        <w:t>十、保险</w:t>
      </w:r>
    </w:p>
    <w:p>
      <w:pPr>
        <w:pStyle w:val="null3"/>
      </w:pPr>
      <w:r>
        <w:rPr>
          <w:sz w:val="24"/>
          <w:color w:val="000000"/>
        </w:rPr>
        <w:t>货物交付运输前，甲方已经支付部分或全部款项的，乙方应当办理以甲方为受益人的货物“一切险”，投保金额不少于甲方已经支付款项总额，保险保至项目最终交货地点。</w:t>
      </w:r>
    </w:p>
    <w:p>
      <w:pPr>
        <w:pStyle w:val="null3"/>
      </w:pPr>
      <w:r>
        <w:rPr>
          <w:sz w:val="24"/>
          <w:b/>
          <w:color w:val="000000"/>
        </w:rPr>
        <w:t>十一、交付验收标准依次序对照适用标准</w:t>
      </w:r>
    </w:p>
    <w:p>
      <w:pPr>
        <w:pStyle w:val="null3"/>
      </w:pPr>
      <w:r>
        <w:rPr>
          <w:sz w:val="24"/>
          <w:color w:val="000000"/>
        </w:rPr>
        <w:t>(1)</w:t>
      </w:r>
      <w:r>
        <w:rPr>
          <w:sz w:val="24"/>
          <w:color w:val="000000"/>
        </w:rPr>
        <w:t>符合中华人民共和国国家安全质量标准、环保标准或行业标准；</w:t>
      </w:r>
    </w:p>
    <w:p>
      <w:pPr>
        <w:pStyle w:val="null3"/>
      </w:pPr>
      <w:r>
        <w:rPr>
          <w:sz w:val="24"/>
          <w:color w:val="000000"/>
        </w:rPr>
        <w:t>(2)</w:t>
      </w:r>
      <w:r>
        <w:rPr>
          <w:sz w:val="24"/>
          <w:color w:val="000000"/>
        </w:rPr>
        <w:t>符合招标文件和响应承诺中甲方认可的合理最佳配置、参数及各项要求。</w:t>
      </w:r>
    </w:p>
    <w:p>
      <w:pPr>
        <w:pStyle w:val="null3"/>
      </w:pPr>
      <w:r>
        <w:rPr>
          <w:sz w:val="24"/>
          <w:color w:val="000000"/>
        </w:rPr>
        <w:t>(3)</w:t>
      </w:r>
      <w:r>
        <w:rPr>
          <w:sz w:val="24"/>
          <w:color w:val="000000"/>
        </w:rPr>
        <w:t>符合货物来源国官方标准。</w:t>
      </w:r>
    </w:p>
    <w:p>
      <w:pPr>
        <w:pStyle w:val="null3"/>
      </w:pPr>
      <w:r>
        <w:rPr>
          <w:sz w:val="24"/>
          <w:b/>
          <w:color w:val="000000"/>
        </w:rPr>
        <w:t>十二、验收、交付标准和方法</w:t>
      </w:r>
    </w:p>
    <w:p>
      <w:pPr>
        <w:pStyle w:val="null3"/>
        <w:spacing w:before="90"/>
        <w:ind w:right="105"/>
      </w:pPr>
      <w:r>
        <w:rPr>
          <w:sz w:val="24"/>
          <w:color w:val="000000"/>
        </w:rPr>
        <w:t>(1)</w:t>
      </w:r>
      <w:r>
        <w:rPr>
          <w:sz w:val="24"/>
          <w:color w:val="000000"/>
        </w:rPr>
        <w:t>甲方收到供应商项目验收申请之日起7日内按照合同的约定对履约情况进行验收，对每一项技术、服务、安全标准的履约情况进行确认。</w:t>
      </w:r>
    </w:p>
    <w:p>
      <w:pPr>
        <w:pStyle w:val="null3"/>
        <w:spacing w:before="90"/>
        <w:ind w:right="105"/>
      </w:pPr>
      <w:r>
        <w:rPr>
          <w:sz w:val="24"/>
          <w:color w:val="000000"/>
        </w:rPr>
        <w:t>(2)</w:t>
      </w:r>
      <w:r>
        <w:rPr>
          <w:sz w:val="24"/>
          <w:color w:val="000000"/>
        </w:rPr>
        <w:t>设备验收在甲方和</w:t>
      </w:r>
      <w:r>
        <w:rPr>
          <w:sz w:val="24"/>
          <w:color w:val="000000"/>
        </w:rPr>
        <w:t>乙方</w:t>
      </w:r>
      <w:r>
        <w:rPr>
          <w:sz w:val="24"/>
          <w:color w:val="000000"/>
        </w:rPr>
        <w:t>双方共同参与下按国家有关的规定、规范进行；</w:t>
      </w:r>
    </w:p>
    <w:p>
      <w:pPr>
        <w:pStyle w:val="null3"/>
        <w:spacing w:before="90"/>
        <w:ind w:right="105"/>
      </w:pPr>
      <w:r>
        <w:rPr>
          <w:sz w:val="24"/>
          <w:color w:val="000000"/>
        </w:rPr>
        <w:t>(3)</w:t>
      </w:r>
      <w:r>
        <w:rPr>
          <w:sz w:val="24"/>
          <w:color w:val="000000"/>
        </w:rPr>
        <w:t>验收时如发现所交付的设备有短装、次品、损坏或其它不符合本合同规定之情形者，甲方应作出详尽的现场记录，或由甲、乙双方签署备忘录。此现场记录或备忘录可用作补充、缺失和更换损坏部件的有效证据。因此产生的有关费用由</w:t>
      </w:r>
      <w:r>
        <w:rPr>
          <w:sz w:val="24"/>
          <w:color w:val="000000"/>
        </w:rPr>
        <w:t>乙方</w:t>
      </w:r>
      <w:r>
        <w:rPr>
          <w:sz w:val="24"/>
          <w:color w:val="000000"/>
        </w:rPr>
        <w:t>承担；</w:t>
      </w:r>
    </w:p>
    <w:p>
      <w:pPr>
        <w:pStyle w:val="null3"/>
        <w:spacing w:before="90"/>
        <w:ind w:right="105"/>
      </w:pPr>
      <w:r>
        <w:rPr>
          <w:sz w:val="24"/>
          <w:color w:val="000000"/>
        </w:rPr>
        <w:t>(4)</w:t>
      </w:r>
      <w:r>
        <w:rPr>
          <w:sz w:val="24"/>
          <w:color w:val="000000"/>
        </w:rPr>
        <w:t>如果合同设备运输和安装过程中因事故造成货物短缺、损坏，</w:t>
      </w:r>
      <w:r>
        <w:rPr>
          <w:sz w:val="24"/>
          <w:color w:val="000000"/>
        </w:rPr>
        <w:t>乙方</w:t>
      </w:r>
      <w:r>
        <w:rPr>
          <w:sz w:val="24"/>
          <w:color w:val="000000"/>
        </w:rPr>
        <w:t>应及时安排补货、换货， 以保证合同设备安装的成功完成。换货的相关费用由</w:t>
      </w:r>
      <w:r>
        <w:rPr>
          <w:sz w:val="24"/>
          <w:color w:val="000000"/>
        </w:rPr>
        <w:t>乙方</w:t>
      </w:r>
      <w:r>
        <w:rPr>
          <w:sz w:val="24"/>
          <w:color w:val="000000"/>
        </w:rPr>
        <w:t>承担；</w:t>
      </w:r>
    </w:p>
    <w:p>
      <w:pPr>
        <w:pStyle w:val="null3"/>
      </w:pPr>
      <w:r>
        <w:rPr>
          <w:sz w:val="24"/>
          <w:color w:val="000000"/>
        </w:rPr>
        <w:t>(5)</w:t>
      </w:r>
      <w:r>
        <w:rPr>
          <w:sz w:val="24"/>
          <w:color w:val="000000"/>
        </w:rPr>
        <w:t>乙方</w:t>
      </w:r>
      <w:r>
        <w:rPr>
          <w:sz w:val="24"/>
          <w:color w:val="000000"/>
        </w:rPr>
        <w:t>保证合同项下提供的设备不侵犯任何第三方的专利、商标或版权。否则，</w:t>
      </w:r>
      <w:r>
        <w:rPr>
          <w:sz w:val="24"/>
          <w:color w:val="000000"/>
        </w:rPr>
        <w:t>乙方</w:t>
      </w:r>
      <w:r>
        <w:rPr>
          <w:sz w:val="24"/>
          <w:color w:val="000000"/>
        </w:rPr>
        <w:t>须承担 对第三方的专利或版权的侵权责任并承担因此而发生的所有费用。</w:t>
      </w:r>
    </w:p>
    <w:p>
      <w:pPr>
        <w:pStyle w:val="null3"/>
      </w:pPr>
      <w:r>
        <w:rPr>
          <w:sz w:val="24"/>
          <w:b/>
          <w:color w:val="000000"/>
        </w:rPr>
        <w:t>十三、违约责任与赔偿损失</w:t>
      </w:r>
    </w:p>
    <w:p>
      <w:pPr>
        <w:pStyle w:val="null3"/>
      </w:pPr>
      <w:r>
        <w:rPr>
          <w:sz w:val="24"/>
          <w:color w:val="000000"/>
        </w:rPr>
        <w:t>(</w:t>
      </w:r>
      <w:r>
        <w:rPr>
          <w:sz w:val="24"/>
          <w:color w:val="000000"/>
        </w:rPr>
        <w:t>一)乙方交付的货物、工程/提供的服务不符合招标文件、投标文件或本合同规定的，甲方有权拒收，并且乙方须向甲方支付本合同总价5%的违约金。</w:t>
      </w:r>
    </w:p>
    <w:p>
      <w:pPr>
        <w:pStyle w:val="null3"/>
      </w:pPr>
      <w:r>
        <w:rPr>
          <w:sz w:val="24"/>
          <w:color w:val="000000"/>
        </w:rPr>
        <w:t>(</w:t>
      </w:r>
      <w:r>
        <w:rPr>
          <w:sz w:val="24"/>
          <w:color w:val="000000"/>
        </w:rPr>
        <w:t>二)乙方未能按本合同规定的交货时间交付货物的/提供服务，从逾期之日起每日按本合同总价3‰的数额向甲方支付违约金；逾期15天以上（含15天）的，甲方有权终止合同，要求乙方支付违约金，并且给甲方造成的经济损失由乙方承担赔偿责任。</w:t>
      </w:r>
    </w:p>
    <w:p>
      <w:pPr>
        <w:pStyle w:val="null3"/>
      </w:pPr>
      <w:r>
        <w:rPr>
          <w:sz w:val="24"/>
          <w:color w:val="000000"/>
        </w:rPr>
        <w:t>(</w:t>
      </w:r>
      <w:r>
        <w:rPr>
          <w:sz w:val="24"/>
          <w:color w:val="000000"/>
        </w:rPr>
        <w:t>三)甲方无正当理由拒收货物/接受服务，到期拒付货物/服务款项的，甲方向乙方偿付本合同总价的5%的违约金。甲方逾期付款，则每日按本合同总价的3‰向乙方偿付违约金。</w:t>
      </w:r>
    </w:p>
    <w:p>
      <w:pPr>
        <w:pStyle w:val="null3"/>
      </w:pPr>
      <w:r>
        <w:rPr>
          <w:sz w:val="24"/>
          <w:color w:val="000000"/>
        </w:rPr>
        <w:t>(</w:t>
      </w:r>
      <w:r>
        <w:rPr>
          <w:sz w:val="24"/>
          <w:color w:val="000000"/>
        </w:rPr>
        <w:t>四)其它违约责任按《中华人民共和国民法典》处理。</w:t>
      </w:r>
    </w:p>
    <w:p>
      <w:pPr>
        <w:pStyle w:val="null3"/>
      </w:pPr>
      <w:r>
        <w:rPr>
          <w:sz w:val="24"/>
          <w:b/>
          <w:color w:val="000000"/>
        </w:rPr>
        <w:t>十四、争议的解决</w:t>
      </w:r>
    </w:p>
    <w:p>
      <w:pPr>
        <w:pStyle w:val="null3"/>
      </w:pPr>
      <w:r>
        <w:rPr>
          <w:sz w:val="24"/>
          <w:color w:val="000000"/>
        </w:rPr>
        <w:t>合同执行过程中发生的任何争议，如双方不能通过友好协商解决，甲、乙双方一致同意向甲方所在地人民法院提起诉讼。</w:t>
      </w:r>
    </w:p>
    <w:p>
      <w:pPr>
        <w:pStyle w:val="null3"/>
      </w:pPr>
      <w:r>
        <w:rPr>
          <w:sz w:val="24"/>
          <w:b/>
          <w:color w:val="000000"/>
        </w:rPr>
        <w:t>十五、不可抗力</w:t>
      </w:r>
    </w:p>
    <w:p>
      <w:pPr>
        <w:pStyle w:val="null3"/>
      </w:pPr>
      <w:r>
        <w:rPr>
          <w:sz w:val="24"/>
          <w:color w:val="00000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十六、税费</w:t>
      </w:r>
    </w:p>
    <w:p>
      <w:pPr>
        <w:pStyle w:val="null3"/>
      </w:pPr>
      <w:r>
        <w:rPr>
          <w:sz w:val="24"/>
          <w:color w:val="000000"/>
        </w:rPr>
        <w:t>在中国境内、外发生的与本合同执行有关的一切税费均由乙方负担。</w:t>
      </w:r>
    </w:p>
    <w:p>
      <w:pPr>
        <w:pStyle w:val="null3"/>
      </w:pPr>
      <w:r>
        <w:rPr>
          <w:sz w:val="24"/>
          <w:b/>
          <w:color w:val="000000"/>
        </w:rPr>
        <w:t>十七、其它</w:t>
      </w:r>
    </w:p>
    <w:p>
      <w:pPr>
        <w:pStyle w:val="null3"/>
      </w:pPr>
      <w:r>
        <w:rPr>
          <w:sz w:val="24"/>
          <w:color w:val="000000"/>
        </w:rPr>
        <w:t>(</w:t>
      </w:r>
      <w:r>
        <w:rPr>
          <w:sz w:val="24"/>
          <w:color w:val="000000"/>
        </w:rPr>
        <w:t>一)本合同所有附件、招标文件、投标文件、中标通知书均为合同的有效组成部分，与本合同具有同等法律效力。</w:t>
      </w:r>
    </w:p>
    <w:p>
      <w:pPr>
        <w:pStyle w:val="null3"/>
      </w:pPr>
      <w:r>
        <w:rPr>
          <w:sz w:val="24"/>
          <w:color w:val="000000"/>
        </w:rPr>
        <w:t>(</w:t>
      </w:r>
      <w:r>
        <w:rPr>
          <w:sz w:val="24"/>
          <w:color w:val="000000"/>
        </w:rPr>
        <w:t>二)在执行本合同的过程中，所有经双方签署确认的文件（包括会议纪要、补充协议、往来信函）即成为本合同的有效组成部分。</w:t>
      </w:r>
    </w:p>
    <w:p>
      <w:pPr>
        <w:pStyle w:val="null3"/>
      </w:pPr>
      <w:r>
        <w:rPr>
          <w:sz w:val="24"/>
          <w:color w:val="000000"/>
        </w:rPr>
        <w:t>(</w:t>
      </w:r>
      <w:r>
        <w:rPr>
          <w:sz w:val="24"/>
          <w:color w:val="000000"/>
        </w:rPr>
        <w:t xml:space="preserve">三)如一方地址、电话、传真号码有变更，应在变更当日内书面通知对方，否则，应承担相应责任。 </w:t>
      </w:r>
    </w:p>
    <w:p>
      <w:pPr>
        <w:pStyle w:val="null3"/>
      </w:pPr>
      <w:r>
        <w:rPr>
          <w:sz w:val="24"/>
          <w:color w:val="000000"/>
        </w:rPr>
        <w:t>(</w:t>
      </w:r>
      <w:r>
        <w:rPr>
          <w:sz w:val="24"/>
          <w:color w:val="000000"/>
        </w:rPr>
        <w:t>四)除甲方事先书面同意外，乙方不得部分或全部转让其应履行的合同项下的义务。</w:t>
      </w:r>
    </w:p>
    <w:p>
      <w:pPr>
        <w:pStyle w:val="null3"/>
      </w:pPr>
      <w:r>
        <w:rPr>
          <w:sz w:val="24"/>
          <w:b/>
          <w:color w:val="000000"/>
        </w:rPr>
        <w:t>十八、合同生效</w:t>
      </w:r>
    </w:p>
    <w:p>
      <w:pPr>
        <w:pStyle w:val="null3"/>
      </w:pPr>
      <w:r>
        <w:rPr>
          <w:sz w:val="24"/>
          <w:color w:val="000000"/>
        </w:rPr>
        <w:t>1.</w:t>
      </w:r>
      <w:r>
        <w:rPr>
          <w:sz w:val="24"/>
          <w:color w:val="000000"/>
        </w:rPr>
        <w:t>本合同在甲乙双方法人代表或其授权代表签字盖章后生效。</w:t>
      </w:r>
    </w:p>
    <w:p>
      <w:pPr>
        <w:pStyle w:val="null3"/>
        <w:spacing w:before="0" w:after="0" w:lineRule="auto" w:line="360"/>
        <w:ind w:left="0" w:right="0"/>
        <w:jc w:val="both"/>
      </w:pPr>
      <w:r>
        <w:rPr>
          <w:sz w:val="24"/>
        </w:rPr>
        <w:t>2.</w:t>
      </w:r>
      <w:r>
        <w:rPr>
          <w:sz w:val="24"/>
        </w:rPr>
        <w:t>合同一式</w:t>
      </w:r>
      <w:r>
        <w:rPr>
          <w:sz w:val="24"/>
          <w:u w:val="single"/>
        </w:rPr>
        <w:t xml:space="preserve">    </w:t>
      </w:r>
      <w:r>
        <w:rPr>
          <w:sz w:val="24"/>
        </w:rPr>
        <w:t>份</w:t>
      </w:r>
      <w:r>
        <w:rPr>
          <w:sz w:val="27"/>
        </w:rPr>
        <w:t>。</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440201-2025-00754</w:t>
      </w:r>
    </w:p>
    <w:p>
      <w:pPr>
        <w:pStyle w:val="null3"/>
        <w:jc w:val="center"/>
        <w:outlineLvl w:val="3"/>
      </w:pPr>
      <w:r>
        <w:rPr>
          <w:sz w:val="24"/>
          <w:b/>
        </w:rPr>
        <w:t>采购项目编号：</w:t>
      </w:r>
      <w:r>
        <w:rPr>
          <w:sz w:val="24"/>
          <w:b/>
        </w:rPr>
        <w:t>CLZ0124SG00ZC77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韶关市采联采购招标有限公司</w:t>
      </w:r>
    </w:p>
    <w:p>
      <w:pPr>
        <w:pStyle w:val="null3"/>
        <w:ind w:firstLine="480"/>
      </w:pPr>
      <w:r>
        <w:rPr/>
        <w:t xml:space="preserve"> 你方组织的</w:t>
      </w:r>
      <w:r>
        <w:rPr>
          <w:u w:val="single"/>
        </w:rPr>
        <w:t>“</w:t>
      </w:r>
      <w:r>
        <w:rPr>
          <w:u w:val="single"/>
        </w:rPr>
        <w:t>韶关市职业卫生与健康教育所实验室检测设备采购项目</w:t>
      </w:r>
      <w:r>
        <w:rPr>
          <w:u w:val="single"/>
        </w:rPr>
        <w:t>”</w:t>
      </w:r>
      <w:r>
        <w:rPr/>
        <w:t>项目的招标[采购项目编号为：</w:t>
      </w:r>
      <w:r>
        <w:rPr>
          <w:u w:val="single"/>
        </w:rPr>
        <w:t>CLZ0124SG00ZC77</w:t>
      </w:r>
      <w:r>
        <w:rPr/>
        <w:t>]，我方愿参与投标。</w:t>
      </w:r>
    </w:p>
    <w:p>
      <w:pPr>
        <w:pStyle w:val="null3"/>
        <w:ind w:firstLine="480"/>
      </w:pPr>
      <w:r>
        <w:rPr/>
        <w:t>我方确认收到贵方提供的</w:t>
      </w:r>
      <w:r>
        <w:rPr>
          <w:u w:val="single"/>
        </w:rPr>
        <w:t>“</w:t>
      </w:r>
      <w:r>
        <w:rPr>
          <w:u w:val="single"/>
        </w:rPr>
        <w:t>韶关市职业卫生与健康教育所实验室检测设备采购项目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韶关市采联采购招标有限公司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韶关市职业卫生与健康教育所实验室检测设备采购项目</w:t>
      </w:r>
      <w:r>
        <w:rPr/>
        <w:t>”项目采购[采购项目编号为</w:t>
      </w:r>
      <w:r>
        <w:rPr/>
        <w:t>CLZ0124SG00ZC77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韶关市职业卫生与健康教育所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韶关市采联采购招标有限公司</w:t>
      </w:r>
    </w:p>
    <w:p>
      <w:pPr>
        <w:pStyle w:val="null3"/>
        <w:ind w:firstLine="480"/>
      </w:pPr>
      <w:r>
        <w:rPr/>
        <w:t xml:space="preserve"> 如果我方在贵采购代理机构组织的</w:t>
      </w:r>
      <w:r>
        <w:rPr/>
        <w:t>韶关市职业卫生与健康教育所实验室检测设备采购项目</w:t>
      </w:r>
      <w:r>
        <w:rPr/>
        <w:t>招标中获中标（采购项目编号：</w:t>
      </w:r>
      <w:r>
        <w:rPr/>
        <w:t>CLZ0124SG00ZC77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韶关市采联采购招标有限公司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韶关市采联采购招标有限公司</w:t>
      </w:r>
    </w:p>
    <w:p>
      <w:pPr>
        <w:pStyle w:val="null3"/>
        <w:ind w:firstLine="480"/>
      </w:pPr>
      <w:r>
        <w:rPr/>
        <w:t>我单位已登记并准备参与“</w:t>
      </w:r>
      <w:r>
        <w:rPr/>
        <w:t>韶关市职业卫生与健康教育所实验室检测设备采购项目</w:t>
      </w:r>
      <w:r>
        <w:rPr/>
        <w:t>”项目（采购项目编号：</w:t>
      </w:r>
      <w:r>
        <w:rPr/>
        <w:t>CLZ0124SG00ZC77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