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福州大学高低压环境模拟实验舱等设备采购项目</w:t>
      </w:r>
    </w:p>
    <w:p>
      <w:pPr>
        <w:pStyle w:val="null3"/>
        <w:jc w:val="center"/>
        <w:outlineLvl w:val="2"/>
      </w:pPr>
      <w:r>
        <w:rPr>
          <w:sz w:val="28"/>
          <w:b/>
        </w:rPr>
        <w:t>备案编号：</w:t>
      </w:r>
      <w:r>
        <w:rPr>
          <w:sz w:val="28"/>
          <w:b/>
        </w:rPr>
        <w:t>CGXM-2024-350001-07652[2024]04355</w:t>
      </w:r>
    </w:p>
    <w:p>
      <w:pPr>
        <w:pStyle w:val="null3"/>
        <w:jc w:val="center"/>
        <w:outlineLvl w:val="2"/>
      </w:pPr>
      <w:r>
        <w:rPr>
          <w:sz w:val="28"/>
          <w:b/>
        </w:rPr>
        <w:t>项目编号：</w:t>
      </w:r>
      <w:r>
        <w:rPr>
          <w:sz w:val="28"/>
          <w:b/>
        </w:rPr>
        <w:t>[350001]FJSXZB[GK]2024013</w:t>
      </w:r>
    </w:p>
    <w:p>
      <w:pPr>
        <w:pStyle w:val="null3"/>
        <w:jc w:val="center"/>
        <w:outlineLvl w:val="2"/>
      </w:pPr>
      <w:r>
        <w:rPr>
          <w:sz w:val="28"/>
          <w:b/>
        </w:rPr>
        <w:t>采购人：</w:t>
      </w:r>
      <w:r>
        <w:rPr>
          <w:sz w:val="28"/>
          <w:b/>
        </w:rPr>
        <w:t>福州大学</w:t>
      </w:r>
    </w:p>
    <w:p>
      <w:pPr>
        <w:pStyle w:val="null3"/>
        <w:jc w:val="center"/>
        <w:outlineLvl w:val="2"/>
      </w:pPr>
      <w:r>
        <w:rPr>
          <w:sz w:val="28"/>
          <w:b/>
        </w:rPr>
        <w:t>代理机构：</w:t>
      </w:r>
      <w:r>
        <w:rPr>
          <w:sz w:val="28"/>
          <w:b/>
        </w:rPr>
        <w:t>福建盛鑫招标代理有限公司</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福建盛鑫招标代理有限公司</w:t>
      </w:r>
      <w:r>
        <w:rPr/>
        <w:t xml:space="preserve"> 采用公开招标方式组织 </w:t>
      </w:r>
      <w:r>
        <w:rPr/>
        <w:t>福州大学高低压环境模拟实验舱等设备采购项目</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CGXM-2024-350001-07652[2024]04355</w:t>
      </w:r>
    </w:p>
    <w:p>
      <w:pPr>
        <w:pStyle w:val="null3"/>
        <w:ind w:firstLine="480"/>
        <w:jc w:val="left"/>
        <w:outlineLvl w:val="2"/>
      </w:pPr>
      <w:r>
        <w:rPr>
          <w:sz w:val="28"/>
          <w:b/>
        </w:rPr>
        <w:t>2、项目编号</w:t>
      </w:r>
      <w:r>
        <w:rPr>
          <w:sz w:val="28"/>
          <w:b/>
        </w:rPr>
        <w:t>：</w:t>
      </w:r>
      <w:r>
        <w:rPr>
          <w:sz w:val="28"/>
          <w:b/>
        </w:rPr>
        <w:t>[350001]FJSXZB[GK]2024013</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不适用于本项目</w:t>
      </w:r>
    </w:p>
    <w:p>
      <w:pPr>
        <w:pStyle w:val="null3"/>
        <w:ind w:firstLine="960"/>
        <w:jc w:val="left"/>
      </w:pPr>
      <w:r>
        <w:rPr/>
        <w:t>节能产品：</w:t>
      </w:r>
      <w:r>
        <w:rPr/>
        <w:t>适用于本项目</w:t>
      </w:r>
    </w:p>
    <w:p>
      <w:pPr>
        <w:pStyle w:val="null3"/>
        <w:ind w:firstLine="960"/>
        <w:jc w:val="left"/>
      </w:pPr>
      <w:r>
        <w:rPr/>
        <w:t>环境标志产品：</w:t>
      </w:r>
      <w:r>
        <w:rPr/>
        <w:t>适用于本项目</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jc w:val="left"/>
      </w:pPr>
      <w:r>
        <w:rPr/>
        <w:t>采购包2：设置专门采购包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jc w:val="both"/>
      </w:pPr>
      <w:r>
        <w:rPr/>
        <w:t>采购包2：不接受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福州大学</w:t>
      </w:r>
    </w:p>
    <w:p>
      <w:pPr>
        <w:pStyle w:val="null3"/>
        <w:ind w:firstLine="960"/>
        <w:jc w:val="left"/>
      </w:pPr>
      <w:r>
        <w:rPr/>
        <w:t xml:space="preserve"> 地址： </w:t>
      </w:r>
      <w:r>
        <w:rPr/>
        <w:t>福建省福州市福州地区大学新区学园路2号</w:t>
      </w:r>
    </w:p>
    <w:p>
      <w:pPr>
        <w:pStyle w:val="null3"/>
        <w:jc w:val="left"/>
      </w:pPr>
      <w:r>
        <w:rPr/>
        <w:t xml:space="preserve"> 邮编： </w:t>
      </w:r>
      <w:r>
        <w:rPr/>
        <w:t>350108</w:t>
      </w:r>
    </w:p>
    <w:p>
      <w:pPr>
        <w:pStyle w:val="null3"/>
        <w:jc w:val="left"/>
      </w:pPr>
      <w:r>
        <w:rPr/>
        <w:t xml:space="preserve"> 联系人： </w:t>
      </w:r>
      <w:r>
        <w:rPr/>
        <w:t>陈永煊</w:t>
      </w:r>
    </w:p>
    <w:p>
      <w:pPr>
        <w:pStyle w:val="null3"/>
        <w:jc w:val="left"/>
      </w:pPr>
      <w:r>
        <w:rPr/>
        <w:t xml:space="preserve"> 联系电话： </w:t>
      </w:r>
      <w:r>
        <w:rPr/>
        <w:t>22865917</w:t>
      </w:r>
    </w:p>
    <w:p>
      <w:pPr>
        <w:pStyle w:val="null3"/>
        <w:ind w:firstLine="480"/>
        <w:jc w:val="left"/>
        <w:outlineLvl w:val="2"/>
      </w:pPr>
      <w:r>
        <w:rPr>
          <w:sz w:val="28"/>
          <w:b/>
        </w:rPr>
        <w:t>12、代理机构</w:t>
      </w:r>
      <w:r>
        <w:rPr>
          <w:sz w:val="28"/>
          <w:b/>
        </w:rPr>
        <w:t>：</w:t>
      </w:r>
      <w:r>
        <w:rPr>
          <w:sz w:val="28"/>
          <w:b/>
        </w:rPr>
        <w:t>福建盛鑫招标代理有限公司</w:t>
      </w:r>
    </w:p>
    <w:p>
      <w:pPr>
        <w:pStyle w:val="null3"/>
        <w:ind w:firstLine="960"/>
        <w:jc w:val="both"/>
      </w:pPr>
      <w:r>
        <w:rPr/>
        <w:t xml:space="preserve"> 地址： </w:t>
      </w:r>
      <w:r>
        <w:rPr/>
        <w:t>鼓东街道湖东路79号福建外运大厦七层西区</w:t>
      </w:r>
    </w:p>
    <w:p>
      <w:pPr>
        <w:pStyle w:val="null3"/>
        <w:jc w:val="both"/>
      </w:pPr>
      <w:r>
        <w:rPr/>
        <w:t xml:space="preserve"> 邮编： </w:t>
      </w:r>
      <w:r>
        <w:rPr/>
        <w:t>350001</w:t>
      </w:r>
    </w:p>
    <w:p>
      <w:pPr>
        <w:pStyle w:val="null3"/>
        <w:jc w:val="both"/>
      </w:pPr>
      <w:r>
        <w:rPr/>
        <w:t xml:space="preserve"> 联系人： </w:t>
      </w:r>
      <w:r>
        <w:rPr/>
        <w:t>蓝斌、胡奇龄、林霞、郑淑明</w:t>
      </w:r>
    </w:p>
    <w:p>
      <w:pPr>
        <w:pStyle w:val="null3"/>
        <w:jc w:val="both"/>
      </w:pPr>
      <w:r>
        <w:rPr/>
        <w:t xml:space="preserve"> 联系电话： </w:t>
      </w:r>
      <w:r>
        <w:rPr/>
        <w:t>83508520</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福建盛鑫招标代理有限公司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1,000,000.00</w:t>
      </w:r>
    </w:p>
    <w:p>
      <w:pPr>
        <w:pStyle w:val="null3"/>
        <w:jc w:val="left"/>
      </w:pPr>
      <w:r>
        <w:rPr/>
        <w:t>采购包最高限价（元）: 1,000,000.00</w:t>
      </w:r>
    </w:p>
    <w:p>
      <w:pPr>
        <w:pStyle w:val="null3"/>
        <w:jc w:val="left"/>
      </w:pPr>
      <w:r>
        <w:rPr/>
        <w:t>采购包保证金金额（元）: 10,000.00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高低压环境模拟实验舱</w:t>
            </w:r>
          </w:p>
        </w:tc>
        <w:tc>
          <w:tcPr>
            <w:tcW w:type="dxa" w:w="1187"/>
          </w:tcPr>
          <w:p>
            <w:pPr>
              <w:pStyle w:val="null3"/>
              <w:jc w:val="right"/>
            </w:pPr>
            <w:r>
              <w:rPr/>
              <w:t>1.00</w:t>
            </w:r>
          </w:p>
        </w:tc>
        <w:tc>
          <w:tcPr>
            <w:tcW w:type="dxa" w:w="1187"/>
          </w:tcPr>
          <w:p>
            <w:pPr>
              <w:pStyle w:val="null3"/>
              <w:jc w:val="right"/>
            </w:pPr>
            <w:r>
              <w:rPr/>
              <w:t>1,000,000.00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采购包2：</w:t>
      </w:r>
    </w:p>
    <w:p>
      <w:pPr>
        <w:pStyle w:val="null3"/>
        <w:jc w:val="left"/>
      </w:pPr>
      <w:r>
        <w:rPr/>
        <w:t>采购包预算金额（元）: 500,000.00</w:t>
      </w:r>
    </w:p>
    <w:p>
      <w:pPr>
        <w:pStyle w:val="null3"/>
        <w:jc w:val="left"/>
      </w:pPr>
      <w:r>
        <w:rPr/>
        <w:t>采购包最高限价（元）: 500,000.00</w:t>
      </w:r>
    </w:p>
    <w:p>
      <w:pPr>
        <w:pStyle w:val="null3"/>
        <w:jc w:val="left"/>
      </w:pPr>
      <w:r>
        <w:rPr/>
        <w:t>采购包保证金金额（元）: 5,000.00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霍普金森压杆装置</w:t>
            </w:r>
          </w:p>
        </w:tc>
        <w:tc>
          <w:tcPr>
            <w:tcW w:type="dxa" w:w="1187"/>
          </w:tcPr>
          <w:p>
            <w:pPr>
              <w:pStyle w:val="null3"/>
              <w:jc w:val="right"/>
            </w:pPr>
            <w:r>
              <w:rPr/>
              <w:t>1.00</w:t>
            </w:r>
          </w:p>
        </w:tc>
        <w:tc>
          <w:tcPr>
            <w:tcW w:type="dxa" w:w="1187"/>
          </w:tcPr>
          <w:p>
            <w:pPr>
              <w:pStyle w:val="null3"/>
              <w:jc w:val="right"/>
            </w:pPr>
            <w:r>
              <w:rPr/>
              <w:t>500,000.00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高低压环境模拟实验舱</w:t>
            </w:r>
          </w:p>
        </w:tc>
        <w:tc>
          <w:tcPr>
            <w:tcW w:type="dxa" w:w="554"/>
          </w:tcPr>
          <w:p>
            <w:pPr>
              <w:pStyle w:val="null3"/>
              <w:jc w:val="left"/>
            </w:pPr>
            <w:r>
              <w:rPr/>
              <w:t>套</w:t>
            </w:r>
          </w:p>
        </w:tc>
        <w:tc>
          <w:tcPr>
            <w:tcW w:type="dxa" w:w="554"/>
          </w:tcPr>
          <w:p>
            <w:pPr>
              <w:pStyle w:val="null3"/>
              <w:jc w:val="left"/>
            </w:pPr>
            <w:r>
              <w:rPr/>
              <w:t>元</w:t>
            </w:r>
          </w:p>
        </w:tc>
        <w:tc>
          <w:tcPr>
            <w:tcW w:type="dxa" w:w="1384"/>
          </w:tcPr>
          <w:p>
            <w:pPr>
              <w:pStyle w:val="null3"/>
              <w:jc w:val="right"/>
            </w:pPr>
            <w:r>
              <w:rPr/>
              <w:t>1,000,000.00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高低压环境模拟实验舱</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高低压环境模拟实验舱</w:t>
            </w:r>
          </w:p>
        </w:tc>
        <w:tc>
          <w:tcPr>
            <w:tcW w:type="dxa" w:w="2076"/>
          </w:tcPr>
          <w:p>
            <w:pPr>
              <w:pStyle w:val="null3"/>
              <w:jc w:val="left"/>
            </w:pPr>
            <w:r>
              <w:rPr/>
              <w:t>高低压环境模拟实验舱</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1,000,000.00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采购包2：</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霍普金森压杆装置</w:t>
            </w:r>
          </w:p>
        </w:tc>
        <w:tc>
          <w:tcPr>
            <w:tcW w:type="dxa" w:w="554"/>
          </w:tcPr>
          <w:p>
            <w:pPr>
              <w:pStyle w:val="null3"/>
              <w:jc w:val="left"/>
            </w:pPr>
            <w:r>
              <w:rPr/>
              <w:t>套</w:t>
            </w:r>
          </w:p>
        </w:tc>
        <w:tc>
          <w:tcPr>
            <w:tcW w:type="dxa" w:w="554"/>
          </w:tcPr>
          <w:p>
            <w:pPr>
              <w:pStyle w:val="null3"/>
              <w:jc w:val="left"/>
            </w:pPr>
            <w:r>
              <w:rPr/>
              <w:t>元</w:t>
            </w:r>
          </w:p>
        </w:tc>
        <w:tc>
          <w:tcPr>
            <w:tcW w:type="dxa" w:w="1384"/>
          </w:tcPr>
          <w:p>
            <w:pPr>
              <w:pStyle w:val="null3"/>
              <w:jc w:val="right"/>
            </w:pPr>
            <w:r>
              <w:rPr/>
              <w:t>500,000.00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霍普金森压杆装置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霍普金森压杆装置</w:t>
            </w:r>
          </w:p>
        </w:tc>
        <w:tc>
          <w:tcPr>
            <w:tcW w:type="dxa" w:w="2076"/>
          </w:tcPr>
          <w:p>
            <w:pPr>
              <w:pStyle w:val="null3"/>
              <w:jc w:val="left"/>
            </w:pPr>
            <w:r>
              <w:rPr/>
              <w:t>霍普金森压杆装置</w:t>
            </w:r>
          </w:p>
        </w:tc>
        <w:tc>
          <w:tcPr>
            <w:tcW w:type="dxa" w:w="415"/>
          </w:tcPr>
          <w:p>
            <w:pPr>
              <w:pStyle w:val="null3"/>
              <w:jc w:val="left"/>
            </w:pPr>
            <w:r>
              <w:rPr/>
              <w:t>套</w:t>
            </w:r>
          </w:p>
        </w:tc>
        <w:tc>
          <w:tcPr>
            <w:tcW w:type="dxa" w:w="415"/>
          </w:tcPr>
          <w:p>
            <w:pPr>
              <w:pStyle w:val="null3"/>
              <w:jc w:val="left"/>
            </w:pPr>
            <w:r>
              <w:rPr/>
              <w:t>元</w:t>
            </w:r>
          </w:p>
        </w:tc>
        <w:tc>
          <w:tcPr>
            <w:tcW w:type="dxa" w:w="831"/>
          </w:tcPr>
          <w:p>
            <w:pPr>
              <w:pStyle w:val="null3"/>
              <w:jc w:val="right"/>
            </w:pPr>
            <w:r>
              <w:rPr/>
              <w:t>500,000.00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p>
            <w:pPr>
              <w:pStyle w:val="null3"/>
              <w:jc w:val="left"/>
            </w:pPr>
            <w:r>
              <w:rPr/>
              <w:t>采购包2：不组织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p>
            <w:pPr>
              <w:pStyle w:val="null3"/>
              <w:jc w:val="left"/>
            </w:pPr>
            <w:r>
              <w:rPr/>
              <w:t>采购包2：不允许合同分包；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p>
            <w:pPr>
              <w:pStyle w:val="null3"/>
              <w:jc w:val="left"/>
            </w:pPr>
            <w:r>
              <w:rPr/>
              <w:t>采购包2：1名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投标人评标总得分（FA）且评标价（即价格扣除后的投标报价）相同的并列，则按“技术部分”的得分从高到低排序推荐中标候选人；若投标人的评标总得分（FA）且评标价（即价格扣除后的投标报价）相同、技术部分得分均相同的，则按“商务部分”的得分从高到低排序推荐中标候选人；若投标人的评标总得分（FA）且评标价（即价格扣除后的投标报价）相同、技术部分、商务部分得分均相同的，则评标委员会在有关监督人员的监督下通过随机抽签的形式，确定他们之间的排名顺序</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p>
            <w:pPr>
              <w:pStyle w:val="null3"/>
              <w:jc w:val="left"/>
            </w:pPr>
            <w:r>
              <w:rPr/>
              <w:t>采购包2：1名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福建盛鑫招标代理有限公司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福建省财政厅政府采购监督管理办公室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招标代理服务费按照以下标准的80%执行，采用差额定率累进法计算后向中标人收取。中标人应在领取中标通知书前以现金、转帐、电汇等付款方式一次性向招标代理机构缴纳代理服务费。代理服务费支付至以下账户：开户名：福建盛鑫招标代理有限公司；开户行：中信银行福州分行；账号：7341 0101 826 0022 7015。 招标代理服务费收费标准: 中标（成交）金额人民币100万元以下 采购费率1.5%；100-500万元 采购费率1.1%。</w:t>
            </w:r>
          </w:p>
          <w:p>
            <w:pPr>
              <w:pStyle w:val="null3"/>
              <w:jc w:val="left"/>
            </w:pPr>
            <w:r>
              <w:rPr/>
              <w:t xml:space="preserve"> (2)其他：</w:t>
            </w:r>
          </w:p>
          <w:p>
            <w:pPr>
              <w:pStyle w:val="null3"/>
              <w:jc w:val="left"/>
            </w:pPr>
            <w:r>
              <w:rPr/>
              <w:t>（1）无效标条款： 以下为可能导致投标无效的条款，具体内容详见招标文件各章节，请各投标人认真查看对照。 ①投标有效期不符合招标文件第二章投标人须知前附表中表1第4项号规定的； ②出现招标文件第二章投标人须知前附表中表2“关于电子招标投标活动的专门规定”中投标无效规定的； ③出现招标文件第三章投标人须知第9项、第10.6项、第10.8项、第10.9项、第10.12项条款中投标无效规定的； ④出现招标文件第四章资格审查与评标第1.4项、第6.2项、第6.3项、第6.4项、第6.7项、第6.9项、第7项、第8.3项条款中投标无效规定的； ⑤出现招标文件第五章招标内容及要求中投标无效规定或“★”标示的内容为负偏离的。（2）质疑受理的其他要求： ①质疑人为法人或其他组织的，质疑函需加盖质疑人单位公章；若本项目接受自然人投标且质疑人为自然人的，质疑函需质疑人本人签名。否则质疑将不予受理。 ②在法定质疑期内质疑人须一次性提出针对同一采购程序环节的质疑，二（多）次质疑不予受理。 ③质疑人在递交质疑函时除应提供本招标文件规定的相关材料外，还须提供质疑人已在福建省政府采购网上公开信息系统上获取招标文件的证明文件（体现查看时间或获取招标文件时间，查看时间或获取招标文件时间以福建省政府采购网上公开信息系统记载为准。），否则递交的质疑函将不予受理。</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 xml:space="preserve">招标文件的质疑 （1）潜在投标人可在质疑时效期间内对招标文件以书面形式提出质疑。 （2）质疑时效期间：应在依法获取招标文件之日起7个工作日内向{代理机构}提出，依法获取招标文件的时间以福建省政府采购网上公开信息系统记载的为准。 ※除上述规定外，对招标文件提出的质疑还应符合招标文件第三章第15.1条的有关规定。 </w:t>
            </w:r>
            <w:r>
              <w:rPr/>
              <w:t xml:space="preserve"> 的内容修正为下列内容：</w:t>
            </w:r>
          </w:p>
          <w:p>
            <w:pPr>
              <w:pStyle w:val="null3"/>
              <w:jc w:val="left"/>
            </w:pPr>
            <w:r>
              <w:rPr/>
              <w:t>（1）潜在投标人可在质疑时效期间内对招标文件以书面形式提出质疑。（2）质疑时效期间：①在招标文件公告期限内：自招标文件首次下载之日起7个工作日内向福建盛鑫招标代理有限公司提出，招标文件公告期限、首次下载之日均以福建省政府采购网上公开信息系统记载的为准。②在招标文件公告期限截止后至招标文件提供期限届满前的期间内：自招标文件公告期限届满之日起7个工作日内向福建盛鑫招标代理有限公司提出，招标文件公告期限、招标文件提供期限均以福建省政府采购网上公开信息系统记载的为准。</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福建盛鑫招标代理有限公司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福建盛鑫招标代理有限公司</w:t>
      </w:r>
      <w:r>
        <w:rPr/>
        <w:t xml:space="preserve"> 将在投标截止时间至少15个日历日前，在招标文件载明的指定媒体以更正公告的形式发布澄清或修改的内容。不足15个日历日的， </w:t>
      </w:r>
      <w:r>
        <w:rPr/>
        <w:t>福建盛鑫招标代理有限公司</w:t>
      </w:r>
      <w:r>
        <w:rPr/>
        <w:t xml:space="preserve"> 将顺延投标截止时间及开标时间， </w:t>
      </w:r>
      <w:r>
        <w:rPr/>
        <w:t>福建盛鑫招标代理有限公司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福建盛鑫招标代理有限公司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福建盛鑫招标代理有限公司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福建盛鑫招标代理有限公司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福建盛鑫招标代理有限公司</w:t>
      </w:r>
      <w:r>
        <w:rPr/>
        <w:t xml:space="preserve"> 可终止招标并发布终止公告。</w:t>
      </w:r>
    </w:p>
    <w:p>
      <w:pPr>
        <w:pStyle w:val="null3"/>
        <w:ind w:firstLine="480"/>
        <w:jc w:val="both"/>
      </w:pPr>
      <w:r>
        <w:rPr/>
        <w:t xml:space="preserve">8.2终止公告作为 </w:t>
      </w:r>
      <w:r>
        <w:rPr/>
        <w:t>福建盛鑫招标代理有限公司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福建盛鑫招标代理有限公司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福建盛鑫招标代理有限公司</w:t>
      </w:r>
      <w:r>
        <w:rPr/>
        <w:t xml:space="preserve"> 可于投标有效期届满之前书面要求投标人延长投标有效期，投标人应在 </w:t>
      </w:r>
      <w:r>
        <w:rPr/>
        <w:t>福建盛鑫招标代理有限公司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福建盛鑫招标代理有限公司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福建盛鑫招标代理有限公司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福建盛鑫招标代理有限公司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福建盛鑫招标代理有限公司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福建盛鑫招标代理有限公司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福建盛鑫招标代理有限公司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福建盛鑫招标代理有限公司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福建盛鑫招标代理有限公司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福建盛鑫招标代理有限公司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福建盛鑫招标代理有限公司</w:t>
      </w:r>
      <w:r>
        <w:rPr/>
        <w:t xml:space="preserve"> 提出询问， </w:t>
      </w:r>
      <w:r>
        <w:rPr/>
        <w:t>福建盛鑫招标代理有限公司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福建盛鑫招标代理有限公司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福建盛鑫招标代理有限公司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由福建盛鑫招标代理有限公司派出的工作人员至少1人，</w:t>
      </w:r>
      <w:r>
        <w:rPr/>
        <w:t>其余1人可为采购人代表或福建盛鑫招标代理有限公司的工作人员。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jc w:val="both"/>
      </w:pPr>
      <w:r>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jc w:val="left"/>
      </w:pPr>
      <w:r>
        <w:rPr/>
        <w:t>采购包2：</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福建盛鑫招标代理有限公司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福建盛鑫招标代理有限公司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福建盛鑫招标代理有限公司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福建盛鑫招标代理有限公司</w:t>
      </w:r>
      <w:r>
        <w:rPr/>
        <w:t xml:space="preserve"> 统一对外发布。</w:t>
      </w:r>
    </w:p>
    <w:p>
      <w:pPr>
        <w:pStyle w:val="null3"/>
        <w:ind w:firstLine="480"/>
        <w:jc w:val="both"/>
      </w:pPr>
      <w:r>
        <w:rPr/>
        <w:t xml:space="preserve">②对 </w:t>
      </w:r>
      <w:r>
        <w:rPr/>
        <w:t>福建盛鑫招标代理有限公司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技术符合性：无</w:t>
      </w:r>
    </w:p>
    <w:p>
      <w:pPr>
        <w:pStyle w:val="null3"/>
        <w:jc w:val="left"/>
      </w:pPr>
      <w:r>
        <w:rPr/>
        <w:t>商务符合性：无</w:t>
      </w:r>
    </w:p>
    <w:p>
      <w:pPr>
        <w:pStyle w:val="null3"/>
        <w:jc w:val="left"/>
      </w:pPr>
      <w:r>
        <w:rPr/>
        <w:t>附加符合性：无</w:t>
      </w:r>
    </w:p>
    <w:p>
      <w:pPr>
        <w:pStyle w:val="null3"/>
        <w:jc w:val="left"/>
      </w:pPr>
      <w:r>
        <w:rPr/>
        <w:t>价格符合性：无</w:t>
      </w:r>
    </w:p>
    <w:p>
      <w:pPr>
        <w:pStyle w:val="null3"/>
        <w:jc w:val="left"/>
      </w:pPr>
      <w:r>
        <w:rPr/>
        <w:t>采购包2：</w:t>
      </w:r>
    </w:p>
    <w:p>
      <w:pPr>
        <w:pStyle w:val="null3"/>
        <w:jc w:val="left"/>
      </w:pPr>
      <w:r>
        <w:rPr/>
        <w:t>技术符合性：无</w:t>
      </w:r>
    </w:p>
    <w:p>
      <w:pPr>
        <w:pStyle w:val="null3"/>
        <w:jc w:val="left"/>
      </w:pPr>
      <w:r>
        <w:rPr/>
        <w:t>商务符合性：无</w:t>
      </w:r>
    </w:p>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福建盛鑫招标代理有限公司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jc w:val="both"/>
      </w:pPr>
      <w:r>
        <w:rPr/>
        <w:t>采购包2：综合评分法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1、同一采购包内，对节能产品、环境标志产品政府采购品目清单范围内，实施优先采购的产品，给予产品价格报价10%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pPr>
        <w:pStyle w:val="null3"/>
        <w:jc w:val="both"/>
      </w:pPr>
      <w:r>
        <w:rPr/>
        <w:t>其他：无</w:t>
      </w:r>
    </w:p>
    <w:p>
      <w:pPr>
        <w:pStyle w:val="null3"/>
        <w:jc w:val="both"/>
      </w:pPr>
      <w:r>
        <w:rPr/>
        <w:t>技术项（F2×A2）满分为60.0000分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技术响应情况</w:t>
            </w:r>
          </w:p>
        </w:tc>
        <w:tc>
          <w:tcPr>
            <w:tcW w:type="dxa" w:w="831"/>
          </w:tcPr>
          <w:p>
            <w:pPr>
              <w:pStyle w:val="null3"/>
              <w:jc w:val="right"/>
            </w:pPr>
            <w:r>
              <w:rPr/>
              <w:t>51.3000</w:t>
            </w:r>
          </w:p>
        </w:tc>
        <w:tc>
          <w:tcPr>
            <w:tcW w:type="dxa" w:w="4153"/>
          </w:tcPr>
          <w:p>
            <w:pPr>
              <w:pStyle w:val="null3"/>
              <w:jc w:val="both"/>
            </w:pPr>
            <w:r>
              <w:rPr/>
              <w:t>根据各投标人所投产品对第五章《招标内容及要求》“二、技术和服务要求”的各项要求的响应、承诺情况，由评委进行评议打分，投标人所投产品的技术参数完全满足招标文件要求的得51.3分；技术参数指标（共计19项）每负偏离或不响应一项扣2.7分，计51.3分，正偏离不加分，以序号最末一级计算项数。</w:t>
            </w:r>
          </w:p>
        </w:tc>
      </w:tr>
      <w:tr>
        <w:tc>
          <w:tcPr>
            <w:tcW w:type="dxa" w:w="3322"/>
          </w:tcPr>
          <w:p>
            <w:pPr>
              <w:pStyle w:val="null3"/>
              <w:jc w:val="both"/>
            </w:pPr>
            <w:r>
              <w:rPr/>
              <w:t>产品彩页资料</w:t>
            </w:r>
          </w:p>
        </w:tc>
        <w:tc>
          <w:tcPr>
            <w:tcW w:type="dxa" w:w="831"/>
          </w:tcPr>
          <w:p>
            <w:pPr>
              <w:pStyle w:val="null3"/>
              <w:jc w:val="right"/>
            </w:pPr>
            <w:r>
              <w:rPr/>
              <w:t>2.7000</w:t>
            </w:r>
          </w:p>
        </w:tc>
        <w:tc>
          <w:tcPr>
            <w:tcW w:type="dxa" w:w="4153"/>
          </w:tcPr>
          <w:p>
            <w:pPr>
              <w:pStyle w:val="null3"/>
              <w:jc w:val="both"/>
            </w:pPr>
            <w:r>
              <w:rPr/>
              <w:t>根据投标人所提供的技术说明材料、彩页资料等能充分佐证所投设备的技术参数及功能的得2.7分； 仅能部分佐证所投设备的技术参数及功能的得1分； 未提供彩页资料，或不能佐证所投设备技术参数及功能的得0分。</w:t>
            </w:r>
          </w:p>
        </w:tc>
      </w:tr>
      <w:tr>
        <w:tc>
          <w:tcPr>
            <w:tcW w:type="dxa" w:w="3322"/>
          </w:tcPr>
          <w:p>
            <w:pPr>
              <w:pStyle w:val="null3"/>
              <w:jc w:val="both"/>
            </w:pPr>
            <w:r>
              <w:rPr/>
              <w:t>投标产品的主要件和关键件配置情况</w:t>
            </w:r>
          </w:p>
        </w:tc>
        <w:tc>
          <w:tcPr>
            <w:tcW w:type="dxa" w:w="831"/>
          </w:tcPr>
          <w:p>
            <w:pPr>
              <w:pStyle w:val="null3"/>
              <w:jc w:val="right"/>
            </w:pPr>
            <w:r>
              <w:rPr/>
              <w:t>3.0000</w:t>
            </w:r>
          </w:p>
        </w:tc>
        <w:tc>
          <w:tcPr>
            <w:tcW w:type="dxa" w:w="4153"/>
          </w:tcPr>
          <w:p>
            <w:pPr>
              <w:pStyle w:val="null3"/>
              <w:jc w:val="both"/>
            </w:pPr>
            <w:r>
              <w:rPr/>
              <w:t>投标产品的主要件和关键件配置情况（包括名称、数量、原产地，以下同）：提供的主要件和关键件清单详细、合理、齐全，且满足招标文件要求的各项配置、符合该产品的实际配置情况的得3分； 有提供主要件和关键件清单较为详细、合理，且满足招标文件的基本要求的得2.5分；存在缺项得2分。</w:t>
            </w:r>
          </w:p>
        </w:tc>
      </w:tr>
      <w:tr>
        <w:tc>
          <w:tcPr>
            <w:tcW w:type="dxa" w:w="3322"/>
          </w:tcPr>
          <w:p>
            <w:pPr>
              <w:pStyle w:val="null3"/>
              <w:jc w:val="both"/>
            </w:pPr>
            <w:r>
              <w:rPr/>
              <w:t>产品质量保障以及供货保障</w:t>
            </w:r>
          </w:p>
        </w:tc>
        <w:tc>
          <w:tcPr>
            <w:tcW w:type="dxa" w:w="831"/>
          </w:tcPr>
          <w:p>
            <w:pPr>
              <w:pStyle w:val="null3"/>
              <w:jc w:val="right"/>
            </w:pPr>
            <w:r>
              <w:rPr/>
              <w:t>3.0000</w:t>
            </w:r>
          </w:p>
        </w:tc>
        <w:tc>
          <w:tcPr>
            <w:tcW w:type="dxa" w:w="4153"/>
          </w:tcPr>
          <w:p>
            <w:pPr>
              <w:pStyle w:val="null3"/>
              <w:jc w:val="both"/>
            </w:pPr>
            <w:r>
              <w:rPr/>
              <w:t>根据各投标人所投产品质量保障以及供货保障方案（包括但不限于：货物保证、货物检验、货物来源）由评委进行评分：方案在满足基本要求基础上增加有利于项目实施方案内容得3分，只满足基本要求得2.5分，未完全响应基本要求，存在缺项得2分，未提供本项不得分。</w:t>
            </w:r>
          </w:p>
        </w:tc>
      </w:tr>
    </w:tbl>
    <w:p>
      <w:pPr>
        <w:pStyle w:val="null3"/>
        <w:jc w:val="both"/>
      </w:pPr>
      <w:r>
        <w:rPr/>
        <w:t>商务项（F3×A3）满分为10.0000分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业绩</w:t>
            </w:r>
          </w:p>
        </w:tc>
        <w:tc>
          <w:tcPr>
            <w:tcW w:type="dxa" w:w="831"/>
          </w:tcPr>
          <w:p>
            <w:pPr>
              <w:pStyle w:val="null3"/>
              <w:jc w:val="right"/>
            </w:pPr>
            <w:r>
              <w:rPr/>
              <w:t>2.0000</w:t>
            </w:r>
          </w:p>
        </w:tc>
        <w:tc>
          <w:tcPr>
            <w:tcW w:type="dxa" w:w="4153"/>
          </w:tcPr>
          <w:p>
            <w:pPr>
              <w:pStyle w:val="null3"/>
              <w:jc w:val="both"/>
            </w:pPr>
            <w:r>
              <w:rPr/>
              <w:t>根据投标人所提供的自2021年1月1日至本项目投标截止日期止（日期以合同为准）与本次招标同类产品业绩情况进行打分，每提供一份合格的业绩得1分，满分2分。投标人需同时提供该业绩项目的中标公告（提供相关网站中标公告的下载网页并注明网址）、中标通知书复印件、采购合同文本复印件（或提供相关网站采购合同的下载网页并注明网址）、能够证明该业绩项目已经采购人验收合格的项目证明文件复印件，所有材料缺一不可，否则不得分。</w:t>
            </w:r>
          </w:p>
        </w:tc>
      </w:tr>
      <w:tr>
        <w:tc>
          <w:tcPr>
            <w:tcW w:type="dxa" w:w="3322"/>
          </w:tcPr>
          <w:p>
            <w:pPr>
              <w:pStyle w:val="null3"/>
              <w:jc w:val="both"/>
            </w:pPr>
            <w:r>
              <w:rPr/>
              <w:t>售后服务情况</w:t>
            </w:r>
          </w:p>
        </w:tc>
        <w:tc>
          <w:tcPr>
            <w:tcW w:type="dxa" w:w="831"/>
          </w:tcPr>
          <w:p>
            <w:pPr>
              <w:pStyle w:val="null3"/>
              <w:jc w:val="right"/>
            </w:pPr>
            <w:r>
              <w:rPr/>
              <w:t>3.0000</w:t>
            </w:r>
          </w:p>
        </w:tc>
        <w:tc>
          <w:tcPr>
            <w:tcW w:type="dxa" w:w="4153"/>
          </w:tcPr>
          <w:p>
            <w:pPr>
              <w:pStyle w:val="null3"/>
              <w:jc w:val="both"/>
            </w:pPr>
            <w:r>
              <w:rPr/>
              <w:t>根据投标人提供的售后服务承诺方案（包括下述三个方面的内容：售后服务内容（除质保期）、故障响应时间、响应方式）进行评分：①方案包含的要点齐全无缺漏项、内容与要点相符、内容完善且能够适用于本项目的得3分；②方案所包含的要点齐全、内容与要点相符，但仅有纲要内容简略，未展开阐述的得2.8分；③方案所包含的要点有缺漏的得2.5分；④未提供或内容有错误的不得分。</w:t>
            </w:r>
          </w:p>
        </w:tc>
      </w:tr>
      <w:tr>
        <w:tc>
          <w:tcPr>
            <w:tcW w:type="dxa" w:w="3322"/>
          </w:tcPr>
          <w:p>
            <w:pPr>
              <w:pStyle w:val="null3"/>
              <w:jc w:val="both"/>
            </w:pPr>
            <w:r>
              <w:rPr/>
              <w:t>培训计划</w:t>
            </w:r>
          </w:p>
        </w:tc>
        <w:tc>
          <w:tcPr>
            <w:tcW w:type="dxa" w:w="831"/>
          </w:tcPr>
          <w:p>
            <w:pPr>
              <w:pStyle w:val="null3"/>
              <w:jc w:val="right"/>
            </w:pPr>
            <w:r>
              <w:rPr/>
              <w:t>3.0000</w:t>
            </w:r>
          </w:p>
        </w:tc>
        <w:tc>
          <w:tcPr>
            <w:tcW w:type="dxa" w:w="4153"/>
          </w:tcPr>
          <w:p>
            <w:pPr>
              <w:pStyle w:val="null3"/>
              <w:jc w:val="both"/>
            </w:pPr>
            <w:r>
              <w:rPr/>
              <w:t>根据投标人提供完整的人员技术培训方案（包括下述两个方面的内容：技术培训计划内容、培训时间地点）进行评分：①方案包含的要点齐全无缺漏项、内容与要点相符、内容完善且能够适用于本项目的得3分；②方案所包含的要点齐全、内容与要点相符，但仅有纲要内容简略，未展开阐述的得2.8分；③方案所包含的要点有缺漏的得2.5分；④未提供或内容存在错误的不得分。</w:t>
            </w:r>
          </w:p>
        </w:tc>
      </w:tr>
      <w:tr>
        <w:tc>
          <w:tcPr>
            <w:tcW w:type="dxa" w:w="3322"/>
          </w:tcPr>
          <w:p>
            <w:pPr>
              <w:pStyle w:val="null3"/>
              <w:jc w:val="both"/>
            </w:pPr>
            <w:r>
              <w:rPr/>
              <w:t>质保期承诺</w:t>
            </w:r>
          </w:p>
        </w:tc>
        <w:tc>
          <w:tcPr>
            <w:tcW w:type="dxa" w:w="831"/>
          </w:tcPr>
          <w:p>
            <w:pPr>
              <w:pStyle w:val="null3"/>
              <w:jc w:val="right"/>
            </w:pPr>
            <w:r>
              <w:rPr/>
              <w:t>2.0000</w:t>
            </w:r>
          </w:p>
        </w:tc>
        <w:tc>
          <w:tcPr>
            <w:tcW w:type="dxa" w:w="4153"/>
          </w:tcPr>
          <w:p>
            <w:pPr>
              <w:pStyle w:val="null3"/>
              <w:jc w:val="both"/>
            </w:pPr>
            <w:r>
              <w:rPr/>
              <w:t>根据各投标人的质保期时间承诺:满足招标文件要求的不得分，在不增加费用的情况下免费保修期（针对整个合同包所有货物及系统的免费保修期延长）每增加一年加1分，满分2分；未提供明确的质保期承诺的视同响应招标文件要求但本项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jc w:val="both"/>
      </w:pPr>
      <w:r>
        <w:rPr/>
        <w:t>采购包2：综合评分法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价格项（F1×A1）满分为60.0000分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10.0000%</w:t>
            </w:r>
          </w:p>
        </w:tc>
        <w:tc>
          <w:tcPr>
            <w:tcW w:type="dxa" w:w="5191"/>
          </w:tcPr>
          <w:p>
            <w:pPr>
              <w:pStyle w:val="null3"/>
              <w:jc w:val="both"/>
            </w:pPr>
            <w:r>
              <w:rPr/>
              <w:t>1、同一采购包内，对节能产品、环境标志产品政府采购品目清单范围内，实施优先采购的产品，给予产品价格报价10%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pPr>
        <w:pStyle w:val="null3"/>
        <w:jc w:val="both"/>
      </w:pPr>
      <w:r>
        <w:rPr/>
        <w:t>其他：无</w:t>
      </w:r>
    </w:p>
    <w:p>
      <w:pPr>
        <w:pStyle w:val="null3"/>
        <w:jc w:val="both"/>
      </w:pPr>
      <w:r>
        <w:rPr/>
        <w:t>技术项（F2×A2）满分为30.0000分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技术响应情况</w:t>
            </w:r>
          </w:p>
        </w:tc>
        <w:tc>
          <w:tcPr>
            <w:tcW w:type="dxa" w:w="831"/>
          </w:tcPr>
          <w:p>
            <w:pPr>
              <w:pStyle w:val="null3"/>
              <w:jc w:val="right"/>
            </w:pPr>
            <w:r>
              <w:rPr/>
              <w:t>21.0000</w:t>
            </w:r>
          </w:p>
        </w:tc>
        <w:tc>
          <w:tcPr>
            <w:tcW w:type="dxa" w:w="4153"/>
          </w:tcPr>
          <w:p>
            <w:pPr>
              <w:pStyle w:val="null3"/>
              <w:jc w:val="both"/>
            </w:pPr>
            <w:r>
              <w:rPr/>
              <w:t>根据各投标人所投产品对第五章《招标内容及要求》“二、技术和服务要求”的各项要求的响应、承诺情况，由评委进行评议打分，投标人所投产品的技术参数完全满足招标文件要求的得21分；技术参数指标（共计7项）每负偏离或不响应一项扣3分，计21分，正偏离不加分，以序号最末一级计算项数。</w:t>
            </w:r>
          </w:p>
        </w:tc>
      </w:tr>
      <w:tr>
        <w:tc>
          <w:tcPr>
            <w:tcW w:type="dxa" w:w="3322"/>
          </w:tcPr>
          <w:p>
            <w:pPr>
              <w:pStyle w:val="null3"/>
              <w:jc w:val="both"/>
            </w:pPr>
            <w:r>
              <w:rPr/>
              <w:t>产品彩页资料</w:t>
            </w:r>
          </w:p>
        </w:tc>
        <w:tc>
          <w:tcPr>
            <w:tcW w:type="dxa" w:w="831"/>
          </w:tcPr>
          <w:p>
            <w:pPr>
              <w:pStyle w:val="null3"/>
              <w:jc w:val="right"/>
            </w:pPr>
            <w:r>
              <w:rPr/>
              <w:t>3.0000</w:t>
            </w:r>
          </w:p>
        </w:tc>
        <w:tc>
          <w:tcPr>
            <w:tcW w:type="dxa" w:w="4153"/>
          </w:tcPr>
          <w:p>
            <w:pPr>
              <w:pStyle w:val="null3"/>
              <w:jc w:val="both"/>
            </w:pPr>
            <w:r>
              <w:rPr/>
              <w:t>根据投标人所提供的技术说明材料、彩页资料等能充分佐证所投设备的技术参数及功能的得3分； 仅能部分佐证所投设备的技术参数及功能的得1.5分； 未提供彩页资料，或不能佐证所投设备技术参数及功能的得0分。</w:t>
            </w:r>
          </w:p>
        </w:tc>
      </w:tr>
      <w:tr>
        <w:tc>
          <w:tcPr>
            <w:tcW w:type="dxa" w:w="3322"/>
          </w:tcPr>
          <w:p>
            <w:pPr>
              <w:pStyle w:val="null3"/>
              <w:jc w:val="both"/>
            </w:pPr>
            <w:r>
              <w:rPr/>
              <w:t>投标产品的主要件和关键件配置情况</w:t>
            </w:r>
          </w:p>
        </w:tc>
        <w:tc>
          <w:tcPr>
            <w:tcW w:type="dxa" w:w="831"/>
          </w:tcPr>
          <w:p>
            <w:pPr>
              <w:pStyle w:val="null3"/>
              <w:jc w:val="right"/>
            </w:pPr>
            <w:r>
              <w:rPr/>
              <w:t>3.0000</w:t>
            </w:r>
          </w:p>
        </w:tc>
        <w:tc>
          <w:tcPr>
            <w:tcW w:type="dxa" w:w="4153"/>
          </w:tcPr>
          <w:p>
            <w:pPr>
              <w:pStyle w:val="null3"/>
              <w:jc w:val="both"/>
            </w:pPr>
            <w:r>
              <w:rPr/>
              <w:t>投标产品的主要件和关键件配置情况（包括名称、数量、原产地，以下同）：提供的主要件和关键件清单详细、合理、齐全，且满足招标文件要求的各项配置、符合该产品的实际配置情况的得3分； 有提供主要件和关键件清单较为详细、合理，且满足招标文件的基本要求的得2.5分；存在缺项得2分。</w:t>
            </w:r>
          </w:p>
        </w:tc>
      </w:tr>
      <w:tr>
        <w:tc>
          <w:tcPr>
            <w:tcW w:type="dxa" w:w="3322"/>
          </w:tcPr>
          <w:p>
            <w:pPr>
              <w:pStyle w:val="null3"/>
              <w:jc w:val="both"/>
            </w:pPr>
            <w:r>
              <w:rPr/>
              <w:t>产品质量保障以及供货保障</w:t>
            </w:r>
          </w:p>
        </w:tc>
        <w:tc>
          <w:tcPr>
            <w:tcW w:type="dxa" w:w="831"/>
          </w:tcPr>
          <w:p>
            <w:pPr>
              <w:pStyle w:val="null3"/>
              <w:jc w:val="right"/>
            </w:pPr>
            <w:r>
              <w:rPr/>
              <w:t>3.0000</w:t>
            </w:r>
          </w:p>
        </w:tc>
        <w:tc>
          <w:tcPr>
            <w:tcW w:type="dxa" w:w="4153"/>
          </w:tcPr>
          <w:p>
            <w:pPr>
              <w:pStyle w:val="null3"/>
              <w:jc w:val="both"/>
            </w:pPr>
            <w:r>
              <w:rPr/>
              <w:t>根据各投标人所投产品质量保障以及供货保障方案（包括但不限于：货物保证、货物检验、货物来源）由评委进行评分：方案在满足基本要求基础上增加有利于项目实施方案内容得3分，只满足基本要求得2.5分，未完全响应基本要求，存在缺项得2分，未提供本项不得分。</w:t>
            </w:r>
          </w:p>
        </w:tc>
      </w:tr>
    </w:tbl>
    <w:p>
      <w:pPr>
        <w:pStyle w:val="null3"/>
        <w:jc w:val="both"/>
      </w:pPr>
      <w:r>
        <w:rPr/>
        <w:t>商务项（F3×A3）满分为10.0000分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业绩</w:t>
            </w:r>
          </w:p>
        </w:tc>
        <w:tc>
          <w:tcPr>
            <w:tcW w:type="dxa" w:w="831"/>
          </w:tcPr>
          <w:p>
            <w:pPr>
              <w:pStyle w:val="null3"/>
              <w:jc w:val="right"/>
            </w:pPr>
            <w:r>
              <w:rPr/>
              <w:t>2.0000</w:t>
            </w:r>
          </w:p>
        </w:tc>
        <w:tc>
          <w:tcPr>
            <w:tcW w:type="dxa" w:w="4153"/>
          </w:tcPr>
          <w:p>
            <w:pPr>
              <w:pStyle w:val="null3"/>
              <w:jc w:val="both"/>
            </w:pPr>
            <w:r>
              <w:rPr/>
              <w:t>根据投标人所提供的自2021年1月1日至本项目投标截止日期止（日期以合同为准）与本次招标同类产品业绩情况进行打分，每提供一份合格的业绩得1分，满分2分。投标人需同时提供该业绩项目的中标公告（提供相关网站中标公告的下载网页并注明网址）、中标通知书复印件、采购合同文本复印件（或提供相关网站采购合同的下载网页并注明网址）、能够证明该业绩项目已经采购人验收合格的项目证明文件复印件，所有材料缺一不可，否则不得分。</w:t>
            </w:r>
          </w:p>
        </w:tc>
      </w:tr>
      <w:tr>
        <w:tc>
          <w:tcPr>
            <w:tcW w:type="dxa" w:w="3322"/>
          </w:tcPr>
          <w:p>
            <w:pPr>
              <w:pStyle w:val="null3"/>
              <w:jc w:val="both"/>
            </w:pPr>
            <w:r>
              <w:rPr/>
              <w:t>售后服务情况</w:t>
            </w:r>
          </w:p>
        </w:tc>
        <w:tc>
          <w:tcPr>
            <w:tcW w:type="dxa" w:w="831"/>
          </w:tcPr>
          <w:p>
            <w:pPr>
              <w:pStyle w:val="null3"/>
              <w:jc w:val="right"/>
            </w:pPr>
            <w:r>
              <w:rPr/>
              <w:t>3.0000</w:t>
            </w:r>
          </w:p>
        </w:tc>
        <w:tc>
          <w:tcPr>
            <w:tcW w:type="dxa" w:w="4153"/>
          </w:tcPr>
          <w:p>
            <w:pPr>
              <w:pStyle w:val="null3"/>
              <w:jc w:val="both"/>
            </w:pPr>
            <w:r>
              <w:rPr/>
              <w:t>根据投标人提供的售后服务承诺方案（包括下述三个方面的内容：售后服务内容（除质保期）、故障响应时间、响应方式）进行评分：①方案包含的要点齐全无缺漏项、内容与要点相符、内容完善且能够适用于本项目的得3分；②方案所包含的要点齐全、内容与要点相符，但仅有纲要内容简略，未展开阐述的得2.8分；③方案所包含的要点有缺漏的得2.5分；④未提供或内容有错误的不得分。</w:t>
            </w:r>
          </w:p>
        </w:tc>
      </w:tr>
      <w:tr>
        <w:tc>
          <w:tcPr>
            <w:tcW w:type="dxa" w:w="3322"/>
          </w:tcPr>
          <w:p>
            <w:pPr>
              <w:pStyle w:val="null3"/>
              <w:jc w:val="both"/>
            </w:pPr>
            <w:r>
              <w:rPr/>
              <w:t>培训计划</w:t>
            </w:r>
          </w:p>
        </w:tc>
        <w:tc>
          <w:tcPr>
            <w:tcW w:type="dxa" w:w="831"/>
          </w:tcPr>
          <w:p>
            <w:pPr>
              <w:pStyle w:val="null3"/>
              <w:jc w:val="right"/>
            </w:pPr>
            <w:r>
              <w:rPr/>
              <w:t>3.0000</w:t>
            </w:r>
          </w:p>
        </w:tc>
        <w:tc>
          <w:tcPr>
            <w:tcW w:type="dxa" w:w="4153"/>
          </w:tcPr>
          <w:p>
            <w:pPr>
              <w:pStyle w:val="null3"/>
              <w:jc w:val="both"/>
            </w:pPr>
            <w:r>
              <w:rPr/>
              <w:t>根据投标人提供完整的人员技术培训方案（包括下述两个方面的内容：技术培训计划内容、培训时间地点）进行评分：①方案包含的要点齐全无缺漏项、内容与要点相符、内容完善且能够适用于本项目的得3分；②方案所包含的要点齐全、内容与要点相符，但仅有纲要内容简略，未展开阐述的得2.8分；③方案所包含的要点有缺漏的得2.5分；④未提供或内容存在错误的不得分。</w:t>
            </w:r>
          </w:p>
        </w:tc>
      </w:tr>
      <w:tr>
        <w:tc>
          <w:tcPr>
            <w:tcW w:type="dxa" w:w="3322"/>
          </w:tcPr>
          <w:p>
            <w:pPr>
              <w:pStyle w:val="null3"/>
              <w:jc w:val="both"/>
            </w:pPr>
            <w:r>
              <w:rPr/>
              <w:t>质保期承诺</w:t>
            </w:r>
          </w:p>
        </w:tc>
        <w:tc>
          <w:tcPr>
            <w:tcW w:type="dxa" w:w="831"/>
          </w:tcPr>
          <w:p>
            <w:pPr>
              <w:pStyle w:val="null3"/>
              <w:jc w:val="right"/>
            </w:pPr>
            <w:r>
              <w:rPr/>
              <w:t>2.0000</w:t>
            </w:r>
          </w:p>
        </w:tc>
        <w:tc>
          <w:tcPr>
            <w:tcW w:type="dxa" w:w="4153"/>
          </w:tcPr>
          <w:p>
            <w:pPr>
              <w:pStyle w:val="null3"/>
              <w:jc w:val="both"/>
            </w:pPr>
            <w:r>
              <w:rPr/>
              <w:t>根据各投标人的质保期时间承诺:满足招标文件要求的不得分，在不增加费用的情况下免费保修期（针对整个合同包所有货物及系统的免费保修期延长）每增加一年加1分，满分2分；未提供明确的质保期承诺的视同响应招标文件要求但本项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1"/>
          <w:b/>
        </w:rPr>
        <w:t>1、投标人为本次项目提供的货物必须通过合法渠道获得，具有在中国境内的合法使用权和用户保护权，且要求货物所配模块及配件为原厂配件，货物的制造标准及技术规范等有关资料必须符合相关标准、规范要求。</w:t>
      </w:r>
    </w:p>
    <w:p>
      <w:pPr>
        <w:pStyle w:val="null3"/>
        <w:ind w:firstLine="480"/>
        <w:jc w:val="both"/>
      </w:pPr>
      <w:r>
        <w:rPr>
          <w:rFonts w:ascii="宋体" w:hAnsi="宋体" w:cs="宋体" w:eastAsia="宋体"/>
          <w:sz w:val="21"/>
          <w:b/>
        </w:rPr>
        <w:t>2、投标人应按采购包投标，对同一采购包内所有品目号内容投标时必须完整。评审与授标以采购包为单位。</w:t>
      </w:r>
    </w:p>
    <w:p>
      <w:pPr>
        <w:pStyle w:val="null3"/>
        <w:ind w:firstLine="480"/>
        <w:jc w:val="both"/>
      </w:pPr>
      <w:r>
        <w:rPr>
          <w:rFonts w:ascii="宋体" w:hAnsi="宋体" w:cs="宋体" w:eastAsia="宋体"/>
          <w:sz w:val="21"/>
          <w:b/>
        </w:rPr>
        <w:t>3、本项目核心产品以“◆”标示，核心产品若提供相同品牌产品的不同投标人参加同一合同项下投标的，按招标文件相关规定执行，均被认定为一家投标人来计算。</w:t>
      </w:r>
    </w:p>
    <w:p>
      <w:pPr>
        <w:pStyle w:val="null3"/>
        <w:ind w:firstLine="480"/>
        <w:jc w:val="both"/>
      </w:pPr>
      <w:r>
        <w:rPr>
          <w:rFonts w:ascii="宋体" w:hAnsi="宋体" w:cs="宋体" w:eastAsia="宋体"/>
          <w:sz w:val="21"/>
          <w:b/>
        </w:rPr>
        <w:t>4、本章“三、商务条件”的全部内容均为以“★”标示的内容，即“均为不允许负偏离的实质性要求”。</w:t>
      </w:r>
    </w:p>
    <w:p>
      <w:pPr>
        <w:pStyle w:val="null3"/>
        <w:jc w:val="both"/>
        <w:outlineLvl w:val="2"/>
      </w:pPr>
      <w:r>
        <w:rPr>
          <w:sz w:val="28"/>
          <w:b/>
        </w:rPr>
        <w:t>二、技术和服务要求（以“★”标示的内容为不允许负偏离的实质性要求）</w:t>
      </w:r>
    </w:p>
    <w:p>
      <w:pPr>
        <w:pStyle w:val="null3"/>
        <w:ind w:firstLine="480"/>
        <w:jc w:val="both"/>
      </w:pPr>
      <w:r>
        <w:rPr>
          <w:rFonts w:ascii="宋体" w:hAnsi="宋体" w:cs="宋体" w:eastAsia="宋体"/>
          <w:sz w:val="21"/>
        </w:rPr>
        <w:t>合同包</w:t>
      </w:r>
      <w:r>
        <w:rPr>
          <w:rFonts w:ascii="calibri" w:hAnsi="calibri" w:cs="calibri" w:eastAsia="calibri"/>
          <w:sz w:val="21"/>
        </w:rPr>
        <w:t>1</w:t>
      </w:r>
      <w:r>
        <w:rPr>
          <w:rFonts w:ascii="宋体" w:hAnsi="宋体" w:cs="宋体" w:eastAsia="宋体"/>
          <w:sz w:val="21"/>
        </w:rPr>
        <w:t>：</w:t>
      </w:r>
      <w:r>
        <w:rPr>
          <w:rFonts w:ascii="宋体" w:hAnsi="宋体" w:cs="宋体" w:eastAsia="宋体"/>
          <w:sz w:val="21"/>
          <w:shd w:fill="FFFFFF" w:val="clear"/>
        </w:rPr>
        <w:t>◆</w:t>
      </w:r>
      <w:r>
        <w:rPr>
          <w:rFonts w:ascii="宋体" w:hAnsi="宋体" w:cs="宋体" w:eastAsia="宋体"/>
          <w:sz w:val="21"/>
        </w:rPr>
        <w:t>高低压环境模拟仓技术参数要求</w:t>
      </w:r>
    </w:p>
    <w:p>
      <w:pPr>
        <w:pStyle w:val="null3"/>
        <w:numPr>
          <w:ilvl w:val="0"/>
          <w:numId w:val="1"/>
        </w:numPr>
      </w:pPr>
      <w:r>
        <w:rPr>
          <w:rFonts w:ascii="宋体" w:hAnsi="宋体" w:cs="宋体" w:eastAsia="宋体"/>
          <w:sz w:val="21"/>
        </w:rPr>
        <w:t>设备由压力舱、锥形收集器、排烟管道、测量段、低高压控制系统、低氧控制系统、系统校准装置等组成。整个设计按照</w:t>
      </w: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500 kW</w:t>
      </w:r>
      <w:r>
        <w:rPr>
          <w:rFonts w:ascii="宋体" w:hAnsi="宋体" w:cs="宋体" w:eastAsia="宋体"/>
          <w:sz w:val="21"/>
        </w:rPr>
        <w:t>热释放总量设计。（项号</w:t>
      </w:r>
      <w:r>
        <w:rPr>
          <w:rFonts w:ascii="calibri" w:hAnsi="calibri" w:cs="calibri" w:eastAsia="calibri"/>
          <w:sz w:val="21"/>
        </w:rPr>
        <w:t>1</w:t>
      </w:r>
      <w:r>
        <w:rPr>
          <w:rFonts w:ascii="宋体" w:hAnsi="宋体" w:cs="宋体" w:eastAsia="宋体"/>
          <w:sz w:val="21"/>
        </w:rPr>
        <w:t>）</w:t>
      </w:r>
    </w:p>
    <w:p>
      <w:pPr>
        <w:pStyle w:val="null3"/>
        <w:ind w:firstLine="420"/>
      </w:pPr>
      <w:r>
        <w:rPr>
          <w:rFonts w:ascii="calibri" w:hAnsi="calibri" w:cs="calibri" w:eastAsia="calibri"/>
          <w:sz w:val="21"/>
        </w:rPr>
        <w:t>2.</w:t>
      </w:r>
      <w:r>
        <w:rPr>
          <w:rFonts w:ascii="宋体" w:hAnsi="宋体" w:cs="宋体" w:eastAsia="宋体"/>
          <w:sz w:val="21"/>
        </w:rPr>
        <w:t>总生烟量测量：火源装置：采用丙烷试验装置，通过质量流量计控制燃气和空气；测量装置安装在排烟管道烟气分布均匀的位置，光束能垂直穿过排烟管道，光学烟密度计的安装不应影响测速及取样，光学烟密度计的玻璃窗宜选用石英玻璃。控测器线性度≥</w:t>
      </w:r>
      <w:r>
        <w:rPr>
          <w:rFonts w:ascii="calibri" w:hAnsi="calibri" w:cs="calibri" w:eastAsia="calibri"/>
          <w:sz w:val="21"/>
        </w:rPr>
        <w:t>99.8%</w:t>
      </w:r>
      <w:r>
        <w:rPr>
          <w:rFonts w:ascii="宋体" w:hAnsi="宋体" w:cs="宋体" w:eastAsia="宋体"/>
          <w:sz w:val="21"/>
        </w:rPr>
        <w:t>，不稳定度＜</w:t>
      </w:r>
      <w:r>
        <w:rPr>
          <w:rFonts w:ascii="calibri" w:hAnsi="calibri" w:cs="calibri" w:eastAsia="calibri"/>
          <w:sz w:val="21"/>
        </w:rPr>
        <w:t>0.1 %.</w:t>
      </w:r>
      <w:r>
        <w:rPr>
          <w:rFonts w:ascii="宋体" w:hAnsi="宋体" w:cs="宋体" w:eastAsia="宋体"/>
          <w:sz w:val="21"/>
        </w:rPr>
        <w:t>光源接收精度</w:t>
      </w:r>
      <w:r>
        <w:rPr>
          <w:rFonts w:ascii="calibri" w:hAnsi="calibri" w:cs="calibri" w:eastAsia="calibri"/>
          <w:sz w:val="21"/>
        </w:rPr>
        <w:t>0.1 %</w:t>
      </w:r>
      <w:r>
        <w:rPr>
          <w:rFonts w:ascii="宋体" w:hAnsi="宋体" w:cs="宋体" w:eastAsia="宋体"/>
          <w:sz w:val="21"/>
        </w:rPr>
        <w:t>。（项号</w:t>
      </w:r>
      <w:r>
        <w:rPr>
          <w:rFonts w:ascii="calibri" w:hAnsi="calibri" w:cs="calibri" w:eastAsia="calibri"/>
          <w:sz w:val="21"/>
        </w:rPr>
        <w:t>2</w:t>
      </w:r>
      <w:r>
        <w:rPr>
          <w:rFonts w:ascii="宋体" w:hAnsi="宋体" w:cs="宋体" w:eastAsia="宋体"/>
          <w:sz w:val="21"/>
        </w:rPr>
        <w:t>）</w:t>
      </w:r>
    </w:p>
    <w:p>
      <w:pPr>
        <w:pStyle w:val="null3"/>
        <w:ind w:firstLine="420"/>
      </w:pPr>
      <w:r>
        <w:rPr>
          <w:rFonts w:ascii="calibri" w:hAnsi="calibri" w:cs="calibri" w:eastAsia="calibri"/>
          <w:sz w:val="21"/>
        </w:rPr>
        <w:t xml:space="preserve">3. </w:t>
      </w:r>
      <w:r>
        <w:rPr>
          <w:rFonts w:ascii="宋体" w:hAnsi="宋体" w:cs="宋体" w:eastAsia="宋体"/>
          <w:sz w:val="21"/>
        </w:rPr>
        <w:t>一键式操作、把繁琐运算、数据采集和分析都集中在</w:t>
      </w:r>
      <w:r>
        <w:rPr>
          <w:rFonts w:ascii="calibri" w:hAnsi="calibri" w:cs="calibri" w:eastAsia="calibri"/>
          <w:sz w:val="21"/>
        </w:rPr>
        <w:t>LabView</w:t>
      </w:r>
      <w:r>
        <w:rPr>
          <w:rFonts w:ascii="宋体" w:hAnsi="宋体" w:cs="宋体" w:eastAsia="宋体"/>
          <w:sz w:val="21"/>
        </w:rPr>
        <w:t>软件里执行：</w:t>
      </w:r>
    </w:p>
    <w:p>
      <w:pPr>
        <w:pStyle w:val="null3"/>
        <w:ind w:firstLine="420"/>
      </w:pPr>
      <w:r>
        <w:rPr>
          <w:rFonts w:ascii="calibri" w:hAnsi="calibri" w:cs="calibri" w:eastAsia="calibri"/>
          <w:sz w:val="21"/>
        </w:rPr>
        <w:t>1</w:t>
      </w:r>
      <w:r>
        <w:rPr>
          <w:rFonts w:ascii="宋体" w:hAnsi="宋体" w:cs="宋体" w:eastAsia="宋体"/>
          <w:sz w:val="21"/>
        </w:rPr>
        <w:t>）状态检查界面</w:t>
      </w:r>
      <w:r>
        <w:rPr>
          <w:rFonts w:ascii="calibri" w:hAnsi="calibri" w:cs="calibri" w:eastAsia="calibri"/>
          <w:sz w:val="21"/>
        </w:rPr>
        <w:t>:</w:t>
      </w:r>
      <w:r>
        <w:rPr>
          <w:rFonts w:ascii="宋体" w:hAnsi="宋体" w:cs="宋体" w:eastAsia="宋体"/>
          <w:sz w:val="21"/>
        </w:rPr>
        <w:t>可一目了然的获取仪器的各个传感器部件的工作状态；可记录各个传感器的工作数值，包括微压差传感器、烟囱温度、分析仪；报告模板为</w:t>
      </w:r>
      <w:r>
        <w:rPr>
          <w:rFonts w:ascii="calibri" w:hAnsi="calibri" w:cs="calibri" w:eastAsia="calibri"/>
          <w:sz w:val="21"/>
        </w:rPr>
        <w:t>EXCELL</w:t>
      </w:r>
      <w:r>
        <w:rPr>
          <w:rFonts w:ascii="宋体" w:hAnsi="宋体" w:cs="宋体" w:eastAsia="宋体"/>
          <w:sz w:val="21"/>
        </w:rPr>
        <w:t>格式，可显示图形及数值模式；（项号</w:t>
      </w:r>
      <w:r>
        <w:rPr>
          <w:rFonts w:ascii="calibri" w:hAnsi="calibri" w:cs="calibri" w:eastAsia="calibri"/>
          <w:sz w:val="21"/>
        </w:rPr>
        <w:t>3</w:t>
      </w:r>
      <w:r>
        <w:rPr>
          <w:rFonts w:ascii="宋体" w:hAnsi="宋体" w:cs="宋体" w:eastAsia="宋体"/>
          <w:sz w:val="21"/>
        </w:rPr>
        <w:t>）</w:t>
      </w:r>
    </w:p>
    <w:p>
      <w:pPr>
        <w:pStyle w:val="null3"/>
        <w:ind w:firstLine="420"/>
      </w:pPr>
      <w:r>
        <w:rPr>
          <w:rFonts w:ascii="calibri" w:hAnsi="calibri" w:cs="calibri" w:eastAsia="calibri"/>
          <w:sz w:val="21"/>
        </w:rPr>
        <w:t>2</w:t>
      </w:r>
      <w:r>
        <w:rPr>
          <w:rFonts w:ascii="宋体" w:hAnsi="宋体" w:cs="宋体" w:eastAsia="宋体"/>
          <w:sz w:val="21"/>
        </w:rPr>
        <w:t>） 软件操作系统：可收集记录总耗氧量、气体浓度、温度、有效燃烧热</w:t>
      </w:r>
      <w:r>
        <w:rPr>
          <w:rFonts w:ascii="calibri" w:hAnsi="calibri" w:cs="calibri" w:eastAsia="calibri"/>
          <w:sz w:val="21"/>
        </w:rPr>
        <w:t>(EHC)</w:t>
      </w:r>
      <w:r>
        <w:rPr>
          <w:rFonts w:ascii="宋体" w:hAnsi="宋体" w:cs="宋体" w:eastAsia="宋体"/>
          <w:sz w:val="21"/>
        </w:rPr>
        <w:t>、孔板流量计、热电偶、试样点燃时间（</w:t>
      </w:r>
      <w:r>
        <w:rPr>
          <w:rFonts w:ascii="calibri" w:hAnsi="calibri" w:cs="calibri" w:eastAsia="calibri"/>
          <w:sz w:val="21"/>
        </w:rPr>
        <w:t>TTI</w:t>
      </w:r>
      <w:r>
        <w:rPr>
          <w:rFonts w:ascii="宋体" w:hAnsi="宋体" w:cs="宋体" w:eastAsia="宋体"/>
          <w:sz w:val="21"/>
        </w:rPr>
        <w:t>）、着火时间（温度）、熄灭时间、有毒气体生成速率</w:t>
      </w:r>
      <w:r>
        <w:rPr>
          <w:rFonts w:ascii="calibri" w:hAnsi="calibri" w:cs="calibri" w:eastAsia="calibri"/>
          <w:sz w:val="21"/>
        </w:rPr>
        <w:t>(</w:t>
      </w:r>
      <w:r>
        <w:rPr>
          <w:rFonts w:ascii="宋体" w:hAnsi="宋体" w:cs="宋体" w:eastAsia="宋体"/>
          <w:sz w:val="21"/>
        </w:rPr>
        <w:t>选配）等试验数据的输出，可保存打印</w:t>
      </w:r>
      <w:r>
        <w:rPr>
          <w:rFonts w:ascii="calibri" w:hAnsi="calibri" w:cs="calibri" w:eastAsia="calibri"/>
          <w:sz w:val="21"/>
        </w:rPr>
        <w:t xml:space="preserve">; </w:t>
      </w:r>
      <w:r>
        <w:rPr>
          <w:rFonts w:ascii="宋体" w:hAnsi="宋体" w:cs="宋体" w:eastAsia="宋体"/>
          <w:sz w:val="21"/>
        </w:rPr>
        <w:t>具有强大的功能，尤其是可以多曲线对比，可以直观比较材料的燃烧特性的差别；（项号</w:t>
      </w:r>
      <w:r>
        <w:rPr>
          <w:rFonts w:ascii="calibri" w:hAnsi="calibri" w:cs="calibri" w:eastAsia="calibri"/>
          <w:sz w:val="21"/>
        </w:rPr>
        <w:t>4</w:t>
      </w:r>
      <w:r>
        <w:rPr>
          <w:rFonts w:ascii="宋体" w:hAnsi="宋体" w:cs="宋体" w:eastAsia="宋体"/>
          <w:sz w:val="21"/>
        </w:rPr>
        <w:t>）</w:t>
      </w:r>
    </w:p>
    <w:p>
      <w:pPr>
        <w:pStyle w:val="null3"/>
        <w:ind w:firstLine="420"/>
      </w:pPr>
      <w:r>
        <w:rPr>
          <w:rFonts w:ascii="calibri" w:hAnsi="calibri" w:cs="calibri" w:eastAsia="calibri"/>
          <w:sz w:val="21"/>
        </w:rPr>
        <w:t xml:space="preserve">4. </w:t>
      </w:r>
      <w:r>
        <w:rPr>
          <w:rFonts w:ascii="宋体" w:hAnsi="宋体" w:cs="宋体" w:eastAsia="宋体"/>
          <w:sz w:val="21"/>
        </w:rPr>
        <w:t>压力舱</w:t>
      </w:r>
    </w:p>
    <w:p>
      <w:pPr>
        <w:pStyle w:val="null3"/>
        <w:ind w:firstLine="420"/>
      </w:pPr>
      <w:r>
        <w:rPr>
          <w:rFonts w:ascii="宋体" w:hAnsi="宋体" w:cs="宋体" w:eastAsia="宋体"/>
          <w:sz w:val="21"/>
        </w:rPr>
        <w:t>★</w:t>
      </w:r>
      <w:r>
        <w:rPr>
          <w:rFonts w:ascii="宋体" w:hAnsi="宋体" w:cs="宋体" w:eastAsia="宋体"/>
          <w:sz w:val="21"/>
        </w:rPr>
        <w:t>压力舱内部可用于实验的有效尺寸长宽高均不低于</w:t>
      </w:r>
      <w:r>
        <w:rPr>
          <w:rFonts w:ascii="calibri" w:hAnsi="calibri" w:cs="calibri" w:eastAsia="calibri"/>
          <w:sz w:val="21"/>
        </w:rPr>
        <w:t>3m*3m*3m</w:t>
      </w:r>
      <w:r>
        <w:rPr>
          <w:rFonts w:ascii="宋体" w:hAnsi="宋体" w:cs="宋体" w:eastAsia="宋体"/>
          <w:sz w:val="21"/>
        </w:rPr>
        <w:t>，有效尺寸为内部无障碍物遮挡、无附属设备的净尺寸。</w:t>
      </w:r>
    </w:p>
    <w:p>
      <w:pPr>
        <w:pStyle w:val="null3"/>
        <w:ind w:firstLine="420"/>
      </w:pPr>
      <w:r>
        <w:rPr>
          <w:rFonts w:ascii="calibri" w:hAnsi="calibri" w:cs="calibri" w:eastAsia="calibri"/>
          <w:sz w:val="21"/>
        </w:rPr>
        <w:t>1</w:t>
      </w:r>
      <w:r>
        <w:rPr>
          <w:rFonts w:ascii="宋体" w:hAnsi="宋体" w:cs="宋体" w:eastAsia="宋体"/>
          <w:sz w:val="21"/>
        </w:rPr>
        <w:t>）采用</w:t>
      </w:r>
      <w:r>
        <w:rPr>
          <w:rFonts w:ascii="calibri" w:hAnsi="calibri" w:cs="calibri" w:eastAsia="calibri"/>
          <w:sz w:val="21"/>
        </w:rPr>
        <w:t>SUS304</w:t>
      </w:r>
      <w:r>
        <w:rPr>
          <w:rFonts w:ascii="宋体" w:hAnsi="宋体" w:cs="宋体" w:eastAsia="宋体"/>
          <w:sz w:val="21"/>
        </w:rPr>
        <w:t>不锈钢制成，防腐蚀性好、耐用性时间长；舱体底部预留直径</w:t>
      </w:r>
      <w:r>
        <w:rPr>
          <w:rFonts w:ascii="calibri" w:hAnsi="calibri" w:cs="calibri" w:eastAsia="calibri"/>
          <w:sz w:val="21"/>
        </w:rPr>
        <w:t>1</w:t>
      </w:r>
      <w:r>
        <w:rPr>
          <w:rFonts w:ascii="calibri" w:hAnsi="calibri" w:cs="calibri" w:eastAsia="calibri"/>
          <w:sz w:val="21"/>
        </w:rPr>
        <w:t>.8</w:t>
      </w:r>
      <w:r>
        <w:rPr>
          <w:rFonts w:ascii="calibri" w:hAnsi="calibri" w:cs="calibri" w:eastAsia="calibri"/>
          <w:sz w:val="21"/>
        </w:rPr>
        <w:t>m</w:t>
      </w:r>
      <w:r>
        <w:rPr>
          <w:rFonts w:ascii="宋体" w:hAnsi="宋体" w:cs="宋体" w:eastAsia="宋体"/>
          <w:sz w:val="21"/>
        </w:rPr>
        <w:t>的实验进入口，方便实验物料装载（项号</w:t>
      </w:r>
      <w:r>
        <w:rPr>
          <w:rFonts w:ascii="calibri" w:hAnsi="calibri" w:cs="calibri" w:eastAsia="calibri"/>
          <w:sz w:val="21"/>
        </w:rPr>
        <w:t>5</w:t>
      </w:r>
      <w:r>
        <w:rPr>
          <w:rFonts w:ascii="宋体" w:hAnsi="宋体" w:cs="宋体" w:eastAsia="宋体"/>
          <w:sz w:val="21"/>
        </w:rPr>
        <w:t>）</w:t>
      </w:r>
    </w:p>
    <w:p>
      <w:pPr>
        <w:pStyle w:val="null3"/>
        <w:ind w:firstLine="420"/>
      </w:pPr>
      <w:r>
        <w:rPr>
          <w:rFonts w:ascii="calibri" w:hAnsi="calibri" w:cs="calibri" w:eastAsia="calibri"/>
          <w:sz w:val="21"/>
        </w:rPr>
        <w:t>2</w:t>
      </w:r>
      <w:r>
        <w:rPr>
          <w:rFonts w:ascii="宋体" w:hAnsi="宋体" w:cs="宋体" w:eastAsia="宋体"/>
          <w:sz w:val="21"/>
        </w:rPr>
        <w:t>）舱体配套的专用视窗玻璃，满足从腔体外部使用光学相机、红外相机的拍摄需求（项号</w:t>
      </w:r>
      <w:r>
        <w:rPr>
          <w:rFonts w:ascii="calibri" w:hAnsi="calibri" w:cs="calibri" w:eastAsia="calibri"/>
          <w:sz w:val="21"/>
        </w:rPr>
        <w:t>6</w:t>
      </w:r>
      <w:r>
        <w:rPr>
          <w:rFonts w:ascii="宋体" w:hAnsi="宋体" w:cs="宋体" w:eastAsia="宋体"/>
          <w:sz w:val="21"/>
        </w:rPr>
        <w:t>）</w:t>
      </w:r>
    </w:p>
    <w:p>
      <w:pPr>
        <w:pStyle w:val="null3"/>
        <w:ind w:firstLine="420"/>
      </w:pPr>
      <w:r>
        <w:rPr>
          <w:rFonts w:ascii="calibri" w:hAnsi="calibri" w:cs="calibri" w:eastAsia="calibri"/>
          <w:sz w:val="21"/>
        </w:rPr>
        <w:t>3</w:t>
      </w:r>
      <w:r>
        <w:rPr>
          <w:rFonts w:ascii="宋体" w:hAnsi="宋体" w:cs="宋体" w:eastAsia="宋体"/>
          <w:sz w:val="21"/>
        </w:rPr>
        <w:t>）腔体与外部连接预留如下通道：</w:t>
      </w:r>
    </w:p>
    <w:p>
      <w:pPr>
        <w:pStyle w:val="null3"/>
        <w:ind w:firstLine="420"/>
      </w:pPr>
      <w:r>
        <w:rPr>
          <w:rFonts w:ascii="宋体" w:hAnsi="宋体" w:cs="宋体" w:eastAsia="宋体"/>
          <w:sz w:val="21"/>
        </w:rPr>
        <w:t xml:space="preserve">   </w:t>
      </w:r>
      <w:r>
        <w:rPr>
          <w:rFonts w:ascii="calibri" w:hAnsi="calibri" w:cs="calibri" w:eastAsia="calibri"/>
          <w:sz w:val="21"/>
        </w:rPr>
        <w:t xml:space="preserve">a. </w:t>
      </w:r>
      <w:r>
        <w:rPr>
          <w:rFonts w:ascii="宋体" w:hAnsi="宋体" w:cs="宋体" w:eastAsia="宋体"/>
          <w:sz w:val="21"/>
        </w:rPr>
        <w:t>预留</w:t>
      </w:r>
      <w:r>
        <w:rPr>
          <w:rFonts w:ascii="calibri" w:hAnsi="calibri" w:cs="calibri" w:eastAsia="calibri"/>
          <w:sz w:val="21"/>
        </w:rPr>
        <w:t>5</w:t>
      </w:r>
      <w:r>
        <w:rPr>
          <w:rFonts w:ascii="宋体" w:hAnsi="宋体" w:cs="宋体" w:eastAsia="宋体"/>
          <w:sz w:val="21"/>
        </w:rPr>
        <w:t>个螺纹供气通道接口，螺纹口尺寸采用家用燃气管道的常规尺寸；（项号</w:t>
      </w:r>
      <w:r>
        <w:rPr>
          <w:rFonts w:ascii="calibri" w:hAnsi="calibri" w:cs="calibri" w:eastAsia="calibri"/>
          <w:sz w:val="21"/>
        </w:rPr>
        <w:t>7</w:t>
      </w:r>
      <w:r>
        <w:rPr>
          <w:rFonts w:ascii="宋体" w:hAnsi="宋体" w:cs="宋体" w:eastAsia="宋体"/>
          <w:sz w:val="21"/>
        </w:rPr>
        <w:t>）</w:t>
      </w:r>
    </w:p>
    <w:p>
      <w:pPr>
        <w:pStyle w:val="null3"/>
        <w:ind w:firstLine="420"/>
      </w:pPr>
      <w:r>
        <w:rPr>
          <w:rFonts w:ascii="宋体" w:hAnsi="宋体" w:cs="宋体" w:eastAsia="宋体"/>
          <w:sz w:val="21"/>
        </w:rPr>
        <w:t xml:space="preserve">   </w:t>
      </w:r>
      <w:r>
        <w:rPr>
          <w:rFonts w:ascii="calibri" w:hAnsi="calibri" w:cs="calibri" w:eastAsia="calibri"/>
          <w:sz w:val="21"/>
        </w:rPr>
        <w:t xml:space="preserve">b. </w:t>
      </w:r>
      <w:r>
        <w:rPr>
          <w:rFonts w:ascii="宋体" w:hAnsi="宋体" w:cs="宋体" w:eastAsia="宋体"/>
          <w:sz w:val="21"/>
        </w:rPr>
        <w:t>预留采集设备采集线路和冷却水管（直径</w:t>
      </w:r>
      <w:r>
        <w:rPr>
          <w:rFonts w:ascii="calibri" w:hAnsi="calibri" w:cs="calibri" w:eastAsia="calibri"/>
          <w:sz w:val="21"/>
        </w:rPr>
        <w:t>6mm</w:t>
      </w:r>
      <w:r>
        <w:rPr>
          <w:rFonts w:ascii="宋体" w:hAnsi="宋体" w:cs="宋体" w:eastAsia="宋体"/>
          <w:sz w:val="21"/>
        </w:rPr>
        <w:t>软管）的管道，采集线为类似热电偶延长线的线束，单根外径预估</w:t>
      </w:r>
      <w:r>
        <w:rPr>
          <w:rFonts w:ascii="calibri" w:hAnsi="calibri" w:cs="calibri" w:eastAsia="calibri"/>
          <w:sz w:val="21"/>
        </w:rPr>
        <w:t>3mm</w:t>
      </w:r>
      <w:r>
        <w:rPr>
          <w:rFonts w:ascii="宋体" w:hAnsi="宋体" w:cs="宋体" w:eastAsia="宋体"/>
          <w:sz w:val="21"/>
        </w:rPr>
        <w:t>左右，预留最大</w:t>
      </w:r>
      <w:r>
        <w:rPr>
          <w:rFonts w:ascii="calibri" w:hAnsi="calibri" w:cs="calibri" w:eastAsia="calibri"/>
          <w:sz w:val="21"/>
        </w:rPr>
        <w:t>50</w:t>
      </w:r>
      <w:r>
        <w:rPr>
          <w:rFonts w:ascii="宋体" w:hAnsi="宋体" w:cs="宋体" w:eastAsia="宋体"/>
          <w:sz w:val="21"/>
        </w:rPr>
        <w:t>根的通过孔径；冷却水管一路为一进一出的双向软管，预留至少两路的通道，满足预紧后冷却水的自由流通，水流流通压力为民用自来水压力（约</w:t>
      </w:r>
      <w:r>
        <w:rPr>
          <w:rFonts w:ascii="calibri" w:hAnsi="calibri" w:cs="calibri" w:eastAsia="calibri"/>
          <w:sz w:val="21"/>
        </w:rPr>
        <w:t>0.2MPa</w:t>
      </w:r>
      <w:r>
        <w:rPr>
          <w:rFonts w:ascii="宋体" w:hAnsi="宋体" w:cs="宋体" w:eastAsia="宋体"/>
          <w:sz w:val="21"/>
        </w:rPr>
        <w:t>）；（项号</w:t>
      </w:r>
      <w:r>
        <w:rPr>
          <w:rFonts w:ascii="calibri" w:hAnsi="calibri" w:cs="calibri" w:eastAsia="calibri"/>
          <w:sz w:val="21"/>
        </w:rPr>
        <w:t>8</w:t>
      </w:r>
      <w:r>
        <w:rPr>
          <w:rFonts w:ascii="宋体" w:hAnsi="宋体" w:cs="宋体" w:eastAsia="宋体"/>
          <w:sz w:val="21"/>
        </w:rPr>
        <w:t>）</w:t>
      </w:r>
    </w:p>
    <w:p>
      <w:pPr>
        <w:pStyle w:val="null3"/>
        <w:numPr>
          <w:ilvl w:val="0"/>
          <w:numId w:val="1"/>
        </w:numPr>
      </w:pPr>
      <w:r>
        <w:rPr>
          <w:rFonts w:ascii="宋体" w:hAnsi="宋体" w:cs="宋体" w:eastAsia="宋体"/>
          <w:sz w:val="21"/>
        </w:rPr>
        <w:t>锥形收集器技术参数要求如下：底部尺寸</w:t>
      </w:r>
      <w:r>
        <w:rPr>
          <w:rFonts w:ascii="calibri" w:hAnsi="calibri" w:cs="calibri" w:eastAsia="calibri"/>
          <w:sz w:val="21"/>
        </w:rPr>
        <w:t>3000</w:t>
      </w:r>
      <w:r>
        <w:rPr>
          <w:rFonts w:ascii="宋体" w:hAnsi="宋体" w:cs="宋体" w:eastAsia="宋体"/>
          <w:sz w:val="21"/>
        </w:rPr>
        <w:t>×</w:t>
      </w:r>
      <w:r>
        <w:rPr>
          <w:rFonts w:ascii="calibri" w:hAnsi="calibri" w:cs="calibri" w:eastAsia="calibri"/>
          <w:sz w:val="21"/>
        </w:rPr>
        <w:t>3000mm</w:t>
      </w:r>
      <w:r>
        <w:rPr>
          <w:rFonts w:ascii="宋体" w:hAnsi="宋体" w:cs="宋体" w:eastAsia="宋体"/>
          <w:sz w:val="21"/>
        </w:rPr>
        <w:t>，锥形收集器顶部尺寸</w:t>
      </w:r>
      <w:r>
        <w:rPr>
          <w:rFonts w:ascii="calibri" w:hAnsi="calibri" w:cs="calibri" w:eastAsia="calibri"/>
          <w:sz w:val="21"/>
        </w:rPr>
        <w:t>900</w:t>
      </w:r>
      <w:r>
        <w:rPr>
          <w:rFonts w:ascii="宋体" w:hAnsi="宋体" w:cs="宋体" w:eastAsia="宋体"/>
          <w:sz w:val="21"/>
        </w:rPr>
        <w:t>×</w:t>
      </w:r>
      <w:r>
        <w:rPr>
          <w:rFonts w:ascii="calibri" w:hAnsi="calibri" w:cs="calibri" w:eastAsia="calibri"/>
          <w:sz w:val="21"/>
        </w:rPr>
        <w:t>900</w:t>
      </w:r>
      <w:r>
        <w:rPr>
          <w:rFonts w:ascii="宋体" w:hAnsi="宋体" w:cs="宋体" w:eastAsia="宋体"/>
          <w:sz w:val="21"/>
        </w:rPr>
        <w:t>×</w:t>
      </w:r>
      <w:r>
        <w:rPr>
          <w:rFonts w:ascii="calibri" w:hAnsi="calibri" w:cs="calibri" w:eastAsia="calibri"/>
          <w:sz w:val="21"/>
        </w:rPr>
        <w:t>900mm</w:t>
      </w:r>
      <w:r>
        <w:rPr>
          <w:rFonts w:ascii="宋体" w:hAnsi="宋体" w:cs="宋体" w:eastAsia="宋体"/>
          <w:sz w:val="21"/>
        </w:rPr>
        <w:t>，采用</w:t>
      </w:r>
      <w:r>
        <w:rPr>
          <w:rFonts w:ascii="calibri" w:hAnsi="calibri" w:cs="calibri" w:eastAsia="calibri"/>
          <w:sz w:val="21"/>
        </w:rPr>
        <w:t>500</w:t>
      </w:r>
      <w:r>
        <w:rPr>
          <w:rFonts w:ascii="宋体" w:hAnsi="宋体" w:cs="宋体" w:eastAsia="宋体"/>
          <w:sz w:val="21"/>
        </w:rPr>
        <w:t>×</w:t>
      </w:r>
      <w:r>
        <w:rPr>
          <w:rFonts w:ascii="calibri" w:hAnsi="calibri" w:cs="calibri" w:eastAsia="calibri"/>
          <w:sz w:val="21"/>
        </w:rPr>
        <w:t>500mm</w:t>
      </w:r>
      <w:r>
        <w:rPr>
          <w:rFonts w:ascii="宋体" w:hAnsi="宋体" w:cs="宋体" w:eastAsia="宋体"/>
          <w:sz w:val="21"/>
        </w:rPr>
        <w:t>钢板安装在顶部正方体内形成烟气均流器，可持续耐高温</w:t>
      </w:r>
      <w:r>
        <w:rPr>
          <w:rFonts w:ascii="calibri" w:hAnsi="calibri" w:cs="calibri" w:eastAsia="calibri"/>
          <w:sz w:val="21"/>
        </w:rPr>
        <w:t>1000</w:t>
      </w:r>
      <w:r>
        <w:rPr>
          <w:rFonts w:ascii="宋体" w:hAnsi="宋体" w:cs="宋体" w:eastAsia="宋体"/>
          <w:sz w:val="21"/>
        </w:rPr>
        <w:t>℃以上。（项号</w:t>
      </w:r>
      <w:r>
        <w:rPr>
          <w:rFonts w:ascii="calibri" w:hAnsi="calibri" w:cs="calibri" w:eastAsia="calibri"/>
          <w:sz w:val="21"/>
        </w:rPr>
        <w:t>9</w:t>
      </w:r>
      <w:r>
        <w:rPr>
          <w:rFonts w:ascii="宋体" w:hAnsi="宋体" w:cs="宋体" w:eastAsia="宋体"/>
          <w:sz w:val="21"/>
        </w:rPr>
        <w:t>）</w:t>
      </w:r>
    </w:p>
    <w:p>
      <w:pPr>
        <w:pStyle w:val="null3"/>
        <w:ind w:firstLine="420"/>
      </w:pPr>
      <w:r>
        <w:rPr>
          <w:rFonts w:ascii="calibri" w:hAnsi="calibri" w:cs="calibri" w:eastAsia="calibri"/>
          <w:sz w:val="21"/>
        </w:rPr>
        <w:t xml:space="preserve">6. </w:t>
      </w:r>
      <w:r>
        <w:rPr>
          <w:rFonts w:ascii="宋体" w:hAnsi="宋体" w:cs="宋体" w:eastAsia="宋体"/>
          <w:sz w:val="21"/>
        </w:rPr>
        <w:t>排烟管道包括收烟管道和排烟管道，技术要求如下：</w:t>
      </w:r>
    </w:p>
    <w:p>
      <w:pPr>
        <w:pStyle w:val="null3"/>
        <w:ind w:firstLine="420"/>
      </w:pPr>
      <w:r>
        <w:rPr>
          <w:rFonts w:ascii="calibri" w:hAnsi="calibri" w:cs="calibri" w:eastAsia="calibri"/>
          <w:sz w:val="21"/>
        </w:rPr>
        <w:t>1</w:t>
      </w:r>
      <w:r>
        <w:rPr>
          <w:rFonts w:ascii="宋体" w:hAnsi="宋体" w:cs="宋体" w:eastAsia="宋体"/>
          <w:sz w:val="21"/>
        </w:rPr>
        <w:t>）收烟管道：（项号</w:t>
      </w:r>
      <w:r>
        <w:rPr>
          <w:rFonts w:ascii="calibri" w:hAnsi="calibri" w:cs="calibri" w:eastAsia="calibri"/>
          <w:sz w:val="21"/>
        </w:rPr>
        <w:t>10</w:t>
      </w:r>
      <w:r>
        <w:rPr>
          <w:rFonts w:ascii="宋体" w:hAnsi="宋体" w:cs="宋体" w:eastAsia="宋体"/>
          <w:sz w:val="21"/>
        </w:rPr>
        <w:t>）</w:t>
      </w:r>
    </w:p>
    <w:p>
      <w:pPr>
        <w:pStyle w:val="null3"/>
        <w:ind w:firstLine="420"/>
      </w:pPr>
      <w:r>
        <w:rPr>
          <w:rFonts w:ascii="宋体" w:hAnsi="宋体" w:cs="宋体" w:eastAsia="宋体"/>
          <w:sz w:val="21"/>
        </w:rPr>
        <w:t>收集燃烧所产生的全部烟气；吸烟管道安装有截止阀，维持试验舱压力稳定；吸烟管道安装在烟气均流器的出口处，内径为</w:t>
      </w:r>
      <w:r>
        <w:rPr>
          <w:rFonts w:ascii="calibri" w:hAnsi="calibri" w:cs="calibri" w:eastAsia="calibri"/>
          <w:sz w:val="21"/>
        </w:rPr>
        <w:t>200mm</w:t>
      </w:r>
      <w:r>
        <w:rPr>
          <w:rFonts w:ascii="宋体" w:hAnsi="宋体" w:cs="宋体" w:eastAsia="宋体"/>
          <w:sz w:val="21"/>
        </w:rPr>
        <w:t>，直管段</w:t>
      </w:r>
      <w:r>
        <w:rPr>
          <w:rFonts w:ascii="calibri" w:hAnsi="calibri" w:cs="calibri" w:eastAsia="calibri"/>
          <w:sz w:val="21"/>
        </w:rPr>
        <w:t>5.0m</w:t>
      </w:r>
      <w:r>
        <w:rPr>
          <w:rFonts w:ascii="宋体" w:hAnsi="宋体" w:cs="宋体" w:eastAsia="宋体"/>
          <w:sz w:val="21"/>
        </w:rPr>
        <w:t>；直管段的两端应安装均流器，使管道内气体流动均匀</w:t>
      </w:r>
      <w:r>
        <w:rPr>
          <w:rFonts w:ascii="calibri" w:hAnsi="calibri" w:cs="calibri" w:eastAsia="calibri"/>
          <w:sz w:val="21"/>
        </w:rPr>
        <w:t xml:space="preserve">; </w:t>
      </w:r>
      <w:r>
        <w:rPr>
          <w:rFonts w:ascii="宋体" w:hAnsi="宋体" w:cs="宋体" w:eastAsia="宋体"/>
          <w:sz w:val="21"/>
        </w:rPr>
        <w:t>系统的测量段应设置在排气管道直管段且气体均匀混合器的地方；</w:t>
      </w:r>
    </w:p>
    <w:p>
      <w:pPr>
        <w:pStyle w:val="null3"/>
        <w:ind w:firstLine="420"/>
      </w:pPr>
      <w:r>
        <w:rPr>
          <w:rFonts w:ascii="calibri" w:hAnsi="calibri" w:cs="calibri" w:eastAsia="calibri"/>
          <w:sz w:val="21"/>
        </w:rPr>
        <w:t>2</w:t>
      </w:r>
      <w:r>
        <w:rPr>
          <w:rFonts w:ascii="宋体" w:hAnsi="宋体" w:cs="宋体" w:eastAsia="宋体"/>
          <w:sz w:val="21"/>
        </w:rPr>
        <w:t>）排烟管道：（项号</w:t>
      </w:r>
      <w:r>
        <w:rPr>
          <w:rFonts w:ascii="calibri" w:hAnsi="calibri" w:cs="calibri" w:eastAsia="calibri"/>
          <w:sz w:val="21"/>
        </w:rPr>
        <w:t>11</w:t>
      </w:r>
      <w:r>
        <w:rPr>
          <w:rFonts w:ascii="宋体" w:hAnsi="宋体" w:cs="宋体" w:eastAsia="宋体"/>
          <w:sz w:val="21"/>
        </w:rPr>
        <w:t>）</w:t>
      </w:r>
    </w:p>
    <w:p>
      <w:pPr>
        <w:pStyle w:val="null3"/>
        <w:ind w:firstLine="420"/>
      </w:pPr>
      <w:r>
        <w:rPr>
          <w:rFonts w:ascii="宋体" w:hAnsi="宋体" w:cs="宋体" w:eastAsia="宋体"/>
          <w:sz w:val="21"/>
        </w:rPr>
        <w:t>采用双层管道，内壁采用</w:t>
      </w:r>
      <w:r>
        <w:rPr>
          <w:rFonts w:ascii="calibri" w:hAnsi="calibri" w:cs="calibri" w:eastAsia="calibri"/>
          <w:sz w:val="21"/>
        </w:rPr>
        <w:t>304</w:t>
      </w:r>
      <w:r>
        <w:rPr>
          <w:rFonts w:ascii="宋体" w:hAnsi="宋体" w:cs="宋体" w:eastAsia="宋体"/>
          <w:sz w:val="21"/>
        </w:rPr>
        <w:t>不锈钢耐高温耐腐蚀材料，直径为</w:t>
      </w:r>
      <w:r>
        <w:rPr>
          <w:rFonts w:ascii="calibri" w:hAnsi="calibri" w:cs="calibri" w:eastAsia="calibri"/>
          <w:sz w:val="21"/>
        </w:rPr>
        <w:t>200mm</w:t>
      </w:r>
      <w:r>
        <w:rPr>
          <w:rFonts w:ascii="宋体" w:hAnsi="宋体" w:cs="宋体" w:eastAsia="宋体"/>
          <w:sz w:val="21"/>
        </w:rPr>
        <w:t>，内壁厚≥</w:t>
      </w:r>
      <w:r>
        <w:rPr>
          <w:rFonts w:ascii="calibri" w:hAnsi="calibri" w:cs="calibri" w:eastAsia="calibri"/>
          <w:sz w:val="21"/>
        </w:rPr>
        <w:t>5mm</w:t>
      </w:r>
      <w:r>
        <w:rPr>
          <w:rFonts w:ascii="宋体" w:hAnsi="宋体" w:cs="宋体" w:eastAsia="宋体"/>
          <w:sz w:val="21"/>
        </w:rPr>
        <w:t>，中间为</w:t>
      </w:r>
      <w:r>
        <w:rPr>
          <w:rFonts w:ascii="calibri" w:hAnsi="calibri" w:cs="calibri" w:eastAsia="calibri"/>
          <w:sz w:val="21"/>
        </w:rPr>
        <w:t>50mm</w:t>
      </w:r>
      <w:r>
        <w:rPr>
          <w:rFonts w:ascii="宋体" w:hAnsi="宋体" w:cs="宋体" w:eastAsia="宋体"/>
          <w:sz w:val="21"/>
        </w:rPr>
        <w:t>的隔热层，持续耐温高于</w:t>
      </w:r>
      <w:r>
        <w:rPr>
          <w:rFonts w:ascii="calibri" w:hAnsi="calibri" w:cs="calibri" w:eastAsia="calibri"/>
          <w:sz w:val="21"/>
        </w:rPr>
        <w:t>1000</w:t>
      </w:r>
      <w:r>
        <w:rPr>
          <w:rFonts w:ascii="宋体" w:hAnsi="宋体" w:cs="宋体" w:eastAsia="宋体"/>
          <w:sz w:val="21"/>
        </w:rPr>
        <w:t>℃；能确保测试中集烟罩和排烟（吸烟）管道不因试样燃烧产生的高温烧毁；排烟管道满足不同风速（</w:t>
      </w: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10m/s</w:t>
      </w:r>
      <w:r>
        <w:rPr>
          <w:rFonts w:ascii="宋体" w:hAnsi="宋体" w:cs="宋体" w:eastAsia="宋体"/>
          <w:sz w:val="21"/>
        </w:rPr>
        <w:t>）下的全部燃烧高温烟气的采集</w:t>
      </w:r>
    </w:p>
    <w:p>
      <w:pPr>
        <w:pStyle w:val="null3"/>
        <w:ind w:firstLine="420"/>
      </w:pPr>
      <w:r>
        <w:rPr>
          <w:rFonts w:ascii="calibri" w:hAnsi="calibri" w:cs="calibri" w:eastAsia="calibri"/>
          <w:sz w:val="21"/>
        </w:rPr>
        <w:t>3</w:t>
      </w:r>
      <w:r>
        <w:rPr>
          <w:rFonts w:ascii="宋体" w:hAnsi="宋体" w:cs="宋体" w:eastAsia="宋体"/>
          <w:sz w:val="21"/>
        </w:rPr>
        <w:t>）测量段技术要求：（项号</w:t>
      </w:r>
      <w:r>
        <w:rPr>
          <w:rFonts w:ascii="calibri" w:hAnsi="calibri" w:cs="calibri" w:eastAsia="calibri"/>
          <w:sz w:val="21"/>
        </w:rPr>
        <w:t>12</w:t>
      </w:r>
      <w:r>
        <w:rPr>
          <w:rFonts w:ascii="宋体" w:hAnsi="宋体" w:cs="宋体" w:eastAsia="宋体"/>
          <w:sz w:val="21"/>
        </w:rPr>
        <w:t>）</w:t>
      </w:r>
    </w:p>
    <w:p>
      <w:pPr>
        <w:pStyle w:val="null3"/>
        <w:ind w:firstLine="420"/>
      </w:pPr>
      <w:r>
        <w:rPr>
          <w:rFonts w:ascii="宋体" w:hAnsi="宋体" w:cs="宋体" w:eastAsia="宋体"/>
          <w:sz w:val="21"/>
        </w:rPr>
        <w:t>由管道、差压测量压差测量、温度测量、烟雾浓度测量、流速分布因子测量、样气取样等组成；管道：采用双层管道，内壁采用</w:t>
      </w:r>
      <w:r>
        <w:rPr>
          <w:rFonts w:ascii="calibri" w:hAnsi="calibri" w:cs="calibri" w:eastAsia="calibri"/>
          <w:sz w:val="21"/>
        </w:rPr>
        <w:t>304</w:t>
      </w:r>
      <w:r>
        <w:rPr>
          <w:rFonts w:ascii="宋体" w:hAnsi="宋体" w:cs="宋体" w:eastAsia="宋体"/>
          <w:sz w:val="21"/>
        </w:rPr>
        <w:t>不锈钢耐高温耐腐蚀材料，直径为</w:t>
      </w:r>
      <w:r>
        <w:rPr>
          <w:rFonts w:ascii="calibri" w:hAnsi="calibri" w:cs="calibri" w:eastAsia="calibri"/>
          <w:sz w:val="21"/>
        </w:rPr>
        <w:t>400mm</w:t>
      </w:r>
      <w:r>
        <w:rPr>
          <w:rFonts w:ascii="宋体" w:hAnsi="宋体" w:cs="宋体" w:eastAsia="宋体"/>
          <w:sz w:val="21"/>
        </w:rPr>
        <w:t>，壁厚≥</w:t>
      </w:r>
      <w:r>
        <w:rPr>
          <w:rFonts w:ascii="calibri" w:hAnsi="calibri" w:cs="calibri" w:eastAsia="calibri"/>
          <w:sz w:val="21"/>
        </w:rPr>
        <w:t>2mm</w:t>
      </w:r>
      <w:r>
        <w:rPr>
          <w:rFonts w:ascii="宋体" w:hAnsi="宋体" w:cs="宋体" w:eastAsia="宋体"/>
          <w:sz w:val="21"/>
        </w:rPr>
        <w:t>，中间为</w:t>
      </w:r>
      <w:r>
        <w:rPr>
          <w:rFonts w:ascii="calibri" w:hAnsi="calibri" w:cs="calibri" w:eastAsia="calibri"/>
          <w:sz w:val="21"/>
        </w:rPr>
        <w:t>50mm</w:t>
      </w:r>
      <w:r>
        <w:rPr>
          <w:rFonts w:ascii="宋体" w:hAnsi="宋体" w:cs="宋体" w:eastAsia="宋体"/>
          <w:sz w:val="21"/>
        </w:rPr>
        <w:t>的隔热层；差压由双向探头，差压变送器和时间常数不大于</w:t>
      </w:r>
      <w:r>
        <w:rPr>
          <w:rFonts w:ascii="calibri" w:hAnsi="calibri" w:cs="calibri" w:eastAsia="calibri"/>
          <w:sz w:val="21"/>
        </w:rPr>
        <w:t>0.1S</w:t>
      </w:r>
      <w:r>
        <w:rPr>
          <w:rFonts w:ascii="宋体" w:hAnsi="宋体" w:cs="宋体" w:eastAsia="宋体"/>
          <w:sz w:val="21"/>
        </w:rPr>
        <w:t>的热电偶来测量，差压变送器选用电容型，分辨率高于±</w:t>
      </w:r>
      <w:r>
        <w:rPr>
          <w:rFonts w:ascii="calibri" w:hAnsi="calibri" w:cs="calibri" w:eastAsia="calibri"/>
          <w:sz w:val="21"/>
        </w:rPr>
        <w:t>1%Pa</w:t>
      </w:r>
      <w:r>
        <w:rPr>
          <w:rFonts w:ascii="宋体" w:hAnsi="宋体" w:cs="宋体" w:eastAsia="宋体"/>
          <w:sz w:val="21"/>
        </w:rPr>
        <w:t>，测量范围</w:t>
      </w: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2000 Pa</w:t>
      </w:r>
      <w:r>
        <w:rPr>
          <w:rFonts w:ascii="宋体" w:hAnsi="宋体" w:cs="宋体" w:eastAsia="宋体"/>
          <w:sz w:val="21"/>
        </w:rPr>
        <w:t>，测量误差小于</w:t>
      </w:r>
      <w:r>
        <w:rPr>
          <w:rFonts w:ascii="calibri" w:hAnsi="calibri" w:cs="calibri" w:eastAsia="calibri"/>
          <w:sz w:val="21"/>
        </w:rPr>
        <w:t>0.5 %</w:t>
      </w:r>
      <w:r>
        <w:rPr>
          <w:rFonts w:ascii="宋体" w:hAnsi="宋体" w:cs="宋体" w:eastAsia="宋体"/>
          <w:sz w:val="21"/>
        </w:rPr>
        <w:t>，温度测试范围：</w:t>
      </w:r>
      <w:r>
        <w:rPr>
          <w:rFonts w:ascii="calibri" w:hAnsi="calibri" w:cs="calibri" w:eastAsia="calibri"/>
          <w:sz w:val="21"/>
        </w:rPr>
        <w:t xml:space="preserve">0 </w:t>
      </w:r>
      <w:r>
        <w:rPr>
          <w:rFonts w:ascii="宋体" w:hAnsi="宋体" w:cs="宋体" w:eastAsia="宋体"/>
          <w:sz w:val="21"/>
        </w:rPr>
        <w:t>℃～</w:t>
      </w:r>
      <w:r>
        <w:rPr>
          <w:rFonts w:ascii="calibri" w:hAnsi="calibri" w:cs="calibri" w:eastAsia="calibri"/>
          <w:sz w:val="21"/>
        </w:rPr>
        <w:t xml:space="preserve">1200 </w:t>
      </w:r>
      <w:r>
        <w:rPr>
          <w:rFonts w:ascii="宋体" w:hAnsi="宋体" w:cs="宋体" w:eastAsia="宋体"/>
          <w:sz w:val="21"/>
        </w:rPr>
        <w:t xml:space="preserve">℃，测量精度 </w:t>
      </w:r>
      <w:r>
        <w:rPr>
          <w:rFonts w:ascii="calibri" w:hAnsi="calibri" w:cs="calibri" w:eastAsia="calibri"/>
          <w:sz w:val="21"/>
        </w:rPr>
        <w:t xml:space="preserve">0.1 </w:t>
      </w:r>
      <w:r>
        <w:rPr>
          <w:rFonts w:ascii="宋体" w:hAnsi="宋体" w:cs="宋体" w:eastAsia="宋体"/>
          <w:sz w:val="21"/>
        </w:rPr>
        <w:t>℃；</w:t>
      </w:r>
    </w:p>
    <w:p>
      <w:pPr>
        <w:pStyle w:val="null3"/>
        <w:ind w:firstLine="420"/>
      </w:pPr>
      <w:r>
        <w:rPr>
          <w:rFonts w:ascii="calibri" w:hAnsi="calibri" w:cs="calibri" w:eastAsia="calibri"/>
          <w:sz w:val="21"/>
        </w:rPr>
        <w:t>7.</w:t>
      </w:r>
      <w:r>
        <w:rPr>
          <w:rFonts w:ascii="宋体" w:hAnsi="宋体" w:cs="宋体" w:eastAsia="宋体"/>
          <w:sz w:val="21"/>
        </w:rPr>
        <w:t>高低压控制系统技术要求如下：</w:t>
      </w:r>
    </w:p>
    <w:p>
      <w:pPr>
        <w:pStyle w:val="null3"/>
        <w:ind w:firstLine="420"/>
      </w:pPr>
      <w:r>
        <w:rPr>
          <w:rFonts w:ascii="宋体" w:hAnsi="宋体" w:cs="宋体" w:eastAsia="宋体"/>
          <w:sz w:val="21"/>
        </w:rPr>
        <w:t>★</w:t>
      </w:r>
      <w:r>
        <w:rPr>
          <w:rFonts w:ascii="宋体" w:hAnsi="宋体" w:cs="宋体" w:eastAsia="宋体"/>
          <w:sz w:val="21"/>
        </w:rPr>
        <w:t>低压调节范围：</w:t>
      </w:r>
      <w:r>
        <w:rPr>
          <w:rFonts w:ascii="calibri" w:hAnsi="calibri" w:cs="calibri" w:eastAsia="calibri"/>
          <w:sz w:val="21"/>
        </w:rPr>
        <w:t>50kpa</w:t>
      </w:r>
      <w:r>
        <w:rPr>
          <w:rFonts w:ascii="宋体" w:hAnsi="宋体" w:cs="宋体" w:eastAsia="宋体"/>
          <w:sz w:val="21"/>
        </w:rPr>
        <w:t>～</w:t>
      </w:r>
      <w:r>
        <w:rPr>
          <w:rFonts w:ascii="calibri" w:hAnsi="calibri" w:cs="calibri" w:eastAsia="calibri"/>
          <w:sz w:val="21"/>
        </w:rPr>
        <w:t>101.3kpa</w:t>
      </w:r>
      <w:r>
        <w:rPr>
          <w:rFonts w:ascii="宋体" w:hAnsi="宋体" w:cs="宋体" w:eastAsia="宋体"/>
          <w:sz w:val="21"/>
        </w:rPr>
        <w:t>（标准大气压）。高压调整范围：</w:t>
      </w:r>
      <w:r>
        <w:rPr>
          <w:rFonts w:ascii="calibri" w:hAnsi="calibri" w:cs="calibri" w:eastAsia="calibri"/>
          <w:sz w:val="21"/>
        </w:rPr>
        <w:t>101.3kpa</w:t>
      </w:r>
      <w:r>
        <w:rPr>
          <w:rFonts w:ascii="宋体" w:hAnsi="宋体" w:cs="宋体" w:eastAsia="宋体"/>
          <w:sz w:val="21"/>
        </w:rPr>
        <w:t>～</w:t>
      </w:r>
      <w:r>
        <w:rPr>
          <w:rFonts w:ascii="calibri" w:hAnsi="calibri" w:cs="calibri" w:eastAsia="calibri"/>
          <w:sz w:val="21"/>
        </w:rPr>
        <w:t>405.2kpa</w:t>
      </w:r>
      <w:r>
        <w:rPr>
          <w:rFonts w:ascii="宋体" w:hAnsi="宋体" w:cs="宋体" w:eastAsia="宋体"/>
          <w:sz w:val="21"/>
        </w:rPr>
        <w:t>，分度间隔</w:t>
      </w:r>
      <w:r>
        <w:rPr>
          <w:rFonts w:ascii="calibri" w:hAnsi="calibri" w:cs="calibri" w:eastAsia="calibri"/>
          <w:sz w:val="21"/>
        </w:rPr>
        <w:t>10kPa</w:t>
      </w:r>
      <w:r>
        <w:rPr>
          <w:rFonts w:ascii="宋体" w:hAnsi="宋体" w:cs="宋体" w:eastAsia="宋体"/>
          <w:sz w:val="21"/>
        </w:rPr>
        <w:t>；真空泵组由变频器控制连续可调，真空度：</w:t>
      </w:r>
      <w:r>
        <w:rPr>
          <w:rFonts w:ascii="calibri" w:hAnsi="calibri" w:cs="calibri" w:eastAsia="calibri"/>
          <w:sz w:val="21"/>
        </w:rPr>
        <w:t>50kpa</w:t>
      </w:r>
      <w:r>
        <w:rPr>
          <w:rFonts w:ascii="宋体" w:hAnsi="宋体" w:cs="宋体" w:eastAsia="宋体"/>
          <w:sz w:val="21"/>
        </w:rPr>
        <w:t>（标准大气压</w:t>
      </w:r>
      <w:r>
        <w:rPr>
          <w:rFonts w:ascii="calibri" w:hAnsi="calibri" w:cs="calibri" w:eastAsia="calibri"/>
          <w:sz w:val="21"/>
        </w:rPr>
        <w:t>101.3kpa</w:t>
      </w:r>
      <w:r>
        <w:rPr>
          <w:rFonts w:ascii="宋体" w:hAnsi="宋体" w:cs="宋体" w:eastAsia="宋体"/>
          <w:sz w:val="21"/>
        </w:rPr>
        <w:t>），真空量：</w:t>
      </w:r>
      <w:r>
        <w:rPr>
          <w:rFonts w:ascii="calibri" w:hAnsi="calibri" w:cs="calibri" w:eastAsia="calibri"/>
          <w:sz w:val="21"/>
        </w:rPr>
        <w:t>2160 m</w:t>
      </w:r>
      <w:r>
        <w:rPr>
          <w:rFonts w:ascii="calibri" w:hAnsi="calibri" w:cs="calibri" w:eastAsia="calibri"/>
          <w:sz w:val="21"/>
          <w:vertAlign w:val="superscript"/>
        </w:rPr>
        <w:t>3</w:t>
      </w:r>
      <w:r>
        <w:rPr>
          <w:rFonts w:ascii="calibri" w:hAnsi="calibri" w:cs="calibri" w:eastAsia="calibri"/>
          <w:sz w:val="21"/>
        </w:rPr>
        <w:t>/h</w:t>
      </w:r>
      <w:r>
        <w:rPr>
          <w:rFonts w:ascii="宋体" w:hAnsi="宋体" w:cs="宋体" w:eastAsia="宋体"/>
          <w:sz w:val="21"/>
        </w:rPr>
        <w:t>，功率：</w:t>
      </w:r>
      <w:r>
        <w:rPr>
          <w:rFonts w:ascii="calibri" w:hAnsi="calibri" w:cs="calibri" w:eastAsia="calibri"/>
          <w:sz w:val="21"/>
        </w:rPr>
        <w:t>55 KW</w:t>
      </w:r>
      <w:r>
        <w:rPr>
          <w:rFonts w:ascii="宋体" w:hAnsi="宋体" w:cs="宋体" w:eastAsia="宋体"/>
          <w:sz w:val="21"/>
        </w:rPr>
        <w:t>，吸排气口径：</w:t>
      </w:r>
      <w:r>
        <w:rPr>
          <w:rFonts w:ascii="calibri" w:hAnsi="calibri" w:cs="calibri" w:eastAsia="calibri"/>
          <w:sz w:val="21"/>
        </w:rPr>
        <w:t>DN200.</w:t>
      </w:r>
    </w:p>
    <w:p>
      <w:pPr>
        <w:pStyle w:val="null3"/>
        <w:numPr>
          <w:ilvl w:val="0"/>
          <w:numId w:val="1"/>
        </w:numPr>
      </w:pPr>
      <w:r>
        <w:rPr>
          <w:rFonts w:ascii="宋体" w:hAnsi="宋体" w:cs="宋体" w:eastAsia="宋体"/>
          <w:sz w:val="21"/>
        </w:rPr>
        <w:t>高压控制：采用永磁变频螺杆空压机控制舱内高压，功率</w:t>
      </w:r>
      <w:r>
        <w:rPr>
          <w:rFonts w:ascii="calibri" w:hAnsi="calibri" w:cs="calibri" w:eastAsia="calibri"/>
          <w:sz w:val="21"/>
        </w:rPr>
        <w:t>55Kw</w:t>
      </w:r>
      <w:r>
        <w:rPr>
          <w:rFonts w:ascii="宋体" w:hAnsi="宋体" w:cs="宋体" w:eastAsia="宋体"/>
          <w:sz w:val="21"/>
        </w:rPr>
        <w:t>，供气量</w:t>
      </w:r>
      <w:r>
        <w:rPr>
          <w:rFonts w:ascii="calibri" w:hAnsi="calibri" w:cs="calibri" w:eastAsia="calibri"/>
          <w:sz w:val="21"/>
        </w:rPr>
        <w:t>8</w:t>
      </w:r>
      <w:r>
        <w:rPr>
          <w:rFonts w:ascii="宋体" w:hAnsi="宋体" w:cs="宋体" w:eastAsia="宋体"/>
          <w:sz w:val="21"/>
        </w:rPr>
        <w:t>～</w:t>
      </w:r>
      <w:r>
        <w:rPr>
          <w:rFonts w:ascii="calibri" w:hAnsi="calibri" w:cs="calibri" w:eastAsia="calibri"/>
          <w:sz w:val="21"/>
        </w:rPr>
        <w:t>10.2</w:t>
      </w:r>
      <w:r>
        <w:rPr>
          <w:rFonts w:ascii="宋体" w:hAnsi="宋体" w:cs="宋体" w:eastAsia="宋体"/>
          <w:sz w:val="21"/>
        </w:rPr>
        <w:t>㎡</w:t>
      </w:r>
      <w:r>
        <w:rPr>
          <w:rFonts w:ascii="calibri" w:hAnsi="calibri" w:cs="calibri" w:eastAsia="calibri"/>
          <w:sz w:val="21"/>
        </w:rPr>
        <w:t>/min,</w:t>
      </w:r>
      <w:r>
        <w:rPr>
          <w:rFonts w:ascii="宋体" w:hAnsi="宋体" w:cs="宋体" w:eastAsia="宋体"/>
          <w:sz w:val="21"/>
        </w:rPr>
        <w:t>排气压力：</w:t>
      </w:r>
      <w:r>
        <w:rPr>
          <w:rFonts w:ascii="calibri" w:hAnsi="calibri" w:cs="calibri" w:eastAsia="calibri"/>
          <w:sz w:val="21"/>
        </w:rPr>
        <w:t>0.7</w:t>
      </w:r>
      <w:r>
        <w:rPr>
          <w:rFonts w:ascii="宋体" w:hAnsi="宋体" w:cs="宋体" w:eastAsia="宋体"/>
          <w:sz w:val="21"/>
        </w:rPr>
        <w:t>～</w:t>
      </w:r>
      <w:r>
        <w:rPr>
          <w:rFonts w:ascii="calibri" w:hAnsi="calibri" w:cs="calibri" w:eastAsia="calibri"/>
          <w:sz w:val="21"/>
        </w:rPr>
        <w:t>1.25MPa,</w:t>
      </w:r>
      <w:r>
        <w:rPr>
          <w:rFonts w:ascii="宋体" w:hAnsi="宋体" w:cs="宋体" w:eastAsia="宋体"/>
          <w:sz w:val="21"/>
        </w:rPr>
        <w:t>冷却方式：风冷</w:t>
      </w:r>
      <w:r>
        <w:rPr>
          <w:rFonts w:ascii="calibri" w:hAnsi="calibri" w:cs="calibri" w:eastAsia="calibri"/>
          <w:sz w:val="21"/>
        </w:rPr>
        <w:t>/</w:t>
      </w:r>
      <w:r>
        <w:rPr>
          <w:rFonts w:ascii="宋体" w:hAnsi="宋体" w:cs="宋体" w:eastAsia="宋体"/>
          <w:sz w:val="21"/>
        </w:rPr>
        <w:t>水冷</w:t>
      </w:r>
      <w:r>
        <w:rPr>
          <w:rFonts w:ascii="calibri" w:hAnsi="calibri" w:cs="calibri" w:eastAsia="calibri"/>
          <w:sz w:val="21"/>
        </w:rPr>
        <w:t>,</w:t>
      </w:r>
      <w:r>
        <w:rPr>
          <w:rFonts w:ascii="宋体" w:hAnsi="宋体" w:cs="宋体" w:eastAsia="宋体"/>
          <w:sz w:val="21"/>
        </w:rPr>
        <w:t>压力控制精度：±</w:t>
      </w:r>
      <w:r>
        <w:rPr>
          <w:rFonts w:ascii="calibri" w:hAnsi="calibri" w:cs="calibri" w:eastAsia="calibri"/>
          <w:sz w:val="21"/>
        </w:rPr>
        <w:t>3%,</w:t>
      </w:r>
      <w:r>
        <w:rPr>
          <w:rFonts w:ascii="宋体" w:hAnsi="宋体" w:cs="宋体" w:eastAsia="宋体"/>
          <w:sz w:val="21"/>
        </w:rPr>
        <w:t>压力稳定时间：≤</w:t>
      </w:r>
      <w:r>
        <w:rPr>
          <w:rFonts w:ascii="calibri" w:hAnsi="calibri" w:cs="calibri" w:eastAsia="calibri"/>
          <w:sz w:val="21"/>
        </w:rPr>
        <w:t>5min,</w:t>
      </w:r>
      <w:r>
        <w:rPr>
          <w:rFonts w:ascii="宋体" w:hAnsi="宋体" w:cs="宋体" w:eastAsia="宋体"/>
          <w:sz w:val="21"/>
        </w:rPr>
        <w:t>可设定</w:t>
      </w:r>
      <w:r>
        <w:rPr>
          <w:rFonts w:ascii="calibri" w:hAnsi="calibri" w:cs="calibri" w:eastAsia="calibri"/>
          <w:sz w:val="21"/>
        </w:rPr>
        <w:t>10min</w:t>
      </w:r>
      <w:r>
        <w:rPr>
          <w:rFonts w:ascii="宋体" w:hAnsi="宋体" w:cs="宋体" w:eastAsia="宋体"/>
          <w:sz w:val="21"/>
        </w:rPr>
        <w:t>、</w:t>
      </w:r>
      <w:r>
        <w:rPr>
          <w:rFonts w:ascii="calibri" w:hAnsi="calibri" w:cs="calibri" w:eastAsia="calibri"/>
          <w:sz w:val="21"/>
        </w:rPr>
        <w:t>20min</w:t>
      </w:r>
      <w:r>
        <w:rPr>
          <w:rFonts w:ascii="宋体" w:hAnsi="宋体" w:cs="宋体" w:eastAsia="宋体"/>
          <w:sz w:val="21"/>
        </w:rPr>
        <w:t>、</w:t>
      </w:r>
      <w:r>
        <w:rPr>
          <w:rFonts w:ascii="calibri" w:hAnsi="calibri" w:cs="calibri" w:eastAsia="calibri"/>
          <w:sz w:val="21"/>
        </w:rPr>
        <w:t>30min</w:t>
      </w:r>
      <w:r>
        <w:rPr>
          <w:rFonts w:ascii="宋体" w:hAnsi="宋体" w:cs="宋体" w:eastAsia="宋体"/>
          <w:sz w:val="21"/>
        </w:rPr>
        <w:t>稳压时间。（项号</w:t>
      </w:r>
      <w:r>
        <w:rPr>
          <w:rFonts w:ascii="calibri" w:hAnsi="calibri" w:cs="calibri" w:eastAsia="calibri"/>
          <w:sz w:val="21"/>
        </w:rPr>
        <w:t>13</w:t>
      </w:r>
      <w:r>
        <w:rPr>
          <w:rFonts w:ascii="宋体" w:hAnsi="宋体" w:cs="宋体" w:eastAsia="宋体"/>
          <w:sz w:val="21"/>
        </w:rPr>
        <w:t>）</w:t>
      </w:r>
    </w:p>
    <w:p>
      <w:pPr>
        <w:pStyle w:val="null3"/>
        <w:numPr>
          <w:ilvl w:val="0"/>
          <w:numId w:val="1"/>
        </w:numPr>
      </w:pPr>
      <w:r>
        <w:rPr>
          <w:rFonts w:ascii="宋体" w:hAnsi="宋体" w:cs="宋体" w:eastAsia="宋体"/>
          <w:sz w:val="21"/>
        </w:rPr>
        <w:t>低氧控制：采用氮气瓶，采用质量流量计由计算机执行自动控制舱内氧气浓度，（项号</w:t>
      </w:r>
      <w:r>
        <w:rPr>
          <w:rFonts w:ascii="calibri" w:hAnsi="calibri" w:cs="calibri" w:eastAsia="calibri"/>
          <w:sz w:val="21"/>
        </w:rPr>
        <w:t>14</w:t>
      </w:r>
      <w:r>
        <w:rPr>
          <w:rFonts w:ascii="宋体" w:hAnsi="宋体" w:cs="宋体" w:eastAsia="宋体"/>
          <w:sz w:val="21"/>
        </w:rPr>
        <w:t>）</w:t>
      </w:r>
    </w:p>
    <w:p>
      <w:pPr>
        <w:pStyle w:val="null3"/>
        <w:numPr>
          <w:ilvl w:val="0"/>
          <w:numId w:val="1"/>
        </w:numPr>
      </w:pPr>
      <w:r>
        <w:rPr>
          <w:rFonts w:ascii="宋体" w:hAnsi="宋体" w:cs="宋体" w:eastAsia="宋体"/>
          <w:sz w:val="21"/>
        </w:rPr>
        <w:t>模拟火源的标准点火器壳体选用</w:t>
      </w:r>
      <w:r>
        <w:rPr>
          <w:rFonts w:ascii="calibri" w:hAnsi="calibri" w:cs="calibri" w:eastAsia="calibri"/>
          <w:sz w:val="21"/>
        </w:rPr>
        <w:t>1.0mm</w:t>
      </w:r>
      <w:r>
        <w:rPr>
          <w:rFonts w:ascii="宋体" w:hAnsi="宋体" w:cs="宋体" w:eastAsia="宋体"/>
          <w:sz w:val="21"/>
        </w:rPr>
        <w:t>钢板焊制，尺寸</w:t>
      </w:r>
      <w:r>
        <w:rPr>
          <w:rFonts w:ascii="calibri" w:hAnsi="calibri" w:cs="calibri" w:eastAsia="calibri"/>
          <w:sz w:val="21"/>
        </w:rPr>
        <w:t>170</w:t>
      </w:r>
      <w:r>
        <w:rPr>
          <w:rFonts w:ascii="宋体" w:hAnsi="宋体" w:cs="宋体" w:eastAsia="宋体"/>
          <w:sz w:val="21"/>
        </w:rPr>
        <w:t>×</w:t>
      </w:r>
      <w:r>
        <w:rPr>
          <w:rFonts w:ascii="calibri" w:hAnsi="calibri" w:cs="calibri" w:eastAsia="calibri"/>
          <w:sz w:val="21"/>
        </w:rPr>
        <w:t>170</w:t>
      </w:r>
      <w:r>
        <w:rPr>
          <w:rFonts w:ascii="宋体" w:hAnsi="宋体" w:cs="宋体" w:eastAsia="宋体"/>
          <w:sz w:val="21"/>
        </w:rPr>
        <w:t>×</w:t>
      </w:r>
      <w:r>
        <w:rPr>
          <w:rFonts w:ascii="calibri" w:hAnsi="calibri" w:cs="calibri" w:eastAsia="calibri"/>
          <w:sz w:val="21"/>
        </w:rPr>
        <w:t>145mm</w:t>
      </w:r>
      <w:r>
        <w:rPr>
          <w:rFonts w:ascii="宋体" w:hAnsi="宋体" w:cs="宋体" w:eastAsia="宋体"/>
          <w:sz w:val="21"/>
        </w:rPr>
        <w:t>，壳体由金属网分为上下两层，分别填装鹅卵石和砂子，下层鹅卵石的填装高度为</w:t>
      </w:r>
      <w:r>
        <w:rPr>
          <w:rFonts w:ascii="calibri" w:hAnsi="calibri" w:cs="calibri" w:eastAsia="calibri"/>
          <w:sz w:val="21"/>
        </w:rPr>
        <w:t>100mm</w:t>
      </w:r>
      <w:r>
        <w:rPr>
          <w:rFonts w:ascii="宋体" w:hAnsi="宋体" w:cs="宋体" w:eastAsia="宋体"/>
          <w:sz w:val="21"/>
        </w:rPr>
        <w:t>，上层为砂子与点火器上缘齐平，砂的粒径</w:t>
      </w:r>
      <w:r>
        <w:rPr>
          <w:rFonts w:ascii="calibri" w:hAnsi="calibri" w:cs="calibri" w:eastAsia="calibri"/>
          <w:sz w:val="21"/>
        </w:rPr>
        <w:t>2-3mm</w:t>
      </w:r>
      <w:r>
        <w:rPr>
          <w:rFonts w:ascii="宋体" w:hAnsi="宋体" w:cs="宋体" w:eastAsia="宋体"/>
          <w:sz w:val="21"/>
        </w:rPr>
        <w:t>，鹅卵石的粒径为</w:t>
      </w:r>
      <w:r>
        <w:rPr>
          <w:rFonts w:ascii="calibri" w:hAnsi="calibri" w:cs="calibri" w:eastAsia="calibri"/>
          <w:sz w:val="21"/>
        </w:rPr>
        <w:t>4-8mm</w:t>
      </w:r>
      <w:r>
        <w:rPr>
          <w:rFonts w:ascii="宋体" w:hAnsi="宋体" w:cs="宋体" w:eastAsia="宋体"/>
          <w:sz w:val="21"/>
        </w:rPr>
        <w:t>；供气系统：由丙烷瓶组、减压器、稳压器、燃气紧急切断装置、质量流量计、输气管道等组成。气源：由纯度不少于</w:t>
      </w:r>
      <w:r>
        <w:rPr>
          <w:rFonts w:ascii="calibri" w:hAnsi="calibri" w:cs="calibri" w:eastAsia="calibri"/>
          <w:sz w:val="21"/>
        </w:rPr>
        <w:t>95%</w:t>
      </w:r>
      <w:r>
        <w:rPr>
          <w:rFonts w:ascii="宋体" w:hAnsi="宋体" w:cs="宋体" w:eastAsia="宋体"/>
          <w:sz w:val="21"/>
        </w:rPr>
        <w:t>的液态丙烷；点火：采用远程自动电子点火系统。（项号</w:t>
      </w:r>
      <w:r>
        <w:rPr>
          <w:rFonts w:ascii="calibri" w:hAnsi="calibri" w:cs="calibri" w:eastAsia="calibri"/>
          <w:sz w:val="21"/>
        </w:rPr>
        <w:t>15</w:t>
      </w:r>
      <w:r>
        <w:rPr>
          <w:rFonts w:ascii="宋体" w:hAnsi="宋体" w:cs="宋体" w:eastAsia="宋体"/>
          <w:sz w:val="21"/>
        </w:rPr>
        <w:t>）</w:t>
      </w:r>
    </w:p>
    <w:p>
      <w:pPr>
        <w:pStyle w:val="null3"/>
        <w:ind w:firstLine="420"/>
      </w:pPr>
      <w:r>
        <w:rPr>
          <w:rFonts w:ascii="calibri" w:hAnsi="calibri" w:cs="calibri" w:eastAsia="calibri"/>
          <w:sz w:val="21"/>
        </w:rPr>
        <w:t>8.</w:t>
      </w:r>
      <w:r>
        <w:rPr>
          <w:rFonts w:ascii="宋体" w:hAnsi="宋体" w:cs="宋体" w:eastAsia="宋体"/>
          <w:sz w:val="21"/>
        </w:rPr>
        <w:t>气体分析系统技术要求如下：</w:t>
      </w:r>
    </w:p>
    <w:p>
      <w:pPr>
        <w:pStyle w:val="null3"/>
        <w:ind w:firstLine="420"/>
      </w:pPr>
      <w:r>
        <w:rPr>
          <w:rFonts w:ascii="calibri" w:hAnsi="calibri" w:cs="calibri" w:eastAsia="calibri"/>
          <w:sz w:val="21"/>
        </w:rPr>
        <w:t>1</w:t>
      </w:r>
      <w:r>
        <w:rPr>
          <w:rFonts w:ascii="宋体" w:hAnsi="宋体" w:cs="宋体" w:eastAsia="宋体"/>
          <w:sz w:val="21"/>
        </w:rPr>
        <w:t>）气体取样系统：气体取样系统由取样管、两级过滤器、冷凝器、不锈钢导管、取样泵、样气分配器等组成。取样管应选用不锈钢管制造，取样泵容量为</w:t>
      </w:r>
      <w:r>
        <w:rPr>
          <w:rFonts w:ascii="calibri" w:hAnsi="calibri" w:cs="calibri" w:eastAsia="calibri"/>
          <w:sz w:val="21"/>
        </w:rPr>
        <w:t>10</w:t>
      </w:r>
      <w:r>
        <w:rPr>
          <w:rFonts w:ascii="宋体" w:hAnsi="宋体" w:cs="宋体" w:eastAsia="宋体"/>
          <w:sz w:val="21"/>
        </w:rPr>
        <w:t>～</w:t>
      </w:r>
      <w:r>
        <w:rPr>
          <w:rFonts w:ascii="calibri" w:hAnsi="calibri" w:cs="calibri" w:eastAsia="calibri"/>
          <w:sz w:val="21"/>
        </w:rPr>
        <w:t>50L/min</w:t>
      </w:r>
      <w:r>
        <w:rPr>
          <w:rFonts w:ascii="宋体" w:hAnsi="宋体" w:cs="宋体" w:eastAsia="宋体"/>
          <w:sz w:val="21"/>
        </w:rPr>
        <w:t>，每一气体分析仪消耗为</w:t>
      </w:r>
      <w:r>
        <w:rPr>
          <w:rFonts w:ascii="calibri" w:hAnsi="calibri" w:cs="calibri" w:eastAsia="calibri"/>
          <w:sz w:val="21"/>
        </w:rPr>
        <w:t>1L/min</w:t>
      </w:r>
      <w:r>
        <w:rPr>
          <w:rFonts w:ascii="宋体" w:hAnsi="宋体" w:cs="宋体" w:eastAsia="宋体"/>
          <w:sz w:val="21"/>
        </w:rPr>
        <w:t>，泵所产生的压差约为</w:t>
      </w:r>
      <w:r>
        <w:rPr>
          <w:rFonts w:ascii="calibri" w:hAnsi="calibri" w:cs="calibri" w:eastAsia="calibri"/>
          <w:sz w:val="21"/>
        </w:rPr>
        <w:t>10KPa</w:t>
      </w:r>
      <w:r>
        <w:rPr>
          <w:rFonts w:ascii="宋体" w:hAnsi="宋体" w:cs="宋体" w:eastAsia="宋体"/>
          <w:sz w:val="21"/>
        </w:rPr>
        <w:t>。（项号</w:t>
      </w:r>
      <w:r>
        <w:rPr>
          <w:rFonts w:ascii="calibri" w:hAnsi="calibri" w:cs="calibri" w:eastAsia="calibri"/>
          <w:sz w:val="21"/>
        </w:rPr>
        <w:t>16</w:t>
      </w:r>
      <w:r>
        <w:rPr>
          <w:rFonts w:ascii="宋体" w:hAnsi="宋体" w:cs="宋体" w:eastAsia="宋体"/>
          <w:sz w:val="21"/>
        </w:rPr>
        <w:t>）</w:t>
      </w:r>
    </w:p>
    <w:p>
      <w:pPr>
        <w:pStyle w:val="null3"/>
        <w:ind w:firstLine="420"/>
      </w:pPr>
      <w:r>
        <w:rPr>
          <w:rFonts w:ascii="calibri" w:hAnsi="calibri" w:cs="calibri" w:eastAsia="calibri"/>
          <w:sz w:val="21"/>
        </w:rPr>
        <w:t>2</w:t>
      </w:r>
      <w:r>
        <w:rPr>
          <w:rFonts w:ascii="宋体" w:hAnsi="宋体" w:cs="宋体" w:eastAsia="宋体"/>
          <w:sz w:val="21"/>
        </w:rPr>
        <w:t>）气体分析仪器：</w:t>
      </w:r>
    </w:p>
    <w:p>
      <w:pPr>
        <w:pStyle w:val="null3"/>
        <w:ind w:firstLine="420"/>
      </w:pPr>
      <w:r>
        <w:rPr>
          <w:rFonts w:ascii="calibri" w:hAnsi="calibri" w:cs="calibri" w:eastAsia="calibri"/>
          <w:sz w:val="21"/>
        </w:rPr>
        <w:t>a.</w:t>
      </w:r>
      <w:r>
        <w:rPr>
          <w:rFonts w:ascii="宋体" w:hAnsi="宋体" w:cs="宋体" w:eastAsia="宋体"/>
          <w:sz w:val="21"/>
        </w:rPr>
        <w:t>氧气：测量范围</w:t>
      </w:r>
      <w:r>
        <w:rPr>
          <w:rFonts w:ascii="calibri" w:hAnsi="calibri" w:cs="calibri" w:eastAsia="calibri"/>
          <w:sz w:val="21"/>
        </w:rPr>
        <w:t xml:space="preserve">0-25% </w:t>
      </w:r>
      <w:r>
        <w:rPr>
          <w:rFonts w:ascii="宋体" w:hAnsi="宋体" w:cs="宋体" w:eastAsia="宋体"/>
          <w:sz w:val="21"/>
        </w:rPr>
        <w:t>，测量原理：机械顺磁 （顺磁性传感器），精度：</w:t>
      </w:r>
      <w:r>
        <w:rPr>
          <w:rFonts w:ascii="calibri" w:hAnsi="calibri" w:cs="calibri" w:eastAsia="calibri"/>
          <w:sz w:val="21"/>
        </w:rPr>
        <w:t>0.02%FS</w:t>
      </w:r>
      <w:r>
        <w:rPr>
          <w:rFonts w:ascii="宋体" w:hAnsi="宋体" w:cs="宋体" w:eastAsia="宋体"/>
          <w:sz w:val="21"/>
        </w:rPr>
        <w:t xml:space="preserve">，线性度： </w:t>
      </w:r>
      <w:r>
        <w:rPr>
          <w:rFonts w:ascii="calibri" w:hAnsi="calibri" w:cs="calibri" w:eastAsia="calibri"/>
          <w:sz w:val="21"/>
        </w:rPr>
        <w:t xml:space="preserve">&lt;0.1% </w:t>
      </w:r>
      <w:r>
        <w:rPr>
          <w:rFonts w:ascii="宋体" w:hAnsi="宋体" w:cs="宋体" w:eastAsia="宋体"/>
          <w:sz w:val="21"/>
        </w:rPr>
        <w:t>，重复性：</w:t>
      </w:r>
      <w:r>
        <w:rPr>
          <w:rFonts w:ascii="calibri" w:hAnsi="calibri" w:cs="calibri" w:eastAsia="calibri"/>
          <w:sz w:val="21"/>
        </w:rPr>
        <w:t>&lt;</w:t>
      </w:r>
      <w:r>
        <w:rPr>
          <w:rFonts w:ascii="宋体" w:hAnsi="宋体" w:cs="宋体" w:eastAsia="宋体"/>
          <w:sz w:val="21"/>
        </w:rPr>
        <w:t>读数的</w:t>
      </w:r>
      <w:r>
        <w:rPr>
          <w:rFonts w:ascii="calibri" w:hAnsi="calibri" w:cs="calibri" w:eastAsia="calibri"/>
          <w:sz w:val="21"/>
        </w:rPr>
        <w:t>0.1%</w:t>
      </w:r>
      <w:r>
        <w:rPr>
          <w:rFonts w:ascii="宋体" w:hAnsi="宋体" w:cs="宋体" w:eastAsia="宋体"/>
          <w:sz w:val="21"/>
        </w:rPr>
        <w:t>，零点漂移</w:t>
      </w:r>
      <w:r>
        <w:rPr>
          <w:rFonts w:ascii="calibri" w:hAnsi="calibri" w:cs="calibri" w:eastAsia="calibri"/>
          <w:sz w:val="21"/>
        </w:rPr>
        <w:t>/h</w:t>
      </w:r>
      <w:r>
        <w:rPr>
          <w:rFonts w:ascii="宋体" w:hAnsi="宋体" w:cs="宋体" w:eastAsia="宋体"/>
          <w:sz w:val="21"/>
        </w:rPr>
        <w:t>：</w:t>
      </w:r>
      <w:r>
        <w:rPr>
          <w:rFonts w:ascii="calibri" w:hAnsi="calibri" w:cs="calibri" w:eastAsia="calibri"/>
          <w:sz w:val="21"/>
        </w:rPr>
        <w:t>&lt;0.002%</w:t>
      </w:r>
      <w:r>
        <w:rPr>
          <w:rFonts w:ascii="宋体" w:hAnsi="宋体" w:cs="宋体" w:eastAsia="宋体"/>
          <w:sz w:val="21"/>
        </w:rPr>
        <w:t>，量程漂移</w:t>
      </w:r>
      <w:r>
        <w:rPr>
          <w:rFonts w:ascii="calibri" w:hAnsi="calibri" w:cs="calibri" w:eastAsia="calibri"/>
          <w:sz w:val="21"/>
        </w:rPr>
        <w:t>/h</w:t>
      </w:r>
      <w:r>
        <w:rPr>
          <w:rFonts w:ascii="宋体" w:hAnsi="宋体" w:cs="宋体" w:eastAsia="宋体"/>
          <w:sz w:val="21"/>
        </w:rPr>
        <w:t>：</w:t>
      </w:r>
      <w:r>
        <w:rPr>
          <w:rFonts w:ascii="calibri" w:hAnsi="calibri" w:cs="calibri" w:eastAsia="calibri"/>
          <w:sz w:val="21"/>
        </w:rPr>
        <w:t>&lt;0.002%</w:t>
      </w:r>
      <w:r>
        <w:rPr>
          <w:rFonts w:ascii="宋体" w:hAnsi="宋体" w:cs="宋体" w:eastAsia="宋体"/>
          <w:sz w:val="21"/>
        </w:rPr>
        <w:t>。（项号</w:t>
      </w:r>
      <w:r>
        <w:rPr>
          <w:rFonts w:ascii="calibri" w:hAnsi="calibri" w:cs="calibri" w:eastAsia="calibri"/>
          <w:sz w:val="21"/>
        </w:rPr>
        <w:t>17</w:t>
      </w:r>
      <w:r>
        <w:rPr>
          <w:rFonts w:ascii="宋体" w:hAnsi="宋体" w:cs="宋体" w:eastAsia="宋体"/>
          <w:sz w:val="21"/>
        </w:rPr>
        <w:t>）</w:t>
      </w:r>
    </w:p>
    <w:p>
      <w:pPr>
        <w:pStyle w:val="null3"/>
        <w:ind w:firstLine="420"/>
      </w:pPr>
      <w:r>
        <w:rPr>
          <w:rFonts w:ascii="calibri" w:hAnsi="calibri" w:cs="calibri" w:eastAsia="calibri"/>
          <w:sz w:val="21"/>
        </w:rPr>
        <w:t>b.</w:t>
      </w:r>
      <w:r>
        <w:rPr>
          <w:rFonts w:ascii="宋体" w:hAnsi="宋体" w:cs="宋体" w:eastAsia="宋体"/>
          <w:sz w:val="21"/>
        </w:rPr>
        <w:t>二氧化碳、一氧化碳（德国模块）测量：测量原理为红外传感器，</w:t>
      </w:r>
      <w:r>
        <w:rPr>
          <w:rFonts w:ascii="calibri" w:hAnsi="calibri" w:cs="calibri" w:eastAsia="calibri"/>
          <w:sz w:val="21"/>
        </w:rPr>
        <w:t>CO2</w:t>
      </w:r>
      <w:r>
        <w:rPr>
          <w:rFonts w:ascii="宋体" w:hAnsi="宋体" w:cs="宋体" w:eastAsia="宋体"/>
          <w:sz w:val="21"/>
        </w:rPr>
        <w:t>、</w:t>
      </w:r>
      <w:r>
        <w:rPr>
          <w:rFonts w:ascii="calibri" w:hAnsi="calibri" w:cs="calibri" w:eastAsia="calibri"/>
          <w:sz w:val="21"/>
        </w:rPr>
        <w:t>CO</w:t>
      </w:r>
      <w:r>
        <w:rPr>
          <w:rFonts w:ascii="宋体" w:hAnsi="宋体" w:cs="宋体" w:eastAsia="宋体"/>
          <w:sz w:val="21"/>
        </w:rPr>
        <w:t>测量范围：</w:t>
      </w:r>
      <w:r>
        <w:rPr>
          <w:rFonts w:ascii="calibri" w:hAnsi="calibri" w:cs="calibri" w:eastAsia="calibri"/>
          <w:sz w:val="21"/>
        </w:rPr>
        <w:t>0</w:t>
      </w:r>
      <w:r>
        <w:rPr>
          <w:rFonts w:ascii="宋体" w:hAnsi="宋体" w:cs="宋体" w:eastAsia="宋体"/>
          <w:sz w:val="21"/>
        </w:rPr>
        <w:t>－</w:t>
      </w:r>
      <w:r>
        <w:rPr>
          <w:rFonts w:ascii="calibri" w:hAnsi="calibri" w:cs="calibri" w:eastAsia="calibri"/>
          <w:sz w:val="21"/>
        </w:rPr>
        <w:t>10%</w:t>
      </w:r>
      <w:r>
        <w:rPr>
          <w:rFonts w:ascii="宋体" w:hAnsi="宋体" w:cs="宋体" w:eastAsia="宋体"/>
          <w:sz w:val="21"/>
        </w:rPr>
        <w:t>，精度：</w:t>
      </w:r>
      <w:r>
        <w:rPr>
          <w:rFonts w:ascii="calibri" w:hAnsi="calibri" w:cs="calibri" w:eastAsia="calibri"/>
          <w:sz w:val="21"/>
        </w:rPr>
        <w:t xml:space="preserve">1%FS  </w:t>
      </w:r>
      <w:r>
        <w:rPr>
          <w:rFonts w:ascii="宋体" w:hAnsi="宋体" w:cs="宋体" w:eastAsia="宋体"/>
          <w:sz w:val="21"/>
        </w:rPr>
        <w:t>响应时间</w:t>
      </w:r>
      <w:r>
        <w:rPr>
          <w:rFonts w:ascii="calibri" w:hAnsi="calibri" w:cs="calibri" w:eastAsia="calibri"/>
          <w:sz w:val="21"/>
        </w:rPr>
        <w:t>T90&lt;8S</w:t>
      </w:r>
      <w:r>
        <w:rPr>
          <w:rFonts w:ascii="宋体" w:hAnsi="宋体" w:cs="宋体" w:eastAsia="宋体"/>
          <w:sz w:val="21"/>
        </w:rPr>
        <w:t>，线性度：</w:t>
      </w:r>
      <w:r>
        <w:rPr>
          <w:rFonts w:ascii="calibri" w:hAnsi="calibri" w:cs="calibri" w:eastAsia="calibri"/>
          <w:sz w:val="21"/>
        </w:rPr>
        <w:t>&lt;</w:t>
      </w:r>
      <w:r>
        <w:rPr>
          <w:rFonts w:ascii="宋体" w:hAnsi="宋体" w:cs="宋体" w:eastAsia="宋体"/>
          <w:sz w:val="21"/>
        </w:rPr>
        <w:t>量程的</w:t>
      </w:r>
      <w:r>
        <w:rPr>
          <w:rFonts w:ascii="calibri" w:hAnsi="calibri" w:cs="calibri" w:eastAsia="calibri"/>
          <w:sz w:val="21"/>
        </w:rPr>
        <w:t>1%</w:t>
      </w:r>
      <w:r>
        <w:rPr>
          <w:rFonts w:ascii="宋体" w:hAnsi="宋体" w:cs="宋体" w:eastAsia="宋体"/>
          <w:sz w:val="21"/>
        </w:rPr>
        <w:t>，重复性：</w:t>
      </w:r>
      <w:r>
        <w:rPr>
          <w:rFonts w:ascii="calibri" w:hAnsi="calibri" w:cs="calibri" w:eastAsia="calibri"/>
          <w:sz w:val="21"/>
        </w:rPr>
        <w:t>&lt;</w:t>
      </w:r>
      <w:r>
        <w:rPr>
          <w:rFonts w:ascii="宋体" w:hAnsi="宋体" w:cs="宋体" w:eastAsia="宋体"/>
          <w:sz w:val="21"/>
        </w:rPr>
        <w:t>量程的</w:t>
      </w:r>
      <w:r>
        <w:rPr>
          <w:rFonts w:ascii="calibri" w:hAnsi="calibri" w:cs="calibri" w:eastAsia="calibri"/>
          <w:sz w:val="21"/>
        </w:rPr>
        <w:t>1%</w:t>
      </w:r>
      <w:r>
        <w:rPr>
          <w:rFonts w:ascii="宋体" w:hAnsi="宋体" w:cs="宋体" w:eastAsia="宋体"/>
          <w:sz w:val="21"/>
        </w:rPr>
        <w:t>，零点漂移</w:t>
      </w:r>
      <w:r>
        <w:rPr>
          <w:rFonts w:ascii="calibri" w:hAnsi="calibri" w:cs="calibri" w:eastAsia="calibri"/>
          <w:sz w:val="21"/>
        </w:rPr>
        <w:t>/</w:t>
      </w:r>
      <w:r>
        <w:rPr>
          <w:rFonts w:ascii="宋体" w:hAnsi="宋体" w:cs="宋体" w:eastAsia="宋体"/>
          <w:sz w:val="21"/>
        </w:rPr>
        <w:t>周：</w:t>
      </w:r>
      <w:r>
        <w:rPr>
          <w:rFonts w:ascii="calibri" w:hAnsi="calibri" w:cs="calibri" w:eastAsia="calibri"/>
          <w:sz w:val="21"/>
        </w:rPr>
        <w:t>&lt;</w:t>
      </w:r>
      <w:r>
        <w:rPr>
          <w:rFonts w:ascii="宋体" w:hAnsi="宋体" w:cs="宋体" w:eastAsia="宋体"/>
          <w:sz w:val="21"/>
        </w:rPr>
        <w:t>量程的</w:t>
      </w:r>
      <w:r>
        <w:rPr>
          <w:rFonts w:ascii="calibri" w:hAnsi="calibri" w:cs="calibri" w:eastAsia="calibri"/>
          <w:sz w:val="21"/>
        </w:rPr>
        <w:t>2%</w:t>
      </w:r>
      <w:r>
        <w:rPr>
          <w:rFonts w:ascii="宋体" w:hAnsi="宋体" w:cs="宋体" w:eastAsia="宋体"/>
          <w:sz w:val="21"/>
        </w:rPr>
        <w:t>，量程漂移</w:t>
      </w:r>
      <w:r>
        <w:rPr>
          <w:rFonts w:ascii="calibri" w:hAnsi="calibri" w:cs="calibri" w:eastAsia="calibri"/>
          <w:sz w:val="21"/>
        </w:rPr>
        <w:t>/</w:t>
      </w:r>
      <w:r>
        <w:rPr>
          <w:rFonts w:ascii="宋体" w:hAnsi="宋体" w:cs="宋体" w:eastAsia="宋体"/>
          <w:sz w:val="21"/>
        </w:rPr>
        <w:t>天：</w:t>
      </w:r>
      <w:r>
        <w:rPr>
          <w:rFonts w:ascii="calibri" w:hAnsi="calibri" w:cs="calibri" w:eastAsia="calibri"/>
          <w:sz w:val="21"/>
        </w:rPr>
        <w:t>&lt;</w:t>
      </w:r>
      <w:r>
        <w:rPr>
          <w:rFonts w:ascii="宋体" w:hAnsi="宋体" w:cs="宋体" w:eastAsia="宋体"/>
          <w:sz w:val="21"/>
        </w:rPr>
        <w:t>读数的</w:t>
      </w:r>
      <w:r>
        <w:rPr>
          <w:rFonts w:ascii="calibri" w:hAnsi="calibri" w:cs="calibri" w:eastAsia="calibri"/>
          <w:sz w:val="21"/>
        </w:rPr>
        <w:t>1%</w:t>
      </w:r>
      <w:r>
        <w:rPr>
          <w:rFonts w:ascii="宋体" w:hAnsi="宋体" w:cs="宋体" w:eastAsia="宋体"/>
          <w:sz w:val="21"/>
        </w:rPr>
        <w:t>。带有</w:t>
      </w:r>
      <w:r>
        <w:rPr>
          <w:rFonts w:ascii="calibri" w:hAnsi="calibri" w:cs="calibri" w:eastAsia="calibri"/>
          <w:sz w:val="21"/>
        </w:rPr>
        <w:t>LED</w:t>
      </w:r>
      <w:r>
        <w:rPr>
          <w:rFonts w:ascii="宋体" w:hAnsi="宋体" w:cs="宋体" w:eastAsia="宋体"/>
          <w:sz w:val="21"/>
        </w:rPr>
        <w:t>液晶显示和多种输出接口，电源为</w:t>
      </w:r>
      <w:r>
        <w:rPr>
          <w:rFonts w:ascii="calibri" w:hAnsi="calibri" w:cs="calibri" w:eastAsia="calibri"/>
          <w:sz w:val="21"/>
        </w:rPr>
        <w:t>170-264Vac</w:t>
      </w:r>
      <w:r>
        <w:rPr>
          <w:rFonts w:ascii="宋体" w:hAnsi="宋体" w:cs="宋体" w:eastAsia="宋体"/>
          <w:sz w:val="21"/>
        </w:rPr>
        <w:t>，</w:t>
      </w:r>
      <w:r>
        <w:rPr>
          <w:rFonts w:ascii="calibri" w:hAnsi="calibri" w:cs="calibri" w:eastAsia="calibri"/>
          <w:sz w:val="21"/>
        </w:rPr>
        <w:t>50Hz</w:t>
      </w:r>
      <w:r>
        <w:rPr>
          <w:rFonts w:ascii="宋体" w:hAnsi="宋体" w:cs="宋体" w:eastAsia="宋体"/>
          <w:sz w:val="21"/>
        </w:rPr>
        <w:t>。（项号</w:t>
      </w:r>
      <w:r>
        <w:rPr>
          <w:rFonts w:ascii="calibri" w:hAnsi="calibri" w:cs="calibri" w:eastAsia="calibri"/>
          <w:sz w:val="21"/>
        </w:rPr>
        <w:t>18</w:t>
      </w:r>
      <w:r>
        <w:rPr>
          <w:rFonts w:ascii="宋体" w:hAnsi="宋体" w:cs="宋体" w:eastAsia="宋体"/>
          <w:sz w:val="21"/>
        </w:rPr>
        <w:t>）</w:t>
      </w:r>
    </w:p>
    <w:p>
      <w:pPr>
        <w:pStyle w:val="null3"/>
        <w:ind w:firstLine="420"/>
      </w:pPr>
      <w:r>
        <w:rPr>
          <w:rFonts w:ascii="calibri" w:hAnsi="calibri" w:cs="calibri" w:eastAsia="calibri"/>
          <w:sz w:val="21"/>
        </w:rPr>
        <w:t>9.</w:t>
      </w:r>
      <w:r>
        <w:rPr>
          <w:rFonts w:ascii="宋体" w:hAnsi="宋体" w:cs="宋体" w:eastAsia="宋体"/>
          <w:sz w:val="21"/>
        </w:rPr>
        <w:t>控制系统：</w:t>
      </w:r>
    </w:p>
    <w:p>
      <w:pPr>
        <w:pStyle w:val="null3"/>
        <w:ind w:firstLine="420"/>
      </w:pPr>
      <w:r>
        <w:rPr>
          <w:rFonts w:ascii="宋体" w:hAnsi="宋体" w:cs="宋体" w:eastAsia="宋体"/>
          <w:sz w:val="21"/>
        </w:rPr>
        <w:t>控制部分采用计算机控制，信号的收集和处理采用</w:t>
      </w:r>
      <w:r>
        <w:rPr>
          <w:rFonts w:ascii="calibri" w:hAnsi="calibri" w:cs="calibri" w:eastAsia="calibri"/>
          <w:sz w:val="21"/>
        </w:rPr>
        <w:t>16</w:t>
      </w:r>
      <w:r>
        <w:rPr>
          <w:rFonts w:ascii="宋体" w:hAnsi="宋体" w:cs="宋体" w:eastAsia="宋体"/>
          <w:sz w:val="21"/>
        </w:rPr>
        <w:t>位高精度板卡，精度等级可达到百分之一，性能稳定，重复性好。计算机控制界面：采用高档备和仪器专业开发软件（</w:t>
      </w:r>
      <w:r>
        <w:rPr>
          <w:rFonts w:ascii="calibri" w:hAnsi="calibri" w:cs="calibri" w:eastAsia="calibri"/>
          <w:sz w:val="21"/>
        </w:rPr>
        <w:t>Labview)</w:t>
      </w:r>
      <w:r>
        <w:rPr>
          <w:rFonts w:ascii="宋体" w:hAnsi="宋体" w:cs="宋体" w:eastAsia="宋体"/>
          <w:sz w:val="21"/>
        </w:rPr>
        <w:t>，界面严谨，自动化程度高，所有的繁琐程序和运算都已集成计算机里，反应速度非常快，系统界面严谨，可动态实时分析参数随时间的变化曲线，人性化界面。数据采集测试软件一套。数据采集分析软件具有系统整体监控界面、系统自查、各类传感器校定、火灾燃烧监测、气体采集和分析、其他各类数据的采集和分析等功能。软件具有二次开发的接口，本机安装与</w:t>
      </w:r>
      <w:r>
        <w:rPr>
          <w:rFonts w:ascii="calibri" w:hAnsi="calibri" w:cs="calibri" w:eastAsia="calibri"/>
          <w:sz w:val="21"/>
        </w:rPr>
        <w:t>PC/</w:t>
      </w:r>
      <w:r>
        <w:rPr>
          <w:rFonts w:ascii="宋体" w:hAnsi="宋体" w:cs="宋体" w:eastAsia="宋体"/>
          <w:sz w:val="21"/>
        </w:rPr>
        <w:t>服务器的数据交换接口。软件界面简洁清楚，易于掌握，可执行预设路径加载。（项号</w:t>
      </w:r>
      <w:r>
        <w:rPr>
          <w:rFonts w:ascii="calibri" w:hAnsi="calibri" w:cs="calibri" w:eastAsia="calibri"/>
          <w:sz w:val="21"/>
        </w:rPr>
        <w:t>19</w:t>
      </w:r>
      <w:r>
        <w:rPr>
          <w:rFonts w:ascii="宋体" w:hAnsi="宋体" w:cs="宋体" w:eastAsia="宋体"/>
          <w:sz w:val="21"/>
        </w:rPr>
        <w:t>）</w:t>
      </w:r>
    </w:p>
    <w:p>
      <w:pPr>
        <w:pStyle w:val="null3"/>
        <w:ind w:firstLine="420"/>
      </w:pPr>
      <w:r>
        <w:rPr>
          <w:rFonts w:ascii="宋体" w:hAnsi="宋体" w:cs="宋体" w:eastAsia="宋体"/>
          <w:sz w:val="21"/>
        </w:rPr>
        <w:t>合同包</w:t>
      </w:r>
      <w:r>
        <w:rPr>
          <w:rFonts w:ascii="calibri" w:hAnsi="calibri" w:cs="calibri" w:eastAsia="calibri"/>
          <w:sz w:val="21"/>
        </w:rPr>
        <w:t>2</w:t>
      </w:r>
      <w:r>
        <w:rPr>
          <w:rFonts w:ascii="宋体" w:hAnsi="宋体" w:cs="宋体" w:eastAsia="宋体"/>
          <w:sz w:val="21"/>
        </w:rPr>
        <w:t>：</w:t>
      </w:r>
      <w:r>
        <w:rPr>
          <w:rFonts w:ascii="宋体" w:hAnsi="宋体" w:cs="宋体" w:eastAsia="宋体"/>
          <w:sz w:val="21"/>
          <w:shd w:fill="FFFFFF" w:val="clear"/>
        </w:rPr>
        <w:t>◆</w:t>
      </w:r>
      <w:r>
        <w:rPr>
          <w:rFonts w:ascii="宋体" w:hAnsi="宋体" w:cs="宋体" w:eastAsia="宋体"/>
          <w:sz w:val="21"/>
        </w:rPr>
        <w:t>霍普金森压杆装置参数要求</w:t>
      </w:r>
    </w:p>
    <w:p>
      <w:pPr>
        <w:pStyle w:val="null3"/>
        <w:ind w:firstLine="420"/>
      </w:pPr>
      <w:r>
        <w:rPr>
          <w:rFonts w:ascii="calibri" w:hAnsi="calibri" w:cs="calibri" w:eastAsia="calibri"/>
          <w:sz w:val="21"/>
        </w:rPr>
        <w:t>1</w:t>
      </w:r>
      <w:r>
        <w:rPr>
          <w:rFonts w:ascii="宋体" w:hAnsi="宋体" w:cs="宋体" w:eastAsia="宋体"/>
          <w:sz w:val="21"/>
        </w:rPr>
        <w:t>、冲击发射装置：发射装置含发射与控制部分，工作压力范围</w:t>
      </w:r>
      <w:r>
        <w:rPr>
          <w:rFonts w:ascii="calibri" w:hAnsi="calibri" w:cs="calibri" w:eastAsia="calibri"/>
          <w:sz w:val="21"/>
        </w:rPr>
        <w:t>0.3-4 MPa</w:t>
      </w:r>
      <w:r>
        <w:rPr>
          <w:rFonts w:ascii="宋体" w:hAnsi="宋体" w:cs="宋体" w:eastAsia="宋体"/>
          <w:sz w:val="21"/>
        </w:rPr>
        <w:t>。发射管内径Φ</w:t>
      </w:r>
      <w:r>
        <w:rPr>
          <w:rFonts w:ascii="calibri" w:hAnsi="calibri" w:cs="calibri" w:eastAsia="calibri"/>
          <w:sz w:val="21"/>
        </w:rPr>
        <w:t>20</w:t>
      </w:r>
      <w:r>
        <w:rPr>
          <w:rFonts w:ascii="宋体" w:hAnsi="宋体" w:cs="宋体" w:eastAsia="宋体"/>
          <w:sz w:val="21"/>
        </w:rPr>
        <w:t>×</w:t>
      </w:r>
      <w:r>
        <w:rPr>
          <w:rFonts w:ascii="calibri" w:hAnsi="calibri" w:cs="calibri" w:eastAsia="calibri"/>
          <w:sz w:val="21"/>
        </w:rPr>
        <w:t>2000 mm</w:t>
      </w:r>
      <w:r>
        <w:rPr>
          <w:rFonts w:ascii="宋体" w:hAnsi="宋体" w:cs="宋体" w:eastAsia="宋体"/>
          <w:sz w:val="21"/>
        </w:rPr>
        <w:t>。电控操作系统为自动</w:t>
      </w:r>
      <w:r>
        <w:rPr>
          <w:rFonts w:ascii="calibri" w:hAnsi="calibri" w:cs="calibri" w:eastAsia="calibri"/>
          <w:sz w:val="21"/>
        </w:rPr>
        <w:t>PLC</w:t>
      </w:r>
      <w:r>
        <w:rPr>
          <w:rFonts w:ascii="宋体" w:hAnsi="宋体" w:cs="宋体" w:eastAsia="宋体"/>
          <w:sz w:val="21"/>
        </w:rPr>
        <w:t>控制系统，</w:t>
      </w:r>
      <w:r>
        <w:rPr>
          <w:rFonts w:ascii="calibri" w:hAnsi="calibri" w:cs="calibri" w:eastAsia="calibri"/>
          <w:sz w:val="21"/>
        </w:rPr>
        <w:t>10</w:t>
      </w:r>
      <w:r>
        <w:rPr>
          <w:rFonts w:ascii="宋体" w:hAnsi="宋体" w:cs="宋体" w:eastAsia="宋体"/>
          <w:sz w:val="21"/>
        </w:rPr>
        <w:t>寸液晶触摸屏操作界面。（项号</w:t>
      </w:r>
      <w:r>
        <w:rPr>
          <w:rFonts w:ascii="calibri" w:hAnsi="calibri" w:cs="calibri" w:eastAsia="calibri"/>
          <w:sz w:val="21"/>
        </w:rPr>
        <w:t>1</w:t>
      </w:r>
      <w:r>
        <w:rPr>
          <w:rFonts w:ascii="宋体" w:hAnsi="宋体" w:cs="宋体" w:eastAsia="宋体"/>
          <w:sz w:val="21"/>
        </w:rPr>
        <w:t>）</w:t>
      </w:r>
    </w:p>
    <w:p>
      <w:pPr>
        <w:pStyle w:val="null3"/>
        <w:ind w:firstLine="420"/>
      </w:pPr>
      <w:r>
        <w:rPr>
          <w:rFonts w:ascii="calibri" w:hAnsi="calibri" w:cs="calibri" w:eastAsia="calibri"/>
          <w:sz w:val="21"/>
        </w:rPr>
        <w:t>2</w:t>
      </w:r>
      <w:r>
        <w:rPr>
          <w:rFonts w:ascii="宋体" w:hAnsi="宋体" w:cs="宋体" w:eastAsia="宋体"/>
          <w:sz w:val="21"/>
        </w:rPr>
        <w:t>、抗冲击杆系及弹体：</w:t>
      </w:r>
      <w:r>
        <w:rPr>
          <w:rFonts w:ascii="calibri" w:hAnsi="calibri" w:cs="calibri" w:eastAsia="calibri"/>
          <w:sz w:val="21"/>
        </w:rPr>
        <w:t>20</w:t>
      </w:r>
      <w:r>
        <w:rPr>
          <w:rFonts w:ascii="宋体" w:hAnsi="宋体" w:cs="宋体" w:eastAsia="宋体"/>
          <w:sz w:val="21"/>
        </w:rPr>
        <w:t>杆系及子弹材质为钛合金和钢各一套、</w:t>
      </w:r>
      <w:r>
        <w:rPr>
          <w:rFonts w:ascii="calibri" w:hAnsi="calibri" w:cs="calibri" w:eastAsia="calibri"/>
          <w:sz w:val="21"/>
        </w:rPr>
        <w:t>14.5</w:t>
      </w:r>
      <w:r>
        <w:rPr>
          <w:rFonts w:ascii="宋体" w:hAnsi="宋体" w:cs="宋体" w:eastAsia="宋体"/>
          <w:sz w:val="21"/>
        </w:rPr>
        <w:t>杆系及子弹材质为钛合金和钢各一套。（项号</w:t>
      </w:r>
      <w:r>
        <w:rPr>
          <w:rFonts w:ascii="calibri" w:hAnsi="calibri" w:cs="calibri" w:eastAsia="calibri"/>
          <w:sz w:val="21"/>
        </w:rPr>
        <w:t>2</w:t>
      </w:r>
      <w:r>
        <w:rPr>
          <w:rFonts w:ascii="宋体" w:hAnsi="宋体" w:cs="宋体" w:eastAsia="宋体"/>
          <w:sz w:val="21"/>
        </w:rPr>
        <w:t>）</w:t>
      </w:r>
    </w:p>
    <w:p>
      <w:pPr>
        <w:pStyle w:val="null3"/>
        <w:ind w:firstLine="420"/>
      </w:pPr>
      <w:r>
        <w:rPr>
          <w:rFonts w:ascii="calibri" w:hAnsi="calibri" w:cs="calibri" w:eastAsia="calibri"/>
          <w:sz w:val="21"/>
        </w:rPr>
        <w:t>3</w:t>
      </w:r>
      <w:r>
        <w:rPr>
          <w:rFonts w:ascii="宋体" w:hAnsi="宋体" w:cs="宋体" w:eastAsia="宋体"/>
          <w:sz w:val="21"/>
        </w:rPr>
        <w:t>、缓冲舱装置：钢底座总长度约</w:t>
      </w:r>
      <w:r>
        <w:rPr>
          <w:rFonts w:ascii="calibri" w:hAnsi="calibri" w:cs="calibri" w:eastAsia="calibri"/>
          <w:sz w:val="21"/>
        </w:rPr>
        <w:t>9 m</w:t>
      </w:r>
      <w:r>
        <w:rPr>
          <w:rFonts w:ascii="宋体" w:hAnsi="宋体" w:cs="宋体" w:eastAsia="宋体"/>
          <w:sz w:val="21"/>
        </w:rPr>
        <w:t>。精密导轨采用铸铁导轨，长度约</w:t>
      </w:r>
      <w:r>
        <w:rPr>
          <w:rFonts w:ascii="calibri" w:hAnsi="calibri" w:cs="calibri" w:eastAsia="calibri"/>
          <w:sz w:val="21"/>
        </w:rPr>
        <w:t>8</w:t>
      </w:r>
      <w:r>
        <w:rPr>
          <w:rFonts w:ascii="宋体" w:hAnsi="宋体" w:cs="宋体" w:eastAsia="宋体"/>
          <w:sz w:val="21"/>
        </w:rPr>
        <w:t>米，表面精密加工，直线度</w:t>
      </w:r>
      <w:r>
        <w:rPr>
          <w:rFonts w:ascii="calibri" w:hAnsi="calibri" w:cs="calibri" w:eastAsia="calibri"/>
          <w:sz w:val="21"/>
        </w:rPr>
        <w:t>0.08 mm/m</w:t>
      </w:r>
      <w:r>
        <w:rPr>
          <w:rFonts w:ascii="宋体" w:hAnsi="宋体" w:cs="宋体" w:eastAsia="宋体"/>
          <w:sz w:val="21"/>
        </w:rPr>
        <w:t>。轴向基准良好。中心支架调整范围Φ</w:t>
      </w:r>
      <w:r>
        <w:rPr>
          <w:rFonts w:ascii="calibri" w:hAnsi="calibri" w:cs="calibri" w:eastAsia="calibri"/>
          <w:sz w:val="21"/>
        </w:rPr>
        <w:t>40-14.5 mm</w:t>
      </w:r>
      <w:r>
        <w:rPr>
          <w:rFonts w:ascii="宋体" w:hAnsi="宋体" w:cs="宋体" w:eastAsia="宋体"/>
          <w:sz w:val="21"/>
        </w:rPr>
        <w:t>。采用机械二级吸能装置进行缓冲。（项号</w:t>
      </w:r>
      <w:r>
        <w:rPr>
          <w:rFonts w:ascii="calibri" w:hAnsi="calibri" w:cs="calibri" w:eastAsia="calibri"/>
          <w:sz w:val="21"/>
        </w:rPr>
        <w:t>3</w:t>
      </w:r>
      <w:r>
        <w:rPr>
          <w:rFonts w:ascii="宋体" w:hAnsi="宋体" w:cs="宋体" w:eastAsia="宋体"/>
          <w:sz w:val="21"/>
        </w:rPr>
        <w:t>）</w:t>
      </w:r>
    </w:p>
    <w:p>
      <w:pPr>
        <w:pStyle w:val="null3"/>
        <w:ind w:firstLine="420"/>
      </w:pPr>
      <w:r>
        <w:rPr>
          <w:rFonts w:ascii="calibri" w:hAnsi="calibri" w:cs="calibri" w:eastAsia="calibri"/>
          <w:sz w:val="21"/>
        </w:rPr>
        <w:t>4</w:t>
      </w:r>
      <w:r>
        <w:rPr>
          <w:rFonts w:ascii="宋体" w:hAnsi="宋体" w:cs="宋体" w:eastAsia="宋体"/>
          <w:sz w:val="21"/>
        </w:rPr>
        <w:t>、高速激光测速仪：数据采集系统为</w:t>
      </w:r>
      <w:r>
        <w:rPr>
          <w:rFonts w:ascii="calibri" w:hAnsi="calibri" w:cs="calibri" w:eastAsia="calibri"/>
          <w:sz w:val="21"/>
        </w:rPr>
        <w:t>4</w:t>
      </w:r>
      <w:r>
        <w:rPr>
          <w:rFonts w:ascii="宋体" w:hAnsi="宋体" w:cs="宋体" w:eastAsia="宋体"/>
          <w:sz w:val="21"/>
        </w:rPr>
        <w:t>通道数据采集系统，采样频率不小于</w:t>
      </w:r>
      <w:r>
        <w:rPr>
          <w:rFonts w:ascii="calibri" w:hAnsi="calibri" w:cs="calibri" w:eastAsia="calibri"/>
          <w:sz w:val="21"/>
        </w:rPr>
        <w:t>2.5 MHz</w:t>
      </w:r>
      <w:r>
        <w:rPr>
          <w:rFonts w:ascii="宋体" w:hAnsi="宋体" w:cs="宋体" w:eastAsia="宋体"/>
          <w:sz w:val="21"/>
        </w:rPr>
        <w:t>，包含霍普金森专业分析软件。测试仪测速范围</w:t>
      </w:r>
      <w:r>
        <w:rPr>
          <w:rFonts w:ascii="calibri" w:hAnsi="calibri" w:cs="calibri" w:eastAsia="calibri"/>
          <w:sz w:val="21"/>
        </w:rPr>
        <w:t xml:space="preserve">0~100 m/s, </w:t>
      </w:r>
      <w:r>
        <w:rPr>
          <w:rFonts w:ascii="宋体" w:hAnsi="宋体" w:cs="宋体" w:eastAsia="宋体"/>
          <w:sz w:val="21"/>
        </w:rPr>
        <w:t>测试精度±</w:t>
      </w:r>
      <w:r>
        <w:rPr>
          <w:rFonts w:ascii="calibri" w:hAnsi="calibri" w:cs="calibri" w:eastAsia="calibri"/>
          <w:sz w:val="21"/>
        </w:rPr>
        <w:t>1%</w:t>
      </w:r>
      <w:r>
        <w:rPr>
          <w:rFonts w:ascii="宋体" w:hAnsi="宋体" w:cs="宋体" w:eastAsia="宋体"/>
          <w:sz w:val="21"/>
        </w:rPr>
        <w:t>，</w:t>
      </w:r>
      <w:r>
        <w:rPr>
          <w:rFonts w:ascii="calibri" w:hAnsi="calibri" w:cs="calibri" w:eastAsia="calibri"/>
          <w:sz w:val="21"/>
        </w:rPr>
        <w:t>LED</w:t>
      </w:r>
      <w:r>
        <w:rPr>
          <w:rFonts w:ascii="宋体" w:hAnsi="宋体" w:cs="宋体" w:eastAsia="宋体"/>
          <w:sz w:val="21"/>
        </w:rPr>
        <w:t>显示屏。（项号</w:t>
      </w:r>
      <w:r>
        <w:rPr>
          <w:rFonts w:ascii="calibri" w:hAnsi="calibri" w:cs="calibri" w:eastAsia="calibri"/>
          <w:sz w:val="21"/>
        </w:rPr>
        <w:t>4</w:t>
      </w:r>
      <w:r>
        <w:rPr>
          <w:rFonts w:ascii="宋体" w:hAnsi="宋体" w:cs="宋体" w:eastAsia="宋体"/>
          <w:sz w:val="21"/>
        </w:rPr>
        <w:t>）</w:t>
      </w:r>
    </w:p>
    <w:p>
      <w:pPr>
        <w:pStyle w:val="null3"/>
        <w:ind w:firstLine="420"/>
      </w:pPr>
      <w:r>
        <w:rPr>
          <w:rFonts w:ascii="calibri" w:hAnsi="calibri" w:cs="calibri" w:eastAsia="calibri"/>
          <w:sz w:val="21"/>
        </w:rPr>
        <w:t>5</w:t>
      </w:r>
      <w:r>
        <w:rPr>
          <w:rFonts w:ascii="宋体" w:hAnsi="宋体" w:cs="宋体" w:eastAsia="宋体"/>
          <w:sz w:val="21"/>
        </w:rPr>
        <w:t>、专用低温炉：温度范围为室温</w:t>
      </w:r>
      <w:r>
        <w:rPr>
          <w:rFonts w:ascii="calibri" w:hAnsi="calibri" w:cs="calibri" w:eastAsia="calibri"/>
          <w:sz w:val="21"/>
        </w:rPr>
        <w:t>~</w:t>
      </w:r>
      <w:r>
        <w:rPr>
          <w:rFonts w:ascii="宋体" w:hAnsi="宋体" w:cs="宋体" w:eastAsia="宋体"/>
          <w:sz w:val="21"/>
        </w:rPr>
        <w:t>零下</w:t>
      </w:r>
      <w:r>
        <w:rPr>
          <w:rFonts w:ascii="calibri" w:hAnsi="calibri" w:cs="calibri" w:eastAsia="calibri"/>
          <w:sz w:val="21"/>
        </w:rPr>
        <w:t>70</w:t>
      </w:r>
      <w:r>
        <w:rPr>
          <w:rFonts w:ascii="宋体" w:hAnsi="宋体" w:cs="宋体" w:eastAsia="宋体"/>
          <w:sz w:val="21"/>
        </w:rPr>
        <w:t>℃。（项号</w:t>
      </w:r>
      <w:r>
        <w:rPr>
          <w:rFonts w:ascii="calibri" w:hAnsi="calibri" w:cs="calibri" w:eastAsia="calibri"/>
          <w:sz w:val="21"/>
        </w:rPr>
        <w:t>5</w:t>
      </w:r>
      <w:r>
        <w:rPr>
          <w:rFonts w:ascii="宋体" w:hAnsi="宋体" w:cs="宋体" w:eastAsia="宋体"/>
          <w:sz w:val="21"/>
        </w:rPr>
        <w:t>）</w:t>
      </w:r>
    </w:p>
    <w:p>
      <w:pPr>
        <w:pStyle w:val="null3"/>
        <w:ind w:firstLine="420"/>
      </w:pPr>
      <w:r>
        <w:rPr>
          <w:rFonts w:ascii="calibri" w:hAnsi="calibri" w:cs="calibri" w:eastAsia="calibri"/>
          <w:sz w:val="21"/>
        </w:rPr>
        <w:t>6</w:t>
      </w:r>
      <w:r>
        <w:rPr>
          <w:rFonts w:ascii="宋体" w:hAnsi="宋体" w:cs="宋体" w:eastAsia="宋体"/>
          <w:sz w:val="21"/>
        </w:rPr>
        <w:t>、专用高温炉：温度范围为室温</w:t>
      </w:r>
      <w:r>
        <w:rPr>
          <w:rFonts w:ascii="calibri" w:hAnsi="calibri" w:cs="calibri" w:eastAsia="calibri"/>
          <w:sz w:val="21"/>
        </w:rPr>
        <w:t>~800</w:t>
      </w:r>
      <w:r>
        <w:rPr>
          <w:rFonts w:ascii="宋体" w:hAnsi="宋体" w:cs="宋体" w:eastAsia="宋体"/>
          <w:sz w:val="21"/>
        </w:rPr>
        <w:t>℃，具备高温同步机构。（项号</w:t>
      </w:r>
      <w:r>
        <w:rPr>
          <w:rFonts w:ascii="calibri" w:hAnsi="calibri" w:cs="calibri" w:eastAsia="calibri"/>
          <w:sz w:val="21"/>
        </w:rPr>
        <w:t>6</w:t>
      </w:r>
      <w:r>
        <w:rPr>
          <w:rFonts w:ascii="宋体" w:hAnsi="宋体" w:cs="宋体" w:eastAsia="宋体"/>
          <w:sz w:val="21"/>
        </w:rPr>
        <w:t>）</w:t>
      </w:r>
    </w:p>
    <w:p>
      <w:pPr>
        <w:pStyle w:val="null3"/>
        <w:ind w:firstLine="420"/>
      </w:pPr>
      <w:r>
        <w:rPr>
          <w:rFonts w:ascii="calibri" w:hAnsi="calibri" w:cs="calibri" w:eastAsia="calibri"/>
          <w:sz w:val="21"/>
        </w:rPr>
        <w:t>7</w:t>
      </w:r>
      <w:r>
        <w:rPr>
          <w:rFonts w:ascii="宋体" w:hAnsi="宋体" w:cs="宋体" w:eastAsia="宋体"/>
          <w:sz w:val="21"/>
        </w:rPr>
        <w:t>、辐射信号采集装置：狭缝可调双通道</w:t>
      </w:r>
      <w:r>
        <w:rPr>
          <w:rFonts w:ascii="calibri" w:hAnsi="calibri" w:cs="calibri" w:eastAsia="calibri"/>
          <w:sz w:val="21"/>
        </w:rPr>
        <w:t>4096</w:t>
      </w:r>
      <w:r>
        <w:rPr>
          <w:rFonts w:ascii="宋体" w:hAnsi="宋体" w:cs="宋体" w:eastAsia="宋体"/>
          <w:sz w:val="21"/>
        </w:rPr>
        <w:t>像素</w:t>
      </w:r>
      <w:r>
        <w:rPr>
          <w:rFonts w:ascii="calibri" w:hAnsi="calibri" w:cs="calibri" w:eastAsia="calibri"/>
          <w:sz w:val="21"/>
        </w:rPr>
        <w:t>CMOS</w:t>
      </w:r>
      <w:r>
        <w:rPr>
          <w:rFonts w:ascii="宋体" w:hAnsi="宋体" w:cs="宋体" w:eastAsia="宋体"/>
          <w:sz w:val="21"/>
        </w:rPr>
        <w:t>探测器光谱仪。通道</w:t>
      </w:r>
      <w:r>
        <w:rPr>
          <w:rFonts w:ascii="calibri" w:hAnsi="calibri" w:cs="calibri" w:eastAsia="calibri"/>
          <w:sz w:val="21"/>
        </w:rPr>
        <w:t>1</w:t>
      </w:r>
      <w:r>
        <w:rPr>
          <w:rFonts w:ascii="宋体" w:hAnsi="宋体" w:cs="宋体" w:eastAsia="宋体"/>
          <w:sz w:val="21"/>
        </w:rPr>
        <w:t>：</w:t>
      </w:r>
      <w:r>
        <w:rPr>
          <w:rFonts w:ascii="calibri" w:hAnsi="calibri" w:cs="calibri" w:eastAsia="calibri"/>
          <w:sz w:val="21"/>
        </w:rPr>
        <w:t>UB</w:t>
      </w:r>
      <w:r>
        <w:rPr>
          <w:rFonts w:ascii="宋体" w:hAnsi="宋体" w:cs="宋体" w:eastAsia="宋体"/>
          <w:sz w:val="21"/>
        </w:rPr>
        <w:t>光栅，</w:t>
      </w:r>
      <w:r>
        <w:rPr>
          <w:rFonts w:ascii="calibri" w:hAnsi="calibri" w:cs="calibri" w:eastAsia="calibri"/>
          <w:sz w:val="21"/>
        </w:rPr>
        <w:t>200-743 nm</w:t>
      </w:r>
      <w:r>
        <w:rPr>
          <w:rFonts w:ascii="宋体" w:hAnsi="宋体" w:cs="宋体" w:eastAsia="宋体"/>
          <w:sz w:val="21"/>
        </w:rPr>
        <w:t>波长；通道</w:t>
      </w:r>
      <w:r>
        <w:rPr>
          <w:rFonts w:ascii="calibri" w:hAnsi="calibri" w:cs="calibri" w:eastAsia="calibri"/>
          <w:sz w:val="21"/>
        </w:rPr>
        <w:t>2</w:t>
      </w:r>
      <w:r>
        <w:rPr>
          <w:rFonts w:ascii="宋体" w:hAnsi="宋体" w:cs="宋体" w:eastAsia="宋体"/>
          <w:sz w:val="21"/>
        </w:rPr>
        <w:t>：</w:t>
      </w:r>
      <w:r>
        <w:rPr>
          <w:rFonts w:ascii="calibri" w:hAnsi="calibri" w:cs="calibri" w:eastAsia="calibri"/>
          <w:sz w:val="21"/>
        </w:rPr>
        <w:t>IB</w:t>
      </w:r>
      <w:r>
        <w:rPr>
          <w:rFonts w:ascii="宋体" w:hAnsi="宋体" w:cs="宋体" w:eastAsia="宋体"/>
          <w:sz w:val="21"/>
        </w:rPr>
        <w:t>光栅，</w:t>
      </w:r>
      <w:r>
        <w:rPr>
          <w:rFonts w:ascii="calibri" w:hAnsi="calibri" w:cs="calibri" w:eastAsia="calibri"/>
          <w:sz w:val="21"/>
        </w:rPr>
        <w:t>741-1100nm</w:t>
      </w:r>
      <w:r>
        <w:rPr>
          <w:rFonts w:ascii="宋体" w:hAnsi="宋体" w:cs="宋体" w:eastAsia="宋体"/>
          <w:sz w:val="21"/>
        </w:rPr>
        <w:t>波长。双通道均为</w:t>
      </w:r>
      <w:r>
        <w:rPr>
          <w:rFonts w:ascii="calibri" w:hAnsi="calibri" w:cs="calibri" w:eastAsia="calibri"/>
          <w:sz w:val="21"/>
        </w:rPr>
        <w:t>Slit-10-RS</w:t>
      </w:r>
      <w:r>
        <w:rPr>
          <w:rFonts w:ascii="宋体" w:hAnsi="宋体" w:cs="宋体" w:eastAsia="宋体"/>
          <w:sz w:val="21"/>
        </w:rPr>
        <w:t>，</w:t>
      </w:r>
      <w:r>
        <w:rPr>
          <w:rFonts w:ascii="calibri" w:hAnsi="calibri" w:cs="calibri" w:eastAsia="calibri"/>
          <w:sz w:val="21"/>
        </w:rPr>
        <w:t xml:space="preserve">10 </w:t>
      </w:r>
      <w:r>
        <w:rPr>
          <w:rFonts w:ascii="宋体" w:hAnsi="宋体" w:cs="宋体" w:eastAsia="宋体"/>
          <w:sz w:val="21"/>
        </w:rPr>
        <w:t>μ</w:t>
      </w:r>
      <w:r>
        <w:rPr>
          <w:rFonts w:ascii="calibri" w:hAnsi="calibri" w:cs="calibri" w:eastAsia="calibri"/>
          <w:sz w:val="21"/>
        </w:rPr>
        <w:t>m</w:t>
      </w:r>
      <w:r>
        <w:rPr>
          <w:rFonts w:ascii="宋体" w:hAnsi="宋体" w:cs="宋体" w:eastAsia="宋体"/>
          <w:sz w:val="21"/>
        </w:rPr>
        <w:t>可更换狭缝，分辨率</w:t>
      </w:r>
      <w:r>
        <w:rPr>
          <w:rFonts w:ascii="calibri" w:hAnsi="calibri" w:cs="calibri" w:eastAsia="calibri"/>
          <w:sz w:val="21"/>
        </w:rPr>
        <w:t>0.30-0.36nm</w:t>
      </w:r>
      <w:r>
        <w:rPr>
          <w:rFonts w:ascii="宋体" w:hAnsi="宋体" w:cs="宋体" w:eastAsia="宋体"/>
          <w:sz w:val="21"/>
        </w:rPr>
        <w:t>，信噪比：</w:t>
      </w:r>
      <w:r>
        <w:rPr>
          <w:rFonts w:ascii="calibri" w:hAnsi="calibri" w:cs="calibri" w:eastAsia="calibri"/>
          <w:sz w:val="21"/>
        </w:rPr>
        <w:t>225:1</w:t>
      </w:r>
      <w:r>
        <w:rPr>
          <w:rFonts w:ascii="宋体" w:hAnsi="宋体" w:cs="宋体" w:eastAsia="宋体"/>
          <w:sz w:val="21"/>
        </w:rPr>
        <w:t>，积分时间：</w:t>
      </w:r>
      <w:r>
        <w:rPr>
          <w:rFonts w:ascii="calibri" w:hAnsi="calibri" w:cs="calibri" w:eastAsia="calibri"/>
          <w:sz w:val="21"/>
        </w:rPr>
        <w:t xml:space="preserve">9 </w:t>
      </w:r>
      <w:r>
        <w:rPr>
          <w:rFonts w:ascii="宋体" w:hAnsi="宋体" w:cs="宋体" w:eastAsia="宋体"/>
          <w:sz w:val="21"/>
        </w:rPr>
        <w:t>μ</w:t>
      </w:r>
      <w:r>
        <w:rPr>
          <w:rFonts w:ascii="calibri" w:hAnsi="calibri" w:cs="calibri" w:eastAsia="calibri"/>
          <w:sz w:val="21"/>
        </w:rPr>
        <w:t>s-40 s</w:t>
      </w:r>
      <w:r>
        <w:rPr>
          <w:rFonts w:ascii="宋体" w:hAnsi="宋体" w:cs="宋体" w:eastAsia="宋体"/>
          <w:sz w:val="21"/>
        </w:rPr>
        <w:t>，含消二级衍射滤光片、灵敏度增强透镜、软件。数字</w:t>
      </w:r>
      <w:r>
        <w:rPr>
          <w:rFonts w:ascii="calibri" w:hAnsi="calibri" w:cs="calibri" w:eastAsia="calibri"/>
          <w:sz w:val="21"/>
        </w:rPr>
        <w:t>I/O</w:t>
      </w:r>
      <w:r>
        <w:rPr>
          <w:rFonts w:ascii="宋体" w:hAnsi="宋体" w:cs="宋体" w:eastAsia="宋体"/>
          <w:sz w:val="21"/>
        </w:rPr>
        <w:t>接口：</w:t>
      </w:r>
      <w:r>
        <w:rPr>
          <w:rFonts w:ascii="calibri" w:hAnsi="calibri" w:cs="calibri" w:eastAsia="calibri"/>
          <w:sz w:val="21"/>
        </w:rPr>
        <w:t>HD-26</w:t>
      </w:r>
      <w:r>
        <w:rPr>
          <w:rFonts w:ascii="宋体" w:hAnsi="宋体" w:cs="宋体" w:eastAsia="宋体"/>
          <w:sz w:val="21"/>
        </w:rPr>
        <w:t>连接器，</w:t>
      </w:r>
      <w:r>
        <w:rPr>
          <w:rFonts w:ascii="calibri" w:hAnsi="calibri" w:cs="calibri" w:eastAsia="calibri"/>
          <w:sz w:val="21"/>
        </w:rPr>
        <w:t>2</w:t>
      </w:r>
      <w:r>
        <w:rPr>
          <w:rFonts w:ascii="宋体" w:hAnsi="宋体" w:cs="宋体" w:eastAsia="宋体"/>
          <w:sz w:val="21"/>
        </w:rPr>
        <w:t>个模拟输入，</w:t>
      </w:r>
      <w:r>
        <w:rPr>
          <w:rFonts w:ascii="calibri" w:hAnsi="calibri" w:cs="calibri" w:eastAsia="calibri"/>
          <w:sz w:val="21"/>
        </w:rPr>
        <w:t>2</w:t>
      </w:r>
      <w:r>
        <w:rPr>
          <w:rFonts w:ascii="宋体" w:hAnsi="宋体" w:cs="宋体" w:eastAsia="宋体"/>
          <w:sz w:val="21"/>
        </w:rPr>
        <w:t>个模拟输出，</w:t>
      </w:r>
      <w:r>
        <w:rPr>
          <w:rFonts w:ascii="calibri" w:hAnsi="calibri" w:cs="calibri" w:eastAsia="calibri"/>
          <w:sz w:val="21"/>
        </w:rPr>
        <w:t>13</w:t>
      </w:r>
      <w:r>
        <w:rPr>
          <w:rFonts w:ascii="宋体" w:hAnsi="宋体" w:cs="宋体" w:eastAsia="宋体"/>
          <w:sz w:val="21"/>
        </w:rPr>
        <w:t>个数字双向，触发，同步，频闪，激光。一分二宽谱光纤，</w:t>
      </w:r>
      <w:r>
        <w:rPr>
          <w:rFonts w:ascii="calibri" w:hAnsi="calibri" w:cs="calibri" w:eastAsia="calibri"/>
          <w:sz w:val="21"/>
        </w:rPr>
        <w:t xml:space="preserve">600 </w:t>
      </w:r>
      <w:r>
        <w:rPr>
          <w:rFonts w:ascii="宋体" w:hAnsi="宋体" w:cs="宋体" w:eastAsia="宋体"/>
          <w:sz w:val="21"/>
        </w:rPr>
        <w:t>μ</w:t>
      </w:r>
      <w:r>
        <w:rPr>
          <w:rFonts w:ascii="calibri" w:hAnsi="calibri" w:cs="calibri" w:eastAsia="calibri"/>
          <w:sz w:val="21"/>
        </w:rPr>
        <w:t>m</w:t>
      </w:r>
      <w:r>
        <w:rPr>
          <w:rFonts w:ascii="宋体" w:hAnsi="宋体" w:cs="宋体" w:eastAsia="宋体"/>
          <w:sz w:val="21"/>
        </w:rPr>
        <w:t>芯径，</w:t>
      </w:r>
      <w:r>
        <w:rPr>
          <w:rFonts w:ascii="calibri" w:hAnsi="calibri" w:cs="calibri" w:eastAsia="calibri"/>
          <w:sz w:val="21"/>
        </w:rPr>
        <w:t>200-2500 nm</w:t>
      </w:r>
      <w:r>
        <w:rPr>
          <w:rFonts w:ascii="宋体" w:hAnsi="宋体" w:cs="宋体" w:eastAsia="宋体"/>
          <w:sz w:val="21"/>
        </w:rPr>
        <w:t>适用，</w:t>
      </w:r>
      <w:r>
        <w:rPr>
          <w:rFonts w:ascii="calibri" w:hAnsi="calibri" w:cs="calibri" w:eastAsia="calibri"/>
          <w:sz w:val="21"/>
        </w:rPr>
        <w:t>2 m</w:t>
      </w:r>
      <w:r>
        <w:rPr>
          <w:rFonts w:ascii="宋体" w:hAnsi="宋体" w:cs="宋体" w:eastAsia="宋体"/>
          <w:sz w:val="21"/>
        </w:rPr>
        <w:t>长，</w:t>
      </w:r>
      <w:r>
        <w:rPr>
          <w:rFonts w:ascii="calibri" w:hAnsi="calibri" w:cs="calibri" w:eastAsia="calibri"/>
          <w:sz w:val="21"/>
        </w:rPr>
        <w:t>3</w:t>
      </w:r>
      <w:r>
        <w:rPr>
          <w:rFonts w:ascii="宋体" w:hAnsi="宋体" w:cs="宋体" w:eastAsia="宋体"/>
          <w:sz w:val="21"/>
        </w:rPr>
        <w:t>个</w:t>
      </w:r>
      <w:r>
        <w:rPr>
          <w:rFonts w:ascii="calibri" w:hAnsi="calibri" w:cs="calibri" w:eastAsia="calibri"/>
          <w:sz w:val="21"/>
        </w:rPr>
        <w:t>SMA</w:t>
      </w:r>
      <w:r>
        <w:rPr>
          <w:rFonts w:ascii="宋体" w:hAnsi="宋体" w:cs="宋体" w:eastAsia="宋体"/>
          <w:sz w:val="21"/>
        </w:rPr>
        <w:t>接头。（项号</w:t>
      </w:r>
      <w:r>
        <w:rPr>
          <w:rFonts w:ascii="calibri" w:hAnsi="calibri" w:cs="calibri" w:eastAsia="calibri"/>
          <w:sz w:val="21"/>
        </w:rPr>
        <w:t>7</w:t>
      </w:r>
      <w:r>
        <w:rPr>
          <w:rFonts w:ascii="宋体" w:hAnsi="宋体" w:cs="宋体" w:eastAsia="宋体"/>
          <w:sz w:val="21"/>
        </w:rPr>
        <w:t>）</w:t>
      </w:r>
    </w:p>
    <w:p>
      <w:pPr>
        <w:pStyle w:val="null3"/>
        <w:ind w:firstLine="420"/>
      </w:pPr>
      <w:r>
        <w:rPr>
          <w:rFonts w:ascii="宋体" w:hAnsi="宋体" w:cs="宋体" w:eastAsia="宋体"/>
          <w:sz w:val="21"/>
        </w:rPr>
        <w:t>备注：合同包</w:t>
      </w:r>
      <w:r>
        <w:rPr>
          <w:rFonts w:ascii="calibri" w:hAnsi="calibri" w:cs="calibri" w:eastAsia="calibri"/>
          <w:sz w:val="21"/>
        </w:rPr>
        <w:t>1</w:t>
      </w:r>
      <w:r>
        <w:rPr>
          <w:rFonts w:ascii="宋体" w:hAnsi="宋体" w:cs="宋体" w:eastAsia="宋体"/>
          <w:sz w:val="21"/>
        </w:rPr>
        <w:t>、合同包</w:t>
      </w:r>
      <w:r>
        <w:rPr>
          <w:rFonts w:ascii="calibri" w:hAnsi="calibri" w:cs="calibri" w:eastAsia="calibri"/>
          <w:sz w:val="21"/>
        </w:rPr>
        <w:t>2</w:t>
      </w:r>
      <w:r>
        <w:rPr>
          <w:rFonts w:ascii="宋体" w:hAnsi="宋体" w:cs="宋体" w:eastAsia="宋体"/>
          <w:sz w:val="21"/>
        </w:rPr>
        <w:t>固定数值指标允许±</w:t>
      </w:r>
      <w:r>
        <w:rPr>
          <w:rFonts w:ascii="calibri" w:hAnsi="calibri" w:cs="calibri" w:eastAsia="calibri"/>
          <w:sz w:val="21"/>
        </w:rPr>
        <w:t>1%</w:t>
      </w:r>
      <w:r>
        <w:rPr>
          <w:rFonts w:ascii="宋体" w:hAnsi="宋体" w:cs="宋体" w:eastAsia="宋体"/>
          <w:sz w:val="21"/>
        </w:rPr>
        <w:t>偏离。</w:t>
      </w:r>
    </w:p>
    <w:p>
      <w:pPr>
        <w:pStyle w:val="null3"/>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合同签订之日起30个日历日内到货。</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福建省福州市闽侯县福州大学旗山校区</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到货并安装、验收完毕</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1、期次1，说明：详见招标文件“验收”要求</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1、全部货物交货并最终验收合格后，采购人凭验收合格材料向中标人支付100%的合同款，中标人提供全额的增值税专用发票，达到付款条件起30日内，支付合同总金额的100.00%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不缴纳</w:t>
            </w:r>
          </w:p>
        </w:tc>
      </w:tr>
    </w:tbl>
    <w:p>
      <w:pPr>
        <w:pStyle w:val="null3"/>
        <w:jc w:val="both"/>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合同签订之日起30个日历日内到货。</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福建省福州市闽侯县福州大学旗山校区</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到货并安装、验收完毕</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1、期次1，说明：详见招标文件“验收”要求</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1、全部货物交货并最终验收合格后，采购人凭验收合格材料向中标人支付100%的合同款，中标人提供全额的增值税专用发票，达到付款条件起30日内，支付合同总金额的100.00%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不缴纳</w:t>
            </w:r>
          </w:p>
        </w:tc>
      </w:tr>
    </w:tbl>
    <w:p>
      <w:pPr>
        <w:pStyle w:val="null3"/>
        <w:jc w:val="left"/>
      </w:pPr>
      <w:r>
        <w:rPr/>
        <w:t>其他商务要求</w:t>
      </w:r>
    </w:p>
    <w:p>
      <w:pPr>
        <w:pStyle w:val="null3"/>
        <w:ind w:firstLine="480"/>
        <w:jc w:val="left"/>
      </w:pPr>
      <w:r>
        <w:rPr>
          <w:rFonts w:ascii="宋体" w:hAnsi="宋体" w:cs="宋体" w:eastAsia="宋体"/>
          <w:sz w:val="21"/>
          <w:b/>
          <w:shd w:fill="FFFFFF" w:val="clear"/>
        </w:rPr>
        <w:t>（一）投标报价</w:t>
      </w:r>
    </w:p>
    <w:p>
      <w:pPr>
        <w:pStyle w:val="null3"/>
        <w:ind w:firstLine="86"/>
        <w:jc w:val="left"/>
      </w:pPr>
      <w:r>
        <w:rPr>
          <w:rFonts w:ascii="宋体" w:hAnsi="宋体" w:cs="宋体" w:eastAsia="宋体"/>
          <w:sz w:val="21"/>
          <w:b/>
          <w:shd w:fill="FFFFFF" w:val="clear"/>
        </w:rPr>
        <w:t>1、投标统一以人民币报价。</w:t>
      </w:r>
    </w:p>
    <w:p>
      <w:pPr>
        <w:pStyle w:val="null3"/>
        <w:ind w:firstLine="86"/>
        <w:jc w:val="left"/>
      </w:pPr>
      <w:r>
        <w:rPr>
          <w:rFonts w:ascii="宋体" w:hAnsi="宋体" w:cs="宋体" w:eastAsia="宋体"/>
          <w:sz w:val="21"/>
          <w:b/>
          <w:shd w:fill="FFFFFF" w:val="clear"/>
        </w:rPr>
        <w:t>2、投标人应以包括货物所涉及的有关项目的所有费用进行报价，包括货物制造、备件、工具、技术资料、税金、保险、包装、运输、装卸、安装、调试、检验、验收、培训、保修、外贸代 理等一切相关费用。</w:t>
      </w:r>
    </w:p>
    <w:p>
      <w:pPr>
        <w:pStyle w:val="null3"/>
        <w:ind w:firstLine="86"/>
        <w:jc w:val="left"/>
      </w:pPr>
      <w:r>
        <w:rPr>
          <w:rFonts w:ascii="宋体" w:hAnsi="宋体" w:cs="宋体" w:eastAsia="宋体"/>
          <w:sz w:val="21"/>
          <w:b/>
          <w:shd w:fill="FFFFFF" w:val="clear"/>
        </w:rPr>
        <w:t>3、若进口合同以外币签约，合同金额则按合同签约日的汇率折算；实际结算时以实付当天汇率为准，多退少补。</w:t>
      </w:r>
    </w:p>
    <w:p>
      <w:pPr>
        <w:pStyle w:val="null3"/>
        <w:ind w:firstLine="86"/>
        <w:jc w:val="left"/>
      </w:pPr>
      <w:r>
        <w:rPr>
          <w:rFonts w:ascii="宋体" w:hAnsi="宋体" w:cs="宋体" w:eastAsia="宋体"/>
          <w:sz w:val="21"/>
          <w:b/>
          <w:shd w:fill="FFFFFF" w:val="clear"/>
        </w:rPr>
        <w:t>（二）安装、调试及验收</w:t>
      </w:r>
    </w:p>
    <w:p>
      <w:pPr>
        <w:pStyle w:val="null3"/>
        <w:ind w:firstLine="86"/>
        <w:jc w:val="left"/>
      </w:pPr>
      <w:r>
        <w:rPr>
          <w:rFonts w:ascii="宋体" w:hAnsi="宋体" w:cs="宋体" w:eastAsia="宋体"/>
          <w:sz w:val="21"/>
          <w:b/>
          <w:shd w:fill="FFFFFF" w:val="clear"/>
        </w:rPr>
        <w:t>1、安装、调试</w:t>
      </w:r>
    </w:p>
    <w:p>
      <w:pPr>
        <w:pStyle w:val="null3"/>
        <w:ind w:firstLine="86"/>
        <w:jc w:val="left"/>
      </w:pPr>
      <w:r>
        <w:rPr>
          <w:rFonts w:ascii="宋体" w:hAnsi="宋体" w:cs="宋体" w:eastAsia="宋体"/>
          <w:sz w:val="21"/>
          <w:b/>
          <w:shd w:fill="FFFFFF" w:val="clear"/>
        </w:rPr>
        <w:t>（</w:t>
      </w:r>
      <w:r>
        <w:rPr>
          <w:rFonts w:ascii="宋体" w:hAnsi="宋体" w:cs="宋体" w:eastAsia="宋体"/>
          <w:sz w:val="21"/>
          <w:b/>
          <w:shd w:fill="FFFFFF" w:val="clear"/>
        </w:rPr>
        <w:t>1）合同签订后，中标人须将安装所须要求和水、电、气要求通知采购人。</w:t>
      </w:r>
    </w:p>
    <w:p>
      <w:pPr>
        <w:pStyle w:val="null3"/>
        <w:ind w:firstLine="86"/>
        <w:jc w:val="left"/>
      </w:pPr>
      <w:r>
        <w:rPr>
          <w:rFonts w:ascii="宋体" w:hAnsi="宋体" w:cs="宋体" w:eastAsia="宋体"/>
          <w:sz w:val="21"/>
          <w:b/>
          <w:shd w:fill="FFFFFF" w:val="clear"/>
        </w:rPr>
        <w:t>（</w:t>
      </w:r>
      <w:r>
        <w:rPr>
          <w:rFonts w:ascii="宋体" w:hAnsi="宋体" w:cs="宋体" w:eastAsia="宋体"/>
          <w:sz w:val="21"/>
          <w:b/>
          <w:shd w:fill="FFFFFF" w:val="clear"/>
        </w:rPr>
        <w:t>2）由中标人负责将设备按签订合同的具体数量、具体地点运送到最终目的地，中标人应在接到采购人通知后在规定的时间内负责派技术人员到现场进行安装、调试，并负责调试至验收合格交付采购人使用。</w:t>
      </w:r>
    </w:p>
    <w:p>
      <w:pPr>
        <w:pStyle w:val="null3"/>
        <w:ind w:firstLine="86"/>
        <w:jc w:val="left"/>
      </w:pPr>
      <w:r>
        <w:rPr>
          <w:rFonts w:ascii="宋体" w:hAnsi="宋体" w:cs="宋体" w:eastAsia="宋体"/>
          <w:sz w:val="21"/>
          <w:b/>
          <w:shd w:fill="FFFFFF" w:val="clear"/>
        </w:rPr>
        <w:t>（</w:t>
      </w:r>
      <w:r>
        <w:rPr>
          <w:rFonts w:ascii="宋体" w:hAnsi="宋体" w:cs="宋体" w:eastAsia="宋体"/>
          <w:sz w:val="21"/>
          <w:b/>
          <w:shd w:fill="FFFFFF" w:val="clear"/>
        </w:rPr>
        <w:t>3）中标人负责组织专业技术人员进行货物安装调试，采购人应提供必须的基本条件和专人配合，保证各项安装工作顺利进行。</w:t>
      </w:r>
    </w:p>
    <w:p>
      <w:pPr>
        <w:pStyle w:val="null3"/>
        <w:ind w:firstLine="86"/>
        <w:jc w:val="left"/>
      </w:pPr>
      <w:r>
        <w:rPr>
          <w:rFonts w:ascii="宋体" w:hAnsi="宋体" w:cs="宋体" w:eastAsia="宋体"/>
          <w:sz w:val="21"/>
          <w:b/>
          <w:shd w:fill="FFFFFF" w:val="clear"/>
        </w:rPr>
        <w:t>（</w:t>
      </w:r>
      <w:r>
        <w:rPr>
          <w:rFonts w:ascii="宋体" w:hAnsi="宋体" w:cs="宋体" w:eastAsia="宋体"/>
          <w:sz w:val="21"/>
          <w:b/>
          <w:shd w:fill="FFFFFF" w:val="clear"/>
        </w:rPr>
        <w:t>4）中标人应在合同签订时向采购人提供安装、调试及试运行的进度计划表。</w:t>
      </w:r>
    </w:p>
    <w:p>
      <w:pPr>
        <w:pStyle w:val="null3"/>
        <w:ind w:firstLine="86"/>
        <w:jc w:val="left"/>
      </w:pPr>
      <w:r>
        <w:rPr>
          <w:rFonts w:ascii="宋体" w:hAnsi="宋体" w:cs="宋体" w:eastAsia="宋体"/>
          <w:sz w:val="21"/>
          <w:b/>
          <w:shd w:fill="FFFFFF" w:val="clear"/>
        </w:rPr>
        <w:t>（</w:t>
      </w:r>
      <w:r>
        <w:rPr>
          <w:rFonts w:ascii="宋体" w:hAnsi="宋体" w:cs="宋体" w:eastAsia="宋体"/>
          <w:sz w:val="21"/>
          <w:b/>
          <w:shd w:fill="FFFFFF" w:val="clear"/>
        </w:rPr>
        <w:t>5）设备到达最终用户现场后，中标人的工程师到采购人的现场安装设备，同时应向采购人介绍设备功能及特殊分析并进行现场演示。</w:t>
      </w:r>
    </w:p>
    <w:p>
      <w:pPr>
        <w:pStyle w:val="null3"/>
        <w:ind w:firstLine="86"/>
        <w:jc w:val="left"/>
      </w:pPr>
      <w:r>
        <w:rPr>
          <w:rFonts w:ascii="宋体" w:hAnsi="宋体" w:cs="宋体" w:eastAsia="宋体"/>
          <w:sz w:val="21"/>
          <w:b/>
          <w:shd w:fill="FFFFFF" w:val="clear"/>
        </w:rPr>
        <w:t>（</w:t>
      </w:r>
      <w:r>
        <w:rPr>
          <w:rFonts w:ascii="宋体" w:hAnsi="宋体" w:cs="宋体" w:eastAsia="宋体"/>
          <w:sz w:val="21"/>
          <w:b/>
          <w:shd w:fill="FFFFFF" w:val="clear"/>
        </w:rPr>
        <w:t>6）设备进场后须在接到采购人安装通知后一周内安装调试完毕并交付使用。</w:t>
      </w:r>
    </w:p>
    <w:p>
      <w:pPr>
        <w:pStyle w:val="null3"/>
        <w:ind w:firstLine="86"/>
        <w:jc w:val="left"/>
      </w:pPr>
      <w:r>
        <w:rPr>
          <w:rFonts w:ascii="宋体" w:hAnsi="宋体" w:cs="宋体" w:eastAsia="宋体"/>
          <w:sz w:val="21"/>
          <w:b/>
          <w:shd w:fill="FFFFFF" w:val="clear"/>
        </w:rPr>
        <w:t>2、验收</w:t>
      </w:r>
    </w:p>
    <w:p>
      <w:pPr>
        <w:pStyle w:val="null3"/>
        <w:ind w:firstLine="86"/>
        <w:jc w:val="left"/>
      </w:pPr>
      <w:r>
        <w:rPr>
          <w:rFonts w:ascii="宋体" w:hAnsi="宋体" w:cs="宋体" w:eastAsia="宋体"/>
          <w:sz w:val="21"/>
          <w:b/>
          <w:shd w:fill="FFFFFF" w:val="clear"/>
        </w:rPr>
        <w:t>（</w:t>
      </w:r>
      <w:r>
        <w:rPr>
          <w:rFonts w:ascii="宋体" w:hAnsi="宋体" w:cs="宋体" w:eastAsia="宋体"/>
          <w:sz w:val="21"/>
          <w:b/>
          <w:shd w:fill="FFFFFF" w:val="clear"/>
        </w:rPr>
        <w:t>1）验收标准</w:t>
      </w:r>
    </w:p>
    <w:p>
      <w:pPr>
        <w:pStyle w:val="null3"/>
        <w:ind w:firstLine="86"/>
        <w:jc w:val="left"/>
      </w:pPr>
      <w:r>
        <w:rPr>
          <w:rFonts w:ascii="宋体" w:hAnsi="宋体" w:cs="宋体" w:eastAsia="宋体"/>
          <w:sz w:val="21"/>
          <w:b/>
          <w:shd w:fill="FFFFFF" w:val="clear"/>
        </w:rPr>
        <w:t>投标人所提供的设备必须是制造厂家生产的崭新的未开箱的原包装设备。所有设备按厂家设备验收标准（符合国家或行业或地方标准）、招标文件、投标文件等有关内容进行验收。投标人提供设备的制造标准及技术规范等有关资料必须符合中国相应有关标准、规范要求。</w:t>
      </w:r>
    </w:p>
    <w:p>
      <w:pPr>
        <w:pStyle w:val="null3"/>
        <w:ind w:firstLine="86"/>
        <w:jc w:val="left"/>
      </w:pPr>
      <w:r>
        <w:rPr>
          <w:rFonts w:ascii="宋体" w:hAnsi="宋体" w:cs="宋体" w:eastAsia="宋体"/>
          <w:sz w:val="21"/>
          <w:b/>
          <w:shd w:fill="FFFFFF" w:val="clear"/>
        </w:rPr>
        <w:t>（</w:t>
      </w:r>
      <w:r>
        <w:rPr>
          <w:rFonts w:ascii="宋体" w:hAnsi="宋体" w:cs="宋体" w:eastAsia="宋体"/>
          <w:sz w:val="21"/>
          <w:b/>
          <w:shd w:fill="FFFFFF" w:val="clear"/>
        </w:rPr>
        <w:t>2）验收程序和方法</w:t>
      </w:r>
    </w:p>
    <w:p>
      <w:pPr>
        <w:pStyle w:val="null3"/>
        <w:ind w:firstLine="86"/>
        <w:jc w:val="left"/>
      </w:pPr>
      <w:r>
        <w:rPr>
          <w:rFonts w:ascii="宋体" w:hAnsi="宋体" w:cs="宋体" w:eastAsia="宋体"/>
          <w:sz w:val="21"/>
          <w:b/>
          <w:shd w:fill="FFFFFF" w:val="clear"/>
        </w:rPr>
        <w:t>①出厂检验</w:t>
      </w:r>
    </w:p>
    <w:p>
      <w:pPr>
        <w:pStyle w:val="null3"/>
        <w:ind w:firstLine="86"/>
        <w:jc w:val="left"/>
      </w:pPr>
      <w:r>
        <w:rPr>
          <w:rFonts w:ascii="宋体" w:hAnsi="宋体" w:cs="宋体" w:eastAsia="宋体"/>
          <w:sz w:val="21"/>
          <w:b/>
          <w:shd w:fill="FFFFFF" w:val="clear"/>
        </w:rPr>
        <w:t>中标人在设备出厂前，应按设备技术标准规定的检验项目和检验方法进行全面检验，中标人应随同货物出具供货证明、产地证书、出厂检验报告和设备质量合格证等。结果必须符合验收标准的要求。</w:t>
      </w:r>
    </w:p>
    <w:p>
      <w:pPr>
        <w:pStyle w:val="null3"/>
        <w:ind w:firstLine="86"/>
        <w:jc w:val="left"/>
      </w:pPr>
      <w:r>
        <w:rPr>
          <w:rFonts w:ascii="宋体" w:hAnsi="宋体" w:cs="宋体" w:eastAsia="宋体"/>
          <w:sz w:val="21"/>
          <w:b/>
          <w:shd w:fill="FFFFFF" w:val="clear"/>
        </w:rPr>
        <w:t>②中标人自检</w:t>
      </w:r>
    </w:p>
    <w:p>
      <w:pPr>
        <w:pStyle w:val="null3"/>
        <w:ind w:firstLine="34"/>
        <w:jc w:val="left"/>
      </w:pPr>
      <w:r>
        <w:rPr>
          <w:rFonts w:ascii="宋体" w:hAnsi="宋体" w:cs="宋体" w:eastAsia="宋体"/>
          <w:sz w:val="21"/>
          <w:b/>
          <w:shd w:fill="FFFFFF" w:val="clear"/>
        </w:rPr>
        <w:t>设备在安装地安装完毕后，要求中标人对所有设备的性能进行自检，检验结果必须符合招标文件技术要求以及合同中相关条款，同时向采购人提供自检记录。</w:t>
      </w:r>
    </w:p>
    <w:p>
      <w:pPr>
        <w:pStyle w:val="null3"/>
        <w:ind w:firstLine="86"/>
        <w:jc w:val="left"/>
      </w:pPr>
      <w:r>
        <w:rPr>
          <w:rFonts w:ascii="宋体" w:hAnsi="宋体" w:cs="宋体" w:eastAsia="宋体"/>
          <w:sz w:val="21"/>
          <w:b/>
          <w:shd w:fill="FFFFFF" w:val="clear"/>
        </w:rPr>
        <w:t>③验收与最终验收</w:t>
      </w:r>
    </w:p>
    <w:p>
      <w:pPr>
        <w:pStyle w:val="null3"/>
        <w:ind w:firstLine="86"/>
        <w:jc w:val="left"/>
      </w:pPr>
      <w:r>
        <w:rPr>
          <w:rFonts w:ascii="宋体" w:hAnsi="宋体" w:cs="宋体" w:eastAsia="宋体"/>
          <w:sz w:val="21"/>
          <w:b/>
          <w:shd w:fill="FFFFFF" w:val="clear"/>
        </w:rPr>
        <w:t>中标人自检后，中标人与采购人一同按招标文件以及合同相关条款要求对设备进行验收，验收结果应符合采购人使用要求。安装完毕后，中标人需派有设备调试经验的技术人员对设备进行调试，按验收指标逐项测试，直至全部达到要求。</w:t>
      </w:r>
    </w:p>
    <w:p>
      <w:pPr>
        <w:pStyle w:val="null3"/>
        <w:ind w:firstLine="69"/>
        <w:jc w:val="left"/>
      </w:pPr>
      <w:r>
        <w:rPr>
          <w:rFonts w:ascii="宋体" w:hAnsi="宋体" w:cs="宋体" w:eastAsia="宋体"/>
          <w:sz w:val="21"/>
          <w:b/>
          <w:shd w:fill="FFFFFF" w:val="clear"/>
        </w:rPr>
        <w:t>（</w:t>
      </w:r>
      <w:r>
        <w:rPr>
          <w:rFonts w:ascii="宋体" w:hAnsi="宋体" w:cs="宋体" w:eastAsia="宋体"/>
          <w:sz w:val="21"/>
          <w:b/>
          <w:shd w:fill="FFFFFF" w:val="clear"/>
        </w:rPr>
        <w:t>3）验收所发生的一切费用均由中标人承担。</w:t>
      </w:r>
    </w:p>
    <w:p>
      <w:pPr>
        <w:pStyle w:val="null3"/>
        <w:ind w:firstLine="86"/>
        <w:jc w:val="left"/>
      </w:pPr>
      <w:r>
        <w:rPr>
          <w:rFonts w:ascii="宋体" w:hAnsi="宋体" w:cs="宋体" w:eastAsia="宋体"/>
          <w:sz w:val="21"/>
          <w:b/>
          <w:shd w:fill="FFFFFF" w:val="clear"/>
        </w:rPr>
        <w:t>（三）技术资料要求</w:t>
      </w:r>
    </w:p>
    <w:p>
      <w:pPr>
        <w:pStyle w:val="null3"/>
        <w:ind w:firstLine="86"/>
        <w:jc w:val="left"/>
      </w:pPr>
      <w:r>
        <w:rPr>
          <w:rFonts w:ascii="宋体" w:hAnsi="宋体" w:cs="宋体" w:eastAsia="宋体"/>
          <w:sz w:val="21"/>
          <w:b/>
          <w:shd w:fill="FFFFFF" w:val="clear"/>
        </w:rPr>
        <w:t>中标人应向采购人提供以下目录的技术资料壹套，各项指标和参数应符合验收标准，采购人有权委托中国有资格单位或机构对设备性能、精度进行校核。</w:t>
      </w:r>
    </w:p>
    <w:p>
      <w:pPr>
        <w:pStyle w:val="null3"/>
        <w:ind w:firstLine="86"/>
        <w:jc w:val="left"/>
      </w:pPr>
      <w:r>
        <w:rPr>
          <w:rFonts w:ascii="宋体" w:hAnsi="宋体" w:cs="宋体" w:eastAsia="宋体"/>
          <w:sz w:val="21"/>
          <w:b/>
          <w:shd w:fill="FFFFFF" w:val="clear"/>
        </w:rPr>
        <w:t>1、出厂明细表(装箱单)；</w:t>
      </w:r>
    </w:p>
    <w:p>
      <w:pPr>
        <w:pStyle w:val="null3"/>
        <w:ind w:firstLine="86"/>
        <w:jc w:val="left"/>
      </w:pPr>
      <w:r>
        <w:rPr>
          <w:rFonts w:ascii="宋体" w:hAnsi="宋体" w:cs="宋体" w:eastAsia="宋体"/>
          <w:sz w:val="21"/>
          <w:b/>
          <w:shd w:fill="FFFFFF" w:val="clear"/>
        </w:rPr>
        <w:t>2、出厂检验报告和合格证书；</w:t>
      </w:r>
    </w:p>
    <w:p>
      <w:pPr>
        <w:pStyle w:val="null3"/>
        <w:ind w:firstLine="86"/>
        <w:jc w:val="left"/>
      </w:pPr>
      <w:r>
        <w:rPr>
          <w:rFonts w:ascii="宋体" w:hAnsi="宋体" w:cs="宋体" w:eastAsia="宋体"/>
          <w:sz w:val="21"/>
          <w:b/>
          <w:shd w:fill="FFFFFF" w:val="clear"/>
        </w:rPr>
        <w:t>3、使用说明书；</w:t>
      </w:r>
    </w:p>
    <w:p>
      <w:pPr>
        <w:pStyle w:val="null3"/>
        <w:ind w:firstLine="86"/>
        <w:jc w:val="left"/>
      </w:pPr>
      <w:r>
        <w:rPr>
          <w:rFonts w:ascii="宋体" w:hAnsi="宋体" w:cs="宋体" w:eastAsia="宋体"/>
          <w:sz w:val="21"/>
          <w:b/>
          <w:shd w:fill="FFFFFF" w:val="clear"/>
        </w:rPr>
        <w:t>4、安装手册、操作手册、维修手册</w:t>
      </w:r>
    </w:p>
    <w:p>
      <w:pPr>
        <w:pStyle w:val="null3"/>
        <w:ind w:firstLine="86"/>
        <w:jc w:val="left"/>
      </w:pPr>
      <w:r>
        <w:rPr>
          <w:rFonts w:ascii="宋体" w:hAnsi="宋体" w:cs="宋体" w:eastAsia="宋体"/>
          <w:sz w:val="21"/>
          <w:b/>
          <w:shd w:fill="FFFFFF" w:val="clear"/>
        </w:rPr>
        <w:t>5、设备安装、调试维修线路原理图；</w:t>
      </w:r>
    </w:p>
    <w:p>
      <w:pPr>
        <w:pStyle w:val="null3"/>
        <w:ind w:firstLine="86"/>
        <w:jc w:val="left"/>
      </w:pPr>
      <w:r>
        <w:rPr>
          <w:rFonts w:ascii="宋体" w:hAnsi="宋体" w:cs="宋体" w:eastAsia="宋体"/>
          <w:sz w:val="21"/>
          <w:b/>
          <w:shd w:fill="FFFFFF" w:val="clear"/>
        </w:rPr>
        <w:t>6、零部件目录；</w:t>
      </w:r>
    </w:p>
    <w:p>
      <w:pPr>
        <w:pStyle w:val="null3"/>
        <w:ind w:firstLine="86"/>
        <w:jc w:val="left"/>
      </w:pPr>
      <w:r>
        <w:rPr>
          <w:rFonts w:ascii="宋体" w:hAnsi="宋体" w:cs="宋体" w:eastAsia="宋体"/>
          <w:sz w:val="21"/>
          <w:b/>
          <w:shd w:fill="FFFFFF" w:val="clear"/>
        </w:rPr>
        <w:t>7、相关文件、支持程序软盘或光盘；</w:t>
      </w:r>
    </w:p>
    <w:p>
      <w:pPr>
        <w:pStyle w:val="null3"/>
        <w:ind w:firstLine="86"/>
        <w:jc w:val="left"/>
      </w:pPr>
      <w:r>
        <w:rPr>
          <w:rFonts w:ascii="宋体" w:hAnsi="宋体" w:cs="宋体" w:eastAsia="宋体"/>
          <w:sz w:val="21"/>
          <w:b/>
          <w:shd w:fill="FFFFFF" w:val="clear"/>
        </w:rPr>
        <w:t>8、安装、维修及操作手册；</w:t>
      </w:r>
    </w:p>
    <w:p>
      <w:pPr>
        <w:pStyle w:val="null3"/>
        <w:ind w:firstLine="86"/>
        <w:jc w:val="left"/>
      </w:pPr>
      <w:r>
        <w:rPr>
          <w:rFonts w:ascii="宋体" w:hAnsi="宋体" w:cs="宋体" w:eastAsia="宋体"/>
          <w:sz w:val="21"/>
          <w:b/>
          <w:shd w:fill="FFFFFF" w:val="clear"/>
        </w:rPr>
        <w:t>9、提供原 产地制造商的产品证明；</w:t>
      </w:r>
    </w:p>
    <w:p>
      <w:pPr>
        <w:pStyle w:val="null3"/>
        <w:ind w:firstLine="86"/>
        <w:jc w:val="left"/>
      </w:pPr>
      <w:r>
        <w:rPr>
          <w:rFonts w:ascii="宋体" w:hAnsi="宋体" w:cs="宋体" w:eastAsia="宋体"/>
          <w:sz w:val="21"/>
          <w:b/>
          <w:shd w:fill="FFFFFF" w:val="clear"/>
        </w:rPr>
        <w:t>10、合同中要求的其它文件资料。</w:t>
      </w:r>
    </w:p>
    <w:p>
      <w:pPr>
        <w:pStyle w:val="null3"/>
        <w:ind w:firstLine="86"/>
        <w:jc w:val="left"/>
      </w:pPr>
      <w:r>
        <w:rPr>
          <w:rFonts w:ascii="宋体" w:hAnsi="宋体" w:cs="宋体" w:eastAsia="宋体"/>
          <w:sz w:val="21"/>
          <w:b/>
          <w:shd w:fill="FFFFFF" w:val="clear"/>
        </w:rPr>
        <w:t>（四）专用工具和特殊工具</w:t>
      </w:r>
    </w:p>
    <w:p>
      <w:pPr>
        <w:pStyle w:val="null3"/>
        <w:ind w:firstLine="86"/>
        <w:jc w:val="left"/>
      </w:pPr>
      <w:r>
        <w:rPr>
          <w:rFonts w:ascii="宋体" w:hAnsi="宋体" w:cs="宋体" w:eastAsia="宋体"/>
          <w:sz w:val="21"/>
          <w:b/>
          <w:shd w:fill="FFFFFF" w:val="clear"/>
        </w:rPr>
        <w:t>1、专用工具：中标人应向采购人提供一套维修所需的专用工具及清单(清单附在投标文件中)。</w:t>
      </w:r>
    </w:p>
    <w:p>
      <w:pPr>
        <w:pStyle w:val="null3"/>
        <w:ind w:firstLine="86"/>
        <w:jc w:val="left"/>
      </w:pPr>
      <w:r>
        <w:rPr>
          <w:rFonts w:ascii="宋体" w:hAnsi="宋体" w:cs="宋体" w:eastAsia="宋体"/>
          <w:sz w:val="21"/>
          <w:b/>
          <w:shd w:fill="FFFFFF" w:val="clear"/>
        </w:rPr>
        <w:t>2、特殊工具：中标人应向采购人提供货物安装和维修所需的特殊工具及清单和中文说明书，其费用包括在投标总价内。</w:t>
      </w:r>
    </w:p>
    <w:p>
      <w:pPr>
        <w:pStyle w:val="null3"/>
        <w:ind w:firstLine="86"/>
        <w:jc w:val="left"/>
      </w:pPr>
      <w:r>
        <w:rPr>
          <w:rFonts w:ascii="宋体" w:hAnsi="宋体" w:cs="宋体" w:eastAsia="宋体"/>
          <w:sz w:val="21"/>
          <w:b/>
          <w:shd w:fill="FFFFFF" w:val="clear"/>
        </w:rPr>
        <w:t>（五）质量保证期及售后服务</w:t>
      </w:r>
    </w:p>
    <w:p>
      <w:pPr>
        <w:pStyle w:val="null3"/>
        <w:ind w:firstLine="86"/>
        <w:jc w:val="left"/>
      </w:pPr>
      <w:r>
        <w:rPr>
          <w:rFonts w:ascii="宋体" w:hAnsi="宋体" w:cs="宋体" w:eastAsia="宋体"/>
          <w:sz w:val="21"/>
          <w:b/>
          <w:shd w:fill="FFFFFF" w:val="clear"/>
        </w:rPr>
        <w:t>1、质量保证期：至少一年，验收合格之日起计算。</w:t>
      </w:r>
    </w:p>
    <w:p>
      <w:pPr>
        <w:pStyle w:val="null3"/>
        <w:ind w:firstLine="86"/>
        <w:jc w:val="left"/>
      </w:pPr>
      <w:r>
        <w:rPr>
          <w:rFonts w:ascii="宋体" w:hAnsi="宋体" w:cs="宋体" w:eastAsia="宋体"/>
          <w:sz w:val="21"/>
          <w:b/>
          <w:shd w:fill="FFFFFF" w:val="clear"/>
        </w:rPr>
        <w:t>2、保修期内：免费进行设备安全调试；免费上门维修保养及更换配件；在质量保证期内设备运行发生故障时，供货方在接到采购人故障通知后2小时内响应要求，24小时内应委派专业技术人员到现场免费提供咨询、维修和更换有缺陷的零部件或整机等服务，并及时填写维修报告(包括故障原因、处理情况及采购人意见等)报采购人备案，若48小时内无法排除故障，则应先提供同 档次备用机供采购人使用。其中发生一切费用由供货方承担。质量保证期内供货方有责任对设备进行不定期的巡查检修。</w:t>
      </w:r>
    </w:p>
    <w:p>
      <w:pPr>
        <w:pStyle w:val="null3"/>
        <w:ind w:firstLine="86"/>
        <w:jc w:val="left"/>
      </w:pPr>
      <w:r>
        <w:rPr>
          <w:rFonts w:ascii="宋体" w:hAnsi="宋体" w:cs="宋体" w:eastAsia="宋体"/>
          <w:sz w:val="21"/>
          <w:b/>
          <w:shd w:fill="FFFFFF" w:val="clear"/>
        </w:rPr>
        <w:t>3、保修期外：设备保修期过后，收到用户方通知后2小时内响应，24小时内派人到达现场解决，承担终身维修服务。维修过程只收取配件费，且以最优惠价格提供。</w:t>
      </w:r>
    </w:p>
    <w:p>
      <w:pPr>
        <w:pStyle w:val="null3"/>
        <w:ind w:firstLine="86"/>
        <w:jc w:val="left"/>
      </w:pPr>
      <w:r>
        <w:rPr>
          <w:rFonts w:ascii="宋体" w:hAnsi="宋体" w:cs="宋体" w:eastAsia="宋体"/>
          <w:sz w:val="21"/>
          <w:b/>
          <w:shd w:fill="FFFFFF" w:val="clear"/>
        </w:rPr>
        <w:t>4、投标人应响应本次采购售 后服务要求并在投标文件中提供详细具体的售 后服务条件及保证，也可视自身能力在投标文件中提供更优、更合理的售 后服务承诺。</w:t>
      </w:r>
    </w:p>
    <w:p>
      <w:pPr>
        <w:pStyle w:val="null3"/>
        <w:ind w:firstLine="86"/>
        <w:jc w:val="left"/>
      </w:pPr>
      <w:r>
        <w:rPr>
          <w:rFonts w:ascii="宋体" w:hAnsi="宋体" w:cs="宋体" w:eastAsia="宋体"/>
          <w:sz w:val="21"/>
          <w:b/>
          <w:shd w:fill="FFFFFF" w:val="clear"/>
        </w:rPr>
        <w:t>（六）培训要求</w:t>
      </w:r>
    </w:p>
    <w:p>
      <w:pPr>
        <w:pStyle w:val="null3"/>
        <w:ind w:firstLine="86"/>
        <w:jc w:val="left"/>
      </w:pPr>
      <w:r>
        <w:rPr>
          <w:rFonts w:ascii="宋体" w:hAnsi="宋体" w:cs="宋体" w:eastAsia="宋体"/>
          <w:sz w:val="21"/>
          <w:b/>
          <w:shd w:fill="FFFFFF" w:val="clear"/>
        </w:rPr>
        <w:t>1、中标人应根据新仪器特点，免费对采购人技术人员、管理人员进行操作、维修、保养等方面的专业培训，直至能独立操作。中标人委派的专业技术人员所需费用均由中标人承担。</w:t>
      </w:r>
    </w:p>
    <w:p>
      <w:pPr>
        <w:pStyle w:val="null3"/>
        <w:ind w:firstLine="86"/>
        <w:jc w:val="left"/>
      </w:pPr>
      <w:r>
        <w:rPr>
          <w:rFonts w:ascii="宋体" w:hAnsi="宋体" w:cs="宋体" w:eastAsia="宋体"/>
          <w:sz w:val="21"/>
          <w:b/>
          <w:shd w:fill="FFFFFF" w:val="clear"/>
        </w:rPr>
        <w:t>2、提供现场培训，可根据用户需求举办不定期培训，帮助用户提高日常基本维护技能和系统的操作、管理满足工作的需要。</w:t>
      </w:r>
    </w:p>
    <w:p>
      <w:pPr>
        <w:pStyle w:val="null3"/>
        <w:ind w:firstLine="86"/>
        <w:jc w:val="left"/>
      </w:pPr>
      <w:r>
        <w:rPr>
          <w:rFonts w:ascii="宋体" w:hAnsi="宋体" w:cs="宋体" w:eastAsia="宋体"/>
          <w:sz w:val="21"/>
          <w:b/>
          <w:shd w:fill="FFFFFF" w:val="clear"/>
        </w:rPr>
        <w:t>（七）合同条款</w:t>
      </w:r>
      <w:r>
        <w:rPr>
          <w:rFonts w:ascii="宋体" w:hAnsi="宋体" w:cs="宋体" w:eastAsia="宋体"/>
          <w:sz w:val="21"/>
          <w:b/>
          <w:shd w:fill="FFFFFF" w:val="clear"/>
        </w:rPr>
        <w:t>(以下甲方为采购人，乙方为中标人)</w:t>
      </w:r>
    </w:p>
    <w:p>
      <w:pPr>
        <w:pStyle w:val="null3"/>
        <w:ind w:firstLine="86"/>
        <w:jc w:val="left"/>
      </w:pPr>
      <w:r>
        <w:rPr>
          <w:rFonts w:ascii="宋体" w:hAnsi="宋体" w:cs="宋体" w:eastAsia="宋体"/>
          <w:sz w:val="21"/>
          <w:b/>
          <w:shd w:fill="FFFFFF" w:val="clear"/>
        </w:rPr>
        <w:t>1、违约责任</w:t>
      </w:r>
    </w:p>
    <w:p>
      <w:pPr>
        <w:pStyle w:val="null3"/>
        <w:ind w:firstLine="86"/>
        <w:jc w:val="left"/>
      </w:pPr>
      <w:r>
        <w:rPr>
          <w:rFonts w:ascii="宋体" w:hAnsi="宋体" w:cs="宋体" w:eastAsia="宋体"/>
          <w:sz w:val="21"/>
          <w:b/>
          <w:shd w:fill="FFFFFF" w:val="clear"/>
        </w:rPr>
        <w:t>（</w:t>
      </w:r>
      <w:r>
        <w:rPr>
          <w:rFonts w:ascii="宋体" w:hAnsi="宋体" w:cs="宋体" w:eastAsia="宋体"/>
          <w:sz w:val="21"/>
          <w:b/>
          <w:shd w:fill="FFFFFF" w:val="clear"/>
        </w:rPr>
        <w:t>1）未按合同规定标准交付货物的违约责任</w:t>
      </w:r>
    </w:p>
    <w:p>
      <w:pPr>
        <w:pStyle w:val="null3"/>
        <w:ind w:firstLine="86"/>
        <w:jc w:val="left"/>
      </w:pPr>
      <w:r>
        <w:rPr>
          <w:rFonts w:ascii="宋体" w:hAnsi="宋体" w:cs="宋体" w:eastAsia="宋体"/>
          <w:sz w:val="21"/>
          <w:b/>
          <w:shd w:fill="FFFFFF" w:val="clear"/>
        </w:rPr>
        <w:t>乙方所交付的货物的品种、型号、规格、数量、质量等不符合合同规定标准的，甲方有权拒绝部分或全部货物，乙方应向甲方偿付被拒货物货款的</w:t>
      </w:r>
      <w:r>
        <w:rPr>
          <w:rFonts w:ascii="宋体" w:hAnsi="宋体" w:cs="宋体" w:eastAsia="宋体"/>
          <w:sz w:val="21"/>
          <w:b/>
          <w:shd w:fill="FFFFFF" w:val="clear"/>
        </w:rPr>
        <w:t>20%的违约金。</w:t>
      </w:r>
    </w:p>
    <w:p>
      <w:pPr>
        <w:pStyle w:val="null3"/>
        <w:ind w:firstLine="86"/>
        <w:jc w:val="left"/>
      </w:pPr>
      <w:r>
        <w:rPr>
          <w:rFonts w:ascii="宋体" w:hAnsi="宋体" w:cs="宋体" w:eastAsia="宋体"/>
          <w:sz w:val="21"/>
          <w:b/>
          <w:shd w:fill="FFFFFF" w:val="clear"/>
        </w:rPr>
        <w:t>（</w:t>
      </w:r>
      <w:r>
        <w:rPr>
          <w:rFonts w:ascii="宋体" w:hAnsi="宋体" w:cs="宋体" w:eastAsia="宋体"/>
          <w:sz w:val="21"/>
          <w:b/>
          <w:shd w:fill="FFFFFF" w:val="clear"/>
        </w:rPr>
        <w:t>2）乙方未按期交货的违约责任</w:t>
      </w:r>
    </w:p>
    <w:p>
      <w:pPr>
        <w:pStyle w:val="null3"/>
        <w:ind w:firstLine="86"/>
        <w:jc w:val="left"/>
      </w:pPr>
      <w:r>
        <w:rPr>
          <w:rFonts w:ascii="宋体" w:hAnsi="宋体" w:cs="宋体" w:eastAsia="宋体"/>
          <w:sz w:val="21"/>
          <w:b/>
          <w:shd w:fill="FFFFFF" w:val="clear"/>
        </w:rPr>
        <w:t>①如果乙方未能按合同规定的时间足额交货（不可抗力除外），须按合同规定支付延期交货违约金并赔偿由此给甲方造成的损失，同时甲方有权选择同意延长交货期还是不予延长交货期，甲方同意延长交货期的，延期交货的时间由双方另行确定。延期交货违约金按迟交货物金额的 1 ％（每日）计算，但延期交货违约金的支付总额不得超过迟交货物金额的30％。</w:t>
      </w:r>
    </w:p>
    <w:p>
      <w:pPr>
        <w:pStyle w:val="null3"/>
        <w:ind w:firstLine="86"/>
        <w:jc w:val="left"/>
      </w:pPr>
      <w:r>
        <w:rPr>
          <w:rFonts w:ascii="宋体" w:hAnsi="宋体" w:cs="宋体" w:eastAsia="宋体"/>
          <w:sz w:val="21"/>
          <w:b/>
          <w:shd w:fill="FFFFFF" w:val="clear"/>
        </w:rPr>
        <w:t>②若乙方逾期交货达30天（含30天）以上的，甲方有权单方面解除采购合同，乙方仍应按上述约定支付延期交货违约金。若因此给甲方造成损失的，乙方还应赔偿甲方所受的损失。</w:t>
      </w:r>
    </w:p>
    <w:p>
      <w:pPr>
        <w:pStyle w:val="null3"/>
        <w:ind w:firstLine="86"/>
        <w:jc w:val="left"/>
      </w:pPr>
      <w:r>
        <w:rPr>
          <w:rFonts w:ascii="宋体" w:hAnsi="宋体" w:cs="宋体" w:eastAsia="宋体"/>
          <w:sz w:val="21"/>
          <w:b/>
          <w:shd w:fill="FFFFFF" w:val="clear"/>
        </w:rPr>
        <w:t>③若乙方不能交货的，乙方应按货款的30 ％向甲方支付违约金。若因此给甲方造成损失的，乙方还应赔偿甲方所受的损失。</w:t>
      </w:r>
    </w:p>
    <w:p>
      <w:pPr>
        <w:pStyle w:val="null3"/>
        <w:ind w:firstLine="86"/>
        <w:jc w:val="left"/>
      </w:pPr>
      <w:r>
        <w:rPr>
          <w:rFonts w:ascii="宋体" w:hAnsi="宋体" w:cs="宋体" w:eastAsia="宋体"/>
          <w:sz w:val="21"/>
          <w:b/>
          <w:shd w:fill="FFFFFF" w:val="clear"/>
        </w:rPr>
        <w:t>（</w:t>
      </w:r>
      <w:r>
        <w:rPr>
          <w:rFonts w:ascii="宋体" w:hAnsi="宋体" w:cs="宋体" w:eastAsia="宋体"/>
          <w:sz w:val="21"/>
          <w:b/>
          <w:shd w:fill="FFFFFF" w:val="clear"/>
        </w:rPr>
        <w:t>3）乙方所供货物质量不合格的违约责任</w:t>
      </w:r>
    </w:p>
    <w:p>
      <w:pPr>
        <w:pStyle w:val="null3"/>
        <w:ind w:firstLine="86"/>
        <w:jc w:val="left"/>
      </w:pPr>
      <w:r>
        <w:rPr>
          <w:rFonts w:ascii="宋体" w:hAnsi="宋体" w:cs="宋体" w:eastAsia="宋体"/>
          <w:sz w:val="21"/>
          <w:b/>
          <w:shd w:fill="FFFFFF" w:val="clear"/>
        </w:rPr>
        <w:t>①若乙方所供货物在质量保证期头三个月内出现货物质量问题，甲方有权要求无条件免费更换全部设备，并有权要求乙方赔偿甲方交易价15%的损失。</w:t>
      </w:r>
    </w:p>
    <w:p>
      <w:pPr>
        <w:pStyle w:val="null3"/>
        <w:ind w:firstLine="86"/>
        <w:jc w:val="left"/>
      </w:pPr>
      <w:r>
        <w:rPr>
          <w:rFonts w:ascii="宋体" w:hAnsi="宋体" w:cs="宋体" w:eastAsia="宋体"/>
          <w:sz w:val="21"/>
          <w:b/>
          <w:shd w:fill="FFFFFF" w:val="clear"/>
        </w:rPr>
        <w:t>②在质量保证期内，若乙方所供货物修理两次后，仍不能正常使用的产品，凭乙方提供的修理记录，由乙方负责为甲方免费调换同型号同规格的产品或者退货。甲方并有权要求乙方赔偿甲方交易价15%的损失。</w:t>
      </w:r>
    </w:p>
    <w:p>
      <w:pPr>
        <w:pStyle w:val="null3"/>
        <w:ind w:firstLine="86"/>
        <w:jc w:val="left"/>
      </w:pPr>
      <w:r>
        <w:rPr>
          <w:rFonts w:ascii="宋体" w:hAnsi="宋体" w:cs="宋体" w:eastAsia="宋体"/>
          <w:sz w:val="21"/>
          <w:b/>
          <w:shd w:fill="FFFFFF" w:val="clear"/>
        </w:rPr>
        <w:t>③依据合同规定甲方提出换货的，乙方应在20天内无条件更换至合格（进口设备为 60 天内），换货所产生的费用由乙方自行承担；若更换后的产品还存在质量问题，甲方有权终止合同要求乙方全额退还货款且乙方应向甲方偿付货款的30%的违约金，违约金不足以补偿甲方损失的，甲方有权要求乙方继续对不足部分予以赔偿。</w:t>
      </w:r>
    </w:p>
    <w:p>
      <w:pPr>
        <w:pStyle w:val="null3"/>
        <w:ind w:firstLine="86"/>
        <w:jc w:val="left"/>
      </w:pPr>
      <w:r>
        <w:rPr>
          <w:rFonts w:ascii="宋体" w:hAnsi="宋体" w:cs="宋体" w:eastAsia="宋体"/>
          <w:sz w:val="21"/>
          <w:b/>
          <w:shd w:fill="FFFFFF" w:val="clear"/>
        </w:rPr>
        <w:t>（</w:t>
      </w:r>
      <w:r>
        <w:rPr>
          <w:rFonts w:ascii="宋体" w:hAnsi="宋体" w:cs="宋体" w:eastAsia="宋体"/>
          <w:sz w:val="21"/>
          <w:b/>
          <w:shd w:fill="FFFFFF" w:val="clear"/>
        </w:rPr>
        <w:t>4）乙方未能按照要求时间提供服务的违约责任</w:t>
      </w:r>
    </w:p>
    <w:p>
      <w:pPr>
        <w:pStyle w:val="null3"/>
        <w:ind w:firstLine="86"/>
        <w:jc w:val="left"/>
      </w:pPr>
      <w:r>
        <w:rPr>
          <w:rFonts w:ascii="宋体" w:hAnsi="宋体" w:cs="宋体" w:eastAsia="宋体"/>
          <w:sz w:val="21"/>
          <w:b/>
          <w:shd w:fill="FFFFFF" w:val="clear"/>
        </w:rPr>
        <w:t>若乙方未能按照合同约定的时间提供服务的，</w:t>
      </w:r>
      <w:r>
        <w:rPr>
          <w:rFonts w:ascii="宋体" w:hAnsi="宋体" w:cs="宋体" w:eastAsia="宋体"/>
          <w:sz w:val="21"/>
          <w:b/>
          <w:shd w:fill="FFFFFF" w:val="clear"/>
        </w:rPr>
        <w:t>≤100万元的设备，每逾期1天，乙方应按货款的0.3%向甲方支付违约金；高于100万元且低于1000万元的设备，每逾期1天，乙方应按货款的0.15%向甲方支付违约金；违约金的上限为合同总金额的30%。若因此给甲方造成损失的，乙方还应赔偿甲方所受的损失。</w:t>
      </w:r>
    </w:p>
    <w:p>
      <w:pPr>
        <w:pStyle w:val="null3"/>
        <w:ind w:firstLine="86"/>
        <w:jc w:val="left"/>
      </w:pPr>
      <w:r>
        <w:rPr>
          <w:rFonts w:ascii="宋体" w:hAnsi="宋体" w:cs="宋体" w:eastAsia="宋体"/>
          <w:sz w:val="21"/>
          <w:b/>
          <w:shd w:fill="FFFFFF" w:val="clear"/>
        </w:rPr>
        <w:t>2、甲方权利</w:t>
      </w:r>
    </w:p>
    <w:p>
      <w:pPr>
        <w:pStyle w:val="null3"/>
        <w:ind w:firstLine="86"/>
        <w:jc w:val="left"/>
      </w:pPr>
      <w:r>
        <w:rPr>
          <w:rFonts w:ascii="宋体" w:hAnsi="宋体" w:cs="宋体" w:eastAsia="宋体"/>
          <w:sz w:val="21"/>
          <w:b/>
          <w:shd w:fill="FFFFFF" w:val="clear"/>
        </w:rPr>
        <w:t>违约金及对甲方损失的赔偿金均可由甲方直接从未付的合同货款或质保金中扣除。</w:t>
      </w:r>
    </w:p>
    <w:p>
      <w:pPr>
        <w:pStyle w:val="null3"/>
        <w:ind w:firstLine="86"/>
        <w:jc w:val="left"/>
      </w:pPr>
      <w:r>
        <w:rPr>
          <w:rFonts w:ascii="宋体" w:hAnsi="宋体" w:cs="宋体" w:eastAsia="宋体"/>
          <w:sz w:val="21"/>
          <w:b/>
          <w:shd w:fill="FFFFFF" w:val="clear"/>
        </w:rPr>
        <w:t>3、违约终止合同</w:t>
      </w:r>
    </w:p>
    <w:p>
      <w:pPr>
        <w:pStyle w:val="null3"/>
        <w:ind w:firstLine="86"/>
        <w:jc w:val="left"/>
      </w:pPr>
      <w:r>
        <w:rPr>
          <w:rFonts w:ascii="宋体" w:hAnsi="宋体" w:cs="宋体" w:eastAsia="宋体"/>
          <w:sz w:val="21"/>
          <w:b/>
          <w:shd w:fill="FFFFFF" w:val="clear"/>
        </w:rPr>
        <w:t>乙方存在下述任何一种违约行为，在甲方发出违约通知后</w:t>
      </w:r>
      <w:r>
        <w:rPr>
          <w:rFonts w:ascii="宋体" w:hAnsi="宋体" w:cs="宋体" w:eastAsia="宋体"/>
          <w:sz w:val="21"/>
          <w:b/>
          <w:shd w:fill="FFFFFF" w:val="clear"/>
        </w:rPr>
        <w:t>30天内(或经甲方书面确认的更长时间内)仍未纠正的，甲方有权单方终止本合同。</w:t>
      </w:r>
    </w:p>
    <w:p>
      <w:pPr>
        <w:pStyle w:val="null3"/>
        <w:ind w:firstLine="86"/>
        <w:jc w:val="left"/>
      </w:pPr>
      <w:r>
        <w:rPr>
          <w:rFonts w:ascii="宋体" w:hAnsi="宋体" w:cs="宋体" w:eastAsia="宋体"/>
          <w:sz w:val="21"/>
          <w:b/>
          <w:shd w:fill="FFFFFF" w:val="clear"/>
        </w:rPr>
        <w:t>（</w:t>
      </w:r>
      <w:r>
        <w:rPr>
          <w:rFonts w:ascii="宋体" w:hAnsi="宋体" w:cs="宋体" w:eastAsia="宋体"/>
          <w:sz w:val="21"/>
          <w:b/>
          <w:shd w:fill="FFFFFF" w:val="clear"/>
        </w:rPr>
        <w:t>1）如果乙方未能在合同规定的期限内或双方另行确定的延期交货时间内交付合同约定的货物。</w:t>
      </w:r>
    </w:p>
    <w:p>
      <w:pPr>
        <w:pStyle w:val="null3"/>
        <w:ind w:firstLine="86"/>
        <w:jc w:val="left"/>
      </w:pPr>
      <w:r>
        <w:rPr>
          <w:rFonts w:ascii="宋体" w:hAnsi="宋体" w:cs="宋体" w:eastAsia="宋体"/>
          <w:sz w:val="21"/>
          <w:b/>
          <w:shd w:fill="FFFFFF" w:val="clear"/>
        </w:rPr>
        <w:t>（</w:t>
      </w:r>
      <w:r>
        <w:rPr>
          <w:rFonts w:ascii="宋体" w:hAnsi="宋体" w:cs="宋体" w:eastAsia="宋体"/>
          <w:sz w:val="21"/>
          <w:b/>
          <w:shd w:fill="FFFFFF" w:val="clear"/>
        </w:rPr>
        <w:t>2）乙方未能履行合同项下的任何其他义务。</w:t>
      </w:r>
    </w:p>
    <w:p>
      <w:pPr>
        <w:pStyle w:val="null3"/>
        <w:ind w:firstLine="86"/>
        <w:jc w:val="left"/>
      </w:pPr>
      <w:r>
        <w:rPr>
          <w:rFonts w:ascii="宋体" w:hAnsi="宋体" w:cs="宋体" w:eastAsia="宋体"/>
          <w:sz w:val="21"/>
          <w:b/>
          <w:shd w:fill="FFFFFF" w:val="clear"/>
        </w:rPr>
        <w:t>4、合同纠纷处理方式</w:t>
      </w:r>
    </w:p>
    <w:p>
      <w:pPr>
        <w:pStyle w:val="null3"/>
        <w:ind w:firstLine="420"/>
        <w:jc w:val="left"/>
      </w:pPr>
      <w:r>
        <w:rPr>
          <w:rFonts w:ascii="宋体" w:hAnsi="宋体" w:cs="宋体" w:eastAsia="宋体"/>
          <w:sz w:val="21"/>
          <w:b/>
          <w:shd w:fill="FFFFFF" w:val="clear"/>
        </w:rPr>
        <w:t>因本合同或与本合同有关的一切事项发生争议，由双方友好协商解决。协商不成的，任何一方均可选择向甲方所在地仲裁委员会申请仲裁或向甲方所在地人民法院提出诉讼。</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（1）投标人选定的投标货物技术性能必须符合或优于招标文件的技术性能要求。 （2）投标人应根据招标文件的技术要求条款，在投标文件中详细说明所提供设备的品 牌、技术规格和参数、产地。 （3）本文所述技术要求，应视为保证涉及系统运行所需的最低要求，如有遗漏，投标人应予以补充，否则，一旦中标将认为投标人认同遗漏部分并免费提供。 （4）投标人所提供的货物应是先进的、可靠的，投标人投标文件应严格按招标文件要求的格式提交，其中的详细报价表、货物说明一览表、售 后服务承诺、质量保证承诺将作为评审时重要的评价因素之一。 （5）若投标人所投产品为进口免税产品，应在标的说明一览表中写明该产品境外销售商或境外生产商的名 称。中 标后，采购人依照海关进口免税规定执行。未写明该产品境外销售商或境外生产商的名 称按无效标处理。 （6）投标人提供设备为进口设备者，应保证这些设备进口的合法性并在合同签订时提供相应的商检、海关等文件，承担法律责任。</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①开标（报价）一览表</w:t>
      </w:r>
    </w:p>
    <w:p>
      <w:pPr>
        <w:pStyle w:val="null3"/>
        <w:ind w:firstLine="480"/>
        <w:jc w:val="left"/>
      </w:pPr>
      <w:r>
        <w:rPr/>
        <w:t>②投标（响应）报价明细表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1.1所投采购包的投标报价详见“开标（报价）一览表”及“投标（响应）报价明细表”。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通信地址：</w:t>
      </w:r>
    </w:p>
    <w:p>
      <w:pPr>
        <w:pStyle w:val="null3"/>
        <w:ind w:firstLine="480"/>
        <w:jc w:val="left"/>
      </w:pPr>
      <w:r>
        <w:rPr/>
        <w:t>邮编：</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二-9中小企业声明函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二-12其他资格证明文件（若有）</w:t>
      </w:r>
    </w:p>
    <w:p>
      <w:pPr>
        <w:pStyle w:val="null3"/>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[350001]FJSXZB[GK]2024013</w:t>
      </w:r>
    </w:p>
    <w:p>
      <w:pPr>
        <w:pStyle w:val="null3"/>
        <w:jc w:val="left"/>
      </w:pPr>
      <w:r>
        <w:rPr/>
        <w:t>项目名称：</w:t>
      </w:r>
      <w:r>
        <w:rPr/>
        <w:t>福州大学高低压环境模拟实验舱等设备采购项目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合同包1</w:t>
            </w:r>
          </w:p>
        </w:tc>
        <w:tc>
          <w:tcPr>
            <w:tcW w:type="dxa" w:w="1661"/>
          </w:tcPr>
          <w:p>
            <w:pPr>
              <w:pStyle w:val="null3"/>
              <w:jc w:val="left"/>
            </w:pPr>
            <w:r>
              <w:rPr/>
              <w:t xml:space="preserve"> 1000000.00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[350001]FJSXZB[GK]2024013</w:t>
      </w:r>
    </w:p>
    <w:p>
      <w:pPr>
        <w:pStyle w:val="null3"/>
        <w:jc w:val="left"/>
      </w:pPr>
      <w:r>
        <w:rPr/>
        <w:t>项目名称：</w:t>
      </w:r>
      <w:r>
        <w:rPr/>
        <w:t>福州大学高低压环境模拟实验舱等设备采购项目</w:t>
      </w:r>
    </w:p>
    <w:p>
      <w:pPr>
        <w:pStyle w:val="null3"/>
        <w:jc w:val="left"/>
      </w:pPr>
      <w:r>
        <w:rPr/>
        <w:t xml:space="preserve"> 高低压环境模拟实验舱</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高低压环境模拟实验舱</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1000000.00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开标（报价）一览表</w:t>
      </w:r>
    </w:p>
    <w:p>
      <w:pPr>
        <w:pStyle w:val="null3"/>
        <w:jc w:val="left"/>
      </w:pPr>
      <w:r>
        <w:rPr/>
        <w:t>公司名称：</w:t>
      </w:r>
    </w:p>
    <w:p>
      <w:pPr>
        <w:pStyle w:val="null3"/>
        <w:jc w:val="left"/>
      </w:pPr>
      <w:r>
        <w:rPr/>
        <w:t>包号：</w:t>
      </w:r>
      <w:r>
        <w:rPr/>
        <w:t>2</w:t>
      </w:r>
    </w:p>
    <w:p>
      <w:pPr>
        <w:pStyle w:val="null3"/>
        <w:jc w:val="left"/>
      </w:pPr>
      <w:r>
        <w:rPr/>
        <w:t>项目编号：</w:t>
      </w:r>
      <w:r>
        <w:rPr/>
        <w:t>[350001]FJSXZB[GK]2024013</w:t>
      </w:r>
    </w:p>
    <w:p>
      <w:pPr>
        <w:pStyle w:val="null3"/>
        <w:jc w:val="left"/>
      </w:pPr>
      <w:r>
        <w:rPr/>
        <w:t>项目名称：</w:t>
      </w:r>
      <w:r>
        <w:rPr/>
        <w:t>福州大学高低压环境模拟实验舱等设备采购项目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合同包2</w:t>
            </w:r>
          </w:p>
        </w:tc>
        <w:tc>
          <w:tcPr>
            <w:tcW w:type="dxa" w:w="1661"/>
          </w:tcPr>
          <w:p>
            <w:pPr>
              <w:pStyle w:val="null3"/>
              <w:jc w:val="left"/>
            </w:pPr>
            <w:r>
              <w:rPr/>
              <w:t xml:space="preserve"> 500000.00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2</w:t>
      </w:r>
    </w:p>
    <w:p>
      <w:pPr>
        <w:pStyle w:val="null3"/>
        <w:jc w:val="left"/>
      </w:pPr>
      <w:r>
        <w:rPr/>
        <w:t>项目编号：</w:t>
      </w:r>
      <w:r>
        <w:rPr/>
        <w:t>[350001]FJSXZB[GK]2024013</w:t>
      </w:r>
    </w:p>
    <w:p>
      <w:pPr>
        <w:pStyle w:val="null3"/>
        <w:jc w:val="left"/>
      </w:pPr>
      <w:r>
        <w:rPr/>
        <w:t>项目名称：</w:t>
      </w:r>
      <w:r>
        <w:rPr/>
        <w:t>福州大学高低压环境模拟实验舱等设备采购项目</w:t>
      </w:r>
    </w:p>
    <w:p>
      <w:pPr>
        <w:pStyle w:val="null3"/>
        <w:jc w:val="left"/>
      </w:pPr>
      <w:r>
        <w:rPr/>
        <w:t xml:space="preserve"> 霍普金森压杆装置</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霍普金森压杆装置</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500000.00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1.0000</w:t>
            </w:r>
          </w:p>
        </w:tc>
        <w:tc>
          <w:tcPr>
            <w:tcW w:type="dxa" w:w="639"/>
          </w:tcPr>
          <w:p>
            <w:pPr>
              <w:pStyle w:val="null3"/>
              <w:jc w:val="left"/>
            </w:pPr>
            <w:r>
              <w:rPr/>
              <w:t xml:space="preserve"> 套</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