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版本号：240619001</w:t>
      </w:r>
    </w:p>
    <w:p>
      <w:pPr>
        <w:pStyle w:val="null3"/>
        <w:jc w:val="left"/>
        <w:outlineLvl w:val="0"/>
      </w:pPr>
      <w:r>
        <w:rPr>
          <w:b/>
          <w:sz w:val="48"/>
        </w:rPr>
        <w:t>竞 争 性 磋 商 文 件</w:t>
      </w:r>
    </w:p>
    <w:p>
      <w:pPr>
        <w:pStyle w:val="null3"/>
        <w:jc w:val="center"/>
        <w:outlineLvl w:val="0"/>
      </w:pPr>
      <w:r>
        <w:rPr>
          <w:b/>
          <w:sz w:val="48"/>
        </w:rPr>
        <w:t>（工程类）</w:t>
      </w:r>
    </w:p>
    <w:p>
      <w:pPr>
        <w:pStyle w:val="null3"/>
        <w:jc w:val="left"/>
        <w:outlineLvl w:val="2"/>
      </w:pPr>
      <w:r>
        <w:rPr>
          <w:b/>
          <w:sz w:val="28"/>
        </w:rPr>
        <w:t>采购项目名称：</w:t>
      </w:r>
      <w:r>
        <w:rPr>
          <w:b/>
          <w:sz w:val="28"/>
        </w:rPr>
        <w:t>放射性药物研究中心装修改造工程</w:t>
      </w:r>
    </w:p>
    <w:p>
      <w:pPr>
        <w:pStyle w:val="null3"/>
        <w:jc w:val="center"/>
        <w:outlineLvl w:val="2"/>
      </w:pPr>
      <w:r>
        <w:rPr>
          <w:b/>
          <w:sz w:val="28"/>
        </w:rPr>
        <w:t>采购项目编号：</w:t>
      </w:r>
      <w:r>
        <w:rPr>
          <w:b/>
          <w:sz w:val="28"/>
        </w:rPr>
        <w:t>N5107012024000186</w:t>
      </w:r>
    </w:p>
    <w:p>
      <w:pPr>
        <w:pStyle w:val="null3"/>
        <w:jc w:val="left"/>
        <w:outlineLvl w:val="2"/>
      </w:pPr>
      <w:r>
        <w:rPr>
          <w:b/>
          <w:sz w:val="28"/>
        </w:rPr>
        <w:t>绵阳市中心医院</w:t>
      </w:r>
    </w:p>
    <w:p>
      <w:pPr>
        <w:pStyle w:val="null3"/>
        <w:jc w:val="center"/>
        <w:outlineLvl w:val="2"/>
      </w:pPr>
      <w:r>
        <w:rPr>
          <w:b/>
          <w:sz w:val="28"/>
        </w:rPr>
        <w:t>绵阳市政府采购中心</w:t>
      </w:r>
      <w:r>
        <w:rPr>
          <w:b/>
          <w:sz w:val="28"/>
        </w:rPr>
        <w:t>共同编制</w:t>
      </w:r>
    </w:p>
    <w:p>
      <w:pPr>
        <w:pStyle w:val="null3"/>
        <w:jc w:val="center"/>
      </w:pPr>
      <w:r>
        <w:rPr/>
        <w:t>2024年07月01日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绵阳市政府采购中心</w:t>
      </w:r>
      <w:r>
        <w:rPr/>
        <w:t xml:space="preserve"> （以下简称“代理机构”）受 </w:t>
      </w:r>
      <w:r>
        <w:rPr/>
        <w:t>绵阳市中心医院</w:t>
      </w:r>
      <w:r>
        <w:rPr/>
        <w:t xml:space="preserve"> 委托，拟对 </w:t>
      </w:r>
      <w:r>
        <w:rPr/>
        <w:t>放射性药物研究中心装修改造工程</w:t>
      </w:r>
      <w:r>
        <w:rPr/>
        <w:t xml:space="preserve"> 采用竞争性磋商采购方式进行采购，兹邀请符合资格条件的供应商参加磋商，本项目为四川省</w:t>
      </w:r>
      <w:r>
        <w:rPr/>
        <w:t>绵阳市市本级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N5107012024000186</w:t>
      </w:r>
    </w:p>
    <w:p>
      <w:pPr>
        <w:pStyle w:val="null3"/>
        <w:jc w:val="left"/>
        <w:outlineLvl w:val="2"/>
      </w:pPr>
      <w:r>
        <w:rPr>
          <w:b/>
          <w:sz w:val="28"/>
        </w:rPr>
        <w:t>1.2.采购项目名称</w:t>
      </w:r>
      <w:r>
        <w:rPr>
          <w:b/>
          <w:sz w:val="28"/>
        </w:rPr>
        <w:t xml:space="preserve">： </w:t>
      </w:r>
      <w:r>
        <w:rPr>
          <w:b/>
          <w:sz w:val="28"/>
        </w:rPr>
        <w:t>放射性药物研究中心装修改造工程</w:t>
      </w:r>
    </w:p>
    <w:p>
      <w:pPr>
        <w:pStyle w:val="null3"/>
        <w:jc w:val="left"/>
        <w:outlineLvl w:val="2"/>
      </w:pPr>
      <w:r>
        <w:rPr>
          <w:b/>
          <w:sz w:val="28"/>
        </w:rPr>
        <w:t>1.3.磋商项目简介</w:t>
      </w:r>
    </w:p>
    <w:p>
      <w:pPr>
        <w:pStyle w:val="null3"/>
        <w:ind w:firstLine="480"/>
        <w:jc w:val="left"/>
      </w:pPr>
      <w:r>
        <w:rPr/>
        <w:t>我院拟在（原绵阳卫校图书馆）一楼建设放射性药研究中心，建筑面积约180㎡，该建设工作需对一楼部分区域进行改造。工程内容包含：部分墙体、门窗、吊顶、地面的拆除、新建，装饰装修改造、实验室智能控制系统、净化通风系统、给排水及配套衰变池及放射性防护、监控及净化等专业领域的安装及改造。</w:t>
      </w:r>
    </w:p>
    <w:p>
      <w:pPr>
        <w:pStyle w:val="null3"/>
        <w:jc w:val="left"/>
        <w:outlineLvl w:val="2"/>
      </w:pPr>
      <w:r>
        <w:rPr>
          <w:b/>
          <w:sz w:val="28"/>
        </w:rPr>
        <w:t>1.4.邀请供应商方式</w:t>
      </w:r>
    </w:p>
    <w:p>
      <w:pPr>
        <w:pStyle w:val="null3"/>
        <w:ind w:firstLine="480"/>
        <w:jc w:val="left"/>
      </w:pPr>
      <w:r>
        <w:rPr/>
        <w:t xml:space="preserve"> 本项目以供应商库随机抽取方式邀请供应商参加磋商。</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采购包1：</w:t>
      </w:r>
    </w:p>
    <w:p>
      <w:pPr>
        <w:pStyle w:val="null3"/>
        <w:jc w:val="left"/>
      </w:pPr>
      <w:r>
        <w:rPr/>
        <w:t>1、具有符合工程管理规定的建筑业企业资质、安全生产许可证。（描述：供应商应当具备行业主管部门颁发的且在有效期内的消防设施工程专业承包二级或以上、安全生产许可证、建筑机电安装工程专业承包三级或以上、建筑装修装饰工程专业承包二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t>2、供应商取得本项目成交资格且注册地不在四川省行政区域内的，应当在政府采购合同签订前向采购人提交在有效期内的四川省住房和城乡建设厅官网已公开的入川信息网页截图。（描述：在政府采购合同签订前向采购人提交在有效期内的四川省住房和城乡建设厅官网已公开的入川信息网页截图的承诺。供应商需在交易系统中按要求上传相应证明文件并进行电子签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一、磋商文件获取时间： </w:t>
      </w:r>
      <w:r>
        <w:rPr/>
        <w:t>详见邀请书</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详见邀请书</w:t>
      </w:r>
    </w:p>
    <w:p>
      <w:pPr>
        <w:pStyle w:val="null3"/>
        <w:ind w:firstLine="480"/>
        <w:jc w:val="left"/>
      </w:pPr>
      <w:r>
        <w:rPr/>
        <w:t>二、提交响应文件方式、地点：供应商应当在响应文件提交截止时间前，通过交易系统提交响应文件。成功提交的，供应商将收到已提交响应文件的回执单。</w:t>
      </w:r>
    </w:p>
    <w:p>
      <w:pPr>
        <w:pStyle w:val="null3"/>
        <w:ind w:firstLine="480"/>
        <w:jc w:val="left"/>
      </w:pPr>
      <w:r>
        <w:rPr/>
        <w:t>三、本项目采取网上开启，即采购人或者代理机构通过交易系统“开标/开启大厅”组织在线开启。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采购人</w:t>
      </w:r>
      <w:r>
        <w:rPr>
          <w:b/>
          <w:sz w:val="24"/>
        </w:rPr>
        <w:t xml:space="preserve">： </w:t>
      </w:r>
      <w:r>
        <w:rPr>
          <w:b/>
          <w:sz w:val="24"/>
        </w:rPr>
        <w:t>绵阳市中心医院</w:t>
      </w:r>
    </w:p>
    <w:p>
      <w:pPr>
        <w:pStyle w:val="null3"/>
        <w:ind w:firstLine="480"/>
        <w:jc w:val="left"/>
      </w:pPr>
      <w:r>
        <w:rPr/>
        <w:t xml:space="preserve"> 地址： </w:t>
      </w:r>
      <w:r>
        <w:rPr/>
        <w:t>常家巷12号</w:t>
      </w:r>
    </w:p>
    <w:p>
      <w:pPr>
        <w:pStyle w:val="null3"/>
        <w:jc w:val="left"/>
      </w:pPr>
      <w:r>
        <w:rPr/>
        <w:t xml:space="preserve"> 邮编： </w:t>
      </w:r>
      <w:r>
        <w:rPr/>
        <w:t>621000</w:t>
      </w:r>
    </w:p>
    <w:p>
      <w:pPr>
        <w:pStyle w:val="null3"/>
        <w:jc w:val="left"/>
      </w:pPr>
      <w:r>
        <w:rPr/>
        <w:t xml:space="preserve"> 联系人： </w:t>
      </w:r>
      <w:r>
        <w:rPr/>
        <w:t>张杨继林</w:t>
      </w:r>
    </w:p>
    <w:p>
      <w:pPr>
        <w:pStyle w:val="null3"/>
        <w:jc w:val="left"/>
      </w:pPr>
      <w:r>
        <w:rPr/>
        <w:t xml:space="preserve"> 联系电话： </w:t>
      </w:r>
      <w:r>
        <w:rPr/>
        <w:t>13550820547</w:t>
      </w:r>
    </w:p>
    <w:p>
      <w:pPr>
        <w:pStyle w:val="null3"/>
        <w:ind w:firstLine="480"/>
        <w:jc w:val="left"/>
        <w:outlineLvl w:val="3"/>
      </w:pPr>
      <w:r>
        <w:rPr>
          <w:b/>
          <w:sz w:val="24"/>
        </w:rPr>
        <w:t>代理机构</w:t>
      </w:r>
      <w:r>
        <w:rPr>
          <w:b/>
          <w:sz w:val="24"/>
        </w:rPr>
        <w:t xml:space="preserve">： </w:t>
      </w:r>
      <w:r>
        <w:rPr>
          <w:b/>
          <w:sz w:val="24"/>
        </w:rPr>
        <w:t>绵阳市政府采购中心</w:t>
      </w:r>
    </w:p>
    <w:p>
      <w:pPr>
        <w:pStyle w:val="null3"/>
        <w:ind w:firstLine="480"/>
        <w:jc w:val="left"/>
      </w:pPr>
      <w:r>
        <w:rPr/>
        <w:t xml:space="preserve"> 地址： </w:t>
      </w:r>
      <w:r>
        <w:rPr/>
        <w:t>绵阳市三江西路北段1号桃花岛商业街第4栋商业楼</w:t>
      </w:r>
    </w:p>
    <w:p>
      <w:pPr>
        <w:pStyle w:val="null3"/>
        <w:jc w:val="left"/>
      </w:pPr>
      <w:r>
        <w:rPr/>
        <w:t xml:space="preserve"> 邮编： </w:t>
      </w:r>
      <w:r>
        <w:rPr/>
        <w:t>621000</w:t>
      </w:r>
    </w:p>
    <w:p>
      <w:pPr>
        <w:pStyle w:val="null3"/>
        <w:jc w:val="left"/>
      </w:pPr>
      <w:r>
        <w:rPr/>
        <w:t xml:space="preserve"> 联系人： </w:t>
      </w:r>
      <w:r>
        <w:rPr/>
        <w:t>公告发布：贾诗雨；文件编制：陈佳斌；开标及结果：交易组织评审科</w:t>
      </w:r>
    </w:p>
    <w:p>
      <w:pPr>
        <w:pStyle w:val="null3"/>
        <w:jc w:val="left"/>
      </w:pPr>
      <w:r>
        <w:rPr/>
        <w:t xml:space="preserve"> 联系电话： </w:t>
      </w:r>
      <w:r>
        <w:rPr/>
        <w:t>公告发布：0816-2735361；陈佳斌：2335356；交易组织评审科：2865208</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采购包1：2,274,076.87元</w:t>
            </w:r>
          </w:p>
          <w:p>
            <w:pPr>
              <w:pStyle w:val="null3"/>
              <w:jc w:val="left"/>
            </w:pPr>
            <w:r>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本采购包履约保证金为合同金额的5%</w:t>
            </w:r>
          </w:p>
          <w:p>
            <w:pPr>
              <w:pStyle w:val="null3"/>
              <w:jc w:val="left"/>
            </w:pPr>
            <w:r>
              <w:rPr/>
              <w:t>交款方式：银行转账，支票/汇票/本票，保函/保险</w:t>
            </w:r>
          </w:p>
          <w:p>
            <w:pPr>
              <w:pStyle w:val="null3"/>
              <w:jc w:val="left"/>
            </w:pPr>
            <w:r>
              <w:rPr/>
              <w:t>成交供应商需在合同签订前按中标价的5%向采购人缴纳履约保证金。合同履行完毕，项目验收合格后，成交人凭《履约验收表》和《履约保证金收款收据》到采购人处退付交纳的履约保证金。交款方式：由中标（成交）供应商自行选择以支票、汇票、本票或者金融保险机构、担保机构出具的保函等非现金形式缴纳履约保证金。</w:t>
            </w:r>
          </w:p>
        </w:tc>
      </w:tr>
      <w:tr>
        <w:tc>
          <w:tcPr>
            <w:tcW w:type="dxa" w:w="1051"/>
          </w:tcPr>
          <w:p>
            <w:pPr>
              <w:pStyle w:val="null3"/>
              <w:jc w:val="left"/>
            </w:pPr>
            <w:r>
              <w:rPr/>
              <w:t>6.</w:t>
            </w:r>
          </w:p>
        </w:tc>
        <w:tc>
          <w:tcPr>
            <w:tcW w:type="dxa" w:w="2252"/>
          </w:tcPr>
          <w:p>
            <w:pPr>
              <w:pStyle w:val="null3"/>
              <w:jc w:val="left"/>
            </w:pPr>
            <w:r>
              <w:rPr/>
              <w:t>质量保证金★</w:t>
            </w:r>
          </w:p>
        </w:tc>
        <w:tc>
          <w:tcPr>
            <w:tcW w:type="dxa" w:w="5004"/>
          </w:tcPr>
          <w:p>
            <w:pPr>
              <w:pStyle w:val="null3"/>
              <w:jc w:val="left"/>
            </w:pPr>
            <w:r>
              <w:rPr/>
              <w:t>采购包1：不收取</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本磋商文件所称的“以上”、“以下”、“内”、“以内”、“超过”、“少于”、“不少于”包括本数；所称的“不足”、“低于”、“不低于”不包括本数。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二、本磋商文件由 </w:t>
      </w:r>
      <w:r>
        <w:rPr/>
        <w:t>绵阳市中心医院</w:t>
      </w:r>
      <w:r>
        <w:rPr/>
        <w:t xml:space="preserve"> 和 </w:t>
      </w:r>
      <w:r>
        <w:rPr/>
        <w:t>绵阳市政府采购中心</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一、“采购人”是指依法进行政府采购的国家机关、事业单位、团体组织。本次磋商的采购人是 </w:t>
      </w:r>
      <w:r>
        <w:rPr/>
        <w:t>绵阳市中心医院</w:t>
      </w:r>
      <w:r>
        <w:rPr/>
        <w:t xml:space="preserve"> 。</w:t>
      </w:r>
    </w:p>
    <w:p>
      <w:pPr>
        <w:pStyle w:val="null3"/>
        <w:ind w:firstLine="480"/>
        <w:jc w:val="left"/>
      </w:pPr>
      <w:r>
        <w:rPr/>
        <w:t xml:space="preserve">二、“供应商”是指按照 </w:t>
      </w:r>
      <w:r>
        <w:rPr/>
        <w:t>邀请书</w:t>
      </w:r>
      <w:r>
        <w:rPr/>
        <w:t xml:space="preserve"> 规定获取磋商文件，参加采购活动的法人、其他组织或者自然人。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绵阳市政府采购中心</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jc w:val="left"/>
      </w:pPr>
      <w:r>
        <w:rPr/>
        <w:t>二、澄清或者修改的内容为磋商文件的组成部分，采购人或者代理机构将在交易系统发送更正信息。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三、供应商根据更正信息要求，重新获取磋商文件，进行响应文件编制。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一、供应商应认真核实本项目的工程量清单。</w:t>
      </w:r>
    </w:p>
    <w:p>
      <w:pPr>
        <w:pStyle w:val="null3"/>
        <w:ind w:firstLine="480"/>
        <w:jc w:val="left"/>
      </w:pPr>
      <w:r>
        <w:rPr/>
        <w:t>二、供应商的报价是其响应本项目要求的全部工作内容的价格体现或者结算标准，包括供应商完成本项目所需的一切费用。</w:t>
      </w:r>
    </w:p>
    <w:p>
      <w:pPr>
        <w:pStyle w:val="null3"/>
        <w:ind w:firstLine="480"/>
        <w:jc w:val="left"/>
      </w:pPr>
      <w:r>
        <w:rPr/>
        <w:t>三、本项目报价形式为：总价</w:t>
      </w:r>
    </w:p>
    <w:p>
      <w:pPr>
        <w:pStyle w:val="null3"/>
        <w:ind w:firstLine="480"/>
        <w:jc w:val="left"/>
      </w:pPr>
      <w:r>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报价总价扉页）应由注册或登记在本单位的造价人员签字并盖执业印章。</w:t>
      </w:r>
    </w:p>
    <w:p>
      <w:pPr>
        <w:pStyle w:val="null3"/>
        <w:ind w:firstLine="480"/>
        <w:jc w:val="left"/>
      </w:pPr>
      <w:r>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t>（一）供应商对工程量清单中的分部分项工程量清单项目（说明：根据建筑、水利、交通等确定具体表述）的单价未填报或填报为零的；</w:t>
      </w:r>
    </w:p>
    <w:p>
      <w:pPr>
        <w:pStyle w:val="null3"/>
        <w:ind w:firstLine="480"/>
        <w:jc w:val="left"/>
      </w:pPr>
      <w:r>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t>（四）磋商文件已明确各单位工程规费金额并要求按此金额填报而供应商填报错误或未填报的，或供应商未按相关计价规定计取规费的；</w:t>
      </w:r>
    </w:p>
    <w:p>
      <w:pPr>
        <w:pStyle w:val="null3"/>
        <w:ind w:firstLine="480"/>
        <w:jc w:val="left"/>
      </w:pPr>
      <w:r>
        <w:rPr/>
        <w:t>（五）磋商文件若已明确创优质工程奖补偿奖励费金额并要求按此金额填报而供应商填报错误或未填报的；</w:t>
      </w:r>
    </w:p>
    <w:p>
      <w:pPr>
        <w:pStyle w:val="null3"/>
        <w:ind w:firstLine="480"/>
        <w:jc w:val="left"/>
      </w:pPr>
      <w:r>
        <w:rPr/>
        <w:t>（六）已标价工程量清单中暂列金额未按工程量清单中列明的金额填报的；</w:t>
      </w:r>
    </w:p>
    <w:p>
      <w:pPr>
        <w:pStyle w:val="null3"/>
        <w:ind w:firstLine="480"/>
        <w:jc w:val="left"/>
      </w:pPr>
      <w:r>
        <w:rPr/>
        <w:t>（七）已标价工程量清单中材料、工程设备暂估价未按工程量清单中列出的单价计入综合单价的；</w:t>
      </w:r>
    </w:p>
    <w:p>
      <w:pPr>
        <w:pStyle w:val="null3"/>
        <w:ind w:firstLine="480"/>
        <w:jc w:val="left"/>
      </w:pPr>
      <w:r>
        <w:rPr/>
        <w:t>（八）已标价工程量清单中专业工程暂估价未按工程量清单中列明的金额填写的；</w:t>
      </w:r>
    </w:p>
    <w:p>
      <w:pPr>
        <w:pStyle w:val="null3"/>
        <w:ind w:firstLine="480"/>
        <w:jc w:val="left"/>
      </w:pPr>
      <w:r>
        <w:rPr/>
        <w:t>（九）已标价工程量清单中计日工未按工程量清单中列明的数量进行报价的；</w:t>
      </w:r>
    </w:p>
    <w:p>
      <w:pPr>
        <w:pStyle w:val="null3"/>
        <w:ind w:firstLine="480"/>
        <w:jc w:val="left"/>
      </w:pPr>
      <w:r>
        <w:rPr/>
        <w:t>（十）单价、合价或总价，不论其大写金额或小写金额均只能有一个，否则，作无效响应处理。</w:t>
      </w:r>
    </w:p>
    <w:p>
      <w:pPr>
        <w:pStyle w:val="null3"/>
        <w:ind w:firstLine="480"/>
        <w:jc w:val="left"/>
      </w:pPr>
      <w:r>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响应文件提交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提交响应文件截止时间后，通过交易系统“开标/开启大厅”在线开启解密响应文件。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提交响应文件截止时间后，成功提交响应文件的供应商符合磋商文件规定数量的，代理机构将启动响应文件解密程序，解密时间为 </w:t>
      </w:r>
      <w:r>
        <w:rPr/>
        <w:t>30</w:t>
      </w:r>
      <w:r>
        <w:rPr/>
        <w:t xml:space="preserve"> 分钟；供应商应在规定的解密时间内，使用加密响应文件的数字证书进行响应文件解密。除因采购平台系统故障导致供应商未按时完成解密外，供应商未在规定的解密时间内完成解密的，按无效响应处理。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响应文件提交截止时间前的信用记录并保存信用记录结果网页截图，拒绝列入失信被执行人名单、重大税收违法案件当事人名单（重大税收违法失信主体）、政府采购严重违法失信行为记录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4"/>
      </w:pPr>
      <w:r>
        <w:rPr>
          <w:b/>
          <w:sz w:val="20"/>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 xml:space="preserve">供应商提出验收申请之日起7日内组织验收 </w:t>
      </w:r>
      <w:r>
        <w:rPr/>
        <w:t xml:space="preserve"> ，达到验收条件起 </w:t>
      </w:r>
      <w:r>
        <w:rPr/>
        <w:t>7</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按照采购人提供的《放射性药物研究中心改造工程设计图》《工程量清单》进行现场验收。</w:t>
      </w:r>
    </w:p>
    <w:p>
      <w:pPr>
        <w:pStyle w:val="null3"/>
        <w:ind w:firstLine="480"/>
        <w:jc w:val="left"/>
      </w:pPr>
      <w:r>
        <w:rPr/>
        <w:t>十、商务履约验收内容：</w:t>
      </w:r>
    </w:p>
    <w:p>
      <w:pPr>
        <w:pStyle w:val="null3"/>
        <w:ind w:firstLine="480"/>
        <w:jc w:val="left"/>
      </w:pPr>
      <w:r>
        <w:rPr/>
        <w:t>采购包1：</w:t>
      </w:r>
      <w:r>
        <w:rPr/>
        <w:t>施工完成日期是否和要求一致</w:t>
      </w:r>
    </w:p>
    <w:p>
      <w:pPr>
        <w:pStyle w:val="null3"/>
        <w:ind w:firstLine="480"/>
        <w:jc w:val="left"/>
      </w:pPr>
      <w:r>
        <w:rPr/>
        <w:t>十一、履约验收标准：</w:t>
      </w:r>
    </w:p>
    <w:p>
      <w:pPr>
        <w:pStyle w:val="null3"/>
        <w:ind w:firstLine="480"/>
        <w:jc w:val="left"/>
      </w:pPr>
      <w:r>
        <w:rPr/>
        <w:t>采购包1：</w:t>
      </w:r>
      <w:r>
        <w:rPr/>
        <w:t>满足《放射性药物研究中心改造工程设计图》中设计要求，并满足装饰装修及机电安装施工国家现行相关技术规范。</w:t>
      </w:r>
    </w:p>
    <w:p>
      <w:pPr>
        <w:pStyle w:val="null3"/>
        <w:ind w:firstLine="480"/>
        <w:jc w:val="left"/>
      </w:pPr>
      <w:r>
        <w:rPr/>
        <w:t>十二、履约验收其他事项：</w:t>
      </w:r>
    </w:p>
    <w:p>
      <w:pPr>
        <w:pStyle w:val="null3"/>
        <w:ind w:firstLine="480"/>
        <w:jc w:val="left"/>
      </w:pPr>
      <w:r>
        <w:rPr/>
        <w:t>采购包1：</w:t>
      </w:r>
      <w:r>
        <w:rPr/>
        <w:t>无</w:t>
      </w:r>
    </w:p>
    <w:p>
      <w:pPr>
        <w:pStyle w:val="null3"/>
        <w:ind w:firstLine="480"/>
        <w:jc w:val="left"/>
      </w:pPr>
      <w:r>
        <w:rPr/>
        <w:t>一、交付竣工验收的工程，必须符合规定的工程质量标准，有完整的工程技术经济资料和经签署的工程保修书，并具备国家规定的其他竣工条件。</w:t>
      </w:r>
    </w:p>
    <w:p>
      <w:pPr>
        <w:pStyle w:val="null3"/>
        <w:ind w:firstLine="480"/>
        <w:jc w:val="left"/>
      </w:pPr>
      <w:r>
        <w:rPr/>
        <w:t>工程竣工经验收合格后，方可交付使用；未经验收或者验收不合格的，不得交付使用。</w:t>
      </w:r>
    </w:p>
    <w:p>
      <w:pPr>
        <w:pStyle w:val="null3"/>
        <w:ind w:firstLine="480"/>
        <w:jc w:val="left"/>
      </w:pPr>
      <w:r>
        <w:rPr/>
        <w:t>二、验收结果合格的，采购人应向成交供应商出具履约验收报告，成交供应商凭验收报告办理相关手续。</w:t>
      </w:r>
    </w:p>
    <w:p>
      <w:pPr>
        <w:pStyle w:val="null3"/>
        <w:ind w:firstLine="480"/>
        <w:jc w:val="left"/>
      </w:pPr>
      <w:r>
        <w:rPr/>
        <w:t>三、验收结果不合格的，履约保证金将不予退还，给采购人造成的损失超过履约保证金数额的，还应当对超过部分予以赔偿；没有提交履约保证金的，应当对采购人的损失承担赔偿责任。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任何单位和个人不得非法干预、影响评审过程和结果。</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二、提供虚假材料谋取成交；</w:t>
      </w:r>
    </w:p>
    <w:p>
      <w:pPr>
        <w:pStyle w:val="null3"/>
        <w:ind w:firstLine="480"/>
        <w:jc w:val="left"/>
      </w:pPr>
      <w:r>
        <w:rPr/>
        <w:t>三、采取不正当手段诋毁、排挤其他供应商；</w:t>
      </w:r>
    </w:p>
    <w:p>
      <w:pPr>
        <w:pStyle w:val="null3"/>
        <w:ind w:firstLine="480"/>
        <w:jc w:val="left"/>
      </w:pPr>
      <w:r>
        <w:rPr/>
        <w:t>四、与采购人或者代理机构、其他供应商恶意串通；</w:t>
      </w:r>
    </w:p>
    <w:p>
      <w:pPr>
        <w:pStyle w:val="null3"/>
        <w:ind w:firstLine="480"/>
        <w:jc w:val="left"/>
      </w:pPr>
      <w:r>
        <w:rPr/>
        <w:t>五、向采购人或者代理机构、磋商小组成员行贿或者提供其他不正当利益；</w:t>
      </w:r>
    </w:p>
    <w:p>
      <w:pPr>
        <w:pStyle w:val="null3"/>
        <w:ind w:firstLine="480"/>
        <w:jc w:val="left"/>
      </w:pPr>
      <w:r>
        <w:rPr/>
        <w:t>六、成交后无正当理由拒不与采购人签订政府采购合同；</w:t>
      </w:r>
    </w:p>
    <w:p>
      <w:pPr>
        <w:pStyle w:val="null3"/>
        <w:ind w:firstLine="480"/>
        <w:jc w:val="left"/>
      </w:pPr>
      <w:r>
        <w:rPr/>
        <w:t>七、未按照磋商文件确定的事项签订政府采购合同；</w:t>
      </w:r>
    </w:p>
    <w:p>
      <w:pPr>
        <w:pStyle w:val="null3"/>
        <w:ind w:firstLine="480"/>
        <w:jc w:val="left"/>
      </w:pPr>
      <w:r>
        <w:rPr/>
        <w:t>八、将政府采购合同转包或者违规分包；</w:t>
      </w:r>
    </w:p>
    <w:p>
      <w:pPr>
        <w:pStyle w:val="null3"/>
        <w:ind w:firstLine="480"/>
        <w:jc w:val="left"/>
      </w:pPr>
      <w:r>
        <w:rPr/>
        <w:t>九、提供假冒伪劣产品；</w:t>
      </w:r>
    </w:p>
    <w:p>
      <w:pPr>
        <w:pStyle w:val="null3"/>
        <w:ind w:firstLine="480"/>
        <w:jc w:val="left"/>
      </w:pPr>
      <w:r>
        <w:rPr/>
        <w:t>十、擅自变更、中止或者终止政府采购合同；</w:t>
      </w:r>
    </w:p>
    <w:p>
      <w:pPr>
        <w:pStyle w:val="null3"/>
        <w:ind w:firstLine="480"/>
        <w:jc w:val="left"/>
      </w:pPr>
      <w:r>
        <w:rPr/>
        <w:t>十一、拒绝有关部门的监督检查或者向监督检查部门提供虚假情况；</w:t>
      </w:r>
    </w:p>
    <w:p>
      <w:pPr>
        <w:pStyle w:val="null3"/>
        <w:ind w:firstLine="480"/>
        <w:jc w:val="left"/>
      </w:pPr>
      <w:r>
        <w:rPr/>
        <w:t>十二、法律法规规定的其他禁止情形。</w:t>
      </w:r>
    </w:p>
    <w:p>
      <w:pPr>
        <w:pStyle w:val="null3"/>
        <w:ind w:firstLine="480"/>
        <w:jc w:val="left"/>
      </w:pPr>
      <w:r>
        <w:rPr/>
        <w:t>供应商有前述一至五条情形之一的，作无效响应处理。成交供应商有前述一至五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根据委托代理协议约定，供应商对磋商文件中采购需求的询问、质疑由 </w:t>
      </w:r>
      <w:r>
        <w:rPr/>
        <w:t>绵阳市中心医院</w:t>
      </w:r>
      <w:r>
        <w:rPr/>
        <w:t xml:space="preserve"> 负责答复；供应商对除采购需求外的磋商文件的询问、质疑由 </w:t>
      </w:r>
      <w:r>
        <w:rPr/>
        <w:t>绵阳市政府采购中心</w:t>
      </w:r>
      <w:r>
        <w:rPr/>
        <w:t xml:space="preserve"> 负责答复；供应商对采购过程、采购结果的询问、质疑由 </w:t>
      </w:r>
      <w:r>
        <w:rPr/>
        <w:t>绵阳市政府采购中心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联系人：张杨继林</w:t>
      </w:r>
    </w:p>
    <w:p>
      <w:pPr>
        <w:pStyle w:val="null3"/>
        <w:jc w:val="left"/>
      </w:pPr>
      <w:r>
        <w:rPr/>
        <w:t>联系电话：13550820547</w:t>
      </w:r>
    </w:p>
    <w:p>
      <w:pPr>
        <w:pStyle w:val="null3"/>
        <w:jc w:val="left"/>
      </w:pPr>
      <w:r>
        <w:rPr/>
        <w:t>地址：常家巷12号</w:t>
      </w:r>
    </w:p>
    <w:p>
      <w:pPr>
        <w:pStyle w:val="null3"/>
        <w:jc w:val="left"/>
      </w:pPr>
      <w:r>
        <w:rPr/>
        <w:t>邮编：621000</w:t>
      </w:r>
    </w:p>
    <w:p>
      <w:pPr>
        <w:pStyle w:val="null3"/>
        <w:jc w:val="left"/>
      </w:pPr>
      <w:r>
        <w:rPr/>
        <w:t>答复主体：代理机构</w:t>
      </w:r>
    </w:p>
    <w:p>
      <w:pPr>
        <w:pStyle w:val="null3"/>
        <w:jc w:val="left"/>
      </w:pPr>
      <w:r>
        <w:rPr/>
        <w:t>联系人：田秋玉</w:t>
      </w:r>
    </w:p>
    <w:p>
      <w:pPr>
        <w:pStyle w:val="null3"/>
        <w:jc w:val="left"/>
      </w:pPr>
      <w:r>
        <w:rPr/>
        <w:t>联系电话：0816－2216017</w:t>
      </w:r>
    </w:p>
    <w:p>
      <w:pPr>
        <w:pStyle w:val="null3"/>
        <w:jc w:val="left"/>
      </w:pPr>
      <w:r>
        <w:rPr/>
        <w:t>地址：绵阳市三江西路北段1号桃花岛商业街第四栋商业楼</w:t>
      </w:r>
    </w:p>
    <w:p>
      <w:pPr>
        <w:pStyle w:val="null3"/>
        <w:jc w:val="left"/>
      </w:pPr>
      <w:r>
        <w:rPr/>
        <w:t>邮编：621000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或者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jc w:val="left"/>
      </w:pPr>
      <w:r>
        <w:rPr/>
        <w:t>采购包1：本采购包无需提交样品</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采购人或者代理机构应当在磋商文件中明确线下开展采购活动的规则和方式，不得对供应商实行差别待遇或者歧视性待遇。线下采购活动应当全过程录音录像，形成书面评审记录上传至交易系统。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我院拟在（原绵阳卫校图书馆）一楼建设放射性药研究中心，建筑面积约180㎡，该建设工作需对一楼部分区域进行改造。工程内容包含：部分墙体、门窗、吊顶、地面的拆除、新建，装饰装修改造、实验室智能控制系统、净化通风系统、给排水及配套衰变池及放射性防护、监控及净化等专业领域的安装及改造。</w:t>
      </w:r>
    </w:p>
    <w:p>
      <w:pPr>
        <w:pStyle w:val="null3"/>
        <w:jc w:val="left"/>
        <w:outlineLvl w:val="2"/>
      </w:pPr>
      <w:r>
        <w:rPr>
          <w:b/>
          <w:sz w:val="28"/>
        </w:rPr>
        <w:t>3.2.采购内容</w:t>
      </w:r>
    </w:p>
    <w:p>
      <w:pPr>
        <w:pStyle w:val="null3"/>
        <w:jc w:val="left"/>
      </w:pPr>
      <w:r>
        <w:rPr/>
        <w:t>采购包1：</w:t>
      </w:r>
    </w:p>
    <w:p>
      <w:pPr>
        <w:pStyle w:val="null3"/>
        <w:jc w:val="left"/>
      </w:pPr>
      <w:r>
        <w:rPr/>
        <w:t>采购包预算金额（元）: 2,274,076.87</w:t>
      </w:r>
    </w:p>
    <w:p>
      <w:pPr>
        <w:pStyle w:val="null3"/>
        <w:jc w:val="left"/>
      </w:pPr>
      <w:r>
        <w:rPr/>
        <w:t>采购包最高限价（元）: 2,274,076.87</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装修工程</w:t>
            </w:r>
          </w:p>
        </w:tc>
        <w:tc>
          <w:tcPr>
            <w:tcW w:type="dxa" w:w="821"/>
          </w:tcPr>
          <w:p>
            <w:pPr>
              <w:pStyle w:val="null3"/>
              <w:jc w:val="left"/>
            </w:pPr>
            <w:r>
              <w:rPr/>
              <w:t>放射性药物研究中心装修改造工程</w:t>
            </w:r>
          </w:p>
        </w:tc>
        <w:tc>
          <w:tcPr>
            <w:tcW w:type="dxa" w:w="821"/>
          </w:tcPr>
          <w:p>
            <w:pPr>
              <w:pStyle w:val="null3"/>
              <w:jc w:val="right"/>
            </w:pPr>
            <w:r>
              <w:rPr/>
              <w:t>1.00（项）</w:t>
            </w:r>
          </w:p>
        </w:tc>
        <w:tc>
          <w:tcPr>
            <w:tcW w:type="dxa" w:w="821"/>
          </w:tcPr>
          <w:p>
            <w:pPr>
              <w:pStyle w:val="null3"/>
              <w:jc w:val="right"/>
            </w:pPr>
            <w:r>
              <w:rPr/>
              <w:t>2,274,076.87</w:t>
            </w:r>
          </w:p>
        </w:tc>
        <w:tc>
          <w:tcPr>
            <w:tcW w:type="dxa" w:w="821"/>
          </w:tcPr>
          <w:p>
            <w:pPr>
              <w:pStyle w:val="null3"/>
              <w:jc w:val="left"/>
            </w:pPr>
            <w:r>
              <w:rPr/>
              <w:t>建筑业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是</w:t>
            </w:r>
          </w:p>
        </w:tc>
        <w:tc>
          <w:tcPr>
            <w:tcW w:type="dxa" w:w="639"/>
          </w:tcPr>
          <w:p>
            <w:pPr>
              <w:pStyle w:val="null3"/>
              <w:jc w:val="left"/>
            </w:pPr>
            <w:r>
              <w:rPr/>
              <w:t>是</w:t>
            </w:r>
          </w:p>
        </w:tc>
        <w:tc>
          <w:tcPr>
            <w:tcW w:type="dxa" w:w="639"/>
          </w:tcPr>
          <w:p>
            <w:pPr>
              <w:pStyle w:val="null3"/>
              <w:jc w:val="left"/>
            </w:pPr>
            <w:r>
              <w:rPr/>
              <w:t>是</w:t>
            </w:r>
          </w:p>
        </w:tc>
      </w:tr>
    </w:tbl>
    <w:p>
      <w:pPr>
        <w:pStyle w:val="null3"/>
        <w:jc w:val="left"/>
        <w:outlineLvl w:val="3"/>
      </w:pPr>
      <w:r>
        <w:rPr>
          <w:b/>
          <w:sz w:val="24"/>
        </w:rPr>
        <w:t>报价要求</w:t>
      </w:r>
    </w:p>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放射性药物研究中心装修改造工程</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2,274,076.87</w:t>
            </w:r>
          </w:p>
        </w:tc>
        <w:tc>
          <w:tcPr>
            <w:tcW w:type="dxa" w:w="977"/>
          </w:tcPr>
          <w:p>
            <w:pPr>
              <w:pStyle w:val="null3"/>
              <w:jc w:val="left"/>
            </w:pPr>
            <w:r>
              <w:rPr/>
              <w:t>总价</w:t>
            </w:r>
          </w:p>
        </w:tc>
        <w:tc>
          <w:tcPr>
            <w:tcW w:type="dxa" w:w="1661"/>
          </w:tcPr>
          <w:p>
            <w:pPr>
              <w:pStyle w:val="null3"/>
              <w:jc w:val="left"/>
            </w:pPr>
            <w:r>
              <w:rPr/>
              <w:t>合同定价形式为固定单价</w:t>
            </w:r>
          </w:p>
        </w:tc>
      </w:tr>
    </w:tbl>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普通水龙头 DN15</w:t>
            </w:r>
          </w:p>
        </w:tc>
      </w:tr>
      <w:tr>
        <w:tc>
          <w:tcPr>
            <w:tcW w:type="dxa" w:w="831"/>
          </w:tcPr>
          <w:p>
            <w:pPr>
              <w:pStyle w:val="null3"/>
              <w:jc w:val="left"/>
            </w:pPr>
            <w:r>
              <w:rPr/>
              <w:t>2</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感应自动水龙头DN15</w:t>
            </w:r>
          </w:p>
        </w:tc>
      </w:tr>
      <w:tr>
        <w:tc>
          <w:tcPr>
            <w:tcW w:type="dxa" w:w="831"/>
          </w:tcPr>
          <w:p>
            <w:pPr>
              <w:pStyle w:val="null3"/>
              <w:jc w:val="left"/>
            </w:pPr>
            <w:r>
              <w:rPr/>
              <w:t>3</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容积式电热水器120L</w:t>
            </w:r>
          </w:p>
        </w:tc>
      </w:tr>
      <w:tr>
        <w:tc>
          <w:tcPr>
            <w:tcW w:type="dxa" w:w="831"/>
          </w:tcPr>
          <w:p>
            <w:pPr>
              <w:pStyle w:val="null3"/>
              <w:jc w:val="left"/>
            </w:pPr>
            <w:r>
              <w:rPr/>
              <w:t>4</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直流膨胀式多联空调室外机KT-1</w:t>
            </w:r>
          </w:p>
        </w:tc>
      </w:tr>
      <w:tr>
        <w:tc>
          <w:tcPr>
            <w:tcW w:type="dxa" w:w="831"/>
          </w:tcPr>
          <w:p>
            <w:pPr>
              <w:pStyle w:val="null3"/>
              <w:jc w:val="left"/>
            </w:pPr>
            <w:r>
              <w:rPr/>
              <w:t>5</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直流膨胀式恒温恒湿空调机组AHU-1</w:t>
            </w:r>
          </w:p>
        </w:tc>
      </w:tr>
      <w:tr>
        <w:tc>
          <w:tcPr>
            <w:tcW w:type="dxa" w:w="831"/>
          </w:tcPr>
          <w:p>
            <w:pPr>
              <w:pStyle w:val="null3"/>
              <w:jc w:val="left"/>
            </w:pPr>
            <w:r>
              <w:rPr/>
              <w:t>6</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多联新风空调室外机KT-2</w:t>
            </w:r>
          </w:p>
        </w:tc>
      </w:tr>
      <w:tr>
        <w:tc>
          <w:tcPr>
            <w:tcW w:type="dxa" w:w="831"/>
          </w:tcPr>
          <w:p>
            <w:pPr>
              <w:pStyle w:val="null3"/>
              <w:jc w:val="left"/>
            </w:pPr>
            <w:r>
              <w:rPr/>
              <w:t>7</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多联新风机组XF-1</w:t>
            </w:r>
          </w:p>
        </w:tc>
      </w:tr>
      <w:tr>
        <w:tc>
          <w:tcPr>
            <w:tcW w:type="dxa" w:w="831"/>
          </w:tcPr>
          <w:p>
            <w:pPr>
              <w:pStyle w:val="null3"/>
              <w:jc w:val="left"/>
            </w:pPr>
            <w:r>
              <w:rPr/>
              <w:t>8</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多联空调室外机KT-3</w:t>
            </w:r>
          </w:p>
        </w:tc>
      </w:tr>
      <w:tr>
        <w:tc>
          <w:tcPr>
            <w:tcW w:type="dxa" w:w="831"/>
          </w:tcPr>
          <w:p>
            <w:pPr>
              <w:pStyle w:val="null3"/>
              <w:jc w:val="left"/>
            </w:pPr>
            <w:r>
              <w:rPr/>
              <w:t>9</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多联空调室外机KT-4</w:t>
            </w:r>
          </w:p>
        </w:tc>
      </w:tr>
      <w:tr>
        <w:tc>
          <w:tcPr>
            <w:tcW w:type="dxa" w:w="831"/>
          </w:tcPr>
          <w:p>
            <w:pPr>
              <w:pStyle w:val="null3"/>
              <w:jc w:val="left"/>
            </w:pPr>
            <w:r>
              <w:rPr/>
              <w:t>10</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多联天花机 D80</w:t>
            </w:r>
          </w:p>
        </w:tc>
      </w:tr>
      <w:tr>
        <w:tc>
          <w:tcPr>
            <w:tcW w:type="dxa" w:w="831"/>
          </w:tcPr>
          <w:p>
            <w:pPr>
              <w:pStyle w:val="null3"/>
              <w:jc w:val="left"/>
            </w:pPr>
            <w:r>
              <w:rPr/>
              <w:t>11</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分体空调KT-4</w:t>
            </w:r>
          </w:p>
        </w:tc>
      </w:tr>
      <w:tr>
        <w:tc>
          <w:tcPr>
            <w:tcW w:type="dxa" w:w="831"/>
          </w:tcPr>
          <w:p>
            <w:pPr>
              <w:pStyle w:val="null3"/>
              <w:jc w:val="left"/>
            </w:pPr>
            <w:r>
              <w:rPr/>
              <w:t>12</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机房精密空调</w:t>
            </w:r>
          </w:p>
        </w:tc>
      </w:tr>
      <w:tr>
        <w:tc>
          <w:tcPr>
            <w:tcW w:type="dxa" w:w="831"/>
          </w:tcPr>
          <w:p>
            <w:pPr>
              <w:pStyle w:val="null3"/>
              <w:jc w:val="left"/>
            </w:pPr>
            <w:r>
              <w:rPr/>
              <w:t>13</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半球型网络摄像机（POE供电）</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LED筒灯 9W</w:t>
            </w:r>
          </w:p>
        </w:tc>
      </w:tr>
      <w:tr>
        <w:tc>
          <w:tcPr>
            <w:tcW w:type="dxa" w:w="831"/>
          </w:tcPr>
          <w:p>
            <w:pPr>
              <w:pStyle w:val="null3"/>
              <w:jc w:val="left"/>
            </w:pPr>
            <w:r>
              <w:rPr/>
              <w:t>2</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LED筒灯 7W</w:t>
            </w:r>
          </w:p>
        </w:tc>
      </w:tr>
      <w:tr>
        <w:tc>
          <w:tcPr>
            <w:tcW w:type="dxa" w:w="831"/>
          </w:tcPr>
          <w:p>
            <w:pPr>
              <w:pStyle w:val="null3"/>
              <w:jc w:val="left"/>
            </w:pPr>
            <w:r>
              <w:rPr/>
              <w:t>3</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LED平板灯 300*300 13W</w:t>
            </w:r>
          </w:p>
        </w:tc>
      </w:tr>
      <w:tr>
        <w:tc>
          <w:tcPr>
            <w:tcW w:type="dxa" w:w="831"/>
          </w:tcPr>
          <w:p>
            <w:pPr>
              <w:pStyle w:val="null3"/>
              <w:jc w:val="left"/>
            </w:pPr>
            <w:r>
              <w:rPr/>
              <w:t>4</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LED平板灯 600*600 24W</w:t>
            </w:r>
          </w:p>
        </w:tc>
      </w:tr>
      <w:tr>
        <w:tc>
          <w:tcPr>
            <w:tcW w:type="dxa" w:w="831"/>
          </w:tcPr>
          <w:p>
            <w:pPr>
              <w:pStyle w:val="null3"/>
              <w:jc w:val="left"/>
            </w:pPr>
            <w:r>
              <w:rPr/>
              <w:t>5</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LED平板灯 600*600 36W</w:t>
            </w:r>
          </w:p>
        </w:tc>
      </w:tr>
      <w:tr>
        <w:tc>
          <w:tcPr>
            <w:tcW w:type="dxa" w:w="831"/>
          </w:tcPr>
          <w:p>
            <w:pPr>
              <w:pStyle w:val="null3"/>
              <w:jc w:val="left"/>
            </w:pPr>
            <w:r>
              <w:rPr/>
              <w:t>6</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LED平板灯 600*600 48W</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混凝土</w:t>
            </w:r>
          </w:p>
        </w:tc>
      </w:tr>
      <w:tr>
        <w:tc>
          <w:tcPr>
            <w:tcW w:type="dxa" w:w="831"/>
          </w:tcPr>
          <w:p>
            <w:pPr>
              <w:pStyle w:val="null3"/>
              <w:jc w:val="left"/>
            </w:pPr>
            <w:r>
              <w:rPr/>
              <w:t>2</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普通水龙头 DN15</w:t>
            </w:r>
          </w:p>
        </w:tc>
      </w:tr>
      <w:tr>
        <w:tc>
          <w:tcPr>
            <w:tcW w:type="dxa" w:w="831"/>
          </w:tcPr>
          <w:p>
            <w:pPr>
              <w:pStyle w:val="null3"/>
              <w:jc w:val="left"/>
            </w:pPr>
            <w:r>
              <w:rPr/>
              <w:t>3</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感应自动水龙头DN15</w:t>
            </w:r>
          </w:p>
        </w:tc>
      </w:tr>
      <w:tr>
        <w:tc>
          <w:tcPr>
            <w:tcW w:type="dxa" w:w="831"/>
          </w:tcPr>
          <w:p>
            <w:pPr>
              <w:pStyle w:val="null3"/>
              <w:jc w:val="left"/>
            </w:pPr>
            <w:r>
              <w:rPr/>
              <w:t>4</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容积式电热水器120L</w:t>
            </w:r>
          </w:p>
        </w:tc>
      </w:tr>
      <w:tr>
        <w:tc>
          <w:tcPr>
            <w:tcW w:type="dxa" w:w="831"/>
          </w:tcPr>
          <w:p>
            <w:pPr>
              <w:pStyle w:val="null3"/>
              <w:jc w:val="left"/>
            </w:pPr>
            <w:r>
              <w:rPr/>
              <w:t>5</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台式洗漱盆</w:t>
            </w:r>
          </w:p>
        </w:tc>
      </w:tr>
      <w:tr>
        <w:tc>
          <w:tcPr>
            <w:tcW w:type="dxa" w:w="831"/>
          </w:tcPr>
          <w:p>
            <w:pPr>
              <w:pStyle w:val="null3"/>
              <w:jc w:val="left"/>
            </w:pPr>
            <w:r>
              <w:rPr/>
              <w:t>6</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立式洗漱盆</w:t>
            </w:r>
          </w:p>
        </w:tc>
      </w:tr>
      <w:tr>
        <w:tc>
          <w:tcPr>
            <w:tcW w:type="dxa" w:w="831"/>
          </w:tcPr>
          <w:p>
            <w:pPr>
              <w:pStyle w:val="null3"/>
              <w:jc w:val="left"/>
            </w:pPr>
            <w:r>
              <w:rPr/>
              <w:t>7</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拖布池</w:t>
            </w:r>
          </w:p>
        </w:tc>
      </w:tr>
      <w:tr>
        <w:tc>
          <w:tcPr>
            <w:tcW w:type="dxa" w:w="831"/>
          </w:tcPr>
          <w:p>
            <w:pPr>
              <w:pStyle w:val="null3"/>
              <w:jc w:val="left"/>
            </w:pPr>
            <w:r>
              <w:rPr/>
              <w:t>8</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直流膨胀式多联空调室外机KT-1</w:t>
            </w:r>
          </w:p>
        </w:tc>
      </w:tr>
      <w:tr>
        <w:tc>
          <w:tcPr>
            <w:tcW w:type="dxa" w:w="831"/>
          </w:tcPr>
          <w:p>
            <w:pPr>
              <w:pStyle w:val="null3"/>
              <w:jc w:val="left"/>
            </w:pPr>
            <w:r>
              <w:rPr/>
              <w:t>9</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直流膨胀式恒温恒湿空调机组AHU-1</w:t>
            </w:r>
          </w:p>
        </w:tc>
      </w:tr>
      <w:tr>
        <w:tc>
          <w:tcPr>
            <w:tcW w:type="dxa" w:w="831"/>
          </w:tcPr>
          <w:p>
            <w:pPr>
              <w:pStyle w:val="null3"/>
              <w:jc w:val="left"/>
            </w:pPr>
            <w:r>
              <w:rPr/>
              <w:t>10</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多联新风空调室外机KT-2</w:t>
            </w:r>
          </w:p>
        </w:tc>
      </w:tr>
      <w:tr>
        <w:tc>
          <w:tcPr>
            <w:tcW w:type="dxa" w:w="831"/>
          </w:tcPr>
          <w:p>
            <w:pPr>
              <w:pStyle w:val="null3"/>
              <w:jc w:val="left"/>
            </w:pPr>
            <w:r>
              <w:rPr/>
              <w:t>11</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多联新风机组XF-1</w:t>
            </w:r>
          </w:p>
        </w:tc>
      </w:tr>
      <w:tr>
        <w:tc>
          <w:tcPr>
            <w:tcW w:type="dxa" w:w="831"/>
          </w:tcPr>
          <w:p>
            <w:pPr>
              <w:pStyle w:val="null3"/>
              <w:jc w:val="left"/>
            </w:pPr>
            <w:r>
              <w:rPr/>
              <w:t>12</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多联空调室外机KT-3</w:t>
            </w:r>
          </w:p>
        </w:tc>
      </w:tr>
      <w:tr>
        <w:tc>
          <w:tcPr>
            <w:tcW w:type="dxa" w:w="831"/>
          </w:tcPr>
          <w:p>
            <w:pPr>
              <w:pStyle w:val="null3"/>
              <w:jc w:val="left"/>
            </w:pPr>
            <w:r>
              <w:rPr/>
              <w:t>13</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多联空调室外机KT-4</w:t>
            </w:r>
          </w:p>
        </w:tc>
      </w:tr>
      <w:tr>
        <w:tc>
          <w:tcPr>
            <w:tcW w:type="dxa" w:w="831"/>
          </w:tcPr>
          <w:p>
            <w:pPr>
              <w:pStyle w:val="null3"/>
              <w:jc w:val="left"/>
            </w:pPr>
            <w:r>
              <w:rPr/>
              <w:t>14</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多联天花机 D80</w:t>
            </w:r>
          </w:p>
        </w:tc>
      </w:tr>
      <w:tr>
        <w:tc>
          <w:tcPr>
            <w:tcW w:type="dxa" w:w="831"/>
          </w:tcPr>
          <w:p>
            <w:pPr>
              <w:pStyle w:val="null3"/>
              <w:jc w:val="left"/>
            </w:pPr>
            <w:r>
              <w:rPr/>
              <w:t>15</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分体空调KT-4</w:t>
            </w:r>
          </w:p>
        </w:tc>
      </w:tr>
      <w:tr>
        <w:tc>
          <w:tcPr>
            <w:tcW w:type="dxa" w:w="831"/>
          </w:tcPr>
          <w:p>
            <w:pPr>
              <w:pStyle w:val="null3"/>
              <w:jc w:val="left"/>
            </w:pPr>
            <w:r>
              <w:rPr/>
              <w:t>16</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机房精密空调</w:t>
            </w:r>
          </w:p>
        </w:tc>
      </w:tr>
      <w:tr>
        <w:tc>
          <w:tcPr>
            <w:tcW w:type="dxa" w:w="831"/>
          </w:tcPr>
          <w:p>
            <w:pPr>
              <w:pStyle w:val="null3"/>
              <w:jc w:val="left"/>
            </w:pPr>
            <w:r>
              <w:rPr/>
              <w:t>17</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墙面无机涂料</w:t>
            </w:r>
          </w:p>
        </w:tc>
      </w:tr>
      <w:tr>
        <w:tc>
          <w:tcPr>
            <w:tcW w:type="dxa" w:w="831"/>
          </w:tcPr>
          <w:p>
            <w:pPr>
              <w:pStyle w:val="null3"/>
              <w:jc w:val="left"/>
            </w:pPr>
            <w:r>
              <w:rPr/>
              <w:t>18</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天棚喷刷涂料</w:t>
            </w:r>
          </w:p>
        </w:tc>
      </w:tr>
      <w:tr>
        <w:tc>
          <w:tcPr>
            <w:tcW w:type="dxa" w:w="831"/>
          </w:tcPr>
          <w:p>
            <w:pPr>
              <w:pStyle w:val="null3"/>
              <w:jc w:val="left"/>
            </w:pPr>
            <w:r>
              <w:rPr/>
              <w:t>19</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LED筒灯 9W</w:t>
            </w:r>
          </w:p>
        </w:tc>
      </w:tr>
      <w:tr>
        <w:tc>
          <w:tcPr>
            <w:tcW w:type="dxa" w:w="831"/>
          </w:tcPr>
          <w:p>
            <w:pPr>
              <w:pStyle w:val="null3"/>
              <w:jc w:val="left"/>
            </w:pPr>
            <w:r>
              <w:rPr/>
              <w:t>20</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LED筒灯 7W</w:t>
            </w:r>
          </w:p>
        </w:tc>
      </w:tr>
      <w:tr>
        <w:tc>
          <w:tcPr>
            <w:tcW w:type="dxa" w:w="831"/>
          </w:tcPr>
          <w:p>
            <w:pPr>
              <w:pStyle w:val="null3"/>
              <w:jc w:val="left"/>
            </w:pPr>
            <w:r>
              <w:rPr/>
              <w:t>21</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LED平板灯 300*300 13W</w:t>
            </w:r>
          </w:p>
        </w:tc>
      </w:tr>
      <w:tr>
        <w:tc>
          <w:tcPr>
            <w:tcW w:type="dxa" w:w="831"/>
          </w:tcPr>
          <w:p>
            <w:pPr>
              <w:pStyle w:val="null3"/>
              <w:jc w:val="left"/>
            </w:pPr>
            <w:r>
              <w:rPr/>
              <w:t>22</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LED平板灯 600*600 24W</w:t>
            </w:r>
          </w:p>
        </w:tc>
      </w:tr>
      <w:tr>
        <w:tc>
          <w:tcPr>
            <w:tcW w:type="dxa" w:w="831"/>
          </w:tcPr>
          <w:p>
            <w:pPr>
              <w:pStyle w:val="null3"/>
              <w:jc w:val="left"/>
            </w:pPr>
            <w:r>
              <w:rPr/>
              <w:t>23</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LED平板灯 600*600 36W</w:t>
            </w:r>
          </w:p>
        </w:tc>
      </w:tr>
      <w:tr>
        <w:tc>
          <w:tcPr>
            <w:tcW w:type="dxa" w:w="831"/>
          </w:tcPr>
          <w:p>
            <w:pPr>
              <w:pStyle w:val="null3"/>
              <w:jc w:val="left"/>
            </w:pPr>
            <w:r>
              <w:rPr/>
              <w:t>24</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LED平板灯 600*600 48W</w:t>
            </w:r>
          </w:p>
        </w:tc>
      </w:tr>
      <w:tr>
        <w:tc>
          <w:tcPr>
            <w:tcW w:type="dxa" w:w="831"/>
          </w:tcPr>
          <w:p>
            <w:pPr>
              <w:pStyle w:val="null3"/>
              <w:jc w:val="left"/>
            </w:pPr>
            <w:r>
              <w:rPr/>
              <w:t>25</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UPVC管 DN50</w:t>
            </w:r>
          </w:p>
        </w:tc>
      </w:tr>
      <w:tr>
        <w:tc>
          <w:tcPr>
            <w:tcW w:type="dxa" w:w="831"/>
          </w:tcPr>
          <w:p>
            <w:pPr>
              <w:pStyle w:val="null3"/>
              <w:jc w:val="left"/>
            </w:pPr>
            <w:r>
              <w:rPr/>
              <w:t>26</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UPVC管 DN75</w:t>
            </w:r>
          </w:p>
        </w:tc>
      </w:tr>
      <w:tr>
        <w:tc>
          <w:tcPr>
            <w:tcW w:type="dxa" w:w="831"/>
          </w:tcPr>
          <w:p>
            <w:pPr>
              <w:pStyle w:val="null3"/>
              <w:jc w:val="left"/>
            </w:pPr>
            <w:r>
              <w:rPr/>
              <w:t>27</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SBS-Ⅱ改性沥青防水卷材</w:t>
            </w:r>
          </w:p>
        </w:tc>
      </w:tr>
      <w:tr>
        <w:tc>
          <w:tcPr>
            <w:tcW w:type="dxa" w:w="831"/>
          </w:tcPr>
          <w:p>
            <w:pPr>
              <w:pStyle w:val="null3"/>
              <w:jc w:val="left"/>
            </w:pPr>
            <w:r>
              <w:rPr/>
              <w:t>28</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甲级钢质防火门</w:t>
            </w:r>
          </w:p>
        </w:tc>
      </w:tr>
      <w:tr>
        <w:tc>
          <w:tcPr>
            <w:tcW w:type="dxa" w:w="831"/>
          </w:tcPr>
          <w:p>
            <w:pPr>
              <w:pStyle w:val="null3"/>
              <w:jc w:val="left"/>
            </w:pPr>
            <w:r>
              <w:rPr/>
              <w:t>29</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气密门</w:t>
            </w:r>
          </w:p>
        </w:tc>
      </w:tr>
      <w:tr>
        <w:tc>
          <w:tcPr>
            <w:tcW w:type="dxa" w:w="831"/>
          </w:tcPr>
          <w:p>
            <w:pPr>
              <w:pStyle w:val="null3"/>
              <w:jc w:val="left"/>
            </w:pPr>
            <w:r>
              <w:rPr/>
              <w:t>30</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单开防护门PM0922(3mmPb)</w:t>
            </w:r>
          </w:p>
        </w:tc>
      </w:tr>
      <w:tr>
        <w:tc>
          <w:tcPr>
            <w:tcW w:type="dxa" w:w="831"/>
          </w:tcPr>
          <w:p>
            <w:pPr>
              <w:pStyle w:val="null3"/>
              <w:jc w:val="left"/>
            </w:pPr>
            <w:r>
              <w:rPr/>
              <w:t>31</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单开防护门PM0922(6mmPb)</w:t>
            </w:r>
          </w:p>
        </w:tc>
      </w:tr>
      <w:tr>
        <w:tc>
          <w:tcPr>
            <w:tcW w:type="dxa" w:w="831"/>
          </w:tcPr>
          <w:p>
            <w:pPr>
              <w:pStyle w:val="null3"/>
              <w:jc w:val="left"/>
            </w:pPr>
            <w:r>
              <w:rPr/>
              <w:t>32</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单开防护门PM0922(10mmPb)</w:t>
            </w:r>
          </w:p>
        </w:tc>
      </w:tr>
      <w:tr>
        <w:tc>
          <w:tcPr>
            <w:tcW w:type="dxa" w:w="831"/>
          </w:tcPr>
          <w:p>
            <w:pPr>
              <w:pStyle w:val="null3"/>
              <w:jc w:val="left"/>
            </w:pPr>
            <w:r>
              <w:rPr/>
              <w:t>33</w:t>
            </w:r>
          </w:p>
        </w:tc>
        <w:tc>
          <w:tcPr>
            <w:tcW w:type="dxa" w:w="2492"/>
          </w:tcPr>
          <w:p>
            <w:pPr>
              <w:pStyle w:val="null3"/>
              <w:jc w:val="left"/>
            </w:pPr>
            <w:r>
              <w:rPr/>
              <w:t>装修工程</w:t>
            </w:r>
          </w:p>
        </w:tc>
        <w:tc>
          <w:tcPr>
            <w:tcW w:type="dxa" w:w="2492"/>
          </w:tcPr>
          <w:p>
            <w:pPr>
              <w:pStyle w:val="null3"/>
              <w:jc w:val="left"/>
            </w:pPr>
            <w:r>
              <w:rPr/>
              <w:t>放射性药物研究中心装修改造工程</w:t>
            </w:r>
          </w:p>
        </w:tc>
        <w:tc>
          <w:tcPr>
            <w:tcW w:type="dxa" w:w="2492"/>
          </w:tcPr>
          <w:p>
            <w:pPr>
              <w:pStyle w:val="null3"/>
              <w:jc w:val="left"/>
            </w:pPr>
            <w:r>
              <w:rPr/>
              <w:t>电动防护门PTM1422(6mmPb)</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标的名称：放射性药物研究中心装修改造工程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技术要求</w:t>
            </w:r>
            <w:r>
              <w:br/>
            </w:r>
            <w:r>
              <w:rPr/>
              <w:t xml:space="preserve"> （1）见采购人提供的《放射性药物研究中心改造工程设计图》，并满足装饰装修及机电安装施工国家相关技术规范。</w:t>
            </w:r>
            <w:r>
              <w:br/>
            </w:r>
            <w:r>
              <w:rPr/>
              <w:t xml:space="preserve"> （2）投标要求：投标人在投标前需自行踏勘现场。</w:t>
            </w:r>
            <w:r>
              <w:br/>
            </w:r>
            <w:r>
              <w:rPr/>
              <w:t xml:space="preserve"> （3）施工要求：</w:t>
            </w:r>
            <w:r>
              <w:br/>
            </w:r>
            <w:r>
              <w:rPr/>
              <w:t xml:space="preserve"> ①施工前应进行设计交底工作，并应对施工现场进行核查，了解医院管理的有关规定。</w:t>
            </w:r>
            <w:r>
              <w:br/>
            </w:r>
            <w:r>
              <w:rPr/>
              <w:t xml:space="preserve"> ②各工序、各分项工程应自检、互检及交接检。</w:t>
            </w:r>
            <w:r>
              <w:br/>
            </w:r>
            <w:r>
              <w:rPr/>
              <w:t xml:space="preserve"> ③施工中，严禁损坏房屋原有绝热设施；严禁损坏受力钢筋；严禁超荷载集中堆放物品；严禁在预制混凝土空心楼板上打孔安装埋件。</w:t>
            </w:r>
            <w:r>
              <w:br/>
            </w:r>
            <w:r>
              <w:rPr/>
              <w:t xml:space="preserve"> ④施工中，严禁擅自改动建筑主体。承重结构或改变房间主要使用功能；严禁擅自拆改燃气、暖气、通讯等配套设施。</w:t>
            </w:r>
            <w:r>
              <w:br/>
            </w:r>
            <w:r>
              <w:rPr/>
              <w:t xml:space="preserve"> ⑤管道、设备工程的安装及调试应在装饰装修工程施工前完成，必须同步进行的应在饰面层施工前完成。装饰装修工程不得影响管道、设备的使用和维修。涉及燃气管道的装饰装修工程必须符合有关安全管理的规定。</w:t>
            </w:r>
            <w:r>
              <w:br/>
            </w:r>
            <w:r>
              <w:rPr/>
              <w:t xml:space="preserve"> ⑥施工人员应遵守有关施工安全、劳动保护、防火、防毒的法律，法规。</w:t>
            </w:r>
            <w:r>
              <w:br/>
            </w:r>
            <w:r>
              <w:rPr/>
              <w:t xml:space="preserve"> ⑦施工现场用电应符合下列规定：</w:t>
            </w:r>
            <w:r>
              <w:br/>
            </w:r>
            <w:r>
              <w:rPr/>
              <w:t xml:space="preserve"> a.施工现场用电应从户表以后设立临时施工用电系统。</w:t>
            </w:r>
            <w:r>
              <w:br/>
            </w:r>
            <w:r>
              <w:rPr/>
              <w:t xml:space="preserve"> b.安装、维修或拆除临时施工用电系统，应由电工完成。</w:t>
            </w:r>
            <w:r>
              <w:br/>
            </w:r>
            <w:r>
              <w:rPr/>
              <w:t xml:space="preserve"> c.临时施工供电开关箱中应装设漏电保护器。进入开关箱的电源线不得用插销连接。</w:t>
            </w:r>
            <w:r>
              <w:br/>
            </w:r>
            <w:r>
              <w:rPr/>
              <w:t xml:space="preserve"> d.用电线路应避开易燃、易爆物品堆放地。</w:t>
            </w:r>
            <w:r>
              <w:br/>
            </w:r>
            <w:r>
              <w:rPr/>
              <w:t xml:space="preserve"> e.暂停施工时应切断电源。</w:t>
            </w:r>
            <w:r>
              <w:br/>
            </w:r>
            <w:r>
              <w:rPr/>
              <w:t xml:space="preserve"> ⑧施工现场用水应符合下列规定：</w:t>
            </w:r>
            <w:r>
              <w:br/>
            </w:r>
            <w:r>
              <w:rPr/>
              <w:t xml:space="preserve"> a.不得在未做防水的地面蓄水。</w:t>
            </w:r>
            <w:r>
              <w:br/>
            </w:r>
            <w:r>
              <w:rPr/>
              <w:t xml:space="preserve"> b.临时用水管不得有破损、滴漏。</w:t>
            </w:r>
            <w:r>
              <w:br/>
            </w:r>
            <w:r>
              <w:rPr/>
              <w:t xml:space="preserve"> c.暂停施工时应切断水源。</w:t>
            </w:r>
            <w:r>
              <w:br/>
            </w:r>
            <w:r>
              <w:rPr/>
              <w:t xml:space="preserve"> ⑨文明施工和现场环境应符合下列要求：</w:t>
            </w:r>
            <w:r>
              <w:br/>
            </w:r>
            <w:r>
              <w:rPr/>
              <w:t xml:space="preserve"> a.施工人员应衣着整齐。</w:t>
            </w:r>
            <w:r>
              <w:br/>
            </w:r>
            <w:r>
              <w:rPr/>
              <w:t xml:space="preserve"> b.施工人员应服从医院管理或治安保卫人员的监督、管理。</w:t>
            </w:r>
            <w:r>
              <w:br/>
            </w:r>
            <w:r>
              <w:rPr/>
              <w:t xml:space="preserve"> c.应控制粉尘、污染物、噪声、震动等对相邻居民、居民区和城市环境的污染及危害。</w:t>
            </w:r>
            <w:r>
              <w:br/>
            </w:r>
            <w:r>
              <w:rPr/>
              <w:t xml:space="preserve"> d.施工堆料不得占用楼道内的公共空间，封堵紧急出口。</w:t>
            </w:r>
            <w:r>
              <w:br/>
            </w:r>
            <w:r>
              <w:rPr/>
              <w:t xml:space="preserve"> e.室外堆料应遵守医院管理规定，避开公共通道、绿化地、化粪池等市政公用设施。</w:t>
            </w:r>
            <w:r>
              <w:br/>
            </w:r>
            <w:r>
              <w:rPr/>
              <w:t xml:space="preserve"> f.工程垃圾宜密封包装，并放在指定垃圾堆放地。</w:t>
            </w:r>
            <w:r>
              <w:br/>
            </w:r>
            <w:r>
              <w:rPr/>
              <w:t xml:space="preserve"> g.不得堵塞、破坏上下水管道、垃圾道等公共设施，不得损坏楼内各种公共标识。</w:t>
            </w:r>
            <w:r>
              <w:br/>
            </w:r>
            <w:r>
              <w:rPr/>
              <w:t xml:space="preserve"> h.工程验收前应将施工现场清理干净。</w:t>
            </w:r>
            <w:r>
              <w:br/>
            </w:r>
            <w:r>
              <w:rPr/>
              <w:t xml:space="preserve"> （4）材料、设备基本要求</w:t>
            </w:r>
            <w:r>
              <w:br/>
            </w:r>
            <w:r>
              <w:rPr/>
              <w:t xml:space="preserve"> ①本项目工程所用材料的品种、规格、性能应符合设计的要求及国家现行有关标准及环保的规定。</w:t>
            </w:r>
            <w:r>
              <w:br/>
            </w:r>
            <w:r>
              <w:rPr/>
              <w:t xml:space="preserve"> ②严禁使用国家明令淘汰的材料。</w:t>
            </w:r>
            <w:r>
              <w:br/>
            </w:r>
            <w:r>
              <w:rPr/>
              <w:t xml:space="preserve"> ③装饰装修所用的材料应按设计要求进行防火、防腐和防蛀处理。</w:t>
            </w:r>
            <w:r>
              <w:br/>
            </w:r>
            <w:r>
              <w:rPr/>
              <w:t xml:space="preserve"> ④施工单位应对进场主要材料的品种、规格、性能进行验收。主要材料应有产品合格证书，有特殊要求的应有相应的性能检测报告和中文说明书。</w:t>
            </w:r>
            <w:r>
              <w:br/>
            </w:r>
            <w:r>
              <w:rPr/>
              <w:t xml:space="preserve"> ⑤现场配制的材料应按设计要求或产品说明书制作。</w:t>
            </w:r>
            <w:r>
              <w:br/>
            </w:r>
            <w:r>
              <w:rPr/>
              <w:t xml:space="preserve"> ⑥应配备满足施工要求的配套机具设备及检测仪器。</w:t>
            </w:r>
            <w:r>
              <w:br/>
            </w:r>
            <w:r>
              <w:rPr/>
              <w:t xml:space="preserve"> ⑦装饰装修工程应积极使用新材料、新技术、新工艺、新设备。</w:t>
            </w:r>
            <w:r>
              <w:br/>
            </w:r>
            <w:r>
              <w:rPr/>
              <w:t xml:space="preserve"> （5）成品保护</w:t>
            </w:r>
            <w:r>
              <w:br/>
            </w:r>
            <w:r>
              <w:rPr/>
              <w:t xml:space="preserve"> ①施工过程中材料运输应符合下列规定：</w:t>
            </w:r>
            <w:r>
              <w:br/>
            </w:r>
            <w:r>
              <w:rPr/>
              <w:t xml:space="preserve"> a材料运输使用电梯时，应对电梯采取保护措施。</w:t>
            </w:r>
            <w:r>
              <w:br/>
            </w:r>
            <w:r>
              <w:rPr/>
              <w:t xml:space="preserve"> b材料搬运时要避免损坏楼道内顶、墙、扶手、楼道窗户及楼道门。</w:t>
            </w:r>
            <w:r>
              <w:br/>
            </w:r>
            <w:r>
              <w:rPr/>
              <w:t xml:space="preserve"> ②施工过程中应采取下列成品保护措施：</w:t>
            </w:r>
            <w:r>
              <w:br/>
            </w:r>
            <w:r>
              <w:rPr/>
              <w:t xml:space="preserve"> a各工种在施工中不得污染、损坏其他工种的半成品、成品。</w:t>
            </w:r>
            <w:r>
              <w:br/>
            </w:r>
            <w:r>
              <w:rPr/>
              <w:t xml:space="preserve"> b材料表面保护膜应在工程竣工时撤除。</w:t>
            </w:r>
            <w:r>
              <w:br/>
            </w:r>
            <w:r>
              <w:rPr/>
              <w:t xml:space="preserve"> c对邮箱、消防、供电、报警、网络等公共设施应采取保护措施。</w:t>
            </w:r>
            <w:r>
              <w:br/>
            </w:r>
            <w:r>
              <w:rPr/>
              <w:t xml:space="preserve">  </w:t>
            </w:r>
          </w:p>
        </w:tc>
      </w:tr>
      <w:tr>
        <w:tc>
          <w:tcPr>
            <w:tcW w:type="dxa" w:w="2769"/>
          </w:tcPr>
          <w:p>
            <w:pPr>
              <w:pStyle w:val="null3"/>
              <w:jc w:val="left"/>
            </w:pPr>
            <w:r>
              <w:rPr/>
              <w:t>2</w:t>
            </w:r>
          </w:p>
        </w:tc>
        <w:tc>
          <w:tcPr>
            <w:tcW w:type="dxa" w:w="2769"/>
          </w:tcPr>
          <w:p>
            <w:pPr>
              <w:pStyle w:val="null3"/>
              <w:jc w:val="left"/>
            </w:pPr>
            <w:r>
              <w:rPr/>
              <w:t>★</w:t>
            </w:r>
          </w:p>
        </w:tc>
        <w:tc>
          <w:tcPr>
            <w:tcW w:type="dxa" w:w="2769"/>
          </w:tcPr>
          <w:p>
            <w:pPr>
              <w:pStyle w:val="null3"/>
              <w:ind w:firstLine="640"/>
              <w:jc w:val="both"/>
            </w:pPr>
            <w:r>
              <w:rPr>
                <w:rFonts w:ascii="simsun" w:hAnsi="simsun" w:cs="simsun" w:eastAsia="simsun"/>
                <w:sz w:val="12"/>
              </w:rPr>
              <w:t>（1）技术、服务、合同条款要求</w:t>
            </w:r>
          </w:p>
          <w:tbl>
            <w:tblPr>
              <w:tblBorders>
                <w:top w:val="none" w:color="000000" w:sz="4"/>
                <w:left w:val="none" w:color="000000" w:sz="4"/>
                <w:bottom w:val="none" w:color="000000" w:sz="4"/>
                <w:right w:val="none" w:color="000000" w:sz="4"/>
                <w:insideH w:val="none"/>
                <w:insideV w:val="none"/>
              </w:tblBorders>
            </w:tblPr>
            <w:tblGrid>
              <w:gridCol w:w="302"/>
              <w:gridCol w:w="798"/>
              <w:gridCol w:w="1447"/>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b/>
                      <w:color w:val="000000"/>
                      <w:sz w:val="12"/>
                    </w:rPr>
                    <w:t>序号</w:t>
                  </w:r>
                </w:p>
              </w:tc>
              <w:tc>
                <w:tcPr>
                  <w:tcW w:type="dxa" w:w="7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b/>
                      <w:color w:val="000000"/>
                      <w:sz w:val="12"/>
                    </w:rPr>
                    <w:t>项 目</w:t>
                  </w:r>
                </w:p>
              </w:tc>
              <w:tc>
                <w:tcPr>
                  <w:tcW w:type="dxa" w:w="1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b/>
                      <w:color w:val="000000"/>
                      <w:sz w:val="12"/>
                    </w:rPr>
                    <w:t>要</w:t>
                  </w:r>
                  <w:r>
                    <w:rPr>
                      <w:rFonts w:ascii="simsun" w:hAnsi="simsun" w:cs="simsun" w:eastAsia="simsun"/>
                      <w:b/>
                      <w:sz w:val="12"/>
                    </w:rPr>
                    <w:t xml:space="preserve">  </w:t>
                  </w:r>
                  <w:r>
                    <w:rPr>
                      <w:rFonts w:ascii="simsun" w:hAnsi="simsun" w:cs="simsun" w:eastAsia="simsun"/>
                      <w:b/>
                      <w:color w:val="000000"/>
                      <w:sz w:val="12"/>
                    </w:rPr>
                    <w:t>求</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12"/>
                    </w:rPr>
                    <w:t>1</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12"/>
                    </w:rPr>
                    <w:t>项目负责人（项目经理）</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simsun" w:hAnsi="simsun" w:cs="simsun" w:eastAsia="simsun"/>
                      <w:sz w:val="12"/>
                    </w:rPr>
                    <w:t>具有建筑工程专业二级及以上建造师执业资格、住房城乡建设主管部门颁发的安全生产考核合格（B证）</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12"/>
                    </w:rPr>
                    <w:t>2</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color w:val="000000"/>
                      <w:sz w:val="12"/>
                    </w:rPr>
                    <w:t>技术负责人</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simsun" w:hAnsi="simsun" w:cs="simsun" w:eastAsia="simsun"/>
                      <w:sz w:val="12"/>
                    </w:rPr>
                    <w:t>具有建筑施工类中级及以上职称</w:t>
                  </w:r>
                </w:p>
              </w:tc>
            </w:tr>
          </w:tbl>
          <w:p>
            <w:pPr>
              <w:pStyle w:val="null3"/>
              <w:jc w:val="both"/>
            </w:pPr>
            <w:r>
              <w:rPr>
                <w:rFonts w:ascii="simsun" w:hAnsi="simsun" w:cs="simsun" w:eastAsia="simsun"/>
                <w:sz w:val="12"/>
              </w:rPr>
              <w:t xml:space="preserve">  （2）漏项工程处理：施工过程中，发现工程量清单或施工图存在漏项工程的，该漏项工程作为本项目本章采购需求的组成部分，采购人和供应商可以按照《中华人民共和国政府采购法》的规定签订不超过成交金额百分之十的补充合同。</w:t>
            </w:r>
          </w:p>
        </w:tc>
      </w:tr>
      <w:tr>
        <w:tc>
          <w:tcPr>
            <w:tcW w:type="dxa" w:w="2769"/>
          </w:tcPr>
          <w:p>
            <w:pPr>
              <w:pStyle w:val="null3"/>
              <w:jc w:val="left"/>
            </w:pPr>
            <w:r>
              <w:rPr/>
              <w:t>3</w:t>
            </w:r>
          </w:p>
        </w:tc>
        <w:tc>
          <w:tcPr>
            <w:tcW w:type="dxa" w:w="2769"/>
          </w:tcPr>
          <w:p>
            <w:pPr>
              <w:pStyle w:val="null3"/>
              <w:jc w:val="left"/>
            </w:pPr>
            <w:r>
              <w:rPr/>
              <w:t>★</w:t>
            </w:r>
          </w:p>
        </w:tc>
        <w:tc>
          <w:tcPr>
            <w:tcW w:type="dxa" w:w="2769"/>
          </w:tcPr>
          <w:p>
            <w:pPr>
              <w:pStyle w:val="null3"/>
              <w:jc w:val="left"/>
            </w:pPr>
            <w:r>
              <w:rPr/>
              <w:t>详见附件：工程量清单、施工图</w:t>
            </w: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施工工期</w:t>
            </w:r>
          </w:p>
        </w:tc>
        <w:tc>
          <w:tcPr>
            <w:tcW w:type="dxa" w:w="2076"/>
          </w:tcPr>
          <w:p>
            <w:pPr>
              <w:pStyle w:val="null3"/>
              <w:jc w:val="left"/>
            </w:pPr>
            <w:r>
              <w:rPr/>
              <w:t>自合同签订之日起90日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施工地点</w:t>
            </w:r>
          </w:p>
        </w:tc>
        <w:tc>
          <w:tcPr>
            <w:tcW w:type="dxa" w:w="2076"/>
          </w:tcPr>
          <w:p>
            <w:pPr>
              <w:pStyle w:val="null3"/>
              <w:jc w:val="left"/>
            </w:pPr>
            <w:r>
              <w:rPr/>
              <w:t>绵阳市中心医院</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1、采购人与供应商签订合同后支付预付款，达到付款条件起15日内，据实情况说明为支付合同总金额40%</w:t>
            </w:r>
          </w:p>
          <w:p>
            <w:pPr>
              <w:pStyle w:val="null3"/>
              <w:jc w:val="left"/>
            </w:pPr>
            <w:r>
              <w:rPr/>
              <w:t>2、供应商完成工程且验收合格并提供发票等报账资料，达到付款条件起15日内，据实情况说明为据实支付到实际总金额的97%</w:t>
            </w:r>
          </w:p>
          <w:p>
            <w:pPr>
              <w:pStyle w:val="null3"/>
              <w:jc w:val="left"/>
            </w:pPr>
            <w:r>
              <w:rPr/>
              <w:t>3、验收合格2年后，达到付款条件起15日内，据实情况说明为据实支付到实际总金额的100%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满足《放射性药物研究中心改造工程设计图》中设计要求，并满足装饰装修及机电安装施工国家现行相关技术规范。</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1．双方必须遵守本合同并执行合同中的各项规定，保证本合同的正常履行。 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 1．在执行本合同中发生的或与本合同有关的争端，双方应通过友好协商解决，经协商在180天内不能达成协议时，应提交合同履行地人民法院诉讼解决。 2．仲裁裁决应为最终决定，并对双方具有约束力。 3．除另有裁决外，仲裁费应由败诉方负担。 4．在仲裁期间，除正在进行仲裁部分外，合同其他部分继续执行。</w:t>
            </w:r>
          </w:p>
        </w:tc>
      </w:tr>
    </w:tbl>
    <w:p>
      <w:pPr>
        <w:pStyle w:val="null3"/>
        <w:jc w:val="left"/>
        <w:outlineLvl w:val="2"/>
      </w:pPr>
      <w:r>
        <w:rPr>
          <w:b/>
          <w:sz w:val="28"/>
        </w:rPr>
        <w:t>3.5.其他要求</w:t>
      </w:r>
    </w:p>
    <w:p>
      <w:pPr>
        <w:pStyle w:val="null3"/>
        <w:ind w:firstLine="480"/>
        <w:jc w:val="left"/>
      </w:pPr>
      <w:r>
        <w:rPr/>
        <w:t>无</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w:t>
      </w:r>
    </w:p>
    <w:p>
      <w:pPr>
        <w:pStyle w:val="null3"/>
        <w:ind w:firstLine="480"/>
        <w:jc w:val="left"/>
      </w:pPr>
      <w:r>
        <w:rPr/>
        <w:t>第三章“技术、服务及其他要求”</w:t>
      </w:r>
    </w:p>
    <w:p>
      <w:pPr>
        <w:pStyle w:val="null3"/>
        <w:ind w:firstLine="480"/>
        <w:jc w:val="left"/>
      </w:pPr>
      <w:r>
        <w:rPr/>
        <w:t>二、第七章“拟签订采购合同文本”：</w:t>
      </w:r>
    </w:p>
    <w:p>
      <w:pPr>
        <w:pStyle w:val="null3"/>
        <w:ind w:firstLine="480"/>
        <w:jc w:val="left"/>
      </w:pPr>
      <w:r>
        <w:rPr/>
        <w:t>第七章“拟签订采购合同文本”</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t>注：工程量清单不属于磋商过程中可以实质性变动的内容。</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供应商非法干预评审活动的，其响应文件将作无效处理；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是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使用已身份认证并具备签章功能的证书，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四、磋商小组按照磋商文件规定的评审程序、评审方法和评审标准进行评审，并独立履行下列职责：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 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 xml:space="preserve"> 七、磋商文件规定的供应商资格条件与随机抽取设置的或邀请书中载明的供应商资格条件不一致的；</w:t>
      </w:r>
    </w:p>
    <w:p>
      <w:pPr>
        <w:pStyle w:val="null3"/>
        <w:jc w:val="left"/>
      </w:pPr>
      <w:r>
        <w:rPr/>
        <w:t xml:space="preserve"> 八、磋商文件有违反国家其他有关强制性规定的情形。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响应文件开启解密完成后，由磋商小组依据法律法规和磋商文件的规定，对成功解密的响应文件中供应商资格证明等进行审查并出具资格审查报告。资格审查标准及要求如下：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1.供应商为企业（包括合伙企业）、个体工商户的,应提供工商营业执照或提供由市场监管部门核发的法人或者其他组织统一社会信用代码的营业执照（扫描件）；2.供应商属于银行、保险、石油石化、电力、电信等有行业特殊情况的，提供企业分支机构营业执照或统一社会信用代码的营业执照（扫描件）；3.供应商为其他组织的，提供事业单位法人证书或执业许可证等证明文件（扫描件）；4.如为自然人的提供《中华人民共和国居民身份证》（扫描件）。</w:t>
            </w:r>
          </w:p>
        </w:tc>
        <w:tc>
          <w:tcPr>
            <w:tcW w:type="dxa" w:w="1910"/>
          </w:tcPr>
          <w:p>
            <w:pPr>
              <w:pStyle w:val="null3"/>
              <w:jc w:val="left"/>
            </w:pPr>
            <w:r>
              <w:rPr/>
              <w:t>供应商提交的相关资格证明材料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提供近三年中任意一年的经审计的财务报告，至少包括“三表一注”，即资产负债表、利润表、现金流量表及其附注；属于银行、保险、石油石化、电力、电信等有行业特殊情况的，提供近三年中任意一年的财务报表；新成立的公司或非公司性质的供应商提供银行的资信证明。（供应商需在项目电子化交易系统中按要求上传相应证明文件并进行电子签章）</w:t>
            </w:r>
          </w:p>
        </w:tc>
        <w:tc>
          <w:tcPr>
            <w:tcW w:type="dxa" w:w="1910"/>
          </w:tcPr>
          <w:p>
            <w:pPr>
              <w:pStyle w:val="null3"/>
              <w:jc w:val="left"/>
            </w:pPr>
            <w:r>
              <w:rPr/>
              <w:t>供应商提交的相关资格证明材料</w:t>
            </w:r>
          </w:p>
        </w:tc>
      </w:tr>
      <w:tr>
        <w:tc>
          <w:tcPr>
            <w:tcW w:type="dxa" w:w="581"/>
          </w:tcPr>
          <w:p>
            <w:pPr>
              <w:pStyle w:val="null3"/>
              <w:jc w:val="center"/>
            </w:pPr>
            <w:r>
              <w:rPr/>
              <w:t>4</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具有履行合同所必需的设备和专业技术能力。</w:t>
            </w:r>
          </w:p>
        </w:tc>
        <w:tc>
          <w:tcPr>
            <w:tcW w:type="dxa" w:w="3322"/>
          </w:tcPr>
          <w:p>
            <w:pPr>
              <w:pStyle w:val="null3"/>
              <w:jc w:val="left"/>
            </w:pPr>
            <w:r>
              <w:rPr/>
              <w:t>供应商应当提供项目负责人的行业主管部门颁发的且在有效期内的 建筑工程二级建造师及以上建造师注册证书原件扫描件；</w:t>
              <w:br/>
              <w:t>供应商应当提供项目负责人的行业主管部门颁发的且在有效期内的房屋建筑和市政基础设施工程安全生产考核合格证书 (B 证)原件扫描件；</w:t>
              <w:br/>
              <w:t>供应商需在使用投标(响应)客户端编制响应文件时，按要求上传相应证明材料，填写《投标（响应）函》完成承诺，并进行电子签章。</w:t>
              <w:br/>
              <w:t>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t>供应商提交的相关资格证明材料 项目管理机构组成表 主要人员简历表</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具有符合工程管理规定的建筑业企业资质、安全生产许可证。</w:t>
            </w:r>
          </w:p>
        </w:tc>
        <w:tc>
          <w:tcPr>
            <w:tcW w:type="dxa" w:w="3322"/>
          </w:tcPr>
          <w:p>
            <w:pPr>
              <w:pStyle w:val="null3"/>
              <w:jc w:val="left"/>
            </w:pPr>
            <w:r>
              <w:rPr/>
              <w:t>供应商应当具备行业主管部门颁发的且在有效期内的消防设施工程专业承包二级或以上、安全生产许可证、建筑机电安装工程专业承包三级或以上、建筑装修装饰工程专业承包二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t>供应商提交的相关资格证明材料 企业资质信息表</w:t>
            </w:r>
          </w:p>
        </w:tc>
      </w:tr>
      <w:tr>
        <w:tc>
          <w:tcPr>
            <w:tcW w:type="dxa" w:w="581"/>
          </w:tcPr>
          <w:p>
            <w:pPr>
              <w:pStyle w:val="null3"/>
              <w:jc w:val="center"/>
            </w:pPr>
            <w:r>
              <w:rPr/>
              <w:t>2</w:t>
            </w:r>
          </w:p>
        </w:tc>
        <w:tc>
          <w:tcPr>
            <w:tcW w:type="dxa" w:w="2492"/>
          </w:tcPr>
          <w:p>
            <w:pPr>
              <w:pStyle w:val="null3"/>
              <w:jc w:val="left"/>
            </w:pPr>
            <w:r>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t>在政府采购合同签订前向采购人提交在有效期内的四川省住房和城乡建设厅官网已公开的入川信息网页截图的承诺。供应商需在交易系统中按要求上传相应证明文件并进行电子签章。</w:t>
            </w:r>
          </w:p>
        </w:tc>
        <w:tc>
          <w:tcPr>
            <w:tcW w:type="dxa" w:w="1910"/>
          </w:tcPr>
          <w:p>
            <w:pPr>
              <w:pStyle w:val="null3"/>
              <w:jc w:val="left"/>
            </w:pPr>
            <w:r>
              <w:rPr/>
              <w:t>所需的承诺函</w:t>
            </w:r>
          </w:p>
        </w:tc>
      </w:tr>
    </w:tbl>
    <w:p>
      <w:pPr>
        <w:pStyle w:val="null3"/>
        <w:jc w:val="left"/>
        <w:outlineLvl w:val="3"/>
      </w:pPr>
      <w:r>
        <w:rPr>
          <w:b/>
          <w:sz w:val="24"/>
        </w:rPr>
        <w:t>5.3.4.符合性审查★</w:t>
      </w:r>
    </w:p>
    <w:p>
      <w:pPr>
        <w:pStyle w:val="null3"/>
        <w:ind w:firstLine="480"/>
        <w:jc w:val="left"/>
      </w:pPr>
      <w:r>
        <w:rPr/>
        <w:t>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jc w:val="left"/>
      </w:pPr>
      <w:r>
        <w:rPr/>
        <w:t>二、磋商小组应对供应商已标价工程量清单进行算术性复核，如果出现下列不一致的，按以下原则进行修正：</w:t>
      </w:r>
    </w:p>
    <w:p>
      <w:pPr>
        <w:pStyle w:val="null3"/>
        <w:ind w:firstLine="480"/>
        <w:jc w:val="left"/>
      </w:pPr>
      <w:r>
        <w:rPr/>
        <w:t>（一）报价大写金额和小写金额不一致的，以大写金额为准。但大写金额文字存在错误的，应当先对大写金额的文字错误进行澄清、说明或者更正，再行修正。</w:t>
      </w:r>
    </w:p>
    <w:p>
      <w:pPr>
        <w:pStyle w:val="null3"/>
        <w:ind w:firstLine="480"/>
        <w:jc w:val="left"/>
      </w:pPr>
      <w:r>
        <w:rPr/>
        <w:t>（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jc w:val="left"/>
      </w:pPr>
      <w:r>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t>三、在符合性审查过程中，如果出现磋商小组成员意见不一致的情况，按照少数服从多数的原则确定，但不得违背政府采购基本原则和磋商文件规定。</w:t>
      </w:r>
    </w:p>
    <w:p>
      <w:pPr>
        <w:pStyle w:val="null3"/>
        <w:ind w:firstLine="480"/>
        <w:jc w:val="left"/>
      </w:pPr>
      <w:r>
        <w:rPr/>
        <w:t>符合性审查标准见下表（按以下顺序审查）：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响应文件封面 无行贿犯罪记录的承诺函 强制、优先采购产品承诺函 投标（响应）函 所需的承诺函</w:t>
            </w:r>
          </w:p>
        </w:tc>
      </w:tr>
      <w:tr>
        <w:tc>
          <w:tcPr>
            <w:tcW w:type="dxa" w:w="581"/>
          </w:tcPr>
          <w:p>
            <w:pPr>
              <w:pStyle w:val="null3"/>
              <w:jc w:val="center"/>
            </w:pPr>
            <w:r>
              <w:rPr/>
              <w:t>2</w:t>
            </w:r>
          </w:p>
        </w:tc>
        <w:tc>
          <w:tcPr>
            <w:tcW w:type="dxa" w:w="2492"/>
          </w:tcPr>
          <w:p>
            <w:pPr>
              <w:pStyle w:val="null3"/>
              <w:jc w:val="left"/>
            </w:pPr>
            <w:r>
              <w:rPr/>
              <w:t>符合性审查</w:t>
            </w:r>
          </w:p>
        </w:tc>
        <w:tc>
          <w:tcPr>
            <w:tcW w:type="dxa" w:w="3322"/>
          </w:tcPr>
          <w:p>
            <w:pPr>
              <w:pStyle w:val="null3"/>
              <w:jc w:val="left"/>
            </w:pPr>
            <w:r>
              <w:rPr/>
              <w:t>满足磋商文件其他实质性要求</w:t>
            </w:r>
          </w:p>
        </w:tc>
        <w:tc>
          <w:tcPr>
            <w:tcW w:type="dxa" w:w="1910"/>
          </w:tcPr>
          <w:p>
            <w:pPr>
              <w:pStyle w:val="null3"/>
              <w:jc w:val="left"/>
            </w:pPr>
            <w:r>
              <w:rPr/>
              <w:t>技术服务合同条款及其他商务要求应答表 其他相关材料</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jc w:val="left"/>
      </w:pPr>
      <w:r>
        <w:rPr/>
        <w:t>三、磋商小组可以根据磋商文件和磋商情况实质性变动第三章“技术、服务及其他要求”、第七章“拟签订采购合同文本”，但不得变动磋商文件中的其他内容。实质性变动的内容，须经采购人代表确认。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（五）供应商最后报价采用总价进行报价，报出价格不得超过首次报价。</w:t>
      </w:r>
    </w:p>
    <w:p>
      <w:pPr>
        <w:pStyle w:val="null3"/>
        <w:ind w:firstLine="480"/>
        <w:jc w:val="left"/>
      </w:pPr>
      <w:r>
        <w:rPr/>
        <w:t>六、最后报价出现下列情况的，不需要供应商澄清，按以下原则处理：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同时出现两种以上不一致的，按照前款规定的顺序修正。修正后的最后报价经加盖供应商（法定名称）电子印章后产生约束力，供应商不确认的，作无效响应处理。</w:t>
      </w:r>
    </w:p>
    <w:p>
      <w:pPr>
        <w:pStyle w:val="null3"/>
        <w:ind w:firstLine="480"/>
        <w:jc w:val="left"/>
      </w:pPr>
      <w:r>
        <w:rPr/>
        <w:t>七、在评审过程中，磋商小组认为供应商响应报价明显低于其他通过符合性审查供应商的响应报价，有可能影响产品质量或者不能诚信履约的，磋商小组应当要求其在合理的时间内通过交易系统进行书面说明、提交相关证明材料，并加盖电子签章。供应商拒绝或者变相拒绝提供有效书面说明或者书面说明不能证明其报价合理性的，磋商小组应当将其响应文件作为无效响应处理。（注：供应商报价低于最高限价85%或者低于其他有效供应商报价算术平均价90%的，磋商小组可以认为该供应商“报价明显低于其他实质性响应的供应商报价”。）</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施工组织设计</w:t>
      </w:r>
      <w:r>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个供应商获得成交供应商推荐资格，其他同品牌供应商不作为成交候选供应商。</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审查、符合性审查、对响应文件作无效响应处理的及其他需要共同认定的事项存在争议的，应当以少数服从多数的原则作出结论，但不得违背法律法规和磋商文件规定。有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ind w:firstLine="480"/>
        <w:jc w:val="left"/>
      </w:pPr>
      <w:r>
        <w:rPr/>
        <w:t>磋商小组成员应当按照客观、公正、审慎的原则，根据磋商文件规定的评审程序、评审方法和评审标准进行独立评审。</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b/>
          <w:sz w:val="24"/>
        </w:rPr>
        <w:t>5.4.2.评审细则及标准</w:t>
      </w:r>
    </w:p>
    <w:p>
      <w:pPr>
        <w:pStyle w:val="null3"/>
        <w:jc w:val="left"/>
        <w:outlineLvl w:val="3"/>
      </w:pPr>
      <w:r>
        <w:rPr>
          <w:b/>
          <w:sz w:val="24"/>
        </w:rPr>
        <w:t>详细评审</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详细评审50.00分</w:t>
            </w:r>
          </w:p>
          <w:p>
            <w:pPr>
              <w:pStyle w:val="null3"/>
              <w:jc w:val="left"/>
            </w:pPr>
            <w:r>
              <w:rPr/>
              <w:t>报价得分50.00分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jc w:val="left"/>
            </w:pPr>
            <w:r>
              <w:rPr/>
              <w:t>详细评审</w:t>
            </w:r>
          </w:p>
        </w:tc>
        <w:tc>
          <w:tcPr>
            <w:tcW w:type="dxa" w:w="1661"/>
          </w:tcPr>
          <w:p>
            <w:pPr>
              <w:pStyle w:val="null3"/>
              <w:jc w:val="left"/>
            </w:pPr>
            <w:r>
              <w:rPr/>
              <w:t>施工组织设计</w:t>
            </w:r>
          </w:p>
        </w:tc>
        <w:tc>
          <w:tcPr>
            <w:tcW w:type="dxa" w:w="2492"/>
          </w:tcPr>
          <w:p>
            <w:pPr>
              <w:pStyle w:val="null3"/>
              <w:jc w:val="left"/>
            </w:pPr>
            <w:r>
              <w:rPr/>
              <w:t>供应商提供的施工组织设计方案包含进度计划、质量保证措施、安全保证措施、资源配置计划、环保文明措施、应急预案、施工工艺内容且响应磋商文件的得35分，每缺少一项内容扣5分，每有一处内容缺陷扣2分，至本小项扣完为之。（内容缺陷指：项目名称、实施地点、涉及的规范、标准与本项目要求不一致、涉及的内容不完善（仅有标题或框架）、与本项目无关的描述）。</w:t>
            </w:r>
          </w:p>
        </w:tc>
        <w:tc>
          <w:tcPr>
            <w:tcW w:type="dxa" w:w="831"/>
          </w:tcPr>
          <w:p>
            <w:pPr>
              <w:pStyle w:val="null3"/>
              <w:jc w:val="right"/>
            </w:pPr>
            <w:r>
              <w:rPr/>
              <w:t>35.00</w:t>
            </w:r>
          </w:p>
        </w:tc>
        <w:tc>
          <w:tcPr>
            <w:tcW w:type="dxa" w:w="831"/>
          </w:tcPr>
          <w:p>
            <w:pPr>
              <w:pStyle w:val="null3"/>
              <w:jc w:val="left"/>
            </w:pPr>
            <w:r>
              <w:rPr/>
              <w:t>主观</w:t>
            </w:r>
          </w:p>
        </w:tc>
        <w:tc>
          <w:tcPr>
            <w:tcW w:type="dxa" w:w="1661"/>
          </w:tcPr>
          <w:p>
            <w:pPr>
              <w:pStyle w:val="null3"/>
              <w:jc w:val="left"/>
            </w:pPr>
            <w:r>
              <w:rPr/>
              <w:t>需提供的方案</w:t>
            </w:r>
          </w:p>
        </w:tc>
      </w:tr>
      <w:tr>
        <w:tc>
          <w:tcPr>
            <w:tcW w:type="dxa" w:w="831"/>
            <w:vMerge/>
          </w:tcPr>
          <w:p/>
        </w:tc>
        <w:tc>
          <w:tcPr>
            <w:tcW w:type="dxa" w:w="1661"/>
          </w:tcPr>
          <w:p>
            <w:pPr>
              <w:pStyle w:val="null3"/>
              <w:jc w:val="left"/>
            </w:pPr>
            <w:r>
              <w:rPr/>
              <w:t>业绩</w:t>
            </w:r>
          </w:p>
        </w:tc>
        <w:tc>
          <w:tcPr>
            <w:tcW w:type="dxa" w:w="2492"/>
          </w:tcPr>
          <w:p>
            <w:pPr>
              <w:pStyle w:val="null3"/>
              <w:jc w:val="left"/>
            </w:pPr>
            <w:r>
              <w:rPr/>
              <w:t>供应商2021年1月1日（含1日）以来具有一个已完成类似（净化和防辐射）实验室项目业绩，每提供1个业绩得3分，最多得15分。（提供施工合同复印件和竣工验收报告复印件。）</w:t>
            </w:r>
          </w:p>
        </w:tc>
        <w:tc>
          <w:tcPr>
            <w:tcW w:type="dxa" w:w="831"/>
          </w:tcPr>
          <w:p>
            <w:pPr>
              <w:pStyle w:val="null3"/>
              <w:jc w:val="right"/>
            </w:pPr>
            <w:r>
              <w:rPr/>
              <w:t>15.00</w:t>
            </w:r>
          </w:p>
        </w:tc>
        <w:tc>
          <w:tcPr>
            <w:tcW w:type="dxa" w:w="831"/>
          </w:tcPr>
          <w:p>
            <w:pPr>
              <w:pStyle w:val="null3"/>
              <w:jc w:val="left"/>
            </w:pPr>
            <w:r>
              <w:rPr/>
              <w:t>客观</w:t>
            </w:r>
          </w:p>
        </w:tc>
        <w:tc>
          <w:tcPr>
            <w:tcW w:type="dxa" w:w="1661"/>
          </w:tcPr>
          <w:p>
            <w:pPr>
              <w:pStyle w:val="null3"/>
              <w:jc w:val="left"/>
            </w:pPr>
            <w:r>
              <w:rPr/>
              <w:t>供应商类似项目业绩一览表</w:t>
            </w:r>
          </w:p>
        </w:tc>
      </w:tr>
      <w:tr>
        <w:tc>
          <w:tcPr>
            <w:tcW w:type="dxa" w:w="831"/>
          </w:tcPr>
          <w:p>
            <w:pPr>
              <w:pStyle w:val="null3"/>
              <w:jc w:val="left"/>
            </w:pPr>
            <w:r>
              <w:rPr/>
              <w:t>价格分</w:t>
            </w:r>
          </w:p>
        </w:tc>
        <w:tc>
          <w:tcPr>
            <w:tcW w:type="dxa" w:w="1661"/>
          </w:tcPr>
          <w:p>
            <w:pPr>
              <w:pStyle w:val="null3"/>
              <w:jc w:val="left"/>
            </w:pPr>
            <w:r>
              <w:rPr/>
              <w:t>放射性药物研究中心装修改造工程</w:t>
            </w:r>
          </w:p>
        </w:tc>
        <w:tc>
          <w:tcPr>
            <w:tcW w:type="dxa" w:w="2492"/>
          </w:tcPr>
          <w:p>
            <w:pPr>
              <w:pStyle w:val="null3"/>
              <w:jc w:val="left"/>
            </w:pPr>
            <w:r>
              <w:rPr/>
              <w:t>1、评审价格=响应报价。2、经价格调整后的评审价格=响应报价×（1-价格调整比例）3、基准价=经价格调整后评审价格的最低值。1. 经磋商小组评审，通过资格和符合性审查，且响应报价最低的供应商的响应报价作为评审基准价。2.响应报价得分=(评审基准价／响应报价)×分值。</w:t>
            </w:r>
          </w:p>
        </w:tc>
        <w:tc>
          <w:tcPr>
            <w:tcW w:type="dxa" w:w="831"/>
          </w:tcPr>
          <w:p>
            <w:pPr>
              <w:pStyle w:val="null3"/>
              <w:jc w:val="right"/>
            </w:pPr>
            <w:r>
              <w:rPr/>
              <w:t>50.00</w:t>
            </w:r>
          </w:p>
        </w:tc>
        <w:tc>
          <w:tcPr>
            <w:tcW w:type="dxa" w:w="831"/>
          </w:tcPr>
          <w:p>
            <w:pPr>
              <w:pStyle w:val="null3"/>
              <w:jc w:val="left"/>
            </w:pPr>
            <w:r>
              <w:rPr/>
              <w:t>客观</w:t>
            </w:r>
          </w:p>
        </w:tc>
        <w:tc>
          <w:tcPr>
            <w:tcW w:type="dxa" w:w="1661"/>
          </w:tcPr>
          <w:p>
            <w:pPr>
              <w:pStyle w:val="null3"/>
              <w:jc w:val="left"/>
            </w:pPr>
            <w:r>
              <w:rPr/>
              <w:t>报价表</w:t>
            </w:r>
          </w:p>
          <w:p>
            <w:pPr>
              <w:pStyle w:val="null3"/>
              <w:jc w:val="left"/>
            </w:pPr>
            <w:r>
              <w:rPr/>
              <w:t>已标价工程量清单</w:t>
            </w:r>
          </w:p>
        </w:tc>
      </w:tr>
      <w:tr>
        <w:tc>
          <w:tcPr>
            <w:tcW w:type="dxa" w:w="831"/>
            <w:vMerge w:val="restart"/>
          </w:tcPr>
          <w:p>
            <w:pPr>
              <w:pStyle w:val="null3"/>
              <w:jc w:val="left"/>
            </w:pPr>
            <w:r>
              <w:rPr/>
              <w:t>优先采购评审</w:t>
            </w:r>
          </w:p>
        </w:tc>
        <w:tc>
          <w:tcPr>
            <w:tcW w:type="dxa" w:w="1661"/>
          </w:tcPr>
          <w:p>
            <w:pPr>
              <w:pStyle w:val="null3"/>
              <w:jc w:val="left"/>
            </w:pPr>
            <w:r>
              <w:rPr/>
              <w:t>优先采购节能产品</w:t>
            </w:r>
          </w:p>
        </w:tc>
        <w:tc>
          <w:tcPr>
            <w:tcW w:type="dxa" w:w="2492"/>
          </w:tcPr>
          <w:p>
            <w:pPr>
              <w:pStyle w:val="null3"/>
              <w:jc w:val="left"/>
            </w:pPr>
            <w:r>
              <w:rPr/>
              <w:t>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w:t>
            </w:r>
          </w:p>
        </w:tc>
        <w:tc>
          <w:tcPr>
            <w:tcW w:type="dxa" w:w="831"/>
          </w:tcPr>
          <w:p>
            <w:pPr>
              <w:pStyle w:val="null3"/>
              <w:jc w:val="right"/>
            </w:pPr>
            <w:r>
              <w:rPr/>
              <w:t>0.00</w:t>
            </w:r>
          </w:p>
        </w:tc>
        <w:tc>
          <w:tcPr>
            <w:tcW w:type="dxa" w:w="831"/>
          </w:tcPr>
          <w:p>
            <w:pPr>
              <w:pStyle w:val="null3"/>
              <w:jc w:val="left"/>
            </w:pPr>
            <w:r>
              <w:rPr/>
              <w:t>主观</w:t>
            </w:r>
          </w:p>
        </w:tc>
        <w:tc>
          <w:tcPr>
            <w:tcW w:type="dxa" w:w="1661"/>
          </w:tcPr>
          <w:p>
            <w:pPr>
              <w:pStyle w:val="null3"/>
              <w:jc w:val="left"/>
            </w:pPr>
            <w:r>
              <w:rPr/>
              <w:t>其他相关材料</w:t>
            </w:r>
          </w:p>
        </w:tc>
      </w:tr>
      <w:tr>
        <w:tc>
          <w:tcPr>
            <w:tcW w:type="dxa" w:w="831"/>
            <w:vMerge/>
          </w:tcPr>
          <w:p/>
        </w:tc>
        <w:tc>
          <w:tcPr>
            <w:tcW w:type="dxa" w:w="1661"/>
          </w:tcPr>
          <w:p>
            <w:pPr>
              <w:pStyle w:val="null3"/>
              <w:jc w:val="left"/>
            </w:pPr>
            <w:r>
              <w:rPr/>
              <w:t>优先采购环境标志产品</w:t>
            </w:r>
          </w:p>
        </w:tc>
        <w:tc>
          <w:tcPr>
            <w:tcW w:type="dxa" w:w="2492"/>
          </w:tcPr>
          <w:p>
            <w:pPr>
              <w:pStyle w:val="null3"/>
              <w:jc w:val="left"/>
            </w:pPr>
            <w:r>
              <w:rPr/>
              <w:t>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w:t>
            </w:r>
          </w:p>
        </w:tc>
        <w:tc>
          <w:tcPr>
            <w:tcW w:type="dxa" w:w="831"/>
          </w:tcPr>
          <w:p>
            <w:pPr>
              <w:pStyle w:val="null3"/>
              <w:jc w:val="right"/>
            </w:pPr>
            <w:r>
              <w:rPr/>
              <w:t>0.00</w:t>
            </w:r>
          </w:p>
        </w:tc>
        <w:tc>
          <w:tcPr>
            <w:tcW w:type="dxa" w:w="831"/>
          </w:tcPr>
          <w:p>
            <w:pPr>
              <w:pStyle w:val="null3"/>
              <w:jc w:val="left"/>
            </w:pPr>
            <w:r>
              <w:rPr/>
              <w:t>主观</w:t>
            </w:r>
          </w:p>
        </w:tc>
        <w:tc>
          <w:tcPr>
            <w:tcW w:type="dxa" w:w="1661"/>
          </w:tcPr>
          <w:p>
            <w:pPr>
              <w:pStyle w:val="null3"/>
              <w:jc w:val="left"/>
            </w:pPr>
            <w:r>
              <w:rPr/>
              <w:t>其他相关材料</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outlineLvl w:val="3"/>
      </w:pPr>
      <w:r>
        <w:rPr>
          <w:b/>
          <w:sz w:val="24"/>
        </w:rPr>
        <w:t>价格评审</w:t>
      </w:r>
    </w:p>
    <w:p>
      <w:pPr>
        <w:pStyle w:val="null3"/>
      </w:pPr>
      <w:r>
        <w:rPr/>
        <w:t>采购包1：</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pPr>
            <w:r>
              <w:rPr/>
              <w:t xml:space="preserve"> 序号</w:t>
            </w:r>
          </w:p>
        </w:tc>
        <w:tc>
          <w:tcPr>
            <w:tcW w:type="dxa" w:w="2076"/>
          </w:tcPr>
          <w:p>
            <w:pPr>
              <w:pStyle w:val="null3"/>
            </w:pPr>
            <w:r>
              <w:rPr/>
              <w:t xml:space="preserve"> 评审因素</w:t>
            </w:r>
          </w:p>
        </w:tc>
        <w:tc>
          <w:tcPr>
            <w:tcW w:type="dxa" w:w="2076"/>
          </w:tcPr>
          <w:p>
            <w:pPr>
              <w:pStyle w:val="null3"/>
            </w:pPr>
            <w:r>
              <w:rPr/>
              <w:t xml:space="preserve"> 评审标准</w:t>
            </w:r>
          </w:p>
        </w:tc>
        <w:tc>
          <w:tcPr>
            <w:tcW w:type="dxa" w:w="1038"/>
          </w:tcPr>
          <w:p>
            <w:pPr>
              <w:pStyle w:val="null3"/>
            </w:pPr>
            <w:r>
              <w:rPr/>
              <w:t xml:space="preserve"> 评审系数</w:t>
            </w:r>
          </w:p>
        </w:tc>
        <w:tc>
          <w:tcPr>
            <w:tcW w:type="dxa" w:w="2076"/>
          </w:tcPr>
          <w:p>
            <w:pPr>
              <w:pStyle w:val="null3"/>
            </w:pPr>
            <w:r>
              <w:rPr/>
              <w:t xml:space="preserve"> 关联格式</w:t>
            </w:r>
          </w:p>
        </w:tc>
      </w:tr>
      <w:tr>
        <w:tc>
          <w:tcPr>
            <w:tcW w:type="dxa" w:w="1038"/>
          </w:tcPr>
          <w:p>
            <w:pPr>
              <w:pStyle w:val="null3"/>
            </w:pPr>
            <w:r>
              <w:rPr/>
              <w:t>1</w:t>
            </w:r>
          </w:p>
        </w:tc>
        <w:tc>
          <w:tcPr>
            <w:tcW w:type="dxa" w:w="2076"/>
          </w:tcPr>
          <w:p>
            <w:pPr>
              <w:pStyle w:val="null3"/>
            </w:pPr>
            <w:r>
              <w:rPr/>
              <w:t>放射性药物研究中心装修改造工程</w:t>
            </w:r>
          </w:p>
        </w:tc>
        <w:tc>
          <w:tcPr>
            <w:tcW w:type="dxa" w:w="2076"/>
          </w:tcPr>
          <w:p>
            <w:pPr>
              <w:pStyle w:val="null3"/>
            </w:pPr>
            <w:r>
              <w:rPr/>
              <w:t>1、评审价格=响应报价。2、经价格调整后的评审价格=响应报价×（1-价格调整比例）3、基准价=经价格调整后评审价格的最低值。1. 经磋商小组评审，通过资格和符合性审查，且响应报价最低的供应商的响应报价作为评审基准价。2.响应报价得分=(评审基准价／响应报价)×分值。</w:t>
            </w:r>
          </w:p>
        </w:tc>
        <w:tc>
          <w:tcPr>
            <w:tcW w:type="dxa" w:w="1038"/>
          </w:tcPr>
          <w:p>
            <w:pPr>
              <w:pStyle w:val="null3"/>
              <w:jc w:val="right"/>
            </w:pPr>
            <w:r>
              <w:rPr/>
              <w:t>50.00%</w:t>
            </w:r>
          </w:p>
        </w:tc>
        <w:tc>
          <w:tcPr>
            <w:tcW w:type="dxa" w:w="2076"/>
          </w:tcPr>
          <w:p>
            <w:pPr>
              <w:pStyle w:val="null3"/>
            </w:pPr>
            <w:r>
              <w:rPr/>
              <w:t>已标价工程量清单 报价表</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559"/>
          </w:tcPr>
          <w:p>
            <w:pPr>
              <w:pStyle w:val="null3"/>
              <w:jc w:val="left"/>
            </w:pPr>
            <w:r>
              <w:rPr/>
              <w:t>1</w:t>
            </w:r>
          </w:p>
        </w:tc>
        <w:tc>
          <w:tcPr>
            <w:tcW w:type="dxa" w:w="2396"/>
          </w:tcPr>
          <w:p>
            <w:pPr>
              <w:pStyle w:val="null3"/>
              <w:jc w:val="left"/>
            </w:pPr>
            <w:r>
              <w:rPr/>
              <w:t>优先采购节能产品</w:t>
            </w:r>
          </w:p>
        </w:tc>
        <w:tc>
          <w:tcPr>
            <w:tcW w:type="dxa" w:w="2396"/>
          </w:tcPr>
          <w:p>
            <w:pPr>
              <w:pStyle w:val="null3"/>
              <w:jc w:val="left"/>
            </w:pPr>
            <w:r>
              <w:rPr/>
              <w:t>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w:t>
            </w:r>
          </w:p>
        </w:tc>
        <w:tc>
          <w:tcPr>
            <w:tcW w:type="dxa" w:w="2955"/>
          </w:tcPr>
          <w:p>
            <w:pPr>
              <w:pStyle w:val="null3"/>
              <w:jc w:val="left"/>
            </w:pPr>
            <w:r>
              <w:rPr/>
              <w:t>其他相关材料</w:t>
            </w:r>
          </w:p>
        </w:tc>
      </w:tr>
      <w:tr>
        <w:tc>
          <w:tcPr>
            <w:tcW w:type="dxa" w:w="559"/>
          </w:tcPr>
          <w:p>
            <w:pPr>
              <w:pStyle w:val="null3"/>
              <w:jc w:val="left"/>
            </w:pPr>
            <w:r>
              <w:rPr/>
              <w:t>2</w:t>
            </w:r>
          </w:p>
        </w:tc>
        <w:tc>
          <w:tcPr>
            <w:tcW w:type="dxa" w:w="2396"/>
          </w:tcPr>
          <w:p>
            <w:pPr>
              <w:pStyle w:val="null3"/>
              <w:jc w:val="left"/>
            </w:pPr>
            <w:r>
              <w:rPr/>
              <w:t>优先采购环境标志产品</w:t>
            </w:r>
          </w:p>
        </w:tc>
        <w:tc>
          <w:tcPr>
            <w:tcW w:type="dxa" w:w="2396"/>
          </w:tcPr>
          <w:p>
            <w:pPr>
              <w:pStyle w:val="null3"/>
              <w:jc w:val="left"/>
            </w:pPr>
            <w:r>
              <w:rPr/>
              <w:t>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w:t>
            </w:r>
          </w:p>
        </w:tc>
        <w:tc>
          <w:tcPr>
            <w:tcW w:type="dxa" w:w="2955"/>
          </w:tcPr>
          <w:p>
            <w:pPr>
              <w:pStyle w:val="null3"/>
              <w:jc w:val="left"/>
            </w:pPr>
            <w:r>
              <w:rPr/>
              <w:t>其他相关材料</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三、除《政府采购竞争性磋商采购方式管理暂行办法》第二十一条第三款规定的情形外，在采购过程中符合要求的供应商或者报价未超过采购预算的供应商不足3家的。</w:t>
      </w:r>
    </w:p>
    <w:p>
      <w:pPr>
        <w:pStyle w:val="null3"/>
        <w:jc w:val="left"/>
        <w:outlineLvl w:val="2"/>
      </w:pPr>
      <w:r>
        <w:rPr>
          <w:b/>
          <w:sz w:val="28"/>
        </w:rPr>
        <w:t>5.6.确定成交供应商</w:t>
      </w:r>
    </w:p>
    <w:p>
      <w:pPr>
        <w:pStyle w:val="null3"/>
        <w:jc w:val="left"/>
      </w:pPr>
      <w:r>
        <w:rPr/>
        <w:t>一、评审结束后，代理机构在评审结束之日起2个工作日内将磋商报告及有关资料送交采购人。</w:t>
      </w:r>
    </w:p>
    <w:p>
      <w:pPr>
        <w:pStyle w:val="null3"/>
        <w:jc w:val="left"/>
      </w:pPr>
      <w:r>
        <w:rPr/>
        <w:t>二、采购人在收到磋商报告后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t>三、根据采购人确定的成交供应商，代理机构在四川政府采购网上发布成交结果公告，同时向成交供应商发出成交通知书。</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详见附件：报价表</w:t>
      </w:r>
    </w:p>
    <w:p>
      <w:pPr>
        <w:pStyle w:val="null3"/>
        <w:ind w:firstLine="960"/>
        <w:jc w:val="left"/>
      </w:pPr>
      <w:r>
        <w:rPr/>
        <w:t>详见附件：已标价工程量清单</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详见附件：技术服务合同条款及其他商务要求应答表</w:t>
      </w:r>
    </w:p>
    <w:p>
      <w:pPr>
        <w:pStyle w:val="null3"/>
        <w:ind w:firstLine="960"/>
        <w:jc w:val="left"/>
      </w:pPr>
      <w:r>
        <w:rPr/>
        <w:t>详见附件：项目管理机构组成表</w:t>
      </w:r>
    </w:p>
    <w:p>
      <w:pPr>
        <w:pStyle w:val="null3"/>
        <w:ind w:firstLine="960"/>
        <w:jc w:val="left"/>
      </w:pPr>
      <w:r>
        <w:rPr/>
        <w:t>详见附件：强制、优先采购产品承诺函</w:t>
      </w:r>
    </w:p>
    <w:p>
      <w:pPr>
        <w:pStyle w:val="null3"/>
        <w:ind w:firstLine="960"/>
        <w:jc w:val="left"/>
      </w:pPr>
      <w:r>
        <w:rPr/>
        <w:t>详见附件：供应商提交的相关资格证明材料</w:t>
      </w:r>
    </w:p>
    <w:p>
      <w:pPr>
        <w:pStyle w:val="null3"/>
        <w:ind w:firstLine="960"/>
        <w:jc w:val="left"/>
      </w:pPr>
      <w:r>
        <w:rPr/>
        <w:t>详见附件：企业资质信息表</w:t>
      </w:r>
    </w:p>
    <w:p>
      <w:pPr>
        <w:pStyle w:val="null3"/>
        <w:ind w:firstLine="960"/>
        <w:jc w:val="left"/>
      </w:pPr>
      <w:r>
        <w:rPr/>
        <w:t>详见附件：供应商类似项目业绩一览表</w:t>
      </w:r>
    </w:p>
    <w:p>
      <w:pPr>
        <w:pStyle w:val="null3"/>
        <w:ind w:firstLine="960"/>
        <w:jc w:val="left"/>
      </w:pPr>
      <w:r>
        <w:rPr/>
        <w:t>详见附件：主要人员简历表</w:t>
      </w:r>
    </w:p>
    <w:p>
      <w:pPr>
        <w:pStyle w:val="null3"/>
        <w:ind w:firstLine="960"/>
        <w:jc w:val="left"/>
      </w:pPr>
      <w:r>
        <w:rPr/>
        <w:t>详见附件：无行贿犯罪记录的承诺函</w:t>
      </w:r>
    </w:p>
    <w:p>
      <w:pPr>
        <w:pStyle w:val="null3"/>
        <w:ind w:firstLine="960"/>
        <w:jc w:val="left"/>
      </w:pPr>
      <w:r>
        <w:rPr/>
        <w:t>详见附件：需提供的方案</w:t>
      </w:r>
    </w:p>
    <w:p>
      <w:pPr>
        <w:pStyle w:val="null3"/>
        <w:ind w:firstLine="960"/>
        <w:jc w:val="left"/>
      </w:pPr>
      <w:r>
        <w:rPr/>
        <w:t>详见附件：所需的承诺函</w:t>
      </w:r>
    </w:p>
    <w:p>
      <w:pPr>
        <w:pStyle w:val="null3"/>
        <w:ind w:firstLine="960"/>
        <w:jc w:val="left"/>
      </w:pPr>
      <w:r>
        <w:rPr/>
        <w:t>详见附件：其他相关材料</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（工程类）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根据《中华人民共和国政府采购法》、《中华人民共和国民法典》、《中华人民共和国建筑法》及</w:t>
      </w:r>
      <w:r>
        <w:rPr/>
        <w:t>________</w:t>
      </w:r>
      <w:r>
        <w:rPr/>
        <w:t>采购项目（项目编号：</w:t>
      </w:r>
      <w:r>
        <w:rPr/>
        <w:t>________</w:t>
      </w:r>
      <w:r>
        <w:rPr/>
        <w:t>）的</w:t>
      </w:r>
      <w:r>
        <w:rPr/>
        <w:t>《磋商文件》</w:t>
      </w:r>
      <w:r>
        <w:rPr/>
        <w:t>、乙方的响应文件及成交通知书，甲、乙双方同意签订本合同。</w:t>
      </w:r>
    </w:p>
    <w:p>
      <w:pPr>
        <w:pStyle w:val="null3"/>
        <w:jc w:val="left"/>
        <w:outlineLvl w:val="2"/>
      </w:pPr>
      <w:r>
        <w:rPr>
          <w:b/>
          <w:sz w:val="28"/>
        </w:rPr>
        <w:t xml:space="preserve"> 一、工程概况</w:t>
      </w:r>
    </w:p>
    <w:p>
      <w:pPr>
        <w:pStyle w:val="null3"/>
        <w:jc w:val="left"/>
      </w:pPr>
      <w:r>
        <w:rPr/>
        <w:t xml:space="preserve"> 1.工程名称：</w:t>
      </w:r>
      <w:r>
        <w:rPr/>
        <w:t>_________________________</w:t>
      </w:r>
    </w:p>
    <w:p>
      <w:pPr>
        <w:pStyle w:val="null3"/>
        <w:jc w:val="left"/>
      </w:pPr>
      <w:r>
        <w:rPr/>
        <w:t xml:space="preserve"> 2.工程地点：</w:t>
      </w:r>
      <w:r>
        <w:rPr/>
        <w:t>_________________________</w:t>
      </w:r>
    </w:p>
    <w:p>
      <w:pPr>
        <w:pStyle w:val="null3"/>
        <w:jc w:val="left"/>
      </w:pPr>
      <w:r>
        <w:rPr/>
        <w:t xml:space="preserve"> 3.项目编号：</w:t>
      </w:r>
      <w:r>
        <w:rPr/>
        <w:t>_________________________</w:t>
      </w:r>
    </w:p>
    <w:p>
      <w:pPr>
        <w:pStyle w:val="null3"/>
        <w:jc w:val="left"/>
      </w:pPr>
      <w:r>
        <w:rPr/>
        <w:t xml:space="preserve"> 4.工程内容、规模及承包范围</w:t>
      </w:r>
    </w:p>
    <w:p>
      <w:pPr>
        <w:pStyle w:val="null3"/>
        <w:jc w:val="left"/>
      </w:pPr>
      <w:r>
        <w:br/>
      </w:r>
    </w:p>
    <w:p>
      <w:pPr>
        <w:pStyle w:val="null3"/>
        <w:jc w:val="left"/>
        <w:outlineLvl w:val="2"/>
      </w:pPr>
      <w:r>
        <w:rPr>
          <w:b/>
          <w:sz w:val="28"/>
        </w:rPr>
        <w:t xml:space="preserve"> 二、合同工期</w:t>
      </w:r>
    </w:p>
    <w:p>
      <w:pPr>
        <w:pStyle w:val="null3"/>
        <w:jc w:val="left"/>
      </w:pPr>
      <w:r>
        <w:rPr/>
        <w:t>计划开工日期：年 月 日</w:t>
      </w:r>
    </w:p>
    <w:p>
      <w:pPr>
        <w:pStyle w:val="null3"/>
        <w:jc w:val="left"/>
      </w:pPr>
      <w:r>
        <w:rPr/>
        <w:t>计划竣工日期：年 月 日</w:t>
      </w:r>
    </w:p>
    <w:p>
      <w:pPr>
        <w:pStyle w:val="null3"/>
        <w:jc w:val="left"/>
      </w:pPr>
      <w:r>
        <w:rPr/>
        <w:t>工期总日历天数： 天。工期总日历天数与根据前述计划开竣工日期计算的工期天数不一致的，以工期总日历天数为准</w:t>
      </w:r>
    </w:p>
    <w:p>
      <w:pPr>
        <w:pStyle w:val="null3"/>
        <w:jc w:val="left"/>
        <w:outlineLvl w:val="2"/>
      </w:pPr>
      <w:r>
        <w:rPr>
          <w:b/>
          <w:sz w:val="28"/>
        </w:rPr>
        <w:t xml:space="preserve"> 三、质量标准和规范</w:t>
      </w:r>
    </w:p>
    <w:p>
      <w:pPr>
        <w:pStyle w:val="null3"/>
        <w:jc w:val="left"/>
      </w:pPr>
      <w:r>
        <w:rPr/>
        <w:t>1.该工程质量符合标准：</w:t>
      </w:r>
    </w:p>
    <w:p>
      <w:pPr>
        <w:pStyle w:val="null3"/>
        <w:jc w:val="left"/>
      </w:pPr>
      <w:r>
        <w:rPr/>
        <w:t>2.采购人对工程的技术标准和功能要求的特殊要求：</w:t>
      </w:r>
    </w:p>
    <w:p>
      <w:pPr>
        <w:pStyle w:val="null3"/>
        <w:jc w:val="left"/>
        <w:outlineLvl w:val="2"/>
      </w:pPr>
      <w:r>
        <w:rPr>
          <w:b/>
          <w:sz w:val="28"/>
        </w:rPr>
        <w:t xml:space="preserve"> 四、签约合同价与合同价格形式</w:t>
      </w:r>
    </w:p>
    <w:p>
      <w:pPr>
        <w:pStyle w:val="null3"/>
        <w:jc w:val="left"/>
      </w:pPr>
      <w:r>
        <w:rPr/>
        <w:t>1.签约合同价为人民币（大写）</w:t>
      </w:r>
      <w:r>
        <w:rPr/>
        <w:t>________</w:t>
      </w:r>
      <w:r>
        <w:rPr/>
        <w:t>（小写金额：</w:t>
      </w:r>
      <w:r>
        <w:rPr/>
        <w:t>________</w:t>
      </w:r>
      <w:r>
        <w:rPr/>
        <w:t>元）；</w:t>
      </w:r>
    </w:p>
    <w:p>
      <w:pPr>
        <w:pStyle w:val="null3"/>
        <w:jc w:val="left"/>
      </w:pPr>
      <w:r>
        <w:rPr/>
        <w:t>其中：</w:t>
      </w:r>
    </w:p>
    <w:p>
      <w:pPr>
        <w:pStyle w:val="null3"/>
        <w:jc w:val="left"/>
      </w:pPr>
      <w:r>
        <w:rPr/>
        <w:t>（1）安全文明施工费：</w:t>
      </w:r>
    </w:p>
    <w:p>
      <w:pPr>
        <w:pStyle w:val="null3"/>
        <w:jc w:val="left"/>
      </w:pPr>
      <w:r>
        <w:rPr/>
        <w:t>人民币（大写）： (¥元)；</w:t>
      </w:r>
    </w:p>
    <w:p>
      <w:pPr>
        <w:pStyle w:val="null3"/>
        <w:jc w:val="left"/>
      </w:pPr>
      <w:r>
        <w:rPr/>
        <w:t>（2）材料和工程设备暂估价金额：</w:t>
      </w:r>
    </w:p>
    <w:p>
      <w:pPr>
        <w:pStyle w:val="null3"/>
        <w:jc w:val="left"/>
      </w:pPr>
      <w:r>
        <w:rPr/>
        <w:t>人民币（大写）： (¥元)；</w:t>
      </w:r>
    </w:p>
    <w:p>
      <w:pPr>
        <w:pStyle w:val="null3"/>
        <w:jc w:val="left"/>
      </w:pPr>
      <w:r>
        <w:rPr/>
        <w:t>（3）专业工程暂估价金额：</w:t>
      </w:r>
    </w:p>
    <w:p>
      <w:pPr>
        <w:pStyle w:val="null3"/>
        <w:jc w:val="left"/>
      </w:pPr>
      <w:r>
        <w:rPr/>
        <w:t>人民币（大写）： (¥元)；</w:t>
      </w:r>
    </w:p>
    <w:p>
      <w:pPr>
        <w:pStyle w:val="null3"/>
        <w:jc w:val="left"/>
      </w:pPr>
      <w:r>
        <w:rPr/>
        <w:t>（4）暂列金额：</w:t>
      </w:r>
    </w:p>
    <w:p>
      <w:pPr>
        <w:pStyle w:val="null3"/>
        <w:jc w:val="left"/>
      </w:pPr>
      <w:r>
        <w:rPr/>
        <w:t>人民币（大写）： (¥元)；</w:t>
      </w:r>
    </w:p>
    <w:p>
      <w:pPr>
        <w:pStyle w:val="null3"/>
        <w:jc w:val="left"/>
      </w:pPr>
      <w:r>
        <w:rPr/>
        <w:t>2.合同定价方式：</w:t>
      </w:r>
    </w:p>
    <w:p>
      <w:pPr>
        <w:pStyle w:val="null3"/>
        <w:jc w:val="left"/>
      </w:pPr>
      <w:r>
        <w:rPr/>
        <w:t>3.付款进度安排及资金支付方式：</w:t>
      </w:r>
    </w:p>
    <w:p>
      <w:pPr>
        <w:pStyle w:val="null3"/>
        <w:jc w:val="left"/>
      </w:pPr>
      <w:r>
        <w:br/>
      </w:r>
    </w:p>
    <w:p>
      <w:pPr>
        <w:pStyle w:val="null3"/>
        <w:jc w:val="left"/>
        <w:outlineLvl w:val="2"/>
      </w:pPr>
      <w:r>
        <w:rPr>
          <w:b/>
          <w:sz w:val="28"/>
        </w:rPr>
        <w:t xml:space="preserve"> 五、项目经理</w:t>
      </w:r>
    </w:p>
    <w:p>
      <w:pPr>
        <w:pStyle w:val="null3"/>
        <w:jc w:val="left"/>
      </w:pPr>
      <w:r>
        <w:rPr/>
        <w:t>姓名：</w:t>
      </w:r>
    </w:p>
    <w:p>
      <w:pPr>
        <w:pStyle w:val="null3"/>
        <w:jc w:val="left"/>
      </w:pPr>
      <w:r>
        <w:rPr/>
        <w:t>证书名称：</w:t>
      </w:r>
    </w:p>
    <w:p>
      <w:pPr>
        <w:pStyle w:val="null3"/>
        <w:jc w:val="left"/>
      </w:pPr>
      <w:r>
        <w:rPr/>
        <w:t>证书编号：</w:t>
      </w:r>
    </w:p>
    <w:p>
      <w:pPr>
        <w:pStyle w:val="null3"/>
        <w:jc w:val="left"/>
      </w:pPr>
      <w:r>
        <w:rPr/>
        <w:t>证书专业：</w:t>
      </w:r>
    </w:p>
    <w:p>
      <w:pPr>
        <w:pStyle w:val="null3"/>
        <w:jc w:val="left"/>
        <w:outlineLvl w:val="2"/>
      </w:pPr>
      <w:r>
        <w:rPr>
          <w:b/>
          <w:sz w:val="28"/>
        </w:rPr>
        <w:t xml:space="preserve"> 六、合同文件构成</w:t>
      </w:r>
    </w:p>
    <w:p>
      <w:pPr>
        <w:pStyle w:val="null3"/>
        <w:jc w:val="left"/>
      </w:pPr>
      <w:r>
        <w:rPr/>
        <w:t>本协议书与下列文件一起构成合同文件：</w:t>
      </w:r>
    </w:p>
    <w:p>
      <w:pPr>
        <w:pStyle w:val="null3"/>
        <w:jc w:val="left"/>
      </w:pPr>
      <w:r>
        <w:rPr/>
        <w:t>（1）中标(成交)通知书；</w:t>
      </w:r>
    </w:p>
    <w:p>
      <w:pPr>
        <w:pStyle w:val="null3"/>
        <w:jc w:val="left"/>
      </w:pPr>
      <w:r>
        <w:rPr/>
        <w:t>（2）材料和工程设备暂估价金额：</w:t>
      </w:r>
    </w:p>
    <w:p>
      <w:pPr>
        <w:pStyle w:val="null3"/>
        <w:jc w:val="left"/>
      </w:pPr>
      <w:r>
        <w:rPr/>
        <w:t>（3）通用合同条款；</w:t>
      </w:r>
    </w:p>
    <w:p>
      <w:pPr>
        <w:pStyle w:val="null3"/>
        <w:jc w:val="left"/>
      </w:pPr>
      <w:r>
        <w:rPr/>
        <w:t>（4）采购文件；</w:t>
      </w:r>
    </w:p>
    <w:p>
      <w:pPr>
        <w:pStyle w:val="null3"/>
        <w:jc w:val="left"/>
      </w:pPr>
      <w:r>
        <w:rPr/>
        <w:t>（5）投标(响应)文件；</w:t>
      </w:r>
    </w:p>
    <w:p>
      <w:pPr>
        <w:pStyle w:val="null3"/>
        <w:jc w:val="left"/>
      </w:pPr>
      <w:r>
        <w:rPr/>
        <w:t>（6）暂列金额：</w:t>
      </w:r>
    </w:p>
    <w:p>
      <w:pPr>
        <w:pStyle w:val="null3"/>
        <w:jc w:val="left"/>
      </w:pPr>
      <w:r>
        <w:rPr/>
        <w:t>（7）评审报告；</w:t>
      </w:r>
    </w:p>
    <w:p>
      <w:pPr>
        <w:pStyle w:val="null3"/>
        <w:jc w:val="left"/>
      </w:pPr>
      <w:r>
        <w:rPr/>
        <w:t>（8）技术标准和要求；</w:t>
      </w:r>
    </w:p>
    <w:p>
      <w:pPr>
        <w:pStyle w:val="null3"/>
        <w:jc w:val="left"/>
      </w:pPr>
      <w:r>
        <w:rPr/>
        <w:t>（9）图纸；</w:t>
      </w:r>
    </w:p>
    <w:p>
      <w:pPr>
        <w:pStyle w:val="null3"/>
        <w:jc w:val="left"/>
      </w:pPr>
      <w:r>
        <w:rPr/>
        <w:t>（10）已标价工程量清单或预算书；</w:t>
      </w:r>
    </w:p>
    <w:p>
      <w:pPr>
        <w:pStyle w:val="null3"/>
        <w:jc w:val="left"/>
      </w:pPr>
      <w:r>
        <w:rPr/>
        <w:t>（11）其他合同文件。</w:t>
      </w:r>
    </w:p>
    <w:p>
      <w:pPr>
        <w:pStyle w:val="null3"/>
        <w:jc w:val="left"/>
      </w:pPr>
      <w:r>
        <w:rPr/>
        <w:t>在合同订立及履行过程中形成的与合同有关的文件均构成合同文件组成部分。</w:t>
      </w:r>
    </w:p>
    <w:p>
      <w:pPr>
        <w:pStyle w:val="null3"/>
        <w:jc w:val="left"/>
      </w:pPr>
      <w:r>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b/>
          <w:sz w:val="28"/>
        </w:rPr>
        <w:t xml:space="preserve"> 七、承诺</w:t>
      </w:r>
    </w:p>
    <w:p>
      <w:pPr>
        <w:pStyle w:val="null3"/>
        <w:jc w:val="left"/>
      </w:pPr>
      <w:r>
        <w:rPr/>
        <w:t>1.甲方承诺按照法律规定履行项目审批手续、筹集工程建设资金并按照合同约定的期限和方式支付合同价款。</w:t>
      </w:r>
    </w:p>
    <w:p>
      <w:pPr>
        <w:pStyle w:val="null3"/>
        <w:jc w:val="left"/>
      </w:pPr>
      <w:r>
        <w:rPr/>
        <w:t>2.乙方承诺按照法律规定及合同约定组织完成工程施工，确保工程质量和安全，不进行转包及违法分包，并在缺陷责任期及保修期内承担相应的工程维修责任。</w:t>
      </w:r>
    </w:p>
    <w:p>
      <w:pPr>
        <w:pStyle w:val="null3"/>
        <w:jc w:val="left"/>
      </w:pPr>
      <w:r>
        <w:rPr/>
        <w:t>3.乙方承诺遵守《中华人民共和国劳动合同法》有关规定和《中华人民共和国妇女权益保障法》中关于“劳动和社会保障权益”的有关要求。</w:t>
      </w:r>
    </w:p>
    <w:p>
      <w:pPr>
        <w:pStyle w:val="null3"/>
        <w:jc w:val="left"/>
        <w:outlineLvl w:val="2"/>
      </w:pPr>
      <w:r>
        <w:rPr>
          <w:b/>
          <w:sz w:val="28"/>
        </w:rPr>
        <w:t xml:space="preserve"> 八、验收、交付标准和方法</w:t>
      </w:r>
    </w:p>
    <w:p>
      <w:pPr>
        <w:pStyle w:val="null3"/>
        <w:jc w:val="left"/>
      </w:pPr>
      <w:r>
        <w:br/>
      </w:r>
    </w:p>
    <w:p>
      <w:pPr>
        <w:pStyle w:val="null3"/>
        <w:jc w:val="left"/>
        <w:outlineLvl w:val="2"/>
      </w:pPr>
      <w:r>
        <w:rPr>
          <w:b/>
          <w:sz w:val="28"/>
        </w:rPr>
        <w:t xml:space="preserve"> 九、质量保修范围和保修期</w:t>
      </w:r>
    </w:p>
    <w:p>
      <w:pPr>
        <w:pStyle w:val="null3"/>
        <w:jc w:val="left"/>
      </w:pPr>
      <w:r>
        <w:br/>
      </w:r>
    </w:p>
    <w:p>
      <w:pPr>
        <w:pStyle w:val="null3"/>
        <w:jc w:val="left"/>
        <w:outlineLvl w:val="2"/>
      </w:pPr>
      <w:r>
        <w:rPr>
          <w:b/>
          <w:sz w:val="28"/>
        </w:rPr>
        <w:t xml:space="preserve"> 十、违约责任</w:t>
      </w:r>
    </w:p>
    <w:p>
      <w:pPr>
        <w:pStyle w:val="null3"/>
        <w:jc w:val="left"/>
      </w:pPr>
      <w:r>
        <w:br/>
      </w:r>
    </w:p>
    <w:p>
      <w:pPr>
        <w:pStyle w:val="null3"/>
        <w:jc w:val="left"/>
        <w:outlineLvl w:val="2"/>
      </w:pPr>
      <w:r>
        <w:rPr>
          <w:b/>
          <w:sz w:val="28"/>
        </w:rPr>
        <w:t xml:space="preserve"> 十一、解决争议的方法</w:t>
      </w:r>
    </w:p>
    <w:p>
      <w:pPr>
        <w:pStyle w:val="null3"/>
        <w:jc w:val="left"/>
      </w:pPr>
      <w:r>
        <w:br/>
      </w:r>
    </w:p>
    <w:p>
      <w:pPr>
        <w:pStyle w:val="null3"/>
        <w:jc w:val="left"/>
        <w:outlineLvl w:val="2"/>
      </w:pPr>
      <w:r>
        <w:rPr>
          <w:b/>
          <w:sz w:val="28"/>
        </w:rPr>
        <w:t xml:space="preserve"> 十二、签订时间</w:t>
      </w:r>
    </w:p>
    <w:p>
      <w:pPr>
        <w:pStyle w:val="null3"/>
        <w:jc w:val="left"/>
      </w:pPr>
      <w:r>
        <w:rPr/>
        <w:t>本合同于</w:t>
      </w:r>
      <w:r>
        <w:rPr/>
        <w:t>20___年___月___日</w:t>
      </w:r>
      <w:r>
        <w:rPr/>
        <w:t>签订。</w:t>
      </w:r>
    </w:p>
    <w:p>
      <w:pPr>
        <w:pStyle w:val="null3"/>
        <w:jc w:val="left"/>
        <w:outlineLvl w:val="2"/>
      </w:pPr>
      <w:r>
        <w:rPr>
          <w:b/>
          <w:sz w:val="28"/>
        </w:rPr>
        <w:t xml:space="preserve"> 十三、签订地点</w:t>
      </w:r>
    </w:p>
    <w:p>
      <w:pPr>
        <w:pStyle w:val="null3"/>
        <w:jc w:val="left"/>
      </w:pPr>
      <w:r>
        <w:rPr/>
        <w:t>本合同在</w:t>
      </w:r>
      <w:r>
        <w:rPr/>
        <w:t>_________</w:t>
      </w:r>
      <w:r>
        <w:rPr/>
        <w:t>签订。</w:t>
      </w:r>
    </w:p>
    <w:p>
      <w:pPr>
        <w:pStyle w:val="null3"/>
        <w:jc w:val="left"/>
        <w:outlineLvl w:val="2"/>
      </w:pPr>
      <w:r>
        <w:rPr>
          <w:b/>
          <w:sz w:val="28"/>
        </w:rPr>
        <w:t xml:space="preserve"> 十四、补充协议</w:t>
      </w:r>
    </w:p>
    <w:p>
      <w:pPr>
        <w:pStyle w:val="null3"/>
        <w:jc w:val="left"/>
      </w:pPr>
      <w:r>
        <w:rPr/>
        <w:t>合同未尽事宜，合同当事人另行签订补充协议，补充协议是合同的组成部分。</w:t>
      </w:r>
    </w:p>
    <w:p>
      <w:pPr>
        <w:pStyle w:val="null3"/>
        <w:jc w:val="left"/>
        <w:outlineLvl w:val="2"/>
      </w:pPr>
      <w:r>
        <w:rPr>
          <w:b/>
          <w:sz w:val="28"/>
        </w:rPr>
        <w:t xml:space="preserve"> 十五、合同生效</w:t>
      </w:r>
    </w:p>
    <w:p>
      <w:pPr>
        <w:pStyle w:val="null3"/>
        <w:jc w:val="left"/>
      </w:pPr>
      <w:r>
        <w:rPr/>
        <w:t>本合同自_______生效。</w:t>
      </w:r>
    </w:p>
    <w:p>
      <w:pPr>
        <w:pStyle w:val="null3"/>
        <w:jc w:val="left"/>
        <w:outlineLvl w:val="2"/>
      </w:pPr>
      <w:r>
        <w:rPr>
          <w:b/>
          <w:sz w:val="28"/>
        </w:rPr>
        <w:t xml:space="preserve"> 十六、合同份数</w:t>
      </w:r>
    </w:p>
    <w:p>
      <w:pPr>
        <w:pStyle w:val="null3"/>
        <w:jc w:val="left"/>
      </w:pPr>
      <w:r>
        <w:rPr/>
        <w:t>本合同一式___份，均具有同等法律效力，甲方执___份，乙方执___份。</w:t>
      </w: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