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版本号：N510521202600005120260325001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N5105212026000051</w:t>
      </w:r>
    </w:p>
    <w:p>
      <w:pPr>
        <w:pStyle w:val="null3"/>
        <w:jc w:val="center"/>
        <w:outlineLvl w:val="2"/>
      </w:pPr>
      <w:r>
        <w:rPr>
          <w:rFonts w:ascii="仿宋_GB2312" w:hAnsi="仿宋_GB2312" w:cs="仿宋_GB2312" w:eastAsia="仿宋_GB2312"/>
          <w:sz w:val="28"/>
          <w:b/>
        </w:rPr>
        <w:t>泸县人民医院</w:t>
      </w:r>
    </w:p>
    <w:p>
      <w:pPr>
        <w:pStyle w:val="null3"/>
        <w:jc w:val="center"/>
        <w:outlineLvl w:val="2"/>
      </w:pPr>
      <w:r>
        <w:rPr>
          <w:rFonts w:ascii="仿宋_GB2312" w:hAnsi="仿宋_GB2312" w:cs="仿宋_GB2312" w:eastAsia="仿宋_GB2312"/>
          <w:sz w:val="28"/>
          <w:b/>
        </w:rPr>
        <w:t>四川德才汇招标代理有限公司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四川德才汇招标代理有限公司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泸县人民医院</w:t>
      </w:r>
      <w:r>
        <w:rPr>
          <w:rFonts w:ascii="仿宋_GB2312" w:hAnsi="仿宋_GB2312" w:cs="仿宋_GB2312" w:eastAsia="仿宋_GB2312"/>
        </w:rPr>
        <w:t xml:space="preserve"> 委托，拟对 </w:t>
      </w:r>
      <w:r>
        <w:rPr>
          <w:rFonts w:ascii="仿宋_GB2312" w:hAnsi="仿宋_GB2312" w:cs="仿宋_GB2312" w:eastAsia="仿宋_GB2312"/>
        </w:rPr>
        <w:t>2026年第一批设备采购项目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N5105212026000051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2026年第一批设备采购项目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本院拟采购静配中心管理软件1套，采购胰岛素泵10台</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符合《医疗器械监督管理条例》要求与《医疗器械注册与备案管理办法》要求（描述：本项目采购产品，如为医疗器械，供应商须符合《医疗器械监督管理条例》要求并提供供应商经营该产品的经营许可/经营备案证明材料；所投的医疗器械须符合《医疗器械注册与备案管理办法》要求并提供产品的注册/备案证明材料； 注：对医疗器械有国家行政管理部门出具的最新分类或不纳入管理的政策依据的，按最新政策提供上述证书并提供相关说明。）</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泸县人民医院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四川省泸州市泸县龙脑大道628号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0830-8608203</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四川德才汇招标代理有限公司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泸州市龙马潭区云台路69号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0830-3198806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采购包2：380,000.00元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国家财政部、国家计委、国家物价局（2002）1980号文件的标准规定，以中标金额为基数采用差额定率累进法计算出总金额，总金额*50%作为本项目应收代理服务费，不足5000元的按5000元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泸县人民医院</w:t>
      </w:r>
      <w:r>
        <w:rPr>
          <w:rFonts w:ascii="仿宋_GB2312" w:hAnsi="仿宋_GB2312" w:cs="仿宋_GB2312" w:eastAsia="仿宋_GB2312"/>
        </w:rPr>
        <w:t xml:space="preserve"> 和 </w:t>
      </w:r>
      <w:r>
        <w:rPr>
          <w:rFonts w:ascii="仿宋_GB2312" w:hAnsi="仿宋_GB2312" w:cs="仿宋_GB2312" w:eastAsia="仿宋_GB2312"/>
        </w:rPr>
        <w:t>四川德才汇招标代理有限公司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泸县人民医院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四川德才汇招标代理有限公司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软件稳定运行3个月（自软件上线正式使用开始计算），由成交供应商提出验收申请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成交供应商履行完合同义务并提出验收申请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按照采购文件要求和成交供应商的响应文件及承诺进行验收。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按照采购文件要求和成交供应商的响应文件及承诺进行验收。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按照采购文件要求和成交供应商的响应文件及承诺进行验收。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按照采购文件要求和成交供应商的响应文件及承诺进行验收。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按照国家有关规定、采购文件要求和成交供应商的响应文件及承诺进行验收。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按照国家有关规定、采购文件要求和成交供应商的响应文件及承诺进行验收。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泸县人民医院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四川德才汇招标代理有限公司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四川德才汇招标代理有限公司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联系人：潘先生</w:t>
      </w:r>
    </w:p>
    <w:p>
      <w:pPr>
        <w:pStyle w:val="null3"/>
        <w:jc w:val="left"/>
      </w:pPr>
      <w:r>
        <w:rPr>
          <w:rFonts w:ascii="仿宋_GB2312" w:hAnsi="仿宋_GB2312" w:cs="仿宋_GB2312" w:eastAsia="仿宋_GB2312"/>
        </w:rPr>
        <w:t>联系电话：0830-8608203</w:t>
      </w:r>
    </w:p>
    <w:p>
      <w:pPr>
        <w:pStyle w:val="null3"/>
        <w:jc w:val="left"/>
      </w:pPr>
      <w:r>
        <w:rPr>
          <w:rFonts w:ascii="仿宋_GB2312" w:hAnsi="仿宋_GB2312" w:cs="仿宋_GB2312" w:eastAsia="仿宋_GB2312"/>
        </w:rPr>
        <w:t>地址：泸县龙脑大道628号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联系电话：0830-3198806</w:t>
      </w:r>
    </w:p>
    <w:p>
      <w:pPr>
        <w:pStyle w:val="null3"/>
        <w:jc w:val="left"/>
      </w:pPr>
      <w:r>
        <w:rPr>
          <w:rFonts w:ascii="仿宋_GB2312" w:hAnsi="仿宋_GB2312" w:cs="仿宋_GB2312" w:eastAsia="仿宋_GB2312"/>
        </w:rPr>
        <w:t>地址：泸州市龙马潭区云台路69号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静配中心管理软件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380,000.00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胰岛素泵</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静配中心管理软件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胰岛素泵</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A08060303 应用软件</w:t>
            </w:r>
          </w:p>
        </w:tc>
        <w:tc>
          <w:tcPr>
            <w:tcW w:type="dxa" w:w="2492"/>
          </w:tcPr>
          <w:p>
            <w:pPr>
              <w:pStyle w:val="null3"/>
              <w:jc w:val="left"/>
            </w:pPr>
            <w:r>
              <w:rPr>
                <w:rFonts w:ascii="仿宋_GB2312" w:hAnsi="仿宋_GB2312" w:cs="仿宋_GB2312" w:eastAsia="仿宋_GB2312"/>
              </w:rPr>
              <w:t>静配中心管理软件</w:t>
            </w:r>
          </w:p>
        </w:tc>
        <w:tc>
          <w:tcPr>
            <w:tcW w:type="dxa" w:w="2492"/>
          </w:tcPr>
          <w:p>
            <w:pPr>
              <w:pStyle w:val="null3"/>
              <w:jc w:val="left"/>
            </w:pPr>
            <w:r>
              <w:rPr>
                <w:rFonts w:ascii="仿宋_GB2312" w:hAnsi="仿宋_GB2312" w:cs="仿宋_GB2312" w:eastAsia="仿宋_GB2312"/>
              </w:rPr>
              <w:t>静配中心管理软件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A02322700 病房护理及医院设备</w:t>
            </w:r>
          </w:p>
        </w:tc>
        <w:tc>
          <w:tcPr>
            <w:tcW w:type="dxa" w:w="2492"/>
          </w:tcPr>
          <w:p>
            <w:pPr>
              <w:pStyle w:val="null3"/>
              <w:jc w:val="left"/>
            </w:pPr>
            <w:r>
              <w:rPr>
                <w:rFonts w:ascii="仿宋_GB2312" w:hAnsi="仿宋_GB2312" w:cs="仿宋_GB2312" w:eastAsia="仿宋_GB2312"/>
              </w:rPr>
              <w:t>胰岛素泵</w:t>
            </w:r>
          </w:p>
        </w:tc>
        <w:tc>
          <w:tcPr>
            <w:tcW w:type="dxa" w:w="2492"/>
          </w:tcPr>
          <w:p>
            <w:pPr>
              <w:pStyle w:val="null3"/>
              <w:jc w:val="left"/>
            </w:pPr>
            <w:r>
              <w:rPr>
                <w:rFonts w:ascii="仿宋_GB2312" w:hAnsi="仿宋_GB2312" w:cs="仿宋_GB2312" w:eastAsia="仿宋_GB2312"/>
              </w:rPr>
              <w:t>胰岛素泵</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标的名称：静配中心管理软件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4"/>
              </w:rPr>
              <w:t>▲1.系统能按照病区的维度列出待审和已审的医嘱数据，可以选择病人的医嘱数据，进行审方操作。审核不通过的，审方药师可以填写备注信息并反馈给临床。审核通过的，还可以再审核为不通过。具备自动审方功能，能将自动审方的结果填充到审方界面，提供参考。系统具有药师规则自维护空间，可对配伍禁忌、滴速、适应症、疗程等进行维护。</w:t>
            </w:r>
          </w:p>
          <w:p>
            <w:pPr>
              <w:pStyle w:val="null3"/>
              <w:ind w:firstLine="480"/>
              <w:jc w:val="both"/>
            </w:pPr>
            <w:r>
              <w:rPr>
                <w:rFonts w:ascii="仿宋_GB2312" w:hAnsi="仿宋_GB2312" w:cs="仿宋_GB2312" w:eastAsia="仿宋_GB2312"/>
                <w:sz w:val="24"/>
              </w:rPr>
              <w:t>▲2.系统支持自定义肠外营养成分和计算公式：支持添加审方规则，支持肠外营养液处方的热量、含氮量、渗透压、表面张力等参数审核。</w:t>
            </w:r>
          </w:p>
          <w:p>
            <w:pPr>
              <w:pStyle w:val="null3"/>
              <w:ind w:firstLine="480"/>
              <w:jc w:val="both"/>
            </w:pPr>
            <w:r>
              <w:rPr>
                <w:rFonts w:ascii="仿宋_GB2312" w:hAnsi="仿宋_GB2312" w:cs="仿宋_GB2312" w:eastAsia="仿宋_GB2312"/>
                <w:sz w:val="24"/>
              </w:rPr>
              <w:t>3.系统能实现静脉输液药物自动批次划分：针对长期或临时医嘱，按照医嘱下达时间灵活设置批次配液工作时间段，可根据频次、给药优先顺序、用量、科室输注上限、医嘱用法、临床用药习惯、药物稳定性等因素实现自动批次划分。对已排批数据，可实现手工修改用药批次。</w:t>
            </w:r>
          </w:p>
          <w:p>
            <w:pPr>
              <w:pStyle w:val="null3"/>
              <w:ind w:firstLine="480"/>
              <w:jc w:val="both"/>
            </w:pPr>
            <w:r>
              <w:rPr>
                <w:rFonts w:ascii="仿宋_GB2312" w:hAnsi="仿宋_GB2312" w:cs="仿宋_GB2312" w:eastAsia="仿宋_GB2312"/>
                <w:sz w:val="24"/>
              </w:rPr>
              <w:t>4.系统具备批次排定时功能，智能检测患者各批次输液总量，确保患者用药连续，不因患者部分停药而导致次日如第1批无药可用、或第1批用量过少而无法续注，以此类推。</w:t>
            </w:r>
          </w:p>
          <w:p>
            <w:pPr>
              <w:pStyle w:val="null3"/>
              <w:ind w:firstLine="480"/>
              <w:jc w:val="both"/>
            </w:pPr>
            <w:r>
              <w:rPr>
                <w:rFonts w:ascii="仿宋_GB2312" w:hAnsi="仿宋_GB2312" w:cs="仿宋_GB2312" w:eastAsia="仿宋_GB2312"/>
                <w:sz w:val="24"/>
              </w:rPr>
              <w:t>5.患者静脉药物瓶签唯一且内容丰富完整，包含患者基本信息和药物所有关键信息，包括患者姓名、年龄、体重、科室、住院号/门诊号，床位，以及药品明细、配置类别、非整只用量突出提醒、抗生素与肿瘤药品的突出标识、滴速提醒、过敏史、诊断等。</w:t>
            </w:r>
          </w:p>
          <w:p>
            <w:pPr>
              <w:pStyle w:val="null3"/>
              <w:ind w:firstLine="480"/>
              <w:jc w:val="both"/>
            </w:pPr>
            <w:r>
              <w:rPr>
                <w:rFonts w:ascii="仿宋_GB2312" w:hAnsi="仿宋_GB2312" w:cs="仿宋_GB2312" w:eastAsia="仿宋_GB2312"/>
                <w:sz w:val="24"/>
              </w:rPr>
              <w:t>▲6.患者瓶签集中打印可按医院实际需求，实现不同的打印方式，</w:t>
            </w:r>
            <w:r>
              <w:rPr>
                <w:rFonts w:ascii="仿宋_GB2312" w:hAnsi="仿宋_GB2312" w:cs="仿宋_GB2312" w:eastAsia="仿宋_GB2312"/>
                <w:sz w:val="24"/>
              </w:rPr>
              <w:t>支持</w:t>
            </w:r>
            <w:r>
              <w:rPr>
                <w:rFonts w:ascii="仿宋_GB2312" w:hAnsi="仿宋_GB2312" w:cs="仿宋_GB2312" w:eastAsia="仿宋_GB2312"/>
                <w:sz w:val="24"/>
              </w:rPr>
              <w:t>先按批次、再按药品品种连续打印，或者先按科室、再按批次与药品品种打印等。</w:t>
            </w:r>
          </w:p>
          <w:p>
            <w:pPr>
              <w:pStyle w:val="null3"/>
              <w:ind w:firstLine="480"/>
              <w:jc w:val="both"/>
            </w:pPr>
            <w:r>
              <w:rPr>
                <w:rFonts w:ascii="仿宋_GB2312" w:hAnsi="仿宋_GB2312" w:cs="仿宋_GB2312" w:eastAsia="仿宋_GB2312"/>
                <w:sz w:val="24"/>
              </w:rPr>
              <w:t>7.系统可根据不同情况，配备不同打印模式，具备住院患者的标签集中打印功能，可以自由选择批次、单科室或多科室的标签打印。</w:t>
            </w:r>
          </w:p>
          <w:p>
            <w:pPr>
              <w:pStyle w:val="null3"/>
              <w:ind w:firstLine="480"/>
              <w:jc w:val="both"/>
            </w:pPr>
            <w:r>
              <w:rPr>
                <w:rFonts w:ascii="仿宋_GB2312" w:hAnsi="仿宋_GB2312" w:cs="仿宋_GB2312" w:eastAsia="仿宋_GB2312"/>
                <w:sz w:val="24"/>
              </w:rPr>
              <w:t>8.系统可以根据药品分类，把相同批次的相同种类注射剂连续打印，方便相同种类药品的排药、核对及配置。</w:t>
            </w:r>
          </w:p>
          <w:p>
            <w:pPr>
              <w:pStyle w:val="null3"/>
              <w:ind w:firstLine="480"/>
              <w:jc w:val="both"/>
            </w:pPr>
            <w:r>
              <w:rPr>
                <w:rFonts w:ascii="仿宋_GB2312" w:hAnsi="仿宋_GB2312" w:cs="仿宋_GB2312" w:eastAsia="仿宋_GB2312"/>
                <w:sz w:val="24"/>
              </w:rPr>
              <w:t>9.标签内容可突出显示各种关键信息，</w:t>
            </w:r>
            <w:r>
              <w:rPr>
                <w:rFonts w:ascii="仿宋_GB2312" w:hAnsi="仿宋_GB2312" w:cs="仿宋_GB2312" w:eastAsia="仿宋_GB2312"/>
                <w:sz w:val="24"/>
              </w:rPr>
              <w:t>支持</w:t>
            </w:r>
            <w:r>
              <w:rPr>
                <w:rFonts w:ascii="仿宋_GB2312" w:hAnsi="仿宋_GB2312" w:cs="仿宋_GB2312" w:eastAsia="仿宋_GB2312"/>
                <w:sz w:val="24"/>
              </w:rPr>
              <w:t>非整只用量、不同药物配置类别属性、高危</w:t>
            </w:r>
            <w:r>
              <w:rPr>
                <w:rFonts w:ascii="仿宋_GB2312" w:hAnsi="仿宋_GB2312" w:cs="仿宋_GB2312" w:eastAsia="仿宋_GB2312"/>
                <w:sz w:val="24"/>
              </w:rPr>
              <w:t>/危险药品标识、避光、冷藏、是否冲管等药物属性提示。</w:t>
            </w:r>
          </w:p>
          <w:p>
            <w:pPr>
              <w:pStyle w:val="null3"/>
              <w:ind w:firstLine="480"/>
              <w:jc w:val="both"/>
            </w:pPr>
            <w:r>
              <w:rPr>
                <w:rFonts w:ascii="仿宋_GB2312" w:hAnsi="仿宋_GB2312" w:cs="仿宋_GB2312" w:eastAsia="仿宋_GB2312"/>
                <w:sz w:val="24"/>
              </w:rPr>
              <w:t>10.患者每份输液能实现唯一身份标识，应用于整体业务管理模式，反映输液状态，并记录相应操作记录，做到每一份输液的实时管控与任意时刻的逆向追溯。</w:t>
            </w:r>
          </w:p>
          <w:p>
            <w:pPr>
              <w:pStyle w:val="null3"/>
              <w:ind w:firstLine="480"/>
              <w:jc w:val="both"/>
            </w:pPr>
            <w:r>
              <w:rPr>
                <w:rFonts w:ascii="仿宋_GB2312" w:hAnsi="仿宋_GB2312" w:cs="仿宋_GB2312" w:eastAsia="仿宋_GB2312"/>
                <w:sz w:val="24"/>
              </w:rPr>
              <w:t>11.流程节点完善，包括：摆药、摆药核对、贴签、贴签核对、消毒、冲配、空瓶核对、分拣打包、配送、接收。</w:t>
            </w:r>
          </w:p>
          <w:p>
            <w:pPr>
              <w:pStyle w:val="null3"/>
              <w:ind w:firstLine="480"/>
              <w:jc w:val="both"/>
            </w:pPr>
            <w:r>
              <w:rPr>
                <w:rFonts w:ascii="仿宋_GB2312" w:hAnsi="仿宋_GB2312" w:cs="仿宋_GB2312" w:eastAsia="仿宋_GB2312"/>
                <w:sz w:val="24"/>
              </w:rPr>
              <w:t>12.摆药、摆药核对、贴签、贴签核对、消毒、冲配等环节支持退药提醒，即当扫描患者标签，系统自动核对医嘱信息，根据医嘱状态（如作废、停止）自动判断是否继续用药，支持PC及PDA客户端扫描功能实现。</w:t>
            </w:r>
          </w:p>
          <w:p>
            <w:pPr>
              <w:pStyle w:val="null3"/>
              <w:ind w:firstLine="480"/>
              <w:jc w:val="both"/>
            </w:pPr>
            <w:r>
              <w:rPr>
                <w:rFonts w:ascii="仿宋_GB2312" w:hAnsi="仿宋_GB2312" w:cs="仿宋_GB2312" w:eastAsia="仿宋_GB2312"/>
                <w:sz w:val="24"/>
              </w:rPr>
              <w:t>13.系统能追踪操作人员、时间信息，具有自主管理和维护的功能。</w:t>
            </w:r>
          </w:p>
          <w:p>
            <w:pPr>
              <w:pStyle w:val="null3"/>
              <w:ind w:firstLine="480"/>
              <w:jc w:val="both"/>
            </w:pPr>
            <w:r>
              <w:rPr>
                <w:rFonts w:ascii="仿宋_GB2312" w:hAnsi="仿宋_GB2312" w:cs="仿宋_GB2312" w:eastAsia="仿宋_GB2312"/>
                <w:sz w:val="24"/>
              </w:rPr>
              <w:t>14.系统能根据医嘱以及对应的摆药信息，赋予每组用药唯一的静配单号，扫描静配单条码，系统能提示该输液单所在病区、批次，并对本批次的药品数量进行统计显示，执行时程序会自动判断该病区、本批次药品总数量，已扫描数/未扫描数，确保药品实际装箱数复核正确。</w:t>
            </w:r>
          </w:p>
          <w:p>
            <w:pPr>
              <w:pStyle w:val="null3"/>
              <w:ind w:firstLine="480"/>
              <w:jc w:val="both"/>
            </w:pPr>
            <w:r>
              <w:rPr>
                <w:rFonts w:ascii="仿宋_GB2312" w:hAnsi="仿宋_GB2312" w:cs="仿宋_GB2312" w:eastAsia="仿宋_GB2312"/>
                <w:sz w:val="24"/>
              </w:rPr>
              <w:t>15.出库复核具备补充配置扫描功能，防止在配置扫描时遗漏或人为疏忽而引起的配置扫描不成功。</w:t>
            </w:r>
          </w:p>
          <w:p>
            <w:pPr>
              <w:pStyle w:val="null3"/>
              <w:ind w:firstLine="480"/>
              <w:jc w:val="both"/>
            </w:pPr>
            <w:r>
              <w:rPr>
                <w:rFonts w:ascii="仿宋_GB2312" w:hAnsi="仿宋_GB2312" w:cs="仿宋_GB2312" w:eastAsia="仿宋_GB2312"/>
                <w:sz w:val="24"/>
              </w:rPr>
              <w:t>16.系统能根据已配置的药品，生成科室交接单，并附交接单条形码，以方便科室扫描接收；对于不配置的批次能自动打印药品汇总清单，便于科室核对。</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17.系统能在装箱环节会生成一张汇总单，包含本批次送出的药品明细，病区接收时，通过扫描成品交接单条码，能获取该条码内所有药品信息，再通过扫描输液袋标签，能确认收到的药品数量以及成品是否正确。</w:t>
            </w:r>
          </w:p>
          <w:p>
            <w:pPr>
              <w:pStyle w:val="null3"/>
              <w:ind w:firstLine="480"/>
              <w:jc w:val="both"/>
            </w:pPr>
            <w:r>
              <w:rPr>
                <w:rFonts w:ascii="仿宋_GB2312" w:hAnsi="仿宋_GB2312" w:cs="仿宋_GB2312" w:eastAsia="仿宋_GB2312"/>
                <w:sz w:val="24"/>
              </w:rPr>
              <w:t>18.系统具有串科提醒功能，能在扫描到其他科室的药品时，在串科记录中添加一条其他科室的药品信息，并发音提示。</w:t>
            </w:r>
          </w:p>
          <w:p>
            <w:pPr>
              <w:pStyle w:val="null3"/>
              <w:ind w:firstLine="480"/>
              <w:jc w:val="both"/>
            </w:pPr>
            <w:r>
              <w:rPr>
                <w:rFonts w:ascii="仿宋_GB2312" w:hAnsi="仿宋_GB2312" w:cs="仿宋_GB2312" w:eastAsia="仿宋_GB2312"/>
                <w:sz w:val="24"/>
              </w:rPr>
              <w:t>▲19.软件能显示提取医嘱、审方、标签打印、药品调配、成品核对、退药、成品交接等主要业务流程模块待处理的瓶签数量，以提示工作人员。</w:t>
            </w:r>
          </w:p>
          <w:p>
            <w:pPr>
              <w:pStyle w:val="null3"/>
              <w:ind w:firstLine="480"/>
              <w:jc w:val="both"/>
            </w:pPr>
            <w:r>
              <w:rPr>
                <w:rFonts w:ascii="仿宋_GB2312" w:hAnsi="仿宋_GB2312" w:cs="仿宋_GB2312" w:eastAsia="仿宋_GB2312"/>
                <w:sz w:val="24"/>
              </w:rPr>
              <w:t>▲20.软件能提供全面丰富的报表功能，包括</w:t>
            </w:r>
            <w:r>
              <w:rPr>
                <w:rFonts w:ascii="仿宋_GB2312" w:hAnsi="仿宋_GB2312" w:cs="仿宋_GB2312" w:eastAsia="仿宋_GB2312"/>
                <w:sz w:val="24"/>
              </w:rPr>
              <w:t>：</w:t>
            </w:r>
            <w:r>
              <w:rPr>
                <w:rFonts w:ascii="仿宋_GB2312" w:hAnsi="仿宋_GB2312" w:cs="仿宋_GB2312" w:eastAsia="仿宋_GB2312"/>
                <w:sz w:val="24"/>
              </w:rPr>
              <w:t>工作量统计、配送统计、医嘱审查统计、审查警灯统计、退药退费统计、配置费用统计，并具有报表设计工具，支持标签的快速更改，具有根据医院要求快速定制统计报表功能。</w:t>
            </w:r>
          </w:p>
          <w:p>
            <w:pPr>
              <w:pStyle w:val="null3"/>
              <w:jc w:val="left"/>
            </w:pPr>
            <w:r>
              <w:rPr>
                <w:rFonts w:ascii="仿宋_GB2312" w:hAnsi="仿宋_GB2312" w:cs="仿宋_GB2312" w:eastAsia="仿宋_GB2312"/>
                <w:sz w:val="24"/>
              </w:rPr>
              <w:t xml:space="preserve">      ▲21.系统具备药品追溯码的智能化管理功能，能实现静配中心的药品全流程闭环追溯。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标的名称：胰岛素泵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产品属于医疗器械，用于糖尿病患者皮下注射胰岛素</w:t>
            </w:r>
            <w:r>
              <w:rPr>
                <w:rFonts w:ascii="仿宋_GB2312" w:hAnsi="仿宋_GB2312" w:cs="仿宋_GB2312" w:eastAsia="仿宋_GB2312"/>
                <w:sz w:val="24"/>
                <w:color w:val="000000"/>
              </w:rPr>
              <w:t>（提供医疗器械注册证扫描件）</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单品配置清单：主机1台。</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主机尺寸要求：</w:t>
            </w:r>
            <w:r>
              <w:rPr>
                <w:rFonts w:ascii="仿宋_GB2312" w:hAnsi="仿宋_GB2312" w:cs="仿宋_GB2312" w:eastAsia="仿宋_GB2312"/>
                <w:sz w:val="24"/>
                <w:color w:val="000000"/>
              </w:rPr>
              <w:t>6cm</w:t>
            </w:r>
            <w:r>
              <w:rPr>
                <w:rFonts w:ascii="仿宋_GB2312" w:hAnsi="仿宋_GB2312" w:cs="仿宋_GB2312" w:eastAsia="仿宋_GB2312"/>
                <w:sz w:val="24"/>
                <w:color w:val="000000"/>
              </w:rPr>
              <w:t>×</w:t>
            </w:r>
            <w:r>
              <w:rPr>
                <w:rFonts w:ascii="仿宋_GB2312" w:hAnsi="仿宋_GB2312" w:cs="仿宋_GB2312" w:eastAsia="仿宋_GB2312"/>
                <w:sz w:val="24"/>
                <w:color w:val="000000"/>
              </w:rPr>
              <w:t>10cm</w:t>
            </w:r>
            <w:r>
              <w:rPr>
                <w:rFonts w:ascii="仿宋_GB2312" w:hAnsi="仿宋_GB2312" w:cs="仿宋_GB2312" w:eastAsia="仿宋_GB2312"/>
                <w:sz w:val="24"/>
                <w:color w:val="000000"/>
              </w:rPr>
              <w:t>×2.0cm</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g</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储药器：</w:t>
            </w:r>
            <w:r>
              <w:rPr>
                <w:rFonts w:ascii="仿宋_GB2312" w:hAnsi="仿宋_GB2312" w:cs="仿宋_GB2312" w:eastAsia="仿宋_GB2312"/>
                <w:sz w:val="24"/>
                <w:color w:val="000000"/>
              </w:rPr>
              <w:t>≥3ml</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▲4.胰岛素输注精度≤±3%，马达精度≤±1%；</w:t>
            </w:r>
          </w:p>
          <w:p>
            <w:pPr>
              <w:pStyle w:val="null3"/>
              <w:ind w:firstLine="480"/>
              <w:jc w:val="both"/>
            </w:pPr>
            <w:r>
              <w:rPr>
                <w:rFonts w:ascii="仿宋_GB2312" w:hAnsi="仿宋_GB2312" w:cs="仿宋_GB2312" w:eastAsia="仿宋_GB2312"/>
                <w:sz w:val="24"/>
                <w:color w:val="000000"/>
              </w:rPr>
              <w:t>5.自检功能：具备自检功能，同时需具备手动自检功能；</w:t>
            </w:r>
          </w:p>
          <w:p>
            <w:pPr>
              <w:pStyle w:val="null3"/>
              <w:ind w:firstLine="436"/>
              <w:jc w:val="both"/>
            </w:pPr>
            <w:r>
              <w:rPr>
                <w:rFonts w:ascii="仿宋_GB2312" w:hAnsi="仿宋_GB2312" w:cs="仿宋_GB2312" w:eastAsia="仿宋_GB2312"/>
                <w:sz w:val="24"/>
                <w:color w:val="000000"/>
              </w:rPr>
              <w:t>★</w:t>
            </w:r>
            <w:r>
              <w:rPr>
                <w:rFonts w:ascii="仿宋_GB2312" w:hAnsi="仿宋_GB2312" w:cs="仿宋_GB2312" w:eastAsia="仿宋_GB2312"/>
                <w:sz w:val="24"/>
              </w:rPr>
              <w:t>6.</w:t>
            </w:r>
            <w:r>
              <w:rPr>
                <w:rFonts w:ascii="仿宋_GB2312" w:hAnsi="仿宋_GB2312" w:cs="仿宋_GB2312" w:eastAsia="仿宋_GB2312"/>
                <w:sz w:val="24"/>
              </w:rPr>
              <w:t>适配耗材不封闭，须匹配开放式耗材</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屏幕显示：</w:t>
            </w:r>
            <w:r>
              <w:rPr>
                <w:rFonts w:ascii="仿宋_GB2312" w:hAnsi="仿宋_GB2312" w:cs="仿宋_GB2312" w:eastAsia="仿宋_GB2312"/>
                <w:sz w:val="24"/>
                <w:color w:val="000000"/>
              </w:rPr>
              <w:t>至少具备</w:t>
            </w:r>
            <w:r>
              <w:rPr>
                <w:rFonts w:ascii="仿宋_GB2312" w:hAnsi="仿宋_GB2312" w:cs="仿宋_GB2312" w:eastAsia="仿宋_GB2312"/>
                <w:sz w:val="24"/>
                <w:color w:val="000000"/>
              </w:rPr>
              <w:t>屏幕解锁后背景灯自动亮灯和自动熄灯省电功能</w:t>
            </w:r>
            <w:r>
              <w:rPr>
                <w:rFonts w:ascii="仿宋_GB2312" w:hAnsi="仿宋_GB2312" w:cs="仿宋_GB2312" w:eastAsia="仿宋_GB2312"/>
                <w:sz w:val="24"/>
                <w:color w:val="000000"/>
              </w:rPr>
              <w:t>，有剩余电量显示功能，有储药器剩余药量显示功能，屏幕亮度调节</w:t>
            </w:r>
            <w:r>
              <w:rPr>
                <w:rFonts w:ascii="仿宋_GB2312" w:hAnsi="仿宋_GB2312" w:cs="仿宋_GB2312" w:eastAsia="仿宋_GB2312"/>
                <w:sz w:val="24"/>
                <w:color w:val="000000"/>
              </w:rPr>
              <w:t>功能；</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按键和密码锁：</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延时自动锁定</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密码模式</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基础率：可分</w:t>
            </w:r>
            <w:r>
              <w:rPr>
                <w:rFonts w:ascii="仿宋_GB2312" w:hAnsi="仿宋_GB2312" w:cs="仿宋_GB2312" w:eastAsia="仿宋_GB2312"/>
                <w:sz w:val="24"/>
                <w:color w:val="000000"/>
              </w:rPr>
              <w:t>≥</w:t>
            </w:r>
            <w:r>
              <w:rPr>
                <w:rFonts w:ascii="仿宋_GB2312" w:hAnsi="仿宋_GB2312" w:cs="仿宋_GB2312" w:eastAsia="仿宋_GB2312"/>
                <w:sz w:val="24"/>
                <w:color w:val="000000"/>
              </w:rPr>
              <w:t>48段，0.1-35u/h，步长0.1u/h；</w:t>
            </w:r>
            <w:r>
              <w:rPr>
                <w:rFonts w:ascii="仿宋_GB2312" w:hAnsi="仿宋_GB2312" w:cs="仿宋_GB2312" w:eastAsia="仿宋_GB2312"/>
                <w:sz w:val="24"/>
                <w:color w:val="000000"/>
              </w:rPr>
              <w:t>≥</w:t>
            </w:r>
            <w:r>
              <w:rPr>
                <w:rFonts w:ascii="仿宋_GB2312" w:hAnsi="仿宋_GB2312" w:cs="仿宋_GB2312" w:eastAsia="仿宋_GB2312"/>
                <w:sz w:val="24"/>
                <w:color w:val="000000"/>
              </w:rPr>
              <w:t>8种基础率模式。</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可设置临时基础率</w:t>
            </w:r>
            <w:r>
              <w:rPr>
                <w:rFonts w:ascii="仿宋_GB2312" w:hAnsi="仿宋_GB2312" w:cs="仿宋_GB2312" w:eastAsia="仿宋_GB2312"/>
                <w:sz w:val="24"/>
                <w:color w:val="000000"/>
              </w:rPr>
              <w:t>0.5－24H</w:t>
            </w:r>
            <w:r>
              <w:rPr>
                <w:rFonts w:ascii="仿宋_GB2312" w:hAnsi="仿宋_GB2312" w:cs="仿宋_GB2312" w:eastAsia="仿宋_GB2312"/>
                <w:sz w:val="24"/>
                <w:color w:val="000000"/>
              </w:rPr>
              <w:t>；</w:t>
            </w:r>
            <w:r>
              <w:rPr>
                <w:rFonts w:ascii="仿宋_GB2312" w:hAnsi="仿宋_GB2312" w:cs="仿宋_GB2312" w:eastAsia="仿宋_GB2312"/>
                <w:sz w:val="24"/>
                <w:color w:val="000000"/>
              </w:rPr>
              <w:t>0.1-35u/h</w:t>
            </w:r>
            <w:r>
              <w:rPr>
                <w:rFonts w:ascii="仿宋_GB2312" w:hAnsi="仿宋_GB2312" w:cs="仿宋_GB2312" w:eastAsia="仿宋_GB2312"/>
                <w:sz w:val="24"/>
                <w:color w:val="000000"/>
              </w:rPr>
              <w:t>；</w:t>
            </w:r>
            <w:r>
              <w:rPr>
                <w:rFonts w:ascii="仿宋_GB2312" w:hAnsi="仿宋_GB2312" w:cs="仿宋_GB2312" w:eastAsia="仿宋_GB2312"/>
                <w:sz w:val="24"/>
                <w:color w:val="000000"/>
              </w:rPr>
              <w:t>±1% 可调整</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大剂量：具有大剂量向导功能，</w:t>
            </w:r>
            <w:r>
              <w:rPr>
                <w:rFonts w:ascii="仿宋_GB2312" w:hAnsi="仿宋_GB2312" w:cs="仿宋_GB2312" w:eastAsia="仿宋_GB2312"/>
                <w:sz w:val="24"/>
                <w:color w:val="000000"/>
              </w:rPr>
              <w:t>0.1－25U，大剂量增量0.1U</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大剂量输注方式：</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具备常规大剂量、方波大剂量、双波大剂量</w:t>
            </w:r>
            <w:r>
              <w:rPr>
                <w:rFonts w:ascii="仿宋_GB2312" w:hAnsi="仿宋_GB2312" w:cs="仿宋_GB2312" w:eastAsia="仿宋_GB2312"/>
                <w:sz w:val="24"/>
                <w:color w:val="000000"/>
              </w:rPr>
              <w:t>方式</w:t>
            </w:r>
            <w:r>
              <w:rPr>
                <w:rFonts w:ascii="仿宋_GB2312" w:hAnsi="仿宋_GB2312" w:cs="仿宋_GB2312" w:eastAsia="仿宋_GB2312"/>
                <w:sz w:val="24"/>
                <w:color w:val="000000"/>
              </w:rPr>
              <w:t>；方波和双波大剂量可开关</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每日总量回顾和日总量限制：可回顾</w:t>
            </w:r>
            <w:r>
              <w:rPr>
                <w:rFonts w:ascii="仿宋_GB2312" w:hAnsi="仿宋_GB2312" w:cs="仿宋_GB2312" w:eastAsia="仿宋_GB2312"/>
                <w:sz w:val="24"/>
                <w:color w:val="000000"/>
              </w:rPr>
              <w:t>≥40天的每一天输注总量；日总量限制值0到300U可调</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大剂量输注快捷按钮：解锁后可一键进入设置大剂量输注屏幕显示</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报警</w:t>
            </w:r>
            <w:r>
              <w:rPr>
                <w:rFonts w:ascii="仿宋_GB2312" w:hAnsi="仿宋_GB2312" w:cs="仿宋_GB2312" w:eastAsia="仿宋_GB2312"/>
                <w:sz w:val="24"/>
                <w:color w:val="000000"/>
              </w:rPr>
              <w:t>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具备多种报警类型，</w:t>
            </w:r>
            <w:r>
              <w:rPr>
                <w:rFonts w:ascii="仿宋_GB2312" w:hAnsi="仿宋_GB2312" w:cs="仿宋_GB2312" w:eastAsia="仿宋_GB2312"/>
                <w:sz w:val="24"/>
                <w:color w:val="000000"/>
              </w:rPr>
              <w:t>≥4种类型：响铃</w:t>
            </w:r>
            <w:r>
              <w:rPr>
                <w:rFonts w:ascii="仿宋_GB2312" w:hAnsi="仿宋_GB2312" w:cs="仿宋_GB2312" w:eastAsia="仿宋_GB2312"/>
                <w:sz w:val="24"/>
                <w:color w:val="000000"/>
              </w:rPr>
              <w:t>、</w:t>
            </w:r>
            <w:r>
              <w:rPr>
                <w:rFonts w:ascii="仿宋_GB2312" w:hAnsi="仿宋_GB2312" w:cs="仿宋_GB2312" w:eastAsia="仿宋_GB2312"/>
                <w:sz w:val="24"/>
                <w:color w:val="000000"/>
              </w:rPr>
              <w:t>振动</w:t>
            </w:r>
            <w:r>
              <w:rPr>
                <w:rFonts w:ascii="仿宋_GB2312" w:hAnsi="仿宋_GB2312" w:cs="仿宋_GB2312" w:eastAsia="仿宋_GB2312"/>
                <w:sz w:val="24"/>
                <w:color w:val="000000"/>
              </w:rPr>
              <w:t>、</w:t>
            </w:r>
            <w:r>
              <w:rPr>
                <w:rFonts w:ascii="仿宋_GB2312" w:hAnsi="仿宋_GB2312" w:cs="仿宋_GB2312" w:eastAsia="仿宋_GB2312"/>
                <w:sz w:val="24"/>
                <w:color w:val="000000"/>
              </w:rPr>
              <w:t>响铃加震动</w:t>
            </w:r>
            <w:r>
              <w:rPr>
                <w:rFonts w:ascii="仿宋_GB2312" w:hAnsi="仿宋_GB2312" w:cs="仿宋_GB2312" w:eastAsia="仿宋_GB2312"/>
                <w:sz w:val="24"/>
                <w:color w:val="000000"/>
              </w:rPr>
              <w:t>、</w:t>
            </w:r>
            <w:r>
              <w:rPr>
                <w:rFonts w:ascii="仿宋_GB2312" w:hAnsi="仿宋_GB2312" w:cs="仿宋_GB2312" w:eastAsia="仿宋_GB2312"/>
                <w:sz w:val="24"/>
                <w:color w:val="000000"/>
              </w:rPr>
              <w:t>响铃加震动加灯光闪烁</w:t>
            </w:r>
            <w:r>
              <w:rPr>
                <w:rFonts w:ascii="仿宋_GB2312" w:hAnsi="仿宋_GB2312" w:cs="仿宋_GB2312" w:eastAsia="仿宋_GB2312"/>
                <w:sz w:val="24"/>
                <w:color w:val="000000"/>
              </w:rPr>
              <w:t>；具备底液量报警功能，低液量报警值可调整；</w:t>
            </w:r>
          </w:p>
          <w:p>
            <w:pPr>
              <w:pStyle w:val="null3"/>
              <w:ind w:firstLine="48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充盈记录和充盈量限制：可回顾</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次的充盈记录，以及充盈时间和日期；</w:t>
            </w:r>
          </w:p>
          <w:p>
            <w:pPr>
              <w:pStyle w:val="null3"/>
              <w:ind w:firstLine="48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大剂量历史查询：可回顾</w:t>
            </w:r>
            <w:r>
              <w:rPr>
                <w:rFonts w:ascii="仿宋_GB2312" w:hAnsi="仿宋_GB2312" w:cs="仿宋_GB2312" w:eastAsia="仿宋_GB2312"/>
                <w:sz w:val="24"/>
                <w:color w:val="000000"/>
              </w:rPr>
              <w:t>≥90次大剂量历史</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胰岛素输注速率：</w:t>
            </w:r>
            <w:r>
              <w:rPr>
                <w:rFonts w:ascii="仿宋_GB2312" w:hAnsi="仿宋_GB2312" w:cs="仿宋_GB2312" w:eastAsia="仿宋_GB2312"/>
                <w:sz w:val="24"/>
                <w:color w:val="000000"/>
              </w:rPr>
              <w:t>至少</w:t>
            </w:r>
            <w:r>
              <w:rPr>
                <w:rFonts w:ascii="仿宋_GB2312" w:hAnsi="仿宋_GB2312" w:cs="仿宋_GB2312" w:eastAsia="仿宋_GB2312"/>
                <w:sz w:val="24"/>
                <w:color w:val="000000"/>
              </w:rPr>
              <w:t>可设低速和高速两种速率</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19.</w:t>
            </w:r>
            <w:r>
              <w:rPr>
                <w:rFonts w:ascii="仿宋_GB2312" w:hAnsi="仿宋_GB2312" w:cs="仿宋_GB2312" w:eastAsia="仿宋_GB2312"/>
                <w:sz w:val="24"/>
                <w:color w:val="000000"/>
              </w:rPr>
              <w:t>应急设置：可设置紧急联系人号码</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0.具备</w:t>
            </w:r>
            <w:r>
              <w:rPr>
                <w:rFonts w:ascii="仿宋_GB2312" w:hAnsi="仿宋_GB2312" w:cs="仿宋_GB2312" w:eastAsia="仿宋_GB2312"/>
                <w:sz w:val="24"/>
                <w:color w:val="000000"/>
              </w:rPr>
              <w:t>系统自动阻塞检测</w:t>
            </w:r>
            <w:r>
              <w:rPr>
                <w:rFonts w:ascii="仿宋_GB2312" w:hAnsi="仿宋_GB2312" w:cs="仿宋_GB2312" w:eastAsia="仿宋_GB2312"/>
                <w:sz w:val="24"/>
                <w:color w:val="000000"/>
              </w:rPr>
              <w:t>功能；</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1.具备</w:t>
            </w:r>
            <w:r>
              <w:rPr>
                <w:rFonts w:ascii="仿宋_GB2312" w:hAnsi="仿宋_GB2312" w:cs="仿宋_GB2312" w:eastAsia="仿宋_GB2312"/>
                <w:sz w:val="24"/>
                <w:color w:val="000000"/>
              </w:rPr>
              <w:t>餐前大剂量预设模式和基础率智能分段功能，参考基础率需满足</w:t>
            </w:r>
            <w:r>
              <w:rPr>
                <w:rFonts w:ascii="仿宋_GB2312" w:hAnsi="仿宋_GB2312" w:cs="仿宋_GB2312" w:eastAsia="仿宋_GB2312"/>
                <w:sz w:val="24"/>
                <w:color w:val="000000"/>
              </w:rPr>
              <w:t>6、8、24段三种固定数值</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.防水防尘等级：≥IP67（提供国家认可的机构所出具检测报告）</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23.产品使用年限≥8年。</w:t>
            </w:r>
          </w:p>
          <w:p>
            <w:pPr>
              <w:pStyle w:val="null3"/>
              <w:spacing w:before="105" w:after="105"/>
              <w:ind w:firstLine="480"/>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参数"▲"条款为产品重要参数，技术参数中有明确要求的按要求提供产品佐证材料。未做明确要求的，设备硬件可提供产品说明书、产品技术白皮书、产品注册证等予以佐证、设备软件可提供软件运行截图等予以佐证、提供的检测报告等必须为国家认可的机构所出具。针对产品的佐证材料须证明为产品制造厂家原厂公开发布的（如：加盖产品制造厂家公章是被认为产品制造厂家原厂公开发布的方式之一）。</w:t>
            </w:r>
          </w:p>
          <w:p>
            <w:pPr>
              <w:pStyle w:val="null3"/>
              <w:spacing w:before="105" w:after="105"/>
              <w:ind w:firstLine="480"/>
              <w:jc w:val="both"/>
            </w:pPr>
            <w:r>
              <w:rPr>
                <w:rFonts w:ascii="仿宋_GB2312" w:hAnsi="仿宋_GB2312" w:cs="仿宋_GB2312" w:eastAsia="仿宋_GB2312"/>
                <w:sz w:val="24"/>
                <w:color w:val="000000"/>
              </w:rPr>
              <w:t>2．以上非"▲"条款，技术参数中有明确要求的按要求提供产品佐证材料，针对产品的佐证材料须证明为产品制造厂家原厂公开发布的（如：加盖产品制造厂家公章是被认为产品制造厂家原厂对外发布资料的佐证方式之一），未做明确要求的在投标产品技术参数响应表中响应即可，但供应商必须如实响应，自行承担相关法律责任。</w:t>
            </w:r>
          </w:p>
          <w:p>
            <w:pPr>
              <w:pStyle w:val="null3"/>
              <w:spacing w:before="105" w:after="105"/>
              <w:ind w:firstLine="480"/>
              <w:jc w:val="both"/>
            </w:pPr>
            <w:r>
              <w:rPr>
                <w:rFonts w:ascii="仿宋_GB2312" w:hAnsi="仿宋_GB2312" w:cs="仿宋_GB2312" w:eastAsia="仿宋_GB2312"/>
                <w:sz w:val="24"/>
                <w:color w:val="000000"/>
              </w:rPr>
              <w:t>3．未提供相关证明材料或者虽提供但无法佐证者，均自行承担被评审小组视为技术参数负偏离的风险。</w:t>
            </w:r>
          </w:p>
          <w:p>
            <w:pPr>
              <w:pStyle w:val="null3"/>
              <w:spacing w:before="105" w:after="105"/>
              <w:ind w:firstLine="480"/>
              <w:jc w:val="both"/>
            </w:pPr>
            <w:r>
              <w:rPr>
                <w:rFonts w:ascii="仿宋_GB2312" w:hAnsi="仿宋_GB2312" w:cs="仿宋_GB2312" w:eastAsia="仿宋_GB2312"/>
                <w:sz w:val="24"/>
                <w:color w:val="000000"/>
              </w:rPr>
              <w:t>4．供应商须严格按照采购文件产品参数描述进行响应，不得曲解</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文件产品参数描述意思或以其他参数描述来响应</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文件参数，不得以"正偏离"为由偷换技术参数描述方式进行响应，否则自行承担被评审小组视为技术参数负偏离的风险。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总体要求</w:t>
            </w:r>
          </w:p>
        </w:tc>
        <w:tc>
          <w:tcPr>
            <w:tcW w:type="dxa" w:w="5814"/>
          </w:tcPr>
          <w:p>
            <w:pPr>
              <w:pStyle w:val="null3"/>
              <w:ind w:firstLine="420"/>
              <w:jc w:val="both"/>
            </w:pPr>
            <w:r>
              <w:rPr>
                <w:rFonts w:ascii="仿宋_GB2312" w:hAnsi="仿宋_GB2312" w:cs="仿宋_GB2312" w:eastAsia="仿宋_GB2312"/>
                <w:sz w:val="21"/>
              </w:rPr>
              <w:t>1.支持全流程闭环追踪，包括医嘱的开立、病区医嘱的核对与执行、审方管理、批次管理、摆药、贴签、核对、进仓、配药、成品核对、配送交接、签收、执行环节。</w:t>
            </w:r>
          </w:p>
          <w:p>
            <w:pPr>
              <w:pStyle w:val="null3"/>
              <w:ind w:firstLine="420"/>
              <w:jc w:val="both"/>
            </w:pPr>
            <w:r>
              <w:rPr>
                <w:rFonts w:ascii="仿宋_GB2312" w:hAnsi="仿宋_GB2312" w:cs="仿宋_GB2312" w:eastAsia="仿宋_GB2312"/>
                <w:sz w:val="21"/>
              </w:rPr>
              <w:t>2.要求专业实施工程师进行软件的部署、设备安装、调试。</w:t>
            </w:r>
          </w:p>
          <w:p>
            <w:pPr>
              <w:pStyle w:val="null3"/>
              <w:ind w:firstLine="420"/>
              <w:jc w:val="both"/>
            </w:pPr>
            <w:r>
              <w:rPr>
                <w:rFonts w:ascii="仿宋_GB2312" w:hAnsi="仿宋_GB2312" w:cs="仿宋_GB2312" w:eastAsia="仿宋_GB2312"/>
                <w:sz w:val="21"/>
              </w:rPr>
              <w:t>3.提供24小时服务支持，根据采购人需求进行后期的维护及软件升级服务。</w:t>
            </w:r>
          </w:p>
          <w:p>
            <w:pPr>
              <w:pStyle w:val="null3"/>
              <w:ind w:firstLine="420"/>
              <w:jc w:val="both"/>
            </w:pPr>
            <w:r>
              <w:rPr>
                <w:rFonts w:ascii="仿宋_GB2312" w:hAnsi="仿宋_GB2312" w:cs="仿宋_GB2312" w:eastAsia="仿宋_GB2312"/>
                <w:sz w:val="21"/>
              </w:rPr>
              <w:t>4.具备静脉用药调配中心所需的智能设备的接口提供能力，系统能与医院HIS系统和药师审方干预系统实现数据对接，并能配合实现医院追溯码上传医保、药监等部门的实际需求。</w:t>
            </w:r>
          </w:p>
          <w:p>
            <w:pPr>
              <w:pStyle w:val="null3"/>
              <w:ind w:firstLine="420"/>
              <w:jc w:val="both"/>
            </w:pPr>
            <w:r>
              <w:rPr>
                <w:rFonts w:ascii="仿宋_GB2312" w:hAnsi="仿宋_GB2312" w:cs="仿宋_GB2312" w:eastAsia="仿宋_GB2312"/>
                <w:sz w:val="21"/>
              </w:rPr>
              <w:t>5.提供的承载平台要求：</w:t>
            </w:r>
          </w:p>
          <w:p>
            <w:pPr>
              <w:pStyle w:val="null3"/>
              <w:ind w:firstLine="840"/>
              <w:jc w:val="both"/>
            </w:pPr>
            <w:r>
              <w:rPr>
                <w:rFonts w:ascii="仿宋_GB2312" w:hAnsi="仿宋_GB2312" w:cs="仿宋_GB2312" w:eastAsia="仿宋_GB2312"/>
                <w:sz w:val="21"/>
              </w:rPr>
              <w:t>CPU：≥12个物理核心，频率≥2.2GHz，内存：≥32G</w:t>
            </w:r>
          </w:p>
          <w:p>
            <w:pPr>
              <w:pStyle w:val="null3"/>
              <w:ind w:firstLine="840"/>
              <w:jc w:val="both"/>
            </w:pPr>
            <w:r>
              <w:rPr>
                <w:rFonts w:ascii="仿宋_GB2312" w:hAnsi="仿宋_GB2312" w:cs="仿宋_GB2312" w:eastAsia="仿宋_GB2312"/>
                <w:sz w:val="21"/>
              </w:rPr>
              <w:t>硬盘</w:t>
            </w:r>
            <w:r>
              <w:rPr>
                <w:rFonts w:ascii="仿宋_GB2312" w:hAnsi="仿宋_GB2312" w:cs="仿宋_GB2312" w:eastAsia="仿宋_GB2312"/>
                <w:sz w:val="21"/>
              </w:rPr>
              <w:t>SSD：≥2个，且每个≥480GB</w:t>
            </w:r>
          </w:p>
          <w:p>
            <w:pPr>
              <w:pStyle w:val="null3"/>
              <w:ind w:firstLine="840"/>
              <w:jc w:val="both"/>
            </w:pPr>
            <w:r>
              <w:rPr>
                <w:rFonts w:ascii="仿宋_GB2312" w:hAnsi="仿宋_GB2312" w:cs="仿宋_GB2312" w:eastAsia="仿宋_GB2312"/>
                <w:sz w:val="21"/>
              </w:rPr>
              <w:t>SATA：≥2个，且每个≥2T</w:t>
            </w:r>
          </w:p>
          <w:p>
            <w:pPr>
              <w:pStyle w:val="null3"/>
              <w:ind w:firstLine="840"/>
              <w:jc w:val="both"/>
            </w:pPr>
            <w:r>
              <w:rPr>
                <w:rFonts w:ascii="仿宋_GB2312" w:hAnsi="仿宋_GB2312" w:cs="仿宋_GB2312" w:eastAsia="仿宋_GB2312"/>
                <w:sz w:val="21"/>
              </w:rPr>
              <w:t>扩充硬盘</w:t>
            </w:r>
            <w:r>
              <w:rPr>
                <w:rFonts w:ascii="仿宋_GB2312" w:hAnsi="仿宋_GB2312" w:cs="仿宋_GB2312" w:eastAsia="仿宋_GB2312"/>
                <w:sz w:val="21"/>
              </w:rPr>
              <w:t>SSD：≥2个，且每个≥3.84T</w:t>
            </w:r>
          </w:p>
          <w:p>
            <w:pPr>
              <w:pStyle w:val="null3"/>
              <w:ind w:firstLine="840"/>
              <w:jc w:val="both"/>
            </w:pPr>
            <w:r>
              <w:rPr>
                <w:rFonts w:ascii="仿宋_GB2312" w:hAnsi="仿宋_GB2312" w:cs="仿宋_GB2312" w:eastAsia="仿宋_GB2312"/>
                <w:sz w:val="21"/>
              </w:rPr>
              <w:t>SATA：≥8个，且每个≥8T</w:t>
            </w:r>
          </w:p>
          <w:p>
            <w:pPr>
              <w:pStyle w:val="null3"/>
              <w:ind w:firstLine="840"/>
              <w:jc w:val="both"/>
            </w:pPr>
            <w:r>
              <w:rPr>
                <w:rFonts w:ascii="仿宋_GB2312" w:hAnsi="仿宋_GB2312" w:cs="仿宋_GB2312" w:eastAsia="仿宋_GB2312"/>
                <w:sz w:val="21"/>
              </w:rPr>
              <w:t>电口：</w:t>
            </w:r>
            <w:r>
              <w:rPr>
                <w:rFonts w:ascii="仿宋_GB2312" w:hAnsi="仿宋_GB2312" w:cs="仿宋_GB2312" w:eastAsia="仿宋_GB2312"/>
                <w:sz w:val="21"/>
              </w:rPr>
              <w:t>≥4个，且每个电口≥1千兆</w:t>
            </w:r>
          </w:p>
          <w:p>
            <w:pPr>
              <w:pStyle w:val="null3"/>
              <w:ind w:firstLine="840"/>
              <w:jc w:val="both"/>
            </w:pPr>
            <w:r>
              <w:rPr>
                <w:rFonts w:ascii="仿宋_GB2312" w:hAnsi="仿宋_GB2312" w:cs="仿宋_GB2312" w:eastAsia="仿宋_GB2312"/>
                <w:sz w:val="21"/>
              </w:rPr>
              <w:t>电源：</w:t>
            </w:r>
            <w:r>
              <w:rPr>
                <w:rFonts w:ascii="仿宋_GB2312" w:hAnsi="仿宋_GB2312" w:cs="仿宋_GB2312" w:eastAsia="仿宋_GB2312"/>
                <w:sz w:val="21"/>
              </w:rPr>
              <w:t>≥2个</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6.软件免费维护不低于五年（自软件验收通过开始计算）。</w:t>
            </w:r>
          </w:p>
          <w:p>
            <w:pPr>
              <w:pStyle w:val="null3"/>
              <w:ind w:firstLine="210"/>
              <w:jc w:val="left"/>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免费</w:t>
            </w:r>
            <w:r>
              <w:rPr>
                <w:rFonts w:ascii="仿宋_GB2312" w:hAnsi="仿宋_GB2312" w:cs="仿宋_GB2312" w:eastAsia="仿宋_GB2312"/>
                <w:sz w:val="21"/>
              </w:rPr>
              <w:t>提供定制开发服务，在使用过程中针对医院合理需求进行系统完善。</w:t>
            </w:r>
          </w:p>
          <w:p>
            <w:pPr>
              <w:pStyle w:val="null3"/>
              <w:spacing w:after="120"/>
              <w:ind w:firstLine="210"/>
              <w:jc w:val="both"/>
            </w:pPr>
            <w:r>
              <w:rPr>
                <w:rFonts w:ascii="仿宋_GB2312" w:hAnsi="仿宋_GB2312" w:cs="仿宋_GB2312" w:eastAsia="仿宋_GB2312"/>
                <w:sz w:val="21"/>
              </w:rPr>
              <w:t xml:space="preserve">    </w:t>
            </w:r>
            <w:r>
              <w:rPr>
                <w:rFonts w:ascii="仿宋_GB2312" w:hAnsi="仿宋_GB2312" w:cs="仿宋_GB2312" w:eastAsia="仿宋_GB2312"/>
                <w:sz w:val="21"/>
              </w:rPr>
              <w:t>8.软件维护费不高于除开硬件金额合同金额的6%，维护服务每年需进行年终考核后支付。</w:t>
            </w:r>
          </w:p>
          <w:p>
            <w:pPr>
              <w:pStyle w:val="null3"/>
              <w:ind w:firstLine="210"/>
              <w:jc w:val="both"/>
            </w:pPr>
            <w:r>
              <w:rPr>
                <w:rFonts w:ascii="仿宋_GB2312" w:hAnsi="仿宋_GB2312" w:cs="仿宋_GB2312" w:eastAsia="仿宋_GB2312"/>
                <w:sz w:val="21"/>
              </w:rPr>
              <w:t xml:space="preserve">    </w:t>
            </w:r>
            <w:r>
              <w:rPr>
                <w:rFonts w:ascii="仿宋_GB2312" w:hAnsi="仿宋_GB2312" w:cs="仿宋_GB2312" w:eastAsia="仿宋_GB2312"/>
                <w:sz w:val="21"/>
              </w:rPr>
              <w:t>9.产品自身升级迭代时，免费进行升级迭代。</w:t>
            </w:r>
          </w:p>
          <w:p>
            <w:pPr>
              <w:pStyle w:val="null3"/>
              <w:jc w:val="left"/>
            </w:pPr>
            <w:r>
              <w:rPr>
                <w:rFonts w:ascii="仿宋_GB2312" w:hAnsi="仿宋_GB2312" w:cs="仿宋_GB2312" w:eastAsia="仿宋_GB2312"/>
                <w:sz w:val="21"/>
              </w:rPr>
              <w:t xml:space="preserve">       10.安排专人配合医院对医务人员开展培训。</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泸县人民医院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1、软件稳定运行3个月（自软件上线正式使用开始计算），中标方提出验收申请，医院方组织进行验收，验收合格且收到发票，达到付款条件起30日内，支付合同总金额的100.00%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成立验收小组，按国家有关规定以及采购文件的服务质量要求和技术指标及考核办法、响应文件及承诺与合同约定标准进行验收；双方如对服务质量要求和技术指标的约定标准有相互抵触或异议的事项，由采购人在采购文件与响应文件中按服务质量要求和技术指标比较优胜的原则确定该项的约定标准进行验收；验收事项应严格按照《财政部关于进一步加强政府采购需求和履约验收管理的指导意见》（财库〔2016〕205 号）、《政府采购需求管理办法》（财库〔2021〕22 号）等相关政府采购法律法规，以及四川省、泸州市的相关要求进行验收。验收时，按照采购文件及采购合同的约定对每一项技术、服务、安全标准、商务情况的履约情况进行确认。验收结束后，出具书面验收记录，列明各项标准的验收情况及项目总体评价，由验收双方共同签署。履约验收的各项资料应存档备查。</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软件免费维护不低于5年，配套硬件质保不低于3年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1.采购人和成交供应商均应遵守采购合同，非因不可抗力而单方面解除合同的，将赔偿因违约给对方造成的经济损失，并向对方支付本项目合同金额 10%的违约金，如因成交供应商原因造成的，采购人提请项目同级财政部门将其列入不良行为记录。 2.若因成交供应商原因在合同约定时间内无法完成项目，采购人有权解除合同，并请示项目同级财政部门取消其成交资格，并向成交供应商收取本项目合同金额10%的违约金，同时按照泸州市供应商诚信管理规定进行记分；或经双方协商同意继续履行合同，供应商在延迟服务期内每天按合同金额 3‰的标准向成交供应商支付违约金。 3.成交供应商保证本项目服务过程中涉及的配套产品（如软件等）的权利无瑕疵，包括所有权及知识产权等权利无瑕疵。如任何第三方经法院（或仲裁机构）裁决有权对上述产品主张权利或国家机关依法对货物进行没收查处的，成交供应商除应向采购人返还已收款项外，由成交供应商向采购人支付违约金，违约金为合同金额的10%，并赔偿因此给采购人造成的其他一切损失。 4.成交供应商应严格遵守服务承诺，如有违约，成交供应商应向采购人赔偿合同总价的5%/次的违约金，若违约金不足以赔偿给采购人造成的经济损失则成交供应商应该30日内补足补齐采购人经济损失。若因成交供应商未按承诺时间响应到场维修排除故障，采购人有权邀请第三方进行故障排查及维修，造成的损失及产生的费用由成交供应商承担，采购人可部分或全部扣除暂未支付给成交供应商的款项。若采购人电话通知成交供应商，未按承诺时限到场维修，超过1天未解决问题的，采购人追究成交供应商服务违约的相关责任每天按合同总额 3%的标准收取违约金，并按照泸州市供应商诚信管理规定进行记分。 5.采购人由于不可抗力的原因不能履行合同时，应及时向成交供应商和见证方、项目同级财政部门通报不能履行或不能完全履行的理由；成交供应商由于不可抗力的原因不能履行合同时，应在交货（服务）时间到期以前及时向采购人和见证方、项目同级财政部门通报不能履行或不能完全履行的理由；在取得有关主管机关证明以后，可以签订延期履行、部分履行补充合同或者不履行合同，并根据情况可部分或全部免予承担违约责任。 6.因成交供应商导致患者隐私、敏感数据泄露、被篡改、丢失等安全事件，导致采购人被被监管部门处罚，成交供应商除承担全部罚款外，还需支付采购人额外违约金（合同金额10%）。其他因成交供应商责任引发患者、合作方等对采购人的索赔，乙方需赔偿采购人全部损失（含罚款、声誉损失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自合同签订之日起60日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泸县人民医院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1、验收合格且开具发票，达到付款条件起60日内，支付合同总金额的100.00%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①、采购人与成交供应商应严格按照《财政部关于进一步加强政府采购需求和履约验收管理的指导意见》(财库〔2016〕205 号)、政府采购需求管理办法(财库〔2021〕22号)的要求进行验收。 ②、如所成交供应商所投报产品为医疗器械，则根据《医疗器械监督管理条例》完成医疗器械验收查验；验收时如发现成交供应商提供的服务不符合标准及合同规定之情形者，采购人应做出详尽的现场记录，由此产生的时间延误与有关费用由成交供应商承担，验收期限相应顺延；如服务质量验收合格，双方应在《验收查验记录》相应栏目签字或盖章。</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1.整机质保期不少于5年；质保期内所更换零部件由成交供应商及时提供，所涉及的劳务、交通、运输、零配件等一切相关费用由成交供应商承担，采购人不承担任何费用； 质保期计算：从设备验收合格交付使用后开始计算。 2.维修响应速度：2个小时内作出维修方案决定；如3小时内无法电话解决问题，维修人员必须在48小时之内到达设备维修现场（含节假日）。 3.设备故障72小时内无法修复的，采购人有权要求成交供应商提供备用设备，费用包含在投标报价中，采购人不再额外支付费用。 4.用于对接采购人信息化建设的接口开放，不得收取任何接口费，并协助接入采购人PACS、LIS、HIS等网络；如涉及任何接口费由成交供应商自行解决。 5.成交供应商售后服务机构在设备质保期内，须根据设备实际情况维护和对使用人员进行相关培训。 6.设备质保期内同一故障现象经成交供应商3次维修仍不能达到合同约定的质量标准，采购人有权要求更换同型号全新设备，或无条件退货。 7.成交供应商须指派专人负责让采购人联系售后服务事宜。在质保期外，只收取成本费用提供产品的更换、维修；同时向采购人承诺技术后援支持，工作时间须提供电话咨询服务。 8.在设备使用寿命年限内提供易损耗材、零件、备件、附件及软件升级服务，并以优惠的价格提供该设备所需的维修零配件；在硬件支持的情况下永久提供软件升级服务，不再额外收取任何费用。 9.成交供应商在国内应有24小时电话维修系统，并在成交后列出工程师名单、联系电话、通讯地址及备件库地址和备件的详细目录。 10.成交供应商售后服务机构在对设备进行保养、维修后，须向采购人管理科室提供经使用科室使用人员确认的纸质保养、维修报告，未经使用科室使用人员确认视为未提供保养维修服务。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若因成交供应商原因在合同规定期限内无法交货，采购人有权解除合同，并由成交供应商向采购人支付合同总额10%的违约金；或经采购双方协商同意继续履行合同，采购人不予退还履约保证金（如涉及），采购人视情况在延迟交货期内每天按合同总额3‰的标准收取违约金。因不可抗拒力所导致的交货及付款延迟等按照《中华人民共和国民法典》有关条文处理。 2.成交供应商交付的货物质量不符合合同规定的，成交供应商应向采购人支付合同总价的5%的违约金，并须在合同规定的交货时间内更换合格的货物给采购人，否则，视作成交供应商不能交付货物而违约，按合同相关约定进行处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 xml:space="preserve"> 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响应文件封面,投标（响应）函,营业执照.docx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或2025年，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或2025年，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符合《医疗器械监督管理条例》要求与《医疗器械注册与备案管理办法》要求</w:t>
            </w:r>
          </w:p>
        </w:tc>
        <w:tc>
          <w:tcPr>
            <w:tcW w:type="dxa" w:w="3322"/>
          </w:tcPr>
          <w:p>
            <w:pPr>
              <w:pStyle w:val="null3"/>
              <w:jc w:val="left"/>
            </w:pPr>
            <w:r>
              <w:rPr>
                <w:rFonts w:ascii="仿宋_GB2312" w:hAnsi="仿宋_GB2312" w:cs="仿宋_GB2312" w:eastAsia="仿宋_GB2312"/>
              </w:rPr>
              <w:t>本项目采购产品，如为医疗器械，供应商须符合《医疗器械监督管理条例》要求并提供供应商经营该产品的经营许可/经营备案证明材料；所投的医疗器械须符合《医疗器械注册与备案管理办法》要求并提供产品的注册/备案证明材料； 注：对医疗器械有国家行政管理部门出具的最新分类或不纳入管理的政策依据的，按最新政策提供上述证书并提供相关说明。</w:t>
            </w:r>
          </w:p>
        </w:tc>
        <w:tc>
          <w:tcPr>
            <w:tcW w:type="dxa" w:w="1661"/>
          </w:tcPr>
          <w:p>
            <w:pPr>
              <w:pStyle w:val="null3"/>
              <w:jc w:val="left"/>
            </w:pPr>
            <w:r>
              <w:rPr>
                <w:rFonts w:ascii="仿宋_GB2312" w:hAnsi="仿宋_GB2312" w:cs="仿宋_GB2312" w:eastAsia="仿宋_GB2312"/>
              </w:rPr>
              <w:t>特定资格审查证明材料.docx,投标（响应）函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关于符合本国产品标准的声明函,投标（响应）函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服务要求、商务要求响应</w:t>
            </w:r>
          </w:p>
        </w:tc>
        <w:tc>
          <w:tcPr>
            <w:tcW w:type="dxa" w:w="3322"/>
          </w:tcPr>
          <w:p>
            <w:pPr>
              <w:pStyle w:val="null3"/>
              <w:jc w:val="left"/>
            </w:pPr>
            <w:r>
              <w:rPr>
                <w:rFonts w:ascii="仿宋_GB2312" w:hAnsi="仿宋_GB2312" w:cs="仿宋_GB2312" w:eastAsia="仿宋_GB2312"/>
              </w:rPr>
              <w:t>符合采购文件要求</w:t>
            </w:r>
          </w:p>
        </w:tc>
        <w:tc>
          <w:tcPr>
            <w:tcW w:type="dxa" w:w="1661"/>
          </w:tcPr>
          <w:p>
            <w:pPr>
              <w:pStyle w:val="null3"/>
              <w:jc w:val="left"/>
            </w:pPr>
            <w:r>
              <w:rPr>
                <w:rFonts w:ascii="仿宋_GB2312" w:hAnsi="仿宋_GB2312" w:cs="仿宋_GB2312" w:eastAsia="仿宋_GB2312"/>
              </w:rPr>
              <w:t>服务应答表.docx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技术要求、商务要求响应</w:t>
            </w:r>
          </w:p>
        </w:tc>
        <w:tc>
          <w:tcPr>
            <w:tcW w:type="dxa" w:w="3322"/>
          </w:tcPr>
          <w:p>
            <w:pPr>
              <w:pStyle w:val="null3"/>
              <w:jc w:val="left"/>
            </w:pPr>
            <w:r>
              <w:rPr>
                <w:rFonts w:ascii="仿宋_GB2312" w:hAnsi="仿宋_GB2312" w:cs="仿宋_GB2312" w:eastAsia="仿宋_GB2312"/>
              </w:rPr>
              <w:t>符合采购文件要求</w:t>
            </w:r>
          </w:p>
        </w:tc>
        <w:tc>
          <w:tcPr>
            <w:tcW w:type="dxa" w:w="1661"/>
          </w:tcPr>
          <w:p>
            <w:pPr>
              <w:pStyle w:val="null3"/>
              <w:jc w:val="left"/>
            </w:pPr>
            <w:r>
              <w:rPr>
                <w:rFonts w:ascii="仿宋_GB2312" w:hAnsi="仿宋_GB2312" w:cs="仿宋_GB2312" w:eastAsia="仿宋_GB2312"/>
              </w:rPr>
              <w:t>产品技术参数响应表,服务应答表.docx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 技术、服务及其他要求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技术保障措施9%</w:t>
            </w:r>
          </w:p>
        </w:tc>
        <w:tc>
          <w:tcPr>
            <w:tcW w:type="dxa" w:w="2575"/>
          </w:tcPr>
          <w:p>
            <w:pPr>
              <w:pStyle w:val="null3"/>
              <w:jc w:val="left"/>
            </w:pPr>
            <w:r>
              <w:rPr>
                <w:rFonts w:ascii="仿宋_GB2312" w:hAnsi="仿宋_GB2312" w:cs="仿宋_GB2312" w:eastAsia="仿宋_GB2312"/>
              </w:rPr>
              <w:t>根据供应商针对本项目制定的技术保障措施进行评审，技术保障措施包含：①技术开发团队；②软件实现方式；③技术方案。涵盖以上内容且不存在缺陷得9分，在此基础上，每缺少一项内容扣3分，每项中每有一处内容存在缺陷扣1.5分，每项最多扣3分。（“内容存在缺陷”是指：①本项目提供的方案中引用法律、规范、标准存在失效或错误；②非专门针对本项目或内容与本项目需求无关；③内容矛盾或表述前后不一致；④复制或套用其他项目内容；以上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技术参数39%</w:t>
            </w:r>
          </w:p>
        </w:tc>
        <w:tc>
          <w:tcPr>
            <w:tcW w:type="dxa" w:w="2575"/>
          </w:tcPr>
          <w:p>
            <w:pPr>
              <w:pStyle w:val="null3"/>
              <w:jc w:val="left"/>
            </w:pPr>
            <w:r>
              <w:rPr>
                <w:rFonts w:ascii="仿宋_GB2312" w:hAnsi="仿宋_GB2312" w:cs="仿宋_GB2312" w:eastAsia="仿宋_GB2312"/>
              </w:rPr>
              <w:t>投标产品完全符合采购文件要求没有负偏离得39分。 非▲项技术参数共15项共计21分，与采购文件要求有负偏离的，一项扣1.4分,扣完为止。 带▲项技术参数为产品核心功能共6项共计18分，要求供应商对核心功能提供相应证明，相应证明不能实现技术参数要求，一项扣3分，扣完为止。 注：技术参数中的“★”条款为实质性条款，负偏离视为无效投标；“▲”为重要参数条款，未提供佐证材料无法佐证均视为技术参数负偏离；非“★”“▲”条款响应即可。</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履约能力10%</w:t>
            </w:r>
          </w:p>
        </w:tc>
        <w:tc>
          <w:tcPr>
            <w:tcW w:type="dxa" w:w="2575"/>
          </w:tcPr>
          <w:p>
            <w:pPr>
              <w:pStyle w:val="null3"/>
              <w:jc w:val="left"/>
            </w:pPr>
            <w:r>
              <w:rPr>
                <w:rFonts w:ascii="仿宋_GB2312" w:hAnsi="仿宋_GB2312" w:cs="仿宋_GB2312" w:eastAsia="仿宋_GB2312"/>
              </w:rPr>
              <w:t>1、2021年1月1日（含）至递交投标文件截止之日，供应商每有一个类似项目业绩的，得1分，本项最多得5分。 注：提供合同复印件，以合同签订时间为准。 2、供应商具有静脉用药调配中心管理信息软件相关的著作权。满足得5分。未提供不得分。（提供证书复印件）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售后服务方案12%</w:t>
            </w:r>
          </w:p>
        </w:tc>
        <w:tc>
          <w:tcPr>
            <w:tcW w:type="dxa" w:w="2575"/>
          </w:tcPr>
          <w:p>
            <w:pPr>
              <w:pStyle w:val="null3"/>
              <w:jc w:val="left"/>
            </w:pPr>
            <w:r>
              <w:rPr>
                <w:rFonts w:ascii="仿宋_GB2312" w:hAnsi="仿宋_GB2312" w:cs="仿宋_GB2312" w:eastAsia="仿宋_GB2312"/>
              </w:rPr>
              <w:t>根据供应商针对本项目制定的售后服务方案进行评审，售后服务方案包含：1.售后服务机制；2.售后服务的保障措施；3.售后人员配置的安排计划；4.故障处理等的响应时间安排计划5.人员培训计划、培训内容方案。涵盖以上内容且不存在缺陷得12分，在此基础上，每缺少一项内容扣2.4分，每项中每有一处内容存在缺陷扣1.2分，每项最多扣2.4分。（“内容存在缺陷”是指：①本项目提供的方案中引用法律、规范、标准存在失效或错误；②非专门针对本项目或内容与本项目需求无关；③内容矛盾或表述前后不一致；④复制或套用其他项目内容；以上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投标产品完全符合技术要求没有负偏离得49分；每1条▲条款（▲条款共7条，每条5分，共35分）负偏离扣5分，每有1条无标识条款（无标识条款共14条，每条1分，共14分）负偏离扣1分，扣完为止</w:t>
            </w:r>
          </w:p>
        </w:tc>
        <w:tc>
          <w:tcPr>
            <w:tcW w:type="dxa" w:w="831"/>
          </w:tcPr>
          <w:p>
            <w:pPr>
              <w:pStyle w:val="null3"/>
              <w:jc w:val="center"/>
            </w:pPr>
            <w:r>
              <w:rPr>
                <w:rFonts w:ascii="仿宋_GB2312" w:hAnsi="仿宋_GB2312" w:cs="仿宋_GB2312" w:eastAsia="仿宋_GB2312"/>
              </w:rPr>
              <w:t>49.0000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实际情况提供项目实施方案，内容包含①配送与安装方案、②质量保证方案；③售后服务方案；④人员培训计划；⑤故障应急预案。以上5项内容齐全的得18分，每缺1项内容扣3.6分，1个子项中每有1处缺陷扣1.8分，扣完为止。 注：缺陷是指存在项目名称错误、地点区域错误、内容与本项目需求无关、方案内容仅有框架或标题或照搬采购文件要求原文、适用的标准（方法）错误、明显复制其他项目内容等任意一种情形。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所有产品在满足采购文件实质性要求的质保年限的基础上，每统一增加质保期1年得1分，本项最多得3分。【提供承诺函】</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详见附件：供应商应提交的相关证明材料.docx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详见附件：特定资格审查证明材料.docx</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详见附件：供应商应提交的相关证明材料.docx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详见附件：政府采购货物合同模板.docx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