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954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rPr>
        <w:t>技术、服务及其他要求</w:t>
      </w:r>
    </w:p>
    <w:p w14:paraId="6D0EE9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54CD421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1C8F00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3307CA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采购包预算金额（元）: 1,680,000.00</w:t>
      </w:r>
    </w:p>
    <w:p w14:paraId="384106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采购包最高限价（元）: 1,680,000.00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8"/>
        <w:gridCol w:w="770"/>
        <w:gridCol w:w="719"/>
        <w:gridCol w:w="1141"/>
        <w:gridCol w:w="1143"/>
        <w:gridCol w:w="719"/>
        <w:gridCol w:w="719"/>
        <w:gridCol w:w="719"/>
        <w:gridCol w:w="719"/>
        <w:gridCol w:w="654"/>
        <w:gridCol w:w="655"/>
      </w:tblGrid>
      <w:tr w14:paraId="392EF0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3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72C3E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1F4AB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29185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FB57E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71065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B73EB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41BB4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09168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24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BEDD7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91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0DB3C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91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06827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1E8B6F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127D4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9407F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6BFF3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标牌</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7C7C6C">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68.00（套）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6EED6A">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205,360.00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2E738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031EC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E42E8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0E077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1F243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B704E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6E2C87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5B89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CD6E3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0981E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标线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3D5253">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4,120.00（平方米）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827799">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160,680.00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95655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7B400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B564E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0A621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D8500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8E13C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7246F6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24543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BB42E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57701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护栏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23FB1C">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1,330.00（米）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8283B9">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465,500.00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8E2A4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A9493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DE112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42DB9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236A8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EE91B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580524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00BA0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8E1BA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65089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石球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12D9DB">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360.00（个）</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3F0E4F">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288,000.00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39DF4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82F87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22288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95D04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E542B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17C9A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64D559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E1C63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F994F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C2594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防撞柱</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BD653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1,120.00（米）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FF746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201,600.00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EDD47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FF670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FD16A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F4289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242F5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A8704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116E9A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917EE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53660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BDBB2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振荡标线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32E1D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300.00（平方米）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BAF77A">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34,500.00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3523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2C5B2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DEEAD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81370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E9690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92F71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26A9C7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BB6DD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1377F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3ACD3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减速带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F715CE">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660.00（米）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477E0B">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168,960.00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68A88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DEF1A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E904D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0F2E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34CB8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546A1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7755EB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E894C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4E44B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08843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爆闪灯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2C11B9">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50.00（套）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FC1B13">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10A56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CCA21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1719D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F0637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81EE4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31969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45A508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D9EDF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A14C2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A2E12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视频监控</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BE0C65">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1.00（个）</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66DEBE">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9,800.00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6CAA3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80321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6480A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6DEC1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5F9AB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010AA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01FEF4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E75E7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08A0C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85569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监控杆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65506B">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EFED16">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17,450.00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30AC9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C2E52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E9297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68D7F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46D56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64785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71B6417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592E7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80916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5AEEF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电源线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74CF8F">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48E52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1,700.00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3CECD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CD785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34B3D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3FBCF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5EE7F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8424A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27F278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E4019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6637A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10255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凸透镜</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038328">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DBBDCF">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1,450.00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C983B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D4CEF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5DF1D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901CD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2C866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91E83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1D6F5E1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3854F1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04"/>
        <w:gridCol w:w="1596"/>
        <w:gridCol w:w="1550"/>
        <w:gridCol w:w="1350"/>
        <w:gridCol w:w="1186"/>
        <w:gridCol w:w="1760"/>
      </w:tblGrid>
      <w:tr w14:paraId="22681C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30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F28ED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1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8FA89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3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C1C77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数量（计量单位）</w:t>
            </w:r>
          </w:p>
        </w:tc>
        <w:tc>
          <w:tcPr>
            <w:tcW w:w="40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0B1F9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3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C54E9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580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E2357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2D8E8E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442C5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EF341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标牌</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E1489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68.00（套）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62839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205,360.00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D76A1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144D9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35462F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223C2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E2DBE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标线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25F71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4,120.00（平方米）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CE0F9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160,680.00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B60D4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63467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5AB4E0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40C88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6744B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护栏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F7668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1,330.00（米）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6AF01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465,500.00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8059A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E9A14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459FD4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BD0E2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2F83D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石球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5F7FD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360.00（个）</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72C67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288,000.00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2C6E7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DC901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0445B8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346B5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5FC6F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防撞柱</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4966A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1,120.00（米）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30397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201,600.00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6E6DE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2BAF1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4455C3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93DB7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D54F6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振荡标线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12F28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300.00（平方米）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45A45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34,500.00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815C1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E9AB9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39971A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0FBB8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82C37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减速带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19DA0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660.00（米）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32FC2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168,960.00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77E41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9010A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5B5F26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DBBC3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277D5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爆闪灯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9DB34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50.00（套）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EA3FC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7BB56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92D38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122BB0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3A4FA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9F204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视频监控</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78520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1.00（个）</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B9F49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9,800.00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A158C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9A740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67F54D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BCC01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6081A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监控杆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083C2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DB8A9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17,450.00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82E2E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AA7CF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7074C1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91D45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AA518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电源线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B8EF0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100.00（米）</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7CD08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1,700.00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BD178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DCC75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0F0301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88CF5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4D3CA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凸透镜</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964B0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59CE5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1,450.00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DB383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DA72A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bl>
    <w:p w14:paraId="0D03B67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★注：供应商响应产品应当明确品牌和规格型号并指向唯一产品，不能指向唯一产品的，应通过报价表唯一产品说明栏补充说明。</w:t>
      </w:r>
    </w:p>
    <w:p w14:paraId="49D81AA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68DC4D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0"/>
        <w:gridCol w:w="2495"/>
        <w:gridCol w:w="2495"/>
        <w:gridCol w:w="2496"/>
      </w:tblGrid>
      <w:tr w14:paraId="0BFA66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4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13D4E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C8060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B7B90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30AE6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42728A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3388D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0AF92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A02370200 交通管理设备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C6A48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标牌</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0FDC9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标牌</w:t>
            </w:r>
          </w:p>
        </w:tc>
      </w:tr>
    </w:tbl>
    <w:p w14:paraId="02132F1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注：涉及核心产品的，具体评审规定见第五章</w:t>
      </w:r>
    </w:p>
    <w:p w14:paraId="1EC81C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74A780A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0"/>
        <w:gridCol w:w="2495"/>
        <w:gridCol w:w="2495"/>
        <w:gridCol w:w="2496"/>
      </w:tblGrid>
      <w:tr w14:paraId="6B2B47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4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025DD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8E44E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9FD79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9EEE1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68702B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FCF60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5A6C58C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★注：不涉及采购进口产品时，供应商不得提供进口产品进行响应；涉及采购进口产品时，如国产产品满足采购需求，也可提供国产产品进行响应。</w:t>
      </w:r>
    </w:p>
    <w:p w14:paraId="23A9DD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69A0D1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0"/>
        <w:gridCol w:w="2495"/>
        <w:gridCol w:w="2495"/>
        <w:gridCol w:w="2496"/>
      </w:tblGrid>
      <w:tr w14:paraId="2352C7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4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B28BE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6CF6F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CF7B5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1A2B4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1323C0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F5FC0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6511BC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116D017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4F57F0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0"/>
        <w:gridCol w:w="2495"/>
        <w:gridCol w:w="2495"/>
        <w:gridCol w:w="2496"/>
      </w:tblGrid>
      <w:tr w14:paraId="71F961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4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A2987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31548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FBA89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D3CAF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BCCBA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DB9B5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1FFBDEE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63BCCCE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4D82A7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0"/>
        <w:gridCol w:w="2495"/>
        <w:gridCol w:w="2495"/>
        <w:gridCol w:w="2496"/>
      </w:tblGrid>
      <w:tr w14:paraId="7679E8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4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88383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08763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61710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74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45972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4E60BC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509C5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0FF22EC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C8D227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6F2297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21B6880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标的名称：标牌</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3"/>
        <w:gridCol w:w="830"/>
        <w:gridCol w:w="1589"/>
        <w:gridCol w:w="5434"/>
      </w:tblGrid>
      <w:tr w14:paraId="4592FF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7139E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746E9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9ACCF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7A2E3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7CBBFE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E19C0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1CBB65">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BF0C4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标牌</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105E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仿宋" w:hAnsi="仿宋" w:eastAsia="仿宋" w:cs="仿宋"/>
                <w:color w:val="000000"/>
                <w:sz w:val="24"/>
                <w:szCs w:val="24"/>
                <w:bdr w:val="none" w:color="auto" w:sz="0" w:space="0"/>
              </w:rPr>
              <w:t>（</w:t>
            </w:r>
            <w:r>
              <w:rPr>
                <w:rFonts w:hint="eastAsia" w:ascii="仿宋" w:hAnsi="仿宋" w:eastAsia="仿宋" w:cs="仿宋"/>
                <w:color w:val="000000"/>
                <w:sz w:val="24"/>
                <w:szCs w:val="24"/>
                <w:bdr w:val="none" w:color="auto" w:sz="0" w:space="0"/>
              </w:rPr>
              <w:t>1）1根6米立柱φ89*5*6000mm；</w:t>
            </w:r>
          </w:p>
          <w:p w14:paraId="233382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（2）慢行标志牌L=700*2mm；Ⅳ类反光膜；</w:t>
            </w:r>
          </w:p>
          <w:p w14:paraId="366BC2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（3）前方学校标志牌：长1200mm,宽800mm；Ⅳ类反光膜；</w:t>
            </w:r>
          </w:p>
          <w:p w14:paraId="6B10C1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（4）限速标志牌φ800*2mm，限速20。Ⅳ类反光膜</w:t>
            </w:r>
          </w:p>
        </w:tc>
      </w:tr>
    </w:tbl>
    <w:p w14:paraId="4D5747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标的名称：标线</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5"/>
        <w:gridCol w:w="835"/>
        <w:gridCol w:w="1604"/>
        <w:gridCol w:w="5412"/>
      </w:tblGrid>
      <w:tr w14:paraId="0B3070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2FA87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16917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3342D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78645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04E9FB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5B981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EB2F9E">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5E1E0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标线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DD18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热熔标线，厚度≥1.8mm</w:t>
            </w:r>
          </w:p>
        </w:tc>
      </w:tr>
    </w:tbl>
    <w:p w14:paraId="604D3E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标的名称：护栏</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2"/>
        <w:gridCol w:w="780"/>
        <w:gridCol w:w="1430"/>
        <w:gridCol w:w="5674"/>
      </w:tblGrid>
      <w:tr w14:paraId="1FDC02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A3D4D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14DB3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1FE71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8CF98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076C1A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0E066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53A22F">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2861D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护栏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EE27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（1）护栏立柱尺寸为100mm*100mm，厚度为4mm，高度为1300mm，上横杆为φ114*3mm*3000钢管，下横杆为φ50*50*2mm*3000矩管，中间横杆为φ42*2mm*3000，中间竖杆为φ32*2mm*630；</w:t>
            </w:r>
          </w:p>
          <w:p w14:paraId="6B884F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（2）护栏不得出现型材弯曲、扭曲、宽窄不一致等现象，保证护栏整体一致性、均匀性；</w:t>
            </w:r>
          </w:p>
          <w:p w14:paraId="561FE0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（3）护栏须经除锈酸洗处理和清洗，再进行整体热镀锌工艺处理和静电喷涂处理，喷涂颜色为灰色，喷涂层要均匀，无色差，厚度≥60um；</w:t>
            </w:r>
          </w:p>
          <w:p w14:paraId="677269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（4）护栏粉末涂料检验报告中耐人工气候老化性试验≥8000小时（需提供第三方检测机构出具的检测报告扫描件予以佐证）</w:t>
            </w:r>
            <w:r>
              <w:rPr>
                <w:rStyle w:val="8"/>
                <w:rFonts w:hint="eastAsia" w:ascii="仿宋" w:hAnsi="仿宋" w:eastAsia="仿宋" w:cs="仿宋"/>
                <w:color w:val="000000"/>
                <w:sz w:val="24"/>
                <w:szCs w:val="24"/>
                <w:bdr w:val="none" w:color="auto" w:sz="0" w:space="0"/>
              </w:rPr>
              <w:t>；</w:t>
            </w:r>
          </w:p>
          <w:p w14:paraId="3FC789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（5）护栏粉末涂料检验报告中耐中性盐雾试验≥8000小时（需提供第三方检测机构出具的检测报告扫描件予以佐证）；</w:t>
            </w:r>
          </w:p>
          <w:p w14:paraId="26118E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  （6）护栏粉末涂料检验报告中耐酸性试验≥8000小时（需提供第三方检测机构出具的检测报告扫描件予以佐证）。</w:t>
            </w:r>
          </w:p>
        </w:tc>
      </w:tr>
    </w:tbl>
    <w:p w14:paraId="55D55E8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标的名称：石球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5"/>
        <w:gridCol w:w="835"/>
        <w:gridCol w:w="1604"/>
        <w:gridCol w:w="5412"/>
      </w:tblGrid>
      <w:tr w14:paraId="1D41E8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B00D5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AAD73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296A5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F86E1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0CB1D5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9C141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B7DF3D">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0E5AE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石球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EA31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防撞设施，直径≥600mm</w:t>
            </w:r>
          </w:p>
        </w:tc>
      </w:tr>
    </w:tbl>
    <w:p w14:paraId="789043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标的名称：防撞柱</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6"/>
        <w:gridCol w:w="821"/>
        <w:gridCol w:w="1558"/>
        <w:gridCol w:w="5481"/>
      </w:tblGrid>
      <w:tr w14:paraId="3DAFA2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DB88E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F2433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08D5E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8CA10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3527C9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796D6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795478">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7F08D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防撞柱</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3625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（1）材料要求‌：防撞柱应使用Q235钢材，直径不小于89mm，厚度不小于3mm。此外，无缝钢管的壁厚应不小于4mm，并采用镀锌管‌。</w:t>
            </w:r>
          </w:p>
          <w:p w14:paraId="5AD714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（2）防腐处理‌：防撞柱应经过防腐处理和外观喷涂，以确保长期使用不生锈、不腐蚀、美观大方‌。钢管表面应进行高压喷涂处理，并贴有超强级反光膜。</w:t>
            </w:r>
          </w:p>
        </w:tc>
      </w:tr>
    </w:tbl>
    <w:p w14:paraId="76868D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标的名称：振荡标线</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5"/>
        <w:gridCol w:w="835"/>
        <w:gridCol w:w="1604"/>
        <w:gridCol w:w="5412"/>
      </w:tblGrid>
      <w:tr w14:paraId="3554FF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776BB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005A4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EC57F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E8F2B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1E781E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37FD9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455001">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6911D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振荡标线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DCDA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震荡热熔标线，线宽30cm,厚度4-6mm</w:t>
            </w:r>
          </w:p>
        </w:tc>
      </w:tr>
    </w:tbl>
    <w:p w14:paraId="3661E1D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标的名称：减速带</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6"/>
        <w:gridCol w:w="821"/>
        <w:gridCol w:w="1558"/>
        <w:gridCol w:w="5481"/>
      </w:tblGrid>
      <w:tr w14:paraId="64195E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DB1D6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5648C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2066E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5E39A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5870A8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FC638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F11940">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09242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减速带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5C2B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（1）铸铁减速带：300mm×250mm×50mm；</w:t>
            </w:r>
          </w:p>
          <w:p w14:paraId="0E3A49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（2）安装方式：采用块状任意组合方式和内膨胀锚固技术，用螺丝将其牢固地固定在地面，安装牢固稳定，车辆撞击时不会松动。</w:t>
            </w:r>
          </w:p>
        </w:tc>
      </w:tr>
    </w:tbl>
    <w:p w14:paraId="2B520E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标的名称：爆闪灯</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6"/>
        <w:gridCol w:w="821"/>
        <w:gridCol w:w="1558"/>
        <w:gridCol w:w="5481"/>
      </w:tblGrid>
      <w:tr w14:paraId="61AF2C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F72C7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A5F3D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66AA9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3C226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122AAD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34BF2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2979A9">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9A9B6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爆闪灯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D63E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（1）太阳能红蓝双面爆闪灯，含镀锌钢管立柱；</w:t>
            </w:r>
          </w:p>
          <w:p w14:paraId="44A171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  （2）含立柱φ89mm×3500mm×3.5mm 热浸锌喷塑钢管，墨绿 色,规格：820×220×160 单面每格 42颗LED，太阳能板20W，10AH 电池。</w:t>
            </w:r>
          </w:p>
        </w:tc>
      </w:tr>
    </w:tbl>
    <w:p w14:paraId="56E6A8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标的名称：视频监控</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5"/>
        <w:gridCol w:w="751"/>
        <w:gridCol w:w="1339"/>
        <w:gridCol w:w="5811"/>
      </w:tblGrid>
      <w:tr w14:paraId="72B33F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91456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EADEB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19038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1526F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3DCA12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1FE26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CBE783">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BB3E2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视频监控</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3702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（1）≥400万像素1/1.8英寸CMOS 传感器；</w:t>
            </w:r>
          </w:p>
          <w:p w14:paraId="7424FB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（2）支持违停抓拍、卡口抓拍、电子警察，实现道路违法事件的抓拍；</w:t>
            </w:r>
          </w:p>
          <w:p w14:paraId="1481592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（3）支持多场景分别配置不同智能后，可进行多场景智能巡航，进行不同智能功能的分时复用，切换码流可继续支持原来的智能，支持跟踪抓拍；（需提供第三方检测机构出具的检测报告扫描件予以佐证）</w:t>
            </w:r>
          </w:p>
          <w:p w14:paraId="0436C9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（4）内置≥250米红外灯补光，采用倍率与红外灯功率匹配算法；</w:t>
            </w:r>
          </w:p>
          <w:p w14:paraId="0C0EA0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（5）水平方向360°连续旋转，垂直方向-30°～90°自动翻转180°后连续监视；</w:t>
            </w:r>
          </w:p>
          <w:p w14:paraId="763CA9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（6）支持快速智能切换，当更换当前智能模式时设备不需重启，新智能使能后即可生效（需提供第三方检测机构出具的检测报告扫描件予以佐证）；</w:t>
            </w:r>
          </w:p>
          <w:p w14:paraId="7814D4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7）支持陀螺仪防破坏报警和防破坏报警语音提示设置选项，开启后，当设备外壳受到外力撞击时，镜头可自动旋转至撞击位置进行监控并给出报警提示（需提供第三方检测机构出具的检测报告扫描件予以佐证）；</w:t>
            </w:r>
          </w:p>
          <w:p w14:paraId="4864A7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（8）支持≥300个预置位，≥8条巡航路径，≥5条巡迹路径；</w:t>
            </w:r>
          </w:p>
          <w:p w14:paraId="15E1A3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（9）支持雨刷功能；</w:t>
            </w:r>
          </w:p>
          <w:p w14:paraId="593976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4"/>
                <w:szCs w:val="24"/>
              </w:rPr>
            </w:pPr>
            <w:r>
              <w:rPr>
                <w:rFonts w:hint="eastAsia" w:ascii="仿宋" w:hAnsi="仿宋" w:eastAsia="仿宋" w:cs="仿宋"/>
                <w:color w:val="000000"/>
                <w:sz w:val="24"/>
                <w:szCs w:val="24"/>
                <w:bdr w:val="none" w:color="auto" w:sz="0" w:space="0"/>
              </w:rPr>
              <w:t>（10）支持国密算法 SM1、SM2、SM3、SM4，支持GB35114 A级。</w:t>
            </w:r>
          </w:p>
        </w:tc>
      </w:tr>
    </w:tbl>
    <w:p w14:paraId="22830FD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标的名称：监控杆</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5"/>
        <w:gridCol w:w="835"/>
        <w:gridCol w:w="1604"/>
        <w:gridCol w:w="5412"/>
      </w:tblGrid>
      <w:tr w14:paraId="715A78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93992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41161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B0B12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F767D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10FB06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B315B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911F21">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4F066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监控杆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64E5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7米监控杆，φ219*10*7000mm</w:t>
            </w:r>
          </w:p>
        </w:tc>
      </w:tr>
    </w:tbl>
    <w:p w14:paraId="164C56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标的名称：电源线</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01"/>
        <w:gridCol w:w="845"/>
        <w:gridCol w:w="1634"/>
        <w:gridCol w:w="5366"/>
      </w:tblGrid>
      <w:tr w14:paraId="2A173C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54E66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4BC01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A8240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05E0C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46375B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A88BF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68B0D7">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7802B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电源线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83D7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KVV22 3*2.5mm2</w:t>
            </w:r>
          </w:p>
        </w:tc>
      </w:tr>
    </w:tbl>
    <w:p w14:paraId="7A0670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标的名称：凸透镜</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01"/>
        <w:gridCol w:w="845"/>
        <w:gridCol w:w="1634"/>
        <w:gridCol w:w="5366"/>
      </w:tblGrid>
      <w:tr w14:paraId="7C1AE0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A50FA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3B240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DC780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0A6FE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671D46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8BCC4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4BDCAB">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DA29E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凸透镜</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DE95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φ1000+φ89立柱</w:t>
            </w:r>
          </w:p>
        </w:tc>
      </w:tr>
    </w:tbl>
    <w:p w14:paraId="2194357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155750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7CC3399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9"/>
        <w:gridCol w:w="775"/>
        <w:gridCol w:w="1780"/>
        <w:gridCol w:w="5332"/>
      </w:tblGrid>
      <w:tr w14:paraId="219DAE9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C4351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7743F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ED7F5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0E3A3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396735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0144B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94651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94098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（一）质量要求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FEC6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sz w:val="24"/>
                <w:szCs w:val="24"/>
              </w:rPr>
            </w:pPr>
            <w:r>
              <w:rPr>
                <w:rFonts w:hint="eastAsia" w:ascii="仿宋" w:hAnsi="仿宋" w:eastAsia="仿宋" w:cs="仿宋"/>
                <w:color w:val="000000"/>
                <w:sz w:val="24"/>
                <w:szCs w:val="24"/>
                <w:bdr w:val="none" w:color="auto" w:sz="0" w:space="0"/>
              </w:rPr>
              <w:t>1.供应商须提供全新的货物（含零部件、配件等），表面无划伤、无碰撞痕迹，且权属清楚，不得侵害他人的知识产权。</w:t>
            </w:r>
          </w:p>
          <w:p w14:paraId="67629E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sz w:val="24"/>
                <w:szCs w:val="24"/>
              </w:rPr>
            </w:pPr>
            <w:r>
              <w:rPr>
                <w:rFonts w:hint="eastAsia" w:ascii="仿宋" w:hAnsi="仿宋" w:eastAsia="仿宋" w:cs="仿宋"/>
                <w:color w:val="000000"/>
                <w:sz w:val="24"/>
                <w:szCs w:val="24"/>
                <w:bdr w:val="none" w:color="auto" w:sz="0" w:space="0"/>
              </w:rPr>
              <w:t>2.</w:t>
            </w:r>
            <w:r>
              <w:rPr>
                <w:rFonts w:hint="eastAsia" w:ascii="仿宋" w:hAnsi="仿宋" w:eastAsia="仿宋" w:cs="仿宋"/>
                <w:sz w:val="24"/>
                <w:szCs w:val="24"/>
                <w:bdr w:val="none" w:color="auto" w:sz="0" w:space="0"/>
              </w:rPr>
              <w:t>货物必须符合或优于国家及行业标准，以及本项目采购文件的质量要求和技术指标与出厂标准。</w:t>
            </w:r>
          </w:p>
          <w:p w14:paraId="5A14CA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sz w:val="24"/>
                <w:szCs w:val="24"/>
              </w:rPr>
            </w:pPr>
            <w:r>
              <w:rPr>
                <w:rFonts w:hint="eastAsia" w:ascii="仿宋" w:hAnsi="仿宋" w:eastAsia="仿宋" w:cs="仿宋"/>
                <w:color w:val="000000"/>
                <w:sz w:val="24"/>
                <w:szCs w:val="24"/>
                <w:bdr w:val="none" w:color="auto" w:sz="0" w:space="0"/>
              </w:rPr>
              <w:t>3.货物制造质量出现问题，供应商应负责三包（包修、包换、包退），费用由供应商负担。</w:t>
            </w:r>
          </w:p>
          <w:p w14:paraId="2CBDA9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sz w:val="24"/>
                <w:szCs w:val="24"/>
              </w:rPr>
            </w:pPr>
            <w:r>
              <w:rPr>
                <w:rFonts w:hint="eastAsia" w:ascii="仿宋" w:hAnsi="仿宋" w:eastAsia="仿宋" w:cs="仿宋"/>
                <w:color w:val="000000"/>
                <w:sz w:val="24"/>
                <w:szCs w:val="24"/>
                <w:bdr w:val="none" w:color="auto" w:sz="0" w:space="0"/>
              </w:rPr>
              <w:t>4.货到现场后交付采购人使用前由于供应商运输、装卸、保管不当造成的质量问题，由供应商负责修理，费用由供应商负担。</w:t>
            </w:r>
          </w:p>
        </w:tc>
      </w:tr>
      <w:tr w14:paraId="6BE4C4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297B1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3CBF5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C6608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（二）售后服务及要求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9391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sz w:val="24"/>
                <w:szCs w:val="24"/>
                <w:bdr w:val="none" w:color="auto" w:sz="0" w:space="0"/>
              </w:rPr>
              <w:t>1.售后服务期间，供应商应当建立24小时值班制度，配备两名及以上维护、抢修技术人员。（提供人员名单和在职证明材料）</w:t>
            </w:r>
          </w:p>
          <w:p w14:paraId="3483ED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sz w:val="24"/>
                <w:szCs w:val="24"/>
                <w:bdr w:val="none" w:color="auto" w:sz="0" w:space="0"/>
              </w:rPr>
              <w:t>2.售后服务期间，供应商必须建立接报维护档案，接到紧急抢修任务必须2小时内到达现场，24小时内恢复。遇重大活动、紧急任务等特殊情况时，支队有权进行统一调配人员和车辆。</w:t>
            </w:r>
          </w:p>
          <w:p w14:paraId="29813B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sz w:val="24"/>
                <w:szCs w:val="24"/>
                <w:bdr w:val="none" w:color="auto" w:sz="0" w:space="0"/>
              </w:rPr>
              <w:t>3.售后服务期间，供应商巡查中发现损坏、破坏、移位、变形等情况，要及时修复、校正、更换，不定期对污损交通标志牌进行清洗等。</w:t>
            </w:r>
          </w:p>
        </w:tc>
      </w:tr>
    </w:tbl>
    <w:p w14:paraId="1591A86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472979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4"/>
        <w:gridCol w:w="685"/>
        <w:gridCol w:w="1329"/>
        <w:gridCol w:w="5928"/>
      </w:tblGrid>
      <w:tr w14:paraId="400469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214E4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7A887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44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7E208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174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70835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12BBAD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8AD8E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B17D9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56CCB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E254B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自合同签订之日起30日</w:t>
            </w:r>
          </w:p>
        </w:tc>
      </w:tr>
      <w:tr w14:paraId="0BF167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BFF17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A0BA9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E8ED7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F6D36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采购人指定地点</w:t>
            </w:r>
          </w:p>
        </w:tc>
      </w:tr>
      <w:tr w14:paraId="199EB6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ADA5E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AE91D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9B90E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DC61C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654081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A76ED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98577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8B7F2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6E61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1、合同签订生效后，达到付款条件起10日内，支付合同总金额的30.00%</w:t>
            </w:r>
          </w:p>
          <w:p w14:paraId="5542D5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2、在全部货物安装调试完毕并验收合格之日起，达到付款条件起30日内，支付合同总金额的70.00%</w:t>
            </w:r>
          </w:p>
        </w:tc>
      </w:tr>
      <w:tr w14:paraId="1CFC5C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11C07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1ABAE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C150B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BCB10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（1）验收依据：项目验收以项目合同、采购文件、响应文件、验收资料等文档为参考依据。 （2）验收标准： 按国家有关规定及采购文件技术及质量要求、投标人投标文件内容及有关承诺、合同约定条款进行验收，其他未尽事宜应严格按照财政部《关于进一步加强政府采购需求和履约验收管理的指导意见》（财库〔2016〕205号）文件要求进行验收。 （3）验收实施： 1、供应商在完成安装调试，达到设备使用条件后，向采购人申请验收。 2、验收：在资中县公安局交通警察大队进行验收，验收参与者：资中县公安局验收人员、具有国家认可的检测资质的第三方检测机构、资中县公安局交通警察大队验收人员进行验收。 采购人组织项目验收小组，负责进行采购项目验收，并对验收内容做出全面的评价，对于需要整改的事项，明确整改内容，并明确验收意见。对项目验收不合格的不予以通过项目验收。</w:t>
            </w:r>
          </w:p>
        </w:tc>
      </w:tr>
      <w:tr w14:paraId="7050A0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C512E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C4C71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A2182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C9C48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（1）质保期为3年。 （2）质保期内，中标方为用户提供合同货物的技术指导和维修服务， 提供此项服务的时间是每周(7)天*(24)小时，自接到用户方报修电话后 1小时电话响应，需要上门服务的应在接到电话后使用最快交通工具第一时间到达，并在最快时间内解决问题或查明故障。 （3）配件耗材供应：如本合同项下货物停产，投标人保证停产后 3 年内对采购人的设备零配件耗材供应。如采购人需备品备件，投标人送达期限不得超过30天。</w:t>
            </w:r>
          </w:p>
        </w:tc>
      </w:tr>
      <w:tr w14:paraId="67FB89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303E2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E0752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9BF74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214B1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违约责任：采购人及成交供应商双方必须遵守采购合同并执行合同中的各项规定，保证采购合同的正常履行。任何一方违约给对方造成直接损失均负有赔偿责任，对方均有权视情况要求对方继续履行合同或提出解除合同。 （2）采购人违约责任： ①因采购人原因造成合同变更、中止：采购人擅自解除、中止或变更合同导致成交供应商权益受到损害时，采购人向成交供应商支付合同价款1%的违约金，并赔偿成交供应商所受全部损失。 ②采购人未按合同约定付款：采购人应当按照政府采购合同约定，向供应商支付采购资金，不得以机构变动、人员更替、政策调整等为由延迟付款。不得将采购文件和合同中未规定的义务作为向供应商付款的条件，因采购人原因延期付款的，供应商有权停止合同的履行，采购人除应及时支付外，每逾期一日应按照合同总金额的1‰向成交供应商支付逾期违约金。逾期超过10日，供应商有权单方面解除合同，采购人按照合同总金额的1‰向供应商支付违约金，并赔偿供应商所受损失。 （3）供应商违约责任： ①供应商擅自解除、中止或变更合同导致采购人权益受到损害时，成交供应商向采购人支付合同价款1%的违约金，并赔偿采购人所受全部损失。 ②如因成交供应商在履行过程中的疏忽、失职、过错等故意或者过失原因给采购人造成损失或侵害，包括但不限于采购人本身的财产损失、由此而导致的采购人对任何第三方的法律责任等，成交供应商对此均应承担全部的赔偿责任。 ③采购人有权监督供应商服务过程，发现未按要求、标准提供服务等违约情形，采购人将下达整改通知书，供应商应在限期内整改。供应商拒绝整改或经三次整改仍未合格的，采购人有权解除合同，并由供应商承担全部赔偿责任。 ④供应商未能在合同约定的时间内履约完成的，每逾期1日，供应商应承担合同总价的1‰作为违约金，若供应商逾期时间超过15日的，采购人有权解除合同，并由供应商承担全部责任。 ⑤若中标单位将本项目直接或间接转包或分包，采购人有权单方面解除合同，并由供应商承担全部责任。 注：违约方就其违约行为造成对方的损失应予以全部赔偿，包括但不限于对方直接损失、对第三方的赔偿责任及因维权所致的律师费、仲裁费、诉讼费、保全费、执行费等全部费用。供应商违约应当支付的赔偿金、违约金，采购人有权于未付款项中予以扣除。 （4）争议解决办法 ①在执行合同中发生的或与本合同有关的争端，双方应通过友好协商解决，经协商不能达成协议时，任何一方可向甲方所在地人民法院提起民事诉讼。 ②诉讼裁决应为最终决定，并对双方具有约束力。 ③除另有裁决外，诉讼费应由败诉方负担。 ④在诉讼期间，除正在进行诉讼部分外，合同其他部分继续执行。</w:t>
            </w:r>
          </w:p>
        </w:tc>
      </w:tr>
      <w:tr w14:paraId="657C4B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3E0AF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E9482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B4DAE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CB40D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F4769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2A58CC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207FAB4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本项目报价包含但不限于招标代理服务费、设备组织运输、安装调试、税费、人工费、机械材料费以及因项目开展而产生的其他费用，除报价金额外，采购人无需支付其他任何费用。</w:t>
      </w:r>
    </w:p>
    <w:p w14:paraId="644CCCA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2098F"/>
    <w:rsid w:val="4C120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2025-02-06T10:08:00Z</dcterms:created>
  <dc:creator>L先森</dc:creator>
  <cp:lastModifiedBy>L先森</cp:lastModifiedBy>
  <dcterms:modified xsi:type="dcterms:W3CDTF">2025-02-06T10:08:56Z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4A837A5BB3CE4E2DAA8D0CB17AE1F7B1_11</vt:lpwstr>
  </property>
  <property fmtid="{D5CDD505-2E9C-101B-9397-08002B2CF9AE}" pid="4" name="KSOTemplateDocerSaveRecord">
    <vt:lpwstr>eyJoZGlkIjoiOGFmNTViMjQ1Nzg3MjE4OTEzZDdmOTkxMDZiNTgzZTgiLCJ1c2VySWQiOiI2OTYzMTE2NzUifQ==</vt:lpwstr>
  </property>
</Properties>
</file>