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ustomizations.xml" ContentType="application/vnd.ms-word.keyMapCustomization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C9B1D85">
      <w:pPr>
        <w:rPr>
          <w:rFonts w:hint="eastAsia" w:ascii="仿宋" w:hAnsi="仿宋" w:eastAsia="仿宋" w:cs="仿宋"/>
          <w:b/>
          <w:bCs/>
          <w:color w:val="auto"/>
          <w:sz w:val="56"/>
          <w:szCs w:val="56"/>
          <w:highlight w:val="none"/>
        </w:rPr>
      </w:pPr>
      <w:r>
        <w:rPr>
          <w:rFonts w:hint="eastAsia" w:ascii="仿宋" w:hAnsi="仿宋" w:eastAsia="仿宋" w:cs="仿宋"/>
          <w:b/>
          <w:bCs/>
          <w:color w:val="auto"/>
          <w:sz w:val="56"/>
          <w:szCs w:val="56"/>
          <w:highlight w:val="none"/>
        </w:rPr>
        <w:drawing>
          <wp:anchor distT="0" distB="0" distL="114300" distR="114300" simplePos="0" relativeHeight="251662336" behindDoc="0" locked="0" layoutInCell="1" allowOverlap="1">
            <wp:simplePos x="0" y="0"/>
            <wp:positionH relativeFrom="column">
              <wp:posOffset>0</wp:posOffset>
            </wp:positionH>
            <wp:positionV relativeFrom="paragraph">
              <wp:posOffset>-214630</wp:posOffset>
            </wp:positionV>
            <wp:extent cx="575945" cy="801370"/>
            <wp:effectExtent l="0" t="0" r="14605" b="0"/>
            <wp:wrapNone/>
            <wp:docPr id="1" name="图片 2" descr="logo-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logo-01"/>
                    <pic:cNvPicPr>
                      <a:picLocks noChangeAspect="1"/>
                    </pic:cNvPicPr>
                  </pic:nvPicPr>
                  <pic:blipFill>
                    <a:blip r:embed="rId14"/>
                    <a:stretch>
                      <a:fillRect/>
                    </a:stretch>
                  </pic:blipFill>
                  <pic:spPr>
                    <a:xfrm>
                      <a:off x="0" y="0"/>
                      <a:ext cx="575945" cy="801370"/>
                    </a:xfrm>
                    <a:prstGeom prst="rect">
                      <a:avLst/>
                    </a:prstGeom>
                    <a:noFill/>
                    <a:ln>
                      <a:noFill/>
                    </a:ln>
                  </pic:spPr>
                </pic:pic>
              </a:graphicData>
            </a:graphic>
          </wp:anchor>
        </w:drawing>
      </w:r>
      <w:r>
        <w:rPr>
          <w:rFonts w:hint="eastAsia" w:ascii="仿宋" w:hAnsi="仿宋" w:eastAsia="仿宋" w:cs="仿宋"/>
          <w:b/>
          <w:bCs/>
          <w:color w:val="auto"/>
          <w:sz w:val="56"/>
          <w:szCs w:val="56"/>
          <w:highlight w:val="none"/>
        </w:rPr>
        <w:t>润达</w:t>
      </w:r>
    </w:p>
    <w:p w14:paraId="01E65DA9">
      <w:pPr>
        <w:pStyle w:val="20"/>
        <w:rPr>
          <w:rFonts w:hint="eastAsia" w:ascii="仿宋" w:hAnsi="仿宋" w:eastAsia="仿宋" w:cs="仿宋"/>
          <w:b/>
          <w:bCs/>
          <w:color w:val="auto"/>
          <w:sz w:val="48"/>
          <w:szCs w:val="48"/>
          <w:highlight w:val="none"/>
        </w:rPr>
      </w:pPr>
    </w:p>
    <w:p w14:paraId="3E7A299E">
      <w:pPr>
        <w:pStyle w:val="20"/>
        <w:rPr>
          <w:rFonts w:hint="eastAsia" w:ascii="仿宋" w:hAnsi="仿宋" w:eastAsia="仿宋" w:cs="仿宋"/>
          <w:b/>
          <w:bCs/>
          <w:color w:val="auto"/>
          <w:sz w:val="48"/>
          <w:szCs w:val="48"/>
          <w:highlight w:val="none"/>
          <w:lang w:eastAsia="zh-CN"/>
        </w:rPr>
      </w:pPr>
      <w:r>
        <w:rPr>
          <w:rFonts w:hint="eastAsia" w:cs="仿宋"/>
          <w:b/>
          <w:bCs/>
          <w:color w:val="auto"/>
          <w:sz w:val="48"/>
          <w:szCs w:val="48"/>
          <w:highlight w:val="none"/>
          <w:lang w:eastAsia="zh-CN"/>
        </w:rPr>
        <w:t>云南轻纺职业学院人工智能学院云计算技术应用实训室及智慧教室建设项目</w:t>
      </w:r>
      <w:r>
        <w:rPr>
          <w:rFonts w:hint="eastAsia" w:cs="仿宋"/>
          <w:b/>
          <w:bCs/>
          <w:color w:val="auto"/>
          <w:sz w:val="48"/>
          <w:szCs w:val="48"/>
          <w:highlight w:val="none"/>
          <w:lang w:eastAsia="zh-CN"/>
        </w:rPr>
        <w:t>（</w:t>
      </w:r>
      <w:r>
        <w:rPr>
          <w:rFonts w:hint="eastAsia" w:cs="仿宋"/>
          <w:b/>
          <w:bCs/>
          <w:color w:val="auto"/>
          <w:sz w:val="48"/>
          <w:szCs w:val="48"/>
          <w:highlight w:val="none"/>
          <w:lang w:val="en-US" w:eastAsia="zh-CN"/>
        </w:rPr>
        <w:t>二次</w:t>
      </w:r>
      <w:r>
        <w:rPr>
          <w:rFonts w:hint="eastAsia" w:cs="仿宋"/>
          <w:b/>
          <w:bCs/>
          <w:color w:val="auto"/>
          <w:sz w:val="48"/>
          <w:szCs w:val="48"/>
          <w:highlight w:val="none"/>
          <w:lang w:eastAsia="zh-CN"/>
        </w:rPr>
        <w:t>）</w:t>
      </w:r>
    </w:p>
    <w:p w14:paraId="0ABFBC70">
      <w:pPr>
        <w:bidi w:val="0"/>
        <w:rPr>
          <w:rFonts w:hint="eastAsia" w:ascii="仿宋" w:hAnsi="仿宋" w:eastAsia="仿宋" w:cs="仿宋"/>
          <w:color w:val="auto"/>
          <w:highlight w:val="none"/>
        </w:rPr>
      </w:pPr>
    </w:p>
    <w:p w14:paraId="7EFA2645">
      <w:pPr>
        <w:bidi w:val="0"/>
        <w:rPr>
          <w:rFonts w:hint="eastAsia" w:ascii="仿宋" w:hAnsi="仿宋" w:eastAsia="仿宋" w:cs="仿宋"/>
          <w:color w:val="auto"/>
          <w:highlight w:val="none"/>
        </w:rPr>
      </w:pPr>
    </w:p>
    <w:p w14:paraId="510BCB52">
      <w:pPr>
        <w:bidi w:val="0"/>
        <w:rPr>
          <w:rFonts w:hint="eastAsia" w:ascii="仿宋" w:hAnsi="仿宋" w:eastAsia="仿宋" w:cs="仿宋"/>
          <w:color w:val="auto"/>
          <w:highlight w:val="none"/>
        </w:rPr>
      </w:pPr>
    </w:p>
    <w:p w14:paraId="52CCEAD2">
      <w:pPr>
        <w:bidi w:val="0"/>
        <w:rPr>
          <w:rFonts w:hint="eastAsia" w:ascii="仿宋" w:hAnsi="仿宋" w:eastAsia="仿宋" w:cs="仿宋"/>
          <w:color w:val="auto"/>
          <w:highlight w:val="none"/>
        </w:rPr>
      </w:pPr>
    </w:p>
    <w:p w14:paraId="4D9E2782">
      <w:pPr>
        <w:pStyle w:val="20"/>
        <w:rPr>
          <w:rFonts w:hint="eastAsia" w:ascii="仿宋" w:hAnsi="仿宋" w:eastAsia="仿宋" w:cs="仿宋"/>
          <w:b/>
          <w:bCs/>
          <w:color w:val="auto"/>
          <w:sz w:val="144"/>
          <w:szCs w:val="144"/>
          <w:highlight w:val="none"/>
          <w:lang w:eastAsia="zh-CN"/>
        </w:rPr>
      </w:pPr>
      <w:r>
        <w:rPr>
          <w:rFonts w:hint="eastAsia" w:ascii="仿宋" w:hAnsi="仿宋" w:eastAsia="仿宋" w:cs="仿宋"/>
          <w:b/>
          <w:bCs/>
          <w:color w:val="auto"/>
          <w:sz w:val="144"/>
          <w:szCs w:val="144"/>
          <w:highlight w:val="none"/>
          <w:lang w:eastAsia="zh-CN"/>
        </w:rPr>
        <w:t>招标文件</w:t>
      </w:r>
    </w:p>
    <w:p w14:paraId="17267014">
      <w:pPr>
        <w:pStyle w:val="2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项目编号：</w:t>
      </w:r>
      <w:r>
        <w:rPr>
          <w:rFonts w:hint="eastAsia" w:cs="仿宋"/>
          <w:color w:val="auto"/>
          <w:sz w:val="28"/>
          <w:szCs w:val="28"/>
          <w:highlight w:val="none"/>
          <w:lang w:eastAsia="zh-CN"/>
        </w:rPr>
        <w:t>云润招字 HW2026-120</w:t>
      </w:r>
    </w:p>
    <w:p w14:paraId="497A7C94">
      <w:pPr>
        <w:bidi w:val="0"/>
        <w:rPr>
          <w:rFonts w:hint="eastAsia" w:ascii="仿宋" w:hAnsi="仿宋" w:eastAsia="仿宋" w:cs="仿宋"/>
          <w:color w:val="auto"/>
          <w:highlight w:val="none"/>
        </w:rPr>
      </w:pPr>
    </w:p>
    <w:p w14:paraId="7483CD7D">
      <w:pPr>
        <w:bidi w:val="0"/>
        <w:rPr>
          <w:rFonts w:hint="eastAsia" w:ascii="仿宋" w:hAnsi="仿宋" w:eastAsia="仿宋" w:cs="仿宋"/>
          <w:color w:val="auto"/>
          <w:highlight w:val="none"/>
        </w:rPr>
      </w:pPr>
    </w:p>
    <w:p w14:paraId="001139C7">
      <w:pPr>
        <w:bidi w:val="0"/>
        <w:rPr>
          <w:rFonts w:hint="eastAsia" w:ascii="仿宋" w:hAnsi="仿宋" w:eastAsia="仿宋" w:cs="仿宋"/>
          <w:color w:val="auto"/>
          <w:highlight w:val="none"/>
        </w:rPr>
      </w:pPr>
    </w:p>
    <w:p w14:paraId="4F507E44">
      <w:pPr>
        <w:bidi w:val="0"/>
        <w:rPr>
          <w:rFonts w:hint="eastAsia" w:ascii="仿宋" w:hAnsi="仿宋" w:eastAsia="仿宋" w:cs="仿宋"/>
          <w:color w:val="auto"/>
          <w:highlight w:val="none"/>
        </w:rPr>
      </w:pPr>
    </w:p>
    <w:p w14:paraId="52BF9B25">
      <w:pPr>
        <w:bidi w:val="0"/>
        <w:rPr>
          <w:rFonts w:hint="eastAsia" w:ascii="仿宋" w:hAnsi="仿宋" w:eastAsia="仿宋" w:cs="仿宋"/>
          <w:color w:val="auto"/>
          <w:highlight w:val="none"/>
        </w:rPr>
      </w:pPr>
    </w:p>
    <w:p w14:paraId="6ED1A500">
      <w:pPr>
        <w:pStyle w:val="20"/>
        <w:ind w:firstLine="1285" w:firstLineChars="400"/>
        <w:jc w:val="both"/>
        <w:rPr>
          <w:rFonts w:hint="eastAsia" w:ascii="仿宋" w:hAnsi="仿宋" w:eastAsia="仿宋" w:cs="仿宋"/>
          <w:b/>
          <w:bCs/>
          <w:color w:val="auto"/>
          <w:sz w:val="32"/>
          <w:szCs w:val="32"/>
          <w:highlight w:val="none"/>
          <w:lang w:eastAsia="zh-CN"/>
        </w:rPr>
      </w:pPr>
      <w:r>
        <w:rPr>
          <w:rFonts w:hint="eastAsia" w:ascii="仿宋" w:hAnsi="仿宋" w:eastAsia="仿宋" w:cs="仿宋"/>
          <w:b/>
          <w:bCs/>
          <w:color w:val="auto"/>
          <w:sz w:val="32"/>
          <w:szCs w:val="32"/>
          <w:highlight w:val="none"/>
        </w:rPr>
        <w:t>采   购   人：</w:t>
      </w:r>
      <w:r>
        <w:rPr>
          <w:rFonts w:hint="eastAsia" w:cs="仿宋"/>
          <w:b/>
          <w:bCs/>
          <w:color w:val="auto"/>
          <w:sz w:val="32"/>
          <w:szCs w:val="32"/>
          <w:highlight w:val="none"/>
          <w:lang w:eastAsia="zh-CN"/>
        </w:rPr>
        <w:t>云南轻纺职业学院</w:t>
      </w:r>
    </w:p>
    <w:p w14:paraId="7934C016">
      <w:pPr>
        <w:pStyle w:val="20"/>
        <w:ind w:firstLine="1285" w:firstLineChars="400"/>
        <w:jc w:val="both"/>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采购代理机构：云南润达工程项目管理咨询有限公司</w:t>
      </w:r>
    </w:p>
    <w:p w14:paraId="11CB9CED">
      <w:pPr>
        <w:pStyle w:val="20"/>
        <w:ind w:firstLine="1285" w:firstLineChars="400"/>
        <w:jc w:val="both"/>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日        期：202</w:t>
      </w:r>
      <w:r>
        <w:rPr>
          <w:rFonts w:hint="eastAsia" w:ascii="仿宋" w:hAnsi="仿宋" w:eastAsia="仿宋" w:cs="仿宋"/>
          <w:b/>
          <w:bCs/>
          <w:color w:val="auto"/>
          <w:sz w:val="32"/>
          <w:szCs w:val="32"/>
          <w:highlight w:val="none"/>
          <w:lang w:val="en-US" w:eastAsia="zh-CN"/>
        </w:rPr>
        <w:t>6</w:t>
      </w:r>
      <w:r>
        <w:rPr>
          <w:rFonts w:hint="eastAsia" w:ascii="仿宋" w:hAnsi="仿宋" w:eastAsia="仿宋" w:cs="仿宋"/>
          <w:b/>
          <w:bCs/>
          <w:color w:val="auto"/>
          <w:sz w:val="32"/>
          <w:szCs w:val="32"/>
          <w:highlight w:val="none"/>
        </w:rPr>
        <w:t>年</w:t>
      </w:r>
      <w:r>
        <w:rPr>
          <w:rFonts w:hint="eastAsia" w:ascii="仿宋" w:hAnsi="仿宋" w:eastAsia="仿宋" w:cs="仿宋"/>
          <w:b/>
          <w:bCs/>
          <w:color w:val="auto"/>
          <w:sz w:val="32"/>
          <w:szCs w:val="32"/>
          <w:highlight w:val="none"/>
          <w:lang w:val="en-US" w:eastAsia="zh-CN"/>
        </w:rPr>
        <w:t>0</w:t>
      </w:r>
      <w:r>
        <w:rPr>
          <w:rFonts w:hint="eastAsia" w:cs="仿宋"/>
          <w:b/>
          <w:bCs/>
          <w:color w:val="auto"/>
          <w:sz w:val="32"/>
          <w:szCs w:val="32"/>
          <w:highlight w:val="none"/>
          <w:lang w:val="en-US" w:eastAsia="zh-CN"/>
        </w:rPr>
        <w:t>7</w:t>
      </w:r>
      <w:r>
        <w:rPr>
          <w:rFonts w:hint="eastAsia" w:ascii="仿宋" w:hAnsi="仿宋" w:eastAsia="仿宋" w:cs="仿宋"/>
          <w:b/>
          <w:bCs/>
          <w:color w:val="auto"/>
          <w:sz w:val="32"/>
          <w:szCs w:val="32"/>
          <w:highlight w:val="none"/>
        </w:rPr>
        <w:t>月</w:t>
      </w:r>
    </w:p>
    <w:p w14:paraId="1F142EB9">
      <w:pPr>
        <w:pStyle w:val="20"/>
        <w:ind w:firstLine="1285" w:firstLineChars="400"/>
        <w:jc w:val="both"/>
        <w:rPr>
          <w:rFonts w:hint="eastAsia" w:ascii="仿宋" w:hAnsi="仿宋" w:eastAsia="仿宋" w:cs="仿宋"/>
          <w:b/>
          <w:bCs/>
          <w:color w:val="auto"/>
          <w:sz w:val="32"/>
          <w:szCs w:val="32"/>
          <w:highlight w:val="none"/>
        </w:rPr>
      </w:pPr>
    </w:p>
    <w:p w14:paraId="1BD56F9D">
      <w:pPr>
        <w:pStyle w:val="20"/>
        <w:ind w:firstLine="1285" w:firstLineChars="400"/>
        <w:jc w:val="both"/>
        <w:rPr>
          <w:rFonts w:hint="eastAsia" w:ascii="仿宋" w:hAnsi="仿宋" w:eastAsia="仿宋" w:cs="仿宋"/>
          <w:b/>
          <w:bCs/>
          <w:color w:val="auto"/>
          <w:sz w:val="32"/>
          <w:szCs w:val="32"/>
          <w:highlight w:val="none"/>
        </w:rPr>
      </w:pPr>
    </w:p>
    <w:p w14:paraId="783CE0CF">
      <w:pPr>
        <w:ind w:firstLine="643"/>
        <w:rPr>
          <w:rFonts w:hint="eastAsia" w:ascii="仿宋" w:hAnsi="仿宋" w:eastAsia="仿宋" w:cs="仿宋"/>
          <w:b/>
          <w:bCs/>
          <w:color w:val="auto"/>
          <w:sz w:val="32"/>
          <w:szCs w:val="32"/>
          <w:highlight w:val="none"/>
        </w:rPr>
        <w:sectPr>
          <w:headerReference r:id="rId5" w:type="default"/>
          <w:footerReference r:id="rId6" w:type="default"/>
          <w:pgSz w:w="11906" w:h="16838"/>
          <w:pgMar w:top="1440" w:right="1080" w:bottom="1440" w:left="1080" w:header="851" w:footer="992" w:gutter="0"/>
          <w:pgBorders>
            <w:top w:val="none" w:sz="0" w:space="0"/>
            <w:left w:val="none" w:sz="0" w:space="0"/>
            <w:bottom w:val="none" w:sz="0" w:space="0"/>
            <w:right w:val="none" w:sz="0" w:space="0"/>
          </w:pgBorders>
          <w:pgNumType w:fmt="numberInDash"/>
          <w:cols w:space="425" w:num="1"/>
          <w:docGrid w:type="lines" w:linePitch="312" w:charSpace="0"/>
        </w:sectPr>
      </w:pPr>
      <w:r>
        <w:rPr>
          <w:rFonts w:hint="eastAsia" w:ascii="仿宋" w:hAnsi="仿宋" w:eastAsia="仿宋" w:cs="仿宋"/>
          <w:b/>
          <w:bCs/>
          <w:color w:val="auto"/>
          <w:sz w:val="32"/>
          <w:szCs w:val="32"/>
          <w:highlight w:val="none"/>
        </w:rPr>
        <w:br w:type="page"/>
      </w:r>
    </w:p>
    <w:p w14:paraId="6FC592D0">
      <w:pPr>
        <w:ind w:firstLine="0" w:firstLineChars="0"/>
        <w:jc w:val="center"/>
        <w:rPr>
          <w:rFonts w:hint="eastAsia" w:ascii="仿宋" w:hAnsi="仿宋" w:eastAsia="仿宋" w:cs="仿宋"/>
          <w:b/>
          <w:bCs/>
          <w:color w:val="auto"/>
          <w:sz w:val="36"/>
          <w:szCs w:val="36"/>
          <w:highlight w:val="none"/>
        </w:rPr>
      </w:pPr>
      <w:r>
        <w:rPr>
          <w:rFonts w:hint="eastAsia" w:ascii="仿宋" w:hAnsi="仿宋" w:eastAsia="仿宋" w:cs="仿宋"/>
          <w:b/>
          <w:bCs/>
          <w:color w:val="auto"/>
          <w:sz w:val="36"/>
          <w:szCs w:val="36"/>
          <w:highlight w:val="none"/>
        </w:rPr>
        <w:t>温馨提示</w:t>
      </w:r>
    </w:p>
    <w:p w14:paraId="42FDC8C7">
      <w:pPr>
        <w:ind w:firstLine="560"/>
        <w:rPr>
          <w:rFonts w:hint="eastAsia" w:ascii="仿宋" w:hAnsi="仿宋" w:eastAsia="仿宋" w:cs="仿宋"/>
          <w:color w:val="auto"/>
          <w:highlight w:val="none"/>
        </w:rPr>
      </w:pPr>
      <w:r>
        <w:rPr>
          <w:rFonts w:hint="eastAsia" w:ascii="仿宋" w:hAnsi="仿宋" w:eastAsia="仿宋" w:cs="仿宋"/>
          <w:color w:val="auto"/>
          <w:highlight w:val="none"/>
        </w:rPr>
        <w:t>1、本项目为全流程电子化的政府采购项目，</w:t>
      </w:r>
      <w:r>
        <w:rPr>
          <w:rFonts w:hint="eastAsia" w:ascii="仿宋" w:hAnsi="仿宋" w:eastAsia="仿宋" w:cs="仿宋"/>
          <w:color w:val="auto"/>
          <w:highlight w:val="none"/>
          <w:lang w:eastAsia="zh-CN"/>
        </w:rPr>
        <w:t>投标人</w:t>
      </w:r>
      <w:r>
        <w:rPr>
          <w:rFonts w:hint="eastAsia" w:ascii="仿宋" w:hAnsi="仿宋" w:eastAsia="仿宋" w:cs="仿宋"/>
          <w:color w:val="auto"/>
          <w:highlight w:val="none"/>
        </w:rPr>
        <w:t>应提前熟悉“政采云”相关投标程序，提前在自有场地配置可音视频通话（带摄像头及话筒的计算机）的稳定网络环境，并按“政采云”开标大厅中的提示完成开标活动。</w:t>
      </w:r>
    </w:p>
    <w:p w14:paraId="62B2BEE9">
      <w:pPr>
        <w:ind w:firstLine="560"/>
        <w:rPr>
          <w:rFonts w:hint="eastAsia" w:ascii="仿宋" w:hAnsi="仿宋" w:eastAsia="仿宋" w:cs="仿宋"/>
          <w:color w:val="auto"/>
          <w:highlight w:val="none"/>
        </w:rPr>
      </w:pPr>
      <w:r>
        <w:rPr>
          <w:rFonts w:hint="eastAsia" w:ascii="仿宋" w:hAnsi="仿宋" w:eastAsia="仿宋" w:cs="仿宋"/>
          <w:color w:val="auto"/>
          <w:highlight w:val="none"/>
        </w:rPr>
        <w:t>2、请各</w:t>
      </w:r>
      <w:r>
        <w:rPr>
          <w:rFonts w:hint="eastAsia" w:ascii="仿宋" w:hAnsi="仿宋" w:eastAsia="仿宋" w:cs="仿宋"/>
          <w:color w:val="auto"/>
          <w:highlight w:val="none"/>
          <w:lang w:eastAsia="zh-CN"/>
        </w:rPr>
        <w:t>投标人</w:t>
      </w:r>
      <w:r>
        <w:rPr>
          <w:rFonts w:hint="eastAsia" w:ascii="仿宋" w:hAnsi="仿宋" w:eastAsia="仿宋" w:cs="仿宋"/>
          <w:color w:val="auto"/>
          <w:highlight w:val="none"/>
        </w:rPr>
        <w:t>认真阅读本项目提供的关于“政采云”的相关办理及操作流程，以免影响投标。</w:t>
      </w:r>
    </w:p>
    <w:p w14:paraId="795546EE">
      <w:pPr>
        <w:ind w:firstLine="560"/>
        <w:rPr>
          <w:rFonts w:hint="eastAsia" w:ascii="仿宋" w:hAnsi="仿宋" w:eastAsia="仿宋" w:cs="仿宋"/>
          <w:color w:val="auto"/>
          <w:highlight w:val="none"/>
        </w:rPr>
      </w:pPr>
      <w:r>
        <w:rPr>
          <w:rFonts w:hint="eastAsia" w:ascii="仿宋" w:hAnsi="仿宋" w:eastAsia="仿宋" w:cs="仿宋"/>
          <w:color w:val="auto"/>
          <w:highlight w:val="none"/>
        </w:rPr>
        <w:t>3、投标期间，如有技术问题可致电“政采云”进行咨询。</w:t>
      </w:r>
    </w:p>
    <w:p w14:paraId="0FBC8084">
      <w:pPr>
        <w:ind w:firstLine="560"/>
        <w:rPr>
          <w:rFonts w:hint="eastAsia" w:ascii="仿宋" w:hAnsi="仿宋" w:eastAsia="仿宋" w:cs="仿宋"/>
          <w:color w:val="auto"/>
          <w:highlight w:val="none"/>
        </w:rPr>
      </w:pPr>
      <w:r>
        <w:rPr>
          <w:rFonts w:hint="eastAsia" w:ascii="仿宋" w:hAnsi="仿宋" w:eastAsia="仿宋" w:cs="仿宋"/>
          <w:color w:val="auto"/>
          <w:highlight w:val="none"/>
        </w:rPr>
        <w:t>政采云技术支持电话：</w:t>
      </w:r>
      <w:r>
        <w:rPr>
          <w:rFonts w:hint="eastAsia" w:ascii="仿宋" w:hAnsi="仿宋" w:eastAsia="仿宋" w:cs="仿宋"/>
          <w:color w:val="auto"/>
          <w:highlight w:val="none"/>
          <w:lang w:eastAsia="zh-CN"/>
        </w:rPr>
        <w:t>95763</w:t>
      </w:r>
      <w:r>
        <w:rPr>
          <w:rFonts w:hint="eastAsia" w:ascii="仿宋" w:hAnsi="仿宋" w:eastAsia="仿宋" w:cs="仿宋"/>
          <w:color w:val="auto"/>
          <w:highlight w:val="none"/>
        </w:rPr>
        <w:t>（客服热线）。</w:t>
      </w:r>
      <w:bookmarkStart w:id="0" w:name="_Hlk130458318"/>
    </w:p>
    <w:p w14:paraId="72F97F4F">
      <w:pPr>
        <w:ind w:firstLine="560"/>
        <w:rPr>
          <w:rFonts w:hint="eastAsia" w:ascii="仿宋" w:hAnsi="仿宋" w:eastAsia="仿宋" w:cs="仿宋"/>
          <w:color w:val="auto"/>
          <w:highlight w:val="none"/>
          <w:lang w:val="en-US" w:eastAsia="zh-CN"/>
        </w:rPr>
      </w:pPr>
      <w:r>
        <w:rPr>
          <w:rFonts w:hint="eastAsia" w:ascii="仿宋" w:hAnsi="仿宋" w:eastAsia="仿宋" w:cs="仿宋"/>
          <w:color w:val="auto"/>
          <w:highlight w:val="none"/>
        </w:rPr>
        <w:br w:type="page"/>
      </w:r>
    </w:p>
    <w:p w14:paraId="3837B736">
      <w:pPr>
        <w:ind w:firstLine="0" w:firstLineChars="0"/>
        <w:jc w:val="center"/>
        <w:rPr>
          <w:rFonts w:hint="eastAsia" w:ascii="仿宋" w:hAnsi="仿宋" w:eastAsia="仿宋" w:cs="仿宋"/>
          <w:b/>
          <w:bCs/>
          <w:color w:val="auto"/>
          <w:sz w:val="52"/>
          <w:szCs w:val="52"/>
          <w:highlight w:val="none"/>
        </w:rPr>
      </w:pPr>
      <w:r>
        <w:rPr>
          <w:rFonts w:hint="eastAsia" w:ascii="仿宋" w:hAnsi="仿宋" w:eastAsia="仿宋" w:cs="仿宋"/>
          <w:b/>
          <w:bCs/>
          <w:color w:val="auto"/>
          <w:sz w:val="52"/>
          <w:szCs w:val="52"/>
          <w:highlight w:val="none"/>
        </w:rPr>
        <w:t>目 录</w:t>
      </w:r>
    </w:p>
    <w:p w14:paraId="72BFA1FC">
      <w:pPr>
        <w:pStyle w:val="24"/>
        <w:tabs>
          <w:tab w:val="right" w:leader="dot" w:pos="9746"/>
        </w:tabs>
        <w:spacing w:line="360" w:lineRule="auto"/>
        <w:ind w:left="0" w:leftChars="0" w:firstLine="0" w:firstLineChars="0"/>
        <w:rPr>
          <w:rFonts w:hint="eastAsia" w:ascii="仿宋" w:hAnsi="仿宋" w:eastAsia="仿宋" w:cs="仿宋"/>
          <w:color w:val="auto"/>
          <w:sz w:val="32"/>
          <w:szCs w:val="32"/>
          <w:highlight w:val="none"/>
        </w:rPr>
      </w:pPr>
      <w:r>
        <w:rPr>
          <w:rFonts w:hint="eastAsia" w:ascii="仿宋" w:hAnsi="仿宋" w:eastAsia="仿宋" w:cs="仿宋"/>
          <w:bCs w:val="0"/>
          <w:caps w:val="0"/>
          <w:color w:val="auto"/>
          <w:sz w:val="32"/>
          <w:szCs w:val="32"/>
          <w:highlight w:val="none"/>
        </w:rPr>
        <w:fldChar w:fldCharType="begin"/>
      </w:r>
      <w:r>
        <w:rPr>
          <w:rFonts w:hint="eastAsia" w:ascii="仿宋" w:hAnsi="仿宋" w:eastAsia="仿宋" w:cs="仿宋"/>
          <w:bCs w:val="0"/>
          <w:caps w:val="0"/>
          <w:color w:val="auto"/>
          <w:sz w:val="32"/>
          <w:szCs w:val="32"/>
          <w:highlight w:val="none"/>
        </w:rPr>
        <w:instrText xml:space="preserve">TOC \o "1-3" \h \u </w:instrText>
      </w:r>
      <w:r>
        <w:rPr>
          <w:rFonts w:hint="eastAsia" w:ascii="仿宋" w:hAnsi="仿宋" w:eastAsia="仿宋" w:cs="仿宋"/>
          <w:bCs w:val="0"/>
          <w:caps w:val="0"/>
          <w:color w:val="auto"/>
          <w:sz w:val="32"/>
          <w:szCs w:val="32"/>
          <w:highlight w:val="none"/>
        </w:rPr>
        <w:fldChar w:fldCharType="separate"/>
      </w:r>
      <w:r>
        <w:rPr>
          <w:rFonts w:hint="eastAsia" w:ascii="仿宋" w:hAnsi="仿宋" w:eastAsia="仿宋" w:cs="仿宋"/>
          <w:bCs w:val="0"/>
          <w:caps w:val="0"/>
          <w:color w:val="auto"/>
          <w:sz w:val="32"/>
          <w:szCs w:val="32"/>
          <w:highlight w:val="none"/>
        </w:rPr>
        <w:fldChar w:fldCharType="begin"/>
      </w:r>
      <w:r>
        <w:rPr>
          <w:rFonts w:hint="eastAsia" w:ascii="仿宋" w:hAnsi="仿宋" w:eastAsia="仿宋" w:cs="仿宋"/>
          <w:bCs w:val="0"/>
          <w:caps w:val="0"/>
          <w:color w:val="auto"/>
          <w:sz w:val="32"/>
          <w:szCs w:val="32"/>
          <w:highlight w:val="none"/>
        </w:rPr>
        <w:instrText xml:space="preserve"> HYPERLINK \l _Toc12554 </w:instrText>
      </w:r>
      <w:r>
        <w:rPr>
          <w:rFonts w:hint="eastAsia" w:ascii="仿宋" w:hAnsi="仿宋" w:eastAsia="仿宋" w:cs="仿宋"/>
          <w:bCs w:val="0"/>
          <w:caps w:val="0"/>
          <w:color w:val="auto"/>
          <w:sz w:val="32"/>
          <w:szCs w:val="32"/>
          <w:highlight w:val="none"/>
        </w:rPr>
        <w:fldChar w:fldCharType="separate"/>
      </w:r>
      <w:r>
        <w:rPr>
          <w:rFonts w:hint="eastAsia" w:ascii="仿宋" w:hAnsi="仿宋" w:eastAsia="仿宋" w:cs="仿宋"/>
          <w:color w:val="auto"/>
          <w:sz w:val="32"/>
          <w:szCs w:val="32"/>
          <w:highlight w:val="none"/>
        </w:rPr>
        <w:t>第一章 招标公告</w:t>
      </w:r>
      <w:r>
        <w:rPr>
          <w:rFonts w:hint="eastAsia" w:ascii="仿宋" w:hAnsi="仿宋" w:eastAsia="仿宋" w:cs="仿宋"/>
          <w:color w:val="auto"/>
          <w:sz w:val="32"/>
          <w:szCs w:val="32"/>
          <w:highlight w:val="none"/>
        </w:rPr>
        <w:tab/>
      </w:r>
      <w:r>
        <w:rPr>
          <w:rFonts w:hint="eastAsia" w:ascii="仿宋" w:hAnsi="仿宋" w:eastAsia="仿宋" w:cs="仿宋"/>
          <w:color w:val="auto"/>
          <w:sz w:val="32"/>
          <w:szCs w:val="32"/>
          <w:highlight w:val="none"/>
        </w:rPr>
        <w:fldChar w:fldCharType="begin"/>
      </w:r>
      <w:r>
        <w:rPr>
          <w:rFonts w:hint="eastAsia" w:ascii="仿宋" w:hAnsi="仿宋" w:eastAsia="仿宋" w:cs="仿宋"/>
          <w:color w:val="auto"/>
          <w:sz w:val="32"/>
          <w:szCs w:val="32"/>
          <w:highlight w:val="none"/>
        </w:rPr>
        <w:instrText xml:space="preserve"> PAGEREF _Toc12554 \h </w:instrText>
      </w:r>
      <w:r>
        <w:rPr>
          <w:rFonts w:hint="eastAsia" w:ascii="仿宋" w:hAnsi="仿宋" w:eastAsia="仿宋" w:cs="仿宋"/>
          <w:color w:val="auto"/>
          <w:sz w:val="32"/>
          <w:szCs w:val="32"/>
          <w:highlight w:val="none"/>
        </w:rPr>
        <w:fldChar w:fldCharType="separate"/>
      </w:r>
      <w:r>
        <w:rPr>
          <w:rFonts w:hint="eastAsia" w:ascii="仿宋" w:hAnsi="仿宋" w:eastAsia="仿宋" w:cs="仿宋"/>
          <w:color w:val="auto"/>
          <w:sz w:val="32"/>
          <w:szCs w:val="32"/>
          <w:highlight w:val="none"/>
        </w:rPr>
        <w:t>- 1 -</w:t>
      </w:r>
      <w:r>
        <w:rPr>
          <w:rFonts w:hint="eastAsia" w:ascii="仿宋" w:hAnsi="仿宋" w:eastAsia="仿宋" w:cs="仿宋"/>
          <w:color w:val="auto"/>
          <w:sz w:val="32"/>
          <w:szCs w:val="32"/>
          <w:highlight w:val="none"/>
        </w:rPr>
        <w:fldChar w:fldCharType="end"/>
      </w:r>
      <w:r>
        <w:rPr>
          <w:rFonts w:hint="eastAsia" w:ascii="仿宋" w:hAnsi="仿宋" w:eastAsia="仿宋" w:cs="仿宋"/>
          <w:bCs w:val="0"/>
          <w:caps w:val="0"/>
          <w:color w:val="auto"/>
          <w:sz w:val="32"/>
          <w:szCs w:val="32"/>
          <w:highlight w:val="none"/>
        </w:rPr>
        <w:fldChar w:fldCharType="end"/>
      </w:r>
    </w:p>
    <w:p w14:paraId="6F4C0971">
      <w:pPr>
        <w:pStyle w:val="24"/>
        <w:tabs>
          <w:tab w:val="right" w:leader="dot" w:pos="9746"/>
        </w:tabs>
        <w:spacing w:line="360" w:lineRule="auto"/>
        <w:ind w:left="0" w:leftChars="0" w:firstLine="0" w:firstLineChars="0"/>
        <w:rPr>
          <w:rFonts w:hint="eastAsia" w:ascii="仿宋" w:hAnsi="仿宋" w:eastAsia="仿宋" w:cs="仿宋"/>
          <w:color w:val="auto"/>
          <w:sz w:val="32"/>
          <w:szCs w:val="32"/>
          <w:highlight w:val="none"/>
        </w:rPr>
      </w:pPr>
      <w:r>
        <w:rPr>
          <w:rFonts w:hint="eastAsia" w:ascii="仿宋" w:hAnsi="仿宋" w:eastAsia="仿宋" w:cs="仿宋"/>
          <w:bCs w:val="0"/>
          <w:color w:val="auto"/>
          <w:sz w:val="32"/>
          <w:szCs w:val="32"/>
          <w:highlight w:val="none"/>
        </w:rPr>
        <w:fldChar w:fldCharType="begin"/>
      </w:r>
      <w:r>
        <w:rPr>
          <w:rFonts w:hint="eastAsia" w:ascii="仿宋" w:hAnsi="仿宋" w:eastAsia="仿宋" w:cs="仿宋"/>
          <w:bCs w:val="0"/>
          <w:color w:val="auto"/>
          <w:sz w:val="32"/>
          <w:szCs w:val="32"/>
          <w:highlight w:val="none"/>
        </w:rPr>
        <w:instrText xml:space="preserve"> HYPERLINK \l _Toc19486 </w:instrText>
      </w:r>
      <w:r>
        <w:rPr>
          <w:rFonts w:hint="eastAsia" w:ascii="仿宋" w:hAnsi="仿宋" w:eastAsia="仿宋" w:cs="仿宋"/>
          <w:bCs w:val="0"/>
          <w:color w:val="auto"/>
          <w:sz w:val="32"/>
          <w:szCs w:val="32"/>
          <w:highlight w:val="none"/>
        </w:rPr>
        <w:fldChar w:fldCharType="separate"/>
      </w:r>
      <w:r>
        <w:rPr>
          <w:rFonts w:hint="eastAsia" w:ascii="仿宋" w:hAnsi="仿宋" w:eastAsia="仿宋" w:cs="仿宋"/>
          <w:color w:val="auto"/>
          <w:sz w:val="32"/>
          <w:szCs w:val="32"/>
          <w:highlight w:val="none"/>
        </w:rPr>
        <w:t xml:space="preserve">第二章 </w:t>
      </w:r>
      <w:r>
        <w:rPr>
          <w:rFonts w:hint="eastAsia" w:ascii="仿宋" w:hAnsi="仿宋" w:eastAsia="仿宋" w:cs="仿宋"/>
          <w:color w:val="auto"/>
          <w:sz w:val="32"/>
          <w:szCs w:val="32"/>
          <w:highlight w:val="none"/>
          <w:lang w:eastAsia="zh-CN"/>
        </w:rPr>
        <w:t>投标人</w:t>
      </w:r>
      <w:r>
        <w:rPr>
          <w:rFonts w:hint="eastAsia" w:ascii="仿宋" w:hAnsi="仿宋" w:eastAsia="仿宋" w:cs="仿宋"/>
          <w:color w:val="auto"/>
          <w:sz w:val="32"/>
          <w:szCs w:val="32"/>
          <w:highlight w:val="none"/>
        </w:rPr>
        <w:t>须知</w:t>
      </w:r>
      <w:r>
        <w:rPr>
          <w:rFonts w:hint="eastAsia" w:ascii="仿宋" w:hAnsi="仿宋" w:eastAsia="仿宋" w:cs="仿宋"/>
          <w:color w:val="auto"/>
          <w:sz w:val="32"/>
          <w:szCs w:val="32"/>
          <w:highlight w:val="none"/>
        </w:rPr>
        <w:tab/>
      </w:r>
      <w:r>
        <w:rPr>
          <w:rFonts w:hint="eastAsia" w:ascii="仿宋" w:hAnsi="仿宋" w:eastAsia="仿宋" w:cs="仿宋"/>
          <w:color w:val="auto"/>
          <w:sz w:val="32"/>
          <w:szCs w:val="32"/>
          <w:highlight w:val="none"/>
        </w:rPr>
        <w:fldChar w:fldCharType="begin"/>
      </w:r>
      <w:r>
        <w:rPr>
          <w:rFonts w:hint="eastAsia" w:ascii="仿宋" w:hAnsi="仿宋" w:eastAsia="仿宋" w:cs="仿宋"/>
          <w:color w:val="auto"/>
          <w:sz w:val="32"/>
          <w:szCs w:val="32"/>
          <w:highlight w:val="none"/>
        </w:rPr>
        <w:instrText xml:space="preserve"> PAGEREF _Toc19486 \h </w:instrText>
      </w:r>
      <w:r>
        <w:rPr>
          <w:rFonts w:hint="eastAsia" w:ascii="仿宋" w:hAnsi="仿宋" w:eastAsia="仿宋" w:cs="仿宋"/>
          <w:color w:val="auto"/>
          <w:sz w:val="32"/>
          <w:szCs w:val="32"/>
          <w:highlight w:val="none"/>
        </w:rPr>
        <w:fldChar w:fldCharType="separate"/>
      </w:r>
      <w:r>
        <w:rPr>
          <w:rFonts w:hint="eastAsia" w:ascii="仿宋" w:hAnsi="仿宋" w:eastAsia="仿宋" w:cs="仿宋"/>
          <w:color w:val="auto"/>
          <w:sz w:val="32"/>
          <w:szCs w:val="32"/>
          <w:highlight w:val="none"/>
        </w:rPr>
        <w:t>- 8 -</w:t>
      </w:r>
      <w:r>
        <w:rPr>
          <w:rFonts w:hint="eastAsia" w:ascii="仿宋" w:hAnsi="仿宋" w:eastAsia="仿宋" w:cs="仿宋"/>
          <w:color w:val="auto"/>
          <w:sz w:val="32"/>
          <w:szCs w:val="32"/>
          <w:highlight w:val="none"/>
        </w:rPr>
        <w:fldChar w:fldCharType="end"/>
      </w:r>
      <w:r>
        <w:rPr>
          <w:rFonts w:hint="eastAsia" w:ascii="仿宋" w:hAnsi="仿宋" w:eastAsia="仿宋" w:cs="仿宋"/>
          <w:bCs w:val="0"/>
          <w:color w:val="auto"/>
          <w:sz w:val="32"/>
          <w:szCs w:val="32"/>
          <w:highlight w:val="none"/>
        </w:rPr>
        <w:fldChar w:fldCharType="end"/>
      </w:r>
    </w:p>
    <w:p w14:paraId="3512C9BE">
      <w:pPr>
        <w:pStyle w:val="24"/>
        <w:tabs>
          <w:tab w:val="right" w:leader="dot" w:pos="9746"/>
        </w:tabs>
        <w:spacing w:line="360" w:lineRule="auto"/>
        <w:ind w:left="0" w:leftChars="0" w:firstLine="0" w:firstLineChars="0"/>
        <w:rPr>
          <w:rFonts w:hint="eastAsia" w:ascii="仿宋" w:hAnsi="仿宋" w:eastAsia="仿宋" w:cs="仿宋"/>
          <w:color w:val="auto"/>
          <w:sz w:val="32"/>
          <w:szCs w:val="32"/>
          <w:highlight w:val="none"/>
        </w:rPr>
      </w:pPr>
      <w:r>
        <w:rPr>
          <w:rFonts w:hint="eastAsia" w:ascii="仿宋" w:hAnsi="仿宋" w:eastAsia="仿宋" w:cs="仿宋"/>
          <w:bCs w:val="0"/>
          <w:color w:val="auto"/>
          <w:sz w:val="32"/>
          <w:szCs w:val="32"/>
          <w:highlight w:val="none"/>
        </w:rPr>
        <w:fldChar w:fldCharType="begin"/>
      </w:r>
      <w:r>
        <w:rPr>
          <w:rFonts w:hint="eastAsia" w:ascii="仿宋" w:hAnsi="仿宋" w:eastAsia="仿宋" w:cs="仿宋"/>
          <w:bCs w:val="0"/>
          <w:color w:val="auto"/>
          <w:sz w:val="32"/>
          <w:szCs w:val="32"/>
          <w:highlight w:val="none"/>
        </w:rPr>
        <w:instrText xml:space="preserve"> HYPERLINK \l _Toc17600 </w:instrText>
      </w:r>
      <w:r>
        <w:rPr>
          <w:rFonts w:hint="eastAsia" w:ascii="仿宋" w:hAnsi="仿宋" w:eastAsia="仿宋" w:cs="仿宋"/>
          <w:bCs w:val="0"/>
          <w:color w:val="auto"/>
          <w:sz w:val="32"/>
          <w:szCs w:val="32"/>
          <w:highlight w:val="none"/>
        </w:rPr>
        <w:fldChar w:fldCharType="separate"/>
      </w:r>
      <w:r>
        <w:rPr>
          <w:rFonts w:hint="eastAsia" w:ascii="仿宋" w:hAnsi="仿宋" w:eastAsia="仿宋" w:cs="仿宋"/>
          <w:color w:val="auto"/>
          <w:sz w:val="32"/>
          <w:szCs w:val="32"/>
          <w:highlight w:val="none"/>
        </w:rPr>
        <w:t xml:space="preserve">第三章 </w:t>
      </w:r>
      <w:r>
        <w:rPr>
          <w:rFonts w:hint="eastAsia" w:ascii="仿宋" w:hAnsi="仿宋" w:eastAsia="仿宋" w:cs="仿宋"/>
          <w:color w:val="auto"/>
          <w:sz w:val="32"/>
          <w:szCs w:val="32"/>
          <w:highlight w:val="none"/>
          <w:lang w:eastAsia="zh-CN"/>
        </w:rPr>
        <w:t>采购需求</w:t>
      </w:r>
      <w:r>
        <w:rPr>
          <w:rFonts w:hint="eastAsia" w:ascii="仿宋" w:hAnsi="仿宋" w:eastAsia="仿宋" w:cs="仿宋"/>
          <w:color w:val="auto"/>
          <w:sz w:val="32"/>
          <w:szCs w:val="32"/>
          <w:highlight w:val="none"/>
        </w:rPr>
        <w:tab/>
      </w:r>
      <w:r>
        <w:rPr>
          <w:rFonts w:hint="eastAsia" w:ascii="仿宋" w:hAnsi="仿宋" w:eastAsia="仿宋" w:cs="仿宋"/>
          <w:color w:val="auto"/>
          <w:sz w:val="32"/>
          <w:szCs w:val="32"/>
          <w:highlight w:val="none"/>
        </w:rPr>
        <w:fldChar w:fldCharType="begin"/>
      </w:r>
      <w:r>
        <w:rPr>
          <w:rFonts w:hint="eastAsia" w:ascii="仿宋" w:hAnsi="仿宋" w:eastAsia="仿宋" w:cs="仿宋"/>
          <w:color w:val="auto"/>
          <w:sz w:val="32"/>
          <w:szCs w:val="32"/>
          <w:highlight w:val="none"/>
        </w:rPr>
        <w:instrText xml:space="preserve"> PAGEREF _Toc17600 \h </w:instrText>
      </w:r>
      <w:r>
        <w:rPr>
          <w:rFonts w:hint="eastAsia" w:ascii="仿宋" w:hAnsi="仿宋" w:eastAsia="仿宋" w:cs="仿宋"/>
          <w:color w:val="auto"/>
          <w:sz w:val="32"/>
          <w:szCs w:val="32"/>
          <w:highlight w:val="none"/>
        </w:rPr>
        <w:fldChar w:fldCharType="separate"/>
      </w:r>
      <w:r>
        <w:rPr>
          <w:rFonts w:hint="eastAsia" w:ascii="仿宋" w:hAnsi="仿宋" w:eastAsia="仿宋" w:cs="仿宋"/>
          <w:color w:val="auto"/>
          <w:sz w:val="32"/>
          <w:szCs w:val="32"/>
          <w:highlight w:val="none"/>
        </w:rPr>
        <w:t>- 38 -</w:t>
      </w:r>
      <w:r>
        <w:rPr>
          <w:rFonts w:hint="eastAsia" w:ascii="仿宋" w:hAnsi="仿宋" w:eastAsia="仿宋" w:cs="仿宋"/>
          <w:color w:val="auto"/>
          <w:sz w:val="32"/>
          <w:szCs w:val="32"/>
          <w:highlight w:val="none"/>
        </w:rPr>
        <w:fldChar w:fldCharType="end"/>
      </w:r>
      <w:r>
        <w:rPr>
          <w:rFonts w:hint="eastAsia" w:ascii="仿宋" w:hAnsi="仿宋" w:eastAsia="仿宋" w:cs="仿宋"/>
          <w:bCs w:val="0"/>
          <w:color w:val="auto"/>
          <w:sz w:val="32"/>
          <w:szCs w:val="32"/>
          <w:highlight w:val="none"/>
        </w:rPr>
        <w:fldChar w:fldCharType="end"/>
      </w:r>
    </w:p>
    <w:p w14:paraId="10A1007E">
      <w:pPr>
        <w:pStyle w:val="24"/>
        <w:tabs>
          <w:tab w:val="right" w:leader="dot" w:pos="9746"/>
        </w:tabs>
        <w:spacing w:line="360" w:lineRule="auto"/>
        <w:ind w:left="0" w:leftChars="0" w:firstLine="0" w:firstLineChars="0"/>
        <w:rPr>
          <w:rFonts w:hint="eastAsia" w:ascii="仿宋" w:hAnsi="仿宋" w:eastAsia="仿宋" w:cs="仿宋"/>
          <w:color w:val="auto"/>
          <w:sz w:val="32"/>
          <w:szCs w:val="32"/>
          <w:highlight w:val="none"/>
        </w:rPr>
      </w:pPr>
      <w:r>
        <w:rPr>
          <w:rFonts w:hint="eastAsia" w:ascii="仿宋" w:hAnsi="仿宋" w:eastAsia="仿宋" w:cs="仿宋"/>
          <w:bCs w:val="0"/>
          <w:color w:val="auto"/>
          <w:sz w:val="32"/>
          <w:szCs w:val="32"/>
          <w:highlight w:val="none"/>
        </w:rPr>
        <w:fldChar w:fldCharType="begin"/>
      </w:r>
      <w:r>
        <w:rPr>
          <w:rFonts w:hint="eastAsia" w:ascii="仿宋" w:hAnsi="仿宋" w:eastAsia="仿宋" w:cs="仿宋"/>
          <w:bCs w:val="0"/>
          <w:color w:val="auto"/>
          <w:sz w:val="32"/>
          <w:szCs w:val="32"/>
          <w:highlight w:val="none"/>
        </w:rPr>
        <w:instrText xml:space="preserve"> HYPERLINK \l _Toc32395 </w:instrText>
      </w:r>
      <w:r>
        <w:rPr>
          <w:rFonts w:hint="eastAsia" w:ascii="仿宋" w:hAnsi="仿宋" w:eastAsia="仿宋" w:cs="仿宋"/>
          <w:bCs w:val="0"/>
          <w:color w:val="auto"/>
          <w:sz w:val="32"/>
          <w:szCs w:val="32"/>
          <w:highlight w:val="none"/>
        </w:rPr>
        <w:fldChar w:fldCharType="separate"/>
      </w:r>
      <w:r>
        <w:rPr>
          <w:rFonts w:hint="eastAsia" w:ascii="仿宋" w:hAnsi="仿宋" w:eastAsia="仿宋" w:cs="仿宋"/>
          <w:color w:val="auto"/>
          <w:sz w:val="32"/>
          <w:szCs w:val="32"/>
          <w:highlight w:val="none"/>
        </w:rPr>
        <w:t>第四章 资格审查方法及标准</w:t>
      </w:r>
      <w:r>
        <w:rPr>
          <w:rFonts w:hint="eastAsia" w:ascii="仿宋" w:hAnsi="仿宋" w:eastAsia="仿宋" w:cs="仿宋"/>
          <w:color w:val="auto"/>
          <w:sz w:val="32"/>
          <w:szCs w:val="32"/>
          <w:highlight w:val="none"/>
        </w:rPr>
        <w:tab/>
      </w:r>
      <w:bookmarkStart w:id="623" w:name="_GoBack"/>
      <w:bookmarkEnd w:id="623"/>
      <w:r>
        <w:rPr>
          <w:rFonts w:hint="eastAsia" w:ascii="仿宋" w:hAnsi="仿宋" w:eastAsia="仿宋" w:cs="仿宋"/>
          <w:color w:val="auto"/>
          <w:sz w:val="32"/>
          <w:szCs w:val="32"/>
          <w:highlight w:val="none"/>
        </w:rPr>
        <w:fldChar w:fldCharType="begin"/>
      </w:r>
      <w:r>
        <w:rPr>
          <w:rFonts w:hint="eastAsia" w:ascii="仿宋" w:hAnsi="仿宋" w:eastAsia="仿宋" w:cs="仿宋"/>
          <w:color w:val="auto"/>
          <w:sz w:val="32"/>
          <w:szCs w:val="32"/>
          <w:highlight w:val="none"/>
        </w:rPr>
        <w:instrText xml:space="preserve"> PAGEREF _Toc32395 \h </w:instrText>
      </w:r>
      <w:r>
        <w:rPr>
          <w:rFonts w:hint="eastAsia" w:ascii="仿宋" w:hAnsi="仿宋" w:eastAsia="仿宋" w:cs="仿宋"/>
          <w:color w:val="auto"/>
          <w:sz w:val="32"/>
          <w:szCs w:val="32"/>
          <w:highlight w:val="none"/>
        </w:rPr>
        <w:fldChar w:fldCharType="separate"/>
      </w:r>
      <w:r>
        <w:rPr>
          <w:rFonts w:hint="eastAsia" w:ascii="仿宋" w:hAnsi="仿宋" w:eastAsia="仿宋" w:cs="仿宋"/>
          <w:color w:val="auto"/>
          <w:sz w:val="32"/>
          <w:szCs w:val="32"/>
          <w:highlight w:val="none"/>
        </w:rPr>
        <w:t>- 68 -</w:t>
      </w:r>
      <w:r>
        <w:rPr>
          <w:rFonts w:hint="eastAsia" w:ascii="仿宋" w:hAnsi="仿宋" w:eastAsia="仿宋" w:cs="仿宋"/>
          <w:color w:val="auto"/>
          <w:sz w:val="32"/>
          <w:szCs w:val="32"/>
          <w:highlight w:val="none"/>
        </w:rPr>
        <w:fldChar w:fldCharType="end"/>
      </w:r>
      <w:r>
        <w:rPr>
          <w:rFonts w:hint="eastAsia" w:ascii="仿宋" w:hAnsi="仿宋" w:eastAsia="仿宋" w:cs="仿宋"/>
          <w:bCs w:val="0"/>
          <w:color w:val="auto"/>
          <w:sz w:val="32"/>
          <w:szCs w:val="32"/>
          <w:highlight w:val="none"/>
        </w:rPr>
        <w:fldChar w:fldCharType="end"/>
      </w:r>
    </w:p>
    <w:p w14:paraId="21729D16">
      <w:pPr>
        <w:pStyle w:val="24"/>
        <w:tabs>
          <w:tab w:val="right" w:leader="dot" w:pos="9746"/>
        </w:tabs>
        <w:spacing w:line="360" w:lineRule="auto"/>
        <w:ind w:left="0" w:leftChars="0" w:firstLine="0" w:firstLineChars="0"/>
        <w:rPr>
          <w:rFonts w:hint="eastAsia" w:ascii="仿宋" w:hAnsi="仿宋" w:eastAsia="仿宋" w:cs="仿宋"/>
          <w:color w:val="auto"/>
          <w:sz w:val="32"/>
          <w:szCs w:val="32"/>
          <w:highlight w:val="none"/>
        </w:rPr>
      </w:pPr>
      <w:r>
        <w:rPr>
          <w:rFonts w:hint="eastAsia" w:ascii="仿宋" w:hAnsi="仿宋" w:eastAsia="仿宋" w:cs="仿宋"/>
          <w:bCs w:val="0"/>
          <w:color w:val="auto"/>
          <w:sz w:val="32"/>
          <w:szCs w:val="32"/>
          <w:highlight w:val="none"/>
        </w:rPr>
        <w:fldChar w:fldCharType="begin"/>
      </w:r>
      <w:r>
        <w:rPr>
          <w:rFonts w:hint="eastAsia" w:ascii="仿宋" w:hAnsi="仿宋" w:eastAsia="仿宋" w:cs="仿宋"/>
          <w:bCs w:val="0"/>
          <w:color w:val="auto"/>
          <w:sz w:val="32"/>
          <w:szCs w:val="32"/>
          <w:highlight w:val="none"/>
        </w:rPr>
        <w:instrText xml:space="preserve"> HYPERLINK \l _Toc12721 </w:instrText>
      </w:r>
      <w:r>
        <w:rPr>
          <w:rFonts w:hint="eastAsia" w:ascii="仿宋" w:hAnsi="仿宋" w:eastAsia="仿宋" w:cs="仿宋"/>
          <w:bCs w:val="0"/>
          <w:color w:val="auto"/>
          <w:sz w:val="32"/>
          <w:szCs w:val="32"/>
          <w:highlight w:val="none"/>
        </w:rPr>
        <w:fldChar w:fldCharType="separate"/>
      </w:r>
      <w:r>
        <w:rPr>
          <w:rFonts w:hint="eastAsia" w:ascii="仿宋" w:hAnsi="仿宋" w:eastAsia="仿宋" w:cs="仿宋"/>
          <w:color w:val="auto"/>
          <w:sz w:val="32"/>
          <w:szCs w:val="32"/>
          <w:highlight w:val="none"/>
        </w:rPr>
        <w:t>第五章 评标办法及标准</w:t>
      </w:r>
      <w:r>
        <w:rPr>
          <w:rFonts w:hint="eastAsia" w:ascii="仿宋" w:hAnsi="仿宋" w:eastAsia="仿宋" w:cs="仿宋"/>
          <w:color w:val="auto"/>
          <w:sz w:val="32"/>
          <w:szCs w:val="32"/>
          <w:highlight w:val="none"/>
        </w:rPr>
        <w:tab/>
      </w:r>
      <w:r>
        <w:rPr>
          <w:rFonts w:hint="eastAsia" w:ascii="仿宋" w:hAnsi="仿宋" w:eastAsia="仿宋" w:cs="仿宋"/>
          <w:color w:val="auto"/>
          <w:sz w:val="32"/>
          <w:szCs w:val="32"/>
          <w:highlight w:val="none"/>
        </w:rPr>
        <w:fldChar w:fldCharType="begin"/>
      </w:r>
      <w:r>
        <w:rPr>
          <w:rFonts w:hint="eastAsia" w:ascii="仿宋" w:hAnsi="仿宋" w:eastAsia="仿宋" w:cs="仿宋"/>
          <w:color w:val="auto"/>
          <w:sz w:val="32"/>
          <w:szCs w:val="32"/>
          <w:highlight w:val="none"/>
        </w:rPr>
        <w:instrText xml:space="preserve"> PAGEREF _Toc12721 \h </w:instrText>
      </w:r>
      <w:r>
        <w:rPr>
          <w:rFonts w:hint="eastAsia" w:ascii="仿宋" w:hAnsi="仿宋" w:eastAsia="仿宋" w:cs="仿宋"/>
          <w:color w:val="auto"/>
          <w:sz w:val="32"/>
          <w:szCs w:val="32"/>
          <w:highlight w:val="none"/>
        </w:rPr>
        <w:fldChar w:fldCharType="separate"/>
      </w:r>
      <w:r>
        <w:rPr>
          <w:rFonts w:hint="eastAsia" w:ascii="仿宋" w:hAnsi="仿宋" w:eastAsia="仿宋" w:cs="仿宋"/>
          <w:color w:val="auto"/>
          <w:sz w:val="32"/>
          <w:szCs w:val="32"/>
          <w:highlight w:val="none"/>
        </w:rPr>
        <w:t>- 72 -</w:t>
      </w:r>
      <w:r>
        <w:rPr>
          <w:rFonts w:hint="eastAsia" w:ascii="仿宋" w:hAnsi="仿宋" w:eastAsia="仿宋" w:cs="仿宋"/>
          <w:color w:val="auto"/>
          <w:sz w:val="32"/>
          <w:szCs w:val="32"/>
          <w:highlight w:val="none"/>
        </w:rPr>
        <w:fldChar w:fldCharType="end"/>
      </w:r>
      <w:r>
        <w:rPr>
          <w:rFonts w:hint="eastAsia" w:ascii="仿宋" w:hAnsi="仿宋" w:eastAsia="仿宋" w:cs="仿宋"/>
          <w:bCs w:val="0"/>
          <w:color w:val="auto"/>
          <w:sz w:val="32"/>
          <w:szCs w:val="32"/>
          <w:highlight w:val="none"/>
        </w:rPr>
        <w:fldChar w:fldCharType="end"/>
      </w:r>
    </w:p>
    <w:p w14:paraId="4540BB4C">
      <w:pPr>
        <w:pStyle w:val="24"/>
        <w:tabs>
          <w:tab w:val="right" w:leader="dot" w:pos="9746"/>
        </w:tabs>
        <w:spacing w:line="360" w:lineRule="auto"/>
        <w:ind w:left="0" w:leftChars="0" w:firstLine="0" w:firstLineChars="0"/>
        <w:rPr>
          <w:rFonts w:hint="eastAsia" w:ascii="仿宋" w:hAnsi="仿宋" w:eastAsia="仿宋" w:cs="仿宋"/>
          <w:color w:val="auto"/>
          <w:sz w:val="32"/>
          <w:szCs w:val="32"/>
          <w:highlight w:val="none"/>
        </w:rPr>
      </w:pPr>
      <w:r>
        <w:rPr>
          <w:rFonts w:hint="eastAsia" w:ascii="仿宋" w:hAnsi="仿宋" w:eastAsia="仿宋" w:cs="仿宋"/>
          <w:bCs w:val="0"/>
          <w:color w:val="auto"/>
          <w:sz w:val="32"/>
          <w:szCs w:val="32"/>
          <w:highlight w:val="none"/>
        </w:rPr>
        <w:fldChar w:fldCharType="begin"/>
      </w:r>
      <w:r>
        <w:rPr>
          <w:rFonts w:hint="eastAsia" w:ascii="仿宋" w:hAnsi="仿宋" w:eastAsia="仿宋" w:cs="仿宋"/>
          <w:bCs w:val="0"/>
          <w:color w:val="auto"/>
          <w:sz w:val="32"/>
          <w:szCs w:val="32"/>
          <w:highlight w:val="none"/>
        </w:rPr>
        <w:instrText xml:space="preserve"> HYPERLINK \l _Toc24358 </w:instrText>
      </w:r>
      <w:r>
        <w:rPr>
          <w:rFonts w:hint="eastAsia" w:ascii="仿宋" w:hAnsi="仿宋" w:eastAsia="仿宋" w:cs="仿宋"/>
          <w:bCs w:val="0"/>
          <w:color w:val="auto"/>
          <w:sz w:val="32"/>
          <w:szCs w:val="32"/>
          <w:highlight w:val="none"/>
        </w:rPr>
        <w:fldChar w:fldCharType="separate"/>
      </w:r>
      <w:r>
        <w:rPr>
          <w:rFonts w:hint="eastAsia" w:ascii="仿宋" w:hAnsi="仿宋" w:eastAsia="仿宋" w:cs="仿宋"/>
          <w:color w:val="auto"/>
          <w:sz w:val="32"/>
          <w:szCs w:val="32"/>
          <w:highlight w:val="none"/>
        </w:rPr>
        <w:t>第六章 合同书主要条款及样式</w:t>
      </w:r>
      <w:r>
        <w:rPr>
          <w:rFonts w:hint="eastAsia" w:ascii="仿宋" w:hAnsi="仿宋" w:eastAsia="仿宋" w:cs="仿宋"/>
          <w:color w:val="auto"/>
          <w:sz w:val="32"/>
          <w:szCs w:val="32"/>
          <w:highlight w:val="none"/>
        </w:rPr>
        <w:tab/>
      </w:r>
      <w:r>
        <w:rPr>
          <w:rFonts w:hint="eastAsia" w:ascii="仿宋" w:hAnsi="仿宋" w:eastAsia="仿宋" w:cs="仿宋"/>
          <w:color w:val="auto"/>
          <w:sz w:val="32"/>
          <w:szCs w:val="32"/>
          <w:highlight w:val="none"/>
        </w:rPr>
        <w:fldChar w:fldCharType="begin"/>
      </w:r>
      <w:r>
        <w:rPr>
          <w:rFonts w:hint="eastAsia" w:ascii="仿宋" w:hAnsi="仿宋" w:eastAsia="仿宋" w:cs="仿宋"/>
          <w:color w:val="auto"/>
          <w:sz w:val="32"/>
          <w:szCs w:val="32"/>
          <w:highlight w:val="none"/>
        </w:rPr>
        <w:instrText xml:space="preserve"> PAGEREF _Toc24358 \h </w:instrText>
      </w:r>
      <w:r>
        <w:rPr>
          <w:rFonts w:hint="eastAsia" w:ascii="仿宋" w:hAnsi="仿宋" w:eastAsia="仿宋" w:cs="仿宋"/>
          <w:color w:val="auto"/>
          <w:sz w:val="32"/>
          <w:szCs w:val="32"/>
          <w:highlight w:val="none"/>
        </w:rPr>
        <w:fldChar w:fldCharType="separate"/>
      </w:r>
      <w:r>
        <w:rPr>
          <w:rFonts w:hint="eastAsia" w:ascii="仿宋" w:hAnsi="仿宋" w:eastAsia="仿宋" w:cs="仿宋"/>
          <w:color w:val="auto"/>
          <w:sz w:val="32"/>
          <w:szCs w:val="32"/>
          <w:highlight w:val="none"/>
        </w:rPr>
        <w:t>- 88 -</w:t>
      </w:r>
      <w:r>
        <w:rPr>
          <w:rFonts w:hint="eastAsia" w:ascii="仿宋" w:hAnsi="仿宋" w:eastAsia="仿宋" w:cs="仿宋"/>
          <w:color w:val="auto"/>
          <w:sz w:val="32"/>
          <w:szCs w:val="32"/>
          <w:highlight w:val="none"/>
        </w:rPr>
        <w:fldChar w:fldCharType="end"/>
      </w:r>
      <w:r>
        <w:rPr>
          <w:rFonts w:hint="eastAsia" w:ascii="仿宋" w:hAnsi="仿宋" w:eastAsia="仿宋" w:cs="仿宋"/>
          <w:bCs w:val="0"/>
          <w:color w:val="auto"/>
          <w:sz w:val="32"/>
          <w:szCs w:val="32"/>
          <w:highlight w:val="none"/>
        </w:rPr>
        <w:fldChar w:fldCharType="end"/>
      </w:r>
    </w:p>
    <w:p w14:paraId="78FC8A84">
      <w:pPr>
        <w:pStyle w:val="24"/>
        <w:tabs>
          <w:tab w:val="right" w:leader="dot" w:pos="9746"/>
        </w:tabs>
        <w:spacing w:line="360" w:lineRule="auto"/>
        <w:ind w:left="0" w:leftChars="0" w:firstLine="0" w:firstLineChars="0"/>
        <w:rPr>
          <w:rFonts w:hint="eastAsia" w:ascii="仿宋" w:hAnsi="仿宋" w:eastAsia="仿宋" w:cs="仿宋"/>
          <w:color w:val="auto"/>
          <w:sz w:val="32"/>
          <w:szCs w:val="32"/>
          <w:highlight w:val="none"/>
        </w:rPr>
      </w:pPr>
      <w:r>
        <w:rPr>
          <w:rFonts w:hint="eastAsia" w:ascii="仿宋" w:hAnsi="仿宋" w:eastAsia="仿宋" w:cs="仿宋"/>
          <w:bCs w:val="0"/>
          <w:color w:val="auto"/>
          <w:sz w:val="32"/>
          <w:szCs w:val="32"/>
          <w:highlight w:val="none"/>
        </w:rPr>
        <w:fldChar w:fldCharType="begin"/>
      </w:r>
      <w:r>
        <w:rPr>
          <w:rFonts w:hint="eastAsia" w:ascii="仿宋" w:hAnsi="仿宋" w:eastAsia="仿宋" w:cs="仿宋"/>
          <w:bCs w:val="0"/>
          <w:color w:val="auto"/>
          <w:sz w:val="32"/>
          <w:szCs w:val="32"/>
          <w:highlight w:val="none"/>
        </w:rPr>
        <w:instrText xml:space="preserve"> HYPERLINK \l _Toc6062 </w:instrText>
      </w:r>
      <w:r>
        <w:rPr>
          <w:rFonts w:hint="eastAsia" w:ascii="仿宋" w:hAnsi="仿宋" w:eastAsia="仿宋" w:cs="仿宋"/>
          <w:bCs w:val="0"/>
          <w:color w:val="auto"/>
          <w:sz w:val="32"/>
          <w:szCs w:val="32"/>
          <w:highlight w:val="none"/>
        </w:rPr>
        <w:fldChar w:fldCharType="separate"/>
      </w:r>
      <w:r>
        <w:rPr>
          <w:rFonts w:hint="eastAsia" w:ascii="仿宋" w:hAnsi="仿宋" w:eastAsia="仿宋" w:cs="仿宋"/>
          <w:color w:val="auto"/>
          <w:sz w:val="32"/>
          <w:szCs w:val="32"/>
          <w:highlight w:val="none"/>
        </w:rPr>
        <w:t>第七章 投标文件的格式</w:t>
      </w:r>
      <w:r>
        <w:rPr>
          <w:rFonts w:hint="eastAsia" w:ascii="仿宋" w:hAnsi="仿宋" w:eastAsia="仿宋" w:cs="仿宋"/>
          <w:color w:val="auto"/>
          <w:sz w:val="32"/>
          <w:szCs w:val="32"/>
          <w:highlight w:val="none"/>
        </w:rPr>
        <w:tab/>
      </w:r>
      <w:r>
        <w:rPr>
          <w:rFonts w:hint="eastAsia" w:ascii="仿宋" w:hAnsi="仿宋" w:eastAsia="仿宋" w:cs="仿宋"/>
          <w:color w:val="auto"/>
          <w:sz w:val="32"/>
          <w:szCs w:val="32"/>
          <w:highlight w:val="none"/>
        </w:rPr>
        <w:fldChar w:fldCharType="begin"/>
      </w:r>
      <w:r>
        <w:rPr>
          <w:rFonts w:hint="eastAsia" w:ascii="仿宋" w:hAnsi="仿宋" w:eastAsia="仿宋" w:cs="仿宋"/>
          <w:color w:val="auto"/>
          <w:sz w:val="32"/>
          <w:szCs w:val="32"/>
          <w:highlight w:val="none"/>
        </w:rPr>
        <w:instrText xml:space="preserve"> PAGEREF _Toc6062 \h </w:instrText>
      </w:r>
      <w:r>
        <w:rPr>
          <w:rFonts w:hint="eastAsia" w:ascii="仿宋" w:hAnsi="仿宋" w:eastAsia="仿宋" w:cs="仿宋"/>
          <w:color w:val="auto"/>
          <w:sz w:val="32"/>
          <w:szCs w:val="32"/>
          <w:highlight w:val="none"/>
        </w:rPr>
        <w:fldChar w:fldCharType="separate"/>
      </w:r>
      <w:r>
        <w:rPr>
          <w:rFonts w:hint="eastAsia" w:ascii="仿宋" w:hAnsi="仿宋" w:eastAsia="仿宋" w:cs="仿宋"/>
          <w:color w:val="auto"/>
          <w:sz w:val="32"/>
          <w:szCs w:val="32"/>
          <w:highlight w:val="none"/>
        </w:rPr>
        <w:t>- 109 -</w:t>
      </w:r>
      <w:r>
        <w:rPr>
          <w:rFonts w:hint="eastAsia" w:ascii="仿宋" w:hAnsi="仿宋" w:eastAsia="仿宋" w:cs="仿宋"/>
          <w:color w:val="auto"/>
          <w:sz w:val="32"/>
          <w:szCs w:val="32"/>
          <w:highlight w:val="none"/>
        </w:rPr>
        <w:fldChar w:fldCharType="end"/>
      </w:r>
      <w:r>
        <w:rPr>
          <w:rFonts w:hint="eastAsia" w:ascii="仿宋" w:hAnsi="仿宋" w:eastAsia="仿宋" w:cs="仿宋"/>
          <w:bCs w:val="0"/>
          <w:color w:val="auto"/>
          <w:sz w:val="32"/>
          <w:szCs w:val="32"/>
          <w:highlight w:val="none"/>
        </w:rPr>
        <w:fldChar w:fldCharType="end"/>
      </w:r>
    </w:p>
    <w:p w14:paraId="3D3CA0D9">
      <w:pPr>
        <w:pStyle w:val="2"/>
        <w:wordWrap/>
        <w:adjustRightInd/>
        <w:snapToGrid/>
        <w:spacing w:before="120" w:after="120" w:line="360" w:lineRule="auto"/>
        <w:rPr>
          <w:rFonts w:hint="eastAsia" w:ascii="仿宋" w:hAnsi="仿宋" w:eastAsia="仿宋" w:cs="仿宋"/>
          <w:bCs w:val="0"/>
          <w:color w:val="auto"/>
          <w:sz w:val="24"/>
          <w:szCs w:val="24"/>
          <w:highlight w:val="none"/>
        </w:rPr>
        <w:sectPr>
          <w:headerReference r:id="rId7" w:type="default"/>
          <w:footerReference r:id="rId8" w:type="default"/>
          <w:pgSz w:w="11906" w:h="16838"/>
          <w:pgMar w:top="1440" w:right="1080" w:bottom="1440" w:left="1080" w:header="851" w:footer="992" w:gutter="0"/>
          <w:pgBorders>
            <w:top w:val="none" w:sz="0" w:space="0"/>
            <w:left w:val="none" w:sz="0" w:space="0"/>
            <w:bottom w:val="none" w:sz="0" w:space="0"/>
            <w:right w:val="none" w:sz="0" w:space="0"/>
          </w:pgBorders>
          <w:pgNumType w:fmt="numberInDash"/>
          <w:cols w:space="425" w:num="1"/>
          <w:docGrid w:type="lines" w:linePitch="312" w:charSpace="0"/>
        </w:sectPr>
      </w:pPr>
      <w:r>
        <w:rPr>
          <w:rFonts w:hint="eastAsia" w:ascii="仿宋" w:hAnsi="仿宋" w:eastAsia="仿宋" w:cs="仿宋"/>
          <w:bCs w:val="0"/>
          <w:color w:val="auto"/>
          <w:sz w:val="32"/>
          <w:szCs w:val="32"/>
          <w:highlight w:val="none"/>
        </w:rPr>
        <w:fldChar w:fldCharType="end"/>
      </w:r>
      <w:bookmarkStart w:id="1" w:name="_Toc393784369"/>
      <w:bookmarkStart w:id="2" w:name="_Toc25475"/>
    </w:p>
    <w:p w14:paraId="48010A7E">
      <w:pPr>
        <w:pStyle w:val="2"/>
        <w:bidi w:val="0"/>
        <w:rPr>
          <w:rFonts w:hint="eastAsia" w:ascii="仿宋" w:hAnsi="仿宋" w:eastAsia="仿宋" w:cs="仿宋"/>
          <w:color w:val="auto"/>
          <w:highlight w:val="none"/>
        </w:rPr>
      </w:pPr>
      <w:bookmarkStart w:id="3" w:name="_Toc12554"/>
      <w:r>
        <w:rPr>
          <w:rFonts w:hint="eastAsia" w:ascii="仿宋" w:hAnsi="仿宋" w:eastAsia="仿宋" w:cs="仿宋"/>
          <w:color w:val="auto"/>
          <w:highlight w:val="none"/>
        </w:rPr>
        <w:t xml:space="preserve">第一章 </w:t>
      </w:r>
      <w:bookmarkEnd w:id="1"/>
      <w:r>
        <w:rPr>
          <w:rFonts w:hint="eastAsia" w:ascii="仿宋" w:hAnsi="仿宋" w:eastAsia="仿宋" w:cs="仿宋"/>
          <w:color w:val="auto"/>
          <w:highlight w:val="none"/>
        </w:rPr>
        <w:t>招标公告</w:t>
      </w:r>
      <w:bookmarkEnd w:id="2"/>
      <w:bookmarkEnd w:id="3"/>
    </w:p>
    <w:tbl>
      <w:tblPr>
        <w:tblStyle w:val="35"/>
        <w:tblW w:w="4998" w:type="pct"/>
        <w:jc w:val="center"/>
        <w:tblBorders>
          <w:top w:val="single" w:color="auto" w:sz="4" w:space="0"/>
          <w:left w:val="single" w:color="auto" w:sz="4" w:space="0"/>
          <w:bottom w:val="single" w:color="auto" w:sz="4" w:space="0"/>
          <w:right w:val="single" w:color="auto" w:sz="4" w:space="0"/>
          <w:insideH w:val="single" w:color="auto" w:sz="18" w:space="0"/>
          <w:insideV w:val="single" w:color="auto" w:sz="18" w:space="0"/>
        </w:tblBorders>
        <w:tblLayout w:type="autofit"/>
        <w:tblCellMar>
          <w:top w:w="0" w:type="dxa"/>
          <w:left w:w="108" w:type="dxa"/>
          <w:bottom w:w="0" w:type="dxa"/>
          <w:right w:w="108" w:type="dxa"/>
        </w:tblCellMar>
      </w:tblPr>
      <w:tblGrid>
        <w:gridCol w:w="9726"/>
      </w:tblGrid>
      <w:tr w14:paraId="420784B3">
        <w:tblPrEx>
          <w:tblBorders>
            <w:top w:val="single" w:color="auto" w:sz="4" w:space="0"/>
            <w:left w:val="single" w:color="auto" w:sz="4" w:space="0"/>
            <w:bottom w:val="single" w:color="auto" w:sz="4" w:space="0"/>
            <w:right w:val="single" w:color="auto" w:sz="4" w:space="0"/>
            <w:insideH w:val="single" w:color="auto" w:sz="18" w:space="0"/>
            <w:insideV w:val="single" w:color="auto" w:sz="18" w:space="0"/>
          </w:tblBorders>
          <w:tblCellMar>
            <w:top w:w="0" w:type="dxa"/>
            <w:left w:w="108" w:type="dxa"/>
            <w:bottom w:w="0" w:type="dxa"/>
            <w:right w:w="108" w:type="dxa"/>
          </w:tblCellMar>
        </w:tblPrEx>
        <w:trPr>
          <w:trHeight w:val="1016" w:hRule="atLeast"/>
          <w:jc w:val="center"/>
        </w:trPr>
        <w:tc>
          <w:tcPr>
            <w:tcW w:w="5000" w:type="pct"/>
          </w:tcPr>
          <w:p w14:paraId="3D969EBC">
            <w:pPr>
              <w:spacing w:line="240" w:lineRule="auto"/>
              <w:ind w:firstLine="0" w:firstLineChars="0"/>
              <w:rPr>
                <w:rFonts w:hint="eastAsia" w:ascii="仿宋" w:hAnsi="仿宋" w:eastAsia="仿宋" w:cs="仿宋"/>
                <w:b/>
                <w:bCs/>
                <w:color w:val="auto"/>
                <w:sz w:val="24"/>
                <w:szCs w:val="24"/>
                <w:highlight w:val="none"/>
              </w:rPr>
            </w:pPr>
            <w:bookmarkStart w:id="4" w:name="_Toc17591"/>
            <w:bookmarkStart w:id="5" w:name="_Toc16612"/>
            <w:bookmarkStart w:id="6" w:name="_Toc2771"/>
            <w:bookmarkStart w:id="7" w:name="_Toc4160"/>
            <w:bookmarkStart w:id="8" w:name="_Toc15684"/>
            <w:bookmarkStart w:id="9" w:name="_Toc11416"/>
            <w:bookmarkStart w:id="10" w:name="_Toc5588"/>
            <w:bookmarkStart w:id="11" w:name="_Toc1974"/>
            <w:bookmarkStart w:id="12" w:name="_Toc15275"/>
            <w:bookmarkStart w:id="13" w:name="_Toc49935287"/>
            <w:bookmarkStart w:id="14" w:name="_Toc4460"/>
            <w:bookmarkStart w:id="15" w:name="_Toc4891"/>
            <w:bookmarkStart w:id="16" w:name="_Toc19079"/>
            <w:bookmarkStart w:id="17" w:name="_Toc44576552"/>
            <w:bookmarkStart w:id="18" w:name="_Toc29654"/>
            <w:r>
              <w:rPr>
                <w:rFonts w:hint="eastAsia" w:ascii="仿宋" w:hAnsi="仿宋" w:eastAsia="仿宋" w:cs="仿宋"/>
                <w:b/>
                <w:bCs/>
                <w:color w:val="auto"/>
                <w:sz w:val="24"/>
                <w:szCs w:val="24"/>
                <w:highlight w:val="none"/>
              </w:rPr>
              <w:t>项目概况</w:t>
            </w:r>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p>
          <w:p w14:paraId="4F0E5E8B">
            <w:pPr>
              <w:spacing w:line="240" w:lineRule="auto"/>
              <w:ind w:firstLine="442"/>
              <w:rPr>
                <w:rFonts w:hint="eastAsia" w:ascii="仿宋" w:hAnsi="仿宋" w:eastAsia="仿宋" w:cs="仿宋"/>
                <w:color w:val="auto"/>
                <w:sz w:val="24"/>
                <w:szCs w:val="24"/>
                <w:highlight w:val="none"/>
              </w:rPr>
            </w:pPr>
            <w:r>
              <w:rPr>
                <w:rFonts w:hint="eastAsia" w:cs="仿宋"/>
                <w:b/>
                <w:bCs/>
                <w:color w:val="auto"/>
                <w:sz w:val="24"/>
                <w:szCs w:val="24"/>
                <w:highlight w:val="none"/>
                <w:lang w:eastAsia="zh-CN"/>
              </w:rPr>
              <w:t>云南轻纺职业学院人工智能学院云计算技术应用实训室及智慧教室建设项目</w:t>
            </w:r>
            <w:r>
              <w:rPr>
                <w:rFonts w:hint="eastAsia" w:cs="仿宋"/>
                <w:b/>
                <w:bCs/>
                <w:color w:val="auto"/>
                <w:sz w:val="24"/>
                <w:szCs w:val="24"/>
                <w:highlight w:val="none"/>
                <w:lang w:eastAsia="zh-CN"/>
              </w:rPr>
              <w:t>（</w:t>
            </w:r>
            <w:r>
              <w:rPr>
                <w:rFonts w:hint="eastAsia" w:cs="仿宋"/>
                <w:b/>
                <w:bCs/>
                <w:color w:val="auto"/>
                <w:sz w:val="24"/>
                <w:szCs w:val="24"/>
                <w:highlight w:val="none"/>
                <w:lang w:val="en-US" w:eastAsia="zh-CN"/>
              </w:rPr>
              <w:t>二次</w:t>
            </w:r>
            <w:r>
              <w:rPr>
                <w:rFonts w:hint="eastAsia" w:cs="仿宋"/>
                <w:b/>
                <w:bCs/>
                <w:color w:val="auto"/>
                <w:sz w:val="24"/>
                <w:szCs w:val="24"/>
                <w:highlight w:val="none"/>
                <w:lang w:eastAsia="zh-CN"/>
              </w:rPr>
              <w:t>）</w:t>
            </w:r>
            <w:r>
              <w:rPr>
                <w:rFonts w:hint="eastAsia" w:ascii="仿宋" w:hAnsi="仿宋" w:eastAsia="仿宋" w:cs="仿宋"/>
                <w:color w:val="auto"/>
                <w:sz w:val="24"/>
                <w:szCs w:val="24"/>
                <w:highlight w:val="none"/>
              </w:rPr>
              <w:t>的潜在</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应在云南省政府采购电子交易平台（政采云https://www.zcygov.cn/）获取</w:t>
            </w:r>
            <w:r>
              <w:rPr>
                <w:rFonts w:hint="eastAsia" w:ascii="仿宋" w:hAnsi="仿宋" w:eastAsia="仿宋" w:cs="仿宋"/>
                <w:color w:val="auto"/>
                <w:sz w:val="24"/>
                <w:szCs w:val="24"/>
                <w:highlight w:val="none"/>
                <w:lang w:eastAsia="zh-CN"/>
              </w:rPr>
              <w:t>招标文件</w:t>
            </w:r>
            <w:r>
              <w:rPr>
                <w:rFonts w:hint="eastAsia" w:ascii="仿宋" w:hAnsi="仿宋" w:eastAsia="仿宋" w:cs="仿宋"/>
                <w:color w:val="auto"/>
                <w:sz w:val="24"/>
                <w:szCs w:val="24"/>
                <w:highlight w:val="none"/>
              </w:rPr>
              <w:t>，并于</w:t>
            </w:r>
            <w:r>
              <w:rPr>
                <w:rFonts w:hint="eastAsia" w:ascii="仿宋" w:hAnsi="仿宋" w:eastAsia="仿宋" w:cs="仿宋"/>
                <w:b/>
                <w:bCs/>
                <w:color w:val="auto"/>
                <w:sz w:val="24"/>
                <w:szCs w:val="24"/>
                <w:highlight w:val="none"/>
              </w:rPr>
              <w:t>202</w:t>
            </w:r>
            <w:r>
              <w:rPr>
                <w:rFonts w:hint="eastAsia" w:ascii="仿宋" w:hAnsi="仿宋" w:eastAsia="仿宋" w:cs="仿宋"/>
                <w:b/>
                <w:bCs/>
                <w:color w:val="auto"/>
                <w:sz w:val="24"/>
                <w:szCs w:val="24"/>
                <w:highlight w:val="none"/>
                <w:lang w:val="en-US" w:eastAsia="zh-CN"/>
              </w:rPr>
              <w:t>6</w:t>
            </w:r>
            <w:r>
              <w:rPr>
                <w:rFonts w:hint="eastAsia" w:ascii="仿宋" w:hAnsi="仿宋" w:eastAsia="仿宋" w:cs="仿宋"/>
                <w:b/>
                <w:bCs/>
                <w:color w:val="auto"/>
                <w:sz w:val="24"/>
                <w:szCs w:val="24"/>
                <w:highlight w:val="none"/>
              </w:rPr>
              <w:t>-</w:t>
            </w:r>
            <w:r>
              <w:rPr>
                <w:rFonts w:hint="eastAsia" w:ascii="仿宋" w:hAnsi="仿宋" w:eastAsia="仿宋" w:cs="仿宋"/>
                <w:b/>
                <w:bCs/>
                <w:color w:val="auto"/>
                <w:sz w:val="24"/>
                <w:szCs w:val="24"/>
                <w:highlight w:val="none"/>
                <w:lang w:val="en-US" w:eastAsia="zh-CN"/>
              </w:rPr>
              <w:t>0</w:t>
            </w:r>
            <w:r>
              <w:rPr>
                <w:rFonts w:hint="eastAsia" w:cs="仿宋"/>
                <w:b/>
                <w:bCs/>
                <w:color w:val="auto"/>
                <w:sz w:val="24"/>
                <w:szCs w:val="24"/>
                <w:highlight w:val="none"/>
                <w:lang w:val="en-US" w:eastAsia="zh-CN"/>
              </w:rPr>
              <w:t>8</w:t>
            </w:r>
            <w:r>
              <w:rPr>
                <w:rFonts w:hint="eastAsia" w:ascii="仿宋" w:hAnsi="仿宋" w:eastAsia="仿宋" w:cs="仿宋"/>
                <w:b/>
                <w:bCs/>
                <w:color w:val="auto"/>
                <w:sz w:val="24"/>
                <w:szCs w:val="24"/>
                <w:highlight w:val="none"/>
              </w:rPr>
              <w:t>-</w:t>
            </w:r>
            <w:r>
              <w:rPr>
                <w:rFonts w:hint="eastAsia" w:cs="仿宋"/>
                <w:b/>
                <w:bCs/>
                <w:color w:val="auto"/>
                <w:sz w:val="24"/>
                <w:szCs w:val="24"/>
                <w:highlight w:val="none"/>
                <w:lang w:val="en-US" w:eastAsia="zh-CN"/>
              </w:rPr>
              <w:t xml:space="preserve">18 </w:t>
            </w:r>
            <w:r>
              <w:rPr>
                <w:rFonts w:hint="eastAsia" w:ascii="仿宋" w:hAnsi="仿宋" w:eastAsia="仿宋" w:cs="仿宋"/>
                <w:b/>
                <w:bCs/>
                <w:color w:val="auto"/>
                <w:sz w:val="24"/>
                <w:szCs w:val="24"/>
                <w:highlight w:val="none"/>
                <w:lang w:val="en-US" w:eastAsia="zh-CN"/>
              </w:rPr>
              <w:t xml:space="preserve"> </w:t>
            </w:r>
            <w:r>
              <w:rPr>
                <w:rFonts w:hint="eastAsia" w:ascii="仿宋" w:hAnsi="仿宋" w:eastAsia="仿宋" w:cs="仿宋"/>
                <w:b/>
                <w:bCs/>
                <w:color w:val="auto"/>
                <w:sz w:val="24"/>
                <w:szCs w:val="24"/>
                <w:highlight w:val="none"/>
              </w:rPr>
              <w:t>09:</w:t>
            </w:r>
            <w:r>
              <w:rPr>
                <w:rFonts w:hint="eastAsia" w:cs="仿宋"/>
                <w:b/>
                <w:bCs/>
                <w:color w:val="auto"/>
                <w:sz w:val="24"/>
                <w:szCs w:val="24"/>
                <w:highlight w:val="none"/>
                <w:lang w:val="en-US" w:eastAsia="zh-CN"/>
              </w:rPr>
              <w:t>3</w:t>
            </w:r>
            <w:r>
              <w:rPr>
                <w:rFonts w:hint="eastAsia" w:ascii="仿宋" w:hAnsi="仿宋" w:eastAsia="仿宋" w:cs="仿宋"/>
                <w:b/>
                <w:bCs/>
                <w:color w:val="auto"/>
                <w:sz w:val="24"/>
                <w:szCs w:val="24"/>
                <w:highlight w:val="none"/>
                <w:lang w:val="en-US" w:eastAsia="zh-CN"/>
              </w:rPr>
              <w:t>0</w:t>
            </w:r>
            <w:r>
              <w:rPr>
                <w:rFonts w:hint="eastAsia" w:ascii="仿宋" w:hAnsi="仿宋" w:eastAsia="仿宋" w:cs="仿宋"/>
                <w:b/>
                <w:bCs/>
                <w:color w:val="auto"/>
                <w:sz w:val="24"/>
                <w:szCs w:val="24"/>
                <w:highlight w:val="none"/>
              </w:rPr>
              <w:t>（北京时间）</w:t>
            </w:r>
            <w:r>
              <w:rPr>
                <w:rFonts w:hint="eastAsia" w:ascii="仿宋" w:hAnsi="仿宋" w:eastAsia="仿宋" w:cs="仿宋"/>
                <w:color w:val="auto"/>
                <w:sz w:val="24"/>
                <w:szCs w:val="24"/>
                <w:highlight w:val="none"/>
              </w:rPr>
              <w:t>前网上递交投标文件。</w:t>
            </w:r>
          </w:p>
        </w:tc>
      </w:tr>
    </w:tbl>
    <w:p w14:paraId="183DF131">
      <w:pPr>
        <w:pStyle w:val="3"/>
        <w:spacing w:before="93" w:after="93"/>
        <w:ind w:firstLine="643"/>
        <w:rPr>
          <w:rFonts w:hint="eastAsia" w:ascii="仿宋" w:hAnsi="仿宋" w:eastAsia="仿宋" w:cs="仿宋"/>
          <w:color w:val="auto"/>
          <w:highlight w:val="none"/>
        </w:rPr>
      </w:pPr>
      <w:bookmarkStart w:id="19" w:name="_Toc21783"/>
      <w:bookmarkStart w:id="20" w:name="_Toc8779"/>
      <w:bookmarkStart w:id="21" w:name="_Toc14766"/>
      <w:bookmarkStart w:id="22" w:name="_Toc12678"/>
      <w:r>
        <w:rPr>
          <w:rFonts w:hint="eastAsia" w:ascii="仿宋" w:hAnsi="仿宋" w:eastAsia="仿宋" w:cs="仿宋"/>
          <w:color w:val="auto"/>
          <w:highlight w:val="none"/>
        </w:rPr>
        <w:t>一、项目基本情况</w:t>
      </w:r>
      <w:bookmarkEnd w:id="19"/>
      <w:bookmarkEnd w:id="20"/>
      <w:bookmarkEnd w:id="21"/>
      <w:bookmarkEnd w:id="22"/>
    </w:p>
    <w:p w14:paraId="7B5DA1EB">
      <w:pPr>
        <w:ind w:firstLine="562"/>
        <w:rPr>
          <w:rFonts w:hint="eastAsia" w:ascii="仿宋" w:hAnsi="仿宋" w:eastAsia="仿宋" w:cs="仿宋"/>
          <w:color w:val="auto"/>
          <w:highlight w:val="none"/>
          <w:lang w:val="en-US"/>
        </w:rPr>
      </w:pPr>
      <w:r>
        <w:rPr>
          <w:rFonts w:hint="eastAsia" w:ascii="仿宋" w:hAnsi="仿宋" w:eastAsia="仿宋" w:cs="仿宋"/>
          <w:b/>
          <w:bCs/>
          <w:color w:val="auto"/>
          <w:highlight w:val="none"/>
        </w:rPr>
        <w:t>项目编号：</w:t>
      </w:r>
      <w:r>
        <w:rPr>
          <w:rFonts w:hint="eastAsia" w:cs="仿宋"/>
          <w:color w:val="auto"/>
          <w:highlight w:val="none"/>
          <w:lang w:eastAsia="zh-CN"/>
        </w:rPr>
        <w:t>云润招字 HW2026-120</w:t>
      </w:r>
    </w:p>
    <w:p w14:paraId="2DA19D54">
      <w:pPr>
        <w:ind w:firstLine="562"/>
        <w:rPr>
          <w:rFonts w:hint="eastAsia" w:ascii="仿宋" w:hAnsi="仿宋" w:eastAsia="仿宋" w:cs="仿宋"/>
          <w:color w:val="auto"/>
          <w:highlight w:val="none"/>
          <w:lang w:eastAsia="zh-CN"/>
        </w:rPr>
      </w:pPr>
      <w:r>
        <w:rPr>
          <w:rFonts w:hint="eastAsia" w:ascii="仿宋" w:hAnsi="仿宋" w:eastAsia="仿宋" w:cs="仿宋"/>
          <w:b/>
          <w:bCs/>
          <w:color w:val="auto"/>
          <w:highlight w:val="none"/>
        </w:rPr>
        <w:t>项目名称：</w:t>
      </w:r>
      <w:r>
        <w:rPr>
          <w:rFonts w:hint="eastAsia" w:cs="仿宋"/>
          <w:color w:val="auto"/>
          <w:highlight w:val="none"/>
          <w:lang w:eastAsia="zh-CN"/>
        </w:rPr>
        <w:t>云南轻纺职业学院人工智能学院云计算技术应用实训室及智慧教室建设项目</w:t>
      </w:r>
      <w:r>
        <w:rPr>
          <w:rFonts w:hint="eastAsia" w:cs="仿宋"/>
          <w:color w:val="auto"/>
          <w:highlight w:val="none"/>
          <w:lang w:eastAsia="zh-CN"/>
        </w:rPr>
        <w:t>（</w:t>
      </w:r>
      <w:r>
        <w:rPr>
          <w:rFonts w:hint="eastAsia" w:cs="仿宋"/>
          <w:color w:val="auto"/>
          <w:highlight w:val="none"/>
          <w:lang w:val="en-US" w:eastAsia="zh-CN"/>
        </w:rPr>
        <w:t>二次</w:t>
      </w:r>
      <w:r>
        <w:rPr>
          <w:rFonts w:hint="eastAsia" w:cs="仿宋"/>
          <w:color w:val="auto"/>
          <w:highlight w:val="none"/>
          <w:lang w:eastAsia="zh-CN"/>
        </w:rPr>
        <w:t>）</w:t>
      </w:r>
    </w:p>
    <w:p w14:paraId="29232F2B">
      <w:pPr>
        <w:ind w:firstLine="562"/>
        <w:rPr>
          <w:rFonts w:hint="eastAsia" w:ascii="仿宋" w:hAnsi="仿宋" w:eastAsia="仿宋" w:cs="仿宋"/>
          <w:color w:val="auto"/>
          <w:highlight w:val="none"/>
          <w:lang w:eastAsia="zh-CN"/>
        </w:rPr>
      </w:pPr>
      <w:r>
        <w:rPr>
          <w:rFonts w:hint="eastAsia" w:ascii="仿宋" w:hAnsi="仿宋" w:eastAsia="仿宋" w:cs="仿宋"/>
          <w:b/>
          <w:bCs/>
          <w:color w:val="auto"/>
          <w:highlight w:val="none"/>
        </w:rPr>
        <w:t>预算金额</w:t>
      </w:r>
      <w:r>
        <w:rPr>
          <w:rFonts w:hint="eastAsia" w:cs="仿宋"/>
          <w:b/>
          <w:bCs/>
          <w:color w:val="auto"/>
          <w:highlight w:val="none"/>
          <w:lang w:val="en-US" w:eastAsia="zh-CN"/>
        </w:rPr>
        <w:t>(元）</w:t>
      </w:r>
      <w:r>
        <w:rPr>
          <w:rFonts w:hint="eastAsia" w:ascii="仿宋" w:hAnsi="仿宋" w:eastAsia="仿宋" w:cs="仿宋"/>
          <w:b/>
          <w:bCs/>
          <w:color w:val="auto"/>
          <w:highlight w:val="none"/>
        </w:rPr>
        <w:t>：</w:t>
      </w:r>
      <w:r>
        <w:rPr>
          <w:rFonts w:hint="eastAsia" w:cs="仿宋"/>
          <w:color w:val="auto"/>
          <w:highlight w:val="none"/>
          <w:lang w:val="en-US" w:eastAsia="zh-CN"/>
        </w:rPr>
        <w:t>494540.00</w:t>
      </w:r>
    </w:p>
    <w:p w14:paraId="6D68D1B5">
      <w:pPr>
        <w:ind w:firstLine="562"/>
        <w:rPr>
          <w:rFonts w:hint="eastAsia" w:ascii="仿宋" w:hAnsi="仿宋" w:eastAsia="仿宋" w:cs="仿宋"/>
          <w:color w:val="auto"/>
          <w:highlight w:val="none"/>
          <w:lang w:eastAsia="zh-CN"/>
        </w:rPr>
      </w:pPr>
      <w:r>
        <w:rPr>
          <w:rFonts w:hint="eastAsia" w:ascii="仿宋" w:hAnsi="仿宋" w:eastAsia="仿宋" w:cs="仿宋"/>
          <w:b/>
          <w:bCs/>
          <w:color w:val="auto"/>
          <w:highlight w:val="none"/>
        </w:rPr>
        <w:t>最高限价</w:t>
      </w:r>
      <w:r>
        <w:rPr>
          <w:rFonts w:hint="eastAsia" w:cs="仿宋"/>
          <w:b/>
          <w:bCs/>
          <w:color w:val="auto"/>
          <w:highlight w:val="none"/>
          <w:lang w:val="en-US" w:eastAsia="zh-CN"/>
        </w:rPr>
        <w:t>(元）</w:t>
      </w:r>
      <w:r>
        <w:rPr>
          <w:rFonts w:hint="eastAsia" w:ascii="仿宋" w:hAnsi="仿宋" w:eastAsia="仿宋" w:cs="仿宋"/>
          <w:b/>
          <w:bCs/>
          <w:color w:val="auto"/>
          <w:highlight w:val="none"/>
        </w:rPr>
        <w:t>：</w:t>
      </w:r>
      <w:r>
        <w:rPr>
          <w:rFonts w:hint="eastAsia" w:cs="仿宋"/>
          <w:color w:val="auto"/>
          <w:highlight w:val="none"/>
          <w:lang w:val="en-US" w:eastAsia="zh-CN"/>
        </w:rPr>
        <w:t>494540.00</w:t>
      </w:r>
    </w:p>
    <w:p w14:paraId="6205994A">
      <w:pPr>
        <w:ind w:firstLine="562"/>
        <w:rPr>
          <w:rFonts w:hint="eastAsia" w:cs="仿宋"/>
          <w:color w:val="auto"/>
          <w:highlight w:val="none"/>
          <w:lang w:val="en-US" w:eastAsia="zh-CN"/>
        </w:rPr>
      </w:pPr>
      <w:r>
        <w:rPr>
          <w:rFonts w:hint="eastAsia" w:ascii="仿宋" w:hAnsi="仿宋" w:eastAsia="仿宋" w:cs="仿宋"/>
          <w:b/>
          <w:bCs/>
          <w:color w:val="auto"/>
          <w:highlight w:val="none"/>
        </w:rPr>
        <w:t>采购需求</w:t>
      </w:r>
      <w:r>
        <w:rPr>
          <w:rFonts w:hint="eastAsia" w:ascii="仿宋" w:hAnsi="仿宋" w:eastAsia="仿宋" w:cs="仿宋"/>
          <w:color w:val="auto"/>
          <w:highlight w:val="none"/>
        </w:rPr>
        <w:t>：</w:t>
      </w:r>
      <w:r>
        <w:rPr>
          <w:rFonts w:hint="eastAsia" w:cs="仿宋"/>
          <w:color w:val="auto"/>
          <w:highlight w:val="none"/>
          <w:lang w:eastAsia="zh-CN"/>
        </w:rPr>
        <w:t>云南轻纺职业学院人工智能学院云计算技术应用实训室及智慧教室建设项目</w:t>
      </w:r>
      <w:r>
        <w:rPr>
          <w:rFonts w:hint="eastAsia" w:cs="仿宋"/>
          <w:color w:val="auto"/>
          <w:highlight w:val="none"/>
          <w:lang w:val="en-US" w:eastAsia="zh-CN"/>
        </w:rPr>
        <w:t>包括</w:t>
      </w:r>
      <w:r>
        <w:rPr>
          <w:rFonts w:hint="eastAsia" w:ascii="宋体" w:hAnsi="宋体" w:cs="宋体"/>
          <w:b/>
          <w:bCs/>
          <w:color w:val="auto"/>
          <w:kern w:val="0"/>
          <w:szCs w:val="21"/>
          <w:highlight w:val="none"/>
        </w:rPr>
        <w:t>人工智能学院云计算技术应用实训室建设</w:t>
      </w:r>
      <w:r>
        <w:rPr>
          <w:rFonts w:hint="eastAsia" w:ascii="宋体" w:hAnsi="宋体" w:cs="宋体"/>
          <w:b/>
          <w:bCs/>
          <w:color w:val="auto"/>
          <w:kern w:val="0"/>
          <w:szCs w:val="21"/>
          <w:highlight w:val="none"/>
          <w:lang w:val="en-US" w:eastAsia="zh-CN"/>
        </w:rPr>
        <w:t>及</w:t>
      </w:r>
      <w:r>
        <w:rPr>
          <w:rFonts w:hint="eastAsia" w:ascii="宋体" w:hAnsi="宋体" w:cs="宋体"/>
          <w:b/>
          <w:bCs/>
          <w:color w:val="auto"/>
          <w:kern w:val="0"/>
          <w:szCs w:val="21"/>
          <w:highlight w:val="none"/>
        </w:rPr>
        <w:t>智慧教室建设</w:t>
      </w:r>
      <w:r>
        <w:rPr>
          <w:rFonts w:hint="eastAsia" w:cs="仿宋"/>
          <w:color w:val="auto"/>
          <w:highlight w:val="none"/>
          <w:lang w:val="en-US" w:eastAsia="zh-CN"/>
        </w:rPr>
        <w:t>。</w:t>
      </w:r>
    </w:p>
    <w:tbl>
      <w:tblPr>
        <w:tblStyle w:val="35"/>
        <w:tblW w:w="4995" w:type="pct"/>
        <w:tblInd w:w="0" w:type="dxa"/>
        <w:tblLayout w:type="autofit"/>
        <w:tblCellMar>
          <w:top w:w="0" w:type="dxa"/>
          <w:left w:w="108" w:type="dxa"/>
          <w:bottom w:w="0" w:type="dxa"/>
          <w:right w:w="108" w:type="dxa"/>
        </w:tblCellMar>
      </w:tblPr>
      <w:tblGrid>
        <w:gridCol w:w="1101"/>
        <w:gridCol w:w="1230"/>
        <w:gridCol w:w="4445"/>
        <w:gridCol w:w="1101"/>
        <w:gridCol w:w="1853"/>
      </w:tblGrid>
      <w:tr w14:paraId="3EF738B3">
        <w:tblPrEx>
          <w:tblCellMar>
            <w:top w:w="0" w:type="dxa"/>
            <w:left w:w="108" w:type="dxa"/>
            <w:bottom w:w="0" w:type="dxa"/>
            <w:right w:w="108" w:type="dxa"/>
          </w:tblCellMar>
        </w:tblPrEx>
        <w:trPr>
          <w:trHeight w:val="20" w:hRule="atLeast"/>
        </w:trPr>
        <w:tc>
          <w:tcPr>
            <w:tcW w:w="566" w:type="pct"/>
            <w:tcBorders>
              <w:top w:val="single" w:color="auto" w:sz="4" w:space="0"/>
              <w:left w:val="single" w:color="auto" w:sz="4" w:space="0"/>
              <w:bottom w:val="single" w:color="auto" w:sz="4" w:space="0"/>
              <w:right w:val="single" w:color="auto" w:sz="4" w:space="0"/>
            </w:tcBorders>
            <w:shd w:val="clear" w:color="auto" w:fill="92D050"/>
            <w:vAlign w:val="center"/>
          </w:tcPr>
          <w:p w14:paraId="0BE3C3E3">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仿宋" w:hAnsi="仿宋" w:eastAsia="仿宋" w:cs="仿宋"/>
                <w:b/>
                <w:bCs/>
                <w:i w:val="0"/>
                <w:iCs w:val="0"/>
                <w:snapToGrid w:val="0"/>
                <w:color w:val="auto"/>
                <w:kern w:val="0"/>
                <w:sz w:val="24"/>
                <w:szCs w:val="24"/>
                <w:highlight w:val="none"/>
                <w:u w:val="none"/>
                <w:lang w:val="en-US" w:eastAsia="zh-CN" w:bidi="ar"/>
              </w:rPr>
            </w:pPr>
            <w:r>
              <w:rPr>
                <w:rFonts w:hint="eastAsia" w:ascii="仿宋" w:hAnsi="仿宋" w:eastAsia="仿宋" w:cs="仿宋"/>
                <w:b/>
                <w:bCs/>
                <w:i w:val="0"/>
                <w:iCs w:val="0"/>
                <w:snapToGrid w:val="0"/>
                <w:color w:val="auto"/>
                <w:kern w:val="0"/>
                <w:sz w:val="24"/>
                <w:szCs w:val="24"/>
                <w:highlight w:val="none"/>
                <w:u w:val="none"/>
                <w:lang w:val="en-US" w:eastAsia="zh-CN" w:bidi="ar"/>
              </w:rPr>
              <w:t>序号</w:t>
            </w:r>
          </w:p>
        </w:tc>
        <w:tc>
          <w:tcPr>
            <w:tcW w:w="632" w:type="pct"/>
            <w:tcBorders>
              <w:top w:val="single" w:color="auto" w:sz="4" w:space="0"/>
              <w:left w:val="nil"/>
              <w:bottom w:val="single" w:color="auto" w:sz="4" w:space="0"/>
              <w:right w:val="single" w:color="auto" w:sz="4" w:space="0"/>
            </w:tcBorders>
            <w:shd w:val="clear" w:color="auto" w:fill="92D050"/>
            <w:vAlign w:val="center"/>
          </w:tcPr>
          <w:p w14:paraId="00D38445">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仿宋" w:hAnsi="仿宋" w:eastAsia="仿宋" w:cs="仿宋"/>
                <w:b/>
                <w:bCs/>
                <w:i w:val="0"/>
                <w:iCs w:val="0"/>
                <w:snapToGrid w:val="0"/>
                <w:color w:val="auto"/>
                <w:kern w:val="0"/>
                <w:sz w:val="24"/>
                <w:szCs w:val="24"/>
                <w:highlight w:val="none"/>
                <w:u w:val="none"/>
                <w:lang w:val="en-US" w:eastAsia="zh-CN" w:bidi="ar"/>
              </w:rPr>
            </w:pPr>
            <w:r>
              <w:rPr>
                <w:rFonts w:hint="eastAsia" w:ascii="仿宋" w:hAnsi="仿宋" w:eastAsia="仿宋" w:cs="仿宋"/>
                <w:b/>
                <w:bCs/>
                <w:i w:val="0"/>
                <w:iCs w:val="0"/>
                <w:snapToGrid w:val="0"/>
                <w:color w:val="auto"/>
                <w:kern w:val="0"/>
                <w:sz w:val="24"/>
                <w:szCs w:val="24"/>
                <w:highlight w:val="none"/>
                <w:u w:val="none"/>
                <w:lang w:val="en-US" w:eastAsia="zh-CN" w:bidi="ar"/>
              </w:rPr>
              <w:t>标段代码</w:t>
            </w:r>
          </w:p>
        </w:tc>
        <w:tc>
          <w:tcPr>
            <w:tcW w:w="2284" w:type="pct"/>
            <w:tcBorders>
              <w:top w:val="single" w:color="auto" w:sz="4" w:space="0"/>
              <w:left w:val="nil"/>
              <w:bottom w:val="single" w:color="auto" w:sz="4" w:space="0"/>
              <w:right w:val="single" w:color="auto" w:sz="4" w:space="0"/>
            </w:tcBorders>
            <w:shd w:val="clear" w:color="auto" w:fill="92D050"/>
            <w:vAlign w:val="center"/>
          </w:tcPr>
          <w:p w14:paraId="3AEE39CE">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仿宋" w:hAnsi="仿宋" w:eastAsia="仿宋" w:cs="仿宋"/>
                <w:b/>
                <w:bCs/>
                <w:i w:val="0"/>
                <w:iCs w:val="0"/>
                <w:snapToGrid w:val="0"/>
                <w:color w:val="auto"/>
                <w:kern w:val="0"/>
                <w:sz w:val="24"/>
                <w:szCs w:val="24"/>
                <w:highlight w:val="none"/>
                <w:u w:val="none"/>
                <w:lang w:val="en-US" w:eastAsia="zh-CN" w:bidi="ar"/>
              </w:rPr>
            </w:pPr>
            <w:r>
              <w:rPr>
                <w:rFonts w:hint="eastAsia" w:ascii="仿宋" w:hAnsi="仿宋" w:eastAsia="仿宋" w:cs="仿宋"/>
                <w:b/>
                <w:bCs/>
                <w:i w:val="0"/>
                <w:iCs w:val="0"/>
                <w:snapToGrid w:val="0"/>
                <w:color w:val="auto"/>
                <w:kern w:val="0"/>
                <w:sz w:val="24"/>
                <w:szCs w:val="24"/>
                <w:highlight w:val="none"/>
                <w:u w:val="none"/>
                <w:lang w:val="en-US" w:eastAsia="zh-CN" w:bidi="ar"/>
              </w:rPr>
              <w:t>产品（项目）名称</w:t>
            </w:r>
          </w:p>
        </w:tc>
        <w:tc>
          <w:tcPr>
            <w:tcW w:w="566" w:type="pct"/>
            <w:tcBorders>
              <w:top w:val="single" w:color="auto" w:sz="4" w:space="0"/>
              <w:left w:val="nil"/>
              <w:bottom w:val="single" w:color="auto" w:sz="4" w:space="0"/>
              <w:right w:val="single" w:color="auto" w:sz="4" w:space="0"/>
            </w:tcBorders>
            <w:shd w:val="clear" w:color="auto" w:fill="92D050"/>
            <w:vAlign w:val="center"/>
          </w:tcPr>
          <w:p w14:paraId="5165AA64">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仿宋" w:hAnsi="仿宋" w:eastAsia="仿宋" w:cs="仿宋"/>
                <w:b/>
                <w:bCs/>
                <w:i w:val="0"/>
                <w:iCs w:val="0"/>
                <w:snapToGrid w:val="0"/>
                <w:color w:val="auto"/>
                <w:kern w:val="0"/>
                <w:sz w:val="24"/>
                <w:szCs w:val="24"/>
                <w:highlight w:val="none"/>
                <w:u w:val="none"/>
                <w:lang w:val="en-US" w:eastAsia="zh-CN" w:bidi="ar"/>
              </w:rPr>
            </w:pPr>
            <w:r>
              <w:rPr>
                <w:rFonts w:hint="eastAsia" w:ascii="仿宋" w:hAnsi="仿宋" w:eastAsia="仿宋" w:cs="仿宋"/>
                <w:b/>
                <w:bCs/>
                <w:i w:val="0"/>
                <w:iCs w:val="0"/>
                <w:snapToGrid w:val="0"/>
                <w:color w:val="auto"/>
                <w:kern w:val="0"/>
                <w:sz w:val="24"/>
                <w:szCs w:val="24"/>
                <w:highlight w:val="none"/>
                <w:u w:val="none"/>
                <w:lang w:val="en-US" w:eastAsia="zh-CN" w:bidi="ar"/>
              </w:rPr>
              <w:t>数量</w:t>
            </w:r>
          </w:p>
        </w:tc>
        <w:tc>
          <w:tcPr>
            <w:tcW w:w="949" w:type="pct"/>
            <w:tcBorders>
              <w:top w:val="single" w:color="auto" w:sz="4" w:space="0"/>
              <w:left w:val="nil"/>
              <w:bottom w:val="single" w:color="auto" w:sz="4" w:space="0"/>
              <w:right w:val="single" w:color="auto" w:sz="4" w:space="0"/>
            </w:tcBorders>
            <w:shd w:val="clear" w:color="auto" w:fill="92D050"/>
            <w:vAlign w:val="center"/>
          </w:tcPr>
          <w:p w14:paraId="131CBF20">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仿宋" w:hAnsi="仿宋" w:eastAsia="仿宋" w:cs="仿宋"/>
                <w:b/>
                <w:bCs/>
                <w:i w:val="0"/>
                <w:iCs w:val="0"/>
                <w:snapToGrid w:val="0"/>
                <w:color w:val="auto"/>
                <w:kern w:val="0"/>
                <w:sz w:val="24"/>
                <w:szCs w:val="24"/>
                <w:highlight w:val="none"/>
                <w:u w:val="none"/>
                <w:lang w:val="en-US" w:eastAsia="zh-CN" w:bidi="ar"/>
              </w:rPr>
            </w:pPr>
            <w:r>
              <w:rPr>
                <w:rFonts w:hint="eastAsia" w:ascii="仿宋" w:hAnsi="仿宋" w:eastAsia="仿宋" w:cs="仿宋"/>
                <w:b/>
                <w:bCs/>
                <w:i w:val="0"/>
                <w:iCs w:val="0"/>
                <w:snapToGrid w:val="0"/>
                <w:color w:val="auto"/>
                <w:kern w:val="0"/>
                <w:sz w:val="24"/>
                <w:szCs w:val="24"/>
                <w:highlight w:val="none"/>
                <w:u w:val="none"/>
                <w:lang w:val="en-US" w:eastAsia="zh-CN" w:bidi="ar"/>
              </w:rPr>
              <w:t>计量单位</w:t>
            </w:r>
          </w:p>
        </w:tc>
      </w:tr>
      <w:tr w14:paraId="18A3F437">
        <w:tblPrEx>
          <w:tblCellMar>
            <w:top w:w="0" w:type="dxa"/>
            <w:left w:w="108" w:type="dxa"/>
            <w:bottom w:w="0" w:type="dxa"/>
            <w:right w:w="108" w:type="dxa"/>
          </w:tblCellMar>
        </w:tblPrEx>
        <w:trPr>
          <w:trHeight w:val="20" w:hRule="atLeast"/>
        </w:trPr>
        <w:tc>
          <w:tcPr>
            <w:tcW w:w="5000" w:type="pct"/>
            <w:gridSpan w:val="5"/>
            <w:tcBorders>
              <w:top w:val="single" w:color="auto" w:sz="4" w:space="0"/>
              <w:left w:val="single" w:color="auto" w:sz="4" w:space="0"/>
              <w:bottom w:val="single" w:color="auto" w:sz="4" w:space="0"/>
              <w:right w:val="single" w:color="auto" w:sz="4" w:space="0"/>
            </w:tcBorders>
            <w:vAlign w:val="center"/>
          </w:tcPr>
          <w:p w14:paraId="3FD580CE">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rPr>
              <w:t>人工智能学院云计算技术应用实训室建设</w:t>
            </w:r>
          </w:p>
        </w:tc>
      </w:tr>
      <w:tr w14:paraId="740C391A">
        <w:tblPrEx>
          <w:tblCellMar>
            <w:top w:w="0" w:type="dxa"/>
            <w:left w:w="108" w:type="dxa"/>
            <w:bottom w:w="0" w:type="dxa"/>
            <w:right w:w="108" w:type="dxa"/>
          </w:tblCellMar>
        </w:tblPrEx>
        <w:trPr>
          <w:trHeight w:val="20" w:hRule="atLeast"/>
        </w:trPr>
        <w:tc>
          <w:tcPr>
            <w:tcW w:w="566" w:type="pct"/>
            <w:tcBorders>
              <w:top w:val="single" w:color="auto" w:sz="4" w:space="0"/>
              <w:left w:val="single" w:color="auto" w:sz="4" w:space="0"/>
              <w:bottom w:val="single" w:color="auto" w:sz="4" w:space="0"/>
              <w:right w:val="single" w:color="auto" w:sz="4" w:space="0"/>
            </w:tcBorders>
            <w:vAlign w:val="center"/>
          </w:tcPr>
          <w:p w14:paraId="38DE2540">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4"/>
                <w:szCs w:val="24"/>
                <w:highlight w:val="none"/>
                <w:lang w:eastAsia="zh-CN"/>
              </w:rPr>
            </w:pPr>
            <w:r>
              <w:rPr>
                <w:rFonts w:hint="eastAsia" w:ascii="仿宋" w:hAnsi="仿宋" w:eastAsia="仿宋" w:cs="仿宋"/>
                <w:color w:val="auto"/>
                <w:kern w:val="0"/>
                <w:sz w:val="24"/>
                <w:szCs w:val="24"/>
                <w:highlight w:val="none"/>
                <w:lang w:val="en-US" w:eastAsia="zh-CN"/>
              </w:rPr>
              <w:t>1</w:t>
            </w:r>
          </w:p>
        </w:tc>
        <w:tc>
          <w:tcPr>
            <w:tcW w:w="632" w:type="pct"/>
            <w:tcBorders>
              <w:top w:val="single" w:color="auto" w:sz="4" w:space="0"/>
              <w:left w:val="nil"/>
              <w:bottom w:val="single" w:color="auto" w:sz="4" w:space="0"/>
              <w:right w:val="single" w:color="auto" w:sz="4" w:space="0"/>
            </w:tcBorders>
            <w:vAlign w:val="center"/>
          </w:tcPr>
          <w:p w14:paraId="300936D8">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w:t>
            </w:r>
          </w:p>
        </w:tc>
        <w:tc>
          <w:tcPr>
            <w:tcW w:w="2284" w:type="pct"/>
            <w:tcBorders>
              <w:top w:val="single" w:color="auto" w:sz="4" w:space="0"/>
              <w:left w:val="nil"/>
              <w:bottom w:val="single" w:color="auto" w:sz="4" w:space="0"/>
              <w:right w:val="single" w:color="auto" w:sz="4" w:space="0"/>
            </w:tcBorders>
            <w:vAlign w:val="center"/>
          </w:tcPr>
          <w:p w14:paraId="2F9F1102">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sz w:val="24"/>
                <w:szCs w:val="24"/>
                <w:highlight w:val="none"/>
                <w:lang w:val="en-US" w:eastAsia="zh-CN" w:bidi="ar"/>
              </w:rPr>
              <w:t>一体化授课设备</w:t>
            </w:r>
          </w:p>
        </w:tc>
        <w:tc>
          <w:tcPr>
            <w:tcW w:w="566" w:type="pct"/>
            <w:tcBorders>
              <w:top w:val="single" w:color="auto" w:sz="4" w:space="0"/>
              <w:left w:val="nil"/>
              <w:bottom w:val="single" w:color="auto" w:sz="4" w:space="0"/>
              <w:right w:val="single" w:color="auto" w:sz="4" w:space="0"/>
            </w:tcBorders>
            <w:vAlign w:val="center"/>
          </w:tcPr>
          <w:p w14:paraId="79B279AD">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t>2</w:t>
            </w:r>
          </w:p>
        </w:tc>
        <w:tc>
          <w:tcPr>
            <w:tcW w:w="949" w:type="pct"/>
            <w:tcBorders>
              <w:top w:val="single" w:color="auto" w:sz="4" w:space="0"/>
              <w:left w:val="nil"/>
              <w:bottom w:val="single" w:color="auto" w:sz="4" w:space="0"/>
              <w:right w:val="single" w:color="auto" w:sz="4" w:space="0"/>
            </w:tcBorders>
            <w:vAlign w:val="center"/>
          </w:tcPr>
          <w:p w14:paraId="10720847">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t>台</w:t>
            </w:r>
          </w:p>
        </w:tc>
      </w:tr>
      <w:tr w14:paraId="34BEE900">
        <w:tblPrEx>
          <w:tblCellMar>
            <w:top w:w="0" w:type="dxa"/>
            <w:left w:w="108" w:type="dxa"/>
            <w:bottom w:w="0" w:type="dxa"/>
            <w:right w:w="108" w:type="dxa"/>
          </w:tblCellMar>
        </w:tblPrEx>
        <w:trPr>
          <w:trHeight w:val="20" w:hRule="atLeast"/>
        </w:trPr>
        <w:tc>
          <w:tcPr>
            <w:tcW w:w="566" w:type="pct"/>
            <w:tcBorders>
              <w:top w:val="single" w:color="auto" w:sz="4" w:space="0"/>
              <w:left w:val="single" w:color="auto" w:sz="4" w:space="0"/>
              <w:bottom w:val="single" w:color="auto" w:sz="4" w:space="0"/>
              <w:right w:val="single" w:color="auto" w:sz="4" w:space="0"/>
            </w:tcBorders>
            <w:vAlign w:val="center"/>
          </w:tcPr>
          <w:p w14:paraId="5F903A80">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4"/>
                <w:szCs w:val="24"/>
                <w:highlight w:val="none"/>
                <w:lang w:eastAsia="zh-CN"/>
              </w:rPr>
            </w:pPr>
            <w:r>
              <w:rPr>
                <w:rFonts w:hint="eastAsia" w:ascii="仿宋" w:hAnsi="仿宋" w:eastAsia="仿宋" w:cs="仿宋"/>
                <w:color w:val="auto"/>
                <w:kern w:val="0"/>
                <w:sz w:val="24"/>
                <w:szCs w:val="24"/>
                <w:highlight w:val="none"/>
                <w:lang w:val="en-US" w:eastAsia="zh-CN"/>
              </w:rPr>
              <w:t>2</w:t>
            </w:r>
          </w:p>
        </w:tc>
        <w:tc>
          <w:tcPr>
            <w:tcW w:w="632" w:type="pct"/>
            <w:tcBorders>
              <w:top w:val="single" w:color="auto" w:sz="4" w:space="0"/>
              <w:left w:val="nil"/>
              <w:bottom w:val="single" w:color="auto" w:sz="4" w:space="0"/>
              <w:right w:val="single" w:color="auto" w:sz="4" w:space="0"/>
            </w:tcBorders>
            <w:vAlign w:val="center"/>
          </w:tcPr>
          <w:p w14:paraId="0E79E780">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w:t>
            </w:r>
          </w:p>
        </w:tc>
        <w:tc>
          <w:tcPr>
            <w:tcW w:w="2284" w:type="pct"/>
            <w:tcBorders>
              <w:top w:val="single" w:color="auto" w:sz="4" w:space="0"/>
              <w:left w:val="nil"/>
              <w:bottom w:val="single" w:color="auto" w:sz="4" w:space="0"/>
              <w:right w:val="single" w:color="auto" w:sz="4" w:space="0"/>
            </w:tcBorders>
            <w:vAlign w:val="center"/>
          </w:tcPr>
          <w:p w14:paraId="19711F5F">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t>教育桌面云软件</w:t>
            </w:r>
          </w:p>
        </w:tc>
        <w:tc>
          <w:tcPr>
            <w:tcW w:w="566" w:type="pct"/>
            <w:tcBorders>
              <w:top w:val="single" w:color="auto" w:sz="4" w:space="0"/>
              <w:left w:val="nil"/>
              <w:bottom w:val="single" w:color="auto" w:sz="4" w:space="0"/>
              <w:right w:val="single" w:color="auto" w:sz="4" w:space="0"/>
            </w:tcBorders>
            <w:vAlign w:val="center"/>
          </w:tcPr>
          <w:p w14:paraId="0281CC2A">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t>112</w:t>
            </w:r>
          </w:p>
        </w:tc>
        <w:tc>
          <w:tcPr>
            <w:tcW w:w="949" w:type="pct"/>
            <w:tcBorders>
              <w:top w:val="single" w:color="auto" w:sz="4" w:space="0"/>
              <w:left w:val="nil"/>
              <w:bottom w:val="single" w:color="auto" w:sz="4" w:space="0"/>
              <w:right w:val="single" w:color="auto" w:sz="4" w:space="0"/>
            </w:tcBorders>
            <w:vAlign w:val="center"/>
          </w:tcPr>
          <w:p w14:paraId="1DDB1C5F">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t>点</w:t>
            </w:r>
          </w:p>
        </w:tc>
      </w:tr>
      <w:tr w14:paraId="229179B7">
        <w:tblPrEx>
          <w:tblCellMar>
            <w:top w:w="0" w:type="dxa"/>
            <w:left w:w="108" w:type="dxa"/>
            <w:bottom w:w="0" w:type="dxa"/>
            <w:right w:w="108" w:type="dxa"/>
          </w:tblCellMar>
        </w:tblPrEx>
        <w:trPr>
          <w:trHeight w:val="20" w:hRule="atLeast"/>
        </w:trPr>
        <w:tc>
          <w:tcPr>
            <w:tcW w:w="566" w:type="pct"/>
            <w:tcBorders>
              <w:top w:val="single" w:color="auto" w:sz="4" w:space="0"/>
              <w:left w:val="single" w:color="auto" w:sz="4" w:space="0"/>
              <w:bottom w:val="single" w:color="auto" w:sz="4" w:space="0"/>
              <w:right w:val="single" w:color="auto" w:sz="4" w:space="0"/>
            </w:tcBorders>
            <w:vAlign w:val="center"/>
          </w:tcPr>
          <w:p w14:paraId="7ECD4682">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4"/>
                <w:szCs w:val="24"/>
                <w:highlight w:val="none"/>
                <w:lang w:eastAsia="zh-CN"/>
              </w:rPr>
            </w:pPr>
            <w:r>
              <w:rPr>
                <w:rFonts w:hint="eastAsia" w:ascii="仿宋" w:hAnsi="仿宋" w:eastAsia="仿宋" w:cs="仿宋"/>
                <w:color w:val="auto"/>
                <w:kern w:val="0"/>
                <w:sz w:val="24"/>
                <w:szCs w:val="24"/>
                <w:highlight w:val="none"/>
                <w:lang w:val="en-US" w:eastAsia="zh-CN"/>
              </w:rPr>
              <w:t>3</w:t>
            </w:r>
          </w:p>
        </w:tc>
        <w:tc>
          <w:tcPr>
            <w:tcW w:w="632" w:type="pct"/>
            <w:tcBorders>
              <w:top w:val="single" w:color="auto" w:sz="4" w:space="0"/>
              <w:left w:val="nil"/>
              <w:bottom w:val="single" w:color="auto" w:sz="4" w:space="0"/>
              <w:right w:val="single" w:color="auto" w:sz="4" w:space="0"/>
            </w:tcBorders>
            <w:vAlign w:val="center"/>
          </w:tcPr>
          <w:p w14:paraId="09E8967B">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w:t>
            </w:r>
          </w:p>
        </w:tc>
        <w:tc>
          <w:tcPr>
            <w:tcW w:w="2284" w:type="pct"/>
            <w:tcBorders>
              <w:top w:val="single" w:color="auto" w:sz="4" w:space="0"/>
              <w:left w:val="nil"/>
              <w:bottom w:val="single" w:color="auto" w:sz="4" w:space="0"/>
              <w:right w:val="single" w:color="auto" w:sz="4" w:space="0"/>
            </w:tcBorders>
            <w:vAlign w:val="center"/>
          </w:tcPr>
          <w:p w14:paraId="3C7FF2C4">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t>课堂教学互动管理系统</w:t>
            </w:r>
          </w:p>
        </w:tc>
        <w:tc>
          <w:tcPr>
            <w:tcW w:w="566" w:type="pct"/>
            <w:tcBorders>
              <w:top w:val="single" w:color="auto" w:sz="4" w:space="0"/>
              <w:left w:val="nil"/>
              <w:bottom w:val="single" w:color="auto" w:sz="4" w:space="0"/>
              <w:right w:val="single" w:color="auto" w:sz="4" w:space="0"/>
            </w:tcBorders>
            <w:vAlign w:val="center"/>
          </w:tcPr>
          <w:p w14:paraId="356E0C26">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t>2</w:t>
            </w:r>
          </w:p>
        </w:tc>
        <w:tc>
          <w:tcPr>
            <w:tcW w:w="949" w:type="pct"/>
            <w:tcBorders>
              <w:top w:val="single" w:color="auto" w:sz="4" w:space="0"/>
              <w:left w:val="nil"/>
              <w:bottom w:val="single" w:color="auto" w:sz="4" w:space="0"/>
              <w:right w:val="single" w:color="auto" w:sz="4" w:space="0"/>
            </w:tcBorders>
            <w:vAlign w:val="center"/>
          </w:tcPr>
          <w:p w14:paraId="3C13FE3F">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t>套</w:t>
            </w:r>
          </w:p>
        </w:tc>
      </w:tr>
      <w:tr w14:paraId="68962571">
        <w:tblPrEx>
          <w:tblCellMar>
            <w:top w:w="0" w:type="dxa"/>
            <w:left w:w="108" w:type="dxa"/>
            <w:bottom w:w="0" w:type="dxa"/>
            <w:right w:w="108" w:type="dxa"/>
          </w:tblCellMar>
        </w:tblPrEx>
        <w:trPr>
          <w:trHeight w:val="20" w:hRule="atLeast"/>
        </w:trPr>
        <w:tc>
          <w:tcPr>
            <w:tcW w:w="566" w:type="pct"/>
            <w:tcBorders>
              <w:top w:val="single" w:color="auto" w:sz="4" w:space="0"/>
              <w:left w:val="single" w:color="auto" w:sz="4" w:space="0"/>
              <w:bottom w:val="single" w:color="auto" w:sz="4" w:space="0"/>
              <w:right w:val="single" w:color="auto" w:sz="4" w:space="0"/>
            </w:tcBorders>
            <w:vAlign w:val="center"/>
          </w:tcPr>
          <w:p w14:paraId="77DE234C">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4"/>
                <w:szCs w:val="24"/>
                <w:highlight w:val="none"/>
                <w:lang w:eastAsia="zh-CN"/>
              </w:rPr>
            </w:pPr>
            <w:r>
              <w:rPr>
                <w:rFonts w:hint="eastAsia" w:ascii="仿宋" w:hAnsi="仿宋" w:eastAsia="仿宋" w:cs="仿宋"/>
                <w:color w:val="auto"/>
                <w:kern w:val="0"/>
                <w:sz w:val="24"/>
                <w:szCs w:val="24"/>
                <w:highlight w:val="none"/>
                <w:lang w:val="en-US" w:eastAsia="zh-CN"/>
              </w:rPr>
              <w:t>4</w:t>
            </w:r>
          </w:p>
        </w:tc>
        <w:tc>
          <w:tcPr>
            <w:tcW w:w="632" w:type="pct"/>
            <w:tcBorders>
              <w:top w:val="single" w:color="auto" w:sz="4" w:space="0"/>
              <w:left w:val="nil"/>
              <w:bottom w:val="single" w:color="auto" w:sz="4" w:space="0"/>
              <w:right w:val="single" w:color="auto" w:sz="4" w:space="0"/>
            </w:tcBorders>
            <w:vAlign w:val="center"/>
          </w:tcPr>
          <w:p w14:paraId="50A81786">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w:t>
            </w:r>
          </w:p>
        </w:tc>
        <w:tc>
          <w:tcPr>
            <w:tcW w:w="2284" w:type="pct"/>
            <w:tcBorders>
              <w:top w:val="single" w:color="auto" w:sz="4" w:space="0"/>
              <w:left w:val="nil"/>
              <w:bottom w:val="single" w:color="auto" w:sz="4" w:space="0"/>
              <w:right w:val="single" w:color="auto" w:sz="4" w:space="0"/>
            </w:tcBorders>
            <w:vAlign w:val="center"/>
          </w:tcPr>
          <w:p w14:paraId="5A0A181B">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t>24口交换机</w:t>
            </w:r>
          </w:p>
        </w:tc>
        <w:tc>
          <w:tcPr>
            <w:tcW w:w="566" w:type="pct"/>
            <w:tcBorders>
              <w:top w:val="single" w:color="auto" w:sz="4" w:space="0"/>
              <w:left w:val="nil"/>
              <w:bottom w:val="single" w:color="auto" w:sz="4" w:space="0"/>
              <w:right w:val="single" w:color="auto" w:sz="4" w:space="0"/>
            </w:tcBorders>
            <w:vAlign w:val="center"/>
          </w:tcPr>
          <w:p w14:paraId="347A4DF4">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t>6</w:t>
            </w:r>
          </w:p>
        </w:tc>
        <w:tc>
          <w:tcPr>
            <w:tcW w:w="949" w:type="pct"/>
            <w:tcBorders>
              <w:top w:val="single" w:color="auto" w:sz="4" w:space="0"/>
              <w:left w:val="nil"/>
              <w:bottom w:val="single" w:color="auto" w:sz="4" w:space="0"/>
              <w:right w:val="single" w:color="auto" w:sz="4" w:space="0"/>
            </w:tcBorders>
            <w:vAlign w:val="center"/>
          </w:tcPr>
          <w:p w14:paraId="50D1998B">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t>台</w:t>
            </w:r>
          </w:p>
        </w:tc>
      </w:tr>
      <w:tr w14:paraId="323CA6C4">
        <w:tblPrEx>
          <w:tblCellMar>
            <w:top w:w="0" w:type="dxa"/>
            <w:left w:w="108" w:type="dxa"/>
            <w:bottom w:w="0" w:type="dxa"/>
            <w:right w:w="108" w:type="dxa"/>
          </w:tblCellMar>
        </w:tblPrEx>
        <w:trPr>
          <w:trHeight w:val="20" w:hRule="atLeast"/>
        </w:trPr>
        <w:tc>
          <w:tcPr>
            <w:tcW w:w="566" w:type="pct"/>
            <w:tcBorders>
              <w:top w:val="single" w:color="auto" w:sz="4" w:space="0"/>
              <w:left w:val="single" w:color="auto" w:sz="4" w:space="0"/>
              <w:bottom w:val="single" w:color="auto" w:sz="4" w:space="0"/>
              <w:right w:val="single" w:color="auto" w:sz="4" w:space="0"/>
            </w:tcBorders>
            <w:vAlign w:val="center"/>
          </w:tcPr>
          <w:p w14:paraId="49CAF61C">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4"/>
                <w:szCs w:val="24"/>
                <w:highlight w:val="none"/>
                <w:lang w:eastAsia="zh-CN"/>
              </w:rPr>
            </w:pPr>
            <w:r>
              <w:rPr>
                <w:rFonts w:hint="eastAsia" w:ascii="仿宋" w:hAnsi="仿宋" w:eastAsia="仿宋" w:cs="仿宋"/>
                <w:color w:val="auto"/>
                <w:kern w:val="0"/>
                <w:sz w:val="24"/>
                <w:szCs w:val="24"/>
                <w:highlight w:val="none"/>
                <w:lang w:val="en-US" w:eastAsia="zh-CN"/>
              </w:rPr>
              <w:t>5</w:t>
            </w:r>
          </w:p>
        </w:tc>
        <w:tc>
          <w:tcPr>
            <w:tcW w:w="632" w:type="pct"/>
            <w:tcBorders>
              <w:top w:val="single" w:color="auto" w:sz="4" w:space="0"/>
              <w:left w:val="nil"/>
              <w:bottom w:val="single" w:color="auto" w:sz="4" w:space="0"/>
              <w:right w:val="single" w:color="auto" w:sz="4" w:space="0"/>
            </w:tcBorders>
            <w:vAlign w:val="center"/>
          </w:tcPr>
          <w:p w14:paraId="195DEFCD">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w:t>
            </w:r>
          </w:p>
        </w:tc>
        <w:tc>
          <w:tcPr>
            <w:tcW w:w="2284" w:type="pct"/>
            <w:tcBorders>
              <w:top w:val="single" w:color="auto" w:sz="4" w:space="0"/>
              <w:left w:val="nil"/>
              <w:bottom w:val="single" w:color="auto" w:sz="4" w:space="0"/>
              <w:right w:val="single" w:color="auto" w:sz="4" w:space="0"/>
            </w:tcBorders>
            <w:vAlign w:val="center"/>
          </w:tcPr>
          <w:p w14:paraId="12660A4B">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t>六类非屏蔽双绞线</w:t>
            </w:r>
          </w:p>
        </w:tc>
        <w:tc>
          <w:tcPr>
            <w:tcW w:w="566" w:type="pct"/>
            <w:tcBorders>
              <w:top w:val="single" w:color="auto" w:sz="4" w:space="0"/>
              <w:left w:val="nil"/>
              <w:bottom w:val="single" w:color="auto" w:sz="4" w:space="0"/>
              <w:right w:val="single" w:color="auto" w:sz="4" w:space="0"/>
            </w:tcBorders>
            <w:vAlign w:val="center"/>
          </w:tcPr>
          <w:p w14:paraId="7FB8A469">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t>4600</w:t>
            </w:r>
          </w:p>
        </w:tc>
        <w:tc>
          <w:tcPr>
            <w:tcW w:w="949" w:type="pct"/>
            <w:tcBorders>
              <w:top w:val="single" w:color="auto" w:sz="4" w:space="0"/>
              <w:left w:val="nil"/>
              <w:bottom w:val="single" w:color="auto" w:sz="4" w:space="0"/>
              <w:right w:val="single" w:color="auto" w:sz="4" w:space="0"/>
            </w:tcBorders>
            <w:vAlign w:val="center"/>
          </w:tcPr>
          <w:p w14:paraId="1EFDB7F0">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t>米</w:t>
            </w:r>
          </w:p>
        </w:tc>
      </w:tr>
      <w:tr w14:paraId="30A6F85A">
        <w:tblPrEx>
          <w:tblCellMar>
            <w:top w:w="0" w:type="dxa"/>
            <w:left w:w="108" w:type="dxa"/>
            <w:bottom w:w="0" w:type="dxa"/>
            <w:right w:w="108" w:type="dxa"/>
          </w:tblCellMar>
        </w:tblPrEx>
        <w:trPr>
          <w:trHeight w:val="20" w:hRule="atLeast"/>
        </w:trPr>
        <w:tc>
          <w:tcPr>
            <w:tcW w:w="566" w:type="pct"/>
            <w:tcBorders>
              <w:top w:val="single" w:color="auto" w:sz="4" w:space="0"/>
              <w:left w:val="single" w:color="auto" w:sz="4" w:space="0"/>
              <w:bottom w:val="single" w:color="auto" w:sz="4" w:space="0"/>
              <w:right w:val="single" w:color="auto" w:sz="4" w:space="0"/>
            </w:tcBorders>
            <w:vAlign w:val="center"/>
          </w:tcPr>
          <w:p w14:paraId="569B68FC">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4"/>
                <w:szCs w:val="24"/>
                <w:highlight w:val="none"/>
                <w:lang w:eastAsia="zh-CN"/>
              </w:rPr>
            </w:pPr>
            <w:r>
              <w:rPr>
                <w:rFonts w:hint="eastAsia" w:ascii="仿宋" w:hAnsi="仿宋" w:eastAsia="仿宋" w:cs="仿宋"/>
                <w:color w:val="auto"/>
                <w:kern w:val="0"/>
                <w:sz w:val="24"/>
                <w:szCs w:val="24"/>
                <w:highlight w:val="none"/>
                <w:lang w:val="en-US" w:eastAsia="zh-CN"/>
              </w:rPr>
              <w:t>6</w:t>
            </w:r>
          </w:p>
        </w:tc>
        <w:tc>
          <w:tcPr>
            <w:tcW w:w="632" w:type="pct"/>
            <w:tcBorders>
              <w:top w:val="single" w:color="auto" w:sz="4" w:space="0"/>
              <w:left w:val="nil"/>
              <w:bottom w:val="single" w:color="auto" w:sz="4" w:space="0"/>
              <w:right w:val="single" w:color="auto" w:sz="4" w:space="0"/>
            </w:tcBorders>
            <w:vAlign w:val="center"/>
          </w:tcPr>
          <w:p w14:paraId="448B193B">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w:t>
            </w:r>
          </w:p>
        </w:tc>
        <w:tc>
          <w:tcPr>
            <w:tcW w:w="2284" w:type="pct"/>
            <w:tcBorders>
              <w:top w:val="single" w:color="auto" w:sz="4" w:space="0"/>
              <w:left w:val="nil"/>
              <w:bottom w:val="single" w:color="auto" w:sz="4" w:space="0"/>
              <w:right w:val="single" w:color="auto" w:sz="4" w:space="0"/>
            </w:tcBorders>
            <w:vAlign w:val="center"/>
          </w:tcPr>
          <w:p w14:paraId="45438ECF">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t>网络机柜</w:t>
            </w:r>
          </w:p>
        </w:tc>
        <w:tc>
          <w:tcPr>
            <w:tcW w:w="566" w:type="pct"/>
            <w:tcBorders>
              <w:top w:val="single" w:color="auto" w:sz="4" w:space="0"/>
              <w:left w:val="nil"/>
              <w:bottom w:val="single" w:color="auto" w:sz="4" w:space="0"/>
              <w:right w:val="single" w:color="auto" w:sz="4" w:space="0"/>
            </w:tcBorders>
            <w:vAlign w:val="center"/>
          </w:tcPr>
          <w:p w14:paraId="4B560CD5">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t>2</w:t>
            </w:r>
          </w:p>
        </w:tc>
        <w:tc>
          <w:tcPr>
            <w:tcW w:w="949" w:type="pct"/>
            <w:tcBorders>
              <w:top w:val="single" w:color="auto" w:sz="4" w:space="0"/>
              <w:left w:val="nil"/>
              <w:bottom w:val="single" w:color="auto" w:sz="4" w:space="0"/>
              <w:right w:val="single" w:color="auto" w:sz="4" w:space="0"/>
            </w:tcBorders>
            <w:vAlign w:val="center"/>
          </w:tcPr>
          <w:p w14:paraId="507E95C8">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t>个</w:t>
            </w:r>
          </w:p>
        </w:tc>
      </w:tr>
      <w:tr w14:paraId="4CB15DE0">
        <w:tblPrEx>
          <w:tblCellMar>
            <w:top w:w="0" w:type="dxa"/>
            <w:left w:w="108" w:type="dxa"/>
            <w:bottom w:w="0" w:type="dxa"/>
            <w:right w:w="108" w:type="dxa"/>
          </w:tblCellMar>
        </w:tblPrEx>
        <w:trPr>
          <w:trHeight w:val="20" w:hRule="atLeast"/>
        </w:trPr>
        <w:tc>
          <w:tcPr>
            <w:tcW w:w="566" w:type="pct"/>
            <w:tcBorders>
              <w:top w:val="single" w:color="auto" w:sz="4" w:space="0"/>
              <w:left w:val="single" w:color="auto" w:sz="4" w:space="0"/>
              <w:bottom w:val="single" w:color="auto" w:sz="4" w:space="0"/>
              <w:right w:val="single" w:color="auto" w:sz="4" w:space="0"/>
            </w:tcBorders>
            <w:vAlign w:val="center"/>
          </w:tcPr>
          <w:p w14:paraId="46F4E58C">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4"/>
                <w:szCs w:val="24"/>
                <w:highlight w:val="none"/>
                <w:lang w:eastAsia="zh-CN"/>
              </w:rPr>
            </w:pPr>
            <w:r>
              <w:rPr>
                <w:rFonts w:hint="eastAsia" w:ascii="仿宋" w:hAnsi="仿宋" w:eastAsia="仿宋" w:cs="仿宋"/>
                <w:color w:val="auto"/>
                <w:kern w:val="0"/>
                <w:sz w:val="24"/>
                <w:szCs w:val="24"/>
                <w:highlight w:val="none"/>
                <w:lang w:val="en-US" w:eastAsia="zh-CN"/>
              </w:rPr>
              <w:t>7</w:t>
            </w:r>
          </w:p>
        </w:tc>
        <w:tc>
          <w:tcPr>
            <w:tcW w:w="632" w:type="pct"/>
            <w:tcBorders>
              <w:top w:val="single" w:color="auto" w:sz="4" w:space="0"/>
              <w:left w:val="nil"/>
              <w:bottom w:val="single" w:color="auto" w:sz="4" w:space="0"/>
              <w:right w:val="single" w:color="auto" w:sz="4" w:space="0"/>
            </w:tcBorders>
            <w:vAlign w:val="center"/>
          </w:tcPr>
          <w:p w14:paraId="030E8C62">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w:t>
            </w:r>
          </w:p>
        </w:tc>
        <w:tc>
          <w:tcPr>
            <w:tcW w:w="2284" w:type="pct"/>
            <w:tcBorders>
              <w:top w:val="single" w:color="auto" w:sz="4" w:space="0"/>
              <w:left w:val="nil"/>
              <w:bottom w:val="single" w:color="auto" w:sz="4" w:space="0"/>
              <w:right w:val="single" w:color="auto" w:sz="4" w:space="0"/>
            </w:tcBorders>
            <w:vAlign w:val="center"/>
          </w:tcPr>
          <w:p w14:paraId="2B327194">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t>强弱电桥架</w:t>
            </w:r>
          </w:p>
        </w:tc>
        <w:tc>
          <w:tcPr>
            <w:tcW w:w="566" w:type="pct"/>
            <w:tcBorders>
              <w:top w:val="single" w:color="auto" w:sz="4" w:space="0"/>
              <w:left w:val="nil"/>
              <w:bottom w:val="single" w:color="auto" w:sz="4" w:space="0"/>
              <w:right w:val="single" w:color="auto" w:sz="4" w:space="0"/>
            </w:tcBorders>
            <w:vAlign w:val="center"/>
          </w:tcPr>
          <w:p w14:paraId="0DE3C99C">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t>80</w:t>
            </w:r>
          </w:p>
        </w:tc>
        <w:tc>
          <w:tcPr>
            <w:tcW w:w="949" w:type="pct"/>
            <w:tcBorders>
              <w:top w:val="single" w:color="auto" w:sz="4" w:space="0"/>
              <w:left w:val="nil"/>
              <w:bottom w:val="single" w:color="auto" w:sz="4" w:space="0"/>
              <w:right w:val="single" w:color="auto" w:sz="4" w:space="0"/>
            </w:tcBorders>
            <w:vAlign w:val="center"/>
          </w:tcPr>
          <w:p w14:paraId="20C5DD07">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t>米</w:t>
            </w:r>
          </w:p>
        </w:tc>
      </w:tr>
      <w:tr w14:paraId="4957EF06">
        <w:tblPrEx>
          <w:tblCellMar>
            <w:top w:w="0" w:type="dxa"/>
            <w:left w:w="108" w:type="dxa"/>
            <w:bottom w:w="0" w:type="dxa"/>
            <w:right w:w="108" w:type="dxa"/>
          </w:tblCellMar>
        </w:tblPrEx>
        <w:trPr>
          <w:trHeight w:val="20" w:hRule="atLeast"/>
        </w:trPr>
        <w:tc>
          <w:tcPr>
            <w:tcW w:w="566" w:type="pct"/>
            <w:tcBorders>
              <w:top w:val="single" w:color="auto" w:sz="4" w:space="0"/>
              <w:left w:val="single" w:color="auto" w:sz="4" w:space="0"/>
              <w:bottom w:val="single" w:color="auto" w:sz="4" w:space="0"/>
              <w:right w:val="single" w:color="auto" w:sz="4" w:space="0"/>
            </w:tcBorders>
            <w:vAlign w:val="center"/>
          </w:tcPr>
          <w:p w14:paraId="6AEC43F1">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4"/>
                <w:szCs w:val="24"/>
                <w:highlight w:val="none"/>
                <w:lang w:eastAsia="zh-CN"/>
              </w:rPr>
            </w:pPr>
            <w:r>
              <w:rPr>
                <w:rFonts w:hint="eastAsia" w:ascii="仿宋" w:hAnsi="仿宋" w:eastAsia="仿宋" w:cs="仿宋"/>
                <w:color w:val="auto"/>
                <w:kern w:val="0"/>
                <w:sz w:val="24"/>
                <w:szCs w:val="24"/>
                <w:highlight w:val="none"/>
                <w:lang w:val="en-US" w:eastAsia="zh-CN"/>
              </w:rPr>
              <w:t>8</w:t>
            </w:r>
          </w:p>
        </w:tc>
        <w:tc>
          <w:tcPr>
            <w:tcW w:w="632" w:type="pct"/>
            <w:tcBorders>
              <w:top w:val="single" w:color="auto" w:sz="4" w:space="0"/>
              <w:left w:val="nil"/>
              <w:bottom w:val="single" w:color="auto" w:sz="4" w:space="0"/>
              <w:right w:val="single" w:color="auto" w:sz="4" w:space="0"/>
            </w:tcBorders>
            <w:vAlign w:val="center"/>
          </w:tcPr>
          <w:p w14:paraId="455E9558">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w:t>
            </w:r>
          </w:p>
        </w:tc>
        <w:tc>
          <w:tcPr>
            <w:tcW w:w="2284" w:type="pct"/>
            <w:tcBorders>
              <w:top w:val="single" w:color="auto" w:sz="4" w:space="0"/>
              <w:left w:val="nil"/>
              <w:bottom w:val="single" w:color="auto" w:sz="4" w:space="0"/>
              <w:right w:val="single" w:color="auto" w:sz="4" w:space="0"/>
            </w:tcBorders>
            <w:vAlign w:val="center"/>
          </w:tcPr>
          <w:p w14:paraId="1EAAC076">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t>强弱电综合布线</w:t>
            </w:r>
          </w:p>
        </w:tc>
        <w:tc>
          <w:tcPr>
            <w:tcW w:w="566" w:type="pct"/>
            <w:tcBorders>
              <w:top w:val="single" w:color="auto" w:sz="4" w:space="0"/>
              <w:left w:val="nil"/>
              <w:bottom w:val="single" w:color="auto" w:sz="4" w:space="0"/>
              <w:right w:val="single" w:color="auto" w:sz="4" w:space="0"/>
            </w:tcBorders>
            <w:vAlign w:val="center"/>
          </w:tcPr>
          <w:p w14:paraId="358393DD">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t>2</w:t>
            </w:r>
          </w:p>
        </w:tc>
        <w:tc>
          <w:tcPr>
            <w:tcW w:w="949" w:type="pct"/>
            <w:tcBorders>
              <w:top w:val="single" w:color="auto" w:sz="4" w:space="0"/>
              <w:left w:val="nil"/>
              <w:bottom w:val="single" w:color="auto" w:sz="4" w:space="0"/>
              <w:right w:val="single" w:color="auto" w:sz="4" w:space="0"/>
            </w:tcBorders>
            <w:vAlign w:val="center"/>
          </w:tcPr>
          <w:p w14:paraId="4868AB1B">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t>套</w:t>
            </w:r>
          </w:p>
        </w:tc>
      </w:tr>
      <w:tr w14:paraId="5E7A9233">
        <w:tblPrEx>
          <w:tblCellMar>
            <w:top w:w="0" w:type="dxa"/>
            <w:left w:w="108" w:type="dxa"/>
            <w:bottom w:w="0" w:type="dxa"/>
            <w:right w:w="108" w:type="dxa"/>
          </w:tblCellMar>
        </w:tblPrEx>
        <w:trPr>
          <w:trHeight w:val="20" w:hRule="atLeast"/>
        </w:trPr>
        <w:tc>
          <w:tcPr>
            <w:tcW w:w="566" w:type="pct"/>
            <w:tcBorders>
              <w:top w:val="single" w:color="auto" w:sz="4" w:space="0"/>
              <w:left w:val="single" w:color="auto" w:sz="4" w:space="0"/>
              <w:bottom w:val="single" w:color="auto" w:sz="4" w:space="0"/>
              <w:right w:val="single" w:color="auto" w:sz="4" w:space="0"/>
            </w:tcBorders>
            <w:vAlign w:val="center"/>
          </w:tcPr>
          <w:p w14:paraId="60332FFB">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4"/>
                <w:szCs w:val="24"/>
                <w:highlight w:val="none"/>
                <w:lang w:eastAsia="zh-CN"/>
              </w:rPr>
            </w:pPr>
            <w:r>
              <w:rPr>
                <w:rFonts w:hint="eastAsia" w:ascii="仿宋" w:hAnsi="仿宋" w:eastAsia="仿宋" w:cs="仿宋"/>
                <w:color w:val="auto"/>
                <w:kern w:val="0"/>
                <w:sz w:val="24"/>
                <w:szCs w:val="24"/>
                <w:highlight w:val="none"/>
                <w:lang w:val="en-US" w:eastAsia="zh-CN"/>
              </w:rPr>
              <w:t>9</w:t>
            </w:r>
          </w:p>
        </w:tc>
        <w:tc>
          <w:tcPr>
            <w:tcW w:w="632" w:type="pct"/>
            <w:tcBorders>
              <w:top w:val="single" w:color="auto" w:sz="4" w:space="0"/>
              <w:left w:val="nil"/>
              <w:bottom w:val="single" w:color="auto" w:sz="4" w:space="0"/>
              <w:right w:val="single" w:color="auto" w:sz="4" w:space="0"/>
            </w:tcBorders>
            <w:vAlign w:val="center"/>
          </w:tcPr>
          <w:p w14:paraId="36023709">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w:t>
            </w:r>
          </w:p>
        </w:tc>
        <w:tc>
          <w:tcPr>
            <w:tcW w:w="2284" w:type="pct"/>
            <w:tcBorders>
              <w:top w:val="single" w:color="auto" w:sz="4" w:space="0"/>
              <w:left w:val="nil"/>
              <w:bottom w:val="single" w:color="auto" w:sz="4" w:space="0"/>
              <w:right w:val="single" w:color="auto" w:sz="4" w:space="0"/>
            </w:tcBorders>
            <w:vAlign w:val="center"/>
          </w:tcPr>
          <w:p w14:paraId="63CF6424">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t>稳压器</w:t>
            </w:r>
          </w:p>
        </w:tc>
        <w:tc>
          <w:tcPr>
            <w:tcW w:w="566" w:type="pct"/>
            <w:tcBorders>
              <w:top w:val="single" w:color="auto" w:sz="4" w:space="0"/>
              <w:left w:val="nil"/>
              <w:bottom w:val="single" w:color="auto" w:sz="4" w:space="0"/>
              <w:right w:val="single" w:color="auto" w:sz="4" w:space="0"/>
            </w:tcBorders>
            <w:vAlign w:val="center"/>
          </w:tcPr>
          <w:p w14:paraId="454B6B0D">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t>4</w:t>
            </w:r>
          </w:p>
        </w:tc>
        <w:tc>
          <w:tcPr>
            <w:tcW w:w="949" w:type="pct"/>
            <w:tcBorders>
              <w:top w:val="single" w:color="auto" w:sz="4" w:space="0"/>
              <w:left w:val="nil"/>
              <w:bottom w:val="single" w:color="auto" w:sz="4" w:space="0"/>
              <w:right w:val="single" w:color="auto" w:sz="4" w:space="0"/>
            </w:tcBorders>
            <w:vAlign w:val="center"/>
          </w:tcPr>
          <w:p w14:paraId="2240530E">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t>台</w:t>
            </w:r>
          </w:p>
        </w:tc>
      </w:tr>
      <w:tr w14:paraId="78C24E56">
        <w:tblPrEx>
          <w:tblCellMar>
            <w:top w:w="0" w:type="dxa"/>
            <w:left w:w="108" w:type="dxa"/>
            <w:bottom w:w="0" w:type="dxa"/>
            <w:right w:w="108" w:type="dxa"/>
          </w:tblCellMar>
        </w:tblPrEx>
        <w:trPr>
          <w:trHeight w:val="20" w:hRule="atLeast"/>
        </w:trPr>
        <w:tc>
          <w:tcPr>
            <w:tcW w:w="5000" w:type="pct"/>
            <w:gridSpan w:val="5"/>
            <w:tcBorders>
              <w:top w:val="single" w:color="auto" w:sz="4" w:space="0"/>
              <w:left w:val="single" w:color="auto" w:sz="4" w:space="0"/>
              <w:bottom w:val="single" w:color="auto" w:sz="4" w:space="0"/>
              <w:right w:val="single" w:color="auto" w:sz="4" w:space="0"/>
            </w:tcBorders>
            <w:vAlign w:val="center"/>
          </w:tcPr>
          <w:p w14:paraId="25D120DA">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rPr>
              <w:t>智慧教室建设</w:t>
            </w:r>
          </w:p>
        </w:tc>
      </w:tr>
      <w:tr w14:paraId="2208CE26">
        <w:tblPrEx>
          <w:tblCellMar>
            <w:top w:w="0" w:type="dxa"/>
            <w:left w:w="108" w:type="dxa"/>
            <w:bottom w:w="0" w:type="dxa"/>
            <w:right w:w="108" w:type="dxa"/>
          </w:tblCellMar>
        </w:tblPrEx>
        <w:trPr>
          <w:trHeight w:val="20" w:hRule="atLeast"/>
        </w:trPr>
        <w:tc>
          <w:tcPr>
            <w:tcW w:w="5000" w:type="pct"/>
            <w:gridSpan w:val="5"/>
            <w:tcBorders>
              <w:top w:val="single" w:color="auto" w:sz="4" w:space="0"/>
              <w:left w:val="single" w:color="auto" w:sz="4" w:space="0"/>
              <w:bottom w:val="single" w:color="auto" w:sz="4" w:space="0"/>
              <w:right w:val="single" w:color="auto" w:sz="4" w:space="0"/>
            </w:tcBorders>
            <w:vAlign w:val="center"/>
          </w:tcPr>
          <w:p w14:paraId="4CE1AF13">
            <w:pPr>
              <w:keepNext w:val="0"/>
              <w:keepLines w:val="0"/>
              <w:pageBreakBefore w:val="0"/>
              <w:widowControl/>
              <w:kinsoku/>
              <w:wordWrap/>
              <w:overflowPunct/>
              <w:topLinePunct w:val="0"/>
              <w:autoSpaceDE/>
              <w:autoSpaceDN/>
              <w:bidi w:val="0"/>
              <w:adjustRightInd/>
              <w:snapToGrid/>
              <w:spacing w:line="240" w:lineRule="auto"/>
              <w:ind w:firstLine="0" w:firstLineChars="0"/>
              <w:jc w:val="left"/>
              <w:textAlignment w:val="auto"/>
              <w:rPr>
                <w:rFonts w:hint="eastAsia"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rPr>
              <w:t>一、显示系统</w:t>
            </w:r>
          </w:p>
        </w:tc>
      </w:tr>
      <w:tr w14:paraId="792B33E6">
        <w:tblPrEx>
          <w:tblCellMar>
            <w:top w:w="0" w:type="dxa"/>
            <w:left w:w="108" w:type="dxa"/>
            <w:bottom w:w="0" w:type="dxa"/>
            <w:right w:w="108" w:type="dxa"/>
          </w:tblCellMar>
        </w:tblPrEx>
        <w:trPr>
          <w:trHeight w:val="20" w:hRule="atLeast"/>
        </w:trPr>
        <w:tc>
          <w:tcPr>
            <w:tcW w:w="566" w:type="pct"/>
            <w:tcBorders>
              <w:top w:val="single" w:color="auto" w:sz="4" w:space="0"/>
              <w:left w:val="single" w:color="auto" w:sz="4" w:space="0"/>
              <w:bottom w:val="single" w:color="auto" w:sz="4" w:space="0"/>
              <w:right w:val="single" w:color="auto" w:sz="4" w:space="0"/>
            </w:tcBorders>
            <w:vAlign w:val="center"/>
          </w:tcPr>
          <w:p w14:paraId="7F5C2C4E">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10</w:t>
            </w:r>
          </w:p>
        </w:tc>
        <w:tc>
          <w:tcPr>
            <w:tcW w:w="632" w:type="pct"/>
            <w:tcBorders>
              <w:top w:val="single" w:color="auto" w:sz="4" w:space="0"/>
              <w:left w:val="nil"/>
              <w:bottom w:val="single" w:color="auto" w:sz="4" w:space="0"/>
              <w:right w:val="single" w:color="auto" w:sz="4" w:space="0"/>
            </w:tcBorders>
            <w:vAlign w:val="center"/>
          </w:tcPr>
          <w:p w14:paraId="2B482D43">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w:t>
            </w:r>
          </w:p>
        </w:tc>
        <w:tc>
          <w:tcPr>
            <w:tcW w:w="2284" w:type="pct"/>
            <w:tcBorders>
              <w:top w:val="single" w:color="auto" w:sz="4" w:space="0"/>
              <w:left w:val="nil"/>
              <w:bottom w:val="single" w:color="auto" w:sz="4" w:space="0"/>
              <w:right w:val="single" w:color="auto" w:sz="4" w:space="0"/>
            </w:tcBorders>
            <w:vAlign w:val="center"/>
          </w:tcPr>
          <w:p w14:paraId="5A80BDDA">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lang w:val="en-US" w:eastAsia="zh-CN"/>
              </w:rPr>
              <w:t>门禁系统</w:t>
            </w:r>
          </w:p>
        </w:tc>
        <w:tc>
          <w:tcPr>
            <w:tcW w:w="566" w:type="pct"/>
            <w:tcBorders>
              <w:top w:val="single" w:color="auto" w:sz="4" w:space="0"/>
              <w:left w:val="nil"/>
              <w:bottom w:val="single" w:color="auto" w:sz="4" w:space="0"/>
              <w:right w:val="single" w:color="auto" w:sz="4" w:space="0"/>
            </w:tcBorders>
            <w:vAlign w:val="center"/>
          </w:tcPr>
          <w:p w14:paraId="5579E958">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t>1</w:t>
            </w:r>
          </w:p>
        </w:tc>
        <w:tc>
          <w:tcPr>
            <w:tcW w:w="949" w:type="pct"/>
            <w:tcBorders>
              <w:top w:val="single" w:color="auto" w:sz="4" w:space="0"/>
              <w:left w:val="nil"/>
              <w:bottom w:val="single" w:color="auto" w:sz="4" w:space="0"/>
              <w:right w:val="single" w:color="auto" w:sz="4" w:space="0"/>
            </w:tcBorders>
            <w:vAlign w:val="center"/>
          </w:tcPr>
          <w:p w14:paraId="0409ED5A">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lang w:val="en-US" w:eastAsia="zh-CN"/>
              </w:rPr>
              <w:t>批</w:t>
            </w:r>
          </w:p>
        </w:tc>
      </w:tr>
      <w:tr w14:paraId="4BA2BEF8">
        <w:tblPrEx>
          <w:tblCellMar>
            <w:top w:w="0" w:type="dxa"/>
            <w:left w:w="108" w:type="dxa"/>
            <w:bottom w:w="0" w:type="dxa"/>
            <w:right w:w="108" w:type="dxa"/>
          </w:tblCellMar>
        </w:tblPrEx>
        <w:trPr>
          <w:trHeight w:val="20" w:hRule="atLeast"/>
        </w:trPr>
        <w:tc>
          <w:tcPr>
            <w:tcW w:w="566" w:type="pct"/>
            <w:tcBorders>
              <w:top w:val="single" w:color="auto" w:sz="4" w:space="0"/>
              <w:left w:val="single" w:color="auto" w:sz="4" w:space="0"/>
              <w:bottom w:val="single" w:color="auto" w:sz="4" w:space="0"/>
              <w:right w:val="single" w:color="auto" w:sz="4" w:space="0"/>
            </w:tcBorders>
            <w:vAlign w:val="center"/>
          </w:tcPr>
          <w:p w14:paraId="0C01A993">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4"/>
                <w:szCs w:val="24"/>
                <w:highlight w:val="none"/>
                <w:lang w:eastAsia="zh-CN"/>
              </w:rPr>
            </w:pPr>
            <w:r>
              <w:rPr>
                <w:rFonts w:hint="eastAsia" w:ascii="仿宋" w:hAnsi="仿宋" w:eastAsia="仿宋" w:cs="仿宋"/>
                <w:color w:val="auto"/>
                <w:kern w:val="0"/>
                <w:sz w:val="24"/>
                <w:szCs w:val="24"/>
                <w:highlight w:val="none"/>
              </w:rPr>
              <w:t>1</w:t>
            </w:r>
            <w:r>
              <w:rPr>
                <w:rFonts w:hint="eastAsia" w:ascii="仿宋" w:hAnsi="仿宋" w:eastAsia="仿宋" w:cs="仿宋"/>
                <w:color w:val="auto"/>
                <w:kern w:val="0"/>
                <w:sz w:val="24"/>
                <w:szCs w:val="24"/>
                <w:highlight w:val="none"/>
                <w:lang w:val="en-US" w:eastAsia="zh-CN"/>
              </w:rPr>
              <w:t>1</w:t>
            </w:r>
          </w:p>
        </w:tc>
        <w:tc>
          <w:tcPr>
            <w:tcW w:w="632" w:type="pct"/>
            <w:tcBorders>
              <w:top w:val="single" w:color="auto" w:sz="4" w:space="0"/>
              <w:left w:val="nil"/>
              <w:bottom w:val="single" w:color="auto" w:sz="4" w:space="0"/>
              <w:right w:val="single" w:color="auto" w:sz="4" w:space="0"/>
            </w:tcBorders>
            <w:vAlign w:val="center"/>
          </w:tcPr>
          <w:p w14:paraId="371E0CEE">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w:t>
            </w:r>
          </w:p>
        </w:tc>
        <w:tc>
          <w:tcPr>
            <w:tcW w:w="2284" w:type="pct"/>
            <w:tcBorders>
              <w:top w:val="single" w:color="auto" w:sz="4" w:space="0"/>
              <w:left w:val="nil"/>
              <w:bottom w:val="single" w:color="auto" w:sz="4" w:space="0"/>
              <w:right w:val="single" w:color="auto" w:sz="4" w:space="0"/>
            </w:tcBorders>
            <w:vAlign w:val="center"/>
          </w:tcPr>
          <w:p w14:paraId="6010A371">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t>小组研讨系统</w:t>
            </w:r>
          </w:p>
        </w:tc>
        <w:tc>
          <w:tcPr>
            <w:tcW w:w="566" w:type="pct"/>
            <w:tcBorders>
              <w:top w:val="single" w:color="auto" w:sz="4" w:space="0"/>
              <w:left w:val="nil"/>
              <w:bottom w:val="single" w:color="auto" w:sz="4" w:space="0"/>
              <w:right w:val="single" w:color="auto" w:sz="4" w:space="0"/>
            </w:tcBorders>
            <w:vAlign w:val="center"/>
          </w:tcPr>
          <w:p w14:paraId="60E65686">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t>6</w:t>
            </w:r>
          </w:p>
        </w:tc>
        <w:tc>
          <w:tcPr>
            <w:tcW w:w="949" w:type="pct"/>
            <w:tcBorders>
              <w:top w:val="single" w:color="auto" w:sz="4" w:space="0"/>
              <w:left w:val="nil"/>
              <w:bottom w:val="single" w:color="auto" w:sz="4" w:space="0"/>
              <w:right w:val="single" w:color="auto" w:sz="4" w:space="0"/>
            </w:tcBorders>
            <w:vAlign w:val="center"/>
          </w:tcPr>
          <w:p w14:paraId="7C207BF3">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t>套</w:t>
            </w:r>
          </w:p>
        </w:tc>
      </w:tr>
      <w:tr w14:paraId="25255A1A">
        <w:tblPrEx>
          <w:tblCellMar>
            <w:top w:w="0" w:type="dxa"/>
            <w:left w:w="108" w:type="dxa"/>
            <w:bottom w:w="0" w:type="dxa"/>
            <w:right w:w="108" w:type="dxa"/>
          </w:tblCellMar>
        </w:tblPrEx>
        <w:trPr>
          <w:trHeight w:val="20" w:hRule="atLeast"/>
        </w:trPr>
        <w:tc>
          <w:tcPr>
            <w:tcW w:w="5000" w:type="pct"/>
            <w:gridSpan w:val="5"/>
            <w:tcBorders>
              <w:top w:val="single" w:color="auto" w:sz="4" w:space="0"/>
              <w:left w:val="single" w:color="auto" w:sz="4" w:space="0"/>
              <w:bottom w:val="single" w:color="auto" w:sz="4" w:space="0"/>
              <w:right w:val="single" w:color="auto" w:sz="4" w:space="0"/>
            </w:tcBorders>
            <w:vAlign w:val="center"/>
          </w:tcPr>
          <w:p w14:paraId="3801DD96">
            <w:pPr>
              <w:keepNext w:val="0"/>
              <w:keepLines w:val="0"/>
              <w:pageBreakBefore w:val="0"/>
              <w:widowControl/>
              <w:kinsoku/>
              <w:wordWrap/>
              <w:overflowPunct/>
              <w:topLinePunct w:val="0"/>
              <w:autoSpaceDE/>
              <w:autoSpaceDN/>
              <w:bidi w:val="0"/>
              <w:adjustRightInd/>
              <w:snapToGrid/>
              <w:spacing w:line="240" w:lineRule="auto"/>
              <w:ind w:firstLine="0" w:firstLineChars="0"/>
              <w:jc w:val="left"/>
              <w:textAlignment w:val="auto"/>
              <w:rPr>
                <w:rFonts w:hint="eastAsia"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rPr>
              <w:t>二、</w:t>
            </w:r>
            <w:r>
              <w:rPr>
                <w:rFonts w:hint="eastAsia" w:ascii="仿宋" w:hAnsi="仿宋" w:eastAsia="仿宋" w:cs="仿宋"/>
                <w:b/>
                <w:bCs/>
                <w:color w:val="auto"/>
                <w:sz w:val="24"/>
                <w:szCs w:val="24"/>
                <w:highlight w:val="none"/>
                <w:lang w:val="en-US" w:eastAsia="zh-CN" w:bidi="ar"/>
              </w:rPr>
              <w:t>一体化授课设备</w:t>
            </w:r>
          </w:p>
        </w:tc>
      </w:tr>
      <w:tr w14:paraId="70A336E7">
        <w:tblPrEx>
          <w:tblCellMar>
            <w:top w:w="0" w:type="dxa"/>
            <w:left w:w="108" w:type="dxa"/>
            <w:bottom w:w="0" w:type="dxa"/>
            <w:right w:w="108" w:type="dxa"/>
          </w:tblCellMar>
        </w:tblPrEx>
        <w:trPr>
          <w:trHeight w:val="20" w:hRule="atLeast"/>
        </w:trPr>
        <w:tc>
          <w:tcPr>
            <w:tcW w:w="566" w:type="pct"/>
            <w:tcBorders>
              <w:top w:val="single" w:color="auto" w:sz="4" w:space="0"/>
              <w:left w:val="single" w:color="auto" w:sz="4" w:space="0"/>
              <w:bottom w:val="single" w:color="auto" w:sz="4" w:space="0"/>
              <w:right w:val="single" w:color="auto" w:sz="4" w:space="0"/>
            </w:tcBorders>
            <w:vAlign w:val="center"/>
          </w:tcPr>
          <w:p w14:paraId="3B580099">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12</w:t>
            </w:r>
          </w:p>
        </w:tc>
        <w:tc>
          <w:tcPr>
            <w:tcW w:w="632" w:type="pct"/>
            <w:tcBorders>
              <w:top w:val="single" w:color="auto" w:sz="4" w:space="0"/>
              <w:left w:val="nil"/>
              <w:bottom w:val="single" w:color="auto" w:sz="4" w:space="0"/>
              <w:right w:val="single" w:color="auto" w:sz="4" w:space="0"/>
            </w:tcBorders>
            <w:vAlign w:val="center"/>
          </w:tcPr>
          <w:p w14:paraId="3AB0DDFA">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w:t>
            </w:r>
          </w:p>
        </w:tc>
        <w:tc>
          <w:tcPr>
            <w:tcW w:w="2284" w:type="pct"/>
            <w:tcBorders>
              <w:top w:val="single" w:color="auto" w:sz="4" w:space="0"/>
              <w:left w:val="nil"/>
              <w:bottom w:val="single" w:color="auto" w:sz="4" w:space="0"/>
              <w:right w:val="single" w:color="auto" w:sz="4" w:space="0"/>
            </w:tcBorders>
            <w:vAlign w:val="center"/>
          </w:tcPr>
          <w:p w14:paraId="15C6DDFF">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lang w:val="en-US" w:eastAsia="zh-CN" w:bidi="ar"/>
              </w:rPr>
              <w:t>一体化授课设备</w:t>
            </w:r>
          </w:p>
        </w:tc>
        <w:tc>
          <w:tcPr>
            <w:tcW w:w="566" w:type="pct"/>
            <w:tcBorders>
              <w:top w:val="single" w:color="auto" w:sz="4" w:space="0"/>
              <w:left w:val="nil"/>
              <w:bottom w:val="single" w:color="auto" w:sz="4" w:space="0"/>
              <w:right w:val="single" w:color="auto" w:sz="4" w:space="0"/>
            </w:tcBorders>
            <w:vAlign w:val="center"/>
          </w:tcPr>
          <w:p w14:paraId="27BDDBFB">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sz w:val="24"/>
                <w:szCs w:val="24"/>
                <w:highlight w:val="none"/>
                <w:lang w:val="en-US" w:eastAsia="zh-CN"/>
              </w:rPr>
              <w:t>1</w:t>
            </w:r>
          </w:p>
        </w:tc>
        <w:tc>
          <w:tcPr>
            <w:tcW w:w="949" w:type="pct"/>
            <w:tcBorders>
              <w:top w:val="single" w:color="auto" w:sz="4" w:space="0"/>
              <w:left w:val="nil"/>
              <w:bottom w:val="single" w:color="auto" w:sz="4" w:space="0"/>
              <w:right w:val="single" w:color="auto" w:sz="4" w:space="0"/>
            </w:tcBorders>
            <w:vAlign w:val="center"/>
          </w:tcPr>
          <w:p w14:paraId="4BAC6DB5">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t>台</w:t>
            </w:r>
          </w:p>
        </w:tc>
      </w:tr>
      <w:tr w14:paraId="6B42C205">
        <w:tblPrEx>
          <w:tblCellMar>
            <w:top w:w="0" w:type="dxa"/>
            <w:left w:w="108" w:type="dxa"/>
            <w:bottom w:w="0" w:type="dxa"/>
            <w:right w:w="108" w:type="dxa"/>
          </w:tblCellMar>
        </w:tblPrEx>
        <w:trPr>
          <w:trHeight w:val="20" w:hRule="atLeast"/>
        </w:trPr>
        <w:tc>
          <w:tcPr>
            <w:tcW w:w="5000" w:type="pct"/>
            <w:gridSpan w:val="5"/>
            <w:tcBorders>
              <w:top w:val="single" w:color="auto" w:sz="4" w:space="0"/>
              <w:left w:val="single" w:color="auto" w:sz="4" w:space="0"/>
              <w:bottom w:val="single" w:color="auto" w:sz="4" w:space="0"/>
              <w:right w:val="single" w:color="auto" w:sz="4" w:space="0"/>
            </w:tcBorders>
            <w:vAlign w:val="center"/>
          </w:tcPr>
          <w:p w14:paraId="1DFF86CC">
            <w:pPr>
              <w:keepNext w:val="0"/>
              <w:keepLines w:val="0"/>
              <w:pageBreakBefore w:val="0"/>
              <w:widowControl/>
              <w:kinsoku/>
              <w:wordWrap/>
              <w:overflowPunct/>
              <w:topLinePunct w:val="0"/>
              <w:autoSpaceDE/>
              <w:autoSpaceDN/>
              <w:bidi w:val="0"/>
              <w:adjustRightInd/>
              <w:snapToGrid/>
              <w:spacing w:line="240" w:lineRule="auto"/>
              <w:ind w:firstLine="0" w:firstLineChars="0"/>
              <w:jc w:val="left"/>
              <w:textAlignment w:val="auto"/>
              <w:rPr>
                <w:rFonts w:hint="eastAsia"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rPr>
              <w:t>三、智核主机及教学软件</w:t>
            </w:r>
          </w:p>
        </w:tc>
      </w:tr>
      <w:tr w14:paraId="38A2A4DA">
        <w:tblPrEx>
          <w:tblCellMar>
            <w:top w:w="0" w:type="dxa"/>
            <w:left w:w="108" w:type="dxa"/>
            <w:bottom w:w="0" w:type="dxa"/>
            <w:right w:w="108" w:type="dxa"/>
          </w:tblCellMar>
        </w:tblPrEx>
        <w:trPr>
          <w:trHeight w:val="20" w:hRule="atLeast"/>
        </w:trPr>
        <w:tc>
          <w:tcPr>
            <w:tcW w:w="566" w:type="pct"/>
            <w:tcBorders>
              <w:top w:val="single" w:color="auto" w:sz="4" w:space="0"/>
              <w:left w:val="single" w:color="auto" w:sz="4" w:space="0"/>
              <w:bottom w:val="single" w:color="auto" w:sz="4" w:space="0"/>
              <w:right w:val="single" w:color="auto" w:sz="4" w:space="0"/>
            </w:tcBorders>
            <w:vAlign w:val="center"/>
          </w:tcPr>
          <w:p w14:paraId="4218809C">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13</w:t>
            </w:r>
          </w:p>
        </w:tc>
        <w:tc>
          <w:tcPr>
            <w:tcW w:w="632" w:type="pct"/>
            <w:tcBorders>
              <w:top w:val="single" w:color="auto" w:sz="4" w:space="0"/>
              <w:left w:val="nil"/>
              <w:bottom w:val="single" w:color="auto" w:sz="4" w:space="0"/>
              <w:right w:val="single" w:color="auto" w:sz="4" w:space="0"/>
            </w:tcBorders>
            <w:vAlign w:val="center"/>
          </w:tcPr>
          <w:p w14:paraId="0BD68E31">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w:t>
            </w:r>
          </w:p>
        </w:tc>
        <w:tc>
          <w:tcPr>
            <w:tcW w:w="2284" w:type="pct"/>
            <w:tcBorders>
              <w:top w:val="single" w:color="auto" w:sz="4" w:space="0"/>
              <w:left w:val="nil"/>
              <w:bottom w:val="single" w:color="auto" w:sz="4" w:space="0"/>
              <w:right w:val="single" w:color="auto" w:sz="4" w:space="0"/>
            </w:tcBorders>
            <w:vAlign w:val="center"/>
          </w:tcPr>
          <w:p w14:paraId="35BC8EC6">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t>智慧教学终端</w:t>
            </w:r>
          </w:p>
        </w:tc>
        <w:tc>
          <w:tcPr>
            <w:tcW w:w="566" w:type="pct"/>
            <w:tcBorders>
              <w:top w:val="single" w:color="auto" w:sz="4" w:space="0"/>
              <w:left w:val="nil"/>
              <w:bottom w:val="single" w:color="auto" w:sz="4" w:space="0"/>
              <w:right w:val="single" w:color="auto" w:sz="4" w:space="0"/>
            </w:tcBorders>
            <w:vAlign w:val="center"/>
          </w:tcPr>
          <w:p w14:paraId="18B4DB8F">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t>1</w:t>
            </w:r>
          </w:p>
        </w:tc>
        <w:tc>
          <w:tcPr>
            <w:tcW w:w="949" w:type="pct"/>
            <w:tcBorders>
              <w:top w:val="single" w:color="auto" w:sz="4" w:space="0"/>
              <w:left w:val="nil"/>
              <w:bottom w:val="single" w:color="auto" w:sz="4" w:space="0"/>
              <w:right w:val="single" w:color="auto" w:sz="4" w:space="0"/>
            </w:tcBorders>
            <w:vAlign w:val="center"/>
          </w:tcPr>
          <w:p w14:paraId="6EE46F46">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t>套</w:t>
            </w:r>
          </w:p>
        </w:tc>
      </w:tr>
      <w:tr w14:paraId="64529851">
        <w:tblPrEx>
          <w:tblCellMar>
            <w:top w:w="0" w:type="dxa"/>
            <w:left w:w="108" w:type="dxa"/>
            <w:bottom w:w="0" w:type="dxa"/>
            <w:right w:w="108" w:type="dxa"/>
          </w:tblCellMar>
        </w:tblPrEx>
        <w:trPr>
          <w:trHeight w:val="20" w:hRule="atLeast"/>
        </w:trPr>
        <w:tc>
          <w:tcPr>
            <w:tcW w:w="566" w:type="pct"/>
            <w:tcBorders>
              <w:top w:val="single" w:color="auto" w:sz="4" w:space="0"/>
              <w:left w:val="single" w:color="auto" w:sz="4" w:space="0"/>
              <w:bottom w:val="single" w:color="auto" w:sz="4" w:space="0"/>
              <w:right w:val="single" w:color="auto" w:sz="4" w:space="0"/>
            </w:tcBorders>
            <w:vAlign w:val="center"/>
          </w:tcPr>
          <w:p w14:paraId="48BF264D">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4"/>
                <w:szCs w:val="24"/>
                <w:highlight w:val="none"/>
                <w:lang w:eastAsia="zh-CN"/>
              </w:rPr>
            </w:pPr>
            <w:r>
              <w:rPr>
                <w:rFonts w:hint="eastAsia" w:ascii="仿宋" w:hAnsi="仿宋" w:eastAsia="仿宋" w:cs="仿宋"/>
                <w:color w:val="auto"/>
                <w:kern w:val="0"/>
                <w:sz w:val="24"/>
                <w:szCs w:val="24"/>
                <w:highlight w:val="none"/>
              </w:rPr>
              <w:t>1</w:t>
            </w:r>
            <w:r>
              <w:rPr>
                <w:rFonts w:hint="eastAsia" w:ascii="仿宋" w:hAnsi="仿宋" w:eastAsia="仿宋" w:cs="仿宋"/>
                <w:color w:val="auto"/>
                <w:kern w:val="0"/>
                <w:sz w:val="24"/>
                <w:szCs w:val="24"/>
                <w:highlight w:val="none"/>
                <w:lang w:val="en-US" w:eastAsia="zh-CN"/>
              </w:rPr>
              <w:t>4</w:t>
            </w:r>
          </w:p>
        </w:tc>
        <w:tc>
          <w:tcPr>
            <w:tcW w:w="632" w:type="pct"/>
            <w:tcBorders>
              <w:top w:val="single" w:color="auto" w:sz="4" w:space="0"/>
              <w:left w:val="nil"/>
              <w:bottom w:val="single" w:color="auto" w:sz="4" w:space="0"/>
              <w:right w:val="single" w:color="auto" w:sz="4" w:space="0"/>
            </w:tcBorders>
            <w:vAlign w:val="center"/>
          </w:tcPr>
          <w:p w14:paraId="670607F0">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w:t>
            </w:r>
          </w:p>
        </w:tc>
        <w:tc>
          <w:tcPr>
            <w:tcW w:w="2284" w:type="pct"/>
            <w:tcBorders>
              <w:top w:val="single" w:color="auto" w:sz="4" w:space="0"/>
              <w:left w:val="nil"/>
              <w:bottom w:val="single" w:color="auto" w:sz="4" w:space="0"/>
              <w:right w:val="single" w:color="auto" w:sz="4" w:space="0"/>
            </w:tcBorders>
            <w:vAlign w:val="center"/>
          </w:tcPr>
          <w:p w14:paraId="67EDE84E">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t>智慧课堂互动软件</w:t>
            </w:r>
          </w:p>
        </w:tc>
        <w:tc>
          <w:tcPr>
            <w:tcW w:w="566" w:type="pct"/>
            <w:tcBorders>
              <w:top w:val="single" w:color="auto" w:sz="4" w:space="0"/>
              <w:left w:val="nil"/>
              <w:bottom w:val="single" w:color="auto" w:sz="4" w:space="0"/>
              <w:right w:val="single" w:color="auto" w:sz="4" w:space="0"/>
            </w:tcBorders>
            <w:vAlign w:val="center"/>
          </w:tcPr>
          <w:p w14:paraId="16DE8E6F">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t>1</w:t>
            </w:r>
          </w:p>
        </w:tc>
        <w:tc>
          <w:tcPr>
            <w:tcW w:w="949" w:type="pct"/>
            <w:tcBorders>
              <w:top w:val="single" w:color="auto" w:sz="4" w:space="0"/>
              <w:left w:val="nil"/>
              <w:bottom w:val="single" w:color="auto" w:sz="4" w:space="0"/>
              <w:right w:val="single" w:color="auto" w:sz="4" w:space="0"/>
            </w:tcBorders>
            <w:vAlign w:val="center"/>
          </w:tcPr>
          <w:p w14:paraId="60CF8CBE">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t>套</w:t>
            </w:r>
          </w:p>
        </w:tc>
      </w:tr>
      <w:tr w14:paraId="1F6D5DF3">
        <w:tblPrEx>
          <w:tblCellMar>
            <w:top w:w="0" w:type="dxa"/>
            <w:left w:w="108" w:type="dxa"/>
            <w:bottom w:w="0" w:type="dxa"/>
            <w:right w:w="108" w:type="dxa"/>
          </w:tblCellMar>
        </w:tblPrEx>
        <w:trPr>
          <w:trHeight w:val="20" w:hRule="atLeast"/>
        </w:trPr>
        <w:tc>
          <w:tcPr>
            <w:tcW w:w="566" w:type="pct"/>
            <w:tcBorders>
              <w:top w:val="single" w:color="auto" w:sz="4" w:space="0"/>
              <w:left w:val="single" w:color="auto" w:sz="4" w:space="0"/>
              <w:bottom w:val="single" w:color="auto" w:sz="4" w:space="0"/>
              <w:right w:val="single" w:color="auto" w:sz="4" w:space="0"/>
            </w:tcBorders>
            <w:vAlign w:val="center"/>
          </w:tcPr>
          <w:p w14:paraId="597ABD42">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4"/>
                <w:szCs w:val="24"/>
                <w:highlight w:val="none"/>
                <w:lang w:eastAsia="zh-CN"/>
              </w:rPr>
            </w:pPr>
            <w:r>
              <w:rPr>
                <w:rFonts w:hint="eastAsia" w:ascii="仿宋" w:hAnsi="仿宋" w:eastAsia="仿宋" w:cs="仿宋"/>
                <w:color w:val="auto"/>
                <w:kern w:val="0"/>
                <w:sz w:val="24"/>
                <w:szCs w:val="24"/>
                <w:highlight w:val="none"/>
              </w:rPr>
              <w:t>1</w:t>
            </w:r>
            <w:r>
              <w:rPr>
                <w:rFonts w:hint="eastAsia" w:ascii="仿宋" w:hAnsi="仿宋" w:eastAsia="仿宋" w:cs="仿宋"/>
                <w:color w:val="auto"/>
                <w:kern w:val="0"/>
                <w:sz w:val="24"/>
                <w:szCs w:val="24"/>
                <w:highlight w:val="none"/>
                <w:lang w:val="en-US" w:eastAsia="zh-CN"/>
              </w:rPr>
              <w:t>5</w:t>
            </w:r>
          </w:p>
        </w:tc>
        <w:tc>
          <w:tcPr>
            <w:tcW w:w="632" w:type="pct"/>
            <w:tcBorders>
              <w:top w:val="single" w:color="auto" w:sz="4" w:space="0"/>
              <w:left w:val="nil"/>
              <w:bottom w:val="single" w:color="auto" w:sz="4" w:space="0"/>
              <w:right w:val="single" w:color="auto" w:sz="4" w:space="0"/>
            </w:tcBorders>
            <w:vAlign w:val="center"/>
          </w:tcPr>
          <w:p w14:paraId="4C88C842">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w:t>
            </w:r>
          </w:p>
        </w:tc>
        <w:tc>
          <w:tcPr>
            <w:tcW w:w="2284" w:type="pct"/>
            <w:tcBorders>
              <w:top w:val="single" w:color="auto" w:sz="4" w:space="0"/>
              <w:left w:val="nil"/>
              <w:bottom w:val="single" w:color="auto" w:sz="4" w:space="0"/>
              <w:right w:val="single" w:color="auto" w:sz="4" w:space="0"/>
            </w:tcBorders>
            <w:vAlign w:val="center"/>
          </w:tcPr>
          <w:p w14:paraId="466A9E3F">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t>智慧教学平台</w:t>
            </w:r>
          </w:p>
        </w:tc>
        <w:tc>
          <w:tcPr>
            <w:tcW w:w="566" w:type="pct"/>
            <w:tcBorders>
              <w:top w:val="single" w:color="auto" w:sz="4" w:space="0"/>
              <w:left w:val="nil"/>
              <w:bottom w:val="single" w:color="auto" w:sz="4" w:space="0"/>
              <w:right w:val="single" w:color="auto" w:sz="4" w:space="0"/>
            </w:tcBorders>
            <w:vAlign w:val="center"/>
          </w:tcPr>
          <w:p w14:paraId="1E8293F7">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t>1</w:t>
            </w:r>
          </w:p>
        </w:tc>
        <w:tc>
          <w:tcPr>
            <w:tcW w:w="949" w:type="pct"/>
            <w:tcBorders>
              <w:top w:val="single" w:color="auto" w:sz="4" w:space="0"/>
              <w:left w:val="nil"/>
              <w:bottom w:val="single" w:color="auto" w:sz="4" w:space="0"/>
              <w:right w:val="single" w:color="auto" w:sz="4" w:space="0"/>
            </w:tcBorders>
            <w:vAlign w:val="center"/>
          </w:tcPr>
          <w:p w14:paraId="3A7AA41D">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t>套</w:t>
            </w:r>
          </w:p>
        </w:tc>
      </w:tr>
      <w:tr w14:paraId="75CFE10B">
        <w:tblPrEx>
          <w:tblCellMar>
            <w:top w:w="0" w:type="dxa"/>
            <w:left w:w="108" w:type="dxa"/>
            <w:bottom w:w="0" w:type="dxa"/>
            <w:right w:w="108" w:type="dxa"/>
          </w:tblCellMar>
        </w:tblPrEx>
        <w:trPr>
          <w:trHeight w:val="20" w:hRule="atLeast"/>
        </w:trPr>
        <w:tc>
          <w:tcPr>
            <w:tcW w:w="566" w:type="pct"/>
            <w:tcBorders>
              <w:top w:val="single" w:color="auto" w:sz="4" w:space="0"/>
              <w:left w:val="single" w:color="auto" w:sz="4" w:space="0"/>
              <w:bottom w:val="single" w:color="auto" w:sz="4" w:space="0"/>
              <w:right w:val="single" w:color="auto" w:sz="4" w:space="0"/>
            </w:tcBorders>
            <w:vAlign w:val="center"/>
          </w:tcPr>
          <w:p w14:paraId="366CA8C2">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16</w:t>
            </w:r>
          </w:p>
        </w:tc>
        <w:tc>
          <w:tcPr>
            <w:tcW w:w="632" w:type="pct"/>
            <w:tcBorders>
              <w:top w:val="single" w:color="auto" w:sz="4" w:space="0"/>
              <w:left w:val="nil"/>
              <w:bottom w:val="single" w:color="auto" w:sz="4" w:space="0"/>
              <w:right w:val="single" w:color="auto" w:sz="4" w:space="0"/>
            </w:tcBorders>
            <w:vAlign w:val="center"/>
          </w:tcPr>
          <w:p w14:paraId="2247DC26">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w:t>
            </w:r>
          </w:p>
        </w:tc>
        <w:tc>
          <w:tcPr>
            <w:tcW w:w="2284" w:type="pct"/>
            <w:tcBorders>
              <w:top w:val="single" w:color="auto" w:sz="4" w:space="0"/>
              <w:left w:val="nil"/>
              <w:bottom w:val="single" w:color="auto" w:sz="4" w:space="0"/>
              <w:right w:val="single" w:color="auto" w:sz="4" w:space="0"/>
            </w:tcBorders>
            <w:vAlign w:val="center"/>
          </w:tcPr>
          <w:p w14:paraId="51817E69">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t>多屏互动研讨软件</w:t>
            </w:r>
          </w:p>
        </w:tc>
        <w:tc>
          <w:tcPr>
            <w:tcW w:w="566" w:type="pct"/>
            <w:tcBorders>
              <w:top w:val="single" w:color="auto" w:sz="4" w:space="0"/>
              <w:left w:val="nil"/>
              <w:bottom w:val="single" w:color="auto" w:sz="4" w:space="0"/>
              <w:right w:val="single" w:color="auto" w:sz="4" w:space="0"/>
            </w:tcBorders>
            <w:vAlign w:val="center"/>
          </w:tcPr>
          <w:p w14:paraId="5BE46B50">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t>1</w:t>
            </w:r>
          </w:p>
        </w:tc>
        <w:tc>
          <w:tcPr>
            <w:tcW w:w="949" w:type="pct"/>
            <w:tcBorders>
              <w:top w:val="single" w:color="auto" w:sz="4" w:space="0"/>
              <w:left w:val="nil"/>
              <w:bottom w:val="single" w:color="auto" w:sz="4" w:space="0"/>
              <w:right w:val="single" w:color="auto" w:sz="4" w:space="0"/>
            </w:tcBorders>
            <w:vAlign w:val="center"/>
          </w:tcPr>
          <w:p w14:paraId="57A82964">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t>套</w:t>
            </w:r>
          </w:p>
        </w:tc>
      </w:tr>
      <w:tr w14:paraId="3CC4B5A7">
        <w:tblPrEx>
          <w:tblCellMar>
            <w:top w:w="0" w:type="dxa"/>
            <w:left w:w="108" w:type="dxa"/>
            <w:bottom w:w="0" w:type="dxa"/>
            <w:right w:w="108" w:type="dxa"/>
          </w:tblCellMar>
        </w:tblPrEx>
        <w:trPr>
          <w:trHeight w:val="20" w:hRule="atLeast"/>
        </w:trPr>
        <w:tc>
          <w:tcPr>
            <w:tcW w:w="566" w:type="pct"/>
            <w:tcBorders>
              <w:top w:val="single" w:color="auto" w:sz="4" w:space="0"/>
              <w:left w:val="single" w:color="auto" w:sz="4" w:space="0"/>
              <w:bottom w:val="single" w:color="auto" w:sz="4" w:space="0"/>
              <w:right w:val="single" w:color="auto" w:sz="4" w:space="0"/>
            </w:tcBorders>
            <w:vAlign w:val="center"/>
          </w:tcPr>
          <w:p w14:paraId="0F895FC6">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17</w:t>
            </w:r>
          </w:p>
        </w:tc>
        <w:tc>
          <w:tcPr>
            <w:tcW w:w="632" w:type="pct"/>
            <w:tcBorders>
              <w:top w:val="single" w:color="auto" w:sz="4" w:space="0"/>
              <w:left w:val="nil"/>
              <w:bottom w:val="single" w:color="auto" w:sz="4" w:space="0"/>
              <w:right w:val="single" w:color="auto" w:sz="4" w:space="0"/>
            </w:tcBorders>
            <w:vAlign w:val="center"/>
          </w:tcPr>
          <w:p w14:paraId="5242E56B">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w:t>
            </w:r>
          </w:p>
        </w:tc>
        <w:tc>
          <w:tcPr>
            <w:tcW w:w="2284" w:type="pct"/>
            <w:tcBorders>
              <w:top w:val="single" w:color="auto" w:sz="4" w:space="0"/>
              <w:left w:val="nil"/>
              <w:bottom w:val="single" w:color="auto" w:sz="4" w:space="0"/>
              <w:right w:val="single" w:color="auto" w:sz="4" w:space="0"/>
            </w:tcBorders>
            <w:vAlign w:val="center"/>
          </w:tcPr>
          <w:p w14:paraId="5A3ED04E">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t>课堂录播系统</w:t>
            </w:r>
          </w:p>
        </w:tc>
        <w:tc>
          <w:tcPr>
            <w:tcW w:w="566" w:type="pct"/>
            <w:tcBorders>
              <w:top w:val="single" w:color="auto" w:sz="4" w:space="0"/>
              <w:left w:val="nil"/>
              <w:bottom w:val="single" w:color="auto" w:sz="4" w:space="0"/>
              <w:right w:val="single" w:color="auto" w:sz="4" w:space="0"/>
            </w:tcBorders>
            <w:vAlign w:val="center"/>
          </w:tcPr>
          <w:p w14:paraId="74089B7E">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t>1</w:t>
            </w:r>
          </w:p>
        </w:tc>
        <w:tc>
          <w:tcPr>
            <w:tcW w:w="949" w:type="pct"/>
            <w:tcBorders>
              <w:top w:val="single" w:color="auto" w:sz="4" w:space="0"/>
              <w:left w:val="nil"/>
              <w:bottom w:val="single" w:color="auto" w:sz="4" w:space="0"/>
              <w:right w:val="single" w:color="auto" w:sz="4" w:space="0"/>
            </w:tcBorders>
            <w:vAlign w:val="center"/>
          </w:tcPr>
          <w:p w14:paraId="543808AB">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t>套</w:t>
            </w:r>
          </w:p>
        </w:tc>
      </w:tr>
      <w:tr w14:paraId="48D637C1">
        <w:tblPrEx>
          <w:tblCellMar>
            <w:top w:w="0" w:type="dxa"/>
            <w:left w:w="108" w:type="dxa"/>
            <w:bottom w:w="0" w:type="dxa"/>
            <w:right w:w="108" w:type="dxa"/>
          </w:tblCellMar>
        </w:tblPrEx>
        <w:trPr>
          <w:trHeight w:val="20" w:hRule="atLeast"/>
        </w:trPr>
        <w:tc>
          <w:tcPr>
            <w:tcW w:w="566" w:type="pct"/>
            <w:tcBorders>
              <w:top w:val="single" w:color="auto" w:sz="4" w:space="0"/>
              <w:left w:val="single" w:color="auto" w:sz="4" w:space="0"/>
              <w:bottom w:val="single" w:color="auto" w:sz="4" w:space="0"/>
              <w:right w:val="single" w:color="auto" w:sz="4" w:space="0"/>
            </w:tcBorders>
            <w:vAlign w:val="center"/>
          </w:tcPr>
          <w:p w14:paraId="772A2426">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18</w:t>
            </w:r>
          </w:p>
        </w:tc>
        <w:tc>
          <w:tcPr>
            <w:tcW w:w="632" w:type="pct"/>
            <w:tcBorders>
              <w:top w:val="single" w:color="auto" w:sz="4" w:space="0"/>
              <w:left w:val="nil"/>
              <w:bottom w:val="single" w:color="auto" w:sz="4" w:space="0"/>
              <w:right w:val="single" w:color="auto" w:sz="4" w:space="0"/>
            </w:tcBorders>
            <w:vAlign w:val="center"/>
          </w:tcPr>
          <w:p w14:paraId="2645A7BD">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w:t>
            </w:r>
          </w:p>
        </w:tc>
        <w:tc>
          <w:tcPr>
            <w:tcW w:w="2284" w:type="pct"/>
            <w:tcBorders>
              <w:top w:val="single" w:color="auto" w:sz="4" w:space="0"/>
              <w:left w:val="nil"/>
              <w:bottom w:val="single" w:color="auto" w:sz="4" w:space="0"/>
              <w:right w:val="single" w:color="auto" w:sz="4" w:space="0"/>
            </w:tcBorders>
            <w:vAlign w:val="center"/>
          </w:tcPr>
          <w:p w14:paraId="570ED666">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t>智慧教学终端软件</w:t>
            </w:r>
          </w:p>
        </w:tc>
        <w:tc>
          <w:tcPr>
            <w:tcW w:w="566" w:type="pct"/>
            <w:tcBorders>
              <w:top w:val="single" w:color="auto" w:sz="4" w:space="0"/>
              <w:left w:val="nil"/>
              <w:bottom w:val="single" w:color="auto" w:sz="4" w:space="0"/>
              <w:right w:val="single" w:color="auto" w:sz="4" w:space="0"/>
            </w:tcBorders>
            <w:vAlign w:val="center"/>
          </w:tcPr>
          <w:p w14:paraId="45699A19">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t>1</w:t>
            </w:r>
          </w:p>
        </w:tc>
        <w:tc>
          <w:tcPr>
            <w:tcW w:w="949" w:type="pct"/>
            <w:tcBorders>
              <w:top w:val="single" w:color="auto" w:sz="4" w:space="0"/>
              <w:left w:val="nil"/>
              <w:bottom w:val="single" w:color="auto" w:sz="4" w:space="0"/>
              <w:right w:val="single" w:color="auto" w:sz="4" w:space="0"/>
            </w:tcBorders>
            <w:vAlign w:val="center"/>
          </w:tcPr>
          <w:p w14:paraId="64EC8D87">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t>套</w:t>
            </w:r>
          </w:p>
        </w:tc>
      </w:tr>
      <w:tr w14:paraId="0A28D37A">
        <w:tblPrEx>
          <w:tblCellMar>
            <w:top w:w="0" w:type="dxa"/>
            <w:left w:w="108" w:type="dxa"/>
            <w:bottom w:w="0" w:type="dxa"/>
            <w:right w:w="108" w:type="dxa"/>
          </w:tblCellMar>
        </w:tblPrEx>
        <w:trPr>
          <w:trHeight w:val="20" w:hRule="atLeast"/>
        </w:trPr>
        <w:tc>
          <w:tcPr>
            <w:tcW w:w="566" w:type="pct"/>
            <w:tcBorders>
              <w:top w:val="single" w:color="auto" w:sz="4" w:space="0"/>
              <w:left w:val="single" w:color="auto" w:sz="4" w:space="0"/>
              <w:bottom w:val="single" w:color="auto" w:sz="4" w:space="0"/>
              <w:right w:val="single" w:color="auto" w:sz="4" w:space="0"/>
            </w:tcBorders>
            <w:vAlign w:val="center"/>
          </w:tcPr>
          <w:p w14:paraId="6A56208B">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19</w:t>
            </w:r>
          </w:p>
        </w:tc>
        <w:tc>
          <w:tcPr>
            <w:tcW w:w="632" w:type="pct"/>
            <w:tcBorders>
              <w:top w:val="single" w:color="auto" w:sz="4" w:space="0"/>
              <w:left w:val="nil"/>
              <w:bottom w:val="single" w:color="auto" w:sz="4" w:space="0"/>
              <w:right w:val="single" w:color="auto" w:sz="4" w:space="0"/>
            </w:tcBorders>
            <w:vAlign w:val="center"/>
          </w:tcPr>
          <w:p w14:paraId="1D365A59">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w:t>
            </w:r>
          </w:p>
        </w:tc>
        <w:tc>
          <w:tcPr>
            <w:tcW w:w="2284" w:type="pct"/>
            <w:tcBorders>
              <w:top w:val="single" w:color="auto" w:sz="4" w:space="0"/>
              <w:left w:val="nil"/>
              <w:bottom w:val="single" w:color="auto" w:sz="4" w:space="0"/>
              <w:right w:val="single" w:color="auto" w:sz="4" w:space="0"/>
            </w:tcBorders>
            <w:vAlign w:val="center"/>
          </w:tcPr>
          <w:p w14:paraId="7751B19B">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t>中控系统</w:t>
            </w:r>
          </w:p>
        </w:tc>
        <w:tc>
          <w:tcPr>
            <w:tcW w:w="566" w:type="pct"/>
            <w:tcBorders>
              <w:top w:val="single" w:color="auto" w:sz="4" w:space="0"/>
              <w:left w:val="nil"/>
              <w:bottom w:val="single" w:color="auto" w:sz="4" w:space="0"/>
              <w:right w:val="single" w:color="auto" w:sz="4" w:space="0"/>
            </w:tcBorders>
            <w:vAlign w:val="center"/>
          </w:tcPr>
          <w:p w14:paraId="31B67E58">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t>1</w:t>
            </w:r>
          </w:p>
        </w:tc>
        <w:tc>
          <w:tcPr>
            <w:tcW w:w="949" w:type="pct"/>
            <w:tcBorders>
              <w:top w:val="single" w:color="auto" w:sz="4" w:space="0"/>
              <w:left w:val="nil"/>
              <w:bottom w:val="single" w:color="auto" w:sz="4" w:space="0"/>
              <w:right w:val="single" w:color="auto" w:sz="4" w:space="0"/>
            </w:tcBorders>
            <w:vAlign w:val="center"/>
          </w:tcPr>
          <w:p w14:paraId="1385ACE5">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t>套</w:t>
            </w:r>
          </w:p>
        </w:tc>
      </w:tr>
      <w:tr w14:paraId="4526FE75">
        <w:tblPrEx>
          <w:tblCellMar>
            <w:top w:w="0" w:type="dxa"/>
            <w:left w:w="108" w:type="dxa"/>
            <w:bottom w:w="0" w:type="dxa"/>
            <w:right w:w="108" w:type="dxa"/>
          </w:tblCellMar>
        </w:tblPrEx>
        <w:trPr>
          <w:trHeight w:val="20" w:hRule="atLeast"/>
        </w:trPr>
        <w:tc>
          <w:tcPr>
            <w:tcW w:w="566" w:type="pct"/>
            <w:tcBorders>
              <w:top w:val="single" w:color="auto" w:sz="4" w:space="0"/>
              <w:left w:val="single" w:color="auto" w:sz="4" w:space="0"/>
              <w:bottom w:val="single" w:color="auto" w:sz="4" w:space="0"/>
              <w:right w:val="single" w:color="auto" w:sz="4" w:space="0"/>
            </w:tcBorders>
            <w:vAlign w:val="center"/>
          </w:tcPr>
          <w:p w14:paraId="2D50EA6B">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20</w:t>
            </w:r>
          </w:p>
        </w:tc>
        <w:tc>
          <w:tcPr>
            <w:tcW w:w="632" w:type="pct"/>
            <w:tcBorders>
              <w:top w:val="single" w:color="auto" w:sz="4" w:space="0"/>
              <w:left w:val="nil"/>
              <w:bottom w:val="single" w:color="auto" w:sz="4" w:space="0"/>
              <w:right w:val="single" w:color="auto" w:sz="4" w:space="0"/>
            </w:tcBorders>
            <w:vAlign w:val="center"/>
          </w:tcPr>
          <w:p w14:paraId="50B821DD">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w:t>
            </w:r>
          </w:p>
        </w:tc>
        <w:tc>
          <w:tcPr>
            <w:tcW w:w="2284" w:type="pct"/>
            <w:tcBorders>
              <w:top w:val="single" w:color="auto" w:sz="4" w:space="0"/>
              <w:left w:val="nil"/>
              <w:bottom w:val="single" w:color="auto" w:sz="4" w:space="0"/>
              <w:right w:val="single" w:color="auto" w:sz="4" w:space="0"/>
            </w:tcBorders>
            <w:vAlign w:val="center"/>
          </w:tcPr>
          <w:p w14:paraId="2C1FFA96">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t>AI课堂分析软件</w:t>
            </w:r>
          </w:p>
        </w:tc>
        <w:tc>
          <w:tcPr>
            <w:tcW w:w="566" w:type="pct"/>
            <w:tcBorders>
              <w:top w:val="single" w:color="auto" w:sz="4" w:space="0"/>
              <w:left w:val="nil"/>
              <w:bottom w:val="single" w:color="auto" w:sz="4" w:space="0"/>
              <w:right w:val="single" w:color="auto" w:sz="4" w:space="0"/>
            </w:tcBorders>
            <w:vAlign w:val="center"/>
          </w:tcPr>
          <w:p w14:paraId="03A01FDA">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t>1</w:t>
            </w:r>
          </w:p>
        </w:tc>
        <w:tc>
          <w:tcPr>
            <w:tcW w:w="949" w:type="pct"/>
            <w:tcBorders>
              <w:top w:val="single" w:color="auto" w:sz="4" w:space="0"/>
              <w:left w:val="nil"/>
              <w:bottom w:val="single" w:color="auto" w:sz="4" w:space="0"/>
              <w:right w:val="single" w:color="auto" w:sz="4" w:space="0"/>
            </w:tcBorders>
            <w:vAlign w:val="center"/>
          </w:tcPr>
          <w:p w14:paraId="2225D586">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t>套</w:t>
            </w:r>
          </w:p>
        </w:tc>
      </w:tr>
      <w:tr w14:paraId="44886C46">
        <w:tblPrEx>
          <w:tblCellMar>
            <w:top w:w="0" w:type="dxa"/>
            <w:left w:w="108" w:type="dxa"/>
            <w:bottom w:w="0" w:type="dxa"/>
            <w:right w:w="108" w:type="dxa"/>
          </w:tblCellMar>
        </w:tblPrEx>
        <w:trPr>
          <w:trHeight w:val="20" w:hRule="atLeast"/>
        </w:trPr>
        <w:tc>
          <w:tcPr>
            <w:tcW w:w="566" w:type="pct"/>
            <w:tcBorders>
              <w:top w:val="single" w:color="auto" w:sz="4" w:space="0"/>
              <w:left w:val="single" w:color="auto" w:sz="4" w:space="0"/>
              <w:bottom w:val="single" w:color="auto" w:sz="4" w:space="0"/>
              <w:right w:val="single" w:color="auto" w:sz="4" w:space="0"/>
            </w:tcBorders>
            <w:vAlign w:val="center"/>
          </w:tcPr>
          <w:p w14:paraId="7461CDFE">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21</w:t>
            </w:r>
          </w:p>
        </w:tc>
        <w:tc>
          <w:tcPr>
            <w:tcW w:w="632" w:type="pct"/>
            <w:tcBorders>
              <w:top w:val="single" w:color="auto" w:sz="4" w:space="0"/>
              <w:left w:val="nil"/>
              <w:bottom w:val="single" w:color="auto" w:sz="4" w:space="0"/>
              <w:right w:val="single" w:color="auto" w:sz="4" w:space="0"/>
            </w:tcBorders>
            <w:vAlign w:val="center"/>
          </w:tcPr>
          <w:p w14:paraId="14A51BFA">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w:t>
            </w:r>
          </w:p>
        </w:tc>
        <w:tc>
          <w:tcPr>
            <w:tcW w:w="2284" w:type="pct"/>
            <w:tcBorders>
              <w:top w:val="single" w:color="auto" w:sz="4" w:space="0"/>
              <w:left w:val="nil"/>
              <w:bottom w:val="single" w:color="auto" w:sz="4" w:space="0"/>
              <w:right w:val="single" w:color="auto" w:sz="4" w:space="0"/>
            </w:tcBorders>
            <w:vAlign w:val="center"/>
          </w:tcPr>
          <w:p w14:paraId="2000DCCC">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t>AI课堂观察软件</w:t>
            </w:r>
          </w:p>
        </w:tc>
        <w:tc>
          <w:tcPr>
            <w:tcW w:w="566" w:type="pct"/>
            <w:tcBorders>
              <w:top w:val="single" w:color="auto" w:sz="4" w:space="0"/>
              <w:left w:val="nil"/>
              <w:bottom w:val="single" w:color="auto" w:sz="4" w:space="0"/>
              <w:right w:val="single" w:color="auto" w:sz="4" w:space="0"/>
            </w:tcBorders>
            <w:vAlign w:val="center"/>
          </w:tcPr>
          <w:p w14:paraId="297303A2">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p>
        </w:tc>
        <w:tc>
          <w:tcPr>
            <w:tcW w:w="949" w:type="pct"/>
            <w:tcBorders>
              <w:top w:val="single" w:color="auto" w:sz="4" w:space="0"/>
              <w:left w:val="nil"/>
              <w:bottom w:val="single" w:color="auto" w:sz="4" w:space="0"/>
              <w:right w:val="single" w:color="auto" w:sz="4" w:space="0"/>
            </w:tcBorders>
            <w:vAlign w:val="center"/>
          </w:tcPr>
          <w:p w14:paraId="32EE6070">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套</w:t>
            </w:r>
          </w:p>
        </w:tc>
      </w:tr>
      <w:tr w14:paraId="1F150C1A">
        <w:tblPrEx>
          <w:tblCellMar>
            <w:top w:w="0" w:type="dxa"/>
            <w:left w:w="108" w:type="dxa"/>
            <w:bottom w:w="0" w:type="dxa"/>
            <w:right w:w="108" w:type="dxa"/>
          </w:tblCellMar>
        </w:tblPrEx>
        <w:trPr>
          <w:trHeight w:val="20" w:hRule="atLeast"/>
        </w:trPr>
        <w:tc>
          <w:tcPr>
            <w:tcW w:w="5000" w:type="pct"/>
            <w:gridSpan w:val="5"/>
            <w:tcBorders>
              <w:top w:val="single" w:color="auto" w:sz="4" w:space="0"/>
              <w:left w:val="single" w:color="auto" w:sz="4" w:space="0"/>
              <w:bottom w:val="single" w:color="auto" w:sz="4" w:space="0"/>
              <w:right w:val="single" w:color="auto" w:sz="4" w:space="0"/>
            </w:tcBorders>
            <w:vAlign w:val="center"/>
          </w:tcPr>
          <w:p w14:paraId="508DB262">
            <w:pPr>
              <w:keepNext w:val="0"/>
              <w:keepLines w:val="0"/>
              <w:pageBreakBefore w:val="0"/>
              <w:widowControl/>
              <w:kinsoku/>
              <w:wordWrap/>
              <w:overflowPunct/>
              <w:topLinePunct w:val="0"/>
              <w:autoSpaceDE/>
              <w:autoSpaceDN/>
              <w:bidi w:val="0"/>
              <w:adjustRightInd/>
              <w:snapToGrid/>
              <w:spacing w:line="240" w:lineRule="auto"/>
              <w:ind w:firstLine="0" w:firstLineChars="0"/>
              <w:jc w:val="left"/>
              <w:textAlignment w:val="auto"/>
              <w:rPr>
                <w:rFonts w:hint="eastAsia"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rPr>
              <w:t>四、智核录播摄像机</w:t>
            </w:r>
          </w:p>
        </w:tc>
      </w:tr>
      <w:tr w14:paraId="2605EB73">
        <w:tblPrEx>
          <w:tblCellMar>
            <w:top w:w="0" w:type="dxa"/>
            <w:left w:w="108" w:type="dxa"/>
            <w:bottom w:w="0" w:type="dxa"/>
            <w:right w:w="108" w:type="dxa"/>
          </w:tblCellMar>
        </w:tblPrEx>
        <w:trPr>
          <w:trHeight w:val="20" w:hRule="atLeast"/>
        </w:trPr>
        <w:tc>
          <w:tcPr>
            <w:tcW w:w="566" w:type="pct"/>
            <w:tcBorders>
              <w:top w:val="single" w:color="auto" w:sz="4" w:space="0"/>
              <w:left w:val="single" w:color="auto" w:sz="4" w:space="0"/>
              <w:bottom w:val="single" w:color="auto" w:sz="4" w:space="0"/>
              <w:right w:val="single" w:color="auto" w:sz="4" w:space="0"/>
            </w:tcBorders>
            <w:vAlign w:val="center"/>
          </w:tcPr>
          <w:p w14:paraId="44E5AAB6">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4"/>
                <w:szCs w:val="24"/>
                <w:highlight w:val="none"/>
                <w:lang w:eastAsia="zh-CN"/>
              </w:rPr>
            </w:pPr>
            <w:r>
              <w:rPr>
                <w:rFonts w:hint="eastAsia" w:ascii="仿宋" w:hAnsi="仿宋" w:eastAsia="仿宋" w:cs="仿宋"/>
                <w:color w:val="auto"/>
                <w:kern w:val="0"/>
                <w:sz w:val="24"/>
                <w:szCs w:val="24"/>
                <w:highlight w:val="none"/>
              </w:rPr>
              <w:t>2</w:t>
            </w:r>
            <w:r>
              <w:rPr>
                <w:rFonts w:hint="eastAsia" w:ascii="仿宋" w:hAnsi="仿宋" w:eastAsia="仿宋" w:cs="仿宋"/>
                <w:color w:val="auto"/>
                <w:kern w:val="0"/>
                <w:sz w:val="24"/>
                <w:szCs w:val="24"/>
                <w:highlight w:val="none"/>
                <w:lang w:val="en-US" w:eastAsia="zh-CN"/>
              </w:rPr>
              <w:t>2</w:t>
            </w:r>
          </w:p>
        </w:tc>
        <w:tc>
          <w:tcPr>
            <w:tcW w:w="632" w:type="pct"/>
            <w:tcBorders>
              <w:top w:val="single" w:color="auto" w:sz="4" w:space="0"/>
              <w:left w:val="nil"/>
              <w:bottom w:val="single" w:color="auto" w:sz="4" w:space="0"/>
              <w:right w:val="single" w:color="auto" w:sz="4" w:space="0"/>
            </w:tcBorders>
            <w:vAlign w:val="center"/>
          </w:tcPr>
          <w:p w14:paraId="143A0139">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w:t>
            </w:r>
          </w:p>
        </w:tc>
        <w:tc>
          <w:tcPr>
            <w:tcW w:w="2284" w:type="pct"/>
            <w:tcBorders>
              <w:top w:val="single" w:color="auto" w:sz="4" w:space="0"/>
              <w:left w:val="nil"/>
              <w:bottom w:val="single" w:color="auto" w:sz="4" w:space="0"/>
              <w:right w:val="single" w:color="auto" w:sz="4" w:space="0"/>
            </w:tcBorders>
            <w:vAlign w:val="center"/>
          </w:tcPr>
          <w:p w14:paraId="3A05C07D">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t>教师跟踪摄像机</w:t>
            </w:r>
          </w:p>
        </w:tc>
        <w:tc>
          <w:tcPr>
            <w:tcW w:w="566" w:type="pct"/>
            <w:tcBorders>
              <w:top w:val="single" w:color="auto" w:sz="4" w:space="0"/>
              <w:left w:val="nil"/>
              <w:bottom w:val="single" w:color="auto" w:sz="4" w:space="0"/>
              <w:right w:val="single" w:color="auto" w:sz="4" w:space="0"/>
            </w:tcBorders>
            <w:vAlign w:val="center"/>
          </w:tcPr>
          <w:p w14:paraId="2CF81AD7">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t>1</w:t>
            </w:r>
          </w:p>
        </w:tc>
        <w:tc>
          <w:tcPr>
            <w:tcW w:w="949" w:type="pct"/>
            <w:tcBorders>
              <w:top w:val="single" w:color="auto" w:sz="4" w:space="0"/>
              <w:left w:val="nil"/>
              <w:bottom w:val="single" w:color="auto" w:sz="4" w:space="0"/>
              <w:right w:val="single" w:color="auto" w:sz="4" w:space="0"/>
            </w:tcBorders>
            <w:vAlign w:val="center"/>
          </w:tcPr>
          <w:p w14:paraId="3C08BBC3">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t>台</w:t>
            </w:r>
          </w:p>
        </w:tc>
      </w:tr>
      <w:tr w14:paraId="4E767B84">
        <w:tblPrEx>
          <w:tblCellMar>
            <w:top w:w="0" w:type="dxa"/>
            <w:left w:w="108" w:type="dxa"/>
            <w:bottom w:w="0" w:type="dxa"/>
            <w:right w:w="108" w:type="dxa"/>
          </w:tblCellMar>
        </w:tblPrEx>
        <w:trPr>
          <w:trHeight w:val="20" w:hRule="atLeast"/>
        </w:trPr>
        <w:tc>
          <w:tcPr>
            <w:tcW w:w="566" w:type="pct"/>
            <w:tcBorders>
              <w:top w:val="single" w:color="auto" w:sz="4" w:space="0"/>
              <w:left w:val="single" w:color="auto" w:sz="4" w:space="0"/>
              <w:bottom w:val="single" w:color="auto" w:sz="4" w:space="0"/>
              <w:right w:val="single" w:color="auto" w:sz="4" w:space="0"/>
            </w:tcBorders>
            <w:vAlign w:val="center"/>
          </w:tcPr>
          <w:p w14:paraId="6D248F64">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4"/>
                <w:szCs w:val="24"/>
                <w:highlight w:val="none"/>
                <w:lang w:eastAsia="zh-CN"/>
              </w:rPr>
            </w:pPr>
            <w:r>
              <w:rPr>
                <w:rFonts w:hint="eastAsia" w:ascii="仿宋" w:hAnsi="仿宋" w:eastAsia="仿宋" w:cs="仿宋"/>
                <w:color w:val="auto"/>
                <w:kern w:val="0"/>
                <w:sz w:val="24"/>
                <w:szCs w:val="24"/>
                <w:highlight w:val="none"/>
              </w:rPr>
              <w:t>2</w:t>
            </w:r>
            <w:r>
              <w:rPr>
                <w:rFonts w:hint="eastAsia" w:ascii="仿宋" w:hAnsi="仿宋" w:eastAsia="仿宋" w:cs="仿宋"/>
                <w:color w:val="auto"/>
                <w:kern w:val="0"/>
                <w:sz w:val="24"/>
                <w:szCs w:val="24"/>
                <w:highlight w:val="none"/>
                <w:lang w:val="en-US" w:eastAsia="zh-CN"/>
              </w:rPr>
              <w:t>3</w:t>
            </w:r>
          </w:p>
        </w:tc>
        <w:tc>
          <w:tcPr>
            <w:tcW w:w="632" w:type="pct"/>
            <w:tcBorders>
              <w:top w:val="single" w:color="auto" w:sz="4" w:space="0"/>
              <w:left w:val="nil"/>
              <w:bottom w:val="single" w:color="auto" w:sz="4" w:space="0"/>
              <w:right w:val="single" w:color="auto" w:sz="4" w:space="0"/>
            </w:tcBorders>
            <w:vAlign w:val="center"/>
          </w:tcPr>
          <w:p w14:paraId="237CA5B0">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w:t>
            </w:r>
          </w:p>
        </w:tc>
        <w:tc>
          <w:tcPr>
            <w:tcW w:w="2284" w:type="pct"/>
            <w:tcBorders>
              <w:top w:val="single" w:color="auto" w:sz="4" w:space="0"/>
              <w:left w:val="nil"/>
              <w:bottom w:val="single" w:color="auto" w:sz="4" w:space="0"/>
              <w:right w:val="single" w:color="auto" w:sz="4" w:space="0"/>
            </w:tcBorders>
            <w:vAlign w:val="center"/>
          </w:tcPr>
          <w:p w14:paraId="3E0DF208">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t>学生跟踪摄像机</w:t>
            </w:r>
          </w:p>
        </w:tc>
        <w:tc>
          <w:tcPr>
            <w:tcW w:w="566" w:type="pct"/>
            <w:tcBorders>
              <w:top w:val="single" w:color="auto" w:sz="4" w:space="0"/>
              <w:left w:val="nil"/>
              <w:bottom w:val="single" w:color="auto" w:sz="4" w:space="0"/>
              <w:right w:val="single" w:color="auto" w:sz="4" w:space="0"/>
            </w:tcBorders>
            <w:vAlign w:val="center"/>
          </w:tcPr>
          <w:p w14:paraId="02D17DBF">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t>1</w:t>
            </w:r>
          </w:p>
        </w:tc>
        <w:tc>
          <w:tcPr>
            <w:tcW w:w="949" w:type="pct"/>
            <w:tcBorders>
              <w:top w:val="single" w:color="auto" w:sz="4" w:space="0"/>
              <w:left w:val="nil"/>
              <w:bottom w:val="single" w:color="auto" w:sz="4" w:space="0"/>
              <w:right w:val="single" w:color="auto" w:sz="4" w:space="0"/>
            </w:tcBorders>
            <w:vAlign w:val="center"/>
          </w:tcPr>
          <w:p w14:paraId="0AAF1C5E">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t>台</w:t>
            </w:r>
          </w:p>
        </w:tc>
      </w:tr>
      <w:tr w14:paraId="28E6FABF">
        <w:tblPrEx>
          <w:tblCellMar>
            <w:top w:w="0" w:type="dxa"/>
            <w:left w:w="108" w:type="dxa"/>
            <w:bottom w:w="0" w:type="dxa"/>
            <w:right w:w="108" w:type="dxa"/>
          </w:tblCellMar>
        </w:tblPrEx>
        <w:trPr>
          <w:trHeight w:val="20" w:hRule="atLeast"/>
        </w:trPr>
        <w:tc>
          <w:tcPr>
            <w:tcW w:w="566" w:type="pct"/>
            <w:tcBorders>
              <w:top w:val="single" w:color="auto" w:sz="4" w:space="0"/>
              <w:left w:val="single" w:color="auto" w:sz="4" w:space="0"/>
              <w:bottom w:val="single" w:color="auto" w:sz="4" w:space="0"/>
              <w:right w:val="single" w:color="auto" w:sz="4" w:space="0"/>
            </w:tcBorders>
            <w:vAlign w:val="center"/>
          </w:tcPr>
          <w:p w14:paraId="1B55AD25">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4"/>
                <w:szCs w:val="24"/>
                <w:highlight w:val="none"/>
                <w:lang w:eastAsia="zh-CN"/>
              </w:rPr>
            </w:pPr>
            <w:r>
              <w:rPr>
                <w:rFonts w:hint="eastAsia" w:ascii="仿宋" w:hAnsi="仿宋" w:eastAsia="仿宋" w:cs="仿宋"/>
                <w:color w:val="auto"/>
                <w:kern w:val="0"/>
                <w:sz w:val="24"/>
                <w:szCs w:val="24"/>
                <w:highlight w:val="none"/>
              </w:rPr>
              <w:t>2</w:t>
            </w:r>
            <w:r>
              <w:rPr>
                <w:rFonts w:hint="eastAsia" w:ascii="仿宋" w:hAnsi="仿宋" w:eastAsia="仿宋" w:cs="仿宋"/>
                <w:color w:val="auto"/>
                <w:kern w:val="0"/>
                <w:sz w:val="24"/>
                <w:szCs w:val="24"/>
                <w:highlight w:val="none"/>
                <w:lang w:val="en-US" w:eastAsia="zh-CN"/>
              </w:rPr>
              <w:t>4</w:t>
            </w:r>
          </w:p>
        </w:tc>
        <w:tc>
          <w:tcPr>
            <w:tcW w:w="632" w:type="pct"/>
            <w:tcBorders>
              <w:top w:val="single" w:color="auto" w:sz="4" w:space="0"/>
              <w:left w:val="nil"/>
              <w:bottom w:val="single" w:color="auto" w:sz="4" w:space="0"/>
              <w:right w:val="single" w:color="auto" w:sz="4" w:space="0"/>
            </w:tcBorders>
            <w:vAlign w:val="center"/>
          </w:tcPr>
          <w:p w14:paraId="797D239A">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w:t>
            </w:r>
          </w:p>
        </w:tc>
        <w:tc>
          <w:tcPr>
            <w:tcW w:w="2284" w:type="pct"/>
            <w:tcBorders>
              <w:top w:val="single" w:color="auto" w:sz="4" w:space="0"/>
              <w:left w:val="nil"/>
              <w:bottom w:val="single" w:color="auto" w:sz="4" w:space="0"/>
              <w:right w:val="single" w:color="auto" w:sz="4" w:space="0"/>
            </w:tcBorders>
            <w:vAlign w:val="center"/>
          </w:tcPr>
          <w:p w14:paraId="318EE851">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t>高清摄像机</w:t>
            </w:r>
          </w:p>
        </w:tc>
        <w:tc>
          <w:tcPr>
            <w:tcW w:w="566" w:type="pct"/>
            <w:tcBorders>
              <w:top w:val="single" w:color="auto" w:sz="4" w:space="0"/>
              <w:left w:val="nil"/>
              <w:bottom w:val="single" w:color="auto" w:sz="4" w:space="0"/>
              <w:right w:val="single" w:color="auto" w:sz="4" w:space="0"/>
            </w:tcBorders>
            <w:vAlign w:val="center"/>
          </w:tcPr>
          <w:p w14:paraId="081E909C">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t>2</w:t>
            </w:r>
          </w:p>
        </w:tc>
        <w:tc>
          <w:tcPr>
            <w:tcW w:w="949" w:type="pct"/>
            <w:tcBorders>
              <w:top w:val="single" w:color="auto" w:sz="4" w:space="0"/>
              <w:left w:val="nil"/>
              <w:bottom w:val="single" w:color="auto" w:sz="4" w:space="0"/>
              <w:right w:val="single" w:color="auto" w:sz="4" w:space="0"/>
            </w:tcBorders>
            <w:vAlign w:val="center"/>
          </w:tcPr>
          <w:p w14:paraId="441C5B3F">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t>台</w:t>
            </w:r>
          </w:p>
        </w:tc>
      </w:tr>
      <w:tr w14:paraId="0B4952E9">
        <w:tblPrEx>
          <w:tblCellMar>
            <w:top w:w="0" w:type="dxa"/>
            <w:left w:w="108" w:type="dxa"/>
            <w:bottom w:w="0" w:type="dxa"/>
            <w:right w:w="108" w:type="dxa"/>
          </w:tblCellMar>
        </w:tblPrEx>
        <w:trPr>
          <w:trHeight w:val="20" w:hRule="atLeast"/>
        </w:trPr>
        <w:tc>
          <w:tcPr>
            <w:tcW w:w="5000" w:type="pct"/>
            <w:gridSpan w:val="5"/>
            <w:tcBorders>
              <w:top w:val="single" w:color="auto" w:sz="4" w:space="0"/>
              <w:left w:val="single" w:color="auto" w:sz="4" w:space="0"/>
              <w:bottom w:val="single" w:color="auto" w:sz="4" w:space="0"/>
              <w:right w:val="single" w:color="auto" w:sz="4" w:space="0"/>
            </w:tcBorders>
            <w:vAlign w:val="center"/>
          </w:tcPr>
          <w:p w14:paraId="6F76C60C">
            <w:pPr>
              <w:keepNext w:val="0"/>
              <w:keepLines w:val="0"/>
              <w:pageBreakBefore w:val="0"/>
              <w:widowControl/>
              <w:kinsoku/>
              <w:wordWrap/>
              <w:overflowPunct/>
              <w:topLinePunct w:val="0"/>
              <w:autoSpaceDE/>
              <w:autoSpaceDN/>
              <w:bidi w:val="0"/>
              <w:adjustRightInd/>
              <w:snapToGrid/>
              <w:spacing w:line="240" w:lineRule="auto"/>
              <w:ind w:firstLine="0" w:firstLineChars="0"/>
              <w:jc w:val="left"/>
              <w:textAlignment w:val="auto"/>
              <w:rPr>
                <w:rFonts w:hint="eastAsia"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rPr>
              <w:t>五、扩声系统</w:t>
            </w:r>
          </w:p>
        </w:tc>
      </w:tr>
      <w:tr w14:paraId="5512C8D8">
        <w:tblPrEx>
          <w:tblCellMar>
            <w:top w:w="0" w:type="dxa"/>
            <w:left w:w="108" w:type="dxa"/>
            <w:bottom w:w="0" w:type="dxa"/>
            <w:right w:w="108" w:type="dxa"/>
          </w:tblCellMar>
        </w:tblPrEx>
        <w:trPr>
          <w:trHeight w:val="20" w:hRule="atLeast"/>
        </w:trPr>
        <w:tc>
          <w:tcPr>
            <w:tcW w:w="566" w:type="pct"/>
            <w:tcBorders>
              <w:top w:val="single" w:color="auto" w:sz="4" w:space="0"/>
              <w:left w:val="single" w:color="auto" w:sz="4" w:space="0"/>
              <w:bottom w:val="single" w:color="auto" w:sz="4" w:space="0"/>
              <w:right w:val="single" w:color="auto" w:sz="4" w:space="0"/>
            </w:tcBorders>
            <w:vAlign w:val="center"/>
          </w:tcPr>
          <w:p w14:paraId="76100DD6">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4"/>
                <w:szCs w:val="24"/>
                <w:highlight w:val="none"/>
                <w:lang w:eastAsia="zh-CN"/>
              </w:rPr>
            </w:pPr>
            <w:r>
              <w:rPr>
                <w:rFonts w:hint="eastAsia" w:ascii="仿宋" w:hAnsi="仿宋" w:eastAsia="仿宋" w:cs="仿宋"/>
                <w:color w:val="auto"/>
                <w:kern w:val="0"/>
                <w:sz w:val="24"/>
                <w:szCs w:val="24"/>
                <w:highlight w:val="none"/>
              </w:rPr>
              <w:t>2</w:t>
            </w:r>
            <w:r>
              <w:rPr>
                <w:rFonts w:hint="eastAsia" w:ascii="仿宋" w:hAnsi="仿宋" w:eastAsia="仿宋" w:cs="仿宋"/>
                <w:color w:val="auto"/>
                <w:kern w:val="0"/>
                <w:sz w:val="24"/>
                <w:szCs w:val="24"/>
                <w:highlight w:val="none"/>
                <w:lang w:val="en-US" w:eastAsia="zh-CN"/>
              </w:rPr>
              <w:t>5</w:t>
            </w:r>
          </w:p>
        </w:tc>
        <w:tc>
          <w:tcPr>
            <w:tcW w:w="632" w:type="pct"/>
            <w:tcBorders>
              <w:top w:val="single" w:color="auto" w:sz="4" w:space="0"/>
              <w:left w:val="nil"/>
              <w:bottom w:val="single" w:color="auto" w:sz="4" w:space="0"/>
              <w:right w:val="single" w:color="auto" w:sz="4" w:space="0"/>
            </w:tcBorders>
            <w:vAlign w:val="center"/>
          </w:tcPr>
          <w:p w14:paraId="1AAA6D76">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w:t>
            </w:r>
          </w:p>
        </w:tc>
        <w:tc>
          <w:tcPr>
            <w:tcW w:w="2284" w:type="pct"/>
            <w:tcBorders>
              <w:top w:val="single" w:color="auto" w:sz="4" w:space="0"/>
              <w:left w:val="nil"/>
              <w:bottom w:val="single" w:color="auto" w:sz="4" w:space="0"/>
              <w:right w:val="single" w:color="auto" w:sz="4" w:space="0"/>
            </w:tcBorders>
            <w:vAlign w:val="center"/>
          </w:tcPr>
          <w:p w14:paraId="2E91A7BC">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t>吊装麦克风</w:t>
            </w:r>
          </w:p>
        </w:tc>
        <w:tc>
          <w:tcPr>
            <w:tcW w:w="566" w:type="pct"/>
            <w:tcBorders>
              <w:top w:val="single" w:color="auto" w:sz="4" w:space="0"/>
              <w:left w:val="nil"/>
              <w:bottom w:val="single" w:color="auto" w:sz="4" w:space="0"/>
              <w:right w:val="single" w:color="auto" w:sz="4" w:space="0"/>
            </w:tcBorders>
            <w:vAlign w:val="center"/>
          </w:tcPr>
          <w:p w14:paraId="051B6B07">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t>1</w:t>
            </w:r>
          </w:p>
        </w:tc>
        <w:tc>
          <w:tcPr>
            <w:tcW w:w="949" w:type="pct"/>
            <w:tcBorders>
              <w:top w:val="single" w:color="auto" w:sz="4" w:space="0"/>
              <w:left w:val="nil"/>
              <w:bottom w:val="single" w:color="auto" w:sz="4" w:space="0"/>
              <w:right w:val="single" w:color="auto" w:sz="4" w:space="0"/>
            </w:tcBorders>
            <w:vAlign w:val="center"/>
          </w:tcPr>
          <w:p w14:paraId="67773D20">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t>支</w:t>
            </w:r>
          </w:p>
        </w:tc>
      </w:tr>
      <w:tr w14:paraId="7AD3D181">
        <w:tblPrEx>
          <w:tblCellMar>
            <w:top w:w="0" w:type="dxa"/>
            <w:left w:w="108" w:type="dxa"/>
            <w:bottom w:w="0" w:type="dxa"/>
            <w:right w:w="108" w:type="dxa"/>
          </w:tblCellMar>
        </w:tblPrEx>
        <w:trPr>
          <w:trHeight w:val="20" w:hRule="atLeast"/>
        </w:trPr>
        <w:tc>
          <w:tcPr>
            <w:tcW w:w="566" w:type="pct"/>
            <w:tcBorders>
              <w:top w:val="single" w:color="auto" w:sz="4" w:space="0"/>
              <w:left w:val="single" w:color="auto" w:sz="4" w:space="0"/>
              <w:bottom w:val="single" w:color="auto" w:sz="4" w:space="0"/>
              <w:right w:val="single" w:color="auto" w:sz="4" w:space="0"/>
            </w:tcBorders>
            <w:vAlign w:val="center"/>
          </w:tcPr>
          <w:p w14:paraId="19827675">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26</w:t>
            </w:r>
          </w:p>
        </w:tc>
        <w:tc>
          <w:tcPr>
            <w:tcW w:w="632" w:type="pct"/>
            <w:tcBorders>
              <w:top w:val="single" w:color="auto" w:sz="4" w:space="0"/>
              <w:left w:val="nil"/>
              <w:bottom w:val="single" w:color="auto" w:sz="4" w:space="0"/>
              <w:right w:val="single" w:color="auto" w:sz="4" w:space="0"/>
            </w:tcBorders>
            <w:vAlign w:val="center"/>
          </w:tcPr>
          <w:p w14:paraId="6CED0EFF">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w:t>
            </w:r>
          </w:p>
        </w:tc>
        <w:tc>
          <w:tcPr>
            <w:tcW w:w="2284" w:type="pct"/>
            <w:tcBorders>
              <w:top w:val="single" w:color="auto" w:sz="4" w:space="0"/>
              <w:left w:val="nil"/>
              <w:bottom w:val="single" w:color="auto" w:sz="4" w:space="0"/>
              <w:right w:val="single" w:color="auto" w:sz="4" w:space="0"/>
            </w:tcBorders>
            <w:vAlign w:val="center"/>
          </w:tcPr>
          <w:p w14:paraId="5063B103">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t>数字音频处理器</w:t>
            </w:r>
          </w:p>
        </w:tc>
        <w:tc>
          <w:tcPr>
            <w:tcW w:w="566" w:type="pct"/>
            <w:tcBorders>
              <w:top w:val="single" w:color="auto" w:sz="4" w:space="0"/>
              <w:left w:val="nil"/>
              <w:bottom w:val="single" w:color="auto" w:sz="4" w:space="0"/>
              <w:right w:val="single" w:color="auto" w:sz="4" w:space="0"/>
            </w:tcBorders>
            <w:vAlign w:val="center"/>
          </w:tcPr>
          <w:p w14:paraId="3655DDF1">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t>1</w:t>
            </w:r>
          </w:p>
        </w:tc>
        <w:tc>
          <w:tcPr>
            <w:tcW w:w="949" w:type="pct"/>
            <w:tcBorders>
              <w:top w:val="single" w:color="auto" w:sz="4" w:space="0"/>
              <w:left w:val="nil"/>
              <w:bottom w:val="single" w:color="auto" w:sz="4" w:space="0"/>
              <w:right w:val="single" w:color="auto" w:sz="4" w:space="0"/>
            </w:tcBorders>
            <w:vAlign w:val="center"/>
          </w:tcPr>
          <w:p w14:paraId="3AA55987">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t>台</w:t>
            </w:r>
          </w:p>
        </w:tc>
      </w:tr>
      <w:tr w14:paraId="34327EBC">
        <w:tblPrEx>
          <w:tblCellMar>
            <w:top w:w="0" w:type="dxa"/>
            <w:left w:w="108" w:type="dxa"/>
            <w:bottom w:w="0" w:type="dxa"/>
            <w:right w:w="108" w:type="dxa"/>
          </w:tblCellMar>
        </w:tblPrEx>
        <w:trPr>
          <w:trHeight w:val="20" w:hRule="atLeast"/>
        </w:trPr>
        <w:tc>
          <w:tcPr>
            <w:tcW w:w="566" w:type="pct"/>
            <w:tcBorders>
              <w:top w:val="single" w:color="auto" w:sz="4" w:space="0"/>
              <w:left w:val="single" w:color="auto" w:sz="4" w:space="0"/>
              <w:bottom w:val="single" w:color="auto" w:sz="4" w:space="0"/>
              <w:right w:val="single" w:color="auto" w:sz="4" w:space="0"/>
            </w:tcBorders>
            <w:vAlign w:val="center"/>
          </w:tcPr>
          <w:p w14:paraId="2087BAC0">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27</w:t>
            </w:r>
          </w:p>
        </w:tc>
        <w:tc>
          <w:tcPr>
            <w:tcW w:w="632" w:type="pct"/>
            <w:tcBorders>
              <w:top w:val="single" w:color="auto" w:sz="4" w:space="0"/>
              <w:left w:val="nil"/>
              <w:bottom w:val="single" w:color="auto" w:sz="4" w:space="0"/>
              <w:right w:val="single" w:color="auto" w:sz="4" w:space="0"/>
            </w:tcBorders>
            <w:vAlign w:val="center"/>
          </w:tcPr>
          <w:p w14:paraId="37047DFD">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w:t>
            </w:r>
          </w:p>
        </w:tc>
        <w:tc>
          <w:tcPr>
            <w:tcW w:w="2284" w:type="pct"/>
            <w:tcBorders>
              <w:top w:val="single" w:color="auto" w:sz="4" w:space="0"/>
              <w:left w:val="nil"/>
              <w:bottom w:val="single" w:color="auto" w:sz="4" w:space="0"/>
              <w:right w:val="single" w:color="auto" w:sz="4" w:space="0"/>
            </w:tcBorders>
            <w:vAlign w:val="center"/>
          </w:tcPr>
          <w:p w14:paraId="60F3E457">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t>无线话筒套装</w:t>
            </w:r>
          </w:p>
        </w:tc>
        <w:tc>
          <w:tcPr>
            <w:tcW w:w="566" w:type="pct"/>
            <w:tcBorders>
              <w:top w:val="single" w:color="auto" w:sz="4" w:space="0"/>
              <w:left w:val="nil"/>
              <w:bottom w:val="single" w:color="auto" w:sz="4" w:space="0"/>
              <w:right w:val="single" w:color="auto" w:sz="4" w:space="0"/>
            </w:tcBorders>
            <w:vAlign w:val="center"/>
          </w:tcPr>
          <w:p w14:paraId="7EA602FE">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t>1</w:t>
            </w:r>
          </w:p>
        </w:tc>
        <w:tc>
          <w:tcPr>
            <w:tcW w:w="949" w:type="pct"/>
            <w:tcBorders>
              <w:top w:val="single" w:color="auto" w:sz="4" w:space="0"/>
              <w:left w:val="nil"/>
              <w:bottom w:val="single" w:color="auto" w:sz="4" w:space="0"/>
              <w:right w:val="single" w:color="auto" w:sz="4" w:space="0"/>
            </w:tcBorders>
            <w:vAlign w:val="center"/>
          </w:tcPr>
          <w:p w14:paraId="54BEB46C">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t>只</w:t>
            </w:r>
          </w:p>
        </w:tc>
      </w:tr>
      <w:tr w14:paraId="4E828DC2">
        <w:tblPrEx>
          <w:tblCellMar>
            <w:top w:w="0" w:type="dxa"/>
            <w:left w:w="108" w:type="dxa"/>
            <w:bottom w:w="0" w:type="dxa"/>
            <w:right w:w="108" w:type="dxa"/>
          </w:tblCellMar>
        </w:tblPrEx>
        <w:trPr>
          <w:trHeight w:val="20" w:hRule="atLeast"/>
        </w:trPr>
        <w:tc>
          <w:tcPr>
            <w:tcW w:w="5000" w:type="pct"/>
            <w:gridSpan w:val="5"/>
            <w:tcBorders>
              <w:top w:val="single" w:color="auto" w:sz="4" w:space="0"/>
              <w:left w:val="single" w:color="auto" w:sz="4" w:space="0"/>
              <w:bottom w:val="single" w:color="auto" w:sz="4" w:space="0"/>
              <w:right w:val="single" w:color="auto" w:sz="4" w:space="0"/>
            </w:tcBorders>
            <w:vAlign w:val="center"/>
          </w:tcPr>
          <w:p w14:paraId="447DCA3C">
            <w:pPr>
              <w:keepNext w:val="0"/>
              <w:keepLines w:val="0"/>
              <w:pageBreakBefore w:val="0"/>
              <w:widowControl/>
              <w:kinsoku/>
              <w:wordWrap/>
              <w:overflowPunct/>
              <w:topLinePunct w:val="0"/>
              <w:autoSpaceDE/>
              <w:autoSpaceDN/>
              <w:bidi w:val="0"/>
              <w:adjustRightInd/>
              <w:snapToGrid/>
              <w:spacing w:line="240" w:lineRule="auto"/>
              <w:ind w:firstLine="0" w:firstLineChars="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b/>
                <w:bCs/>
                <w:color w:val="auto"/>
                <w:kern w:val="0"/>
                <w:sz w:val="24"/>
                <w:szCs w:val="24"/>
                <w:highlight w:val="none"/>
              </w:rPr>
              <w:t>六、环境改造</w:t>
            </w:r>
          </w:p>
        </w:tc>
      </w:tr>
      <w:tr w14:paraId="6B5A0FAA">
        <w:tblPrEx>
          <w:tblCellMar>
            <w:top w:w="0" w:type="dxa"/>
            <w:left w:w="108" w:type="dxa"/>
            <w:bottom w:w="0" w:type="dxa"/>
            <w:right w:w="108" w:type="dxa"/>
          </w:tblCellMar>
        </w:tblPrEx>
        <w:trPr>
          <w:trHeight w:val="20" w:hRule="atLeast"/>
        </w:trPr>
        <w:tc>
          <w:tcPr>
            <w:tcW w:w="566" w:type="pct"/>
            <w:tcBorders>
              <w:top w:val="single" w:color="auto" w:sz="4" w:space="0"/>
              <w:left w:val="single" w:color="auto" w:sz="4" w:space="0"/>
              <w:bottom w:val="single" w:color="auto" w:sz="4" w:space="0"/>
              <w:right w:val="single" w:color="auto" w:sz="4" w:space="0"/>
            </w:tcBorders>
            <w:vAlign w:val="center"/>
          </w:tcPr>
          <w:p w14:paraId="5B298732">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28</w:t>
            </w:r>
          </w:p>
        </w:tc>
        <w:tc>
          <w:tcPr>
            <w:tcW w:w="632" w:type="pct"/>
            <w:tcBorders>
              <w:top w:val="single" w:color="auto" w:sz="4" w:space="0"/>
              <w:left w:val="nil"/>
              <w:bottom w:val="single" w:color="auto" w:sz="4" w:space="0"/>
              <w:right w:val="single" w:color="auto" w:sz="4" w:space="0"/>
            </w:tcBorders>
            <w:vAlign w:val="center"/>
          </w:tcPr>
          <w:p w14:paraId="580F00EF">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w:t>
            </w:r>
          </w:p>
        </w:tc>
        <w:tc>
          <w:tcPr>
            <w:tcW w:w="2284" w:type="pct"/>
            <w:tcBorders>
              <w:top w:val="single" w:color="auto" w:sz="4" w:space="0"/>
              <w:left w:val="nil"/>
              <w:bottom w:val="single" w:color="auto" w:sz="4" w:space="0"/>
              <w:right w:val="single" w:color="auto" w:sz="4" w:space="0"/>
            </w:tcBorders>
            <w:vAlign w:val="center"/>
          </w:tcPr>
          <w:p w14:paraId="7AECA2BC">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环境改造</w:t>
            </w:r>
          </w:p>
        </w:tc>
        <w:tc>
          <w:tcPr>
            <w:tcW w:w="566" w:type="pct"/>
            <w:tcBorders>
              <w:top w:val="single" w:color="auto" w:sz="4" w:space="0"/>
              <w:left w:val="nil"/>
              <w:bottom w:val="single" w:color="auto" w:sz="4" w:space="0"/>
              <w:right w:val="single" w:color="auto" w:sz="4" w:space="0"/>
            </w:tcBorders>
            <w:vAlign w:val="center"/>
          </w:tcPr>
          <w:p w14:paraId="67202D32">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t>1</w:t>
            </w:r>
          </w:p>
        </w:tc>
        <w:tc>
          <w:tcPr>
            <w:tcW w:w="949" w:type="pct"/>
            <w:tcBorders>
              <w:top w:val="single" w:color="auto" w:sz="4" w:space="0"/>
              <w:left w:val="nil"/>
              <w:bottom w:val="single" w:color="auto" w:sz="4" w:space="0"/>
              <w:right w:val="single" w:color="auto" w:sz="4" w:space="0"/>
            </w:tcBorders>
            <w:vAlign w:val="center"/>
          </w:tcPr>
          <w:p w14:paraId="5B98410C">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t>间</w:t>
            </w:r>
          </w:p>
        </w:tc>
      </w:tr>
      <w:tr w14:paraId="4EF6576B">
        <w:tblPrEx>
          <w:tblCellMar>
            <w:top w:w="0" w:type="dxa"/>
            <w:left w:w="108" w:type="dxa"/>
            <w:bottom w:w="0" w:type="dxa"/>
            <w:right w:w="108" w:type="dxa"/>
          </w:tblCellMar>
        </w:tblPrEx>
        <w:trPr>
          <w:trHeight w:val="20" w:hRule="atLeast"/>
        </w:trPr>
        <w:tc>
          <w:tcPr>
            <w:tcW w:w="5000" w:type="pct"/>
            <w:gridSpan w:val="5"/>
            <w:tcBorders>
              <w:top w:val="single" w:color="auto" w:sz="4" w:space="0"/>
              <w:left w:val="single" w:color="auto" w:sz="4" w:space="0"/>
              <w:bottom w:val="single" w:color="auto" w:sz="4" w:space="0"/>
              <w:right w:val="single" w:color="000000" w:sz="4" w:space="0"/>
            </w:tcBorders>
            <w:vAlign w:val="center"/>
          </w:tcPr>
          <w:p w14:paraId="0549F131">
            <w:pPr>
              <w:keepNext w:val="0"/>
              <w:keepLines w:val="0"/>
              <w:pageBreakBefore w:val="0"/>
              <w:widowControl/>
              <w:kinsoku/>
              <w:wordWrap/>
              <w:overflowPunct/>
              <w:topLinePunct w:val="0"/>
              <w:autoSpaceDE/>
              <w:autoSpaceDN/>
              <w:bidi w:val="0"/>
              <w:adjustRightInd/>
              <w:snapToGrid/>
              <w:spacing w:line="240" w:lineRule="auto"/>
              <w:ind w:firstLine="0" w:firstLineChars="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交货地点（备注）：云南轻纺职业学院（昆明安宁市宁泊路54号）。</w:t>
            </w:r>
          </w:p>
        </w:tc>
      </w:tr>
    </w:tbl>
    <w:p w14:paraId="417C2D5A">
      <w:pPr>
        <w:ind w:firstLine="562"/>
        <w:rPr>
          <w:rFonts w:hint="eastAsia" w:ascii="仿宋" w:hAnsi="仿宋" w:eastAsia="仿宋" w:cs="仿宋"/>
          <w:b/>
          <w:bCs/>
          <w:color w:val="auto"/>
          <w:highlight w:val="none"/>
        </w:rPr>
      </w:pPr>
      <w:r>
        <w:rPr>
          <w:rFonts w:hint="eastAsia" w:ascii="仿宋" w:hAnsi="仿宋" w:eastAsia="仿宋" w:cs="仿宋"/>
          <w:b/>
          <w:bCs/>
          <w:color w:val="auto"/>
          <w:highlight w:val="none"/>
          <w:lang w:val="en-US" w:eastAsia="zh-CN"/>
        </w:rPr>
        <w:t>注：</w:t>
      </w:r>
      <w:r>
        <w:rPr>
          <w:rFonts w:hint="eastAsia" w:ascii="仿宋" w:hAnsi="仿宋" w:eastAsia="仿宋" w:cs="仿宋"/>
          <w:b/>
          <w:bCs/>
          <w:color w:val="auto"/>
          <w:highlight w:val="none"/>
        </w:rPr>
        <w:t>本项目不接受进口产品</w:t>
      </w:r>
      <w:r>
        <w:rPr>
          <w:rFonts w:hint="eastAsia" w:ascii="仿宋" w:hAnsi="仿宋" w:eastAsia="仿宋" w:cs="仿宋"/>
          <w:b/>
          <w:bCs/>
          <w:color w:val="auto"/>
          <w:highlight w:val="none"/>
          <w:lang w:eastAsia="zh-CN"/>
        </w:rPr>
        <w:t>（</w:t>
      </w:r>
      <w:r>
        <w:rPr>
          <w:rFonts w:hint="eastAsia" w:ascii="仿宋" w:hAnsi="仿宋" w:eastAsia="仿宋" w:cs="仿宋"/>
          <w:b/>
          <w:bCs/>
          <w:color w:val="auto"/>
          <w:highlight w:val="none"/>
        </w:rPr>
        <w:t>进口产品是指通过中国海关报关验放进入中国境内且产自关境外的产品</w:t>
      </w:r>
      <w:r>
        <w:rPr>
          <w:rFonts w:hint="eastAsia" w:ascii="仿宋" w:hAnsi="仿宋" w:eastAsia="仿宋" w:cs="仿宋"/>
          <w:b/>
          <w:bCs/>
          <w:color w:val="auto"/>
          <w:highlight w:val="none"/>
          <w:lang w:eastAsia="zh-CN"/>
        </w:rPr>
        <w:t>）；</w:t>
      </w:r>
      <w:r>
        <w:rPr>
          <w:rFonts w:hint="eastAsia" w:ascii="仿宋" w:hAnsi="仿宋" w:eastAsia="仿宋" w:cs="仿宋"/>
          <w:b/>
          <w:bCs/>
          <w:color w:val="auto"/>
          <w:highlight w:val="none"/>
        </w:rPr>
        <w:t>不允许</w:t>
      </w:r>
      <w:r>
        <w:rPr>
          <w:rFonts w:hint="eastAsia" w:ascii="仿宋" w:hAnsi="仿宋" w:eastAsia="仿宋" w:cs="仿宋"/>
          <w:b/>
          <w:bCs/>
          <w:color w:val="auto"/>
          <w:highlight w:val="none"/>
          <w:lang w:val="en-US" w:eastAsia="zh-CN"/>
        </w:rPr>
        <w:t>投标人</w:t>
      </w:r>
      <w:r>
        <w:rPr>
          <w:rFonts w:hint="eastAsia" w:ascii="仿宋" w:hAnsi="仿宋" w:eastAsia="仿宋" w:cs="仿宋"/>
          <w:b/>
          <w:bCs/>
          <w:color w:val="auto"/>
          <w:highlight w:val="none"/>
        </w:rPr>
        <w:t>分包、转包。</w:t>
      </w:r>
    </w:p>
    <w:p w14:paraId="3296B331">
      <w:pPr>
        <w:ind w:firstLine="562"/>
        <w:rPr>
          <w:rFonts w:hint="eastAsia" w:ascii="仿宋" w:hAnsi="仿宋" w:eastAsia="仿宋" w:cs="仿宋"/>
          <w:b w:val="0"/>
          <w:bCs w:val="0"/>
          <w:color w:val="auto"/>
          <w:highlight w:val="none"/>
          <w:lang w:eastAsia="zh-CN"/>
        </w:rPr>
      </w:pPr>
      <w:r>
        <w:rPr>
          <w:rFonts w:hint="eastAsia" w:ascii="仿宋" w:hAnsi="仿宋" w:eastAsia="仿宋" w:cs="仿宋"/>
          <w:b/>
          <w:bCs/>
          <w:color w:val="auto"/>
          <w:highlight w:val="none"/>
        </w:rPr>
        <w:t>合同履行期限：</w:t>
      </w:r>
      <w:r>
        <w:rPr>
          <w:rFonts w:hint="eastAsia" w:ascii="仿宋" w:hAnsi="仿宋" w:eastAsia="仿宋" w:cs="仿宋"/>
          <w:b w:val="0"/>
          <w:bCs w:val="0"/>
          <w:color w:val="auto"/>
          <w:highlight w:val="none"/>
        </w:rPr>
        <w:t>合同生签订生效后30个日历天内完成交货安装、调试及验收</w:t>
      </w:r>
      <w:r>
        <w:rPr>
          <w:rFonts w:hint="eastAsia" w:cs="仿宋"/>
          <w:b w:val="0"/>
          <w:bCs w:val="0"/>
          <w:color w:val="auto"/>
          <w:highlight w:val="none"/>
          <w:lang w:eastAsia="zh-CN"/>
        </w:rPr>
        <w:t>。</w:t>
      </w:r>
    </w:p>
    <w:p w14:paraId="1AA947BE">
      <w:pPr>
        <w:ind w:firstLine="560"/>
        <w:rPr>
          <w:rFonts w:hint="eastAsia" w:ascii="仿宋" w:hAnsi="仿宋" w:eastAsia="仿宋" w:cs="仿宋"/>
          <w:color w:val="auto"/>
          <w:highlight w:val="none"/>
        </w:rPr>
      </w:pPr>
      <w:r>
        <w:rPr>
          <w:rFonts w:hint="eastAsia" w:ascii="仿宋" w:hAnsi="仿宋" w:eastAsia="仿宋" w:cs="仿宋"/>
          <w:color w:val="auto"/>
          <w:highlight w:val="none"/>
        </w:rPr>
        <w:t>本项目</w:t>
      </w:r>
      <w:r>
        <w:rPr>
          <w:rFonts w:hint="eastAsia" w:cs="仿宋"/>
          <w:color w:val="auto"/>
          <w:highlight w:val="none"/>
          <w:lang w:eastAsia="zh-CN"/>
        </w:rPr>
        <w:t>（</w:t>
      </w:r>
      <w:r>
        <w:rPr>
          <w:rFonts w:hint="eastAsia" w:cs="仿宋"/>
          <w:color w:val="auto"/>
          <w:highlight w:val="none"/>
          <w:lang w:val="en-US" w:eastAsia="zh-CN"/>
        </w:rPr>
        <w:t>否</w:t>
      </w:r>
      <w:r>
        <w:rPr>
          <w:rFonts w:hint="eastAsia" w:cs="仿宋"/>
          <w:color w:val="auto"/>
          <w:highlight w:val="none"/>
          <w:lang w:eastAsia="zh-CN"/>
        </w:rPr>
        <w:t>）</w:t>
      </w:r>
      <w:r>
        <w:rPr>
          <w:rFonts w:hint="eastAsia" w:ascii="仿宋" w:hAnsi="仿宋" w:eastAsia="仿宋" w:cs="仿宋"/>
          <w:b/>
          <w:bCs/>
          <w:color w:val="auto"/>
          <w:highlight w:val="none"/>
        </w:rPr>
        <w:t>接受</w:t>
      </w:r>
      <w:r>
        <w:rPr>
          <w:rFonts w:hint="eastAsia" w:ascii="仿宋" w:hAnsi="仿宋" w:eastAsia="仿宋" w:cs="仿宋"/>
          <w:color w:val="auto"/>
          <w:highlight w:val="none"/>
        </w:rPr>
        <w:t>联合体投标。</w:t>
      </w:r>
      <w:bookmarkStart w:id="23" w:name="_Toc27086"/>
      <w:bookmarkStart w:id="24" w:name="_Toc11925"/>
      <w:bookmarkStart w:id="25" w:name="_Toc18704"/>
      <w:bookmarkStart w:id="26" w:name="_Toc12036"/>
      <w:bookmarkStart w:id="27" w:name="_Toc14285"/>
      <w:bookmarkStart w:id="28" w:name="_Toc29515"/>
    </w:p>
    <w:p w14:paraId="1C03987B">
      <w:pPr>
        <w:ind w:firstLine="560"/>
        <w:rPr>
          <w:rFonts w:hint="eastAsia" w:ascii="仿宋" w:hAnsi="仿宋" w:eastAsia="仿宋" w:cs="仿宋"/>
          <w:b/>
          <w:bCs/>
          <w:color w:val="auto"/>
          <w:highlight w:val="none"/>
        </w:rPr>
      </w:pPr>
      <w:r>
        <w:rPr>
          <w:rFonts w:hint="eastAsia" w:ascii="仿宋" w:hAnsi="仿宋" w:eastAsia="仿宋" w:cs="仿宋"/>
          <w:b/>
          <w:bCs/>
          <w:color w:val="auto"/>
          <w:highlight w:val="none"/>
        </w:rPr>
        <w:t>二、申请人的资格要求</w:t>
      </w:r>
      <w:bookmarkEnd w:id="23"/>
      <w:bookmarkEnd w:id="24"/>
      <w:bookmarkEnd w:id="25"/>
      <w:bookmarkEnd w:id="26"/>
      <w:bookmarkEnd w:id="27"/>
      <w:bookmarkEnd w:id="28"/>
    </w:p>
    <w:p w14:paraId="1B7DF440">
      <w:pPr>
        <w:keepNext/>
        <w:keepLines/>
        <w:widowControl w:val="0"/>
        <w:wordWrap w:val="0"/>
        <w:bidi w:val="0"/>
        <w:spacing w:line="360" w:lineRule="auto"/>
        <w:ind w:firstLine="562" w:firstLineChars="200"/>
        <w:outlineLvl w:val="2"/>
        <w:rPr>
          <w:rFonts w:hint="eastAsia" w:ascii="仿宋" w:hAnsi="仿宋" w:eastAsia="仿宋" w:cs="仿宋"/>
          <w:b/>
          <w:bCs/>
          <w:color w:val="auto"/>
          <w:kern w:val="2"/>
          <w:sz w:val="28"/>
          <w:szCs w:val="28"/>
          <w:highlight w:val="none"/>
          <w:lang w:val="en-US" w:eastAsia="zh-CN" w:bidi="ar-SA"/>
        </w:rPr>
      </w:pPr>
      <w:bookmarkStart w:id="29" w:name="_Toc29567"/>
      <w:bookmarkStart w:id="30" w:name="_Toc31130"/>
      <w:r>
        <w:rPr>
          <w:rFonts w:hint="eastAsia" w:ascii="仿宋" w:hAnsi="仿宋" w:eastAsia="仿宋" w:cs="仿宋"/>
          <w:b/>
          <w:bCs/>
          <w:color w:val="auto"/>
          <w:kern w:val="2"/>
          <w:sz w:val="28"/>
          <w:szCs w:val="28"/>
          <w:highlight w:val="none"/>
          <w:lang w:val="en-US" w:eastAsia="zh-CN" w:bidi="ar-SA"/>
        </w:rPr>
        <w:t>1.满足《中华人民共和国政府采购法》第二十二条规定，提供以下材料：</w:t>
      </w:r>
      <w:bookmarkEnd w:id="29"/>
      <w:bookmarkEnd w:id="30"/>
    </w:p>
    <w:p w14:paraId="5AD3B4FC">
      <w:pPr>
        <w:bidi w:val="0"/>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1）具有独立承担民事责任的能力：投标人是具有独立承担民事责任能力的企业或事业单位或非企业机构或个体工商户或自然人，在投标文件中提供有效的营业执照或事业单位法人证书或执业许可证或登记证书或</w:t>
      </w:r>
      <w:r>
        <w:rPr>
          <w:rFonts w:hint="eastAsia" w:cs="仿宋"/>
          <w:color w:val="auto"/>
          <w:highlight w:val="none"/>
          <w:lang w:val="en-US" w:eastAsia="zh-CN"/>
        </w:rPr>
        <w:t>个体工商户营业执照或自然人身份</w:t>
      </w:r>
      <w:r>
        <w:rPr>
          <w:rFonts w:hint="eastAsia" w:ascii="仿宋" w:hAnsi="仿宋" w:eastAsia="仿宋" w:cs="仿宋"/>
          <w:color w:val="auto"/>
          <w:highlight w:val="none"/>
          <w:lang w:val="en-US" w:eastAsia="zh-CN"/>
        </w:rPr>
        <w:t>证明。</w:t>
      </w:r>
    </w:p>
    <w:p w14:paraId="2911BF35">
      <w:pPr>
        <w:bidi w:val="0"/>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（2）具有良好的商业信誉和健全的财务会计制度：</w:t>
      </w:r>
    </w:p>
    <w:p w14:paraId="5D5E764C">
      <w:pPr>
        <w:bidi w:val="0"/>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投标文件中提供以下材料（①或②或③之一）①2024年度或2025年度经审计的财务报告【执行企业会计准则的，应提供“四表一注”（资产负债表、利润表、现金流量表、所有者权益变动表及其附注）；执行小企业会计准则的，应提供“三表一注”（资产负债表、利润表、现金流量表及其附注）；审计报告应附注册会计师行业统一监管平台验证码】；成立时间不足1年的法人及其他组织，可提供自成立以来的财务报告或财务状况说明。②近三个月内基本开户银行出具的资信证明（投标人属于个体工商户、自然人的，提供近三个月内银行出具的资信证明）。③专业担保机构出具的投标担保函（但须同时提供专业担保机构经财政部门认可的证明文件）。</w:t>
      </w:r>
    </w:p>
    <w:p w14:paraId="5AF08758">
      <w:pPr>
        <w:bidi w:val="0"/>
        <w:rPr>
          <w:rFonts w:hint="eastAsia" w:ascii="仿宋" w:hAnsi="仿宋" w:eastAsia="仿宋" w:cs="仿宋"/>
          <w:color w:val="auto"/>
          <w:sz w:val="30"/>
          <w:szCs w:val="30"/>
          <w:highlight w:val="none"/>
          <w:lang w:val="en-US" w:eastAsia="zh-CN"/>
        </w:rPr>
      </w:pPr>
      <w:r>
        <w:rPr>
          <w:rFonts w:hint="eastAsia" w:ascii="仿宋" w:hAnsi="仿宋" w:eastAsia="仿宋" w:cs="仿宋"/>
          <w:color w:val="auto"/>
          <w:highlight w:val="none"/>
          <w:lang w:val="en-US" w:eastAsia="zh-CN"/>
        </w:rPr>
        <w:t>（3）具有履行合同所必需的设备和专业技术能力：投标文件中提供具有履行合同所必需的设备和专业技术能力的书面声明。</w:t>
      </w:r>
    </w:p>
    <w:p w14:paraId="45FAC9A3">
      <w:pPr>
        <w:bidi w:val="0"/>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4）有依法缴纳税收和社会保障资金的良好记录：投标文件中提供在投标文件提交截止时间前12个月内任意1个月的依法缴纳税收和在投标文件提交截止时间前12个月内任意1个月的依法缴纳社会保障资金的证明材料（投标人属于个体工商户、自然人的，或为成立时间不足1个月的法人及其他组织的，投标文件中提供情况说明（无需单独提供本条款要求的税收及社会保障资金缴纳证明材料）；投标人属于依法免税或依法不需要缴纳社会保障资金范围的，无需提供相应缴纳证明，但须提供由税务、社会保险经办等主管部门出具的，证明其依法免税或依法不需要缴纳社会保障资金的有效文件）。</w:t>
      </w:r>
    </w:p>
    <w:p w14:paraId="3B284B56">
      <w:pPr>
        <w:bidi w:val="0"/>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5）参加政府采购活动前3年内，在经营活动中没有重大违法记录：投标文件中提供投标文件递交截止日前3年内，在经营活动中没有重大违法记录的书面声明（投标人成立不足3年的，提供自成立以来无重大违法记录的书面声明，重大违法记录指投标人因违法经营受到刑事处罚或者责令停产停业、吊销许可证或者执照、较大数额罚款的行政处罚）。</w:t>
      </w:r>
    </w:p>
    <w:p w14:paraId="005D1317">
      <w:pPr>
        <w:bidi w:val="0"/>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（6）法律、行政法规规定的其他条件：投标文件中提供投标人符合法律、行政法规规定的其他条件的书面声明。</w:t>
      </w:r>
    </w:p>
    <w:p w14:paraId="186BC997">
      <w:pPr>
        <w:keepNext/>
        <w:keepLines/>
        <w:widowControl w:val="0"/>
        <w:wordWrap w:val="0"/>
        <w:bidi w:val="0"/>
        <w:spacing w:line="360" w:lineRule="auto"/>
        <w:ind w:firstLine="562" w:firstLineChars="200"/>
        <w:outlineLvl w:val="2"/>
        <w:rPr>
          <w:rFonts w:hint="eastAsia" w:ascii="仿宋" w:hAnsi="仿宋" w:eastAsia="仿宋" w:cs="仿宋"/>
          <w:b w:val="0"/>
          <w:bCs w:val="0"/>
          <w:color w:val="auto"/>
          <w:highlight w:val="none"/>
          <w:lang w:val="en-US" w:eastAsia="zh-CN"/>
        </w:rPr>
      </w:pPr>
      <w:bookmarkStart w:id="31" w:name="_Toc13516"/>
      <w:bookmarkStart w:id="32" w:name="_Toc23494"/>
      <w:r>
        <w:rPr>
          <w:rFonts w:hint="eastAsia" w:ascii="仿宋" w:hAnsi="仿宋" w:eastAsia="仿宋" w:cs="仿宋"/>
          <w:b/>
          <w:bCs/>
          <w:color w:val="auto"/>
          <w:kern w:val="2"/>
          <w:sz w:val="28"/>
          <w:szCs w:val="28"/>
          <w:highlight w:val="none"/>
          <w:lang w:val="en-US" w:eastAsia="zh-CN" w:bidi="ar-SA"/>
        </w:rPr>
        <w:t>2.落实政府采购政策需满足的资格要求：</w:t>
      </w:r>
      <w:bookmarkEnd w:id="31"/>
      <w:bookmarkEnd w:id="32"/>
      <w:r>
        <w:rPr>
          <w:rFonts w:hint="eastAsia" w:ascii="仿宋" w:hAnsi="仿宋" w:eastAsia="仿宋" w:cs="仿宋"/>
          <w:b w:val="0"/>
          <w:bCs w:val="0"/>
          <w:color w:val="auto"/>
          <w:kern w:val="2"/>
          <w:sz w:val="28"/>
          <w:szCs w:val="28"/>
          <w:highlight w:val="none"/>
          <w:lang w:val="en-US" w:eastAsia="zh-CN" w:bidi="ar-SA"/>
        </w:rPr>
        <w:t>本项目非专门面向中小（微）企业采购，小微企业价格扣除优惠比例:10%。</w:t>
      </w:r>
    </w:p>
    <w:p w14:paraId="170AC7A7">
      <w:pPr>
        <w:keepNext/>
        <w:keepLines/>
        <w:widowControl w:val="0"/>
        <w:wordWrap w:val="0"/>
        <w:bidi w:val="0"/>
        <w:spacing w:line="360" w:lineRule="auto"/>
        <w:ind w:firstLine="562" w:firstLineChars="200"/>
        <w:outlineLvl w:val="2"/>
        <w:rPr>
          <w:rFonts w:hint="eastAsia" w:cs="仿宋"/>
          <w:b/>
          <w:bCs/>
          <w:color w:val="auto"/>
          <w:kern w:val="2"/>
          <w:sz w:val="28"/>
          <w:szCs w:val="28"/>
          <w:highlight w:val="none"/>
          <w:lang w:val="en-US" w:eastAsia="zh-CN" w:bidi="ar-SA"/>
        </w:rPr>
      </w:pPr>
      <w:bookmarkStart w:id="33" w:name="_Toc13272"/>
      <w:bookmarkStart w:id="34" w:name="_Toc10429"/>
      <w:r>
        <w:rPr>
          <w:rFonts w:hint="eastAsia" w:ascii="仿宋" w:hAnsi="仿宋" w:eastAsia="仿宋" w:cs="仿宋"/>
          <w:b/>
          <w:bCs/>
          <w:color w:val="auto"/>
          <w:kern w:val="2"/>
          <w:sz w:val="28"/>
          <w:szCs w:val="28"/>
          <w:highlight w:val="none"/>
          <w:lang w:val="en-US" w:eastAsia="zh-CN" w:bidi="ar-SA"/>
        </w:rPr>
        <w:t>3.本项目的特定资格要求：</w:t>
      </w:r>
      <w:bookmarkEnd w:id="33"/>
      <w:bookmarkEnd w:id="34"/>
      <w:r>
        <w:rPr>
          <w:rFonts w:hint="eastAsia" w:cs="仿宋"/>
          <w:b/>
          <w:bCs/>
          <w:color w:val="auto"/>
          <w:kern w:val="2"/>
          <w:sz w:val="28"/>
          <w:szCs w:val="28"/>
          <w:highlight w:val="none"/>
          <w:lang w:val="en-US" w:eastAsia="zh-CN" w:bidi="ar-SA"/>
        </w:rPr>
        <w:t>无。</w:t>
      </w:r>
    </w:p>
    <w:p w14:paraId="08CC19D0">
      <w:pPr>
        <w:keepNext/>
        <w:keepLines/>
        <w:widowControl w:val="0"/>
        <w:wordWrap w:val="0"/>
        <w:bidi w:val="0"/>
        <w:spacing w:line="360" w:lineRule="auto"/>
        <w:ind w:firstLine="562" w:firstLineChars="200"/>
        <w:outlineLvl w:val="2"/>
        <w:rPr>
          <w:rFonts w:hint="default" w:cs="仿宋"/>
          <w:b/>
          <w:bCs/>
          <w:color w:val="auto"/>
          <w:kern w:val="2"/>
          <w:sz w:val="28"/>
          <w:szCs w:val="28"/>
          <w:highlight w:val="none"/>
          <w:lang w:val="en-US" w:eastAsia="zh-CN" w:bidi="ar-SA"/>
        </w:rPr>
      </w:pPr>
      <w:r>
        <w:rPr>
          <w:rFonts w:hint="eastAsia" w:cs="仿宋"/>
          <w:b/>
          <w:bCs/>
          <w:color w:val="auto"/>
          <w:kern w:val="2"/>
          <w:sz w:val="28"/>
          <w:szCs w:val="28"/>
          <w:highlight w:val="none"/>
          <w:lang w:val="en-US" w:eastAsia="zh-CN" w:bidi="ar-SA"/>
        </w:rPr>
        <w:t>4.</w:t>
      </w:r>
      <w:r>
        <w:rPr>
          <w:rFonts w:hint="eastAsia" w:ascii="仿宋" w:hAnsi="仿宋" w:eastAsia="仿宋" w:cs="仿宋"/>
          <w:b/>
          <w:bCs/>
          <w:color w:val="auto"/>
          <w:kern w:val="2"/>
          <w:sz w:val="28"/>
          <w:szCs w:val="28"/>
          <w:highlight w:val="none"/>
          <w:lang w:val="en-US" w:eastAsia="zh-CN" w:bidi="ar-SA"/>
        </w:rPr>
        <w:t>本项目的</w:t>
      </w:r>
      <w:r>
        <w:rPr>
          <w:rFonts w:hint="eastAsia" w:cs="仿宋"/>
          <w:b/>
          <w:bCs/>
          <w:color w:val="auto"/>
          <w:kern w:val="2"/>
          <w:sz w:val="28"/>
          <w:szCs w:val="28"/>
          <w:highlight w:val="none"/>
          <w:lang w:val="en-US" w:eastAsia="zh-CN" w:bidi="ar-SA"/>
        </w:rPr>
        <w:t>其他</w:t>
      </w:r>
      <w:r>
        <w:rPr>
          <w:rFonts w:hint="eastAsia" w:ascii="仿宋" w:hAnsi="仿宋" w:eastAsia="仿宋" w:cs="仿宋"/>
          <w:b/>
          <w:bCs/>
          <w:color w:val="auto"/>
          <w:kern w:val="2"/>
          <w:sz w:val="28"/>
          <w:szCs w:val="28"/>
          <w:highlight w:val="none"/>
          <w:lang w:val="en-US" w:eastAsia="zh-CN" w:bidi="ar-SA"/>
        </w:rPr>
        <w:t>资格要求：</w:t>
      </w:r>
    </w:p>
    <w:p w14:paraId="72486494">
      <w:pPr>
        <w:ind w:firstLine="562"/>
        <w:jc w:val="both"/>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1）单位负责人为同一人或者存在直接控股、管理关系的不同投标人，不得参加同一合同项下的政府采购活动；为本项目提供整体设计、规范编制或者项目管理、监理、检测等服务的投标人，不得再参加本项目的采购活动；投标文件中提供书面声明。</w:t>
      </w:r>
    </w:p>
    <w:p w14:paraId="21FCE3C0">
      <w:pPr>
        <w:ind w:firstLine="562"/>
        <w:jc w:val="both"/>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（2）列入失信被执行人或重大税收违法失信主体或政府采购严重违法失信行为记录名单的投标人，不得参加政府采购活动。</w:t>
      </w:r>
    </w:p>
    <w:p w14:paraId="32D8C474">
      <w:pPr>
        <w:pStyle w:val="3"/>
        <w:spacing w:before="93" w:after="93"/>
        <w:ind w:firstLine="643"/>
        <w:rPr>
          <w:rFonts w:hint="eastAsia" w:ascii="仿宋" w:hAnsi="仿宋" w:eastAsia="仿宋" w:cs="仿宋"/>
          <w:color w:val="auto"/>
          <w:highlight w:val="none"/>
          <w:lang w:eastAsia="zh-CN"/>
        </w:rPr>
      </w:pPr>
      <w:bookmarkStart w:id="35" w:name="_Toc23915"/>
      <w:bookmarkStart w:id="36" w:name="_Toc26263"/>
      <w:bookmarkStart w:id="37" w:name="_Toc23520"/>
      <w:bookmarkStart w:id="38" w:name="_Toc4669"/>
      <w:bookmarkStart w:id="39" w:name="_Toc19612"/>
      <w:bookmarkStart w:id="40" w:name="_Toc5073"/>
      <w:r>
        <w:rPr>
          <w:rFonts w:hint="eastAsia" w:ascii="仿宋" w:hAnsi="仿宋" w:eastAsia="仿宋" w:cs="仿宋"/>
          <w:color w:val="auto"/>
          <w:highlight w:val="none"/>
        </w:rPr>
        <w:t>三、获取</w:t>
      </w:r>
      <w:bookmarkEnd w:id="35"/>
      <w:bookmarkEnd w:id="36"/>
      <w:bookmarkEnd w:id="37"/>
      <w:bookmarkEnd w:id="38"/>
      <w:bookmarkEnd w:id="39"/>
      <w:r>
        <w:rPr>
          <w:rFonts w:hint="eastAsia" w:ascii="仿宋" w:hAnsi="仿宋" w:eastAsia="仿宋" w:cs="仿宋"/>
          <w:color w:val="auto"/>
          <w:highlight w:val="none"/>
          <w:lang w:eastAsia="zh-CN"/>
        </w:rPr>
        <w:t>招标文件</w:t>
      </w:r>
      <w:bookmarkEnd w:id="40"/>
    </w:p>
    <w:p w14:paraId="69491215">
      <w:pPr>
        <w:ind w:firstLine="562"/>
        <w:rPr>
          <w:rFonts w:hint="eastAsia" w:ascii="仿宋" w:hAnsi="仿宋" w:eastAsia="仿宋" w:cs="仿宋"/>
          <w:color w:val="auto"/>
          <w:highlight w:val="none"/>
        </w:rPr>
      </w:pPr>
      <w:bookmarkStart w:id="41" w:name="_Toc9785"/>
      <w:bookmarkStart w:id="42" w:name="_Toc34993907"/>
      <w:r>
        <w:rPr>
          <w:rFonts w:hint="eastAsia" w:ascii="仿宋" w:hAnsi="仿宋" w:eastAsia="仿宋" w:cs="仿宋"/>
          <w:b/>
          <w:bCs/>
          <w:color w:val="auto"/>
          <w:highlight w:val="none"/>
        </w:rPr>
        <w:t>时间：</w:t>
      </w:r>
      <w:r>
        <w:rPr>
          <w:rFonts w:hint="eastAsia" w:ascii="仿宋" w:hAnsi="仿宋" w:eastAsia="仿宋" w:cs="仿宋"/>
          <w:color w:val="auto"/>
          <w:highlight w:val="none"/>
        </w:rPr>
        <w:t>202</w:t>
      </w:r>
      <w:r>
        <w:rPr>
          <w:rFonts w:hint="eastAsia" w:ascii="仿宋" w:hAnsi="仿宋" w:eastAsia="仿宋" w:cs="仿宋"/>
          <w:color w:val="auto"/>
          <w:highlight w:val="none"/>
          <w:lang w:val="en-US" w:eastAsia="zh-CN"/>
        </w:rPr>
        <w:t>6</w:t>
      </w:r>
      <w:r>
        <w:rPr>
          <w:rFonts w:hint="eastAsia" w:ascii="仿宋" w:hAnsi="仿宋" w:eastAsia="仿宋" w:cs="仿宋"/>
          <w:color w:val="auto"/>
          <w:highlight w:val="none"/>
        </w:rPr>
        <w:t>-</w:t>
      </w:r>
      <w:r>
        <w:rPr>
          <w:rFonts w:hint="eastAsia" w:ascii="仿宋" w:hAnsi="仿宋" w:eastAsia="仿宋" w:cs="仿宋"/>
          <w:color w:val="auto"/>
          <w:highlight w:val="none"/>
          <w:lang w:val="en-US" w:eastAsia="zh-CN"/>
        </w:rPr>
        <w:t>0</w:t>
      </w:r>
      <w:r>
        <w:rPr>
          <w:rFonts w:hint="eastAsia" w:cs="仿宋"/>
          <w:color w:val="auto"/>
          <w:highlight w:val="none"/>
          <w:lang w:val="en-US" w:eastAsia="zh-CN"/>
        </w:rPr>
        <w:t>7</w:t>
      </w:r>
      <w:r>
        <w:rPr>
          <w:rFonts w:hint="eastAsia" w:ascii="仿宋" w:hAnsi="仿宋" w:eastAsia="仿宋" w:cs="仿宋"/>
          <w:color w:val="auto"/>
          <w:highlight w:val="none"/>
        </w:rPr>
        <w:t>-</w:t>
      </w:r>
      <w:r>
        <w:rPr>
          <w:rFonts w:hint="eastAsia" w:cs="仿宋"/>
          <w:color w:val="auto"/>
          <w:highlight w:val="none"/>
          <w:lang w:val="en-US" w:eastAsia="zh-CN"/>
        </w:rPr>
        <w:t xml:space="preserve">29 </w:t>
      </w:r>
      <w:r>
        <w:rPr>
          <w:rFonts w:hint="eastAsia" w:ascii="仿宋" w:hAnsi="仿宋" w:eastAsia="仿宋" w:cs="仿宋"/>
          <w:color w:val="auto"/>
          <w:highlight w:val="none"/>
        </w:rPr>
        <w:t>至202</w:t>
      </w:r>
      <w:r>
        <w:rPr>
          <w:rFonts w:hint="eastAsia" w:ascii="仿宋" w:hAnsi="仿宋" w:eastAsia="仿宋" w:cs="仿宋"/>
          <w:color w:val="auto"/>
          <w:highlight w:val="none"/>
          <w:lang w:val="en-US" w:eastAsia="zh-CN"/>
        </w:rPr>
        <w:t>6</w:t>
      </w:r>
      <w:r>
        <w:rPr>
          <w:rFonts w:hint="eastAsia" w:ascii="仿宋" w:hAnsi="仿宋" w:eastAsia="仿宋" w:cs="仿宋"/>
          <w:color w:val="auto"/>
          <w:highlight w:val="none"/>
        </w:rPr>
        <w:t>-</w:t>
      </w:r>
      <w:r>
        <w:rPr>
          <w:rFonts w:hint="eastAsia" w:ascii="仿宋" w:hAnsi="仿宋" w:eastAsia="仿宋" w:cs="仿宋"/>
          <w:color w:val="auto"/>
          <w:highlight w:val="none"/>
          <w:lang w:val="en-US" w:eastAsia="zh-CN"/>
        </w:rPr>
        <w:t>0</w:t>
      </w:r>
      <w:r>
        <w:rPr>
          <w:rFonts w:hint="eastAsia" w:cs="仿宋"/>
          <w:color w:val="auto"/>
          <w:highlight w:val="none"/>
          <w:lang w:val="en-US" w:eastAsia="zh-CN"/>
        </w:rPr>
        <w:t>8</w:t>
      </w:r>
      <w:r>
        <w:rPr>
          <w:rFonts w:hint="eastAsia" w:ascii="仿宋" w:hAnsi="仿宋" w:eastAsia="仿宋" w:cs="仿宋"/>
          <w:color w:val="auto"/>
          <w:highlight w:val="none"/>
        </w:rPr>
        <w:t>-</w:t>
      </w:r>
      <w:r>
        <w:rPr>
          <w:rFonts w:hint="eastAsia" w:cs="仿宋"/>
          <w:color w:val="auto"/>
          <w:highlight w:val="none"/>
          <w:lang w:val="en-US" w:eastAsia="zh-CN"/>
        </w:rPr>
        <w:t xml:space="preserve">05 </w:t>
      </w:r>
      <w:r>
        <w:rPr>
          <w:rFonts w:hint="eastAsia" w:ascii="仿宋" w:hAnsi="仿宋" w:eastAsia="仿宋" w:cs="仿宋"/>
          <w:color w:val="auto"/>
          <w:highlight w:val="none"/>
        </w:rPr>
        <w:t>，每天上午06:00至12:00，下午12:00至23:59（北京时间，法定节假日除外）</w:t>
      </w:r>
    </w:p>
    <w:p w14:paraId="1727C93A">
      <w:pPr>
        <w:ind w:firstLine="562"/>
        <w:rPr>
          <w:rFonts w:hint="eastAsia" w:ascii="仿宋" w:hAnsi="仿宋" w:eastAsia="仿宋" w:cs="仿宋"/>
          <w:color w:val="auto"/>
          <w:highlight w:val="none"/>
        </w:rPr>
      </w:pPr>
      <w:bookmarkStart w:id="43" w:name="_Toc30947"/>
      <w:r>
        <w:rPr>
          <w:rFonts w:hint="eastAsia" w:ascii="仿宋" w:hAnsi="仿宋" w:eastAsia="仿宋" w:cs="仿宋"/>
          <w:b/>
          <w:bCs/>
          <w:color w:val="auto"/>
          <w:highlight w:val="none"/>
        </w:rPr>
        <w:t>地点：</w:t>
      </w:r>
      <w:r>
        <w:rPr>
          <w:rFonts w:hint="eastAsia" w:ascii="仿宋" w:hAnsi="仿宋" w:eastAsia="仿宋" w:cs="仿宋"/>
          <w:color w:val="auto"/>
          <w:highlight w:val="none"/>
        </w:rPr>
        <w:t>“政采云”平台（https://www.zcygov.cn/）</w:t>
      </w:r>
    </w:p>
    <w:p w14:paraId="4BB66201">
      <w:pPr>
        <w:ind w:firstLine="562"/>
        <w:rPr>
          <w:rFonts w:hint="eastAsia" w:ascii="仿宋" w:hAnsi="仿宋" w:eastAsia="仿宋" w:cs="仿宋"/>
          <w:color w:val="auto"/>
          <w:highlight w:val="none"/>
        </w:rPr>
      </w:pPr>
      <w:r>
        <w:rPr>
          <w:rFonts w:hint="eastAsia" w:ascii="仿宋" w:hAnsi="仿宋" w:eastAsia="仿宋" w:cs="仿宋"/>
          <w:b/>
          <w:bCs/>
          <w:color w:val="auto"/>
          <w:highlight w:val="none"/>
        </w:rPr>
        <w:t>方式：</w:t>
      </w:r>
      <w:r>
        <w:rPr>
          <w:rFonts w:hint="eastAsia" w:ascii="仿宋" w:hAnsi="仿宋" w:eastAsia="仿宋" w:cs="仿宋"/>
          <w:color w:val="auto"/>
          <w:highlight w:val="none"/>
          <w:lang w:val="en-US" w:eastAsia="zh-CN"/>
        </w:rPr>
        <w:t>（1）凡有意参加投标者，须在政采云平台办理数字证书（CA），并在政采云绑定数字证书（CA）后线上获取招标文件及其它采购资料。CA申领链接：https://middle.zcygov.cn/ca/apply/list?_app_=zcy.sys，CA申领后需登陆政采云平台完成数字证书（CA）绑定才可以使用，数字证书（CA）详见其办理流程。（2）按上述要求获取文件的投标人视为合法获取了本项目招标文件，具备本项目的投标资格</w:t>
      </w:r>
      <w:r>
        <w:rPr>
          <w:rFonts w:hint="eastAsia" w:ascii="仿宋" w:hAnsi="仿宋" w:eastAsia="仿宋" w:cs="仿宋"/>
          <w:color w:val="auto"/>
          <w:highlight w:val="none"/>
        </w:rPr>
        <w:t>。</w:t>
      </w:r>
    </w:p>
    <w:p w14:paraId="3978DE07">
      <w:pPr>
        <w:ind w:firstLine="562"/>
        <w:rPr>
          <w:rFonts w:hint="eastAsia" w:ascii="仿宋" w:hAnsi="仿宋" w:eastAsia="仿宋" w:cs="仿宋"/>
          <w:color w:val="auto"/>
          <w:highlight w:val="none"/>
        </w:rPr>
      </w:pPr>
      <w:r>
        <w:rPr>
          <w:rFonts w:hint="eastAsia" w:ascii="仿宋" w:hAnsi="仿宋" w:eastAsia="仿宋" w:cs="仿宋"/>
          <w:b/>
          <w:bCs/>
          <w:color w:val="auto"/>
          <w:highlight w:val="none"/>
        </w:rPr>
        <w:t>售价（元）：</w:t>
      </w:r>
      <w:r>
        <w:rPr>
          <w:rFonts w:hint="eastAsia" w:ascii="仿宋" w:hAnsi="仿宋" w:eastAsia="仿宋" w:cs="仿宋"/>
          <w:color w:val="auto"/>
          <w:highlight w:val="none"/>
        </w:rPr>
        <w:t>0</w:t>
      </w:r>
    </w:p>
    <w:p w14:paraId="1DCD3EAE">
      <w:pPr>
        <w:pStyle w:val="3"/>
        <w:spacing w:before="93" w:after="93"/>
        <w:ind w:firstLine="643"/>
        <w:rPr>
          <w:rFonts w:hint="eastAsia" w:ascii="仿宋" w:hAnsi="仿宋" w:eastAsia="仿宋" w:cs="仿宋"/>
          <w:color w:val="auto"/>
          <w:highlight w:val="none"/>
        </w:rPr>
      </w:pPr>
      <w:bookmarkStart w:id="44" w:name="_Toc14381"/>
      <w:bookmarkStart w:id="45" w:name="_Toc2357"/>
      <w:bookmarkStart w:id="46" w:name="_Toc10940"/>
      <w:bookmarkStart w:id="47" w:name="_Toc2608"/>
      <w:r>
        <w:rPr>
          <w:rFonts w:hint="eastAsia" w:ascii="仿宋" w:hAnsi="仿宋" w:eastAsia="仿宋" w:cs="仿宋"/>
          <w:color w:val="auto"/>
          <w:highlight w:val="none"/>
        </w:rPr>
        <w:t>四、</w:t>
      </w:r>
      <w:bookmarkEnd w:id="41"/>
      <w:r>
        <w:rPr>
          <w:rFonts w:hint="eastAsia" w:ascii="仿宋" w:hAnsi="仿宋" w:eastAsia="仿宋" w:cs="仿宋"/>
          <w:color w:val="auto"/>
          <w:highlight w:val="none"/>
        </w:rPr>
        <w:t>提交投标文件截止时间、开标时间和地点</w:t>
      </w:r>
      <w:bookmarkEnd w:id="43"/>
      <w:bookmarkEnd w:id="44"/>
      <w:bookmarkEnd w:id="45"/>
      <w:bookmarkEnd w:id="46"/>
      <w:bookmarkEnd w:id="47"/>
    </w:p>
    <w:bookmarkEnd w:id="42"/>
    <w:p w14:paraId="0739F05B">
      <w:pPr>
        <w:ind w:firstLine="562"/>
        <w:rPr>
          <w:rFonts w:hint="eastAsia" w:ascii="仿宋" w:hAnsi="仿宋" w:eastAsia="仿宋" w:cs="仿宋"/>
          <w:color w:val="auto"/>
          <w:highlight w:val="none"/>
        </w:rPr>
      </w:pPr>
      <w:bookmarkStart w:id="48" w:name="_Toc21948"/>
      <w:bookmarkStart w:id="49" w:name="_Toc14534"/>
      <w:bookmarkStart w:id="50" w:name="_Toc16661"/>
      <w:bookmarkStart w:id="51" w:name="_Toc3847"/>
      <w:bookmarkStart w:id="52" w:name="_Toc22328"/>
      <w:bookmarkStart w:id="53" w:name="_Toc304998755"/>
      <w:bookmarkStart w:id="54" w:name="_Toc34993909"/>
      <w:r>
        <w:rPr>
          <w:rFonts w:hint="eastAsia" w:ascii="仿宋" w:hAnsi="仿宋" w:eastAsia="仿宋" w:cs="仿宋"/>
          <w:b/>
          <w:bCs/>
          <w:color w:val="auto"/>
          <w:highlight w:val="none"/>
        </w:rPr>
        <w:t>时间：</w:t>
      </w:r>
      <w:r>
        <w:rPr>
          <w:rFonts w:hint="eastAsia" w:ascii="仿宋" w:hAnsi="仿宋" w:eastAsia="仿宋" w:cs="仿宋"/>
          <w:color w:val="auto"/>
          <w:highlight w:val="none"/>
        </w:rPr>
        <w:t>202</w:t>
      </w:r>
      <w:r>
        <w:rPr>
          <w:rFonts w:hint="eastAsia" w:ascii="仿宋" w:hAnsi="仿宋" w:eastAsia="仿宋" w:cs="仿宋"/>
          <w:color w:val="auto"/>
          <w:highlight w:val="none"/>
          <w:lang w:val="en-US" w:eastAsia="zh-CN"/>
        </w:rPr>
        <w:t>6</w:t>
      </w:r>
      <w:r>
        <w:rPr>
          <w:rFonts w:hint="eastAsia" w:ascii="仿宋" w:hAnsi="仿宋" w:eastAsia="仿宋" w:cs="仿宋"/>
          <w:color w:val="auto"/>
          <w:highlight w:val="none"/>
        </w:rPr>
        <w:t>-</w:t>
      </w:r>
      <w:r>
        <w:rPr>
          <w:rFonts w:hint="eastAsia" w:ascii="仿宋" w:hAnsi="仿宋" w:eastAsia="仿宋" w:cs="仿宋"/>
          <w:color w:val="auto"/>
          <w:highlight w:val="none"/>
          <w:lang w:val="en-US" w:eastAsia="zh-CN"/>
        </w:rPr>
        <w:t>0</w:t>
      </w:r>
      <w:r>
        <w:rPr>
          <w:rFonts w:hint="eastAsia" w:cs="仿宋"/>
          <w:color w:val="auto"/>
          <w:highlight w:val="none"/>
          <w:lang w:val="en-US" w:eastAsia="zh-CN"/>
        </w:rPr>
        <w:t>8</w:t>
      </w:r>
      <w:r>
        <w:rPr>
          <w:rFonts w:hint="eastAsia" w:ascii="仿宋" w:hAnsi="仿宋" w:eastAsia="仿宋" w:cs="仿宋"/>
          <w:color w:val="auto"/>
          <w:highlight w:val="none"/>
        </w:rPr>
        <w:t>-</w:t>
      </w:r>
      <w:r>
        <w:rPr>
          <w:rFonts w:hint="eastAsia" w:cs="仿宋"/>
          <w:color w:val="auto"/>
          <w:highlight w:val="none"/>
          <w:lang w:val="en-US" w:eastAsia="zh-CN"/>
        </w:rPr>
        <w:t xml:space="preserve">18  </w:t>
      </w:r>
      <w:r>
        <w:rPr>
          <w:rFonts w:hint="eastAsia" w:ascii="仿宋" w:hAnsi="仿宋" w:eastAsia="仿宋" w:cs="仿宋"/>
          <w:color w:val="auto"/>
          <w:highlight w:val="none"/>
        </w:rPr>
        <w:t xml:space="preserve"> 09:</w:t>
      </w:r>
      <w:r>
        <w:rPr>
          <w:rFonts w:hint="eastAsia" w:cs="仿宋"/>
          <w:color w:val="auto"/>
          <w:highlight w:val="none"/>
          <w:lang w:val="en-US" w:eastAsia="zh-CN"/>
        </w:rPr>
        <w:t>3</w:t>
      </w:r>
      <w:r>
        <w:rPr>
          <w:rFonts w:hint="eastAsia" w:ascii="仿宋" w:hAnsi="仿宋" w:eastAsia="仿宋" w:cs="仿宋"/>
          <w:color w:val="auto"/>
          <w:highlight w:val="none"/>
        </w:rPr>
        <w:t>0（北京时间</w:t>
      </w:r>
      <w:r>
        <w:rPr>
          <w:rFonts w:hint="eastAsia" w:ascii="仿宋" w:hAnsi="仿宋" w:eastAsia="仿宋" w:cs="仿宋"/>
          <w:color w:val="auto"/>
          <w:highlight w:val="none"/>
        </w:rPr>
        <w:t>）</w:t>
      </w:r>
    </w:p>
    <w:bookmarkEnd w:id="48"/>
    <w:bookmarkEnd w:id="49"/>
    <w:bookmarkEnd w:id="50"/>
    <w:bookmarkEnd w:id="51"/>
    <w:bookmarkEnd w:id="52"/>
    <w:p w14:paraId="79147610">
      <w:pPr>
        <w:ind w:firstLine="562"/>
        <w:rPr>
          <w:rFonts w:hint="eastAsia" w:ascii="仿宋" w:hAnsi="仿宋" w:eastAsia="仿宋" w:cs="仿宋"/>
          <w:color w:val="auto"/>
          <w:highlight w:val="none"/>
        </w:rPr>
      </w:pPr>
      <w:bookmarkStart w:id="55" w:name="_Toc27321"/>
      <w:r>
        <w:rPr>
          <w:rFonts w:hint="eastAsia" w:ascii="仿宋" w:hAnsi="仿宋" w:eastAsia="仿宋" w:cs="仿宋"/>
          <w:b/>
          <w:bCs/>
          <w:color w:val="auto"/>
          <w:highlight w:val="none"/>
        </w:rPr>
        <w:t>地点：</w:t>
      </w:r>
      <w:r>
        <w:rPr>
          <w:rFonts w:hint="eastAsia" w:ascii="仿宋" w:hAnsi="仿宋" w:eastAsia="仿宋" w:cs="仿宋"/>
          <w:color w:val="auto"/>
          <w:highlight w:val="none"/>
        </w:rPr>
        <w:t>（1）</w:t>
      </w:r>
      <w:r>
        <w:rPr>
          <w:rFonts w:hint="eastAsia" w:ascii="仿宋" w:hAnsi="仿宋" w:eastAsia="仿宋" w:cs="仿宋"/>
          <w:color w:val="auto"/>
          <w:highlight w:val="none"/>
          <w:lang w:eastAsia="zh-CN"/>
        </w:rPr>
        <w:t>投标文件</w:t>
      </w:r>
      <w:r>
        <w:rPr>
          <w:rFonts w:hint="eastAsia" w:ascii="仿宋" w:hAnsi="仿宋" w:eastAsia="仿宋" w:cs="仿宋"/>
          <w:color w:val="auto"/>
          <w:highlight w:val="none"/>
        </w:rPr>
        <w:t>提交方式：本项目通过“政采云”平台（</w:t>
      </w:r>
      <w:r>
        <w:rPr>
          <w:rFonts w:hint="eastAsia" w:ascii="仿宋" w:hAnsi="仿宋" w:eastAsia="仿宋" w:cs="仿宋"/>
          <w:color w:val="auto"/>
          <w:highlight w:val="none"/>
          <w:lang w:eastAsia="zh-CN"/>
        </w:rPr>
        <w:t>https://www.zcygov.cn/</w:t>
      </w:r>
      <w:r>
        <w:rPr>
          <w:rFonts w:hint="eastAsia" w:ascii="仿宋" w:hAnsi="仿宋" w:eastAsia="仿宋" w:cs="仿宋"/>
          <w:color w:val="auto"/>
          <w:highlight w:val="none"/>
        </w:rPr>
        <w:t>）实行在线</w:t>
      </w:r>
      <w:r>
        <w:rPr>
          <w:rFonts w:hint="eastAsia" w:ascii="仿宋" w:hAnsi="仿宋" w:eastAsia="仿宋" w:cs="仿宋"/>
          <w:color w:val="auto"/>
          <w:highlight w:val="none"/>
          <w:lang w:eastAsia="zh-CN"/>
        </w:rPr>
        <w:t>电子投标</w:t>
      </w:r>
      <w:r>
        <w:rPr>
          <w:rFonts w:hint="eastAsia" w:ascii="仿宋" w:hAnsi="仿宋" w:eastAsia="仿宋" w:cs="仿宋"/>
          <w:color w:val="auto"/>
          <w:highlight w:val="none"/>
        </w:rPr>
        <w:t>，</w:t>
      </w:r>
      <w:r>
        <w:rPr>
          <w:rFonts w:hint="eastAsia" w:ascii="仿宋" w:hAnsi="仿宋" w:eastAsia="仿宋" w:cs="仿宋"/>
          <w:color w:val="auto"/>
          <w:highlight w:val="none"/>
          <w:lang w:eastAsia="zh-CN"/>
        </w:rPr>
        <w:t>投标人</w:t>
      </w:r>
      <w:r>
        <w:rPr>
          <w:rFonts w:hint="eastAsia" w:ascii="仿宋" w:hAnsi="仿宋" w:eastAsia="仿宋" w:cs="仿宋"/>
          <w:color w:val="auto"/>
          <w:highlight w:val="none"/>
        </w:rPr>
        <w:t>应先安装“政采云电子交易客户端”（请自行前往“政采云”平台进行下载），并按照本项目</w:t>
      </w:r>
      <w:r>
        <w:rPr>
          <w:rFonts w:hint="eastAsia" w:ascii="仿宋" w:hAnsi="仿宋" w:eastAsia="仿宋" w:cs="仿宋"/>
          <w:color w:val="auto"/>
          <w:highlight w:val="none"/>
          <w:lang w:eastAsia="zh-CN"/>
        </w:rPr>
        <w:t>招标文件</w:t>
      </w:r>
      <w:r>
        <w:rPr>
          <w:rFonts w:hint="eastAsia" w:ascii="仿宋" w:hAnsi="仿宋" w:eastAsia="仿宋" w:cs="仿宋"/>
          <w:color w:val="auto"/>
          <w:highlight w:val="none"/>
        </w:rPr>
        <w:t>和“政采云”平台的要求编制、加密后在</w:t>
      </w:r>
      <w:r>
        <w:rPr>
          <w:rFonts w:hint="eastAsia" w:ascii="仿宋" w:hAnsi="仿宋" w:eastAsia="仿宋" w:cs="仿宋"/>
          <w:color w:val="auto"/>
          <w:highlight w:val="none"/>
          <w:lang w:eastAsia="zh-CN"/>
        </w:rPr>
        <w:t>提交投标文件截止时间</w:t>
      </w:r>
      <w:r>
        <w:rPr>
          <w:rFonts w:hint="eastAsia" w:ascii="仿宋" w:hAnsi="仿宋" w:eastAsia="仿宋" w:cs="仿宋"/>
          <w:color w:val="auto"/>
          <w:highlight w:val="none"/>
        </w:rPr>
        <w:t>前通过网络上传至“政采云”平台，</w:t>
      </w:r>
      <w:r>
        <w:rPr>
          <w:rFonts w:hint="eastAsia" w:ascii="仿宋" w:hAnsi="仿宋" w:eastAsia="仿宋" w:cs="仿宋"/>
          <w:color w:val="auto"/>
          <w:highlight w:val="none"/>
          <w:lang w:eastAsia="zh-CN"/>
        </w:rPr>
        <w:t>投标人</w:t>
      </w:r>
      <w:r>
        <w:rPr>
          <w:rFonts w:hint="eastAsia" w:ascii="仿宋" w:hAnsi="仿宋" w:eastAsia="仿宋" w:cs="仿宋"/>
          <w:color w:val="auto"/>
          <w:highlight w:val="none"/>
        </w:rPr>
        <w:t>在“政采云”平台提交电子版</w:t>
      </w:r>
      <w:r>
        <w:rPr>
          <w:rFonts w:hint="eastAsia" w:ascii="仿宋" w:hAnsi="仿宋" w:eastAsia="仿宋" w:cs="仿宋"/>
          <w:color w:val="auto"/>
          <w:highlight w:val="none"/>
          <w:lang w:eastAsia="zh-CN"/>
        </w:rPr>
        <w:t>投标文件</w:t>
      </w:r>
      <w:r>
        <w:rPr>
          <w:rFonts w:hint="eastAsia" w:ascii="仿宋" w:hAnsi="仿宋" w:eastAsia="仿宋" w:cs="仿宋"/>
          <w:color w:val="auto"/>
          <w:highlight w:val="none"/>
        </w:rPr>
        <w:t>时，请填写参加远程采购活动经办人联系方式。（</w:t>
      </w:r>
      <w:r>
        <w:rPr>
          <w:rFonts w:hint="eastAsia" w:ascii="仿宋" w:hAnsi="仿宋" w:eastAsia="仿宋" w:cs="仿宋"/>
          <w:color w:val="auto"/>
          <w:highlight w:val="none"/>
          <w:lang w:val="en-US" w:eastAsia="zh-CN"/>
        </w:rPr>
        <w:t>2</w:t>
      </w:r>
      <w:r>
        <w:rPr>
          <w:rFonts w:hint="eastAsia" w:ascii="仿宋" w:hAnsi="仿宋" w:eastAsia="仿宋" w:cs="仿宋"/>
          <w:color w:val="auto"/>
          <w:highlight w:val="none"/>
        </w:rPr>
        <w:t>）为确保网上操作合法、有效和安全，请</w:t>
      </w:r>
      <w:r>
        <w:rPr>
          <w:rFonts w:hint="eastAsia" w:ascii="仿宋" w:hAnsi="仿宋" w:eastAsia="仿宋" w:cs="仿宋"/>
          <w:color w:val="auto"/>
          <w:highlight w:val="none"/>
          <w:lang w:eastAsia="zh-CN"/>
        </w:rPr>
        <w:t>投标人</w:t>
      </w:r>
      <w:r>
        <w:rPr>
          <w:rFonts w:hint="eastAsia" w:ascii="仿宋" w:hAnsi="仿宋" w:eastAsia="仿宋" w:cs="仿宋"/>
          <w:color w:val="auto"/>
          <w:highlight w:val="none"/>
        </w:rPr>
        <w:t>确保在</w:t>
      </w:r>
      <w:r>
        <w:rPr>
          <w:rFonts w:hint="eastAsia" w:ascii="仿宋" w:hAnsi="仿宋" w:eastAsia="仿宋" w:cs="仿宋"/>
          <w:color w:val="auto"/>
          <w:highlight w:val="none"/>
          <w:lang w:eastAsia="zh-CN"/>
        </w:rPr>
        <w:t>电子投标</w:t>
      </w:r>
      <w:r>
        <w:rPr>
          <w:rFonts w:hint="eastAsia" w:ascii="仿宋" w:hAnsi="仿宋" w:eastAsia="仿宋" w:cs="仿宋"/>
          <w:color w:val="auto"/>
          <w:highlight w:val="none"/>
        </w:rPr>
        <w:t>过程中能够对相关数据电文进行加密和使用电子签章，妥善保管 CA 数字证书并使用有效的 CA 数字证书参与整个采购活动。</w:t>
      </w:r>
    </w:p>
    <w:p w14:paraId="6FA1FD0A">
      <w:pPr>
        <w:ind w:firstLine="562"/>
        <w:rPr>
          <w:rFonts w:hint="eastAsia" w:ascii="仿宋" w:hAnsi="仿宋" w:eastAsia="仿宋" w:cs="仿宋"/>
          <w:color w:val="auto"/>
          <w:highlight w:val="none"/>
        </w:rPr>
      </w:pPr>
      <w:r>
        <w:rPr>
          <w:rFonts w:hint="eastAsia" w:ascii="仿宋" w:hAnsi="仿宋" w:eastAsia="仿宋" w:cs="仿宋"/>
          <w:color w:val="auto"/>
          <w:highlight w:val="none"/>
        </w:rPr>
        <w:t>注：</w:t>
      </w:r>
      <w:r>
        <w:rPr>
          <w:rFonts w:hint="eastAsia" w:ascii="仿宋" w:hAnsi="仿宋" w:eastAsia="仿宋" w:cs="仿宋"/>
          <w:color w:val="auto"/>
          <w:highlight w:val="none"/>
          <w:lang w:eastAsia="zh-CN"/>
        </w:rPr>
        <w:t>投标人</w:t>
      </w:r>
      <w:r>
        <w:rPr>
          <w:rFonts w:hint="eastAsia" w:ascii="仿宋" w:hAnsi="仿宋" w:eastAsia="仿宋" w:cs="仿宋"/>
          <w:color w:val="auto"/>
          <w:highlight w:val="none"/>
        </w:rPr>
        <w:t>应当在</w:t>
      </w:r>
      <w:r>
        <w:rPr>
          <w:rFonts w:hint="eastAsia" w:ascii="仿宋" w:hAnsi="仿宋" w:eastAsia="仿宋" w:cs="仿宋"/>
          <w:color w:val="auto"/>
          <w:highlight w:val="none"/>
          <w:lang w:eastAsia="zh-CN"/>
        </w:rPr>
        <w:t>投标文件</w:t>
      </w:r>
      <w:r>
        <w:rPr>
          <w:rFonts w:hint="eastAsia" w:ascii="仿宋" w:hAnsi="仿宋" w:eastAsia="仿宋" w:cs="仿宋"/>
          <w:color w:val="auto"/>
          <w:highlight w:val="none"/>
        </w:rPr>
        <w:t>提交截止时间前完成电子</w:t>
      </w:r>
      <w:r>
        <w:rPr>
          <w:rFonts w:hint="eastAsia" w:ascii="仿宋" w:hAnsi="仿宋" w:eastAsia="仿宋" w:cs="仿宋"/>
          <w:color w:val="auto"/>
          <w:highlight w:val="none"/>
          <w:lang w:eastAsia="zh-CN"/>
        </w:rPr>
        <w:t>投标文件</w:t>
      </w:r>
      <w:r>
        <w:rPr>
          <w:rFonts w:hint="eastAsia" w:ascii="仿宋" w:hAnsi="仿宋" w:eastAsia="仿宋" w:cs="仿宋"/>
          <w:color w:val="auto"/>
          <w:highlight w:val="none"/>
        </w:rPr>
        <w:t>的上传、递交，</w:t>
      </w:r>
      <w:r>
        <w:rPr>
          <w:rFonts w:hint="eastAsia" w:ascii="仿宋" w:hAnsi="仿宋" w:eastAsia="仿宋" w:cs="仿宋"/>
          <w:color w:val="auto"/>
          <w:highlight w:val="none"/>
          <w:lang w:eastAsia="zh-CN"/>
        </w:rPr>
        <w:t>投标文件</w:t>
      </w:r>
      <w:r>
        <w:rPr>
          <w:rFonts w:hint="eastAsia" w:ascii="仿宋" w:hAnsi="仿宋" w:eastAsia="仿宋" w:cs="仿宋"/>
          <w:color w:val="auto"/>
          <w:highlight w:val="none"/>
        </w:rPr>
        <w:t>提交截止时间前可以补充、修改或者撤回</w:t>
      </w:r>
      <w:r>
        <w:rPr>
          <w:rFonts w:hint="eastAsia" w:ascii="仿宋" w:hAnsi="仿宋" w:eastAsia="仿宋" w:cs="仿宋"/>
          <w:color w:val="auto"/>
          <w:highlight w:val="none"/>
          <w:lang w:eastAsia="zh-CN"/>
        </w:rPr>
        <w:t>投标文件</w:t>
      </w:r>
      <w:r>
        <w:rPr>
          <w:rFonts w:hint="eastAsia" w:ascii="仿宋" w:hAnsi="仿宋" w:eastAsia="仿宋" w:cs="仿宋"/>
          <w:color w:val="auto"/>
          <w:highlight w:val="none"/>
        </w:rPr>
        <w:t>。补充或者修改</w:t>
      </w:r>
      <w:r>
        <w:rPr>
          <w:rFonts w:hint="eastAsia" w:ascii="仿宋" w:hAnsi="仿宋" w:eastAsia="仿宋" w:cs="仿宋"/>
          <w:color w:val="auto"/>
          <w:highlight w:val="none"/>
          <w:lang w:eastAsia="zh-CN"/>
        </w:rPr>
        <w:t>投标文件</w:t>
      </w:r>
      <w:r>
        <w:rPr>
          <w:rFonts w:hint="eastAsia" w:ascii="仿宋" w:hAnsi="仿宋" w:eastAsia="仿宋" w:cs="仿宋"/>
          <w:color w:val="auto"/>
          <w:highlight w:val="none"/>
        </w:rPr>
        <w:t>的，应当先行撤回原文件，补充、修改后重新上传、递交。</w:t>
      </w:r>
      <w:r>
        <w:rPr>
          <w:rFonts w:hint="eastAsia" w:ascii="仿宋" w:hAnsi="仿宋" w:eastAsia="仿宋" w:cs="仿宋"/>
          <w:color w:val="auto"/>
          <w:highlight w:val="none"/>
          <w:lang w:val="en-US" w:eastAsia="zh-CN"/>
        </w:rPr>
        <w:t>提交投标文件截止时间</w:t>
      </w:r>
      <w:r>
        <w:rPr>
          <w:rFonts w:hint="eastAsia" w:ascii="仿宋" w:hAnsi="仿宋" w:eastAsia="仿宋" w:cs="仿宋"/>
          <w:color w:val="auto"/>
          <w:highlight w:val="none"/>
        </w:rPr>
        <w:t>前未完成上传、递交的，视为撤回</w:t>
      </w:r>
      <w:r>
        <w:rPr>
          <w:rFonts w:hint="eastAsia" w:ascii="仿宋" w:hAnsi="仿宋" w:eastAsia="仿宋" w:cs="仿宋"/>
          <w:color w:val="auto"/>
          <w:highlight w:val="none"/>
          <w:lang w:eastAsia="zh-CN"/>
        </w:rPr>
        <w:t>投标文件</w:t>
      </w:r>
      <w:r>
        <w:rPr>
          <w:rFonts w:hint="eastAsia" w:ascii="仿宋" w:hAnsi="仿宋" w:eastAsia="仿宋" w:cs="仿宋"/>
          <w:color w:val="auto"/>
          <w:highlight w:val="none"/>
        </w:rPr>
        <w:t>。</w:t>
      </w:r>
      <w:r>
        <w:rPr>
          <w:rFonts w:hint="eastAsia" w:ascii="仿宋" w:hAnsi="仿宋" w:eastAsia="仿宋" w:cs="仿宋"/>
          <w:color w:val="auto"/>
          <w:highlight w:val="none"/>
          <w:lang w:eastAsia="zh-CN"/>
        </w:rPr>
        <w:t>投标文件</w:t>
      </w:r>
      <w:r>
        <w:rPr>
          <w:rFonts w:hint="eastAsia" w:ascii="仿宋" w:hAnsi="仿宋" w:eastAsia="仿宋" w:cs="仿宋"/>
          <w:color w:val="auto"/>
          <w:highlight w:val="none"/>
        </w:rPr>
        <w:t>提交截止时间以后上传递交的</w:t>
      </w:r>
      <w:r>
        <w:rPr>
          <w:rFonts w:hint="eastAsia" w:ascii="仿宋" w:hAnsi="仿宋" w:eastAsia="仿宋" w:cs="仿宋"/>
          <w:color w:val="auto"/>
          <w:highlight w:val="none"/>
          <w:lang w:eastAsia="zh-CN"/>
        </w:rPr>
        <w:t>投标文件</w:t>
      </w:r>
      <w:r>
        <w:rPr>
          <w:rFonts w:hint="eastAsia" w:ascii="仿宋" w:hAnsi="仿宋" w:eastAsia="仿宋" w:cs="仿宋"/>
          <w:color w:val="auto"/>
          <w:highlight w:val="none"/>
        </w:rPr>
        <w:t>的，“政采云”平台将予以拒收。</w:t>
      </w:r>
    </w:p>
    <w:p w14:paraId="440BEC7A">
      <w:pPr>
        <w:ind w:firstLine="562"/>
        <w:rPr>
          <w:rFonts w:hint="eastAsia" w:ascii="仿宋" w:hAnsi="仿宋" w:eastAsia="仿宋" w:cs="仿宋"/>
          <w:color w:val="auto"/>
          <w:highlight w:val="none"/>
        </w:rPr>
      </w:pPr>
      <w:r>
        <w:rPr>
          <w:rFonts w:hint="eastAsia" w:ascii="仿宋" w:hAnsi="仿宋" w:eastAsia="仿宋" w:cs="仿宋"/>
          <w:color w:val="auto"/>
          <w:highlight w:val="none"/>
        </w:rPr>
        <w:t>CA证书在线解密：</w:t>
      </w:r>
      <w:r>
        <w:rPr>
          <w:rFonts w:hint="eastAsia" w:ascii="仿宋" w:hAnsi="仿宋" w:eastAsia="仿宋" w:cs="仿宋"/>
          <w:color w:val="auto"/>
          <w:highlight w:val="none"/>
          <w:lang w:eastAsia="zh-CN"/>
        </w:rPr>
        <w:t>投标文件</w:t>
      </w:r>
      <w:r>
        <w:rPr>
          <w:rFonts w:hint="eastAsia" w:ascii="仿宋" w:hAnsi="仿宋" w:eastAsia="仿宋" w:cs="仿宋"/>
          <w:color w:val="auto"/>
          <w:highlight w:val="none"/>
        </w:rPr>
        <w:t>开启时，须要</w:t>
      </w:r>
      <w:r>
        <w:rPr>
          <w:rFonts w:hint="eastAsia" w:ascii="仿宋" w:hAnsi="仿宋" w:eastAsia="仿宋" w:cs="仿宋"/>
          <w:color w:val="auto"/>
          <w:highlight w:val="none"/>
          <w:lang w:eastAsia="zh-CN"/>
        </w:rPr>
        <w:t>投标人</w:t>
      </w:r>
      <w:r>
        <w:rPr>
          <w:rFonts w:hint="eastAsia" w:ascii="仿宋" w:hAnsi="仿宋" w:eastAsia="仿宋" w:cs="仿宋"/>
          <w:color w:val="auto"/>
          <w:highlight w:val="none"/>
        </w:rPr>
        <w:t>登录“政采云”平台电子开标大厅按规定时间对加密的</w:t>
      </w:r>
      <w:r>
        <w:rPr>
          <w:rFonts w:hint="eastAsia" w:ascii="仿宋" w:hAnsi="仿宋" w:eastAsia="仿宋" w:cs="仿宋"/>
          <w:color w:val="auto"/>
          <w:highlight w:val="none"/>
          <w:lang w:eastAsia="zh-CN"/>
        </w:rPr>
        <w:t>投标文件</w:t>
      </w:r>
      <w:r>
        <w:rPr>
          <w:rFonts w:hint="eastAsia" w:ascii="仿宋" w:hAnsi="仿宋" w:eastAsia="仿宋" w:cs="仿宋"/>
          <w:color w:val="auto"/>
          <w:highlight w:val="none"/>
        </w:rPr>
        <w:t>进行解密，否则后果自负。</w:t>
      </w:r>
    </w:p>
    <w:p w14:paraId="0B76905A">
      <w:pPr>
        <w:pStyle w:val="3"/>
        <w:tabs>
          <w:tab w:val="left" w:pos="1021"/>
        </w:tabs>
        <w:spacing w:before="93" w:after="93"/>
        <w:ind w:firstLine="643"/>
        <w:rPr>
          <w:rFonts w:hint="eastAsia" w:ascii="仿宋" w:hAnsi="仿宋" w:eastAsia="仿宋" w:cs="仿宋"/>
          <w:color w:val="auto"/>
          <w:highlight w:val="none"/>
        </w:rPr>
      </w:pPr>
      <w:bookmarkStart w:id="56" w:name="_Toc19367"/>
      <w:bookmarkStart w:id="57" w:name="_Toc5863"/>
      <w:r>
        <w:rPr>
          <w:rFonts w:hint="eastAsia" w:ascii="仿宋" w:hAnsi="仿宋" w:eastAsia="仿宋" w:cs="仿宋"/>
          <w:color w:val="auto"/>
          <w:highlight w:val="none"/>
        </w:rPr>
        <w:t>五、公告期限</w:t>
      </w:r>
      <w:bookmarkEnd w:id="56"/>
      <w:bookmarkEnd w:id="57"/>
    </w:p>
    <w:p w14:paraId="7FA1828C">
      <w:pPr>
        <w:ind w:firstLine="560"/>
        <w:rPr>
          <w:rFonts w:hint="eastAsia" w:ascii="仿宋" w:hAnsi="仿宋" w:eastAsia="仿宋" w:cs="仿宋"/>
          <w:color w:val="auto"/>
          <w:highlight w:val="none"/>
        </w:rPr>
      </w:pPr>
      <w:r>
        <w:rPr>
          <w:rFonts w:hint="eastAsia" w:ascii="仿宋" w:hAnsi="仿宋" w:eastAsia="仿宋" w:cs="仿宋"/>
          <w:color w:val="auto"/>
          <w:highlight w:val="none"/>
        </w:rPr>
        <w:t>自本公告发布之日起5个工作日。</w:t>
      </w:r>
    </w:p>
    <w:p w14:paraId="3F1E9814">
      <w:pPr>
        <w:pStyle w:val="3"/>
        <w:tabs>
          <w:tab w:val="left" w:pos="1021"/>
        </w:tabs>
        <w:spacing w:before="93" w:after="93"/>
        <w:ind w:firstLine="643"/>
        <w:rPr>
          <w:rFonts w:hint="eastAsia" w:ascii="仿宋" w:hAnsi="仿宋" w:eastAsia="仿宋" w:cs="仿宋"/>
          <w:color w:val="auto"/>
          <w:highlight w:val="none"/>
        </w:rPr>
      </w:pPr>
      <w:bookmarkStart w:id="58" w:name="_Toc9284"/>
      <w:bookmarkStart w:id="59" w:name="_Toc32594"/>
      <w:r>
        <w:rPr>
          <w:rFonts w:hint="eastAsia" w:ascii="仿宋" w:hAnsi="仿宋" w:eastAsia="仿宋" w:cs="仿宋"/>
          <w:color w:val="auto"/>
          <w:highlight w:val="none"/>
        </w:rPr>
        <w:t>六、其他补充事宜</w:t>
      </w:r>
      <w:bookmarkEnd w:id="58"/>
      <w:bookmarkEnd w:id="59"/>
    </w:p>
    <w:p w14:paraId="0FB028E7">
      <w:pPr>
        <w:ind w:firstLine="562"/>
        <w:rPr>
          <w:rFonts w:hint="eastAsia" w:ascii="仿宋" w:hAnsi="仿宋" w:eastAsia="仿宋" w:cs="仿宋"/>
          <w:color w:val="auto"/>
          <w:highlight w:val="none"/>
        </w:rPr>
      </w:pPr>
      <w:r>
        <w:rPr>
          <w:rFonts w:hint="eastAsia" w:ascii="仿宋" w:hAnsi="仿宋" w:eastAsia="仿宋" w:cs="仿宋"/>
          <w:b/>
          <w:bCs/>
          <w:color w:val="auto"/>
          <w:highlight w:val="none"/>
        </w:rPr>
        <w:t>开标方式：</w:t>
      </w:r>
      <w:r>
        <w:rPr>
          <w:rFonts w:hint="eastAsia" w:cs="仿宋"/>
          <w:b/>
          <w:bCs/>
          <w:color w:val="auto"/>
          <w:highlight w:val="none"/>
          <w:lang w:val="en-US" w:eastAsia="zh-CN"/>
        </w:rPr>
        <w:t>智能</w:t>
      </w:r>
      <w:r>
        <w:rPr>
          <w:rFonts w:hint="eastAsia" w:ascii="仿宋" w:hAnsi="仿宋" w:eastAsia="仿宋" w:cs="仿宋"/>
          <w:color w:val="auto"/>
          <w:highlight w:val="none"/>
        </w:rPr>
        <w:t>开标</w:t>
      </w:r>
    </w:p>
    <w:p w14:paraId="1EA13C7F">
      <w:pPr>
        <w:ind w:firstLine="562"/>
        <w:rPr>
          <w:rFonts w:hint="eastAsia" w:ascii="仿宋" w:hAnsi="仿宋" w:eastAsia="仿宋" w:cs="仿宋"/>
          <w:color w:val="auto"/>
          <w:highlight w:val="none"/>
        </w:rPr>
      </w:pPr>
      <w:r>
        <w:rPr>
          <w:rFonts w:hint="eastAsia" w:ascii="仿宋" w:hAnsi="仿宋" w:eastAsia="仿宋" w:cs="仿宋"/>
          <w:b/>
          <w:bCs/>
          <w:color w:val="auto"/>
          <w:highlight w:val="none"/>
        </w:rPr>
        <w:t>是否需要缴纳投标保证金：</w:t>
      </w:r>
      <w:r>
        <w:rPr>
          <w:rFonts w:hint="eastAsia" w:ascii="仿宋" w:hAnsi="仿宋" w:eastAsia="仿宋" w:cs="仿宋"/>
          <w:color w:val="auto"/>
          <w:highlight w:val="none"/>
        </w:rPr>
        <w:t>是</w:t>
      </w:r>
    </w:p>
    <w:p w14:paraId="320E0EB3">
      <w:pPr>
        <w:ind w:firstLine="562"/>
        <w:rPr>
          <w:rFonts w:hint="eastAsia" w:ascii="仿宋" w:hAnsi="仿宋" w:eastAsia="仿宋" w:cs="仿宋"/>
          <w:color w:val="auto"/>
          <w:highlight w:val="none"/>
        </w:rPr>
      </w:pPr>
      <w:r>
        <w:rPr>
          <w:rFonts w:hint="eastAsia" w:ascii="仿宋" w:hAnsi="仿宋" w:eastAsia="仿宋" w:cs="仿宋"/>
          <w:b/>
          <w:bCs/>
          <w:color w:val="auto"/>
          <w:highlight w:val="none"/>
        </w:rPr>
        <w:t>保证金金额：</w:t>
      </w:r>
      <w:r>
        <w:rPr>
          <w:rFonts w:hint="eastAsia" w:cs="仿宋"/>
          <w:b w:val="0"/>
          <w:bCs w:val="0"/>
          <w:color w:val="auto"/>
          <w:highlight w:val="none"/>
          <w:lang w:val="en-US" w:eastAsia="zh-CN"/>
        </w:rPr>
        <w:t>5000</w:t>
      </w:r>
      <w:r>
        <w:rPr>
          <w:rFonts w:hint="eastAsia" w:ascii="仿宋" w:hAnsi="仿宋" w:eastAsia="仿宋" w:cs="仿宋"/>
          <w:b w:val="0"/>
          <w:bCs w:val="0"/>
          <w:color w:val="auto"/>
          <w:highlight w:val="none"/>
          <w:lang w:val="en-US" w:eastAsia="zh-CN"/>
        </w:rPr>
        <w:t>.00元</w:t>
      </w:r>
    </w:p>
    <w:p w14:paraId="06424F64">
      <w:pPr>
        <w:ind w:firstLine="562"/>
        <w:rPr>
          <w:rFonts w:hint="eastAsia" w:ascii="仿宋" w:hAnsi="仿宋" w:eastAsia="仿宋" w:cs="仿宋"/>
          <w:color w:val="auto"/>
          <w:highlight w:val="none"/>
        </w:rPr>
      </w:pPr>
      <w:r>
        <w:rPr>
          <w:rFonts w:hint="eastAsia" w:ascii="仿宋" w:hAnsi="仿宋" w:eastAsia="仿宋" w:cs="仿宋"/>
          <w:b/>
          <w:bCs/>
          <w:color w:val="auto"/>
          <w:highlight w:val="none"/>
        </w:rPr>
        <w:t>保证金缴纳方式：</w:t>
      </w:r>
      <w:r>
        <w:rPr>
          <w:rFonts w:hint="eastAsia" w:ascii="仿宋" w:hAnsi="仿宋" w:eastAsia="仿宋" w:cs="仿宋"/>
          <w:color w:val="auto"/>
          <w:highlight w:val="none"/>
        </w:rPr>
        <w:t>支票、汇票、本票、保函、保险、银行转账、网银、电汇等</w:t>
      </w:r>
      <w:r>
        <w:rPr>
          <w:rFonts w:hint="eastAsia" w:ascii="仿宋" w:hAnsi="仿宋" w:eastAsia="仿宋" w:cs="仿宋"/>
          <w:color w:val="auto"/>
          <w:highlight w:val="none"/>
          <w:lang w:eastAsia="zh-CN"/>
        </w:rPr>
        <w:t>其他非现金</w:t>
      </w:r>
      <w:r>
        <w:rPr>
          <w:rFonts w:hint="eastAsia" w:ascii="仿宋" w:hAnsi="仿宋" w:eastAsia="仿宋" w:cs="仿宋"/>
          <w:color w:val="auto"/>
          <w:highlight w:val="none"/>
        </w:rPr>
        <w:t>形式</w:t>
      </w:r>
    </w:p>
    <w:p w14:paraId="03940B19">
      <w:pPr>
        <w:ind w:firstLine="562"/>
        <w:rPr>
          <w:rFonts w:hint="eastAsia" w:ascii="仿宋" w:hAnsi="仿宋" w:eastAsia="仿宋" w:cs="仿宋"/>
          <w:color w:val="auto"/>
          <w:highlight w:val="none"/>
        </w:rPr>
      </w:pPr>
      <w:r>
        <w:rPr>
          <w:rFonts w:hint="eastAsia" w:ascii="仿宋" w:hAnsi="仿宋" w:eastAsia="仿宋" w:cs="仿宋"/>
          <w:b/>
          <w:bCs/>
          <w:color w:val="auto"/>
          <w:highlight w:val="none"/>
        </w:rPr>
        <w:t>保证金缴纳截止时间：</w:t>
      </w:r>
      <w:r>
        <w:rPr>
          <w:rFonts w:hint="eastAsia" w:ascii="仿宋" w:hAnsi="仿宋" w:eastAsia="仿宋" w:cs="仿宋"/>
          <w:color w:val="auto"/>
          <w:highlight w:val="none"/>
        </w:rPr>
        <w:t>202</w:t>
      </w:r>
      <w:r>
        <w:rPr>
          <w:rFonts w:hint="eastAsia" w:ascii="仿宋" w:hAnsi="仿宋" w:eastAsia="仿宋" w:cs="仿宋"/>
          <w:color w:val="auto"/>
          <w:highlight w:val="none"/>
          <w:lang w:val="en-US" w:eastAsia="zh-CN"/>
        </w:rPr>
        <w:t>6</w:t>
      </w:r>
      <w:r>
        <w:rPr>
          <w:rFonts w:hint="eastAsia" w:ascii="仿宋" w:hAnsi="仿宋" w:eastAsia="仿宋" w:cs="仿宋"/>
          <w:color w:val="auto"/>
          <w:highlight w:val="none"/>
        </w:rPr>
        <w:t>-</w:t>
      </w:r>
      <w:r>
        <w:rPr>
          <w:rFonts w:hint="eastAsia" w:ascii="仿宋" w:hAnsi="仿宋" w:eastAsia="仿宋" w:cs="仿宋"/>
          <w:color w:val="auto"/>
          <w:highlight w:val="none"/>
          <w:lang w:val="en-US" w:eastAsia="zh-CN"/>
        </w:rPr>
        <w:t>0</w:t>
      </w:r>
      <w:r>
        <w:rPr>
          <w:rFonts w:hint="eastAsia" w:cs="仿宋"/>
          <w:color w:val="auto"/>
          <w:highlight w:val="none"/>
          <w:lang w:val="en-US" w:eastAsia="zh-CN"/>
        </w:rPr>
        <w:t>8</w:t>
      </w:r>
      <w:r>
        <w:rPr>
          <w:rFonts w:hint="eastAsia" w:ascii="仿宋" w:hAnsi="仿宋" w:eastAsia="仿宋" w:cs="仿宋"/>
          <w:color w:val="auto"/>
          <w:highlight w:val="none"/>
        </w:rPr>
        <w:t>-</w:t>
      </w:r>
      <w:r>
        <w:rPr>
          <w:rFonts w:hint="eastAsia" w:cs="仿宋"/>
          <w:color w:val="auto"/>
          <w:highlight w:val="none"/>
          <w:lang w:val="en-US" w:eastAsia="zh-CN"/>
        </w:rPr>
        <w:t>18</w:t>
      </w:r>
      <w:r>
        <w:rPr>
          <w:rFonts w:hint="eastAsia" w:cs="仿宋"/>
          <w:color w:val="auto"/>
          <w:highlight w:val="none"/>
          <w:lang w:val="en-US" w:eastAsia="zh-CN"/>
        </w:rPr>
        <w:t xml:space="preserve"> </w:t>
      </w:r>
      <w:r>
        <w:rPr>
          <w:rFonts w:hint="eastAsia" w:ascii="仿宋" w:hAnsi="仿宋" w:eastAsia="仿宋" w:cs="仿宋"/>
          <w:color w:val="auto"/>
          <w:highlight w:val="none"/>
        </w:rPr>
        <w:t xml:space="preserve"> 09:</w:t>
      </w:r>
      <w:r>
        <w:rPr>
          <w:rFonts w:hint="eastAsia" w:cs="仿宋"/>
          <w:color w:val="auto"/>
          <w:highlight w:val="none"/>
          <w:lang w:val="en-US" w:eastAsia="zh-CN"/>
        </w:rPr>
        <w:t>3</w:t>
      </w:r>
      <w:r>
        <w:rPr>
          <w:rFonts w:hint="eastAsia" w:ascii="仿宋" w:hAnsi="仿宋" w:eastAsia="仿宋" w:cs="仿宋"/>
          <w:color w:val="auto"/>
          <w:highlight w:val="none"/>
        </w:rPr>
        <w:t>0</w:t>
      </w:r>
    </w:p>
    <w:p w14:paraId="42DF5AFF">
      <w:pPr>
        <w:ind w:firstLine="562"/>
        <w:rPr>
          <w:rFonts w:hint="eastAsia" w:ascii="仿宋" w:hAnsi="仿宋" w:eastAsia="仿宋" w:cs="仿宋"/>
          <w:b/>
          <w:bCs/>
          <w:color w:val="auto"/>
          <w:highlight w:val="none"/>
        </w:rPr>
      </w:pPr>
      <w:r>
        <w:rPr>
          <w:rFonts w:hint="eastAsia" w:ascii="仿宋" w:hAnsi="仿宋" w:eastAsia="仿宋" w:cs="仿宋"/>
          <w:b/>
          <w:bCs/>
          <w:color w:val="auto"/>
          <w:highlight w:val="none"/>
        </w:rPr>
        <w:t>其他：</w:t>
      </w:r>
    </w:p>
    <w:p w14:paraId="4349C43A">
      <w:pPr>
        <w:ind w:firstLine="560"/>
        <w:rPr>
          <w:rFonts w:hint="eastAsia" w:ascii="仿宋" w:hAnsi="仿宋" w:eastAsia="仿宋" w:cs="仿宋"/>
          <w:color w:val="auto"/>
          <w:highlight w:val="none"/>
        </w:rPr>
      </w:pPr>
      <w:r>
        <w:rPr>
          <w:rFonts w:hint="eastAsia" w:ascii="仿宋" w:hAnsi="仿宋" w:eastAsia="仿宋" w:cs="仿宋"/>
          <w:color w:val="auto"/>
          <w:highlight w:val="none"/>
        </w:rPr>
        <w:t>1.</w:t>
      </w:r>
      <w:r>
        <w:rPr>
          <w:rFonts w:hint="eastAsia" w:ascii="仿宋" w:hAnsi="仿宋" w:eastAsia="仿宋" w:cs="仿宋"/>
          <w:color w:val="auto"/>
          <w:highlight w:val="none"/>
          <w:lang w:val="en-US" w:eastAsia="zh-CN"/>
        </w:rPr>
        <w:t>本</w:t>
      </w:r>
      <w:r>
        <w:rPr>
          <w:rFonts w:hint="eastAsia" w:ascii="仿宋" w:hAnsi="仿宋" w:eastAsia="仿宋" w:cs="仿宋"/>
          <w:color w:val="auto"/>
          <w:highlight w:val="none"/>
        </w:rPr>
        <w:t>项目需要落实的采购政策：节约能源、保护环境、扶持不发达地区和少数民族地区、促进中小企业发展</w:t>
      </w:r>
      <w:r>
        <w:rPr>
          <w:rFonts w:hint="eastAsia" w:ascii="仿宋" w:hAnsi="仿宋" w:eastAsia="仿宋" w:cs="仿宋"/>
          <w:color w:val="auto"/>
          <w:highlight w:val="none"/>
          <w:lang w:eastAsia="zh-CN"/>
        </w:rPr>
        <w:t>、支持本国产品</w:t>
      </w:r>
      <w:r>
        <w:rPr>
          <w:rFonts w:hint="eastAsia" w:ascii="仿宋" w:hAnsi="仿宋" w:eastAsia="仿宋" w:cs="仿宋"/>
          <w:color w:val="auto"/>
          <w:highlight w:val="none"/>
        </w:rPr>
        <w:t>等</w:t>
      </w:r>
      <w:r>
        <w:rPr>
          <w:rFonts w:hint="eastAsia" w:ascii="仿宋" w:hAnsi="仿宋" w:eastAsia="仿宋" w:cs="仿宋"/>
          <w:color w:val="auto"/>
          <w:highlight w:val="none"/>
          <w:lang w:val="en-US" w:eastAsia="zh-CN"/>
        </w:rPr>
        <w:t>涉及本项目的</w:t>
      </w:r>
      <w:r>
        <w:rPr>
          <w:rFonts w:hint="eastAsia" w:ascii="仿宋" w:hAnsi="仿宋" w:eastAsia="仿宋" w:cs="仿宋"/>
          <w:color w:val="auto"/>
          <w:highlight w:val="none"/>
        </w:rPr>
        <w:t>政府采购政策。</w:t>
      </w:r>
    </w:p>
    <w:p w14:paraId="5008F21D">
      <w:pPr>
        <w:ind w:firstLine="560"/>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2.</w:t>
      </w:r>
      <w:r>
        <w:rPr>
          <w:rFonts w:hint="eastAsia" w:ascii="仿宋" w:hAnsi="仿宋" w:eastAsia="仿宋" w:cs="仿宋"/>
          <w:color w:val="auto"/>
          <w:highlight w:val="none"/>
        </w:rPr>
        <w:t>采购公告、中标公告均在云南省政府采购网（http://www.ccgp-yunnan.gov.cn/）发布，采购人和代理机构对其他网站或媒体转载的公告及公告内容不承担任何责任。</w:t>
      </w:r>
    </w:p>
    <w:p w14:paraId="13C6299C">
      <w:pPr>
        <w:pStyle w:val="3"/>
        <w:tabs>
          <w:tab w:val="left" w:pos="1021"/>
        </w:tabs>
        <w:spacing w:before="93" w:after="93"/>
        <w:ind w:firstLine="643"/>
        <w:rPr>
          <w:rFonts w:hint="eastAsia" w:ascii="仿宋" w:hAnsi="仿宋" w:eastAsia="仿宋" w:cs="仿宋"/>
          <w:color w:val="auto"/>
          <w:highlight w:val="none"/>
        </w:rPr>
      </w:pPr>
      <w:bookmarkStart w:id="60" w:name="_Toc16447"/>
      <w:bookmarkStart w:id="61" w:name="_Toc14457"/>
      <w:r>
        <w:rPr>
          <w:rFonts w:hint="eastAsia" w:ascii="仿宋" w:hAnsi="仿宋" w:eastAsia="仿宋" w:cs="仿宋"/>
          <w:color w:val="auto"/>
          <w:highlight w:val="none"/>
        </w:rPr>
        <w:t>七、凡对本次采购提出询问，请按以下方式联系</w:t>
      </w:r>
      <w:bookmarkEnd w:id="60"/>
      <w:bookmarkEnd w:id="61"/>
    </w:p>
    <w:p w14:paraId="580E285C">
      <w:pPr>
        <w:ind w:firstLine="560"/>
        <w:rPr>
          <w:rFonts w:hint="eastAsia" w:ascii="仿宋" w:hAnsi="仿宋" w:eastAsia="仿宋" w:cs="仿宋"/>
          <w:b/>
          <w:bCs/>
          <w:color w:val="auto"/>
          <w:highlight w:val="none"/>
        </w:rPr>
      </w:pPr>
      <w:r>
        <w:rPr>
          <w:rFonts w:hint="eastAsia" w:ascii="仿宋" w:hAnsi="仿宋" w:eastAsia="仿宋" w:cs="仿宋"/>
          <w:b/>
          <w:bCs/>
          <w:color w:val="auto"/>
          <w:highlight w:val="none"/>
        </w:rPr>
        <w:t>1.采购人信息</w:t>
      </w:r>
    </w:p>
    <w:p w14:paraId="5CA2A398">
      <w:pPr>
        <w:ind w:firstLine="560"/>
        <w:rPr>
          <w:rFonts w:hint="eastAsia" w:ascii="仿宋" w:hAnsi="仿宋" w:eastAsia="仿宋" w:cs="仿宋"/>
          <w:color w:val="auto"/>
          <w:highlight w:val="none"/>
          <w:lang w:eastAsia="zh-CN"/>
        </w:rPr>
      </w:pPr>
      <w:r>
        <w:rPr>
          <w:rFonts w:hint="eastAsia" w:ascii="仿宋" w:hAnsi="仿宋" w:eastAsia="仿宋" w:cs="仿宋"/>
          <w:color w:val="auto"/>
          <w:highlight w:val="none"/>
        </w:rPr>
        <w:t>名称：</w:t>
      </w:r>
      <w:r>
        <w:rPr>
          <w:rFonts w:hint="eastAsia" w:cs="仿宋"/>
          <w:color w:val="auto"/>
          <w:highlight w:val="none"/>
          <w:lang w:eastAsia="zh-CN"/>
        </w:rPr>
        <w:t>云南轻纺职业学院</w:t>
      </w:r>
    </w:p>
    <w:p w14:paraId="443E844A">
      <w:pPr>
        <w:ind w:firstLine="560"/>
        <w:rPr>
          <w:rFonts w:hint="eastAsia" w:ascii="仿宋" w:hAnsi="仿宋" w:eastAsia="仿宋" w:cs="仿宋"/>
          <w:color w:val="auto"/>
          <w:highlight w:val="none"/>
          <w:lang w:eastAsia="zh-CN"/>
        </w:rPr>
      </w:pPr>
      <w:r>
        <w:rPr>
          <w:rFonts w:hint="eastAsia" w:ascii="仿宋" w:hAnsi="仿宋" w:eastAsia="仿宋" w:cs="仿宋"/>
          <w:color w:val="auto"/>
          <w:highlight w:val="none"/>
        </w:rPr>
        <w:t>地址：</w:t>
      </w:r>
      <w:r>
        <w:rPr>
          <w:rFonts w:hint="eastAsia" w:cs="仿宋"/>
          <w:color w:val="auto"/>
          <w:highlight w:val="none"/>
          <w:lang w:eastAsia="zh-CN"/>
        </w:rPr>
        <w:t>云南省昆明市安宁职业教育基地宁泊路54号</w:t>
      </w:r>
    </w:p>
    <w:p w14:paraId="39CE6CBD">
      <w:pPr>
        <w:ind w:firstLine="560"/>
        <w:rPr>
          <w:rFonts w:hint="eastAsia" w:ascii="仿宋" w:hAnsi="仿宋" w:eastAsia="仿宋" w:cs="仿宋"/>
          <w:b/>
          <w:bCs/>
          <w:color w:val="auto"/>
          <w:highlight w:val="none"/>
        </w:rPr>
      </w:pPr>
      <w:r>
        <w:rPr>
          <w:rFonts w:hint="eastAsia" w:ascii="仿宋" w:hAnsi="仿宋" w:eastAsia="仿宋" w:cs="仿宋"/>
          <w:b/>
          <w:bCs/>
          <w:color w:val="auto"/>
          <w:highlight w:val="none"/>
        </w:rPr>
        <w:t>2.采购代理机构信息</w:t>
      </w:r>
    </w:p>
    <w:p w14:paraId="382803E9">
      <w:pPr>
        <w:ind w:firstLine="560"/>
        <w:rPr>
          <w:rFonts w:hint="eastAsia" w:ascii="仿宋" w:hAnsi="仿宋" w:eastAsia="仿宋" w:cs="仿宋"/>
          <w:color w:val="auto"/>
          <w:highlight w:val="none"/>
        </w:rPr>
      </w:pPr>
      <w:r>
        <w:rPr>
          <w:rFonts w:hint="eastAsia" w:ascii="仿宋" w:hAnsi="仿宋" w:eastAsia="仿宋" w:cs="仿宋"/>
          <w:color w:val="auto"/>
          <w:highlight w:val="none"/>
        </w:rPr>
        <w:t>名称：云南润达工程项目管理咨询有限公司</w:t>
      </w:r>
    </w:p>
    <w:p w14:paraId="78696C62">
      <w:pPr>
        <w:ind w:firstLine="560"/>
        <w:rPr>
          <w:rFonts w:hint="eastAsia" w:ascii="仿宋" w:hAnsi="仿宋" w:eastAsia="仿宋" w:cs="仿宋"/>
          <w:color w:val="auto"/>
          <w:highlight w:val="none"/>
          <w:u w:val="none"/>
        </w:rPr>
      </w:pPr>
      <w:r>
        <w:rPr>
          <w:rFonts w:hint="eastAsia" w:ascii="仿宋" w:hAnsi="仿宋" w:eastAsia="仿宋" w:cs="仿宋"/>
          <w:color w:val="auto"/>
          <w:highlight w:val="none"/>
        </w:rPr>
        <w:t>地址：</w:t>
      </w:r>
      <w:r>
        <w:rPr>
          <w:rFonts w:hint="eastAsia" w:ascii="仿宋" w:hAnsi="仿宋" w:eastAsia="仿宋" w:cs="仿宋"/>
          <w:color w:val="auto"/>
          <w:highlight w:val="none"/>
          <w:u w:val="none"/>
        </w:rPr>
        <w:t>昆明市西山区西福路中铁山海春风小区3幢101号</w:t>
      </w:r>
    </w:p>
    <w:p w14:paraId="02066C7A">
      <w:pPr>
        <w:ind w:firstLine="560"/>
        <w:rPr>
          <w:rFonts w:hint="eastAsia" w:ascii="仿宋" w:hAnsi="仿宋" w:eastAsia="仿宋" w:cs="仿宋"/>
          <w:b/>
          <w:bCs/>
          <w:color w:val="auto"/>
          <w:highlight w:val="none"/>
          <w:u w:val="none"/>
        </w:rPr>
      </w:pPr>
      <w:r>
        <w:rPr>
          <w:rFonts w:hint="eastAsia" w:ascii="仿宋" w:hAnsi="仿宋" w:eastAsia="仿宋" w:cs="仿宋"/>
          <w:b/>
          <w:bCs/>
          <w:color w:val="auto"/>
          <w:highlight w:val="none"/>
          <w:u w:val="none"/>
        </w:rPr>
        <w:t>3.项目联系方式</w:t>
      </w:r>
    </w:p>
    <w:p w14:paraId="0CCB90FF">
      <w:pPr>
        <w:ind w:firstLine="560"/>
        <w:rPr>
          <w:rFonts w:hint="eastAsia" w:ascii="仿宋" w:hAnsi="仿宋" w:eastAsia="仿宋" w:cs="仿宋"/>
          <w:color w:val="auto"/>
          <w:highlight w:val="none"/>
          <w:u w:val="none"/>
        </w:rPr>
      </w:pPr>
      <w:r>
        <w:rPr>
          <w:rFonts w:hint="eastAsia" w:ascii="仿宋" w:hAnsi="仿宋" w:eastAsia="仿宋" w:cs="仿宋"/>
          <w:color w:val="auto"/>
          <w:highlight w:val="none"/>
          <w:u w:val="none"/>
        </w:rPr>
        <w:t>项目联系人：</w:t>
      </w:r>
      <w:r>
        <w:rPr>
          <w:rFonts w:hint="eastAsia" w:cs="仿宋"/>
          <w:color w:val="auto"/>
          <w:highlight w:val="none"/>
          <w:u w:val="none"/>
          <w:lang w:val="en-US" w:eastAsia="zh-CN"/>
        </w:rPr>
        <w:t>施艳、</w:t>
      </w:r>
      <w:r>
        <w:rPr>
          <w:rFonts w:hint="eastAsia" w:ascii="仿宋" w:hAnsi="仿宋" w:eastAsia="仿宋" w:cs="仿宋"/>
          <w:color w:val="auto"/>
          <w:highlight w:val="none"/>
          <w:u w:val="none"/>
        </w:rPr>
        <w:t>杨涛</w:t>
      </w:r>
      <w:r>
        <w:rPr>
          <w:rFonts w:hint="eastAsia" w:ascii="仿宋" w:hAnsi="仿宋" w:eastAsia="仿宋" w:cs="仿宋"/>
          <w:color w:val="auto"/>
          <w:highlight w:val="none"/>
          <w:u w:val="none"/>
          <w:lang w:val="en-US" w:eastAsia="zh-CN"/>
        </w:rPr>
        <w:t>、方丽其、李娟</w:t>
      </w:r>
      <w:r>
        <w:rPr>
          <w:rFonts w:hint="eastAsia" w:ascii="仿宋" w:hAnsi="仿宋" w:eastAsia="仿宋" w:cs="仿宋"/>
          <w:color w:val="auto"/>
          <w:highlight w:val="none"/>
          <w:u w:val="none"/>
        </w:rPr>
        <w:t>、王德琨</w:t>
      </w:r>
      <w:r>
        <w:rPr>
          <w:rFonts w:hint="eastAsia" w:ascii="仿宋" w:hAnsi="仿宋" w:eastAsia="仿宋" w:cs="仿宋"/>
          <w:color w:val="auto"/>
          <w:highlight w:val="none"/>
          <w:u w:val="none"/>
          <w:lang w:eastAsia="zh-CN"/>
        </w:rPr>
        <w:t>、</w:t>
      </w:r>
      <w:r>
        <w:rPr>
          <w:rFonts w:hint="eastAsia" w:ascii="仿宋" w:hAnsi="仿宋" w:eastAsia="仿宋" w:cs="仿宋"/>
          <w:color w:val="auto"/>
          <w:highlight w:val="none"/>
          <w:u w:val="none"/>
        </w:rPr>
        <w:t>黄涛、</w:t>
      </w:r>
      <w:r>
        <w:rPr>
          <w:rFonts w:hint="eastAsia" w:ascii="仿宋" w:hAnsi="仿宋" w:eastAsia="仿宋" w:cs="仿宋"/>
          <w:color w:val="auto"/>
          <w:highlight w:val="none"/>
          <w:u w:val="none"/>
          <w:lang w:val="en-US" w:eastAsia="zh-CN"/>
        </w:rPr>
        <w:t>于莹莹、赵欢</w:t>
      </w:r>
      <w:r>
        <w:rPr>
          <w:rFonts w:hint="eastAsia" w:ascii="仿宋" w:hAnsi="仿宋" w:eastAsia="仿宋" w:cs="仿宋"/>
          <w:color w:val="auto"/>
          <w:highlight w:val="none"/>
          <w:u w:val="none"/>
        </w:rPr>
        <w:t>（采购代理）</w:t>
      </w:r>
    </w:p>
    <w:p w14:paraId="1C008E69">
      <w:pPr>
        <w:ind w:firstLine="560"/>
        <w:rPr>
          <w:rFonts w:hint="eastAsia" w:ascii="仿宋" w:hAnsi="仿宋" w:eastAsia="仿宋" w:cs="仿宋"/>
          <w:color w:val="auto"/>
          <w:highlight w:val="none"/>
        </w:rPr>
      </w:pPr>
      <w:r>
        <w:rPr>
          <w:rFonts w:hint="eastAsia" w:ascii="仿宋" w:hAnsi="仿宋" w:eastAsia="仿宋" w:cs="仿宋"/>
          <w:color w:val="auto"/>
          <w:highlight w:val="none"/>
          <w:u w:val="none"/>
        </w:rPr>
        <w:t>电　话：</w:t>
      </w:r>
      <w:r>
        <w:rPr>
          <w:rFonts w:hint="eastAsia"/>
          <w:b w:val="0"/>
          <w:bCs w:val="0"/>
          <w:color w:val="auto"/>
          <w:highlight w:val="none"/>
          <w:lang w:val="en-US" w:eastAsia="zh-CN"/>
        </w:rPr>
        <w:t>18987263121</w:t>
      </w:r>
      <w:r>
        <w:rPr>
          <w:rFonts w:hint="eastAsia"/>
          <w:b w:val="0"/>
          <w:bCs w:val="0"/>
          <w:color w:val="auto"/>
          <w:highlight w:val="none"/>
          <w:lang w:val="en-US" w:eastAsia="zh-CN"/>
        </w:rPr>
        <w:t>，0871-65353686</w:t>
      </w:r>
      <w:r>
        <w:rPr>
          <w:rFonts w:hint="eastAsia" w:ascii="仿宋" w:hAnsi="仿宋" w:eastAsia="仿宋" w:cs="仿宋"/>
          <w:color w:val="auto"/>
          <w:highlight w:val="none"/>
        </w:rPr>
        <w:t>（采购代理）</w:t>
      </w:r>
      <w:r>
        <w:rPr>
          <w:rFonts w:hint="eastAsia" w:ascii="仿宋" w:hAnsi="仿宋" w:eastAsia="仿宋" w:cs="仿宋"/>
          <w:color w:val="auto"/>
          <w:highlight w:val="none"/>
        </w:rPr>
        <w:br w:type="page"/>
      </w:r>
    </w:p>
    <w:p w14:paraId="5BDF6E9E">
      <w:pPr>
        <w:pStyle w:val="2"/>
        <w:wordWrap/>
        <w:adjustRightInd/>
        <w:snapToGrid/>
        <w:spacing w:before="120" w:after="120" w:line="360" w:lineRule="auto"/>
        <w:rPr>
          <w:rFonts w:hint="eastAsia" w:ascii="仿宋" w:hAnsi="仿宋" w:eastAsia="仿宋" w:cs="仿宋"/>
          <w:color w:val="auto"/>
          <w:highlight w:val="none"/>
        </w:rPr>
      </w:pPr>
      <w:bookmarkStart w:id="62" w:name="_Toc19486"/>
      <w:bookmarkStart w:id="63" w:name="_Toc163492819"/>
      <w:bookmarkStart w:id="64" w:name="_Toc155185867"/>
      <w:bookmarkStart w:id="65" w:name="_Toc31457"/>
      <w:bookmarkStart w:id="66" w:name="_Toc31240"/>
      <w:r>
        <w:rPr>
          <w:rFonts w:hint="eastAsia" w:ascii="仿宋" w:hAnsi="仿宋" w:eastAsia="仿宋" w:cs="仿宋"/>
          <w:color w:val="auto"/>
          <w:highlight w:val="none"/>
        </w:rPr>
        <w:t xml:space="preserve">第二章 </w:t>
      </w:r>
      <w:r>
        <w:rPr>
          <w:rFonts w:hint="eastAsia" w:ascii="仿宋" w:hAnsi="仿宋" w:eastAsia="仿宋" w:cs="仿宋"/>
          <w:color w:val="auto"/>
          <w:highlight w:val="none"/>
          <w:lang w:eastAsia="zh-CN"/>
        </w:rPr>
        <w:t>投标人</w:t>
      </w:r>
      <w:r>
        <w:rPr>
          <w:rFonts w:hint="eastAsia" w:ascii="仿宋" w:hAnsi="仿宋" w:eastAsia="仿宋" w:cs="仿宋"/>
          <w:color w:val="auto"/>
          <w:highlight w:val="none"/>
        </w:rPr>
        <w:t>须知</w:t>
      </w:r>
      <w:bookmarkEnd w:id="62"/>
    </w:p>
    <w:bookmarkEnd w:id="63"/>
    <w:bookmarkEnd w:id="64"/>
    <w:p w14:paraId="28D0FAFB">
      <w:pPr>
        <w:pStyle w:val="3"/>
        <w:spacing w:before="93" w:after="93"/>
        <w:ind w:firstLine="643"/>
        <w:rPr>
          <w:rFonts w:hint="eastAsia" w:ascii="仿宋" w:hAnsi="仿宋" w:eastAsia="仿宋" w:cs="仿宋"/>
          <w:color w:val="auto"/>
          <w:highlight w:val="none"/>
        </w:rPr>
      </w:pPr>
      <w:bookmarkStart w:id="67" w:name="_Toc155185868"/>
      <w:bookmarkStart w:id="68" w:name="_Toc163492820"/>
      <w:bookmarkStart w:id="69" w:name="_Toc17659"/>
      <w:r>
        <w:rPr>
          <w:rFonts w:hint="eastAsia" w:ascii="仿宋" w:hAnsi="仿宋" w:eastAsia="仿宋" w:cs="仿宋"/>
          <w:color w:val="auto"/>
          <w:highlight w:val="none"/>
        </w:rPr>
        <w:t>一、</w:t>
      </w:r>
      <w:r>
        <w:rPr>
          <w:rFonts w:hint="eastAsia" w:ascii="仿宋" w:hAnsi="仿宋" w:eastAsia="仿宋" w:cs="仿宋"/>
          <w:color w:val="auto"/>
          <w:highlight w:val="none"/>
          <w:lang w:eastAsia="zh-CN"/>
        </w:rPr>
        <w:t>投标人</w:t>
      </w:r>
      <w:r>
        <w:rPr>
          <w:rFonts w:hint="eastAsia" w:ascii="仿宋" w:hAnsi="仿宋" w:eastAsia="仿宋" w:cs="仿宋"/>
          <w:color w:val="auto"/>
          <w:highlight w:val="none"/>
        </w:rPr>
        <w:t>须知前附表</w:t>
      </w:r>
      <w:bookmarkEnd w:id="67"/>
      <w:bookmarkEnd w:id="68"/>
      <w:bookmarkEnd w:id="69"/>
    </w:p>
    <w:p w14:paraId="731A62F6">
      <w:pPr>
        <w:ind w:firstLine="560"/>
        <w:rPr>
          <w:rFonts w:hint="eastAsia" w:ascii="仿宋" w:hAnsi="仿宋" w:eastAsia="仿宋" w:cs="仿宋"/>
          <w:color w:val="auto"/>
          <w:highlight w:val="none"/>
        </w:rPr>
      </w:pPr>
      <w:r>
        <w:rPr>
          <w:rFonts w:hint="eastAsia" w:ascii="仿宋" w:hAnsi="仿宋" w:eastAsia="仿宋" w:cs="仿宋"/>
          <w:color w:val="auto"/>
          <w:highlight w:val="none"/>
          <w:lang w:eastAsia="zh-CN"/>
        </w:rPr>
        <w:t>投标人</w:t>
      </w:r>
      <w:r>
        <w:rPr>
          <w:rFonts w:hint="eastAsia" w:ascii="仿宋" w:hAnsi="仿宋" w:eastAsia="仿宋" w:cs="仿宋"/>
          <w:color w:val="auto"/>
          <w:highlight w:val="none"/>
        </w:rPr>
        <w:t>应仔细阅读本</w:t>
      </w:r>
      <w:r>
        <w:rPr>
          <w:rFonts w:hint="eastAsia" w:ascii="仿宋" w:hAnsi="仿宋" w:eastAsia="仿宋" w:cs="仿宋"/>
          <w:color w:val="auto"/>
          <w:highlight w:val="none"/>
          <w:lang w:eastAsia="zh-CN"/>
        </w:rPr>
        <w:t>招标文件</w:t>
      </w:r>
      <w:r>
        <w:rPr>
          <w:rFonts w:hint="eastAsia" w:ascii="仿宋" w:hAnsi="仿宋" w:eastAsia="仿宋" w:cs="仿宋"/>
          <w:color w:val="auto"/>
          <w:highlight w:val="none"/>
        </w:rPr>
        <w:t>的第二章“</w:t>
      </w:r>
      <w:r>
        <w:rPr>
          <w:rFonts w:hint="eastAsia" w:ascii="仿宋" w:hAnsi="仿宋" w:eastAsia="仿宋" w:cs="仿宋"/>
          <w:color w:val="auto"/>
          <w:highlight w:val="none"/>
          <w:lang w:eastAsia="zh-CN"/>
        </w:rPr>
        <w:t>投标人</w:t>
      </w:r>
      <w:r>
        <w:rPr>
          <w:rFonts w:hint="eastAsia" w:ascii="仿宋" w:hAnsi="仿宋" w:eastAsia="仿宋" w:cs="仿宋"/>
          <w:color w:val="auto"/>
          <w:highlight w:val="none"/>
        </w:rPr>
        <w:t>须知”，下面所列资料是对“</w:t>
      </w:r>
      <w:r>
        <w:rPr>
          <w:rFonts w:hint="eastAsia" w:ascii="仿宋" w:hAnsi="仿宋" w:eastAsia="仿宋" w:cs="仿宋"/>
          <w:color w:val="auto"/>
          <w:highlight w:val="none"/>
          <w:lang w:eastAsia="zh-CN"/>
        </w:rPr>
        <w:t>投标人</w:t>
      </w:r>
      <w:r>
        <w:rPr>
          <w:rFonts w:hint="eastAsia" w:ascii="仿宋" w:hAnsi="仿宋" w:eastAsia="仿宋" w:cs="仿宋"/>
          <w:color w:val="auto"/>
          <w:highlight w:val="none"/>
        </w:rPr>
        <w:t>须知”的具体补充和说明。如有矛盾，应以本表为准。</w:t>
      </w:r>
    </w:p>
    <w:tbl>
      <w:tblPr>
        <w:tblStyle w:val="35"/>
        <w:tblW w:w="4969" w:type="pct"/>
        <w:tblInd w:w="0"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57" w:type="dxa"/>
          <w:left w:w="108" w:type="dxa"/>
          <w:bottom w:w="57" w:type="dxa"/>
          <w:right w:w="108" w:type="dxa"/>
        </w:tblCellMar>
      </w:tblPr>
      <w:tblGrid>
        <w:gridCol w:w="995"/>
        <w:gridCol w:w="2122"/>
        <w:gridCol w:w="6559"/>
      </w:tblGrid>
      <w:tr w14:paraId="6000F23C">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194" w:hRule="atLeast"/>
          <w:tblHeader/>
        </w:trPr>
        <w:tc>
          <w:tcPr>
            <w:tcW w:w="514" w:type="pct"/>
            <w:tcBorders>
              <w:top w:val="single" w:color="auto" w:sz="4" w:space="0"/>
              <w:left w:val="single" w:color="auto" w:sz="4" w:space="0"/>
              <w:bottom w:val="single" w:color="auto" w:sz="4" w:space="0"/>
              <w:right w:val="single" w:color="auto" w:sz="4" w:space="0"/>
            </w:tcBorders>
            <w:shd w:val="clear" w:color="auto" w:fill="BDD6EE" w:themeFill="accent5" w:themeFillTint="66"/>
            <w:vAlign w:val="center"/>
          </w:tcPr>
          <w:p w14:paraId="17EDFD78">
            <w:pPr>
              <w:pStyle w:val="20"/>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条款号</w:t>
            </w:r>
          </w:p>
        </w:tc>
        <w:tc>
          <w:tcPr>
            <w:tcW w:w="1096" w:type="pct"/>
            <w:tcBorders>
              <w:top w:val="single" w:color="auto" w:sz="4" w:space="0"/>
              <w:left w:val="single" w:color="auto" w:sz="4" w:space="0"/>
              <w:bottom w:val="single" w:color="auto" w:sz="4" w:space="0"/>
              <w:right w:val="single" w:color="auto" w:sz="4" w:space="0"/>
            </w:tcBorders>
            <w:shd w:val="clear" w:color="auto" w:fill="BDD6EE" w:themeFill="accent5" w:themeFillTint="66"/>
            <w:vAlign w:val="center"/>
          </w:tcPr>
          <w:p w14:paraId="50198DDB">
            <w:pPr>
              <w:pStyle w:val="20"/>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条款名称</w:t>
            </w:r>
          </w:p>
        </w:tc>
        <w:tc>
          <w:tcPr>
            <w:tcW w:w="3389" w:type="pct"/>
            <w:tcBorders>
              <w:top w:val="single" w:color="auto" w:sz="4" w:space="0"/>
              <w:left w:val="single" w:color="auto" w:sz="4" w:space="0"/>
              <w:bottom w:val="single" w:color="auto" w:sz="4" w:space="0"/>
              <w:right w:val="single" w:color="auto" w:sz="4" w:space="0"/>
            </w:tcBorders>
            <w:shd w:val="clear" w:color="auto" w:fill="BDD6EE" w:themeFill="accent5" w:themeFillTint="66"/>
            <w:vAlign w:val="center"/>
          </w:tcPr>
          <w:p w14:paraId="27431ACF">
            <w:pPr>
              <w:pStyle w:val="20"/>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内  容</w:t>
            </w:r>
          </w:p>
        </w:tc>
      </w:tr>
      <w:tr w14:paraId="64B4E001">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144" w:hRule="atLeast"/>
        </w:trPr>
        <w:tc>
          <w:tcPr>
            <w:tcW w:w="514" w:type="pct"/>
            <w:tcBorders>
              <w:top w:val="single" w:color="auto" w:sz="4" w:space="0"/>
            </w:tcBorders>
            <w:shd w:val="clear" w:color="auto" w:fill="auto"/>
            <w:vAlign w:val="center"/>
          </w:tcPr>
          <w:p w14:paraId="5703DE28">
            <w:pPr>
              <w:pStyle w:val="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2.2</w:t>
            </w:r>
          </w:p>
        </w:tc>
        <w:tc>
          <w:tcPr>
            <w:tcW w:w="1096" w:type="pct"/>
            <w:tcBorders>
              <w:top w:val="single" w:color="auto" w:sz="4" w:space="0"/>
            </w:tcBorders>
            <w:shd w:val="clear" w:color="auto" w:fill="auto"/>
            <w:vAlign w:val="center"/>
          </w:tcPr>
          <w:p w14:paraId="3EBC732D">
            <w:pPr>
              <w:pStyle w:val="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采购人</w:t>
            </w:r>
          </w:p>
        </w:tc>
        <w:tc>
          <w:tcPr>
            <w:tcW w:w="3389" w:type="pct"/>
            <w:tcBorders>
              <w:top w:val="single" w:color="auto" w:sz="4" w:space="0"/>
            </w:tcBorders>
            <w:shd w:val="clear" w:color="auto" w:fill="auto"/>
            <w:vAlign w:val="center"/>
          </w:tcPr>
          <w:p w14:paraId="02367FD1">
            <w:pPr>
              <w:pStyle w:val="20"/>
              <w:jc w:val="left"/>
              <w:rPr>
                <w:rFonts w:hint="eastAsia" w:ascii="仿宋" w:hAnsi="仿宋" w:eastAsia="仿宋" w:cs="仿宋"/>
                <w:color w:val="auto"/>
                <w:sz w:val="24"/>
                <w:szCs w:val="24"/>
                <w:highlight w:val="none"/>
                <w:lang w:eastAsia="zh-CN"/>
              </w:rPr>
            </w:pPr>
            <w:r>
              <w:rPr>
                <w:rFonts w:hint="eastAsia" w:cs="仿宋"/>
                <w:color w:val="auto"/>
                <w:sz w:val="24"/>
                <w:szCs w:val="24"/>
                <w:highlight w:val="none"/>
                <w:lang w:eastAsia="zh-CN"/>
              </w:rPr>
              <w:t>云南轻纺职业学院</w:t>
            </w:r>
          </w:p>
        </w:tc>
      </w:tr>
      <w:tr w14:paraId="2D154141">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514" w:type="pct"/>
            <w:shd w:val="clear" w:color="auto" w:fill="auto"/>
            <w:vAlign w:val="center"/>
          </w:tcPr>
          <w:p w14:paraId="60D8DEDB">
            <w:pPr>
              <w:pStyle w:val="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2.3</w:t>
            </w:r>
          </w:p>
        </w:tc>
        <w:tc>
          <w:tcPr>
            <w:tcW w:w="1096" w:type="pct"/>
            <w:shd w:val="clear" w:color="auto" w:fill="auto"/>
            <w:vAlign w:val="center"/>
          </w:tcPr>
          <w:p w14:paraId="54B7446D">
            <w:pPr>
              <w:pStyle w:val="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采购代理机构</w:t>
            </w:r>
          </w:p>
        </w:tc>
        <w:tc>
          <w:tcPr>
            <w:tcW w:w="3389" w:type="pct"/>
            <w:shd w:val="clear" w:color="auto" w:fill="auto"/>
            <w:vAlign w:val="center"/>
          </w:tcPr>
          <w:p w14:paraId="37795D97">
            <w:pPr>
              <w:pStyle w:val="2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云南润达工程项目管理咨询有限公司</w:t>
            </w:r>
          </w:p>
        </w:tc>
      </w:tr>
      <w:tr w14:paraId="614ED005">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514" w:type="pct"/>
            <w:shd w:val="clear" w:color="auto" w:fill="auto"/>
            <w:vAlign w:val="center"/>
          </w:tcPr>
          <w:p w14:paraId="18C13369">
            <w:pPr>
              <w:pStyle w:val="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2.4</w:t>
            </w:r>
          </w:p>
        </w:tc>
        <w:tc>
          <w:tcPr>
            <w:tcW w:w="1096" w:type="pct"/>
            <w:shd w:val="clear" w:color="auto" w:fill="auto"/>
            <w:vAlign w:val="center"/>
          </w:tcPr>
          <w:p w14:paraId="2D1091D5">
            <w:pPr>
              <w:pStyle w:val="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监督管理部门</w:t>
            </w:r>
          </w:p>
        </w:tc>
        <w:tc>
          <w:tcPr>
            <w:tcW w:w="3389" w:type="pct"/>
            <w:shd w:val="clear" w:color="auto" w:fill="auto"/>
            <w:vAlign w:val="center"/>
          </w:tcPr>
          <w:p w14:paraId="432F3A06">
            <w:pPr>
              <w:pStyle w:val="2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云南省财政厅政府采购管理处</w:t>
            </w:r>
            <w:r>
              <w:rPr>
                <w:rFonts w:hint="eastAsia" w:ascii="仿宋" w:hAnsi="仿宋" w:eastAsia="仿宋" w:cs="仿宋"/>
                <w:color w:val="auto"/>
                <w:sz w:val="24"/>
                <w:szCs w:val="24"/>
                <w:highlight w:val="none"/>
              </w:rPr>
              <w:tab/>
            </w:r>
            <w:r>
              <w:rPr>
                <w:rFonts w:hint="eastAsia"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0871-63956099</w:t>
            </w:r>
          </w:p>
        </w:tc>
      </w:tr>
      <w:tr w14:paraId="4D712157">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90" w:hRule="atLeast"/>
        </w:trPr>
        <w:tc>
          <w:tcPr>
            <w:tcW w:w="514" w:type="pct"/>
            <w:shd w:val="clear" w:color="auto" w:fill="auto"/>
            <w:vAlign w:val="center"/>
          </w:tcPr>
          <w:p w14:paraId="45E1D376">
            <w:pPr>
              <w:pStyle w:val="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2.5</w:t>
            </w:r>
          </w:p>
        </w:tc>
        <w:tc>
          <w:tcPr>
            <w:tcW w:w="1096" w:type="pct"/>
            <w:shd w:val="clear" w:color="auto" w:fill="auto"/>
            <w:vAlign w:val="center"/>
          </w:tcPr>
          <w:p w14:paraId="2EB1F4BF">
            <w:pPr>
              <w:pStyle w:val="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项目名称</w:t>
            </w:r>
          </w:p>
        </w:tc>
        <w:tc>
          <w:tcPr>
            <w:tcW w:w="3389" w:type="pct"/>
            <w:shd w:val="clear" w:color="auto" w:fill="auto"/>
            <w:vAlign w:val="center"/>
          </w:tcPr>
          <w:p w14:paraId="2B3001F5">
            <w:pPr>
              <w:pStyle w:val="20"/>
              <w:jc w:val="left"/>
              <w:rPr>
                <w:rFonts w:hint="eastAsia" w:ascii="仿宋" w:hAnsi="仿宋" w:eastAsia="仿宋" w:cs="仿宋"/>
                <w:color w:val="auto"/>
                <w:sz w:val="24"/>
                <w:szCs w:val="24"/>
                <w:highlight w:val="none"/>
                <w:lang w:eastAsia="zh-CN"/>
              </w:rPr>
            </w:pPr>
            <w:r>
              <w:rPr>
                <w:rFonts w:hint="eastAsia" w:cs="仿宋"/>
                <w:color w:val="auto"/>
                <w:sz w:val="24"/>
                <w:szCs w:val="24"/>
                <w:highlight w:val="none"/>
                <w:lang w:eastAsia="zh-CN"/>
              </w:rPr>
              <w:t>云南轻纺职业学院人工智能学院云计算技术应用实训室及智慧教室建设项目</w:t>
            </w:r>
            <w:r>
              <w:rPr>
                <w:rFonts w:hint="eastAsia" w:cs="仿宋"/>
                <w:color w:val="auto"/>
                <w:sz w:val="24"/>
                <w:szCs w:val="24"/>
                <w:highlight w:val="none"/>
                <w:lang w:eastAsia="zh-CN"/>
              </w:rPr>
              <w:t>（</w:t>
            </w:r>
            <w:r>
              <w:rPr>
                <w:rFonts w:hint="eastAsia" w:cs="仿宋"/>
                <w:color w:val="auto"/>
                <w:sz w:val="24"/>
                <w:szCs w:val="24"/>
                <w:highlight w:val="none"/>
                <w:lang w:val="en-US" w:eastAsia="zh-CN"/>
              </w:rPr>
              <w:t>二次</w:t>
            </w:r>
            <w:r>
              <w:rPr>
                <w:rFonts w:hint="eastAsia" w:cs="仿宋"/>
                <w:color w:val="auto"/>
                <w:sz w:val="24"/>
                <w:szCs w:val="24"/>
                <w:highlight w:val="none"/>
                <w:lang w:eastAsia="zh-CN"/>
              </w:rPr>
              <w:t>）</w:t>
            </w:r>
          </w:p>
        </w:tc>
      </w:tr>
      <w:tr w14:paraId="325139F0">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245" w:hRule="atLeast"/>
        </w:trPr>
        <w:tc>
          <w:tcPr>
            <w:tcW w:w="514" w:type="pct"/>
            <w:shd w:val="clear" w:color="auto" w:fill="auto"/>
            <w:vAlign w:val="center"/>
          </w:tcPr>
          <w:p w14:paraId="75966638">
            <w:pPr>
              <w:pStyle w:val="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2.6</w:t>
            </w:r>
          </w:p>
        </w:tc>
        <w:tc>
          <w:tcPr>
            <w:tcW w:w="1096" w:type="pct"/>
            <w:shd w:val="clear" w:color="auto" w:fill="auto"/>
            <w:vAlign w:val="center"/>
          </w:tcPr>
          <w:p w14:paraId="3BB8F243">
            <w:pPr>
              <w:pStyle w:val="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合同履行期限、交货</w:t>
            </w:r>
            <w:r>
              <w:rPr>
                <w:rFonts w:hint="eastAsia" w:ascii="仿宋" w:hAnsi="仿宋" w:eastAsia="仿宋" w:cs="仿宋"/>
                <w:color w:val="auto"/>
                <w:sz w:val="24"/>
                <w:szCs w:val="24"/>
                <w:highlight w:val="none"/>
              </w:rPr>
              <w:t>地点</w:t>
            </w:r>
          </w:p>
        </w:tc>
        <w:tc>
          <w:tcPr>
            <w:tcW w:w="3389" w:type="pct"/>
            <w:shd w:val="clear" w:color="auto" w:fill="auto"/>
            <w:vAlign w:val="center"/>
          </w:tcPr>
          <w:p w14:paraId="1A2F4078">
            <w:pPr>
              <w:pStyle w:val="20"/>
              <w:jc w:val="left"/>
              <w:rPr>
                <w:rFonts w:hint="eastAsia" w:ascii="仿宋" w:hAnsi="仿宋" w:eastAsia="仿宋" w:cs="仿宋"/>
                <w:color w:val="auto"/>
                <w:sz w:val="32"/>
                <w:szCs w:val="32"/>
                <w:highlight w:val="none"/>
                <w:lang w:eastAsia="zh-CN"/>
              </w:rPr>
            </w:pPr>
            <w:r>
              <w:rPr>
                <w:rFonts w:hint="eastAsia" w:ascii="仿宋" w:hAnsi="仿宋" w:eastAsia="仿宋" w:cs="仿宋"/>
                <w:color w:val="auto"/>
                <w:sz w:val="24"/>
                <w:szCs w:val="24"/>
                <w:highlight w:val="none"/>
                <w:lang w:val="en-US" w:eastAsia="zh-CN"/>
              </w:rPr>
              <w:t>合同履行期限：合同生签订生效后30个日历天内完成交货安装、调试及验收。</w:t>
            </w:r>
          </w:p>
          <w:p w14:paraId="4F74F83F">
            <w:pPr>
              <w:pStyle w:val="20"/>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交货地点：云南轻纺职业学院（昆明安宁市宁泊路54号）</w:t>
            </w:r>
          </w:p>
        </w:tc>
      </w:tr>
      <w:tr w14:paraId="2FEADA54">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90" w:hRule="atLeast"/>
        </w:trPr>
        <w:tc>
          <w:tcPr>
            <w:tcW w:w="514" w:type="pct"/>
            <w:shd w:val="clear" w:color="auto" w:fill="auto"/>
            <w:vAlign w:val="center"/>
          </w:tcPr>
          <w:p w14:paraId="2C8B466E">
            <w:pPr>
              <w:pStyle w:val="2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2.7</w:t>
            </w:r>
          </w:p>
        </w:tc>
        <w:tc>
          <w:tcPr>
            <w:tcW w:w="1096" w:type="pct"/>
            <w:shd w:val="clear" w:color="auto" w:fill="auto"/>
            <w:vAlign w:val="center"/>
          </w:tcPr>
          <w:p w14:paraId="64C9351B">
            <w:pPr>
              <w:pStyle w:val="20"/>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质量要求</w:t>
            </w:r>
          </w:p>
        </w:tc>
        <w:tc>
          <w:tcPr>
            <w:tcW w:w="3389" w:type="pct"/>
            <w:shd w:val="clear" w:color="auto" w:fill="auto"/>
            <w:vAlign w:val="center"/>
          </w:tcPr>
          <w:p w14:paraId="1ED26E4F">
            <w:pPr>
              <w:pStyle w:val="20"/>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满足国家相关标准、行业标准、地方标准或者其他标准、规范。参照：GB/T 36447-2018《多媒体教学环境设计要求》DB3402/T58—2023《高等学校智慧教室建设规范》。</w:t>
            </w:r>
          </w:p>
        </w:tc>
      </w:tr>
      <w:tr w14:paraId="5A222C70">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270" w:hRule="atLeast"/>
        </w:trPr>
        <w:tc>
          <w:tcPr>
            <w:tcW w:w="514" w:type="pct"/>
            <w:shd w:val="clear" w:color="auto" w:fill="auto"/>
            <w:vAlign w:val="center"/>
          </w:tcPr>
          <w:p w14:paraId="2384FA7D">
            <w:pPr>
              <w:pStyle w:val="2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2.</w:t>
            </w:r>
            <w:r>
              <w:rPr>
                <w:rFonts w:hint="eastAsia" w:ascii="仿宋" w:hAnsi="仿宋" w:eastAsia="仿宋" w:cs="仿宋"/>
                <w:color w:val="auto"/>
                <w:sz w:val="24"/>
                <w:szCs w:val="24"/>
                <w:highlight w:val="none"/>
                <w:lang w:val="en-US" w:eastAsia="zh-CN"/>
              </w:rPr>
              <w:t>8</w:t>
            </w:r>
          </w:p>
        </w:tc>
        <w:tc>
          <w:tcPr>
            <w:tcW w:w="1096" w:type="pct"/>
            <w:shd w:val="clear" w:color="auto" w:fill="auto"/>
            <w:vAlign w:val="center"/>
          </w:tcPr>
          <w:p w14:paraId="7B269347">
            <w:pPr>
              <w:pStyle w:val="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采购需求</w:t>
            </w:r>
          </w:p>
        </w:tc>
        <w:tc>
          <w:tcPr>
            <w:tcW w:w="3389" w:type="pct"/>
            <w:shd w:val="clear" w:color="auto" w:fill="auto"/>
            <w:vAlign w:val="center"/>
          </w:tcPr>
          <w:p w14:paraId="1EF04CD5">
            <w:pPr>
              <w:pStyle w:val="20"/>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详见第一章“招标公告”</w:t>
            </w:r>
            <w:r>
              <w:rPr>
                <w:rFonts w:hint="eastAsia" w:ascii="仿宋" w:hAnsi="仿宋" w:eastAsia="仿宋" w:cs="仿宋"/>
                <w:color w:val="auto"/>
                <w:sz w:val="24"/>
                <w:szCs w:val="24"/>
                <w:highlight w:val="none"/>
                <w:lang w:val="en-US" w:eastAsia="zh-CN"/>
              </w:rPr>
              <w:t>及第三章“采购需求”</w:t>
            </w:r>
          </w:p>
        </w:tc>
      </w:tr>
      <w:tr w14:paraId="460CFEF4">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514" w:type="pct"/>
            <w:shd w:val="clear" w:color="auto" w:fill="auto"/>
            <w:vAlign w:val="center"/>
          </w:tcPr>
          <w:p w14:paraId="55E9D0E6">
            <w:pPr>
              <w:pStyle w:val="2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2.</w:t>
            </w:r>
            <w:r>
              <w:rPr>
                <w:rFonts w:hint="eastAsia" w:ascii="仿宋" w:hAnsi="仿宋" w:eastAsia="仿宋" w:cs="仿宋"/>
                <w:color w:val="auto"/>
                <w:sz w:val="24"/>
                <w:szCs w:val="24"/>
                <w:highlight w:val="none"/>
                <w:lang w:val="en-US" w:eastAsia="zh-CN"/>
              </w:rPr>
              <w:t>9</w:t>
            </w:r>
          </w:p>
        </w:tc>
        <w:tc>
          <w:tcPr>
            <w:tcW w:w="1096" w:type="pct"/>
            <w:shd w:val="clear" w:color="auto" w:fill="auto"/>
            <w:vAlign w:val="center"/>
          </w:tcPr>
          <w:p w14:paraId="311F543D">
            <w:pPr>
              <w:pStyle w:val="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项目属性</w:t>
            </w:r>
          </w:p>
        </w:tc>
        <w:tc>
          <w:tcPr>
            <w:tcW w:w="3389" w:type="pct"/>
            <w:shd w:val="clear" w:color="auto" w:fill="auto"/>
            <w:vAlign w:val="center"/>
          </w:tcPr>
          <w:p w14:paraId="0AE59EFD">
            <w:pPr>
              <w:pStyle w:val="2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货物</w:t>
            </w:r>
          </w:p>
        </w:tc>
      </w:tr>
      <w:tr w14:paraId="1A5B51CA">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90" w:hRule="atLeast"/>
        </w:trPr>
        <w:tc>
          <w:tcPr>
            <w:tcW w:w="514" w:type="pct"/>
            <w:shd w:val="clear" w:color="auto" w:fill="auto"/>
            <w:vAlign w:val="center"/>
          </w:tcPr>
          <w:p w14:paraId="22DEB808">
            <w:pPr>
              <w:pStyle w:val="2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2.10</w:t>
            </w:r>
          </w:p>
        </w:tc>
        <w:tc>
          <w:tcPr>
            <w:tcW w:w="1096" w:type="pct"/>
            <w:shd w:val="clear" w:color="auto" w:fill="auto"/>
            <w:vAlign w:val="center"/>
          </w:tcPr>
          <w:p w14:paraId="6F118DB0">
            <w:pPr>
              <w:pStyle w:val="2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标段划分</w:t>
            </w:r>
          </w:p>
        </w:tc>
        <w:tc>
          <w:tcPr>
            <w:tcW w:w="3389" w:type="pct"/>
            <w:shd w:val="clear" w:color="auto" w:fill="auto"/>
            <w:vAlign w:val="center"/>
          </w:tcPr>
          <w:p w14:paraId="5056B24D">
            <w:pPr>
              <w:pStyle w:val="20"/>
              <w:jc w:val="left"/>
              <w:rPr>
                <w:rFonts w:hint="eastAsia" w:ascii="仿宋" w:hAnsi="仿宋" w:eastAsia="仿宋" w:cs="仿宋"/>
                <w:color w:val="auto"/>
                <w:highlight w:val="none"/>
              </w:rPr>
            </w:pPr>
            <w:r>
              <w:rPr>
                <w:rFonts w:hint="eastAsia" w:ascii="仿宋" w:hAnsi="仿宋" w:eastAsia="仿宋" w:cs="仿宋"/>
                <w:color w:val="auto"/>
                <w:sz w:val="24"/>
                <w:szCs w:val="24"/>
                <w:highlight w:val="none"/>
                <w:lang w:val="en-US" w:eastAsia="zh-CN"/>
              </w:rPr>
              <w:t>本项目不划分标段。</w:t>
            </w:r>
          </w:p>
        </w:tc>
      </w:tr>
      <w:tr w14:paraId="25AF3765">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514" w:type="pct"/>
            <w:shd w:val="clear" w:color="auto" w:fill="auto"/>
            <w:vAlign w:val="center"/>
          </w:tcPr>
          <w:p w14:paraId="36CEA381">
            <w:pPr>
              <w:pStyle w:val="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3.1</w:t>
            </w:r>
          </w:p>
        </w:tc>
        <w:tc>
          <w:tcPr>
            <w:tcW w:w="1096" w:type="pct"/>
            <w:shd w:val="clear" w:color="auto" w:fill="auto"/>
            <w:vAlign w:val="center"/>
          </w:tcPr>
          <w:p w14:paraId="09662C11">
            <w:pPr>
              <w:pStyle w:val="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资金来源</w:t>
            </w:r>
          </w:p>
        </w:tc>
        <w:tc>
          <w:tcPr>
            <w:tcW w:w="3389" w:type="pct"/>
            <w:shd w:val="clear" w:color="auto" w:fill="auto"/>
            <w:vAlign w:val="center"/>
          </w:tcPr>
          <w:p w14:paraId="074191E8">
            <w:pPr>
              <w:pStyle w:val="2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财政性资金</w:t>
            </w:r>
          </w:p>
        </w:tc>
      </w:tr>
      <w:tr w14:paraId="4BCA8D48">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514" w:type="pct"/>
            <w:shd w:val="clear" w:color="auto" w:fill="auto"/>
            <w:vAlign w:val="center"/>
          </w:tcPr>
          <w:p w14:paraId="1569FE43">
            <w:pPr>
              <w:pStyle w:val="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4.1</w:t>
            </w:r>
          </w:p>
        </w:tc>
        <w:tc>
          <w:tcPr>
            <w:tcW w:w="1096" w:type="pct"/>
            <w:shd w:val="clear" w:color="auto" w:fill="auto"/>
            <w:vAlign w:val="center"/>
          </w:tcPr>
          <w:p w14:paraId="4E8B65CE">
            <w:pPr>
              <w:pStyle w:val="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资格要求</w:t>
            </w:r>
          </w:p>
        </w:tc>
        <w:tc>
          <w:tcPr>
            <w:tcW w:w="3389" w:type="pct"/>
            <w:shd w:val="clear" w:color="auto" w:fill="auto"/>
            <w:vAlign w:val="center"/>
          </w:tcPr>
          <w:p w14:paraId="23AD85CE">
            <w:pPr>
              <w:ind w:firstLine="0" w:firstLineChars="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详见第一章“招标公告”</w:t>
            </w:r>
          </w:p>
        </w:tc>
      </w:tr>
      <w:tr w14:paraId="10119615">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514" w:type="pct"/>
            <w:shd w:val="clear" w:color="auto" w:fill="auto"/>
            <w:vAlign w:val="center"/>
          </w:tcPr>
          <w:p w14:paraId="73D83B6E">
            <w:pPr>
              <w:pStyle w:val="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4.2</w:t>
            </w:r>
          </w:p>
        </w:tc>
        <w:tc>
          <w:tcPr>
            <w:tcW w:w="1096" w:type="pct"/>
            <w:shd w:val="clear" w:color="auto" w:fill="auto"/>
            <w:vAlign w:val="center"/>
          </w:tcPr>
          <w:p w14:paraId="72F5B33A">
            <w:pPr>
              <w:pStyle w:val="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是否接受联合体</w:t>
            </w:r>
          </w:p>
          <w:p w14:paraId="7F76DDBA">
            <w:pPr>
              <w:pStyle w:val="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w:t>
            </w:r>
          </w:p>
        </w:tc>
        <w:tc>
          <w:tcPr>
            <w:tcW w:w="3389" w:type="pct"/>
            <w:shd w:val="clear" w:color="auto" w:fill="auto"/>
            <w:vAlign w:val="center"/>
          </w:tcPr>
          <w:p w14:paraId="19E5D42D">
            <w:pPr>
              <w:pStyle w:val="2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sym w:font="Wingdings" w:char="00FE"/>
            </w:r>
            <w:r>
              <w:rPr>
                <w:rFonts w:hint="eastAsia" w:ascii="仿宋" w:hAnsi="仿宋" w:eastAsia="仿宋" w:cs="仿宋"/>
                <w:color w:val="auto"/>
                <w:sz w:val="24"/>
                <w:szCs w:val="24"/>
                <w:highlight w:val="none"/>
              </w:rPr>
              <w:t>不接受</w:t>
            </w:r>
          </w:p>
          <w:p w14:paraId="0F54BEDA">
            <w:pPr>
              <w:pStyle w:val="20"/>
              <w:jc w:val="lef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sym w:font="Wingdings" w:char="00A8"/>
            </w:r>
            <w:r>
              <w:rPr>
                <w:rFonts w:hint="eastAsia" w:ascii="仿宋" w:hAnsi="仿宋" w:eastAsia="仿宋" w:cs="仿宋"/>
                <w:color w:val="auto"/>
                <w:sz w:val="24"/>
                <w:szCs w:val="24"/>
                <w:highlight w:val="none"/>
              </w:rPr>
              <w:t>接受</w:t>
            </w:r>
          </w:p>
        </w:tc>
      </w:tr>
      <w:tr w14:paraId="4769A273">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514" w:type="pct"/>
            <w:shd w:val="clear" w:color="auto" w:fill="auto"/>
            <w:vAlign w:val="center"/>
          </w:tcPr>
          <w:p w14:paraId="383FD6B8">
            <w:pPr>
              <w:pStyle w:val="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9.1</w:t>
            </w:r>
          </w:p>
        </w:tc>
        <w:tc>
          <w:tcPr>
            <w:tcW w:w="1096" w:type="pct"/>
            <w:shd w:val="clear" w:color="auto" w:fill="auto"/>
            <w:vAlign w:val="center"/>
          </w:tcPr>
          <w:p w14:paraId="1106D291">
            <w:pPr>
              <w:pStyle w:val="20"/>
              <w:rPr>
                <w:rFonts w:hint="eastAsia" w:ascii="仿宋" w:hAnsi="仿宋" w:eastAsia="仿宋" w:cs="仿宋"/>
                <w:color w:val="auto"/>
                <w:sz w:val="24"/>
                <w:szCs w:val="24"/>
                <w:highlight w:val="none"/>
              </w:rPr>
            </w:pPr>
            <w:bookmarkStart w:id="70" w:name="_Hlk143529175"/>
            <w:r>
              <w:rPr>
                <w:rFonts w:hint="eastAsia" w:ascii="仿宋" w:hAnsi="仿宋" w:eastAsia="仿宋" w:cs="仿宋"/>
                <w:color w:val="auto"/>
                <w:sz w:val="24"/>
                <w:szCs w:val="24"/>
                <w:highlight w:val="none"/>
              </w:rPr>
              <w:t>现场考察和答疑会</w:t>
            </w:r>
            <w:bookmarkEnd w:id="70"/>
          </w:p>
        </w:tc>
        <w:tc>
          <w:tcPr>
            <w:tcW w:w="3389" w:type="pct"/>
            <w:shd w:val="clear" w:color="auto" w:fill="auto"/>
            <w:vAlign w:val="center"/>
          </w:tcPr>
          <w:p w14:paraId="711D0D22">
            <w:pPr>
              <w:pStyle w:val="2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sym w:font="Wingdings" w:char="00FE"/>
            </w:r>
            <w:r>
              <w:rPr>
                <w:rFonts w:hint="eastAsia" w:ascii="仿宋" w:hAnsi="仿宋" w:eastAsia="仿宋" w:cs="仿宋"/>
                <w:color w:val="auto"/>
                <w:sz w:val="24"/>
                <w:szCs w:val="24"/>
                <w:highlight w:val="none"/>
              </w:rPr>
              <w:t>不组织</w:t>
            </w:r>
          </w:p>
          <w:p w14:paraId="6A207C2D">
            <w:pPr>
              <w:pStyle w:val="2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sym w:font="Wingdings" w:char="00A8"/>
            </w:r>
            <w:r>
              <w:rPr>
                <w:rFonts w:hint="eastAsia" w:ascii="仿宋" w:hAnsi="仿宋" w:eastAsia="仿宋" w:cs="仿宋"/>
                <w:color w:val="auto"/>
                <w:sz w:val="24"/>
                <w:szCs w:val="24"/>
                <w:highlight w:val="none"/>
              </w:rPr>
              <w:t>组织</w:t>
            </w:r>
          </w:p>
        </w:tc>
      </w:tr>
      <w:tr w14:paraId="5C7B47B0">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514" w:type="pct"/>
            <w:shd w:val="clear" w:color="auto" w:fill="auto"/>
            <w:vAlign w:val="center"/>
          </w:tcPr>
          <w:p w14:paraId="0C33DBF5">
            <w:pPr>
              <w:pStyle w:val="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10</w:t>
            </w:r>
          </w:p>
        </w:tc>
        <w:tc>
          <w:tcPr>
            <w:tcW w:w="1096" w:type="pct"/>
            <w:shd w:val="clear" w:color="auto" w:fill="auto"/>
            <w:vAlign w:val="center"/>
          </w:tcPr>
          <w:p w14:paraId="26E696C7">
            <w:pPr>
              <w:pStyle w:val="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中标后分包</w:t>
            </w:r>
          </w:p>
        </w:tc>
        <w:tc>
          <w:tcPr>
            <w:tcW w:w="3389" w:type="pct"/>
            <w:shd w:val="clear" w:color="auto" w:fill="auto"/>
            <w:vAlign w:val="center"/>
          </w:tcPr>
          <w:p w14:paraId="3682C089">
            <w:pPr>
              <w:pStyle w:val="2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sym w:font="Wingdings" w:char="00FE"/>
            </w:r>
            <w:r>
              <w:rPr>
                <w:rFonts w:hint="eastAsia" w:ascii="仿宋" w:hAnsi="仿宋" w:eastAsia="仿宋" w:cs="仿宋"/>
                <w:color w:val="auto"/>
                <w:sz w:val="24"/>
                <w:szCs w:val="24"/>
                <w:highlight w:val="none"/>
              </w:rPr>
              <w:t>不允许</w:t>
            </w:r>
          </w:p>
          <w:p w14:paraId="125A853A">
            <w:pPr>
              <w:pStyle w:val="2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sym w:font="Wingdings" w:char="00A8"/>
            </w:r>
            <w:r>
              <w:rPr>
                <w:rFonts w:hint="eastAsia" w:ascii="仿宋" w:hAnsi="仿宋" w:eastAsia="仿宋" w:cs="仿宋"/>
                <w:color w:val="auto"/>
                <w:sz w:val="24"/>
                <w:szCs w:val="24"/>
                <w:highlight w:val="none"/>
              </w:rPr>
              <w:t>允许</w:t>
            </w:r>
          </w:p>
        </w:tc>
      </w:tr>
      <w:tr w14:paraId="29699BF7">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514" w:type="pct"/>
            <w:shd w:val="clear" w:color="auto" w:fill="auto"/>
            <w:vAlign w:val="center"/>
          </w:tcPr>
          <w:p w14:paraId="5E7C0738">
            <w:pPr>
              <w:pStyle w:val="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11.6</w:t>
            </w:r>
          </w:p>
        </w:tc>
        <w:tc>
          <w:tcPr>
            <w:tcW w:w="1096" w:type="pct"/>
            <w:shd w:val="clear" w:color="auto" w:fill="auto"/>
            <w:vAlign w:val="center"/>
          </w:tcPr>
          <w:p w14:paraId="706BBEAB">
            <w:pPr>
              <w:pStyle w:val="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政府采购交易系统联系方式</w:t>
            </w:r>
          </w:p>
        </w:tc>
        <w:tc>
          <w:tcPr>
            <w:tcW w:w="3389" w:type="pct"/>
            <w:shd w:val="clear" w:color="auto" w:fill="auto"/>
            <w:vAlign w:val="center"/>
          </w:tcPr>
          <w:p w14:paraId="0F0107ED">
            <w:pPr>
              <w:pStyle w:val="2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政采云技术支持电话：</w:t>
            </w:r>
            <w:r>
              <w:rPr>
                <w:rFonts w:hint="eastAsia" w:ascii="仿宋" w:hAnsi="仿宋" w:eastAsia="仿宋" w:cs="仿宋"/>
                <w:color w:val="auto"/>
                <w:sz w:val="24"/>
                <w:szCs w:val="24"/>
                <w:highlight w:val="none"/>
                <w:lang w:eastAsia="zh-CN"/>
              </w:rPr>
              <w:t>95763</w:t>
            </w:r>
            <w:r>
              <w:rPr>
                <w:rFonts w:hint="eastAsia" w:ascii="仿宋" w:hAnsi="仿宋" w:eastAsia="仿宋" w:cs="仿宋"/>
                <w:color w:val="auto"/>
                <w:sz w:val="24"/>
                <w:szCs w:val="24"/>
                <w:highlight w:val="none"/>
              </w:rPr>
              <w:t>（客服热线）</w:t>
            </w:r>
          </w:p>
        </w:tc>
      </w:tr>
      <w:tr w14:paraId="479297D6">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514" w:type="pct"/>
            <w:shd w:val="clear" w:color="auto" w:fill="auto"/>
            <w:vAlign w:val="center"/>
          </w:tcPr>
          <w:p w14:paraId="232FF6DC">
            <w:pPr>
              <w:pStyle w:val="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13.1</w:t>
            </w:r>
          </w:p>
        </w:tc>
        <w:tc>
          <w:tcPr>
            <w:tcW w:w="1096" w:type="pct"/>
            <w:shd w:val="clear" w:color="auto" w:fill="auto"/>
            <w:vAlign w:val="center"/>
          </w:tcPr>
          <w:p w14:paraId="3D28A96A">
            <w:pPr>
              <w:pStyle w:val="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提出询问方式</w:t>
            </w:r>
          </w:p>
        </w:tc>
        <w:tc>
          <w:tcPr>
            <w:tcW w:w="3389" w:type="pct"/>
            <w:shd w:val="clear" w:color="auto" w:fill="auto"/>
            <w:vAlign w:val="center"/>
          </w:tcPr>
          <w:p w14:paraId="076CB19C">
            <w:pPr>
              <w:pStyle w:val="2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对政府采购活动事项有疑问的，可以向采购人或采购代理机构提出询问，采购人或者采购代理机构在接到询问后的3个工作日内对</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依法提出的询问作出答复，但答复的内容不涉及商业秘密。询问联系人：</w:t>
            </w:r>
            <w:r>
              <w:rPr>
                <w:rFonts w:hint="eastAsia" w:cs="仿宋"/>
                <w:color w:val="auto"/>
                <w:sz w:val="24"/>
                <w:szCs w:val="24"/>
                <w:highlight w:val="none"/>
                <w:lang w:val="en-US" w:eastAsia="zh-CN"/>
              </w:rPr>
              <w:t>施艳</w:t>
            </w:r>
            <w:r>
              <w:rPr>
                <w:rFonts w:hint="eastAsia" w:ascii="仿宋" w:hAnsi="仿宋" w:eastAsia="仿宋" w:cs="仿宋"/>
                <w:color w:val="auto"/>
                <w:sz w:val="24"/>
                <w:szCs w:val="24"/>
                <w:highlight w:val="none"/>
              </w:rPr>
              <w:t>，电话：</w:t>
            </w:r>
            <w:r>
              <w:rPr>
                <w:rFonts w:hint="eastAsia" w:cs="仿宋"/>
                <w:color w:val="auto"/>
                <w:sz w:val="24"/>
                <w:szCs w:val="24"/>
                <w:highlight w:val="none"/>
                <w:lang w:val="en-US" w:eastAsia="zh-CN"/>
              </w:rPr>
              <w:t>18987263121</w:t>
            </w:r>
            <w:r>
              <w:rPr>
                <w:rFonts w:hint="eastAsia" w:ascii="仿宋" w:hAnsi="仿宋" w:eastAsia="仿宋" w:cs="仿宋"/>
                <w:color w:val="auto"/>
                <w:sz w:val="24"/>
                <w:szCs w:val="24"/>
                <w:highlight w:val="none"/>
              </w:rPr>
              <w:t>。</w:t>
            </w:r>
          </w:p>
        </w:tc>
      </w:tr>
      <w:tr w14:paraId="6A3E670F">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514" w:type="pct"/>
            <w:shd w:val="clear" w:color="auto" w:fill="auto"/>
            <w:vAlign w:val="center"/>
          </w:tcPr>
          <w:p w14:paraId="45FFE2E7">
            <w:pPr>
              <w:pStyle w:val="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15.2</w:t>
            </w:r>
          </w:p>
        </w:tc>
        <w:tc>
          <w:tcPr>
            <w:tcW w:w="1096" w:type="pct"/>
            <w:shd w:val="clear" w:color="auto" w:fill="auto"/>
            <w:vAlign w:val="center"/>
          </w:tcPr>
          <w:p w14:paraId="7688BDFF">
            <w:pPr>
              <w:pStyle w:val="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报价方式</w:t>
            </w:r>
          </w:p>
        </w:tc>
        <w:tc>
          <w:tcPr>
            <w:tcW w:w="3389" w:type="pct"/>
            <w:shd w:val="clear" w:color="auto" w:fill="auto"/>
            <w:vAlign w:val="center"/>
          </w:tcPr>
          <w:p w14:paraId="00B76954">
            <w:pPr>
              <w:pStyle w:val="2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按照</w:t>
            </w:r>
            <w:r>
              <w:rPr>
                <w:rFonts w:hint="eastAsia" w:ascii="仿宋" w:hAnsi="仿宋" w:eastAsia="仿宋" w:cs="仿宋"/>
                <w:color w:val="auto"/>
                <w:sz w:val="24"/>
                <w:szCs w:val="24"/>
                <w:highlight w:val="none"/>
                <w:lang w:eastAsia="zh-CN"/>
              </w:rPr>
              <w:t>招标文件“</w:t>
            </w:r>
            <w:r>
              <w:rPr>
                <w:rFonts w:hint="eastAsia" w:ascii="仿宋" w:hAnsi="仿宋" w:eastAsia="仿宋" w:cs="仿宋"/>
                <w:color w:val="auto"/>
                <w:sz w:val="24"/>
                <w:szCs w:val="24"/>
                <w:highlight w:val="none"/>
              </w:rPr>
              <w:t>第七章 投标文件的格式</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要求填写报价。</w:t>
            </w:r>
          </w:p>
        </w:tc>
      </w:tr>
      <w:tr w14:paraId="5245708F">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514" w:type="pct"/>
            <w:shd w:val="clear" w:color="auto" w:fill="auto"/>
            <w:vAlign w:val="center"/>
          </w:tcPr>
          <w:p w14:paraId="3F1F0697">
            <w:pPr>
              <w:pStyle w:val="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15.6</w:t>
            </w:r>
          </w:p>
        </w:tc>
        <w:tc>
          <w:tcPr>
            <w:tcW w:w="1096" w:type="pct"/>
            <w:shd w:val="clear" w:color="auto" w:fill="auto"/>
            <w:vAlign w:val="center"/>
          </w:tcPr>
          <w:p w14:paraId="0D0FF155">
            <w:pPr>
              <w:pStyle w:val="2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最高限价</w:t>
            </w:r>
          </w:p>
        </w:tc>
        <w:tc>
          <w:tcPr>
            <w:tcW w:w="3389" w:type="pct"/>
            <w:shd w:val="clear" w:color="auto" w:fill="auto"/>
            <w:vAlign w:val="center"/>
          </w:tcPr>
          <w:p w14:paraId="1CF82CAC">
            <w:pPr>
              <w:pStyle w:val="2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最高限价：</w:t>
            </w:r>
            <w:r>
              <w:rPr>
                <w:rFonts w:hint="eastAsia" w:ascii="仿宋" w:hAnsi="仿宋" w:eastAsia="仿宋" w:cs="仿宋"/>
                <w:b/>
                <w:bCs/>
                <w:color w:val="auto"/>
                <w:sz w:val="24"/>
                <w:szCs w:val="24"/>
                <w:highlight w:val="none"/>
                <w:u w:val="single"/>
                <w:lang w:val="en-US" w:eastAsia="zh-CN"/>
              </w:rPr>
              <w:t>详见“第一章 招标公告”</w:t>
            </w:r>
          </w:p>
          <w:p w14:paraId="2CDFFB75">
            <w:pPr>
              <w:pStyle w:val="20"/>
              <w:spacing w:line="240" w:lineRule="auto"/>
              <w:ind w:firstLine="482" w:firstLineChars="200"/>
              <w:jc w:val="left"/>
              <w:rPr>
                <w:rFonts w:hint="eastAsia" w:ascii="仿宋" w:hAnsi="仿宋" w:eastAsia="仿宋" w:cs="仿宋"/>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注：本项目投标人的投标总报价不得超过最高限价，否则按照无效投标处理。</w:t>
            </w:r>
          </w:p>
        </w:tc>
      </w:tr>
      <w:tr w14:paraId="409BBE06">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90" w:hRule="atLeast"/>
        </w:trPr>
        <w:tc>
          <w:tcPr>
            <w:tcW w:w="514" w:type="pct"/>
            <w:shd w:val="clear" w:color="auto" w:fill="auto"/>
            <w:vAlign w:val="center"/>
          </w:tcPr>
          <w:p w14:paraId="782707A8">
            <w:pPr>
              <w:pStyle w:val="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16.1</w:t>
            </w:r>
          </w:p>
        </w:tc>
        <w:tc>
          <w:tcPr>
            <w:tcW w:w="1096" w:type="pct"/>
            <w:shd w:val="clear" w:color="auto" w:fill="auto"/>
            <w:vAlign w:val="center"/>
          </w:tcPr>
          <w:p w14:paraId="62798CD0">
            <w:pPr>
              <w:pStyle w:val="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投标有效期</w:t>
            </w:r>
          </w:p>
        </w:tc>
        <w:tc>
          <w:tcPr>
            <w:tcW w:w="3389" w:type="pct"/>
            <w:shd w:val="clear" w:color="auto" w:fill="auto"/>
            <w:vAlign w:val="center"/>
          </w:tcPr>
          <w:p w14:paraId="3C45CDA3">
            <w:pPr>
              <w:pStyle w:val="20"/>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提交</w:t>
            </w:r>
            <w:r>
              <w:rPr>
                <w:rFonts w:hint="eastAsia" w:ascii="仿宋" w:hAnsi="仿宋" w:eastAsia="仿宋" w:cs="仿宋"/>
                <w:color w:val="auto"/>
                <w:sz w:val="24"/>
                <w:szCs w:val="24"/>
                <w:highlight w:val="none"/>
                <w:lang w:eastAsia="zh-CN"/>
              </w:rPr>
              <w:t>投标文件截止之日起90日历天</w:t>
            </w:r>
          </w:p>
        </w:tc>
      </w:tr>
      <w:tr w14:paraId="65104ADE">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514" w:type="pct"/>
            <w:shd w:val="clear" w:color="auto" w:fill="auto"/>
            <w:vAlign w:val="center"/>
          </w:tcPr>
          <w:p w14:paraId="5123AFFF">
            <w:pPr>
              <w:pStyle w:val="20"/>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w:t>
            </w:r>
            <w:r>
              <w:rPr>
                <w:rFonts w:hint="eastAsia" w:ascii="仿宋" w:hAnsi="仿宋" w:eastAsia="仿宋" w:cs="仿宋"/>
                <w:color w:val="auto"/>
                <w:sz w:val="24"/>
                <w:szCs w:val="24"/>
                <w:highlight w:val="none"/>
              </w:rPr>
              <w:t>17.1</w:t>
            </w:r>
          </w:p>
        </w:tc>
        <w:tc>
          <w:tcPr>
            <w:tcW w:w="1096" w:type="pct"/>
            <w:shd w:val="clear" w:color="auto" w:fill="auto"/>
            <w:vAlign w:val="center"/>
          </w:tcPr>
          <w:p w14:paraId="05273261">
            <w:pPr>
              <w:pStyle w:val="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投标保证金</w:t>
            </w:r>
          </w:p>
        </w:tc>
        <w:tc>
          <w:tcPr>
            <w:tcW w:w="3389" w:type="pct"/>
            <w:shd w:val="clear" w:color="auto" w:fill="auto"/>
            <w:vAlign w:val="center"/>
          </w:tcPr>
          <w:p w14:paraId="079058EF">
            <w:pPr>
              <w:pStyle w:val="4"/>
              <w:ind w:left="0" w:leftChars="0" w:firstLine="0" w:firstLineChars="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一、本项目投标保证金提交形式包括：</w:t>
            </w:r>
            <w:r>
              <w:rPr>
                <w:rFonts w:hint="eastAsia" w:ascii="仿宋" w:hAnsi="仿宋" w:eastAsia="仿宋" w:cs="仿宋"/>
                <w:b/>
                <w:bCs/>
                <w:color w:val="auto"/>
                <w:sz w:val="24"/>
                <w:szCs w:val="24"/>
                <w:highlight w:val="none"/>
                <w:u w:val="single"/>
              </w:rPr>
              <w:t>支票、汇票、本票、保函、保证保险、银行转账、网银、电汇等</w:t>
            </w:r>
            <w:r>
              <w:rPr>
                <w:rFonts w:hint="eastAsia" w:ascii="仿宋" w:hAnsi="仿宋" w:eastAsia="仿宋" w:cs="仿宋"/>
                <w:b/>
                <w:bCs/>
                <w:color w:val="auto"/>
                <w:sz w:val="24"/>
                <w:szCs w:val="24"/>
                <w:highlight w:val="none"/>
                <w:u w:val="single"/>
                <w:lang w:eastAsia="zh-CN"/>
              </w:rPr>
              <w:t>其他非现金</w:t>
            </w:r>
            <w:r>
              <w:rPr>
                <w:rFonts w:hint="eastAsia" w:ascii="仿宋" w:hAnsi="仿宋" w:eastAsia="仿宋" w:cs="仿宋"/>
                <w:b/>
                <w:bCs/>
                <w:color w:val="auto"/>
                <w:sz w:val="24"/>
                <w:szCs w:val="24"/>
                <w:highlight w:val="none"/>
                <w:u w:val="single"/>
              </w:rPr>
              <w:t>形式</w:t>
            </w:r>
            <w:r>
              <w:rPr>
                <w:rFonts w:hint="eastAsia" w:ascii="仿宋" w:hAnsi="仿宋" w:eastAsia="仿宋" w:cs="仿宋"/>
                <w:color w:val="auto"/>
                <w:sz w:val="24"/>
                <w:szCs w:val="24"/>
                <w:highlight w:val="none"/>
              </w:rPr>
              <w:t>。</w:t>
            </w:r>
          </w:p>
          <w:p w14:paraId="13828A52">
            <w:pPr>
              <w:ind w:left="0" w:leftChars="0" w:firstLine="0" w:firstLineChars="0"/>
              <w:rPr>
                <w:rFonts w:hint="eastAsia" w:ascii="仿宋" w:hAnsi="仿宋" w:eastAsia="仿宋" w:cs="仿宋"/>
                <w:b/>
                <w:bCs/>
                <w:color w:val="auto"/>
                <w:kern w:val="2"/>
                <w:sz w:val="24"/>
                <w:szCs w:val="24"/>
                <w:highlight w:val="none"/>
                <w:lang w:val="en-US" w:eastAsia="zh-CN" w:bidi="ar-SA"/>
              </w:rPr>
            </w:pPr>
            <w:r>
              <w:rPr>
                <w:rFonts w:hint="eastAsia" w:ascii="仿宋" w:hAnsi="仿宋" w:eastAsia="仿宋" w:cs="仿宋"/>
                <w:color w:val="auto"/>
                <w:sz w:val="24"/>
                <w:szCs w:val="24"/>
                <w:highlight w:val="none"/>
              </w:rPr>
              <w:t>二、投标保证金金额：</w:t>
            </w:r>
            <w:r>
              <w:rPr>
                <w:rFonts w:hint="eastAsia" w:cs="仿宋"/>
                <w:b/>
                <w:bCs/>
                <w:color w:val="auto"/>
                <w:kern w:val="2"/>
                <w:sz w:val="24"/>
                <w:szCs w:val="24"/>
                <w:highlight w:val="none"/>
                <w:u w:val="single"/>
                <w:lang w:val="en-US" w:eastAsia="zh-CN" w:bidi="ar-SA"/>
              </w:rPr>
              <w:t>5000</w:t>
            </w:r>
            <w:r>
              <w:rPr>
                <w:rFonts w:hint="eastAsia" w:ascii="仿宋" w:hAnsi="仿宋" w:eastAsia="仿宋" w:cs="仿宋"/>
                <w:b/>
                <w:bCs/>
                <w:color w:val="auto"/>
                <w:kern w:val="2"/>
                <w:sz w:val="24"/>
                <w:szCs w:val="24"/>
                <w:highlight w:val="none"/>
                <w:u w:val="single"/>
                <w:lang w:val="en-US" w:eastAsia="zh-CN" w:bidi="ar-SA"/>
              </w:rPr>
              <w:t>.00元</w:t>
            </w:r>
          </w:p>
          <w:p w14:paraId="2DE09BF2">
            <w:pPr>
              <w:pStyle w:val="4"/>
              <w:ind w:left="0" w:leftChars="0" w:firstLine="0" w:firstLineChars="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三、</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通过</w:t>
            </w:r>
            <w:r>
              <w:rPr>
                <w:rFonts w:hint="eastAsia" w:ascii="仿宋" w:hAnsi="仿宋" w:eastAsia="仿宋" w:cs="仿宋"/>
                <w:b/>
                <w:bCs/>
                <w:color w:val="auto"/>
                <w:sz w:val="24"/>
                <w:szCs w:val="24"/>
                <w:highlight w:val="none"/>
                <w:u w:val="single"/>
              </w:rPr>
              <w:t>银行转账、网银、电汇</w:t>
            </w:r>
            <w:r>
              <w:rPr>
                <w:rFonts w:hint="eastAsia" w:ascii="仿宋" w:hAnsi="仿宋" w:eastAsia="仿宋" w:cs="仿宋"/>
                <w:b w:val="0"/>
                <w:bCs w:val="0"/>
                <w:color w:val="auto"/>
                <w:sz w:val="24"/>
                <w:szCs w:val="24"/>
                <w:highlight w:val="none"/>
                <w:u w:val="none"/>
              </w:rPr>
              <w:t>形式</w:t>
            </w:r>
            <w:r>
              <w:rPr>
                <w:rFonts w:hint="eastAsia" w:ascii="仿宋" w:hAnsi="仿宋" w:eastAsia="仿宋" w:cs="仿宋"/>
                <w:color w:val="auto"/>
                <w:sz w:val="24"/>
                <w:szCs w:val="24"/>
                <w:highlight w:val="none"/>
              </w:rPr>
              <w:t>提交投标保证金的，投标保证金应当从</w:t>
            </w:r>
            <w:r>
              <w:rPr>
                <w:rFonts w:hint="eastAsia" w:ascii="仿宋" w:hAnsi="仿宋" w:eastAsia="仿宋" w:cs="仿宋"/>
                <w:b/>
                <w:bCs/>
                <w:color w:val="auto"/>
                <w:sz w:val="24"/>
                <w:szCs w:val="24"/>
                <w:highlight w:val="none"/>
                <w:u w:val="single"/>
                <w:lang w:eastAsia="zh-CN"/>
              </w:rPr>
              <w:t>投标人</w:t>
            </w:r>
            <w:r>
              <w:rPr>
                <w:rFonts w:hint="eastAsia" w:cs="仿宋"/>
                <w:b/>
                <w:bCs/>
                <w:color w:val="auto"/>
                <w:sz w:val="24"/>
                <w:szCs w:val="24"/>
                <w:highlight w:val="none"/>
                <w:u w:val="single"/>
                <w:lang w:val="en-US" w:eastAsia="zh-CN"/>
              </w:rPr>
              <w:t>公</w:t>
            </w:r>
            <w:r>
              <w:rPr>
                <w:rFonts w:hint="eastAsia" w:ascii="仿宋" w:hAnsi="仿宋" w:eastAsia="仿宋" w:cs="仿宋"/>
                <w:b/>
                <w:bCs/>
                <w:color w:val="auto"/>
                <w:sz w:val="24"/>
                <w:szCs w:val="24"/>
                <w:highlight w:val="none"/>
                <w:u w:val="single"/>
              </w:rPr>
              <w:t>户</w:t>
            </w:r>
            <w:r>
              <w:rPr>
                <w:rFonts w:hint="eastAsia" w:ascii="仿宋" w:hAnsi="仿宋" w:eastAsia="仿宋" w:cs="仿宋"/>
                <w:color w:val="auto"/>
                <w:sz w:val="24"/>
                <w:szCs w:val="24"/>
                <w:highlight w:val="none"/>
              </w:rPr>
              <w:t>转出：</w:t>
            </w:r>
          </w:p>
          <w:p w14:paraId="086DA990">
            <w:pPr>
              <w:pStyle w:val="4"/>
              <w:ind w:left="0" w:leftChars="0" w:firstLine="480" w:firstLineChars="20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转入账户名称：</w:t>
            </w:r>
            <w:r>
              <w:rPr>
                <w:rFonts w:hint="eastAsia" w:ascii="仿宋" w:hAnsi="仿宋" w:eastAsia="仿宋" w:cs="仿宋"/>
                <w:b/>
                <w:bCs/>
                <w:color w:val="auto"/>
                <w:sz w:val="24"/>
                <w:szCs w:val="24"/>
                <w:highlight w:val="none"/>
                <w:u w:val="single"/>
              </w:rPr>
              <w:t>云南润达工程项目管理咨询有限公司</w:t>
            </w:r>
            <w:r>
              <w:rPr>
                <w:rFonts w:hint="eastAsia" w:ascii="仿宋" w:hAnsi="仿宋" w:eastAsia="仿宋" w:cs="仿宋"/>
                <w:b/>
                <w:bCs/>
                <w:color w:val="auto"/>
                <w:sz w:val="24"/>
                <w:szCs w:val="24"/>
                <w:highlight w:val="none"/>
              </w:rPr>
              <w:t xml:space="preserve"> </w:t>
            </w:r>
          </w:p>
          <w:p w14:paraId="5178A617">
            <w:pPr>
              <w:pStyle w:val="4"/>
              <w:ind w:firstLine="480"/>
              <w:jc w:val="both"/>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账号：</w:t>
            </w:r>
            <w:r>
              <w:rPr>
                <w:rFonts w:hint="eastAsia" w:ascii="仿宋" w:hAnsi="仿宋" w:eastAsia="仿宋" w:cs="仿宋"/>
                <w:b/>
                <w:bCs/>
                <w:color w:val="auto"/>
                <w:sz w:val="24"/>
                <w:szCs w:val="24"/>
                <w:highlight w:val="none"/>
                <w:u w:val="single"/>
              </w:rPr>
              <w:t>0500028531099012</w:t>
            </w:r>
          </w:p>
          <w:p w14:paraId="324655D1">
            <w:pPr>
              <w:pStyle w:val="4"/>
              <w:ind w:firstLine="480"/>
              <w:jc w:val="both"/>
              <w:rPr>
                <w:rFonts w:hint="eastAsia" w:ascii="仿宋" w:hAnsi="仿宋" w:eastAsia="仿宋" w:cs="仿宋"/>
                <w:b/>
                <w:bCs/>
                <w:color w:val="auto"/>
                <w:sz w:val="24"/>
                <w:szCs w:val="24"/>
                <w:highlight w:val="none"/>
                <w:u w:val="single"/>
              </w:rPr>
            </w:pPr>
            <w:r>
              <w:rPr>
                <w:rFonts w:hint="eastAsia" w:ascii="仿宋" w:hAnsi="仿宋" w:eastAsia="仿宋" w:cs="仿宋"/>
                <w:color w:val="auto"/>
                <w:sz w:val="24"/>
                <w:szCs w:val="24"/>
                <w:highlight w:val="none"/>
              </w:rPr>
              <w:t>开户银行：</w:t>
            </w:r>
            <w:r>
              <w:rPr>
                <w:rFonts w:hint="eastAsia" w:ascii="仿宋" w:hAnsi="仿宋" w:eastAsia="仿宋" w:cs="仿宋"/>
                <w:b/>
                <w:bCs/>
                <w:color w:val="auto"/>
                <w:sz w:val="24"/>
                <w:szCs w:val="24"/>
                <w:highlight w:val="none"/>
                <w:u w:val="single"/>
              </w:rPr>
              <w:t>昆明市西山区农村信用合作联社棕树营信用社</w:t>
            </w:r>
          </w:p>
          <w:p w14:paraId="3C88EA67">
            <w:pPr>
              <w:pStyle w:val="4"/>
              <w:ind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投标保证金的提交时间：</w:t>
            </w:r>
            <w:r>
              <w:rPr>
                <w:rFonts w:hint="eastAsia" w:ascii="仿宋" w:hAnsi="仿宋" w:eastAsia="仿宋" w:cs="仿宋"/>
                <w:b/>
                <w:bCs/>
                <w:color w:val="auto"/>
                <w:sz w:val="24"/>
                <w:szCs w:val="24"/>
                <w:highlight w:val="none"/>
                <w:u w:val="single"/>
              </w:rPr>
              <w:t>保证金到账截止时间为投标文件提交截止时间，到账时间以实际到达转入账户时间为准，未按时到账的保证金视为未提交投标保证金</w:t>
            </w:r>
            <w:r>
              <w:rPr>
                <w:rFonts w:hint="eastAsia" w:ascii="仿宋" w:hAnsi="仿宋" w:eastAsia="仿宋" w:cs="仿宋"/>
                <w:color w:val="auto"/>
                <w:sz w:val="24"/>
                <w:szCs w:val="24"/>
                <w:highlight w:val="none"/>
              </w:rPr>
              <w:t>。</w:t>
            </w:r>
          </w:p>
          <w:p w14:paraId="5DF7FE8F">
            <w:pPr>
              <w:pStyle w:val="4"/>
              <w:ind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四、采用</w:t>
            </w:r>
            <w:r>
              <w:rPr>
                <w:rFonts w:hint="eastAsia" w:ascii="仿宋" w:hAnsi="仿宋" w:eastAsia="仿宋" w:cs="仿宋"/>
                <w:b/>
                <w:bCs/>
                <w:color w:val="auto"/>
                <w:sz w:val="24"/>
                <w:szCs w:val="24"/>
                <w:highlight w:val="none"/>
                <w:u w:val="single"/>
              </w:rPr>
              <w:t>支票、汇票、本票</w:t>
            </w:r>
            <w:r>
              <w:rPr>
                <w:rFonts w:hint="eastAsia" w:ascii="仿宋" w:hAnsi="仿宋" w:eastAsia="仿宋" w:cs="仿宋"/>
                <w:color w:val="auto"/>
                <w:sz w:val="24"/>
                <w:szCs w:val="24"/>
                <w:highlight w:val="none"/>
              </w:rPr>
              <w:t>形式提交投标保证金的，投标保证金应当从</w:t>
            </w:r>
            <w:r>
              <w:rPr>
                <w:rFonts w:hint="eastAsia" w:ascii="仿宋" w:hAnsi="仿宋" w:eastAsia="仿宋" w:cs="仿宋"/>
                <w:b/>
                <w:bCs/>
                <w:color w:val="auto"/>
                <w:sz w:val="24"/>
                <w:szCs w:val="24"/>
                <w:highlight w:val="none"/>
                <w:u w:val="single"/>
                <w:lang w:eastAsia="zh-CN"/>
              </w:rPr>
              <w:t>投标人</w:t>
            </w:r>
            <w:r>
              <w:rPr>
                <w:rFonts w:hint="eastAsia" w:cs="仿宋"/>
                <w:b/>
                <w:bCs/>
                <w:color w:val="auto"/>
                <w:sz w:val="24"/>
                <w:szCs w:val="24"/>
                <w:highlight w:val="none"/>
                <w:u w:val="single"/>
                <w:lang w:val="en-US" w:eastAsia="zh-CN"/>
              </w:rPr>
              <w:t>公</w:t>
            </w:r>
            <w:r>
              <w:rPr>
                <w:rFonts w:hint="eastAsia" w:ascii="仿宋" w:hAnsi="仿宋" w:eastAsia="仿宋" w:cs="仿宋"/>
                <w:b/>
                <w:bCs/>
                <w:color w:val="auto"/>
                <w:sz w:val="24"/>
                <w:szCs w:val="24"/>
                <w:highlight w:val="none"/>
                <w:u w:val="single"/>
              </w:rPr>
              <w:t>户</w:t>
            </w:r>
            <w:r>
              <w:rPr>
                <w:rFonts w:hint="eastAsia" w:ascii="仿宋" w:hAnsi="仿宋" w:eastAsia="仿宋" w:cs="仿宋"/>
                <w:color w:val="auto"/>
                <w:sz w:val="24"/>
                <w:szCs w:val="24"/>
                <w:highlight w:val="none"/>
              </w:rPr>
              <w:t>交纳至：</w:t>
            </w:r>
          </w:p>
          <w:p w14:paraId="17904D9E">
            <w:pPr>
              <w:pStyle w:val="4"/>
              <w:ind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开户名称：</w:t>
            </w:r>
            <w:r>
              <w:rPr>
                <w:rFonts w:hint="eastAsia" w:ascii="仿宋" w:hAnsi="仿宋" w:eastAsia="仿宋" w:cs="仿宋"/>
                <w:b/>
                <w:bCs/>
                <w:color w:val="auto"/>
                <w:sz w:val="24"/>
                <w:szCs w:val="24"/>
                <w:highlight w:val="none"/>
                <w:u w:val="single"/>
              </w:rPr>
              <w:t>云南润达工程项目管理咨询有限公司</w:t>
            </w:r>
            <w:r>
              <w:rPr>
                <w:rFonts w:hint="eastAsia" w:ascii="仿宋" w:hAnsi="仿宋" w:eastAsia="仿宋" w:cs="仿宋"/>
                <w:color w:val="auto"/>
                <w:sz w:val="24"/>
                <w:szCs w:val="24"/>
                <w:highlight w:val="none"/>
              </w:rPr>
              <w:t xml:space="preserve"> </w:t>
            </w:r>
          </w:p>
          <w:p w14:paraId="73035080">
            <w:pPr>
              <w:pStyle w:val="4"/>
              <w:ind w:firstLine="480"/>
              <w:jc w:val="both"/>
              <w:rPr>
                <w:rFonts w:hint="eastAsia" w:ascii="仿宋" w:hAnsi="仿宋" w:eastAsia="仿宋" w:cs="仿宋"/>
                <w:b/>
                <w:bCs/>
                <w:color w:val="auto"/>
                <w:sz w:val="24"/>
                <w:szCs w:val="24"/>
                <w:highlight w:val="none"/>
                <w:u w:val="single"/>
              </w:rPr>
            </w:pPr>
            <w:r>
              <w:rPr>
                <w:rFonts w:hint="eastAsia" w:ascii="仿宋" w:hAnsi="仿宋" w:eastAsia="仿宋" w:cs="仿宋"/>
                <w:color w:val="auto"/>
                <w:sz w:val="24"/>
                <w:szCs w:val="24"/>
                <w:highlight w:val="none"/>
              </w:rPr>
              <w:t>账号：</w:t>
            </w:r>
            <w:r>
              <w:rPr>
                <w:rFonts w:hint="eastAsia" w:ascii="仿宋" w:hAnsi="仿宋" w:eastAsia="仿宋" w:cs="仿宋"/>
                <w:b/>
                <w:bCs/>
                <w:color w:val="auto"/>
                <w:sz w:val="24"/>
                <w:szCs w:val="24"/>
                <w:highlight w:val="none"/>
                <w:u w:val="single"/>
              </w:rPr>
              <w:t>0500028531099012</w:t>
            </w:r>
          </w:p>
          <w:p w14:paraId="346CB3F9">
            <w:pPr>
              <w:pStyle w:val="4"/>
              <w:ind w:firstLine="480"/>
              <w:jc w:val="both"/>
              <w:rPr>
                <w:rFonts w:hint="eastAsia" w:ascii="仿宋" w:hAnsi="仿宋" w:eastAsia="仿宋" w:cs="仿宋"/>
                <w:b/>
                <w:bCs/>
                <w:color w:val="auto"/>
                <w:sz w:val="24"/>
                <w:szCs w:val="24"/>
                <w:highlight w:val="none"/>
                <w:u w:val="single"/>
              </w:rPr>
            </w:pPr>
            <w:r>
              <w:rPr>
                <w:rFonts w:hint="eastAsia" w:ascii="仿宋" w:hAnsi="仿宋" w:eastAsia="仿宋" w:cs="仿宋"/>
                <w:color w:val="auto"/>
                <w:sz w:val="24"/>
                <w:szCs w:val="24"/>
                <w:highlight w:val="none"/>
              </w:rPr>
              <w:t>开户银行：</w:t>
            </w:r>
            <w:r>
              <w:rPr>
                <w:rFonts w:hint="eastAsia" w:ascii="仿宋" w:hAnsi="仿宋" w:eastAsia="仿宋" w:cs="仿宋"/>
                <w:b/>
                <w:bCs/>
                <w:color w:val="auto"/>
                <w:sz w:val="24"/>
                <w:szCs w:val="24"/>
                <w:highlight w:val="none"/>
                <w:u w:val="single"/>
              </w:rPr>
              <w:t>昆明市西山区农村信用合作联社棕树营信用社</w:t>
            </w:r>
          </w:p>
          <w:p w14:paraId="49764B51">
            <w:pPr>
              <w:pStyle w:val="4"/>
              <w:ind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保证金提交的时间和程序：</w:t>
            </w:r>
            <w:r>
              <w:rPr>
                <w:rFonts w:hint="eastAsia" w:ascii="仿宋" w:hAnsi="仿宋" w:eastAsia="仿宋" w:cs="仿宋"/>
                <w:b/>
                <w:bCs/>
                <w:color w:val="auto"/>
                <w:sz w:val="24"/>
                <w:szCs w:val="24"/>
                <w:highlight w:val="none"/>
                <w:u w:val="single"/>
              </w:rPr>
              <w:t>支票、汇票、本票的相关有效凭证（原件）必须在提交投标文件截止时间前递交至采购代理机构（昆明市西山区西福路山海春风3幢101号）财务室，未按时递交的视为未提交投标保证金。联系电话：0871-65353586、递交时间：法定工作日上午9</w:t>
            </w:r>
            <w:r>
              <w:rPr>
                <w:rFonts w:hint="eastAsia" w:ascii="仿宋" w:hAnsi="仿宋" w:eastAsia="仿宋" w:cs="仿宋"/>
                <w:b/>
                <w:bCs/>
                <w:color w:val="auto"/>
                <w:sz w:val="24"/>
                <w:szCs w:val="24"/>
                <w:highlight w:val="none"/>
                <w:u w:val="single"/>
                <w:lang w:eastAsia="zh-CN"/>
              </w:rPr>
              <w:t>:</w:t>
            </w:r>
            <w:r>
              <w:rPr>
                <w:rFonts w:hint="eastAsia" w:ascii="仿宋" w:hAnsi="仿宋" w:eastAsia="仿宋" w:cs="仿宋"/>
                <w:b/>
                <w:bCs/>
                <w:color w:val="auto"/>
                <w:sz w:val="24"/>
                <w:szCs w:val="24"/>
                <w:highlight w:val="none"/>
                <w:u w:val="single"/>
              </w:rPr>
              <w:t>00-12</w:t>
            </w:r>
            <w:r>
              <w:rPr>
                <w:rFonts w:hint="eastAsia" w:ascii="仿宋" w:hAnsi="仿宋" w:eastAsia="仿宋" w:cs="仿宋"/>
                <w:b/>
                <w:bCs/>
                <w:color w:val="auto"/>
                <w:sz w:val="24"/>
                <w:szCs w:val="24"/>
                <w:highlight w:val="none"/>
                <w:u w:val="single"/>
                <w:lang w:eastAsia="zh-CN"/>
              </w:rPr>
              <w:t>:</w:t>
            </w:r>
            <w:r>
              <w:rPr>
                <w:rFonts w:hint="eastAsia" w:ascii="仿宋" w:hAnsi="仿宋" w:eastAsia="仿宋" w:cs="仿宋"/>
                <w:b/>
                <w:bCs/>
                <w:color w:val="auto"/>
                <w:sz w:val="24"/>
                <w:szCs w:val="24"/>
                <w:highlight w:val="none"/>
                <w:u w:val="single"/>
              </w:rPr>
              <w:t>00、</w:t>
            </w:r>
            <w:r>
              <w:rPr>
                <w:rFonts w:hint="eastAsia" w:ascii="仿宋" w:hAnsi="仿宋" w:eastAsia="仿宋" w:cs="仿宋"/>
                <w:b/>
                <w:bCs/>
                <w:color w:val="auto"/>
                <w:sz w:val="24"/>
                <w:szCs w:val="24"/>
                <w:highlight w:val="none"/>
                <w:u w:val="single"/>
                <w:lang w:eastAsia="zh-CN"/>
              </w:rPr>
              <w:t>13:30</w:t>
            </w:r>
            <w:r>
              <w:rPr>
                <w:rFonts w:hint="eastAsia" w:ascii="仿宋" w:hAnsi="仿宋" w:eastAsia="仿宋" w:cs="仿宋"/>
                <w:b/>
                <w:bCs/>
                <w:color w:val="auto"/>
                <w:sz w:val="24"/>
                <w:szCs w:val="24"/>
                <w:highlight w:val="none"/>
                <w:u w:val="single"/>
              </w:rPr>
              <w:t>-17</w:t>
            </w:r>
            <w:r>
              <w:rPr>
                <w:rFonts w:hint="eastAsia" w:ascii="仿宋" w:hAnsi="仿宋" w:eastAsia="仿宋" w:cs="仿宋"/>
                <w:b/>
                <w:bCs/>
                <w:color w:val="auto"/>
                <w:sz w:val="24"/>
                <w:szCs w:val="24"/>
                <w:highlight w:val="none"/>
                <w:u w:val="single"/>
                <w:lang w:eastAsia="zh-CN"/>
              </w:rPr>
              <w:t>:</w:t>
            </w:r>
            <w:r>
              <w:rPr>
                <w:rFonts w:hint="eastAsia" w:ascii="仿宋" w:hAnsi="仿宋" w:eastAsia="仿宋" w:cs="仿宋"/>
                <w:b/>
                <w:bCs/>
                <w:color w:val="auto"/>
                <w:sz w:val="24"/>
                <w:szCs w:val="24"/>
                <w:highlight w:val="none"/>
                <w:u w:val="single"/>
              </w:rPr>
              <w:t>00</w:t>
            </w:r>
            <w:r>
              <w:rPr>
                <w:rFonts w:hint="eastAsia" w:ascii="仿宋" w:hAnsi="仿宋" w:eastAsia="仿宋" w:cs="仿宋"/>
                <w:color w:val="auto"/>
                <w:sz w:val="24"/>
                <w:szCs w:val="24"/>
                <w:highlight w:val="none"/>
              </w:rPr>
              <w:t>。</w:t>
            </w:r>
          </w:p>
          <w:p w14:paraId="5D256097">
            <w:pPr>
              <w:pStyle w:val="4"/>
              <w:ind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五、</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以</w:t>
            </w:r>
            <w:r>
              <w:rPr>
                <w:rFonts w:hint="eastAsia" w:ascii="仿宋" w:hAnsi="仿宋" w:eastAsia="仿宋" w:cs="仿宋"/>
                <w:b/>
                <w:bCs/>
                <w:color w:val="auto"/>
                <w:sz w:val="24"/>
                <w:szCs w:val="24"/>
                <w:highlight w:val="none"/>
                <w:u w:val="single"/>
              </w:rPr>
              <w:t>保函、保证保险</w:t>
            </w:r>
            <w:r>
              <w:rPr>
                <w:rFonts w:hint="eastAsia" w:ascii="仿宋" w:hAnsi="仿宋" w:eastAsia="仿宋" w:cs="仿宋"/>
                <w:color w:val="auto"/>
                <w:sz w:val="24"/>
                <w:szCs w:val="24"/>
                <w:highlight w:val="none"/>
              </w:rPr>
              <w:t>等非现金形式提交保证金的：</w:t>
            </w:r>
          </w:p>
          <w:p w14:paraId="478C452A">
            <w:pPr>
              <w:pStyle w:val="4"/>
              <w:ind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1.保函、保证保险等非现金形式申请人必须是</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，受益人必须是采购人；</w:t>
            </w:r>
          </w:p>
          <w:p w14:paraId="73E978D4">
            <w:pPr>
              <w:pStyle w:val="4"/>
              <w:ind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2.保函、保证保险等非现金形式必须正确填写受益人和申请人的全称，并与</w:t>
            </w:r>
            <w:r>
              <w:rPr>
                <w:rFonts w:hint="eastAsia" w:ascii="仿宋" w:hAnsi="仿宋" w:eastAsia="仿宋" w:cs="仿宋"/>
                <w:color w:val="auto"/>
                <w:sz w:val="24"/>
                <w:szCs w:val="24"/>
                <w:highlight w:val="none"/>
                <w:lang w:eastAsia="zh-CN"/>
              </w:rPr>
              <w:t>招标文件</w:t>
            </w:r>
            <w:r>
              <w:rPr>
                <w:rFonts w:hint="eastAsia" w:ascii="仿宋" w:hAnsi="仿宋" w:eastAsia="仿宋" w:cs="仿宋"/>
                <w:color w:val="auto"/>
                <w:sz w:val="24"/>
                <w:szCs w:val="24"/>
                <w:highlight w:val="none"/>
              </w:rPr>
              <w:t>规定的名称相一致。</w:t>
            </w:r>
          </w:p>
          <w:p w14:paraId="4E8F3C10">
            <w:pPr>
              <w:pStyle w:val="4"/>
              <w:ind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3.保证金提交的时间和程序：</w:t>
            </w:r>
            <w:r>
              <w:rPr>
                <w:rFonts w:hint="eastAsia" w:ascii="仿宋" w:hAnsi="仿宋" w:eastAsia="仿宋" w:cs="仿宋"/>
                <w:b/>
                <w:bCs/>
                <w:color w:val="auto"/>
                <w:sz w:val="24"/>
                <w:szCs w:val="24"/>
                <w:highlight w:val="none"/>
                <w:u w:val="single"/>
              </w:rPr>
              <w:t>保函原件或保证保险原件（或复印件）必须在提交投标文件截止时间前递交至采购代理机构（昆明市西山区西福路山海春风3幢101号）财务室，未按时递交的视为未提交投标保证金。联系电话：0871-65353586、递交时间：法定工作日上午9</w:t>
            </w:r>
            <w:r>
              <w:rPr>
                <w:rFonts w:hint="eastAsia" w:ascii="仿宋" w:hAnsi="仿宋" w:eastAsia="仿宋" w:cs="仿宋"/>
                <w:b/>
                <w:bCs/>
                <w:color w:val="auto"/>
                <w:sz w:val="24"/>
                <w:szCs w:val="24"/>
                <w:highlight w:val="none"/>
                <w:u w:val="single"/>
                <w:lang w:eastAsia="zh-CN"/>
              </w:rPr>
              <w:t>:</w:t>
            </w:r>
            <w:r>
              <w:rPr>
                <w:rFonts w:hint="eastAsia" w:ascii="仿宋" w:hAnsi="仿宋" w:eastAsia="仿宋" w:cs="仿宋"/>
                <w:b/>
                <w:bCs/>
                <w:color w:val="auto"/>
                <w:sz w:val="24"/>
                <w:szCs w:val="24"/>
                <w:highlight w:val="none"/>
                <w:u w:val="single"/>
              </w:rPr>
              <w:t>00-12</w:t>
            </w:r>
            <w:r>
              <w:rPr>
                <w:rFonts w:hint="eastAsia" w:ascii="仿宋" w:hAnsi="仿宋" w:eastAsia="仿宋" w:cs="仿宋"/>
                <w:b/>
                <w:bCs/>
                <w:color w:val="auto"/>
                <w:sz w:val="24"/>
                <w:szCs w:val="24"/>
                <w:highlight w:val="none"/>
                <w:u w:val="single"/>
                <w:lang w:eastAsia="zh-CN"/>
              </w:rPr>
              <w:t>:</w:t>
            </w:r>
            <w:r>
              <w:rPr>
                <w:rFonts w:hint="eastAsia" w:ascii="仿宋" w:hAnsi="仿宋" w:eastAsia="仿宋" w:cs="仿宋"/>
                <w:b/>
                <w:bCs/>
                <w:color w:val="auto"/>
                <w:sz w:val="24"/>
                <w:szCs w:val="24"/>
                <w:highlight w:val="none"/>
                <w:u w:val="single"/>
              </w:rPr>
              <w:t>00、</w:t>
            </w:r>
            <w:r>
              <w:rPr>
                <w:rFonts w:hint="eastAsia" w:ascii="仿宋" w:hAnsi="仿宋" w:eastAsia="仿宋" w:cs="仿宋"/>
                <w:b/>
                <w:bCs/>
                <w:color w:val="auto"/>
                <w:sz w:val="24"/>
                <w:szCs w:val="24"/>
                <w:highlight w:val="none"/>
                <w:u w:val="single"/>
                <w:lang w:eastAsia="zh-CN"/>
              </w:rPr>
              <w:t>13:30</w:t>
            </w:r>
            <w:r>
              <w:rPr>
                <w:rFonts w:hint="eastAsia" w:ascii="仿宋" w:hAnsi="仿宋" w:eastAsia="仿宋" w:cs="仿宋"/>
                <w:b/>
                <w:bCs/>
                <w:color w:val="auto"/>
                <w:sz w:val="24"/>
                <w:szCs w:val="24"/>
                <w:highlight w:val="none"/>
                <w:u w:val="single"/>
              </w:rPr>
              <w:t>-17</w:t>
            </w:r>
            <w:r>
              <w:rPr>
                <w:rFonts w:hint="eastAsia" w:ascii="仿宋" w:hAnsi="仿宋" w:eastAsia="仿宋" w:cs="仿宋"/>
                <w:b/>
                <w:bCs/>
                <w:color w:val="auto"/>
                <w:sz w:val="24"/>
                <w:szCs w:val="24"/>
                <w:highlight w:val="none"/>
                <w:u w:val="single"/>
                <w:lang w:eastAsia="zh-CN"/>
              </w:rPr>
              <w:t>:</w:t>
            </w:r>
            <w:r>
              <w:rPr>
                <w:rFonts w:hint="eastAsia" w:ascii="仿宋" w:hAnsi="仿宋" w:eastAsia="仿宋" w:cs="仿宋"/>
                <w:b/>
                <w:bCs/>
                <w:color w:val="auto"/>
                <w:sz w:val="24"/>
                <w:szCs w:val="24"/>
                <w:highlight w:val="none"/>
                <w:u w:val="single"/>
              </w:rPr>
              <w:t>00</w:t>
            </w:r>
            <w:r>
              <w:rPr>
                <w:rFonts w:hint="eastAsia" w:ascii="仿宋" w:hAnsi="仿宋" w:eastAsia="仿宋" w:cs="仿宋"/>
                <w:color w:val="auto"/>
                <w:sz w:val="24"/>
                <w:szCs w:val="24"/>
                <w:highlight w:val="none"/>
                <w:u w:val="single"/>
              </w:rPr>
              <w:t>。</w:t>
            </w:r>
          </w:p>
        </w:tc>
      </w:tr>
      <w:tr w14:paraId="17DED3E2">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591" w:hRule="atLeast"/>
        </w:trPr>
        <w:tc>
          <w:tcPr>
            <w:tcW w:w="514" w:type="pct"/>
            <w:shd w:val="clear" w:color="auto" w:fill="auto"/>
            <w:vAlign w:val="center"/>
          </w:tcPr>
          <w:p w14:paraId="0E9892B3">
            <w:pPr>
              <w:pStyle w:val="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18.1</w:t>
            </w:r>
          </w:p>
        </w:tc>
        <w:tc>
          <w:tcPr>
            <w:tcW w:w="1096" w:type="pct"/>
            <w:shd w:val="clear" w:color="auto" w:fill="auto"/>
            <w:vAlign w:val="center"/>
          </w:tcPr>
          <w:p w14:paraId="4E2D8501">
            <w:pPr>
              <w:pStyle w:val="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投标文件签署规定</w:t>
            </w:r>
          </w:p>
        </w:tc>
        <w:tc>
          <w:tcPr>
            <w:tcW w:w="3389" w:type="pct"/>
            <w:shd w:val="clear" w:color="auto" w:fill="auto"/>
            <w:vAlign w:val="center"/>
          </w:tcPr>
          <w:p w14:paraId="53ED58F2">
            <w:pPr>
              <w:pStyle w:val="20"/>
              <w:ind w:firstLine="482" w:firstLineChars="200"/>
              <w:jc w:val="left"/>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投标文件全部采用电子文档，投标文件所附证书证件均为原件的扫描件（或复印件），上传的投标文件必须使用“政采云投标客户端”制作，并按照“第七章 投标文件的格式”进行单位和个人数字证书电子签章及电子签名。在需要电子签章的地方进行电子签章及电子签名，无需逐页电子签章及电子签名。</w:t>
            </w:r>
          </w:p>
        </w:tc>
      </w:tr>
      <w:tr w14:paraId="220349CB">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2160" w:hRule="atLeast"/>
        </w:trPr>
        <w:tc>
          <w:tcPr>
            <w:tcW w:w="514" w:type="pct"/>
            <w:shd w:val="clear" w:color="auto" w:fill="auto"/>
            <w:vAlign w:val="center"/>
          </w:tcPr>
          <w:p w14:paraId="3969833E">
            <w:pPr>
              <w:pStyle w:val="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18.2</w:t>
            </w:r>
          </w:p>
        </w:tc>
        <w:tc>
          <w:tcPr>
            <w:tcW w:w="1096" w:type="pct"/>
            <w:shd w:val="clear" w:color="auto" w:fill="auto"/>
            <w:vAlign w:val="center"/>
          </w:tcPr>
          <w:p w14:paraId="563D3D52">
            <w:pPr>
              <w:pStyle w:val="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投标文件的</w:t>
            </w:r>
          </w:p>
          <w:p w14:paraId="2B8127EA">
            <w:pPr>
              <w:pStyle w:val="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上传规定</w:t>
            </w:r>
          </w:p>
        </w:tc>
        <w:tc>
          <w:tcPr>
            <w:tcW w:w="3389" w:type="pct"/>
            <w:shd w:val="clear" w:color="auto" w:fill="auto"/>
            <w:vAlign w:val="center"/>
          </w:tcPr>
          <w:p w14:paraId="019B394D">
            <w:pPr>
              <w:pStyle w:val="2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（1）电子投标文件应使用“政采云”平台（https://www.zcygov.cn/）中下载的政采云电子投标客户端制作，并进行电子签章及加密后上传至“政采云”平台。</w:t>
            </w:r>
          </w:p>
          <w:p w14:paraId="2117D184">
            <w:pPr>
              <w:pStyle w:val="2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（2）如</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提交的电子标书不符合（1）要求或开标时无法读取导入或解密，其投标文件将不予受理。</w:t>
            </w:r>
          </w:p>
        </w:tc>
      </w:tr>
      <w:tr w14:paraId="7A1C3B37">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48" w:hRule="atLeast"/>
        </w:trPr>
        <w:tc>
          <w:tcPr>
            <w:tcW w:w="514" w:type="pct"/>
            <w:shd w:val="clear" w:color="auto" w:fill="auto"/>
            <w:vAlign w:val="center"/>
          </w:tcPr>
          <w:p w14:paraId="13F78A75">
            <w:pPr>
              <w:pStyle w:val="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20.1</w:t>
            </w:r>
          </w:p>
        </w:tc>
        <w:tc>
          <w:tcPr>
            <w:tcW w:w="1096" w:type="pct"/>
            <w:shd w:val="clear" w:color="auto" w:fill="auto"/>
            <w:vAlign w:val="center"/>
          </w:tcPr>
          <w:p w14:paraId="7C76BE65">
            <w:pPr>
              <w:pStyle w:val="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投标截止时间</w:t>
            </w:r>
          </w:p>
        </w:tc>
        <w:tc>
          <w:tcPr>
            <w:tcW w:w="3389" w:type="pct"/>
            <w:shd w:val="clear" w:color="auto" w:fill="auto"/>
            <w:vAlign w:val="center"/>
          </w:tcPr>
          <w:p w14:paraId="02F99478">
            <w:pPr>
              <w:pStyle w:val="2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详见第一章“招标公告”</w:t>
            </w:r>
          </w:p>
        </w:tc>
      </w:tr>
      <w:tr w14:paraId="62502ECD">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234" w:hRule="atLeast"/>
        </w:trPr>
        <w:tc>
          <w:tcPr>
            <w:tcW w:w="514" w:type="pct"/>
            <w:shd w:val="clear" w:color="auto" w:fill="auto"/>
            <w:vAlign w:val="center"/>
          </w:tcPr>
          <w:p w14:paraId="4C4A132C">
            <w:pPr>
              <w:pStyle w:val="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20.2</w:t>
            </w:r>
          </w:p>
        </w:tc>
        <w:tc>
          <w:tcPr>
            <w:tcW w:w="1096" w:type="pct"/>
            <w:shd w:val="clear" w:color="auto" w:fill="auto"/>
            <w:vAlign w:val="center"/>
          </w:tcPr>
          <w:p w14:paraId="1B8F99DF">
            <w:pPr>
              <w:pStyle w:val="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递交投标文件地点</w:t>
            </w:r>
          </w:p>
        </w:tc>
        <w:tc>
          <w:tcPr>
            <w:tcW w:w="3389" w:type="pct"/>
            <w:shd w:val="clear" w:color="auto" w:fill="auto"/>
            <w:vAlign w:val="center"/>
          </w:tcPr>
          <w:p w14:paraId="6914BEC3">
            <w:pPr>
              <w:pStyle w:val="2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详见第一章“招标公告”</w:t>
            </w:r>
          </w:p>
        </w:tc>
      </w:tr>
      <w:tr w14:paraId="11D5D6CD">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208" w:hRule="atLeast"/>
        </w:trPr>
        <w:tc>
          <w:tcPr>
            <w:tcW w:w="514" w:type="pct"/>
            <w:shd w:val="clear" w:color="auto" w:fill="auto"/>
            <w:vAlign w:val="center"/>
          </w:tcPr>
          <w:p w14:paraId="603F5FC0">
            <w:pPr>
              <w:pStyle w:val="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23.1</w:t>
            </w:r>
          </w:p>
        </w:tc>
        <w:tc>
          <w:tcPr>
            <w:tcW w:w="1096" w:type="pct"/>
            <w:shd w:val="clear" w:color="auto" w:fill="auto"/>
            <w:vAlign w:val="center"/>
          </w:tcPr>
          <w:p w14:paraId="15BA1D2C">
            <w:pPr>
              <w:pStyle w:val="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实物样品</w:t>
            </w:r>
          </w:p>
        </w:tc>
        <w:tc>
          <w:tcPr>
            <w:tcW w:w="3389" w:type="pct"/>
            <w:shd w:val="clear" w:color="auto" w:fill="auto"/>
            <w:vAlign w:val="center"/>
          </w:tcPr>
          <w:p w14:paraId="71CB8027">
            <w:pPr>
              <w:pStyle w:val="20"/>
              <w:jc w:val="lef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sym w:font="Wingdings" w:char="00FE"/>
            </w:r>
            <w:r>
              <w:rPr>
                <w:rFonts w:hint="eastAsia" w:ascii="仿宋" w:hAnsi="仿宋" w:eastAsia="仿宋" w:cs="仿宋"/>
                <w:b/>
                <w:bCs/>
                <w:color w:val="auto"/>
                <w:sz w:val="24"/>
                <w:szCs w:val="24"/>
                <w:highlight w:val="none"/>
              </w:rPr>
              <w:t>不提供</w:t>
            </w:r>
          </w:p>
          <w:p w14:paraId="7C6C3BC2">
            <w:pPr>
              <w:pStyle w:val="20"/>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sym w:font="Wingdings" w:char="00A8"/>
            </w:r>
            <w:r>
              <w:rPr>
                <w:rFonts w:hint="eastAsia" w:ascii="仿宋" w:hAnsi="仿宋" w:eastAsia="仿宋" w:cs="仿宋"/>
                <w:color w:val="auto"/>
                <w:sz w:val="24"/>
                <w:szCs w:val="24"/>
                <w:highlight w:val="none"/>
              </w:rPr>
              <w:t>提供</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 xml:space="preserve">样品的具体要求及评审详见“第三章 </w:t>
            </w:r>
            <w:r>
              <w:rPr>
                <w:rFonts w:hint="eastAsia" w:ascii="仿宋" w:hAnsi="仿宋" w:eastAsia="仿宋" w:cs="仿宋"/>
                <w:color w:val="auto"/>
                <w:sz w:val="24"/>
                <w:szCs w:val="24"/>
                <w:highlight w:val="none"/>
                <w:lang w:eastAsia="zh-CN"/>
              </w:rPr>
              <w:t>采购需求</w:t>
            </w:r>
            <w:r>
              <w:rPr>
                <w:rFonts w:hint="eastAsia" w:ascii="仿宋" w:hAnsi="仿宋" w:eastAsia="仿宋" w:cs="仿宋"/>
                <w:color w:val="auto"/>
                <w:sz w:val="24"/>
                <w:szCs w:val="24"/>
                <w:highlight w:val="none"/>
              </w:rPr>
              <w:t>”和“第五章 评标办法及标准”。</w:t>
            </w:r>
          </w:p>
        </w:tc>
      </w:tr>
      <w:tr w14:paraId="606C2BBC">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208" w:hRule="atLeast"/>
        </w:trPr>
        <w:tc>
          <w:tcPr>
            <w:tcW w:w="514" w:type="pct"/>
            <w:shd w:val="clear" w:color="auto" w:fill="auto"/>
            <w:vAlign w:val="center"/>
          </w:tcPr>
          <w:p w14:paraId="093F15B2">
            <w:pPr>
              <w:pStyle w:val="2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24.1</w:t>
            </w:r>
          </w:p>
        </w:tc>
        <w:tc>
          <w:tcPr>
            <w:tcW w:w="1096" w:type="pct"/>
            <w:shd w:val="clear" w:color="auto" w:fill="auto"/>
            <w:vAlign w:val="center"/>
          </w:tcPr>
          <w:p w14:paraId="2291F088">
            <w:pPr>
              <w:pStyle w:val="2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演示</w:t>
            </w:r>
          </w:p>
        </w:tc>
        <w:tc>
          <w:tcPr>
            <w:tcW w:w="3389" w:type="pct"/>
            <w:shd w:val="clear" w:color="auto" w:fill="auto"/>
            <w:vAlign w:val="center"/>
          </w:tcPr>
          <w:p w14:paraId="1474D20A">
            <w:pPr>
              <w:pStyle w:val="20"/>
              <w:jc w:val="left"/>
              <w:rPr>
                <w:rFonts w:hint="eastAsia"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rPr>
              <w:sym w:font="Wingdings" w:char="00FE"/>
            </w:r>
            <w:r>
              <w:rPr>
                <w:rFonts w:hint="eastAsia" w:ascii="仿宋" w:hAnsi="仿宋" w:eastAsia="仿宋" w:cs="仿宋"/>
                <w:b/>
                <w:bCs/>
                <w:color w:val="auto"/>
                <w:sz w:val="24"/>
                <w:szCs w:val="24"/>
                <w:highlight w:val="none"/>
              </w:rPr>
              <w:t>不</w:t>
            </w:r>
            <w:r>
              <w:rPr>
                <w:rFonts w:hint="eastAsia" w:ascii="仿宋" w:hAnsi="仿宋" w:eastAsia="仿宋" w:cs="仿宋"/>
                <w:b/>
                <w:bCs/>
                <w:color w:val="auto"/>
                <w:sz w:val="24"/>
                <w:szCs w:val="24"/>
                <w:highlight w:val="none"/>
                <w:lang w:val="en-US" w:eastAsia="zh-CN"/>
              </w:rPr>
              <w:t>要求</w:t>
            </w:r>
          </w:p>
          <w:p w14:paraId="208AD1A4">
            <w:pPr>
              <w:pStyle w:val="20"/>
              <w:jc w:val="left"/>
              <w:rPr>
                <w:rFonts w:hint="eastAsia" w:ascii="仿宋" w:hAnsi="仿宋" w:eastAsia="仿宋" w:cs="仿宋"/>
                <w:color w:val="auto"/>
                <w:sz w:val="24"/>
                <w:szCs w:val="24"/>
                <w:highlight w:val="none"/>
              </w:rPr>
            </w:pPr>
            <w:r>
              <w:rPr>
                <w:rFonts w:hint="eastAsia" w:ascii="仿宋" w:hAnsi="仿宋" w:eastAsia="仿宋" w:cs="仿宋"/>
                <w:b w:val="0"/>
                <w:bCs w:val="0"/>
                <w:color w:val="auto"/>
                <w:sz w:val="24"/>
                <w:szCs w:val="24"/>
                <w:highlight w:val="none"/>
              </w:rPr>
              <w:sym w:font="Wingdings" w:char="00A8"/>
            </w:r>
            <w:r>
              <w:rPr>
                <w:rFonts w:hint="eastAsia" w:ascii="仿宋" w:hAnsi="仿宋" w:eastAsia="仿宋" w:cs="仿宋"/>
                <w:b w:val="0"/>
                <w:bCs w:val="0"/>
                <w:color w:val="auto"/>
                <w:sz w:val="24"/>
                <w:szCs w:val="24"/>
                <w:highlight w:val="none"/>
                <w:lang w:val="en-US" w:eastAsia="zh-CN"/>
              </w:rPr>
              <w:t>要求</w:t>
            </w: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b w:val="0"/>
                <w:bCs w:val="0"/>
                <w:color w:val="auto"/>
                <w:sz w:val="24"/>
                <w:szCs w:val="24"/>
                <w:highlight w:val="none"/>
                <w:lang w:val="en-US" w:eastAsia="zh-CN"/>
              </w:rPr>
              <w:t>演示</w:t>
            </w:r>
            <w:r>
              <w:rPr>
                <w:rFonts w:hint="eastAsia" w:ascii="仿宋" w:hAnsi="仿宋" w:eastAsia="仿宋" w:cs="仿宋"/>
                <w:b w:val="0"/>
                <w:bCs w:val="0"/>
                <w:color w:val="auto"/>
                <w:sz w:val="24"/>
                <w:szCs w:val="24"/>
                <w:highlight w:val="none"/>
              </w:rPr>
              <w:t xml:space="preserve">的具体要求及评审详见“第三章 </w:t>
            </w:r>
            <w:r>
              <w:rPr>
                <w:rFonts w:hint="eastAsia" w:ascii="仿宋" w:hAnsi="仿宋" w:eastAsia="仿宋" w:cs="仿宋"/>
                <w:b w:val="0"/>
                <w:bCs w:val="0"/>
                <w:color w:val="auto"/>
                <w:sz w:val="24"/>
                <w:szCs w:val="24"/>
                <w:highlight w:val="none"/>
                <w:lang w:eastAsia="zh-CN"/>
              </w:rPr>
              <w:t>采购需求</w:t>
            </w:r>
            <w:r>
              <w:rPr>
                <w:rFonts w:hint="eastAsia" w:ascii="仿宋" w:hAnsi="仿宋" w:eastAsia="仿宋" w:cs="仿宋"/>
                <w:b w:val="0"/>
                <w:bCs w:val="0"/>
                <w:color w:val="auto"/>
                <w:sz w:val="24"/>
                <w:szCs w:val="24"/>
                <w:highlight w:val="none"/>
              </w:rPr>
              <w:t>”和“第五章 评标办法及标准”。</w:t>
            </w:r>
          </w:p>
        </w:tc>
      </w:tr>
      <w:tr w14:paraId="49C09CEF">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514" w:type="pct"/>
            <w:shd w:val="clear" w:color="auto" w:fill="auto"/>
            <w:vAlign w:val="center"/>
          </w:tcPr>
          <w:p w14:paraId="374C1F5D">
            <w:pPr>
              <w:pStyle w:val="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26.1</w:t>
            </w:r>
          </w:p>
        </w:tc>
        <w:tc>
          <w:tcPr>
            <w:tcW w:w="1096" w:type="pct"/>
            <w:shd w:val="clear" w:color="auto" w:fill="auto"/>
            <w:vAlign w:val="center"/>
          </w:tcPr>
          <w:p w14:paraId="04AA3FB4">
            <w:pPr>
              <w:pStyle w:val="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开标时间和地点</w:t>
            </w:r>
          </w:p>
        </w:tc>
        <w:tc>
          <w:tcPr>
            <w:tcW w:w="3389" w:type="pct"/>
            <w:shd w:val="clear" w:color="auto" w:fill="auto"/>
            <w:vAlign w:val="center"/>
          </w:tcPr>
          <w:p w14:paraId="6A46476C">
            <w:pPr>
              <w:pStyle w:val="2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详见第一章“招标公告”</w:t>
            </w:r>
          </w:p>
        </w:tc>
      </w:tr>
      <w:tr w14:paraId="6ACBD466">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514" w:type="pct"/>
            <w:shd w:val="clear" w:color="auto" w:fill="auto"/>
            <w:vAlign w:val="center"/>
          </w:tcPr>
          <w:p w14:paraId="107A820A">
            <w:pPr>
              <w:pStyle w:val="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27.3</w:t>
            </w:r>
          </w:p>
        </w:tc>
        <w:tc>
          <w:tcPr>
            <w:tcW w:w="1096" w:type="pct"/>
            <w:shd w:val="clear" w:color="auto" w:fill="auto"/>
            <w:vAlign w:val="center"/>
          </w:tcPr>
          <w:p w14:paraId="111B60CA">
            <w:pPr>
              <w:pStyle w:val="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解密投标文件</w:t>
            </w:r>
          </w:p>
          <w:p w14:paraId="28DED725">
            <w:pPr>
              <w:pStyle w:val="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的时限</w:t>
            </w:r>
          </w:p>
        </w:tc>
        <w:tc>
          <w:tcPr>
            <w:tcW w:w="3389" w:type="pct"/>
            <w:shd w:val="clear" w:color="auto" w:fill="auto"/>
            <w:vAlign w:val="center"/>
          </w:tcPr>
          <w:p w14:paraId="483C4DE7">
            <w:pPr>
              <w:pStyle w:val="20"/>
              <w:jc w:val="left"/>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30分钟</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若遇到系统异常情况，采购代理机构须经监督人员同意后可延长解密时间。</w:t>
            </w:r>
          </w:p>
        </w:tc>
      </w:tr>
      <w:tr w14:paraId="20E33FFE">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514" w:type="pct"/>
            <w:shd w:val="clear" w:color="auto" w:fill="auto"/>
            <w:vAlign w:val="center"/>
          </w:tcPr>
          <w:p w14:paraId="508301AF">
            <w:pPr>
              <w:pStyle w:val="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31.2</w:t>
            </w:r>
          </w:p>
        </w:tc>
        <w:tc>
          <w:tcPr>
            <w:tcW w:w="1096" w:type="pct"/>
            <w:shd w:val="clear" w:color="auto" w:fill="auto"/>
            <w:vAlign w:val="center"/>
          </w:tcPr>
          <w:p w14:paraId="355C20D1">
            <w:pPr>
              <w:pStyle w:val="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推荐中标候选人</w:t>
            </w:r>
          </w:p>
        </w:tc>
        <w:tc>
          <w:tcPr>
            <w:tcW w:w="3389" w:type="pct"/>
            <w:shd w:val="clear" w:color="auto" w:fill="auto"/>
            <w:vAlign w:val="center"/>
          </w:tcPr>
          <w:p w14:paraId="7B982491">
            <w:pPr>
              <w:pStyle w:val="2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中标候选人数量：3家</w:t>
            </w:r>
          </w:p>
        </w:tc>
      </w:tr>
      <w:tr w14:paraId="08ED5E8D">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514" w:type="pct"/>
            <w:shd w:val="clear" w:color="auto" w:fill="auto"/>
            <w:vAlign w:val="center"/>
          </w:tcPr>
          <w:p w14:paraId="43F8C424">
            <w:pPr>
              <w:pStyle w:val="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32.1</w:t>
            </w:r>
          </w:p>
        </w:tc>
        <w:tc>
          <w:tcPr>
            <w:tcW w:w="1096" w:type="pct"/>
            <w:shd w:val="clear" w:color="auto" w:fill="auto"/>
            <w:vAlign w:val="center"/>
          </w:tcPr>
          <w:p w14:paraId="15E4AEA0">
            <w:pPr>
              <w:pStyle w:val="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确定中标人</w:t>
            </w:r>
          </w:p>
        </w:tc>
        <w:tc>
          <w:tcPr>
            <w:tcW w:w="3389" w:type="pct"/>
            <w:shd w:val="clear" w:color="auto" w:fill="auto"/>
            <w:vAlign w:val="center"/>
          </w:tcPr>
          <w:p w14:paraId="5B0995C2">
            <w:pPr>
              <w:pStyle w:val="2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sym w:font="Wingdings" w:char="00FE"/>
            </w:r>
            <w:r>
              <w:rPr>
                <w:rFonts w:hint="eastAsia" w:ascii="仿宋" w:hAnsi="仿宋" w:eastAsia="仿宋" w:cs="仿宋"/>
                <w:color w:val="auto"/>
                <w:sz w:val="24"/>
                <w:szCs w:val="24"/>
                <w:highlight w:val="none"/>
              </w:rPr>
              <w:t>采购人按评审报告中推荐的中标候选人排序确定中标人。</w:t>
            </w:r>
          </w:p>
          <w:p w14:paraId="51DDEE95">
            <w:pPr>
              <w:pStyle w:val="2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sym w:font="Wingdings" w:char="00A8"/>
            </w:r>
            <w:r>
              <w:rPr>
                <w:rFonts w:hint="eastAsia" w:ascii="仿宋" w:hAnsi="仿宋" w:eastAsia="仿宋" w:cs="仿宋"/>
                <w:color w:val="auto"/>
                <w:sz w:val="24"/>
                <w:szCs w:val="24"/>
                <w:highlight w:val="none"/>
              </w:rPr>
              <w:t>采购人委托评标委员会直接确定中标人。</w:t>
            </w:r>
          </w:p>
        </w:tc>
      </w:tr>
      <w:tr w14:paraId="15325C35">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514" w:type="pct"/>
            <w:shd w:val="clear" w:color="auto" w:fill="auto"/>
            <w:vAlign w:val="center"/>
          </w:tcPr>
          <w:p w14:paraId="36D3BDA0">
            <w:pPr>
              <w:pStyle w:val="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33.1</w:t>
            </w:r>
          </w:p>
        </w:tc>
        <w:tc>
          <w:tcPr>
            <w:tcW w:w="1096" w:type="pct"/>
            <w:shd w:val="clear" w:color="auto" w:fill="auto"/>
            <w:vAlign w:val="center"/>
          </w:tcPr>
          <w:p w14:paraId="2E00953D">
            <w:pPr>
              <w:pStyle w:val="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中标结果公告</w:t>
            </w:r>
          </w:p>
        </w:tc>
        <w:tc>
          <w:tcPr>
            <w:tcW w:w="3389" w:type="pct"/>
            <w:shd w:val="clear" w:color="auto" w:fill="auto"/>
            <w:vAlign w:val="center"/>
          </w:tcPr>
          <w:p w14:paraId="772577CC">
            <w:pPr>
              <w:pStyle w:val="2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公告媒介：</w:t>
            </w:r>
            <w:r>
              <w:rPr>
                <w:rFonts w:hint="eastAsia" w:ascii="仿宋" w:hAnsi="仿宋" w:eastAsia="仿宋" w:cs="仿宋"/>
                <w:b/>
                <w:bCs/>
                <w:color w:val="auto"/>
                <w:sz w:val="24"/>
                <w:szCs w:val="24"/>
                <w:highlight w:val="none"/>
              </w:rPr>
              <w:t>云南省政府采购网（http://www.ccgp-yunnan.gov.cn/）</w:t>
            </w:r>
          </w:p>
        </w:tc>
      </w:tr>
      <w:tr w14:paraId="4880F5C2">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514" w:type="pct"/>
            <w:shd w:val="clear" w:color="auto" w:fill="auto"/>
            <w:vAlign w:val="center"/>
          </w:tcPr>
          <w:p w14:paraId="1F350D32">
            <w:pPr>
              <w:pStyle w:val="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35.1</w:t>
            </w:r>
          </w:p>
        </w:tc>
        <w:tc>
          <w:tcPr>
            <w:tcW w:w="1096" w:type="pct"/>
            <w:shd w:val="clear" w:color="auto" w:fill="auto"/>
            <w:vAlign w:val="center"/>
          </w:tcPr>
          <w:p w14:paraId="77A8E85C">
            <w:pPr>
              <w:pStyle w:val="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履约保证金</w:t>
            </w:r>
          </w:p>
        </w:tc>
        <w:tc>
          <w:tcPr>
            <w:tcW w:w="3389" w:type="pct"/>
            <w:shd w:val="clear" w:color="auto" w:fill="auto"/>
            <w:vAlign w:val="center"/>
          </w:tcPr>
          <w:p w14:paraId="700AD7E4">
            <w:pPr>
              <w:pStyle w:val="2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sym w:font="Wingdings" w:char="00A8"/>
            </w:r>
            <w:r>
              <w:rPr>
                <w:rFonts w:hint="eastAsia" w:ascii="仿宋" w:hAnsi="仿宋" w:eastAsia="仿宋" w:cs="仿宋"/>
                <w:color w:val="auto"/>
                <w:sz w:val="24"/>
                <w:szCs w:val="24"/>
                <w:highlight w:val="none"/>
              </w:rPr>
              <w:t>无</w:t>
            </w:r>
          </w:p>
          <w:p w14:paraId="14CED9F0">
            <w:pPr>
              <w:pStyle w:val="2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sym w:font="Wingdings" w:char="00FE"/>
            </w:r>
            <w:r>
              <w:rPr>
                <w:rFonts w:hint="eastAsia" w:ascii="仿宋" w:hAnsi="仿宋" w:eastAsia="仿宋" w:cs="仿宋"/>
                <w:color w:val="auto"/>
                <w:sz w:val="24"/>
                <w:szCs w:val="24"/>
                <w:highlight w:val="none"/>
              </w:rPr>
              <w:t>有，（1）履约保证金的形式：</w:t>
            </w:r>
            <w:r>
              <w:rPr>
                <w:rFonts w:hint="eastAsia" w:ascii="仿宋" w:hAnsi="仿宋" w:eastAsia="仿宋" w:cs="仿宋"/>
                <w:b/>
                <w:bCs/>
                <w:color w:val="auto"/>
                <w:sz w:val="24"/>
                <w:szCs w:val="24"/>
                <w:highlight w:val="none"/>
                <w:u w:val="single"/>
              </w:rPr>
              <w:t>支票、汇票、本票或者金融机构、担保机构出具的保函等非现金形式</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eastAsia="zh-CN"/>
              </w:rPr>
              <w:t>（2）履约保证金的金额：</w:t>
            </w:r>
            <w:r>
              <w:rPr>
                <w:rFonts w:hint="eastAsia" w:ascii="仿宋" w:hAnsi="仿宋" w:eastAsia="仿宋" w:cs="仿宋"/>
                <w:b/>
                <w:bCs/>
                <w:color w:val="auto"/>
                <w:sz w:val="24"/>
                <w:szCs w:val="24"/>
                <w:highlight w:val="none"/>
                <w:u w:val="single"/>
                <w:lang w:eastAsia="zh-CN"/>
              </w:rPr>
              <w:t>签约合同金额的5%</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lang w:eastAsia="zh-CN"/>
              </w:rPr>
              <w:t>）履约保证金的</w:t>
            </w:r>
            <w:r>
              <w:rPr>
                <w:rFonts w:hint="eastAsia" w:ascii="仿宋" w:hAnsi="仿宋" w:eastAsia="仿宋" w:cs="仿宋"/>
                <w:color w:val="auto"/>
                <w:sz w:val="24"/>
                <w:szCs w:val="24"/>
                <w:highlight w:val="none"/>
                <w:lang w:val="en-US" w:eastAsia="zh-CN"/>
              </w:rPr>
              <w:t>缴纳</w:t>
            </w:r>
            <w:r>
              <w:rPr>
                <w:rFonts w:hint="eastAsia" w:ascii="仿宋" w:hAnsi="仿宋" w:eastAsia="仿宋" w:cs="仿宋"/>
                <w:color w:val="auto"/>
                <w:sz w:val="24"/>
                <w:szCs w:val="24"/>
                <w:highlight w:val="none"/>
                <w:lang w:eastAsia="zh-CN"/>
              </w:rPr>
              <w:t>：</w:t>
            </w:r>
            <w:r>
              <w:rPr>
                <w:rFonts w:hint="eastAsia" w:ascii="仿宋" w:hAnsi="仿宋" w:eastAsia="仿宋" w:cs="仿宋"/>
                <w:b/>
                <w:bCs/>
                <w:color w:val="auto"/>
                <w:sz w:val="24"/>
                <w:szCs w:val="24"/>
                <w:highlight w:val="none"/>
                <w:u w:val="single"/>
                <w:lang w:val="en-US" w:eastAsia="zh-CN"/>
              </w:rPr>
              <w:t>合同签订前5个工作日内缴纳</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lang w:eastAsia="zh-CN"/>
              </w:rPr>
              <w:t>）履约保证金的退还：</w:t>
            </w:r>
            <w:r>
              <w:rPr>
                <w:rFonts w:hint="eastAsia" w:ascii="仿宋" w:hAnsi="仿宋" w:eastAsia="仿宋" w:cs="仿宋"/>
                <w:b/>
                <w:bCs/>
                <w:color w:val="auto"/>
                <w:sz w:val="24"/>
                <w:szCs w:val="24"/>
                <w:highlight w:val="none"/>
                <w:u w:val="single"/>
                <w:lang w:eastAsia="zh-CN"/>
              </w:rPr>
              <w:t>完成合同约定全部义务并经采购人验收合格后30日内退还。以现金形式提交的，应当同时退还保证金本金和银行同期存款利息；以保函等非现金形式提交的，同时解除担保责任</w:t>
            </w:r>
            <w:r>
              <w:rPr>
                <w:rFonts w:hint="eastAsia" w:ascii="仿宋" w:hAnsi="仿宋" w:eastAsia="仿宋" w:cs="仿宋"/>
                <w:color w:val="auto"/>
                <w:sz w:val="24"/>
                <w:szCs w:val="24"/>
                <w:highlight w:val="none"/>
                <w:lang w:eastAsia="zh-CN"/>
              </w:rPr>
              <w:t>。</w:t>
            </w:r>
          </w:p>
        </w:tc>
      </w:tr>
      <w:tr w14:paraId="60FFE459">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514" w:type="pct"/>
            <w:shd w:val="clear" w:color="auto" w:fill="auto"/>
            <w:vAlign w:val="center"/>
          </w:tcPr>
          <w:p w14:paraId="4B271100">
            <w:pPr>
              <w:pStyle w:val="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40.1</w:t>
            </w:r>
          </w:p>
        </w:tc>
        <w:tc>
          <w:tcPr>
            <w:tcW w:w="1096" w:type="pct"/>
            <w:shd w:val="clear" w:color="auto" w:fill="auto"/>
            <w:vAlign w:val="center"/>
          </w:tcPr>
          <w:p w14:paraId="5C249BFA">
            <w:pPr>
              <w:pStyle w:val="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采购代理服务费收取方式和标准</w:t>
            </w:r>
          </w:p>
        </w:tc>
        <w:tc>
          <w:tcPr>
            <w:tcW w:w="3389" w:type="pct"/>
            <w:shd w:val="clear" w:color="auto" w:fill="auto"/>
            <w:vAlign w:val="center"/>
          </w:tcPr>
          <w:p w14:paraId="465CCC44">
            <w:pPr>
              <w:pStyle w:val="20"/>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eastAsia="zh-CN"/>
              </w:rPr>
              <w:t>本项目</w:t>
            </w:r>
            <w:r>
              <w:rPr>
                <w:rFonts w:hint="eastAsia" w:ascii="仿宋" w:hAnsi="仿宋" w:eastAsia="仿宋" w:cs="仿宋"/>
                <w:color w:val="auto"/>
                <w:sz w:val="24"/>
                <w:szCs w:val="24"/>
                <w:highlight w:val="none"/>
                <w:lang w:val="en-US" w:eastAsia="zh-CN"/>
              </w:rPr>
              <w:t>采购</w:t>
            </w:r>
            <w:r>
              <w:rPr>
                <w:rFonts w:hint="eastAsia" w:ascii="仿宋" w:hAnsi="仿宋" w:eastAsia="仿宋" w:cs="仿宋"/>
                <w:color w:val="auto"/>
                <w:sz w:val="24"/>
                <w:szCs w:val="24"/>
                <w:highlight w:val="none"/>
                <w:lang w:val="zh-CN" w:eastAsia="zh-CN"/>
              </w:rPr>
              <w:t>代理费参照关于印发《云南省建设工程招标代理服务收费参考意见》（云建招协〔2024〕58号）下浮10%收取以</w:t>
            </w:r>
            <w:r>
              <w:rPr>
                <w:rFonts w:hint="eastAsia" w:ascii="仿宋" w:hAnsi="仿宋" w:eastAsia="仿宋" w:cs="仿宋"/>
                <w:color w:val="auto"/>
                <w:sz w:val="24"/>
                <w:szCs w:val="24"/>
                <w:highlight w:val="none"/>
                <w:lang w:val="en-US" w:eastAsia="zh-CN"/>
              </w:rPr>
              <w:t>中标金额</w:t>
            </w:r>
            <w:r>
              <w:rPr>
                <w:rFonts w:hint="eastAsia" w:ascii="仿宋" w:hAnsi="仿宋" w:eastAsia="仿宋" w:cs="仿宋"/>
                <w:color w:val="auto"/>
                <w:sz w:val="24"/>
                <w:szCs w:val="24"/>
                <w:highlight w:val="none"/>
                <w:lang w:val="zh-CN" w:eastAsia="zh-CN"/>
              </w:rPr>
              <w:t>为基数，由</w:t>
            </w:r>
            <w:r>
              <w:rPr>
                <w:rFonts w:hint="eastAsia" w:ascii="仿宋" w:hAnsi="仿宋" w:eastAsia="仿宋" w:cs="仿宋"/>
                <w:color w:val="auto"/>
                <w:sz w:val="24"/>
                <w:szCs w:val="24"/>
                <w:highlight w:val="none"/>
                <w:lang w:val="en-US" w:eastAsia="zh-CN"/>
              </w:rPr>
              <w:t>成交</w:t>
            </w:r>
            <w:r>
              <w:rPr>
                <w:rFonts w:hint="eastAsia" w:ascii="仿宋" w:hAnsi="仿宋" w:eastAsia="仿宋" w:cs="仿宋"/>
                <w:color w:val="auto"/>
                <w:sz w:val="24"/>
                <w:szCs w:val="24"/>
                <w:highlight w:val="none"/>
                <w:lang w:val="zh-CN" w:eastAsia="zh-CN"/>
              </w:rPr>
              <w:t>人领取</w:t>
            </w:r>
            <w:r>
              <w:rPr>
                <w:rFonts w:hint="eastAsia" w:ascii="仿宋" w:hAnsi="仿宋" w:eastAsia="仿宋" w:cs="仿宋"/>
                <w:color w:val="auto"/>
                <w:sz w:val="24"/>
                <w:szCs w:val="24"/>
                <w:highlight w:val="none"/>
                <w:lang w:val="en-US" w:eastAsia="zh-CN"/>
              </w:rPr>
              <w:t>成交</w:t>
            </w:r>
            <w:r>
              <w:rPr>
                <w:rFonts w:hint="eastAsia" w:ascii="仿宋" w:hAnsi="仿宋" w:eastAsia="仿宋" w:cs="仿宋"/>
                <w:color w:val="auto"/>
                <w:sz w:val="24"/>
                <w:szCs w:val="24"/>
                <w:highlight w:val="none"/>
                <w:lang w:val="zh-CN" w:eastAsia="zh-CN"/>
              </w:rPr>
              <w:t>通知书时一次性向</w:t>
            </w:r>
            <w:r>
              <w:rPr>
                <w:rFonts w:hint="eastAsia" w:ascii="仿宋" w:hAnsi="仿宋" w:eastAsia="仿宋" w:cs="仿宋"/>
                <w:color w:val="auto"/>
                <w:sz w:val="24"/>
                <w:szCs w:val="24"/>
                <w:highlight w:val="none"/>
                <w:lang w:val="en-US" w:eastAsia="zh-CN"/>
              </w:rPr>
              <w:t>采购</w:t>
            </w:r>
            <w:r>
              <w:rPr>
                <w:rFonts w:hint="eastAsia" w:ascii="仿宋" w:hAnsi="仿宋" w:eastAsia="仿宋" w:cs="仿宋"/>
                <w:color w:val="auto"/>
                <w:sz w:val="24"/>
                <w:szCs w:val="24"/>
                <w:highlight w:val="none"/>
                <w:lang w:val="zh-CN" w:eastAsia="zh-CN"/>
              </w:rPr>
              <w:t>代理机构支付。</w:t>
            </w:r>
          </w:p>
          <w:p w14:paraId="112A02E4">
            <w:pPr>
              <w:pStyle w:val="20"/>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转入账户名称：云南润达工程项目管理咨询有限公司 </w:t>
            </w:r>
          </w:p>
          <w:p w14:paraId="45A36165">
            <w:pPr>
              <w:pStyle w:val="20"/>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账号：0500028531099012</w:t>
            </w:r>
          </w:p>
          <w:p w14:paraId="6BAE814D">
            <w:pPr>
              <w:pStyle w:val="20"/>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开户银行：昆明市西山区农村信用合作联社棕树营信用社</w:t>
            </w:r>
          </w:p>
          <w:p w14:paraId="24FAEF7A">
            <w:pPr>
              <w:pStyle w:val="20"/>
              <w:ind w:firstLine="482" w:firstLineChars="200"/>
              <w:jc w:val="left"/>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注：请各</w:t>
            </w:r>
            <w:r>
              <w:rPr>
                <w:rFonts w:hint="eastAsia" w:ascii="仿宋" w:hAnsi="仿宋" w:eastAsia="仿宋" w:cs="仿宋"/>
                <w:b/>
                <w:bCs/>
                <w:color w:val="auto"/>
                <w:sz w:val="24"/>
                <w:szCs w:val="24"/>
                <w:highlight w:val="none"/>
                <w:lang w:eastAsia="zh-CN"/>
              </w:rPr>
              <w:t>投标人</w:t>
            </w:r>
            <w:r>
              <w:rPr>
                <w:rFonts w:hint="eastAsia" w:ascii="仿宋" w:hAnsi="仿宋" w:eastAsia="仿宋" w:cs="仿宋"/>
                <w:b/>
                <w:bCs/>
                <w:color w:val="auto"/>
                <w:sz w:val="24"/>
                <w:szCs w:val="24"/>
                <w:highlight w:val="none"/>
              </w:rPr>
              <w:t>在进行投标报价时充分考虑此部分费用，该项费用包含在投标报价中但不单独列项。</w:t>
            </w:r>
          </w:p>
        </w:tc>
      </w:tr>
      <w:tr w14:paraId="3CD54308">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514" w:type="pct"/>
            <w:shd w:val="clear" w:color="auto" w:fill="auto"/>
            <w:vAlign w:val="center"/>
          </w:tcPr>
          <w:p w14:paraId="2114CBB8">
            <w:pPr>
              <w:pStyle w:val="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43.1</w:t>
            </w:r>
          </w:p>
        </w:tc>
        <w:tc>
          <w:tcPr>
            <w:tcW w:w="1096" w:type="pct"/>
            <w:shd w:val="clear" w:color="auto" w:fill="auto"/>
            <w:vAlign w:val="center"/>
          </w:tcPr>
          <w:p w14:paraId="7F007D7E">
            <w:pPr>
              <w:pStyle w:val="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是否接受进口产品</w:t>
            </w:r>
          </w:p>
        </w:tc>
        <w:tc>
          <w:tcPr>
            <w:tcW w:w="3389" w:type="pct"/>
            <w:shd w:val="clear" w:color="auto" w:fill="auto"/>
            <w:vAlign w:val="center"/>
          </w:tcPr>
          <w:p w14:paraId="429116B4">
            <w:pPr>
              <w:pStyle w:val="2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sym w:font="Wingdings" w:char="00FE"/>
            </w:r>
            <w:r>
              <w:rPr>
                <w:rFonts w:hint="eastAsia" w:ascii="仿宋" w:hAnsi="仿宋" w:eastAsia="仿宋" w:cs="仿宋"/>
                <w:color w:val="auto"/>
                <w:sz w:val="24"/>
                <w:szCs w:val="24"/>
                <w:highlight w:val="none"/>
              </w:rPr>
              <w:t xml:space="preserve">不接受 </w:t>
            </w:r>
            <w:r>
              <w:rPr>
                <w:rFonts w:hint="eastAsia" w:ascii="仿宋" w:hAnsi="仿宋" w:eastAsia="仿宋" w:cs="仿宋"/>
                <w:color w:val="auto"/>
                <w:sz w:val="24"/>
                <w:szCs w:val="24"/>
                <w:highlight w:val="none"/>
              </w:rPr>
              <w:sym w:font="Wingdings" w:char="00A8"/>
            </w:r>
            <w:r>
              <w:rPr>
                <w:rFonts w:hint="eastAsia" w:ascii="仿宋" w:hAnsi="仿宋" w:eastAsia="仿宋" w:cs="仿宋"/>
                <w:color w:val="auto"/>
                <w:sz w:val="24"/>
                <w:szCs w:val="24"/>
                <w:highlight w:val="none"/>
                <w:lang w:val="zh-CN"/>
              </w:rPr>
              <w:t>接受</w:t>
            </w:r>
          </w:p>
        </w:tc>
      </w:tr>
      <w:tr w14:paraId="19E6CFD6">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514" w:type="pct"/>
            <w:shd w:val="clear" w:color="auto" w:fill="auto"/>
            <w:vAlign w:val="center"/>
          </w:tcPr>
          <w:p w14:paraId="48B8B4D0">
            <w:pPr>
              <w:pStyle w:val="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44.1</w:t>
            </w:r>
          </w:p>
        </w:tc>
        <w:tc>
          <w:tcPr>
            <w:tcW w:w="1096" w:type="pct"/>
            <w:shd w:val="clear" w:color="auto" w:fill="auto"/>
            <w:vAlign w:val="center"/>
          </w:tcPr>
          <w:p w14:paraId="430C7CD6">
            <w:pPr>
              <w:pStyle w:val="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支持中小企业政策</w:t>
            </w:r>
          </w:p>
        </w:tc>
        <w:tc>
          <w:tcPr>
            <w:tcW w:w="3389" w:type="pct"/>
            <w:shd w:val="clear" w:color="auto" w:fill="auto"/>
            <w:vAlign w:val="center"/>
          </w:tcPr>
          <w:p w14:paraId="2F0620D6">
            <w:pPr>
              <w:pStyle w:val="20"/>
              <w:jc w:val="lef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sym w:font="Wingdings" w:char="00A8"/>
            </w:r>
            <w:r>
              <w:rPr>
                <w:rFonts w:hint="eastAsia" w:ascii="仿宋" w:hAnsi="仿宋" w:eastAsia="仿宋" w:cs="仿宋"/>
                <w:b/>
                <w:bCs/>
                <w:color w:val="auto"/>
                <w:sz w:val="24"/>
                <w:szCs w:val="24"/>
                <w:highlight w:val="none"/>
                <w:lang w:val="en-US" w:eastAsia="zh-CN"/>
              </w:rPr>
              <w:t>属于</w:t>
            </w:r>
            <w:r>
              <w:rPr>
                <w:rFonts w:hint="eastAsia" w:ascii="仿宋" w:hAnsi="仿宋" w:eastAsia="仿宋" w:cs="仿宋"/>
                <w:b/>
                <w:bCs/>
                <w:color w:val="auto"/>
                <w:sz w:val="24"/>
                <w:szCs w:val="24"/>
                <w:highlight w:val="none"/>
              </w:rPr>
              <w:t>专门面向中小企业的项目</w:t>
            </w:r>
          </w:p>
          <w:p w14:paraId="693F923A">
            <w:pPr>
              <w:pStyle w:val="20"/>
              <w:numPr>
                <w:ilvl w:val="0"/>
                <w:numId w:val="2"/>
              </w:numPr>
              <w:bidi w:val="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投标人</w:t>
            </w:r>
            <w:r>
              <w:rPr>
                <w:rFonts w:hint="eastAsia" w:ascii="仿宋" w:hAnsi="仿宋" w:eastAsia="仿宋" w:cs="仿宋"/>
                <w:color w:val="auto"/>
                <w:sz w:val="24"/>
                <w:szCs w:val="24"/>
                <w:highlight w:val="none"/>
              </w:rPr>
              <w:t>应当提供《中小企业声明函》（详见本</w:t>
            </w:r>
            <w:r>
              <w:rPr>
                <w:rFonts w:hint="eastAsia" w:ascii="仿宋" w:hAnsi="仿宋" w:eastAsia="仿宋" w:cs="仿宋"/>
                <w:color w:val="auto"/>
                <w:sz w:val="24"/>
                <w:szCs w:val="24"/>
                <w:highlight w:val="none"/>
                <w:lang w:eastAsia="zh-CN"/>
              </w:rPr>
              <w:t>采购文件第</w:t>
            </w:r>
            <w:r>
              <w:rPr>
                <w:rFonts w:hint="eastAsia" w:ascii="仿宋" w:hAnsi="仿宋" w:eastAsia="仿宋" w:cs="仿宋"/>
                <w:color w:val="auto"/>
                <w:sz w:val="24"/>
                <w:szCs w:val="24"/>
                <w:highlight w:val="none"/>
                <w:lang w:val="en-US" w:eastAsia="zh-CN"/>
              </w:rPr>
              <w:t>七</w:t>
            </w:r>
            <w:r>
              <w:rPr>
                <w:rFonts w:hint="eastAsia" w:ascii="仿宋" w:hAnsi="仿宋" w:eastAsia="仿宋" w:cs="仿宋"/>
                <w:color w:val="auto"/>
                <w:sz w:val="24"/>
                <w:szCs w:val="24"/>
                <w:highlight w:val="none"/>
                <w:lang w:eastAsia="zh-CN"/>
              </w:rPr>
              <w:t xml:space="preserve">章 </w:t>
            </w:r>
            <w:r>
              <w:rPr>
                <w:rFonts w:hint="eastAsia" w:ascii="仿宋" w:hAnsi="仿宋" w:eastAsia="仿宋" w:cs="仿宋"/>
                <w:color w:val="auto"/>
                <w:sz w:val="24"/>
                <w:szCs w:val="24"/>
                <w:highlight w:val="none"/>
                <w:lang w:val="en-US" w:eastAsia="zh-CN"/>
              </w:rPr>
              <w:t>投标</w:t>
            </w:r>
            <w:r>
              <w:rPr>
                <w:rFonts w:hint="eastAsia" w:ascii="仿宋" w:hAnsi="仿宋" w:eastAsia="仿宋" w:cs="仿宋"/>
                <w:color w:val="auto"/>
                <w:sz w:val="24"/>
                <w:szCs w:val="24"/>
                <w:highlight w:val="none"/>
                <w:lang w:eastAsia="zh-CN"/>
              </w:rPr>
              <w:t>文件的格式</w:t>
            </w:r>
            <w:r>
              <w:rPr>
                <w:rFonts w:hint="eastAsia" w:ascii="仿宋" w:hAnsi="仿宋" w:eastAsia="仿宋" w:cs="仿宋"/>
                <w:color w:val="auto"/>
                <w:sz w:val="24"/>
                <w:szCs w:val="24"/>
                <w:highlight w:val="none"/>
              </w:rPr>
              <w:t>），否则</w:t>
            </w:r>
            <w:r>
              <w:rPr>
                <w:rFonts w:hint="eastAsia" w:ascii="仿宋" w:hAnsi="仿宋" w:eastAsia="仿宋" w:cs="仿宋"/>
                <w:color w:val="auto"/>
                <w:sz w:val="24"/>
                <w:szCs w:val="24"/>
                <w:highlight w:val="none"/>
                <w:lang w:val="en-US" w:eastAsia="zh-CN"/>
              </w:rPr>
              <w:t>不予通过资格审查</w:t>
            </w:r>
            <w:r>
              <w:rPr>
                <w:rFonts w:hint="eastAsia" w:ascii="仿宋" w:hAnsi="仿宋" w:eastAsia="仿宋" w:cs="仿宋"/>
                <w:color w:val="auto"/>
                <w:sz w:val="24"/>
                <w:szCs w:val="24"/>
                <w:highlight w:val="none"/>
              </w:rPr>
              <w:t>。</w:t>
            </w:r>
          </w:p>
          <w:p w14:paraId="7855E926">
            <w:pPr>
              <w:numPr>
                <w:ilvl w:val="0"/>
                <w:numId w:val="0"/>
              </w:numPr>
              <w:rPr>
                <w:rFonts w:hint="eastAsia" w:ascii="仿宋" w:hAnsi="仿宋" w:eastAsia="仿宋" w:cs="仿宋"/>
                <w:color w:val="auto"/>
                <w:highlight w:val="none"/>
              </w:rPr>
            </w:pPr>
            <w:r>
              <w:rPr>
                <w:rFonts w:hint="eastAsia" w:ascii="仿宋" w:hAnsi="仿宋" w:eastAsia="仿宋" w:cs="仿宋"/>
                <w:color w:val="auto"/>
                <w:sz w:val="24"/>
                <w:szCs w:val="24"/>
                <w:highlight w:val="none"/>
                <w:lang w:val="en-US" w:eastAsia="zh-CN"/>
              </w:rPr>
              <w:t>（2）本次采购各标的名称及对应的中小企业划分标准所属行业：</w:t>
            </w:r>
            <w:r>
              <w:rPr>
                <w:rFonts w:hint="eastAsia" w:ascii="仿宋" w:hAnsi="仿宋" w:eastAsia="仿宋" w:cs="仿宋"/>
                <w:b w:val="0"/>
                <w:bCs w:val="0"/>
                <w:color w:val="auto"/>
                <w:sz w:val="24"/>
                <w:szCs w:val="24"/>
                <w:highlight w:val="none"/>
                <w:u w:val="single"/>
                <w:lang w:val="en-US" w:eastAsia="zh-CN"/>
              </w:rPr>
              <w:t>详见“第三章 采购需求”</w:t>
            </w:r>
            <w:r>
              <w:rPr>
                <w:rFonts w:hint="eastAsia" w:ascii="仿宋" w:hAnsi="仿宋" w:eastAsia="仿宋" w:cs="仿宋"/>
                <w:b w:val="0"/>
                <w:bCs w:val="0"/>
                <w:color w:val="auto"/>
                <w:sz w:val="24"/>
                <w:szCs w:val="24"/>
                <w:highlight w:val="none"/>
                <w:lang w:val="en-US" w:eastAsia="zh-CN"/>
              </w:rPr>
              <w:t>。</w:t>
            </w:r>
          </w:p>
          <w:p w14:paraId="31EAB983">
            <w:pPr>
              <w:pStyle w:val="20"/>
              <w:jc w:val="lef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sym w:font="Wingdings" w:char="00FE"/>
            </w:r>
            <w:r>
              <w:rPr>
                <w:rFonts w:hint="eastAsia" w:ascii="仿宋" w:hAnsi="仿宋" w:eastAsia="仿宋" w:cs="仿宋"/>
                <w:b/>
                <w:bCs/>
                <w:color w:val="auto"/>
                <w:sz w:val="24"/>
                <w:szCs w:val="24"/>
                <w:highlight w:val="none"/>
              </w:rPr>
              <w:t>非专门面向中小企业的项目</w:t>
            </w:r>
          </w:p>
          <w:p w14:paraId="43C46855">
            <w:pPr>
              <w:pStyle w:val="2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对于未预留份额专门面向中小企业采购的采购项目，以及预留份额项目中的非预留部分采购包，对小微企业报价给予比例扣除，价格扣除比例为：</w:t>
            </w:r>
            <w:r>
              <w:rPr>
                <w:rFonts w:hint="eastAsia" w:ascii="仿宋" w:hAnsi="仿宋" w:eastAsia="仿宋" w:cs="仿宋"/>
                <w:b/>
                <w:bCs/>
                <w:color w:val="auto"/>
                <w:sz w:val="24"/>
                <w:szCs w:val="24"/>
                <w:highlight w:val="none"/>
                <w:u w:val="single"/>
              </w:rPr>
              <w:t>10%</w:t>
            </w:r>
            <w:r>
              <w:rPr>
                <w:rFonts w:hint="eastAsia" w:ascii="仿宋" w:hAnsi="仿宋" w:eastAsia="仿宋" w:cs="仿宋"/>
                <w:color w:val="auto"/>
                <w:sz w:val="24"/>
                <w:szCs w:val="24"/>
                <w:highlight w:val="none"/>
              </w:rPr>
              <w:t>；</w:t>
            </w:r>
          </w:p>
          <w:p w14:paraId="1AC564A8">
            <w:pPr>
              <w:pStyle w:val="2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符合规定的小微</w:t>
            </w:r>
            <w:r>
              <w:rPr>
                <w:rFonts w:hint="eastAsia" w:ascii="仿宋" w:hAnsi="仿宋" w:eastAsia="仿宋" w:cs="仿宋"/>
                <w:color w:val="auto"/>
                <w:sz w:val="24"/>
                <w:szCs w:val="24"/>
                <w:highlight w:val="none"/>
              </w:rPr>
              <w:t>企业</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应当提供《中小企业声明函》（详见本</w:t>
            </w:r>
            <w:r>
              <w:rPr>
                <w:rFonts w:hint="eastAsia" w:ascii="仿宋" w:hAnsi="仿宋" w:eastAsia="仿宋" w:cs="仿宋"/>
                <w:color w:val="auto"/>
                <w:sz w:val="24"/>
                <w:szCs w:val="24"/>
                <w:highlight w:val="none"/>
                <w:lang w:eastAsia="zh-CN"/>
              </w:rPr>
              <w:t>招标文件“</w:t>
            </w:r>
            <w:r>
              <w:rPr>
                <w:rFonts w:hint="eastAsia" w:ascii="仿宋" w:hAnsi="仿宋" w:eastAsia="仿宋" w:cs="仿宋"/>
                <w:color w:val="auto"/>
                <w:sz w:val="24"/>
                <w:szCs w:val="24"/>
                <w:highlight w:val="none"/>
              </w:rPr>
              <w:t>第七章 投标文件的格式</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），否则在评审时不享受上述评审优惠。</w:t>
            </w:r>
          </w:p>
          <w:p w14:paraId="534C79A3">
            <w:pPr>
              <w:ind w:left="0" w:leftChars="0" w:firstLine="0" w:firstLineChars="0"/>
              <w:rPr>
                <w:rFonts w:hint="eastAsia" w:ascii="仿宋" w:hAnsi="仿宋" w:eastAsia="仿宋" w:cs="仿宋"/>
                <w:color w:val="auto"/>
                <w:highlight w:val="none"/>
              </w:rPr>
            </w:pPr>
            <w:r>
              <w:rPr>
                <w:rFonts w:hint="eastAsia" w:ascii="仿宋" w:hAnsi="仿宋" w:eastAsia="仿宋" w:cs="仿宋"/>
                <w:color w:val="auto"/>
                <w:sz w:val="24"/>
                <w:szCs w:val="24"/>
                <w:highlight w:val="none"/>
                <w:lang w:val="en-US" w:eastAsia="zh-CN"/>
              </w:rPr>
              <w:t>（3）本次采购各标的名称及对应的中小企</w:t>
            </w:r>
            <w:r>
              <w:rPr>
                <w:rFonts w:hint="eastAsia" w:ascii="仿宋" w:hAnsi="仿宋" w:eastAsia="仿宋" w:cs="仿宋"/>
                <w:b w:val="0"/>
                <w:bCs w:val="0"/>
                <w:color w:val="auto"/>
                <w:sz w:val="24"/>
                <w:szCs w:val="24"/>
                <w:highlight w:val="none"/>
                <w:lang w:val="en-US" w:eastAsia="zh-CN"/>
              </w:rPr>
              <w:t>业划分标准所属行业：</w:t>
            </w:r>
            <w:r>
              <w:rPr>
                <w:rFonts w:hint="eastAsia" w:ascii="仿宋" w:hAnsi="仿宋" w:eastAsia="仿宋" w:cs="仿宋"/>
                <w:b w:val="0"/>
                <w:bCs w:val="0"/>
                <w:color w:val="auto"/>
                <w:sz w:val="24"/>
                <w:szCs w:val="24"/>
                <w:highlight w:val="none"/>
                <w:u w:val="single"/>
                <w:lang w:val="en-US" w:eastAsia="zh-CN"/>
              </w:rPr>
              <w:t>详见“第三章 采购需求”</w:t>
            </w:r>
            <w:r>
              <w:rPr>
                <w:rFonts w:hint="eastAsia" w:ascii="仿宋" w:hAnsi="仿宋" w:eastAsia="仿宋" w:cs="仿宋"/>
                <w:b w:val="0"/>
                <w:bCs w:val="0"/>
                <w:color w:val="auto"/>
                <w:sz w:val="24"/>
                <w:szCs w:val="24"/>
                <w:highlight w:val="none"/>
                <w:lang w:val="en-US" w:eastAsia="zh-CN"/>
              </w:rPr>
              <w:t>。</w:t>
            </w:r>
          </w:p>
        </w:tc>
      </w:tr>
      <w:tr w14:paraId="1BE11071">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514" w:type="pct"/>
            <w:tcBorders>
              <w:right w:val="single" w:color="auto" w:sz="4" w:space="0"/>
            </w:tcBorders>
            <w:shd w:val="clear" w:color="auto" w:fill="auto"/>
            <w:vAlign w:val="center"/>
          </w:tcPr>
          <w:p w14:paraId="00113998">
            <w:pPr>
              <w:pStyle w:val="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w:t>
            </w:r>
            <w:r>
              <w:rPr>
                <w:rFonts w:hint="eastAsia" w:ascii="仿宋" w:hAnsi="仿宋" w:eastAsia="仿宋" w:cs="仿宋"/>
                <w:color w:val="auto"/>
                <w:sz w:val="24"/>
                <w:szCs w:val="24"/>
                <w:highlight w:val="none"/>
                <w:lang w:val="en-US" w:eastAsia="zh-CN"/>
              </w:rPr>
              <w:t>7</w:t>
            </w:r>
            <w:r>
              <w:rPr>
                <w:rFonts w:hint="eastAsia" w:ascii="仿宋" w:hAnsi="仿宋" w:eastAsia="仿宋" w:cs="仿宋"/>
                <w:color w:val="auto"/>
                <w:sz w:val="24"/>
                <w:szCs w:val="24"/>
                <w:highlight w:val="none"/>
              </w:rPr>
              <w:t>.1</w:t>
            </w:r>
          </w:p>
        </w:tc>
        <w:tc>
          <w:tcPr>
            <w:tcW w:w="1096" w:type="pct"/>
            <w:tcBorders>
              <w:right w:val="single" w:color="auto" w:sz="4" w:space="0"/>
            </w:tcBorders>
            <w:shd w:val="clear" w:color="auto" w:fill="auto"/>
            <w:vAlign w:val="center"/>
          </w:tcPr>
          <w:p w14:paraId="0459CD9C">
            <w:pPr>
              <w:pStyle w:val="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需要补充的其他内容</w:t>
            </w:r>
          </w:p>
        </w:tc>
        <w:tc>
          <w:tcPr>
            <w:tcW w:w="3389" w:type="pct"/>
            <w:tcBorders>
              <w:left w:val="single" w:color="auto" w:sz="4" w:space="0"/>
            </w:tcBorders>
            <w:shd w:val="clear" w:color="auto" w:fill="auto"/>
            <w:vAlign w:val="center"/>
          </w:tcPr>
          <w:p w14:paraId="261980CC">
            <w:pPr>
              <w:pStyle w:val="20"/>
              <w:jc w:val="left"/>
              <w:rPr>
                <w:rFonts w:hint="eastAsia"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lang w:eastAsia="zh-CN"/>
              </w:rPr>
              <w:t>招标文件</w:t>
            </w:r>
            <w:r>
              <w:rPr>
                <w:rFonts w:hint="eastAsia" w:ascii="仿宋" w:hAnsi="仿宋" w:eastAsia="仿宋" w:cs="仿宋"/>
                <w:b/>
                <w:bCs/>
                <w:color w:val="auto"/>
                <w:sz w:val="24"/>
                <w:szCs w:val="24"/>
                <w:highlight w:val="none"/>
              </w:rPr>
              <w:t>中所有带★要求均为实质性要求，投标文件须满足或优于</w:t>
            </w:r>
            <w:r>
              <w:rPr>
                <w:rFonts w:hint="eastAsia" w:ascii="仿宋" w:hAnsi="仿宋" w:eastAsia="仿宋" w:cs="仿宋"/>
                <w:b/>
                <w:bCs/>
                <w:color w:val="auto"/>
                <w:sz w:val="24"/>
                <w:szCs w:val="24"/>
                <w:highlight w:val="none"/>
                <w:lang w:eastAsia="zh-CN"/>
              </w:rPr>
              <w:t>招标文件</w:t>
            </w:r>
            <w:r>
              <w:rPr>
                <w:rFonts w:hint="eastAsia" w:ascii="仿宋" w:hAnsi="仿宋" w:eastAsia="仿宋" w:cs="仿宋"/>
                <w:b/>
                <w:bCs/>
                <w:color w:val="auto"/>
                <w:sz w:val="24"/>
                <w:szCs w:val="24"/>
                <w:highlight w:val="none"/>
              </w:rPr>
              <w:t>中带“★”条款的要求，否则按照无效投标处理。</w:t>
            </w:r>
          </w:p>
        </w:tc>
      </w:tr>
      <w:tr w14:paraId="18EDE8BE">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5000" w:type="pct"/>
            <w:gridSpan w:val="3"/>
            <w:shd w:val="clear" w:color="auto" w:fill="auto"/>
            <w:vAlign w:val="center"/>
          </w:tcPr>
          <w:p w14:paraId="6ACDF11D">
            <w:pPr>
              <w:pStyle w:val="20"/>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本表是对</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须知的具体补充和修改，如有矛盾，均以本</w:t>
            </w:r>
            <w:r>
              <w:rPr>
                <w:rFonts w:hint="eastAsia" w:ascii="仿宋" w:hAnsi="仿宋" w:eastAsia="仿宋" w:cs="仿宋"/>
                <w:color w:val="auto"/>
                <w:sz w:val="24"/>
                <w:szCs w:val="24"/>
                <w:highlight w:val="none"/>
                <w:lang w:val="en-US" w:eastAsia="zh-CN"/>
              </w:rPr>
              <w:t>前附</w:t>
            </w:r>
            <w:r>
              <w:rPr>
                <w:rFonts w:hint="eastAsia" w:ascii="仿宋" w:hAnsi="仿宋" w:eastAsia="仿宋" w:cs="仿宋"/>
                <w:color w:val="auto"/>
                <w:sz w:val="24"/>
                <w:szCs w:val="24"/>
                <w:highlight w:val="none"/>
              </w:rPr>
              <w:t>表为准。标记☑的选项意为适用于本项目，标记</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的选项意为不适用于本项目。</w:t>
            </w:r>
          </w:p>
        </w:tc>
      </w:tr>
    </w:tbl>
    <w:p w14:paraId="10C5072C">
      <w:pPr>
        <w:rPr>
          <w:rFonts w:hint="eastAsia" w:ascii="仿宋" w:hAnsi="仿宋" w:eastAsia="仿宋" w:cs="仿宋"/>
          <w:color w:val="auto"/>
          <w:highlight w:val="none"/>
        </w:rPr>
      </w:pPr>
      <w:bookmarkStart w:id="71" w:name="_Toc155185869"/>
      <w:bookmarkStart w:id="72" w:name="_Toc163492821"/>
      <w:r>
        <w:rPr>
          <w:rFonts w:hint="eastAsia" w:ascii="仿宋" w:hAnsi="仿宋" w:eastAsia="仿宋" w:cs="仿宋"/>
          <w:color w:val="auto"/>
          <w:highlight w:val="none"/>
        </w:rPr>
        <w:br w:type="page"/>
      </w:r>
    </w:p>
    <w:p w14:paraId="2F3B0208">
      <w:pPr>
        <w:pStyle w:val="5"/>
        <w:bidi w:val="0"/>
        <w:rPr>
          <w:rFonts w:hint="eastAsia" w:ascii="仿宋" w:hAnsi="仿宋" w:eastAsia="仿宋" w:cs="仿宋"/>
          <w:color w:val="auto"/>
          <w:highlight w:val="none"/>
        </w:rPr>
      </w:pPr>
      <w:bookmarkStart w:id="73" w:name="_Toc11175"/>
      <w:r>
        <w:rPr>
          <w:rFonts w:hint="eastAsia" w:ascii="仿宋" w:hAnsi="仿宋" w:eastAsia="仿宋" w:cs="仿宋"/>
          <w:color w:val="auto"/>
          <w:highlight w:val="none"/>
        </w:rPr>
        <w:t>附件</w:t>
      </w:r>
      <w:r>
        <w:rPr>
          <w:rFonts w:hint="eastAsia" w:ascii="仿宋" w:hAnsi="仿宋" w:eastAsia="仿宋" w:cs="仿宋"/>
          <w:color w:val="auto"/>
          <w:highlight w:val="none"/>
          <w:lang w:val="en-US" w:eastAsia="zh-CN"/>
        </w:rPr>
        <w:t>1</w:t>
      </w:r>
      <w:r>
        <w:rPr>
          <w:rFonts w:hint="eastAsia" w:ascii="仿宋" w:hAnsi="仿宋" w:eastAsia="仿宋" w:cs="仿宋"/>
          <w:color w:val="auto"/>
          <w:highlight w:val="none"/>
        </w:rPr>
        <w:t>：</w:t>
      </w:r>
      <w:bookmarkEnd w:id="73"/>
    </w:p>
    <w:p w14:paraId="05C9C0FB">
      <w:pPr>
        <w:bidi w:val="0"/>
        <w:ind w:left="0" w:leftChars="0" w:firstLine="0" w:firstLineChars="0"/>
        <w:jc w:val="center"/>
        <w:rPr>
          <w:rFonts w:hint="eastAsia" w:ascii="仿宋" w:hAnsi="仿宋" w:eastAsia="仿宋" w:cs="仿宋"/>
          <w:b/>
          <w:bCs/>
          <w:color w:val="auto"/>
          <w:highlight w:val="none"/>
        </w:rPr>
      </w:pPr>
      <w:r>
        <w:rPr>
          <w:rFonts w:hint="eastAsia" w:ascii="仿宋" w:hAnsi="仿宋" w:eastAsia="仿宋" w:cs="仿宋"/>
          <w:b/>
          <w:bCs/>
          <w:color w:val="auto"/>
          <w:highlight w:val="none"/>
        </w:rPr>
        <w:t>中小企业划型标准规定</w:t>
      </w:r>
    </w:p>
    <w:p w14:paraId="27FD0905">
      <w:pPr>
        <w:bidi w:val="0"/>
        <w:rPr>
          <w:rFonts w:hint="eastAsia" w:ascii="仿宋" w:hAnsi="仿宋" w:eastAsia="仿宋" w:cs="仿宋"/>
          <w:color w:val="auto"/>
          <w:highlight w:val="none"/>
        </w:rPr>
      </w:pPr>
      <w:r>
        <w:rPr>
          <w:rFonts w:hint="eastAsia" w:ascii="仿宋" w:hAnsi="仿宋" w:eastAsia="仿宋" w:cs="仿宋"/>
          <w:color w:val="auto"/>
          <w:highlight w:val="none"/>
        </w:rPr>
        <w:t>一、根据《中华人民共和国中小企业促进法》和《国务院关于进一步促进中小企业发展的若干意见》(国发〔2009〕36号)，制定本规定。</w:t>
      </w:r>
    </w:p>
    <w:p w14:paraId="314FC242">
      <w:pPr>
        <w:bidi w:val="0"/>
        <w:rPr>
          <w:rFonts w:hint="eastAsia" w:ascii="仿宋" w:hAnsi="仿宋" w:eastAsia="仿宋" w:cs="仿宋"/>
          <w:color w:val="auto"/>
          <w:highlight w:val="none"/>
        </w:rPr>
      </w:pPr>
      <w:r>
        <w:rPr>
          <w:rFonts w:hint="eastAsia" w:ascii="仿宋" w:hAnsi="仿宋" w:eastAsia="仿宋" w:cs="仿宋"/>
          <w:color w:val="auto"/>
          <w:highlight w:val="none"/>
        </w:rPr>
        <w:t>二、中小企业划分为中型、小型、微型三种类型，具体标准根据企业从业人员、营业收入、资产总额等指标，结合行业特点制定。</w:t>
      </w:r>
    </w:p>
    <w:p w14:paraId="5BDC35B7">
      <w:pPr>
        <w:bidi w:val="0"/>
        <w:rPr>
          <w:rFonts w:hint="eastAsia" w:ascii="仿宋" w:hAnsi="仿宋" w:eastAsia="仿宋" w:cs="仿宋"/>
          <w:color w:val="auto"/>
          <w:highlight w:val="none"/>
        </w:rPr>
      </w:pPr>
      <w:r>
        <w:rPr>
          <w:rFonts w:hint="eastAsia" w:ascii="仿宋" w:hAnsi="仿宋" w:eastAsia="仿宋" w:cs="仿宋"/>
          <w:color w:val="auto"/>
          <w:highlight w:val="none"/>
        </w:rPr>
        <w:t>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14:paraId="2A05A238">
      <w:pPr>
        <w:bidi w:val="0"/>
        <w:rPr>
          <w:rFonts w:hint="eastAsia" w:ascii="仿宋" w:hAnsi="仿宋" w:eastAsia="仿宋" w:cs="仿宋"/>
          <w:color w:val="auto"/>
          <w:highlight w:val="none"/>
        </w:rPr>
      </w:pPr>
      <w:r>
        <w:rPr>
          <w:rFonts w:hint="eastAsia" w:ascii="仿宋" w:hAnsi="仿宋" w:eastAsia="仿宋" w:cs="仿宋"/>
          <w:color w:val="auto"/>
          <w:highlight w:val="none"/>
        </w:rPr>
        <w:t>四、各行业划型标准为：</w:t>
      </w:r>
    </w:p>
    <w:p w14:paraId="352D1809">
      <w:pPr>
        <w:bidi w:val="0"/>
        <w:rPr>
          <w:rFonts w:hint="eastAsia" w:ascii="仿宋" w:hAnsi="仿宋" w:eastAsia="仿宋" w:cs="仿宋"/>
          <w:color w:val="auto"/>
          <w:highlight w:val="none"/>
        </w:rPr>
      </w:pPr>
      <w:r>
        <w:rPr>
          <w:rFonts w:hint="eastAsia" w:ascii="仿宋" w:hAnsi="仿宋" w:eastAsia="仿宋" w:cs="仿宋"/>
          <w:color w:val="auto"/>
          <w:highlight w:val="none"/>
        </w:rPr>
        <w:t>（一）农、林、牧、渔业。营业收入20000万元以下的为中小微型企业。其中，营业收入500万元及以上的为中型企业，营业收入50万元及以上的为小型企业，营业收入50万元以下的为微型企业。</w:t>
      </w:r>
    </w:p>
    <w:p w14:paraId="1DFFD502">
      <w:pPr>
        <w:bidi w:val="0"/>
        <w:rPr>
          <w:rFonts w:hint="eastAsia" w:ascii="仿宋" w:hAnsi="仿宋" w:eastAsia="仿宋" w:cs="仿宋"/>
          <w:color w:val="auto"/>
          <w:highlight w:val="none"/>
        </w:rPr>
      </w:pPr>
      <w:r>
        <w:rPr>
          <w:rFonts w:hint="eastAsia" w:ascii="仿宋" w:hAnsi="仿宋" w:eastAsia="仿宋" w:cs="仿宋"/>
          <w:color w:val="auto"/>
          <w:highlight w:val="none"/>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7A9B68FE">
      <w:pPr>
        <w:bidi w:val="0"/>
        <w:rPr>
          <w:rFonts w:hint="eastAsia" w:ascii="仿宋" w:hAnsi="仿宋" w:eastAsia="仿宋" w:cs="仿宋"/>
          <w:color w:val="auto"/>
          <w:highlight w:val="none"/>
        </w:rPr>
      </w:pPr>
      <w:r>
        <w:rPr>
          <w:rFonts w:hint="eastAsia" w:ascii="仿宋" w:hAnsi="仿宋" w:eastAsia="仿宋" w:cs="仿宋"/>
          <w:color w:val="auto"/>
          <w:highlight w:val="none"/>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3717CC1D">
      <w:pPr>
        <w:bidi w:val="0"/>
        <w:rPr>
          <w:rFonts w:hint="eastAsia" w:ascii="仿宋" w:hAnsi="仿宋" w:eastAsia="仿宋" w:cs="仿宋"/>
          <w:color w:val="auto"/>
          <w:highlight w:val="none"/>
        </w:rPr>
      </w:pPr>
      <w:r>
        <w:rPr>
          <w:rFonts w:hint="eastAsia" w:ascii="仿宋" w:hAnsi="仿宋" w:eastAsia="仿宋" w:cs="仿宋"/>
          <w:color w:val="auto"/>
          <w:highlight w:val="none"/>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26FE477C">
      <w:pPr>
        <w:bidi w:val="0"/>
        <w:rPr>
          <w:rFonts w:hint="eastAsia" w:ascii="仿宋" w:hAnsi="仿宋" w:eastAsia="仿宋" w:cs="仿宋"/>
          <w:color w:val="auto"/>
          <w:highlight w:val="none"/>
        </w:rPr>
      </w:pPr>
      <w:r>
        <w:rPr>
          <w:rFonts w:hint="eastAsia" w:ascii="仿宋" w:hAnsi="仿宋" w:eastAsia="仿宋" w:cs="仿宋"/>
          <w:color w:val="auto"/>
          <w:highlight w:val="none"/>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04091673">
      <w:pPr>
        <w:bidi w:val="0"/>
        <w:rPr>
          <w:rFonts w:hint="eastAsia" w:ascii="仿宋" w:hAnsi="仿宋" w:eastAsia="仿宋" w:cs="仿宋"/>
          <w:color w:val="auto"/>
          <w:highlight w:val="none"/>
        </w:rPr>
      </w:pPr>
      <w:r>
        <w:rPr>
          <w:rFonts w:hint="eastAsia" w:ascii="仿宋" w:hAnsi="仿宋" w:eastAsia="仿宋" w:cs="仿宋"/>
          <w:color w:val="auto"/>
          <w:highlight w:val="none"/>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6BAEE84E">
      <w:pPr>
        <w:bidi w:val="0"/>
        <w:rPr>
          <w:rFonts w:hint="eastAsia" w:ascii="仿宋" w:hAnsi="仿宋" w:eastAsia="仿宋" w:cs="仿宋"/>
          <w:color w:val="auto"/>
          <w:highlight w:val="none"/>
        </w:rPr>
      </w:pPr>
      <w:r>
        <w:rPr>
          <w:rFonts w:hint="eastAsia" w:ascii="仿宋" w:hAnsi="仿宋" w:eastAsia="仿宋" w:cs="仿宋"/>
          <w:color w:val="auto"/>
          <w:highlight w:val="none"/>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3012F0D2">
      <w:pPr>
        <w:bidi w:val="0"/>
        <w:rPr>
          <w:rFonts w:hint="eastAsia" w:ascii="仿宋" w:hAnsi="仿宋" w:eastAsia="仿宋" w:cs="仿宋"/>
          <w:color w:val="auto"/>
          <w:highlight w:val="none"/>
        </w:rPr>
      </w:pPr>
      <w:r>
        <w:rPr>
          <w:rFonts w:hint="eastAsia" w:ascii="仿宋" w:hAnsi="仿宋" w:eastAsia="仿宋" w:cs="仿宋"/>
          <w:color w:val="auto"/>
          <w:highlight w:val="none"/>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61AD8520">
      <w:pPr>
        <w:bidi w:val="0"/>
        <w:rPr>
          <w:rFonts w:hint="eastAsia" w:ascii="仿宋" w:hAnsi="仿宋" w:eastAsia="仿宋" w:cs="仿宋"/>
          <w:color w:val="auto"/>
          <w:highlight w:val="none"/>
        </w:rPr>
      </w:pPr>
      <w:r>
        <w:rPr>
          <w:rFonts w:hint="eastAsia" w:ascii="仿宋" w:hAnsi="仿宋" w:eastAsia="仿宋" w:cs="仿宋"/>
          <w:color w:val="auto"/>
          <w:highlight w:val="none"/>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58D8F87C">
      <w:pPr>
        <w:bidi w:val="0"/>
        <w:rPr>
          <w:rFonts w:hint="eastAsia" w:ascii="仿宋" w:hAnsi="仿宋" w:eastAsia="仿宋" w:cs="仿宋"/>
          <w:color w:val="auto"/>
          <w:highlight w:val="none"/>
        </w:rPr>
      </w:pPr>
      <w:r>
        <w:rPr>
          <w:rFonts w:hint="eastAsia" w:ascii="仿宋" w:hAnsi="仿宋" w:eastAsia="仿宋" w:cs="仿宋"/>
          <w:color w:val="auto"/>
          <w:highlight w:val="none"/>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16C1A16A">
      <w:pPr>
        <w:bidi w:val="0"/>
        <w:rPr>
          <w:rFonts w:hint="eastAsia" w:ascii="仿宋" w:hAnsi="仿宋" w:eastAsia="仿宋" w:cs="仿宋"/>
          <w:color w:val="auto"/>
          <w:highlight w:val="none"/>
        </w:rPr>
      </w:pPr>
      <w:r>
        <w:rPr>
          <w:rFonts w:hint="eastAsia" w:ascii="仿宋" w:hAnsi="仿宋" w:eastAsia="仿宋" w:cs="仿宋"/>
          <w:color w:val="auto"/>
          <w:highlight w:val="none"/>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1D5A165C">
      <w:pPr>
        <w:bidi w:val="0"/>
        <w:rPr>
          <w:rFonts w:hint="eastAsia" w:ascii="仿宋" w:hAnsi="仿宋" w:eastAsia="仿宋" w:cs="仿宋"/>
          <w:color w:val="auto"/>
          <w:highlight w:val="none"/>
        </w:rPr>
      </w:pPr>
      <w:r>
        <w:rPr>
          <w:rFonts w:hint="eastAsia" w:ascii="仿宋" w:hAnsi="仿宋" w:eastAsia="仿宋" w:cs="仿宋"/>
          <w:color w:val="auto"/>
          <w:highlight w:val="none"/>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24187967">
      <w:pPr>
        <w:bidi w:val="0"/>
        <w:rPr>
          <w:rFonts w:hint="eastAsia" w:ascii="仿宋" w:hAnsi="仿宋" w:eastAsia="仿宋" w:cs="仿宋"/>
          <w:color w:val="auto"/>
          <w:highlight w:val="none"/>
        </w:rPr>
      </w:pPr>
      <w:r>
        <w:rPr>
          <w:rFonts w:hint="eastAsia" w:ascii="仿宋" w:hAnsi="仿宋" w:eastAsia="仿宋" w:cs="仿宋"/>
          <w:color w:val="auto"/>
          <w:highlight w:val="none"/>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59F61DD0">
      <w:pPr>
        <w:bidi w:val="0"/>
        <w:rPr>
          <w:rFonts w:hint="eastAsia" w:ascii="仿宋" w:hAnsi="仿宋" w:eastAsia="仿宋" w:cs="仿宋"/>
          <w:color w:val="auto"/>
          <w:highlight w:val="none"/>
        </w:rPr>
      </w:pPr>
      <w:r>
        <w:rPr>
          <w:rFonts w:hint="eastAsia" w:ascii="仿宋" w:hAnsi="仿宋" w:eastAsia="仿宋" w:cs="仿宋"/>
          <w:color w:val="auto"/>
          <w:highlight w:val="none"/>
        </w:rPr>
        <w:t>（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51E293A5">
      <w:pPr>
        <w:bidi w:val="0"/>
        <w:rPr>
          <w:rFonts w:hint="eastAsia" w:ascii="仿宋" w:hAnsi="仿宋" w:eastAsia="仿宋" w:cs="仿宋"/>
          <w:color w:val="auto"/>
          <w:highlight w:val="none"/>
        </w:rPr>
      </w:pPr>
      <w:r>
        <w:rPr>
          <w:rFonts w:hint="eastAsia" w:ascii="仿宋" w:hAnsi="仿宋" w:eastAsia="仿宋" w:cs="仿宋"/>
          <w:color w:val="auto"/>
          <w:highlight w:val="none"/>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7C470E09">
      <w:pPr>
        <w:bidi w:val="0"/>
        <w:rPr>
          <w:rFonts w:hint="eastAsia" w:ascii="仿宋" w:hAnsi="仿宋" w:eastAsia="仿宋" w:cs="仿宋"/>
          <w:color w:val="auto"/>
          <w:highlight w:val="none"/>
        </w:rPr>
      </w:pPr>
      <w:r>
        <w:rPr>
          <w:rFonts w:hint="eastAsia" w:ascii="仿宋" w:hAnsi="仿宋" w:eastAsia="仿宋" w:cs="仿宋"/>
          <w:color w:val="auto"/>
          <w:highlight w:val="none"/>
        </w:rPr>
        <w:t>（十六）其他未列明行业。从业人员300人以下的为中小微型企业。其中，从业人员100人及以上的为中型企业；从业人员10人及以上的为小型企业；从业人员10人以下的为微型企业。</w:t>
      </w:r>
    </w:p>
    <w:p w14:paraId="4CF25B17">
      <w:pPr>
        <w:bidi w:val="0"/>
        <w:rPr>
          <w:rFonts w:hint="eastAsia" w:ascii="仿宋" w:hAnsi="仿宋" w:eastAsia="仿宋" w:cs="仿宋"/>
          <w:color w:val="auto"/>
          <w:highlight w:val="none"/>
        </w:rPr>
      </w:pPr>
      <w:r>
        <w:rPr>
          <w:rFonts w:hint="eastAsia" w:ascii="仿宋" w:hAnsi="仿宋" w:eastAsia="仿宋" w:cs="仿宋"/>
          <w:color w:val="auto"/>
          <w:highlight w:val="none"/>
        </w:rPr>
        <w:t>五、企业类型的划分以统计部门的统计数据为依据。</w:t>
      </w:r>
    </w:p>
    <w:p w14:paraId="089D69E2">
      <w:pPr>
        <w:bidi w:val="0"/>
        <w:rPr>
          <w:rFonts w:hint="eastAsia" w:ascii="仿宋" w:hAnsi="仿宋" w:eastAsia="仿宋" w:cs="仿宋"/>
          <w:color w:val="auto"/>
          <w:highlight w:val="none"/>
        </w:rPr>
      </w:pPr>
      <w:r>
        <w:rPr>
          <w:rFonts w:hint="eastAsia" w:ascii="仿宋" w:hAnsi="仿宋" w:eastAsia="仿宋" w:cs="仿宋"/>
          <w:color w:val="auto"/>
          <w:highlight w:val="none"/>
        </w:rPr>
        <w:t>六、本规定适用于在中华人民共和国境内依法设立的各类所有制和各种组织形式的企业。个体工商户和本规定以外的行业，参照本规定进行划型。</w:t>
      </w:r>
    </w:p>
    <w:p w14:paraId="19F3C57E">
      <w:pPr>
        <w:bidi w:val="0"/>
        <w:rPr>
          <w:rFonts w:hint="eastAsia" w:ascii="仿宋" w:hAnsi="仿宋" w:eastAsia="仿宋" w:cs="仿宋"/>
          <w:color w:val="auto"/>
          <w:highlight w:val="none"/>
        </w:rPr>
      </w:pPr>
      <w:r>
        <w:rPr>
          <w:rFonts w:hint="eastAsia" w:ascii="仿宋" w:hAnsi="仿宋" w:eastAsia="仿宋" w:cs="仿宋"/>
          <w:color w:val="auto"/>
          <w:highlight w:val="none"/>
        </w:rPr>
        <w:t>七、本规定的中型企业标准上限即为大型企业标准的下限，国家统计部门据此制定大中小微型企业的统计分类。国务院有关部门据此进行相关数据分析，不得制定与本规定不一致的企业划型标准。</w:t>
      </w:r>
    </w:p>
    <w:p w14:paraId="37EC23B4">
      <w:pPr>
        <w:bidi w:val="0"/>
        <w:rPr>
          <w:rFonts w:hint="eastAsia" w:ascii="仿宋" w:hAnsi="仿宋" w:eastAsia="仿宋" w:cs="仿宋"/>
          <w:color w:val="auto"/>
          <w:highlight w:val="none"/>
        </w:rPr>
      </w:pPr>
      <w:r>
        <w:rPr>
          <w:rFonts w:hint="eastAsia" w:ascii="仿宋" w:hAnsi="仿宋" w:eastAsia="仿宋" w:cs="仿宋"/>
          <w:color w:val="auto"/>
          <w:highlight w:val="none"/>
        </w:rPr>
        <w:t>八、本规定由工业和信息化部、国家统计局会同有关部门根据《国民经济行业分类》修订情况和企业发展变化情况适时修订。</w:t>
      </w:r>
    </w:p>
    <w:p w14:paraId="79227B51">
      <w:pPr>
        <w:bidi w:val="0"/>
        <w:rPr>
          <w:rFonts w:hint="eastAsia" w:ascii="仿宋" w:hAnsi="仿宋" w:eastAsia="仿宋" w:cs="仿宋"/>
          <w:color w:val="auto"/>
          <w:highlight w:val="none"/>
        </w:rPr>
      </w:pPr>
      <w:r>
        <w:rPr>
          <w:rFonts w:hint="eastAsia" w:ascii="仿宋" w:hAnsi="仿宋" w:eastAsia="仿宋" w:cs="仿宋"/>
          <w:color w:val="auto"/>
          <w:highlight w:val="none"/>
        </w:rPr>
        <w:t>九、本规定由工业和信息化部、国家统计局会同有关部门负责解释。</w:t>
      </w:r>
    </w:p>
    <w:p w14:paraId="2ABEDA70">
      <w:pPr>
        <w:rPr>
          <w:rFonts w:hint="eastAsia" w:ascii="仿宋" w:hAnsi="仿宋" w:eastAsia="仿宋" w:cs="仿宋"/>
          <w:color w:val="auto"/>
          <w:highlight w:val="none"/>
          <w:lang w:eastAsia="zh-CN"/>
        </w:rPr>
      </w:pPr>
      <w:r>
        <w:rPr>
          <w:rFonts w:hint="eastAsia" w:ascii="仿宋" w:hAnsi="仿宋" w:eastAsia="仿宋" w:cs="仿宋"/>
          <w:color w:val="auto"/>
          <w:highlight w:val="none"/>
        </w:rPr>
        <w:t>十、本规定自发布之日起执行，原国家经贸委、原国家计委、财政部和国家统计局2003年颁布的《中小企业标准暂行规定》同时废止</w:t>
      </w:r>
      <w:r>
        <w:rPr>
          <w:rFonts w:hint="eastAsia" w:ascii="仿宋" w:hAnsi="仿宋" w:eastAsia="仿宋" w:cs="仿宋"/>
          <w:color w:val="auto"/>
          <w:highlight w:val="none"/>
          <w:lang w:eastAsia="zh-CN"/>
        </w:rPr>
        <w:t>。</w:t>
      </w:r>
    </w:p>
    <w:p w14:paraId="51B49E96">
      <w:pPr>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br w:type="page"/>
      </w:r>
    </w:p>
    <w:p w14:paraId="266AA533">
      <w:pPr>
        <w:pStyle w:val="3"/>
        <w:spacing w:before="93" w:after="93"/>
        <w:ind w:firstLine="643"/>
        <w:rPr>
          <w:rFonts w:hint="eastAsia" w:ascii="仿宋" w:hAnsi="仿宋" w:eastAsia="仿宋" w:cs="仿宋"/>
          <w:color w:val="auto"/>
          <w:highlight w:val="none"/>
        </w:rPr>
      </w:pPr>
      <w:bookmarkStart w:id="74" w:name="_Toc20427"/>
      <w:r>
        <w:rPr>
          <w:rFonts w:hint="eastAsia" w:ascii="仿宋" w:hAnsi="仿宋" w:eastAsia="仿宋" w:cs="仿宋"/>
          <w:color w:val="auto"/>
          <w:highlight w:val="none"/>
        </w:rPr>
        <w:t>二、</w:t>
      </w:r>
      <w:r>
        <w:rPr>
          <w:rFonts w:hint="eastAsia" w:ascii="仿宋" w:hAnsi="仿宋" w:eastAsia="仿宋" w:cs="仿宋"/>
          <w:color w:val="auto"/>
          <w:highlight w:val="none"/>
          <w:lang w:eastAsia="zh-CN"/>
        </w:rPr>
        <w:t>投标人</w:t>
      </w:r>
      <w:r>
        <w:rPr>
          <w:rFonts w:hint="eastAsia" w:ascii="仿宋" w:hAnsi="仿宋" w:eastAsia="仿宋" w:cs="仿宋"/>
          <w:color w:val="auto"/>
          <w:highlight w:val="none"/>
        </w:rPr>
        <w:t>须知</w:t>
      </w:r>
      <w:bookmarkEnd w:id="71"/>
      <w:bookmarkEnd w:id="72"/>
      <w:bookmarkEnd w:id="74"/>
    </w:p>
    <w:p w14:paraId="6D4E93D7">
      <w:pPr>
        <w:pStyle w:val="5"/>
        <w:ind w:firstLine="602"/>
        <w:rPr>
          <w:rFonts w:hint="eastAsia" w:ascii="仿宋" w:hAnsi="仿宋" w:eastAsia="仿宋" w:cs="仿宋"/>
          <w:color w:val="auto"/>
          <w:highlight w:val="none"/>
        </w:rPr>
      </w:pPr>
      <w:bookmarkStart w:id="75" w:name="_Toc26668"/>
      <w:bookmarkStart w:id="76" w:name="_Toc155185870"/>
      <w:bookmarkStart w:id="77" w:name="_Toc14100"/>
      <w:bookmarkStart w:id="78" w:name="_Toc23253"/>
      <w:bookmarkStart w:id="79" w:name="_Toc163492822"/>
      <w:r>
        <w:rPr>
          <w:rFonts w:hint="eastAsia" w:ascii="仿宋" w:hAnsi="仿宋" w:eastAsia="仿宋" w:cs="仿宋"/>
          <w:color w:val="auto"/>
          <w:highlight w:val="none"/>
        </w:rPr>
        <w:t>（一）总则</w:t>
      </w:r>
      <w:bookmarkEnd w:id="75"/>
      <w:bookmarkEnd w:id="76"/>
      <w:bookmarkEnd w:id="77"/>
      <w:bookmarkEnd w:id="78"/>
      <w:bookmarkEnd w:id="79"/>
    </w:p>
    <w:p w14:paraId="206C6F11">
      <w:pPr>
        <w:pStyle w:val="6"/>
        <w:ind w:firstLine="562"/>
        <w:rPr>
          <w:rFonts w:hint="eastAsia" w:ascii="仿宋" w:hAnsi="仿宋" w:eastAsia="仿宋" w:cs="仿宋"/>
          <w:color w:val="auto"/>
          <w:highlight w:val="none"/>
        </w:rPr>
      </w:pPr>
      <w:bookmarkStart w:id="80" w:name="_Toc109899631"/>
      <w:bookmarkStart w:id="81" w:name="_Toc109900469"/>
      <w:bookmarkStart w:id="82" w:name="_Toc31233"/>
      <w:bookmarkStart w:id="83" w:name="_Toc109900050"/>
      <w:bookmarkStart w:id="84" w:name="_Toc163492823"/>
      <w:bookmarkStart w:id="85" w:name="_Toc155095689"/>
      <w:bookmarkStart w:id="86" w:name="_Toc109897532"/>
      <w:r>
        <w:rPr>
          <w:rFonts w:hint="eastAsia" w:ascii="仿宋" w:hAnsi="仿宋" w:eastAsia="仿宋" w:cs="仿宋"/>
          <w:color w:val="auto"/>
          <w:highlight w:val="none"/>
        </w:rPr>
        <w:t>1.适用范围</w:t>
      </w:r>
      <w:bookmarkEnd w:id="80"/>
      <w:bookmarkEnd w:id="81"/>
      <w:bookmarkEnd w:id="82"/>
      <w:bookmarkEnd w:id="83"/>
      <w:bookmarkEnd w:id="84"/>
      <w:bookmarkEnd w:id="85"/>
      <w:bookmarkEnd w:id="86"/>
    </w:p>
    <w:p w14:paraId="0224C116">
      <w:pPr>
        <w:ind w:firstLine="560"/>
        <w:rPr>
          <w:rFonts w:hint="eastAsia" w:ascii="仿宋" w:hAnsi="仿宋" w:eastAsia="仿宋" w:cs="仿宋"/>
          <w:color w:val="auto"/>
          <w:highlight w:val="none"/>
        </w:rPr>
      </w:pPr>
      <w:r>
        <w:rPr>
          <w:rFonts w:hint="eastAsia" w:ascii="仿宋" w:hAnsi="仿宋" w:eastAsia="仿宋" w:cs="仿宋"/>
          <w:color w:val="auto"/>
          <w:highlight w:val="none"/>
        </w:rPr>
        <w:t>1.1</w:t>
      </w: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rPr>
        <w:t>本</w:t>
      </w:r>
      <w:r>
        <w:rPr>
          <w:rFonts w:hint="eastAsia" w:ascii="仿宋" w:hAnsi="仿宋" w:eastAsia="仿宋" w:cs="仿宋"/>
          <w:color w:val="auto"/>
          <w:highlight w:val="none"/>
          <w:lang w:eastAsia="zh-CN"/>
        </w:rPr>
        <w:t>招标文件</w:t>
      </w:r>
      <w:r>
        <w:rPr>
          <w:rFonts w:hint="eastAsia" w:ascii="仿宋" w:hAnsi="仿宋" w:eastAsia="仿宋" w:cs="仿宋"/>
          <w:color w:val="auto"/>
          <w:highlight w:val="none"/>
        </w:rPr>
        <w:t>仅适用于本次公开招标中所述项目的采购活动。</w:t>
      </w:r>
    </w:p>
    <w:p w14:paraId="6B9332C6">
      <w:pPr>
        <w:pStyle w:val="6"/>
        <w:ind w:firstLine="562"/>
        <w:rPr>
          <w:rFonts w:hint="eastAsia" w:ascii="仿宋" w:hAnsi="仿宋" w:eastAsia="仿宋" w:cs="仿宋"/>
          <w:color w:val="auto"/>
          <w:highlight w:val="none"/>
        </w:rPr>
      </w:pPr>
      <w:bookmarkStart w:id="87" w:name="_Toc163492824"/>
      <w:r>
        <w:rPr>
          <w:rFonts w:hint="eastAsia" w:ascii="仿宋" w:hAnsi="仿宋" w:eastAsia="仿宋" w:cs="仿宋"/>
          <w:color w:val="auto"/>
          <w:highlight w:val="none"/>
        </w:rPr>
        <w:t>2.基本定义</w:t>
      </w:r>
      <w:bookmarkEnd w:id="87"/>
    </w:p>
    <w:p w14:paraId="034D7CDB">
      <w:pPr>
        <w:ind w:firstLine="560"/>
        <w:rPr>
          <w:rFonts w:hint="eastAsia" w:ascii="仿宋" w:hAnsi="仿宋" w:eastAsia="仿宋" w:cs="仿宋"/>
          <w:color w:val="auto"/>
          <w:highlight w:val="none"/>
        </w:rPr>
      </w:pPr>
      <w:r>
        <w:rPr>
          <w:rFonts w:hint="eastAsia" w:ascii="仿宋" w:hAnsi="仿宋" w:eastAsia="仿宋" w:cs="仿宋"/>
          <w:color w:val="auto"/>
          <w:highlight w:val="none"/>
        </w:rPr>
        <w:t>2.1</w:t>
      </w: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rPr>
        <w:t>根据《中华人民共和国政府采购法》及其实施条例等有关法律、法规和规章的规定，制定本</w:t>
      </w:r>
      <w:r>
        <w:rPr>
          <w:rFonts w:hint="eastAsia" w:ascii="仿宋" w:hAnsi="仿宋" w:eastAsia="仿宋" w:cs="仿宋"/>
          <w:color w:val="auto"/>
          <w:highlight w:val="none"/>
          <w:lang w:eastAsia="zh-CN"/>
        </w:rPr>
        <w:t>招标文件</w:t>
      </w:r>
      <w:r>
        <w:rPr>
          <w:rFonts w:hint="eastAsia" w:ascii="仿宋" w:hAnsi="仿宋" w:eastAsia="仿宋" w:cs="仿宋"/>
          <w:color w:val="auto"/>
          <w:highlight w:val="none"/>
        </w:rPr>
        <w:t>。</w:t>
      </w:r>
    </w:p>
    <w:p w14:paraId="2CED59F6">
      <w:pPr>
        <w:ind w:firstLine="560"/>
        <w:rPr>
          <w:rFonts w:hint="eastAsia" w:ascii="仿宋" w:hAnsi="仿宋" w:eastAsia="仿宋" w:cs="仿宋"/>
          <w:color w:val="auto"/>
          <w:highlight w:val="none"/>
        </w:rPr>
      </w:pPr>
      <w:r>
        <w:rPr>
          <w:rFonts w:hint="eastAsia" w:ascii="仿宋" w:hAnsi="仿宋" w:eastAsia="仿宋" w:cs="仿宋"/>
          <w:color w:val="auto"/>
          <w:highlight w:val="none"/>
        </w:rPr>
        <w:t>2.2</w:t>
      </w: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rPr>
        <w:t>采购人：见“</w:t>
      </w:r>
      <w:r>
        <w:rPr>
          <w:rFonts w:hint="eastAsia" w:ascii="仿宋" w:hAnsi="仿宋" w:eastAsia="仿宋" w:cs="仿宋"/>
          <w:color w:val="auto"/>
          <w:highlight w:val="none"/>
          <w:lang w:eastAsia="zh-CN"/>
        </w:rPr>
        <w:t>投标人</w:t>
      </w:r>
      <w:r>
        <w:rPr>
          <w:rFonts w:hint="eastAsia" w:ascii="仿宋" w:hAnsi="仿宋" w:eastAsia="仿宋" w:cs="仿宋"/>
          <w:color w:val="auto"/>
          <w:highlight w:val="none"/>
        </w:rPr>
        <w:t>须知前附表”。</w:t>
      </w:r>
    </w:p>
    <w:p w14:paraId="308A6382">
      <w:pPr>
        <w:ind w:firstLine="560"/>
        <w:rPr>
          <w:rFonts w:hint="eastAsia" w:ascii="仿宋" w:hAnsi="仿宋" w:eastAsia="仿宋" w:cs="仿宋"/>
          <w:color w:val="auto"/>
          <w:highlight w:val="none"/>
        </w:rPr>
      </w:pPr>
      <w:r>
        <w:rPr>
          <w:rFonts w:hint="eastAsia" w:ascii="仿宋" w:hAnsi="仿宋" w:eastAsia="仿宋" w:cs="仿宋"/>
          <w:color w:val="auto"/>
          <w:highlight w:val="none"/>
        </w:rPr>
        <w:t>2.3</w:t>
      </w: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rPr>
        <w:t>采购代理机构：见“</w:t>
      </w:r>
      <w:r>
        <w:rPr>
          <w:rFonts w:hint="eastAsia" w:ascii="仿宋" w:hAnsi="仿宋" w:eastAsia="仿宋" w:cs="仿宋"/>
          <w:color w:val="auto"/>
          <w:highlight w:val="none"/>
          <w:lang w:eastAsia="zh-CN"/>
        </w:rPr>
        <w:t>投标人</w:t>
      </w:r>
      <w:r>
        <w:rPr>
          <w:rFonts w:hint="eastAsia" w:ascii="仿宋" w:hAnsi="仿宋" w:eastAsia="仿宋" w:cs="仿宋"/>
          <w:color w:val="auto"/>
          <w:highlight w:val="none"/>
        </w:rPr>
        <w:t>须知前附表”。</w:t>
      </w:r>
    </w:p>
    <w:p w14:paraId="71EC044D">
      <w:pPr>
        <w:ind w:firstLine="560"/>
        <w:rPr>
          <w:rFonts w:hint="eastAsia" w:ascii="仿宋" w:hAnsi="仿宋" w:eastAsia="仿宋" w:cs="仿宋"/>
          <w:color w:val="auto"/>
          <w:highlight w:val="none"/>
        </w:rPr>
      </w:pPr>
      <w:r>
        <w:rPr>
          <w:rFonts w:hint="eastAsia" w:ascii="仿宋" w:hAnsi="仿宋" w:eastAsia="仿宋" w:cs="仿宋"/>
          <w:color w:val="auto"/>
          <w:highlight w:val="none"/>
        </w:rPr>
        <w:t>2.4</w:t>
      </w: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rPr>
        <w:t>政府采购监督管理部门：见“</w:t>
      </w:r>
      <w:r>
        <w:rPr>
          <w:rFonts w:hint="eastAsia" w:ascii="仿宋" w:hAnsi="仿宋" w:eastAsia="仿宋" w:cs="仿宋"/>
          <w:color w:val="auto"/>
          <w:highlight w:val="none"/>
          <w:lang w:eastAsia="zh-CN"/>
        </w:rPr>
        <w:t>投标人</w:t>
      </w:r>
      <w:r>
        <w:rPr>
          <w:rFonts w:hint="eastAsia" w:ascii="仿宋" w:hAnsi="仿宋" w:eastAsia="仿宋" w:cs="仿宋"/>
          <w:color w:val="auto"/>
          <w:highlight w:val="none"/>
        </w:rPr>
        <w:t>须知前附表”。</w:t>
      </w:r>
    </w:p>
    <w:p w14:paraId="5B9CF3BA">
      <w:pPr>
        <w:ind w:firstLine="560"/>
        <w:rPr>
          <w:rFonts w:hint="eastAsia" w:ascii="仿宋" w:hAnsi="仿宋" w:eastAsia="仿宋" w:cs="仿宋"/>
          <w:color w:val="auto"/>
          <w:highlight w:val="none"/>
        </w:rPr>
      </w:pPr>
      <w:r>
        <w:rPr>
          <w:rFonts w:hint="eastAsia" w:ascii="仿宋" w:hAnsi="仿宋" w:eastAsia="仿宋" w:cs="仿宋"/>
          <w:color w:val="auto"/>
          <w:highlight w:val="none"/>
        </w:rPr>
        <w:t>2.5</w:t>
      </w: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rPr>
        <w:t>项目名称：见“</w:t>
      </w:r>
      <w:r>
        <w:rPr>
          <w:rFonts w:hint="eastAsia" w:ascii="仿宋" w:hAnsi="仿宋" w:eastAsia="仿宋" w:cs="仿宋"/>
          <w:color w:val="auto"/>
          <w:highlight w:val="none"/>
          <w:lang w:eastAsia="zh-CN"/>
        </w:rPr>
        <w:t>投标人</w:t>
      </w:r>
      <w:r>
        <w:rPr>
          <w:rFonts w:hint="eastAsia" w:ascii="仿宋" w:hAnsi="仿宋" w:eastAsia="仿宋" w:cs="仿宋"/>
          <w:color w:val="auto"/>
          <w:highlight w:val="none"/>
        </w:rPr>
        <w:t>须知前附表”。</w:t>
      </w:r>
    </w:p>
    <w:p w14:paraId="167F4C37">
      <w:pPr>
        <w:ind w:firstLine="560"/>
        <w:rPr>
          <w:rFonts w:hint="eastAsia" w:ascii="仿宋" w:hAnsi="仿宋" w:eastAsia="仿宋" w:cs="仿宋"/>
          <w:color w:val="auto"/>
          <w:highlight w:val="none"/>
        </w:rPr>
      </w:pPr>
      <w:r>
        <w:rPr>
          <w:rFonts w:hint="eastAsia" w:ascii="仿宋" w:hAnsi="仿宋" w:eastAsia="仿宋" w:cs="仿宋"/>
          <w:color w:val="auto"/>
          <w:highlight w:val="none"/>
        </w:rPr>
        <w:t>2.6</w:t>
      </w:r>
      <w:r>
        <w:rPr>
          <w:rFonts w:hint="eastAsia" w:ascii="仿宋" w:hAnsi="仿宋" w:eastAsia="仿宋" w:cs="仿宋"/>
          <w:color w:val="auto"/>
          <w:highlight w:val="none"/>
          <w:lang w:val="en-US" w:eastAsia="zh-CN"/>
        </w:rPr>
        <w:t xml:space="preserve"> 合同履行期限、交货地点</w:t>
      </w:r>
      <w:r>
        <w:rPr>
          <w:rFonts w:hint="eastAsia" w:ascii="仿宋" w:hAnsi="仿宋" w:eastAsia="仿宋" w:cs="仿宋"/>
          <w:color w:val="auto"/>
          <w:highlight w:val="none"/>
        </w:rPr>
        <w:t>：见“</w:t>
      </w:r>
      <w:r>
        <w:rPr>
          <w:rFonts w:hint="eastAsia" w:ascii="仿宋" w:hAnsi="仿宋" w:eastAsia="仿宋" w:cs="仿宋"/>
          <w:color w:val="auto"/>
          <w:highlight w:val="none"/>
          <w:lang w:eastAsia="zh-CN"/>
        </w:rPr>
        <w:t>投标人</w:t>
      </w:r>
      <w:r>
        <w:rPr>
          <w:rFonts w:hint="eastAsia" w:ascii="仿宋" w:hAnsi="仿宋" w:eastAsia="仿宋" w:cs="仿宋"/>
          <w:color w:val="auto"/>
          <w:highlight w:val="none"/>
        </w:rPr>
        <w:t>须知前附表”。</w:t>
      </w:r>
    </w:p>
    <w:p w14:paraId="395F4AAC">
      <w:pPr>
        <w:ind w:firstLine="560"/>
        <w:rPr>
          <w:rFonts w:hint="eastAsia" w:ascii="仿宋" w:hAnsi="仿宋" w:eastAsia="仿宋" w:cs="仿宋"/>
          <w:color w:val="auto"/>
          <w:highlight w:val="none"/>
          <w:lang w:val="en-US" w:eastAsia="zh-CN"/>
        </w:rPr>
      </w:pPr>
      <w:r>
        <w:rPr>
          <w:rFonts w:hint="eastAsia" w:ascii="仿宋" w:hAnsi="仿宋" w:eastAsia="仿宋" w:cs="仿宋"/>
          <w:color w:val="auto"/>
          <w:highlight w:val="none"/>
        </w:rPr>
        <w:t>2.7</w:t>
      </w:r>
      <w:r>
        <w:rPr>
          <w:rFonts w:hint="eastAsia" w:ascii="仿宋" w:hAnsi="仿宋" w:eastAsia="仿宋" w:cs="仿宋"/>
          <w:color w:val="auto"/>
          <w:highlight w:val="none"/>
          <w:lang w:val="en-US" w:eastAsia="zh-CN"/>
        </w:rPr>
        <w:t xml:space="preserve"> 质量要求</w:t>
      </w:r>
      <w:r>
        <w:rPr>
          <w:rFonts w:hint="eastAsia" w:ascii="仿宋" w:hAnsi="仿宋" w:eastAsia="仿宋" w:cs="仿宋"/>
          <w:color w:val="auto"/>
          <w:highlight w:val="none"/>
        </w:rPr>
        <w:t>：见“</w:t>
      </w:r>
      <w:r>
        <w:rPr>
          <w:rFonts w:hint="eastAsia" w:ascii="仿宋" w:hAnsi="仿宋" w:eastAsia="仿宋" w:cs="仿宋"/>
          <w:color w:val="auto"/>
          <w:highlight w:val="none"/>
          <w:lang w:eastAsia="zh-CN"/>
        </w:rPr>
        <w:t>投标人</w:t>
      </w:r>
      <w:r>
        <w:rPr>
          <w:rFonts w:hint="eastAsia" w:ascii="仿宋" w:hAnsi="仿宋" w:eastAsia="仿宋" w:cs="仿宋"/>
          <w:color w:val="auto"/>
          <w:highlight w:val="none"/>
        </w:rPr>
        <w:t>须知前附表”。</w:t>
      </w:r>
    </w:p>
    <w:p w14:paraId="6FA5C684">
      <w:pPr>
        <w:ind w:firstLine="560"/>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2.8 </w:t>
      </w:r>
      <w:r>
        <w:rPr>
          <w:rFonts w:hint="eastAsia" w:ascii="仿宋" w:hAnsi="仿宋" w:eastAsia="仿宋" w:cs="仿宋"/>
          <w:color w:val="auto"/>
          <w:highlight w:val="none"/>
        </w:rPr>
        <w:t>采购需求：见“</w:t>
      </w:r>
      <w:r>
        <w:rPr>
          <w:rFonts w:hint="eastAsia" w:ascii="仿宋" w:hAnsi="仿宋" w:eastAsia="仿宋" w:cs="仿宋"/>
          <w:color w:val="auto"/>
          <w:highlight w:val="none"/>
          <w:lang w:eastAsia="zh-CN"/>
        </w:rPr>
        <w:t>投标人</w:t>
      </w:r>
      <w:r>
        <w:rPr>
          <w:rFonts w:hint="eastAsia" w:ascii="仿宋" w:hAnsi="仿宋" w:eastAsia="仿宋" w:cs="仿宋"/>
          <w:color w:val="auto"/>
          <w:highlight w:val="none"/>
        </w:rPr>
        <w:t>须知前附表”。</w:t>
      </w:r>
    </w:p>
    <w:p w14:paraId="0506A4AE">
      <w:pPr>
        <w:ind w:firstLine="560"/>
        <w:rPr>
          <w:rFonts w:hint="eastAsia" w:ascii="仿宋" w:hAnsi="仿宋" w:eastAsia="仿宋" w:cs="仿宋"/>
          <w:color w:val="auto"/>
          <w:highlight w:val="none"/>
        </w:rPr>
      </w:pPr>
      <w:r>
        <w:rPr>
          <w:rFonts w:hint="eastAsia" w:ascii="仿宋" w:hAnsi="仿宋" w:eastAsia="仿宋" w:cs="仿宋"/>
          <w:color w:val="auto"/>
          <w:highlight w:val="none"/>
        </w:rPr>
        <w:t>2.</w:t>
      </w:r>
      <w:r>
        <w:rPr>
          <w:rFonts w:hint="eastAsia" w:ascii="仿宋" w:hAnsi="仿宋" w:eastAsia="仿宋" w:cs="仿宋"/>
          <w:color w:val="auto"/>
          <w:highlight w:val="none"/>
          <w:lang w:val="en-US" w:eastAsia="zh-CN"/>
        </w:rPr>
        <w:t xml:space="preserve">9 </w:t>
      </w:r>
      <w:r>
        <w:rPr>
          <w:rFonts w:hint="eastAsia" w:ascii="仿宋" w:hAnsi="仿宋" w:eastAsia="仿宋" w:cs="仿宋"/>
          <w:color w:val="auto"/>
          <w:highlight w:val="none"/>
        </w:rPr>
        <w:t>项目属性：见“</w:t>
      </w:r>
      <w:r>
        <w:rPr>
          <w:rFonts w:hint="eastAsia" w:ascii="仿宋" w:hAnsi="仿宋" w:eastAsia="仿宋" w:cs="仿宋"/>
          <w:color w:val="auto"/>
          <w:highlight w:val="none"/>
          <w:lang w:eastAsia="zh-CN"/>
        </w:rPr>
        <w:t>投标人</w:t>
      </w:r>
      <w:r>
        <w:rPr>
          <w:rFonts w:hint="eastAsia" w:ascii="仿宋" w:hAnsi="仿宋" w:eastAsia="仿宋" w:cs="仿宋"/>
          <w:color w:val="auto"/>
          <w:highlight w:val="none"/>
        </w:rPr>
        <w:t>须知前附表”。</w:t>
      </w:r>
    </w:p>
    <w:p w14:paraId="251FB1A8">
      <w:pPr>
        <w:ind w:firstLine="560"/>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2.10 标段划分：</w:t>
      </w:r>
      <w:bookmarkStart w:id="88" w:name="_Toc140132758"/>
      <w:bookmarkStart w:id="89" w:name="_Toc163492825"/>
      <w:r>
        <w:rPr>
          <w:rFonts w:hint="eastAsia" w:ascii="仿宋" w:hAnsi="仿宋" w:eastAsia="仿宋" w:cs="仿宋"/>
          <w:color w:val="auto"/>
          <w:highlight w:val="none"/>
        </w:rPr>
        <w:t>见“</w:t>
      </w:r>
      <w:r>
        <w:rPr>
          <w:rFonts w:hint="eastAsia" w:ascii="仿宋" w:hAnsi="仿宋" w:eastAsia="仿宋" w:cs="仿宋"/>
          <w:color w:val="auto"/>
          <w:highlight w:val="none"/>
          <w:lang w:eastAsia="zh-CN"/>
        </w:rPr>
        <w:t>投标人</w:t>
      </w:r>
      <w:r>
        <w:rPr>
          <w:rFonts w:hint="eastAsia" w:ascii="仿宋" w:hAnsi="仿宋" w:eastAsia="仿宋" w:cs="仿宋"/>
          <w:color w:val="auto"/>
          <w:highlight w:val="none"/>
        </w:rPr>
        <w:t>须知前附表”。</w:t>
      </w:r>
    </w:p>
    <w:p w14:paraId="194D01B6">
      <w:pPr>
        <w:ind w:firstLine="560"/>
        <w:rPr>
          <w:rFonts w:hint="eastAsia" w:ascii="仿宋" w:hAnsi="仿宋" w:eastAsia="仿宋" w:cs="仿宋"/>
          <w:b/>
          <w:bCs/>
          <w:color w:val="auto"/>
          <w:kern w:val="2"/>
          <w:sz w:val="28"/>
          <w:szCs w:val="28"/>
          <w:highlight w:val="none"/>
          <w:lang w:val="en-US" w:eastAsia="zh-CN" w:bidi="ar-SA"/>
        </w:rPr>
      </w:pPr>
      <w:r>
        <w:rPr>
          <w:rFonts w:hint="eastAsia" w:ascii="仿宋" w:hAnsi="仿宋" w:eastAsia="仿宋" w:cs="仿宋"/>
          <w:b/>
          <w:bCs/>
          <w:color w:val="auto"/>
          <w:kern w:val="2"/>
          <w:sz w:val="28"/>
          <w:szCs w:val="28"/>
          <w:highlight w:val="none"/>
          <w:lang w:val="en-US" w:eastAsia="zh-CN" w:bidi="ar-SA"/>
        </w:rPr>
        <w:t>3.资金来源</w:t>
      </w:r>
      <w:bookmarkEnd w:id="88"/>
      <w:bookmarkEnd w:id="89"/>
    </w:p>
    <w:p w14:paraId="52181119">
      <w:pPr>
        <w:pStyle w:val="47"/>
        <w:ind w:firstLine="560"/>
        <w:rPr>
          <w:rFonts w:hint="eastAsia" w:ascii="仿宋" w:hAnsi="仿宋" w:eastAsia="仿宋" w:cs="仿宋"/>
          <w:color w:val="auto"/>
          <w:highlight w:val="none"/>
        </w:rPr>
      </w:pPr>
      <w:r>
        <w:rPr>
          <w:rFonts w:hint="eastAsia" w:ascii="仿宋" w:hAnsi="仿宋" w:eastAsia="仿宋" w:cs="仿宋"/>
          <w:color w:val="auto"/>
          <w:highlight w:val="none"/>
        </w:rPr>
        <w:t>3.1</w:t>
      </w: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rPr>
        <w:t>资金来源：见“</w:t>
      </w:r>
      <w:r>
        <w:rPr>
          <w:rFonts w:hint="eastAsia" w:ascii="仿宋" w:hAnsi="仿宋" w:eastAsia="仿宋" w:cs="仿宋"/>
          <w:color w:val="auto"/>
          <w:highlight w:val="none"/>
          <w:lang w:eastAsia="zh-CN"/>
        </w:rPr>
        <w:t>投标人</w:t>
      </w:r>
      <w:r>
        <w:rPr>
          <w:rFonts w:hint="eastAsia" w:ascii="仿宋" w:hAnsi="仿宋" w:eastAsia="仿宋" w:cs="仿宋"/>
          <w:color w:val="auto"/>
          <w:highlight w:val="none"/>
        </w:rPr>
        <w:t>须知前附表”。</w:t>
      </w:r>
    </w:p>
    <w:p w14:paraId="5F441624">
      <w:pPr>
        <w:pStyle w:val="6"/>
        <w:ind w:left="560" w:leftChars="200" w:firstLine="0" w:firstLineChars="0"/>
        <w:rPr>
          <w:rFonts w:hint="eastAsia" w:ascii="仿宋" w:hAnsi="仿宋" w:eastAsia="仿宋" w:cs="仿宋"/>
          <w:color w:val="auto"/>
          <w:highlight w:val="none"/>
        </w:rPr>
      </w:pPr>
      <w:bookmarkStart w:id="90" w:name="_Toc163492826"/>
      <w:bookmarkStart w:id="91" w:name="_Toc140132760"/>
      <w:r>
        <w:rPr>
          <w:rFonts w:hint="eastAsia" w:ascii="仿宋" w:hAnsi="仿宋" w:eastAsia="仿宋" w:cs="仿宋"/>
          <w:color w:val="auto"/>
          <w:highlight w:val="none"/>
        </w:rPr>
        <w:t>4.</w:t>
      </w:r>
      <w:r>
        <w:rPr>
          <w:rFonts w:hint="eastAsia" w:ascii="仿宋" w:hAnsi="仿宋" w:eastAsia="仿宋" w:cs="仿宋"/>
          <w:color w:val="auto"/>
          <w:highlight w:val="none"/>
          <w:lang w:eastAsia="zh-CN"/>
        </w:rPr>
        <w:t>投标人</w:t>
      </w:r>
      <w:r>
        <w:rPr>
          <w:rFonts w:hint="eastAsia" w:ascii="仿宋" w:hAnsi="仿宋" w:eastAsia="仿宋" w:cs="仿宋"/>
          <w:color w:val="auto"/>
          <w:highlight w:val="none"/>
        </w:rPr>
        <w:t>资格要求</w:t>
      </w:r>
      <w:bookmarkEnd w:id="90"/>
      <w:bookmarkEnd w:id="91"/>
    </w:p>
    <w:p w14:paraId="0BB8584C">
      <w:pPr>
        <w:pStyle w:val="47"/>
        <w:ind w:firstLine="560"/>
        <w:rPr>
          <w:rFonts w:hint="eastAsia" w:ascii="仿宋" w:hAnsi="仿宋" w:eastAsia="仿宋" w:cs="仿宋"/>
          <w:color w:val="auto"/>
          <w:highlight w:val="none"/>
        </w:rPr>
      </w:pPr>
      <w:r>
        <w:rPr>
          <w:rFonts w:hint="eastAsia" w:ascii="仿宋" w:hAnsi="仿宋" w:eastAsia="仿宋" w:cs="仿宋"/>
          <w:color w:val="auto"/>
          <w:highlight w:val="none"/>
        </w:rPr>
        <w:t>4.1</w:t>
      </w: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lang w:eastAsia="zh-CN"/>
        </w:rPr>
        <w:t>投标人</w:t>
      </w:r>
      <w:r>
        <w:rPr>
          <w:rFonts w:hint="eastAsia" w:ascii="仿宋" w:hAnsi="仿宋" w:eastAsia="仿宋" w:cs="仿宋"/>
          <w:color w:val="auto"/>
          <w:highlight w:val="none"/>
        </w:rPr>
        <w:t>资格要求：见“</w:t>
      </w:r>
      <w:r>
        <w:rPr>
          <w:rFonts w:hint="eastAsia" w:ascii="仿宋" w:hAnsi="仿宋" w:eastAsia="仿宋" w:cs="仿宋"/>
          <w:color w:val="auto"/>
          <w:highlight w:val="none"/>
          <w:lang w:eastAsia="zh-CN"/>
        </w:rPr>
        <w:t>投标人</w:t>
      </w:r>
      <w:r>
        <w:rPr>
          <w:rFonts w:hint="eastAsia" w:ascii="仿宋" w:hAnsi="仿宋" w:eastAsia="仿宋" w:cs="仿宋"/>
          <w:color w:val="auto"/>
          <w:highlight w:val="none"/>
        </w:rPr>
        <w:t>须知前附表”；</w:t>
      </w:r>
    </w:p>
    <w:p w14:paraId="6CFC42F3">
      <w:pPr>
        <w:pStyle w:val="47"/>
        <w:ind w:firstLine="560"/>
        <w:rPr>
          <w:rFonts w:hint="eastAsia" w:ascii="仿宋" w:hAnsi="仿宋" w:eastAsia="仿宋" w:cs="仿宋"/>
          <w:color w:val="auto"/>
          <w:highlight w:val="none"/>
        </w:rPr>
      </w:pPr>
      <w:r>
        <w:rPr>
          <w:rFonts w:hint="eastAsia" w:ascii="仿宋" w:hAnsi="仿宋" w:eastAsia="仿宋" w:cs="仿宋"/>
          <w:color w:val="auto"/>
          <w:highlight w:val="none"/>
        </w:rPr>
        <w:t>4.2</w:t>
      </w: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rPr>
        <w:t>“</w:t>
      </w:r>
      <w:r>
        <w:rPr>
          <w:rFonts w:hint="eastAsia" w:ascii="仿宋" w:hAnsi="仿宋" w:eastAsia="仿宋" w:cs="仿宋"/>
          <w:color w:val="auto"/>
          <w:highlight w:val="none"/>
          <w:lang w:eastAsia="zh-CN"/>
        </w:rPr>
        <w:t>投标人</w:t>
      </w:r>
      <w:r>
        <w:rPr>
          <w:rFonts w:hint="eastAsia" w:ascii="仿宋" w:hAnsi="仿宋" w:eastAsia="仿宋" w:cs="仿宋"/>
          <w:color w:val="auto"/>
          <w:highlight w:val="none"/>
        </w:rPr>
        <w:t xml:space="preserve">须知前附表”规定接受联合体投标的，还应遵守以下规定： </w:t>
      </w:r>
    </w:p>
    <w:p w14:paraId="4A40A9E7">
      <w:pPr>
        <w:pStyle w:val="47"/>
        <w:ind w:firstLine="560"/>
        <w:rPr>
          <w:rFonts w:hint="eastAsia" w:ascii="仿宋" w:hAnsi="仿宋" w:eastAsia="仿宋" w:cs="仿宋"/>
          <w:color w:val="auto"/>
          <w:highlight w:val="none"/>
        </w:rPr>
      </w:pPr>
      <w:r>
        <w:rPr>
          <w:rFonts w:hint="eastAsia" w:ascii="仿宋" w:hAnsi="仿宋" w:eastAsia="仿宋" w:cs="仿宋"/>
          <w:color w:val="auto"/>
          <w:highlight w:val="none"/>
        </w:rPr>
        <w:t>（1）联合体各方应按</w:t>
      </w:r>
      <w:r>
        <w:rPr>
          <w:rFonts w:hint="eastAsia" w:ascii="仿宋" w:hAnsi="仿宋" w:eastAsia="仿宋" w:cs="仿宋"/>
          <w:color w:val="auto"/>
          <w:highlight w:val="none"/>
          <w:lang w:eastAsia="zh-CN"/>
        </w:rPr>
        <w:t>招标文件</w:t>
      </w:r>
      <w:r>
        <w:rPr>
          <w:rFonts w:hint="eastAsia" w:ascii="仿宋" w:hAnsi="仿宋" w:eastAsia="仿宋" w:cs="仿宋"/>
          <w:color w:val="auto"/>
          <w:highlight w:val="none"/>
        </w:rPr>
        <w:t>提供的格式签订联合体协议书，明确联合体牵头人和各方权利义务；</w:t>
      </w:r>
    </w:p>
    <w:p w14:paraId="6938E951">
      <w:pPr>
        <w:pStyle w:val="47"/>
        <w:ind w:firstLine="560"/>
        <w:rPr>
          <w:rFonts w:hint="eastAsia" w:ascii="仿宋" w:hAnsi="仿宋" w:eastAsia="仿宋" w:cs="仿宋"/>
          <w:color w:val="auto"/>
          <w:highlight w:val="none"/>
        </w:rPr>
      </w:pPr>
      <w:r>
        <w:rPr>
          <w:rFonts w:hint="eastAsia" w:ascii="仿宋" w:hAnsi="仿宋" w:eastAsia="仿宋" w:cs="仿宋"/>
          <w:color w:val="auto"/>
          <w:highlight w:val="none"/>
        </w:rPr>
        <w:t>（2）由同一专业的单位组成的联合体，按照资质等级较低的单位确定资质等级；</w:t>
      </w:r>
    </w:p>
    <w:p w14:paraId="443C4282">
      <w:pPr>
        <w:pStyle w:val="47"/>
        <w:ind w:firstLine="560"/>
        <w:rPr>
          <w:rFonts w:hint="eastAsia" w:ascii="仿宋" w:hAnsi="仿宋" w:eastAsia="仿宋" w:cs="仿宋"/>
          <w:color w:val="auto"/>
          <w:highlight w:val="none"/>
        </w:rPr>
      </w:pPr>
      <w:r>
        <w:rPr>
          <w:rFonts w:hint="eastAsia" w:ascii="仿宋" w:hAnsi="仿宋" w:eastAsia="仿宋" w:cs="仿宋"/>
          <w:color w:val="auto"/>
          <w:highlight w:val="none"/>
        </w:rPr>
        <w:t>（3）联合体各方不得再以自己名义单独或参加其他联合体在本招标项目中投标。</w:t>
      </w:r>
    </w:p>
    <w:p w14:paraId="253CC610">
      <w:pPr>
        <w:pStyle w:val="6"/>
        <w:ind w:left="560" w:leftChars="200" w:firstLine="0" w:firstLineChars="0"/>
        <w:rPr>
          <w:rFonts w:hint="eastAsia" w:ascii="仿宋" w:hAnsi="仿宋" w:eastAsia="仿宋" w:cs="仿宋"/>
          <w:color w:val="auto"/>
          <w:highlight w:val="none"/>
        </w:rPr>
      </w:pPr>
      <w:bookmarkStart w:id="92" w:name="_Toc163492827"/>
      <w:r>
        <w:rPr>
          <w:rFonts w:hint="eastAsia" w:ascii="仿宋" w:hAnsi="仿宋" w:eastAsia="仿宋" w:cs="仿宋"/>
          <w:color w:val="auto"/>
          <w:highlight w:val="none"/>
        </w:rPr>
        <w:t>5.费用承担</w:t>
      </w:r>
      <w:bookmarkEnd w:id="92"/>
    </w:p>
    <w:p w14:paraId="01095068">
      <w:pPr>
        <w:pStyle w:val="47"/>
        <w:ind w:firstLine="560"/>
        <w:rPr>
          <w:rFonts w:hint="eastAsia" w:ascii="仿宋" w:hAnsi="仿宋" w:eastAsia="仿宋" w:cs="仿宋"/>
          <w:color w:val="auto"/>
          <w:highlight w:val="none"/>
        </w:rPr>
      </w:pPr>
      <w:r>
        <w:rPr>
          <w:rFonts w:hint="eastAsia" w:ascii="仿宋" w:hAnsi="仿宋" w:eastAsia="仿宋" w:cs="仿宋"/>
          <w:color w:val="auto"/>
          <w:highlight w:val="none"/>
        </w:rPr>
        <w:t>5.1</w:t>
      </w: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rPr>
        <w:t>不论投标的结果如何，</w:t>
      </w:r>
      <w:r>
        <w:rPr>
          <w:rFonts w:hint="eastAsia" w:ascii="仿宋" w:hAnsi="仿宋" w:eastAsia="仿宋" w:cs="仿宋"/>
          <w:color w:val="auto"/>
          <w:highlight w:val="none"/>
          <w:lang w:eastAsia="zh-CN"/>
        </w:rPr>
        <w:t>投标人</w:t>
      </w:r>
      <w:r>
        <w:rPr>
          <w:rFonts w:hint="eastAsia" w:ascii="仿宋" w:hAnsi="仿宋" w:eastAsia="仿宋" w:cs="仿宋"/>
          <w:color w:val="auto"/>
          <w:highlight w:val="none"/>
        </w:rPr>
        <w:t>应承担所有与准备和参加投标有关的费用。</w:t>
      </w:r>
    </w:p>
    <w:p w14:paraId="3E0BE7F5">
      <w:pPr>
        <w:pStyle w:val="6"/>
        <w:ind w:left="560" w:leftChars="200" w:firstLine="0" w:firstLineChars="0"/>
        <w:rPr>
          <w:rFonts w:hint="eastAsia" w:ascii="仿宋" w:hAnsi="仿宋" w:eastAsia="仿宋" w:cs="仿宋"/>
          <w:color w:val="auto"/>
          <w:highlight w:val="none"/>
        </w:rPr>
      </w:pPr>
      <w:bookmarkStart w:id="93" w:name="_Toc163492828"/>
      <w:bookmarkStart w:id="94" w:name="_Toc140132761"/>
      <w:r>
        <w:rPr>
          <w:rFonts w:hint="eastAsia" w:ascii="仿宋" w:hAnsi="仿宋" w:eastAsia="仿宋" w:cs="仿宋"/>
          <w:color w:val="auto"/>
          <w:highlight w:val="none"/>
        </w:rPr>
        <w:t>6.保密</w:t>
      </w:r>
      <w:bookmarkEnd w:id="93"/>
      <w:bookmarkEnd w:id="94"/>
    </w:p>
    <w:p w14:paraId="0F394D0C">
      <w:pPr>
        <w:pStyle w:val="47"/>
        <w:ind w:firstLine="560"/>
        <w:rPr>
          <w:rFonts w:hint="eastAsia" w:ascii="仿宋" w:hAnsi="仿宋" w:eastAsia="仿宋" w:cs="仿宋"/>
          <w:color w:val="auto"/>
          <w:highlight w:val="none"/>
        </w:rPr>
      </w:pPr>
      <w:r>
        <w:rPr>
          <w:rFonts w:hint="eastAsia" w:ascii="仿宋" w:hAnsi="仿宋" w:eastAsia="仿宋" w:cs="仿宋"/>
          <w:color w:val="auto"/>
          <w:highlight w:val="none"/>
        </w:rPr>
        <w:t>6.1</w:t>
      </w: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rPr>
        <w:t>参与招标投标活动的各方应对</w:t>
      </w:r>
      <w:r>
        <w:rPr>
          <w:rFonts w:hint="eastAsia" w:ascii="仿宋" w:hAnsi="仿宋" w:eastAsia="仿宋" w:cs="仿宋"/>
          <w:color w:val="auto"/>
          <w:highlight w:val="none"/>
          <w:lang w:eastAsia="zh-CN"/>
        </w:rPr>
        <w:t>招标文件</w:t>
      </w:r>
      <w:r>
        <w:rPr>
          <w:rFonts w:hint="eastAsia" w:ascii="仿宋" w:hAnsi="仿宋" w:eastAsia="仿宋" w:cs="仿宋"/>
          <w:color w:val="auto"/>
          <w:highlight w:val="none"/>
        </w:rPr>
        <w:t>和投标文件中的商业和技术等秘密保密，否则应承担相应的法律责任。</w:t>
      </w:r>
    </w:p>
    <w:p w14:paraId="30DB1AB5">
      <w:pPr>
        <w:pStyle w:val="6"/>
        <w:ind w:left="560" w:leftChars="200" w:firstLine="0" w:firstLineChars="0"/>
        <w:rPr>
          <w:rFonts w:hint="eastAsia" w:ascii="仿宋" w:hAnsi="仿宋" w:eastAsia="仿宋" w:cs="仿宋"/>
          <w:color w:val="auto"/>
          <w:highlight w:val="none"/>
        </w:rPr>
      </w:pPr>
      <w:bookmarkStart w:id="95" w:name="_Toc163492829"/>
      <w:bookmarkStart w:id="96" w:name="_Toc140132762"/>
      <w:r>
        <w:rPr>
          <w:rFonts w:hint="eastAsia" w:ascii="仿宋" w:hAnsi="仿宋" w:eastAsia="仿宋" w:cs="仿宋"/>
          <w:color w:val="auto"/>
          <w:highlight w:val="none"/>
        </w:rPr>
        <w:t>7.语言文字</w:t>
      </w:r>
      <w:bookmarkEnd w:id="95"/>
      <w:bookmarkEnd w:id="96"/>
    </w:p>
    <w:p w14:paraId="6454C655">
      <w:pPr>
        <w:pStyle w:val="47"/>
        <w:ind w:firstLine="560"/>
        <w:rPr>
          <w:rFonts w:hint="eastAsia" w:ascii="仿宋" w:hAnsi="仿宋" w:eastAsia="仿宋" w:cs="仿宋"/>
          <w:color w:val="auto"/>
          <w:highlight w:val="none"/>
        </w:rPr>
      </w:pPr>
      <w:r>
        <w:rPr>
          <w:rFonts w:hint="eastAsia" w:ascii="仿宋" w:hAnsi="仿宋" w:eastAsia="仿宋" w:cs="仿宋"/>
          <w:color w:val="auto"/>
          <w:highlight w:val="none"/>
        </w:rPr>
        <w:t>7.1</w:t>
      </w: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rPr>
        <w:t>招标投标文件使用的语言文字为中文。专用术语使用外文的，应附有中文注释。</w:t>
      </w:r>
    </w:p>
    <w:p w14:paraId="19FB55E3">
      <w:pPr>
        <w:pStyle w:val="6"/>
        <w:ind w:left="560" w:leftChars="200" w:firstLine="0" w:firstLineChars="0"/>
        <w:rPr>
          <w:rFonts w:hint="eastAsia" w:ascii="仿宋" w:hAnsi="仿宋" w:eastAsia="仿宋" w:cs="仿宋"/>
          <w:color w:val="auto"/>
          <w:highlight w:val="none"/>
        </w:rPr>
      </w:pPr>
      <w:bookmarkStart w:id="97" w:name="_Toc140132763"/>
      <w:bookmarkStart w:id="98" w:name="_Toc163492830"/>
      <w:r>
        <w:rPr>
          <w:rFonts w:hint="eastAsia" w:ascii="仿宋" w:hAnsi="仿宋" w:eastAsia="仿宋" w:cs="仿宋"/>
          <w:color w:val="auto"/>
          <w:highlight w:val="none"/>
        </w:rPr>
        <w:t>8.计量单位</w:t>
      </w:r>
      <w:bookmarkEnd w:id="97"/>
      <w:bookmarkEnd w:id="98"/>
    </w:p>
    <w:p w14:paraId="1F702AB6">
      <w:pPr>
        <w:pStyle w:val="47"/>
        <w:ind w:firstLine="560"/>
        <w:rPr>
          <w:rFonts w:hint="eastAsia" w:ascii="仿宋" w:hAnsi="仿宋" w:eastAsia="仿宋" w:cs="仿宋"/>
          <w:color w:val="auto"/>
          <w:highlight w:val="none"/>
        </w:rPr>
      </w:pPr>
      <w:r>
        <w:rPr>
          <w:rFonts w:hint="eastAsia" w:ascii="仿宋" w:hAnsi="仿宋" w:eastAsia="仿宋" w:cs="仿宋"/>
          <w:color w:val="auto"/>
          <w:highlight w:val="none"/>
        </w:rPr>
        <w:t>8.1所有计量均采用中华人民共和国法定计量单位。</w:t>
      </w:r>
    </w:p>
    <w:p w14:paraId="72B1F369">
      <w:pPr>
        <w:pStyle w:val="6"/>
        <w:ind w:left="560" w:leftChars="200" w:firstLine="0" w:firstLineChars="0"/>
        <w:rPr>
          <w:rFonts w:hint="eastAsia" w:ascii="仿宋" w:hAnsi="仿宋" w:eastAsia="仿宋" w:cs="仿宋"/>
          <w:color w:val="auto"/>
          <w:highlight w:val="none"/>
        </w:rPr>
      </w:pPr>
      <w:bookmarkStart w:id="99" w:name="_Toc163492831"/>
      <w:bookmarkStart w:id="100" w:name="_Toc140132764"/>
      <w:r>
        <w:rPr>
          <w:rFonts w:hint="eastAsia" w:ascii="仿宋" w:hAnsi="仿宋" w:eastAsia="仿宋" w:cs="仿宋"/>
          <w:color w:val="auto"/>
          <w:highlight w:val="none"/>
        </w:rPr>
        <w:t>9.现场考察和答疑会</w:t>
      </w:r>
      <w:bookmarkEnd w:id="99"/>
      <w:bookmarkEnd w:id="100"/>
    </w:p>
    <w:p w14:paraId="426CF9C5">
      <w:pPr>
        <w:pStyle w:val="47"/>
        <w:ind w:firstLine="560"/>
        <w:rPr>
          <w:rFonts w:hint="eastAsia" w:ascii="仿宋" w:hAnsi="仿宋" w:eastAsia="仿宋" w:cs="仿宋"/>
          <w:color w:val="auto"/>
          <w:highlight w:val="none"/>
        </w:rPr>
      </w:pPr>
      <w:bookmarkStart w:id="101" w:name="_Hlk143529198"/>
      <w:r>
        <w:rPr>
          <w:rFonts w:hint="eastAsia" w:ascii="仿宋" w:hAnsi="仿宋" w:eastAsia="仿宋" w:cs="仿宋"/>
          <w:color w:val="auto"/>
          <w:highlight w:val="none"/>
        </w:rPr>
        <w:t>9.1</w:t>
      </w: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rPr>
        <w:t>“</w:t>
      </w:r>
      <w:r>
        <w:rPr>
          <w:rFonts w:hint="eastAsia" w:ascii="仿宋" w:hAnsi="仿宋" w:eastAsia="仿宋" w:cs="仿宋"/>
          <w:color w:val="auto"/>
          <w:highlight w:val="none"/>
          <w:lang w:eastAsia="zh-CN"/>
        </w:rPr>
        <w:t>投标人</w:t>
      </w:r>
      <w:r>
        <w:rPr>
          <w:rFonts w:hint="eastAsia" w:ascii="仿宋" w:hAnsi="仿宋" w:eastAsia="仿宋" w:cs="仿宋"/>
          <w:color w:val="auto"/>
          <w:highlight w:val="none"/>
        </w:rPr>
        <w:t>须知前附表”规定组织现场考察的，采购代理机构按“</w:t>
      </w:r>
      <w:r>
        <w:rPr>
          <w:rFonts w:hint="eastAsia" w:ascii="仿宋" w:hAnsi="仿宋" w:eastAsia="仿宋" w:cs="仿宋"/>
          <w:color w:val="auto"/>
          <w:highlight w:val="none"/>
          <w:lang w:eastAsia="zh-CN"/>
        </w:rPr>
        <w:t>投标人</w:t>
      </w:r>
      <w:r>
        <w:rPr>
          <w:rFonts w:hint="eastAsia" w:ascii="仿宋" w:hAnsi="仿宋" w:eastAsia="仿宋" w:cs="仿宋"/>
          <w:color w:val="auto"/>
          <w:highlight w:val="none"/>
        </w:rPr>
        <w:t>须知前附表”规定的时间、地点组织</w:t>
      </w:r>
      <w:r>
        <w:rPr>
          <w:rFonts w:hint="eastAsia" w:ascii="仿宋" w:hAnsi="仿宋" w:eastAsia="仿宋" w:cs="仿宋"/>
          <w:color w:val="auto"/>
          <w:highlight w:val="none"/>
          <w:lang w:eastAsia="zh-CN"/>
        </w:rPr>
        <w:t>投标人</w:t>
      </w:r>
      <w:r>
        <w:rPr>
          <w:rFonts w:hint="eastAsia" w:ascii="仿宋" w:hAnsi="仿宋" w:eastAsia="仿宋" w:cs="仿宋"/>
          <w:color w:val="auto"/>
          <w:highlight w:val="none"/>
        </w:rPr>
        <w:t xml:space="preserve">项目现场考察。 </w:t>
      </w:r>
    </w:p>
    <w:p w14:paraId="4534C43C">
      <w:pPr>
        <w:pStyle w:val="47"/>
        <w:ind w:firstLine="560"/>
        <w:rPr>
          <w:rFonts w:hint="eastAsia" w:ascii="仿宋" w:hAnsi="仿宋" w:eastAsia="仿宋" w:cs="仿宋"/>
          <w:color w:val="auto"/>
          <w:highlight w:val="none"/>
        </w:rPr>
      </w:pPr>
      <w:r>
        <w:rPr>
          <w:rFonts w:hint="eastAsia" w:ascii="仿宋" w:hAnsi="仿宋" w:eastAsia="仿宋" w:cs="仿宋"/>
          <w:color w:val="auto"/>
          <w:highlight w:val="none"/>
        </w:rPr>
        <w:t>9.2</w:t>
      </w: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lang w:eastAsia="zh-CN"/>
        </w:rPr>
        <w:t>投标人</w:t>
      </w:r>
      <w:r>
        <w:rPr>
          <w:rFonts w:hint="eastAsia" w:ascii="仿宋" w:hAnsi="仿宋" w:eastAsia="仿宋" w:cs="仿宋"/>
          <w:color w:val="auto"/>
          <w:highlight w:val="none"/>
        </w:rPr>
        <w:t>现场考察发生的费用自理。</w:t>
      </w:r>
    </w:p>
    <w:p w14:paraId="00FF1C94">
      <w:pPr>
        <w:pStyle w:val="47"/>
        <w:ind w:firstLine="560"/>
        <w:rPr>
          <w:rFonts w:hint="eastAsia" w:ascii="仿宋" w:hAnsi="仿宋" w:eastAsia="仿宋" w:cs="仿宋"/>
          <w:color w:val="auto"/>
          <w:highlight w:val="none"/>
        </w:rPr>
      </w:pPr>
      <w:r>
        <w:rPr>
          <w:rFonts w:hint="eastAsia" w:ascii="仿宋" w:hAnsi="仿宋" w:eastAsia="仿宋" w:cs="仿宋"/>
          <w:color w:val="auto"/>
          <w:highlight w:val="none"/>
        </w:rPr>
        <w:t>9.3</w:t>
      </w: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rPr>
        <w:t>在现场考察中，因</w:t>
      </w:r>
      <w:r>
        <w:rPr>
          <w:rFonts w:hint="eastAsia" w:ascii="仿宋" w:hAnsi="仿宋" w:eastAsia="仿宋" w:cs="仿宋"/>
          <w:color w:val="auto"/>
          <w:highlight w:val="none"/>
          <w:lang w:eastAsia="zh-CN"/>
        </w:rPr>
        <w:t>投标人</w:t>
      </w:r>
      <w:r>
        <w:rPr>
          <w:rFonts w:hint="eastAsia" w:ascii="仿宋" w:hAnsi="仿宋" w:eastAsia="仿宋" w:cs="仿宋"/>
          <w:color w:val="auto"/>
          <w:highlight w:val="none"/>
        </w:rPr>
        <w:t>自身原因发生的人员伤亡和财产损失，由</w:t>
      </w:r>
      <w:r>
        <w:rPr>
          <w:rFonts w:hint="eastAsia" w:ascii="仿宋" w:hAnsi="仿宋" w:eastAsia="仿宋" w:cs="仿宋"/>
          <w:color w:val="auto"/>
          <w:highlight w:val="none"/>
          <w:lang w:eastAsia="zh-CN"/>
        </w:rPr>
        <w:t>投标人</w:t>
      </w:r>
      <w:r>
        <w:rPr>
          <w:rFonts w:hint="eastAsia" w:ascii="仿宋" w:hAnsi="仿宋" w:eastAsia="仿宋" w:cs="仿宋"/>
          <w:color w:val="auto"/>
          <w:highlight w:val="none"/>
        </w:rPr>
        <w:t>自行负责。</w:t>
      </w:r>
    </w:p>
    <w:p w14:paraId="2C611F78">
      <w:pPr>
        <w:pStyle w:val="47"/>
        <w:ind w:firstLine="560"/>
        <w:rPr>
          <w:rFonts w:hint="eastAsia" w:ascii="仿宋" w:hAnsi="仿宋" w:eastAsia="仿宋" w:cs="仿宋"/>
          <w:color w:val="auto"/>
          <w:highlight w:val="none"/>
        </w:rPr>
      </w:pPr>
      <w:r>
        <w:rPr>
          <w:rFonts w:hint="eastAsia" w:ascii="仿宋" w:hAnsi="仿宋" w:eastAsia="仿宋" w:cs="仿宋"/>
          <w:color w:val="auto"/>
          <w:highlight w:val="none"/>
        </w:rPr>
        <w:t>9.4</w:t>
      </w: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rPr>
        <w:t>采购人在现场考察中介绍的项目场地和相关的周边环境情况，仅供</w:t>
      </w:r>
      <w:r>
        <w:rPr>
          <w:rFonts w:hint="eastAsia" w:ascii="仿宋" w:hAnsi="仿宋" w:eastAsia="仿宋" w:cs="仿宋"/>
          <w:color w:val="auto"/>
          <w:highlight w:val="none"/>
          <w:lang w:eastAsia="zh-CN"/>
        </w:rPr>
        <w:t>投标人</w:t>
      </w:r>
      <w:r>
        <w:rPr>
          <w:rFonts w:hint="eastAsia" w:ascii="仿宋" w:hAnsi="仿宋" w:eastAsia="仿宋" w:cs="仿宋"/>
          <w:color w:val="auto"/>
          <w:highlight w:val="none"/>
        </w:rPr>
        <w:t>在编制投标文件时参考，采购人和采购代理机构不对</w:t>
      </w:r>
      <w:r>
        <w:rPr>
          <w:rFonts w:hint="eastAsia" w:ascii="仿宋" w:hAnsi="仿宋" w:eastAsia="仿宋" w:cs="仿宋"/>
          <w:color w:val="auto"/>
          <w:highlight w:val="none"/>
          <w:lang w:eastAsia="zh-CN"/>
        </w:rPr>
        <w:t>投标人</w:t>
      </w:r>
      <w:r>
        <w:rPr>
          <w:rFonts w:hint="eastAsia" w:ascii="仿宋" w:hAnsi="仿宋" w:eastAsia="仿宋" w:cs="仿宋"/>
          <w:color w:val="auto"/>
          <w:highlight w:val="none"/>
        </w:rPr>
        <w:t>据此作出的判断和决策负责。</w:t>
      </w:r>
    </w:p>
    <w:p w14:paraId="2C381EC8">
      <w:pPr>
        <w:pStyle w:val="47"/>
        <w:ind w:firstLine="560"/>
        <w:rPr>
          <w:rFonts w:hint="eastAsia" w:ascii="仿宋" w:hAnsi="仿宋" w:eastAsia="仿宋" w:cs="仿宋"/>
          <w:color w:val="auto"/>
          <w:highlight w:val="none"/>
        </w:rPr>
      </w:pPr>
      <w:r>
        <w:rPr>
          <w:rFonts w:hint="eastAsia" w:ascii="仿宋" w:hAnsi="仿宋" w:eastAsia="仿宋" w:cs="仿宋"/>
          <w:color w:val="auto"/>
          <w:highlight w:val="none"/>
        </w:rPr>
        <w:t>9.5</w:t>
      </w: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rPr>
        <w:t>“</w:t>
      </w:r>
      <w:r>
        <w:rPr>
          <w:rFonts w:hint="eastAsia" w:ascii="仿宋" w:hAnsi="仿宋" w:eastAsia="仿宋" w:cs="仿宋"/>
          <w:color w:val="auto"/>
          <w:highlight w:val="none"/>
          <w:lang w:eastAsia="zh-CN"/>
        </w:rPr>
        <w:t>投标人</w:t>
      </w:r>
      <w:r>
        <w:rPr>
          <w:rFonts w:hint="eastAsia" w:ascii="仿宋" w:hAnsi="仿宋" w:eastAsia="仿宋" w:cs="仿宋"/>
          <w:color w:val="auto"/>
          <w:highlight w:val="none"/>
        </w:rPr>
        <w:t>须知前附表”规定召开答疑会的，采购代理机构按“</w:t>
      </w:r>
      <w:r>
        <w:rPr>
          <w:rFonts w:hint="eastAsia" w:ascii="仿宋" w:hAnsi="仿宋" w:eastAsia="仿宋" w:cs="仿宋"/>
          <w:color w:val="auto"/>
          <w:highlight w:val="none"/>
          <w:lang w:eastAsia="zh-CN"/>
        </w:rPr>
        <w:t>投标人</w:t>
      </w:r>
      <w:r>
        <w:rPr>
          <w:rFonts w:hint="eastAsia" w:ascii="仿宋" w:hAnsi="仿宋" w:eastAsia="仿宋" w:cs="仿宋"/>
          <w:color w:val="auto"/>
          <w:highlight w:val="none"/>
        </w:rPr>
        <w:t>须知前附表”规定的时间和地点召开答疑会，澄清</w:t>
      </w:r>
      <w:r>
        <w:rPr>
          <w:rFonts w:hint="eastAsia" w:ascii="仿宋" w:hAnsi="仿宋" w:eastAsia="仿宋" w:cs="仿宋"/>
          <w:color w:val="auto"/>
          <w:highlight w:val="none"/>
          <w:lang w:eastAsia="zh-CN"/>
        </w:rPr>
        <w:t>投标人</w:t>
      </w:r>
      <w:r>
        <w:rPr>
          <w:rFonts w:hint="eastAsia" w:ascii="仿宋" w:hAnsi="仿宋" w:eastAsia="仿宋" w:cs="仿宋"/>
          <w:color w:val="auto"/>
          <w:highlight w:val="none"/>
        </w:rPr>
        <w:t>提出的问题。</w:t>
      </w:r>
    </w:p>
    <w:bookmarkEnd w:id="101"/>
    <w:p w14:paraId="710EBBB6">
      <w:pPr>
        <w:pStyle w:val="6"/>
        <w:ind w:left="560" w:leftChars="200" w:firstLine="0" w:firstLineChars="0"/>
        <w:rPr>
          <w:rFonts w:hint="eastAsia" w:ascii="仿宋" w:hAnsi="仿宋" w:eastAsia="仿宋" w:cs="仿宋"/>
          <w:color w:val="auto"/>
          <w:highlight w:val="none"/>
        </w:rPr>
      </w:pPr>
      <w:bookmarkStart w:id="102" w:name="_Toc140132765"/>
      <w:bookmarkStart w:id="103" w:name="_Toc163492832"/>
      <w:r>
        <w:rPr>
          <w:rFonts w:hint="eastAsia" w:ascii="仿宋" w:hAnsi="仿宋" w:eastAsia="仿宋" w:cs="仿宋"/>
          <w:color w:val="auto"/>
          <w:highlight w:val="none"/>
        </w:rPr>
        <w:t>10.中标后分包</w:t>
      </w:r>
      <w:bookmarkEnd w:id="102"/>
      <w:bookmarkEnd w:id="103"/>
    </w:p>
    <w:p w14:paraId="04060B49">
      <w:pPr>
        <w:pStyle w:val="47"/>
        <w:ind w:firstLine="560"/>
        <w:rPr>
          <w:rFonts w:hint="eastAsia" w:ascii="仿宋" w:hAnsi="仿宋" w:eastAsia="仿宋" w:cs="仿宋"/>
          <w:color w:val="auto"/>
          <w:highlight w:val="none"/>
        </w:rPr>
      </w:pPr>
      <w:r>
        <w:rPr>
          <w:rFonts w:hint="eastAsia" w:ascii="仿宋" w:hAnsi="仿宋" w:eastAsia="仿宋" w:cs="仿宋"/>
          <w:color w:val="auto"/>
          <w:highlight w:val="none"/>
        </w:rPr>
        <w:t>10.1</w:t>
      </w: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rPr>
        <w:t>“</w:t>
      </w:r>
      <w:r>
        <w:rPr>
          <w:rFonts w:hint="eastAsia" w:ascii="仿宋" w:hAnsi="仿宋" w:eastAsia="仿宋" w:cs="仿宋"/>
          <w:color w:val="auto"/>
          <w:highlight w:val="none"/>
          <w:lang w:eastAsia="zh-CN"/>
        </w:rPr>
        <w:t>投标人</w:t>
      </w:r>
      <w:r>
        <w:rPr>
          <w:rFonts w:hint="eastAsia" w:ascii="仿宋" w:hAnsi="仿宋" w:eastAsia="仿宋" w:cs="仿宋"/>
          <w:color w:val="auto"/>
          <w:highlight w:val="none"/>
        </w:rPr>
        <w:t>须知前附表”规定允许分包的，</w:t>
      </w:r>
      <w:r>
        <w:rPr>
          <w:rFonts w:hint="eastAsia" w:ascii="仿宋" w:hAnsi="仿宋" w:eastAsia="仿宋" w:cs="仿宋"/>
          <w:color w:val="auto"/>
          <w:highlight w:val="none"/>
          <w:lang w:eastAsia="zh-CN"/>
        </w:rPr>
        <w:t>投标人</w:t>
      </w:r>
      <w:r>
        <w:rPr>
          <w:rFonts w:hint="eastAsia" w:ascii="仿宋" w:hAnsi="仿宋" w:eastAsia="仿宋" w:cs="仿宋"/>
          <w:color w:val="auto"/>
          <w:highlight w:val="none"/>
        </w:rPr>
        <w:t>应当遵守其分包规定</w:t>
      </w:r>
      <w:r>
        <w:rPr>
          <w:rFonts w:hint="eastAsia" w:ascii="仿宋" w:hAnsi="仿宋" w:eastAsia="仿宋" w:cs="仿宋"/>
          <w:color w:val="auto"/>
          <w:highlight w:val="none"/>
          <w:lang w:eastAsia="zh-CN"/>
        </w:rPr>
        <w:t>，投标人</w:t>
      </w:r>
      <w:r>
        <w:rPr>
          <w:rFonts w:hint="eastAsia" w:ascii="仿宋" w:hAnsi="仿宋" w:eastAsia="仿宋" w:cs="仿宋"/>
          <w:color w:val="auto"/>
          <w:highlight w:val="none"/>
        </w:rPr>
        <w:t>未遵守</w:t>
      </w:r>
      <w:r>
        <w:rPr>
          <w:rFonts w:hint="eastAsia" w:ascii="仿宋" w:hAnsi="仿宋" w:eastAsia="仿宋" w:cs="仿宋"/>
          <w:color w:val="auto"/>
          <w:highlight w:val="none"/>
          <w:lang w:eastAsia="zh-CN"/>
        </w:rPr>
        <w:t>招标文件</w:t>
      </w:r>
      <w:r>
        <w:rPr>
          <w:rFonts w:hint="eastAsia" w:ascii="仿宋" w:hAnsi="仿宋" w:eastAsia="仿宋" w:cs="仿宋"/>
          <w:color w:val="auto"/>
          <w:highlight w:val="none"/>
        </w:rPr>
        <w:t>分包规定的，其</w:t>
      </w:r>
      <w:r>
        <w:rPr>
          <w:rFonts w:hint="eastAsia" w:ascii="仿宋" w:hAnsi="仿宋" w:eastAsia="仿宋" w:cs="仿宋"/>
          <w:b/>
          <w:bCs/>
          <w:color w:val="auto"/>
          <w:highlight w:val="none"/>
        </w:rPr>
        <w:t>投标无效</w:t>
      </w:r>
      <w:r>
        <w:rPr>
          <w:rFonts w:hint="eastAsia" w:ascii="仿宋" w:hAnsi="仿宋" w:eastAsia="仿宋" w:cs="仿宋"/>
          <w:color w:val="auto"/>
          <w:highlight w:val="none"/>
          <w:lang w:eastAsia="zh-CN"/>
        </w:rPr>
        <w:t>，</w:t>
      </w:r>
      <w:r>
        <w:rPr>
          <w:rFonts w:hint="eastAsia" w:ascii="仿宋" w:hAnsi="仿宋" w:eastAsia="仿宋" w:cs="仿宋"/>
          <w:color w:val="auto"/>
          <w:highlight w:val="none"/>
        </w:rPr>
        <w:t>分包规定见“</w:t>
      </w:r>
      <w:r>
        <w:rPr>
          <w:rFonts w:hint="eastAsia" w:ascii="仿宋" w:hAnsi="仿宋" w:eastAsia="仿宋" w:cs="仿宋"/>
          <w:color w:val="auto"/>
          <w:highlight w:val="none"/>
          <w:lang w:eastAsia="zh-CN"/>
        </w:rPr>
        <w:t>投标人</w:t>
      </w:r>
      <w:r>
        <w:rPr>
          <w:rFonts w:hint="eastAsia" w:ascii="仿宋" w:hAnsi="仿宋" w:eastAsia="仿宋" w:cs="仿宋"/>
          <w:color w:val="auto"/>
          <w:highlight w:val="none"/>
        </w:rPr>
        <w:t>须知前附表”。</w:t>
      </w:r>
    </w:p>
    <w:p w14:paraId="753ABCF3">
      <w:pPr>
        <w:pStyle w:val="6"/>
        <w:ind w:left="560" w:leftChars="200" w:firstLine="0" w:firstLineChars="0"/>
        <w:rPr>
          <w:rFonts w:hint="eastAsia" w:ascii="仿宋" w:hAnsi="仿宋" w:eastAsia="仿宋" w:cs="仿宋"/>
          <w:color w:val="auto"/>
          <w:highlight w:val="none"/>
        </w:rPr>
      </w:pPr>
      <w:bookmarkStart w:id="104" w:name="_Toc155185858"/>
      <w:bookmarkStart w:id="105" w:name="_Toc163492833"/>
      <w:bookmarkStart w:id="106" w:name="_Toc155185871"/>
      <w:r>
        <w:rPr>
          <w:rFonts w:hint="eastAsia" w:ascii="仿宋" w:hAnsi="仿宋" w:eastAsia="仿宋" w:cs="仿宋"/>
          <w:color w:val="auto"/>
          <w:highlight w:val="none"/>
        </w:rPr>
        <w:t>11.电子投标说明</w:t>
      </w:r>
      <w:bookmarkEnd w:id="104"/>
      <w:bookmarkEnd w:id="105"/>
    </w:p>
    <w:p w14:paraId="30B1216A">
      <w:pPr>
        <w:ind w:firstLine="560"/>
        <w:rPr>
          <w:rFonts w:hint="eastAsia" w:ascii="仿宋" w:hAnsi="仿宋" w:eastAsia="仿宋" w:cs="仿宋"/>
          <w:color w:val="auto"/>
          <w:highlight w:val="none"/>
        </w:rPr>
      </w:pPr>
      <w:bookmarkStart w:id="107" w:name="_Toc13916"/>
      <w:bookmarkStart w:id="108" w:name="_Toc163492834"/>
      <w:r>
        <w:rPr>
          <w:rFonts w:hint="eastAsia" w:ascii="仿宋" w:hAnsi="仿宋" w:eastAsia="仿宋" w:cs="仿宋"/>
          <w:color w:val="auto"/>
          <w:highlight w:val="none"/>
        </w:rPr>
        <w:t>11.1</w:t>
      </w: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rPr>
        <w:t>为确保信息的及时性和准确性，澄清或修改的内容将在云南省政府采购网上以更正公告的形式发布。潜在</w:t>
      </w:r>
      <w:r>
        <w:rPr>
          <w:rFonts w:hint="eastAsia" w:ascii="仿宋" w:hAnsi="仿宋" w:eastAsia="仿宋" w:cs="仿宋"/>
          <w:color w:val="auto"/>
          <w:highlight w:val="none"/>
          <w:lang w:eastAsia="zh-CN"/>
        </w:rPr>
        <w:t>投标人</w:t>
      </w:r>
      <w:r>
        <w:rPr>
          <w:rFonts w:hint="eastAsia" w:ascii="仿宋" w:hAnsi="仿宋" w:eastAsia="仿宋" w:cs="仿宋"/>
          <w:color w:val="auto"/>
          <w:highlight w:val="none"/>
        </w:rPr>
        <w:t>需密切关注该网站，及时查看并下载相关更正公告。若因潜在</w:t>
      </w:r>
      <w:r>
        <w:rPr>
          <w:rFonts w:hint="eastAsia" w:ascii="仿宋" w:hAnsi="仿宋" w:eastAsia="仿宋" w:cs="仿宋"/>
          <w:color w:val="auto"/>
          <w:highlight w:val="none"/>
          <w:lang w:eastAsia="zh-CN"/>
        </w:rPr>
        <w:t>投标人</w:t>
      </w:r>
      <w:r>
        <w:rPr>
          <w:rFonts w:hint="eastAsia" w:ascii="仿宋" w:hAnsi="仿宋" w:eastAsia="仿宋" w:cs="仿宋"/>
          <w:color w:val="auto"/>
          <w:highlight w:val="none"/>
        </w:rPr>
        <w:t>未能及时查看或下载相关更正公告，而导致的一切后果，将由潜在</w:t>
      </w:r>
      <w:r>
        <w:rPr>
          <w:rFonts w:hint="eastAsia" w:ascii="仿宋" w:hAnsi="仿宋" w:eastAsia="仿宋" w:cs="仿宋"/>
          <w:color w:val="auto"/>
          <w:highlight w:val="none"/>
          <w:lang w:eastAsia="zh-CN"/>
        </w:rPr>
        <w:t>投标人</w:t>
      </w:r>
      <w:r>
        <w:rPr>
          <w:rFonts w:hint="eastAsia" w:ascii="仿宋" w:hAnsi="仿宋" w:eastAsia="仿宋" w:cs="仿宋"/>
          <w:color w:val="auto"/>
          <w:highlight w:val="none"/>
        </w:rPr>
        <w:t>自行承担；</w:t>
      </w:r>
    </w:p>
    <w:p w14:paraId="24F5A4EE">
      <w:pPr>
        <w:ind w:firstLine="560"/>
        <w:rPr>
          <w:rFonts w:hint="eastAsia" w:ascii="仿宋" w:hAnsi="仿宋" w:eastAsia="仿宋" w:cs="仿宋"/>
          <w:color w:val="auto"/>
          <w:highlight w:val="none"/>
        </w:rPr>
      </w:pPr>
      <w:r>
        <w:rPr>
          <w:rFonts w:hint="eastAsia" w:ascii="仿宋" w:hAnsi="仿宋" w:eastAsia="仿宋" w:cs="仿宋"/>
          <w:color w:val="auto"/>
          <w:highlight w:val="none"/>
        </w:rPr>
        <w:t>11.2</w:t>
      </w: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rPr>
        <w:t>制作电子投标文件需要数字证书（简称“CA”）和电子签章，请</w:t>
      </w:r>
      <w:r>
        <w:rPr>
          <w:rFonts w:hint="eastAsia" w:ascii="仿宋" w:hAnsi="仿宋" w:eastAsia="仿宋" w:cs="仿宋"/>
          <w:color w:val="auto"/>
          <w:highlight w:val="none"/>
          <w:lang w:eastAsia="zh-CN"/>
        </w:rPr>
        <w:t>投标人</w:t>
      </w:r>
      <w:r>
        <w:rPr>
          <w:rFonts w:hint="eastAsia" w:ascii="仿宋" w:hAnsi="仿宋" w:eastAsia="仿宋" w:cs="仿宋"/>
          <w:color w:val="auto"/>
          <w:highlight w:val="none"/>
        </w:rPr>
        <w:t>及时办理数字证书及电子签章，并完成数字证书绑定；</w:t>
      </w:r>
    </w:p>
    <w:p w14:paraId="3BAA0059">
      <w:pPr>
        <w:ind w:firstLine="560"/>
        <w:rPr>
          <w:rFonts w:hint="eastAsia" w:ascii="仿宋" w:hAnsi="仿宋" w:eastAsia="仿宋" w:cs="仿宋"/>
          <w:color w:val="auto"/>
          <w:highlight w:val="none"/>
        </w:rPr>
      </w:pPr>
      <w:r>
        <w:rPr>
          <w:rFonts w:hint="eastAsia" w:ascii="仿宋" w:hAnsi="仿宋" w:eastAsia="仿宋" w:cs="仿宋"/>
          <w:color w:val="auto"/>
          <w:highlight w:val="none"/>
        </w:rPr>
        <w:t>11.3</w:t>
      </w: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rPr>
        <w:t>数字证书及电子签章必须是在“政采云”平台中实现了互联互通对接的产品。办理地点详见“政采云”平台。</w:t>
      </w:r>
    </w:p>
    <w:p w14:paraId="3FCA6F29">
      <w:pPr>
        <w:ind w:firstLine="560"/>
        <w:rPr>
          <w:rFonts w:hint="eastAsia" w:ascii="仿宋" w:hAnsi="仿宋" w:eastAsia="仿宋" w:cs="仿宋"/>
          <w:color w:val="auto"/>
          <w:highlight w:val="none"/>
        </w:rPr>
      </w:pPr>
      <w:r>
        <w:rPr>
          <w:rFonts w:hint="eastAsia" w:ascii="仿宋" w:hAnsi="仿宋" w:eastAsia="仿宋" w:cs="仿宋"/>
          <w:color w:val="auto"/>
          <w:highlight w:val="none"/>
        </w:rPr>
        <w:t>11.4</w:t>
      </w: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rPr>
        <w:t>本</w:t>
      </w:r>
      <w:r>
        <w:rPr>
          <w:rFonts w:hint="eastAsia" w:ascii="仿宋" w:hAnsi="仿宋" w:eastAsia="仿宋" w:cs="仿宋"/>
          <w:color w:val="auto"/>
          <w:highlight w:val="none"/>
          <w:lang w:eastAsia="zh-CN"/>
        </w:rPr>
        <w:t>招标文件</w:t>
      </w:r>
      <w:r>
        <w:rPr>
          <w:rFonts w:hint="eastAsia" w:ascii="仿宋" w:hAnsi="仿宋" w:eastAsia="仿宋" w:cs="仿宋"/>
          <w:color w:val="auto"/>
          <w:highlight w:val="none"/>
        </w:rPr>
        <w:t>中电子化招标采购的有关概念：</w:t>
      </w:r>
    </w:p>
    <w:p w14:paraId="3693BB9A">
      <w:pPr>
        <w:ind w:firstLine="560"/>
        <w:rPr>
          <w:rFonts w:hint="eastAsia" w:ascii="仿宋" w:hAnsi="仿宋" w:eastAsia="仿宋" w:cs="仿宋"/>
          <w:color w:val="auto"/>
          <w:highlight w:val="none"/>
        </w:rPr>
      </w:pPr>
      <w:r>
        <w:rPr>
          <w:rFonts w:hint="eastAsia" w:ascii="仿宋" w:hAnsi="仿宋" w:eastAsia="仿宋" w:cs="仿宋"/>
          <w:color w:val="auto"/>
          <w:highlight w:val="none"/>
        </w:rPr>
        <w:t>（1）电子签名：指运用电子密码技术，在数据电文中以电子形式所含，用于识别签名人（法人或自然人）身份并表明签名人认可其中内容的数据。</w:t>
      </w:r>
    </w:p>
    <w:p w14:paraId="0266D0B3">
      <w:pPr>
        <w:ind w:firstLine="560"/>
        <w:rPr>
          <w:rFonts w:hint="eastAsia" w:ascii="仿宋" w:hAnsi="仿宋" w:eastAsia="仿宋" w:cs="仿宋"/>
          <w:color w:val="auto"/>
          <w:highlight w:val="none"/>
        </w:rPr>
      </w:pPr>
      <w:r>
        <w:rPr>
          <w:rFonts w:hint="eastAsia" w:ascii="仿宋" w:hAnsi="仿宋" w:eastAsia="仿宋" w:cs="仿宋"/>
          <w:color w:val="auto"/>
          <w:highlight w:val="none"/>
        </w:rPr>
        <w:t>（2）电子印章：指模拟在纸质文件上加盖传统实物印章的外观和方式进行电子签名的形式。</w:t>
      </w:r>
    </w:p>
    <w:p w14:paraId="417F1B43">
      <w:pPr>
        <w:ind w:firstLine="560"/>
        <w:rPr>
          <w:rFonts w:hint="eastAsia" w:ascii="仿宋" w:hAnsi="仿宋" w:eastAsia="仿宋" w:cs="仿宋"/>
          <w:color w:val="auto"/>
          <w:highlight w:val="none"/>
        </w:rPr>
      </w:pPr>
      <w:r>
        <w:rPr>
          <w:rFonts w:hint="eastAsia" w:ascii="仿宋" w:hAnsi="仿宋" w:eastAsia="仿宋" w:cs="仿宋"/>
          <w:color w:val="auto"/>
          <w:highlight w:val="none"/>
        </w:rPr>
        <w:t>（3）数字证书（简称“CA”）：CA证书具有数据电文交换中身份识别、电子签名、加密解密等功能。</w:t>
      </w:r>
    </w:p>
    <w:p w14:paraId="001EDE46">
      <w:pPr>
        <w:ind w:firstLine="560"/>
        <w:rPr>
          <w:rFonts w:hint="eastAsia" w:ascii="仿宋" w:hAnsi="仿宋" w:eastAsia="仿宋" w:cs="仿宋"/>
          <w:color w:val="auto"/>
          <w:highlight w:val="none"/>
        </w:rPr>
      </w:pPr>
      <w:r>
        <w:rPr>
          <w:rFonts w:hint="eastAsia" w:ascii="仿宋" w:hAnsi="仿宋" w:eastAsia="仿宋" w:cs="仿宋"/>
          <w:color w:val="auto"/>
          <w:highlight w:val="none"/>
        </w:rPr>
        <w:t>（4）政采云投标客户端：</w:t>
      </w:r>
      <w:r>
        <w:rPr>
          <w:rFonts w:hint="eastAsia" w:ascii="仿宋" w:hAnsi="仿宋" w:eastAsia="仿宋" w:cs="仿宋"/>
          <w:color w:val="auto"/>
          <w:highlight w:val="none"/>
          <w:lang w:eastAsia="zh-CN"/>
        </w:rPr>
        <w:t>投标人</w:t>
      </w:r>
      <w:r>
        <w:rPr>
          <w:rFonts w:hint="eastAsia" w:ascii="仿宋" w:hAnsi="仿宋" w:eastAsia="仿宋" w:cs="仿宋"/>
          <w:color w:val="auto"/>
          <w:highlight w:val="none"/>
        </w:rPr>
        <w:t>可在“政采云”平台中下载使用。</w:t>
      </w:r>
    </w:p>
    <w:p w14:paraId="341D3F29">
      <w:pPr>
        <w:ind w:firstLine="560"/>
        <w:rPr>
          <w:rFonts w:hint="eastAsia" w:ascii="仿宋" w:hAnsi="仿宋" w:eastAsia="仿宋" w:cs="仿宋"/>
          <w:color w:val="auto"/>
          <w:highlight w:val="none"/>
        </w:rPr>
      </w:pPr>
      <w:r>
        <w:rPr>
          <w:rFonts w:hint="eastAsia" w:ascii="仿宋" w:hAnsi="仿宋" w:eastAsia="仿宋" w:cs="仿宋"/>
          <w:color w:val="auto"/>
          <w:highlight w:val="none"/>
        </w:rPr>
        <w:t>11.5电子交易系统咨询：</w:t>
      </w:r>
      <w:r>
        <w:rPr>
          <w:rFonts w:hint="eastAsia" w:ascii="仿宋" w:hAnsi="仿宋" w:eastAsia="仿宋" w:cs="仿宋"/>
          <w:color w:val="auto"/>
          <w:highlight w:val="none"/>
          <w:lang w:eastAsia="zh-CN"/>
        </w:rPr>
        <w:t>投标人</w:t>
      </w:r>
      <w:r>
        <w:rPr>
          <w:rFonts w:hint="eastAsia" w:ascii="仿宋" w:hAnsi="仿宋" w:eastAsia="仿宋" w:cs="仿宋"/>
          <w:color w:val="auto"/>
          <w:highlight w:val="none"/>
        </w:rPr>
        <w:t>应当充分考虑到电子投标可能会发生的各种问题和风险，特别是投标文件签署、提交等问题，无特殊情况。</w:t>
      </w:r>
    </w:p>
    <w:p w14:paraId="3A8A770D">
      <w:pPr>
        <w:ind w:firstLine="560"/>
        <w:rPr>
          <w:rFonts w:hint="eastAsia" w:ascii="仿宋" w:hAnsi="仿宋" w:eastAsia="仿宋" w:cs="仿宋"/>
          <w:color w:val="auto"/>
          <w:highlight w:val="none"/>
        </w:rPr>
      </w:pPr>
      <w:r>
        <w:rPr>
          <w:rFonts w:hint="eastAsia" w:ascii="仿宋" w:hAnsi="仿宋" w:eastAsia="仿宋" w:cs="仿宋"/>
          <w:color w:val="auto"/>
          <w:highlight w:val="none"/>
        </w:rPr>
        <w:t>11.6</w:t>
      </w: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rPr>
        <w:t>政府采购交易系统联系方式详见“</w:t>
      </w:r>
      <w:r>
        <w:rPr>
          <w:rFonts w:hint="eastAsia" w:ascii="仿宋" w:hAnsi="仿宋" w:eastAsia="仿宋" w:cs="仿宋"/>
          <w:color w:val="auto"/>
          <w:highlight w:val="none"/>
          <w:lang w:eastAsia="zh-CN"/>
        </w:rPr>
        <w:t>投标人</w:t>
      </w:r>
      <w:r>
        <w:rPr>
          <w:rFonts w:hint="eastAsia" w:ascii="仿宋" w:hAnsi="仿宋" w:eastAsia="仿宋" w:cs="仿宋"/>
          <w:color w:val="auto"/>
          <w:highlight w:val="none"/>
        </w:rPr>
        <w:t>须知前附表”。</w:t>
      </w:r>
    </w:p>
    <w:p w14:paraId="422E7FA0">
      <w:pPr>
        <w:pStyle w:val="5"/>
        <w:ind w:firstLine="602"/>
        <w:rPr>
          <w:rFonts w:hint="eastAsia" w:ascii="仿宋" w:hAnsi="仿宋" w:eastAsia="仿宋" w:cs="仿宋"/>
          <w:color w:val="auto"/>
          <w:highlight w:val="none"/>
          <w:lang w:eastAsia="zh-CN"/>
        </w:rPr>
      </w:pPr>
      <w:bookmarkStart w:id="109" w:name="_Toc27612"/>
      <w:bookmarkStart w:id="110" w:name="_Toc12685"/>
      <w:r>
        <w:rPr>
          <w:rFonts w:hint="eastAsia" w:ascii="仿宋" w:hAnsi="仿宋" w:eastAsia="仿宋" w:cs="仿宋"/>
          <w:color w:val="auto"/>
          <w:highlight w:val="none"/>
        </w:rPr>
        <w:t>（二）</w:t>
      </w:r>
      <w:bookmarkEnd w:id="106"/>
      <w:bookmarkEnd w:id="107"/>
      <w:bookmarkEnd w:id="108"/>
      <w:bookmarkEnd w:id="109"/>
      <w:r>
        <w:rPr>
          <w:rFonts w:hint="eastAsia" w:ascii="仿宋" w:hAnsi="仿宋" w:eastAsia="仿宋" w:cs="仿宋"/>
          <w:color w:val="auto"/>
          <w:highlight w:val="none"/>
          <w:lang w:eastAsia="zh-CN"/>
        </w:rPr>
        <w:t>招标文件</w:t>
      </w:r>
      <w:bookmarkEnd w:id="110"/>
    </w:p>
    <w:p w14:paraId="69BFC6C1">
      <w:pPr>
        <w:pStyle w:val="6"/>
        <w:ind w:left="560" w:leftChars="200" w:firstLine="0" w:firstLineChars="0"/>
        <w:rPr>
          <w:rFonts w:hint="eastAsia" w:ascii="仿宋" w:hAnsi="仿宋" w:eastAsia="仿宋" w:cs="仿宋"/>
          <w:color w:val="auto"/>
          <w:highlight w:val="none"/>
        </w:rPr>
      </w:pPr>
      <w:bookmarkStart w:id="111" w:name="_Toc163492835"/>
      <w:bookmarkStart w:id="112" w:name="_Toc140132768"/>
      <w:r>
        <w:rPr>
          <w:rFonts w:hint="eastAsia" w:ascii="仿宋" w:hAnsi="仿宋" w:eastAsia="仿宋" w:cs="仿宋"/>
          <w:color w:val="auto"/>
          <w:highlight w:val="none"/>
        </w:rPr>
        <w:t>12.</w:t>
      </w:r>
      <w:r>
        <w:rPr>
          <w:rFonts w:hint="eastAsia" w:ascii="仿宋" w:hAnsi="仿宋" w:eastAsia="仿宋" w:cs="仿宋"/>
          <w:color w:val="auto"/>
          <w:highlight w:val="none"/>
          <w:lang w:eastAsia="zh-CN"/>
        </w:rPr>
        <w:t>招标文件</w:t>
      </w:r>
      <w:r>
        <w:rPr>
          <w:rFonts w:hint="eastAsia" w:ascii="仿宋" w:hAnsi="仿宋" w:eastAsia="仿宋" w:cs="仿宋"/>
          <w:color w:val="auto"/>
          <w:highlight w:val="none"/>
        </w:rPr>
        <w:t>的组成</w:t>
      </w:r>
      <w:bookmarkEnd w:id="111"/>
      <w:bookmarkEnd w:id="112"/>
    </w:p>
    <w:p w14:paraId="4DC02349">
      <w:pPr>
        <w:ind w:firstLine="560"/>
        <w:rPr>
          <w:rFonts w:hint="eastAsia" w:ascii="仿宋" w:hAnsi="仿宋" w:eastAsia="仿宋" w:cs="仿宋"/>
          <w:color w:val="auto"/>
          <w:szCs w:val="24"/>
          <w:highlight w:val="none"/>
        </w:rPr>
      </w:pPr>
      <w:r>
        <w:rPr>
          <w:rFonts w:hint="eastAsia" w:ascii="仿宋" w:hAnsi="仿宋" w:eastAsia="仿宋" w:cs="仿宋"/>
          <w:color w:val="auto"/>
          <w:szCs w:val="24"/>
          <w:highlight w:val="none"/>
        </w:rPr>
        <w:t>12.1</w:t>
      </w:r>
      <w:r>
        <w:rPr>
          <w:rFonts w:hint="eastAsia" w:ascii="仿宋" w:hAnsi="仿宋" w:eastAsia="仿宋" w:cs="仿宋"/>
          <w:color w:val="auto"/>
          <w:szCs w:val="24"/>
          <w:highlight w:val="none"/>
          <w:lang w:val="en-US" w:eastAsia="zh-CN"/>
        </w:rPr>
        <w:t xml:space="preserve"> </w:t>
      </w:r>
      <w:r>
        <w:rPr>
          <w:rFonts w:hint="eastAsia" w:ascii="仿宋" w:hAnsi="仿宋" w:eastAsia="仿宋" w:cs="仿宋"/>
          <w:color w:val="auto"/>
          <w:szCs w:val="24"/>
          <w:highlight w:val="none"/>
        </w:rPr>
        <w:t>本</w:t>
      </w:r>
      <w:r>
        <w:rPr>
          <w:rFonts w:hint="eastAsia" w:ascii="仿宋" w:hAnsi="仿宋" w:eastAsia="仿宋" w:cs="仿宋"/>
          <w:color w:val="auto"/>
          <w:szCs w:val="24"/>
          <w:highlight w:val="none"/>
          <w:lang w:eastAsia="zh-CN"/>
        </w:rPr>
        <w:t>招标文件</w:t>
      </w:r>
      <w:r>
        <w:rPr>
          <w:rFonts w:hint="eastAsia" w:ascii="仿宋" w:hAnsi="仿宋" w:eastAsia="仿宋" w:cs="仿宋"/>
          <w:color w:val="auto"/>
          <w:szCs w:val="24"/>
          <w:highlight w:val="none"/>
        </w:rPr>
        <w:t>包括下列文件及根据本章第9款、第13款对</w:t>
      </w:r>
      <w:r>
        <w:rPr>
          <w:rFonts w:hint="eastAsia" w:ascii="仿宋" w:hAnsi="仿宋" w:eastAsia="仿宋" w:cs="仿宋"/>
          <w:color w:val="auto"/>
          <w:szCs w:val="24"/>
          <w:highlight w:val="none"/>
          <w:lang w:eastAsia="zh-CN"/>
        </w:rPr>
        <w:t>招标文件</w:t>
      </w:r>
      <w:r>
        <w:rPr>
          <w:rFonts w:hint="eastAsia" w:ascii="仿宋" w:hAnsi="仿宋" w:eastAsia="仿宋" w:cs="仿宋"/>
          <w:color w:val="auto"/>
          <w:szCs w:val="24"/>
          <w:highlight w:val="none"/>
        </w:rPr>
        <w:t>所</w:t>
      </w:r>
      <w:r>
        <w:rPr>
          <w:rFonts w:hint="eastAsia" w:ascii="仿宋" w:hAnsi="仿宋" w:eastAsia="仿宋" w:cs="仿宋"/>
          <w:color w:val="auto"/>
          <w:szCs w:val="24"/>
          <w:highlight w:val="none"/>
          <w:lang w:eastAsia="zh-CN"/>
        </w:rPr>
        <w:t>做</w:t>
      </w:r>
      <w:r>
        <w:rPr>
          <w:rFonts w:hint="eastAsia" w:ascii="仿宋" w:hAnsi="仿宋" w:eastAsia="仿宋" w:cs="仿宋"/>
          <w:color w:val="auto"/>
          <w:szCs w:val="24"/>
          <w:highlight w:val="none"/>
        </w:rPr>
        <w:t>的澄清或者修改。</w:t>
      </w:r>
    </w:p>
    <w:p w14:paraId="02985BF0">
      <w:pPr>
        <w:ind w:firstLine="560"/>
        <w:rPr>
          <w:rFonts w:hint="eastAsia" w:ascii="仿宋" w:hAnsi="仿宋" w:eastAsia="仿宋" w:cs="仿宋"/>
          <w:color w:val="auto"/>
          <w:szCs w:val="24"/>
          <w:highlight w:val="none"/>
        </w:rPr>
      </w:pPr>
      <w:r>
        <w:rPr>
          <w:rFonts w:hint="eastAsia" w:ascii="仿宋" w:hAnsi="仿宋" w:eastAsia="仿宋" w:cs="仿宋"/>
          <w:color w:val="auto"/>
          <w:szCs w:val="24"/>
          <w:highlight w:val="none"/>
        </w:rPr>
        <w:t>第一章 招标公告</w:t>
      </w:r>
    </w:p>
    <w:p w14:paraId="1FEAC658">
      <w:pPr>
        <w:ind w:firstLine="560"/>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第二章 </w:t>
      </w:r>
      <w:r>
        <w:rPr>
          <w:rFonts w:hint="eastAsia" w:ascii="仿宋" w:hAnsi="仿宋" w:eastAsia="仿宋" w:cs="仿宋"/>
          <w:color w:val="auto"/>
          <w:szCs w:val="24"/>
          <w:highlight w:val="none"/>
          <w:lang w:eastAsia="zh-CN"/>
        </w:rPr>
        <w:t>投标人</w:t>
      </w:r>
      <w:r>
        <w:rPr>
          <w:rFonts w:hint="eastAsia" w:ascii="仿宋" w:hAnsi="仿宋" w:eastAsia="仿宋" w:cs="仿宋"/>
          <w:color w:val="auto"/>
          <w:szCs w:val="24"/>
          <w:highlight w:val="none"/>
        </w:rPr>
        <w:t>须知</w:t>
      </w:r>
    </w:p>
    <w:p w14:paraId="6059B7E8">
      <w:pPr>
        <w:ind w:firstLine="560"/>
        <w:rPr>
          <w:rFonts w:hint="eastAsia" w:ascii="仿宋" w:hAnsi="仿宋" w:eastAsia="仿宋" w:cs="仿宋"/>
          <w:color w:val="auto"/>
          <w:szCs w:val="24"/>
          <w:highlight w:val="none"/>
          <w:lang w:eastAsia="zh-CN"/>
        </w:rPr>
      </w:pPr>
      <w:r>
        <w:rPr>
          <w:rFonts w:hint="eastAsia" w:ascii="仿宋" w:hAnsi="仿宋" w:eastAsia="仿宋" w:cs="仿宋"/>
          <w:color w:val="auto"/>
          <w:szCs w:val="24"/>
          <w:highlight w:val="none"/>
        </w:rPr>
        <w:t xml:space="preserve">第三章 </w:t>
      </w:r>
      <w:r>
        <w:rPr>
          <w:rFonts w:hint="eastAsia" w:ascii="仿宋" w:hAnsi="仿宋" w:eastAsia="仿宋" w:cs="仿宋"/>
          <w:color w:val="auto"/>
          <w:szCs w:val="24"/>
          <w:highlight w:val="none"/>
          <w:lang w:eastAsia="zh-CN"/>
        </w:rPr>
        <w:t>采购需求</w:t>
      </w:r>
    </w:p>
    <w:p w14:paraId="7CCFE896">
      <w:pPr>
        <w:ind w:firstLine="560"/>
        <w:rPr>
          <w:rFonts w:hint="eastAsia" w:ascii="仿宋" w:hAnsi="仿宋" w:eastAsia="仿宋" w:cs="仿宋"/>
          <w:color w:val="auto"/>
          <w:szCs w:val="24"/>
          <w:highlight w:val="none"/>
        </w:rPr>
      </w:pPr>
      <w:r>
        <w:rPr>
          <w:rFonts w:hint="eastAsia" w:ascii="仿宋" w:hAnsi="仿宋" w:eastAsia="仿宋" w:cs="仿宋"/>
          <w:color w:val="auto"/>
          <w:szCs w:val="24"/>
          <w:highlight w:val="none"/>
        </w:rPr>
        <w:t>第四章 资格审查方法及标准</w:t>
      </w:r>
    </w:p>
    <w:p w14:paraId="08305801">
      <w:pPr>
        <w:ind w:firstLine="560"/>
        <w:rPr>
          <w:rFonts w:hint="eastAsia" w:ascii="仿宋" w:hAnsi="仿宋" w:eastAsia="仿宋" w:cs="仿宋"/>
          <w:color w:val="auto"/>
          <w:szCs w:val="24"/>
          <w:highlight w:val="none"/>
        </w:rPr>
      </w:pPr>
      <w:r>
        <w:rPr>
          <w:rFonts w:hint="eastAsia" w:ascii="仿宋" w:hAnsi="仿宋" w:eastAsia="仿宋" w:cs="仿宋"/>
          <w:color w:val="auto"/>
          <w:szCs w:val="24"/>
          <w:highlight w:val="none"/>
        </w:rPr>
        <w:t>第五章 评标办法及标准</w:t>
      </w:r>
    </w:p>
    <w:p w14:paraId="4690F4C7">
      <w:pPr>
        <w:ind w:firstLine="560"/>
        <w:rPr>
          <w:rFonts w:hint="eastAsia" w:ascii="仿宋" w:hAnsi="仿宋" w:eastAsia="仿宋" w:cs="仿宋"/>
          <w:color w:val="auto"/>
          <w:szCs w:val="24"/>
          <w:highlight w:val="none"/>
        </w:rPr>
      </w:pPr>
      <w:r>
        <w:rPr>
          <w:rFonts w:hint="eastAsia" w:ascii="仿宋" w:hAnsi="仿宋" w:eastAsia="仿宋" w:cs="仿宋"/>
          <w:color w:val="auto"/>
          <w:szCs w:val="24"/>
          <w:highlight w:val="none"/>
        </w:rPr>
        <w:t>第六章 合同书主要条款及样式</w:t>
      </w:r>
    </w:p>
    <w:p w14:paraId="22839948">
      <w:pPr>
        <w:ind w:firstLine="560"/>
        <w:rPr>
          <w:rFonts w:hint="eastAsia" w:ascii="仿宋" w:hAnsi="仿宋" w:eastAsia="仿宋" w:cs="仿宋"/>
          <w:color w:val="auto"/>
          <w:szCs w:val="24"/>
          <w:highlight w:val="none"/>
        </w:rPr>
      </w:pPr>
      <w:r>
        <w:rPr>
          <w:rFonts w:hint="eastAsia" w:ascii="仿宋" w:hAnsi="仿宋" w:eastAsia="仿宋" w:cs="仿宋"/>
          <w:color w:val="auto"/>
          <w:szCs w:val="24"/>
          <w:highlight w:val="none"/>
        </w:rPr>
        <w:t>第七章 投标文件的格式</w:t>
      </w:r>
    </w:p>
    <w:p w14:paraId="57067E24">
      <w:pPr>
        <w:pStyle w:val="6"/>
        <w:ind w:left="560" w:leftChars="200" w:firstLine="0" w:firstLineChars="0"/>
        <w:rPr>
          <w:rFonts w:hint="eastAsia" w:ascii="仿宋" w:hAnsi="仿宋" w:eastAsia="仿宋" w:cs="仿宋"/>
          <w:color w:val="auto"/>
          <w:highlight w:val="none"/>
        </w:rPr>
      </w:pPr>
      <w:bookmarkStart w:id="113" w:name="_Toc140132769"/>
      <w:bookmarkStart w:id="114" w:name="_Toc163492836"/>
      <w:r>
        <w:rPr>
          <w:rFonts w:hint="eastAsia" w:ascii="仿宋" w:hAnsi="仿宋" w:eastAsia="仿宋" w:cs="仿宋"/>
          <w:color w:val="auto"/>
          <w:highlight w:val="none"/>
        </w:rPr>
        <w:t>13.</w:t>
      </w:r>
      <w:r>
        <w:rPr>
          <w:rFonts w:hint="eastAsia" w:ascii="仿宋" w:hAnsi="仿宋" w:eastAsia="仿宋" w:cs="仿宋"/>
          <w:color w:val="auto"/>
          <w:highlight w:val="none"/>
          <w:lang w:eastAsia="zh-CN"/>
        </w:rPr>
        <w:t>招标文件</w:t>
      </w:r>
      <w:r>
        <w:rPr>
          <w:rFonts w:hint="eastAsia" w:ascii="仿宋" w:hAnsi="仿宋" w:eastAsia="仿宋" w:cs="仿宋"/>
          <w:color w:val="auto"/>
          <w:highlight w:val="none"/>
        </w:rPr>
        <w:t>的询问、澄清或者修改</w:t>
      </w:r>
      <w:bookmarkEnd w:id="113"/>
      <w:bookmarkEnd w:id="114"/>
    </w:p>
    <w:p w14:paraId="6FCD3B81">
      <w:pPr>
        <w:ind w:firstLine="560"/>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13.1 </w:t>
      </w:r>
      <w:r>
        <w:rPr>
          <w:rFonts w:hint="eastAsia" w:ascii="仿宋" w:hAnsi="仿宋" w:eastAsia="仿宋" w:cs="仿宋"/>
          <w:color w:val="auto"/>
          <w:szCs w:val="24"/>
          <w:highlight w:val="none"/>
          <w:lang w:eastAsia="zh-CN"/>
        </w:rPr>
        <w:t>投标人</w:t>
      </w:r>
      <w:r>
        <w:rPr>
          <w:rFonts w:hint="eastAsia" w:ascii="仿宋" w:hAnsi="仿宋" w:eastAsia="仿宋" w:cs="仿宋"/>
          <w:color w:val="auto"/>
          <w:szCs w:val="24"/>
          <w:highlight w:val="none"/>
        </w:rPr>
        <w:t>对采购项目有疑问的，可以按照“</w:t>
      </w:r>
      <w:r>
        <w:rPr>
          <w:rFonts w:hint="eastAsia" w:ascii="仿宋" w:hAnsi="仿宋" w:eastAsia="仿宋" w:cs="仿宋"/>
          <w:color w:val="auto"/>
          <w:szCs w:val="24"/>
          <w:highlight w:val="none"/>
          <w:lang w:eastAsia="zh-CN"/>
        </w:rPr>
        <w:t>投标人</w:t>
      </w:r>
      <w:r>
        <w:rPr>
          <w:rFonts w:hint="eastAsia" w:ascii="仿宋" w:hAnsi="仿宋" w:eastAsia="仿宋" w:cs="仿宋"/>
          <w:color w:val="auto"/>
          <w:szCs w:val="24"/>
          <w:highlight w:val="none"/>
        </w:rPr>
        <w:t>须知前附表”中的规定提出询问。采购人或采购代理机构将在收到询问后依法予以答复。对</w:t>
      </w:r>
      <w:r>
        <w:rPr>
          <w:rFonts w:hint="eastAsia" w:ascii="仿宋" w:hAnsi="仿宋" w:eastAsia="仿宋" w:cs="仿宋"/>
          <w:color w:val="auto"/>
          <w:szCs w:val="24"/>
          <w:highlight w:val="none"/>
          <w:lang w:eastAsia="zh-CN"/>
        </w:rPr>
        <w:t>招标文件</w:t>
      </w:r>
      <w:r>
        <w:rPr>
          <w:rFonts w:hint="eastAsia" w:ascii="仿宋" w:hAnsi="仿宋" w:eastAsia="仿宋" w:cs="仿宋"/>
          <w:color w:val="auto"/>
          <w:szCs w:val="24"/>
          <w:highlight w:val="none"/>
        </w:rPr>
        <w:t>询问的答复，在必要时将以澄清形式推送给每个获取</w:t>
      </w:r>
      <w:r>
        <w:rPr>
          <w:rFonts w:hint="eastAsia" w:ascii="仿宋" w:hAnsi="仿宋" w:eastAsia="仿宋" w:cs="仿宋"/>
          <w:color w:val="auto"/>
          <w:szCs w:val="24"/>
          <w:highlight w:val="none"/>
          <w:lang w:eastAsia="zh-CN"/>
        </w:rPr>
        <w:t>招标文件</w:t>
      </w:r>
      <w:r>
        <w:rPr>
          <w:rFonts w:hint="eastAsia" w:ascii="仿宋" w:hAnsi="仿宋" w:eastAsia="仿宋" w:cs="仿宋"/>
          <w:color w:val="auto"/>
          <w:szCs w:val="24"/>
          <w:highlight w:val="none"/>
        </w:rPr>
        <w:t>的潜在</w:t>
      </w:r>
      <w:r>
        <w:rPr>
          <w:rFonts w:hint="eastAsia" w:ascii="仿宋" w:hAnsi="仿宋" w:eastAsia="仿宋" w:cs="仿宋"/>
          <w:color w:val="auto"/>
          <w:szCs w:val="24"/>
          <w:highlight w:val="none"/>
          <w:lang w:eastAsia="zh-CN"/>
        </w:rPr>
        <w:t>投标人（</w:t>
      </w:r>
      <w:r>
        <w:rPr>
          <w:rFonts w:hint="eastAsia" w:ascii="仿宋" w:hAnsi="仿宋" w:eastAsia="仿宋" w:cs="仿宋"/>
          <w:color w:val="auto"/>
          <w:szCs w:val="24"/>
          <w:highlight w:val="none"/>
        </w:rPr>
        <w:t>答复中不包括问题的来源</w:t>
      </w:r>
      <w:r>
        <w:rPr>
          <w:rFonts w:hint="eastAsia" w:ascii="仿宋" w:hAnsi="仿宋" w:eastAsia="仿宋" w:cs="仿宋"/>
          <w:color w:val="auto"/>
          <w:szCs w:val="24"/>
          <w:highlight w:val="none"/>
          <w:lang w:eastAsia="zh-CN"/>
        </w:rPr>
        <w:t>）</w:t>
      </w:r>
      <w:r>
        <w:rPr>
          <w:rFonts w:hint="eastAsia" w:ascii="仿宋" w:hAnsi="仿宋" w:eastAsia="仿宋" w:cs="仿宋"/>
          <w:color w:val="auto"/>
          <w:szCs w:val="24"/>
          <w:highlight w:val="none"/>
        </w:rPr>
        <w:t>。</w:t>
      </w:r>
    </w:p>
    <w:p w14:paraId="48D190ED">
      <w:pPr>
        <w:ind w:firstLine="560"/>
        <w:rPr>
          <w:rFonts w:hint="eastAsia" w:ascii="仿宋" w:hAnsi="仿宋" w:eastAsia="仿宋" w:cs="仿宋"/>
          <w:color w:val="auto"/>
          <w:szCs w:val="24"/>
          <w:highlight w:val="none"/>
        </w:rPr>
      </w:pPr>
      <w:r>
        <w:rPr>
          <w:rFonts w:hint="eastAsia" w:ascii="仿宋" w:hAnsi="仿宋" w:eastAsia="仿宋" w:cs="仿宋"/>
          <w:color w:val="auto"/>
          <w:szCs w:val="24"/>
          <w:highlight w:val="none"/>
        </w:rPr>
        <w:t>13.2 采购人或者采购代理机构可以对已发出的</w:t>
      </w:r>
      <w:r>
        <w:rPr>
          <w:rFonts w:hint="eastAsia" w:ascii="仿宋" w:hAnsi="仿宋" w:eastAsia="仿宋" w:cs="仿宋"/>
          <w:color w:val="auto"/>
          <w:szCs w:val="24"/>
          <w:highlight w:val="none"/>
          <w:lang w:eastAsia="zh-CN"/>
        </w:rPr>
        <w:t>招标文件</w:t>
      </w:r>
      <w:r>
        <w:rPr>
          <w:rFonts w:hint="eastAsia" w:ascii="仿宋" w:hAnsi="仿宋" w:eastAsia="仿宋" w:cs="仿宋"/>
          <w:color w:val="auto"/>
          <w:szCs w:val="24"/>
          <w:highlight w:val="none"/>
        </w:rPr>
        <w:t>进行必要的澄清或者修改。</w:t>
      </w:r>
      <w:r>
        <w:rPr>
          <w:rFonts w:hint="eastAsia" w:ascii="仿宋" w:hAnsi="仿宋" w:eastAsia="仿宋" w:cs="仿宋"/>
          <w:color w:val="auto"/>
          <w:highlight w:val="none"/>
        </w:rPr>
        <w:t>澄清或修改的内容为</w:t>
      </w:r>
      <w:r>
        <w:rPr>
          <w:rFonts w:hint="eastAsia" w:ascii="仿宋" w:hAnsi="仿宋" w:eastAsia="仿宋" w:cs="仿宋"/>
          <w:color w:val="auto"/>
          <w:highlight w:val="none"/>
          <w:lang w:eastAsia="zh-CN"/>
        </w:rPr>
        <w:t>招标文件</w:t>
      </w:r>
      <w:r>
        <w:rPr>
          <w:rFonts w:hint="eastAsia" w:ascii="仿宋" w:hAnsi="仿宋" w:eastAsia="仿宋" w:cs="仿宋"/>
          <w:color w:val="auto"/>
          <w:highlight w:val="none"/>
        </w:rPr>
        <w:t>的组成部分，并对所有获取</w:t>
      </w:r>
      <w:r>
        <w:rPr>
          <w:rFonts w:hint="eastAsia" w:ascii="仿宋" w:hAnsi="仿宋" w:eastAsia="仿宋" w:cs="仿宋"/>
          <w:color w:val="auto"/>
          <w:highlight w:val="none"/>
          <w:lang w:eastAsia="zh-CN"/>
        </w:rPr>
        <w:t>招标文件</w:t>
      </w:r>
      <w:r>
        <w:rPr>
          <w:rFonts w:hint="eastAsia" w:ascii="仿宋" w:hAnsi="仿宋" w:eastAsia="仿宋" w:cs="仿宋"/>
          <w:color w:val="auto"/>
          <w:highlight w:val="none"/>
        </w:rPr>
        <w:t>的潜在</w:t>
      </w:r>
      <w:r>
        <w:rPr>
          <w:rFonts w:hint="eastAsia" w:ascii="仿宋" w:hAnsi="仿宋" w:eastAsia="仿宋" w:cs="仿宋"/>
          <w:color w:val="auto"/>
          <w:highlight w:val="none"/>
          <w:lang w:eastAsia="zh-CN"/>
        </w:rPr>
        <w:t>投标人</w:t>
      </w:r>
      <w:r>
        <w:rPr>
          <w:rFonts w:hint="eastAsia" w:ascii="仿宋" w:hAnsi="仿宋" w:eastAsia="仿宋" w:cs="仿宋"/>
          <w:color w:val="auto"/>
          <w:highlight w:val="none"/>
        </w:rPr>
        <w:t>具有约束力。</w:t>
      </w:r>
    </w:p>
    <w:p w14:paraId="77C7A489">
      <w:pPr>
        <w:ind w:firstLine="560"/>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13.3 </w:t>
      </w:r>
      <w:r>
        <w:rPr>
          <w:rFonts w:hint="eastAsia" w:ascii="仿宋" w:hAnsi="仿宋" w:eastAsia="仿宋" w:cs="仿宋"/>
          <w:color w:val="auto"/>
          <w:szCs w:val="24"/>
          <w:highlight w:val="none"/>
          <w:lang w:eastAsia="zh-CN"/>
        </w:rPr>
        <w:t>招标文件</w:t>
      </w:r>
      <w:r>
        <w:rPr>
          <w:rFonts w:hint="eastAsia" w:ascii="仿宋" w:hAnsi="仿宋" w:eastAsia="仿宋" w:cs="仿宋"/>
          <w:color w:val="auto"/>
          <w:szCs w:val="24"/>
          <w:highlight w:val="none"/>
        </w:rPr>
        <w:t>的澄清或者修改以书面形式发给所有领取</w:t>
      </w:r>
      <w:r>
        <w:rPr>
          <w:rFonts w:hint="eastAsia" w:ascii="仿宋" w:hAnsi="仿宋" w:eastAsia="仿宋" w:cs="仿宋"/>
          <w:color w:val="auto"/>
          <w:szCs w:val="24"/>
          <w:highlight w:val="none"/>
          <w:lang w:eastAsia="zh-CN"/>
        </w:rPr>
        <w:t>招标文件</w:t>
      </w:r>
      <w:r>
        <w:rPr>
          <w:rFonts w:hint="eastAsia" w:ascii="仿宋" w:hAnsi="仿宋" w:eastAsia="仿宋" w:cs="仿宋"/>
          <w:color w:val="auto"/>
          <w:szCs w:val="24"/>
          <w:highlight w:val="none"/>
        </w:rPr>
        <w:t>的</w:t>
      </w:r>
      <w:r>
        <w:rPr>
          <w:rFonts w:hint="eastAsia" w:ascii="仿宋" w:hAnsi="仿宋" w:eastAsia="仿宋" w:cs="仿宋"/>
          <w:color w:val="auto"/>
          <w:szCs w:val="24"/>
          <w:highlight w:val="none"/>
          <w:lang w:eastAsia="zh-CN"/>
        </w:rPr>
        <w:t>投标人</w:t>
      </w:r>
      <w:r>
        <w:rPr>
          <w:rFonts w:hint="eastAsia" w:ascii="仿宋" w:hAnsi="仿宋" w:eastAsia="仿宋" w:cs="仿宋"/>
          <w:color w:val="auto"/>
          <w:szCs w:val="24"/>
          <w:highlight w:val="none"/>
        </w:rPr>
        <w:t>，但不包括问题的来源。澄清或者修改的内容可能影响投标文件编制的，采购人或者采购代理机构应当在投标截止时间至少15日前，以书面形式通知所有获取</w:t>
      </w:r>
      <w:r>
        <w:rPr>
          <w:rFonts w:hint="eastAsia" w:ascii="仿宋" w:hAnsi="仿宋" w:eastAsia="仿宋" w:cs="仿宋"/>
          <w:color w:val="auto"/>
          <w:szCs w:val="24"/>
          <w:highlight w:val="none"/>
          <w:lang w:eastAsia="zh-CN"/>
        </w:rPr>
        <w:t>招标文件</w:t>
      </w:r>
      <w:r>
        <w:rPr>
          <w:rFonts w:hint="eastAsia" w:ascii="仿宋" w:hAnsi="仿宋" w:eastAsia="仿宋" w:cs="仿宋"/>
          <w:color w:val="auto"/>
          <w:szCs w:val="24"/>
          <w:highlight w:val="none"/>
        </w:rPr>
        <w:t>的潜在</w:t>
      </w:r>
      <w:r>
        <w:rPr>
          <w:rFonts w:hint="eastAsia" w:ascii="仿宋" w:hAnsi="仿宋" w:eastAsia="仿宋" w:cs="仿宋"/>
          <w:color w:val="auto"/>
          <w:szCs w:val="24"/>
          <w:highlight w:val="none"/>
          <w:lang w:eastAsia="zh-CN"/>
        </w:rPr>
        <w:t>投标人</w:t>
      </w:r>
      <w:r>
        <w:rPr>
          <w:rFonts w:hint="eastAsia" w:ascii="仿宋" w:hAnsi="仿宋" w:eastAsia="仿宋" w:cs="仿宋"/>
          <w:color w:val="auto"/>
          <w:szCs w:val="24"/>
          <w:highlight w:val="none"/>
        </w:rPr>
        <w:t>；不足15日的，采购人或者采购代理机构应当顺延提交投标文件的截止时间。</w:t>
      </w:r>
    </w:p>
    <w:p w14:paraId="0FA2BA5A">
      <w:pPr>
        <w:pStyle w:val="47"/>
        <w:ind w:firstLine="560"/>
        <w:rPr>
          <w:rFonts w:hint="eastAsia" w:ascii="仿宋" w:hAnsi="仿宋" w:eastAsia="仿宋" w:cs="仿宋"/>
          <w:color w:val="auto"/>
          <w:highlight w:val="none"/>
          <w:lang w:val="en-US"/>
        </w:rPr>
      </w:pPr>
      <w:r>
        <w:rPr>
          <w:rFonts w:hint="eastAsia" w:ascii="仿宋" w:hAnsi="仿宋" w:eastAsia="仿宋" w:cs="仿宋"/>
          <w:color w:val="auto"/>
          <w:highlight w:val="none"/>
          <w:lang w:val="en-US"/>
        </w:rPr>
        <w:t xml:space="preserve">13.4 </w:t>
      </w:r>
      <w:r>
        <w:rPr>
          <w:rFonts w:hint="eastAsia" w:ascii="仿宋" w:hAnsi="仿宋" w:eastAsia="仿宋" w:cs="仿宋"/>
          <w:color w:val="auto"/>
          <w:szCs w:val="24"/>
          <w:highlight w:val="none"/>
        </w:rPr>
        <w:t>本</w:t>
      </w:r>
      <w:r>
        <w:rPr>
          <w:rFonts w:hint="eastAsia" w:ascii="仿宋" w:hAnsi="仿宋" w:eastAsia="仿宋" w:cs="仿宋"/>
          <w:color w:val="auto"/>
          <w:szCs w:val="24"/>
          <w:highlight w:val="none"/>
          <w:lang w:val="en-US"/>
        </w:rPr>
        <w:t>”</w:t>
      </w:r>
      <w:r>
        <w:rPr>
          <w:rFonts w:hint="eastAsia" w:ascii="仿宋" w:hAnsi="仿宋" w:eastAsia="仿宋" w:cs="仿宋"/>
          <w:color w:val="auto"/>
          <w:szCs w:val="24"/>
          <w:highlight w:val="none"/>
          <w:lang w:eastAsia="zh-CN"/>
        </w:rPr>
        <w:t>投标人</w:t>
      </w:r>
      <w:r>
        <w:rPr>
          <w:rFonts w:hint="eastAsia" w:ascii="仿宋" w:hAnsi="仿宋" w:eastAsia="仿宋" w:cs="仿宋"/>
          <w:color w:val="auto"/>
          <w:szCs w:val="24"/>
          <w:highlight w:val="none"/>
        </w:rPr>
        <w:t>须知</w:t>
      </w:r>
      <w:r>
        <w:rPr>
          <w:rFonts w:hint="eastAsia" w:ascii="仿宋" w:hAnsi="仿宋" w:eastAsia="仿宋" w:cs="仿宋"/>
          <w:color w:val="auto"/>
          <w:szCs w:val="24"/>
          <w:highlight w:val="none"/>
          <w:lang w:val="en-US"/>
        </w:rPr>
        <w:t>”</w:t>
      </w:r>
      <w:r>
        <w:rPr>
          <w:rFonts w:hint="eastAsia" w:ascii="仿宋" w:hAnsi="仿宋" w:eastAsia="仿宋" w:cs="仿宋"/>
          <w:color w:val="auto"/>
          <w:szCs w:val="24"/>
          <w:highlight w:val="none"/>
        </w:rPr>
        <w:t>所称</w:t>
      </w:r>
      <w:r>
        <w:rPr>
          <w:rFonts w:hint="eastAsia" w:ascii="仿宋" w:hAnsi="仿宋" w:eastAsia="仿宋" w:cs="仿宋"/>
          <w:color w:val="auto"/>
          <w:szCs w:val="24"/>
          <w:highlight w:val="none"/>
          <w:lang w:val="en-US"/>
        </w:rPr>
        <w:t>“</w:t>
      </w:r>
      <w:r>
        <w:rPr>
          <w:rFonts w:hint="eastAsia" w:ascii="仿宋" w:hAnsi="仿宋" w:eastAsia="仿宋" w:cs="仿宋"/>
          <w:color w:val="auto"/>
          <w:highlight w:val="none"/>
        </w:rPr>
        <w:t>书面形式</w:t>
      </w:r>
      <w:r>
        <w:rPr>
          <w:rFonts w:hint="eastAsia" w:ascii="仿宋" w:hAnsi="仿宋" w:eastAsia="仿宋" w:cs="仿宋"/>
          <w:color w:val="auto"/>
          <w:szCs w:val="24"/>
          <w:highlight w:val="none"/>
          <w:lang w:val="en-US"/>
        </w:rPr>
        <w:t>”</w:t>
      </w:r>
      <w:r>
        <w:rPr>
          <w:rFonts w:hint="eastAsia" w:ascii="仿宋" w:hAnsi="仿宋" w:eastAsia="仿宋" w:cs="仿宋"/>
          <w:color w:val="auto"/>
          <w:highlight w:val="none"/>
        </w:rPr>
        <w:t>包括“政采云”平台系统消息、云南省政府采购网</w:t>
      </w:r>
      <w:r>
        <w:rPr>
          <w:rFonts w:hint="eastAsia" w:ascii="仿宋" w:hAnsi="仿宋" w:eastAsia="仿宋" w:cs="仿宋"/>
          <w:color w:val="auto"/>
          <w:highlight w:val="none"/>
          <w:lang w:val="en-US"/>
        </w:rPr>
        <w:t>（http://www.ccgp-yunnan.gov.cn/）</w:t>
      </w:r>
      <w:r>
        <w:rPr>
          <w:rFonts w:hint="eastAsia" w:ascii="仿宋" w:hAnsi="仿宋" w:eastAsia="仿宋" w:cs="仿宋"/>
          <w:color w:val="auto"/>
          <w:highlight w:val="none"/>
        </w:rPr>
        <w:t>中发布的公告。</w:t>
      </w:r>
    </w:p>
    <w:p w14:paraId="1A7C0710">
      <w:pPr>
        <w:pStyle w:val="5"/>
        <w:ind w:firstLine="602"/>
        <w:rPr>
          <w:rFonts w:hint="eastAsia" w:ascii="仿宋" w:hAnsi="仿宋" w:eastAsia="仿宋" w:cs="仿宋"/>
          <w:color w:val="auto"/>
          <w:highlight w:val="none"/>
        </w:rPr>
      </w:pPr>
      <w:bookmarkStart w:id="115" w:name="_Toc3317"/>
      <w:bookmarkStart w:id="116" w:name="_Toc28374"/>
      <w:bookmarkStart w:id="117" w:name="_Toc163492837"/>
      <w:bookmarkStart w:id="118" w:name="_Toc155185872"/>
      <w:bookmarkStart w:id="119" w:name="_Toc13997"/>
      <w:r>
        <w:rPr>
          <w:rFonts w:hint="eastAsia" w:ascii="仿宋" w:hAnsi="仿宋" w:eastAsia="仿宋" w:cs="仿宋"/>
          <w:color w:val="auto"/>
          <w:highlight w:val="none"/>
        </w:rPr>
        <w:t>（三）投标文件</w:t>
      </w:r>
      <w:bookmarkEnd w:id="115"/>
      <w:bookmarkEnd w:id="116"/>
      <w:bookmarkEnd w:id="117"/>
      <w:bookmarkEnd w:id="118"/>
      <w:bookmarkEnd w:id="119"/>
    </w:p>
    <w:p w14:paraId="59660639">
      <w:pPr>
        <w:pStyle w:val="6"/>
        <w:ind w:left="560" w:leftChars="200" w:firstLine="0" w:firstLineChars="0"/>
        <w:rPr>
          <w:rFonts w:hint="eastAsia" w:ascii="仿宋" w:hAnsi="仿宋" w:eastAsia="仿宋" w:cs="仿宋"/>
          <w:color w:val="auto"/>
          <w:highlight w:val="none"/>
        </w:rPr>
      </w:pPr>
      <w:bookmarkStart w:id="120" w:name="_Toc163492838"/>
      <w:r>
        <w:rPr>
          <w:rFonts w:hint="eastAsia" w:ascii="仿宋" w:hAnsi="仿宋" w:eastAsia="仿宋" w:cs="仿宋"/>
          <w:color w:val="auto"/>
          <w:highlight w:val="none"/>
        </w:rPr>
        <w:t>14.投标文件的组成</w:t>
      </w:r>
      <w:bookmarkEnd w:id="120"/>
    </w:p>
    <w:p w14:paraId="1DA6064D">
      <w:pPr>
        <w:ind w:firstLine="560"/>
        <w:rPr>
          <w:rFonts w:hint="eastAsia" w:ascii="仿宋" w:hAnsi="仿宋" w:eastAsia="仿宋" w:cs="仿宋"/>
          <w:color w:val="auto"/>
          <w:highlight w:val="none"/>
        </w:rPr>
      </w:pPr>
      <w:bookmarkStart w:id="121" w:name="_Toc163492839"/>
      <w:bookmarkStart w:id="122" w:name="_Toc140132772"/>
      <w:r>
        <w:rPr>
          <w:rFonts w:hint="eastAsia" w:ascii="仿宋" w:hAnsi="仿宋" w:eastAsia="仿宋" w:cs="仿宋"/>
          <w:color w:val="auto"/>
          <w:highlight w:val="none"/>
        </w:rPr>
        <w:t>14.1</w:t>
      </w:r>
      <w:r>
        <w:rPr>
          <w:rFonts w:hint="eastAsia" w:ascii="仿宋" w:hAnsi="仿宋" w:eastAsia="仿宋" w:cs="仿宋"/>
          <w:color w:val="auto"/>
          <w:highlight w:val="none"/>
          <w:lang w:eastAsia="zh-CN"/>
        </w:rPr>
        <w:t>投标人</w:t>
      </w:r>
      <w:r>
        <w:rPr>
          <w:rFonts w:hint="eastAsia" w:ascii="仿宋" w:hAnsi="仿宋" w:eastAsia="仿宋" w:cs="仿宋"/>
          <w:color w:val="auto"/>
          <w:highlight w:val="none"/>
        </w:rPr>
        <w:t>应当按照</w:t>
      </w:r>
      <w:r>
        <w:rPr>
          <w:rFonts w:hint="eastAsia" w:ascii="仿宋" w:hAnsi="仿宋" w:eastAsia="仿宋" w:cs="仿宋"/>
          <w:color w:val="auto"/>
          <w:highlight w:val="none"/>
          <w:lang w:eastAsia="zh-CN"/>
        </w:rPr>
        <w:t>招标文件</w:t>
      </w:r>
      <w:r>
        <w:rPr>
          <w:rFonts w:hint="eastAsia" w:ascii="仿宋" w:hAnsi="仿宋" w:eastAsia="仿宋" w:cs="仿宋"/>
          <w:color w:val="auto"/>
          <w:highlight w:val="none"/>
        </w:rPr>
        <w:t>的要求编制投标文件。投标文件的部分格式要求见第七章 投标文件的格式。</w:t>
      </w:r>
    </w:p>
    <w:p w14:paraId="15E60B81">
      <w:pPr>
        <w:pStyle w:val="6"/>
        <w:ind w:left="560" w:leftChars="200" w:firstLine="0" w:firstLineChars="0"/>
        <w:rPr>
          <w:rFonts w:hint="eastAsia" w:ascii="仿宋" w:hAnsi="仿宋" w:eastAsia="仿宋" w:cs="仿宋"/>
          <w:color w:val="auto"/>
          <w:highlight w:val="none"/>
        </w:rPr>
      </w:pPr>
      <w:r>
        <w:rPr>
          <w:rFonts w:hint="eastAsia" w:ascii="仿宋" w:hAnsi="仿宋" w:eastAsia="仿宋" w:cs="仿宋"/>
          <w:color w:val="auto"/>
          <w:highlight w:val="none"/>
        </w:rPr>
        <w:t>15.投标报价</w:t>
      </w:r>
      <w:bookmarkEnd w:id="121"/>
      <w:bookmarkEnd w:id="122"/>
    </w:p>
    <w:p w14:paraId="4A5561E6">
      <w:pPr>
        <w:ind w:firstLine="560"/>
        <w:rPr>
          <w:rFonts w:hint="eastAsia" w:ascii="仿宋" w:hAnsi="仿宋" w:eastAsia="仿宋" w:cs="仿宋"/>
          <w:snapToGrid w:val="0"/>
          <w:color w:val="auto"/>
          <w:szCs w:val="24"/>
          <w:highlight w:val="none"/>
          <w:lang w:val="zh-CN"/>
        </w:rPr>
      </w:pPr>
      <w:r>
        <w:rPr>
          <w:rFonts w:hint="eastAsia" w:ascii="仿宋" w:hAnsi="仿宋" w:eastAsia="仿宋" w:cs="仿宋"/>
          <w:snapToGrid w:val="0"/>
          <w:color w:val="auto"/>
          <w:szCs w:val="24"/>
          <w:highlight w:val="none"/>
        </w:rPr>
        <w:t xml:space="preserve">15.1 </w:t>
      </w:r>
      <w:r>
        <w:rPr>
          <w:rFonts w:hint="eastAsia" w:ascii="仿宋" w:hAnsi="仿宋" w:eastAsia="仿宋" w:cs="仿宋"/>
          <w:snapToGrid w:val="0"/>
          <w:color w:val="auto"/>
          <w:szCs w:val="24"/>
          <w:highlight w:val="none"/>
          <w:lang w:val="zh-CN"/>
        </w:rPr>
        <w:t>投标人的报价均应以人民币进行报价。</w:t>
      </w:r>
    </w:p>
    <w:p w14:paraId="4F9926AA">
      <w:pPr>
        <w:ind w:firstLine="482"/>
        <w:rPr>
          <w:rFonts w:hint="eastAsia" w:ascii="仿宋" w:hAnsi="仿宋" w:eastAsia="仿宋" w:cs="仿宋"/>
          <w:snapToGrid w:val="0"/>
          <w:color w:val="auto"/>
          <w:szCs w:val="24"/>
          <w:highlight w:val="none"/>
        </w:rPr>
      </w:pPr>
      <w:r>
        <w:rPr>
          <w:rFonts w:hint="eastAsia" w:ascii="仿宋" w:hAnsi="仿宋" w:eastAsia="仿宋" w:cs="仿宋"/>
          <w:snapToGrid w:val="0"/>
          <w:color w:val="auto"/>
          <w:szCs w:val="24"/>
          <w:highlight w:val="none"/>
        </w:rPr>
        <w:t xml:space="preserve">15.2 </w:t>
      </w:r>
      <w:r>
        <w:rPr>
          <w:rFonts w:hint="eastAsia" w:ascii="仿宋" w:hAnsi="仿宋" w:eastAsia="仿宋" w:cs="仿宋"/>
          <w:snapToGrid w:val="0"/>
          <w:color w:val="auto"/>
          <w:szCs w:val="24"/>
          <w:highlight w:val="none"/>
          <w:lang w:eastAsia="zh-CN"/>
        </w:rPr>
        <w:t>投标人</w:t>
      </w:r>
      <w:r>
        <w:rPr>
          <w:rFonts w:hint="eastAsia" w:ascii="仿宋" w:hAnsi="仿宋" w:eastAsia="仿宋" w:cs="仿宋"/>
          <w:snapToGrid w:val="0"/>
          <w:color w:val="auto"/>
          <w:szCs w:val="24"/>
          <w:highlight w:val="none"/>
        </w:rPr>
        <w:t>应按照本</w:t>
      </w:r>
      <w:r>
        <w:rPr>
          <w:rFonts w:hint="eastAsia" w:ascii="仿宋" w:hAnsi="仿宋" w:eastAsia="仿宋" w:cs="仿宋"/>
          <w:snapToGrid w:val="0"/>
          <w:color w:val="auto"/>
          <w:szCs w:val="24"/>
          <w:highlight w:val="none"/>
          <w:lang w:eastAsia="zh-CN"/>
        </w:rPr>
        <w:t>招标文件</w:t>
      </w:r>
      <w:r>
        <w:rPr>
          <w:rFonts w:hint="eastAsia" w:ascii="仿宋" w:hAnsi="仿宋" w:eastAsia="仿宋" w:cs="仿宋"/>
          <w:snapToGrid w:val="0"/>
          <w:color w:val="auto"/>
          <w:szCs w:val="24"/>
          <w:highlight w:val="none"/>
        </w:rPr>
        <w:t>规定的报价方式进行报价，具体报价方式见“</w:t>
      </w:r>
      <w:r>
        <w:rPr>
          <w:rFonts w:hint="eastAsia" w:ascii="仿宋" w:hAnsi="仿宋" w:eastAsia="仿宋" w:cs="仿宋"/>
          <w:snapToGrid w:val="0"/>
          <w:color w:val="auto"/>
          <w:szCs w:val="24"/>
          <w:highlight w:val="none"/>
          <w:lang w:eastAsia="zh-CN"/>
        </w:rPr>
        <w:t>投标人</w:t>
      </w:r>
      <w:r>
        <w:rPr>
          <w:rFonts w:hint="eastAsia" w:ascii="仿宋" w:hAnsi="仿宋" w:eastAsia="仿宋" w:cs="仿宋"/>
          <w:snapToGrid w:val="0"/>
          <w:color w:val="auto"/>
          <w:szCs w:val="24"/>
          <w:highlight w:val="none"/>
        </w:rPr>
        <w:t>须知前附表”。投标报价中不得包含</w:t>
      </w:r>
      <w:r>
        <w:rPr>
          <w:rFonts w:hint="eastAsia" w:ascii="仿宋" w:hAnsi="仿宋" w:eastAsia="仿宋" w:cs="仿宋"/>
          <w:snapToGrid w:val="0"/>
          <w:color w:val="auto"/>
          <w:szCs w:val="24"/>
          <w:highlight w:val="none"/>
          <w:lang w:eastAsia="zh-CN"/>
        </w:rPr>
        <w:t>招标文件</w:t>
      </w:r>
      <w:r>
        <w:rPr>
          <w:rFonts w:hint="eastAsia" w:ascii="仿宋" w:hAnsi="仿宋" w:eastAsia="仿宋" w:cs="仿宋"/>
          <w:snapToGrid w:val="0"/>
          <w:color w:val="auto"/>
          <w:szCs w:val="24"/>
          <w:highlight w:val="none"/>
        </w:rPr>
        <w:t>要求以外的内容，否则，在评标时不予核减。投标报价中也不得遗漏</w:t>
      </w:r>
      <w:r>
        <w:rPr>
          <w:rFonts w:hint="eastAsia" w:ascii="仿宋" w:hAnsi="仿宋" w:eastAsia="仿宋" w:cs="仿宋"/>
          <w:snapToGrid w:val="0"/>
          <w:color w:val="auto"/>
          <w:szCs w:val="24"/>
          <w:highlight w:val="none"/>
          <w:lang w:eastAsia="zh-CN"/>
        </w:rPr>
        <w:t>招标文件</w:t>
      </w:r>
      <w:r>
        <w:rPr>
          <w:rFonts w:hint="eastAsia" w:ascii="仿宋" w:hAnsi="仿宋" w:eastAsia="仿宋" w:cs="仿宋"/>
          <w:snapToGrid w:val="0"/>
          <w:color w:val="auto"/>
          <w:szCs w:val="24"/>
          <w:highlight w:val="none"/>
        </w:rPr>
        <w:t>所要求的内容，否则，其</w:t>
      </w:r>
      <w:r>
        <w:rPr>
          <w:rFonts w:hint="eastAsia" w:ascii="仿宋" w:hAnsi="仿宋" w:eastAsia="仿宋" w:cs="仿宋"/>
          <w:b/>
          <w:bCs/>
          <w:snapToGrid w:val="0"/>
          <w:color w:val="auto"/>
          <w:szCs w:val="24"/>
          <w:highlight w:val="none"/>
        </w:rPr>
        <w:t>投标无效</w:t>
      </w:r>
      <w:r>
        <w:rPr>
          <w:rFonts w:hint="eastAsia" w:ascii="仿宋" w:hAnsi="仿宋" w:eastAsia="仿宋" w:cs="仿宋"/>
          <w:snapToGrid w:val="0"/>
          <w:color w:val="auto"/>
          <w:szCs w:val="24"/>
          <w:highlight w:val="none"/>
        </w:rPr>
        <w:t>。</w:t>
      </w:r>
    </w:p>
    <w:p w14:paraId="380BB02C">
      <w:pPr>
        <w:ind w:firstLine="560"/>
        <w:rPr>
          <w:rFonts w:hint="eastAsia" w:ascii="仿宋" w:hAnsi="仿宋" w:eastAsia="仿宋" w:cs="仿宋"/>
          <w:snapToGrid w:val="0"/>
          <w:color w:val="auto"/>
          <w:szCs w:val="24"/>
          <w:highlight w:val="none"/>
          <w:lang w:val="zh-CN"/>
        </w:rPr>
      </w:pPr>
      <w:r>
        <w:rPr>
          <w:rFonts w:hint="eastAsia" w:ascii="仿宋" w:hAnsi="仿宋" w:eastAsia="仿宋" w:cs="仿宋"/>
          <w:snapToGrid w:val="0"/>
          <w:color w:val="auto"/>
          <w:szCs w:val="24"/>
          <w:highlight w:val="none"/>
        </w:rPr>
        <w:t xml:space="preserve">15.3 </w:t>
      </w:r>
      <w:r>
        <w:rPr>
          <w:rFonts w:hint="eastAsia" w:ascii="仿宋" w:hAnsi="仿宋" w:eastAsia="仿宋" w:cs="仿宋"/>
          <w:snapToGrid w:val="0"/>
          <w:color w:val="auto"/>
          <w:szCs w:val="24"/>
          <w:highlight w:val="none"/>
          <w:lang w:val="zh-CN"/>
        </w:rPr>
        <w:t>投标人应根据本招标文件的规定和要求、市场价格水平及其走势、投标人的管理水平、投标人的方案和由这些因素决定的投标人之于本项目的成本水平等提出自己的报价。报价应合理，并包含完成本招标文件采购需求全部内容的所有费用，所有根据本招标文件或其他原因应由投标人支付的税款和其他应缴纳的费用都应包括在投标人提交的投标报价中。</w:t>
      </w:r>
    </w:p>
    <w:p w14:paraId="3F6CD292">
      <w:pPr>
        <w:ind w:firstLine="560"/>
        <w:rPr>
          <w:rFonts w:hint="eastAsia" w:ascii="仿宋" w:hAnsi="仿宋" w:eastAsia="仿宋" w:cs="仿宋"/>
          <w:snapToGrid w:val="0"/>
          <w:color w:val="auto"/>
          <w:szCs w:val="24"/>
          <w:highlight w:val="none"/>
        </w:rPr>
      </w:pPr>
      <w:r>
        <w:rPr>
          <w:rFonts w:hint="eastAsia" w:ascii="仿宋" w:hAnsi="仿宋" w:eastAsia="仿宋" w:cs="仿宋"/>
          <w:snapToGrid w:val="0"/>
          <w:color w:val="auto"/>
          <w:szCs w:val="24"/>
          <w:highlight w:val="none"/>
        </w:rPr>
        <w:t xml:space="preserve">15.4 </w:t>
      </w:r>
      <w:r>
        <w:rPr>
          <w:rFonts w:hint="eastAsia" w:ascii="仿宋" w:hAnsi="仿宋" w:eastAsia="仿宋" w:cs="仿宋"/>
          <w:snapToGrid w:val="0"/>
          <w:color w:val="auto"/>
          <w:szCs w:val="24"/>
          <w:highlight w:val="none"/>
          <w:lang w:eastAsia="zh-CN"/>
        </w:rPr>
        <w:t>投标人</w:t>
      </w:r>
      <w:r>
        <w:rPr>
          <w:rFonts w:hint="eastAsia" w:ascii="仿宋" w:hAnsi="仿宋" w:eastAsia="仿宋" w:cs="仿宋"/>
          <w:snapToGrid w:val="0"/>
          <w:color w:val="auto"/>
          <w:szCs w:val="24"/>
          <w:highlight w:val="none"/>
        </w:rPr>
        <w:t>在投标文件中注明免费的项目将视为包含在投标报价中。</w:t>
      </w:r>
    </w:p>
    <w:p w14:paraId="4C9F8C13">
      <w:pPr>
        <w:ind w:firstLine="482"/>
        <w:rPr>
          <w:rFonts w:hint="eastAsia" w:ascii="仿宋" w:hAnsi="仿宋" w:eastAsia="仿宋" w:cs="仿宋"/>
          <w:snapToGrid w:val="0"/>
          <w:color w:val="auto"/>
          <w:szCs w:val="24"/>
          <w:highlight w:val="none"/>
        </w:rPr>
      </w:pPr>
      <w:r>
        <w:rPr>
          <w:rFonts w:hint="eastAsia" w:ascii="仿宋" w:hAnsi="仿宋" w:eastAsia="仿宋" w:cs="仿宋"/>
          <w:snapToGrid w:val="0"/>
          <w:color w:val="auto"/>
          <w:szCs w:val="24"/>
          <w:highlight w:val="none"/>
        </w:rPr>
        <w:t>15.5 每一种采购内容只允许有一个报价，否则其</w:t>
      </w:r>
      <w:r>
        <w:rPr>
          <w:rFonts w:hint="eastAsia" w:ascii="仿宋" w:hAnsi="仿宋" w:eastAsia="仿宋" w:cs="仿宋"/>
          <w:b/>
          <w:bCs/>
          <w:snapToGrid w:val="0"/>
          <w:color w:val="auto"/>
          <w:szCs w:val="24"/>
          <w:highlight w:val="none"/>
        </w:rPr>
        <w:t>投标无效</w:t>
      </w:r>
      <w:r>
        <w:rPr>
          <w:rFonts w:hint="eastAsia" w:ascii="仿宋" w:hAnsi="仿宋" w:eastAsia="仿宋" w:cs="仿宋"/>
          <w:snapToGrid w:val="0"/>
          <w:color w:val="auto"/>
          <w:szCs w:val="24"/>
          <w:highlight w:val="none"/>
        </w:rPr>
        <w:t>。</w:t>
      </w:r>
    </w:p>
    <w:p w14:paraId="4DCCB645">
      <w:pPr>
        <w:ind w:firstLine="560"/>
        <w:rPr>
          <w:rFonts w:hint="eastAsia" w:ascii="仿宋" w:hAnsi="仿宋" w:eastAsia="仿宋" w:cs="仿宋"/>
          <w:color w:val="auto"/>
          <w:szCs w:val="24"/>
          <w:highlight w:val="none"/>
        </w:rPr>
      </w:pPr>
      <w:r>
        <w:rPr>
          <w:rFonts w:hint="eastAsia" w:ascii="仿宋" w:hAnsi="仿宋" w:eastAsia="仿宋" w:cs="仿宋"/>
          <w:color w:val="auto"/>
          <w:szCs w:val="24"/>
          <w:highlight w:val="none"/>
        </w:rPr>
        <w:t>15.6投标报价不得超过</w:t>
      </w:r>
      <w:r>
        <w:rPr>
          <w:rFonts w:hint="eastAsia" w:ascii="仿宋" w:hAnsi="仿宋" w:eastAsia="仿宋" w:cs="仿宋"/>
          <w:snapToGrid w:val="0"/>
          <w:color w:val="auto"/>
          <w:szCs w:val="24"/>
          <w:highlight w:val="none"/>
        </w:rPr>
        <w:t>“</w:t>
      </w:r>
      <w:r>
        <w:rPr>
          <w:rFonts w:hint="eastAsia" w:ascii="仿宋" w:hAnsi="仿宋" w:eastAsia="仿宋" w:cs="仿宋"/>
          <w:snapToGrid w:val="0"/>
          <w:color w:val="auto"/>
          <w:szCs w:val="24"/>
          <w:highlight w:val="none"/>
          <w:lang w:eastAsia="zh-CN"/>
        </w:rPr>
        <w:t>投标人</w:t>
      </w:r>
      <w:r>
        <w:rPr>
          <w:rFonts w:hint="eastAsia" w:ascii="仿宋" w:hAnsi="仿宋" w:eastAsia="仿宋" w:cs="仿宋"/>
          <w:snapToGrid w:val="0"/>
          <w:color w:val="auto"/>
          <w:szCs w:val="24"/>
          <w:highlight w:val="none"/>
        </w:rPr>
        <w:t>须知前附表”</w:t>
      </w:r>
      <w:r>
        <w:rPr>
          <w:rFonts w:hint="eastAsia" w:ascii="仿宋" w:hAnsi="仿宋" w:eastAsia="仿宋" w:cs="仿宋"/>
          <w:color w:val="auto"/>
          <w:szCs w:val="24"/>
          <w:highlight w:val="none"/>
        </w:rPr>
        <w:t>中规定的最高限价，否则评标委员会将否决其投标。</w:t>
      </w:r>
    </w:p>
    <w:p w14:paraId="617C2422">
      <w:pPr>
        <w:pStyle w:val="6"/>
        <w:ind w:left="560" w:leftChars="200" w:firstLine="0" w:firstLineChars="0"/>
        <w:rPr>
          <w:rFonts w:hint="eastAsia" w:ascii="仿宋" w:hAnsi="仿宋" w:eastAsia="仿宋" w:cs="仿宋"/>
          <w:color w:val="auto"/>
          <w:highlight w:val="none"/>
        </w:rPr>
      </w:pPr>
      <w:bookmarkStart w:id="123" w:name="_Toc140132773"/>
      <w:bookmarkStart w:id="124" w:name="_Toc163492840"/>
      <w:r>
        <w:rPr>
          <w:rFonts w:hint="eastAsia" w:ascii="仿宋" w:hAnsi="仿宋" w:eastAsia="仿宋" w:cs="仿宋"/>
          <w:color w:val="auto"/>
          <w:highlight w:val="none"/>
        </w:rPr>
        <w:t>16.投标有效期</w:t>
      </w:r>
      <w:bookmarkEnd w:id="123"/>
      <w:bookmarkEnd w:id="124"/>
    </w:p>
    <w:p w14:paraId="79811856">
      <w:pPr>
        <w:ind w:firstLine="482"/>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16.1 </w:t>
      </w:r>
      <w:r>
        <w:rPr>
          <w:rFonts w:hint="eastAsia" w:ascii="仿宋" w:hAnsi="仿宋" w:eastAsia="仿宋" w:cs="仿宋"/>
          <w:color w:val="auto"/>
          <w:kern w:val="0"/>
          <w:szCs w:val="21"/>
          <w:highlight w:val="none"/>
          <w:lang w:val="en"/>
        </w:rPr>
        <w:t>投标有效期</w:t>
      </w:r>
      <w:r>
        <w:rPr>
          <w:rFonts w:hint="eastAsia" w:ascii="仿宋" w:hAnsi="仿宋" w:eastAsia="仿宋" w:cs="仿宋"/>
          <w:color w:val="auto"/>
          <w:szCs w:val="24"/>
          <w:highlight w:val="none"/>
        </w:rPr>
        <w:t>见“</w:t>
      </w:r>
      <w:r>
        <w:rPr>
          <w:rFonts w:hint="eastAsia" w:ascii="仿宋" w:hAnsi="仿宋" w:eastAsia="仿宋" w:cs="仿宋"/>
          <w:color w:val="auto"/>
          <w:szCs w:val="24"/>
          <w:highlight w:val="none"/>
          <w:lang w:eastAsia="zh-CN"/>
        </w:rPr>
        <w:t>投标人</w:t>
      </w:r>
      <w:r>
        <w:rPr>
          <w:rFonts w:hint="eastAsia" w:ascii="仿宋" w:hAnsi="仿宋" w:eastAsia="仿宋" w:cs="仿宋"/>
          <w:color w:val="auto"/>
          <w:szCs w:val="24"/>
          <w:highlight w:val="none"/>
        </w:rPr>
        <w:t>须知前附表”，</w:t>
      </w:r>
      <w:r>
        <w:rPr>
          <w:rFonts w:hint="eastAsia" w:ascii="仿宋" w:hAnsi="仿宋" w:eastAsia="仿宋" w:cs="仿宋"/>
          <w:color w:val="auto"/>
          <w:szCs w:val="24"/>
          <w:highlight w:val="none"/>
          <w:lang w:eastAsia="zh-CN"/>
        </w:rPr>
        <w:t>投标人</w:t>
      </w:r>
      <w:r>
        <w:rPr>
          <w:rFonts w:hint="eastAsia" w:ascii="仿宋" w:hAnsi="仿宋" w:eastAsia="仿宋" w:cs="仿宋"/>
          <w:color w:val="auto"/>
          <w:szCs w:val="24"/>
          <w:highlight w:val="none"/>
        </w:rPr>
        <w:t>承诺的投标有效期不足的，其投标文件将被视为</w:t>
      </w:r>
      <w:r>
        <w:rPr>
          <w:rFonts w:hint="eastAsia" w:ascii="仿宋" w:hAnsi="仿宋" w:eastAsia="仿宋" w:cs="仿宋"/>
          <w:b/>
          <w:bCs/>
          <w:color w:val="auto"/>
          <w:szCs w:val="24"/>
          <w:highlight w:val="none"/>
        </w:rPr>
        <w:t>投标无效</w:t>
      </w:r>
      <w:r>
        <w:rPr>
          <w:rFonts w:hint="eastAsia" w:ascii="仿宋" w:hAnsi="仿宋" w:eastAsia="仿宋" w:cs="仿宋"/>
          <w:color w:val="auto"/>
          <w:szCs w:val="24"/>
          <w:highlight w:val="none"/>
        </w:rPr>
        <w:t>。</w:t>
      </w:r>
    </w:p>
    <w:p w14:paraId="0AC19AB2">
      <w:pPr>
        <w:ind w:firstLine="560"/>
        <w:rPr>
          <w:rFonts w:hint="eastAsia" w:ascii="仿宋" w:hAnsi="仿宋" w:eastAsia="仿宋" w:cs="仿宋"/>
          <w:color w:val="auto"/>
          <w:szCs w:val="24"/>
          <w:highlight w:val="none"/>
        </w:rPr>
      </w:pPr>
      <w:r>
        <w:rPr>
          <w:rFonts w:hint="eastAsia" w:ascii="仿宋" w:hAnsi="仿宋" w:eastAsia="仿宋" w:cs="仿宋"/>
          <w:color w:val="auto"/>
          <w:szCs w:val="24"/>
          <w:highlight w:val="none"/>
        </w:rPr>
        <w:t>16.2</w:t>
      </w:r>
      <w:r>
        <w:rPr>
          <w:rFonts w:hint="eastAsia" w:ascii="仿宋" w:hAnsi="仿宋" w:eastAsia="仿宋" w:cs="仿宋"/>
          <w:color w:val="auto"/>
          <w:szCs w:val="24"/>
          <w:highlight w:val="none"/>
          <w:lang w:val="en-US" w:eastAsia="zh-CN"/>
        </w:rPr>
        <w:t xml:space="preserve"> </w:t>
      </w:r>
      <w:r>
        <w:rPr>
          <w:rFonts w:hint="eastAsia" w:ascii="仿宋" w:hAnsi="仿宋" w:eastAsia="仿宋" w:cs="仿宋"/>
          <w:color w:val="auto"/>
          <w:szCs w:val="24"/>
          <w:highlight w:val="none"/>
        </w:rPr>
        <w:t>特殊情况下，在原投标文件有效期截止之前，采购代理机构或采购人可要求</w:t>
      </w:r>
      <w:r>
        <w:rPr>
          <w:rFonts w:hint="eastAsia" w:ascii="仿宋" w:hAnsi="仿宋" w:eastAsia="仿宋" w:cs="仿宋"/>
          <w:color w:val="auto"/>
          <w:szCs w:val="24"/>
          <w:highlight w:val="none"/>
          <w:lang w:eastAsia="zh-CN"/>
        </w:rPr>
        <w:t>投标人</w:t>
      </w:r>
      <w:r>
        <w:rPr>
          <w:rFonts w:hint="eastAsia" w:ascii="仿宋" w:hAnsi="仿宋" w:eastAsia="仿宋" w:cs="仿宋"/>
          <w:color w:val="auto"/>
          <w:szCs w:val="24"/>
          <w:highlight w:val="none"/>
        </w:rPr>
        <w:t>延长投标有效期。需要延长投标有效期时，采购代理机构或采购人将以书面形式通知所有</w:t>
      </w:r>
      <w:r>
        <w:rPr>
          <w:rFonts w:hint="eastAsia" w:ascii="仿宋" w:hAnsi="仿宋" w:eastAsia="仿宋" w:cs="仿宋"/>
          <w:color w:val="auto"/>
          <w:szCs w:val="24"/>
          <w:highlight w:val="none"/>
          <w:lang w:eastAsia="zh-CN"/>
        </w:rPr>
        <w:t>投标人</w:t>
      </w:r>
      <w:r>
        <w:rPr>
          <w:rFonts w:hint="eastAsia" w:ascii="仿宋" w:hAnsi="仿宋" w:eastAsia="仿宋" w:cs="仿宋"/>
          <w:color w:val="auto"/>
          <w:szCs w:val="24"/>
          <w:highlight w:val="none"/>
        </w:rPr>
        <w:t>，</w:t>
      </w:r>
      <w:r>
        <w:rPr>
          <w:rFonts w:hint="eastAsia" w:ascii="仿宋" w:hAnsi="仿宋" w:eastAsia="仿宋" w:cs="仿宋"/>
          <w:color w:val="auto"/>
          <w:szCs w:val="24"/>
          <w:highlight w:val="none"/>
          <w:lang w:eastAsia="zh-CN"/>
        </w:rPr>
        <w:t>投标人</w:t>
      </w:r>
      <w:r>
        <w:rPr>
          <w:rFonts w:hint="eastAsia" w:ascii="仿宋" w:hAnsi="仿宋" w:eastAsia="仿宋" w:cs="仿宋"/>
          <w:color w:val="auto"/>
          <w:szCs w:val="24"/>
          <w:highlight w:val="none"/>
        </w:rPr>
        <w:t>应以书面形式答复是否同意延长投标有效期。</w:t>
      </w:r>
    </w:p>
    <w:p w14:paraId="5FC26F84">
      <w:pPr>
        <w:ind w:firstLine="560"/>
        <w:rPr>
          <w:rFonts w:hint="eastAsia" w:ascii="仿宋" w:hAnsi="仿宋" w:eastAsia="仿宋" w:cs="仿宋"/>
          <w:color w:val="auto"/>
          <w:szCs w:val="24"/>
          <w:highlight w:val="none"/>
        </w:rPr>
      </w:pPr>
      <w:r>
        <w:rPr>
          <w:rFonts w:hint="eastAsia" w:ascii="仿宋" w:hAnsi="仿宋" w:eastAsia="仿宋" w:cs="仿宋"/>
          <w:color w:val="auto"/>
          <w:szCs w:val="24"/>
          <w:highlight w:val="none"/>
        </w:rPr>
        <w:t>16.3</w:t>
      </w:r>
      <w:r>
        <w:rPr>
          <w:rFonts w:hint="eastAsia" w:ascii="仿宋" w:hAnsi="仿宋" w:eastAsia="仿宋" w:cs="仿宋"/>
          <w:color w:val="auto"/>
          <w:szCs w:val="24"/>
          <w:highlight w:val="none"/>
          <w:lang w:eastAsia="zh-CN"/>
        </w:rPr>
        <w:t>投标人</w:t>
      </w:r>
      <w:r>
        <w:rPr>
          <w:rFonts w:hint="eastAsia" w:ascii="仿宋" w:hAnsi="仿宋" w:eastAsia="仿宋" w:cs="仿宋"/>
          <w:color w:val="auto"/>
          <w:szCs w:val="24"/>
          <w:highlight w:val="none"/>
        </w:rPr>
        <w:t>同意延长的，不得要求或被允许修改或撤销其投标文件；</w:t>
      </w:r>
      <w:r>
        <w:rPr>
          <w:rFonts w:hint="eastAsia" w:ascii="仿宋" w:hAnsi="仿宋" w:eastAsia="仿宋" w:cs="仿宋"/>
          <w:color w:val="auto"/>
          <w:szCs w:val="24"/>
          <w:highlight w:val="none"/>
          <w:lang w:eastAsia="zh-CN"/>
        </w:rPr>
        <w:t>投标人</w:t>
      </w:r>
      <w:r>
        <w:rPr>
          <w:rFonts w:hint="eastAsia" w:ascii="仿宋" w:hAnsi="仿宋" w:eastAsia="仿宋" w:cs="仿宋"/>
          <w:color w:val="auto"/>
          <w:szCs w:val="24"/>
          <w:highlight w:val="none"/>
        </w:rPr>
        <w:t>拒绝延长的，其投标文件在原投标有效期满后将不再有效。</w:t>
      </w:r>
    </w:p>
    <w:p w14:paraId="11FEC91C">
      <w:pPr>
        <w:pStyle w:val="6"/>
        <w:ind w:firstLine="562"/>
        <w:rPr>
          <w:rFonts w:hint="eastAsia" w:ascii="仿宋" w:hAnsi="仿宋" w:eastAsia="仿宋" w:cs="仿宋"/>
          <w:color w:val="auto"/>
          <w:highlight w:val="none"/>
        </w:rPr>
      </w:pPr>
      <w:bookmarkStart w:id="125" w:name="_Toc140132774"/>
      <w:bookmarkStart w:id="126" w:name="_Toc163492841"/>
      <w:r>
        <w:rPr>
          <w:rFonts w:hint="eastAsia" w:ascii="仿宋" w:hAnsi="仿宋" w:eastAsia="仿宋" w:cs="仿宋"/>
          <w:color w:val="auto"/>
          <w:highlight w:val="none"/>
        </w:rPr>
        <w:t>17.投标保证金</w:t>
      </w:r>
    </w:p>
    <w:p w14:paraId="733FA47E">
      <w:pPr>
        <w:ind w:firstLine="560"/>
        <w:rPr>
          <w:rFonts w:hint="eastAsia" w:ascii="仿宋" w:hAnsi="仿宋" w:eastAsia="仿宋" w:cs="仿宋"/>
          <w:color w:val="auto"/>
          <w:highlight w:val="none"/>
        </w:rPr>
      </w:pPr>
      <w:r>
        <w:rPr>
          <w:rFonts w:hint="eastAsia" w:ascii="仿宋" w:hAnsi="仿宋" w:eastAsia="仿宋" w:cs="仿宋"/>
          <w:color w:val="auto"/>
          <w:highlight w:val="none"/>
        </w:rPr>
        <w:t>17.1</w:t>
      </w: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lang w:eastAsia="zh-CN"/>
        </w:rPr>
        <w:t>投标人</w:t>
      </w:r>
      <w:r>
        <w:rPr>
          <w:rFonts w:hint="eastAsia" w:ascii="仿宋" w:hAnsi="仿宋" w:eastAsia="仿宋" w:cs="仿宋"/>
          <w:color w:val="auto"/>
          <w:highlight w:val="none"/>
        </w:rPr>
        <w:t>应按照“</w:t>
      </w:r>
      <w:r>
        <w:rPr>
          <w:rFonts w:hint="eastAsia" w:ascii="仿宋" w:hAnsi="仿宋" w:eastAsia="仿宋" w:cs="仿宋"/>
          <w:color w:val="auto"/>
          <w:highlight w:val="none"/>
          <w:lang w:eastAsia="zh-CN"/>
        </w:rPr>
        <w:t>投标人</w:t>
      </w:r>
      <w:r>
        <w:rPr>
          <w:rFonts w:hint="eastAsia" w:ascii="仿宋" w:hAnsi="仿宋" w:eastAsia="仿宋" w:cs="仿宋"/>
          <w:color w:val="auto"/>
          <w:highlight w:val="none"/>
        </w:rPr>
        <w:t>须知前附表”的规定提交投标保证金，并作为其投标文件的一部分。</w:t>
      </w:r>
    </w:p>
    <w:p w14:paraId="465A0A1F">
      <w:pPr>
        <w:ind w:firstLine="560"/>
        <w:rPr>
          <w:rFonts w:hint="eastAsia" w:ascii="仿宋" w:hAnsi="仿宋" w:eastAsia="仿宋" w:cs="仿宋"/>
          <w:color w:val="auto"/>
          <w:highlight w:val="none"/>
        </w:rPr>
      </w:pPr>
      <w:r>
        <w:rPr>
          <w:rFonts w:hint="eastAsia" w:ascii="仿宋" w:hAnsi="仿宋" w:eastAsia="仿宋" w:cs="仿宋"/>
          <w:color w:val="auto"/>
          <w:highlight w:val="none"/>
        </w:rPr>
        <w:t>17.2</w:t>
      </w: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rPr>
        <w:t>投标保证金是为了保护采购单位免遭因</w:t>
      </w:r>
      <w:r>
        <w:rPr>
          <w:rFonts w:hint="eastAsia" w:ascii="仿宋" w:hAnsi="仿宋" w:eastAsia="仿宋" w:cs="仿宋"/>
          <w:color w:val="auto"/>
          <w:highlight w:val="none"/>
          <w:lang w:eastAsia="zh-CN"/>
        </w:rPr>
        <w:t>投标人</w:t>
      </w:r>
      <w:r>
        <w:rPr>
          <w:rFonts w:hint="eastAsia" w:ascii="仿宋" w:hAnsi="仿宋" w:eastAsia="仿宋" w:cs="仿宋"/>
          <w:color w:val="auto"/>
          <w:highlight w:val="none"/>
        </w:rPr>
        <w:t>的行为蒙受损失而要求的。</w:t>
      </w:r>
    </w:p>
    <w:p w14:paraId="038ED1D7">
      <w:pPr>
        <w:ind w:firstLine="560"/>
        <w:rPr>
          <w:rFonts w:hint="eastAsia" w:ascii="仿宋" w:hAnsi="仿宋" w:eastAsia="仿宋" w:cs="仿宋"/>
          <w:color w:val="auto"/>
          <w:highlight w:val="none"/>
        </w:rPr>
      </w:pPr>
      <w:r>
        <w:rPr>
          <w:rFonts w:hint="eastAsia" w:ascii="仿宋" w:hAnsi="仿宋" w:eastAsia="仿宋" w:cs="仿宋"/>
          <w:color w:val="auto"/>
          <w:highlight w:val="none"/>
        </w:rPr>
        <w:t>下列任何情况发生，投标保证金不予退还：</w:t>
      </w:r>
    </w:p>
    <w:p w14:paraId="09E977D2">
      <w:pPr>
        <w:ind w:firstLine="562"/>
        <w:rPr>
          <w:rFonts w:hint="eastAsia" w:ascii="仿宋" w:hAnsi="仿宋" w:eastAsia="仿宋" w:cs="仿宋"/>
          <w:b/>
          <w:bCs/>
          <w:color w:val="auto"/>
          <w:highlight w:val="none"/>
        </w:rPr>
      </w:pPr>
      <w:r>
        <w:rPr>
          <w:rFonts w:hint="eastAsia" w:ascii="仿宋" w:hAnsi="仿宋" w:eastAsia="仿宋" w:cs="仿宋"/>
          <w:b/>
          <w:bCs/>
          <w:color w:val="auto"/>
          <w:highlight w:val="none"/>
        </w:rPr>
        <w:t>（一）</w:t>
      </w:r>
      <w:r>
        <w:rPr>
          <w:rFonts w:hint="eastAsia" w:ascii="仿宋" w:hAnsi="仿宋" w:eastAsia="仿宋" w:cs="仿宋"/>
          <w:b/>
          <w:bCs/>
          <w:color w:val="auto"/>
          <w:highlight w:val="none"/>
          <w:lang w:eastAsia="zh-CN"/>
        </w:rPr>
        <w:t>投标人</w:t>
      </w:r>
      <w:r>
        <w:rPr>
          <w:rFonts w:hint="eastAsia" w:ascii="仿宋" w:hAnsi="仿宋" w:eastAsia="仿宋" w:cs="仿宋"/>
          <w:b/>
          <w:bCs/>
          <w:color w:val="auto"/>
          <w:highlight w:val="none"/>
        </w:rPr>
        <w:t>在提交投标文件截止时间后撤回投标文件的；</w:t>
      </w:r>
    </w:p>
    <w:p w14:paraId="33184780">
      <w:pPr>
        <w:ind w:firstLine="562"/>
        <w:rPr>
          <w:rFonts w:hint="eastAsia" w:ascii="仿宋" w:hAnsi="仿宋" w:eastAsia="仿宋" w:cs="仿宋"/>
          <w:b/>
          <w:bCs/>
          <w:color w:val="auto"/>
          <w:highlight w:val="none"/>
        </w:rPr>
      </w:pPr>
      <w:r>
        <w:rPr>
          <w:rFonts w:hint="eastAsia" w:ascii="仿宋" w:hAnsi="仿宋" w:eastAsia="仿宋" w:cs="仿宋"/>
          <w:b/>
          <w:bCs/>
          <w:color w:val="auto"/>
          <w:highlight w:val="none"/>
        </w:rPr>
        <w:t>（二）</w:t>
      </w:r>
      <w:r>
        <w:rPr>
          <w:rFonts w:hint="eastAsia" w:ascii="仿宋" w:hAnsi="仿宋" w:eastAsia="仿宋" w:cs="仿宋"/>
          <w:b/>
          <w:bCs/>
          <w:color w:val="auto"/>
          <w:highlight w:val="none"/>
          <w:lang w:eastAsia="zh-CN"/>
        </w:rPr>
        <w:t>投标人</w:t>
      </w:r>
      <w:r>
        <w:rPr>
          <w:rFonts w:hint="eastAsia" w:ascii="仿宋" w:hAnsi="仿宋" w:eastAsia="仿宋" w:cs="仿宋"/>
          <w:b/>
          <w:bCs/>
          <w:color w:val="auto"/>
          <w:highlight w:val="none"/>
        </w:rPr>
        <w:t>在投标文件中提供虚假材料的；</w:t>
      </w:r>
    </w:p>
    <w:p w14:paraId="75127093">
      <w:pPr>
        <w:ind w:firstLine="562"/>
        <w:rPr>
          <w:rFonts w:hint="eastAsia" w:ascii="仿宋" w:hAnsi="仿宋" w:eastAsia="仿宋" w:cs="仿宋"/>
          <w:b/>
          <w:bCs/>
          <w:color w:val="auto"/>
          <w:highlight w:val="none"/>
        </w:rPr>
      </w:pPr>
      <w:r>
        <w:rPr>
          <w:rFonts w:hint="eastAsia" w:ascii="仿宋" w:hAnsi="仿宋" w:eastAsia="仿宋" w:cs="仿宋"/>
          <w:b/>
          <w:bCs/>
          <w:color w:val="auto"/>
          <w:highlight w:val="none"/>
        </w:rPr>
        <w:t>（三）除因不可抗力或</w:t>
      </w:r>
      <w:r>
        <w:rPr>
          <w:rFonts w:hint="eastAsia" w:ascii="仿宋" w:hAnsi="仿宋" w:eastAsia="仿宋" w:cs="仿宋"/>
          <w:b/>
          <w:bCs/>
          <w:color w:val="auto"/>
          <w:highlight w:val="none"/>
          <w:lang w:eastAsia="zh-CN"/>
        </w:rPr>
        <w:t>招标文件</w:t>
      </w:r>
      <w:r>
        <w:rPr>
          <w:rFonts w:hint="eastAsia" w:ascii="仿宋" w:hAnsi="仿宋" w:eastAsia="仿宋" w:cs="仿宋"/>
          <w:b/>
          <w:bCs/>
          <w:color w:val="auto"/>
          <w:highlight w:val="none"/>
        </w:rPr>
        <w:t>认可的情形以外，</w:t>
      </w:r>
      <w:r>
        <w:rPr>
          <w:rFonts w:hint="eastAsia" w:ascii="仿宋" w:hAnsi="仿宋" w:eastAsia="仿宋" w:cs="仿宋"/>
          <w:b/>
          <w:bCs/>
          <w:color w:val="auto"/>
          <w:highlight w:val="none"/>
          <w:lang w:eastAsia="zh-CN"/>
        </w:rPr>
        <w:t>中标人</w:t>
      </w:r>
      <w:r>
        <w:rPr>
          <w:rFonts w:hint="eastAsia" w:ascii="仿宋" w:hAnsi="仿宋" w:eastAsia="仿宋" w:cs="仿宋"/>
          <w:b/>
          <w:bCs/>
          <w:color w:val="auto"/>
          <w:highlight w:val="none"/>
        </w:rPr>
        <w:t>不与采购人签订合同的；</w:t>
      </w:r>
    </w:p>
    <w:p w14:paraId="0530FBF2">
      <w:pPr>
        <w:ind w:firstLine="562"/>
        <w:rPr>
          <w:rFonts w:hint="eastAsia" w:ascii="仿宋" w:hAnsi="仿宋" w:eastAsia="仿宋" w:cs="仿宋"/>
          <w:b/>
          <w:bCs/>
          <w:color w:val="auto"/>
          <w:highlight w:val="none"/>
        </w:rPr>
      </w:pPr>
      <w:r>
        <w:rPr>
          <w:rFonts w:hint="eastAsia" w:ascii="仿宋" w:hAnsi="仿宋" w:eastAsia="仿宋" w:cs="仿宋"/>
          <w:b/>
          <w:bCs/>
          <w:color w:val="auto"/>
          <w:highlight w:val="none"/>
        </w:rPr>
        <w:t>（四）</w:t>
      </w:r>
      <w:r>
        <w:rPr>
          <w:rFonts w:hint="eastAsia" w:ascii="仿宋" w:hAnsi="仿宋" w:eastAsia="仿宋" w:cs="仿宋"/>
          <w:b/>
          <w:bCs/>
          <w:color w:val="auto"/>
          <w:highlight w:val="none"/>
          <w:lang w:eastAsia="zh-CN"/>
        </w:rPr>
        <w:t>投标人</w:t>
      </w:r>
      <w:r>
        <w:rPr>
          <w:rFonts w:hint="eastAsia" w:ascii="仿宋" w:hAnsi="仿宋" w:eastAsia="仿宋" w:cs="仿宋"/>
          <w:b/>
          <w:bCs/>
          <w:color w:val="auto"/>
          <w:highlight w:val="none"/>
        </w:rPr>
        <w:t>与采购人、其他</w:t>
      </w:r>
      <w:r>
        <w:rPr>
          <w:rFonts w:hint="eastAsia" w:ascii="仿宋" w:hAnsi="仿宋" w:eastAsia="仿宋" w:cs="仿宋"/>
          <w:b/>
          <w:bCs/>
          <w:color w:val="auto"/>
          <w:highlight w:val="none"/>
          <w:lang w:eastAsia="zh-CN"/>
        </w:rPr>
        <w:t>投标人</w:t>
      </w:r>
      <w:r>
        <w:rPr>
          <w:rFonts w:hint="eastAsia" w:ascii="仿宋" w:hAnsi="仿宋" w:eastAsia="仿宋" w:cs="仿宋"/>
          <w:b/>
          <w:bCs/>
          <w:color w:val="auto"/>
          <w:highlight w:val="none"/>
        </w:rPr>
        <w:t>或者采购代理机构恶意串通的；</w:t>
      </w:r>
    </w:p>
    <w:p w14:paraId="6F1D6987">
      <w:pPr>
        <w:ind w:firstLine="562"/>
        <w:rPr>
          <w:rFonts w:hint="eastAsia" w:ascii="仿宋" w:hAnsi="仿宋" w:eastAsia="仿宋" w:cs="仿宋"/>
          <w:b/>
          <w:bCs/>
          <w:color w:val="auto"/>
          <w:highlight w:val="none"/>
        </w:rPr>
      </w:pPr>
      <w:r>
        <w:rPr>
          <w:rFonts w:hint="eastAsia" w:ascii="仿宋" w:hAnsi="仿宋" w:eastAsia="仿宋" w:cs="仿宋"/>
          <w:b/>
          <w:bCs/>
          <w:color w:val="auto"/>
          <w:highlight w:val="none"/>
        </w:rPr>
        <w:t>（五）</w:t>
      </w:r>
      <w:r>
        <w:rPr>
          <w:rFonts w:hint="eastAsia" w:cs="仿宋"/>
          <w:b/>
          <w:bCs/>
          <w:color w:val="auto"/>
          <w:highlight w:val="none"/>
          <w:lang w:val="en-US" w:eastAsia="zh-CN"/>
        </w:rPr>
        <w:t>法律法规及</w:t>
      </w:r>
      <w:r>
        <w:rPr>
          <w:rFonts w:hint="eastAsia" w:ascii="仿宋" w:hAnsi="仿宋" w:eastAsia="仿宋" w:cs="仿宋"/>
          <w:b/>
          <w:bCs/>
          <w:color w:val="auto"/>
          <w:highlight w:val="none"/>
          <w:lang w:eastAsia="zh-CN"/>
        </w:rPr>
        <w:t>招标文件</w:t>
      </w:r>
      <w:r>
        <w:rPr>
          <w:rFonts w:hint="eastAsia" w:ascii="仿宋" w:hAnsi="仿宋" w:eastAsia="仿宋" w:cs="仿宋"/>
          <w:b/>
          <w:bCs/>
          <w:color w:val="auto"/>
          <w:highlight w:val="none"/>
        </w:rPr>
        <w:t>规定的其他情形。</w:t>
      </w:r>
    </w:p>
    <w:p w14:paraId="06C97B25">
      <w:pPr>
        <w:ind w:firstLine="560"/>
        <w:rPr>
          <w:rFonts w:hint="eastAsia" w:ascii="仿宋" w:hAnsi="仿宋" w:eastAsia="仿宋" w:cs="仿宋"/>
          <w:color w:val="auto"/>
          <w:highlight w:val="none"/>
        </w:rPr>
      </w:pPr>
      <w:r>
        <w:rPr>
          <w:rFonts w:hint="eastAsia" w:ascii="仿宋" w:hAnsi="仿宋" w:eastAsia="仿宋" w:cs="仿宋"/>
          <w:color w:val="auto"/>
          <w:highlight w:val="none"/>
        </w:rPr>
        <w:t>17.3</w:t>
      </w: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rPr>
        <w:t>投标保证金应用报价货币，并采用“</w:t>
      </w:r>
      <w:r>
        <w:rPr>
          <w:rFonts w:hint="eastAsia" w:ascii="仿宋" w:hAnsi="仿宋" w:eastAsia="仿宋" w:cs="仿宋"/>
          <w:color w:val="auto"/>
          <w:highlight w:val="none"/>
          <w:lang w:eastAsia="zh-CN"/>
        </w:rPr>
        <w:t>投标人</w:t>
      </w:r>
      <w:r>
        <w:rPr>
          <w:rFonts w:hint="eastAsia" w:ascii="仿宋" w:hAnsi="仿宋" w:eastAsia="仿宋" w:cs="仿宋"/>
          <w:color w:val="auto"/>
          <w:highlight w:val="none"/>
        </w:rPr>
        <w:t>须知前附表”中规定的任何一种形式。</w:t>
      </w:r>
    </w:p>
    <w:p w14:paraId="41899B75">
      <w:pPr>
        <w:ind w:firstLine="560"/>
        <w:rPr>
          <w:rFonts w:hint="eastAsia" w:ascii="仿宋" w:hAnsi="仿宋" w:eastAsia="仿宋" w:cs="仿宋"/>
          <w:color w:val="auto"/>
          <w:highlight w:val="none"/>
        </w:rPr>
      </w:pPr>
      <w:r>
        <w:rPr>
          <w:rFonts w:hint="eastAsia" w:ascii="仿宋" w:hAnsi="仿宋" w:eastAsia="仿宋" w:cs="仿宋"/>
          <w:color w:val="auto"/>
          <w:highlight w:val="none"/>
        </w:rPr>
        <w:t>17.4</w:t>
      </w: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lang w:eastAsia="zh-CN"/>
        </w:rPr>
        <w:t>投标人</w:t>
      </w:r>
      <w:r>
        <w:rPr>
          <w:rFonts w:hint="eastAsia" w:ascii="仿宋" w:hAnsi="仿宋" w:eastAsia="仿宋" w:cs="仿宋"/>
          <w:color w:val="auto"/>
          <w:highlight w:val="none"/>
        </w:rPr>
        <w:t>没有根据</w:t>
      </w:r>
      <w:r>
        <w:rPr>
          <w:rFonts w:hint="eastAsia" w:ascii="仿宋" w:hAnsi="仿宋" w:eastAsia="仿宋" w:cs="仿宋"/>
          <w:color w:val="auto"/>
          <w:highlight w:val="none"/>
          <w:lang w:eastAsia="zh-CN"/>
        </w:rPr>
        <w:t>招标文件</w:t>
      </w:r>
      <w:r>
        <w:rPr>
          <w:rFonts w:hint="eastAsia" w:ascii="仿宋" w:hAnsi="仿宋" w:eastAsia="仿宋" w:cs="仿宋"/>
          <w:color w:val="auto"/>
          <w:highlight w:val="none"/>
        </w:rPr>
        <w:t>“</w:t>
      </w:r>
      <w:r>
        <w:rPr>
          <w:rFonts w:hint="eastAsia" w:ascii="仿宋" w:hAnsi="仿宋" w:eastAsia="仿宋" w:cs="仿宋"/>
          <w:color w:val="auto"/>
          <w:highlight w:val="none"/>
          <w:lang w:eastAsia="zh-CN"/>
        </w:rPr>
        <w:t>投标人</w:t>
      </w:r>
      <w:r>
        <w:rPr>
          <w:rFonts w:hint="eastAsia" w:ascii="仿宋" w:hAnsi="仿宋" w:eastAsia="仿宋" w:cs="仿宋"/>
          <w:color w:val="auto"/>
          <w:highlight w:val="none"/>
        </w:rPr>
        <w:t>须知”规定提交投标保证金的，将被认定为无效响应而予以拒绝。</w:t>
      </w:r>
    </w:p>
    <w:p w14:paraId="4B647407">
      <w:pPr>
        <w:ind w:firstLine="560"/>
        <w:rPr>
          <w:rFonts w:hint="eastAsia" w:ascii="仿宋" w:hAnsi="仿宋" w:eastAsia="仿宋" w:cs="仿宋"/>
          <w:b/>
          <w:bCs/>
          <w:color w:val="auto"/>
          <w:highlight w:val="none"/>
        </w:rPr>
      </w:pPr>
      <w:r>
        <w:rPr>
          <w:rFonts w:hint="eastAsia" w:ascii="仿宋" w:hAnsi="仿宋" w:eastAsia="仿宋" w:cs="仿宋"/>
          <w:color w:val="auto"/>
          <w:highlight w:val="none"/>
        </w:rPr>
        <w:t>17.</w:t>
      </w:r>
      <w:r>
        <w:rPr>
          <w:rFonts w:hint="eastAsia" w:ascii="仿宋" w:hAnsi="仿宋" w:eastAsia="仿宋" w:cs="仿宋"/>
          <w:b/>
          <w:bCs/>
          <w:color w:val="auto"/>
          <w:highlight w:val="none"/>
        </w:rPr>
        <w:t>5中标人的投标保证金，在与采购人签订书面政府采购合同后5个工作日内退还。未</w:t>
      </w:r>
      <w:r>
        <w:rPr>
          <w:rFonts w:hint="eastAsia" w:ascii="仿宋" w:hAnsi="仿宋" w:eastAsia="仿宋" w:cs="仿宋"/>
          <w:b/>
          <w:bCs/>
          <w:color w:val="auto"/>
          <w:highlight w:val="none"/>
          <w:lang w:eastAsia="zh-CN"/>
        </w:rPr>
        <w:t>中标人</w:t>
      </w:r>
      <w:r>
        <w:rPr>
          <w:rFonts w:hint="eastAsia" w:ascii="仿宋" w:hAnsi="仿宋" w:eastAsia="仿宋" w:cs="仿宋"/>
          <w:b/>
          <w:bCs/>
          <w:color w:val="auto"/>
          <w:highlight w:val="none"/>
        </w:rPr>
        <w:t>的投标保证金，将于中标通知书发出之日起5个工作日内退还。</w:t>
      </w:r>
    </w:p>
    <w:p w14:paraId="3C4201F6">
      <w:pPr>
        <w:pStyle w:val="6"/>
        <w:ind w:left="560" w:leftChars="200" w:firstLine="0" w:firstLineChars="0"/>
        <w:rPr>
          <w:rFonts w:hint="eastAsia" w:ascii="仿宋" w:hAnsi="仿宋" w:eastAsia="仿宋" w:cs="仿宋"/>
          <w:color w:val="auto"/>
          <w:highlight w:val="none"/>
        </w:rPr>
      </w:pPr>
      <w:r>
        <w:rPr>
          <w:rFonts w:hint="eastAsia" w:ascii="仿宋" w:hAnsi="仿宋" w:eastAsia="仿宋" w:cs="仿宋"/>
          <w:color w:val="auto"/>
          <w:highlight w:val="none"/>
        </w:rPr>
        <w:t>18.投标文件的编制</w:t>
      </w:r>
      <w:bookmarkEnd w:id="125"/>
      <w:bookmarkEnd w:id="126"/>
    </w:p>
    <w:p w14:paraId="6448A5E5">
      <w:pPr>
        <w:ind w:firstLine="560"/>
        <w:rPr>
          <w:rFonts w:hint="eastAsia" w:ascii="仿宋" w:hAnsi="仿宋" w:eastAsia="仿宋" w:cs="仿宋"/>
          <w:color w:val="auto"/>
          <w:szCs w:val="24"/>
          <w:highlight w:val="none"/>
        </w:rPr>
      </w:pPr>
      <w:r>
        <w:rPr>
          <w:rFonts w:hint="eastAsia" w:ascii="仿宋" w:hAnsi="仿宋" w:eastAsia="仿宋" w:cs="仿宋"/>
          <w:color w:val="auto"/>
          <w:szCs w:val="24"/>
          <w:highlight w:val="none"/>
        </w:rPr>
        <w:t>18.1投标文件的签署规定见“</w:t>
      </w:r>
      <w:r>
        <w:rPr>
          <w:rFonts w:hint="eastAsia" w:ascii="仿宋" w:hAnsi="仿宋" w:eastAsia="仿宋" w:cs="仿宋"/>
          <w:color w:val="auto"/>
          <w:szCs w:val="24"/>
          <w:highlight w:val="none"/>
          <w:lang w:eastAsia="zh-CN"/>
        </w:rPr>
        <w:t>投标人</w:t>
      </w:r>
      <w:r>
        <w:rPr>
          <w:rFonts w:hint="eastAsia" w:ascii="仿宋" w:hAnsi="仿宋" w:eastAsia="仿宋" w:cs="仿宋"/>
          <w:color w:val="auto"/>
          <w:szCs w:val="24"/>
          <w:highlight w:val="none"/>
        </w:rPr>
        <w:t>须知前附表”。</w:t>
      </w:r>
    </w:p>
    <w:p w14:paraId="4AF052D4">
      <w:pPr>
        <w:ind w:firstLine="560"/>
        <w:rPr>
          <w:rFonts w:hint="eastAsia" w:ascii="仿宋" w:hAnsi="仿宋" w:eastAsia="仿宋" w:cs="仿宋"/>
          <w:color w:val="auto"/>
          <w:szCs w:val="24"/>
          <w:highlight w:val="none"/>
        </w:rPr>
      </w:pPr>
      <w:r>
        <w:rPr>
          <w:rFonts w:hint="eastAsia" w:ascii="仿宋" w:hAnsi="仿宋" w:eastAsia="仿宋" w:cs="仿宋"/>
          <w:color w:val="auto"/>
          <w:highlight w:val="none"/>
        </w:rPr>
        <w:t>18.</w:t>
      </w:r>
      <w:bookmarkStart w:id="127" w:name="_Hlk143528557"/>
      <w:r>
        <w:rPr>
          <w:rFonts w:hint="eastAsia" w:ascii="仿宋" w:hAnsi="仿宋" w:eastAsia="仿宋" w:cs="仿宋"/>
          <w:color w:val="auto"/>
          <w:highlight w:val="none"/>
        </w:rPr>
        <w:t>2</w:t>
      </w:r>
      <w:r>
        <w:rPr>
          <w:rFonts w:hint="eastAsia" w:ascii="仿宋" w:hAnsi="仿宋" w:eastAsia="仿宋" w:cs="仿宋"/>
          <w:color w:val="auto"/>
          <w:szCs w:val="24"/>
          <w:highlight w:val="none"/>
        </w:rPr>
        <w:t>投标文件的上传</w:t>
      </w:r>
      <w:bookmarkEnd w:id="127"/>
      <w:r>
        <w:rPr>
          <w:rFonts w:hint="eastAsia" w:ascii="仿宋" w:hAnsi="仿宋" w:eastAsia="仿宋" w:cs="仿宋"/>
          <w:color w:val="auto"/>
          <w:szCs w:val="24"/>
          <w:highlight w:val="none"/>
        </w:rPr>
        <w:t>规定见“</w:t>
      </w:r>
      <w:r>
        <w:rPr>
          <w:rFonts w:hint="eastAsia" w:ascii="仿宋" w:hAnsi="仿宋" w:eastAsia="仿宋" w:cs="仿宋"/>
          <w:color w:val="auto"/>
          <w:szCs w:val="24"/>
          <w:highlight w:val="none"/>
          <w:lang w:eastAsia="zh-CN"/>
        </w:rPr>
        <w:t>投标人</w:t>
      </w:r>
      <w:r>
        <w:rPr>
          <w:rFonts w:hint="eastAsia" w:ascii="仿宋" w:hAnsi="仿宋" w:eastAsia="仿宋" w:cs="仿宋"/>
          <w:color w:val="auto"/>
          <w:szCs w:val="24"/>
          <w:highlight w:val="none"/>
        </w:rPr>
        <w:t>须知前附表”。</w:t>
      </w:r>
    </w:p>
    <w:p w14:paraId="2DCE5255">
      <w:pPr>
        <w:pStyle w:val="5"/>
        <w:ind w:firstLine="602"/>
        <w:rPr>
          <w:rFonts w:hint="eastAsia" w:ascii="仿宋" w:hAnsi="仿宋" w:eastAsia="仿宋" w:cs="仿宋"/>
          <w:color w:val="auto"/>
          <w:highlight w:val="none"/>
        </w:rPr>
      </w:pPr>
      <w:bookmarkStart w:id="128" w:name="_Toc14284"/>
      <w:bookmarkStart w:id="129" w:name="_Toc163492842"/>
      <w:bookmarkStart w:id="130" w:name="_Toc14686"/>
      <w:bookmarkStart w:id="131" w:name="_Toc17786"/>
      <w:bookmarkStart w:id="132" w:name="_Toc155185873"/>
      <w:r>
        <w:rPr>
          <w:rFonts w:hint="eastAsia" w:ascii="仿宋" w:hAnsi="仿宋" w:eastAsia="仿宋" w:cs="仿宋"/>
          <w:color w:val="auto"/>
          <w:highlight w:val="none"/>
        </w:rPr>
        <w:t>（四）投标</w:t>
      </w:r>
      <w:bookmarkEnd w:id="128"/>
      <w:bookmarkEnd w:id="129"/>
      <w:bookmarkEnd w:id="130"/>
      <w:bookmarkEnd w:id="131"/>
      <w:bookmarkEnd w:id="132"/>
    </w:p>
    <w:p w14:paraId="01221916">
      <w:pPr>
        <w:pStyle w:val="6"/>
        <w:ind w:left="560" w:leftChars="200" w:firstLine="0" w:firstLineChars="0"/>
        <w:rPr>
          <w:rFonts w:hint="eastAsia" w:ascii="仿宋" w:hAnsi="仿宋" w:eastAsia="仿宋" w:cs="仿宋"/>
          <w:color w:val="auto"/>
          <w:highlight w:val="none"/>
        </w:rPr>
      </w:pPr>
      <w:bookmarkStart w:id="133" w:name="_Toc163492843"/>
      <w:r>
        <w:rPr>
          <w:rFonts w:hint="eastAsia" w:ascii="仿宋" w:hAnsi="仿宋" w:eastAsia="仿宋" w:cs="仿宋"/>
          <w:color w:val="auto"/>
          <w:highlight w:val="none"/>
        </w:rPr>
        <w:t>19.投标文件的加密</w:t>
      </w:r>
      <w:bookmarkEnd w:id="133"/>
    </w:p>
    <w:p w14:paraId="6147C214">
      <w:pPr>
        <w:ind w:firstLine="560"/>
        <w:rPr>
          <w:rFonts w:hint="eastAsia" w:ascii="仿宋" w:hAnsi="仿宋" w:eastAsia="仿宋" w:cs="仿宋"/>
          <w:color w:val="auto"/>
          <w:szCs w:val="24"/>
          <w:highlight w:val="none"/>
          <w:u w:val="single"/>
        </w:rPr>
      </w:pPr>
      <w:bookmarkStart w:id="134" w:name="_Hlk143531864"/>
      <w:r>
        <w:rPr>
          <w:rFonts w:hint="eastAsia" w:ascii="仿宋" w:hAnsi="仿宋" w:eastAsia="仿宋" w:cs="仿宋"/>
          <w:color w:val="auto"/>
          <w:szCs w:val="24"/>
          <w:highlight w:val="none"/>
        </w:rPr>
        <w:t>19.1</w:t>
      </w:r>
      <w:r>
        <w:rPr>
          <w:rFonts w:hint="eastAsia" w:ascii="仿宋" w:hAnsi="仿宋" w:eastAsia="仿宋" w:cs="仿宋"/>
          <w:color w:val="auto"/>
          <w:szCs w:val="24"/>
          <w:highlight w:val="none"/>
          <w:lang w:eastAsia="zh-CN"/>
        </w:rPr>
        <w:t>投标人</w:t>
      </w:r>
      <w:r>
        <w:rPr>
          <w:rFonts w:hint="eastAsia" w:ascii="仿宋" w:hAnsi="仿宋" w:eastAsia="仿宋" w:cs="仿宋"/>
          <w:color w:val="auto"/>
          <w:szCs w:val="24"/>
          <w:highlight w:val="none"/>
        </w:rPr>
        <w:t>在</w:t>
      </w:r>
      <w:r>
        <w:rPr>
          <w:rFonts w:hint="eastAsia" w:ascii="仿宋" w:hAnsi="仿宋" w:eastAsia="仿宋" w:cs="仿宋"/>
          <w:color w:val="auto"/>
          <w:highlight w:val="none"/>
        </w:rPr>
        <w:t>“政采云投标客户端”</w:t>
      </w:r>
      <w:r>
        <w:rPr>
          <w:rFonts w:hint="eastAsia" w:ascii="仿宋" w:hAnsi="仿宋" w:eastAsia="仿宋" w:cs="仿宋"/>
          <w:color w:val="auto"/>
          <w:szCs w:val="24"/>
          <w:highlight w:val="none"/>
        </w:rPr>
        <w:t>中生成投标文件并完成签章之后，使用CA证书在</w:t>
      </w:r>
      <w:r>
        <w:rPr>
          <w:rFonts w:hint="eastAsia" w:ascii="仿宋" w:hAnsi="仿宋" w:eastAsia="仿宋" w:cs="仿宋"/>
          <w:color w:val="auto"/>
          <w:szCs w:val="24"/>
          <w:highlight w:val="none"/>
          <w:lang w:eastAsia="zh-CN"/>
        </w:rPr>
        <w:t>投标人</w:t>
      </w:r>
      <w:r>
        <w:rPr>
          <w:rFonts w:hint="eastAsia" w:ascii="仿宋" w:hAnsi="仿宋" w:eastAsia="仿宋" w:cs="仿宋"/>
          <w:color w:val="auto"/>
          <w:szCs w:val="24"/>
          <w:highlight w:val="none"/>
        </w:rPr>
        <w:t>客户端中对投标文件进行加密。</w:t>
      </w:r>
    </w:p>
    <w:p w14:paraId="76226882">
      <w:pPr>
        <w:ind w:firstLine="560"/>
        <w:rPr>
          <w:rFonts w:hint="eastAsia" w:ascii="仿宋" w:hAnsi="仿宋" w:eastAsia="仿宋" w:cs="仿宋"/>
          <w:color w:val="auto"/>
          <w:szCs w:val="24"/>
          <w:highlight w:val="none"/>
        </w:rPr>
      </w:pPr>
      <w:r>
        <w:rPr>
          <w:rFonts w:hint="eastAsia" w:ascii="仿宋" w:hAnsi="仿宋" w:eastAsia="仿宋" w:cs="仿宋"/>
          <w:color w:val="auto"/>
          <w:szCs w:val="24"/>
          <w:highlight w:val="none"/>
        </w:rPr>
        <w:t>19.2</w:t>
      </w:r>
      <w:r>
        <w:rPr>
          <w:rFonts w:hint="eastAsia" w:ascii="仿宋" w:hAnsi="仿宋" w:eastAsia="仿宋" w:cs="仿宋"/>
          <w:color w:val="auto"/>
          <w:szCs w:val="24"/>
          <w:highlight w:val="none"/>
          <w:lang w:eastAsia="zh-CN"/>
        </w:rPr>
        <w:t>投标人</w:t>
      </w:r>
      <w:r>
        <w:rPr>
          <w:rFonts w:hint="eastAsia" w:ascii="仿宋" w:hAnsi="仿宋" w:eastAsia="仿宋" w:cs="仿宋"/>
          <w:color w:val="auto"/>
          <w:szCs w:val="24"/>
          <w:highlight w:val="none"/>
        </w:rPr>
        <w:t>应在</w:t>
      </w:r>
      <w:r>
        <w:rPr>
          <w:rFonts w:hint="eastAsia" w:ascii="仿宋" w:hAnsi="仿宋" w:eastAsia="仿宋" w:cs="仿宋"/>
          <w:color w:val="auto"/>
          <w:highlight w:val="none"/>
        </w:rPr>
        <w:t>“政采云投标客户端”</w:t>
      </w:r>
      <w:r>
        <w:rPr>
          <w:rFonts w:hint="eastAsia" w:ascii="仿宋" w:hAnsi="仿宋" w:eastAsia="仿宋" w:cs="仿宋"/>
          <w:color w:val="auto"/>
          <w:szCs w:val="24"/>
          <w:highlight w:val="none"/>
        </w:rPr>
        <w:t>中对加密的投标文件进行解密验证，以防止投标文件加密异常，在开标时无法解密。</w:t>
      </w:r>
    </w:p>
    <w:p w14:paraId="46E8611A">
      <w:pPr>
        <w:ind w:firstLine="560"/>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19.3 </w:t>
      </w:r>
      <w:r>
        <w:rPr>
          <w:rFonts w:hint="eastAsia" w:ascii="仿宋" w:hAnsi="仿宋" w:eastAsia="仿宋" w:cs="仿宋"/>
          <w:color w:val="auto"/>
          <w:szCs w:val="24"/>
          <w:highlight w:val="none"/>
          <w:lang w:eastAsia="zh-CN"/>
        </w:rPr>
        <w:t>投标人</w:t>
      </w:r>
      <w:r>
        <w:rPr>
          <w:rFonts w:hint="eastAsia" w:ascii="仿宋" w:hAnsi="仿宋" w:eastAsia="仿宋" w:cs="仿宋"/>
          <w:color w:val="auto"/>
          <w:szCs w:val="24"/>
          <w:highlight w:val="none"/>
        </w:rPr>
        <w:t>应保证加密投标文件的CA证书有效期在开标时间之前。若CA证书有效期临近开标时间，建议</w:t>
      </w:r>
      <w:r>
        <w:rPr>
          <w:rFonts w:hint="eastAsia" w:ascii="仿宋" w:hAnsi="仿宋" w:eastAsia="仿宋" w:cs="仿宋"/>
          <w:color w:val="auto"/>
          <w:szCs w:val="24"/>
          <w:highlight w:val="none"/>
          <w:lang w:eastAsia="zh-CN"/>
        </w:rPr>
        <w:t>投标人</w:t>
      </w:r>
      <w:r>
        <w:rPr>
          <w:rFonts w:hint="eastAsia" w:ascii="仿宋" w:hAnsi="仿宋" w:eastAsia="仿宋" w:cs="仿宋"/>
          <w:color w:val="auto"/>
          <w:szCs w:val="24"/>
          <w:highlight w:val="none"/>
        </w:rPr>
        <w:t>提前办理CA证书续期，以免开标时无法进行解密。</w:t>
      </w:r>
    </w:p>
    <w:bookmarkEnd w:id="134"/>
    <w:p w14:paraId="637B8F18">
      <w:pPr>
        <w:pStyle w:val="6"/>
        <w:ind w:left="560" w:leftChars="200" w:firstLine="0" w:firstLineChars="0"/>
        <w:rPr>
          <w:rFonts w:hint="eastAsia" w:ascii="仿宋" w:hAnsi="仿宋" w:eastAsia="仿宋" w:cs="仿宋"/>
          <w:color w:val="auto"/>
          <w:highlight w:val="none"/>
        </w:rPr>
      </w:pPr>
      <w:bookmarkStart w:id="135" w:name="_Toc140132777"/>
      <w:bookmarkStart w:id="136" w:name="_Toc163492844"/>
      <w:r>
        <w:rPr>
          <w:rFonts w:hint="eastAsia" w:ascii="仿宋" w:hAnsi="仿宋" w:eastAsia="仿宋" w:cs="仿宋"/>
          <w:color w:val="auto"/>
          <w:highlight w:val="none"/>
        </w:rPr>
        <w:t>20.投标文件的递交</w:t>
      </w:r>
      <w:bookmarkEnd w:id="135"/>
      <w:r>
        <w:rPr>
          <w:rFonts w:hint="eastAsia" w:ascii="仿宋" w:hAnsi="仿宋" w:eastAsia="仿宋" w:cs="仿宋"/>
          <w:color w:val="auto"/>
          <w:highlight w:val="none"/>
        </w:rPr>
        <w:t>（上传）</w:t>
      </w:r>
      <w:bookmarkEnd w:id="136"/>
    </w:p>
    <w:p w14:paraId="745ACC78">
      <w:pPr>
        <w:ind w:firstLine="560"/>
        <w:rPr>
          <w:rFonts w:hint="eastAsia" w:ascii="仿宋" w:hAnsi="仿宋" w:eastAsia="仿宋" w:cs="仿宋"/>
          <w:color w:val="auto"/>
          <w:szCs w:val="24"/>
          <w:highlight w:val="none"/>
        </w:rPr>
      </w:pPr>
      <w:bookmarkStart w:id="137" w:name="_Hlk143531977"/>
      <w:r>
        <w:rPr>
          <w:rFonts w:hint="eastAsia" w:ascii="仿宋" w:hAnsi="仿宋" w:eastAsia="仿宋" w:cs="仿宋"/>
          <w:color w:val="auto"/>
          <w:szCs w:val="24"/>
          <w:highlight w:val="none"/>
        </w:rPr>
        <w:t xml:space="preserve">20.1 </w:t>
      </w:r>
      <w:r>
        <w:rPr>
          <w:rFonts w:hint="eastAsia" w:ascii="仿宋" w:hAnsi="仿宋" w:eastAsia="仿宋" w:cs="仿宋"/>
          <w:color w:val="auto"/>
          <w:szCs w:val="24"/>
          <w:highlight w:val="none"/>
          <w:lang w:eastAsia="zh-CN"/>
        </w:rPr>
        <w:t>投标人</w:t>
      </w:r>
      <w:r>
        <w:rPr>
          <w:rFonts w:hint="eastAsia" w:ascii="仿宋" w:hAnsi="仿宋" w:eastAsia="仿宋" w:cs="仿宋"/>
          <w:color w:val="auto"/>
          <w:szCs w:val="24"/>
          <w:highlight w:val="none"/>
        </w:rPr>
        <w:t>应在“</w:t>
      </w:r>
      <w:r>
        <w:rPr>
          <w:rFonts w:hint="eastAsia" w:ascii="仿宋" w:hAnsi="仿宋" w:eastAsia="仿宋" w:cs="仿宋"/>
          <w:color w:val="auto"/>
          <w:szCs w:val="24"/>
          <w:highlight w:val="none"/>
          <w:lang w:eastAsia="zh-CN"/>
        </w:rPr>
        <w:t>投标人</w:t>
      </w:r>
      <w:r>
        <w:rPr>
          <w:rFonts w:hint="eastAsia" w:ascii="仿宋" w:hAnsi="仿宋" w:eastAsia="仿宋" w:cs="仿宋"/>
          <w:color w:val="auto"/>
          <w:szCs w:val="24"/>
          <w:highlight w:val="none"/>
        </w:rPr>
        <w:t>须知前附表”规定的投标截止时间前递交（上传）投标文件。</w:t>
      </w:r>
    </w:p>
    <w:p w14:paraId="58CA455A">
      <w:pPr>
        <w:ind w:firstLine="560"/>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20.2 </w:t>
      </w:r>
      <w:r>
        <w:rPr>
          <w:rFonts w:hint="eastAsia" w:ascii="仿宋" w:hAnsi="仿宋" w:eastAsia="仿宋" w:cs="仿宋"/>
          <w:color w:val="auto"/>
          <w:szCs w:val="24"/>
          <w:highlight w:val="none"/>
          <w:lang w:eastAsia="zh-CN"/>
        </w:rPr>
        <w:t>投标人</w:t>
      </w:r>
      <w:r>
        <w:rPr>
          <w:rFonts w:hint="eastAsia" w:ascii="仿宋" w:hAnsi="仿宋" w:eastAsia="仿宋" w:cs="仿宋"/>
          <w:color w:val="auto"/>
          <w:szCs w:val="24"/>
          <w:highlight w:val="none"/>
        </w:rPr>
        <w:t>递交（上传）投标文件的地点见“</w:t>
      </w:r>
      <w:r>
        <w:rPr>
          <w:rFonts w:hint="eastAsia" w:ascii="仿宋" w:hAnsi="仿宋" w:eastAsia="仿宋" w:cs="仿宋"/>
          <w:color w:val="auto"/>
          <w:szCs w:val="24"/>
          <w:highlight w:val="none"/>
          <w:lang w:eastAsia="zh-CN"/>
        </w:rPr>
        <w:t>投标人</w:t>
      </w:r>
      <w:r>
        <w:rPr>
          <w:rFonts w:hint="eastAsia" w:ascii="仿宋" w:hAnsi="仿宋" w:eastAsia="仿宋" w:cs="仿宋"/>
          <w:color w:val="auto"/>
          <w:szCs w:val="24"/>
          <w:highlight w:val="none"/>
        </w:rPr>
        <w:t>须知前附表”。</w:t>
      </w:r>
    </w:p>
    <w:p w14:paraId="46C18B89">
      <w:pPr>
        <w:ind w:firstLine="560"/>
        <w:rPr>
          <w:rFonts w:hint="eastAsia" w:ascii="仿宋" w:hAnsi="仿宋" w:eastAsia="仿宋" w:cs="仿宋"/>
          <w:color w:val="auto"/>
          <w:szCs w:val="24"/>
          <w:highlight w:val="none"/>
        </w:rPr>
      </w:pPr>
      <w:r>
        <w:rPr>
          <w:rFonts w:hint="eastAsia" w:ascii="仿宋" w:hAnsi="仿宋" w:eastAsia="仿宋" w:cs="仿宋"/>
          <w:color w:val="auto"/>
          <w:szCs w:val="24"/>
          <w:highlight w:val="none"/>
        </w:rPr>
        <w:t>20.3</w:t>
      </w:r>
      <w:r>
        <w:rPr>
          <w:rFonts w:hint="eastAsia" w:ascii="仿宋" w:hAnsi="仿宋" w:eastAsia="仿宋" w:cs="仿宋"/>
          <w:color w:val="auto"/>
          <w:szCs w:val="24"/>
          <w:highlight w:val="none"/>
          <w:lang w:val="en-US" w:eastAsia="zh-CN"/>
        </w:rPr>
        <w:t xml:space="preserve"> </w:t>
      </w:r>
      <w:r>
        <w:rPr>
          <w:rFonts w:hint="eastAsia" w:ascii="仿宋" w:hAnsi="仿宋" w:eastAsia="仿宋" w:cs="仿宋"/>
          <w:color w:val="auto"/>
          <w:szCs w:val="24"/>
          <w:highlight w:val="none"/>
          <w:lang w:eastAsia="zh-CN"/>
        </w:rPr>
        <w:t>投标人</w:t>
      </w:r>
      <w:r>
        <w:rPr>
          <w:rFonts w:hint="eastAsia" w:ascii="仿宋" w:hAnsi="仿宋" w:eastAsia="仿宋" w:cs="仿宋"/>
          <w:color w:val="auto"/>
          <w:szCs w:val="24"/>
          <w:highlight w:val="none"/>
        </w:rPr>
        <w:t>应充分评估集中同时投标带来的网络影响，尽量避开投标高峰时间，错峰进行电子投标。</w:t>
      </w:r>
      <w:r>
        <w:rPr>
          <w:rFonts w:hint="eastAsia" w:ascii="仿宋" w:hAnsi="仿宋" w:eastAsia="仿宋" w:cs="仿宋"/>
          <w:color w:val="auto"/>
          <w:szCs w:val="24"/>
          <w:highlight w:val="none"/>
          <w:lang w:eastAsia="zh-CN"/>
        </w:rPr>
        <w:t>投标人</w:t>
      </w:r>
      <w:r>
        <w:rPr>
          <w:rFonts w:hint="eastAsia" w:ascii="仿宋" w:hAnsi="仿宋" w:eastAsia="仿宋" w:cs="仿宋"/>
          <w:color w:val="auto"/>
          <w:szCs w:val="24"/>
          <w:highlight w:val="none"/>
        </w:rPr>
        <w:t>递交全部的投标文件后可在递交投标文件的交易系统中获取投标文件递交回执单。</w:t>
      </w:r>
    </w:p>
    <w:p w14:paraId="5A535CDD">
      <w:pPr>
        <w:ind w:firstLine="560"/>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20.4 </w:t>
      </w:r>
      <w:r>
        <w:rPr>
          <w:rFonts w:hint="eastAsia" w:ascii="仿宋" w:hAnsi="仿宋" w:eastAsia="仿宋" w:cs="仿宋"/>
          <w:color w:val="auto"/>
          <w:szCs w:val="24"/>
          <w:highlight w:val="none"/>
          <w:lang w:eastAsia="zh-CN"/>
        </w:rPr>
        <w:t>投标人</w:t>
      </w:r>
      <w:r>
        <w:rPr>
          <w:rFonts w:hint="eastAsia" w:ascii="仿宋" w:hAnsi="仿宋" w:eastAsia="仿宋" w:cs="仿宋"/>
          <w:color w:val="auto"/>
          <w:szCs w:val="24"/>
          <w:highlight w:val="none"/>
        </w:rPr>
        <w:t>应在</w:t>
      </w:r>
      <w:r>
        <w:rPr>
          <w:rFonts w:hint="eastAsia" w:ascii="仿宋" w:hAnsi="仿宋" w:eastAsia="仿宋" w:cs="仿宋"/>
          <w:color w:val="auto"/>
          <w:highlight w:val="none"/>
        </w:rPr>
        <w:t>“政采云投标客户端”</w:t>
      </w:r>
      <w:r>
        <w:rPr>
          <w:rFonts w:hint="eastAsia" w:ascii="仿宋" w:hAnsi="仿宋" w:eastAsia="仿宋" w:cs="仿宋"/>
          <w:color w:val="auto"/>
          <w:szCs w:val="24"/>
          <w:highlight w:val="none"/>
        </w:rPr>
        <w:t>中下载未加密且完成签章的投标文件妥善保存，以便启动应急开标程序时使用。</w:t>
      </w:r>
    </w:p>
    <w:p w14:paraId="683DF595">
      <w:pPr>
        <w:ind w:firstLine="560"/>
        <w:rPr>
          <w:rFonts w:hint="eastAsia" w:ascii="仿宋" w:hAnsi="仿宋" w:eastAsia="仿宋" w:cs="仿宋"/>
          <w:color w:val="auto"/>
          <w:szCs w:val="24"/>
          <w:highlight w:val="none"/>
        </w:rPr>
      </w:pPr>
      <w:r>
        <w:rPr>
          <w:rFonts w:hint="eastAsia" w:ascii="仿宋" w:hAnsi="仿宋" w:eastAsia="仿宋" w:cs="仿宋"/>
          <w:color w:val="auto"/>
          <w:szCs w:val="24"/>
          <w:highlight w:val="none"/>
        </w:rPr>
        <w:t>20.5</w:t>
      </w:r>
      <w:r>
        <w:rPr>
          <w:rFonts w:hint="eastAsia" w:ascii="仿宋" w:hAnsi="仿宋" w:eastAsia="仿宋" w:cs="仿宋"/>
          <w:color w:val="auto"/>
          <w:szCs w:val="24"/>
          <w:highlight w:val="none"/>
          <w:lang w:eastAsia="zh-CN"/>
        </w:rPr>
        <w:t>投标人</w:t>
      </w:r>
      <w:r>
        <w:rPr>
          <w:rFonts w:hint="eastAsia" w:ascii="仿宋" w:hAnsi="仿宋" w:eastAsia="仿宋" w:cs="仿宋"/>
          <w:color w:val="auto"/>
          <w:szCs w:val="24"/>
          <w:highlight w:val="none"/>
        </w:rPr>
        <w:t>所递交的投标文件不予退还。</w:t>
      </w:r>
    </w:p>
    <w:bookmarkEnd w:id="137"/>
    <w:p w14:paraId="1199A5D3">
      <w:pPr>
        <w:pStyle w:val="6"/>
        <w:ind w:left="560" w:leftChars="200" w:firstLine="0" w:firstLineChars="0"/>
        <w:rPr>
          <w:rFonts w:hint="eastAsia" w:ascii="仿宋" w:hAnsi="仿宋" w:eastAsia="仿宋" w:cs="仿宋"/>
          <w:color w:val="auto"/>
          <w:highlight w:val="none"/>
        </w:rPr>
      </w:pPr>
      <w:bookmarkStart w:id="138" w:name="_Toc163492845"/>
      <w:r>
        <w:rPr>
          <w:rFonts w:hint="eastAsia" w:ascii="仿宋" w:hAnsi="仿宋" w:eastAsia="仿宋" w:cs="仿宋"/>
          <w:color w:val="auto"/>
          <w:highlight w:val="none"/>
        </w:rPr>
        <w:t>21.拒收</w:t>
      </w:r>
      <w:bookmarkEnd w:id="138"/>
    </w:p>
    <w:p w14:paraId="362BCF28">
      <w:pPr>
        <w:ind w:firstLine="560"/>
        <w:rPr>
          <w:rFonts w:hint="eastAsia" w:ascii="仿宋" w:hAnsi="仿宋" w:eastAsia="仿宋" w:cs="仿宋"/>
          <w:color w:val="auto"/>
          <w:szCs w:val="24"/>
          <w:highlight w:val="none"/>
        </w:rPr>
      </w:pPr>
      <w:r>
        <w:rPr>
          <w:rFonts w:hint="eastAsia" w:ascii="仿宋" w:hAnsi="仿宋" w:eastAsia="仿宋" w:cs="仿宋"/>
          <w:color w:val="auto"/>
          <w:szCs w:val="24"/>
          <w:highlight w:val="none"/>
        </w:rPr>
        <w:t>21.1 超过投标文件提交截止时间</w:t>
      </w:r>
      <w:bookmarkStart w:id="139" w:name="_Hlk143532404"/>
      <w:r>
        <w:rPr>
          <w:rFonts w:hint="eastAsia" w:ascii="仿宋" w:hAnsi="仿宋" w:eastAsia="仿宋" w:cs="仿宋"/>
          <w:color w:val="auto"/>
          <w:szCs w:val="24"/>
          <w:highlight w:val="none"/>
        </w:rPr>
        <w:t>或者不按照本章要求加密的投标文件，交易系统应当拒收</w:t>
      </w:r>
      <w:bookmarkEnd w:id="139"/>
      <w:r>
        <w:rPr>
          <w:rFonts w:hint="eastAsia" w:ascii="仿宋" w:hAnsi="仿宋" w:eastAsia="仿宋" w:cs="仿宋"/>
          <w:color w:val="auto"/>
          <w:szCs w:val="24"/>
          <w:highlight w:val="none"/>
        </w:rPr>
        <w:t>。</w:t>
      </w:r>
    </w:p>
    <w:p w14:paraId="5EB615AE">
      <w:pPr>
        <w:pStyle w:val="6"/>
        <w:ind w:left="560" w:leftChars="200" w:firstLine="0" w:firstLineChars="0"/>
        <w:rPr>
          <w:rFonts w:hint="eastAsia" w:ascii="仿宋" w:hAnsi="仿宋" w:eastAsia="仿宋" w:cs="仿宋"/>
          <w:color w:val="auto"/>
          <w:highlight w:val="none"/>
        </w:rPr>
      </w:pPr>
      <w:bookmarkStart w:id="140" w:name="_Toc163492846"/>
      <w:bookmarkStart w:id="141" w:name="_Toc140132778"/>
      <w:r>
        <w:rPr>
          <w:rFonts w:hint="eastAsia" w:ascii="仿宋" w:hAnsi="仿宋" w:eastAsia="仿宋" w:cs="仿宋"/>
          <w:color w:val="auto"/>
          <w:highlight w:val="none"/>
        </w:rPr>
        <w:t>22.投标文件的修改与撤回</w:t>
      </w:r>
      <w:bookmarkEnd w:id="140"/>
      <w:bookmarkEnd w:id="141"/>
    </w:p>
    <w:p w14:paraId="30C853F6">
      <w:pPr>
        <w:pStyle w:val="47"/>
        <w:ind w:firstLine="560"/>
        <w:rPr>
          <w:rFonts w:hint="eastAsia" w:ascii="仿宋" w:hAnsi="仿宋" w:eastAsia="仿宋" w:cs="仿宋"/>
          <w:color w:val="auto"/>
          <w:highlight w:val="none"/>
        </w:rPr>
      </w:pPr>
      <w:r>
        <w:rPr>
          <w:rFonts w:hint="eastAsia" w:ascii="仿宋" w:hAnsi="仿宋" w:eastAsia="仿宋" w:cs="仿宋"/>
          <w:color w:val="auto"/>
          <w:highlight w:val="none"/>
        </w:rPr>
        <w:t>2</w:t>
      </w:r>
      <w:r>
        <w:rPr>
          <w:rFonts w:hint="eastAsia" w:ascii="仿宋" w:hAnsi="仿宋" w:eastAsia="仿宋" w:cs="仿宋"/>
          <w:color w:val="auto"/>
          <w:highlight w:val="none"/>
          <w:lang w:val="en-US"/>
        </w:rPr>
        <w:t>2</w:t>
      </w:r>
      <w:r>
        <w:rPr>
          <w:rFonts w:hint="eastAsia" w:ascii="仿宋" w:hAnsi="仿宋" w:eastAsia="仿宋" w:cs="仿宋"/>
          <w:color w:val="auto"/>
          <w:highlight w:val="none"/>
        </w:rPr>
        <w:t xml:space="preserve">.1 </w:t>
      </w:r>
      <w:bookmarkStart w:id="142" w:name="_Hlk143532466"/>
      <w:r>
        <w:rPr>
          <w:rFonts w:hint="eastAsia" w:ascii="仿宋" w:hAnsi="仿宋" w:eastAsia="仿宋" w:cs="仿宋"/>
          <w:color w:val="auto"/>
          <w:highlight w:val="none"/>
        </w:rPr>
        <w:t>在投标截止时间前，</w:t>
      </w:r>
      <w:r>
        <w:rPr>
          <w:rFonts w:hint="eastAsia" w:ascii="仿宋" w:hAnsi="仿宋" w:eastAsia="仿宋" w:cs="仿宋"/>
          <w:color w:val="auto"/>
          <w:highlight w:val="none"/>
          <w:lang w:eastAsia="zh-CN"/>
        </w:rPr>
        <w:t>投标人</w:t>
      </w:r>
      <w:r>
        <w:rPr>
          <w:rFonts w:hint="eastAsia" w:ascii="仿宋" w:hAnsi="仿宋" w:eastAsia="仿宋" w:cs="仿宋"/>
          <w:color w:val="auto"/>
          <w:highlight w:val="none"/>
        </w:rPr>
        <w:t>可使用CA证书在递交投标文件的系统中撤回已提交的投标文件。投标文件撤回后，需重新递交的，</w:t>
      </w:r>
      <w:r>
        <w:rPr>
          <w:rFonts w:hint="eastAsia" w:ascii="仿宋" w:hAnsi="仿宋" w:eastAsia="仿宋" w:cs="仿宋"/>
          <w:color w:val="auto"/>
          <w:highlight w:val="none"/>
          <w:lang w:eastAsia="zh-CN"/>
        </w:rPr>
        <w:t>投标人</w:t>
      </w:r>
      <w:r>
        <w:rPr>
          <w:rFonts w:hint="eastAsia" w:ascii="仿宋" w:hAnsi="仿宋" w:eastAsia="仿宋" w:cs="仿宋"/>
          <w:color w:val="auto"/>
          <w:highlight w:val="none"/>
        </w:rPr>
        <w:t>按照本章第</w:t>
      </w:r>
      <w:r>
        <w:rPr>
          <w:rFonts w:hint="eastAsia" w:ascii="仿宋" w:hAnsi="仿宋" w:eastAsia="仿宋" w:cs="仿宋"/>
          <w:color w:val="auto"/>
          <w:highlight w:val="none"/>
          <w:lang w:val="en-US"/>
        </w:rPr>
        <w:t>20</w:t>
      </w:r>
      <w:r>
        <w:rPr>
          <w:rFonts w:hint="eastAsia" w:ascii="仿宋" w:hAnsi="仿宋" w:eastAsia="仿宋" w:cs="仿宋"/>
          <w:color w:val="auto"/>
          <w:highlight w:val="none"/>
        </w:rPr>
        <w:t>款中的要求重新提交投标文件。</w:t>
      </w:r>
      <w:bookmarkEnd w:id="142"/>
    </w:p>
    <w:p w14:paraId="45549945">
      <w:pPr>
        <w:pStyle w:val="6"/>
        <w:ind w:left="560" w:leftChars="200" w:firstLine="0" w:firstLineChars="0"/>
        <w:rPr>
          <w:rFonts w:hint="eastAsia" w:ascii="仿宋" w:hAnsi="仿宋" w:eastAsia="仿宋" w:cs="仿宋"/>
          <w:color w:val="auto"/>
          <w:highlight w:val="none"/>
        </w:rPr>
      </w:pPr>
      <w:bookmarkStart w:id="143" w:name="_Toc155185874"/>
      <w:bookmarkStart w:id="144" w:name="_Toc163492847"/>
      <w:r>
        <w:rPr>
          <w:rFonts w:hint="eastAsia" w:ascii="仿宋" w:hAnsi="仿宋" w:eastAsia="仿宋" w:cs="仿宋"/>
          <w:color w:val="auto"/>
          <w:highlight w:val="none"/>
        </w:rPr>
        <w:t>23.实物样品</w:t>
      </w:r>
      <w:bookmarkEnd w:id="143"/>
      <w:bookmarkEnd w:id="144"/>
    </w:p>
    <w:p w14:paraId="2AD0C957">
      <w:pPr>
        <w:pStyle w:val="47"/>
        <w:ind w:firstLine="560"/>
        <w:rPr>
          <w:rFonts w:hint="eastAsia" w:ascii="仿宋" w:hAnsi="仿宋" w:eastAsia="仿宋" w:cs="仿宋"/>
          <w:color w:val="auto"/>
          <w:highlight w:val="none"/>
        </w:rPr>
      </w:pPr>
      <w:r>
        <w:rPr>
          <w:rFonts w:hint="eastAsia" w:ascii="仿宋" w:hAnsi="仿宋" w:eastAsia="仿宋" w:cs="仿宋"/>
          <w:color w:val="auto"/>
          <w:highlight w:val="none"/>
        </w:rPr>
        <w:t>2</w:t>
      </w:r>
      <w:r>
        <w:rPr>
          <w:rFonts w:hint="eastAsia" w:ascii="仿宋" w:hAnsi="仿宋" w:eastAsia="仿宋" w:cs="仿宋"/>
          <w:color w:val="auto"/>
          <w:highlight w:val="none"/>
          <w:lang w:val="en-US"/>
        </w:rPr>
        <w:t>3</w:t>
      </w:r>
      <w:r>
        <w:rPr>
          <w:rFonts w:hint="eastAsia" w:ascii="仿宋" w:hAnsi="仿宋" w:eastAsia="仿宋" w:cs="仿宋"/>
          <w:color w:val="auto"/>
          <w:highlight w:val="none"/>
        </w:rPr>
        <w:t>.1</w:t>
      </w: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rPr>
        <w:t>“</w:t>
      </w:r>
      <w:r>
        <w:rPr>
          <w:rFonts w:hint="eastAsia" w:ascii="仿宋" w:hAnsi="仿宋" w:eastAsia="仿宋" w:cs="仿宋"/>
          <w:color w:val="auto"/>
          <w:highlight w:val="none"/>
          <w:lang w:eastAsia="zh-CN"/>
        </w:rPr>
        <w:t>投标人</w:t>
      </w:r>
      <w:r>
        <w:rPr>
          <w:rFonts w:hint="eastAsia" w:ascii="仿宋" w:hAnsi="仿宋" w:eastAsia="仿宋" w:cs="仿宋"/>
          <w:color w:val="auto"/>
          <w:highlight w:val="none"/>
        </w:rPr>
        <w:t xml:space="preserve">须知前附表”要求提供样品的，样品的具体要求及评审详见“第三章 </w:t>
      </w:r>
      <w:r>
        <w:rPr>
          <w:rFonts w:hint="eastAsia" w:ascii="仿宋" w:hAnsi="仿宋" w:eastAsia="仿宋" w:cs="仿宋"/>
          <w:color w:val="auto"/>
          <w:highlight w:val="none"/>
          <w:lang w:eastAsia="zh-CN"/>
        </w:rPr>
        <w:t>采购需求</w:t>
      </w:r>
      <w:r>
        <w:rPr>
          <w:rFonts w:hint="eastAsia" w:ascii="仿宋" w:hAnsi="仿宋" w:eastAsia="仿宋" w:cs="仿宋"/>
          <w:color w:val="auto"/>
          <w:highlight w:val="none"/>
        </w:rPr>
        <w:t>”和“第五章 评标办法及标准”。</w:t>
      </w:r>
    </w:p>
    <w:p w14:paraId="79490B65">
      <w:pPr>
        <w:pStyle w:val="47"/>
        <w:ind w:firstLine="560"/>
        <w:rPr>
          <w:rFonts w:hint="eastAsia" w:ascii="仿宋" w:hAnsi="仿宋" w:eastAsia="仿宋" w:cs="仿宋"/>
          <w:b w:val="0"/>
          <w:bCs w:val="0"/>
          <w:color w:val="auto"/>
          <w:szCs w:val="24"/>
          <w:highlight w:val="none"/>
        </w:rPr>
      </w:pPr>
      <w:r>
        <w:rPr>
          <w:rFonts w:hint="eastAsia" w:ascii="仿宋" w:hAnsi="仿宋" w:eastAsia="仿宋" w:cs="仿宋"/>
          <w:b w:val="0"/>
          <w:bCs w:val="0"/>
          <w:color w:val="auto"/>
          <w:highlight w:val="none"/>
        </w:rPr>
        <w:t>2</w:t>
      </w:r>
      <w:r>
        <w:rPr>
          <w:rFonts w:hint="eastAsia" w:ascii="仿宋" w:hAnsi="仿宋" w:eastAsia="仿宋" w:cs="仿宋"/>
          <w:b w:val="0"/>
          <w:bCs w:val="0"/>
          <w:color w:val="auto"/>
          <w:highlight w:val="none"/>
          <w:lang w:val="en-US"/>
        </w:rPr>
        <w:t>3</w:t>
      </w:r>
      <w:r>
        <w:rPr>
          <w:rFonts w:hint="eastAsia" w:ascii="仿宋" w:hAnsi="仿宋" w:eastAsia="仿宋" w:cs="仿宋"/>
          <w:b w:val="0"/>
          <w:bCs w:val="0"/>
          <w:color w:val="auto"/>
          <w:highlight w:val="none"/>
        </w:rPr>
        <w:t>.2</w:t>
      </w:r>
      <w:r>
        <w:rPr>
          <w:rFonts w:hint="eastAsia" w:ascii="仿宋" w:hAnsi="仿宋" w:eastAsia="仿宋" w:cs="仿宋"/>
          <w:b w:val="0"/>
          <w:bCs w:val="0"/>
          <w:color w:val="auto"/>
          <w:highlight w:val="none"/>
          <w:lang w:val="en-US" w:eastAsia="zh-CN"/>
        </w:rPr>
        <w:t xml:space="preserve"> </w:t>
      </w:r>
      <w:r>
        <w:rPr>
          <w:rFonts w:hint="eastAsia" w:ascii="仿宋" w:hAnsi="仿宋" w:eastAsia="仿宋" w:cs="仿宋"/>
          <w:b w:val="0"/>
          <w:bCs w:val="0"/>
          <w:color w:val="auto"/>
          <w:highlight w:val="none"/>
        </w:rPr>
        <w:t>样品退还：未中标的</w:t>
      </w:r>
      <w:r>
        <w:rPr>
          <w:rFonts w:hint="eastAsia" w:ascii="仿宋" w:hAnsi="仿宋" w:eastAsia="仿宋" w:cs="仿宋"/>
          <w:b w:val="0"/>
          <w:bCs w:val="0"/>
          <w:color w:val="auto"/>
          <w:highlight w:val="none"/>
          <w:lang w:eastAsia="zh-CN"/>
        </w:rPr>
        <w:t>投标人</w:t>
      </w:r>
      <w:r>
        <w:rPr>
          <w:rFonts w:hint="eastAsia" w:ascii="仿宋" w:hAnsi="仿宋" w:eastAsia="仿宋" w:cs="仿宋"/>
          <w:b w:val="0"/>
          <w:bCs w:val="0"/>
          <w:color w:val="auto"/>
          <w:highlight w:val="none"/>
        </w:rPr>
        <w:t>应于中标结果公告发布之日起10日内自行联系采购</w:t>
      </w:r>
      <w:r>
        <w:rPr>
          <w:rFonts w:hint="eastAsia" w:ascii="仿宋" w:hAnsi="仿宋" w:eastAsia="仿宋" w:cs="仿宋"/>
          <w:b w:val="0"/>
          <w:bCs w:val="0"/>
          <w:color w:val="auto"/>
          <w:highlight w:val="none"/>
          <w:lang w:val="en-US" w:eastAsia="zh-CN"/>
        </w:rPr>
        <w:t>代理机构</w:t>
      </w:r>
      <w:r>
        <w:rPr>
          <w:rFonts w:hint="eastAsia" w:ascii="仿宋" w:hAnsi="仿宋" w:eastAsia="仿宋" w:cs="仿宋"/>
          <w:b w:val="0"/>
          <w:bCs w:val="0"/>
          <w:color w:val="auto"/>
          <w:highlight w:val="none"/>
        </w:rPr>
        <w:t>取回投标样品；中标人的样品由采购人进行保管、封存，并作为履约验收的参考（</w:t>
      </w:r>
      <w:r>
        <w:rPr>
          <w:rFonts w:hint="eastAsia" w:ascii="仿宋" w:hAnsi="仿宋" w:eastAsia="仿宋" w:cs="仿宋"/>
          <w:b w:val="0"/>
          <w:bCs w:val="0"/>
          <w:color w:val="auto"/>
          <w:highlight w:val="none"/>
          <w:lang w:eastAsia="zh-CN"/>
        </w:rPr>
        <w:t>招标文件</w:t>
      </w:r>
      <w:r>
        <w:rPr>
          <w:rFonts w:hint="eastAsia" w:ascii="仿宋" w:hAnsi="仿宋" w:eastAsia="仿宋" w:cs="仿宋"/>
          <w:b w:val="0"/>
          <w:bCs w:val="0"/>
          <w:color w:val="auto"/>
          <w:highlight w:val="none"/>
        </w:rPr>
        <w:t>另有规定的从其规定）。</w:t>
      </w:r>
    </w:p>
    <w:p w14:paraId="6099AF20">
      <w:pPr>
        <w:pStyle w:val="6"/>
        <w:ind w:left="560" w:leftChars="200" w:firstLine="0" w:firstLineChars="0"/>
        <w:rPr>
          <w:rFonts w:hint="eastAsia" w:ascii="仿宋" w:hAnsi="仿宋" w:eastAsia="仿宋" w:cs="仿宋"/>
          <w:color w:val="auto"/>
          <w:highlight w:val="none"/>
        </w:rPr>
      </w:pPr>
      <w:bookmarkStart w:id="145" w:name="_Toc163492848"/>
      <w:bookmarkStart w:id="146" w:name="_Toc155185875"/>
      <w:r>
        <w:rPr>
          <w:rFonts w:hint="eastAsia" w:ascii="仿宋" w:hAnsi="仿宋" w:eastAsia="仿宋" w:cs="仿宋"/>
          <w:color w:val="auto"/>
          <w:highlight w:val="none"/>
        </w:rPr>
        <w:t>24.演示</w:t>
      </w:r>
      <w:bookmarkEnd w:id="145"/>
      <w:bookmarkEnd w:id="146"/>
    </w:p>
    <w:p w14:paraId="53B5891B">
      <w:pPr>
        <w:pStyle w:val="47"/>
        <w:ind w:firstLine="560"/>
        <w:rPr>
          <w:rFonts w:hint="eastAsia" w:ascii="仿宋" w:hAnsi="仿宋" w:eastAsia="仿宋" w:cs="仿宋"/>
          <w:color w:val="auto"/>
          <w:highlight w:val="none"/>
        </w:rPr>
      </w:pPr>
      <w:r>
        <w:rPr>
          <w:rFonts w:hint="eastAsia" w:ascii="仿宋" w:hAnsi="仿宋" w:eastAsia="仿宋" w:cs="仿宋"/>
          <w:color w:val="auto"/>
          <w:highlight w:val="none"/>
        </w:rPr>
        <w:t>2</w:t>
      </w:r>
      <w:r>
        <w:rPr>
          <w:rFonts w:hint="eastAsia" w:ascii="仿宋" w:hAnsi="仿宋" w:eastAsia="仿宋" w:cs="仿宋"/>
          <w:color w:val="auto"/>
          <w:highlight w:val="none"/>
          <w:lang w:val="en-US"/>
        </w:rPr>
        <w:t>4</w:t>
      </w:r>
      <w:r>
        <w:rPr>
          <w:rFonts w:hint="eastAsia" w:ascii="仿宋" w:hAnsi="仿宋" w:eastAsia="仿宋" w:cs="仿宋"/>
          <w:color w:val="auto"/>
          <w:highlight w:val="none"/>
        </w:rPr>
        <w:t>.1</w:t>
      </w: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rPr>
        <w:t>要求</w:t>
      </w:r>
      <w:r>
        <w:rPr>
          <w:rFonts w:hint="eastAsia" w:ascii="仿宋" w:hAnsi="仿宋" w:eastAsia="仿宋" w:cs="仿宋"/>
          <w:color w:val="auto"/>
          <w:highlight w:val="none"/>
          <w:lang w:eastAsia="zh-CN"/>
        </w:rPr>
        <w:t>投标人</w:t>
      </w:r>
      <w:r>
        <w:rPr>
          <w:rFonts w:hint="eastAsia" w:ascii="仿宋" w:hAnsi="仿宋" w:eastAsia="仿宋" w:cs="仿宋"/>
          <w:color w:val="auto"/>
          <w:highlight w:val="none"/>
        </w:rPr>
        <w:t>进行演示的，演示要求详见“</w:t>
      </w:r>
      <w:r>
        <w:rPr>
          <w:rFonts w:hint="eastAsia" w:ascii="仿宋" w:hAnsi="仿宋" w:eastAsia="仿宋" w:cs="仿宋"/>
          <w:color w:val="auto"/>
          <w:highlight w:val="none"/>
          <w:lang w:eastAsia="zh-CN"/>
        </w:rPr>
        <w:t>投标人</w:t>
      </w:r>
      <w:r>
        <w:rPr>
          <w:rFonts w:hint="eastAsia" w:ascii="仿宋" w:hAnsi="仿宋" w:eastAsia="仿宋" w:cs="仿宋"/>
          <w:color w:val="auto"/>
          <w:highlight w:val="none"/>
        </w:rPr>
        <w:t>须知前附表”。</w:t>
      </w:r>
    </w:p>
    <w:p w14:paraId="0D049D89">
      <w:pPr>
        <w:pStyle w:val="47"/>
        <w:ind w:firstLine="560"/>
        <w:rPr>
          <w:rFonts w:hint="eastAsia" w:ascii="仿宋" w:hAnsi="仿宋" w:eastAsia="仿宋" w:cs="仿宋"/>
          <w:color w:val="auto"/>
          <w:highlight w:val="none"/>
        </w:rPr>
      </w:pPr>
      <w:r>
        <w:rPr>
          <w:rFonts w:hint="eastAsia" w:ascii="仿宋" w:hAnsi="仿宋" w:eastAsia="仿宋" w:cs="仿宋"/>
          <w:color w:val="auto"/>
          <w:highlight w:val="none"/>
        </w:rPr>
        <w:t>2</w:t>
      </w:r>
      <w:r>
        <w:rPr>
          <w:rFonts w:hint="eastAsia" w:ascii="仿宋" w:hAnsi="仿宋" w:eastAsia="仿宋" w:cs="仿宋"/>
          <w:color w:val="auto"/>
          <w:highlight w:val="none"/>
          <w:lang w:val="en-US"/>
        </w:rPr>
        <w:t>4</w:t>
      </w:r>
      <w:r>
        <w:rPr>
          <w:rFonts w:hint="eastAsia" w:ascii="仿宋" w:hAnsi="仿宋" w:eastAsia="仿宋" w:cs="仿宋"/>
          <w:color w:val="auto"/>
          <w:highlight w:val="none"/>
        </w:rPr>
        <w:t>.2</w:t>
      </w: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rPr>
        <w:t>演示的</w:t>
      </w:r>
      <w:r>
        <w:rPr>
          <w:rFonts w:hint="eastAsia" w:ascii="仿宋" w:hAnsi="仿宋" w:eastAsia="仿宋" w:cs="仿宋"/>
          <w:color w:val="auto"/>
          <w:highlight w:val="none"/>
          <w:lang w:val="en-US" w:eastAsia="zh-CN"/>
        </w:rPr>
        <w:t>要求</w:t>
      </w:r>
      <w:r>
        <w:rPr>
          <w:rFonts w:hint="eastAsia" w:ascii="仿宋" w:hAnsi="仿宋" w:eastAsia="仿宋" w:cs="仿宋"/>
          <w:color w:val="auto"/>
          <w:highlight w:val="none"/>
        </w:rPr>
        <w:t xml:space="preserve">详见“第三章 </w:t>
      </w:r>
      <w:r>
        <w:rPr>
          <w:rFonts w:hint="eastAsia" w:ascii="仿宋" w:hAnsi="仿宋" w:eastAsia="仿宋" w:cs="仿宋"/>
          <w:color w:val="auto"/>
          <w:highlight w:val="none"/>
          <w:lang w:eastAsia="zh-CN"/>
        </w:rPr>
        <w:t>采购需求</w:t>
      </w:r>
      <w:r>
        <w:rPr>
          <w:rFonts w:hint="eastAsia" w:ascii="仿宋" w:hAnsi="仿宋" w:eastAsia="仿宋" w:cs="仿宋"/>
          <w:color w:val="auto"/>
          <w:highlight w:val="none"/>
        </w:rPr>
        <w:t>”。</w:t>
      </w:r>
    </w:p>
    <w:p w14:paraId="0F1DC798">
      <w:pPr>
        <w:pStyle w:val="47"/>
        <w:ind w:firstLine="560"/>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24.3 </w:t>
      </w:r>
      <w:r>
        <w:rPr>
          <w:rFonts w:hint="eastAsia" w:ascii="仿宋" w:hAnsi="仿宋" w:eastAsia="仿宋" w:cs="仿宋"/>
          <w:color w:val="auto"/>
          <w:highlight w:val="none"/>
        </w:rPr>
        <w:t>演示的评审</w:t>
      </w:r>
      <w:r>
        <w:rPr>
          <w:rFonts w:hint="eastAsia" w:ascii="仿宋" w:hAnsi="仿宋" w:eastAsia="仿宋" w:cs="仿宋"/>
          <w:color w:val="auto"/>
          <w:highlight w:val="none"/>
          <w:lang w:val="en-US" w:eastAsia="zh-CN"/>
        </w:rPr>
        <w:t>标准</w:t>
      </w:r>
      <w:r>
        <w:rPr>
          <w:rFonts w:hint="eastAsia" w:ascii="仿宋" w:hAnsi="仿宋" w:eastAsia="仿宋" w:cs="仿宋"/>
          <w:color w:val="auto"/>
          <w:highlight w:val="none"/>
        </w:rPr>
        <w:t>详见“第五章 评标办法及标准”。</w:t>
      </w:r>
    </w:p>
    <w:p w14:paraId="451BD8EF">
      <w:pPr>
        <w:pStyle w:val="5"/>
        <w:ind w:firstLine="602"/>
        <w:rPr>
          <w:rFonts w:hint="eastAsia" w:ascii="仿宋" w:hAnsi="仿宋" w:eastAsia="仿宋" w:cs="仿宋"/>
          <w:color w:val="auto"/>
          <w:highlight w:val="none"/>
        </w:rPr>
      </w:pPr>
      <w:bookmarkStart w:id="147" w:name="_Toc2166"/>
      <w:bookmarkStart w:id="148" w:name="_Toc140132779"/>
      <w:bookmarkStart w:id="149" w:name="_Toc1447"/>
      <w:bookmarkStart w:id="150" w:name="_Toc163492849"/>
      <w:bookmarkStart w:id="151" w:name="_Toc20612"/>
      <w:bookmarkStart w:id="152" w:name="_Toc155185876"/>
      <w:r>
        <w:rPr>
          <w:rFonts w:hint="eastAsia" w:ascii="仿宋" w:hAnsi="仿宋" w:eastAsia="仿宋" w:cs="仿宋"/>
          <w:color w:val="auto"/>
          <w:highlight w:val="none"/>
        </w:rPr>
        <w:t>（五）开标</w:t>
      </w:r>
      <w:bookmarkEnd w:id="147"/>
      <w:bookmarkEnd w:id="148"/>
      <w:bookmarkEnd w:id="149"/>
      <w:bookmarkEnd w:id="150"/>
      <w:bookmarkEnd w:id="151"/>
      <w:bookmarkEnd w:id="152"/>
    </w:p>
    <w:p w14:paraId="18241382">
      <w:pPr>
        <w:pStyle w:val="6"/>
        <w:ind w:left="560" w:leftChars="200" w:firstLine="0" w:firstLineChars="0"/>
        <w:rPr>
          <w:rFonts w:hint="eastAsia" w:ascii="仿宋" w:hAnsi="仿宋" w:eastAsia="仿宋" w:cs="仿宋"/>
          <w:color w:val="auto"/>
          <w:highlight w:val="none"/>
        </w:rPr>
      </w:pPr>
      <w:bookmarkStart w:id="153" w:name="_Toc163492850"/>
      <w:bookmarkStart w:id="154" w:name="_Toc140132780"/>
      <w:r>
        <w:rPr>
          <w:rFonts w:hint="eastAsia" w:ascii="仿宋" w:hAnsi="仿宋" w:eastAsia="仿宋" w:cs="仿宋"/>
          <w:color w:val="auto"/>
          <w:highlight w:val="none"/>
        </w:rPr>
        <w:t>25.开标会议准备</w:t>
      </w:r>
      <w:bookmarkEnd w:id="153"/>
      <w:bookmarkEnd w:id="154"/>
    </w:p>
    <w:p w14:paraId="21970DAE">
      <w:pPr>
        <w:ind w:firstLine="560"/>
        <w:rPr>
          <w:rFonts w:hint="eastAsia" w:ascii="仿宋" w:hAnsi="仿宋" w:eastAsia="仿宋" w:cs="仿宋"/>
          <w:bCs/>
          <w:color w:val="auto"/>
          <w:szCs w:val="24"/>
          <w:highlight w:val="none"/>
        </w:rPr>
      </w:pPr>
      <w:bookmarkStart w:id="155" w:name="_Toc140132781"/>
      <w:r>
        <w:rPr>
          <w:rFonts w:hint="eastAsia" w:ascii="仿宋" w:hAnsi="仿宋" w:eastAsia="仿宋" w:cs="仿宋"/>
          <w:color w:val="auto"/>
          <w:szCs w:val="24"/>
          <w:highlight w:val="none"/>
        </w:rPr>
        <w:t xml:space="preserve">25.1 </w:t>
      </w:r>
      <w:r>
        <w:rPr>
          <w:rFonts w:hint="eastAsia" w:ascii="仿宋" w:hAnsi="仿宋" w:eastAsia="仿宋" w:cs="仿宋"/>
          <w:color w:val="auto"/>
          <w:szCs w:val="24"/>
          <w:highlight w:val="none"/>
          <w:lang w:eastAsia="zh-CN"/>
        </w:rPr>
        <w:t>投标人</w:t>
      </w:r>
      <w:r>
        <w:rPr>
          <w:rFonts w:hint="eastAsia" w:ascii="仿宋" w:hAnsi="仿宋" w:eastAsia="仿宋" w:cs="仿宋"/>
          <w:color w:val="auto"/>
          <w:szCs w:val="24"/>
          <w:highlight w:val="none"/>
        </w:rPr>
        <w:t>应按要求参与网上（远程）开标。</w:t>
      </w:r>
      <w:bookmarkEnd w:id="155"/>
    </w:p>
    <w:p w14:paraId="025072B0">
      <w:pPr>
        <w:pStyle w:val="6"/>
        <w:ind w:left="560" w:leftChars="200" w:firstLine="0" w:firstLineChars="0"/>
        <w:rPr>
          <w:rFonts w:hint="eastAsia" w:ascii="仿宋" w:hAnsi="仿宋" w:eastAsia="仿宋" w:cs="仿宋"/>
          <w:color w:val="auto"/>
          <w:highlight w:val="none"/>
        </w:rPr>
      </w:pPr>
      <w:bookmarkStart w:id="156" w:name="_Toc163492851"/>
      <w:bookmarkStart w:id="157" w:name="_Toc140132782"/>
      <w:r>
        <w:rPr>
          <w:rFonts w:hint="eastAsia" w:ascii="仿宋" w:hAnsi="仿宋" w:eastAsia="仿宋" w:cs="仿宋"/>
          <w:color w:val="auto"/>
          <w:highlight w:val="none"/>
        </w:rPr>
        <w:t>26.开标时间和地点</w:t>
      </w:r>
      <w:bookmarkEnd w:id="156"/>
      <w:bookmarkEnd w:id="157"/>
    </w:p>
    <w:p w14:paraId="1218ABCD">
      <w:pPr>
        <w:ind w:firstLine="560"/>
        <w:rPr>
          <w:rFonts w:hint="eastAsia" w:ascii="仿宋" w:hAnsi="仿宋" w:eastAsia="仿宋" w:cs="仿宋"/>
          <w:color w:val="auto"/>
          <w:szCs w:val="24"/>
          <w:highlight w:val="none"/>
        </w:rPr>
      </w:pPr>
      <w:r>
        <w:rPr>
          <w:rFonts w:hint="eastAsia" w:ascii="仿宋" w:hAnsi="仿宋" w:eastAsia="仿宋" w:cs="仿宋"/>
          <w:color w:val="auto"/>
          <w:szCs w:val="24"/>
          <w:highlight w:val="none"/>
        </w:rPr>
        <w:t>26.1</w:t>
      </w:r>
      <w:r>
        <w:rPr>
          <w:rFonts w:hint="eastAsia" w:ascii="仿宋" w:hAnsi="仿宋" w:eastAsia="仿宋" w:cs="仿宋"/>
          <w:color w:val="auto"/>
          <w:szCs w:val="24"/>
          <w:highlight w:val="none"/>
          <w:lang w:val="en-US" w:eastAsia="zh-CN"/>
        </w:rPr>
        <w:t xml:space="preserve"> </w:t>
      </w:r>
      <w:r>
        <w:rPr>
          <w:rFonts w:hint="eastAsia" w:ascii="仿宋" w:hAnsi="仿宋" w:eastAsia="仿宋" w:cs="仿宋"/>
          <w:color w:val="auto"/>
          <w:szCs w:val="24"/>
          <w:highlight w:val="none"/>
        </w:rPr>
        <w:t>开标会按“</w:t>
      </w:r>
      <w:r>
        <w:rPr>
          <w:rFonts w:hint="eastAsia" w:ascii="仿宋" w:hAnsi="仿宋" w:eastAsia="仿宋" w:cs="仿宋"/>
          <w:color w:val="auto"/>
          <w:szCs w:val="24"/>
          <w:highlight w:val="none"/>
          <w:lang w:eastAsia="zh-CN"/>
        </w:rPr>
        <w:t>投标人</w:t>
      </w:r>
      <w:r>
        <w:rPr>
          <w:rFonts w:hint="eastAsia" w:ascii="仿宋" w:hAnsi="仿宋" w:eastAsia="仿宋" w:cs="仿宋"/>
          <w:color w:val="auto"/>
          <w:szCs w:val="24"/>
          <w:highlight w:val="none"/>
        </w:rPr>
        <w:t>须知前附表”规定的开标时间和地点准时举行，采购人、采购代理机构邀请所有</w:t>
      </w:r>
      <w:r>
        <w:rPr>
          <w:rFonts w:hint="eastAsia" w:ascii="仿宋" w:hAnsi="仿宋" w:eastAsia="仿宋" w:cs="仿宋"/>
          <w:color w:val="auto"/>
          <w:szCs w:val="24"/>
          <w:highlight w:val="none"/>
          <w:lang w:eastAsia="zh-CN"/>
        </w:rPr>
        <w:t>投标人</w:t>
      </w:r>
      <w:r>
        <w:rPr>
          <w:rFonts w:hint="eastAsia" w:ascii="仿宋" w:hAnsi="仿宋" w:eastAsia="仿宋" w:cs="仿宋"/>
          <w:color w:val="auto"/>
          <w:szCs w:val="24"/>
          <w:highlight w:val="none"/>
        </w:rPr>
        <w:t>授权代表准时参加开标会。本项目</w:t>
      </w:r>
      <w:r>
        <w:rPr>
          <w:rFonts w:hint="eastAsia" w:ascii="仿宋" w:hAnsi="仿宋" w:eastAsia="仿宋" w:cs="仿宋"/>
          <w:color w:val="auto"/>
          <w:szCs w:val="24"/>
          <w:highlight w:val="none"/>
          <w:lang w:eastAsia="zh-CN"/>
        </w:rPr>
        <w:t>投标人</w:t>
      </w:r>
      <w:r>
        <w:rPr>
          <w:rFonts w:hint="eastAsia" w:ascii="仿宋" w:hAnsi="仿宋" w:eastAsia="仿宋" w:cs="仿宋"/>
          <w:color w:val="auto"/>
          <w:szCs w:val="24"/>
          <w:highlight w:val="none"/>
        </w:rPr>
        <w:t>网上（远程）参与开标会即可。</w:t>
      </w:r>
    </w:p>
    <w:p w14:paraId="38D4C1CF">
      <w:pPr>
        <w:pStyle w:val="6"/>
        <w:ind w:left="560" w:leftChars="200" w:firstLine="0" w:firstLineChars="0"/>
        <w:rPr>
          <w:rFonts w:hint="eastAsia" w:ascii="仿宋" w:hAnsi="仿宋" w:eastAsia="仿宋" w:cs="仿宋"/>
          <w:color w:val="auto"/>
          <w:highlight w:val="none"/>
        </w:rPr>
      </w:pPr>
      <w:bookmarkStart w:id="158" w:name="_Toc163492852"/>
      <w:bookmarkStart w:id="159" w:name="_Toc140132783"/>
      <w:r>
        <w:rPr>
          <w:rFonts w:hint="eastAsia" w:ascii="仿宋" w:hAnsi="仿宋" w:eastAsia="仿宋" w:cs="仿宋"/>
          <w:color w:val="auto"/>
          <w:highlight w:val="none"/>
        </w:rPr>
        <w:t>27.开标程序</w:t>
      </w:r>
      <w:bookmarkEnd w:id="158"/>
      <w:bookmarkEnd w:id="159"/>
    </w:p>
    <w:p w14:paraId="7026F7F7">
      <w:pPr>
        <w:widowControl/>
        <w:ind w:firstLine="560"/>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27.1 </w:t>
      </w:r>
      <w:r>
        <w:rPr>
          <w:rFonts w:hint="eastAsia" w:ascii="仿宋" w:hAnsi="仿宋" w:eastAsia="仿宋" w:cs="仿宋"/>
          <w:b/>
          <w:bCs/>
          <w:color w:val="auto"/>
          <w:szCs w:val="24"/>
          <w:highlight w:val="none"/>
          <w:lang w:eastAsia="zh-CN"/>
        </w:rPr>
        <w:t>投标人</w:t>
      </w:r>
      <w:r>
        <w:rPr>
          <w:rFonts w:hint="eastAsia" w:ascii="仿宋" w:hAnsi="仿宋" w:eastAsia="仿宋" w:cs="仿宋"/>
          <w:b/>
          <w:bCs/>
          <w:color w:val="auto"/>
          <w:szCs w:val="24"/>
          <w:highlight w:val="none"/>
        </w:rPr>
        <w:t>不足3家的，不得开标</w:t>
      </w:r>
      <w:r>
        <w:rPr>
          <w:rFonts w:hint="eastAsia" w:ascii="仿宋" w:hAnsi="仿宋" w:eastAsia="仿宋" w:cs="仿宋"/>
          <w:color w:val="auto"/>
          <w:szCs w:val="24"/>
          <w:highlight w:val="none"/>
        </w:rPr>
        <w:t>。</w:t>
      </w:r>
    </w:p>
    <w:p w14:paraId="06B50186">
      <w:pPr>
        <w:widowControl/>
        <w:ind w:firstLine="560"/>
        <w:rPr>
          <w:rFonts w:hint="eastAsia" w:ascii="仿宋" w:hAnsi="仿宋" w:eastAsia="仿宋" w:cs="仿宋"/>
          <w:color w:val="auto"/>
          <w:highlight w:val="none"/>
        </w:rPr>
      </w:pPr>
      <w:r>
        <w:rPr>
          <w:rFonts w:hint="eastAsia" w:ascii="仿宋" w:hAnsi="仿宋" w:eastAsia="仿宋" w:cs="仿宋"/>
          <w:color w:val="auto"/>
          <w:szCs w:val="24"/>
          <w:highlight w:val="none"/>
        </w:rPr>
        <w:t>27.2 评标委员会成员不得参加开标活动。</w:t>
      </w:r>
    </w:p>
    <w:p w14:paraId="14D061E1">
      <w:pPr>
        <w:ind w:firstLine="560"/>
        <w:rPr>
          <w:rFonts w:hint="eastAsia" w:ascii="仿宋" w:hAnsi="仿宋" w:eastAsia="仿宋" w:cs="仿宋"/>
          <w:color w:val="auto"/>
          <w:szCs w:val="24"/>
          <w:highlight w:val="none"/>
        </w:rPr>
      </w:pPr>
      <w:r>
        <w:rPr>
          <w:rFonts w:hint="eastAsia" w:ascii="仿宋" w:hAnsi="仿宋" w:eastAsia="仿宋" w:cs="仿宋"/>
          <w:color w:val="auto"/>
          <w:szCs w:val="24"/>
          <w:highlight w:val="none"/>
        </w:rPr>
        <w:t>27.3</w:t>
      </w:r>
      <w:r>
        <w:rPr>
          <w:rFonts w:hint="eastAsia" w:ascii="仿宋" w:hAnsi="仿宋" w:eastAsia="仿宋" w:cs="仿宋"/>
          <w:color w:val="auto"/>
          <w:szCs w:val="24"/>
          <w:highlight w:val="none"/>
          <w:lang w:val="en-US" w:eastAsia="zh-CN"/>
        </w:rPr>
        <w:t xml:space="preserve"> </w:t>
      </w:r>
      <w:r>
        <w:rPr>
          <w:rFonts w:hint="eastAsia" w:ascii="仿宋" w:hAnsi="仿宋" w:eastAsia="仿宋" w:cs="仿宋"/>
          <w:color w:val="auto"/>
          <w:szCs w:val="24"/>
          <w:highlight w:val="none"/>
        </w:rPr>
        <w:t>主持人按下列程序进行开标：</w:t>
      </w:r>
    </w:p>
    <w:p w14:paraId="7882C738">
      <w:pPr>
        <w:ind w:firstLine="464" w:firstLineChars="166"/>
        <w:rPr>
          <w:rFonts w:hint="eastAsia" w:ascii="仿宋" w:hAnsi="仿宋" w:eastAsia="仿宋" w:cs="仿宋"/>
          <w:color w:val="auto"/>
          <w:szCs w:val="24"/>
          <w:highlight w:val="none"/>
        </w:rPr>
      </w:pPr>
      <w:r>
        <w:rPr>
          <w:rFonts w:hint="eastAsia" w:ascii="仿宋" w:hAnsi="仿宋" w:eastAsia="仿宋" w:cs="仿宋"/>
          <w:color w:val="auto"/>
          <w:szCs w:val="24"/>
          <w:highlight w:val="none"/>
        </w:rPr>
        <w:t>（1）宣布开标会纪律；</w:t>
      </w:r>
    </w:p>
    <w:p w14:paraId="7C010617">
      <w:pPr>
        <w:ind w:firstLine="464" w:firstLineChars="166"/>
        <w:rPr>
          <w:rFonts w:hint="eastAsia" w:ascii="仿宋" w:hAnsi="仿宋" w:eastAsia="仿宋" w:cs="仿宋"/>
          <w:color w:val="auto"/>
          <w:szCs w:val="24"/>
          <w:highlight w:val="none"/>
        </w:rPr>
      </w:pPr>
      <w:r>
        <w:rPr>
          <w:rFonts w:hint="eastAsia" w:ascii="仿宋" w:hAnsi="仿宋" w:eastAsia="仿宋" w:cs="仿宋"/>
          <w:color w:val="auto"/>
          <w:szCs w:val="24"/>
          <w:highlight w:val="none"/>
        </w:rPr>
        <w:t>（2）介绍参加开标会的单位和人员；</w:t>
      </w:r>
    </w:p>
    <w:p w14:paraId="0D563DB4">
      <w:pPr>
        <w:ind w:firstLine="464" w:firstLineChars="166"/>
        <w:rPr>
          <w:rFonts w:hint="eastAsia" w:ascii="仿宋" w:hAnsi="仿宋" w:eastAsia="仿宋" w:cs="仿宋"/>
          <w:color w:val="auto"/>
          <w:szCs w:val="24"/>
          <w:highlight w:val="none"/>
        </w:rPr>
      </w:pPr>
      <w:r>
        <w:rPr>
          <w:rFonts w:hint="eastAsia" w:ascii="仿宋" w:hAnsi="仿宋" w:eastAsia="仿宋" w:cs="仿宋"/>
          <w:color w:val="auto"/>
          <w:szCs w:val="24"/>
          <w:highlight w:val="none"/>
        </w:rPr>
        <w:t>（3）发起投标文件解密。</w:t>
      </w:r>
      <w:r>
        <w:rPr>
          <w:rFonts w:hint="eastAsia" w:ascii="仿宋" w:hAnsi="仿宋" w:eastAsia="仿宋" w:cs="仿宋"/>
          <w:color w:val="auto"/>
          <w:szCs w:val="24"/>
          <w:highlight w:val="none"/>
          <w:lang w:eastAsia="zh-CN"/>
        </w:rPr>
        <w:t>投标人</w:t>
      </w:r>
      <w:r>
        <w:rPr>
          <w:rFonts w:hint="eastAsia" w:ascii="仿宋" w:hAnsi="仿宋" w:eastAsia="仿宋" w:cs="仿宋"/>
          <w:color w:val="auto"/>
          <w:szCs w:val="24"/>
          <w:highlight w:val="none"/>
        </w:rPr>
        <w:t>应在“</w:t>
      </w:r>
      <w:r>
        <w:rPr>
          <w:rFonts w:hint="eastAsia" w:ascii="仿宋" w:hAnsi="仿宋" w:eastAsia="仿宋" w:cs="仿宋"/>
          <w:color w:val="auto"/>
          <w:szCs w:val="24"/>
          <w:highlight w:val="none"/>
          <w:lang w:eastAsia="zh-CN"/>
        </w:rPr>
        <w:t>投标人</w:t>
      </w:r>
      <w:r>
        <w:rPr>
          <w:rFonts w:hint="eastAsia" w:ascii="仿宋" w:hAnsi="仿宋" w:eastAsia="仿宋" w:cs="仿宋"/>
          <w:color w:val="auto"/>
          <w:szCs w:val="24"/>
          <w:highlight w:val="none"/>
        </w:rPr>
        <w:t>须知前附表”规定的时间内使用加密投标文件的CA证书在系统中完成投标文件的解密；</w:t>
      </w:r>
    </w:p>
    <w:p w14:paraId="675041AA">
      <w:pPr>
        <w:ind w:firstLine="464" w:firstLineChars="166"/>
        <w:rPr>
          <w:rFonts w:hint="eastAsia" w:ascii="仿宋" w:hAnsi="仿宋" w:eastAsia="仿宋" w:cs="仿宋"/>
          <w:color w:val="auto"/>
          <w:szCs w:val="24"/>
          <w:highlight w:val="none"/>
        </w:rPr>
      </w:pPr>
      <w:r>
        <w:rPr>
          <w:rFonts w:hint="eastAsia" w:ascii="仿宋" w:hAnsi="仿宋" w:eastAsia="仿宋" w:cs="仿宋"/>
          <w:color w:val="auto"/>
          <w:szCs w:val="24"/>
          <w:highlight w:val="none"/>
        </w:rPr>
        <w:t>（4）解密完成后，系统自动显示</w:t>
      </w:r>
      <w:r>
        <w:rPr>
          <w:rFonts w:hint="eastAsia" w:ascii="仿宋" w:hAnsi="仿宋" w:eastAsia="仿宋" w:cs="仿宋"/>
          <w:color w:val="auto"/>
          <w:szCs w:val="24"/>
          <w:highlight w:val="none"/>
          <w:lang w:eastAsia="zh-CN"/>
        </w:rPr>
        <w:t>投标人</w:t>
      </w:r>
      <w:r>
        <w:rPr>
          <w:rFonts w:hint="eastAsia" w:ascii="仿宋" w:hAnsi="仿宋" w:eastAsia="仿宋" w:cs="仿宋"/>
          <w:color w:val="auto"/>
          <w:szCs w:val="24"/>
          <w:highlight w:val="none"/>
        </w:rPr>
        <w:t>名称、投标价格和</w:t>
      </w:r>
      <w:r>
        <w:rPr>
          <w:rFonts w:hint="eastAsia" w:ascii="仿宋" w:hAnsi="仿宋" w:eastAsia="仿宋" w:cs="仿宋"/>
          <w:color w:val="auto"/>
          <w:szCs w:val="24"/>
          <w:highlight w:val="none"/>
          <w:lang w:eastAsia="zh-CN"/>
        </w:rPr>
        <w:t>招标文件</w:t>
      </w:r>
      <w:r>
        <w:rPr>
          <w:rFonts w:hint="eastAsia" w:ascii="仿宋" w:hAnsi="仿宋" w:eastAsia="仿宋" w:cs="仿宋"/>
          <w:color w:val="auto"/>
          <w:szCs w:val="24"/>
          <w:highlight w:val="none"/>
        </w:rPr>
        <w:t>规定的需要宣布的其他内容；</w:t>
      </w:r>
    </w:p>
    <w:p w14:paraId="148F203C">
      <w:pPr>
        <w:ind w:firstLine="464" w:firstLineChars="166"/>
        <w:rPr>
          <w:rFonts w:hint="eastAsia" w:ascii="仿宋" w:hAnsi="仿宋" w:eastAsia="仿宋" w:cs="仿宋"/>
          <w:color w:val="auto"/>
          <w:szCs w:val="24"/>
          <w:highlight w:val="none"/>
        </w:rPr>
      </w:pPr>
      <w:r>
        <w:rPr>
          <w:rFonts w:hint="eastAsia" w:ascii="仿宋" w:hAnsi="仿宋" w:eastAsia="仿宋" w:cs="仿宋"/>
          <w:color w:val="auto"/>
          <w:szCs w:val="24"/>
          <w:highlight w:val="none"/>
        </w:rPr>
        <w:t>（5）系统自动生成开标记录表，</w:t>
      </w:r>
      <w:r>
        <w:rPr>
          <w:rFonts w:hint="eastAsia" w:ascii="仿宋" w:hAnsi="仿宋" w:eastAsia="仿宋" w:cs="仿宋"/>
          <w:color w:val="auto"/>
          <w:szCs w:val="24"/>
          <w:highlight w:val="none"/>
          <w:lang w:eastAsia="zh-CN"/>
        </w:rPr>
        <w:t>投标人</w:t>
      </w:r>
      <w:r>
        <w:rPr>
          <w:rFonts w:hint="eastAsia" w:ascii="仿宋" w:hAnsi="仿宋" w:eastAsia="仿宋" w:cs="仿宋"/>
          <w:color w:val="auto"/>
          <w:szCs w:val="24"/>
          <w:highlight w:val="none"/>
        </w:rPr>
        <w:t>应在线对开标记录进行签署确认；</w:t>
      </w:r>
    </w:p>
    <w:p w14:paraId="73213F85">
      <w:pPr>
        <w:widowControl/>
        <w:ind w:firstLine="560"/>
        <w:rPr>
          <w:rFonts w:hint="eastAsia" w:ascii="仿宋" w:hAnsi="仿宋" w:eastAsia="仿宋" w:cs="仿宋"/>
          <w:color w:val="auto"/>
          <w:szCs w:val="24"/>
          <w:highlight w:val="none"/>
        </w:rPr>
      </w:pPr>
      <w:r>
        <w:rPr>
          <w:rFonts w:hint="eastAsia" w:ascii="仿宋" w:hAnsi="仿宋" w:eastAsia="仿宋" w:cs="仿宋"/>
          <w:color w:val="auto"/>
          <w:szCs w:val="24"/>
          <w:highlight w:val="none"/>
        </w:rPr>
        <w:t>（6）开标会结束。</w:t>
      </w:r>
    </w:p>
    <w:p w14:paraId="165AE0C5">
      <w:pPr>
        <w:pStyle w:val="6"/>
        <w:ind w:left="560" w:leftChars="200" w:firstLine="0" w:firstLineChars="0"/>
        <w:rPr>
          <w:rFonts w:hint="eastAsia" w:ascii="仿宋" w:hAnsi="仿宋" w:eastAsia="仿宋" w:cs="仿宋"/>
          <w:color w:val="auto"/>
          <w:highlight w:val="none"/>
        </w:rPr>
      </w:pPr>
      <w:bookmarkStart w:id="160" w:name="_Toc163492853"/>
      <w:bookmarkStart w:id="161" w:name="_Toc140132784"/>
      <w:r>
        <w:rPr>
          <w:rFonts w:hint="eastAsia" w:ascii="仿宋" w:hAnsi="仿宋" w:eastAsia="仿宋" w:cs="仿宋"/>
          <w:color w:val="auto"/>
          <w:highlight w:val="none"/>
        </w:rPr>
        <w:t>28.开标异议及回避情形</w:t>
      </w:r>
      <w:bookmarkEnd w:id="160"/>
      <w:bookmarkEnd w:id="161"/>
    </w:p>
    <w:p w14:paraId="669E2C0A">
      <w:pPr>
        <w:pStyle w:val="47"/>
        <w:ind w:firstLine="560"/>
        <w:rPr>
          <w:rFonts w:hint="eastAsia" w:ascii="仿宋" w:hAnsi="仿宋" w:eastAsia="仿宋" w:cs="仿宋"/>
          <w:color w:val="auto"/>
          <w:highlight w:val="none"/>
        </w:rPr>
      </w:pPr>
      <w:r>
        <w:rPr>
          <w:rFonts w:hint="eastAsia" w:ascii="仿宋" w:hAnsi="仿宋" w:eastAsia="仿宋" w:cs="仿宋"/>
          <w:color w:val="auto"/>
          <w:highlight w:val="none"/>
        </w:rPr>
        <w:t>2</w:t>
      </w:r>
      <w:r>
        <w:rPr>
          <w:rFonts w:hint="eastAsia" w:ascii="仿宋" w:hAnsi="仿宋" w:eastAsia="仿宋" w:cs="仿宋"/>
          <w:color w:val="auto"/>
          <w:highlight w:val="none"/>
          <w:lang w:val="en-US"/>
        </w:rPr>
        <w:t>8</w:t>
      </w:r>
      <w:r>
        <w:rPr>
          <w:rFonts w:hint="eastAsia" w:ascii="仿宋" w:hAnsi="仿宋" w:eastAsia="仿宋" w:cs="仿宋"/>
          <w:color w:val="auto"/>
          <w:highlight w:val="none"/>
        </w:rPr>
        <w:t>.1</w:t>
      </w:r>
      <w:r>
        <w:rPr>
          <w:rFonts w:hint="eastAsia" w:ascii="仿宋" w:hAnsi="仿宋" w:eastAsia="仿宋" w:cs="仿宋"/>
          <w:color w:val="auto"/>
          <w:highlight w:val="none"/>
          <w:lang w:eastAsia="zh-CN"/>
        </w:rPr>
        <w:t>投标人</w:t>
      </w:r>
      <w:r>
        <w:rPr>
          <w:rFonts w:hint="eastAsia" w:ascii="仿宋" w:hAnsi="仿宋" w:eastAsia="仿宋" w:cs="仿宋"/>
          <w:color w:val="auto"/>
          <w:highlight w:val="none"/>
        </w:rPr>
        <w:t>代表对开标过程和开标记录有</w:t>
      </w:r>
      <w:r>
        <w:rPr>
          <w:rFonts w:hint="eastAsia" w:ascii="仿宋" w:hAnsi="仿宋" w:eastAsia="仿宋" w:cs="仿宋"/>
          <w:color w:val="auto"/>
          <w:highlight w:val="none"/>
          <w:lang w:val="en-US"/>
        </w:rPr>
        <w:t>异议</w:t>
      </w:r>
      <w:r>
        <w:rPr>
          <w:rFonts w:hint="eastAsia" w:ascii="仿宋" w:hAnsi="仿宋" w:eastAsia="仿宋" w:cs="仿宋"/>
          <w:color w:val="auto"/>
          <w:highlight w:val="none"/>
        </w:rPr>
        <w:t>，以及认为采购人、采购代理机构相关工作人员有需要回避的情形的，应在开标会议中提出询问或者回避申请。采购人、采购代理机构对</w:t>
      </w:r>
      <w:r>
        <w:rPr>
          <w:rFonts w:hint="eastAsia" w:ascii="仿宋" w:hAnsi="仿宋" w:eastAsia="仿宋" w:cs="仿宋"/>
          <w:color w:val="auto"/>
          <w:highlight w:val="none"/>
          <w:lang w:eastAsia="zh-CN"/>
        </w:rPr>
        <w:t>投标人</w:t>
      </w:r>
      <w:r>
        <w:rPr>
          <w:rFonts w:hint="eastAsia" w:ascii="仿宋" w:hAnsi="仿宋" w:eastAsia="仿宋" w:cs="仿宋"/>
          <w:color w:val="auto"/>
          <w:highlight w:val="none"/>
        </w:rPr>
        <w:t>授权代表提出的询问或者回避申请应当及时处理。</w:t>
      </w:r>
    </w:p>
    <w:p w14:paraId="34ECDDA2">
      <w:pPr>
        <w:pStyle w:val="47"/>
        <w:ind w:firstLine="560"/>
        <w:rPr>
          <w:rFonts w:hint="eastAsia" w:ascii="仿宋" w:hAnsi="仿宋" w:eastAsia="仿宋" w:cs="仿宋"/>
          <w:color w:val="auto"/>
          <w:highlight w:val="none"/>
        </w:rPr>
      </w:pPr>
      <w:r>
        <w:rPr>
          <w:rFonts w:hint="eastAsia" w:ascii="仿宋" w:hAnsi="仿宋" w:eastAsia="仿宋" w:cs="仿宋"/>
          <w:color w:val="auto"/>
          <w:highlight w:val="none"/>
        </w:rPr>
        <w:t>2</w:t>
      </w:r>
      <w:r>
        <w:rPr>
          <w:rFonts w:hint="eastAsia" w:ascii="仿宋" w:hAnsi="仿宋" w:eastAsia="仿宋" w:cs="仿宋"/>
          <w:color w:val="auto"/>
          <w:highlight w:val="none"/>
          <w:lang w:val="en-US"/>
        </w:rPr>
        <w:t>8</w:t>
      </w:r>
      <w:r>
        <w:rPr>
          <w:rFonts w:hint="eastAsia" w:ascii="仿宋" w:hAnsi="仿宋" w:eastAsia="仿宋" w:cs="仿宋"/>
          <w:color w:val="auto"/>
          <w:highlight w:val="none"/>
        </w:rPr>
        <w:t>.2</w:t>
      </w:r>
      <w:r>
        <w:rPr>
          <w:rFonts w:hint="eastAsia" w:ascii="仿宋" w:hAnsi="仿宋" w:eastAsia="仿宋" w:cs="仿宋"/>
          <w:color w:val="auto"/>
          <w:highlight w:val="none"/>
          <w:lang w:eastAsia="zh-CN"/>
        </w:rPr>
        <w:t>投标人</w:t>
      </w:r>
      <w:r>
        <w:rPr>
          <w:rFonts w:hint="eastAsia" w:ascii="仿宋" w:hAnsi="仿宋" w:eastAsia="仿宋" w:cs="仿宋"/>
          <w:color w:val="auto"/>
          <w:highlight w:val="none"/>
        </w:rPr>
        <w:t>未参加开标的，视同认可开标结果。</w:t>
      </w:r>
    </w:p>
    <w:p w14:paraId="18F0503E">
      <w:pPr>
        <w:pStyle w:val="5"/>
        <w:ind w:firstLine="602"/>
        <w:rPr>
          <w:rFonts w:hint="eastAsia" w:ascii="仿宋" w:hAnsi="仿宋" w:eastAsia="仿宋" w:cs="仿宋"/>
          <w:color w:val="auto"/>
          <w:highlight w:val="none"/>
        </w:rPr>
      </w:pPr>
      <w:bookmarkStart w:id="162" w:name="_Toc140132785"/>
      <w:bookmarkStart w:id="163" w:name="_Toc163492854"/>
      <w:bookmarkStart w:id="164" w:name="_Toc24655"/>
      <w:bookmarkStart w:id="165" w:name="_Toc14722"/>
      <w:bookmarkStart w:id="166" w:name="_Toc155185877"/>
      <w:bookmarkStart w:id="167" w:name="_Toc12135"/>
      <w:r>
        <w:rPr>
          <w:rFonts w:hint="eastAsia" w:ascii="仿宋" w:hAnsi="仿宋" w:eastAsia="仿宋" w:cs="仿宋"/>
          <w:color w:val="auto"/>
          <w:highlight w:val="none"/>
        </w:rPr>
        <w:t>（六）资格审查</w:t>
      </w:r>
      <w:bookmarkEnd w:id="162"/>
      <w:bookmarkEnd w:id="163"/>
      <w:bookmarkEnd w:id="164"/>
      <w:bookmarkEnd w:id="165"/>
      <w:bookmarkEnd w:id="166"/>
      <w:bookmarkEnd w:id="167"/>
    </w:p>
    <w:p w14:paraId="503AE14C">
      <w:pPr>
        <w:pStyle w:val="6"/>
        <w:ind w:left="560" w:leftChars="200" w:firstLine="0" w:firstLineChars="0"/>
        <w:rPr>
          <w:rFonts w:hint="eastAsia" w:ascii="仿宋" w:hAnsi="仿宋" w:eastAsia="仿宋" w:cs="仿宋"/>
          <w:color w:val="auto"/>
          <w:highlight w:val="none"/>
        </w:rPr>
      </w:pPr>
      <w:bookmarkStart w:id="168" w:name="_Toc163492855"/>
      <w:r>
        <w:rPr>
          <w:rFonts w:hint="eastAsia" w:ascii="仿宋" w:hAnsi="仿宋" w:eastAsia="仿宋" w:cs="仿宋"/>
          <w:color w:val="auto"/>
          <w:highlight w:val="none"/>
        </w:rPr>
        <w:t>29.资格审查及审查主体</w:t>
      </w:r>
      <w:bookmarkEnd w:id="168"/>
    </w:p>
    <w:p w14:paraId="22C77BA6">
      <w:pPr>
        <w:pStyle w:val="47"/>
        <w:ind w:firstLine="560"/>
        <w:rPr>
          <w:rFonts w:hint="eastAsia" w:ascii="仿宋" w:hAnsi="仿宋" w:eastAsia="仿宋" w:cs="仿宋"/>
          <w:color w:val="auto"/>
          <w:highlight w:val="none"/>
        </w:rPr>
      </w:pPr>
      <w:bookmarkStart w:id="169" w:name="_Toc140132786"/>
      <w:r>
        <w:rPr>
          <w:rFonts w:hint="eastAsia" w:ascii="仿宋" w:hAnsi="仿宋" w:eastAsia="仿宋" w:cs="仿宋"/>
          <w:color w:val="auto"/>
          <w:highlight w:val="none"/>
        </w:rPr>
        <w:t>2</w:t>
      </w:r>
      <w:r>
        <w:rPr>
          <w:rFonts w:hint="eastAsia" w:ascii="仿宋" w:hAnsi="仿宋" w:eastAsia="仿宋" w:cs="仿宋"/>
          <w:color w:val="auto"/>
          <w:highlight w:val="none"/>
          <w:lang w:val="en-US"/>
        </w:rPr>
        <w:t>9</w:t>
      </w:r>
      <w:r>
        <w:rPr>
          <w:rFonts w:hint="eastAsia" w:ascii="仿宋" w:hAnsi="仿宋" w:eastAsia="仿宋" w:cs="仿宋"/>
          <w:color w:val="auto"/>
          <w:highlight w:val="none"/>
        </w:rPr>
        <w:t>.1开标结束后，根据委托代理协议由资格审查的责任主体依据法律法规和本</w:t>
      </w:r>
      <w:r>
        <w:rPr>
          <w:rFonts w:hint="eastAsia" w:ascii="仿宋" w:hAnsi="仿宋" w:eastAsia="仿宋" w:cs="仿宋"/>
          <w:color w:val="auto"/>
          <w:highlight w:val="none"/>
          <w:lang w:eastAsia="zh-CN"/>
        </w:rPr>
        <w:t>招标文件</w:t>
      </w:r>
      <w:r>
        <w:rPr>
          <w:rFonts w:hint="eastAsia" w:ascii="仿宋" w:hAnsi="仿宋" w:eastAsia="仿宋" w:cs="仿宋"/>
          <w:color w:val="auto"/>
          <w:highlight w:val="none"/>
        </w:rPr>
        <w:t>的规定，依法对</w:t>
      </w:r>
      <w:r>
        <w:rPr>
          <w:rFonts w:hint="eastAsia" w:ascii="仿宋" w:hAnsi="仿宋" w:eastAsia="仿宋" w:cs="仿宋"/>
          <w:color w:val="auto"/>
          <w:highlight w:val="none"/>
          <w:lang w:eastAsia="zh-CN"/>
        </w:rPr>
        <w:t>投标人</w:t>
      </w:r>
      <w:r>
        <w:rPr>
          <w:rFonts w:hint="eastAsia" w:ascii="仿宋" w:hAnsi="仿宋" w:eastAsia="仿宋" w:cs="仿宋"/>
          <w:color w:val="auto"/>
          <w:highlight w:val="none"/>
        </w:rPr>
        <w:t>资格进行审查，以确定</w:t>
      </w:r>
      <w:r>
        <w:rPr>
          <w:rFonts w:hint="eastAsia" w:ascii="仿宋" w:hAnsi="仿宋" w:eastAsia="仿宋" w:cs="仿宋"/>
          <w:color w:val="auto"/>
          <w:highlight w:val="none"/>
          <w:lang w:eastAsia="zh-CN"/>
        </w:rPr>
        <w:t>投标人</w:t>
      </w:r>
      <w:r>
        <w:rPr>
          <w:rFonts w:hint="eastAsia" w:ascii="仿宋" w:hAnsi="仿宋" w:eastAsia="仿宋" w:cs="仿宋"/>
          <w:color w:val="auto"/>
          <w:highlight w:val="none"/>
        </w:rPr>
        <w:t>是否具备投标资格。</w:t>
      </w:r>
      <w:bookmarkEnd w:id="169"/>
    </w:p>
    <w:p w14:paraId="144F2C23">
      <w:pPr>
        <w:pStyle w:val="47"/>
        <w:ind w:firstLine="560"/>
        <w:rPr>
          <w:rFonts w:hint="eastAsia" w:ascii="仿宋" w:hAnsi="仿宋" w:eastAsia="仿宋" w:cs="仿宋"/>
          <w:color w:val="auto"/>
          <w:highlight w:val="none"/>
        </w:rPr>
      </w:pPr>
      <w:bookmarkStart w:id="170" w:name="_Toc140132787"/>
      <w:r>
        <w:rPr>
          <w:rFonts w:hint="eastAsia" w:ascii="仿宋" w:hAnsi="仿宋" w:eastAsia="仿宋" w:cs="仿宋"/>
          <w:color w:val="auto"/>
          <w:highlight w:val="none"/>
        </w:rPr>
        <w:t>2</w:t>
      </w:r>
      <w:r>
        <w:rPr>
          <w:rFonts w:hint="eastAsia" w:ascii="仿宋" w:hAnsi="仿宋" w:eastAsia="仿宋" w:cs="仿宋"/>
          <w:color w:val="auto"/>
          <w:highlight w:val="none"/>
          <w:lang w:val="en-US"/>
        </w:rPr>
        <w:t>9</w:t>
      </w:r>
      <w:r>
        <w:rPr>
          <w:rFonts w:hint="eastAsia" w:ascii="仿宋" w:hAnsi="仿宋" w:eastAsia="仿宋" w:cs="仿宋"/>
          <w:color w:val="auto"/>
          <w:highlight w:val="none"/>
        </w:rPr>
        <w:t>.2资格审查按第四章“资格审查方法及标准”的规定进行。</w:t>
      </w:r>
      <w:bookmarkEnd w:id="170"/>
    </w:p>
    <w:p w14:paraId="31420682">
      <w:pPr>
        <w:pStyle w:val="47"/>
        <w:ind w:firstLine="560"/>
        <w:rPr>
          <w:rFonts w:hint="eastAsia" w:ascii="仿宋" w:hAnsi="仿宋" w:eastAsia="仿宋" w:cs="仿宋"/>
          <w:color w:val="auto"/>
          <w:highlight w:val="none"/>
        </w:rPr>
      </w:pPr>
      <w:bookmarkStart w:id="171" w:name="_Toc140132788"/>
      <w:r>
        <w:rPr>
          <w:rFonts w:hint="eastAsia" w:ascii="仿宋" w:hAnsi="仿宋" w:eastAsia="仿宋" w:cs="仿宋"/>
          <w:color w:val="auto"/>
          <w:highlight w:val="none"/>
        </w:rPr>
        <w:t>2</w:t>
      </w:r>
      <w:r>
        <w:rPr>
          <w:rFonts w:hint="eastAsia" w:ascii="仿宋" w:hAnsi="仿宋" w:eastAsia="仿宋" w:cs="仿宋"/>
          <w:color w:val="auto"/>
          <w:highlight w:val="none"/>
          <w:lang w:val="en-US"/>
        </w:rPr>
        <w:t>9</w:t>
      </w:r>
      <w:r>
        <w:rPr>
          <w:rFonts w:hint="eastAsia" w:ascii="仿宋" w:hAnsi="仿宋" w:eastAsia="仿宋" w:cs="仿宋"/>
          <w:color w:val="auto"/>
          <w:highlight w:val="none"/>
        </w:rPr>
        <w:t>.3资格审查结束后，应及时对资格性审查结果进行复核，对资格性审查错误进行及时纠正并记录。</w:t>
      </w:r>
      <w:bookmarkEnd w:id="171"/>
    </w:p>
    <w:p w14:paraId="66DAE3C0">
      <w:pPr>
        <w:pStyle w:val="5"/>
        <w:ind w:firstLine="602"/>
        <w:rPr>
          <w:rFonts w:hint="eastAsia" w:ascii="仿宋" w:hAnsi="仿宋" w:eastAsia="仿宋" w:cs="仿宋"/>
          <w:color w:val="auto"/>
          <w:highlight w:val="none"/>
        </w:rPr>
      </w:pPr>
      <w:bookmarkStart w:id="172" w:name="_Toc163492856"/>
      <w:bookmarkStart w:id="173" w:name="_Toc2138"/>
      <w:bookmarkStart w:id="174" w:name="_Toc3813"/>
      <w:bookmarkStart w:id="175" w:name="_Toc140132789"/>
      <w:bookmarkStart w:id="176" w:name="_Toc155185878"/>
      <w:bookmarkStart w:id="177" w:name="_Toc2649"/>
      <w:r>
        <w:rPr>
          <w:rFonts w:hint="eastAsia" w:ascii="仿宋" w:hAnsi="仿宋" w:eastAsia="仿宋" w:cs="仿宋"/>
          <w:color w:val="auto"/>
          <w:highlight w:val="none"/>
        </w:rPr>
        <w:t>（七）评标</w:t>
      </w:r>
      <w:bookmarkEnd w:id="172"/>
      <w:bookmarkEnd w:id="173"/>
      <w:bookmarkEnd w:id="174"/>
      <w:bookmarkEnd w:id="175"/>
      <w:bookmarkEnd w:id="176"/>
      <w:bookmarkEnd w:id="177"/>
    </w:p>
    <w:p w14:paraId="214947D4">
      <w:pPr>
        <w:pStyle w:val="6"/>
        <w:ind w:left="560" w:leftChars="200" w:firstLine="0" w:firstLineChars="0"/>
        <w:rPr>
          <w:rFonts w:hint="eastAsia" w:ascii="仿宋" w:hAnsi="仿宋" w:eastAsia="仿宋" w:cs="仿宋"/>
          <w:color w:val="auto"/>
          <w:highlight w:val="none"/>
        </w:rPr>
      </w:pPr>
      <w:bookmarkStart w:id="178" w:name="_Toc140132790"/>
      <w:bookmarkStart w:id="179" w:name="_Toc163492857"/>
      <w:r>
        <w:rPr>
          <w:rFonts w:hint="eastAsia" w:ascii="仿宋" w:hAnsi="仿宋" w:eastAsia="仿宋" w:cs="仿宋"/>
          <w:color w:val="auto"/>
          <w:highlight w:val="none"/>
        </w:rPr>
        <w:t>30.评标委员会</w:t>
      </w:r>
      <w:bookmarkEnd w:id="178"/>
      <w:bookmarkEnd w:id="179"/>
    </w:p>
    <w:p w14:paraId="1E02C676">
      <w:pPr>
        <w:pStyle w:val="47"/>
        <w:ind w:firstLine="560"/>
        <w:rPr>
          <w:rFonts w:hint="eastAsia" w:ascii="仿宋" w:hAnsi="仿宋" w:eastAsia="仿宋" w:cs="仿宋"/>
          <w:i w:val="0"/>
          <w:iCs w:val="0"/>
          <w:caps w:val="0"/>
          <w:color w:val="auto"/>
          <w:spacing w:val="0"/>
          <w:sz w:val="28"/>
          <w:szCs w:val="28"/>
          <w:highlight w:val="none"/>
          <w:shd w:val="clear" w:fill="FFFFFF"/>
          <w:lang w:eastAsia="zh-CN"/>
        </w:rPr>
      </w:pPr>
      <w:r>
        <w:rPr>
          <w:rFonts w:hint="eastAsia" w:ascii="仿宋" w:hAnsi="仿宋" w:eastAsia="仿宋" w:cs="仿宋"/>
          <w:color w:val="auto"/>
          <w:highlight w:val="none"/>
          <w:lang w:val="en-US"/>
        </w:rPr>
        <w:t>30</w:t>
      </w:r>
      <w:r>
        <w:rPr>
          <w:rFonts w:hint="eastAsia" w:ascii="仿宋" w:hAnsi="仿宋" w:eastAsia="仿宋" w:cs="仿宋"/>
          <w:color w:val="auto"/>
          <w:highlight w:val="none"/>
        </w:rPr>
        <w:t xml:space="preserve">.1 </w:t>
      </w:r>
      <w:r>
        <w:rPr>
          <w:rFonts w:hint="eastAsia" w:ascii="仿宋" w:hAnsi="仿宋" w:eastAsia="仿宋" w:cs="仿宋"/>
          <w:i w:val="0"/>
          <w:iCs w:val="0"/>
          <w:caps w:val="0"/>
          <w:color w:val="auto"/>
          <w:spacing w:val="0"/>
          <w:sz w:val="28"/>
          <w:szCs w:val="28"/>
          <w:highlight w:val="none"/>
          <w:shd w:val="clear" w:fill="FFFFFF"/>
        </w:rPr>
        <w:t>评标委员会由采购人代表和评审专家组成，成员人数应当为5人以上单数，其中评审专家不得少于成员总数的三分之二。采购预算金额在1000万元以上</w:t>
      </w:r>
      <w:r>
        <w:rPr>
          <w:rFonts w:hint="eastAsia" w:ascii="仿宋" w:hAnsi="仿宋" w:eastAsia="仿宋" w:cs="仿宋"/>
          <w:i w:val="0"/>
          <w:iCs w:val="0"/>
          <w:caps w:val="0"/>
          <w:color w:val="auto"/>
          <w:spacing w:val="0"/>
          <w:sz w:val="28"/>
          <w:szCs w:val="28"/>
          <w:highlight w:val="none"/>
          <w:shd w:val="clear" w:fill="FFFFFF"/>
          <w:lang w:val="en-US" w:eastAsia="zh-CN"/>
        </w:rPr>
        <w:t>或</w:t>
      </w:r>
      <w:r>
        <w:rPr>
          <w:rFonts w:hint="eastAsia" w:ascii="仿宋" w:hAnsi="仿宋" w:eastAsia="仿宋" w:cs="仿宋"/>
          <w:i w:val="0"/>
          <w:iCs w:val="0"/>
          <w:caps w:val="0"/>
          <w:color w:val="auto"/>
          <w:spacing w:val="0"/>
          <w:sz w:val="28"/>
          <w:szCs w:val="28"/>
          <w:highlight w:val="none"/>
          <w:shd w:val="clear" w:fill="FFFFFF"/>
        </w:rPr>
        <w:t>技术复杂</w:t>
      </w:r>
      <w:r>
        <w:rPr>
          <w:rFonts w:hint="eastAsia" w:ascii="仿宋" w:hAnsi="仿宋" w:eastAsia="仿宋" w:cs="仿宋"/>
          <w:i w:val="0"/>
          <w:iCs w:val="0"/>
          <w:caps w:val="0"/>
          <w:color w:val="auto"/>
          <w:spacing w:val="0"/>
          <w:sz w:val="28"/>
          <w:szCs w:val="28"/>
          <w:highlight w:val="none"/>
          <w:shd w:val="clear" w:fill="FFFFFF"/>
          <w:lang w:val="en-US" w:eastAsia="zh-CN"/>
        </w:rPr>
        <w:t>的或</w:t>
      </w:r>
      <w:r>
        <w:rPr>
          <w:rFonts w:hint="eastAsia" w:ascii="仿宋" w:hAnsi="仿宋" w:eastAsia="仿宋" w:cs="仿宋"/>
          <w:i w:val="0"/>
          <w:iCs w:val="0"/>
          <w:caps w:val="0"/>
          <w:color w:val="auto"/>
          <w:spacing w:val="0"/>
          <w:sz w:val="28"/>
          <w:szCs w:val="28"/>
          <w:highlight w:val="none"/>
          <w:shd w:val="clear" w:fill="FFFFFF"/>
        </w:rPr>
        <w:t>社会影响较大</w:t>
      </w:r>
      <w:r>
        <w:rPr>
          <w:rFonts w:hint="eastAsia" w:ascii="仿宋" w:hAnsi="仿宋" w:eastAsia="仿宋" w:cs="仿宋"/>
          <w:i w:val="0"/>
          <w:iCs w:val="0"/>
          <w:caps w:val="0"/>
          <w:color w:val="auto"/>
          <w:spacing w:val="0"/>
          <w:sz w:val="28"/>
          <w:szCs w:val="28"/>
          <w:highlight w:val="none"/>
          <w:shd w:val="clear" w:fill="FFFFFF"/>
          <w:lang w:val="en-US" w:eastAsia="zh-CN"/>
        </w:rPr>
        <w:t>的</w:t>
      </w:r>
      <w:r>
        <w:rPr>
          <w:rFonts w:hint="eastAsia" w:ascii="仿宋" w:hAnsi="仿宋" w:eastAsia="仿宋" w:cs="仿宋"/>
          <w:i w:val="0"/>
          <w:iCs w:val="0"/>
          <w:caps w:val="0"/>
          <w:color w:val="auto"/>
          <w:spacing w:val="0"/>
          <w:sz w:val="28"/>
          <w:szCs w:val="28"/>
          <w:highlight w:val="none"/>
          <w:shd w:val="clear" w:fill="FFFFFF"/>
          <w:lang w:eastAsia="zh-CN"/>
        </w:rPr>
        <w:t>，</w:t>
      </w:r>
      <w:r>
        <w:rPr>
          <w:rFonts w:hint="eastAsia" w:ascii="仿宋" w:hAnsi="仿宋" w:eastAsia="仿宋" w:cs="仿宋"/>
          <w:i w:val="0"/>
          <w:iCs w:val="0"/>
          <w:caps w:val="0"/>
          <w:color w:val="auto"/>
          <w:spacing w:val="0"/>
          <w:sz w:val="28"/>
          <w:szCs w:val="28"/>
          <w:highlight w:val="none"/>
          <w:shd w:val="clear" w:fill="FFFFFF"/>
        </w:rPr>
        <w:t>评标委员会成员人数应当为7人以上单数</w:t>
      </w:r>
      <w:r>
        <w:rPr>
          <w:rFonts w:hint="eastAsia" w:ascii="仿宋" w:hAnsi="仿宋" w:eastAsia="仿宋" w:cs="仿宋"/>
          <w:i w:val="0"/>
          <w:iCs w:val="0"/>
          <w:caps w:val="0"/>
          <w:color w:val="auto"/>
          <w:spacing w:val="0"/>
          <w:sz w:val="28"/>
          <w:szCs w:val="28"/>
          <w:highlight w:val="none"/>
          <w:shd w:val="clear" w:fill="FFFFFF"/>
          <w:lang w:eastAsia="zh-CN"/>
        </w:rPr>
        <w:t>。</w:t>
      </w:r>
    </w:p>
    <w:p w14:paraId="139174AF">
      <w:pPr>
        <w:pStyle w:val="47"/>
        <w:ind w:firstLine="560"/>
        <w:rPr>
          <w:rFonts w:hint="eastAsia" w:ascii="仿宋" w:hAnsi="仿宋" w:eastAsia="仿宋" w:cs="仿宋"/>
          <w:color w:val="auto"/>
          <w:highlight w:val="none"/>
        </w:rPr>
      </w:pPr>
      <w:r>
        <w:rPr>
          <w:rFonts w:hint="eastAsia" w:ascii="仿宋" w:hAnsi="仿宋" w:eastAsia="仿宋" w:cs="仿宋"/>
          <w:color w:val="auto"/>
          <w:highlight w:val="none"/>
          <w:lang w:val="en-US"/>
        </w:rPr>
        <w:t>30</w:t>
      </w:r>
      <w:r>
        <w:rPr>
          <w:rFonts w:hint="eastAsia" w:ascii="仿宋" w:hAnsi="仿宋" w:eastAsia="仿宋" w:cs="仿宋"/>
          <w:color w:val="auto"/>
          <w:highlight w:val="none"/>
        </w:rPr>
        <w:t>.2 评标委员会成员有下列情形之一的，应当回避：</w:t>
      </w:r>
    </w:p>
    <w:p w14:paraId="772383B4">
      <w:pPr>
        <w:pStyle w:val="47"/>
        <w:ind w:firstLine="560"/>
        <w:rPr>
          <w:rFonts w:hint="eastAsia" w:ascii="仿宋" w:hAnsi="仿宋" w:eastAsia="仿宋" w:cs="仿宋"/>
          <w:color w:val="auto"/>
          <w:highlight w:val="none"/>
        </w:rPr>
      </w:pPr>
      <w:r>
        <w:rPr>
          <w:rFonts w:hint="eastAsia" w:ascii="仿宋" w:hAnsi="仿宋" w:eastAsia="仿宋" w:cs="仿宋"/>
          <w:color w:val="auto"/>
          <w:highlight w:val="none"/>
        </w:rPr>
        <w:t>（1）参加采购活动前3年内与</w:t>
      </w:r>
      <w:r>
        <w:rPr>
          <w:rFonts w:hint="eastAsia" w:ascii="仿宋" w:hAnsi="仿宋" w:eastAsia="仿宋" w:cs="仿宋"/>
          <w:color w:val="auto"/>
          <w:highlight w:val="none"/>
          <w:lang w:eastAsia="zh-CN"/>
        </w:rPr>
        <w:t>投标人</w:t>
      </w:r>
      <w:r>
        <w:rPr>
          <w:rFonts w:hint="eastAsia" w:ascii="仿宋" w:hAnsi="仿宋" w:eastAsia="仿宋" w:cs="仿宋"/>
          <w:color w:val="auto"/>
          <w:highlight w:val="none"/>
        </w:rPr>
        <w:t>存在劳动关系；</w:t>
      </w:r>
    </w:p>
    <w:p w14:paraId="693F8610">
      <w:pPr>
        <w:pStyle w:val="47"/>
        <w:ind w:firstLine="560"/>
        <w:rPr>
          <w:rFonts w:hint="eastAsia" w:ascii="仿宋" w:hAnsi="仿宋" w:eastAsia="仿宋" w:cs="仿宋"/>
          <w:color w:val="auto"/>
          <w:highlight w:val="none"/>
        </w:rPr>
      </w:pPr>
      <w:r>
        <w:rPr>
          <w:rFonts w:hint="eastAsia" w:ascii="仿宋" w:hAnsi="仿宋" w:eastAsia="仿宋" w:cs="仿宋"/>
          <w:color w:val="auto"/>
          <w:highlight w:val="none"/>
        </w:rPr>
        <w:t>（2）参加采购活动前3年内担任</w:t>
      </w:r>
      <w:r>
        <w:rPr>
          <w:rFonts w:hint="eastAsia" w:ascii="仿宋" w:hAnsi="仿宋" w:eastAsia="仿宋" w:cs="仿宋"/>
          <w:color w:val="auto"/>
          <w:highlight w:val="none"/>
          <w:lang w:eastAsia="zh-CN"/>
        </w:rPr>
        <w:t>投标人</w:t>
      </w:r>
      <w:r>
        <w:rPr>
          <w:rFonts w:hint="eastAsia" w:ascii="仿宋" w:hAnsi="仿宋" w:eastAsia="仿宋" w:cs="仿宋"/>
          <w:color w:val="auto"/>
          <w:highlight w:val="none"/>
        </w:rPr>
        <w:t>的董事、监事；</w:t>
      </w:r>
    </w:p>
    <w:p w14:paraId="7E046CCC">
      <w:pPr>
        <w:pStyle w:val="47"/>
        <w:ind w:firstLine="560"/>
        <w:rPr>
          <w:rFonts w:hint="eastAsia" w:ascii="仿宋" w:hAnsi="仿宋" w:eastAsia="仿宋" w:cs="仿宋"/>
          <w:color w:val="auto"/>
          <w:highlight w:val="none"/>
        </w:rPr>
      </w:pPr>
      <w:r>
        <w:rPr>
          <w:rFonts w:hint="eastAsia" w:ascii="仿宋" w:hAnsi="仿宋" w:eastAsia="仿宋" w:cs="仿宋"/>
          <w:color w:val="auto"/>
          <w:highlight w:val="none"/>
        </w:rPr>
        <w:t>（3）参加采购活动前3年内是</w:t>
      </w:r>
      <w:r>
        <w:rPr>
          <w:rFonts w:hint="eastAsia" w:ascii="仿宋" w:hAnsi="仿宋" w:eastAsia="仿宋" w:cs="仿宋"/>
          <w:color w:val="auto"/>
          <w:highlight w:val="none"/>
          <w:lang w:eastAsia="zh-CN"/>
        </w:rPr>
        <w:t>投标人</w:t>
      </w:r>
      <w:r>
        <w:rPr>
          <w:rFonts w:hint="eastAsia" w:ascii="仿宋" w:hAnsi="仿宋" w:eastAsia="仿宋" w:cs="仿宋"/>
          <w:color w:val="auto"/>
          <w:highlight w:val="none"/>
        </w:rPr>
        <w:t>的控股股东或者实际控制人；</w:t>
      </w:r>
    </w:p>
    <w:p w14:paraId="74DA9E28">
      <w:pPr>
        <w:pStyle w:val="47"/>
        <w:ind w:firstLine="560"/>
        <w:rPr>
          <w:rFonts w:hint="eastAsia" w:ascii="仿宋" w:hAnsi="仿宋" w:eastAsia="仿宋" w:cs="仿宋"/>
          <w:color w:val="auto"/>
          <w:highlight w:val="none"/>
        </w:rPr>
      </w:pPr>
      <w:r>
        <w:rPr>
          <w:rFonts w:hint="eastAsia" w:ascii="仿宋" w:hAnsi="仿宋" w:eastAsia="仿宋" w:cs="仿宋"/>
          <w:color w:val="auto"/>
          <w:highlight w:val="none"/>
        </w:rPr>
        <w:t>（4）与</w:t>
      </w:r>
      <w:r>
        <w:rPr>
          <w:rFonts w:hint="eastAsia" w:ascii="仿宋" w:hAnsi="仿宋" w:eastAsia="仿宋" w:cs="仿宋"/>
          <w:color w:val="auto"/>
          <w:highlight w:val="none"/>
          <w:lang w:eastAsia="zh-CN"/>
        </w:rPr>
        <w:t>投标人</w:t>
      </w:r>
      <w:r>
        <w:rPr>
          <w:rFonts w:hint="eastAsia" w:ascii="仿宋" w:hAnsi="仿宋" w:eastAsia="仿宋" w:cs="仿宋"/>
          <w:color w:val="auto"/>
          <w:highlight w:val="none"/>
        </w:rPr>
        <w:t>的法定代表人或者负责人有夫妻、直系血亲、三代以内旁系血亲或者近姻亲关系；</w:t>
      </w:r>
    </w:p>
    <w:p w14:paraId="323E6623">
      <w:pPr>
        <w:pStyle w:val="47"/>
        <w:ind w:firstLine="560"/>
        <w:rPr>
          <w:rFonts w:hint="eastAsia" w:ascii="仿宋" w:hAnsi="仿宋" w:eastAsia="仿宋" w:cs="仿宋"/>
          <w:color w:val="auto"/>
          <w:highlight w:val="none"/>
        </w:rPr>
      </w:pPr>
      <w:r>
        <w:rPr>
          <w:rFonts w:hint="eastAsia" w:ascii="仿宋" w:hAnsi="仿宋" w:eastAsia="仿宋" w:cs="仿宋"/>
          <w:color w:val="auto"/>
          <w:highlight w:val="none"/>
        </w:rPr>
        <w:t>（5）与</w:t>
      </w:r>
      <w:r>
        <w:rPr>
          <w:rFonts w:hint="eastAsia" w:ascii="仿宋" w:hAnsi="仿宋" w:eastAsia="仿宋" w:cs="仿宋"/>
          <w:color w:val="auto"/>
          <w:highlight w:val="none"/>
          <w:lang w:eastAsia="zh-CN"/>
        </w:rPr>
        <w:t>投标人</w:t>
      </w:r>
      <w:r>
        <w:rPr>
          <w:rFonts w:hint="eastAsia" w:ascii="仿宋" w:hAnsi="仿宋" w:eastAsia="仿宋" w:cs="仿宋"/>
          <w:color w:val="auto"/>
          <w:highlight w:val="none"/>
        </w:rPr>
        <w:t>有其他可能影响采购活动公平、公正进行的关系。</w:t>
      </w:r>
    </w:p>
    <w:p w14:paraId="0EC5375D">
      <w:pPr>
        <w:pStyle w:val="6"/>
        <w:ind w:left="560" w:leftChars="200" w:firstLine="0" w:firstLineChars="0"/>
        <w:rPr>
          <w:rFonts w:hint="eastAsia" w:ascii="仿宋" w:hAnsi="仿宋" w:eastAsia="仿宋" w:cs="仿宋"/>
          <w:color w:val="auto"/>
          <w:highlight w:val="none"/>
        </w:rPr>
      </w:pPr>
      <w:bookmarkStart w:id="180" w:name="_Toc163492858"/>
      <w:bookmarkStart w:id="181" w:name="_Toc140132791"/>
      <w:r>
        <w:rPr>
          <w:rFonts w:hint="eastAsia" w:ascii="仿宋" w:hAnsi="仿宋" w:eastAsia="仿宋" w:cs="仿宋"/>
          <w:color w:val="auto"/>
          <w:highlight w:val="none"/>
        </w:rPr>
        <w:t>31.评标</w:t>
      </w:r>
      <w:bookmarkEnd w:id="180"/>
      <w:bookmarkEnd w:id="181"/>
    </w:p>
    <w:p w14:paraId="4D7B83F0">
      <w:pPr>
        <w:pStyle w:val="47"/>
        <w:ind w:firstLine="560"/>
        <w:rPr>
          <w:rFonts w:hint="eastAsia" w:ascii="仿宋" w:hAnsi="仿宋" w:eastAsia="仿宋" w:cs="仿宋"/>
          <w:color w:val="auto"/>
          <w:highlight w:val="none"/>
        </w:rPr>
      </w:pPr>
      <w:r>
        <w:rPr>
          <w:rFonts w:hint="eastAsia" w:ascii="仿宋" w:hAnsi="仿宋" w:eastAsia="仿宋" w:cs="仿宋"/>
          <w:color w:val="auto"/>
          <w:highlight w:val="none"/>
        </w:rPr>
        <w:t>3</w:t>
      </w:r>
      <w:r>
        <w:rPr>
          <w:rFonts w:hint="eastAsia" w:ascii="仿宋" w:hAnsi="仿宋" w:eastAsia="仿宋" w:cs="仿宋"/>
          <w:color w:val="auto"/>
          <w:highlight w:val="none"/>
          <w:lang w:val="en-US"/>
        </w:rPr>
        <w:t>1</w:t>
      </w:r>
      <w:r>
        <w:rPr>
          <w:rFonts w:hint="eastAsia" w:ascii="仿宋" w:hAnsi="仿宋" w:eastAsia="仿宋" w:cs="仿宋"/>
          <w:color w:val="auto"/>
          <w:highlight w:val="none"/>
        </w:rPr>
        <w:t>.1</w:t>
      </w: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rPr>
        <w:t>评标委员会按照第五章“评标方法及标准”规定对投标文件进行评审。“评标办法”没有规定的方法、评审因素和标准，不作为评标依据。</w:t>
      </w:r>
    </w:p>
    <w:p w14:paraId="7FEEA5F9">
      <w:pPr>
        <w:pStyle w:val="47"/>
        <w:ind w:firstLine="560"/>
        <w:rPr>
          <w:rFonts w:hint="eastAsia" w:ascii="仿宋" w:hAnsi="仿宋" w:eastAsia="仿宋" w:cs="仿宋"/>
          <w:color w:val="auto"/>
          <w:highlight w:val="none"/>
        </w:rPr>
      </w:pPr>
      <w:r>
        <w:rPr>
          <w:rFonts w:hint="eastAsia" w:ascii="仿宋" w:hAnsi="仿宋" w:eastAsia="仿宋" w:cs="仿宋"/>
          <w:color w:val="auto"/>
          <w:highlight w:val="none"/>
        </w:rPr>
        <w:t>3</w:t>
      </w:r>
      <w:r>
        <w:rPr>
          <w:rFonts w:hint="eastAsia" w:ascii="仿宋" w:hAnsi="仿宋" w:eastAsia="仿宋" w:cs="仿宋"/>
          <w:color w:val="auto"/>
          <w:highlight w:val="none"/>
          <w:lang w:val="en-US"/>
        </w:rPr>
        <w:t>1</w:t>
      </w:r>
      <w:r>
        <w:rPr>
          <w:rFonts w:hint="eastAsia" w:ascii="仿宋" w:hAnsi="仿宋" w:eastAsia="仿宋" w:cs="仿宋"/>
          <w:color w:val="auto"/>
          <w:highlight w:val="none"/>
        </w:rPr>
        <w:t>.2</w:t>
      </w: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rPr>
        <w:t>评标委员会按“</w:t>
      </w:r>
      <w:r>
        <w:rPr>
          <w:rFonts w:hint="eastAsia" w:ascii="仿宋" w:hAnsi="仿宋" w:eastAsia="仿宋" w:cs="仿宋"/>
          <w:color w:val="auto"/>
          <w:highlight w:val="none"/>
          <w:lang w:eastAsia="zh-CN"/>
        </w:rPr>
        <w:t>投标人</w:t>
      </w:r>
      <w:r>
        <w:rPr>
          <w:rFonts w:hint="eastAsia" w:ascii="仿宋" w:hAnsi="仿宋" w:eastAsia="仿宋" w:cs="仿宋"/>
          <w:color w:val="auto"/>
          <w:highlight w:val="none"/>
        </w:rPr>
        <w:t>须知前附表”规定的中标候选人数量在评标报告中向采购人推荐中标候选人。</w:t>
      </w:r>
    </w:p>
    <w:p w14:paraId="2E9FDB68">
      <w:pPr>
        <w:pStyle w:val="5"/>
        <w:ind w:firstLine="602"/>
        <w:rPr>
          <w:rFonts w:hint="eastAsia" w:ascii="仿宋" w:hAnsi="仿宋" w:eastAsia="仿宋" w:cs="仿宋"/>
          <w:color w:val="auto"/>
          <w:highlight w:val="none"/>
        </w:rPr>
      </w:pPr>
      <w:bookmarkStart w:id="182" w:name="_Toc155185879"/>
      <w:bookmarkStart w:id="183" w:name="_Toc140132792"/>
      <w:bookmarkStart w:id="184" w:name="_Toc9438"/>
      <w:bookmarkStart w:id="185" w:name="_Toc4502"/>
      <w:bookmarkStart w:id="186" w:name="_Toc163492859"/>
      <w:bookmarkStart w:id="187" w:name="_Toc6687"/>
      <w:r>
        <w:rPr>
          <w:rFonts w:hint="eastAsia" w:ascii="仿宋" w:hAnsi="仿宋" w:eastAsia="仿宋" w:cs="仿宋"/>
          <w:color w:val="auto"/>
          <w:highlight w:val="none"/>
        </w:rPr>
        <w:t>（八）中标</w:t>
      </w:r>
      <w:bookmarkEnd w:id="182"/>
      <w:bookmarkEnd w:id="183"/>
      <w:bookmarkEnd w:id="184"/>
      <w:bookmarkEnd w:id="185"/>
      <w:bookmarkEnd w:id="186"/>
      <w:bookmarkEnd w:id="187"/>
    </w:p>
    <w:p w14:paraId="02BB5964">
      <w:pPr>
        <w:pStyle w:val="6"/>
        <w:ind w:left="560" w:leftChars="200" w:firstLine="0" w:firstLineChars="0"/>
        <w:rPr>
          <w:rFonts w:hint="eastAsia" w:ascii="仿宋" w:hAnsi="仿宋" w:eastAsia="仿宋" w:cs="仿宋"/>
          <w:color w:val="auto"/>
          <w:highlight w:val="none"/>
        </w:rPr>
      </w:pPr>
      <w:bookmarkStart w:id="188" w:name="_Toc163492860"/>
      <w:bookmarkStart w:id="189" w:name="_Toc140132793"/>
      <w:r>
        <w:rPr>
          <w:rFonts w:hint="eastAsia" w:ascii="仿宋" w:hAnsi="仿宋" w:eastAsia="仿宋" w:cs="仿宋"/>
          <w:color w:val="auto"/>
          <w:highlight w:val="none"/>
        </w:rPr>
        <w:t>32.确定中标人</w:t>
      </w:r>
      <w:bookmarkEnd w:id="188"/>
      <w:bookmarkEnd w:id="189"/>
    </w:p>
    <w:p w14:paraId="570A1683">
      <w:pPr>
        <w:pStyle w:val="47"/>
        <w:ind w:firstLine="560"/>
        <w:rPr>
          <w:rFonts w:hint="eastAsia" w:ascii="仿宋" w:hAnsi="仿宋" w:eastAsia="仿宋" w:cs="仿宋"/>
          <w:color w:val="auto"/>
          <w:highlight w:val="none"/>
        </w:rPr>
      </w:pPr>
      <w:r>
        <w:rPr>
          <w:rFonts w:hint="eastAsia" w:ascii="仿宋" w:hAnsi="仿宋" w:eastAsia="仿宋" w:cs="仿宋"/>
          <w:bCs/>
          <w:color w:val="auto"/>
          <w:highlight w:val="none"/>
        </w:rPr>
        <w:t>3</w:t>
      </w:r>
      <w:r>
        <w:rPr>
          <w:rFonts w:hint="eastAsia" w:ascii="仿宋" w:hAnsi="仿宋" w:eastAsia="仿宋" w:cs="仿宋"/>
          <w:bCs/>
          <w:color w:val="auto"/>
          <w:highlight w:val="none"/>
          <w:lang w:val="en-US"/>
        </w:rPr>
        <w:t>2</w:t>
      </w:r>
      <w:r>
        <w:rPr>
          <w:rFonts w:hint="eastAsia" w:ascii="仿宋" w:hAnsi="仿宋" w:eastAsia="仿宋" w:cs="仿宋"/>
          <w:color w:val="auto"/>
          <w:highlight w:val="none"/>
        </w:rPr>
        <w:t>.1</w:t>
      </w: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rPr>
        <w:t>确定中标人详见“</w:t>
      </w:r>
      <w:r>
        <w:rPr>
          <w:rFonts w:hint="eastAsia" w:ascii="仿宋" w:hAnsi="仿宋" w:eastAsia="仿宋" w:cs="仿宋"/>
          <w:color w:val="auto"/>
          <w:highlight w:val="none"/>
          <w:lang w:eastAsia="zh-CN"/>
        </w:rPr>
        <w:t>投标人</w:t>
      </w:r>
      <w:r>
        <w:rPr>
          <w:rFonts w:hint="eastAsia" w:ascii="仿宋" w:hAnsi="仿宋" w:eastAsia="仿宋" w:cs="仿宋"/>
          <w:color w:val="auto"/>
          <w:highlight w:val="none"/>
        </w:rPr>
        <w:t>须知前附表”。</w:t>
      </w:r>
    </w:p>
    <w:p w14:paraId="64E436DE">
      <w:pPr>
        <w:pStyle w:val="6"/>
        <w:ind w:left="560" w:leftChars="200" w:firstLine="0" w:firstLineChars="0"/>
        <w:rPr>
          <w:rFonts w:hint="eastAsia" w:ascii="仿宋" w:hAnsi="仿宋" w:eastAsia="仿宋" w:cs="仿宋"/>
          <w:color w:val="auto"/>
          <w:highlight w:val="none"/>
        </w:rPr>
      </w:pPr>
      <w:bookmarkStart w:id="190" w:name="_Toc163492861"/>
      <w:bookmarkStart w:id="191" w:name="_Toc140132794"/>
      <w:r>
        <w:rPr>
          <w:rFonts w:hint="eastAsia" w:ascii="仿宋" w:hAnsi="仿宋" w:eastAsia="仿宋" w:cs="仿宋"/>
          <w:color w:val="auto"/>
          <w:highlight w:val="none"/>
        </w:rPr>
        <w:t>33.中标结果公告</w:t>
      </w:r>
      <w:bookmarkEnd w:id="190"/>
      <w:bookmarkEnd w:id="191"/>
    </w:p>
    <w:p w14:paraId="516F99CE">
      <w:pPr>
        <w:pStyle w:val="47"/>
        <w:ind w:firstLine="560"/>
        <w:rPr>
          <w:rFonts w:hint="eastAsia" w:ascii="仿宋" w:hAnsi="仿宋" w:eastAsia="仿宋" w:cs="仿宋"/>
          <w:color w:val="auto"/>
          <w:highlight w:val="none"/>
        </w:rPr>
      </w:pPr>
      <w:r>
        <w:rPr>
          <w:rFonts w:hint="eastAsia" w:ascii="仿宋" w:hAnsi="仿宋" w:eastAsia="仿宋" w:cs="仿宋"/>
          <w:bCs/>
          <w:color w:val="auto"/>
          <w:highlight w:val="none"/>
        </w:rPr>
        <w:t>3</w:t>
      </w:r>
      <w:r>
        <w:rPr>
          <w:rFonts w:hint="eastAsia" w:ascii="仿宋" w:hAnsi="仿宋" w:eastAsia="仿宋" w:cs="仿宋"/>
          <w:bCs/>
          <w:color w:val="auto"/>
          <w:highlight w:val="none"/>
          <w:lang w:val="en-US"/>
        </w:rPr>
        <w:t>3</w:t>
      </w:r>
      <w:r>
        <w:rPr>
          <w:rFonts w:hint="eastAsia" w:ascii="仿宋" w:hAnsi="仿宋" w:eastAsia="仿宋" w:cs="仿宋"/>
          <w:color w:val="auto"/>
          <w:highlight w:val="none"/>
        </w:rPr>
        <w:t>.1</w:t>
      </w: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rPr>
        <w:t>采购代理机构应当自中标人确定之日起2个工作日内，发出中标通知书，并在云南省政府采购网（http://www.ccgp-yunnan.gov.cn/）上发布中标结果公告，</w:t>
      </w:r>
      <w:r>
        <w:rPr>
          <w:rFonts w:hint="eastAsia" w:ascii="仿宋" w:hAnsi="仿宋" w:eastAsia="仿宋" w:cs="仿宋"/>
          <w:color w:val="auto"/>
          <w:highlight w:val="none"/>
          <w:lang w:eastAsia="zh-CN"/>
        </w:rPr>
        <w:t>招标文件</w:t>
      </w:r>
      <w:r>
        <w:rPr>
          <w:rFonts w:hint="eastAsia" w:ascii="仿宋" w:hAnsi="仿宋" w:eastAsia="仿宋" w:cs="仿宋"/>
          <w:color w:val="auto"/>
          <w:highlight w:val="none"/>
        </w:rPr>
        <w:t>随中标结果同时公告，中标结果公告期限为1个工作日。</w:t>
      </w:r>
    </w:p>
    <w:p w14:paraId="6735EC4C">
      <w:pPr>
        <w:pStyle w:val="47"/>
        <w:ind w:firstLine="560"/>
        <w:rPr>
          <w:rFonts w:hint="eastAsia" w:ascii="仿宋" w:hAnsi="仿宋" w:eastAsia="仿宋" w:cs="仿宋"/>
          <w:color w:val="auto"/>
          <w:highlight w:val="none"/>
        </w:rPr>
      </w:pPr>
      <w:r>
        <w:rPr>
          <w:rFonts w:hint="eastAsia" w:ascii="仿宋" w:hAnsi="仿宋" w:eastAsia="仿宋" w:cs="仿宋"/>
          <w:color w:val="auto"/>
          <w:highlight w:val="none"/>
        </w:rPr>
        <w:t>3</w:t>
      </w:r>
      <w:r>
        <w:rPr>
          <w:rFonts w:hint="eastAsia" w:ascii="仿宋" w:hAnsi="仿宋" w:eastAsia="仿宋" w:cs="仿宋"/>
          <w:color w:val="auto"/>
          <w:highlight w:val="none"/>
          <w:lang w:val="en-US"/>
        </w:rPr>
        <w:t>3</w:t>
      </w:r>
      <w:r>
        <w:rPr>
          <w:rFonts w:hint="eastAsia" w:ascii="仿宋" w:hAnsi="仿宋" w:eastAsia="仿宋" w:cs="仿宋"/>
          <w:color w:val="auto"/>
          <w:highlight w:val="none"/>
        </w:rPr>
        <w:t>.2</w:t>
      </w: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rPr>
        <w:t>项目采购采用综合评分法的，公告中标结果时同时公告中标</w:t>
      </w:r>
      <w:r>
        <w:rPr>
          <w:rFonts w:hint="eastAsia" w:ascii="仿宋" w:hAnsi="仿宋" w:eastAsia="仿宋" w:cs="仿宋"/>
          <w:color w:val="auto"/>
          <w:highlight w:val="none"/>
          <w:lang w:eastAsia="zh-CN"/>
        </w:rPr>
        <w:t>投标人</w:t>
      </w:r>
      <w:r>
        <w:rPr>
          <w:rFonts w:hint="eastAsia" w:ascii="仿宋" w:hAnsi="仿宋" w:eastAsia="仿宋" w:cs="仿宋"/>
          <w:color w:val="auto"/>
          <w:highlight w:val="none"/>
        </w:rPr>
        <w:t>的评审总得分。</w:t>
      </w:r>
    </w:p>
    <w:p w14:paraId="398E5A02">
      <w:pPr>
        <w:pStyle w:val="6"/>
        <w:ind w:left="560" w:leftChars="200" w:firstLine="0" w:firstLineChars="0"/>
        <w:rPr>
          <w:rFonts w:hint="eastAsia" w:ascii="仿宋" w:hAnsi="仿宋" w:eastAsia="仿宋" w:cs="仿宋"/>
          <w:color w:val="auto"/>
          <w:highlight w:val="none"/>
        </w:rPr>
      </w:pPr>
      <w:bookmarkStart w:id="192" w:name="_Toc163492862"/>
      <w:bookmarkStart w:id="193" w:name="_Toc140132795"/>
      <w:r>
        <w:rPr>
          <w:rFonts w:hint="eastAsia" w:ascii="仿宋" w:hAnsi="仿宋" w:eastAsia="仿宋" w:cs="仿宋"/>
          <w:color w:val="auto"/>
          <w:highlight w:val="none"/>
        </w:rPr>
        <w:t>34.中标通知</w:t>
      </w:r>
      <w:bookmarkEnd w:id="192"/>
      <w:bookmarkEnd w:id="193"/>
    </w:p>
    <w:p w14:paraId="3AC41EE8">
      <w:pPr>
        <w:pStyle w:val="47"/>
        <w:ind w:firstLine="560"/>
        <w:rPr>
          <w:rFonts w:hint="eastAsia" w:ascii="仿宋" w:hAnsi="仿宋" w:eastAsia="仿宋" w:cs="仿宋"/>
          <w:color w:val="auto"/>
          <w:highlight w:val="none"/>
        </w:rPr>
      </w:pPr>
      <w:r>
        <w:rPr>
          <w:rFonts w:hint="eastAsia" w:ascii="仿宋" w:hAnsi="仿宋" w:eastAsia="仿宋" w:cs="仿宋"/>
          <w:bCs/>
          <w:color w:val="auto"/>
          <w:highlight w:val="none"/>
        </w:rPr>
        <w:t>3</w:t>
      </w:r>
      <w:r>
        <w:rPr>
          <w:rFonts w:hint="eastAsia" w:ascii="仿宋" w:hAnsi="仿宋" w:eastAsia="仿宋" w:cs="仿宋"/>
          <w:bCs/>
          <w:color w:val="auto"/>
          <w:highlight w:val="none"/>
          <w:lang w:val="en-US"/>
        </w:rPr>
        <w:t>4</w:t>
      </w:r>
      <w:r>
        <w:rPr>
          <w:rFonts w:hint="eastAsia" w:ascii="仿宋" w:hAnsi="仿宋" w:eastAsia="仿宋" w:cs="仿宋"/>
          <w:color w:val="auto"/>
          <w:highlight w:val="none"/>
        </w:rPr>
        <w:t>.1</w:t>
      </w: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rPr>
        <w:t>采购人和采购代理机构以书面形式向中标人发出中标通知书，同时将招标结果通知未中标的</w:t>
      </w:r>
      <w:r>
        <w:rPr>
          <w:rFonts w:hint="eastAsia" w:ascii="仿宋" w:hAnsi="仿宋" w:eastAsia="仿宋" w:cs="仿宋"/>
          <w:color w:val="auto"/>
          <w:highlight w:val="none"/>
          <w:lang w:eastAsia="zh-CN"/>
        </w:rPr>
        <w:t>投标人</w:t>
      </w:r>
      <w:r>
        <w:rPr>
          <w:rFonts w:hint="eastAsia" w:ascii="仿宋" w:hAnsi="仿宋" w:eastAsia="仿宋" w:cs="仿宋"/>
          <w:color w:val="auto"/>
          <w:highlight w:val="none"/>
        </w:rPr>
        <w:t>。对未通过资格审查的</w:t>
      </w:r>
      <w:r>
        <w:rPr>
          <w:rFonts w:hint="eastAsia" w:ascii="仿宋" w:hAnsi="仿宋" w:eastAsia="仿宋" w:cs="仿宋"/>
          <w:color w:val="auto"/>
          <w:highlight w:val="none"/>
          <w:lang w:eastAsia="zh-CN"/>
        </w:rPr>
        <w:t>投标人</w:t>
      </w:r>
      <w:r>
        <w:rPr>
          <w:rFonts w:hint="eastAsia" w:ascii="仿宋" w:hAnsi="仿宋" w:eastAsia="仿宋" w:cs="仿宋"/>
          <w:color w:val="auto"/>
          <w:highlight w:val="none"/>
        </w:rPr>
        <w:t>，应当告知其未通过的原因；采</w:t>
      </w:r>
      <w:r>
        <w:rPr>
          <w:rFonts w:hint="eastAsia" w:ascii="仿宋" w:hAnsi="仿宋" w:eastAsia="仿宋" w:cs="仿宋"/>
          <w:color w:val="auto"/>
          <w:highlight w:val="none"/>
          <w:lang w:eastAsia="zh-CN"/>
        </w:rPr>
        <w:t>用</w:t>
      </w:r>
      <w:r>
        <w:rPr>
          <w:rFonts w:hint="eastAsia" w:ascii="仿宋" w:hAnsi="仿宋" w:eastAsia="仿宋" w:cs="仿宋"/>
          <w:color w:val="auto"/>
          <w:highlight w:val="none"/>
          <w:lang w:val="en-US" w:eastAsia="zh-CN"/>
        </w:rPr>
        <w:t>综合评分</w:t>
      </w:r>
      <w:r>
        <w:rPr>
          <w:rFonts w:hint="eastAsia" w:ascii="仿宋" w:hAnsi="仿宋" w:eastAsia="仿宋" w:cs="仿宋"/>
          <w:color w:val="auto"/>
          <w:highlight w:val="none"/>
        </w:rPr>
        <w:t>法评审的，还应当告知未中标人本人的评审得分与排序；</w:t>
      </w:r>
    </w:p>
    <w:p w14:paraId="26D93D01">
      <w:pPr>
        <w:pStyle w:val="47"/>
        <w:ind w:firstLine="560"/>
        <w:rPr>
          <w:rFonts w:hint="eastAsia" w:ascii="仿宋" w:hAnsi="仿宋" w:eastAsia="仿宋" w:cs="仿宋"/>
          <w:b/>
          <w:bCs/>
          <w:color w:val="auto"/>
          <w:highlight w:val="none"/>
          <w:lang w:val="en-US"/>
        </w:rPr>
      </w:pPr>
      <w:r>
        <w:rPr>
          <w:rFonts w:hint="eastAsia" w:ascii="仿宋" w:hAnsi="仿宋" w:eastAsia="仿宋" w:cs="仿宋"/>
          <w:b/>
          <w:bCs/>
          <w:color w:val="auto"/>
          <w:highlight w:val="none"/>
          <w:lang w:val="en-US" w:eastAsia="zh-CN"/>
        </w:rPr>
        <w:t>注：</w:t>
      </w:r>
      <w:r>
        <w:rPr>
          <w:rFonts w:hint="eastAsia" w:ascii="仿宋" w:hAnsi="仿宋" w:eastAsia="仿宋" w:cs="仿宋"/>
          <w:b/>
          <w:bCs/>
          <w:color w:val="auto"/>
          <w:highlight w:val="none"/>
          <w:lang w:val="en-US"/>
        </w:rPr>
        <w:t>本项目</w:t>
      </w:r>
      <w:r>
        <w:rPr>
          <w:rFonts w:hint="eastAsia" w:ascii="仿宋" w:hAnsi="仿宋" w:eastAsia="仿宋" w:cs="仿宋"/>
          <w:b/>
          <w:bCs/>
          <w:color w:val="auto"/>
          <w:highlight w:val="none"/>
        </w:rPr>
        <w:t>未通过资格审查的</w:t>
      </w:r>
      <w:r>
        <w:rPr>
          <w:rFonts w:hint="eastAsia" w:ascii="仿宋" w:hAnsi="仿宋" w:eastAsia="仿宋" w:cs="仿宋"/>
          <w:b/>
          <w:bCs/>
          <w:color w:val="auto"/>
          <w:highlight w:val="none"/>
          <w:lang w:eastAsia="zh-CN"/>
        </w:rPr>
        <w:t>投标人</w:t>
      </w:r>
      <w:r>
        <w:rPr>
          <w:rFonts w:hint="eastAsia" w:ascii="仿宋" w:hAnsi="仿宋" w:eastAsia="仿宋" w:cs="仿宋"/>
          <w:b/>
          <w:bCs/>
          <w:color w:val="auto"/>
          <w:highlight w:val="none"/>
          <w:lang w:val="en-US" w:eastAsia="zh-CN"/>
        </w:rPr>
        <w:t>或未通过符合性审查的</w:t>
      </w:r>
      <w:r>
        <w:rPr>
          <w:rFonts w:hint="eastAsia" w:ascii="仿宋" w:hAnsi="仿宋" w:eastAsia="仿宋" w:cs="仿宋"/>
          <w:b/>
          <w:bCs/>
          <w:color w:val="auto"/>
          <w:highlight w:val="none"/>
          <w:lang w:eastAsia="zh-CN"/>
        </w:rPr>
        <w:t>投标人</w:t>
      </w:r>
      <w:r>
        <w:rPr>
          <w:rFonts w:hint="eastAsia" w:ascii="仿宋" w:hAnsi="仿宋" w:eastAsia="仿宋" w:cs="仿宋"/>
          <w:b/>
          <w:bCs/>
          <w:color w:val="auto"/>
          <w:highlight w:val="none"/>
          <w:lang w:val="en-US" w:eastAsia="zh-CN"/>
        </w:rPr>
        <w:t>或</w:t>
      </w:r>
      <w:r>
        <w:rPr>
          <w:rFonts w:hint="eastAsia" w:ascii="仿宋" w:hAnsi="仿宋" w:eastAsia="仿宋" w:cs="仿宋"/>
          <w:b/>
          <w:bCs/>
          <w:color w:val="auto"/>
          <w:highlight w:val="none"/>
        </w:rPr>
        <w:t>未中标人本人的评审得分与排序</w:t>
      </w:r>
      <w:r>
        <w:rPr>
          <w:rFonts w:hint="eastAsia" w:ascii="仿宋" w:hAnsi="仿宋" w:eastAsia="仿宋" w:cs="仿宋"/>
          <w:b/>
          <w:bCs/>
          <w:color w:val="auto"/>
          <w:highlight w:val="none"/>
          <w:lang w:eastAsia="zh-CN"/>
        </w:rPr>
        <w:t>，</w:t>
      </w:r>
      <w:r>
        <w:rPr>
          <w:rFonts w:hint="eastAsia" w:ascii="仿宋" w:hAnsi="仿宋" w:eastAsia="仿宋" w:cs="仿宋"/>
          <w:b/>
          <w:bCs/>
          <w:color w:val="auto"/>
          <w:highlight w:val="none"/>
          <w:lang w:val="en-US" w:eastAsia="zh-CN"/>
        </w:rPr>
        <w:t>请投标人</w:t>
      </w:r>
      <w:r>
        <w:rPr>
          <w:rFonts w:hint="eastAsia" w:ascii="仿宋" w:hAnsi="仿宋" w:eastAsia="仿宋" w:cs="仿宋"/>
          <w:b/>
          <w:bCs/>
          <w:color w:val="auto"/>
          <w:highlight w:val="none"/>
          <w:lang w:val="en-US"/>
        </w:rPr>
        <w:t>通过“政采云”平台自行查看相关信息。</w:t>
      </w:r>
    </w:p>
    <w:p w14:paraId="381AF2C5">
      <w:pPr>
        <w:pStyle w:val="5"/>
        <w:ind w:firstLine="602"/>
        <w:rPr>
          <w:rFonts w:hint="eastAsia" w:ascii="仿宋" w:hAnsi="仿宋" w:eastAsia="仿宋" w:cs="仿宋"/>
          <w:color w:val="auto"/>
          <w:highlight w:val="none"/>
        </w:rPr>
      </w:pPr>
      <w:bookmarkStart w:id="194" w:name="_Toc17199"/>
      <w:bookmarkStart w:id="195" w:name="_Toc163492863"/>
      <w:bookmarkStart w:id="196" w:name="_Toc9506"/>
      <w:bookmarkStart w:id="197" w:name="_Toc29011"/>
      <w:r>
        <w:rPr>
          <w:rFonts w:hint="eastAsia" w:ascii="仿宋" w:hAnsi="仿宋" w:eastAsia="仿宋" w:cs="仿宋"/>
          <w:color w:val="auto"/>
          <w:highlight w:val="none"/>
        </w:rPr>
        <w:t>（九）签订</w:t>
      </w:r>
      <w:bookmarkStart w:id="198" w:name="_Toc155185880"/>
      <w:bookmarkStart w:id="199" w:name="_Toc140132796"/>
      <w:r>
        <w:rPr>
          <w:rFonts w:hint="eastAsia" w:ascii="仿宋" w:hAnsi="仿宋" w:eastAsia="仿宋" w:cs="仿宋"/>
          <w:color w:val="auto"/>
          <w:highlight w:val="none"/>
        </w:rPr>
        <w:t>合同</w:t>
      </w:r>
      <w:bookmarkEnd w:id="194"/>
      <w:bookmarkEnd w:id="195"/>
      <w:bookmarkEnd w:id="196"/>
      <w:bookmarkEnd w:id="197"/>
      <w:bookmarkEnd w:id="198"/>
      <w:bookmarkEnd w:id="199"/>
    </w:p>
    <w:p w14:paraId="08078F9F">
      <w:pPr>
        <w:pStyle w:val="6"/>
        <w:ind w:left="560" w:leftChars="200" w:firstLine="0" w:firstLineChars="0"/>
        <w:rPr>
          <w:rFonts w:hint="eastAsia" w:ascii="仿宋" w:hAnsi="仿宋" w:eastAsia="仿宋" w:cs="仿宋"/>
          <w:color w:val="auto"/>
          <w:highlight w:val="none"/>
        </w:rPr>
      </w:pPr>
      <w:bookmarkStart w:id="200" w:name="_Toc163492864"/>
      <w:bookmarkStart w:id="201" w:name="_Toc140132797"/>
      <w:r>
        <w:rPr>
          <w:rFonts w:hint="eastAsia" w:ascii="仿宋" w:hAnsi="仿宋" w:eastAsia="仿宋" w:cs="仿宋"/>
          <w:color w:val="auto"/>
          <w:highlight w:val="none"/>
        </w:rPr>
        <w:t>35.履约保证金</w:t>
      </w:r>
      <w:bookmarkEnd w:id="200"/>
      <w:bookmarkEnd w:id="201"/>
    </w:p>
    <w:p w14:paraId="592B328E">
      <w:pPr>
        <w:pStyle w:val="47"/>
        <w:ind w:firstLine="560"/>
        <w:rPr>
          <w:rFonts w:hint="eastAsia" w:ascii="仿宋" w:hAnsi="仿宋" w:eastAsia="仿宋" w:cs="仿宋"/>
          <w:color w:val="auto"/>
          <w:highlight w:val="none"/>
        </w:rPr>
      </w:pPr>
      <w:r>
        <w:rPr>
          <w:rFonts w:hint="eastAsia" w:ascii="仿宋" w:hAnsi="仿宋" w:eastAsia="仿宋" w:cs="仿宋"/>
          <w:bCs/>
          <w:color w:val="auto"/>
          <w:highlight w:val="none"/>
        </w:rPr>
        <w:t>3</w:t>
      </w:r>
      <w:r>
        <w:rPr>
          <w:rFonts w:hint="eastAsia" w:ascii="仿宋" w:hAnsi="仿宋" w:eastAsia="仿宋" w:cs="仿宋"/>
          <w:bCs/>
          <w:color w:val="auto"/>
          <w:highlight w:val="none"/>
          <w:lang w:val="en-US"/>
        </w:rPr>
        <w:t>5</w:t>
      </w:r>
      <w:r>
        <w:rPr>
          <w:rFonts w:hint="eastAsia" w:ascii="仿宋" w:hAnsi="仿宋" w:eastAsia="仿宋" w:cs="仿宋"/>
          <w:color w:val="auto"/>
          <w:highlight w:val="none"/>
        </w:rPr>
        <w:t>.1</w:t>
      </w: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rPr>
        <w:t>在签订合同前，中标人应按“</w:t>
      </w:r>
      <w:r>
        <w:rPr>
          <w:rFonts w:hint="eastAsia" w:ascii="仿宋" w:hAnsi="仿宋" w:eastAsia="仿宋" w:cs="仿宋"/>
          <w:color w:val="auto"/>
          <w:highlight w:val="none"/>
          <w:lang w:eastAsia="zh-CN"/>
        </w:rPr>
        <w:t>投标人</w:t>
      </w:r>
      <w:r>
        <w:rPr>
          <w:rFonts w:hint="eastAsia" w:ascii="仿宋" w:hAnsi="仿宋" w:eastAsia="仿宋" w:cs="仿宋"/>
          <w:color w:val="auto"/>
          <w:highlight w:val="none"/>
        </w:rPr>
        <w:t>须知前附表”规定的金额、担保形式和采购人认可的履约担保格式向采购人提交履约保证金。</w:t>
      </w:r>
    </w:p>
    <w:p w14:paraId="1A20E98C">
      <w:pPr>
        <w:pStyle w:val="47"/>
        <w:ind w:firstLine="560"/>
        <w:rPr>
          <w:rFonts w:hint="eastAsia" w:ascii="仿宋" w:hAnsi="仿宋" w:eastAsia="仿宋" w:cs="仿宋"/>
          <w:color w:val="auto"/>
          <w:highlight w:val="none"/>
        </w:rPr>
      </w:pPr>
      <w:r>
        <w:rPr>
          <w:rFonts w:hint="eastAsia" w:ascii="仿宋" w:hAnsi="仿宋" w:eastAsia="仿宋" w:cs="仿宋"/>
          <w:bCs/>
          <w:color w:val="auto"/>
          <w:highlight w:val="none"/>
        </w:rPr>
        <w:t>3</w:t>
      </w:r>
      <w:r>
        <w:rPr>
          <w:rFonts w:hint="eastAsia" w:ascii="仿宋" w:hAnsi="仿宋" w:eastAsia="仿宋" w:cs="仿宋"/>
          <w:bCs/>
          <w:color w:val="auto"/>
          <w:highlight w:val="none"/>
          <w:lang w:val="en-US"/>
        </w:rPr>
        <w:t>5</w:t>
      </w:r>
      <w:r>
        <w:rPr>
          <w:rFonts w:hint="eastAsia" w:ascii="仿宋" w:hAnsi="仿宋" w:eastAsia="仿宋" w:cs="仿宋"/>
          <w:color w:val="auto"/>
          <w:highlight w:val="none"/>
        </w:rPr>
        <w:t>.2</w:t>
      </w: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rPr>
        <w:t>中标人不能按本章第3</w:t>
      </w:r>
      <w:r>
        <w:rPr>
          <w:rFonts w:hint="eastAsia" w:ascii="仿宋" w:hAnsi="仿宋" w:eastAsia="仿宋" w:cs="仿宋"/>
          <w:color w:val="auto"/>
          <w:highlight w:val="none"/>
          <w:lang w:val="en-US"/>
        </w:rPr>
        <w:t>5</w:t>
      </w:r>
      <w:r>
        <w:rPr>
          <w:rFonts w:hint="eastAsia" w:ascii="仿宋" w:hAnsi="仿宋" w:eastAsia="仿宋" w:cs="仿宋"/>
          <w:color w:val="auto"/>
          <w:highlight w:val="none"/>
        </w:rPr>
        <w:t>.1项要求提交履约担保的，视为放弃中标，给采购人造成损失的，中标人还应当承担民事责任。</w:t>
      </w:r>
    </w:p>
    <w:p w14:paraId="4E6C6DDF">
      <w:pPr>
        <w:pStyle w:val="6"/>
        <w:ind w:left="560" w:leftChars="200" w:firstLine="0" w:firstLineChars="0"/>
        <w:rPr>
          <w:rFonts w:hint="eastAsia" w:ascii="仿宋" w:hAnsi="仿宋" w:eastAsia="仿宋" w:cs="仿宋"/>
          <w:color w:val="auto"/>
          <w:highlight w:val="none"/>
        </w:rPr>
      </w:pPr>
      <w:bookmarkStart w:id="202" w:name="_Toc140132798"/>
      <w:bookmarkStart w:id="203" w:name="_Toc163492865"/>
      <w:r>
        <w:rPr>
          <w:rFonts w:hint="eastAsia" w:ascii="仿宋" w:hAnsi="仿宋" w:eastAsia="仿宋" w:cs="仿宋"/>
          <w:color w:val="auto"/>
          <w:highlight w:val="none"/>
        </w:rPr>
        <w:t>36.签订合同</w:t>
      </w:r>
      <w:bookmarkEnd w:id="202"/>
      <w:bookmarkEnd w:id="203"/>
    </w:p>
    <w:p w14:paraId="6A7B9241">
      <w:pPr>
        <w:pStyle w:val="47"/>
        <w:ind w:firstLine="560"/>
        <w:rPr>
          <w:rFonts w:hint="eastAsia" w:ascii="仿宋" w:hAnsi="仿宋" w:eastAsia="仿宋" w:cs="仿宋"/>
          <w:color w:val="auto"/>
          <w:highlight w:val="none"/>
        </w:rPr>
      </w:pPr>
      <w:r>
        <w:rPr>
          <w:rFonts w:hint="eastAsia" w:ascii="仿宋" w:hAnsi="仿宋" w:eastAsia="仿宋" w:cs="仿宋"/>
          <w:bCs/>
          <w:color w:val="auto"/>
          <w:highlight w:val="none"/>
        </w:rPr>
        <w:t>3</w:t>
      </w:r>
      <w:r>
        <w:rPr>
          <w:rFonts w:hint="eastAsia" w:ascii="仿宋" w:hAnsi="仿宋" w:eastAsia="仿宋" w:cs="仿宋"/>
          <w:bCs/>
          <w:color w:val="auto"/>
          <w:highlight w:val="none"/>
          <w:lang w:val="en-US"/>
        </w:rPr>
        <w:t>6</w:t>
      </w:r>
      <w:r>
        <w:rPr>
          <w:rFonts w:hint="eastAsia" w:ascii="仿宋" w:hAnsi="仿宋" w:eastAsia="仿宋" w:cs="仿宋"/>
          <w:color w:val="auto"/>
          <w:highlight w:val="none"/>
        </w:rPr>
        <w:t>.1 采购人和中标人应当自中标通知书发出之日起30天内，根据</w:t>
      </w:r>
      <w:r>
        <w:rPr>
          <w:rFonts w:hint="eastAsia" w:ascii="仿宋" w:hAnsi="仿宋" w:eastAsia="仿宋" w:cs="仿宋"/>
          <w:color w:val="auto"/>
          <w:highlight w:val="none"/>
          <w:lang w:eastAsia="zh-CN"/>
        </w:rPr>
        <w:t>招标文件</w:t>
      </w:r>
      <w:r>
        <w:rPr>
          <w:rFonts w:hint="eastAsia" w:ascii="仿宋" w:hAnsi="仿宋" w:eastAsia="仿宋" w:cs="仿宋"/>
          <w:color w:val="auto"/>
          <w:highlight w:val="none"/>
        </w:rPr>
        <w:t>和中标人的投标文件订立书面合同。采购人因不可抗力原因迟延签订合同的，应当自不可抗力事由消除之日起7日内完成合同签订事宜。所签订的合同不得对</w:t>
      </w:r>
      <w:r>
        <w:rPr>
          <w:rFonts w:hint="eastAsia" w:ascii="仿宋" w:hAnsi="仿宋" w:eastAsia="仿宋" w:cs="仿宋"/>
          <w:color w:val="auto"/>
          <w:highlight w:val="none"/>
          <w:lang w:eastAsia="zh-CN"/>
        </w:rPr>
        <w:t>招标文件</w:t>
      </w:r>
      <w:r>
        <w:rPr>
          <w:rFonts w:hint="eastAsia" w:ascii="仿宋" w:hAnsi="仿宋" w:eastAsia="仿宋" w:cs="仿宋"/>
          <w:color w:val="auto"/>
          <w:highlight w:val="none"/>
        </w:rPr>
        <w:t>和中标人投标文件作实质性修改。中标人无正当理由拒签合同的，给采购人造成损失的，中标人还应当承担民事责任。</w:t>
      </w:r>
    </w:p>
    <w:p w14:paraId="6E322D27">
      <w:pPr>
        <w:pStyle w:val="47"/>
        <w:ind w:firstLine="560"/>
        <w:rPr>
          <w:rFonts w:hint="eastAsia" w:ascii="仿宋" w:hAnsi="仿宋" w:eastAsia="仿宋" w:cs="仿宋"/>
          <w:color w:val="auto"/>
          <w:highlight w:val="none"/>
        </w:rPr>
      </w:pPr>
      <w:r>
        <w:rPr>
          <w:rFonts w:hint="eastAsia" w:ascii="仿宋" w:hAnsi="仿宋" w:eastAsia="仿宋" w:cs="仿宋"/>
          <w:bCs/>
          <w:color w:val="auto"/>
          <w:highlight w:val="none"/>
        </w:rPr>
        <w:t>3</w:t>
      </w:r>
      <w:r>
        <w:rPr>
          <w:rFonts w:hint="eastAsia" w:ascii="仿宋" w:hAnsi="仿宋" w:eastAsia="仿宋" w:cs="仿宋"/>
          <w:bCs/>
          <w:color w:val="auto"/>
          <w:highlight w:val="none"/>
          <w:lang w:val="en-US"/>
        </w:rPr>
        <w:t>6</w:t>
      </w:r>
      <w:r>
        <w:rPr>
          <w:rFonts w:hint="eastAsia" w:ascii="仿宋" w:hAnsi="仿宋" w:eastAsia="仿宋" w:cs="仿宋"/>
          <w:color w:val="auto"/>
          <w:highlight w:val="none"/>
        </w:rPr>
        <w:t>.2 采购人和中标人不得向对方提出任何不合理的要求，作为签订合同的条件，双方不得私下订立背离合同实质性内容的协议。</w:t>
      </w:r>
    </w:p>
    <w:p w14:paraId="4392E96D">
      <w:pPr>
        <w:pStyle w:val="47"/>
        <w:ind w:firstLine="560"/>
        <w:rPr>
          <w:rFonts w:hint="eastAsia" w:ascii="仿宋" w:hAnsi="仿宋" w:eastAsia="仿宋" w:cs="仿宋"/>
          <w:color w:val="auto"/>
          <w:highlight w:val="none"/>
        </w:rPr>
      </w:pPr>
      <w:r>
        <w:rPr>
          <w:rFonts w:hint="eastAsia" w:ascii="仿宋" w:hAnsi="仿宋" w:eastAsia="仿宋" w:cs="仿宋"/>
          <w:bCs/>
          <w:color w:val="auto"/>
          <w:highlight w:val="none"/>
        </w:rPr>
        <w:t>3</w:t>
      </w:r>
      <w:r>
        <w:rPr>
          <w:rFonts w:hint="eastAsia" w:ascii="仿宋" w:hAnsi="仿宋" w:eastAsia="仿宋" w:cs="仿宋"/>
          <w:bCs/>
          <w:color w:val="auto"/>
          <w:highlight w:val="none"/>
          <w:lang w:val="en-US"/>
        </w:rPr>
        <w:t>6</w:t>
      </w:r>
      <w:r>
        <w:rPr>
          <w:rFonts w:hint="eastAsia" w:ascii="仿宋" w:hAnsi="仿宋" w:eastAsia="仿宋" w:cs="仿宋"/>
          <w:color w:val="auto"/>
          <w:highlight w:val="none"/>
        </w:rPr>
        <w:t>.3</w:t>
      </w: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rPr>
        <w:t>采购合同履行中，采购人需追加与合同标的相同的服务的，在不改变合同其他条款的前提下，可以与中标人协商签订补充合同，但所有补充合同的采购金额不得超过原合同采购金额的</w:t>
      </w:r>
      <w:r>
        <w:rPr>
          <w:rFonts w:hint="eastAsia" w:ascii="仿宋" w:hAnsi="仿宋" w:eastAsia="仿宋" w:cs="仿宋"/>
          <w:color w:val="auto"/>
          <w:highlight w:val="none"/>
          <w:lang w:eastAsia="zh-CN"/>
        </w:rPr>
        <w:t>10%</w:t>
      </w:r>
      <w:r>
        <w:rPr>
          <w:rFonts w:hint="eastAsia" w:ascii="仿宋" w:hAnsi="仿宋" w:eastAsia="仿宋" w:cs="仿宋"/>
          <w:color w:val="auto"/>
          <w:highlight w:val="none"/>
        </w:rPr>
        <w:t>。</w:t>
      </w:r>
    </w:p>
    <w:p w14:paraId="10962A59">
      <w:pPr>
        <w:pStyle w:val="5"/>
        <w:ind w:firstLine="602"/>
        <w:rPr>
          <w:rFonts w:hint="eastAsia" w:ascii="仿宋" w:hAnsi="仿宋" w:eastAsia="仿宋" w:cs="仿宋"/>
          <w:color w:val="auto"/>
          <w:highlight w:val="none"/>
        </w:rPr>
      </w:pPr>
      <w:bookmarkStart w:id="204" w:name="_Toc155185881"/>
      <w:bookmarkStart w:id="205" w:name="_Toc27412"/>
      <w:bookmarkStart w:id="206" w:name="_Toc163492866"/>
      <w:bookmarkStart w:id="207" w:name="_Toc140132799"/>
      <w:bookmarkStart w:id="208" w:name="_Toc3793"/>
      <w:bookmarkStart w:id="209" w:name="_Toc1954"/>
      <w:r>
        <w:rPr>
          <w:rFonts w:hint="eastAsia" w:ascii="仿宋" w:hAnsi="仿宋" w:eastAsia="仿宋" w:cs="仿宋"/>
          <w:color w:val="auto"/>
          <w:highlight w:val="none"/>
        </w:rPr>
        <w:t>（十）质疑和投诉</w:t>
      </w:r>
      <w:bookmarkEnd w:id="204"/>
      <w:bookmarkEnd w:id="205"/>
      <w:bookmarkEnd w:id="206"/>
      <w:bookmarkEnd w:id="207"/>
      <w:bookmarkEnd w:id="208"/>
      <w:bookmarkEnd w:id="209"/>
    </w:p>
    <w:p w14:paraId="5449576E">
      <w:pPr>
        <w:pStyle w:val="6"/>
        <w:ind w:left="560" w:leftChars="200" w:firstLine="0" w:firstLineChars="0"/>
        <w:rPr>
          <w:rFonts w:hint="eastAsia" w:ascii="仿宋" w:hAnsi="仿宋" w:eastAsia="仿宋" w:cs="仿宋"/>
          <w:color w:val="auto"/>
          <w:highlight w:val="none"/>
        </w:rPr>
      </w:pPr>
      <w:bookmarkStart w:id="210" w:name="_Toc163492867"/>
      <w:bookmarkStart w:id="211" w:name="_Toc140132800"/>
      <w:r>
        <w:rPr>
          <w:rFonts w:hint="eastAsia" w:ascii="仿宋" w:hAnsi="仿宋" w:eastAsia="仿宋" w:cs="仿宋"/>
          <w:color w:val="auto"/>
          <w:highlight w:val="none"/>
        </w:rPr>
        <w:t>37.质疑</w:t>
      </w:r>
      <w:bookmarkEnd w:id="210"/>
      <w:bookmarkEnd w:id="211"/>
    </w:p>
    <w:p w14:paraId="644C01BA">
      <w:pPr>
        <w:pStyle w:val="47"/>
        <w:ind w:firstLine="560"/>
        <w:rPr>
          <w:rFonts w:hint="eastAsia" w:ascii="仿宋" w:hAnsi="仿宋" w:eastAsia="仿宋" w:cs="仿宋"/>
          <w:color w:val="auto"/>
          <w:highlight w:val="none"/>
        </w:rPr>
      </w:pPr>
      <w:r>
        <w:rPr>
          <w:rFonts w:hint="eastAsia" w:ascii="仿宋" w:hAnsi="仿宋" w:eastAsia="仿宋" w:cs="仿宋"/>
          <w:bCs/>
          <w:color w:val="auto"/>
          <w:highlight w:val="none"/>
        </w:rPr>
        <w:t>3</w:t>
      </w:r>
      <w:r>
        <w:rPr>
          <w:rFonts w:hint="eastAsia" w:ascii="仿宋" w:hAnsi="仿宋" w:eastAsia="仿宋" w:cs="仿宋"/>
          <w:bCs/>
          <w:color w:val="auto"/>
          <w:highlight w:val="none"/>
          <w:lang w:val="en-US"/>
        </w:rPr>
        <w:t>7</w:t>
      </w:r>
      <w:r>
        <w:rPr>
          <w:rFonts w:hint="eastAsia" w:ascii="仿宋" w:hAnsi="仿宋" w:eastAsia="仿宋" w:cs="仿宋"/>
          <w:color w:val="auto"/>
          <w:highlight w:val="none"/>
        </w:rPr>
        <w:t>.1</w:t>
      </w: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lang w:eastAsia="zh-CN"/>
        </w:rPr>
        <w:t>投标人</w:t>
      </w:r>
      <w:r>
        <w:rPr>
          <w:rFonts w:hint="eastAsia" w:ascii="仿宋" w:hAnsi="仿宋" w:eastAsia="仿宋" w:cs="仿宋"/>
          <w:color w:val="auto"/>
          <w:highlight w:val="none"/>
        </w:rPr>
        <w:t>认为</w:t>
      </w:r>
      <w:r>
        <w:rPr>
          <w:rFonts w:hint="eastAsia" w:ascii="仿宋" w:hAnsi="仿宋" w:eastAsia="仿宋" w:cs="仿宋"/>
          <w:color w:val="auto"/>
          <w:highlight w:val="none"/>
          <w:lang w:eastAsia="zh-CN"/>
        </w:rPr>
        <w:t>招标文件</w:t>
      </w:r>
      <w:r>
        <w:rPr>
          <w:rFonts w:hint="eastAsia" w:ascii="仿宋" w:hAnsi="仿宋" w:eastAsia="仿宋" w:cs="仿宋"/>
          <w:color w:val="auto"/>
          <w:highlight w:val="none"/>
        </w:rPr>
        <w:t>、招标过程和中标结果使自己的权益受到损害的，可以在知道或者应知其权益受到损害之日起7个工作日内</w:t>
      </w:r>
      <w:bookmarkStart w:id="212" w:name="_Hlk143534740"/>
      <w:r>
        <w:rPr>
          <w:rFonts w:hint="eastAsia" w:ascii="仿宋" w:hAnsi="仿宋" w:eastAsia="仿宋" w:cs="仿宋"/>
          <w:color w:val="auto"/>
          <w:highlight w:val="none"/>
        </w:rPr>
        <w:t>，向采购人或采购代理机构提出质疑</w:t>
      </w:r>
      <w:bookmarkEnd w:id="212"/>
      <w:r>
        <w:rPr>
          <w:rFonts w:hint="eastAsia" w:ascii="仿宋" w:hAnsi="仿宋" w:eastAsia="仿宋" w:cs="仿宋"/>
          <w:color w:val="auto"/>
          <w:highlight w:val="none"/>
        </w:rPr>
        <w:t>。</w:t>
      </w:r>
    </w:p>
    <w:p w14:paraId="2FA55541">
      <w:pPr>
        <w:pStyle w:val="47"/>
        <w:ind w:firstLine="560"/>
        <w:rPr>
          <w:rFonts w:hint="eastAsia" w:ascii="仿宋" w:hAnsi="仿宋" w:eastAsia="仿宋" w:cs="仿宋"/>
          <w:color w:val="auto"/>
          <w:highlight w:val="none"/>
        </w:rPr>
      </w:pPr>
      <w:r>
        <w:rPr>
          <w:rFonts w:hint="eastAsia" w:ascii="仿宋" w:hAnsi="仿宋" w:eastAsia="仿宋" w:cs="仿宋"/>
          <w:bCs/>
          <w:color w:val="auto"/>
          <w:highlight w:val="none"/>
        </w:rPr>
        <w:t>3</w:t>
      </w:r>
      <w:r>
        <w:rPr>
          <w:rFonts w:hint="eastAsia" w:ascii="仿宋" w:hAnsi="仿宋" w:eastAsia="仿宋" w:cs="仿宋"/>
          <w:bCs/>
          <w:color w:val="auto"/>
          <w:highlight w:val="none"/>
          <w:lang w:val="en-US"/>
        </w:rPr>
        <w:t>7</w:t>
      </w:r>
      <w:r>
        <w:rPr>
          <w:rFonts w:hint="eastAsia" w:ascii="仿宋" w:hAnsi="仿宋" w:eastAsia="仿宋" w:cs="仿宋"/>
          <w:color w:val="auto"/>
          <w:highlight w:val="none"/>
        </w:rPr>
        <w:t>.2</w:t>
      </w: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lang w:eastAsia="zh-CN"/>
        </w:rPr>
        <w:t>投标人</w:t>
      </w:r>
      <w:r>
        <w:rPr>
          <w:rFonts w:hint="eastAsia" w:ascii="仿宋" w:hAnsi="仿宋" w:eastAsia="仿宋" w:cs="仿宋"/>
          <w:color w:val="auto"/>
          <w:highlight w:val="none"/>
        </w:rPr>
        <w:t>提出质疑应当提交质疑函和必要的证明材料。质疑函应当包括下列内容：</w:t>
      </w:r>
    </w:p>
    <w:p w14:paraId="7599BBA0">
      <w:pPr>
        <w:pStyle w:val="47"/>
        <w:ind w:firstLine="560"/>
        <w:rPr>
          <w:rFonts w:hint="eastAsia" w:ascii="仿宋" w:hAnsi="仿宋" w:eastAsia="仿宋" w:cs="仿宋"/>
          <w:color w:val="auto"/>
          <w:highlight w:val="none"/>
        </w:rPr>
      </w:pPr>
      <w:r>
        <w:rPr>
          <w:rFonts w:hint="eastAsia" w:ascii="仿宋" w:hAnsi="仿宋" w:eastAsia="仿宋" w:cs="仿宋"/>
          <w:color w:val="auto"/>
          <w:highlight w:val="none"/>
        </w:rPr>
        <w:t>（1）质疑人的姓名或者名称、地址、邮编、联系人及联系电话；</w:t>
      </w:r>
    </w:p>
    <w:p w14:paraId="20FA2B9D">
      <w:pPr>
        <w:pStyle w:val="47"/>
        <w:ind w:firstLine="560"/>
        <w:rPr>
          <w:rFonts w:hint="eastAsia" w:ascii="仿宋" w:hAnsi="仿宋" w:eastAsia="仿宋" w:cs="仿宋"/>
          <w:color w:val="auto"/>
          <w:highlight w:val="none"/>
        </w:rPr>
      </w:pPr>
      <w:r>
        <w:rPr>
          <w:rFonts w:hint="eastAsia" w:ascii="仿宋" w:hAnsi="仿宋" w:eastAsia="仿宋" w:cs="仿宋"/>
          <w:color w:val="auto"/>
          <w:highlight w:val="none"/>
        </w:rPr>
        <w:t>（2）质疑项目的名称、编号；</w:t>
      </w:r>
    </w:p>
    <w:p w14:paraId="7C6AA7DA">
      <w:pPr>
        <w:pStyle w:val="47"/>
        <w:ind w:firstLine="560"/>
        <w:rPr>
          <w:rFonts w:hint="eastAsia" w:ascii="仿宋" w:hAnsi="仿宋" w:eastAsia="仿宋" w:cs="仿宋"/>
          <w:color w:val="auto"/>
          <w:highlight w:val="none"/>
        </w:rPr>
      </w:pPr>
      <w:r>
        <w:rPr>
          <w:rFonts w:hint="eastAsia" w:ascii="仿宋" w:hAnsi="仿宋" w:eastAsia="仿宋" w:cs="仿宋"/>
          <w:color w:val="auto"/>
          <w:highlight w:val="none"/>
        </w:rPr>
        <w:t>（3）具体、明确的质疑事项和与质疑事项相关的请求；</w:t>
      </w:r>
    </w:p>
    <w:p w14:paraId="4CF2C9C0">
      <w:pPr>
        <w:pStyle w:val="47"/>
        <w:ind w:firstLine="560"/>
        <w:rPr>
          <w:rFonts w:hint="eastAsia" w:ascii="仿宋" w:hAnsi="仿宋" w:eastAsia="仿宋" w:cs="仿宋"/>
          <w:color w:val="auto"/>
          <w:highlight w:val="none"/>
        </w:rPr>
      </w:pPr>
      <w:r>
        <w:rPr>
          <w:rFonts w:hint="eastAsia" w:ascii="仿宋" w:hAnsi="仿宋" w:eastAsia="仿宋" w:cs="仿宋"/>
          <w:color w:val="auto"/>
          <w:highlight w:val="none"/>
        </w:rPr>
        <w:t>（4）事实依据；</w:t>
      </w:r>
    </w:p>
    <w:p w14:paraId="694A7F2B">
      <w:pPr>
        <w:pStyle w:val="47"/>
        <w:ind w:firstLine="560"/>
        <w:rPr>
          <w:rFonts w:hint="eastAsia" w:ascii="仿宋" w:hAnsi="仿宋" w:eastAsia="仿宋" w:cs="仿宋"/>
          <w:color w:val="auto"/>
          <w:highlight w:val="none"/>
        </w:rPr>
      </w:pPr>
      <w:r>
        <w:rPr>
          <w:rFonts w:hint="eastAsia" w:ascii="仿宋" w:hAnsi="仿宋" w:eastAsia="仿宋" w:cs="仿宋"/>
          <w:color w:val="auto"/>
          <w:highlight w:val="none"/>
        </w:rPr>
        <w:t>（5）必要的法律依据；</w:t>
      </w:r>
    </w:p>
    <w:p w14:paraId="4B892A36">
      <w:pPr>
        <w:pStyle w:val="47"/>
        <w:ind w:firstLine="560"/>
        <w:rPr>
          <w:rFonts w:hint="eastAsia" w:ascii="仿宋" w:hAnsi="仿宋" w:eastAsia="仿宋" w:cs="仿宋"/>
          <w:color w:val="auto"/>
          <w:highlight w:val="none"/>
        </w:rPr>
      </w:pPr>
      <w:r>
        <w:rPr>
          <w:rFonts w:hint="eastAsia" w:ascii="仿宋" w:hAnsi="仿宋" w:eastAsia="仿宋" w:cs="仿宋"/>
          <w:color w:val="auto"/>
          <w:highlight w:val="none"/>
        </w:rPr>
        <w:t>（6）提出质疑的日期。</w:t>
      </w:r>
    </w:p>
    <w:p w14:paraId="2E2C03CB">
      <w:pPr>
        <w:pStyle w:val="47"/>
        <w:ind w:firstLine="560"/>
        <w:rPr>
          <w:rFonts w:hint="eastAsia" w:ascii="仿宋" w:hAnsi="仿宋" w:eastAsia="仿宋" w:cs="仿宋"/>
          <w:color w:val="auto"/>
          <w:highlight w:val="none"/>
        </w:rPr>
      </w:pPr>
      <w:r>
        <w:rPr>
          <w:rFonts w:hint="eastAsia" w:ascii="仿宋" w:hAnsi="仿宋" w:eastAsia="仿宋" w:cs="仿宋"/>
          <w:color w:val="auto"/>
          <w:highlight w:val="none"/>
        </w:rPr>
        <w:t>3</w:t>
      </w:r>
      <w:r>
        <w:rPr>
          <w:rFonts w:hint="eastAsia" w:ascii="仿宋" w:hAnsi="仿宋" w:eastAsia="仿宋" w:cs="仿宋"/>
          <w:color w:val="auto"/>
          <w:highlight w:val="none"/>
          <w:lang w:val="en-US"/>
        </w:rPr>
        <w:t>7</w:t>
      </w:r>
      <w:r>
        <w:rPr>
          <w:rFonts w:hint="eastAsia" w:ascii="仿宋" w:hAnsi="仿宋" w:eastAsia="仿宋" w:cs="仿宋"/>
          <w:color w:val="auto"/>
          <w:highlight w:val="none"/>
        </w:rPr>
        <w:t>.3</w:t>
      </w: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lang w:val="en-US"/>
        </w:rPr>
        <w:t>质疑函须使用财政部制定的范本文件。质疑人为自然人的，质疑函应当由本人签字；质疑人为法人或者其他组织的，质疑函应当由法定代表人、主要负责人，或者其授权代表签字或者盖章，并加盖公章。</w:t>
      </w:r>
    </w:p>
    <w:p w14:paraId="413BF0E6">
      <w:pPr>
        <w:ind w:firstLine="560"/>
        <w:rPr>
          <w:rFonts w:hint="eastAsia" w:ascii="仿宋" w:hAnsi="仿宋" w:eastAsia="仿宋" w:cs="仿宋"/>
          <w:color w:val="auto"/>
          <w:highlight w:val="none"/>
        </w:rPr>
      </w:pPr>
      <w:r>
        <w:rPr>
          <w:rFonts w:hint="eastAsia" w:ascii="仿宋" w:hAnsi="仿宋" w:eastAsia="仿宋" w:cs="仿宋"/>
          <w:color w:val="auto"/>
          <w:highlight w:val="none"/>
        </w:rPr>
        <w:t>37.4</w:t>
      </w: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rPr>
        <w:t>质疑人应在法定质疑期内一次性提出针对同一采购程序环节的质疑，法定质疑期内针对同一采购程序环节再次提出的质疑，采购人、采购代理机构有权不予答复。</w:t>
      </w:r>
    </w:p>
    <w:p w14:paraId="5B5718A1">
      <w:pPr>
        <w:pStyle w:val="47"/>
        <w:ind w:firstLine="560"/>
        <w:rPr>
          <w:rFonts w:hint="eastAsia" w:ascii="仿宋" w:hAnsi="仿宋" w:eastAsia="仿宋" w:cs="仿宋"/>
          <w:color w:val="auto"/>
          <w:highlight w:val="none"/>
        </w:rPr>
      </w:pPr>
      <w:r>
        <w:rPr>
          <w:rFonts w:hint="eastAsia" w:ascii="仿宋" w:hAnsi="仿宋" w:eastAsia="仿宋" w:cs="仿宋"/>
          <w:color w:val="auto"/>
          <w:highlight w:val="none"/>
        </w:rPr>
        <w:t>3</w:t>
      </w:r>
      <w:r>
        <w:rPr>
          <w:rFonts w:hint="eastAsia" w:ascii="仿宋" w:hAnsi="仿宋" w:eastAsia="仿宋" w:cs="仿宋"/>
          <w:color w:val="auto"/>
          <w:highlight w:val="none"/>
          <w:lang w:val="en-US"/>
        </w:rPr>
        <w:t>7</w:t>
      </w:r>
      <w:r>
        <w:rPr>
          <w:rFonts w:hint="eastAsia" w:ascii="仿宋" w:hAnsi="仿宋" w:eastAsia="仿宋" w:cs="仿宋"/>
          <w:color w:val="auto"/>
          <w:highlight w:val="none"/>
        </w:rPr>
        <w:t>.</w:t>
      </w:r>
      <w:r>
        <w:rPr>
          <w:rFonts w:hint="eastAsia" w:ascii="仿宋" w:hAnsi="仿宋" w:eastAsia="仿宋" w:cs="仿宋"/>
          <w:color w:val="auto"/>
          <w:highlight w:val="none"/>
          <w:lang w:val="en-US"/>
        </w:rPr>
        <w:t>5</w:t>
      </w: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rPr>
        <w:t>质疑函不符合上述要求的，采购人或代理机构应书面告知具体事项，质疑人应当按要求进行修改或补充，并在质疑有效期限内提交。</w:t>
      </w:r>
    </w:p>
    <w:p w14:paraId="1E6FFF49">
      <w:pPr>
        <w:ind w:firstLine="560"/>
        <w:rPr>
          <w:rFonts w:hint="eastAsia" w:ascii="仿宋" w:hAnsi="仿宋" w:eastAsia="仿宋" w:cs="仿宋"/>
          <w:color w:val="auto"/>
          <w:szCs w:val="21"/>
          <w:highlight w:val="none"/>
        </w:rPr>
      </w:pPr>
      <w:r>
        <w:rPr>
          <w:rFonts w:hint="eastAsia" w:ascii="仿宋" w:hAnsi="仿宋" w:eastAsia="仿宋" w:cs="仿宋"/>
          <w:color w:val="auto"/>
          <w:szCs w:val="21"/>
          <w:highlight w:val="none"/>
        </w:rPr>
        <w:t>37.6</w:t>
      </w:r>
      <w:r>
        <w:rPr>
          <w:rFonts w:hint="eastAsia" w:ascii="仿宋" w:hAnsi="仿宋" w:eastAsia="仿宋" w:cs="仿宋"/>
          <w:color w:val="auto"/>
          <w:szCs w:val="21"/>
          <w:highlight w:val="none"/>
          <w:lang w:val="en-US" w:eastAsia="zh-CN"/>
        </w:rPr>
        <w:t xml:space="preserve"> </w:t>
      </w:r>
      <w:r>
        <w:rPr>
          <w:rFonts w:hint="eastAsia" w:ascii="仿宋" w:hAnsi="仿宋" w:eastAsia="仿宋" w:cs="仿宋"/>
          <w:color w:val="auto"/>
          <w:szCs w:val="21"/>
          <w:highlight w:val="none"/>
        </w:rPr>
        <w:t>接收质疑函的方式：以书面形式递交由法定代表人、主要负责人签名或者盖章，并加盖公章的质疑函原件和必要的证明材料；邮寄送达的以邮件交邮日期为准。</w:t>
      </w:r>
    </w:p>
    <w:p w14:paraId="6B833EC3">
      <w:pPr>
        <w:ind w:firstLine="560"/>
        <w:rPr>
          <w:rFonts w:hint="eastAsia" w:ascii="仿宋" w:hAnsi="仿宋" w:eastAsia="仿宋" w:cs="仿宋"/>
          <w:color w:val="auto"/>
          <w:szCs w:val="21"/>
          <w:highlight w:val="none"/>
        </w:rPr>
      </w:pPr>
      <w:r>
        <w:rPr>
          <w:rFonts w:hint="eastAsia" w:ascii="仿宋" w:hAnsi="仿宋" w:eastAsia="仿宋" w:cs="仿宋"/>
          <w:color w:val="auto"/>
          <w:szCs w:val="21"/>
          <w:highlight w:val="none"/>
        </w:rPr>
        <w:t>联系单位：云南润达工程项目管理咨询有限公司</w:t>
      </w:r>
    </w:p>
    <w:p w14:paraId="28FCE722">
      <w:pPr>
        <w:ind w:firstLine="560"/>
        <w:rPr>
          <w:rFonts w:hint="eastAsia" w:ascii="仿宋" w:hAnsi="仿宋" w:eastAsia="仿宋" w:cs="仿宋"/>
          <w:color w:val="auto"/>
          <w:szCs w:val="21"/>
          <w:highlight w:val="none"/>
        </w:rPr>
      </w:pPr>
      <w:r>
        <w:rPr>
          <w:rFonts w:hint="eastAsia" w:ascii="仿宋" w:hAnsi="仿宋" w:eastAsia="仿宋" w:cs="仿宋"/>
          <w:color w:val="auto"/>
          <w:szCs w:val="21"/>
          <w:highlight w:val="none"/>
        </w:rPr>
        <w:t>联系电话：</w:t>
      </w:r>
      <w:r>
        <w:rPr>
          <w:rFonts w:hint="eastAsia" w:cs="仿宋"/>
          <w:color w:val="auto"/>
          <w:szCs w:val="21"/>
          <w:highlight w:val="none"/>
          <w:lang w:val="en-US" w:eastAsia="zh-CN"/>
        </w:rPr>
        <w:t>18987263121</w:t>
      </w:r>
    </w:p>
    <w:p w14:paraId="5708A11D">
      <w:pPr>
        <w:ind w:firstLine="560"/>
        <w:rPr>
          <w:rFonts w:hint="eastAsia" w:ascii="仿宋" w:hAnsi="仿宋" w:eastAsia="仿宋" w:cs="仿宋"/>
          <w:color w:val="auto"/>
          <w:highlight w:val="none"/>
        </w:rPr>
      </w:pPr>
      <w:r>
        <w:rPr>
          <w:rFonts w:hint="eastAsia" w:ascii="仿宋" w:hAnsi="仿宋" w:eastAsia="仿宋" w:cs="仿宋"/>
          <w:color w:val="auto"/>
          <w:highlight w:val="none"/>
        </w:rPr>
        <w:t>联系人：</w:t>
      </w:r>
      <w:r>
        <w:rPr>
          <w:rFonts w:hint="eastAsia" w:cs="仿宋"/>
          <w:color w:val="auto"/>
          <w:highlight w:val="none"/>
          <w:lang w:val="en-US" w:eastAsia="zh-CN"/>
        </w:rPr>
        <w:t>施艳</w:t>
      </w:r>
    </w:p>
    <w:p w14:paraId="1C5A5879">
      <w:pPr>
        <w:ind w:firstLine="560"/>
        <w:rPr>
          <w:rFonts w:hint="eastAsia" w:ascii="仿宋" w:hAnsi="仿宋" w:eastAsia="仿宋" w:cs="仿宋"/>
          <w:color w:val="auto"/>
          <w:szCs w:val="21"/>
          <w:highlight w:val="none"/>
        </w:rPr>
      </w:pPr>
      <w:r>
        <w:rPr>
          <w:rFonts w:hint="eastAsia" w:ascii="仿宋" w:hAnsi="仿宋" w:eastAsia="仿宋" w:cs="仿宋"/>
          <w:color w:val="auto"/>
          <w:szCs w:val="21"/>
          <w:highlight w:val="none"/>
        </w:rPr>
        <w:t>通讯地址：昆明市西山区西福路中铁山海春风小区3幢101号</w:t>
      </w:r>
    </w:p>
    <w:p w14:paraId="197143B5">
      <w:pPr>
        <w:pStyle w:val="6"/>
        <w:ind w:left="560" w:leftChars="200" w:firstLine="0" w:firstLineChars="0"/>
        <w:rPr>
          <w:rFonts w:hint="eastAsia" w:ascii="仿宋" w:hAnsi="仿宋" w:eastAsia="仿宋" w:cs="仿宋"/>
          <w:color w:val="auto"/>
          <w:highlight w:val="none"/>
        </w:rPr>
      </w:pPr>
      <w:bookmarkStart w:id="213" w:name="_Toc140132801"/>
      <w:bookmarkStart w:id="214" w:name="_Toc163492868"/>
      <w:r>
        <w:rPr>
          <w:rFonts w:hint="eastAsia" w:ascii="仿宋" w:hAnsi="仿宋" w:eastAsia="仿宋" w:cs="仿宋"/>
          <w:color w:val="auto"/>
          <w:highlight w:val="none"/>
        </w:rPr>
        <w:t>38.质疑答复</w:t>
      </w:r>
      <w:bookmarkEnd w:id="213"/>
      <w:bookmarkEnd w:id="214"/>
    </w:p>
    <w:p w14:paraId="58114ECF">
      <w:pPr>
        <w:pStyle w:val="47"/>
        <w:ind w:firstLine="560"/>
        <w:rPr>
          <w:rFonts w:hint="eastAsia" w:ascii="仿宋" w:hAnsi="仿宋" w:eastAsia="仿宋" w:cs="仿宋"/>
          <w:color w:val="auto"/>
          <w:highlight w:val="none"/>
        </w:rPr>
      </w:pPr>
      <w:r>
        <w:rPr>
          <w:rFonts w:hint="eastAsia" w:ascii="仿宋" w:hAnsi="仿宋" w:eastAsia="仿宋" w:cs="仿宋"/>
          <w:bCs/>
          <w:color w:val="auto"/>
          <w:highlight w:val="none"/>
        </w:rPr>
        <w:t>3</w:t>
      </w:r>
      <w:r>
        <w:rPr>
          <w:rFonts w:hint="eastAsia" w:ascii="仿宋" w:hAnsi="仿宋" w:eastAsia="仿宋" w:cs="仿宋"/>
          <w:bCs/>
          <w:color w:val="auto"/>
          <w:highlight w:val="none"/>
          <w:lang w:val="en-US"/>
        </w:rPr>
        <w:t>8</w:t>
      </w:r>
      <w:r>
        <w:rPr>
          <w:rFonts w:hint="eastAsia" w:ascii="仿宋" w:hAnsi="仿宋" w:eastAsia="仿宋" w:cs="仿宋"/>
          <w:color w:val="auto"/>
          <w:highlight w:val="none"/>
        </w:rPr>
        <w:t>.1</w:t>
      </w: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rPr>
        <w:t>采购人或采购代理机构应当在收到</w:t>
      </w:r>
      <w:r>
        <w:rPr>
          <w:rFonts w:hint="eastAsia" w:ascii="仿宋" w:hAnsi="仿宋" w:eastAsia="仿宋" w:cs="仿宋"/>
          <w:color w:val="auto"/>
          <w:highlight w:val="none"/>
          <w:lang w:eastAsia="zh-CN"/>
        </w:rPr>
        <w:t>投标人</w:t>
      </w:r>
      <w:r>
        <w:rPr>
          <w:rFonts w:hint="eastAsia" w:ascii="仿宋" w:hAnsi="仿宋" w:eastAsia="仿宋" w:cs="仿宋"/>
          <w:color w:val="auto"/>
          <w:highlight w:val="none"/>
        </w:rPr>
        <w:t>的书面质疑后7个工作日内作出答复，并以书面形式通知质疑</w:t>
      </w:r>
      <w:r>
        <w:rPr>
          <w:rFonts w:hint="eastAsia" w:ascii="仿宋" w:hAnsi="仿宋" w:eastAsia="仿宋" w:cs="仿宋"/>
          <w:color w:val="auto"/>
          <w:highlight w:val="none"/>
          <w:lang w:eastAsia="zh-CN"/>
        </w:rPr>
        <w:t>投标人</w:t>
      </w:r>
      <w:r>
        <w:rPr>
          <w:rFonts w:hint="eastAsia" w:ascii="仿宋" w:hAnsi="仿宋" w:eastAsia="仿宋" w:cs="仿宋"/>
          <w:color w:val="auto"/>
          <w:highlight w:val="none"/>
        </w:rPr>
        <w:t>和其他有关</w:t>
      </w:r>
      <w:r>
        <w:rPr>
          <w:rFonts w:hint="eastAsia" w:ascii="仿宋" w:hAnsi="仿宋" w:eastAsia="仿宋" w:cs="仿宋"/>
          <w:color w:val="auto"/>
          <w:highlight w:val="none"/>
          <w:lang w:eastAsia="zh-CN"/>
        </w:rPr>
        <w:t>投标人</w:t>
      </w:r>
      <w:r>
        <w:rPr>
          <w:rFonts w:hint="eastAsia" w:ascii="仿宋" w:hAnsi="仿宋" w:eastAsia="仿宋" w:cs="仿宋"/>
          <w:color w:val="auto"/>
          <w:highlight w:val="none"/>
        </w:rPr>
        <w:t>，但答复的内容不得涉及商业秘密。</w:t>
      </w:r>
    </w:p>
    <w:p w14:paraId="136C87E0">
      <w:pPr>
        <w:pStyle w:val="47"/>
        <w:ind w:firstLine="560"/>
        <w:rPr>
          <w:rFonts w:hint="eastAsia" w:ascii="仿宋" w:hAnsi="仿宋" w:eastAsia="仿宋" w:cs="仿宋"/>
          <w:color w:val="auto"/>
          <w:highlight w:val="none"/>
        </w:rPr>
      </w:pPr>
      <w:r>
        <w:rPr>
          <w:rFonts w:hint="eastAsia" w:ascii="仿宋" w:hAnsi="仿宋" w:eastAsia="仿宋" w:cs="仿宋"/>
          <w:bCs/>
          <w:color w:val="auto"/>
          <w:highlight w:val="none"/>
        </w:rPr>
        <w:t>3</w:t>
      </w:r>
      <w:r>
        <w:rPr>
          <w:rFonts w:hint="eastAsia" w:ascii="仿宋" w:hAnsi="仿宋" w:eastAsia="仿宋" w:cs="仿宋"/>
          <w:bCs/>
          <w:color w:val="auto"/>
          <w:highlight w:val="none"/>
          <w:lang w:val="en-US"/>
        </w:rPr>
        <w:t>8</w:t>
      </w:r>
      <w:r>
        <w:rPr>
          <w:rFonts w:hint="eastAsia" w:ascii="仿宋" w:hAnsi="仿宋" w:eastAsia="仿宋" w:cs="仿宋"/>
          <w:color w:val="auto"/>
          <w:highlight w:val="none"/>
        </w:rPr>
        <w:t>.2</w:t>
      </w: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rPr>
        <w:t>质疑答复应当包括下列内容：</w:t>
      </w:r>
    </w:p>
    <w:p w14:paraId="2F142171">
      <w:pPr>
        <w:pStyle w:val="47"/>
        <w:ind w:firstLine="560"/>
        <w:rPr>
          <w:rFonts w:hint="eastAsia" w:ascii="仿宋" w:hAnsi="仿宋" w:eastAsia="仿宋" w:cs="仿宋"/>
          <w:snapToGrid w:val="0"/>
          <w:color w:val="auto"/>
          <w:highlight w:val="none"/>
        </w:rPr>
      </w:pPr>
      <w:r>
        <w:rPr>
          <w:rFonts w:hint="eastAsia" w:ascii="仿宋" w:hAnsi="仿宋" w:eastAsia="仿宋" w:cs="仿宋"/>
          <w:snapToGrid w:val="0"/>
          <w:color w:val="auto"/>
          <w:highlight w:val="none"/>
        </w:rPr>
        <w:t>（1）质疑人的姓名或者名称；</w:t>
      </w:r>
    </w:p>
    <w:p w14:paraId="043BEDED">
      <w:pPr>
        <w:pStyle w:val="47"/>
        <w:ind w:firstLine="560"/>
        <w:rPr>
          <w:rFonts w:hint="eastAsia" w:ascii="仿宋" w:hAnsi="仿宋" w:eastAsia="仿宋" w:cs="仿宋"/>
          <w:snapToGrid w:val="0"/>
          <w:color w:val="auto"/>
          <w:highlight w:val="none"/>
        </w:rPr>
      </w:pPr>
      <w:r>
        <w:rPr>
          <w:rFonts w:hint="eastAsia" w:ascii="仿宋" w:hAnsi="仿宋" w:eastAsia="仿宋" w:cs="仿宋"/>
          <w:snapToGrid w:val="0"/>
          <w:color w:val="auto"/>
          <w:highlight w:val="none"/>
        </w:rPr>
        <w:t>（2）收到质疑函的日期、质疑项目名称及编号；</w:t>
      </w:r>
    </w:p>
    <w:p w14:paraId="2F247F56">
      <w:pPr>
        <w:pStyle w:val="47"/>
        <w:ind w:firstLine="560"/>
        <w:rPr>
          <w:rFonts w:hint="eastAsia" w:ascii="仿宋" w:hAnsi="仿宋" w:eastAsia="仿宋" w:cs="仿宋"/>
          <w:snapToGrid w:val="0"/>
          <w:color w:val="auto"/>
          <w:highlight w:val="none"/>
        </w:rPr>
      </w:pPr>
      <w:r>
        <w:rPr>
          <w:rFonts w:hint="eastAsia" w:ascii="仿宋" w:hAnsi="仿宋" w:eastAsia="仿宋" w:cs="仿宋"/>
          <w:snapToGrid w:val="0"/>
          <w:color w:val="auto"/>
          <w:highlight w:val="none"/>
        </w:rPr>
        <w:t>（3）质疑事项、质疑答复的具体内容、事实依据和法律依据；</w:t>
      </w:r>
    </w:p>
    <w:p w14:paraId="400907E7">
      <w:pPr>
        <w:pStyle w:val="47"/>
        <w:ind w:firstLine="560"/>
        <w:rPr>
          <w:rFonts w:hint="eastAsia" w:ascii="仿宋" w:hAnsi="仿宋" w:eastAsia="仿宋" w:cs="仿宋"/>
          <w:snapToGrid w:val="0"/>
          <w:color w:val="auto"/>
          <w:highlight w:val="none"/>
        </w:rPr>
      </w:pPr>
      <w:r>
        <w:rPr>
          <w:rFonts w:hint="eastAsia" w:ascii="仿宋" w:hAnsi="仿宋" w:eastAsia="仿宋" w:cs="仿宋"/>
          <w:snapToGrid w:val="0"/>
          <w:color w:val="auto"/>
          <w:highlight w:val="none"/>
        </w:rPr>
        <w:t>（4）告知质疑人依法投诉的权利；</w:t>
      </w:r>
    </w:p>
    <w:p w14:paraId="50FC30FE">
      <w:pPr>
        <w:pStyle w:val="47"/>
        <w:ind w:firstLine="560"/>
        <w:rPr>
          <w:rFonts w:hint="eastAsia" w:ascii="仿宋" w:hAnsi="仿宋" w:eastAsia="仿宋" w:cs="仿宋"/>
          <w:snapToGrid w:val="0"/>
          <w:color w:val="auto"/>
          <w:highlight w:val="none"/>
        </w:rPr>
      </w:pPr>
      <w:r>
        <w:rPr>
          <w:rFonts w:hint="eastAsia" w:ascii="仿宋" w:hAnsi="仿宋" w:eastAsia="仿宋" w:cs="仿宋"/>
          <w:snapToGrid w:val="0"/>
          <w:color w:val="auto"/>
          <w:highlight w:val="none"/>
        </w:rPr>
        <w:t>（5）质疑答复人名称；</w:t>
      </w:r>
    </w:p>
    <w:p w14:paraId="4384FEBA">
      <w:pPr>
        <w:pStyle w:val="47"/>
        <w:ind w:firstLine="560"/>
        <w:rPr>
          <w:rFonts w:hint="eastAsia" w:ascii="仿宋" w:hAnsi="仿宋" w:eastAsia="仿宋" w:cs="仿宋"/>
          <w:snapToGrid w:val="0"/>
          <w:color w:val="auto"/>
          <w:highlight w:val="none"/>
        </w:rPr>
      </w:pPr>
      <w:r>
        <w:rPr>
          <w:rFonts w:hint="eastAsia" w:ascii="仿宋" w:hAnsi="仿宋" w:eastAsia="仿宋" w:cs="仿宋"/>
          <w:snapToGrid w:val="0"/>
          <w:color w:val="auto"/>
          <w:highlight w:val="none"/>
        </w:rPr>
        <w:t>（6）答复质疑的日期。</w:t>
      </w:r>
    </w:p>
    <w:p w14:paraId="4E110024">
      <w:pPr>
        <w:pStyle w:val="6"/>
        <w:ind w:left="560" w:leftChars="200" w:firstLine="0" w:firstLineChars="0"/>
        <w:rPr>
          <w:rFonts w:hint="eastAsia" w:ascii="仿宋" w:hAnsi="仿宋" w:eastAsia="仿宋" w:cs="仿宋"/>
          <w:color w:val="auto"/>
          <w:highlight w:val="none"/>
        </w:rPr>
      </w:pPr>
      <w:bookmarkStart w:id="215" w:name="_Toc163492869"/>
      <w:bookmarkStart w:id="216" w:name="_Toc140132802"/>
      <w:r>
        <w:rPr>
          <w:rFonts w:hint="eastAsia" w:ascii="仿宋" w:hAnsi="仿宋" w:eastAsia="仿宋" w:cs="仿宋"/>
          <w:color w:val="auto"/>
          <w:highlight w:val="none"/>
        </w:rPr>
        <w:t>39.投诉</w:t>
      </w:r>
      <w:bookmarkEnd w:id="215"/>
      <w:bookmarkEnd w:id="216"/>
    </w:p>
    <w:p w14:paraId="59A1A104">
      <w:pPr>
        <w:pStyle w:val="47"/>
        <w:ind w:firstLine="560"/>
        <w:rPr>
          <w:rFonts w:hint="eastAsia" w:ascii="仿宋" w:hAnsi="仿宋" w:eastAsia="仿宋" w:cs="仿宋"/>
          <w:color w:val="auto"/>
          <w:highlight w:val="none"/>
        </w:rPr>
      </w:pPr>
      <w:r>
        <w:rPr>
          <w:rFonts w:hint="eastAsia" w:ascii="仿宋" w:hAnsi="仿宋" w:eastAsia="仿宋" w:cs="仿宋"/>
          <w:bCs/>
          <w:color w:val="auto"/>
          <w:highlight w:val="none"/>
        </w:rPr>
        <w:t>3</w:t>
      </w:r>
      <w:r>
        <w:rPr>
          <w:rFonts w:hint="eastAsia" w:ascii="仿宋" w:hAnsi="仿宋" w:eastAsia="仿宋" w:cs="仿宋"/>
          <w:bCs/>
          <w:color w:val="auto"/>
          <w:highlight w:val="none"/>
          <w:lang w:val="en-US"/>
        </w:rPr>
        <w:t>9</w:t>
      </w:r>
      <w:r>
        <w:rPr>
          <w:rFonts w:hint="eastAsia" w:ascii="仿宋" w:hAnsi="仿宋" w:eastAsia="仿宋" w:cs="仿宋"/>
          <w:color w:val="auto"/>
          <w:highlight w:val="none"/>
        </w:rPr>
        <w:t>.1</w:t>
      </w: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rPr>
        <w:t>质疑</w:t>
      </w:r>
      <w:r>
        <w:rPr>
          <w:rFonts w:hint="eastAsia" w:ascii="仿宋" w:hAnsi="仿宋" w:eastAsia="仿宋" w:cs="仿宋"/>
          <w:color w:val="auto"/>
          <w:highlight w:val="none"/>
          <w:lang w:eastAsia="zh-CN"/>
        </w:rPr>
        <w:t>投标人</w:t>
      </w:r>
      <w:r>
        <w:rPr>
          <w:rFonts w:hint="eastAsia" w:ascii="仿宋" w:hAnsi="仿宋" w:eastAsia="仿宋" w:cs="仿宋"/>
          <w:color w:val="auto"/>
          <w:highlight w:val="none"/>
        </w:rPr>
        <w:t>对采购人、采购代理机构的答复不满意或者采购人、采购代理机构未在规定的时间内作出答复的，可以在答复期满后15个工作日内向同级政府采购监督管理部门投诉。</w:t>
      </w:r>
      <w:r>
        <w:rPr>
          <w:rFonts w:hint="eastAsia" w:ascii="仿宋" w:hAnsi="仿宋" w:eastAsia="仿宋" w:cs="仿宋"/>
          <w:color w:val="auto"/>
          <w:highlight w:val="none"/>
          <w:lang w:eastAsia="zh-CN"/>
        </w:rPr>
        <w:t>投标人</w:t>
      </w:r>
      <w:r>
        <w:rPr>
          <w:rFonts w:hint="eastAsia" w:ascii="仿宋" w:hAnsi="仿宋" w:eastAsia="仿宋" w:cs="仿宋"/>
          <w:color w:val="auto"/>
          <w:highlight w:val="none"/>
        </w:rPr>
        <w:t>投诉应当有明确的请求和必要的证明材料，且投诉的事项不得超出已质疑事项的范围。</w:t>
      </w:r>
    </w:p>
    <w:p w14:paraId="44AACBD6">
      <w:pPr>
        <w:pStyle w:val="47"/>
        <w:ind w:firstLine="560"/>
        <w:rPr>
          <w:rFonts w:hint="eastAsia" w:ascii="仿宋" w:hAnsi="仿宋" w:eastAsia="仿宋" w:cs="仿宋"/>
          <w:color w:val="auto"/>
          <w:highlight w:val="none"/>
        </w:rPr>
      </w:pPr>
      <w:r>
        <w:rPr>
          <w:rFonts w:hint="eastAsia" w:ascii="仿宋" w:hAnsi="仿宋" w:eastAsia="仿宋" w:cs="仿宋"/>
          <w:bCs/>
          <w:color w:val="auto"/>
          <w:highlight w:val="none"/>
        </w:rPr>
        <w:t>3</w:t>
      </w:r>
      <w:r>
        <w:rPr>
          <w:rFonts w:hint="eastAsia" w:ascii="仿宋" w:hAnsi="仿宋" w:eastAsia="仿宋" w:cs="仿宋"/>
          <w:bCs/>
          <w:color w:val="auto"/>
          <w:highlight w:val="none"/>
          <w:lang w:val="en-US"/>
        </w:rPr>
        <w:t>9</w:t>
      </w:r>
      <w:r>
        <w:rPr>
          <w:rFonts w:hint="eastAsia" w:ascii="仿宋" w:hAnsi="仿宋" w:eastAsia="仿宋" w:cs="仿宋"/>
          <w:color w:val="auto"/>
          <w:highlight w:val="none"/>
        </w:rPr>
        <w:t>.2</w:t>
      </w: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rPr>
        <w:t>政府采购监督管理部门应当在收到投诉后30个工作日内，对投诉事项作出处理决定，并以书面形式通知投诉人和与投诉事项有关的当事人。财政部门处理投诉事项，需要检验、检测、鉴定、专家评审以及需要投诉人补正材料的，所需时间不计算在投诉处理期限内。</w:t>
      </w:r>
    </w:p>
    <w:p w14:paraId="7DD91704">
      <w:pPr>
        <w:pStyle w:val="5"/>
        <w:ind w:firstLine="602"/>
        <w:rPr>
          <w:rFonts w:hint="eastAsia" w:ascii="仿宋" w:hAnsi="仿宋" w:eastAsia="仿宋" w:cs="仿宋"/>
          <w:color w:val="auto"/>
          <w:highlight w:val="none"/>
        </w:rPr>
      </w:pPr>
      <w:bookmarkStart w:id="217" w:name="_Toc155185882"/>
      <w:bookmarkStart w:id="218" w:name="_Toc163492870"/>
      <w:bookmarkStart w:id="219" w:name="_Toc140132803"/>
      <w:bookmarkStart w:id="220" w:name="_Toc27809"/>
      <w:bookmarkStart w:id="221" w:name="_Toc10140"/>
      <w:bookmarkStart w:id="222" w:name="_Toc23853"/>
      <w:r>
        <w:rPr>
          <w:rFonts w:hint="eastAsia" w:ascii="仿宋" w:hAnsi="仿宋" w:eastAsia="仿宋" w:cs="仿宋"/>
          <w:color w:val="auto"/>
          <w:highlight w:val="none"/>
        </w:rPr>
        <w:t>（十一）采购代理服务费</w:t>
      </w:r>
      <w:bookmarkEnd w:id="217"/>
      <w:bookmarkEnd w:id="218"/>
      <w:bookmarkEnd w:id="219"/>
      <w:bookmarkEnd w:id="220"/>
      <w:bookmarkEnd w:id="221"/>
      <w:bookmarkEnd w:id="222"/>
    </w:p>
    <w:p w14:paraId="3AB6C1F4">
      <w:pPr>
        <w:pStyle w:val="6"/>
        <w:ind w:left="560" w:leftChars="200" w:firstLine="0" w:firstLineChars="0"/>
        <w:rPr>
          <w:rFonts w:hint="eastAsia" w:ascii="仿宋" w:hAnsi="仿宋" w:eastAsia="仿宋" w:cs="仿宋"/>
          <w:color w:val="auto"/>
          <w:highlight w:val="none"/>
        </w:rPr>
      </w:pPr>
      <w:bookmarkStart w:id="223" w:name="_Toc163492871"/>
      <w:bookmarkStart w:id="224" w:name="_Toc140132804"/>
      <w:r>
        <w:rPr>
          <w:rFonts w:hint="eastAsia" w:ascii="仿宋" w:hAnsi="仿宋" w:eastAsia="仿宋" w:cs="仿宋"/>
          <w:color w:val="auto"/>
          <w:highlight w:val="none"/>
        </w:rPr>
        <w:t>40.收取方式和标准</w:t>
      </w:r>
      <w:bookmarkEnd w:id="223"/>
      <w:bookmarkEnd w:id="224"/>
    </w:p>
    <w:p w14:paraId="0504A6B2">
      <w:pPr>
        <w:pStyle w:val="47"/>
        <w:ind w:firstLine="560"/>
        <w:rPr>
          <w:rFonts w:hint="eastAsia" w:ascii="仿宋" w:hAnsi="仿宋" w:eastAsia="仿宋" w:cs="仿宋"/>
          <w:color w:val="auto"/>
          <w:highlight w:val="none"/>
        </w:rPr>
      </w:pPr>
      <w:r>
        <w:rPr>
          <w:rFonts w:hint="eastAsia" w:ascii="仿宋" w:hAnsi="仿宋" w:eastAsia="仿宋" w:cs="仿宋"/>
          <w:bCs/>
          <w:color w:val="auto"/>
          <w:highlight w:val="none"/>
          <w:lang w:val="en-US"/>
        </w:rPr>
        <w:t>40</w:t>
      </w:r>
      <w:r>
        <w:rPr>
          <w:rFonts w:hint="eastAsia" w:ascii="仿宋" w:hAnsi="仿宋" w:eastAsia="仿宋" w:cs="仿宋"/>
          <w:color w:val="auto"/>
          <w:highlight w:val="none"/>
        </w:rPr>
        <w:t>.1</w:t>
      </w: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rPr>
        <w:t>采购代理机构按“</w:t>
      </w:r>
      <w:r>
        <w:rPr>
          <w:rFonts w:hint="eastAsia" w:ascii="仿宋" w:hAnsi="仿宋" w:eastAsia="仿宋" w:cs="仿宋"/>
          <w:color w:val="auto"/>
          <w:highlight w:val="none"/>
          <w:lang w:eastAsia="zh-CN"/>
        </w:rPr>
        <w:t>投标人</w:t>
      </w:r>
      <w:r>
        <w:rPr>
          <w:rFonts w:hint="eastAsia" w:ascii="仿宋" w:hAnsi="仿宋" w:eastAsia="仿宋" w:cs="仿宋"/>
          <w:color w:val="auto"/>
          <w:highlight w:val="none"/>
        </w:rPr>
        <w:t>须知前附表”规定的方式和标准收取采购代理服务费。</w:t>
      </w:r>
    </w:p>
    <w:p w14:paraId="189CCE3E">
      <w:pPr>
        <w:pStyle w:val="5"/>
        <w:ind w:firstLine="602"/>
        <w:rPr>
          <w:rFonts w:hint="eastAsia" w:ascii="仿宋" w:hAnsi="仿宋" w:eastAsia="仿宋" w:cs="仿宋"/>
          <w:color w:val="auto"/>
          <w:highlight w:val="none"/>
        </w:rPr>
      </w:pPr>
      <w:bookmarkStart w:id="225" w:name="_Toc23513"/>
      <w:bookmarkStart w:id="226" w:name="_Toc10756"/>
      <w:bookmarkStart w:id="227" w:name="_Toc140132805"/>
      <w:bookmarkStart w:id="228" w:name="_Toc4809"/>
      <w:bookmarkStart w:id="229" w:name="_Toc155185883"/>
      <w:bookmarkStart w:id="230" w:name="_Toc163492872"/>
      <w:r>
        <w:rPr>
          <w:rFonts w:hint="eastAsia" w:ascii="仿宋" w:hAnsi="仿宋" w:eastAsia="仿宋" w:cs="仿宋"/>
          <w:color w:val="auto"/>
          <w:highlight w:val="none"/>
        </w:rPr>
        <w:t>（十二）无效投标和废标</w:t>
      </w:r>
      <w:bookmarkEnd w:id="225"/>
      <w:bookmarkEnd w:id="226"/>
      <w:bookmarkEnd w:id="227"/>
      <w:bookmarkEnd w:id="228"/>
      <w:bookmarkEnd w:id="229"/>
      <w:bookmarkEnd w:id="230"/>
    </w:p>
    <w:p w14:paraId="06CF10D7">
      <w:pPr>
        <w:pStyle w:val="6"/>
        <w:ind w:left="560" w:leftChars="200" w:firstLine="0" w:firstLineChars="0"/>
        <w:rPr>
          <w:rFonts w:hint="eastAsia" w:ascii="仿宋" w:hAnsi="仿宋" w:eastAsia="仿宋" w:cs="仿宋"/>
          <w:color w:val="auto"/>
          <w:highlight w:val="none"/>
        </w:rPr>
      </w:pPr>
      <w:bookmarkStart w:id="231" w:name="_Toc140132806"/>
      <w:bookmarkStart w:id="232" w:name="_Toc163492873"/>
      <w:r>
        <w:rPr>
          <w:rFonts w:hint="eastAsia" w:ascii="仿宋" w:hAnsi="仿宋" w:eastAsia="仿宋" w:cs="仿宋"/>
          <w:color w:val="auto"/>
          <w:highlight w:val="none"/>
        </w:rPr>
        <w:t>41.无效投标</w:t>
      </w:r>
      <w:bookmarkEnd w:id="231"/>
      <w:bookmarkEnd w:id="232"/>
    </w:p>
    <w:p w14:paraId="707C2AB1">
      <w:pPr>
        <w:pStyle w:val="47"/>
        <w:ind w:firstLine="560"/>
        <w:rPr>
          <w:rFonts w:hint="eastAsia" w:ascii="仿宋" w:hAnsi="仿宋" w:eastAsia="仿宋" w:cs="仿宋"/>
          <w:color w:val="auto"/>
          <w:highlight w:val="none"/>
        </w:rPr>
      </w:pPr>
      <w:r>
        <w:rPr>
          <w:rFonts w:hint="eastAsia" w:ascii="仿宋" w:hAnsi="仿宋" w:eastAsia="仿宋" w:cs="仿宋"/>
          <w:color w:val="auto"/>
          <w:highlight w:val="none"/>
        </w:rPr>
        <w:t>4</w:t>
      </w:r>
      <w:r>
        <w:rPr>
          <w:rFonts w:hint="eastAsia" w:ascii="仿宋" w:hAnsi="仿宋" w:eastAsia="仿宋" w:cs="仿宋"/>
          <w:color w:val="auto"/>
          <w:highlight w:val="none"/>
          <w:lang w:val="en-US"/>
        </w:rPr>
        <w:t>1</w:t>
      </w:r>
      <w:r>
        <w:rPr>
          <w:rFonts w:hint="eastAsia" w:ascii="仿宋" w:hAnsi="仿宋" w:eastAsia="仿宋" w:cs="仿宋"/>
          <w:color w:val="auto"/>
          <w:highlight w:val="none"/>
        </w:rPr>
        <w:t>.1</w:t>
      </w: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rPr>
        <w:t>投标文件存在第四章“资格审查方法及标准”、第五章 “评标方法及标准”规定的投标无效情形的，其</w:t>
      </w:r>
      <w:r>
        <w:rPr>
          <w:rFonts w:hint="eastAsia" w:ascii="仿宋" w:hAnsi="仿宋" w:eastAsia="仿宋" w:cs="仿宋"/>
          <w:b/>
          <w:bCs/>
          <w:color w:val="auto"/>
          <w:highlight w:val="none"/>
        </w:rPr>
        <w:t>投标无效</w:t>
      </w:r>
      <w:r>
        <w:rPr>
          <w:rFonts w:hint="eastAsia" w:ascii="仿宋" w:hAnsi="仿宋" w:eastAsia="仿宋" w:cs="仿宋"/>
          <w:color w:val="auto"/>
          <w:highlight w:val="none"/>
        </w:rPr>
        <w:t>。</w:t>
      </w:r>
    </w:p>
    <w:p w14:paraId="591DED0A">
      <w:pPr>
        <w:pStyle w:val="6"/>
        <w:ind w:left="560" w:leftChars="200" w:firstLine="0" w:firstLineChars="0"/>
        <w:rPr>
          <w:rFonts w:hint="eastAsia" w:ascii="仿宋" w:hAnsi="仿宋" w:eastAsia="仿宋" w:cs="仿宋"/>
          <w:color w:val="auto"/>
          <w:highlight w:val="none"/>
        </w:rPr>
      </w:pPr>
      <w:bookmarkStart w:id="233" w:name="_Toc163492874"/>
      <w:bookmarkStart w:id="234" w:name="_Toc140132807"/>
      <w:r>
        <w:rPr>
          <w:rFonts w:hint="eastAsia" w:ascii="仿宋" w:hAnsi="仿宋" w:eastAsia="仿宋" w:cs="仿宋"/>
          <w:color w:val="auto"/>
          <w:highlight w:val="none"/>
        </w:rPr>
        <w:t>42.废标</w:t>
      </w:r>
      <w:bookmarkEnd w:id="233"/>
      <w:bookmarkEnd w:id="234"/>
    </w:p>
    <w:p w14:paraId="70D9CB7D">
      <w:pPr>
        <w:pStyle w:val="47"/>
        <w:ind w:firstLine="560"/>
        <w:rPr>
          <w:rFonts w:hint="eastAsia" w:ascii="仿宋" w:hAnsi="仿宋" w:eastAsia="仿宋" w:cs="仿宋"/>
          <w:color w:val="auto"/>
          <w:highlight w:val="none"/>
        </w:rPr>
      </w:pPr>
      <w:r>
        <w:rPr>
          <w:rFonts w:hint="eastAsia" w:ascii="仿宋" w:hAnsi="仿宋" w:eastAsia="仿宋" w:cs="仿宋"/>
          <w:color w:val="auto"/>
          <w:highlight w:val="none"/>
        </w:rPr>
        <w:t>4</w:t>
      </w:r>
      <w:r>
        <w:rPr>
          <w:rFonts w:hint="eastAsia" w:ascii="仿宋" w:hAnsi="仿宋" w:eastAsia="仿宋" w:cs="仿宋"/>
          <w:color w:val="auto"/>
          <w:highlight w:val="none"/>
          <w:lang w:val="en-US"/>
        </w:rPr>
        <w:t>2</w:t>
      </w:r>
      <w:r>
        <w:rPr>
          <w:rFonts w:hint="eastAsia" w:ascii="仿宋" w:hAnsi="仿宋" w:eastAsia="仿宋" w:cs="仿宋"/>
          <w:color w:val="auto"/>
          <w:highlight w:val="none"/>
        </w:rPr>
        <w:t>.1</w:t>
      </w: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rPr>
        <w:t>在招标采购中出现有下列情形之一的，应予以</w:t>
      </w:r>
      <w:r>
        <w:rPr>
          <w:rFonts w:hint="eastAsia" w:ascii="仿宋" w:hAnsi="仿宋" w:eastAsia="仿宋" w:cs="仿宋"/>
          <w:b/>
          <w:bCs/>
          <w:color w:val="auto"/>
          <w:highlight w:val="none"/>
        </w:rPr>
        <w:t>废标</w:t>
      </w:r>
      <w:r>
        <w:rPr>
          <w:rFonts w:hint="eastAsia" w:ascii="仿宋" w:hAnsi="仿宋" w:eastAsia="仿宋" w:cs="仿宋"/>
          <w:color w:val="auto"/>
          <w:highlight w:val="none"/>
        </w:rPr>
        <w:t>：</w:t>
      </w:r>
    </w:p>
    <w:p w14:paraId="16C8E654">
      <w:pPr>
        <w:pStyle w:val="47"/>
        <w:ind w:firstLine="560"/>
        <w:rPr>
          <w:rFonts w:hint="eastAsia" w:ascii="仿宋" w:hAnsi="仿宋" w:eastAsia="仿宋" w:cs="仿宋"/>
          <w:color w:val="auto"/>
          <w:highlight w:val="none"/>
        </w:rPr>
      </w:pPr>
      <w:r>
        <w:rPr>
          <w:rFonts w:hint="eastAsia" w:ascii="仿宋" w:hAnsi="仿宋" w:eastAsia="仿宋" w:cs="仿宋"/>
          <w:color w:val="auto"/>
          <w:highlight w:val="none"/>
        </w:rPr>
        <w:t>（1）符合专业条件的</w:t>
      </w:r>
      <w:r>
        <w:rPr>
          <w:rFonts w:hint="eastAsia" w:ascii="仿宋" w:hAnsi="仿宋" w:eastAsia="仿宋" w:cs="仿宋"/>
          <w:color w:val="auto"/>
          <w:highlight w:val="none"/>
          <w:lang w:eastAsia="zh-CN"/>
        </w:rPr>
        <w:t>投标人</w:t>
      </w:r>
      <w:r>
        <w:rPr>
          <w:rFonts w:hint="eastAsia" w:ascii="仿宋" w:hAnsi="仿宋" w:eastAsia="仿宋" w:cs="仿宋"/>
          <w:color w:val="auto"/>
          <w:highlight w:val="none"/>
        </w:rPr>
        <w:t>或者对</w:t>
      </w:r>
      <w:r>
        <w:rPr>
          <w:rFonts w:hint="eastAsia" w:ascii="仿宋" w:hAnsi="仿宋" w:eastAsia="仿宋" w:cs="仿宋"/>
          <w:color w:val="auto"/>
          <w:highlight w:val="none"/>
          <w:lang w:eastAsia="zh-CN"/>
        </w:rPr>
        <w:t>招标文件做</w:t>
      </w:r>
      <w:r>
        <w:rPr>
          <w:rFonts w:hint="eastAsia" w:ascii="仿宋" w:hAnsi="仿宋" w:eastAsia="仿宋" w:cs="仿宋"/>
          <w:color w:val="auto"/>
          <w:highlight w:val="none"/>
        </w:rPr>
        <w:t>实质响应的</w:t>
      </w:r>
      <w:r>
        <w:rPr>
          <w:rFonts w:hint="eastAsia" w:ascii="仿宋" w:hAnsi="仿宋" w:eastAsia="仿宋" w:cs="仿宋"/>
          <w:color w:val="auto"/>
          <w:highlight w:val="none"/>
          <w:lang w:eastAsia="zh-CN"/>
        </w:rPr>
        <w:t>投标人</w:t>
      </w:r>
      <w:r>
        <w:rPr>
          <w:rFonts w:hint="eastAsia" w:ascii="仿宋" w:hAnsi="仿宋" w:eastAsia="仿宋" w:cs="仿宋"/>
          <w:color w:val="auto"/>
          <w:highlight w:val="none"/>
        </w:rPr>
        <w:t>不足三家的；</w:t>
      </w:r>
    </w:p>
    <w:p w14:paraId="283791BD">
      <w:pPr>
        <w:pStyle w:val="47"/>
        <w:ind w:firstLine="560"/>
        <w:rPr>
          <w:rFonts w:hint="eastAsia" w:ascii="仿宋" w:hAnsi="仿宋" w:eastAsia="仿宋" w:cs="仿宋"/>
          <w:color w:val="auto"/>
          <w:highlight w:val="none"/>
        </w:rPr>
      </w:pPr>
      <w:r>
        <w:rPr>
          <w:rFonts w:hint="eastAsia" w:ascii="仿宋" w:hAnsi="仿宋" w:eastAsia="仿宋" w:cs="仿宋"/>
          <w:color w:val="auto"/>
          <w:highlight w:val="none"/>
        </w:rPr>
        <w:t>（2）出现影响采购公正的违法、违规行为的；</w:t>
      </w:r>
    </w:p>
    <w:p w14:paraId="0F8460AD">
      <w:pPr>
        <w:pStyle w:val="47"/>
        <w:ind w:firstLine="560"/>
        <w:rPr>
          <w:rFonts w:hint="eastAsia" w:ascii="仿宋" w:hAnsi="仿宋" w:eastAsia="仿宋" w:cs="仿宋"/>
          <w:color w:val="auto"/>
          <w:highlight w:val="none"/>
        </w:rPr>
      </w:pPr>
      <w:r>
        <w:rPr>
          <w:rFonts w:hint="eastAsia" w:ascii="仿宋" w:hAnsi="仿宋" w:eastAsia="仿宋" w:cs="仿宋"/>
          <w:color w:val="auto"/>
          <w:highlight w:val="none"/>
        </w:rPr>
        <w:t>（3）</w:t>
      </w:r>
      <w:r>
        <w:rPr>
          <w:rFonts w:hint="eastAsia" w:ascii="仿宋" w:hAnsi="仿宋" w:eastAsia="仿宋" w:cs="仿宋"/>
          <w:color w:val="auto"/>
          <w:highlight w:val="none"/>
          <w:lang w:eastAsia="zh-CN"/>
        </w:rPr>
        <w:t>投标人</w:t>
      </w:r>
      <w:r>
        <w:rPr>
          <w:rFonts w:hint="eastAsia" w:ascii="仿宋" w:hAnsi="仿宋" w:eastAsia="仿宋" w:cs="仿宋"/>
          <w:color w:val="auto"/>
          <w:highlight w:val="none"/>
        </w:rPr>
        <w:t>的报价均超过了采购预算，采购人不能支付的；</w:t>
      </w:r>
    </w:p>
    <w:p w14:paraId="5FBFE5F0">
      <w:pPr>
        <w:pStyle w:val="47"/>
        <w:ind w:firstLine="560"/>
        <w:rPr>
          <w:rFonts w:hint="eastAsia" w:ascii="仿宋" w:hAnsi="仿宋" w:eastAsia="仿宋" w:cs="仿宋"/>
          <w:color w:val="auto"/>
          <w:highlight w:val="none"/>
        </w:rPr>
      </w:pPr>
      <w:r>
        <w:rPr>
          <w:rFonts w:hint="eastAsia" w:ascii="仿宋" w:hAnsi="仿宋" w:eastAsia="仿宋" w:cs="仿宋"/>
          <w:color w:val="auto"/>
          <w:highlight w:val="none"/>
        </w:rPr>
        <w:t>（4）因重大变故，采购任务取消的。</w:t>
      </w:r>
    </w:p>
    <w:p w14:paraId="298685B3">
      <w:pPr>
        <w:pStyle w:val="5"/>
        <w:ind w:firstLine="602"/>
        <w:rPr>
          <w:rFonts w:hint="eastAsia" w:ascii="仿宋" w:hAnsi="仿宋" w:eastAsia="仿宋" w:cs="仿宋"/>
          <w:color w:val="auto"/>
          <w:highlight w:val="none"/>
        </w:rPr>
      </w:pPr>
      <w:bookmarkStart w:id="235" w:name="_Toc140132766"/>
      <w:bookmarkStart w:id="236" w:name="_Toc19783"/>
      <w:bookmarkStart w:id="237" w:name="_Toc31253"/>
      <w:bookmarkStart w:id="238" w:name="_Toc163492875"/>
      <w:bookmarkStart w:id="239" w:name="_Toc11830"/>
      <w:bookmarkStart w:id="240" w:name="_Toc155185884"/>
      <w:bookmarkStart w:id="241" w:name="_Toc140132808"/>
      <w:r>
        <w:rPr>
          <w:rFonts w:hint="eastAsia" w:ascii="仿宋" w:hAnsi="仿宋" w:eastAsia="仿宋" w:cs="仿宋"/>
          <w:color w:val="auto"/>
          <w:highlight w:val="none"/>
        </w:rPr>
        <w:t>（十</w:t>
      </w:r>
      <w:r>
        <w:rPr>
          <w:rFonts w:hint="eastAsia" w:cs="仿宋"/>
          <w:color w:val="auto"/>
          <w:highlight w:val="none"/>
          <w:lang w:val="en-US" w:eastAsia="zh-CN"/>
        </w:rPr>
        <w:t>三</w:t>
      </w:r>
      <w:r>
        <w:rPr>
          <w:rFonts w:hint="eastAsia" w:ascii="仿宋" w:hAnsi="仿宋" w:eastAsia="仿宋" w:cs="仿宋"/>
          <w:color w:val="auto"/>
          <w:highlight w:val="none"/>
        </w:rPr>
        <w:t>）落实政府采购政策</w:t>
      </w:r>
      <w:bookmarkEnd w:id="235"/>
      <w:bookmarkEnd w:id="236"/>
      <w:bookmarkEnd w:id="237"/>
      <w:bookmarkEnd w:id="238"/>
      <w:bookmarkEnd w:id="239"/>
    </w:p>
    <w:p w14:paraId="78F7FB07">
      <w:pPr>
        <w:pStyle w:val="6"/>
        <w:ind w:left="560" w:leftChars="200" w:firstLine="0" w:firstLineChars="0"/>
        <w:rPr>
          <w:rFonts w:hint="eastAsia" w:ascii="仿宋" w:hAnsi="仿宋" w:eastAsia="仿宋" w:cs="仿宋"/>
          <w:color w:val="auto"/>
          <w:highlight w:val="none"/>
        </w:rPr>
      </w:pPr>
      <w:bookmarkStart w:id="242" w:name="_Toc163492876"/>
      <w:r>
        <w:rPr>
          <w:rFonts w:hint="eastAsia" w:ascii="仿宋" w:hAnsi="仿宋" w:eastAsia="仿宋" w:cs="仿宋"/>
          <w:color w:val="auto"/>
          <w:highlight w:val="none"/>
        </w:rPr>
        <w:t>43.支持国产和进口产品审批</w:t>
      </w:r>
      <w:bookmarkEnd w:id="242"/>
    </w:p>
    <w:p w14:paraId="3B3FDD7B">
      <w:pPr>
        <w:ind w:firstLine="560"/>
        <w:rPr>
          <w:rFonts w:hint="eastAsia" w:ascii="仿宋" w:hAnsi="仿宋" w:eastAsia="仿宋" w:cs="仿宋"/>
          <w:color w:val="auto"/>
          <w:highlight w:val="none"/>
        </w:rPr>
      </w:pPr>
      <w:r>
        <w:rPr>
          <w:rFonts w:hint="eastAsia" w:ascii="仿宋" w:hAnsi="仿宋" w:eastAsia="仿宋" w:cs="仿宋"/>
          <w:color w:val="auto"/>
          <w:highlight w:val="none"/>
        </w:rPr>
        <w:t>43.1</w:t>
      </w: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rPr>
        <w:t>除“</w:t>
      </w:r>
      <w:r>
        <w:rPr>
          <w:rFonts w:hint="eastAsia" w:ascii="仿宋" w:hAnsi="仿宋" w:eastAsia="仿宋" w:cs="仿宋"/>
          <w:color w:val="auto"/>
          <w:highlight w:val="none"/>
          <w:lang w:eastAsia="zh-CN"/>
        </w:rPr>
        <w:t>投标人</w:t>
      </w:r>
      <w:r>
        <w:rPr>
          <w:rFonts w:hint="eastAsia" w:ascii="仿宋" w:hAnsi="仿宋" w:eastAsia="仿宋" w:cs="仿宋"/>
          <w:color w:val="auto"/>
          <w:highlight w:val="none"/>
        </w:rPr>
        <w:t>须知前附表”另有规定外，政府采购应当采购本国产品，确需采购进口产品的，采购人应当按照《关于政府采购进口产品管理有关问题的通知》（财办库〔2008〕248号）规定执行（进口产品审批制，科研院所监管部门另有规定的从其规定）。</w:t>
      </w:r>
      <w:bookmarkStart w:id="243" w:name="_Toc163492877"/>
      <w:r>
        <w:rPr>
          <w:rFonts w:hint="eastAsia" w:ascii="仿宋" w:hAnsi="仿宋" w:eastAsia="仿宋" w:cs="仿宋"/>
          <w:b/>
          <w:bCs/>
          <w:color w:val="auto"/>
          <w:highlight w:val="none"/>
        </w:rPr>
        <w:t>本项目产品未特别注明“进口产品”字样的，应当提供本国产品，否则投标无效。</w:t>
      </w:r>
    </w:p>
    <w:p w14:paraId="0AB2E65D">
      <w:pPr>
        <w:pStyle w:val="6"/>
        <w:ind w:firstLine="562"/>
        <w:rPr>
          <w:rFonts w:hint="eastAsia" w:ascii="仿宋" w:hAnsi="仿宋" w:eastAsia="仿宋" w:cs="仿宋"/>
          <w:color w:val="auto"/>
          <w:highlight w:val="none"/>
        </w:rPr>
      </w:pPr>
      <w:r>
        <w:rPr>
          <w:rFonts w:hint="eastAsia" w:ascii="仿宋" w:hAnsi="仿宋" w:eastAsia="仿宋" w:cs="仿宋"/>
          <w:color w:val="auto"/>
          <w:highlight w:val="none"/>
        </w:rPr>
        <w:t>44.中小企业、监狱企业及残疾人福利性单位</w:t>
      </w:r>
      <w:bookmarkEnd w:id="243"/>
    </w:p>
    <w:p w14:paraId="0580EAF0">
      <w:pPr>
        <w:pStyle w:val="47"/>
        <w:ind w:firstLine="560"/>
        <w:rPr>
          <w:rFonts w:hint="eastAsia" w:ascii="仿宋" w:hAnsi="仿宋" w:eastAsia="仿宋" w:cs="仿宋"/>
          <w:snapToGrid w:val="0"/>
          <w:color w:val="auto"/>
          <w:highlight w:val="none"/>
        </w:rPr>
      </w:pPr>
      <w:r>
        <w:rPr>
          <w:rFonts w:hint="eastAsia" w:ascii="仿宋" w:hAnsi="仿宋" w:eastAsia="仿宋" w:cs="仿宋"/>
          <w:snapToGrid w:val="0"/>
          <w:color w:val="auto"/>
          <w:highlight w:val="none"/>
        </w:rPr>
        <w:t>4</w:t>
      </w:r>
      <w:r>
        <w:rPr>
          <w:rFonts w:hint="eastAsia" w:ascii="仿宋" w:hAnsi="仿宋" w:eastAsia="仿宋" w:cs="仿宋"/>
          <w:snapToGrid w:val="0"/>
          <w:color w:val="auto"/>
          <w:highlight w:val="none"/>
          <w:lang w:val="en-US"/>
        </w:rPr>
        <w:t>4</w:t>
      </w:r>
      <w:r>
        <w:rPr>
          <w:rFonts w:hint="eastAsia" w:ascii="仿宋" w:hAnsi="仿宋" w:eastAsia="仿宋" w:cs="仿宋"/>
          <w:snapToGrid w:val="0"/>
          <w:color w:val="auto"/>
          <w:highlight w:val="none"/>
        </w:rPr>
        <w:t>.1</w:t>
      </w:r>
      <w:r>
        <w:rPr>
          <w:rFonts w:hint="eastAsia" w:ascii="仿宋" w:hAnsi="仿宋" w:eastAsia="仿宋" w:cs="仿宋"/>
          <w:snapToGrid w:val="0"/>
          <w:color w:val="auto"/>
          <w:highlight w:val="none"/>
          <w:lang w:val="en-US" w:eastAsia="zh-CN"/>
        </w:rPr>
        <w:t xml:space="preserve"> </w:t>
      </w:r>
      <w:r>
        <w:rPr>
          <w:rFonts w:hint="eastAsia" w:ascii="仿宋" w:hAnsi="仿宋" w:eastAsia="仿宋" w:cs="仿宋"/>
          <w:snapToGrid w:val="0"/>
          <w:color w:val="auto"/>
          <w:highlight w:val="none"/>
        </w:rPr>
        <w:t>为促进中小企业发展，依据《关于印发</w:t>
      </w:r>
      <w:r>
        <w:rPr>
          <w:rFonts w:hint="eastAsia" w:ascii="仿宋" w:hAnsi="仿宋" w:eastAsia="仿宋" w:cs="仿宋"/>
          <w:snapToGrid w:val="0"/>
          <w:color w:val="auto"/>
          <w:highlight w:val="none"/>
          <w:lang w:eastAsia="zh-CN"/>
        </w:rPr>
        <w:t>〈</w:t>
      </w:r>
      <w:r>
        <w:rPr>
          <w:rFonts w:hint="eastAsia" w:ascii="仿宋" w:hAnsi="仿宋" w:eastAsia="仿宋" w:cs="仿宋"/>
          <w:snapToGrid w:val="0"/>
          <w:color w:val="auto"/>
          <w:highlight w:val="none"/>
        </w:rPr>
        <w:t>政府采购促进中小企业发展管理办法</w:t>
      </w:r>
      <w:r>
        <w:rPr>
          <w:rFonts w:hint="eastAsia" w:ascii="仿宋" w:hAnsi="仿宋" w:eastAsia="仿宋" w:cs="仿宋"/>
          <w:snapToGrid w:val="0"/>
          <w:color w:val="auto"/>
          <w:highlight w:val="none"/>
          <w:lang w:eastAsia="zh-CN"/>
        </w:rPr>
        <w:t>〉的通知》</w:t>
      </w:r>
      <w:r>
        <w:rPr>
          <w:rFonts w:hint="eastAsia" w:ascii="仿宋" w:hAnsi="仿宋" w:eastAsia="仿宋" w:cs="仿宋"/>
          <w:snapToGrid w:val="0"/>
          <w:color w:val="auto"/>
          <w:highlight w:val="none"/>
        </w:rPr>
        <w:t>（财库〔2020〕46号）、《财政部 司法部关于政府采购支持监狱企业发展有关问题的通知》（财库〔2014〕68号）、《关于促进残疾人就业政府采购政策的通知》（财库〔2017〕141号）的规定，本项目</w:t>
      </w:r>
      <w:r>
        <w:rPr>
          <w:rFonts w:hint="eastAsia" w:ascii="仿宋" w:hAnsi="仿宋" w:eastAsia="仿宋" w:cs="仿宋"/>
          <w:snapToGrid w:val="0"/>
          <w:color w:val="auto"/>
          <w:highlight w:val="none"/>
          <w:lang w:eastAsia="zh-CN"/>
        </w:rPr>
        <w:t>投标人</w:t>
      </w:r>
      <w:r>
        <w:rPr>
          <w:rFonts w:hint="eastAsia" w:ascii="仿宋" w:hAnsi="仿宋" w:eastAsia="仿宋" w:cs="仿宋"/>
          <w:snapToGrid w:val="0"/>
          <w:color w:val="auto"/>
          <w:highlight w:val="none"/>
        </w:rPr>
        <w:t>如符合上述文件规定的，需提供《中小企业声明函》、监狱企业证明文件、《残疾人福利性单位声明函》，评审时，评标委员会将依据“</w:t>
      </w:r>
      <w:r>
        <w:rPr>
          <w:rFonts w:hint="eastAsia" w:ascii="仿宋" w:hAnsi="仿宋" w:eastAsia="仿宋" w:cs="仿宋"/>
          <w:snapToGrid w:val="0"/>
          <w:color w:val="auto"/>
          <w:highlight w:val="none"/>
          <w:lang w:eastAsia="zh-CN"/>
        </w:rPr>
        <w:t>投标人</w:t>
      </w:r>
      <w:r>
        <w:rPr>
          <w:rFonts w:hint="eastAsia" w:ascii="仿宋" w:hAnsi="仿宋" w:eastAsia="仿宋" w:cs="仿宋"/>
          <w:snapToGrid w:val="0"/>
          <w:color w:val="auto"/>
          <w:highlight w:val="none"/>
        </w:rPr>
        <w:t>须知前附表”规定的报价扣除比例，对</w:t>
      </w:r>
      <w:r>
        <w:rPr>
          <w:rFonts w:hint="eastAsia" w:ascii="仿宋" w:hAnsi="仿宋" w:eastAsia="仿宋" w:cs="仿宋"/>
          <w:snapToGrid w:val="0"/>
          <w:color w:val="auto"/>
          <w:highlight w:val="none"/>
          <w:lang w:eastAsia="zh-CN"/>
        </w:rPr>
        <w:t>投标人</w:t>
      </w:r>
      <w:r>
        <w:rPr>
          <w:rFonts w:hint="eastAsia" w:ascii="仿宋" w:hAnsi="仿宋" w:eastAsia="仿宋" w:cs="仿宋"/>
          <w:snapToGrid w:val="0"/>
          <w:color w:val="auto"/>
          <w:highlight w:val="none"/>
        </w:rPr>
        <w:t>报价进行价格扣除，用扣除后的价格参与评审。</w:t>
      </w:r>
    </w:p>
    <w:p w14:paraId="03128F8A">
      <w:pPr>
        <w:pStyle w:val="6"/>
        <w:ind w:left="560" w:leftChars="200" w:firstLine="0" w:firstLineChars="0"/>
        <w:rPr>
          <w:rFonts w:hint="eastAsia" w:ascii="仿宋" w:hAnsi="仿宋" w:eastAsia="仿宋" w:cs="仿宋"/>
          <w:color w:val="auto"/>
          <w:highlight w:val="none"/>
        </w:rPr>
      </w:pPr>
      <w:bookmarkStart w:id="244" w:name="_Toc163492878"/>
      <w:r>
        <w:rPr>
          <w:rFonts w:hint="eastAsia" w:ascii="仿宋" w:hAnsi="仿宋" w:eastAsia="仿宋" w:cs="仿宋"/>
          <w:color w:val="auto"/>
          <w:highlight w:val="none"/>
        </w:rPr>
        <w:t>45.政府采购节能产品、环境标志产品</w:t>
      </w:r>
      <w:bookmarkEnd w:id="244"/>
    </w:p>
    <w:p w14:paraId="299BDDB7">
      <w:pPr>
        <w:ind w:firstLine="560"/>
        <w:rPr>
          <w:rFonts w:hint="eastAsia" w:ascii="仿宋" w:hAnsi="仿宋" w:eastAsia="仿宋" w:cs="仿宋"/>
          <w:iCs/>
          <w:snapToGrid w:val="0"/>
          <w:color w:val="auto"/>
          <w:highlight w:val="none"/>
          <w:shd w:val="clear" w:color="auto" w:fill="FFFFFF" w:themeFill="background1"/>
        </w:rPr>
      </w:pPr>
      <w:r>
        <w:rPr>
          <w:rFonts w:hint="eastAsia" w:ascii="仿宋" w:hAnsi="仿宋" w:eastAsia="仿宋" w:cs="仿宋"/>
          <w:iCs/>
          <w:snapToGrid w:val="0"/>
          <w:color w:val="auto"/>
          <w:highlight w:val="none"/>
          <w:shd w:val="clear" w:color="auto" w:fill="FFFFFF" w:themeFill="background1"/>
        </w:rPr>
        <w:t>45.1 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4A1B2ACA">
      <w:pPr>
        <w:ind w:firstLine="560"/>
        <w:rPr>
          <w:rFonts w:hint="eastAsia" w:ascii="仿宋" w:hAnsi="仿宋" w:eastAsia="仿宋" w:cs="仿宋"/>
          <w:iCs/>
          <w:snapToGrid w:val="0"/>
          <w:color w:val="auto"/>
          <w:highlight w:val="none"/>
          <w:shd w:val="clear" w:color="auto" w:fill="FFFFFF" w:themeFill="background1"/>
        </w:rPr>
      </w:pPr>
      <w:r>
        <w:rPr>
          <w:rFonts w:hint="eastAsia" w:ascii="仿宋" w:hAnsi="仿宋" w:eastAsia="仿宋" w:cs="仿宋"/>
          <w:iCs/>
          <w:snapToGrid w:val="0"/>
          <w:color w:val="auto"/>
          <w:highlight w:val="none"/>
          <w:shd w:val="clear" w:color="auto" w:fill="FFFFFF" w:themeFill="background1"/>
        </w:rPr>
        <w:t>45.2 采购人拟采购的产品属于品目清单范围的，采购人及其委托的采购代理机构依据国家确定的认证机构出具的、处于有效期之内的节能产品、环境标志产品认证证书，对获得证书的产品实施政府</w:t>
      </w:r>
      <w:r>
        <w:rPr>
          <w:rFonts w:hint="eastAsia" w:ascii="仿宋" w:hAnsi="仿宋" w:eastAsia="仿宋" w:cs="仿宋"/>
          <w:b/>
          <w:bCs/>
          <w:iCs/>
          <w:snapToGrid w:val="0"/>
          <w:color w:val="auto"/>
          <w:highlight w:val="none"/>
          <w:shd w:val="clear" w:color="auto" w:fill="FFFFFF" w:themeFill="background1"/>
        </w:rPr>
        <w:t>优先采购或强制采购</w:t>
      </w:r>
      <w:r>
        <w:rPr>
          <w:rFonts w:hint="eastAsia" w:ascii="仿宋" w:hAnsi="仿宋" w:eastAsia="仿宋" w:cs="仿宋"/>
          <w:iCs/>
          <w:snapToGrid w:val="0"/>
          <w:color w:val="auto"/>
          <w:highlight w:val="none"/>
          <w:shd w:val="clear" w:color="auto" w:fill="FFFFFF" w:themeFill="background1"/>
        </w:rPr>
        <w:t>。</w:t>
      </w:r>
      <w:r>
        <w:rPr>
          <w:rFonts w:hint="eastAsia" w:ascii="仿宋" w:hAnsi="仿宋" w:eastAsia="仿宋" w:cs="仿宋"/>
          <w:snapToGrid w:val="0"/>
          <w:color w:val="auto"/>
          <w:highlight w:val="none"/>
        </w:rPr>
        <w:t>根据《财政部 发展改革委 生态环境部 市场监管总局关于调整优化节能产品、环境标志产品政府采购执行机制的通知》（财库〔2019〕9号）、《关于印发环境标志产品政府采购品目清单的通知》（财库〔2019〕18号）、《关于印发节能产品政府采购品目清单的通知》（财库〔2019〕19号）的规定，</w:t>
      </w:r>
      <w:r>
        <w:rPr>
          <w:rFonts w:hint="eastAsia" w:ascii="仿宋" w:hAnsi="仿宋" w:eastAsia="仿宋" w:cs="仿宋"/>
          <w:snapToGrid w:val="0"/>
          <w:color w:val="auto"/>
          <w:highlight w:val="none"/>
          <w:lang w:eastAsia="zh-CN"/>
        </w:rPr>
        <w:t>投标人</w:t>
      </w:r>
      <w:r>
        <w:rPr>
          <w:rFonts w:hint="eastAsia" w:ascii="仿宋" w:hAnsi="仿宋" w:eastAsia="仿宋" w:cs="仿宋"/>
          <w:snapToGrid w:val="0"/>
          <w:color w:val="auto"/>
          <w:highlight w:val="none"/>
        </w:rPr>
        <w:t>所投产品如属于节能产品政府采购品目清单、环境标志产品政府采购品目清单范围的，</w:t>
      </w:r>
      <w:r>
        <w:rPr>
          <w:rFonts w:hint="eastAsia" w:ascii="仿宋" w:hAnsi="仿宋" w:eastAsia="仿宋" w:cs="仿宋"/>
          <w:snapToGrid w:val="0"/>
          <w:color w:val="auto"/>
          <w:highlight w:val="none"/>
          <w:lang w:eastAsia="zh-CN"/>
        </w:rPr>
        <w:t>投标人</w:t>
      </w:r>
      <w:r>
        <w:rPr>
          <w:rFonts w:hint="eastAsia" w:ascii="仿宋" w:hAnsi="仿宋" w:eastAsia="仿宋" w:cs="仿宋"/>
          <w:snapToGrid w:val="0"/>
          <w:color w:val="auto"/>
          <w:highlight w:val="none"/>
        </w:rPr>
        <w:t>须提供国家确定的认证机构出具的、处于有效期内的节能产品认证证书，</w:t>
      </w:r>
      <w:r>
        <w:rPr>
          <w:rFonts w:hint="eastAsia" w:ascii="仿宋" w:hAnsi="仿宋" w:eastAsia="仿宋" w:cs="仿宋"/>
          <w:b/>
          <w:bCs/>
          <w:snapToGrid w:val="0"/>
          <w:color w:val="auto"/>
          <w:highlight w:val="none"/>
        </w:rPr>
        <w:t>认证证书的产品型号与所投产品不一致的，视为未提供</w:t>
      </w:r>
      <w:r>
        <w:rPr>
          <w:rFonts w:hint="eastAsia" w:ascii="仿宋" w:hAnsi="仿宋" w:eastAsia="仿宋" w:cs="仿宋"/>
          <w:snapToGrid w:val="0"/>
          <w:color w:val="auto"/>
          <w:highlight w:val="none"/>
        </w:rPr>
        <w:t>。</w:t>
      </w:r>
    </w:p>
    <w:p w14:paraId="22E169B4">
      <w:pPr>
        <w:ind w:firstLine="562"/>
        <w:rPr>
          <w:rFonts w:hint="eastAsia" w:ascii="仿宋" w:hAnsi="仿宋" w:eastAsia="仿宋" w:cs="仿宋"/>
          <w:b w:val="0"/>
          <w:bCs w:val="0"/>
          <w:iCs/>
          <w:snapToGrid w:val="0"/>
          <w:color w:val="auto"/>
          <w:highlight w:val="none"/>
          <w:shd w:val="clear" w:color="auto" w:fill="FFFFFF" w:themeFill="background1"/>
        </w:rPr>
      </w:pPr>
      <w:r>
        <w:rPr>
          <w:rFonts w:hint="eastAsia" w:ascii="仿宋" w:hAnsi="仿宋" w:eastAsia="仿宋" w:cs="仿宋"/>
          <w:b w:val="0"/>
          <w:bCs w:val="0"/>
          <w:iCs/>
          <w:snapToGrid w:val="0"/>
          <w:color w:val="auto"/>
          <w:highlight w:val="none"/>
          <w:shd w:val="clear" w:color="auto" w:fill="FFFFFF" w:themeFill="background1"/>
        </w:rPr>
        <w:t>45.3 强制采购节能产品：（1）强制节能产品指《节能产品政府采购品目清单》（财库〔2019〕19号）中“标注★”的品目。（2）如本项目采购涉及的产品属于实施政府强制采购品目清单范围的节能产品，具体详见“第三章 采购需求”；则投标人须在投标文件中提供所投产品由国家确定的认证机构出具的、处于有效期内的节能产品认证证书，认证证书的产品型号与所投产品不一致的，视为未提供且投标无效。</w:t>
      </w:r>
    </w:p>
    <w:p w14:paraId="69FA704A">
      <w:pPr>
        <w:ind w:firstLine="562"/>
        <w:rPr>
          <w:rFonts w:hint="eastAsia" w:ascii="仿宋" w:hAnsi="仿宋" w:eastAsia="仿宋" w:cs="仿宋"/>
          <w:b w:val="0"/>
          <w:bCs w:val="0"/>
          <w:iCs/>
          <w:snapToGrid w:val="0"/>
          <w:color w:val="auto"/>
          <w:highlight w:val="none"/>
          <w:shd w:val="clear" w:color="auto" w:fill="FFFFFF" w:themeFill="background1"/>
        </w:rPr>
      </w:pPr>
      <w:r>
        <w:rPr>
          <w:rFonts w:hint="eastAsia" w:ascii="仿宋" w:hAnsi="仿宋" w:eastAsia="仿宋" w:cs="仿宋"/>
          <w:b w:val="0"/>
          <w:bCs w:val="0"/>
          <w:iCs/>
          <w:snapToGrid w:val="0"/>
          <w:color w:val="auto"/>
          <w:highlight w:val="none"/>
          <w:shd w:val="clear" w:color="auto" w:fill="FFFFFF" w:themeFill="background1"/>
          <w:lang w:val="en-US" w:eastAsia="zh-CN"/>
        </w:rPr>
        <w:t xml:space="preserve">45.4 </w:t>
      </w:r>
      <w:r>
        <w:rPr>
          <w:rFonts w:hint="eastAsia" w:ascii="仿宋" w:hAnsi="仿宋" w:eastAsia="仿宋" w:cs="仿宋"/>
          <w:b w:val="0"/>
          <w:bCs w:val="0"/>
          <w:iCs/>
          <w:snapToGrid w:val="0"/>
          <w:color w:val="auto"/>
          <w:highlight w:val="none"/>
          <w:shd w:val="clear" w:color="auto" w:fill="FFFFFF" w:themeFill="background1"/>
        </w:rPr>
        <w:t>优先采购节能产品、环境标志产品：（1）优先采购节能产品指《节能产品政府采购品目清单》（财库〔2019〕19号）中“未标注★”的品目，优先采购环境标志产品指《环境标志产品政府采购品目清单》（财库〔2019〕18号）所有品目。（2）如本项目采购涉及的产品属于非政府强制采购的节能产品或环境标志产品，依据品目清单和认证证书实施政府优先采购的，投标人在投标文件中提供所投产品由国家确定的认证机构出具的、处于有效期内的节能产品认证证书，优先采购要求以“第三章 采购需求”或“第五章 评标方法及标准”规定为准。</w:t>
      </w:r>
    </w:p>
    <w:p w14:paraId="14AA4791">
      <w:pPr>
        <w:pStyle w:val="6"/>
        <w:bidi w:val="0"/>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46.政府采购中实施本国产品标准及相关政策</w:t>
      </w:r>
    </w:p>
    <w:p w14:paraId="7BDAB440">
      <w:pPr>
        <w:ind w:firstLine="562"/>
        <w:rPr>
          <w:rFonts w:hint="eastAsia" w:ascii="仿宋" w:hAnsi="仿宋" w:eastAsia="仿宋" w:cs="仿宋"/>
          <w:b w:val="0"/>
          <w:bCs w:val="0"/>
          <w:iCs/>
          <w:snapToGrid w:val="0"/>
          <w:color w:val="auto"/>
          <w:highlight w:val="none"/>
          <w:shd w:val="clear" w:color="auto" w:fill="FFFFFF" w:themeFill="background1"/>
          <w:lang w:eastAsia="zh-CN"/>
        </w:rPr>
      </w:pPr>
      <w:r>
        <w:rPr>
          <w:rFonts w:hint="eastAsia" w:ascii="仿宋" w:hAnsi="仿宋" w:eastAsia="仿宋" w:cs="仿宋"/>
          <w:b w:val="0"/>
          <w:bCs w:val="0"/>
          <w:iCs/>
          <w:snapToGrid w:val="0"/>
          <w:color w:val="auto"/>
          <w:highlight w:val="none"/>
          <w:shd w:val="clear" w:color="auto" w:fill="FFFFFF" w:themeFill="background1"/>
          <w:lang w:val="en-US" w:eastAsia="zh-CN"/>
        </w:rPr>
        <w:t>46.1 按照《国务院办公厅关于在政府采购中实施本国产品标准及相关政策的通知》（国办发〔2025〕34号）的规定：政府采购活动中既有本国产品又有非本国产品参与竞争的，依法对本国产品给予价格评审优惠，对本国产品的报价给予20%的价格扣除，用扣除后的价格参与评审。</w:t>
      </w:r>
      <w:r>
        <w:rPr>
          <w:rFonts w:hint="eastAsia" w:ascii="仿宋" w:hAnsi="仿宋" w:eastAsia="仿宋" w:cs="仿宋"/>
          <w:b w:val="0"/>
          <w:bCs w:val="0"/>
          <w:iCs/>
          <w:snapToGrid w:val="0"/>
          <w:color w:val="auto"/>
          <w:highlight w:val="none"/>
          <w:shd w:val="clear" w:color="auto" w:fill="FFFFFF" w:themeFill="background1"/>
          <w:lang w:eastAsia="zh-CN"/>
        </w:rPr>
        <w:t>进口产品属于非本国产品。但对一些非进口产品，如果不满足上述《</w:t>
      </w:r>
      <w:r>
        <w:rPr>
          <w:rFonts w:hint="eastAsia" w:ascii="仿宋" w:hAnsi="仿宋" w:eastAsia="仿宋" w:cs="仿宋"/>
          <w:b w:val="0"/>
          <w:bCs w:val="0"/>
          <w:iCs/>
          <w:snapToGrid w:val="0"/>
          <w:color w:val="auto"/>
          <w:highlight w:val="none"/>
          <w:shd w:val="clear" w:color="auto" w:fill="FFFFFF" w:themeFill="background1"/>
          <w:lang w:val="en-US" w:eastAsia="zh-CN"/>
        </w:rPr>
        <w:t>通知</w:t>
      </w:r>
      <w:r>
        <w:rPr>
          <w:rFonts w:hint="eastAsia" w:ascii="仿宋" w:hAnsi="仿宋" w:eastAsia="仿宋" w:cs="仿宋"/>
          <w:b w:val="0"/>
          <w:bCs w:val="0"/>
          <w:iCs/>
          <w:snapToGrid w:val="0"/>
          <w:color w:val="auto"/>
          <w:highlight w:val="none"/>
          <w:shd w:val="clear" w:color="auto" w:fill="FFFFFF" w:themeFill="background1"/>
          <w:lang w:eastAsia="zh-CN"/>
        </w:rPr>
        <w:t>》规定的“在中国境内生产”等条件，这些产品也属于非本国产品。对于仅有本国产品参与竞争的政府采购项目，本国产品不享受价格扣除评审优惠。</w:t>
      </w:r>
      <w:r>
        <w:rPr>
          <w:rFonts w:hint="eastAsia" w:ascii="仿宋" w:hAnsi="仿宋" w:eastAsia="仿宋" w:cs="仿宋"/>
          <w:b w:val="0"/>
          <w:bCs w:val="0"/>
          <w:iCs/>
          <w:snapToGrid w:val="0"/>
          <w:color w:val="auto"/>
          <w:highlight w:val="none"/>
          <w:shd w:val="clear" w:color="auto" w:fill="FFFFFF" w:themeFill="background1"/>
          <w:lang w:val="en-US" w:eastAsia="zh-CN"/>
        </w:rPr>
        <w:t>符合规定的投标人</w:t>
      </w:r>
      <w:r>
        <w:rPr>
          <w:rFonts w:hint="eastAsia" w:ascii="仿宋" w:hAnsi="仿宋" w:eastAsia="仿宋" w:cs="仿宋"/>
          <w:b w:val="0"/>
          <w:bCs w:val="0"/>
          <w:iCs/>
          <w:snapToGrid w:val="0"/>
          <w:color w:val="auto"/>
          <w:highlight w:val="none"/>
          <w:shd w:val="clear" w:color="auto" w:fill="FFFFFF" w:themeFill="background1"/>
          <w:lang w:eastAsia="zh-CN"/>
        </w:rPr>
        <w:t>，应当提供《</w:t>
      </w:r>
      <w:r>
        <w:rPr>
          <w:rFonts w:hint="eastAsia" w:ascii="仿宋" w:hAnsi="仿宋" w:eastAsia="仿宋" w:cs="仿宋"/>
          <w:b w:val="0"/>
          <w:bCs w:val="0"/>
          <w:iCs/>
          <w:snapToGrid w:val="0"/>
          <w:color w:val="auto"/>
          <w:highlight w:val="none"/>
          <w:shd w:val="clear" w:color="auto" w:fill="FFFFFF" w:themeFill="background1"/>
          <w:lang w:val="en-US" w:eastAsia="zh-CN"/>
        </w:rPr>
        <w:t>关于符合本国产品标准的声明函</w:t>
      </w:r>
      <w:r>
        <w:rPr>
          <w:rFonts w:hint="eastAsia" w:ascii="仿宋" w:hAnsi="仿宋" w:eastAsia="仿宋" w:cs="仿宋"/>
          <w:b w:val="0"/>
          <w:bCs w:val="0"/>
          <w:iCs/>
          <w:snapToGrid w:val="0"/>
          <w:color w:val="auto"/>
          <w:highlight w:val="none"/>
          <w:shd w:val="clear" w:color="auto" w:fill="FFFFFF" w:themeFill="background1"/>
          <w:lang w:eastAsia="zh-CN"/>
        </w:rPr>
        <w:t>》（详见本招标文件“第七章 投标文件的格式”），否则在评审时不享受上述评审优惠。</w:t>
      </w:r>
    </w:p>
    <w:p w14:paraId="25D3EE73">
      <w:pPr>
        <w:ind w:firstLine="562"/>
        <w:rPr>
          <w:rFonts w:hint="eastAsia" w:ascii="仿宋" w:hAnsi="仿宋" w:eastAsia="仿宋" w:cs="仿宋"/>
          <w:snapToGrid w:val="0"/>
          <w:color w:val="auto"/>
          <w:highlight w:val="none"/>
        </w:rPr>
      </w:pPr>
      <w:r>
        <w:rPr>
          <w:rFonts w:hint="eastAsia" w:ascii="仿宋" w:hAnsi="仿宋" w:eastAsia="仿宋" w:cs="仿宋"/>
          <w:b w:val="0"/>
          <w:bCs w:val="0"/>
          <w:iCs/>
          <w:snapToGrid w:val="0"/>
          <w:color w:val="auto"/>
          <w:highlight w:val="none"/>
          <w:shd w:val="clear" w:color="auto" w:fill="FFFFFF" w:themeFill="background1"/>
          <w:lang w:val="en-US" w:eastAsia="zh-CN"/>
        </w:rPr>
        <w:t xml:space="preserve">46.2 </w:t>
      </w:r>
      <w:r>
        <w:rPr>
          <w:rFonts w:hint="eastAsia" w:ascii="仿宋" w:hAnsi="仿宋" w:eastAsia="仿宋" w:cs="仿宋"/>
          <w:b w:val="0"/>
          <w:bCs w:val="0"/>
          <w:iCs/>
          <w:snapToGrid w:val="0"/>
          <w:color w:val="auto"/>
          <w:highlight w:val="none"/>
          <w:shd w:val="clear" w:color="auto" w:fill="FFFFFF" w:themeFill="background1"/>
          <w:lang w:eastAsia="zh-CN"/>
        </w:rPr>
        <w:t>当采购项目或者采购包中含有多种产品，投标人为该采购项目或者采购包提供的符合本国产品标准的产品成本之和占该投标人提供的全部产品成本之和的比例达到80%以上时，依法对该投标人提供的全部产品给予价格评审优惠，</w:t>
      </w:r>
      <w:r>
        <w:rPr>
          <w:rFonts w:hint="eastAsia" w:ascii="仿宋" w:hAnsi="仿宋" w:eastAsia="仿宋" w:cs="仿宋"/>
          <w:i w:val="0"/>
          <w:iCs w:val="0"/>
          <w:caps w:val="0"/>
          <w:color w:val="auto"/>
          <w:spacing w:val="0"/>
          <w:sz w:val="28"/>
          <w:szCs w:val="28"/>
          <w:highlight w:val="none"/>
          <w:shd w:val="clear" w:fill="FFFFFF"/>
          <w:vertAlign w:val="baseline"/>
        </w:rPr>
        <w:t>即对该</w:t>
      </w:r>
      <w:r>
        <w:rPr>
          <w:rFonts w:hint="eastAsia" w:ascii="仿宋" w:hAnsi="仿宋" w:eastAsia="仿宋" w:cs="仿宋"/>
          <w:i w:val="0"/>
          <w:iCs w:val="0"/>
          <w:caps w:val="0"/>
          <w:color w:val="auto"/>
          <w:spacing w:val="0"/>
          <w:sz w:val="28"/>
          <w:szCs w:val="28"/>
          <w:highlight w:val="none"/>
          <w:shd w:val="clear" w:fill="FFFFFF"/>
          <w:vertAlign w:val="baseline"/>
          <w:lang w:eastAsia="zh-CN"/>
        </w:rPr>
        <w:t>投标人</w:t>
      </w:r>
      <w:r>
        <w:rPr>
          <w:rFonts w:hint="eastAsia" w:ascii="仿宋" w:hAnsi="仿宋" w:eastAsia="仿宋" w:cs="仿宋"/>
          <w:i w:val="0"/>
          <w:iCs w:val="0"/>
          <w:caps w:val="0"/>
          <w:color w:val="auto"/>
          <w:spacing w:val="0"/>
          <w:sz w:val="28"/>
          <w:szCs w:val="28"/>
          <w:highlight w:val="none"/>
          <w:shd w:val="clear" w:fill="FFFFFF"/>
          <w:vertAlign w:val="baseline"/>
        </w:rPr>
        <w:t>提供的全部产品的总报价给予20%的价格扣除，用扣除后的价格参与评审。</w:t>
      </w:r>
      <w:r>
        <w:rPr>
          <w:rFonts w:hint="eastAsia" w:ascii="仿宋" w:hAnsi="仿宋" w:eastAsia="仿宋" w:cs="仿宋"/>
          <w:snapToGrid w:val="0"/>
          <w:color w:val="auto"/>
          <w:highlight w:val="none"/>
          <w:lang w:eastAsia="zh-CN"/>
        </w:rPr>
        <w:t>投标人</w:t>
      </w:r>
      <w:r>
        <w:rPr>
          <w:rFonts w:hint="eastAsia" w:ascii="仿宋" w:hAnsi="仿宋" w:eastAsia="仿宋" w:cs="仿宋"/>
          <w:snapToGrid w:val="0"/>
          <w:color w:val="auto"/>
          <w:highlight w:val="none"/>
        </w:rPr>
        <w:t>如符合上述</w:t>
      </w:r>
      <w:r>
        <w:rPr>
          <w:rFonts w:hint="eastAsia" w:ascii="仿宋" w:hAnsi="仿宋" w:eastAsia="仿宋" w:cs="仿宋"/>
          <w:snapToGrid w:val="0"/>
          <w:color w:val="auto"/>
          <w:highlight w:val="none"/>
          <w:lang w:eastAsia="zh-CN"/>
        </w:rPr>
        <w:t>《</w:t>
      </w:r>
      <w:r>
        <w:rPr>
          <w:rFonts w:hint="eastAsia" w:ascii="仿宋" w:hAnsi="仿宋" w:eastAsia="仿宋" w:cs="仿宋"/>
          <w:snapToGrid w:val="0"/>
          <w:color w:val="auto"/>
          <w:highlight w:val="none"/>
          <w:lang w:val="en-US" w:eastAsia="zh-CN"/>
        </w:rPr>
        <w:t>通知</w:t>
      </w:r>
      <w:r>
        <w:rPr>
          <w:rFonts w:hint="eastAsia" w:ascii="仿宋" w:hAnsi="仿宋" w:eastAsia="仿宋" w:cs="仿宋"/>
          <w:snapToGrid w:val="0"/>
          <w:color w:val="auto"/>
          <w:highlight w:val="none"/>
          <w:lang w:eastAsia="zh-CN"/>
        </w:rPr>
        <w:t>》</w:t>
      </w:r>
      <w:r>
        <w:rPr>
          <w:rFonts w:hint="eastAsia" w:ascii="仿宋" w:hAnsi="仿宋" w:eastAsia="仿宋" w:cs="仿宋"/>
          <w:snapToGrid w:val="0"/>
          <w:color w:val="auto"/>
          <w:highlight w:val="none"/>
        </w:rPr>
        <w:t>规定的，需提供《关于符合本国产品标准的声明函》。</w:t>
      </w:r>
    </w:p>
    <w:p w14:paraId="7ABEB402">
      <w:pPr>
        <w:bidi w:val="0"/>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46.3 本国产品应当符合产品在中国境内生产,且在中国境内生产的组件成本占比达到规定比例,以及对特定产品的关键组件、关键工序在中国境内生产、完成等要求。财政部将会同有关行业主管部门自上述《通知》施行之日起5年内，在充分征求有关内外资企业、行业协会商会等方面意见的基础上，分产品确定在中国境内生产的组件成本占比应当达到的规定比例，以及对特定产品的关键组件、关键工序相关要求。在分产品的中国境内生产的组件成本占比，以及对特定产品的关键组件、关键工序相关要求实施前，符合在中国境内生产条件的产品在政府采购活动中视同本国产品。其中，“在中国境内生产”是指在中华人民共和国关境内实现从原材料、组件到产品的属性改变。属性改变是指经过制造、加工或者组装等工序，产生完全不同于原材料、组件的新产品，并具有新的名称和特征（用途），不包括贴牌、简单的上漆等细微操作。因此，进口产品属于非本国产品。但对一些非进口产品，如果不满足上述《通知》规定的“在中国境内生产”等条件，这些产品也属于非本国产品。</w:t>
      </w:r>
    </w:p>
    <w:p w14:paraId="2C3DE77B">
      <w:pPr>
        <w:bidi w:val="0"/>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注：对于非专门面向中小企业的采购项目，既有本国产品也有非本国产品参与竞争，且提供本国产品的投标人同时为小微企业的，应按照《国务院办公厅关于在政府采购中实施本国产品标准及相关政策的通知》（国办发〔2025〕34 号）、《政府采购促进中小企业发展管理办法》、《财政部关于进一步加大政府采购支持中小企业力度的通知》规定，对该投标人的产品同时给予支持本国产品和小微企业产品的价格评审优惠。相关价格评审扣除优惠，均应该在投标人原始报价基础上计算，用扣除后的价格参与评审。</w:t>
      </w:r>
    </w:p>
    <w:bookmarkEnd w:id="240"/>
    <w:bookmarkEnd w:id="241"/>
    <w:p w14:paraId="5DBF4446">
      <w:pPr>
        <w:pStyle w:val="5"/>
        <w:ind w:firstLine="602"/>
        <w:jc w:val="both"/>
        <w:rPr>
          <w:rFonts w:hint="eastAsia" w:ascii="仿宋" w:hAnsi="仿宋" w:eastAsia="仿宋" w:cs="仿宋"/>
          <w:color w:val="auto"/>
          <w:highlight w:val="none"/>
        </w:rPr>
      </w:pPr>
      <w:bookmarkStart w:id="245" w:name="_Toc163492881"/>
      <w:bookmarkStart w:id="246" w:name="_Toc26894"/>
      <w:bookmarkStart w:id="247" w:name="_Toc27482"/>
      <w:bookmarkStart w:id="248" w:name="_Toc11418"/>
      <w:r>
        <w:rPr>
          <w:rFonts w:hint="eastAsia" w:ascii="仿宋" w:hAnsi="仿宋" w:eastAsia="仿宋" w:cs="仿宋"/>
          <w:color w:val="auto"/>
          <w:highlight w:val="none"/>
        </w:rPr>
        <w:t>（十</w:t>
      </w:r>
      <w:r>
        <w:rPr>
          <w:rFonts w:hint="eastAsia" w:cs="仿宋"/>
          <w:color w:val="auto"/>
          <w:highlight w:val="none"/>
          <w:lang w:val="en-US" w:eastAsia="zh-CN"/>
        </w:rPr>
        <w:t>四</w:t>
      </w:r>
      <w:r>
        <w:rPr>
          <w:rFonts w:hint="eastAsia" w:ascii="仿宋" w:hAnsi="仿宋" w:eastAsia="仿宋" w:cs="仿宋"/>
          <w:color w:val="auto"/>
          <w:highlight w:val="none"/>
        </w:rPr>
        <w:t>）其他</w:t>
      </w:r>
      <w:bookmarkEnd w:id="245"/>
      <w:bookmarkEnd w:id="246"/>
      <w:bookmarkEnd w:id="247"/>
      <w:bookmarkEnd w:id="248"/>
    </w:p>
    <w:p w14:paraId="5E6D23C8">
      <w:pPr>
        <w:pStyle w:val="6"/>
        <w:ind w:left="560" w:leftChars="200" w:firstLine="0" w:firstLineChars="0"/>
        <w:rPr>
          <w:rFonts w:hint="eastAsia" w:ascii="仿宋" w:hAnsi="仿宋" w:eastAsia="仿宋" w:cs="仿宋"/>
          <w:color w:val="auto"/>
          <w:highlight w:val="none"/>
        </w:rPr>
      </w:pPr>
      <w:bookmarkStart w:id="249" w:name="_Toc163492882"/>
      <w:r>
        <w:rPr>
          <w:rFonts w:hint="eastAsia" w:ascii="仿宋" w:hAnsi="仿宋" w:eastAsia="仿宋" w:cs="仿宋"/>
          <w:color w:val="auto"/>
          <w:highlight w:val="none"/>
        </w:rPr>
        <w:t>4</w:t>
      </w:r>
      <w:r>
        <w:rPr>
          <w:rFonts w:hint="eastAsia" w:ascii="仿宋" w:hAnsi="仿宋" w:eastAsia="仿宋" w:cs="仿宋"/>
          <w:color w:val="auto"/>
          <w:highlight w:val="none"/>
          <w:lang w:val="en-US" w:eastAsia="zh-CN"/>
        </w:rPr>
        <w:t>7</w:t>
      </w:r>
      <w:r>
        <w:rPr>
          <w:rFonts w:hint="eastAsia" w:ascii="仿宋" w:hAnsi="仿宋" w:eastAsia="仿宋" w:cs="仿宋"/>
          <w:color w:val="auto"/>
          <w:highlight w:val="none"/>
        </w:rPr>
        <w:t>.需要补充的其他内容</w:t>
      </w:r>
      <w:bookmarkEnd w:id="249"/>
    </w:p>
    <w:p w14:paraId="0ADB705E">
      <w:pPr>
        <w:pStyle w:val="47"/>
        <w:ind w:firstLine="560"/>
        <w:rPr>
          <w:rFonts w:hint="eastAsia" w:ascii="仿宋" w:hAnsi="仿宋" w:eastAsia="仿宋" w:cs="仿宋"/>
          <w:color w:val="auto"/>
          <w:highlight w:val="none"/>
        </w:rPr>
      </w:pPr>
      <w:r>
        <w:rPr>
          <w:rFonts w:hint="eastAsia" w:ascii="仿宋" w:hAnsi="仿宋" w:eastAsia="仿宋" w:cs="仿宋"/>
          <w:color w:val="auto"/>
          <w:highlight w:val="none"/>
        </w:rPr>
        <w:t>4</w:t>
      </w:r>
      <w:r>
        <w:rPr>
          <w:rFonts w:hint="eastAsia" w:ascii="仿宋" w:hAnsi="仿宋" w:eastAsia="仿宋" w:cs="仿宋"/>
          <w:color w:val="auto"/>
          <w:highlight w:val="none"/>
          <w:lang w:val="en-US" w:eastAsia="zh-CN"/>
        </w:rPr>
        <w:t>7</w:t>
      </w:r>
      <w:r>
        <w:rPr>
          <w:rFonts w:hint="eastAsia" w:ascii="仿宋" w:hAnsi="仿宋" w:eastAsia="仿宋" w:cs="仿宋"/>
          <w:color w:val="auto"/>
          <w:highlight w:val="none"/>
        </w:rPr>
        <w:t>.1</w:t>
      </w: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rPr>
        <w:t>需要补充的其他内容：见</w:t>
      </w:r>
      <w:r>
        <w:rPr>
          <w:rFonts w:hint="eastAsia" w:ascii="仿宋" w:hAnsi="仿宋" w:eastAsia="仿宋" w:cs="仿宋"/>
          <w:color w:val="auto"/>
          <w:highlight w:val="none"/>
          <w:lang w:eastAsia="zh-CN"/>
        </w:rPr>
        <w:t>投标人</w:t>
      </w:r>
      <w:r>
        <w:rPr>
          <w:rFonts w:hint="eastAsia" w:ascii="仿宋" w:hAnsi="仿宋" w:eastAsia="仿宋" w:cs="仿宋"/>
          <w:color w:val="auto"/>
          <w:highlight w:val="none"/>
        </w:rPr>
        <w:t>须知前附表。</w:t>
      </w:r>
    </w:p>
    <w:p w14:paraId="36AB7774">
      <w:pPr>
        <w:pStyle w:val="6"/>
        <w:ind w:left="560" w:leftChars="200" w:firstLine="0" w:firstLineChars="0"/>
        <w:rPr>
          <w:rFonts w:hint="eastAsia" w:ascii="仿宋" w:hAnsi="仿宋" w:eastAsia="仿宋" w:cs="仿宋"/>
          <w:color w:val="auto"/>
          <w:highlight w:val="none"/>
        </w:rPr>
      </w:pPr>
      <w:bookmarkStart w:id="250" w:name="_Toc140132810"/>
      <w:bookmarkStart w:id="251" w:name="_Toc163492883"/>
      <w:bookmarkStart w:id="252" w:name="_Toc155185886"/>
      <w:r>
        <w:rPr>
          <w:rFonts w:hint="eastAsia" w:ascii="仿宋" w:hAnsi="仿宋" w:eastAsia="仿宋" w:cs="仿宋"/>
          <w:color w:val="auto"/>
          <w:highlight w:val="none"/>
        </w:rPr>
        <w:t>4</w:t>
      </w:r>
      <w:r>
        <w:rPr>
          <w:rFonts w:hint="eastAsia" w:ascii="仿宋" w:hAnsi="仿宋" w:eastAsia="仿宋" w:cs="仿宋"/>
          <w:color w:val="auto"/>
          <w:highlight w:val="none"/>
          <w:lang w:val="en-US" w:eastAsia="zh-CN"/>
        </w:rPr>
        <w:t>8</w:t>
      </w:r>
      <w:r>
        <w:rPr>
          <w:rFonts w:hint="eastAsia" w:ascii="仿宋" w:hAnsi="仿宋" w:eastAsia="仿宋" w:cs="仿宋"/>
          <w:color w:val="auto"/>
          <w:highlight w:val="none"/>
        </w:rPr>
        <w:t>.适用法律</w:t>
      </w:r>
      <w:bookmarkEnd w:id="250"/>
      <w:bookmarkEnd w:id="251"/>
      <w:bookmarkEnd w:id="252"/>
    </w:p>
    <w:p w14:paraId="11462F02">
      <w:pPr>
        <w:pStyle w:val="47"/>
        <w:ind w:firstLine="560"/>
        <w:rPr>
          <w:rFonts w:hint="eastAsia" w:ascii="仿宋" w:hAnsi="仿宋" w:eastAsia="仿宋" w:cs="仿宋"/>
          <w:snapToGrid w:val="0"/>
          <w:color w:val="auto"/>
          <w:highlight w:val="none"/>
        </w:rPr>
      </w:pPr>
      <w:r>
        <w:rPr>
          <w:rFonts w:hint="eastAsia" w:ascii="仿宋" w:hAnsi="仿宋" w:eastAsia="仿宋" w:cs="仿宋"/>
          <w:snapToGrid w:val="0"/>
          <w:color w:val="auto"/>
          <w:highlight w:val="none"/>
        </w:rPr>
        <w:t>4</w:t>
      </w:r>
      <w:r>
        <w:rPr>
          <w:rFonts w:hint="eastAsia" w:ascii="仿宋" w:hAnsi="仿宋" w:eastAsia="仿宋" w:cs="仿宋"/>
          <w:snapToGrid w:val="0"/>
          <w:color w:val="auto"/>
          <w:highlight w:val="none"/>
          <w:lang w:val="en-US" w:eastAsia="zh-CN"/>
        </w:rPr>
        <w:t>8</w:t>
      </w:r>
      <w:r>
        <w:rPr>
          <w:rFonts w:hint="eastAsia" w:ascii="仿宋" w:hAnsi="仿宋" w:eastAsia="仿宋" w:cs="仿宋"/>
          <w:snapToGrid w:val="0"/>
          <w:color w:val="auto"/>
          <w:highlight w:val="none"/>
        </w:rPr>
        <w:t>.1</w:t>
      </w:r>
      <w:r>
        <w:rPr>
          <w:rFonts w:hint="eastAsia" w:ascii="仿宋" w:hAnsi="仿宋" w:eastAsia="仿宋" w:cs="仿宋"/>
          <w:snapToGrid w:val="0"/>
          <w:color w:val="auto"/>
          <w:highlight w:val="none"/>
          <w:lang w:val="en-US" w:eastAsia="zh-CN"/>
        </w:rPr>
        <w:t xml:space="preserve"> </w:t>
      </w:r>
      <w:r>
        <w:rPr>
          <w:rFonts w:hint="eastAsia" w:ascii="仿宋" w:hAnsi="仿宋" w:eastAsia="仿宋" w:cs="仿宋"/>
          <w:snapToGrid w:val="0"/>
          <w:color w:val="auto"/>
          <w:highlight w:val="none"/>
        </w:rPr>
        <w:t>采购人、采购代理机构及</w:t>
      </w:r>
      <w:r>
        <w:rPr>
          <w:rFonts w:hint="eastAsia" w:ascii="仿宋" w:hAnsi="仿宋" w:eastAsia="仿宋" w:cs="仿宋"/>
          <w:snapToGrid w:val="0"/>
          <w:color w:val="auto"/>
          <w:highlight w:val="none"/>
          <w:lang w:eastAsia="zh-CN"/>
        </w:rPr>
        <w:t>投标人</w:t>
      </w:r>
      <w:r>
        <w:rPr>
          <w:rFonts w:hint="eastAsia" w:ascii="仿宋" w:hAnsi="仿宋" w:eastAsia="仿宋" w:cs="仿宋"/>
          <w:snapToGrid w:val="0"/>
          <w:color w:val="auto"/>
          <w:highlight w:val="none"/>
        </w:rPr>
        <w:t>的一切采购活动均适用《中华人民共和国政府采购法》、《中华人民共和国政府采购法实施条例》、《政府采购货物和服务招标投标管理办法》（财政部令第87号）及相关法律法规。</w:t>
      </w:r>
    </w:p>
    <w:p w14:paraId="362AEAA2">
      <w:pPr>
        <w:pStyle w:val="47"/>
        <w:ind w:firstLine="560"/>
        <w:rPr>
          <w:rFonts w:hint="eastAsia" w:ascii="仿宋" w:hAnsi="仿宋" w:eastAsia="仿宋" w:cs="仿宋"/>
          <w:color w:val="auto"/>
          <w:highlight w:val="none"/>
        </w:rPr>
      </w:pPr>
      <w:r>
        <w:rPr>
          <w:rFonts w:hint="eastAsia" w:ascii="仿宋" w:hAnsi="仿宋" w:eastAsia="仿宋" w:cs="仿宋"/>
          <w:snapToGrid w:val="0"/>
          <w:color w:val="auto"/>
          <w:highlight w:val="none"/>
        </w:rPr>
        <w:t>4</w:t>
      </w:r>
      <w:r>
        <w:rPr>
          <w:rFonts w:hint="eastAsia" w:ascii="仿宋" w:hAnsi="仿宋" w:eastAsia="仿宋" w:cs="仿宋"/>
          <w:snapToGrid w:val="0"/>
          <w:color w:val="auto"/>
          <w:highlight w:val="none"/>
          <w:lang w:val="en-US" w:eastAsia="zh-CN"/>
        </w:rPr>
        <w:t>8</w:t>
      </w:r>
      <w:r>
        <w:rPr>
          <w:rFonts w:hint="eastAsia" w:ascii="仿宋" w:hAnsi="仿宋" w:eastAsia="仿宋" w:cs="仿宋"/>
          <w:snapToGrid w:val="0"/>
          <w:color w:val="auto"/>
          <w:highlight w:val="none"/>
        </w:rPr>
        <w:t>.2</w:t>
      </w:r>
      <w:r>
        <w:rPr>
          <w:rFonts w:hint="eastAsia" w:ascii="仿宋" w:hAnsi="仿宋" w:eastAsia="仿宋" w:cs="仿宋"/>
          <w:snapToGrid w:val="0"/>
          <w:color w:val="auto"/>
          <w:highlight w:val="none"/>
          <w:lang w:val="en-US" w:eastAsia="zh-CN"/>
        </w:rPr>
        <w:t xml:space="preserve"> </w:t>
      </w:r>
      <w:r>
        <w:rPr>
          <w:rFonts w:hint="eastAsia" w:ascii="仿宋" w:hAnsi="仿宋" w:eastAsia="仿宋" w:cs="仿宋"/>
          <w:snapToGrid w:val="0"/>
          <w:color w:val="auto"/>
          <w:highlight w:val="none"/>
        </w:rPr>
        <w:t>政府采购合同的履行、违约责任和解决争议的方法等适用《中华人民共和国民法典》。</w:t>
      </w:r>
    </w:p>
    <w:p w14:paraId="6CF4987D">
      <w:pPr>
        <w:pStyle w:val="6"/>
        <w:ind w:left="560" w:leftChars="200" w:firstLine="0" w:firstLineChars="0"/>
        <w:rPr>
          <w:rFonts w:hint="eastAsia" w:ascii="仿宋" w:hAnsi="仿宋" w:eastAsia="仿宋" w:cs="仿宋"/>
          <w:color w:val="auto"/>
          <w:highlight w:val="none"/>
        </w:rPr>
      </w:pPr>
      <w:bookmarkStart w:id="253" w:name="_Toc163492884"/>
      <w:bookmarkStart w:id="254" w:name="_Toc155185887"/>
      <w:r>
        <w:rPr>
          <w:rFonts w:hint="eastAsia" w:ascii="仿宋" w:hAnsi="仿宋" w:eastAsia="仿宋" w:cs="仿宋"/>
          <w:color w:val="auto"/>
          <w:highlight w:val="none"/>
        </w:rPr>
        <w:t>4</w:t>
      </w:r>
      <w:r>
        <w:rPr>
          <w:rFonts w:hint="eastAsia" w:ascii="仿宋" w:hAnsi="仿宋" w:eastAsia="仿宋" w:cs="仿宋"/>
          <w:color w:val="auto"/>
          <w:highlight w:val="none"/>
          <w:lang w:val="en-US" w:eastAsia="zh-CN"/>
        </w:rPr>
        <w:t>9</w:t>
      </w:r>
      <w:r>
        <w:rPr>
          <w:rFonts w:hint="eastAsia" w:ascii="仿宋" w:hAnsi="仿宋" w:eastAsia="仿宋" w:cs="仿宋"/>
          <w:color w:val="auto"/>
          <w:highlight w:val="none"/>
        </w:rPr>
        <w:t>.解释权</w:t>
      </w:r>
      <w:bookmarkEnd w:id="253"/>
      <w:bookmarkEnd w:id="254"/>
    </w:p>
    <w:p w14:paraId="6697B794">
      <w:pPr>
        <w:pStyle w:val="47"/>
        <w:ind w:firstLine="560"/>
        <w:rPr>
          <w:rFonts w:hint="eastAsia" w:ascii="仿宋" w:hAnsi="仿宋" w:eastAsia="仿宋" w:cs="仿宋"/>
          <w:snapToGrid w:val="0"/>
          <w:color w:val="auto"/>
          <w:highlight w:val="none"/>
        </w:rPr>
      </w:pPr>
      <w:r>
        <w:rPr>
          <w:rFonts w:hint="eastAsia" w:ascii="仿宋" w:hAnsi="仿宋" w:eastAsia="仿宋" w:cs="仿宋"/>
          <w:snapToGrid w:val="0"/>
          <w:color w:val="auto"/>
          <w:highlight w:val="none"/>
        </w:rPr>
        <w:t>4</w:t>
      </w:r>
      <w:r>
        <w:rPr>
          <w:rFonts w:hint="eastAsia" w:ascii="仿宋" w:hAnsi="仿宋" w:eastAsia="仿宋" w:cs="仿宋"/>
          <w:snapToGrid w:val="0"/>
          <w:color w:val="auto"/>
          <w:highlight w:val="none"/>
          <w:lang w:val="en-US" w:eastAsia="zh-CN"/>
        </w:rPr>
        <w:t>9</w:t>
      </w:r>
      <w:r>
        <w:rPr>
          <w:rFonts w:hint="eastAsia" w:ascii="仿宋" w:hAnsi="仿宋" w:eastAsia="仿宋" w:cs="仿宋"/>
          <w:snapToGrid w:val="0"/>
          <w:color w:val="auto"/>
          <w:highlight w:val="none"/>
        </w:rPr>
        <w:t>.1</w:t>
      </w:r>
      <w:r>
        <w:rPr>
          <w:rFonts w:hint="eastAsia" w:ascii="仿宋" w:hAnsi="仿宋" w:eastAsia="仿宋" w:cs="仿宋"/>
          <w:snapToGrid w:val="0"/>
          <w:color w:val="auto"/>
          <w:highlight w:val="none"/>
          <w:lang w:val="en-US" w:eastAsia="zh-CN"/>
        </w:rPr>
        <w:t xml:space="preserve"> </w:t>
      </w:r>
      <w:r>
        <w:rPr>
          <w:rFonts w:hint="eastAsia" w:ascii="仿宋" w:hAnsi="仿宋" w:eastAsia="仿宋" w:cs="仿宋"/>
          <w:snapToGrid w:val="0"/>
          <w:color w:val="auto"/>
          <w:highlight w:val="none"/>
        </w:rPr>
        <w:t>本</w:t>
      </w:r>
      <w:r>
        <w:rPr>
          <w:rFonts w:hint="eastAsia" w:ascii="仿宋" w:hAnsi="仿宋" w:eastAsia="仿宋" w:cs="仿宋"/>
          <w:snapToGrid w:val="0"/>
          <w:color w:val="auto"/>
          <w:highlight w:val="none"/>
          <w:lang w:eastAsia="zh-CN"/>
        </w:rPr>
        <w:t>招标文件</w:t>
      </w:r>
      <w:r>
        <w:rPr>
          <w:rFonts w:hint="eastAsia" w:ascii="仿宋" w:hAnsi="仿宋" w:eastAsia="仿宋" w:cs="仿宋"/>
          <w:snapToGrid w:val="0"/>
          <w:color w:val="auto"/>
          <w:highlight w:val="none"/>
        </w:rPr>
        <w:t>最终解释权归采购人或采购代理机构所有。</w:t>
      </w:r>
    </w:p>
    <w:p w14:paraId="3C85B454">
      <w:pPr>
        <w:rPr>
          <w:rFonts w:hint="eastAsia" w:ascii="仿宋" w:hAnsi="仿宋" w:eastAsia="仿宋" w:cs="仿宋"/>
          <w:snapToGrid w:val="0"/>
          <w:color w:val="auto"/>
          <w:highlight w:val="none"/>
        </w:rPr>
      </w:pPr>
      <w:r>
        <w:rPr>
          <w:rFonts w:hint="eastAsia" w:ascii="仿宋" w:hAnsi="仿宋" w:eastAsia="仿宋" w:cs="仿宋"/>
          <w:snapToGrid w:val="0"/>
          <w:color w:val="auto"/>
          <w:highlight w:val="none"/>
        </w:rPr>
        <w:br w:type="page"/>
      </w:r>
    </w:p>
    <w:bookmarkEnd w:id="0"/>
    <w:bookmarkEnd w:id="53"/>
    <w:bookmarkEnd w:id="54"/>
    <w:bookmarkEnd w:id="55"/>
    <w:bookmarkEnd w:id="65"/>
    <w:bookmarkEnd w:id="66"/>
    <w:p w14:paraId="1EDBEDC5">
      <w:pPr>
        <w:pStyle w:val="2"/>
        <w:wordWrap/>
        <w:adjustRightInd/>
        <w:snapToGrid/>
        <w:spacing w:before="120" w:after="120" w:line="360" w:lineRule="auto"/>
        <w:rPr>
          <w:rFonts w:hint="eastAsia" w:ascii="仿宋" w:hAnsi="仿宋" w:eastAsia="仿宋" w:cs="仿宋"/>
          <w:color w:val="auto"/>
          <w:highlight w:val="none"/>
          <w:lang w:eastAsia="zh-CN"/>
        </w:rPr>
      </w:pPr>
      <w:bookmarkStart w:id="255" w:name="_Toc163492885"/>
      <w:bookmarkStart w:id="256" w:name="_Toc155185888"/>
      <w:bookmarkStart w:id="257" w:name="_Toc17600"/>
      <w:r>
        <w:rPr>
          <w:rFonts w:hint="eastAsia" w:ascii="仿宋" w:hAnsi="仿宋" w:eastAsia="仿宋" w:cs="仿宋"/>
          <w:color w:val="auto"/>
          <w:highlight w:val="none"/>
        </w:rPr>
        <w:t xml:space="preserve">第三章 </w:t>
      </w:r>
      <w:bookmarkEnd w:id="255"/>
      <w:bookmarkEnd w:id="256"/>
      <w:r>
        <w:rPr>
          <w:rFonts w:hint="eastAsia" w:ascii="仿宋" w:hAnsi="仿宋" w:eastAsia="仿宋" w:cs="仿宋"/>
          <w:color w:val="auto"/>
          <w:highlight w:val="none"/>
          <w:lang w:eastAsia="zh-CN"/>
        </w:rPr>
        <w:t>采购需求</w:t>
      </w:r>
      <w:bookmarkEnd w:id="257"/>
    </w:p>
    <w:p w14:paraId="15937D7B">
      <w:pPr>
        <w:pStyle w:val="3"/>
        <w:bidi w:val="0"/>
        <w:rPr>
          <w:rFonts w:hint="eastAsia" w:ascii="仿宋" w:hAnsi="仿宋" w:eastAsia="仿宋" w:cs="仿宋"/>
          <w:color w:val="auto"/>
          <w:highlight w:val="none"/>
        </w:rPr>
      </w:pPr>
      <w:bookmarkStart w:id="258" w:name="_Toc2269"/>
      <w:bookmarkStart w:id="259" w:name="_Toc2982"/>
      <w:bookmarkStart w:id="260" w:name="_Toc163492892"/>
      <w:bookmarkStart w:id="261" w:name="_Toc155185895"/>
      <w:r>
        <w:rPr>
          <w:rFonts w:hint="eastAsia" w:ascii="仿宋" w:hAnsi="仿宋" w:eastAsia="仿宋" w:cs="仿宋"/>
          <w:color w:val="auto"/>
          <w:highlight w:val="none"/>
        </w:rPr>
        <w:t>一、采购标的需实现的功能或者目标，以及为落实政府采购政策需满足的要求；</w:t>
      </w:r>
      <w:bookmarkEnd w:id="258"/>
      <w:bookmarkEnd w:id="259"/>
    </w:p>
    <w:p w14:paraId="7375CE5B">
      <w:pPr>
        <w:ind w:firstLine="560" w:firstLineChars="200"/>
        <w:rPr>
          <w:rFonts w:hint="eastAsia" w:ascii="仿宋" w:hAnsi="仿宋" w:eastAsia="仿宋" w:cs="仿宋"/>
          <w:b/>
          <w:bCs/>
          <w:color w:val="auto"/>
          <w:kern w:val="2"/>
          <w:sz w:val="28"/>
          <w:szCs w:val="28"/>
          <w:highlight w:val="none"/>
          <w:u w:val="single"/>
        </w:rPr>
      </w:pPr>
      <w:r>
        <w:rPr>
          <w:rFonts w:hint="eastAsia" w:ascii="仿宋" w:hAnsi="仿宋" w:eastAsia="仿宋" w:cs="仿宋"/>
          <w:color w:val="auto"/>
          <w:kern w:val="2"/>
          <w:sz w:val="28"/>
          <w:szCs w:val="28"/>
          <w:highlight w:val="none"/>
        </w:rPr>
        <w:t>1.采购标的需实现的目标</w:t>
      </w:r>
      <w:r>
        <w:rPr>
          <w:rFonts w:hint="eastAsia" w:ascii="仿宋" w:hAnsi="仿宋" w:eastAsia="仿宋" w:cs="仿宋"/>
          <w:b w:val="0"/>
          <w:bCs w:val="0"/>
          <w:color w:val="auto"/>
          <w:kern w:val="2"/>
          <w:sz w:val="28"/>
          <w:szCs w:val="28"/>
          <w:highlight w:val="none"/>
          <w:u w:val="none"/>
        </w:rPr>
        <w:t>：</w:t>
      </w:r>
      <w:r>
        <w:rPr>
          <w:rFonts w:hint="eastAsia" w:ascii="仿宋" w:hAnsi="仿宋" w:eastAsia="仿宋" w:cs="仿宋"/>
          <w:b/>
          <w:bCs/>
          <w:color w:val="auto"/>
          <w:kern w:val="2"/>
          <w:sz w:val="28"/>
          <w:szCs w:val="28"/>
          <w:highlight w:val="none"/>
          <w:u w:val="single"/>
        </w:rPr>
        <w:t>旨在通过</w:t>
      </w:r>
      <w:r>
        <w:rPr>
          <w:rFonts w:hint="eastAsia" w:ascii="仿宋" w:hAnsi="仿宋" w:eastAsia="仿宋" w:cs="仿宋"/>
          <w:b/>
          <w:bCs/>
          <w:color w:val="auto"/>
          <w:kern w:val="2"/>
          <w:sz w:val="28"/>
          <w:szCs w:val="28"/>
          <w:highlight w:val="none"/>
          <w:u w:val="single"/>
          <w:lang w:val="en-US" w:eastAsia="zh-CN"/>
        </w:rPr>
        <w:t>本次采购</w:t>
      </w:r>
      <w:r>
        <w:rPr>
          <w:rFonts w:hint="eastAsia" w:cs="仿宋"/>
          <w:b/>
          <w:bCs/>
          <w:color w:val="auto"/>
          <w:kern w:val="2"/>
          <w:sz w:val="28"/>
          <w:szCs w:val="28"/>
          <w:highlight w:val="none"/>
          <w:u w:val="single"/>
          <w:lang w:val="en-US" w:eastAsia="zh-CN"/>
        </w:rPr>
        <w:t>完成</w:t>
      </w:r>
      <w:r>
        <w:rPr>
          <w:rFonts w:hint="eastAsia" w:cs="仿宋"/>
          <w:color w:val="auto"/>
          <w:highlight w:val="none"/>
          <w:lang w:eastAsia="zh-CN"/>
        </w:rPr>
        <w:t>云南轻纺职业学院人工智能学院云计算技术应用实训室及智慧教室建设项目，</w:t>
      </w:r>
      <w:r>
        <w:rPr>
          <w:rFonts w:hint="eastAsia" w:cs="仿宋"/>
          <w:color w:val="auto"/>
          <w:highlight w:val="none"/>
          <w:lang w:val="en-US" w:eastAsia="zh-CN"/>
        </w:rPr>
        <w:t>包括</w:t>
      </w:r>
      <w:r>
        <w:rPr>
          <w:rFonts w:hint="eastAsia" w:ascii="宋体" w:hAnsi="宋体" w:cs="宋体"/>
          <w:b w:val="0"/>
          <w:bCs w:val="0"/>
          <w:color w:val="auto"/>
          <w:kern w:val="0"/>
          <w:szCs w:val="21"/>
          <w:highlight w:val="none"/>
        </w:rPr>
        <w:t>人工智能学院云计算技术应用实训室建设</w:t>
      </w:r>
      <w:r>
        <w:rPr>
          <w:rFonts w:hint="eastAsia" w:ascii="宋体" w:hAnsi="宋体" w:cs="宋体"/>
          <w:b w:val="0"/>
          <w:bCs w:val="0"/>
          <w:color w:val="auto"/>
          <w:kern w:val="0"/>
          <w:szCs w:val="21"/>
          <w:highlight w:val="none"/>
          <w:lang w:val="en-US" w:eastAsia="zh-CN"/>
        </w:rPr>
        <w:t>及</w:t>
      </w:r>
      <w:r>
        <w:rPr>
          <w:rFonts w:hint="eastAsia" w:ascii="宋体" w:hAnsi="宋体" w:cs="宋体"/>
          <w:b w:val="0"/>
          <w:bCs w:val="0"/>
          <w:color w:val="auto"/>
          <w:kern w:val="0"/>
          <w:szCs w:val="21"/>
          <w:highlight w:val="none"/>
        </w:rPr>
        <w:t>智慧教室建设</w:t>
      </w:r>
      <w:r>
        <w:rPr>
          <w:rFonts w:hint="eastAsia" w:cs="仿宋"/>
          <w:color w:val="auto"/>
          <w:highlight w:val="none"/>
          <w:lang w:val="en-US" w:eastAsia="zh-CN"/>
        </w:rPr>
        <w:t>。</w:t>
      </w:r>
    </w:p>
    <w:p w14:paraId="26ADC121">
      <w:pPr>
        <w:ind w:firstLine="560" w:firstLineChars="200"/>
        <w:rPr>
          <w:rFonts w:hint="eastAsia" w:ascii="仿宋" w:hAnsi="仿宋" w:eastAsia="仿宋" w:cs="仿宋"/>
          <w:color w:val="auto"/>
          <w:kern w:val="2"/>
          <w:sz w:val="28"/>
          <w:szCs w:val="28"/>
          <w:highlight w:val="none"/>
        </w:rPr>
      </w:pPr>
      <w:r>
        <w:rPr>
          <w:rFonts w:hint="eastAsia" w:ascii="仿宋" w:hAnsi="仿宋" w:eastAsia="仿宋" w:cs="仿宋"/>
          <w:color w:val="auto"/>
          <w:kern w:val="2"/>
          <w:sz w:val="28"/>
          <w:szCs w:val="28"/>
          <w:highlight w:val="none"/>
        </w:rPr>
        <w:t>2.为落实政府采购政策需满足的要求：</w:t>
      </w:r>
      <w:r>
        <w:rPr>
          <w:rFonts w:hint="eastAsia" w:ascii="仿宋" w:hAnsi="仿宋" w:eastAsia="仿宋" w:cs="仿宋"/>
          <w:color w:val="auto"/>
          <w:kern w:val="2"/>
          <w:sz w:val="28"/>
          <w:szCs w:val="28"/>
          <w:highlight w:val="none"/>
          <w:lang w:val="en-US" w:eastAsia="zh-CN"/>
        </w:rPr>
        <w:t>本项目非专门面向中小（微）企业采购，小微企业价格扣除优惠比例:10%。</w:t>
      </w:r>
    </w:p>
    <w:p w14:paraId="0C63C5B2">
      <w:pPr>
        <w:pStyle w:val="3"/>
        <w:bidi w:val="0"/>
        <w:rPr>
          <w:rFonts w:hint="eastAsia" w:ascii="仿宋" w:hAnsi="仿宋" w:eastAsia="仿宋" w:cs="仿宋"/>
          <w:color w:val="auto"/>
          <w:highlight w:val="none"/>
        </w:rPr>
      </w:pPr>
      <w:bookmarkStart w:id="262" w:name="_Toc26142"/>
      <w:bookmarkStart w:id="263" w:name="_Toc20949"/>
      <w:bookmarkStart w:id="264" w:name="_Toc965"/>
      <w:r>
        <w:rPr>
          <w:rFonts w:hint="eastAsia" w:ascii="仿宋" w:hAnsi="仿宋" w:eastAsia="仿宋" w:cs="仿宋"/>
          <w:color w:val="auto"/>
          <w:highlight w:val="none"/>
        </w:rPr>
        <w:t>二、采购标的需执行的国家相关标准、行业标准、地方标准或者其他标准、规范；</w:t>
      </w:r>
      <w:bookmarkEnd w:id="262"/>
      <w:bookmarkEnd w:id="263"/>
      <w:bookmarkEnd w:id="264"/>
    </w:p>
    <w:p w14:paraId="5B31EEB7">
      <w:pPr>
        <w:widowControl w:val="0"/>
        <w:wordWrap w:val="0"/>
        <w:spacing w:line="360" w:lineRule="auto"/>
        <w:ind w:firstLine="562" w:firstLineChars="200"/>
        <w:rPr>
          <w:rFonts w:hint="eastAsia" w:ascii="仿宋" w:hAnsi="仿宋" w:eastAsia="仿宋" w:cs="仿宋"/>
          <w:color w:val="auto"/>
          <w:kern w:val="2"/>
          <w:sz w:val="28"/>
          <w:szCs w:val="28"/>
          <w:highlight w:val="none"/>
          <w:lang w:val="en-US" w:eastAsia="zh-CN"/>
        </w:rPr>
      </w:pPr>
      <w:r>
        <w:rPr>
          <w:rFonts w:hint="eastAsia" w:ascii="仿宋" w:hAnsi="仿宋" w:eastAsia="仿宋" w:cs="仿宋"/>
          <w:b/>
          <w:bCs/>
          <w:color w:val="auto"/>
          <w:kern w:val="2"/>
          <w:sz w:val="28"/>
          <w:szCs w:val="28"/>
          <w:highlight w:val="none"/>
          <w:u w:val="none"/>
          <w:lang w:val="en-US" w:eastAsia="zh-CN" w:bidi="ar-SA"/>
        </w:rPr>
        <w:t>满足国家相关标准、行业标准、地方标准或者其他标准、规范。参照：</w:t>
      </w:r>
      <w:r>
        <w:rPr>
          <w:rFonts w:hint="eastAsia" w:ascii="仿宋" w:hAnsi="仿宋" w:eastAsia="仿宋" w:cs="仿宋"/>
          <w:color w:val="auto"/>
          <w:kern w:val="2"/>
          <w:sz w:val="28"/>
          <w:szCs w:val="28"/>
          <w:highlight w:val="none"/>
          <w:u w:val="none"/>
          <w:lang w:val="en-US" w:eastAsia="zh-CN" w:bidi="ar-SA"/>
        </w:rPr>
        <w:t>GB/T 36447-2018《多媒体教学环境设计要求》DB3</w:t>
      </w:r>
      <w:r>
        <w:rPr>
          <w:rFonts w:hint="eastAsia" w:ascii="仿宋" w:hAnsi="仿宋" w:eastAsia="仿宋" w:cs="仿宋"/>
          <w:color w:val="auto"/>
          <w:kern w:val="2"/>
          <w:sz w:val="28"/>
          <w:szCs w:val="28"/>
          <w:highlight w:val="none"/>
          <w:lang w:val="en-US" w:eastAsia="zh-CN" w:bidi="ar-SA"/>
        </w:rPr>
        <w:t>402/T58—2023《高等学校智慧教室建设规范》</w:t>
      </w:r>
      <w:r>
        <w:rPr>
          <w:rFonts w:hint="eastAsia" w:ascii="仿宋" w:hAnsi="仿宋" w:eastAsia="仿宋" w:cs="仿宋"/>
          <w:color w:val="auto"/>
          <w:kern w:val="2"/>
          <w:sz w:val="28"/>
          <w:szCs w:val="28"/>
          <w:highlight w:val="none"/>
          <w:lang w:val="en-US" w:eastAsia="zh-CN"/>
        </w:rPr>
        <w:t>。</w:t>
      </w:r>
    </w:p>
    <w:p w14:paraId="447D9052">
      <w:pPr>
        <w:rPr>
          <w:rFonts w:hint="eastAsia" w:ascii="仿宋" w:hAnsi="仿宋" w:eastAsia="仿宋" w:cs="仿宋"/>
          <w:color w:val="auto"/>
          <w:highlight w:val="none"/>
          <w:lang w:val="en-US" w:eastAsia="zh-CN"/>
        </w:rPr>
      </w:pPr>
      <w:bookmarkStart w:id="265" w:name="_Toc9077"/>
      <w:bookmarkStart w:id="266" w:name="_Toc7264"/>
      <w:bookmarkStart w:id="267" w:name="_Toc21697"/>
      <w:r>
        <w:rPr>
          <w:rFonts w:hint="eastAsia" w:ascii="仿宋" w:hAnsi="仿宋" w:eastAsia="仿宋" w:cs="仿宋"/>
          <w:color w:val="auto"/>
          <w:highlight w:val="none"/>
          <w:lang w:val="en-US" w:eastAsia="zh-CN"/>
        </w:rPr>
        <w:br w:type="page"/>
      </w:r>
    </w:p>
    <w:p w14:paraId="6328BBDD">
      <w:pPr>
        <w:pStyle w:val="3"/>
        <w:bidi w:val="0"/>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三、</w:t>
      </w:r>
      <w:r>
        <w:rPr>
          <w:rFonts w:hint="eastAsia" w:ascii="仿宋" w:hAnsi="仿宋" w:eastAsia="仿宋" w:cs="仿宋"/>
          <w:color w:val="auto"/>
          <w:highlight w:val="none"/>
        </w:rPr>
        <w:t>采购标的需满足的质量、安全、技术规格、物理特性等要求；</w:t>
      </w:r>
      <w:bookmarkEnd w:id="265"/>
      <w:bookmarkEnd w:id="266"/>
      <w:bookmarkEnd w:id="267"/>
    </w:p>
    <w:tbl>
      <w:tblPr>
        <w:tblStyle w:val="35"/>
        <w:tblW w:w="5000" w:type="pct"/>
        <w:tblInd w:w="0" w:type="dxa"/>
        <w:tblLayout w:type="autofit"/>
        <w:tblCellMar>
          <w:top w:w="0" w:type="dxa"/>
          <w:left w:w="108" w:type="dxa"/>
          <w:bottom w:w="0" w:type="dxa"/>
          <w:right w:w="108" w:type="dxa"/>
        </w:tblCellMar>
      </w:tblPr>
      <w:tblGrid>
        <w:gridCol w:w="457"/>
        <w:gridCol w:w="457"/>
        <w:gridCol w:w="698"/>
        <w:gridCol w:w="571"/>
        <w:gridCol w:w="21"/>
        <w:gridCol w:w="457"/>
        <w:gridCol w:w="7079"/>
      </w:tblGrid>
      <w:tr w14:paraId="03DC4414">
        <w:tblPrEx>
          <w:tblCellMar>
            <w:top w:w="0" w:type="dxa"/>
            <w:left w:w="108" w:type="dxa"/>
            <w:bottom w:w="0" w:type="dxa"/>
            <w:right w:w="108" w:type="dxa"/>
          </w:tblCellMar>
        </w:tblPrEx>
        <w:trPr>
          <w:trHeight w:val="20" w:hRule="atLeast"/>
        </w:trPr>
        <w:tc>
          <w:tcPr>
            <w:tcW w:w="225" w:type="pct"/>
            <w:tcBorders>
              <w:top w:val="single" w:color="auto" w:sz="4" w:space="0"/>
              <w:left w:val="single" w:color="auto" w:sz="4" w:space="0"/>
              <w:bottom w:val="single" w:color="auto" w:sz="4" w:space="0"/>
              <w:right w:val="single" w:color="auto" w:sz="4" w:space="0"/>
            </w:tcBorders>
            <w:shd w:val="clear" w:color="auto" w:fill="92D050"/>
            <w:vAlign w:val="center"/>
          </w:tcPr>
          <w:p w14:paraId="1524A13B">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b/>
                <w:bCs/>
                <w:color w:val="auto"/>
                <w:kern w:val="0"/>
                <w:sz w:val="24"/>
                <w:szCs w:val="24"/>
                <w:highlight w:val="none"/>
              </w:rPr>
            </w:pPr>
            <w:bookmarkStart w:id="268" w:name="_Toc5733"/>
            <w:bookmarkStart w:id="269" w:name="_Toc8666"/>
            <w:bookmarkStart w:id="270" w:name="_Toc7095"/>
            <w:r>
              <w:rPr>
                <w:rFonts w:hint="eastAsia" w:ascii="仿宋" w:hAnsi="仿宋" w:eastAsia="仿宋" w:cs="仿宋"/>
                <w:b/>
                <w:bCs/>
                <w:color w:val="auto"/>
                <w:kern w:val="0"/>
                <w:sz w:val="24"/>
                <w:szCs w:val="24"/>
                <w:highlight w:val="none"/>
              </w:rPr>
              <w:t>序号</w:t>
            </w:r>
          </w:p>
        </w:tc>
        <w:tc>
          <w:tcPr>
            <w:tcW w:w="225" w:type="pct"/>
            <w:tcBorders>
              <w:top w:val="single" w:color="auto" w:sz="4" w:space="0"/>
              <w:left w:val="nil"/>
              <w:bottom w:val="single" w:color="auto" w:sz="4" w:space="0"/>
              <w:right w:val="single" w:color="auto" w:sz="4" w:space="0"/>
            </w:tcBorders>
            <w:shd w:val="clear" w:color="auto" w:fill="92D050"/>
            <w:vAlign w:val="center"/>
          </w:tcPr>
          <w:p w14:paraId="338D4148">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rPr>
              <w:t>标段代码</w:t>
            </w:r>
          </w:p>
        </w:tc>
        <w:tc>
          <w:tcPr>
            <w:tcW w:w="337" w:type="pct"/>
            <w:tcBorders>
              <w:top w:val="single" w:color="auto" w:sz="4" w:space="0"/>
              <w:left w:val="nil"/>
              <w:bottom w:val="single" w:color="auto" w:sz="4" w:space="0"/>
              <w:right w:val="single" w:color="auto" w:sz="4" w:space="0"/>
            </w:tcBorders>
            <w:shd w:val="clear" w:color="auto" w:fill="92D050"/>
            <w:vAlign w:val="center"/>
          </w:tcPr>
          <w:p w14:paraId="3CC05DBD">
            <w:pPr>
              <w:keepNext w:val="0"/>
              <w:keepLines w:val="0"/>
              <w:pageBreakBefore w:val="0"/>
              <w:widowControl/>
              <w:kinsoku/>
              <w:wordWrap w:val="0"/>
              <w:overflowPunct/>
              <w:topLinePunct w:val="0"/>
              <w:autoSpaceDE/>
              <w:autoSpaceDN/>
              <w:bidi w:val="0"/>
              <w:adjustRightInd/>
              <w:snapToGrid/>
              <w:spacing w:line="240" w:lineRule="auto"/>
              <w:ind w:firstLine="0" w:firstLineChars="0"/>
              <w:jc w:val="left"/>
              <w:textAlignment w:val="auto"/>
              <w:rPr>
                <w:rFonts w:hint="eastAsia"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rPr>
              <w:t>产品（项目）名称</w:t>
            </w:r>
          </w:p>
        </w:tc>
        <w:tc>
          <w:tcPr>
            <w:tcW w:w="325" w:type="pct"/>
            <w:gridSpan w:val="2"/>
            <w:tcBorders>
              <w:top w:val="single" w:color="auto" w:sz="4" w:space="0"/>
              <w:left w:val="nil"/>
              <w:bottom w:val="single" w:color="auto" w:sz="4" w:space="0"/>
              <w:right w:val="single" w:color="auto" w:sz="4" w:space="0"/>
            </w:tcBorders>
            <w:shd w:val="clear" w:color="auto" w:fill="92D050"/>
            <w:vAlign w:val="center"/>
          </w:tcPr>
          <w:p w14:paraId="57E96DC9">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rPr>
              <w:t>数量</w:t>
            </w:r>
          </w:p>
        </w:tc>
        <w:tc>
          <w:tcPr>
            <w:tcW w:w="225" w:type="pct"/>
            <w:tcBorders>
              <w:top w:val="single" w:color="auto" w:sz="4" w:space="0"/>
              <w:left w:val="nil"/>
              <w:bottom w:val="single" w:color="auto" w:sz="4" w:space="0"/>
              <w:right w:val="single" w:color="auto" w:sz="4" w:space="0"/>
            </w:tcBorders>
            <w:shd w:val="clear" w:color="auto" w:fill="92D050"/>
            <w:vAlign w:val="center"/>
          </w:tcPr>
          <w:p w14:paraId="59AA29E5">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rPr>
              <w:t>计量单位</w:t>
            </w:r>
          </w:p>
        </w:tc>
        <w:tc>
          <w:tcPr>
            <w:tcW w:w="3659" w:type="pct"/>
            <w:tcBorders>
              <w:top w:val="single" w:color="auto" w:sz="4" w:space="0"/>
              <w:left w:val="nil"/>
              <w:bottom w:val="single" w:color="auto" w:sz="4" w:space="0"/>
              <w:right w:val="single" w:color="auto" w:sz="4" w:space="0"/>
            </w:tcBorders>
            <w:shd w:val="clear" w:color="auto" w:fill="92D050"/>
            <w:vAlign w:val="center"/>
          </w:tcPr>
          <w:p w14:paraId="051C9ED3">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rPr>
              <w:t>配置要求及参数技术要求或功能（性能）描述</w:t>
            </w:r>
          </w:p>
        </w:tc>
      </w:tr>
      <w:tr w14:paraId="71B7CE2A">
        <w:tblPrEx>
          <w:tblCellMar>
            <w:top w:w="0" w:type="dxa"/>
            <w:left w:w="108" w:type="dxa"/>
            <w:bottom w:w="0" w:type="dxa"/>
            <w:right w:w="108" w:type="dxa"/>
          </w:tblCellMar>
        </w:tblPrEx>
        <w:trPr>
          <w:trHeight w:val="20" w:hRule="atLeast"/>
        </w:trPr>
        <w:tc>
          <w:tcPr>
            <w:tcW w:w="5000" w:type="pct"/>
            <w:gridSpan w:val="7"/>
            <w:tcBorders>
              <w:top w:val="single" w:color="auto" w:sz="4" w:space="0"/>
              <w:left w:val="single" w:color="auto" w:sz="4" w:space="0"/>
              <w:bottom w:val="single" w:color="auto" w:sz="4" w:space="0"/>
              <w:right w:val="single" w:color="auto" w:sz="4" w:space="0"/>
            </w:tcBorders>
            <w:vAlign w:val="center"/>
          </w:tcPr>
          <w:p w14:paraId="548F35BA">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rPr>
              <w:t>人工智能学院云计算技术应用实训室建设</w:t>
            </w:r>
          </w:p>
        </w:tc>
      </w:tr>
      <w:tr w14:paraId="790702AF">
        <w:tblPrEx>
          <w:tblCellMar>
            <w:top w:w="0" w:type="dxa"/>
            <w:left w:w="108" w:type="dxa"/>
            <w:bottom w:w="0" w:type="dxa"/>
            <w:right w:w="108" w:type="dxa"/>
          </w:tblCellMar>
        </w:tblPrEx>
        <w:trPr>
          <w:trHeight w:val="20" w:hRule="atLeast"/>
        </w:trPr>
        <w:tc>
          <w:tcPr>
            <w:tcW w:w="225" w:type="pct"/>
            <w:tcBorders>
              <w:top w:val="single" w:color="auto" w:sz="4" w:space="0"/>
              <w:left w:val="single" w:color="auto" w:sz="4" w:space="0"/>
              <w:bottom w:val="single" w:color="auto" w:sz="4" w:space="0"/>
              <w:right w:val="single" w:color="auto" w:sz="4" w:space="0"/>
            </w:tcBorders>
            <w:vAlign w:val="center"/>
          </w:tcPr>
          <w:p w14:paraId="1F362A72">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4"/>
                <w:szCs w:val="24"/>
                <w:highlight w:val="none"/>
                <w:lang w:eastAsia="zh-CN"/>
              </w:rPr>
            </w:pPr>
            <w:r>
              <w:rPr>
                <w:rFonts w:hint="eastAsia" w:ascii="仿宋" w:hAnsi="仿宋" w:eastAsia="仿宋" w:cs="仿宋"/>
                <w:color w:val="auto"/>
                <w:kern w:val="0"/>
                <w:sz w:val="24"/>
                <w:szCs w:val="24"/>
                <w:highlight w:val="none"/>
                <w:lang w:val="en-US" w:eastAsia="zh-CN"/>
              </w:rPr>
              <w:t>1</w:t>
            </w:r>
          </w:p>
        </w:tc>
        <w:tc>
          <w:tcPr>
            <w:tcW w:w="225" w:type="pct"/>
            <w:tcBorders>
              <w:top w:val="single" w:color="auto" w:sz="4" w:space="0"/>
              <w:left w:val="nil"/>
              <w:bottom w:val="single" w:color="auto" w:sz="4" w:space="0"/>
              <w:right w:val="single" w:color="auto" w:sz="4" w:space="0"/>
            </w:tcBorders>
            <w:vAlign w:val="center"/>
          </w:tcPr>
          <w:p w14:paraId="346BD874">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w:t>
            </w:r>
          </w:p>
        </w:tc>
        <w:tc>
          <w:tcPr>
            <w:tcW w:w="337" w:type="pct"/>
            <w:tcBorders>
              <w:top w:val="single" w:color="auto" w:sz="4" w:space="0"/>
              <w:left w:val="nil"/>
              <w:bottom w:val="single" w:color="auto" w:sz="4" w:space="0"/>
              <w:right w:val="single" w:color="auto" w:sz="4" w:space="0"/>
            </w:tcBorders>
            <w:vAlign w:val="center"/>
          </w:tcPr>
          <w:p w14:paraId="77963C0A">
            <w:pPr>
              <w:keepNext w:val="0"/>
              <w:keepLines w:val="0"/>
              <w:pageBreakBefore w:val="0"/>
              <w:widowControl/>
              <w:kinsoku/>
              <w:wordWrap w:val="0"/>
              <w:overflowPunct/>
              <w:topLinePunct w:val="0"/>
              <w:autoSpaceDE/>
              <w:autoSpaceDN/>
              <w:bidi w:val="0"/>
              <w:adjustRightInd/>
              <w:snapToGrid/>
              <w:spacing w:line="240" w:lineRule="auto"/>
              <w:ind w:firstLine="0" w:firstLineChars="0"/>
              <w:jc w:val="left"/>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sz w:val="24"/>
                <w:szCs w:val="24"/>
                <w:highlight w:val="none"/>
                <w:lang w:val="en-US" w:eastAsia="zh-CN" w:bidi="ar"/>
              </w:rPr>
              <w:t>一体化授课设备</w:t>
            </w:r>
          </w:p>
        </w:tc>
        <w:tc>
          <w:tcPr>
            <w:tcW w:w="325" w:type="pct"/>
            <w:gridSpan w:val="2"/>
            <w:tcBorders>
              <w:top w:val="single" w:color="auto" w:sz="4" w:space="0"/>
              <w:left w:val="nil"/>
              <w:bottom w:val="single" w:color="auto" w:sz="4" w:space="0"/>
              <w:right w:val="single" w:color="auto" w:sz="4" w:space="0"/>
            </w:tcBorders>
            <w:vAlign w:val="center"/>
          </w:tcPr>
          <w:p w14:paraId="3D66483E">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t>2</w:t>
            </w:r>
          </w:p>
        </w:tc>
        <w:tc>
          <w:tcPr>
            <w:tcW w:w="225" w:type="pct"/>
            <w:tcBorders>
              <w:top w:val="single" w:color="auto" w:sz="4" w:space="0"/>
              <w:left w:val="nil"/>
              <w:bottom w:val="single" w:color="auto" w:sz="4" w:space="0"/>
              <w:right w:val="single" w:color="auto" w:sz="4" w:space="0"/>
            </w:tcBorders>
            <w:vAlign w:val="center"/>
          </w:tcPr>
          <w:p w14:paraId="3B12BD64">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t>台</w:t>
            </w:r>
          </w:p>
        </w:tc>
        <w:tc>
          <w:tcPr>
            <w:tcW w:w="3659" w:type="pct"/>
            <w:tcBorders>
              <w:top w:val="single" w:color="auto" w:sz="4" w:space="0"/>
              <w:left w:val="nil"/>
              <w:bottom w:val="single" w:color="auto" w:sz="4" w:space="0"/>
              <w:right w:val="single" w:color="auto" w:sz="4" w:space="0"/>
            </w:tcBorders>
            <w:vAlign w:val="center"/>
          </w:tcPr>
          <w:p w14:paraId="1232D2E2">
            <w:pPr>
              <w:keepNext w:val="0"/>
              <w:keepLines w:val="0"/>
              <w:pageBreakBefore w:val="0"/>
              <w:widowControl/>
              <w:kinsoku/>
              <w:wordWrap w:val="0"/>
              <w:overflowPunct/>
              <w:topLinePunct w:val="0"/>
              <w:autoSpaceDE/>
              <w:autoSpaceDN/>
              <w:bidi w:val="0"/>
              <w:adjustRightInd/>
              <w:snapToGrid/>
              <w:spacing w:line="240" w:lineRule="auto"/>
              <w:ind w:firstLine="0" w:firstLineChars="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lang w:val="en-US" w:eastAsia="zh-CN"/>
              </w:rPr>
              <w:t>1</w:t>
            </w:r>
            <w:r>
              <w:rPr>
                <w:rFonts w:hint="eastAsia" w:ascii="仿宋" w:hAnsi="仿宋" w:eastAsia="仿宋" w:cs="仿宋"/>
                <w:color w:val="auto"/>
                <w:kern w:val="0"/>
                <w:sz w:val="24"/>
                <w:szCs w:val="24"/>
                <w:highlight w:val="none"/>
              </w:rPr>
              <w:t>、可电动升降调节，静音升降技术，左右两侧均配备双轴心直线轴承导轨，保证升降过程中桌面稳定无晃动，最大支持420mm区间讲台高度调节，可通过中控面板、物联网软件、微信小程序进行远程控制并可设定讲台高度；与中控面板结合，通过一卡通系统、指纹识别系统进行联动，具备记忆功能，可自动记忆各用户的使用高度、显示器角度，用户下次插卡、指纹使用时，自动调节到记忆讲台高度及显示器角度；</w:t>
            </w:r>
          </w:p>
          <w:p w14:paraId="69EAFFB9">
            <w:pPr>
              <w:keepNext w:val="0"/>
              <w:keepLines w:val="0"/>
              <w:pageBreakBefore w:val="0"/>
              <w:widowControl/>
              <w:kinsoku/>
              <w:wordWrap w:val="0"/>
              <w:overflowPunct/>
              <w:topLinePunct w:val="0"/>
              <w:autoSpaceDE/>
              <w:autoSpaceDN/>
              <w:bidi w:val="0"/>
              <w:adjustRightInd/>
              <w:snapToGrid/>
              <w:spacing w:line="240" w:lineRule="auto"/>
              <w:ind w:firstLine="0" w:firstLineChars="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lang w:val="en-US" w:eastAsia="zh-CN"/>
              </w:rPr>
              <w:t>2</w:t>
            </w:r>
            <w:r>
              <w:rPr>
                <w:rFonts w:hint="eastAsia" w:ascii="仿宋" w:hAnsi="仿宋" w:eastAsia="仿宋" w:cs="仿宋"/>
                <w:color w:val="auto"/>
                <w:kern w:val="0"/>
                <w:sz w:val="24"/>
                <w:szCs w:val="24"/>
                <w:highlight w:val="none"/>
              </w:rPr>
              <w:t>、左侧安装规格为23.8寸的触摸显示器，电容十点触摸屏，屏幕比例:16:9，接口类型:VGA,HDMI，面板类型:IPS，刷新率:60Hz，屏幕类型:WLED，屏幕分辨率:1920x1080像素；显示器嵌入讲桌后四周无缝隙，显示器通过电动推杆来调整显示器角度（28°-46°），采用静音升降技术，电动推杆与中控对接，通过中控操控面板进行控制，可设定指定角度；</w:t>
            </w:r>
          </w:p>
          <w:p w14:paraId="4B46F91E">
            <w:pPr>
              <w:keepNext w:val="0"/>
              <w:keepLines w:val="0"/>
              <w:pageBreakBefore w:val="0"/>
              <w:widowControl/>
              <w:kinsoku/>
              <w:wordWrap w:val="0"/>
              <w:overflowPunct/>
              <w:topLinePunct w:val="0"/>
              <w:autoSpaceDE/>
              <w:autoSpaceDN/>
              <w:bidi w:val="0"/>
              <w:adjustRightInd/>
              <w:snapToGrid/>
              <w:spacing w:line="240" w:lineRule="auto"/>
              <w:ind w:firstLine="0" w:firstLineChars="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lang w:val="en-US" w:eastAsia="zh-CN"/>
              </w:rPr>
              <w:t>3</w:t>
            </w:r>
            <w:r>
              <w:rPr>
                <w:rFonts w:hint="eastAsia" w:ascii="仿宋" w:hAnsi="仿宋" w:eastAsia="仿宋" w:cs="仿宋"/>
                <w:color w:val="auto"/>
                <w:kern w:val="0"/>
                <w:sz w:val="24"/>
                <w:szCs w:val="24"/>
                <w:highlight w:val="none"/>
              </w:rPr>
              <w:t>、台面嵌入无线充电模块，符合WPC的QI标准无线充电感应线圈，内置隔离磁片，内置隐藏式USB-A/USB-C充电接口，外径尺寸：69mm，功率：≤15w，传输距离：6mm（MAX），兼容多种品牌手机充电；</w:t>
            </w:r>
          </w:p>
          <w:p w14:paraId="40483072">
            <w:pPr>
              <w:keepNext w:val="0"/>
              <w:keepLines w:val="0"/>
              <w:pageBreakBefore w:val="0"/>
              <w:widowControl/>
              <w:kinsoku/>
              <w:wordWrap w:val="0"/>
              <w:overflowPunct/>
              <w:topLinePunct w:val="0"/>
              <w:autoSpaceDE/>
              <w:autoSpaceDN/>
              <w:bidi w:val="0"/>
              <w:adjustRightInd/>
              <w:snapToGrid/>
              <w:spacing w:line="240" w:lineRule="auto"/>
              <w:ind w:firstLine="0" w:firstLineChars="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lang w:val="en-US" w:eastAsia="zh-CN"/>
              </w:rPr>
              <w:t>4</w:t>
            </w:r>
            <w:r>
              <w:rPr>
                <w:rFonts w:hint="eastAsia" w:ascii="仿宋" w:hAnsi="仿宋" w:eastAsia="仿宋" w:cs="仿宋"/>
                <w:color w:val="auto"/>
                <w:kern w:val="0"/>
                <w:sz w:val="24"/>
                <w:szCs w:val="24"/>
                <w:highlight w:val="none"/>
              </w:rPr>
              <w:t>、桌面集成物联网液晶中控面板，表面为铝合金材质，一体化设计，面板集成一卡通系统，插卡式设计，可实现“插卡即用、拔卡即走”，使用方便；面板集成指纹模块，采集方式为电容面阵半导体传感器平面按压，；触摸屏： 7寸1024*600IPS，操作系统：Android6.0；触摸面板集成一键“上、下课”按键，讲台升降操控区域、显示器角度调节、氛围灯控制、物联网控制区域、主机电控门按键、信号切换按键等，支持PS/2电脑开机；</w:t>
            </w:r>
          </w:p>
          <w:p w14:paraId="02789ABC">
            <w:pPr>
              <w:keepNext w:val="0"/>
              <w:keepLines w:val="0"/>
              <w:pageBreakBefore w:val="0"/>
              <w:widowControl/>
              <w:kinsoku/>
              <w:wordWrap w:val="0"/>
              <w:overflowPunct/>
              <w:topLinePunct w:val="0"/>
              <w:autoSpaceDE/>
              <w:autoSpaceDN/>
              <w:bidi w:val="0"/>
              <w:adjustRightInd/>
              <w:snapToGrid/>
              <w:spacing w:line="240" w:lineRule="auto"/>
              <w:ind w:firstLine="0" w:firstLineChars="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lang w:val="en-US" w:eastAsia="zh-CN"/>
              </w:rPr>
              <w:t>5</w:t>
            </w:r>
            <w:r>
              <w:rPr>
                <w:rFonts w:hint="eastAsia" w:ascii="仿宋" w:hAnsi="仿宋" w:eastAsia="仿宋" w:cs="仿宋"/>
                <w:color w:val="auto"/>
                <w:kern w:val="0"/>
                <w:sz w:val="24"/>
                <w:szCs w:val="24"/>
                <w:highlight w:val="none"/>
              </w:rPr>
              <w:t>、配置1个外置式话筒充电底座；</w:t>
            </w:r>
          </w:p>
          <w:p w14:paraId="0D00F0AB">
            <w:pPr>
              <w:keepNext w:val="0"/>
              <w:keepLines w:val="0"/>
              <w:pageBreakBefore w:val="0"/>
              <w:widowControl/>
              <w:kinsoku/>
              <w:wordWrap w:val="0"/>
              <w:overflowPunct/>
              <w:topLinePunct w:val="0"/>
              <w:autoSpaceDE/>
              <w:autoSpaceDN/>
              <w:bidi w:val="0"/>
              <w:adjustRightInd/>
              <w:snapToGrid/>
              <w:spacing w:line="240" w:lineRule="auto"/>
              <w:ind w:firstLine="0" w:firstLineChars="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lang w:val="en-US" w:eastAsia="zh-CN"/>
              </w:rPr>
              <w:t>6</w:t>
            </w:r>
            <w:r>
              <w:rPr>
                <w:rFonts w:hint="eastAsia" w:ascii="仿宋" w:hAnsi="仿宋" w:eastAsia="仿宋" w:cs="仿宋"/>
                <w:color w:val="auto"/>
                <w:kern w:val="0"/>
                <w:sz w:val="24"/>
                <w:szCs w:val="24"/>
                <w:highlight w:val="none"/>
              </w:rPr>
              <w:t>、可扩展选配Wifi协议物联网模块和控制软件，实现环境设备的控制（如：触控一体机、投影开关无线控制、灯光控制、窗帘控制和空调控制、温湿度、PM2.5、TVOC、智能门锁、功率模块等）。整机通过GB4943.1-2011信息技术设备安全通用要求检测。</w:t>
            </w:r>
          </w:p>
        </w:tc>
      </w:tr>
      <w:tr w14:paraId="499FC4C9">
        <w:tblPrEx>
          <w:tblCellMar>
            <w:top w:w="0" w:type="dxa"/>
            <w:left w:w="108" w:type="dxa"/>
            <w:bottom w:w="0" w:type="dxa"/>
            <w:right w:w="108" w:type="dxa"/>
          </w:tblCellMar>
        </w:tblPrEx>
        <w:trPr>
          <w:trHeight w:val="1090" w:hRule="atLeast"/>
        </w:trPr>
        <w:tc>
          <w:tcPr>
            <w:tcW w:w="225" w:type="pct"/>
            <w:tcBorders>
              <w:top w:val="single" w:color="auto" w:sz="4" w:space="0"/>
              <w:left w:val="single" w:color="auto" w:sz="4" w:space="0"/>
              <w:bottom w:val="single" w:color="auto" w:sz="4" w:space="0"/>
              <w:right w:val="single" w:color="auto" w:sz="4" w:space="0"/>
            </w:tcBorders>
            <w:vAlign w:val="center"/>
          </w:tcPr>
          <w:p w14:paraId="6CF140C7">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4"/>
                <w:szCs w:val="24"/>
                <w:highlight w:val="none"/>
                <w:lang w:eastAsia="zh-CN"/>
              </w:rPr>
            </w:pPr>
            <w:r>
              <w:rPr>
                <w:rFonts w:hint="eastAsia" w:ascii="仿宋" w:hAnsi="仿宋" w:eastAsia="仿宋" w:cs="仿宋"/>
                <w:color w:val="auto"/>
                <w:kern w:val="0"/>
                <w:sz w:val="24"/>
                <w:szCs w:val="24"/>
                <w:highlight w:val="none"/>
                <w:lang w:val="en-US" w:eastAsia="zh-CN"/>
              </w:rPr>
              <w:t>2</w:t>
            </w:r>
          </w:p>
        </w:tc>
        <w:tc>
          <w:tcPr>
            <w:tcW w:w="225" w:type="pct"/>
            <w:tcBorders>
              <w:top w:val="single" w:color="auto" w:sz="4" w:space="0"/>
              <w:left w:val="nil"/>
              <w:bottom w:val="single" w:color="auto" w:sz="4" w:space="0"/>
              <w:right w:val="single" w:color="auto" w:sz="4" w:space="0"/>
            </w:tcBorders>
            <w:vAlign w:val="center"/>
          </w:tcPr>
          <w:p w14:paraId="2E894FFC">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w:t>
            </w:r>
          </w:p>
        </w:tc>
        <w:tc>
          <w:tcPr>
            <w:tcW w:w="337" w:type="pct"/>
            <w:tcBorders>
              <w:top w:val="single" w:color="auto" w:sz="4" w:space="0"/>
              <w:left w:val="nil"/>
              <w:bottom w:val="single" w:color="auto" w:sz="4" w:space="0"/>
              <w:right w:val="single" w:color="auto" w:sz="4" w:space="0"/>
            </w:tcBorders>
            <w:vAlign w:val="center"/>
          </w:tcPr>
          <w:p w14:paraId="2237FB43">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t>教育桌面云软件</w:t>
            </w:r>
          </w:p>
        </w:tc>
        <w:tc>
          <w:tcPr>
            <w:tcW w:w="325" w:type="pct"/>
            <w:gridSpan w:val="2"/>
            <w:tcBorders>
              <w:top w:val="single" w:color="auto" w:sz="4" w:space="0"/>
              <w:left w:val="nil"/>
              <w:bottom w:val="single" w:color="auto" w:sz="4" w:space="0"/>
              <w:right w:val="single" w:color="auto" w:sz="4" w:space="0"/>
            </w:tcBorders>
            <w:vAlign w:val="center"/>
          </w:tcPr>
          <w:p w14:paraId="4EB6B619">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t>112</w:t>
            </w:r>
          </w:p>
        </w:tc>
        <w:tc>
          <w:tcPr>
            <w:tcW w:w="225" w:type="pct"/>
            <w:tcBorders>
              <w:top w:val="single" w:color="auto" w:sz="4" w:space="0"/>
              <w:left w:val="nil"/>
              <w:bottom w:val="single" w:color="auto" w:sz="4" w:space="0"/>
              <w:right w:val="single" w:color="auto" w:sz="4" w:space="0"/>
            </w:tcBorders>
            <w:vAlign w:val="center"/>
          </w:tcPr>
          <w:p w14:paraId="3DA0ED76">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t>点</w:t>
            </w:r>
          </w:p>
        </w:tc>
        <w:tc>
          <w:tcPr>
            <w:tcW w:w="3659" w:type="pct"/>
            <w:tcBorders>
              <w:top w:val="single" w:color="auto" w:sz="4" w:space="0"/>
              <w:left w:val="nil"/>
              <w:bottom w:val="single" w:color="auto" w:sz="4" w:space="0"/>
              <w:right w:val="single" w:color="auto" w:sz="4" w:space="0"/>
            </w:tcBorders>
            <w:vAlign w:val="center"/>
          </w:tcPr>
          <w:p w14:paraId="5E3C3AD6">
            <w:pPr>
              <w:keepNext w:val="0"/>
              <w:keepLines w:val="0"/>
              <w:pageBreakBefore w:val="0"/>
              <w:widowControl/>
              <w:kinsoku/>
              <w:wordWrap w:val="0"/>
              <w:overflowPunct/>
              <w:topLinePunct w:val="0"/>
              <w:autoSpaceDE/>
              <w:autoSpaceDN/>
              <w:bidi w:val="0"/>
              <w:adjustRightInd/>
              <w:snapToGrid/>
              <w:spacing w:line="240" w:lineRule="auto"/>
              <w:ind w:firstLine="0" w:firstLineChars="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1、提供B/S模式的云桌面管理软件，即管理员在需要登录平台进行管理维护的时候只需要通过任意浏览器且无需第三方软件加密硬件加密即可登录访问。</w:t>
            </w:r>
          </w:p>
          <w:p w14:paraId="3F116763">
            <w:pPr>
              <w:keepNext w:val="0"/>
              <w:keepLines w:val="0"/>
              <w:pageBreakBefore w:val="0"/>
              <w:widowControl/>
              <w:kinsoku/>
              <w:wordWrap w:val="0"/>
              <w:overflowPunct/>
              <w:topLinePunct w:val="0"/>
              <w:autoSpaceDE/>
              <w:autoSpaceDN/>
              <w:bidi w:val="0"/>
              <w:adjustRightInd/>
              <w:snapToGrid/>
              <w:spacing w:line="240" w:lineRule="auto"/>
              <w:ind w:firstLine="0" w:firstLineChars="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2、云桌面管理系统软件需提供针对客户终端使用情况动态刷新功能，具体数据情况包含但不限于：在线情况、离线情况、授权数量、授权但未使用情况。</w:t>
            </w:r>
          </w:p>
          <w:p w14:paraId="7EBE63BD">
            <w:pPr>
              <w:keepNext w:val="0"/>
              <w:keepLines w:val="0"/>
              <w:pageBreakBefore w:val="0"/>
              <w:widowControl/>
              <w:kinsoku/>
              <w:wordWrap w:val="0"/>
              <w:overflowPunct/>
              <w:topLinePunct w:val="0"/>
              <w:autoSpaceDE/>
              <w:autoSpaceDN/>
              <w:bidi w:val="0"/>
              <w:adjustRightInd/>
              <w:snapToGrid/>
              <w:spacing w:line="240" w:lineRule="auto"/>
              <w:ind w:firstLine="0" w:firstLineChars="0"/>
              <w:jc w:val="left"/>
              <w:textAlignment w:val="auto"/>
              <w:rPr>
                <w:rFonts w:hint="eastAsia" w:ascii="仿宋" w:hAnsi="仿宋" w:eastAsia="仿宋" w:cs="仿宋"/>
                <w:color w:val="auto"/>
                <w:kern w:val="0"/>
                <w:sz w:val="24"/>
                <w:szCs w:val="24"/>
                <w:highlight w:val="none"/>
                <w:lang w:eastAsia="zh-CN"/>
              </w:rPr>
            </w:pPr>
            <w:r>
              <w:rPr>
                <w:rFonts w:hint="eastAsia" w:ascii="仿宋" w:hAnsi="仿宋" w:eastAsia="仿宋" w:cs="仿宋"/>
                <w:color w:val="auto"/>
                <w:sz w:val="24"/>
                <w:szCs w:val="24"/>
                <w:highlight w:val="none"/>
              </w:rPr>
              <w:t>▲</w:t>
            </w:r>
            <w:r>
              <w:rPr>
                <w:rFonts w:hint="eastAsia" w:ascii="仿宋" w:hAnsi="仿宋" w:eastAsia="仿宋" w:cs="仿宋"/>
                <w:color w:val="auto"/>
                <w:kern w:val="0"/>
                <w:sz w:val="24"/>
                <w:szCs w:val="24"/>
                <w:highlight w:val="none"/>
              </w:rPr>
              <w:t>3、为提供更加良好的桌面使用环境，需提供广告弹窗拦截功能，开启后系统自动拦截用户设备桌面弹窗广告，净化桌面环境。</w:t>
            </w:r>
            <w:r>
              <w:rPr>
                <w:rFonts w:hint="eastAsia" w:ascii="仿宋" w:hAnsi="仿宋" w:eastAsia="仿宋" w:cs="仿宋"/>
                <w:color w:val="auto"/>
                <w:kern w:val="0"/>
                <w:sz w:val="24"/>
                <w:szCs w:val="24"/>
                <w:highlight w:val="none"/>
                <w:lang w:eastAsia="zh-CN"/>
              </w:rPr>
              <w:t>（提供证明材料）</w:t>
            </w:r>
          </w:p>
          <w:p w14:paraId="42A5E39B">
            <w:pPr>
              <w:keepNext w:val="0"/>
              <w:keepLines w:val="0"/>
              <w:pageBreakBefore w:val="0"/>
              <w:widowControl/>
              <w:kinsoku/>
              <w:wordWrap w:val="0"/>
              <w:overflowPunct/>
              <w:topLinePunct w:val="0"/>
              <w:autoSpaceDE/>
              <w:autoSpaceDN/>
              <w:bidi w:val="0"/>
              <w:adjustRightInd/>
              <w:snapToGrid/>
              <w:spacing w:line="240" w:lineRule="auto"/>
              <w:ind w:firstLine="0" w:firstLineChars="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kern w:val="0"/>
                <w:sz w:val="24"/>
                <w:szCs w:val="24"/>
                <w:highlight w:val="none"/>
              </w:rPr>
              <w:t>4、提供环境监测功能，针对用户正在使用的桌面系统环境进行巡检，监测内容以列表形式呈现内容包含但不限于电脑名称、系统版本、IP、内存、硬盘等状态。如出现网络连接中断、USB未连接、未知盘符，均会进行告警。（</w:t>
            </w:r>
            <w:r>
              <w:rPr>
                <w:rFonts w:hint="eastAsia" w:ascii="仿宋" w:hAnsi="仿宋" w:eastAsia="仿宋" w:cs="仿宋"/>
                <w:color w:val="auto"/>
                <w:kern w:val="0"/>
                <w:sz w:val="24"/>
                <w:szCs w:val="24"/>
                <w:highlight w:val="none"/>
                <w:lang w:val="en-US" w:eastAsia="zh-CN"/>
              </w:rPr>
              <w:t>提</w:t>
            </w:r>
            <w:r>
              <w:rPr>
                <w:rFonts w:hint="eastAsia" w:ascii="仿宋" w:hAnsi="仿宋" w:eastAsia="仿宋" w:cs="仿宋"/>
                <w:color w:val="auto"/>
                <w:kern w:val="0"/>
                <w:sz w:val="24"/>
                <w:szCs w:val="24"/>
                <w:highlight w:val="none"/>
              </w:rPr>
              <w:t>供证明材料）</w:t>
            </w:r>
          </w:p>
          <w:p w14:paraId="7E114532">
            <w:pPr>
              <w:keepNext w:val="0"/>
              <w:keepLines w:val="0"/>
              <w:pageBreakBefore w:val="0"/>
              <w:widowControl/>
              <w:kinsoku/>
              <w:wordWrap w:val="0"/>
              <w:overflowPunct/>
              <w:topLinePunct w:val="0"/>
              <w:autoSpaceDE/>
              <w:autoSpaceDN/>
              <w:bidi w:val="0"/>
              <w:adjustRightInd/>
              <w:snapToGrid/>
              <w:spacing w:line="240" w:lineRule="auto"/>
              <w:ind w:firstLine="0" w:firstLineChars="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5、为便于系统运维，需提供云桌面健康检测功能，可自动进行检测，对检测结果进行展示，并生成具体检测报告。支持通过微信告警，当有错误或警告时，可及时向管理员推送微信消息。</w:t>
            </w:r>
          </w:p>
          <w:p w14:paraId="5BE1725A">
            <w:pPr>
              <w:keepNext w:val="0"/>
              <w:keepLines w:val="0"/>
              <w:pageBreakBefore w:val="0"/>
              <w:widowControl/>
              <w:kinsoku/>
              <w:wordWrap w:val="0"/>
              <w:overflowPunct/>
              <w:topLinePunct w:val="0"/>
              <w:autoSpaceDE/>
              <w:autoSpaceDN/>
              <w:bidi w:val="0"/>
              <w:adjustRightInd/>
              <w:snapToGrid/>
              <w:spacing w:line="240" w:lineRule="auto"/>
              <w:ind w:firstLine="0" w:firstLineChars="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6、云桌面管理平台支持个性化设置，可以上传自定义logo和标题进行定制。</w:t>
            </w:r>
          </w:p>
          <w:p w14:paraId="1F75F470">
            <w:pPr>
              <w:keepNext w:val="0"/>
              <w:keepLines w:val="0"/>
              <w:pageBreakBefore w:val="0"/>
              <w:widowControl/>
              <w:kinsoku/>
              <w:wordWrap w:val="0"/>
              <w:overflowPunct/>
              <w:topLinePunct w:val="0"/>
              <w:autoSpaceDE/>
              <w:autoSpaceDN/>
              <w:bidi w:val="0"/>
              <w:adjustRightInd/>
              <w:snapToGrid/>
              <w:spacing w:line="240" w:lineRule="auto"/>
              <w:ind w:firstLine="0" w:firstLineChars="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7、支持各节点效率统计，以分析效率低的原因。 支持查看工作、查阅、娱乐等各种活动的比例，以及应用程序使用时间和网页浏览时间的排名。</w:t>
            </w:r>
          </w:p>
          <w:p w14:paraId="7AA104E2">
            <w:pPr>
              <w:keepNext w:val="0"/>
              <w:keepLines w:val="0"/>
              <w:pageBreakBefore w:val="0"/>
              <w:widowControl/>
              <w:kinsoku/>
              <w:wordWrap w:val="0"/>
              <w:overflowPunct/>
              <w:topLinePunct w:val="0"/>
              <w:autoSpaceDE/>
              <w:autoSpaceDN/>
              <w:bidi w:val="0"/>
              <w:adjustRightInd/>
              <w:snapToGrid/>
              <w:spacing w:line="240" w:lineRule="auto"/>
              <w:ind w:firstLine="0" w:firstLineChars="0"/>
              <w:jc w:val="left"/>
              <w:textAlignment w:val="auto"/>
              <w:rPr>
                <w:rFonts w:hint="eastAsia" w:ascii="仿宋" w:hAnsi="仿宋" w:eastAsia="仿宋" w:cs="仿宋"/>
                <w:color w:val="auto"/>
                <w:kern w:val="0"/>
                <w:sz w:val="24"/>
                <w:szCs w:val="24"/>
                <w:highlight w:val="none"/>
                <w:lang w:eastAsia="zh-CN"/>
              </w:rPr>
            </w:pPr>
            <w:r>
              <w:rPr>
                <w:rFonts w:hint="eastAsia" w:ascii="仿宋" w:hAnsi="仿宋" w:eastAsia="仿宋" w:cs="仿宋"/>
                <w:color w:val="auto"/>
                <w:sz w:val="24"/>
                <w:szCs w:val="24"/>
                <w:highlight w:val="none"/>
              </w:rPr>
              <w:t>▲</w:t>
            </w:r>
            <w:r>
              <w:rPr>
                <w:rFonts w:hint="eastAsia" w:ascii="仿宋" w:hAnsi="仿宋" w:eastAsia="仿宋" w:cs="仿宋"/>
                <w:color w:val="auto"/>
                <w:kern w:val="0"/>
                <w:sz w:val="24"/>
                <w:szCs w:val="24"/>
                <w:highlight w:val="none"/>
              </w:rPr>
              <w:t>8、支持云平台可与UPS设备联动，自动感知外部的突然断电情况，确保在UPS供电期间服务器温暖下线，避免异常断电造成的数据丢失，提高云平台的可靠性。</w:t>
            </w:r>
            <w:r>
              <w:rPr>
                <w:rFonts w:hint="eastAsia" w:ascii="仿宋" w:hAnsi="仿宋" w:eastAsia="仿宋" w:cs="仿宋"/>
                <w:color w:val="auto"/>
                <w:kern w:val="0"/>
                <w:sz w:val="24"/>
                <w:szCs w:val="24"/>
                <w:highlight w:val="none"/>
                <w:lang w:eastAsia="zh-CN"/>
              </w:rPr>
              <w:t>（提供证明材料）</w:t>
            </w:r>
          </w:p>
          <w:p w14:paraId="7F594D5F">
            <w:pPr>
              <w:keepNext w:val="0"/>
              <w:keepLines w:val="0"/>
              <w:pageBreakBefore w:val="0"/>
              <w:widowControl/>
              <w:kinsoku/>
              <w:wordWrap w:val="0"/>
              <w:overflowPunct/>
              <w:topLinePunct w:val="0"/>
              <w:autoSpaceDE/>
              <w:autoSpaceDN/>
              <w:bidi w:val="0"/>
              <w:adjustRightInd/>
              <w:snapToGrid/>
              <w:spacing w:line="240" w:lineRule="auto"/>
              <w:ind w:firstLine="0" w:firstLineChars="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9、平台具备云存储功能可通过云存储访问个人办公资料、课件等文件，也可以无需下载，直接访问所需资料。为便于用户的资料整合，需支持云存储功能，将用户资料统一存储，且访问无需下载。支持用户的云存储与微信进行绑定，不仅通过微信服务号即可直接访问自己的资料及消息，还可以防止用户忘记自己的账号密码。</w:t>
            </w:r>
          </w:p>
          <w:p w14:paraId="2A65A853">
            <w:pPr>
              <w:keepNext w:val="0"/>
              <w:keepLines w:val="0"/>
              <w:pageBreakBefore w:val="0"/>
              <w:widowControl/>
              <w:kinsoku/>
              <w:wordWrap w:val="0"/>
              <w:overflowPunct/>
              <w:topLinePunct w:val="0"/>
              <w:autoSpaceDE/>
              <w:autoSpaceDN/>
              <w:bidi w:val="0"/>
              <w:adjustRightInd/>
              <w:snapToGrid/>
              <w:spacing w:line="240" w:lineRule="auto"/>
              <w:ind w:firstLine="0" w:firstLineChars="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10、支持用户通过链接收集文件或资料，对收集的资料进行统一存储，同时为避免提交用户抄袭，支持仅能提交个人文件，无法查看他人文件。</w:t>
            </w:r>
          </w:p>
          <w:p w14:paraId="093F34FA">
            <w:pPr>
              <w:keepNext w:val="0"/>
              <w:keepLines w:val="0"/>
              <w:pageBreakBefore w:val="0"/>
              <w:widowControl/>
              <w:kinsoku/>
              <w:wordWrap w:val="0"/>
              <w:overflowPunct/>
              <w:topLinePunct w:val="0"/>
              <w:autoSpaceDE/>
              <w:autoSpaceDN/>
              <w:bidi w:val="0"/>
              <w:adjustRightInd/>
              <w:snapToGrid/>
              <w:spacing w:line="240" w:lineRule="auto"/>
              <w:ind w:firstLine="0" w:firstLineChars="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11、支持群组创建，用户可根据不同情况、不同场景创建群组，他人也可申请加入群组，群组内人员可共享群内文件资料，并支持搜索功能；群组支持解散、重命名、转让、修改群组头像、批量新增/删除成员等功能。</w:t>
            </w:r>
          </w:p>
          <w:p w14:paraId="6FABF5FB">
            <w:pPr>
              <w:keepNext w:val="0"/>
              <w:keepLines w:val="0"/>
              <w:pageBreakBefore w:val="0"/>
              <w:widowControl/>
              <w:kinsoku/>
              <w:wordWrap w:val="0"/>
              <w:overflowPunct/>
              <w:topLinePunct w:val="0"/>
              <w:autoSpaceDE/>
              <w:autoSpaceDN/>
              <w:bidi w:val="0"/>
              <w:adjustRightInd/>
              <w:snapToGrid/>
              <w:spacing w:line="240" w:lineRule="auto"/>
              <w:ind w:firstLine="0" w:firstLineChars="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12、为方便群组成员的交流，支持在群组发起话题讨论，并且可以上传相关说明文件。支持通过用户账号搜索一键分享资料，且可以设置读写权限，省略U盘拷贝的繁琐。为便于用户查看资料，支持多终端访问，包括网页端、PC客户端、移动终端（安卓和IOS）、微信端，用户可以随时随地访问自己的存储空间。</w:t>
            </w:r>
          </w:p>
          <w:p w14:paraId="34E8097F">
            <w:pPr>
              <w:keepNext w:val="0"/>
              <w:keepLines w:val="0"/>
              <w:pageBreakBefore w:val="0"/>
              <w:widowControl/>
              <w:kinsoku/>
              <w:wordWrap w:val="0"/>
              <w:overflowPunct/>
              <w:topLinePunct w:val="0"/>
              <w:autoSpaceDE/>
              <w:autoSpaceDN/>
              <w:bidi w:val="0"/>
              <w:adjustRightInd/>
              <w:snapToGrid/>
              <w:spacing w:line="240" w:lineRule="auto"/>
              <w:ind w:firstLine="0" w:firstLineChars="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13、云桌面能够识别不少于18类的USB设备，针对不同类型的USB设备能够精确的识别并控制使用权限，管理员可以自定义USB设备类型并控制使用权限，并且可设置USB口开启时间，超出时间后自动关闭。</w:t>
            </w:r>
          </w:p>
          <w:p w14:paraId="6A9D2351">
            <w:pPr>
              <w:keepNext w:val="0"/>
              <w:keepLines w:val="0"/>
              <w:pageBreakBefore w:val="0"/>
              <w:widowControl/>
              <w:kinsoku/>
              <w:wordWrap w:val="0"/>
              <w:overflowPunct/>
              <w:topLinePunct w:val="0"/>
              <w:autoSpaceDE/>
              <w:autoSpaceDN/>
              <w:bidi w:val="0"/>
              <w:adjustRightInd/>
              <w:snapToGrid/>
              <w:spacing w:line="240" w:lineRule="auto"/>
              <w:ind w:firstLine="0" w:firstLineChars="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14、教学互动性考量：导师可以走下讲台进行教学，虚拟桌面支持双屏同显功能，一个用户可使用同一账号同时在移动终端（PAD或手机）和云终端上接入云桌面，在移动终端内操作云桌面，可以同步显示在云终端的外接显示设备上，实现双屏互动演示。</w:t>
            </w:r>
          </w:p>
          <w:p w14:paraId="03D94734">
            <w:pPr>
              <w:keepNext w:val="0"/>
              <w:keepLines w:val="0"/>
              <w:pageBreakBefore w:val="0"/>
              <w:widowControl/>
              <w:kinsoku/>
              <w:wordWrap w:val="0"/>
              <w:overflowPunct/>
              <w:topLinePunct w:val="0"/>
              <w:autoSpaceDE/>
              <w:autoSpaceDN/>
              <w:bidi w:val="0"/>
              <w:adjustRightInd/>
              <w:snapToGrid/>
              <w:spacing w:line="240" w:lineRule="auto"/>
              <w:ind w:firstLine="0" w:firstLineChars="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15、支持终端消息发布功能，管理员可直接通过web管理平台给终端发送消息，终端无需进入操作系统即可接收消息，消息支持跑马灯显示。</w:t>
            </w:r>
          </w:p>
          <w:p w14:paraId="07D4B6DE">
            <w:pPr>
              <w:keepNext w:val="0"/>
              <w:keepLines w:val="0"/>
              <w:pageBreakBefore w:val="0"/>
              <w:widowControl/>
              <w:kinsoku/>
              <w:wordWrap w:val="0"/>
              <w:overflowPunct/>
              <w:topLinePunct w:val="0"/>
              <w:autoSpaceDE/>
              <w:autoSpaceDN/>
              <w:bidi w:val="0"/>
              <w:adjustRightInd/>
              <w:snapToGrid/>
              <w:spacing w:line="240" w:lineRule="auto"/>
              <w:ind w:firstLine="0" w:firstLineChars="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16、根据单位实际情况支持通过1台或N台中继器实现跨网段管理，中继器必须满足以下配置要求：CPU≥ARM 四核 1.8GHz，RAM≥1GB ，DOM≥8GB SSD ，USB口≥6个（其中至少包含1个3.0接口），千兆网卡 ，1个HDMI接口或1个VGA接口，1个MicIN接口，1个HPOUT接口，1个TF卡接口，至少5个状态指示灯。为了便于管理员对中继器的维护，需支持终端恢复，当中继器系统故障时可通过Micro-SD卡快速恢复系统。</w:t>
            </w:r>
          </w:p>
        </w:tc>
      </w:tr>
      <w:tr w14:paraId="058E9B79">
        <w:tblPrEx>
          <w:tblCellMar>
            <w:top w:w="0" w:type="dxa"/>
            <w:left w:w="108" w:type="dxa"/>
            <w:bottom w:w="0" w:type="dxa"/>
            <w:right w:w="108" w:type="dxa"/>
          </w:tblCellMar>
        </w:tblPrEx>
        <w:trPr>
          <w:trHeight w:val="20" w:hRule="atLeast"/>
        </w:trPr>
        <w:tc>
          <w:tcPr>
            <w:tcW w:w="225" w:type="pct"/>
            <w:tcBorders>
              <w:top w:val="single" w:color="auto" w:sz="4" w:space="0"/>
              <w:left w:val="single" w:color="auto" w:sz="4" w:space="0"/>
              <w:bottom w:val="single" w:color="auto" w:sz="4" w:space="0"/>
              <w:right w:val="single" w:color="auto" w:sz="4" w:space="0"/>
            </w:tcBorders>
            <w:vAlign w:val="center"/>
          </w:tcPr>
          <w:p w14:paraId="3A7D46F3">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4"/>
                <w:szCs w:val="24"/>
                <w:highlight w:val="none"/>
                <w:lang w:eastAsia="zh-CN"/>
              </w:rPr>
            </w:pPr>
            <w:r>
              <w:rPr>
                <w:rFonts w:hint="eastAsia" w:ascii="仿宋" w:hAnsi="仿宋" w:eastAsia="仿宋" w:cs="仿宋"/>
                <w:color w:val="auto"/>
                <w:kern w:val="0"/>
                <w:sz w:val="24"/>
                <w:szCs w:val="24"/>
                <w:highlight w:val="none"/>
                <w:lang w:val="en-US" w:eastAsia="zh-CN"/>
              </w:rPr>
              <w:t>3</w:t>
            </w:r>
          </w:p>
        </w:tc>
        <w:tc>
          <w:tcPr>
            <w:tcW w:w="225" w:type="pct"/>
            <w:tcBorders>
              <w:top w:val="single" w:color="auto" w:sz="4" w:space="0"/>
              <w:left w:val="nil"/>
              <w:bottom w:val="single" w:color="auto" w:sz="4" w:space="0"/>
              <w:right w:val="single" w:color="auto" w:sz="4" w:space="0"/>
            </w:tcBorders>
            <w:vAlign w:val="center"/>
          </w:tcPr>
          <w:p w14:paraId="69AEE5D8">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w:t>
            </w:r>
          </w:p>
        </w:tc>
        <w:tc>
          <w:tcPr>
            <w:tcW w:w="337" w:type="pct"/>
            <w:tcBorders>
              <w:top w:val="single" w:color="auto" w:sz="4" w:space="0"/>
              <w:left w:val="nil"/>
              <w:bottom w:val="single" w:color="auto" w:sz="4" w:space="0"/>
              <w:right w:val="single" w:color="auto" w:sz="4" w:space="0"/>
            </w:tcBorders>
            <w:vAlign w:val="center"/>
          </w:tcPr>
          <w:p w14:paraId="7AFA9C3D">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t>课堂教学互动管理系统</w:t>
            </w:r>
          </w:p>
        </w:tc>
        <w:tc>
          <w:tcPr>
            <w:tcW w:w="325" w:type="pct"/>
            <w:gridSpan w:val="2"/>
            <w:tcBorders>
              <w:top w:val="single" w:color="auto" w:sz="4" w:space="0"/>
              <w:left w:val="nil"/>
              <w:bottom w:val="single" w:color="auto" w:sz="4" w:space="0"/>
              <w:right w:val="single" w:color="auto" w:sz="4" w:space="0"/>
            </w:tcBorders>
            <w:vAlign w:val="center"/>
          </w:tcPr>
          <w:p w14:paraId="64E4E63E">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t>2</w:t>
            </w:r>
          </w:p>
        </w:tc>
        <w:tc>
          <w:tcPr>
            <w:tcW w:w="225" w:type="pct"/>
            <w:tcBorders>
              <w:top w:val="single" w:color="auto" w:sz="4" w:space="0"/>
              <w:left w:val="nil"/>
              <w:bottom w:val="single" w:color="auto" w:sz="4" w:space="0"/>
              <w:right w:val="single" w:color="auto" w:sz="4" w:space="0"/>
            </w:tcBorders>
            <w:vAlign w:val="center"/>
          </w:tcPr>
          <w:p w14:paraId="726DE584">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t>套</w:t>
            </w:r>
          </w:p>
        </w:tc>
        <w:tc>
          <w:tcPr>
            <w:tcW w:w="3659" w:type="pct"/>
            <w:tcBorders>
              <w:top w:val="single" w:color="auto" w:sz="4" w:space="0"/>
              <w:left w:val="nil"/>
              <w:bottom w:val="single" w:color="auto" w:sz="4" w:space="0"/>
              <w:right w:val="single" w:color="auto" w:sz="4" w:space="0"/>
            </w:tcBorders>
            <w:vAlign w:val="center"/>
          </w:tcPr>
          <w:p w14:paraId="65F5B037">
            <w:pPr>
              <w:keepNext w:val="0"/>
              <w:keepLines w:val="0"/>
              <w:pageBreakBefore w:val="0"/>
              <w:widowControl/>
              <w:kinsoku/>
              <w:wordWrap w:val="0"/>
              <w:overflowPunct/>
              <w:topLinePunct w:val="0"/>
              <w:autoSpaceDE/>
              <w:autoSpaceDN/>
              <w:bidi w:val="0"/>
              <w:adjustRightInd/>
              <w:snapToGrid/>
              <w:spacing w:line="240" w:lineRule="auto"/>
              <w:ind w:firstLine="0" w:firstLineChars="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t>1、正版授权可通过文件或加密狗方式，全面支持包括 Windows8, Windows 7 操作系统，B/S 模式，可无缝兼容其它教学软件；</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2、屏幕广播：广播教学过程中窗口广播模式和全屏广播模式可以自由切换，不需要中止正常的广播教学过程。具有绑定窗口模式；</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3、支持视频和语音两种广播模式，在教学过程中实现教师同一个或学生小组进行语音讨论，也可以请某个学生向全体学生做语音汇报；</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4、具有网络影院、语音教学、分组管理、文件分发、视频直播、黑屏肃静、多频道教学、电子点名、学生演示、屏幕监控、黑屏和解除黑屏；</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5、作业提交：学生把做好的作业直接提交到教师机，方便教师批改作业要收取的麻烦。通过特殊设置，学生提交作业时必需经过教师审批通过后才可提交，教师可以选择接收和拒绝学生提交的文件。并且教师可以限制学生提交文件的数目和大小。</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6、随堂小考：教师启动快速的单题考试或随堂调查，限定考试时间，学生答题后立即给出结果，结果显示学生答案柱状图分析和答题时间，可作为抢答依据；</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7、程序限制：通过各种策略的应用，可防止学生在教学过程中打游戏，或使用 QQ，MSN 等聊天工具；</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8、学生端属性查看：教师可以获取学生端计算机的名称、登录名和其它常用信息，并可以列出学生端的应用程序、进程和进程 ID，教师还可以远程终止学生端的进程；</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9、视频复放和语音复读：复读机可以打开媒体文件和复读课件（由复读课件编辑器制作而来），通过设置段落标签，可实现某段落语音复读或视频复放；</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10、为降低网络教学距离感，电子教室软件必须支持实时摄像广播功能及声音广播功能；支持单点语音交流及群组语音交流；</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11、电子教室软件教师端需支持不少于六种版式布局选择及至少支持三种语言切换，至少但不局限于包含英文，中文简体及中文繁体三种语言；</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12、支持 JPEG 和 H.264 两种编码格式进行屏幕广播，支持根据实际场景带宽手动调整广播画面的帧率。</w:t>
            </w:r>
          </w:p>
        </w:tc>
      </w:tr>
      <w:tr w14:paraId="3ACC5009">
        <w:tblPrEx>
          <w:tblCellMar>
            <w:top w:w="0" w:type="dxa"/>
            <w:left w:w="108" w:type="dxa"/>
            <w:bottom w:w="0" w:type="dxa"/>
            <w:right w:w="108" w:type="dxa"/>
          </w:tblCellMar>
        </w:tblPrEx>
        <w:trPr>
          <w:trHeight w:val="20" w:hRule="atLeast"/>
        </w:trPr>
        <w:tc>
          <w:tcPr>
            <w:tcW w:w="225" w:type="pct"/>
            <w:tcBorders>
              <w:top w:val="single" w:color="auto" w:sz="4" w:space="0"/>
              <w:left w:val="single" w:color="auto" w:sz="4" w:space="0"/>
              <w:bottom w:val="single" w:color="auto" w:sz="4" w:space="0"/>
              <w:right w:val="single" w:color="auto" w:sz="4" w:space="0"/>
            </w:tcBorders>
            <w:vAlign w:val="center"/>
          </w:tcPr>
          <w:p w14:paraId="650A940B">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4"/>
                <w:szCs w:val="24"/>
                <w:highlight w:val="none"/>
                <w:lang w:eastAsia="zh-CN"/>
              </w:rPr>
            </w:pPr>
            <w:r>
              <w:rPr>
                <w:rFonts w:hint="eastAsia" w:ascii="仿宋" w:hAnsi="仿宋" w:eastAsia="仿宋" w:cs="仿宋"/>
                <w:color w:val="auto"/>
                <w:kern w:val="0"/>
                <w:sz w:val="24"/>
                <w:szCs w:val="24"/>
                <w:highlight w:val="none"/>
                <w:lang w:val="en-US" w:eastAsia="zh-CN"/>
              </w:rPr>
              <w:t>4</w:t>
            </w:r>
          </w:p>
        </w:tc>
        <w:tc>
          <w:tcPr>
            <w:tcW w:w="225" w:type="pct"/>
            <w:tcBorders>
              <w:top w:val="single" w:color="auto" w:sz="4" w:space="0"/>
              <w:left w:val="nil"/>
              <w:bottom w:val="single" w:color="auto" w:sz="4" w:space="0"/>
              <w:right w:val="single" w:color="auto" w:sz="4" w:space="0"/>
            </w:tcBorders>
            <w:vAlign w:val="center"/>
          </w:tcPr>
          <w:p w14:paraId="2C81DAD7">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w:t>
            </w:r>
          </w:p>
        </w:tc>
        <w:tc>
          <w:tcPr>
            <w:tcW w:w="337" w:type="pct"/>
            <w:tcBorders>
              <w:top w:val="single" w:color="auto" w:sz="4" w:space="0"/>
              <w:left w:val="nil"/>
              <w:bottom w:val="single" w:color="auto" w:sz="4" w:space="0"/>
              <w:right w:val="single" w:color="auto" w:sz="4" w:space="0"/>
            </w:tcBorders>
            <w:vAlign w:val="center"/>
          </w:tcPr>
          <w:p w14:paraId="1234C5AF">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t>24口交换机</w:t>
            </w:r>
          </w:p>
        </w:tc>
        <w:tc>
          <w:tcPr>
            <w:tcW w:w="325" w:type="pct"/>
            <w:gridSpan w:val="2"/>
            <w:tcBorders>
              <w:top w:val="single" w:color="auto" w:sz="4" w:space="0"/>
              <w:left w:val="nil"/>
              <w:bottom w:val="single" w:color="auto" w:sz="4" w:space="0"/>
              <w:right w:val="single" w:color="auto" w:sz="4" w:space="0"/>
            </w:tcBorders>
            <w:vAlign w:val="center"/>
          </w:tcPr>
          <w:p w14:paraId="5CAAD09C">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t>6</w:t>
            </w:r>
          </w:p>
        </w:tc>
        <w:tc>
          <w:tcPr>
            <w:tcW w:w="225" w:type="pct"/>
            <w:tcBorders>
              <w:top w:val="single" w:color="auto" w:sz="4" w:space="0"/>
              <w:left w:val="nil"/>
              <w:bottom w:val="single" w:color="auto" w:sz="4" w:space="0"/>
              <w:right w:val="single" w:color="auto" w:sz="4" w:space="0"/>
            </w:tcBorders>
            <w:vAlign w:val="center"/>
          </w:tcPr>
          <w:p w14:paraId="264B2FBA">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t>台</w:t>
            </w:r>
          </w:p>
        </w:tc>
        <w:tc>
          <w:tcPr>
            <w:tcW w:w="3659" w:type="pct"/>
            <w:tcBorders>
              <w:top w:val="single" w:color="auto" w:sz="4" w:space="0"/>
              <w:left w:val="nil"/>
              <w:bottom w:val="single" w:color="auto" w:sz="4" w:space="0"/>
              <w:right w:val="single" w:color="auto" w:sz="4" w:space="0"/>
            </w:tcBorders>
            <w:vAlign w:val="center"/>
          </w:tcPr>
          <w:p w14:paraId="4CD8B704">
            <w:pPr>
              <w:keepNext w:val="0"/>
              <w:keepLines w:val="0"/>
              <w:pageBreakBefore w:val="0"/>
              <w:widowControl/>
              <w:kinsoku/>
              <w:wordWrap w:val="0"/>
              <w:overflowPunct/>
              <w:topLinePunct w:val="0"/>
              <w:autoSpaceDE/>
              <w:autoSpaceDN/>
              <w:bidi w:val="0"/>
              <w:adjustRightInd/>
              <w:snapToGrid/>
              <w:spacing w:line="240" w:lineRule="auto"/>
              <w:ind w:firstLine="0" w:firstLineChars="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t>接口：24 口万兆电口 + 6 口 40GB 光口</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包转发率：1080M</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背板带宽：2.56T</w:t>
            </w:r>
          </w:p>
        </w:tc>
      </w:tr>
      <w:tr w14:paraId="301F8FFB">
        <w:tblPrEx>
          <w:tblCellMar>
            <w:top w:w="0" w:type="dxa"/>
            <w:left w:w="108" w:type="dxa"/>
            <w:bottom w:w="0" w:type="dxa"/>
            <w:right w:w="108" w:type="dxa"/>
          </w:tblCellMar>
        </w:tblPrEx>
        <w:trPr>
          <w:trHeight w:val="20" w:hRule="atLeast"/>
        </w:trPr>
        <w:tc>
          <w:tcPr>
            <w:tcW w:w="225" w:type="pct"/>
            <w:tcBorders>
              <w:top w:val="single" w:color="auto" w:sz="4" w:space="0"/>
              <w:left w:val="single" w:color="auto" w:sz="4" w:space="0"/>
              <w:bottom w:val="single" w:color="auto" w:sz="4" w:space="0"/>
              <w:right w:val="single" w:color="auto" w:sz="4" w:space="0"/>
            </w:tcBorders>
            <w:vAlign w:val="center"/>
          </w:tcPr>
          <w:p w14:paraId="6DF0357B">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4"/>
                <w:szCs w:val="24"/>
                <w:highlight w:val="none"/>
                <w:lang w:eastAsia="zh-CN"/>
              </w:rPr>
            </w:pPr>
            <w:r>
              <w:rPr>
                <w:rFonts w:hint="eastAsia" w:ascii="仿宋" w:hAnsi="仿宋" w:eastAsia="仿宋" w:cs="仿宋"/>
                <w:color w:val="auto"/>
                <w:kern w:val="0"/>
                <w:sz w:val="24"/>
                <w:szCs w:val="24"/>
                <w:highlight w:val="none"/>
                <w:lang w:val="en-US" w:eastAsia="zh-CN"/>
              </w:rPr>
              <w:t>5</w:t>
            </w:r>
          </w:p>
        </w:tc>
        <w:tc>
          <w:tcPr>
            <w:tcW w:w="225" w:type="pct"/>
            <w:tcBorders>
              <w:top w:val="single" w:color="auto" w:sz="4" w:space="0"/>
              <w:left w:val="nil"/>
              <w:bottom w:val="single" w:color="auto" w:sz="4" w:space="0"/>
              <w:right w:val="single" w:color="auto" w:sz="4" w:space="0"/>
            </w:tcBorders>
            <w:vAlign w:val="center"/>
          </w:tcPr>
          <w:p w14:paraId="0F6FDD47">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w:t>
            </w:r>
          </w:p>
        </w:tc>
        <w:tc>
          <w:tcPr>
            <w:tcW w:w="337" w:type="pct"/>
            <w:tcBorders>
              <w:top w:val="single" w:color="auto" w:sz="4" w:space="0"/>
              <w:left w:val="nil"/>
              <w:bottom w:val="single" w:color="auto" w:sz="4" w:space="0"/>
              <w:right w:val="single" w:color="auto" w:sz="4" w:space="0"/>
            </w:tcBorders>
            <w:vAlign w:val="center"/>
          </w:tcPr>
          <w:p w14:paraId="608332FB">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t>六类非屏蔽双绞线</w:t>
            </w:r>
          </w:p>
        </w:tc>
        <w:tc>
          <w:tcPr>
            <w:tcW w:w="325" w:type="pct"/>
            <w:gridSpan w:val="2"/>
            <w:tcBorders>
              <w:top w:val="single" w:color="auto" w:sz="4" w:space="0"/>
              <w:left w:val="nil"/>
              <w:bottom w:val="single" w:color="auto" w:sz="4" w:space="0"/>
              <w:right w:val="single" w:color="auto" w:sz="4" w:space="0"/>
            </w:tcBorders>
            <w:vAlign w:val="center"/>
          </w:tcPr>
          <w:p w14:paraId="336E0CF9">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t>4600</w:t>
            </w:r>
          </w:p>
        </w:tc>
        <w:tc>
          <w:tcPr>
            <w:tcW w:w="225" w:type="pct"/>
            <w:tcBorders>
              <w:top w:val="single" w:color="auto" w:sz="4" w:space="0"/>
              <w:left w:val="nil"/>
              <w:bottom w:val="single" w:color="auto" w:sz="4" w:space="0"/>
              <w:right w:val="single" w:color="auto" w:sz="4" w:space="0"/>
            </w:tcBorders>
            <w:vAlign w:val="center"/>
          </w:tcPr>
          <w:p w14:paraId="686A7D1A">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t>米</w:t>
            </w:r>
          </w:p>
        </w:tc>
        <w:tc>
          <w:tcPr>
            <w:tcW w:w="3659" w:type="pct"/>
            <w:tcBorders>
              <w:top w:val="single" w:color="auto" w:sz="4" w:space="0"/>
              <w:left w:val="nil"/>
              <w:bottom w:val="single" w:color="auto" w:sz="4" w:space="0"/>
              <w:right w:val="single" w:color="auto" w:sz="4" w:space="0"/>
            </w:tcBorders>
            <w:vAlign w:val="center"/>
          </w:tcPr>
          <w:p w14:paraId="54D5FC21">
            <w:pPr>
              <w:keepNext w:val="0"/>
              <w:keepLines w:val="0"/>
              <w:pageBreakBefore w:val="0"/>
              <w:widowControl/>
              <w:kinsoku/>
              <w:wordWrap w:val="0"/>
              <w:overflowPunct/>
              <w:topLinePunct w:val="0"/>
              <w:autoSpaceDE/>
              <w:autoSpaceDN/>
              <w:bidi w:val="0"/>
              <w:adjustRightInd/>
              <w:snapToGrid/>
              <w:spacing w:line="240" w:lineRule="auto"/>
              <w:ind w:firstLine="0" w:firstLineChars="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t>六类千兆非屏蔽双绞线，聚乙稀绝缘，PE护套，保证线缆的物理性能；外皮采用低烟无卤PVC阻燃材料，阻燃等级达到商用级CM（铜缆）；产品包装上标注厂家商标、厂名，线缆的规格型号以及长度、生产日期、生产编号、执行标准等内容，有电子防伪标签；网线外皮上有网线的种类标识以及厂家商标。</w:t>
            </w:r>
          </w:p>
        </w:tc>
      </w:tr>
      <w:tr w14:paraId="265BE395">
        <w:tblPrEx>
          <w:tblCellMar>
            <w:top w:w="0" w:type="dxa"/>
            <w:left w:w="108" w:type="dxa"/>
            <w:bottom w:w="0" w:type="dxa"/>
            <w:right w:w="108" w:type="dxa"/>
          </w:tblCellMar>
        </w:tblPrEx>
        <w:trPr>
          <w:trHeight w:val="20" w:hRule="atLeast"/>
        </w:trPr>
        <w:tc>
          <w:tcPr>
            <w:tcW w:w="225" w:type="pct"/>
            <w:tcBorders>
              <w:top w:val="single" w:color="auto" w:sz="4" w:space="0"/>
              <w:left w:val="single" w:color="auto" w:sz="4" w:space="0"/>
              <w:bottom w:val="single" w:color="auto" w:sz="4" w:space="0"/>
              <w:right w:val="single" w:color="auto" w:sz="4" w:space="0"/>
            </w:tcBorders>
            <w:vAlign w:val="center"/>
          </w:tcPr>
          <w:p w14:paraId="722A11A6">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4"/>
                <w:szCs w:val="24"/>
                <w:highlight w:val="none"/>
                <w:lang w:eastAsia="zh-CN"/>
              </w:rPr>
            </w:pPr>
            <w:r>
              <w:rPr>
                <w:rFonts w:hint="eastAsia" w:ascii="仿宋" w:hAnsi="仿宋" w:eastAsia="仿宋" w:cs="仿宋"/>
                <w:color w:val="auto"/>
                <w:kern w:val="0"/>
                <w:sz w:val="24"/>
                <w:szCs w:val="24"/>
                <w:highlight w:val="none"/>
                <w:lang w:val="en-US" w:eastAsia="zh-CN"/>
              </w:rPr>
              <w:t>6</w:t>
            </w:r>
          </w:p>
        </w:tc>
        <w:tc>
          <w:tcPr>
            <w:tcW w:w="225" w:type="pct"/>
            <w:tcBorders>
              <w:top w:val="single" w:color="auto" w:sz="4" w:space="0"/>
              <w:left w:val="nil"/>
              <w:bottom w:val="single" w:color="auto" w:sz="4" w:space="0"/>
              <w:right w:val="single" w:color="auto" w:sz="4" w:space="0"/>
            </w:tcBorders>
            <w:vAlign w:val="center"/>
          </w:tcPr>
          <w:p w14:paraId="119C9209">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w:t>
            </w:r>
          </w:p>
        </w:tc>
        <w:tc>
          <w:tcPr>
            <w:tcW w:w="337" w:type="pct"/>
            <w:tcBorders>
              <w:top w:val="single" w:color="auto" w:sz="4" w:space="0"/>
              <w:left w:val="nil"/>
              <w:bottom w:val="single" w:color="auto" w:sz="4" w:space="0"/>
              <w:right w:val="single" w:color="auto" w:sz="4" w:space="0"/>
            </w:tcBorders>
            <w:vAlign w:val="center"/>
          </w:tcPr>
          <w:p w14:paraId="0C6BD0D2">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t>网络机柜</w:t>
            </w:r>
          </w:p>
        </w:tc>
        <w:tc>
          <w:tcPr>
            <w:tcW w:w="325" w:type="pct"/>
            <w:gridSpan w:val="2"/>
            <w:tcBorders>
              <w:top w:val="single" w:color="auto" w:sz="4" w:space="0"/>
              <w:left w:val="nil"/>
              <w:bottom w:val="single" w:color="auto" w:sz="4" w:space="0"/>
              <w:right w:val="single" w:color="auto" w:sz="4" w:space="0"/>
            </w:tcBorders>
            <w:vAlign w:val="center"/>
          </w:tcPr>
          <w:p w14:paraId="03E410E6">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t>2</w:t>
            </w:r>
          </w:p>
        </w:tc>
        <w:tc>
          <w:tcPr>
            <w:tcW w:w="225" w:type="pct"/>
            <w:tcBorders>
              <w:top w:val="single" w:color="auto" w:sz="4" w:space="0"/>
              <w:left w:val="nil"/>
              <w:bottom w:val="single" w:color="auto" w:sz="4" w:space="0"/>
              <w:right w:val="single" w:color="auto" w:sz="4" w:space="0"/>
            </w:tcBorders>
            <w:vAlign w:val="center"/>
          </w:tcPr>
          <w:p w14:paraId="7972A6FD">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t>个</w:t>
            </w:r>
          </w:p>
        </w:tc>
        <w:tc>
          <w:tcPr>
            <w:tcW w:w="3659" w:type="pct"/>
            <w:tcBorders>
              <w:top w:val="single" w:color="auto" w:sz="4" w:space="0"/>
              <w:left w:val="nil"/>
              <w:bottom w:val="single" w:color="auto" w:sz="4" w:space="0"/>
              <w:right w:val="single" w:color="auto" w:sz="4" w:space="0"/>
            </w:tcBorders>
            <w:vAlign w:val="center"/>
          </w:tcPr>
          <w:p w14:paraId="7CE59B02">
            <w:pPr>
              <w:keepNext w:val="0"/>
              <w:keepLines w:val="0"/>
              <w:pageBreakBefore w:val="0"/>
              <w:widowControl/>
              <w:kinsoku/>
              <w:wordWrap w:val="0"/>
              <w:overflowPunct/>
              <w:topLinePunct w:val="0"/>
              <w:autoSpaceDE/>
              <w:autoSpaceDN/>
              <w:bidi w:val="0"/>
              <w:adjustRightInd/>
              <w:snapToGrid/>
              <w:spacing w:line="240" w:lineRule="auto"/>
              <w:ind w:firstLine="0" w:firstLineChars="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t>22U网络机柜，黑色，SPCC冷扎钢板制作，高密度六角；厚度：方孔条≥2.0mm，托盘≥2.0mm，安装梁≥1.5mm，其它≥1.2mm；规格：600mm宽*600mm深*1200mm（不低于），配置：固定板≥1块，风扇组建≥1套，8位国标电源排插≥1个，方螺母螺钉≥20套，支脚及脚轮各大于等于4只。</w:t>
            </w:r>
          </w:p>
        </w:tc>
      </w:tr>
      <w:tr w14:paraId="6FE34E6C">
        <w:tblPrEx>
          <w:tblCellMar>
            <w:top w:w="0" w:type="dxa"/>
            <w:left w:w="108" w:type="dxa"/>
            <w:bottom w:w="0" w:type="dxa"/>
            <w:right w:w="108" w:type="dxa"/>
          </w:tblCellMar>
        </w:tblPrEx>
        <w:trPr>
          <w:trHeight w:val="565" w:hRule="atLeast"/>
        </w:trPr>
        <w:tc>
          <w:tcPr>
            <w:tcW w:w="225" w:type="pct"/>
            <w:tcBorders>
              <w:top w:val="single" w:color="auto" w:sz="4" w:space="0"/>
              <w:left w:val="single" w:color="auto" w:sz="4" w:space="0"/>
              <w:bottom w:val="single" w:color="auto" w:sz="4" w:space="0"/>
              <w:right w:val="single" w:color="auto" w:sz="4" w:space="0"/>
            </w:tcBorders>
            <w:vAlign w:val="center"/>
          </w:tcPr>
          <w:p w14:paraId="732147C2">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4"/>
                <w:szCs w:val="24"/>
                <w:highlight w:val="none"/>
                <w:lang w:eastAsia="zh-CN"/>
              </w:rPr>
            </w:pPr>
            <w:r>
              <w:rPr>
                <w:rFonts w:hint="eastAsia" w:ascii="仿宋" w:hAnsi="仿宋" w:eastAsia="仿宋" w:cs="仿宋"/>
                <w:color w:val="auto"/>
                <w:kern w:val="0"/>
                <w:sz w:val="24"/>
                <w:szCs w:val="24"/>
                <w:highlight w:val="none"/>
                <w:lang w:val="en-US" w:eastAsia="zh-CN"/>
              </w:rPr>
              <w:t>7</w:t>
            </w:r>
          </w:p>
        </w:tc>
        <w:tc>
          <w:tcPr>
            <w:tcW w:w="225" w:type="pct"/>
            <w:tcBorders>
              <w:top w:val="single" w:color="auto" w:sz="4" w:space="0"/>
              <w:left w:val="nil"/>
              <w:bottom w:val="single" w:color="auto" w:sz="4" w:space="0"/>
              <w:right w:val="single" w:color="auto" w:sz="4" w:space="0"/>
            </w:tcBorders>
            <w:vAlign w:val="center"/>
          </w:tcPr>
          <w:p w14:paraId="5CDF3774">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w:t>
            </w:r>
          </w:p>
        </w:tc>
        <w:tc>
          <w:tcPr>
            <w:tcW w:w="337" w:type="pct"/>
            <w:tcBorders>
              <w:top w:val="single" w:color="auto" w:sz="4" w:space="0"/>
              <w:left w:val="nil"/>
              <w:bottom w:val="single" w:color="auto" w:sz="4" w:space="0"/>
              <w:right w:val="single" w:color="auto" w:sz="4" w:space="0"/>
            </w:tcBorders>
            <w:vAlign w:val="center"/>
          </w:tcPr>
          <w:p w14:paraId="1770A6E1">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t>强弱电桥架</w:t>
            </w:r>
          </w:p>
        </w:tc>
        <w:tc>
          <w:tcPr>
            <w:tcW w:w="325" w:type="pct"/>
            <w:gridSpan w:val="2"/>
            <w:tcBorders>
              <w:top w:val="single" w:color="auto" w:sz="4" w:space="0"/>
              <w:left w:val="nil"/>
              <w:bottom w:val="single" w:color="auto" w:sz="4" w:space="0"/>
              <w:right w:val="single" w:color="auto" w:sz="4" w:space="0"/>
            </w:tcBorders>
            <w:vAlign w:val="center"/>
          </w:tcPr>
          <w:p w14:paraId="2BAC6F4F">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t>80</w:t>
            </w:r>
          </w:p>
        </w:tc>
        <w:tc>
          <w:tcPr>
            <w:tcW w:w="225" w:type="pct"/>
            <w:tcBorders>
              <w:top w:val="single" w:color="auto" w:sz="4" w:space="0"/>
              <w:left w:val="nil"/>
              <w:bottom w:val="single" w:color="auto" w:sz="4" w:space="0"/>
              <w:right w:val="single" w:color="auto" w:sz="4" w:space="0"/>
            </w:tcBorders>
            <w:vAlign w:val="center"/>
          </w:tcPr>
          <w:p w14:paraId="7C378B02">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t>米</w:t>
            </w:r>
          </w:p>
        </w:tc>
        <w:tc>
          <w:tcPr>
            <w:tcW w:w="3659" w:type="pct"/>
            <w:tcBorders>
              <w:top w:val="single" w:color="auto" w:sz="4" w:space="0"/>
              <w:left w:val="nil"/>
              <w:bottom w:val="single" w:color="auto" w:sz="4" w:space="0"/>
              <w:right w:val="single" w:color="auto" w:sz="4" w:space="0"/>
            </w:tcBorders>
            <w:vAlign w:val="center"/>
          </w:tcPr>
          <w:p w14:paraId="2CFD8187">
            <w:pPr>
              <w:keepNext w:val="0"/>
              <w:keepLines w:val="0"/>
              <w:pageBreakBefore w:val="0"/>
              <w:widowControl/>
              <w:kinsoku/>
              <w:wordWrap w:val="0"/>
              <w:overflowPunct/>
              <w:topLinePunct w:val="0"/>
              <w:autoSpaceDE/>
              <w:autoSpaceDN/>
              <w:bidi w:val="0"/>
              <w:adjustRightInd/>
              <w:snapToGrid/>
              <w:spacing w:line="240" w:lineRule="auto"/>
              <w:ind w:firstLine="0" w:firstLineChars="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t>国标槽式钢制防火桥架：≥150mm*100mm（宽*高），槽厚≥1.2mm，含各类安装配件。</w:t>
            </w:r>
          </w:p>
        </w:tc>
      </w:tr>
      <w:tr w14:paraId="2B334835">
        <w:tblPrEx>
          <w:tblCellMar>
            <w:top w:w="0" w:type="dxa"/>
            <w:left w:w="108" w:type="dxa"/>
            <w:bottom w:w="0" w:type="dxa"/>
            <w:right w:w="108" w:type="dxa"/>
          </w:tblCellMar>
        </w:tblPrEx>
        <w:trPr>
          <w:trHeight w:val="565" w:hRule="atLeast"/>
        </w:trPr>
        <w:tc>
          <w:tcPr>
            <w:tcW w:w="225" w:type="pct"/>
            <w:tcBorders>
              <w:top w:val="single" w:color="auto" w:sz="4" w:space="0"/>
              <w:left w:val="single" w:color="auto" w:sz="4" w:space="0"/>
              <w:bottom w:val="single" w:color="auto" w:sz="4" w:space="0"/>
              <w:right w:val="single" w:color="auto" w:sz="4" w:space="0"/>
            </w:tcBorders>
            <w:vAlign w:val="center"/>
          </w:tcPr>
          <w:p w14:paraId="7F5CCCEE">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4"/>
                <w:szCs w:val="24"/>
                <w:highlight w:val="none"/>
                <w:lang w:eastAsia="zh-CN"/>
              </w:rPr>
            </w:pPr>
            <w:r>
              <w:rPr>
                <w:rFonts w:hint="eastAsia" w:ascii="仿宋" w:hAnsi="仿宋" w:eastAsia="仿宋" w:cs="仿宋"/>
                <w:color w:val="auto"/>
                <w:kern w:val="0"/>
                <w:sz w:val="24"/>
                <w:szCs w:val="24"/>
                <w:highlight w:val="none"/>
                <w:lang w:val="en-US" w:eastAsia="zh-CN"/>
              </w:rPr>
              <w:t>8</w:t>
            </w:r>
          </w:p>
        </w:tc>
        <w:tc>
          <w:tcPr>
            <w:tcW w:w="225" w:type="pct"/>
            <w:tcBorders>
              <w:top w:val="single" w:color="auto" w:sz="4" w:space="0"/>
              <w:left w:val="nil"/>
              <w:bottom w:val="single" w:color="auto" w:sz="4" w:space="0"/>
              <w:right w:val="single" w:color="auto" w:sz="4" w:space="0"/>
            </w:tcBorders>
            <w:vAlign w:val="center"/>
          </w:tcPr>
          <w:p w14:paraId="79EE9CE8">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w:t>
            </w:r>
          </w:p>
        </w:tc>
        <w:tc>
          <w:tcPr>
            <w:tcW w:w="337" w:type="pct"/>
            <w:tcBorders>
              <w:top w:val="single" w:color="auto" w:sz="4" w:space="0"/>
              <w:left w:val="nil"/>
              <w:bottom w:val="single" w:color="auto" w:sz="4" w:space="0"/>
              <w:right w:val="single" w:color="auto" w:sz="4" w:space="0"/>
            </w:tcBorders>
            <w:vAlign w:val="center"/>
          </w:tcPr>
          <w:p w14:paraId="64659DA1">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t>强弱电综合布线</w:t>
            </w:r>
          </w:p>
        </w:tc>
        <w:tc>
          <w:tcPr>
            <w:tcW w:w="325" w:type="pct"/>
            <w:gridSpan w:val="2"/>
            <w:tcBorders>
              <w:top w:val="single" w:color="auto" w:sz="4" w:space="0"/>
              <w:left w:val="nil"/>
              <w:bottom w:val="single" w:color="auto" w:sz="4" w:space="0"/>
              <w:right w:val="single" w:color="auto" w:sz="4" w:space="0"/>
            </w:tcBorders>
            <w:vAlign w:val="center"/>
          </w:tcPr>
          <w:p w14:paraId="77B76DAD">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t>2</w:t>
            </w:r>
          </w:p>
        </w:tc>
        <w:tc>
          <w:tcPr>
            <w:tcW w:w="225" w:type="pct"/>
            <w:tcBorders>
              <w:top w:val="single" w:color="auto" w:sz="4" w:space="0"/>
              <w:left w:val="nil"/>
              <w:bottom w:val="single" w:color="auto" w:sz="4" w:space="0"/>
              <w:right w:val="single" w:color="auto" w:sz="4" w:space="0"/>
            </w:tcBorders>
            <w:vAlign w:val="center"/>
          </w:tcPr>
          <w:p w14:paraId="169D35C9">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t>套</w:t>
            </w:r>
          </w:p>
        </w:tc>
        <w:tc>
          <w:tcPr>
            <w:tcW w:w="3659" w:type="pct"/>
            <w:tcBorders>
              <w:top w:val="single" w:color="auto" w:sz="4" w:space="0"/>
              <w:left w:val="nil"/>
              <w:bottom w:val="single" w:color="auto" w:sz="4" w:space="0"/>
              <w:right w:val="single" w:color="auto" w:sz="4" w:space="0"/>
            </w:tcBorders>
            <w:vAlign w:val="center"/>
          </w:tcPr>
          <w:p w14:paraId="54667198">
            <w:pPr>
              <w:keepNext w:val="0"/>
              <w:keepLines w:val="0"/>
              <w:pageBreakBefore w:val="0"/>
              <w:widowControl/>
              <w:kinsoku/>
              <w:wordWrap w:val="0"/>
              <w:overflowPunct/>
              <w:topLinePunct w:val="0"/>
              <w:autoSpaceDE/>
              <w:autoSpaceDN/>
              <w:bidi w:val="0"/>
              <w:adjustRightInd/>
              <w:snapToGrid/>
              <w:spacing w:line="240" w:lineRule="auto"/>
              <w:ind w:firstLine="0" w:firstLineChars="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t>含配电箱/电源线/插座等强电布线内容，每个教室1套，电源插板，3米线长，6孔3相，总控开关</w:t>
            </w:r>
          </w:p>
        </w:tc>
      </w:tr>
      <w:tr w14:paraId="762D030D">
        <w:tblPrEx>
          <w:tblCellMar>
            <w:top w:w="0" w:type="dxa"/>
            <w:left w:w="108" w:type="dxa"/>
            <w:bottom w:w="0" w:type="dxa"/>
            <w:right w:w="108" w:type="dxa"/>
          </w:tblCellMar>
        </w:tblPrEx>
        <w:trPr>
          <w:trHeight w:val="565" w:hRule="atLeast"/>
        </w:trPr>
        <w:tc>
          <w:tcPr>
            <w:tcW w:w="225" w:type="pct"/>
            <w:tcBorders>
              <w:top w:val="single" w:color="auto" w:sz="4" w:space="0"/>
              <w:left w:val="single" w:color="auto" w:sz="4" w:space="0"/>
              <w:bottom w:val="single" w:color="auto" w:sz="4" w:space="0"/>
              <w:right w:val="single" w:color="auto" w:sz="4" w:space="0"/>
            </w:tcBorders>
            <w:vAlign w:val="center"/>
          </w:tcPr>
          <w:p w14:paraId="3776E3C1">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4"/>
                <w:szCs w:val="24"/>
                <w:highlight w:val="none"/>
                <w:lang w:eastAsia="zh-CN"/>
              </w:rPr>
            </w:pPr>
            <w:r>
              <w:rPr>
                <w:rFonts w:hint="eastAsia" w:ascii="仿宋" w:hAnsi="仿宋" w:eastAsia="仿宋" w:cs="仿宋"/>
                <w:color w:val="auto"/>
                <w:kern w:val="0"/>
                <w:sz w:val="24"/>
                <w:szCs w:val="24"/>
                <w:highlight w:val="none"/>
                <w:lang w:val="en-US" w:eastAsia="zh-CN"/>
              </w:rPr>
              <w:t>9</w:t>
            </w:r>
          </w:p>
        </w:tc>
        <w:tc>
          <w:tcPr>
            <w:tcW w:w="225" w:type="pct"/>
            <w:tcBorders>
              <w:top w:val="single" w:color="auto" w:sz="4" w:space="0"/>
              <w:left w:val="nil"/>
              <w:bottom w:val="single" w:color="auto" w:sz="4" w:space="0"/>
              <w:right w:val="single" w:color="auto" w:sz="4" w:space="0"/>
            </w:tcBorders>
            <w:vAlign w:val="center"/>
          </w:tcPr>
          <w:p w14:paraId="17395DD9">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w:t>
            </w:r>
          </w:p>
        </w:tc>
        <w:tc>
          <w:tcPr>
            <w:tcW w:w="337" w:type="pct"/>
            <w:tcBorders>
              <w:top w:val="single" w:color="auto" w:sz="4" w:space="0"/>
              <w:left w:val="nil"/>
              <w:bottom w:val="single" w:color="auto" w:sz="4" w:space="0"/>
              <w:right w:val="single" w:color="auto" w:sz="4" w:space="0"/>
            </w:tcBorders>
            <w:vAlign w:val="center"/>
          </w:tcPr>
          <w:p w14:paraId="5F745EB9">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t>稳压器</w:t>
            </w:r>
          </w:p>
        </w:tc>
        <w:tc>
          <w:tcPr>
            <w:tcW w:w="325" w:type="pct"/>
            <w:gridSpan w:val="2"/>
            <w:tcBorders>
              <w:top w:val="single" w:color="auto" w:sz="4" w:space="0"/>
              <w:left w:val="nil"/>
              <w:bottom w:val="single" w:color="auto" w:sz="4" w:space="0"/>
              <w:right w:val="single" w:color="auto" w:sz="4" w:space="0"/>
            </w:tcBorders>
            <w:vAlign w:val="center"/>
          </w:tcPr>
          <w:p w14:paraId="10D60D52">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t>4</w:t>
            </w:r>
          </w:p>
        </w:tc>
        <w:tc>
          <w:tcPr>
            <w:tcW w:w="225" w:type="pct"/>
            <w:tcBorders>
              <w:top w:val="single" w:color="auto" w:sz="4" w:space="0"/>
              <w:left w:val="nil"/>
              <w:bottom w:val="single" w:color="auto" w:sz="4" w:space="0"/>
              <w:right w:val="single" w:color="auto" w:sz="4" w:space="0"/>
            </w:tcBorders>
            <w:vAlign w:val="center"/>
          </w:tcPr>
          <w:p w14:paraId="570FEAB1">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t>台</w:t>
            </w:r>
          </w:p>
        </w:tc>
        <w:tc>
          <w:tcPr>
            <w:tcW w:w="3659" w:type="pct"/>
            <w:tcBorders>
              <w:top w:val="single" w:color="auto" w:sz="4" w:space="0"/>
              <w:left w:val="nil"/>
              <w:bottom w:val="single" w:color="auto" w:sz="4" w:space="0"/>
              <w:right w:val="single" w:color="auto" w:sz="4" w:space="0"/>
            </w:tcBorders>
            <w:vAlign w:val="center"/>
          </w:tcPr>
          <w:p w14:paraId="71D7307F">
            <w:pPr>
              <w:keepNext w:val="0"/>
              <w:keepLines w:val="0"/>
              <w:pageBreakBefore w:val="0"/>
              <w:widowControl/>
              <w:kinsoku/>
              <w:wordWrap w:val="0"/>
              <w:overflowPunct/>
              <w:topLinePunct w:val="0"/>
              <w:autoSpaceDE/>
              <w:autoSpaceDN/>
              <w:bidi w:val="0"/>
              <w:adjustRightInd/>
              <w:snapToGrid/>
              <w:spacing w:line="240" w:lineRule="auto"/>
              <w:ind w:firstLine="0" w:firstLineChars="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t>20KVA高精度全自动精密净化交流稳压电源（20K/单相精密交流净化稳压，数字显示），采用正弦能量分配原理，高效率，内置全铜变压器；可控硅电容器稳压，无机械调整装置，无碳刷；无电子管热耗元件和机械磨损；开机自动检测功能；过压、欠压声光报警，过压自动切断电源输出功能；过载断路保护功能，并可加装防雷击功能；大功率LC滤波器，净化电网，抗干扰功能；范围宽精度高，低噪音。</w:t>
            </w:r>
          </w:p>
        </w:tc>
      </w:tr>
      <w:tr w14:paraId="75F0973E">
        <w:tblPrEx>
          <w:tblCellMar>
            <w:top w:w="0" w:type="dxa"/>
            <w:left w:w="108" w:type="dxa"/>
            <w:bottom w:w="0" w:type="dxa"/>
            <w:right w:w="108" w:type="dxa"/>
          </w:tblCellMar>
        </w:tblPrEx>
        <w:trPr>
          <w:trHeight w:val="20" w:hRule="atLeast"/>
        </w:trPr>
        <w:tc>
          <w:tcPr>
            <w:tcW w:w="5000" w:type="pct"/>
            <w:gridSpan w:val="7"/>
            <w:tcBorders>
              <w:top w:val="single" w:color="auto" w:sz="4" w:space="0"/>
              <w:left w:val="single" w:color="auto" w:sz="4" w:space="0"/>
              <w:bottom w:val="single" w:color="auto" w:sz="4" w:space="0"/>
              <w:right w:val="single" w:color="auto" w:sz="4" w:space="0"/>
            </w:tcBorders>
            <w:vAlign w:val="center"/>
          </w:tcPr>
          <w:p w14:paraId="2833A42D">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rPr>
              <w:t>智慧教室建设</w:t>
            </w:r>
          </w:p>
        </w:tc>
      </w:tr>
      <w:tr w14:paraId="57548DA3">
        <w:tblPrEx>
          <w:tblCellMar>
            <w:top w:w="0" w:type="dxa"/>
            <w:left w:w="108" w:type="dxa"/>
            <w:bottom w:w="0" w:type="dxa"/>
            <w:right w:w="108" w:type="dxa"/>
          </w:tblCellMar>
        </w:tblPrEx>
        <w:trPr>
          <w:trHeight w:val="451" w:hRule="atLeast"/>
        </w:trPr>
        <w:tc>
          <w:tcPr>
            <w:tcW w:w="5000" w:type="pct"/>
            <w:gridSpan w:val="7"/>
            <w:tcBorders>
              <w:top w:val="single" w:color="auto" w:sz="4" w:space="0"/>
              <w:left w:val="single" w:color="auto" w:sz="4" w:space="0"/>
              <w:bottom w:val="single" w:color="auto" w:sz="4" w:space="0"/>
              <w:right w:val="single" w:color="auto" w:sz="4" w:space="0"/>
            </w:tcBorders>
            <w:vAlign w:val="center"/>
          </w:tcPr>
          <w:p w14:paraId="758B4373">
            <w:pPr>
              <w:keepNext w:val="0"/>
              <w:keepLines w:val="0"/>
              <w:pageBreakBefore w:val="0"/>
              <w:widowControl/>
              <w:kinsoku/>
              <w:wordWrap w:val="0"/>
              <w:overflowPunct/>
              <w:topLinePunct w:val="0"/>
              <w:autoSpaceDE/>
              <w:autoSpaceDN/>
              <w:bidi w:val="0"/>
              <w:adjustRightInd/>
              <w:snapToGrid/>
              <w:spacing w:line="240" w:lineRule="auto"/>
              <w:ind w:firstLine="0" w:firstLineChars="0"/>
              <w:jc w:val="left"/>
              <w:textAlignment w:val="auto"/>
              <w:rPr>
                <w:rFonts w:hint="eastAsia"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rPr>
              <w:t>一、显示系统</w:t>
            </w:r>
          </w:p>
        </w:tc>
      </w:tr>
      <w:tr w14:paraId="1B2ADD0C">
        <w:tblPrEx>
          <w:tblCellMar>
            <w:top w:w="0" w:type="dxa"/>
            <w:left w:w="108" w:type="dxa"/>
            <w:bottom w:w="0" w:type="dxa"/>
            <w:right w:w="108" w:type="dxa"/>
          </w:tblCellMar>
        </w:tblPrEx>
        <w:trPr>
          <w:trHeight w:val="20" w:hRule="atLeast"/>
        </w:trPr>
        <w:tc>
          <w:tcPr>
            <w:tcW w:w="225" w:type="pct"/>
            <w:tcBorders>
              <w:top w:val="single" w:color="auto" w:sz="4" w:space="0"/>
              <w:left w:val="single" w:color="auto" w:sz="4" w:space="0"/>
              <w:bottom w:val="single" w:color="auto" w:sz="4" w:space="0"/>
              <w:right w:val="single" w:color="auto" w:sz="4" w:space="0"/>
            </w:tcBorders>
            <w:vAlign w:val="center"/>
          </w:tcPr>
          <w:p w14:paraId="3F7EB9B0">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10</w:t>
            </w:r>
          </w:p>
        </w:tc>
        <w:tc>
          <w:tcPr>
            <w:tcW w:w="225" w:type="pct"/>
            <w:tcBorders>
              <w:top w:val="single" w:color="auto" w:sz="4" w:space="0"/>
              <w:left w:val="nil"/>
              <w:bottom w:val="single" w:color="auto" w:sz="4" w:space="0"/>
              <w:right w:val="single" w:color="auto" w:sz="4" w:space="0"/>
            </w:tcBorders>
            <w:vAlign w:val="center"/>
          </w:tcPr>
          <w:p w14:paraId="2919128D">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w:t>
            </w:r>
          </w:p>
        </w:tc>
        <w:tc>
          <w:tcPr>
            <w:tcW w:w="337" w:type="pct"/>
            <w:tcBorders>
              <w:top w:val="single" w:color="auto" w:sz="4" w:space="0"/>
              <w:left w:val="nil"/>
              <w:bottom w:val="single" w:color="auto" w:sz="4" w:space="0"/>
              <w:right w:val="single" w:color="auto" w:sz="4" w:space="0"/>
            </w:tcBorders>
            <w:vAlign w:val="center"/>
          </w:tcPr>
          <w:p w14:paraId="7D37C89E">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lang w:val="en-US" w:eastAsia="zh-CN"/>
              </w:rPr>
              <w:t>门禁系统</w:t>
            </w:r>
          </w:p>
        </w:tc>
        <w:tc>
          <w:tcPr>
            <w:tcW w:w="310" w:type="pct"/>
            <w:tcBorders>
              <w:top w:val="single" w:color="auto" w:sz="4" w:space="0"/>
              <w:left w:val="nil"/>
              <w:bottom w:val="single" w:color="auto" w:sz="4" w:space="0"/>
              <w:right w:val="single" w:color="auto" w:sz="4" w:space="0"/>
            </w:tcBorders>
            <w:vAlign w:val="center"/>
          </w:tcPr>
          <w:p w14:paraId="12324CFA">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t>1</w:t>
            </w:r>
          </w:p>
        </w:tc>
        <w:tc>
          <w:tcPr>
            <w:tcW w:w="240" w:type="pct"/>
            <w:gridSpan w:val="2"/>
            <w:tcBorders>
              <w:top w:val="single" w:color="auto" w:sz="4" w:space="0"/>
              <w:left w:val="nil"/>
              <w:bottom w:val="single" w:color="auto" w:sz="4" w:space="0"/>
              <w:right w:val="single" w:color="auto" w:sz="4" w:space="0"/>
            </w:tcBorders>
            <w:vAlign w:val="center"/>
          </w:tcPr>
          <w:p w14:paraId="6DBAE8A3">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lang w:val="en-US" w:eastAsia="zh-CN"/>
              </w:rPr>
              <w:t>批</w:t>
            </w:r>
          </w:p>
        </w:tc>
        <w:tc>
          <w:tcPr>
            <w:tcW w:w="3659" w:type="pct"/>
            <w:tcBorders>
              <w:top w:val="single" w:color="auto" w:sz="4" w:space="0"/>
              <w:left w:val="nil"/>
              <w:bottom w:val="single" w:color="auto" w:sz="4" w:space="0"/>
              <w:right w:val="single" w:color="auto" w:sz="4" w:space="0"/>
            </w:tcBorders>
            <w:vAlign w:val="center"/>
          </w:tcPr>
          <w:p w14:paraId="69C568D1">
            <w:pPr>
              <w:keepNext w:val="0"/>
              <w:keepLines w:val="0"/>
              <w:pageBreakBefore w:val="0"/>
              <w:widowControl/>
              <w:kinsoku/>
              <w:wordWrap w:val="0"/>
              <w:overflowPunct/>
              <w:topLinePunct w:val="0"/>
              <w:autoSpaceDE/>
              <w:autoSpaceDN/>
              <w:bidi w:val="0"/>
              <w:adjustRightInd/>
              <w:snapToGrid/>
              <w:spacing w:line="240" w:lineRule="auto"/>
              <w:ind w:firstLine="0" w:firstLineChars="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lang w:val="en-US" w:eastAsia="zh-CN"/>
              </w:rPr>
              <w:t>本次涉及的三间教室门禁改造，</w:t>
            </w:r>
            <w:r>
              <w:rPr>
                <w:rFonts w:hint="eastAsia" w:ascii="仿宋" w:hAnsi="仿宋" w:eastAsia="仿宋" w:cs="仿宋"/>
                <w:i w:val="0"/>
                <w:iCs w:val="0"/>
                <w:color w:val="auto"/>
                <w:kern w:val="0"/>
                <w:sz w:val="24"/>
                <w:szCs w:val="24"/>
                <w:highlight w:val="none"/>
                <w:u w:val="none"/>
                <w:lang w:val="en-US" w:eastAsia="zh-CN" w:bidi="ar"/>
              </w:rPr>
              <w:t>门禁系统实现指纹、密码、人脸功能，安装电子控制锁，可实现本地及远程管理，含布线、安装</w:t>
            </w:r>
          </w:p>
        </w:tc>
      </w:tr>
      <w:tr w14:paraId="6969EBDD">
        <w:tblPrEx>
          <w:tblCellMar>
            <w:top w:w="0" w:type="dxa"/>
            <w:left w:w="108" w:type="dxa"/>
            <w:bottom w:w="0" w:type="dxa"/>
            <w:right w:w="108" w:type="dxa"/>
          </w:tblCellMar>
        </w:tblPrEx>
        <w:trPr>
          <w:trHeight w:val="20" w:hRule="atLeast"/>
        </w:trPr>
        <w:tc>
          <w:tcPr>
            <w:tcW w:w="225" w:type="pct"/>
            <w:tcBorders>
              <w:top w:val="single" w:color="auto" w:sz="4" w:space="0"/>
              <w:left w:val="single" w:color="auto" w:sz="4" w:space="0"/>
              <w:bottom w:val="single" w:color="auto" w:sz="4" w:space="0"/>
              <w:right w:val="single" w:color="auto" w:sz="4" w:space="0"/>
            </w:tcBorders>
            <w:vAlign w:val="center"/>
          </w:tcPr>
          <w:p w14:paraId="4768B424">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4"/>
                <w:szCs w:val="24"/>
                <w:highlight w:val="none"/>
                <w:lang w:eastAsia="zh-CN"/>
              </w:rPr>
            </w:pPr>
            <w:r>
              <w:rPr>
                <w:rFonts w:hint="eastAsia" w:ascii="仿宋" w:hAnsi="仿宋" w:eastAsia="仿宋" w:cs="仿宋"/>
                <w:color w:val="auto"/>
                <w:kern w:val="0"/>
                <w:sz w:val="24"/>
                <w:szCs w:val="24"/>
                <w:highlight w:val="none"/>
              </w:rPr>
              <w:t>1</w:t>
            </w:r>
            <w:r>
              <w:rPr>
                <w:rFonts w:hint="eastAsia" w:ascii="仿宋" w:hAnsi="仿宋" w:eastAsia="仿宋" w:cs="仿宋"/>
                <w:color w:val="auto"/>
                <w:kern w:val="0"/>
                <w:sz w:val="24"/>
                <w:szCs w:val="24"/>
                <w:highlight w:val="none"/>
                <w:lang w:val="en-US" w:eastAsia="zh-CN"/>
              </w:rPr>
              <w:t>1</w:t>
            </w:r>
          </w:p>
        </w:tc>
        <w:tc>
          <w:tcPr>
            <w:tcW w:w="225" w:type="pct"/>
            <w:tcBorders>
              <w:top w:val="single" w:color="auto" w:sz="4" w:space="0"/>
              <w:left w:val="nil"/>
              <w:bottom w:val="single" w:color="auto" w:sz="4" w:space="0"/>
              <w:right w:val="single" w:color="auto" w:sz="4" w:space="0"/>
            </w:tcBorders>
            <w:vAlign w:val="center"/>
          </w:tcPr>
          <w:p w14:paraId="3BBBE911">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w:t>
            </w:r>
          </w:p>
        </w:tc>
        <w:tc>
          <w:tcPr>
            <w:tcW w:w="337" w:type="pct"/>
            <w:tcBorders>
              <w:top w:val="single" w:color="auto" w:sz="4" w:space="0"/>
              <w:left w:val="nil"/>
              <w:bottom w:val="single" w:color="auto" w:sz="4" w:space="0"/>
              <w:right w:val="single" w:color="auto" w:sz="4" w:space="0"/>
            </w:tcBorders>
            <w:vAlign w:val="center"/>
          </w:tcPr>
          <w:p w14:paraId="042AA540">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t>小组研讨系统</w:t>
            </w:r>
          </w:p>
        </w:tc>
        <w:tc>
          <w:tcPr>
            <w:tcW w:w="310" w:type="pct"/>
            <w:tcBorders>
              <w:top w:val="single" w:color="auto" w:sz="4" w:space="0"/>
              <w:left w:val="nil"/>
              <w:bottom w:val="single" w:color="auto" w:sz="4" w:space="0"/>
              <w:right w:val="single" w:color="auto" w:sz="4" w:space="0"/>
            </w:tcBorders>
            <w:vAlign w:val="center"/>
          </w:tcPr>
          <w:p w14:paraId="72D2F8BE">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t>6</w:t>
            </w:r>
          </w:p>
        </w:tc>
        <w:tc>
          <w:tcPr>
            <w:tcW w:w="240" w:type="pct"/>
            <w:gridSpan w:val="2"/>
            <w:tcBorders>
              <w:top w:val="single" w:color="auto" w:sz="4" w:space="0"/>
              <w:left w:val="nil"/>
              <w:bottom w:val="single" w:color="auto" w:sz="4" w:space="0"/>
              <w:right w:val="single" w:color="auto" w:sz="4" w:space="0"/>
            </w:tcBorders>
            <w:vAlign w:val="center"/>
          </w:tcPr>
          <w:p w14:paraId="3AD64D3D">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t>套</w:t>
            </w:r>
          </w:p>
        </w:tc>
        <w:tc>
          <w:tcPr>
            <w:tcW w:w="3659" w:type="pct"/>
            <w:tcBorders>
              <w:top w:val="single" w:color="auto" w:sz="4" w:space="0"/>
              <w:left w:val="nil"/>
              <w:bottom w:val="single" w:color="auto" w:sz="4" w:space="0"/>
              <w:right w:val="single" w:color="auto" w:sz="4" w:space="0"/>
            </w:tcBorders>
            <w:vAlign w:val="center"/>
          </w:tcPr>
          <w:p w14:paraId="03A22D66">
            <w:pPr>
              <w:keepNext w:val="0"/>
              <w:keepLines w:val="0"/>
              <w:pageBreakBefore w:val="0"/>
              <w:widowControl/>
              <w:kinsoku/>
              <w:wordWrap w:val="0"/>
              <w:overflowPunct/>
              <w:topLinePunct w:val="0"/>
              <w:autoSpaceDE/>
              <w:autoSpaceDN/>
              <w:bidi w:val="0"/>
              <w:adjustRightInd/>
              <w:snapToGrid/>
              <w:spacing w:line="240" w:lineRule="auto"/>
              <w:ind w:firstLine="0" w:firstLineChars="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t>1、产品为基于Windows、Android版本等系统的小组端软件，依赖于多屏研讨管理系统和智慧课堂系统运行。实现小组内部的讨论，屏幕的共享；为师生打造一个动态的、灵活的小组协作教学环境。</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2、小组投屏：在局域网模式下，学生手机或PAD可以直投到主屏或小组屏上，投屏内容包括学生端屏幕、文件或实时拍摄的视频；分组研讨模式下，支持各小组同时分组多路投屏。</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3、分组讨论：分组讨论时，小组成员可以在小组大屏幕上展示个人讨论资料，具有手机投屏、自由书写、APP输入等不同输入方法，让课堂分组教学更高效。</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4、分组答题：各小组可以针对老师下发的小组任务进行讨论，讨论方式包括语音、文字、图片、视频等内容，各小组屏同步展示小组讨论过程及结果，讨论过程可保存，图片可放大。</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5、分组协作：系统支持为各小组下发不同教学任务，加强小组间的协作能力。</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6、本系统与智慧课堂系统、多屏研讨管理系统</w:t>
            </w:r>
            <w:r>
              <w:rPr>
                <w:rFonts w:hint="eastAsia" w:ascii="仿宋" w:hAnsi="仿宋" w:eastAsia="仿宋" w:cs="仿宋"/>
                <w:color w:val="auto"/>
                <w:sz w:val="24"/>
                <w:szCs w:val="24"/>
                <w:highlight w:val="none"/>
                <w:lang w:val="en-US" w:eastAsia="zh-CN"/>
              </w:rPr>
              <w:t>须保障</w:t>
            </w:r>
            <w:r>
              <w:rPr>
                <w:rFonts w:hint="eastAsia" w:ascii="仿宋" w:hAnsi="仿宋" w:eastAsia="仿宋" w:cs="仿宋"/>
                <w:color w:val="auto"/>
                <w:sz w:val="24"/>
                <w:szCs w:val="24"/>
                <w:highlight w:val="none"/>
              </w:rPr>
              <w:t>兼容性和课堂教学的连贯性。</w:t>
            </w:r>
          </w:p>
        </w:tc>
      </w:tr>
      <w:tr w14:paraId="74AFE2ED">
        <w:tblPrEx>
          <w:tblCellMar>
            <w:top w:w="0" w:type="dxa"/>
            <w:left w:w="108" w:type="dxa"/>
            <w:bottom w:w="0" w:type="dxa"/>
            <w:right w:w="108" w:type="dxa"/>
          </w:tblCellMar>
        </w:tblPrEx>
        <w:trPr>
          <w:trHeight w:val="20" w:hRule="atLeast"/>
        </w:trPr>
        <w:tc>
          <w:tcPr>
            <w:tcW w:w="5000" w:type="pct"/>
            <w:gridSpan w:val="7"/>
            <w:tcBorders>
              <w:top w:val="single" w:color="auto" w:sz="4" w:space="0"/>
              <w:left w:val="single" w:color="auto" w:sz="4" w:space="0"/>
              <w:bottom w:val="single" w:color="auto" w:sz="4" w:space="0"/>
              <w:right w:val="single" w:color="auto" w:sz="4" w:space="0"/>
            </w:tcBorders>
            <w:vAlign w:val="center"/>
          </w:tcPr>
          <w:p w14:paraId="0ABFAE23">
            <w:pPr>
              <w:keepNext w:val="0"/>
              <w:keepLines w:val="0"/>
              <w:pageBreakBefore w:val="0"/>
              <w:widowControl/>
              <w:kinsoku/>
              <w:wordWrap w:val="0"/>
              <w:overflowPunct/>
              <w:topLinePunct w:val="0"/>
              <w:autoSpaceDE/>
              <w:autoSpaceDN/>
              <w:bidi w:val="0"/>
              <w:adjustRightInd/>
              <w:snapToGrid/>
              <w:spacing w:line="240" w:lineRule="auto"/>
              <w:ind w:firstLine="0" w:firstLineChars="0"/>
              <w:jc w:val="left"/>
              <w:textAlignment w:val="auto"/>
              <w:rPr>
                <w:rFonts w:hint="eastAsia"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rPr>
              <w:t>二、</w:t>
            </w:r>
            <w:r>
              <w:rPr>
                <w:rFonts w:hint="eastAsia" w:ascii="仿宋" w:hAnsi="仿宋" w:eastAsia="仿宋" w:cs="仿宋"/>
                <w:b/>
                <w:bCs/>
                <w:color w:val="auto"/>
                <w:sz w:val="24"/>
                <w:szCs w:val="24"/>
                <w:highlight w:val="none"/>
                <w:lang w:val="en-US" w:eastAsia="zh-CN" w:bidi="ar"/>
              </w:rPr>
              <w:t>一体化授课设备</w:t>
            </w:r>
          </w:p>
        </w:tc>
      </w:tr>
      <w:tr w14:paraId="4FBCDB98">
        <w:tblPrEx>
          <w:tblCellMar>
            <w:top w:w="0" w:type="dxa"/>
            <w:left w:w="108" w:type="dxa"/>
            <w:bottom w:w="0" w:type="dxa"/>
            <w:right w:w="108" w:type="dxa"/>
          </w:tblCellMar>
        </w:tblPrEx>
        <w:trPr>
          <w:trHeight w:val="20" w:hRule="atLeast"/>
        </w:trPr>
        <w:tc>
          <w:tcPr>
            <w:tcW w:w="225" w:type="pct"/>
            <w:tcBorders>
              <w:top w:val="single" w:color="auto" w:sz="4" w:space="0"/>
              <w:left w:val="single" w:color="auto" w:sz="4" w:space="0"/>
              <w:bottom w:val="single" w:color="auto" w:sz="4" w:space="0"/>
              <w:right w:val="single" w:color="auto" w:sz="4" w:space="0"/>
            </w:tcBorders>
            <w:vAlign w:val="center"/>
          </w:tcPr>
          <w:p w14:paraId="5184ED5F">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12</w:t>
            </w:r>
          </w:p>
        </w:tc>
        <w:tc>
          <w:tcPr>
            <w:tcW w:w="225" w:type="pct"/>
            <w:tcBorders>
              <w:top w:val="single" w:color="auto" w:sz="4" w:space="0"/>
              <w:left w:val="nil"/>
              <w:bottom w:val="single" w:color="auto" w:sz="4" w:space="0"/>
              <w:right w:val="single" w:color="auto" w:sz="4" w:space="0"/>
            </w:tcBorders>
            <w:vAlign w:val="center"/>
          </w:tcPr>
          <w:p w14:paraId="2300AC29">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w:t>
            </w:r>
          </w:p>
        </w:tc>
        <w:tc>
          <w:tcPr>
            <w:tcW w:w="337" w:type="pct"/>
            <w:tcBorders>
              <w:top w:val="single" w:color="auto" w:sz="4" w:space="0"/>
              <w:left w:val="nil"/>
              <w:bottom w:val="single" w:color="auto" w:sz="4" w:space="0"/>
              <w:right w:val="single" w:color="auto" w:sz="4" w:space="0"/>
            </w:tcBorders>
            <w:vAlign w:val="center"/>
          </w:tcPr>
          <w:p w14:paraId="3A521C23">
            <w:pPr>
              <w:keepNext w:val="0"/>
              <w:keepLines w:val="0"/>
              <w:pageBreakBefore w:val="0"/>
              <w:widowControl/>
              <w:kinsoku/>
              <w:wordWrap w:val="0"/>
              <w:overflowPunct/>
              <w:topLinePunct w:val="0"/>
              <w:autoSpaceDE/>
              <w:autoSpaceDN/>
              <w:bidi w:val="0"/>
              <w:adjustRightInd/>
              <w:snapToGrid/>
              <w:spacing w:line="240" w:lineRule="auto"/>
              <w:ind w:firstLine="0" w:firstLineChars="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lang w:val="en-US" w:eastAsia="zh-CN" w:bidi="ar"/>
              </w:rPr>
              <w:t>一体化授课设备</w:t>
            </w:r>
          </w:p>
        </w:tc>
        <w:tc>
          <w:tcPr>
            <w:tcW w:w="310" w:type="pct"/>
            <w:tcBorders>
              <w:top w:val="single" w:color="auto" w:sz="4" w:space="0"/>
              <w:left w:val="nil"/>
              <w:bottom w:val="single" w:color="auto" w:sz="4" w:space="0"/>
              <w:right w:val="single" w:color="auto" w:sz="4" w:space="0"/>
            </w:tcBorders>
            <w:vAlign w:val="center"/>
          </w:tcPr>
          <w:p w14:paraId="2B15E745">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sz w:val="24"/>
                <w:szCs w:val="24"/>
                <w:highlight w:val="none"/>
                <w:lang w:val="en-US" w:eastAsia="zh-CN"/>
              </w:rPr>
              <w:t>1</w:t>
            </w:r>
          </w:p>
        </w:tc>
        <w:tc>
          <w:tcPr>
            <w:tcW w:w="240" w:type="pct"/>
            <w:gridSpan w:val="2"/>
            <w:tcBorders>
              <w:top w:val="single" w:color="auto" w:sz="4" w:space="0"/>
              <w:left w:val="nil"/>
              <w:bottom w:val="single" w:color="auto" w:sz="4" w:space="0"/>
              <w:right w:val="single" w:color="auto" w:sz="4" w:space="0"/>
            </w:tcBorders>
            <w:vAlign w:val="center"/>
          </w:tcPr>
          <w:p w14:paraId="2614C196">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t>台</w:t>
            </w:r>
          </w:p>
        </w:tc>
        <w:tc>
          <w:tcPr>
            <w:tcW w:w="3659" w:type="pct"/>
            <w:tcBorders>
              <w:top w:val="single" w:color="auto" w:sz="4" w:space="0"/>
              <w:left w:val="nil"/>
              <w:bottom w:val="single" w:color="auto" w:sz="4" w:space="0"/>
              <w:right w:val="single" w:color="auto" w:sz="4" w:space="0"/>
            </w:tcBorders>
            <w:vAlign w:val="center"/>
          </w:tcPr>
          <w:p w14:paraId="65C2689D">
            <w:pPr>
              <w:keepNext w:val="0"/>
              <w:keepLines w:val="0"/>
              <w:pageBreakBefore w:val="0"/>
              <w:widowControl/>
              <w:kinsoku/>
              <w:wordWrap w:val="0"/>
              <w:overflowPunct/>
              <w:topLinePunct w:val="0"/>
              <w:autoSpaceDE/>
              <w:autoSpaceDN/>
              <w:bidi w:val="0"/>
              <w:adjustRightInd/>
              <w:snapToGrid/>
              <w:spacing w:line="240" w:lineRule="auto"/>
              <w:ind w:firstLine="0" w:firstLineChars="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lang w:val="en-US" w:eastAsia="zh-CN"/>
              </w:rPr>
              <w:t>1</w:t>
            </w:r>
            <w:r>
              <w:rPr>
                <w:rFonts w:hint="eastAsia" w:ascii="仿宋" w:hAnsi="仿宋" w:eastAsia="仿宋" w:cs="仿宋"/>
                <w:color w:val="auto"/>
                <w:kern w:val="0"/>
                <w:sz w:val="24"/>
                <w:szCs w:val="24"/>
                <w:highlight w:val="none"/>
              </w:rPr>
              <w:t>、可电动升降调节，静音升降技术，左右两侧均配备双轴心直线轴承导轨，保证升降过程中桌面稳定无晃动，最大支持420mm区间讲台高度调节，可通过中控面板、物联网软件、微信小程序进行远程控制并可设定讲台高度；与中控面板结合，通过一卡通系统、指纹识别系统进行联动，具备记忆功能，可自动记忆各用户的使用高度、显示器角度，用户下次插卡、指纹使用时，自动调节到记忆讲台高度及显示器角度；</w:t>
            </w:r>
          </w:p>
          <w:p w14:paraId="4E9F5359">
            <w:pPr>
              <w:keepNext w:val="0"/>
              <w:keepLines w:val="0"/>
              <w:pageBreakBefore w:val="0"/>
              <w:widowControl/>
              <w:kinsoku/>
              <w:wordWrap w:val="0"/>
              <w:overflowPunct/>
              <w:topLinePunct w:val="0"/>
              <w:autoSpaceDE/>
              <w:autoSpaceDN/>
              <w:bidi w:val="0"/>
              <w:adjustRightInd/>
              <w:snapToGrid/>
              <w:spacing w:line="240" w:lineRule="auto"/>
              <w:ind w:firstLine="0" w:firstLineChars="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lang w:val="en-US" w:eastAsia="zh-CN"/>
              </w:rPr>
              <w:t>2</w:t>
            </w:r>
            <w:r>
              <w:rPr>
                <w:rFonts w:hint="eastAsia" w:ascii="仿宋" w:hAnsi="仿宋" w:eastAsia="仿宋" w:cs="仿宋"/>
                <w:color w:val="auto"/>
                <w:kern w:val="0"/>
                <w:sz w:val="24"/>
                <w:szCs w:val="24"/>
                <w:highlight w:val="none"/>
              </w:rPr>
              <w:t>、左侧安装规格为23.8寸的触摸显示器，电容十点触摸屏，屏幕比例:16:9，接口类型:VGA,HDMI，面板类型:IPS，刷新率:60Hz，屏幕类型:WLED，屏幕分辨率:1920x1080像素；显示器嵌入讲桌后四周无缝隙，显示器通过电动推杆来调整显示器角度（28°-46°），采用静音升降技术，电动推杆与中控对接，通过中控操控面板进行控制，可设定指定角度；</w:t>
            </w:r>
          </w:p>
          <w:p w14:paraId="5613903D">
            <w:pPr>
              <w:keepNext w:val="0"/>
              <w:keepLines w:val="0"/>
              <w:pageBreakBefore w:val="0"/>
              <w:widowControl/>
              <w:kinsoku/>
              <w:wordWrap w:val="0"/>
              <w:overflowPunct/>
              <w:topLinePunct w:val="0"/>
              <w:autoSpaceDE/>
              <w:autoSpaceDN/>
              <w:bidi w:val="0"/>
              <w:adjustRightInd/>
              <w:snapToGrid/>
              <w:spacing w:line="240" w:lineRule="auto"/>
              <w:ind w:firstLine="0" w:firstLineChars="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lang w:val="en-US" w:eastAsia="zh-CN"/>
              </w:rPr>
              <w:t>3</w:t>
            </w:r>
            <w:r>
              <w:rPr>
                <w:rFonts w:hint="eastAsia" w:ascii="仿宋" w:hAnsi="仿宋" w:eastAsia="仿宋" w:cs="仿宋"/>
                <w:color w:val="auto"/>
                <w:kern w:val="0"/>
                <w:sz w:val="24"/>
                <w:szCs w:val="24"/>
                <w:highlight w:val="none"/>
              </w:rPr>
              <w:t>、台面嵌入无线充电模块，符合WPC的QI标准无线充电感应线圈，内置隔离磁片，内置隐藏式USB-A/USB-C充电接口，外径尺寸：69mm，功率：≤15w，传输距离：6mm（MAX），兼容多种品牌手机充电；</w:t>
            </w:r>
          </w:p>
          <w:p w14:paraId="0D4AC37D">
            <w:pPr>
              <w:keepNext w:val="0"/>
              <w:keepLines w:val="0"/>
              <w:pageBreakBefore w:val="0"/>
              <w:widowControl/>
              <w:kinsoku/>
              <w:wordWrap w:val="0"/>
              <w:overflowPunct/>
              <w:topLinePunct w:val="0"/>
              <w:autoSpaceDE/>
              <w:autoSpaceDN/>
              <w:bidi w:val="0"/>
              <w:adjustRightInd/>
              <w:snapToGrid/>
              <w:spacing w:line="240" w:lineRule="auto"/>
              <w:ind w:firstLine="0" w:firstLineChars="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lang w:val="en-US" w:eastAsia="zh-CN"/>
              </w:rPr>
              <w:t>4</w:t>
            </w:r>
            <w:r>
              <w:rPr>
                <w:rFonts w:hint="eastAsia" w:ascii="仿宋" w:hAnsi="仿宋" w:eastAsia="仿宋" w:cs="仿宋"/>
                <w:color w:val="auto"/>
                <w:kern w:val="0"/>
                <w:sz w:val="24"/>
                <w:szCs w:val="24"/>
                <w:highlight w:val="none"/>
              </w:rPr>
              <w:t>、桌面集成物联网液晶中控面板，表面为铝合金材质，一体化设计，面板集成一卡通系统，插卡式设计，可实现“插卡即用、拔卡即走”，使用方便；面板集成指纹模块，采集方式为电容面阵半导体传感器平面按压，；触摸屏： 7寸1024*600IPS，操作系统：Android6.0；触摸面板集成一键“上、下课”按键，讲台升降操控区域、显示器角度调节、氛围灯控制、物联网控制区域、主机电控门按键、信号切换按键等，支持PS/2电脑开机；</w:t>
            </w:r>
          </w:p>
          <w:p w14:paraId="3FDA4525">
            <w:pPr>
              <w:keepNext w:val="0"/>
              <w:keepLines w:val="0"/>
              <w:pageBreakBefore w:val="0"/>
              <w:widowControl/>
              <w:kinsoku/>
              <w:wordWrap w:val="0"/>
              <w:overflowPunct/>
              <w:topLinePunct w:val="0"/>
              <w:autoSpaceDE/>
              <w:autoSpaceDN/>
              <w:bidi w:val="0"/>
              <w:adjustRightInd/>
              <w:snapToGrid/>
              <w:spacing w:line="240" w:lineRule="auto"/>
              <w:ind w:firstLine="0" w:firstLineChars="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lang w:val="en-US" w:eastAsia="zh-CN"/>
              </w:rPr>
              <w:t>5</w:t>
            </w:r>
            <w:r>
              <w:rPr>
                <w:rFonts w:hint="eastAsia" w:ascii="仿宋" w:hAnsi="仿宋" w:eastAsia="仿宋" w:cs="仿宋"/>
                <w:color w:val="auto"/>
                <w:kern w:val="0"/>
                <w:sz w:val="24"/>
                <w:szCs w:val="24"/>
                <w:highlight w:val="none"/>
              </w:rPr>
              <w:t>、配置1个外置式话筒充电底座；</w:t>
            </w:r>
          </w:p>
          <w:p w14:paraId="20CA6F45">
            <w:pPr>
              <w:keepNext w:val="0"/>
              <w:keepLines w:val="0"/>
              <w:pageBreakBefore w:val="0"/>
              <w:widowControl/>
              <w:kinsoku/>
              <w:wordWrap w:val="0"/>
              <w:overflowPunct/>
              <w:topLinePunct w:val="0"/>
              <w:autoSpaceDE/>
              <w:autoSpaceDN/>
              <w:bidi w:val="0"/>
              <w:adjustRightInd/>
              <w:snapToGrid/>
              <w:spacing w:line="240" w:lineRule="auto"/>
              <w:ind w:firstLine="0" w:firstLineChars="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val="en-US" w:eastAsia="zh-CN"/>
              </w:rPr>
              <w:t>6</w:t>
            </w:r>
            <w:r>
              <w:rPr>
                <w:rFonts w:hint="eastAsia" w:ascii="仿宋" w:hAnsi="仿宋" w:eastAsia="仿宋" w:cs="仿宋"/>
                <w:color w:val="auto"/>
                <w:kern w:val="0"/>
                <w:sz w:val="24"/>
                <w:szCs w:val="24"/>
                <w:highlight w:val="none"/>
              </w:rPr>
              <w:t>、可扩展选配Wifi协议物联网模块和控制软件，实现环境设备的控制（如：触控一体机、投影开关无线控制、灯光控制、窗帘控制和空调控制、温湿度、PM2.5、TVOC、智能门锁、功率模块等）。整机通过GB4943.1-2011信息技术设备安全通用要求检测。</w:t>
            </w:r>
          </w:p>
        </w:tc>
      </w:tr>
      <w:tr w14:paraId="3EA950C2">
        <w:tblPrEx>
          <w:tblCellMar>
            <w:top w:w="0" w:type="dxa"/>
            <w:left w:w="108" w:type="dxa"/>
            <w:bottom w:w="0" w:type="dxa"/>
            <w:right w:w="108" w:type="dxa"/>
          </w:tblCellMar>
        </w:tblPrEx>
        <w:trPr>
          <w:trHeight w:val="20" w:hRule="atLeast"/>
        </w:trPr>
        <w:tc>
          <w:tcPr>
            <w:tcW w:w="5000" w:type="pct"/>
            <w:gridSpan w:val="7"/>
            <w:tcBorders>
              <w:top w:val="single" w:color="auto" w:sz="4" w:space="0"/>
              <w:left w:val="single" w:color="auto" w:sz="4" w:space="0"/>
              <w:bottom w:val="single" w:color="auto" w:sz="4" w:space="0"/>
              <w:right w:val="single" w:color="auto" w:sz="4" w:space="0"/>
            </w:tcBorders>
            <w:vAlign w:val="center"/>
          </w:tcPr>
          <w:p w14:paraId="24903AF0">
            <w:pPr>
              <w:keepNext w:val="0"/>
              <w:keepLines w:val="0"/>
              <w:pageBreakBefore w:val="0"/>
              <w:widowControl/>
              <w:kinsoku/>
              <w:wordWrap w:val="0"/>
              <w:overflowPunct/>
              <w:topLinePunct w:val="0"/>
              <w:autoSpaceDE/>
              <w:autoSpaceDN/>
              <w:bidi w:val="0"/>
              <w:adjustRightInd/>
              <w:snapToGrid/>
              <w:spacing w:line="240" w:lineRule="auto"/>
              <w:ind w:firstLine="0" w:firstLineChars="0"/>
              <w:jc w:val="left"/>
              <w:textAlignment w:val="auto"/>
              <w:rPr>
                <w:rFonts w:hint="eastAsia"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rPr>
              <w:t>三、智核主机及教学软件</w:t>
            </w:r>
          </w:p>
        </w:tc>
      </w:tr>
      <w:tr w14:paraId="67A532F0">
        <w:tblPrEx>
          <w:tblCellMar>
            <w:top w:w="0" w:type="dxa"/>
            <w:left w:w="108" w:type="dxa"/>
            <w:bottom w:w="0" w:type="dxa"/>
            <w:right w:w="108" w:type="dxa"/>
          </w:tblCellMar>
        </w:tblPrEx>
        <w:trPr>
          <w:trHeight w:val="20" w:hRule="atLeast"/>
        </w:trPr>
        <w:tc>
          <w:tcPr>
            <w:tcW w:w="225" w:type="pct"/>
            <w:tcBorders>
              <w:top w:val="single" w:color="auto" w:sz="4" w:space="0"/>
              <w:left w:val="single" w:color="auto" w:sz="4" w:space="0"/>
              <w:bottom w:val="single" w:color="auto" w:sz="4" w:space="0"/>
              <w:right w:val="single" w:color="auto" w:sz="4" w:space="0"/>
            </w:tcBorders>
            <w:vAlign w:val="center"/>
          </w:tcPr>
          <w:p w14:paraId="1C6DB01F">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13</w:t>
            </w:r>
          </w:p>
        </w:tc>
        <w:tc>
          <w:tcPr>
            <w:tcW w:w="225" w:type="pct"/>
            <w:tcBorders>
              <w:top w:val="single" w:color="auto" w:sz="4" w:space="0"/>
              <w:left w:val="nil"/>
              <w:bottom w:val="single" w:color="auto" w:sz="4" w:space="0"/>
              <w:right w:val="single" w:color="auto" w:sz="4" w:space="0"/>
            </w:tcBorders>
            <w:vAlign w:val="center"/>
          </w:tcPr>
          <w:p w14:paraId="52204FF5">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w:t>
            </w:r>
          </w:p>
        </w:tc>
        <w:tc>
          <w:tcPr>
            <w:tcW w:w="337" w:type="pct"/>
            <w:tcBorders>
              <w:top w:val="single" w:color="auto" w:sz="4" w:space="0"/>
              <w:left w:val="nil"/>
              <w:bottom w:val="single" w:color="auto" w:sz="4" w:space="0"/>
              <w:right w:val="single" w:color="auto" w:sz="4" w:space="0"/>
            </w:tcBorders>
            <w:vAlign w:val="center"/>
          </w:tcPr>
          <w:p w14:paraId="4C1B6DF0">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t>智慧教学终端</w:t>
            </w:r>
          </w:p>
        </w:tc>
        <w:tc>
          <w:tcPr>
            <w:tcW w:w="310" w:type="pct"/>
            <w:tcBorders>
              <w:top w:val="single" w:color="auto" w:sz="4" w:space="0"/>
              <w:left w:val="nil"/>
              <w:bottom w:val="single" w:color="auto" w:sz="4" w:space="0"/>
              <w:right w:val="single" w:color="auto" w:sz="4" w:space="0"/>
            </w:tcBorders>
            <w:vAlign w:val="center"/>
          </w:tcPr>
          <w:p w14:paraId="1D69E169">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t>1</w:t>
            </w:r>
          </w:p>
        </w:tc>
        <w:tc>
          <w:tcPr>
            <w:tcW w:w="240" w:type="pct"/>
            <w:gridSpan w:val="2"/>
            <w:tcBorders>
              <w:top w:val="single" w:color="auto" w:sz="4" w:space="0"/>
              <w:left w:val="nil"/>
              <w:bottom w:val="single" w:color="auto" w:sz="4" w:space="0"/>
              <w:right w:val="single" w:color="auto" w:sz="4" w:space="0"/>
            </w:tcBorders>
            <w:vAlign w:val="center"/>
          </w:tcPr>
          <w:p w14:paraId="3EAFC224">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t>套</w:t>
            </w:r>
          </w:p>
        </w:tc>
        <w:tc>
          <w:tcPr>
            <w:tcW w:w="3659" w:type="pct"/>
            <w:tcBorders>
              <w:top w:val="single" w:color="auto" w:sz="4" w:space="0"/>
              <w:left w:val="nil"/>
              <w:bottom w:val="single" w:color="auto" w:sz="4" w:space="0"/>
              <w:right w:val="single" w:color="auto" w:sz="4" w:space="0"/>
            </w:tcBorders>
            <w:vAlign w:val="center"/>
          </w:tcPr>
          <w:p w14:paraId="00FFF7EB">
            <w:pPr>
              <w:keepNext w:val="0"/>
              <w:keepLines w:val="0"/>
              <w:pageBreakBefore w:val="0"/>
              <w:widowControl/>
              <w:kinsoku/>
              <w:wordWrap w:val="0"/>
              <w:overflowPunct/>
              <w:topLinePunct w:val="0"/>
              <w:autoSpaceDE/>
              <w:autoSpaceDN/>
              <w:bidi w:val="0"/>
              <w:adjustRightInd/>
              <w:snapToGrid/>
              <w:spacing w:line="240" w:lineRule="auto"/>
              <w:ind w:firstLine="0" w:firstLineChars="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t>1. 采用一体化嵌入式软硬件设计，内置多种功能强大的嵌入式硬件引擎，支持H.265、 H.264编解码， 支持2K/4K/8K显示输出，标准机架式结构。 支持与智慧黑板，交互智能大屏对接，通过智慧黑板、交互大屏可操作终端功能，内置多路信号源快速切换功能， 通过讲台高清触控屏操控即可对内置电脑、 外接笔记本、 无线投屏、远程教室等视频信号进行快速切换。内置无线投屏、电子白板、批注功能，内置WIFI、蓝牙模块。</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2.内置8核64位CPU，8GB内存，1T SATA硬盘；</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3.内置高频率ARM  GPU, 专用2D图形加速模块；</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4.内置高算力NPU处理器，支持 INT4/INT8/INT16/FP16 混合运算，赋能各类AI场景；</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5.内置图像信号处理器，实现HDR、 3A、LSC、3DNR、2DNR、锐化、去雾、鱼眼校正、伽马校正等众多算法加速；</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6.具备高清视频接口，其中HDMI in≥ 2路, HDMI out ≥2路， 支持2K/4K/8K显示输出；</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7.具备音频接口，其中Line in≥1, Line out≥1;</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8.带poe供电千兆网络接口≥4路，USB2,0≥1路；≥4路USB3,0接口;</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9.具备RS232口 ≥3路、 RS485≥1路、  GP IO≥8路；集成强电管理，采用防脱落电源插口，独立电源输出接口≥3路，具备电动屏幕供电及屏幕升降管理功能。需具备自定义电源输出延时设置，磁控锁开锁延时设置，物联模块联动开关及延时设置。</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10、内置投屏功能，在WIFI 环境下，实现手机、PAD、Windows/Mac移动电脑镜像到大屏上显示。发射端移动设备同时支持原生投屏和客户端投屏，原生投屏即无须安装任何软件，利于苹果Airplay或安卓和Win10原生的Mirocast投屏协议实现投屏；同时支持客户端软件投屏，通过投屏码实现投屏。可实现多路同时投屏。</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11、内置电子白板应用，具备绿板、黑板、白板等背景切换，支持两指放大，多指拖动，书写漫游的功能。模拟教师黑板书写习惯，具备板擦、圈擦、清屏功能。书写笔记支持存储到个人网盘中。</w:t>
            </w:r>
          </w:p>
        </w:tc>
      </w:tr>
      <w:tr w14:paraId="4909245B">
        <w:tblPrEx>
          <w:tblCellMar>
            <w:top w:w="0" w:type="dxa"/>
            <w:left w:w="108" w:type="dxa"/>
            <w:bottom w:w="0" w:type="dxa"/>
            <w:right w:w="108" w:type="dxa"/>
          </w:tblCellMar>
        </w:tblPrEx>
        <w:trPr>
          <w:trHeight w:val="20" w:hRule="atLeast"/>
        </w:trPr>
        <w:tc>
          <w:tcPr>
            <w:tcW w:w="225" w:type="pct"/>
            <w:tcBorders>
              <w:top w:val="single" w:color="auto" w:sz="4" w:space="0"/>
              <w:left w:val="single" w:color="auto" w:sz="4" w:space="0"/>
              <w:bottom w:val="single" w:color="auto" w:sz="4" w:space="0"/>
              <w:right w:val="single" w:color="auto" w:sz="4" w:space="0"/>
            </w:tcBorders>
            <w:vAlign w:val="center"/>
          </w:tcPr>
          <w:p w14:paraId="236085C3">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4"/>
                <w:szCs w:val="24"/>
                <w:highlight w:val="none"/>
                <w:lang w:eastAsia="zh-CN"/>
              </w:rPr>
            </w:pPr>
            <w:r>
              <w:rPr>
                <w:rFonts w:hint="eastAsia" w:ascii="仿宋" w:hAnsi="仿宋" w:eastAsia="仿宋" w:cs="仿宋"/>
                <w:color w:val="auto"/>
                <w:kern w:val="0"/>
                <w:sz w:val="24"/>
                <w:szCs w:val="24"/>
                <w:highlight w:val="none"/>
              </w:rPr>
              <w:t>1</w:t>
            </w:r>
            <w:r>
              <w:rPr>
                <w:rFonts w:hint="eastAsia" w:ascii="仿宋" w:hAnsi="仿宋" w:eastAsia="仿宋" w:cs="仿宋"/>
                <w:color w:val="auto"/>
                <w:kern w:val="0"/>
                <w:sz w:val="24"/>
                <w:szCs w:val="24"/>
                <w:highlight w:val="none"/>
                <w:lang w:val="en-US" w:eastAsia="zh-CN"/>
              </w:rPr>
              <w:t>4</w:t>
            </w:r>
          </w:p>
        </w:tc>
        <w:tc>
          <w:tcPr>
            <w:tcW w:w="225" w:type="pct"/>
            <w:tcBorders>
              <w:top w:val="single" w:color="auto" w:sz="4" w:space="0"/>
              <w:left w:val="nil"/>
              <w:bottom w:val="single" w:color="auto" w:sz="4" w:space="0"/>
              <w:right w:val="single" w:color="auto" w:sz="4" w:space="0"/>
            </w:tcBorders>
            <w:vAlign w:val="center"/>
          </w:tcPr>
          <w:p w14:paraId="2C2FE493">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w:t>
            </w:r>
          </w:p>
        </w:tc>
        <w:tc>
          <w:tcPr>
            <w:tcW w:w="337" w:type="pct"/>
            <w:tcBorders>
              <w:top w:val="single" w:color="auto" w:sz="4" w:space="0"/>
              <w:left w:val="nil"/>
              <w:bottom w:val="single" w:color="auto" w:sz="4" w:space="0"/>
              <w:right w:val="single" w:color="auto" w:sz="4" w:space="0"/>
            </w:tcBorders>
            <w:vAlign w:val="center"/>
          </w:tcPr>
          <w:p w14:paraId="11DEEEDF">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t>智慧课堂互动软件</w:t>
            </w:r>
          </w:p>
        </w:tc>
        <w:tc>
          <w:tcPr>
            <w:tcW w:w="310" w:type="pct"/>
            <w:tcBorders>
              <w:top w:val="single" w:color="auto" w:sz="4" w:space="0"/>
              <w:left w:val="nil"/>
              <w:bottom w:val="single" w:color="auto" w:sz="4" w:space="0"/>
              <w:right w:val="single" w:color="auto" w:sz="4" w:space="0"/>
            </w:tcBorders>
            <w:vAlign w:val="center"/>
          </w:tcPr>
          <w:p w14:paraId="6ECD98E6">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t>1</w:t>
            </w:r>
          </w:p>
        </w:tc>
        <w:tc>
          <w:tcPr>
            <w:tcW w:w="240" w:type="pct"/>
            <w:gridSpan w:val="2"/>
            <w:tcBorders>
              <w:top w:val="single" w:color="auto" w:sz="4" w:space="0"/>
              <w:left w:val="nil"/>
              <w:bottom w:val="single" w:color="auto" w:sz="4" w:space="0"/>
              <w:right w:val="single" w:color="auto" w:sz="4" w:space="0"/>
            </w:tcBorders>
            <w:vAlign w:val="center"/>
          </w:tcPr>
          <w:p w14:paraId="30B7684D">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t>套</w:t>
            </w:r>
          </w:p>
        </w:tc>
        <w:tc>
          <w:tcPr>
            <w:tcW w:w="3659" w:type="pct"/>
            <w:tcBorders>
              <w:top w:val="single" w:color="auto" w:sz="4" w:space="0"/>
              <w:left w:val="nil"/>
              <w:bottom w:val="single" w:color="auto" w:sz="4" w:space="0"/>
              <w:right w:val="single" w:color="auto" w:sz="4" w:space="0"/>
            </w:tcBorders>
            <w:vAlign w:val="center"/>
          </w:tcPr>
          <w:p w14:paraId="1E3F121F">
            <w:pPr>
              <w:keepNext w:val="0"/>
              <w:keepLines w:val="0"/>
              <w:pageBreakBefore w:val="0"/>
              <w:widowControl/>
              <w:kinsoku/>
              <w:wordWrap w:val="0"/>
              <w:overflowPunct/>
              <w:topLinePunct w:val="0"/>
              <w:autoSpaceDE/>
              <w:autoSpaceDN/>
              <w:bidi w:val="0"/>
              <w:adjustRightInd/>
              <w:snapToGrid/>
              <w:spacing w:line="240" w:lineRule="auto"/>
              <w:ind w:firstLine="0" w:firstLineChars="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t>1、内置于智慧教学终端，嵌入式安装，与智慧教学平台、移动APP协同工作。具备课堂签到、随堂测试、挑人、课堂笔记、分组教学功能。</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2、签到,教师具有设定学生采用哪种方式签到的权力,自动签到，学生通过移动端搜索课程进入课堂自动识别签到或学生通过扫描二维码及验证码签到；</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3.学生加入方式：根据学校选择的系统架构不同，学生具有教务数据对接，管理员加入，教师加入和学生申请加入4种方式。</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4.网盘：实现与教学平台老师个人网盘数据同步；课中，教师直接通过终端打开网盘课件上课，支持网盘文件的打开、下载和下发给学生，老师上课无需自带优盘，无需登陆WEB端；教师能够直接将课堂板书、课堂资料文件上传到个人网盘。</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 xml:space="preserve">5. 下发课件 ，课中可将文本、图片、PPT、Word、EXCEL、视频等格式的教学资料下发到学生端；学生可实时接收、查看教师所推送的资料，资料按课程课时排列保存； </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 xml:space="preserve">6.下发选择题；具有单选题、多选题、问卷单选、问卷多选题型。具有分值、正确答案、限时、分组模式的设置功能；多选题支持部分选对得分；题目支持全体回答、抢答模式；题目下发后，系统自动显示班级人数，签到人数和提交人数。结束答题后，对于由于网络拥挤造成的未提交学生，老师可以开启延迟提交，此时学生不能再次答题，但可以将之前做好的答案再次提交。答题结束后，系统即时生成与题面同屏显示柱状图，统计每题每选项的选择数量，用饼图的方式显示正确率； </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7.下发主观题，具有图文混排、语音、视频的回答方式。图片回答具有拍照、相册选择，原图编辑、空白编辑4种选择，并具有剪裁、批注等功能；批注时可放大、拖动，批注笔迹粗细、颜色可选择；学生提交答案后教师能选择单个答案全屏展示，初始状态须展示学生全部答案（一屏显完），支持放大缩小。支持对学生答案进行批注，支持将学生答案设置为参考答案，且能选择多个学生答题进行同屏对比讲解、投票等活动。批阅：支持课后教师批阅和课中学生互评。</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8.下发判断题：针对判断题，教师可设置学生是否需要填写判断理由，学生提交后系统自动批阅学生答案。</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9.下发填空题：支持教师下发填空题给学生，教师可同时将填空题设为客观题，系统自动批阅学生答案。</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10.下发分组协作题：系统自动给不同小组发布不同教学任务，同时支持教师手动分题，开展分组教学活动。</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11.随堂测试采用多元化备课方式，满足不同教师的教学习惯，帮助教师平滑过渡到新型智慧教学模式下：课中直接通过触摸大屏手写题目，截屏下发。 把测试题写入教学课件中，截屏下发。 WEB平台备课后，同步到本系统在课中直接下发。</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12.课堂弹幕提问： 教师可设置是否开启弹幕。  学生移动端可实时向教师提问，支持语音、图片、文字等多种提问方式。教师可对学生的提问进行点赞及回复。</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13</w:t>
            </w:r>
            <w:r>
              <w:rPr>
                <w:rFonts w:hint="eastAsia" w:cs="仿宋"/>
                <w:color w:val="auto"/>
                <w:sz w:val="24"/>
                <w:szCs w:val="24"/>
                <w:highlight w:val="none"/>
                <w:lang w:val="en-US" w:eastAsia="zh-CN"/>
              </w:rPr>
              <w:t>.</w:t>
            </w:r>
            <w:r>
              <w:rPr>
                <w:rFonts w:hint="eastAsia" w:ascii="仿宋" w:hAnsi="仿宋" w:eastAsia="仿宋" w:cs="仿宋"/>
                <w:color w:val="auto"/>
                <w:sz w:val="24"/>
                <w:szCs w:val="24"/>
                <w:highlight w:val="none"/>
              </w:rPr>
              <w:t>话题讨论：教师可发起话题讨论主题，学生端收到讨论后发表自己的看法，讨论中学生观点逐一列举在教室大屏上，方便教师实时了解学生观点，同时可以将学生观点通过词云展示, 词云可放大缩小。</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14</w:t>
            </w:r>
            <w:r>
              <w:rPr>
                <w:rFonts w:hint="eastAsia" w:cs="仿宋"/>
                <w:color w:val="auto"/>
                <w:sz w:val="24"/>
                <w:szCs w:val="24"/>
                <w:highlight w:val="none"/>
                <w:lang w:val="en-US" w:eastAsia="zh-CN"/>
              </w:rPr>
              <w:t>.</w:t>
            </w:r>
            <w:r>
              <w:rPr>
                <w:rFonts w:hint="eastAsia" w:ascii="仿宋" w:hAnsi="仿宋" w:eastAsia="仿宋" w:cs="仿宋"/>
                <w:color w:val="auto"/>
                <w:sz w:val="24"/>
                <w:szCs w:val="24"/>
                <w:highlight w:val="none"/>
              </w:rPr>
              <w:t>具有随机挑人、学生抢答及教师指定回答功能，支持一次性挑选多人或多人抢答；被选中的学生，能开启教师或学生评分；</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15</w:t>
            </w:r>
            <w:r>
              <w:rPr>
                <w:rFonts w:hint="eastAsia" w:cs="仿宋"/>
                <w:color w:val="auto"/>
                <w:sz w:val="24"/>
                <w:szCs w:val="24"/>
                <w:highlight w:val="none"/>
                <w:lang w:val="en-US" w:eastAsia="zh-CN"/>
              </w:rPr>
              <w:t>.</w:t>
            </w:r>
            <w:r>
              <w:rPr>
                <w:rFonts w:hint="eastAsia" w:ascii="仿宋" w:hAnsi="仿宋" w:eastAsia="仿宋" w:cs="仿宋"/>
                <w:color w:val="auto"/>
                <w:sz w:val="24"/>
                <w:szCs w:val="24"/>
                <w:highlight w:val="none"/>
              </w:rPr>
              <w:t>课堂笔记功能： 教师可设置是否开启课堂笔记截屏功能。学生端能自由截取教师屏幕，屏幕内容不限,包括课件\电子黑板等。课堂笔记保存在课时小结中，方便教师查看笔记内容及学生笔记情况，进行教学分析。</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16.屏幕广播：通过教室局域网环境，教师打开屏幕广播功能后，学生即可在APP端观看教师的电脑桌面，解决教室远端的学生看不清教室屏幕的问题。</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17.上课推送的资料自动存入教学平台，方便后期进行教学分析；并能以Excel形式导出学生的答题明细、每堂课得分统计、总体得分统计等信息；方便师生查看个人数据。</w:t>
            </w:r>
          </w:p>
        </w:tc>
      </w:tr>
      <w:tr w14:paraId="0A973BDD">
        <w:tblPrEx>
          <w:tblCellMar>
            <w:top w:w="0" w:type="dxa"/>
            <w:left w:w="108" w:type="dxa"/>
            <w:bottom w:w="0" w:type="dxa"/>
            <w:right w:w="108" w:type="dxa"/>
          </w:tblCellMar>
        </w:tblPrEx>
        <w:trPr>
          <w:trHeight w:val="20" w:hRule="atLeast"/>
        </w:trPr>
        <w:tc>
          <w:tcPr>
            <w:tcW w:w="225" w:type="pct"/>
            <w:tcBorders>
              <w:top w:val="single" w:color="auto" w:sz="4" w:space="0"/>
              <w:left w:val="single" w:color="auto" w:sz="4" w:space="0"/>
              <w:bottom w:val="single" w:color="auto" w:sz="4" w:space="0"/>
              <w:right w:val="single" w:color="auto" w:sz="4" w:space="0"/>
            </w:tcBorders>
            <w:vAlign w:val="center"/>
          </w:tcPr>
          <w:p w14:paraId="675499D3">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4"/>
                <w:szCs w:val="24"/>
                <w:highlight w:val="none"/>
                <w:lang w:eastAsia="zh-CN"/>
              </w:rPr>
            </w:pPr>
            <w:r>
              <w:rPr>
                <w:rFonts w:hint="eastAsia" w:ascii="仿宋" w:hAnsi="仿宋" w:eastAsia="仿宋" w:cs="仿宋"/>
                <w:color w:val="auto"/>
                <w:kern w:val="0"/>
                <w:sz w:val="24"/>
                <w:szCs w:val="24"/>
                <w:highlight w:val="none"/>
              </w:rPr>
              <w:t>1</w:t>
            </w:r>
            <w:r>
              <w:rPr>
                <w:rFonts w:hint="eastAsia" w:ascii="仿宋" w:hAnsi="仿宋" w:eastAsia="仿宋" w:cs="仿宋"/>
                <w:color w:val="auto"/>
                <w:kern w:val="0"/>
                <w:sz w:val="24"/>
                <w:szCs w:val="24"/>
                <w:highlight w:val="none"/>
                <w:lang w:val="en-US" w:eastAsia="zh-CN"/>
              </w:rPr>
              <w:t>5</w:t>
            </w:r>
          </w:p>
        </w:tc>
        <w:tc>
          <w:tcPr>
            <w:tcW w:w="225" w:type="pct"/>
            <w:tcBorders>
              <w:top w:val="single" w:color="auto" w:sz="4" w:space="0"/>
              <w:left w:val="nil"/>
              <w:bottom w:val="single" w:color="auto" w:sz="4" w:space="0"/>
              <w:right w:val="single" w:color="auto" w:sz="4" w:space="0"/>
            </w:tcBorders>
            <w:vAlign w:val="center"/>
          </w:tcPr>
          <w:p w14:paraId="218403F6">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w:t>
            </w:r>
          </w:p>
        </w:tc>
        <w:tc>
          <w:tcPr>
            <w:tcW w:w="337" w:type="pct"/>
            <w:tcBorders>
              <w:top w:val="single" w:color="auto" w:sz="4" w:space="0"/>
              <w:left w:val="nil"/>
              <w:bottom w:val="single" w:color="auto" w:sz="4" w:space="0"/>
              <w:right w:val="single" w:color="auto" w:sz="4" w:space="0"/>
            </w:tcBorders>
            <w:vAlign w:val="center"/>
          </w:tcPr>
          <w:p w14:paraId="6BC47CF9">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t>智慧教学平台</w:t>
            </w:r>
          </w:p>
        </w:tc>
        <w:tc>
          <w:tcPr>
            <w:tcW w:w="310" w:type="pct"/>
            <w:tcBorders>
              <w:top w:val="single" w:color="auto" w:sz="4" w:space="0"/>
              <w:left w:val="nil"/>
              <w:bottom w:val="single" w:color="auto" w:sz="4" w:space="0"/>
              <w:right w:val="single" w:color="auto" w:sz="4" w:space="0"/>
            </w:tcBorders>
            <w:vAlign w:val="center"/>
          </w:tcPr>
          <w:p w14:paraId="27712F82">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t>1</w:t>
            </w:r>
          </w:p>
        </w:tc>
        <w:tc>
          <w:tcPr>
            <w:tcW w:w="240" w:type="pct"/>
            <w:gridSpan w:val="2"/>
            <w:tcBorders>
              <w:top w:val="single" w:color="auto" w:sz="4" w:space="0"/>
              <w:left w:val="nil"/>
              <w:bottom w:val="single" w:color="auto" w:sz="4" w:space="0"/>
              <w:right w:val="single" w:color="auto" w:sz="4" w:space="0"/>
            </w:tcBorders>
            <w:vAlign w:val="center"/>
          </w:tcPr>
          <w:p w14:paraId="458C14D8">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t>套</w:t>
            </w:r>
          </w:p>
        </w:tc>
        <w:tc>
          <w:tcPr>
            <w:tcW w:w="3659" w:type="pct"/>
            <w:tcBorders>
              <w:top w:val="single" w:color="auto" w:sz="4" w:space="0"/>
              <w:left w:val="nil"/>
              <w:bottom w:val="single" w:color="auto" w:sz="4" w:space="0"/>
              <w:right w:val="single" w:color="auto" w:sz="4" w:space="0"/>
            </w:tcBorders>
            <w:vAlign w:val="center"/>
          </w:tcPr>
          <w:p w14:paraId="66330DDD">
            <w:pPr>
              <w:keepNext w:val="0"/>
              <w:keepLines w:val="0"/>
              <w:pageBreakBefore w:val="0"/>
              <w:widowControl/>
              <w:kinsoku/>
              <w:wordWrap w:val="0"/>
              <w:overflowPunct/>
              <w:topLinePunct w:val="0"/>
              <w:autoSpaceDE/>
              <w:autoSpaceDN/>
              <w:bidi w:val="0"/>
              <w:adjustRightInd/>
              <w:snapToGrid/>
              <w:spacing w:line="240" w:lineRule="auto"/>
              <w:ind w:firstLine="0" w:firstLineChars="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t>1.平台采用云部署。</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2.平台包括课程建设、教学设计、线上线下混合式学习、在线考试、通知、师生交流、资源共享、成绩统计与分析等整个教学过程的功能支撑，实现信息技术与教育教学的深度融合。</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3.平台为成熟稳定的软件产品</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4.平台设计满足大规模用户使用、支持分布式部署。</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5.▲平台具有先进性、可移植性、开放性和兼容性；与智慧课堂系统，师生移动端共同实现互动智慧教学，课堂互动支持全格式教学课件。</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6.能与智慧课堂系统自动对接，实现课堂签到、随堂测试、考试、随机挑人、弹幕提问，课堂打分，投屏等功能，从而实现行政课程的线上线下混合式教学。智慧课堂互动教学数据自动上传到平台，记录教学过程，为教学过程性评价提供真实数据记录。</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7.平台自动收集教学过程数据，分析教学结果，从信息化的角度提升教学的质量。</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8.行政课程的混合式教学：与教务数据对接直接产生教学课程信息，无需教师创建。</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9.提供精确的学习过程信息记录，可查看学生个人平时学习成绩、学习内容，查阅自我学习和成长过程。</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10.平台具备管理员权限，能够为各学校设置基本信息。包括学校名、学校logo、学校简称、平台标语等信息。</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11.▲平台具备学校管理员、院系管理员、数据观察员、督导、教师、学生、助教、培训管理员等15种以上的角色划分，数据支持新建、删除、修改等，用户管理支持excel批量导入、导出功能。支持管理员功能，可以把整个平台的功能分类授权给下属管理员。与学校教务系统数据对接，实现组织结构、教室、人员、课程等数据的自动同步，实现师生教学过程的控制管理。</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12.支持对学校的院系、人员、展示位、教室、课时时间及学科进行管理；支持课表与师生课程数据相关联，每个账号都可以在个人移动端查看自己的课程信息，包括上课时间，上课地点等。</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13.可以按教师来查看课程表内容，了解教师的课程安排。与上课教室关联，通过课表将课程备课，课程信息与智慧课堂系统连接，实现课堂互动数据的自动上传。</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14.系统能够针对不同人群发布问卷及通知，发布范围包括全校、组织及学科。</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二、智慧教学功能</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智慧教学以行政课程的课前、课中、课后为轴线，实现教学设计、实施、反思、交流等全流程信息化。智慧教学支持教师授课课件的无缝接入,课件支持各种格式，如PPT、WORD、Excel及临时手写习题均可，教师在课堂上发起签到、资料下发、随堂测试、抢答、打分等课堂活动，直接进行上课，实施教学活动。</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##课前功能需求：</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1.教师在课前向学生发布任务，学生通过移动端或WEB端接收并完成课前任务。通过课前任务，教师既能提前了解学生状态，实时调整教学计划，做到因材施教；又能提前分发任务给学生，让学生提前了解教学计划，为课堂教学做好准备，实现翻转课堂。</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2.教师可将教学课件提前上传到我的网盘中，课中通过智慧课堂系统直接打开网盘中的课件上课，也可下发给班级学生或下载至本地重新编辑后上传。</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3.系统支持4种备课模式，平台备课、直接在教学课件中添加互动活动，课中临时手写下发或移动端备课。</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4.平台备课资源类型包括习题、资料和问卷三种。习题包括单选题、多选题、主观题、判断题、填空题、阅读理解、分组协作、任务、讨论、试卷及答题卡。资料包括文件夹、视频、课件等。学生主观题回答方式支持语音、文字视频及压缩包上传。</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5.支持教学资料查看权限设置：教师可设置教学内容如课件等教学材料是否允许学生查看，并可设置限时查看时间。</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##课中功能需求：</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 xml:space="preserve">1.考勤：系统提供无感知签到及二维码签到两种方式，课中可发起2次签到，教师具有对学生的签到进行修正的权力，包括：代签到，病假，事假等。 </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2.上课管理：教师上课后，通过二维码扫描或账号密码登录，与平台取得本教室排课信息，获取本课时备课信息，以备课中随时互动；</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3.教学互动:教师可发起各种教学互动功能，包括下发资料，随堂测试，挑人抢权、课堂笔记、分组教学等。随堂测试包括主观题和客观题，主观题支持图文混排、语音、视频等答题方式。</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4.自动保存教室内发起的各种互动数据，如上传签到信息，上传互动资料及学生答案、得分；互动资料按照课程、课时、知识点保存。按照角色需求呈现各种教学数据，方便教师实施教学任务，把控教学时态，及时调整教学计划。</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5.以上课中功能，教师可选择智慧课堂系统、APP、WEB等任意一种智慧课堂工具进行，开启智慧教学。（提供</w:t>
            </w:r>
            <w:r>
              <w:rPr>
                <w:rFonts w:hint="eastAsia" w:ascii="仿宋" w:hAnsi="仿宋" w:eastAsia="仿宋" w:cs="仿宋"/>
                <w:color w:val="auto"/>
                <w:sz w:val="24"/>
                <w:szCs w:val="24"/>
                <w:highlight w:val="none"/>
                <w:lang w:val="en-US" w:eastAsia="zh-CN"/>
              </w:rPr>
              <w:t>证明材料</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##课后功能需求：</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1.课后教师根据教学需要，面向学生分发课后资料。学生使用移动端接收并完成查阅。</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2.课后作业布置支持平台及智慧课堂系统2种途径布置</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学生可使用移动端或WEB端接收并完成作业，客观题型由系统自动完成批阅。</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##教师课程</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1.课程包括教务数据对接产生的每学期要求的教学课程和教师自行创建的线上线下混合式课程。</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2.课程具有课程邀请码、课程二维码，方便学生加入课程及教师分享课程。</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3.课程首页从课程画像，互动画像，课时详情多个维度来展示课程的教学过程和学生学习情况。</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4.▲课程备课支持教师绑定自建教案或他人共享教案，实现备课复用；绑定后的教案，教师可以进行再编辑。备课同时支持教师新建课程教学设计，具有多级目录结构，目录内容支持原位编辑，直观方便。教学设计可按章节设计，也可以按课时设计，方便老师灵活运用。教学设计的内容通过下发的方式传送给学生，包括课件、视频、习题等内容（提供</w:t>
            </w:r>
            <w:r>
              <w:rPr>
                <w:rFonts w:hint="eastAsia" w:ascii="仿宋" w:hAnsi="仿宋" w:eastAsia="仿宋" w:cs="仿宋"/>
                <w:color w:val="auto"/>
                <w:sz w:val="24"/>
                <w:szCs w:val="24"/>
                <w:highlight w:val="none"/>
                <w:lang w:val="en-US" w:eastAsia="zh-CN"/>
              </w:rPr>
              <w:t>证明材料</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5.教学过程中教师与学生之间的互动教学通过教学进度统一记录，分为课外和课时，方便教师清晰查看教学过程，把控教学进度。</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6.支持学生对教师发起的每个教学互动针对性的提问，教师在平台或APP上答疑。</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7.支持教师开启或关闭班级消息功能，方便班级讨论、沟通及交流。</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8.▲课程资料是教学进度的一个补充，教师可以将课程的所有资料打包放入其中，可以按照文件夹的方式也可以按照教学章节的结构归类。该课程学生可以随意在移动端或WEB端自行查看课程资料中的文件。上传资料时，教师可设置资料的公开程度，如社会公开，全校公开，班级公开或个人私有。同时可以设置是否同步到网盘，是否允许学生下载（提供</w:t>
            </w:r>
            <w:r>
              <w:rPr>
                <w:rFonts w:hint="eastAsia" w:ascii="仿宋" w:hAnsi="仿宋" w:eastAsia="仿宋" w:cs="仿宋"/>
                <w:color w:val="auto"/>
                <w:sz w:val="24"/>
                <w:szCs w:val="24"/>
                <w:highlight w:val="none"/>
                <w:lang w:val="en-US" w:eastAsia="zh-CN"/>
              </w:rPr>
              <w:t>证明材料</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9.教师进入课程的任何一个活动，系统记录在课程日志中，实现教学轨迹的记录。</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10.课程设置包括课程名称、课程公开范围、课程试题是否允许他人引用，学生加入课程方式等设置。</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11.教师团队，同一门课程支持多人共建。</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12.课程学生的加入，支持教务数据导入、学生申请或教师手动添加等多种方式。</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13.课程网页是课程对外展示的门户，是课程的名片。系统须支持教师课程网页编辑功能，包括课程网页模板选择，课程封面添加、课程名称、课程概述、教学章节、授课目标、教学大纲等内容，教师还可以根据个人需要自行添加网页展示模块。教学大纲包括教师手动添加和自动以教案生成2种方式。</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##课程数据统计</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1.系统支持对每位学生在课程中的过程性学习数据进行智能统计，可查看学生综合学习情况及到课率情况、试题正确率百分比及课件学习进度，支持数据一键导出。</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2.支持查看课程习题错误数、课后习题未交数、缺勤次数以及课件未学习数等多维度的学生预警信息榜，为老师提供一个可参考的「预警」学生信息。</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 xml:space="preserve">3.支持查看以学校行政班级数据为单位的数据报表，包括班级学生数、互动教学系统覆盖学生数、学生到课情况，互动成效等； </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4.支持预警学生提醒：系统可通过后台数据，提供多维度预警学生名单及详情。</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5.支持平时成绩智能统计：系统根据对学生课程的日常数据进行分析展示，获取学生平时成绩。</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6.支持汇总教师教授课程的所有学生答错试题，可查看当前错题答错的比例，可点击详情看到每一道习题的教学日志详情，可查看习题答题情况，可点击查看习题详情查看每道题所有学生回答的答案组合情况、各选项答题人数及所占答题人数比例、未提交人数及所占回答人数比例。</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7.支持教师可通过电脑网页端，查询课程课前-课中-课后的分段教学数据，内容可导出。教师可立即查阅当堂课的课堂报告，课堂报告内容应包括：课题信息、学生签到情况、学生教学活动参与情况、学生得分情况、课堂笔记和弹幕等情况；</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8.互动小结，可查看每个习题学生平均分，最高分，最低分，提交率，得分率、已提交未提交学生等信息；选择题能统计每个选项选择人数。</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9.试卷小结，能查看全班平均分，最高分，个人得分等详情。</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10.▲学情分析报告，教师能随时查阅课程下所有学生的整体学习情况及详情数据记录，包括学生签到情况，得分情况、签到率、提交率、课时明细、学生详情、知识点得分，积分明细等。课时明细包括学生每堂课的上课时间，地点，签到时刻，互动答题得分等。学生详情包括学生课堂表现、课外表现、测试及互动反馈等情况，课堂表现以雷达图的方式，从签到，成绩、笔记和弹幕等多个方面体现。学情数据支持报表导出。学情数据同时可以作为学生平时成绩的依据，系统具备教师自行设置平时成绩权重比例功能（提供</w:t>
            </w:r>
            <w:r>
              <w:rPr>
                <w:rFonts w:hint="eastAsia" w:ascii="仿宋" w:hAnsi="仿宋" w:eastAsia="仿宋" w:cs="仿宋"/>
                <w:color w:val="auto"/>
                <w:sz w:val="24"/>
                <w:szCs w:val="24"/>
                <w:highlight w:val="none"/>
                <w:lang w:val="en-US" w:eastAsia="zh-CN"/>
              </w:rPr>
              <w:t>证明材料</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11.课程质量报告从课程的角度整体反应了教师的课程教学质量，以雷达图的方式，从签到、互动、资源、学生成绩等多个维度体现。能随时查阅所授课程下的班级总体到课率、课堂参与度、作业完成率、成绩情况等。支持课程报表导出。</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12.▲课程学习目标达成度统计，课程学习目标按阿拉伯数字及详情的方式展现。教学过程中，教师将课堂测试表现及作业一一对应到课程学习目标中，平台自动统计课程学习目标下的课堂测试表现和作业分值，分值包括实际测试总分、平均分，以及教师通过规则设置得到的学生动态分，方便课程学习目标达成度报表的自动生成，减少老师的二次编辑。支持报表导出（提供</w:t>
            </w:r>
            <w:r>
              <w:rPr>
                <w:rFonts w:hint="eastAsia" w:ascii="仿宋" w:hAnsi="仿宋" w:eastAsia="仿宋" w:cs="仿宋"/>
                <w:color w:val="auto"/>
                <w:sz w:val="24"/>
                <w:szCs w:val="24"/>
                <w:highlight w:val="none"/>
                <w:lang w:val="en-US" w:eastAsia="zh-CN"/>
              </w:rPr>
              <w:t>证明材料</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##教师个人主页</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1.教师个人中心是教师个人课程的入口，包括教师教的课和学的课。同时具备教案，资源，网盘、信息发布、评教评学等功能。</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2.教案包括我的教案，共建教案，公共教案和收藏教案四种类型。教案可以新建也可以通过历史课程自动生成，教案设置包括课程名称，教案名称、是否公开。教案编辑与课程备课一致，支持章节目录双击编辑，互动支持习题，资料，问卷；习题至少包括选择题，主观题、阅读理解，分组协作、答题卡等类型。课程备课时，支持一键绑定教案；设计完成的课程同时支持一键生产教案，实现教案共建共享。</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▲3.教师网盘资料可通过平台个人主页、智慧课堂系统，课程资料自动同步三种方式上传。平台支持上传文件，文件夹及网页链接多种形式资料。智慧课堂可将教师板书、新生课件等上传到个人网盘。</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4.平台向老师开放信息发布功能，教师可以向课程下所有学生发布通知和进行问卷调查，问卷具有自动统计功能。</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5.具有学生评教和教师评学功能。评学计划由学校相关部门统一发起开展实施。学生评教包括教师个人发起的课评和学校统一发起的评教活动。学生评教对教师课堂教学质量进行评价，教师课评支持学生在每堂课结束后多次评价，最终汇总形成过程性评价数据。教师可查看问卷结果，所有数据均为匿名。教务可查看所有课程学生的提交情况和评价结果，针对不实回答，可删除评论。</w:t>
            </w:r>
          </w:p>
        </w:tc>
      </w:tr>
      <w:tr w14:paraId="0454BD5F">
        <w:tblPrEx>
          <w:tblCellMar>
            <w:top w:w="0" w:type="dxa"/>
            <w:left w:w="108" w:type="dxa"/>
            <w:bottom w:w="0" w:type="dxa"/>
            <w:right w:w="108" w:type="dxa"/>
          </w:tblCellMar>
        </w:tblPrEx>
        <w:trPr>
          <w:trHeight w:val="20" w:hRule="atLeast"/>
        </w:trPr>
        <w:tc>
          <w:tcPr>
            <w:tcW w:w="225" w:type="pct"/>
            <w:tcBorders>
              <w:top w:val="single" w:color="auto" w:sz="4" w:space="0"/>
              <w:left w:val="single" w:color="auto" w:sz="4" w:space="0"/>
              <w:bottom w:val="single" w:color="auto" w:sz="4" w:space="0"/>
              <w:right w:val="single" w:color="auto" w:sz="4" w:space="0"/>
            </w:tcBorders>
            <w:vAlign w:val="center"/>
          </w:tcPr>
          <w:p w14:paraId="19A3A030">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16</w:t>
            </w:r>
          </w:p>
        </w:tc>
        <w:tc>
          <w:tcPr>
            <w:tcW w:w="225" w:type="pct"/>
            <w:tcBorders>
              <w:top w:val="single" w:color="auto" w:sz="4" w:space="0"/>
              <w:left w:val="nil"/>
              <w:bottom w:val="single" w:color="auto" w:sz="4" w:space="0"/>
              <w:right w:val="single" w:color="auto" w:sz="4" w:space="0"/>
            </w:tcBorders>
            <w:vAlign w:val="center"/>
          </w:tcPr>
          <w:p w14:paraId="5582CB7D">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w:t>
            </w:r>
          </w:p>
        </w:tc>
        <w:tc>
          <w:tcPr>
            <w:tcW w:w="337" w:type="pct"/>
            <w:tcBorders>
              <w:top w:val="single" w:color="auto" w:sz="4" w:space="0"/>
              <w:left w:val="nil"/>
              <w:bottom w:val="single" w:color="auto" w:sz="4" w:space="0"/>
              <w:right w:val="single" w:color="auto" w:sz="4" w:space="0"/>
            </w:tcBorders>
            <w:vAlign w:val="center"/>
          </w:tcPr>
          <w:p w14:paraId="2400051C">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t>多屏互动研讨软件</w:t>
            </w:r>
          </w:p>
        </w:tc>
        <w:tc>
          <w:tcPr>
            <w:tcW w:w="310" w:type="pct"/>
            <w:tcBorders>
              <w:top w:val="single" w:color="auto" w:sz="4" w:space="0"/>
              <w:left w:val="nil"/>
              <w:bottom w:val="single" w:color="auto" w:sz="4" w:space="0"/>
              <w:right w:val="single" w:color="auto" w:sz="4" w:space="0"/>
            </w:tcBorders>
            <w:vAlign w:val="center"/>
          </w:tcPr>
          <w:p w14:paraId="5DA8C033">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t>1</w:t>
            </w:r>
          </w:p>
        </w:tc>
        <w:tc>
          <w:tcPr>
            <w:tcW w:w="240" w:type="pct"/>
            <w:gridSpan w:val="2"/>
            <w:tcBorders>
              <w:top w:val="single" w:color="auto" w:sz="4" w:space="0"/>
              <w:left w:val="nil"/>
              <w:bottom w:val="single" w:color="auto" w:sz="4" w:space="0"/>
              <w:right w:val="single" w:color="auto" w:sz="4" w:space="0"/>
            </w:tcBorders>
            <w:vAlign w:val="center"/>
          </w:tcPr>
          <w:p w14:paraId="0F953ACB">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t>套</w:t>
            </w:r>
          </w:p>
        </w:tc>
        <w:tc>
          <w:tcPr>
            <w:tcW w:w="3659" w:type="pct"/>
            <w:tcBorders>
              <w:top w:val="single" w:color="auto" w:sz="4" w:space="0"/>
              <w:left w:val="nil"/>
              <w:bottom w:val="single" w:color="auto" w:sz="4" w:space="0"/>
              <w:right w:val="single" w:color="auto" w:sz="4" w:space="0"/>
            </w:tcBorders>
            <w:vAlign w:val="center"/>
          </w:tcPr>
          <w:p w14:paraId="5744F867">
            <w:pPr>
              <w:keepNext w:val="0"/>
              <w:keepLines w:val="0"/>
              <w:pageBreakBefore w:val="0"/>
              <w:widowControl/>
              <w:kinsoku/>
              <w:wordWrap w:val="0"/>
              <w:overflowPunct/>
              <w:topLinePunct w:val="0"/>
              <w:autoSpaceDE/>
              <w:autoSpaceDN/>
              <w:bidi w:val="0"/>
              <w:adjustRightInd/>
              <w:snapToGrid/>
              <w:spacing w:line="240" w:lineRule="auto"/>
              <w:ind w:firstLine="0" w:firstLineChars="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t>▲1、内置于智慧教学终端，嵌入式安装，实现教师、小组、学生混合式教学，开展互动式 、探究式、研讨式小组协作教学。</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2、具备主屏广播、各屏独立显示、小组广播、多屏对比等显示模式。主屏广播实现主屏和所有小组屏显示内容均为主屏画面；各屏独立显示：教室中各小组屏幕显示内容由各小组决定，教师屏幕由教师决定，各小组可自由讨论，分享；小组屏广播： 教师选择任意小组屏幕进行广播，其他小组屏幕即同步显示该小组屏幕内容，方便小组展示和小组总结。多屏对比：教师可选择任意2路以上的小组屏幕进行对比教学，促进讨论知识的教学相长</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3、多屏讨论：1）教师下发研讨任务后，各小组进入内部独立讨论模式，小组屏幕中显示”教师下发任务内容“”小组讨论过程（包括语音、文字、图片、视频组员投屏等讨论内容）以及“小组讨论结果”。同时支持最多任意隐藏两部分列表内容。2）所有研讨任务支持学生回顾查看，并保存在教学平台。</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4、多屏多路投屏：支持各小组屏同时多路投屏，支持同组不低于6路的手机投屏对比展示；投屏内容包括手机屏幕、文件或实时拍摄的视频。 支持学生手机投屏广播。</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5、分组教学：支持小组竞赛，小组答题，小组讨论，各小组提交的主观答案，教师可以放大全屏展示，也可选择多个小组答案进行对比教学。多屏分组模式：支持分组投屏，分组讨论，分组答题。分组答题模式下，各小组可以针对小组任务进行讨论，讨论方式包括语音、文字、图片、视频等内容，各小组屏同步展示小组讨论过程及结果，讨论过程可保存，图片可放大</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6、本系统与智慧课堂系统、小组研讨系统保证兼容性和课堂教学的连贯性。</w:t>
            </w:r>
          </w:p>
        </w:tc>
      </w:tr>
      <w:tr w14:paraId="032E2CE5">
        <w:tblPrEx>
          <w:tblCellMar>
            <w:top w:w="0" w:type="dxa"/>
            <w:left w:w="108" w:type="dxa"/>
            <w:bottom w:w="0" w:type="dxa"/>
            <w:right w:w="108" w:type="dxa"/>
          </w:tblCellMar>
        </w:tblPrEx>
        <w:trPr>
          <w:trHeight w:val="20" w:hRule="atLeast"/>
        </w:trPr>
        <w:tc>
          <w:tcPr>
            <w:tcW w:w="225" w:type="pct"/>
            <w:tcBorders>
              <w:top w:val="single" w:color="auto" w:sz="4" w:space="0"/>
              <w:left w:val="single" w:color="auto" w:sz="4" w:space="0"/>
              <w:bottom w:val="single" w:color="auto" w:sz="4" w:space="0"/>
              <w:right w:val="single" w:color="auto" w:sz="4" w:space="0"/>
            </w:tcBorders>
            <w:vAlign w:val="center"/>
          </w:tcPr>
          <w:p w14:paraId="16353F55">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17</w:t>
            </w:r>
          </w:p>
        </w:tc>
        <w:tc>
          <w:tcPr>
            <w:tcW w:w="225" w:type="pct"/>
            <w:tcBorders>
              <w:top w:val="single" w:color="auto" w:sz="4" w:space="0"/>
              <w:left w:val="nil"/>
              <w:bottom w:val="single" w:color="auto" w:sz="4" w:space="0"/>
              <w:right w:val="single" w:color="auto" w:sz="4" w:space="0"/>
            </w:tcBorders>
            <w:vAlign w:val="center"/>
          </w:tcPr>
          <w:p w14:paraId="3AD02C8A">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w:t>
            </w:r>
          </w:p>
        </w:tc>
        <w:tc>
          <w:tcPr>
            <w:tcW w:w="337" w:type="pct"/>
            <w:tcBorders>
              <w:top w:val="single" w:color="auto" w:sz="4" w:space="0"/>
              <w:left w:val="nil"/>
              <w:bottom w:val="single" w:color="auto" w:sz="4" w:space="0"/>
              <w:right w:val="single" w:color="auto" w:sz="4" w:space="0"/>
            </w:tcBorders>
            <w:vAlign w:val="center"/>
          </w:tcPr>
          <w:p w14:paraId="157357C3">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t>课堂录播系统</w:t>
            </w:r>
          </w:p>
        </w:tc>
        <w:tc>
          <w:tcPr>
            <w:tcW w:w="310" w:type="pct"/>
            <w:tcBorders>
              <w:top w:val="single" w:color="auto" w:sz="4" w:space="0"/>
              <w:left w:val="nil"/>
              <w:bottom w:val="single" w:color="auto" w:sz="4" w:space="0"/>
              <w:right w:val="single" w:color="auto" w:sz="4" w:space="0"/>
            </w:tcBorders>
            <w:vAlign w:val="center"/>
          </w:tcPr>
          <w:p w14:paraId="75CCE6FC">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t>1</w:t>
            </w:r>
          </w:p>
        </w:tc>
        <w:tc>
          <w:tcPr>
            <w:tcW w:w="240" w:type="pct"/>
            <w:gridSpan w:val="2"/>
            <w:tcBorders>
              <w:top w:val="single" w:color="auto" w:sz="4" w:space="0"/>
              <w:left w:val="nil"/>
              <w:bottom w:val="single" w:color="auto" w:sz="4" w:space="0"/>
              <w:right w:val="single" w:color="auto" w:sz="4" w:space="0"/>
            </w:tcBorders>
            <w:vAlign w:val="center"/>
          </w:tcPr>
          <w:p w14:paraId="6AF511F0">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t>套</w:t>
            </w:r>
          </w:p>
        </w:tc>
        <w:tc>
          <w:tcPr>
            <w:tcW w:w="3659" w:type="pct"/>
            <w:tcBorders>
              <w:top w:val="single" w:color="auto" w:sz="4" w:space="0"/>
              <w:left w:val="nil"/>
              <w:bottom w:val="single" w:color="auto" w:sz="4" w:space="0"/>
              <w:right w:val="single" w:color="auto" w:sz="4" w:space="0"/>
            </w:tcBorders>
            <w:vAlign w:val="center"/>
          </w:tcPr>
          <w:p w14:paraId="67DCC9D4">
            <w:pPr>
              <w:keepNext w:val="0"/>
              <w:keepLines w:val="0"/>
              <w:pageBreakBefore w:val="0"/>
              <w:widowControl/>
              <w:kinsoku/>
              <w:wordWrap w:val="0"/>
              <w:overflowPunct/>
              <w:topLinePunct w:val="0"/>
              <w:autoSpaceDE/>
              <w:autoSpaceDN/>
              <w:bidi w:val="0"/>
              <w:adjustRightInd/>
              <w:snapToGrid/>
              <w:spacing w:line="240" w:lineRule="auto"/>
              <w:ind w:firstLine="0" w:firstLineChars="0"/>
              <w:jc w:val="left"/>
              <w:textAlignment w:val="auto"/>
              <w:rPr>
                <w:rFonts w:hint="eastAsia" w:ascii="仿宋" w:hAnsi="仿宋" w:eastAsia="仿宋" w:cs="仿宋"/>
                <w:color w:val="auto"/>
                <w:kern w:val="0"/>
                <w:sz w:val="24"/>
                <w:szCs w:val="24"/>
                <w:highlight w:val="none"/>
                <w:lang w:eastAsia="zh-CN"/>
              </w:rPr>
            </w:pPr>
            <w:r>
              <w:rPr>
                <w:rFonts w:hint="eastAsia" w:ascii="仿宋" w:hAnsi="仿宋" w:eastAsia="仿宋" w:cs="仿宋"/>
                <w:color w:val="auto"/>
                <w:sz w:val="24"/>
                <w:szCs w:val="24"/>
                <w:highlight w:val="none"/>
              </w:rPr>
              <w:t>▲1. 内置于智慧教学终端，嵌入式安装，与录播平台协同工作，具有课堂录制、直播、点播功能。</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2．支持版本信息、设备型号、设备序列号、硬盘总容量/剩余容量、网络连接信息、平台接入信息的配置及显示；</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3．支持通过录播平台远程设置终端配置用户名称和密码，视频流输入、输出、互动和推流方式，支持批量复制教室设置，批量升级教室版本；</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4．系统支持视频文件上传、下载、本地点播、删除等基本功能；</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5．系统支持与录播平台无缝对接，实现视频自动上传，可以兼容第三方FTP服务器；</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6 录制模式支持本地电影模式、 资源模式视频录制和。</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7. 为满足教学需要， 需支持教室内外直播功能， 打破空间限制， 为降低学校成本， 需满足万人在线直播观看，直播功能可支持PC端、 移动端、 扫码功能等多终端在线观看；</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8.支持扫码进入直播间， 同时也支持观看地址连接加入直播间；</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9. 为保证直播观看和视频交互流畅进行， 要求画面延迟≤300ms（局域网）</w:t>
            </w:r>
            <w:r>
              <w:rPr>
                <w:rFonts w:hint="eastAsia" w:ascii="仿宋" w:hAnsi="仿宋" w:eastAsia="仿宋" w:cs="仿宋"/>
                <w:color w:val="auto"/>
                <w:sz w:val="24"/>
                <w:szCs w:val="24"/>
                <w:highlight w:val="none"/>
                <w:lang w:eastAsia="zh-CN"/>
              </w:rPr>
              <w:t>。</w:t>
            </w:r>
          </w:p>
        </w:tc>
      </w:tr>
      <w:tr w14:paraId="0F61FD1D">
        <w:tblPrEx>
          <w:tblCellMar>
            <w:top w:w="0" w:type="dxa"/>
            <w:left w:w="108" w:type="dxa"/>
            <w:bottom w:w="0" w:type="dxa"/>
            <w:right w:w="108" w:type="dxa"/>
          </w:tblCellMar>
        </w:tblPrEx>
        <w:trPr>
          <w:trHeight w:val="20" w:hRule="atLeast"/>
        </w:trPr>
        <w:tc>
          <w:tcPr>
            <w:tcW w:w="225" w:type="pct"/>
            <w:tcBorders>
              <w:top w:val="single" w:color="auto" w:sz="4" w:space="0"/>
              <w:left w:val="single" w:color="auto" w:sz="4" w:space="0"/>
              <w:bottom w:val="single" w:color="auto" w:sz="4" w:space="0"/>
              <w:right w:val="single" w:color="auto" w:sz="4" w:space="0"/>
            </w:tcBorders>
            <w:vAlign w:val="center"/>
          </w:tcPr>
          <w:p w14:paraId="710B67B7">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18</w:t>
            </w:r>
          </w:p>
        </w:tc>
        <w:tc>
          <w:tcPr>
            <w:tcW w:w="225" w:type="pct"/>
            <w:tcBorders>
              <w:top w:val="single" w:color="auto" w:sz="4" w:space="0"/>
              <w:left w:val="nil"/>
              <w:bottom w:val="single" w:color="auto" w:sz="4" w:space="0"/>
              <w:right w:val="single" w:color="auto" w:sz="4" w:space="0"/>
            </w:tcBorders>
            <w:vAlign w:val="center"/>
          </w:tcPr>
          <w:p w14:paraId="400CD65B">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w:t>
            </w:r>
          </w:p>
        </w:tc>
        <w:tc>
          <w:tcPr>
            <w:tcW w:w="337" w:type="pct"/>
            <w:tcBorders>
              <w:top w:val="single" w:color="auto" w:sz="4" w:space="0"/>
              <w:left w:val="nil"/>
              <w:bottom w:val="single" w:color="auto" w:sz="4" w:space="0"/>
              <w:right w:val="single" w:color="auto" w:sz="4" w:space="0"/>
            </w:tcBorders>
            <w:vAlign w:val="center"/>
          </w:tcPr>
          <w:p w14:paraId="7E472617">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t>智慧教学终端软件</w:t>
            </w:r>
          </w:p>
        </w:tc>
        <w:tc>
          <w:tcPr>
            <w:tcW w:w="310" w:type="pct"/>
            <w:tcBorders>
              <w:top w:val="single" w:color="auto" w:sz="4" w:space="0"/>
              <w:left w:val="nil"/>
              <w:bottom w:val="single" w:color="auto" w:sz="4" w:space="0"/>
              <w:right w:val="single" w:color="auto" w:sz="4" w:space="0"/>
            </w:tcBorders>
            <w:vAlign w:val="center"/>
          </w:tcPr>
          <w:p w14:paraId="2431F798">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t>1</w:t>
            </w:r>
          </w:p>
        </w:tc>
        <w:tc>
          <w:tcPr>
            <w:tcW w:w="240" w:type="pct"/>
            <w:gridSpan w:val="2"/>
            <w:tcBorders>
              <w:top w:val="single" w:color="auto" w:sz="4" w:space="0"/>
              <w:left w:val="nil"/>
              <w:bottom w:val="single" w:color="auto" w:sz="4" w:space="0"/>
              <w:right w:val="single" w:color="auto" w:sz="4" w:space="0"/>
            </w:tcBorders>
            <w:vAlign w:val="center"/>
          </w:tcPr>
          <w:p w14:paraId="1A2503CC">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t>套</w:t>
            </w:r>
          </w:p>
        </w:tc>
        <w:tc>
          <w:tcPr>
            <w:tcW w:w="3659" w:type="pct"/>
            <w:tcBorders>
              <w:top w:val="single" w:color="auto" w:sz="4" w:space="0"/>
              <w:left w:val="nil"/>
              <w:bottom w:val="single" w:color="auto" w:sz="4" w:space="0"/>
              <w:right w:val="single" w:color="auto" w:sz="4" w:space="0"/>
            </w:tcBorders>
            <w:vAlign w:val="center"/>
          </w:tcPr>
          <w:p w14:paraId="37AE8373">
            <w:pPr>
              <w:keepNext w:val="0"/>
              <w:keepLines w:val="0"/>
              <w:pageBreakBefore w:val="0"/>
              <w:widowControl/>
              <w:kinsoku/>
              <w:wordWrap w:val="0"/>
              <w:overflowPunct/>
              <w:topLinePunct w:val="0"/>
              <w:autoSpaceDE/>
              <w:autoSpaceDN/>
              <w:bidi w:val="0"/>
              <w:adjustRightInd/>
              <w:snapToGrid/>
              <w:spacing w:line="240" w:lineRule="auto"/>
              <w:ind w:firstLine="0" w:firstLineChars="0"/>
              <w:jc w:val="left"/>
              <w:textAlignment w:val="auto"/>
              <w:rPr>
                <w:rFonts w:hint="eastAsia" w:ascii="仿宋" w:hAnsi="仿宋" w:eastAsia="仿宋" w:cs="仿宋"/>
                <w:color w:val="auto"/>
                <w:kern w:val="0"/>
                <w:sz w:val="24"/>
                <w:szCs w:val="24"/>
                <w:highlight w:val="none"/>
                <w:lang w:eastAsia="zh-CN"/>
              </w:rPr>
            </w:pPr>
            <w:r>
              <w:rPr>
                <w:rFonts w:hint="eastAsia" w:ascii="仿宋" w:hAnsi="仿宋" w:eastAsia="仿宋" w:cs="仿宋"/>
                <w:color w:val="auto"/>
                <w:sz w:val="24"/>
                <w:szCs w:val="24"/>
                <w:highlight w:val="none"/>
              </w:rPr>
              <w:t>▲1.内置于智慧教学终端，嵌入式安装；</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2.具备远程互动教学功能，支持主讲模式和听课模式选择</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3.主讲模式，支持接入课堂教室，并设置听课教室是否具备互动权限；</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4.听课教室支持主动接入主讲教室</w:t>
            </w:r>
            <w:r>
              <w:rPr>
                <w:rFonts w:hint="eastAsia" w:ascii="仿宋" w:hAnsi="仿宋" w:eastAsia="仿宋" w:cs="仿宋"/>
                <w:color w:val="auto"/>
                <w:sz w:val="24"/>
                <w:szCs w:val="24"/>
                <w:highlight w:val="none"/>
                <w:lang w:eastAsia="zh-CN"/>
              </w:rPr>
              <w:t>。</w:t>
            </w:r>
          </w:p>
        </w:tc>
      </w:tr>
      <w:tr w14:paraId="0D9CC748">
        <w:tblPrEx>
          <w:tblCellMar>
            <w:top w:w="0" w:type="dxa"/>
            <w:left w:w="108" w:type="dxa"/>
            <w:bottom w:w="0" w:type="dxa"/>
            <w:right w:w="108" w:type="dxa"/>
          </w:tblCellMar>
        </w:tblPrEx>
        <w:trPr>
          <w:trHeight w:val="20" w:hRule="atLeast"/>
        </w:trPr>
        <w:tc>
          <w:tcPr>
            <w:tcW w:w="225" w:type="pct"/>
            <w:tcBorders>
              <w:top w:val="single" w:color="auto" w:sz="4" w:space="0"/>
              <w:left w:val="single" w:color="auto" w:sz="4" w:space="0"/>
              <w:bottom w:val="single" w:color="auto" w:sz="4" w:space="0"/>
              <w:right w:val="single" w:color="auto" w:sz="4" w:space="0"/>
            </w:tcBorders>
            <w:vAlign w:val="center"/>
          </w:tcPr>
          <w:p w14:paraId="0F6B65EC">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19</w:t>
            </w:r>
          </w:p>
        </w:tc>
        <w:tc>
          <w:tcPr>
            <w:tcW w:w="225" w:type="pct"/>
            <w:tcBorders>
              <w:top w:val="single" w:color="auto" w:sz="4" w:space="0"/>
              <w:left w:val="nil"/>
              <w:bottom w:val="single" w:color="auto" w:sz="4" w:space="0"/>
              <w:right w:val="single" w:color="auto" w:sz="4" w:space="0"/>
            </w:tcBorders>
            <w:vAlign w:val="center"/>
          </w:tcPr>
          <w:p w14:paraId="2D20BB96">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w:t>
            </w:r>
          </w:p>
        </w:tc>
        <w:tc>
          <w:tcPr>
            <w:tcW w:w="337" w:type="pct"/>
            <w:tcBorders>
              <w:top w:val="single" w:color="auto" w:sz="4" w:space="0"/>
              <w:left w:val="nil"/>
              <w:bottom w:val="single" w:color="auto" w:sz="4" w:space="0"/>
              <w:right w:val="single" w:color="auto" w:sz="4" w:space="0"/>
            </w:tcBorders>
            <w:vAlign w:val="center"/>
          </w:tcPr>
          <w:p w14:paraId="0F101C23">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t>中控系统</w:t>
            </w:r>
          </w:p>
        </w:tc>
        <w:tc>
          <w:tcPr>
            <w:tcW w:w="310" w:type="pct"/>
            <w:tcBorders>
              <w:top w:val="single" w:color="auto" w:sz="4" w:space="0"/>
              <w:left w:val="nil"/>
              <w:bottom w:val="single" w:color="auto" w:sz="4" w:space="0"/>
              <w:right w:val="single" w:color="auto" w:sz="4" w:space="0"/>
            </w:tcBorders>
            <w:vAlign w:val="center"/>
          </w:tcPr>
          <w:p w14:paraId="74B2F196">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t>1</w:t>
            </w:r>
          </w:p>
        </w:tc>
        <w:tc>
          <w:tcPr>
            <w:tcW w:w="240" w:type="pct"/>
            <w:gridSpan w:val="2"/>
            <w:tcBorders>
              <w:top w:val="single" w:color="auto" w:sz="4" w:space="0"/>
              <w:left w:val="nil"/>
              <w:bottom w:val="single" w:color="auto" w:sz="4" w:space="0"/>
              <w:right w:val="single" w:color="auto" w:sz="4" w:space="0"/>
            </w:tcBorders>
            <w:vAlign w:val="center"/>
          </w:tcPr>
          <w:p w14:paraId="7464EEFC">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t>套</w:t>
            </w:r>
          </w:p>
        </w:tc>
        <w:tc>
          <w:tcPr>
            <w:tcW w:w="3659" w:type="pct"/>
            <w:tcBorders>
              <w:top w:val="single" w:color="auto" w:sz="4" w:space="0"/>
              <w:left w:val="nil"/>
              <w:bottom w:val="single" w:color="auto" w:sz="4" w:space="0"/>
              <w:right w:val="single" w:color="auto" w:sz="4" w:space="0"/>
            </w:tcBorders>
            <w:vAlign w:val="center"/>
          </w:tcPr>
          <w:p w14:paraId="0B3107C4">
            <w:pPr>
              <w:keepNext w:val="0"/>
              <w:keepLines w:val="0"/>
              <w:pageBreakBefore w:val="0"/>
              <w:widowControl/>
              <w:kinsoku/>
              <w:wordWrap w:val="0"/>
              <w:overflowPunct/>
              <w:topLinePunct w:val="0"/>
              <w:autoSpaceDE/>
              <w:autoSpaceDN/>
              <w:bidi w:val="0"/>
              <w:adjustRightInd/>
              <w:snapToGrid/>
              <w:spacing w:line="240" w:lineRule="auto"/>
              <w:ind w:firstLine="0" w:firstLineChars="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t>1.内置于智慧教学终端，嵌入式安装；操作界面与桌面显示器或教室大屏复用。</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2.可编程控制界面设计；显示背景、操作界面和功能按键可自定义编程配置，支持个性化图片、图标LOGO、颜色配置，支持锁屏背景图自定义设置。</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3. 可控制多媒体设备的电源开关、信号切换、音频音量大小、物联数据显示。</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4. 支持与录播系统对接，面板实现录播系统的控制功能（开机、录制、暂停等定制功能）</w:t>
            </w:r>
            <w:r>
              <w:rPr>
                <w:rFonts w:hint="eastAsia" w:ascii="仿宋" w:hAnsi="仿宋" w:eastAsia="仿宋" w:cs="仿宋"/>
                <w:color w:val="auto"/>
                <w:sz w:val="24"/>
                <w:szCs w:val="24"/>
                <w:highlight w:val="none"/>
                <w:lang w:eastAsia="zh-CN"/>
              </w:rPr>
              <w:t>。</w:t>
            </w:r>
          </w:p>
        </w:tc>
      </w:tr>
      <w:tr w14:paraId="11AC295B">
        <w:tblPrEx>
          <w:tblCellMar>
            <w:top w:w="0" w:type="dxa"/>
            <w:left w:w="108" w:type="dxa"/>
            <w:bottom w:w="0" w:type="dxa"/>
            <w:right w:w="108" w:type="dxa"/>
          </w:tblCellMar>
        </w:tblPrEx>
        <w:trPr>
          <w:trHeight w:val="20" w:hRule="atLeast"/>
        </w:trPr>
        <w:tc>
          <w:tcPr>
            <w:tcW w:w="225" w:type="pct"/>
            <w:tcBorders>
              <w:top w:val="single" w:color="auto" w:sz="4" w:space="0"/>
              <w:left w:val="single" w:color="auto" w:sz="4" w:space="0"/>
              <w:bottom w:val="single" w:color="auto" w:sz="4" w:space="0"/>
              <w:right w:val="single" w:color="auto" w:sz="4" w:space="0"/>
            </w:tcBorders>
            <w:vAlign w:val="center"/>
          </w:tcPr>
          <w:p w14:paraId="16398DB6">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20</w:t>
            </w:r>
          </w:p>
        </w:tc>
        <w:tc>
          <w:tcPr>
            <w:tcW w:w="225" w:type="pct"/>
            <w:tcBorders>
              <w:top w:val="single" w:color="auto" w:sz="4" w:space="0"/>
              <w:left w:val="nil"/>
              <w:bottom w:val="single" w:color="auto" w:sz="4" w:space="0"/>
              <w:right w:val="single" w:color="auto" w:sz="4" w:space="0"/>
            </w:tcBorders>
            <w:vAlign w:val="center"/>
          </w:tcPr>
          <w:p w14:paraId="14E4A863">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w:t>
            </w:r>
          </w:p>
        </w:tc>
        <w:tc>
          <w:tcPr>
            <w:tcW w:w="337" w:type="pct"/>
            <w:tcBorders>
              <w:top w:val="single" w:color="auto" w:sz="4" w:space="0"/>
              <w:left w:val="nil"/>
              <w:bottom w:val="single" w:color="auto" w:sz="4" w:space="0"/>
              <w:right w:val="single" w:color="auto" w:sz="4" w:space="0"/>
            </w:tcBorders>
            <w:vAlign w:val="center"/>
          </w:tcPr>
          <w:p w14:paraId="3DA13E78">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t>AI课堂分析软件</w:t>
            </w:r>
          </w:p>
        </w:tc>
        <w:tc>
          <w:tcPr>
            <w:tcW w:w="310" w:type="pct"/>
            <w:tcBorders>
              <w:top w:val="single" w:color="auto" w:sz="4" w:space="0"/>
              <w:left w:val="nil"/>
              <w:bottom w:val="single" w:color="auto" w:sz="4" w:space="0"/>
              <w:right w:val="single" w:color="auto" w:sz="4" w:space="0"/>
            </w:tcBorders>
            <w:vAlign w:val="center"/>
          </w:tcPr>
          <w:p w14:paraId="0269C264">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t>1</w:t>
            </w:r>
          </w:p>
        </w:tc>
        <w:tc>
          <w:tcPr>
            <w:tcW w:w="240" w:type="pct"/>
            <w:gridSpan w:val="2"/>
            <w:tcBorders>
              <w:top w:val="single" w:color="auto" w:sz="4" w:space="0"/>
              <w:left w:val="nil"/>
              <w:bottom w:val="single" w:color="auto" w:sz="4" w:space="0"/>
              <w:right w:val="single" w:color="auto" w:sz="4" w:space="0"/>
            </w:tcBorders>
            <w:vAlign w:val="center"/>
          </w:tcPr>
          <w:p w14:paraId="6BAAD6D7">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t>套</w:t>
            </w:r>
          </w:p>
        </w:tc>
        <w:tc>
          <w:tcPr>
            <w:tcW w:w="3659" w:type="pct"/>
            <w:tcBorders>
              <w:top w:val="single" w:color="auto" w:sz="4" w:space="0"/>
              <w:left w:val="nil"/>
              <w:bottom w:val="single" w:color="auto" w:sz="4" w:space="0"/>
              <w:right w:val="single" w:color="auto" w:sz="4" w:space="0"/>
            </w:tcBorders>
            <w:vAlign w:val="center"/>
          </w:tcPr>
          <w:p w14:paraId="518F1CF5">
            <w:pPr>
              <w:keepNext w:val="0"/>
              <w:keepLines w:val="0"/>
              <w:pageBreakBefore w:val="0"/>
              <w:widowControl/>
              <w:kinsoku/>
              <w:wordWrap w:val="0"/>
              <w:overflowPunct/>
              <w:topLinePunct w:val="0"/>
              <w:autoSpaceDE/>
              <w:autoSpaceDN/>
              <w:bidi w:val="0"/>
              <w:adjustRightInd/>
              <w:snapToGrid/>
              <w:spacing w:line="240" w:lineRule="auto"/>
              <w:ind w:firstLine="0" w:firstLineChars="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t>一、平台基础架构与访问</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平台基于B/S架构设计，兼容谷歌Chrome、微软Edge、360安全浏览器等主流浏览器稳定访问，适配多终端用户需求。</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二、课程与计划管理</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1.支持管理员及教师查看已完成的AI课堂分析课程；管理员可通过学科、学段、教师姓名、课程名称等多维度检索课程；教师仅可查看个人课程分析结果。</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2.▲支持教师自主制定AI课堂分析计划，计划可关联具体班级、课程及教室；教师可查看个人计划，管理员可查看全校计划；支持从日期、学科、年级等多维度检索计划，并支持计划与课表关联绑定，实现教学与分析同步。</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三、角色与权限管理</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支持管理员自定义平台角色名称（如学科督导、教学管理员等），编辑角色权限（含功能权限、菜单权限等），并支持角色权限的启用/禁用管理，满足差异化管控需求。</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四、多维课堂数据分析</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.支持多维度课堂分析数据可视化展示，涵盖课堂录播视频、教学模式、教师行为占比、学生行为占比、课堂参与度、学生活跃度及行为分析、课堂热力图、教学结构分析等核心指标。</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.支持将教师在教室中的活动区域按照左侧、中部、右侧三个区域的活动占比情况进行图形分析展示（如热力图、堆叠柱状图），辅助分析教师课堂走动与教学关注区域的分布规律。</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五、教师行为深度分析</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1.支持对教师多维度行为（讲授、提问、课件操作、板书、巡视、师生互动）进行切片整理，以秒为颗粒度在时间轴打点标记，生成教师行为分析时序图；点击时间切片可实时预览对应行为视频片段，辅助教师精准反思教学行为。</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2.▲支持教师教学技能量化分析，涵盖语音清晰度、音量、授课语速及优化建议；通过语音识别算法解析教师高频词及常用口语特征，输出教学语言优化指导。</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六、课堂互动与模式分析</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.支持展示课堂互动分析数据，包括S-T曲线（标注教师时间/学生时间占比）及Rt-Ch课堂教学模式分析（计算Rt值、Ch值后，将教学划分为练习型、讲授型、对话型、混合型四种模式），量化教学互动特征。</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.▲支持通过语音识别算法将整堂课音频按照发言时间点、发言内容转写成文字，并通过课程摘要模块进行结构化文本展示（如按教师/学生分段、关键词高亮），便于快速回顾课堂内容。</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七、学生行为与时序分析</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1.支持对学生多维度行为（听讲、举手、上台、朗读、讨论、起立、练习、应答、齐答、背身行为）进行切片整理，以秒为颗粒度在时间轴打点标记，生成学生行为分析时序图；点击时间切片可实时预览对应行为视频片段，精准捕捉学生课堂表现。</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2.▲支持学生群体的抬头率分析，以分钟为颗粒度进行统计分析并通过曲线图的形式进行展示（横轴为时间，纵轴为抬头率百分比），直观呈现课堂学生专注度的动态变化趋势。</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3.▲支持识别课堂师生语音内容，按照课堂时序（精确到秒级）展示教师和学生的语音转文本内容，同步关联视频画面，实现“语音-文字-视频”三维联动。</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八、教学提问与智能切片</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1.支持教师提问类型分析，涵盖布鲁姆分类法（基础认知问题、高级认知问题及其他问题占比）及4MAT分析法，助力优化提问设计。</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2.支持课堂智能切片功能，点击语音转写文字可自动定位并切片至对应视频片段，实现“文字-视频”快速关联。</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九、课程对比与报告生成</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1.支持管理者按学科、年级、课程名称、教师姓名筛选两堂课程，从AI分析数据（如行为占比、互动模式等）进行横向对比，挖掘教学差异。</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2.支持从教师教学行为（授课、板书、巡视、互动）、学生行为（举手、上台、朗读、讨论、起立）两个维度对比师生行为分布，直观呈现教学协同性。</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3.支持通过教师提问类型（布鲁姆分类法）、学生应答类型等维度对比问答质量，评估课堂互动深度。</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4.支持基于S-T曲线、Rt-Ch课堂教学模式两个维度对比师生互动质量，量化教学互动模式差异。</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5.▲支持查询AI课堂分析指标库，可按学科、年级等维度自动生成分析模板；分析内容严格遵循模板规则输出，确保数据标准化。</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6.▲AI课堂分析模板支持可视化编辑，覆盖课堂质量、教学实施、学生学习、智能切片四大类；每大类支持自定义维度及包含的AI指标，灵活适配不同分析需求。</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7.支持自动生成AI课堂分析报告，报告可按学科、年级、班课名称、教师姓名等维度查询，并支持在线预览及下载，便于存档与分享。</w:t>
            </w:r>
          </w:p>
        </w:tc>
      </w:tr>
      <w:tr w14:paraId="13704496">
        <w:tblPrEx>
          <w:tblCellMar>
            <w:top w:w="0" w:type="dxa"/>
            <w:left w:w="108" w:type="dxa"/>
            <w:bottom w:w="0" w:type="dxa"/>
            <w:right w:w="108" w:type="dxa"/>
          </w:tblCellMar>
        </w:tblPrEx>
        <w:trPr>
          <w:trHeight w:val="20" w:hRule="atLeast"/>
        </w:trPr>
        <w:tc>
          <w:tcPr>
            <w:tcW w:w="225" w:type="pct"/>
            <w:tcBorders>
              <w:top w:val="single" w:color="auto" w:sz="4" w:space="0"/>
              <w:left w:val="single" w:color="auto" w:sz="4" w:space="0"/>
              <w:bottom w:val="single" w:color="auto" w:sz="4" w:space="0"/>
              <w:right w:val="single" w:color="auto" w:sz="4" w:space="0"/>
            </w:tcBorders>
            <w:vAlign w:val="center"/>
          </w:tcPr>
          <w:p w14:paraId="1ECD0941">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21</w:t>
            </w:r>
          </w:p>
        </w:tc>
        <w:tc>
          <w:tcPr>
            <w:tcW w:w="225" w:type="pct"/>
            <w:tcBorders>
              <w:top w:val="single" w:color="auto" w:sz="4" w:space="0"/>
              <w:left w:val="nil"/>
              <w:bottom w:val="single" w:color="auto" w:sz="4" w:space="0"/>
              <w:right w:val="single" w:color="auto" w:sz="4" w:space="0"/>
            </w:tcBorders>
            <w:vAlign w:val="center"/>
          </w:tcPr>
          <w:p w14:paraId="4E29120D">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w:t>
            </w:r>
          </w:p>
        </w:tc>
        <w:tc>
          <w:tcPr>
            <w:tcW w:w="337" w:type="pct"/>
            <w:tcBorders>
              <w:top w:val="single" w:color="auto" w:sz="4" w:space="0"/>
              <w:left w:val="nil"/>
              <w:bottom w:val="single" w:color="auto" w:sz="4" w:space="0"/>
              <w:right w:val="single" w:color="auto" w:sz="4" w:space="0"/>
            </w:tcBorders>
            <w:vAlign w:val="center"/>
          </w:tcPr>
          <w:p w14:paraId="6283E84F">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t>AI课堂观察软件</w:t>
            </w:r>
          </w:p>
        </w:tc>
        <w:tc>
          <w:tcPr>
            <w:tcW w:w="310" w:type="pct"/>
            <w:tcBorders>
              <w:top w:val="single" w:color="auto" w:sz="4" w:space="0"/>
              <w:left w:val="nil"/>
              <w:bottom w:val="single" w:color="auto" w:sz="4" w:space="0"/>
              <w:right w:val="single" w:color="auto" w:sz="4" w:space="0"/>
            </w:tcBorders>
            <w:vAlign w:val="center"/>
          </w:tcPr>
          <w:p w14:paraId="3B822E5A">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p>
        </w:tc>
        <w:tc>
          <w:tcPr>
            <w:tcW w:w="240" w:type="pct"/>
            <w:gridSpan w:val="2"/>
            <w:tcBorders>
              <w:top w:val="single" w:color="auto" w:sz="4" w:space="0"/>
              <w:left w:val="nil"/>
              <w:bottom w:val="single" w:color="auto" w:sz="4" w:space="0"/>
              <w:right w:val="single" w:color="auto" w:sz="4" w:space="0"/>
            </w:tcBorders>
            <w:vAlign w:val="center"/>
          </w:tcPr>
          <w:p w14:paraId="45B633DC">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套</w:t>
            </w:r>
          </w:p>
        </w:tc>
        <w:tc>
          <w:tcPr>
            <w:tcW w:w="3659" w:type="pct"/>
            <w:tcBorders>
              <w:top w:val="single" w:color="auto" w:sz="4" w:space="0"/>
              <w:left w:val="nil"/>
              <w:bottom w:val="single" w:color="auto" w:sz="4" w:space="0"/>
              <w:right w:val="single" w:color="auto" w:sz="4" w:space="0"/>
            </w:tcBorders>
            <w:vAlign w:val="center"/>
          </w:tcPr>
          <w:p w14:paraId="04B2058F">
            <w:pPr>
              <w:keepNext w:val="0"/>
              <w:keepLines w:val="0"/>
              <w:pageBreakBefore w:val="0"/>
              <w:widowControl/>
              <w:kinsoku/>
              <w:wordWrap w:val="0"/>
              <w:overflowPunct/>
              <w:topLinePunct w:val="0"/>
              <w:autoSpaceDE/>
              <w:autoSpaceDN/>
              <w:bidi w:val="0"/>
              <w:adjustRightInd/>
              <w:snapToGrid/>
              <w:spacing w:line="240" w:lineRule="auto"/>
              <w:ind w:firstLine="0" w:firstLineChars="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t>一、AI预警配置管理</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1.支持系统管理员灵活配置AI预警评价量表，基于智能终端或AI分析平台的课堂数据，可自主启用/禁用任意AI预警指标，实现分级分类管理。</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2.▲支持设置课表上课类预警指标（迟到、早退/中途离岗、拖堂等），可根据行为时长自定义“重大”“严重”“一般”三级预警级别，并设定各级别对应的时长阈值。</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3.▲支持设置课堂纪律类预警指标（学生到课率、抬头率、就坐率、背坐率、趴桌率等），可根据数据占比自定义三级预警级别及对应阈值。</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4.支持在课堂巡课过程中临时启用或禁用AI预警指标，已生成的预警数据不受操作影响，仍可正常显示与统计。</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二、实时分析与监控功能</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1.支持系统自动统计巡课记录数据，减少人工汇总成本。</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2.通过教室部署的智能分析终端，对课表上课行为、课堂纪律等场景开展实时分析，保障数据时效性。</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3.▲支持对教师缺课、脱岗、拖堂等行为进行实时分析，快速定位教学异常。</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4.支持对学生到课率、抬头率、前排就坐率、背坐率、趴桌率等状态进行实时分析，辅助评估课堂参与度。</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三、巡课操作与界面功能</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1.支持通过网页查看并检索全校教室列表，可自定义选择教室开展实时巡课；巡课画面支持1/4/9/16分屏展示，支持全屏模式，分屏间隔时间可自定义设置。</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2.巡课界面分屏画面同步展示对应教室的基础信息（教室名称、位置）、教师信息（姓名、科目）及AI分析结果（正常/异常指标数量、AI预警条数）。</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3.进入教室详情页时，主画面展示该教室巡课画面，下方自动同步显示智能分析终端接入的其他视频画面（如板书特写、学生特写），支持全方位无死角巡视。</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4.在教室详情页可查看AI预警取证信息、巡课截图、巡课评价记录等关联数据，辅助快速定位问题。</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四、预警管理与数据统计</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1.▲支持通过AI预警取证模块查看教室预警总览（含课表上课、课堂纪律类指标的异常状态及预警条数）；系统自动抓取各级预警（重大/严重/一般）对应的课堂违纪图片；用户可手动为预警信息添加、修改或删除备注说明。</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2.支持基于系统预设的巡课评价量表，对课堂教学过程进行人工补充评价，完善评价维度。</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3.支持查看当日数据汇总（课程数、学生数、教师数、预警课程数、预警总数、平均预警数、百节课预警率）；支持预警指标排行、预警等级分布、教师预警分布等多维度统计；支持按学科筛选预警等级分布数据；支持与研修平台、录播资源平台共享同一数据库，实现系统间单点登录及统一身份认证。</w:t>
            </w:r>
          </w:p>
        </w:tc>
      </w:tr>
      <w:tr w14:paraId="0006B1E4">
        <w:tblPrEx>
          <w:tblCellMar>
            <w:top w:w="0" w:type="dxa"/>
            <w:left w:w="108" w:type="dxa"/>
            <w:bottom w:w="0" w:type="dxa"/>
            <w:right w:w="108" w:type="dxa"/>
          </w:tblCellMar>
        </w:tblPrEx>
        <w:trPr>
          <w:trHeight w:val="20" w:hRule="atLeast"/>
        </w:trPr>
        <w:tc>
          <w:tcPr>
            <w:tcW w:w="5000" w:type="pct"/>
            <w:gridSpan w:val="7"/>
            <w:tcBorders>
              <w:top w:val="single" w:color="auto" w:sz="4" w:space="0"/>
              <w:left w:val="single" w:color="auto" w:sz="4" w:space="0"/>
              <w:bottom w:val="single" w:color="auto" w:sz="4" w:space="0"/>
              <w:right w:val="single" w:color="auto" w:sz="4" w:space="0"/>
            </w:tcBorders>
            <w:vAlign w:val="center"/>
          </w:tcPr>
          <w:p w14:paraId="097957D4">
            <w:pPr>
              <w:keepNext w:val="0"/>
              <w:keepLines w:val="0"/>
              <w:pageBreakBefore w:val="0"/>
              <w:widowControl/>
              <w:kinsoku/>
              <w:wordWrap w:val="0"/>
              <w:overflowPunct/>
              <w:topLinePunct w:val="0"/>
              <w:autoSpaceDE/>
              <w:autoSpaceDN/>
              <w:bidi w:val="0"/>
              <w:adjustRightInd/>
              <w:snapToGrid/>
              <w:spacing w:line="240" w:lineRule="auto"/>
              <w:ind w:firstLine="0" w:firstLineChars="0"/>
              <w:jc w:val="left"/>
              <w:textAlignment w:val="auto"/>
              <w:rPr>
                <w:rFonts w:hint="eastAsia" w:ascii="仿宋" w:hAnsi="仿宋" w:eastAsia="仿宋" w:cs="仿宋"/>
                <w:b/>
                <w:bCs/>
                <w:color w:val="auto"/>
                <w:kern w:val="0"/>
                <w:sz w:val="24"/>
                <w:szCs w:val="24"/>
                <w:highlight w:val="none"/>
              </w:rPr>
            </w:pPr>
            <w:bookmarkStart w:id="271" w:name="OLE_LINK2"/>
            <w:bookmarkStart w:id="272" w:name="OLE_LINK3"/>
            <w:r>
              <w:rPr>
                <w:rFonts w:hint="eastAsia" w:ascii="仿宋" w:hAnsi="仿宋" w:eastAsia="仿宋" w:cs="仿宋"/>
                <w:b/>
                <w:bCs/>
                <w:color w:val="auto"/>
                <w:kern w:val="0"/>
                <w:sz w:val="24"/>
                <w:szCs w:val="24"/>
                <w:highlight w:val="none"/>
              </w:rPr>
              <w:t>四、智核录播摄像机</w:t>
            </w:r>
            <w:bookmarkEnd w:id="271"/>
            <w:bookmarkEnd w:id="272"/>
          </w:p>
        </w:tc>
      </w:tr>
      <w:tr w14:paraId="446D20E5">
        <w:tblPrEx>
          <w:tblCellMar>
            <w:top w:w="0" w:type="dxa"/>
            <w:left w:w="108" w:type="dxa"/>
            <w:bottom w:w="0" w:type="dxa"/>
            <w:right w:w="108" w:type="dxa"/>
          </w:tblCellMar>
        </w:tblPrEx>
        <w:trPr>
          <w:trHeight w:val="20" w:hRule="atLeast"/>
        </w:trPr>
        <w:tc>
          <w:tcPr>
            <w:tcW w:w="225" w:type="pct"/>
            <w:tcBorders>
              <w:top w:val="single" w:color="auto" w:sz="4" w:space="0"/>
              <w:left w:val="single" w:color="auto" w:sz="4" w:space="0"/>
              <w:bottom w:val="single" w:color="auto" w:sz="4" w:space="0"/>
              <w:right w:val="single" w:color="auto" w:sz="4" w:space="0"/>
            </w:tcBorders>
            <w:vAlign w:val="center"/>
          </w:tcPr>
          <w:p w14:paraId="6AFCBA24">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4"/>
                <w:szCs w:val="24"/>
                <w:highlight w:val="none"/>
                <w:lang w:eastAsia="zh-CN"/>
              </w:rPr>
            </w:pPr>
            <w:r>
              <w:rPr>
                <w:rFonts w:hint="eastAsia" w:ascii="仿宋" w:hAnsi="仿宋" w:eastAsia="仿宋" w:cs="仿宋"/>
                <w:color w:val="auto"/>
                <w:kern w:val="0"/>
                <w:sz w:val="24"/>
                <w:szCs w:val="24"/>
                <w:highlight w:val="none"/>
              </w:rPr>
              <w:t>2</w:t>
            </w:r>
            <w:r>
              <w:rPr>
                <w:rFonts w:hint="eastAsia" w:ascii="仿宋" w:hAnsi="仿宋" w:eastAsia="仿宋" w:cs="仿宋"/>
                <w:color w:val="auto"/>
                <w:kern w:val="0"/>
                <w:sz w:val="24"/>
                <w:szCs w:val="24"/>
                <w:highlight w:val="none"/>
                <w:lang w:val="en-US" w:eastAsia="zh-CN"/>
              </w:rPr>
              <w:t>2</w:t>
            </w:r>
          </w:p>
        </w:tc>
        <w:tc>
          <w:tcPr>
            <w:tcW w:w="225" w:type="pct"/>
            <w:tcBorders>
              <w:top w:val="single" w:color="auto" w:sz="4" w:space="0"/>
              <w:left w:val="nil"/>
              <w:bottom w:val="single" w:color="auto" w:sz="4" w:space="0"/>
              <w:right w:val="single" w:color="auto" w:sz="4" w:space="0"/>
            </w:tcBorders>
            <w:vAlign w:val="center"/>
          </w:tcPr>
          <w:p w14:paraId="58403882">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w:t>
            </w:r>
          </w:p>
        </w:tc>
        <w:tc>
          <w:tcPr>
            <w:tcW w:w="337" w:type="pct"/>
            <w:tcBorders>
              <w:top w:val="single" w:color="auto" w:sz="4" w:space="0"/>
              <w:left w:val="nil"/>
              <w:bottom w:val="single" w:color="auto" w:sz="4" w:space="0"/>
              <w:right w:val="single" w:color="auto" w:sz="4" w:space="0"/>
            </w:tcBorders>
            <w:vAlign w:val="center"/>
          </w:tcPr>
          <w:p w14:paraId="291071CC">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t>教师跟踪摄像机</w:t>
            </w:r>
          </w:p>
        </w:tc>
        <w:tc>
          <w:tcPr>
            <w:tcW w:w="310" w:type="pct"/>
            <w:tcBorders>
              <w:top w:val="single" w:color="auto" w:sz="4" w:space="0"/>
              <w:left w:val="nil"/>
              <w:bottom w:val="single" w:color="auto" w:sz="4" w:space="0"/>
              <w:right w:val="single" w:color="auto" w:sz="4" w:space="0"/>
            </w:tcBorders>
            <w:vAlign w:val="center"/>
          </w:tcPr>
          <w:p w14:paraId="3A687550">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t>1</w:t>
            </w:r>
          </w:p>
        </w:tc>
        <w:tc>
          <w:tcPr>
            <w:tcW w:w="240" w:type="pct"/>
            <w:gridSpan w:val="2"/>
            <w:tcBorders>
              <w:top w:val="single" w:color="auto" w:sz="4" w:space="0"/>
              <w:left w:val="nil"/>
              <w:bottom w:val="single" w:color="auto" w:sz="4" w:space="0"/>
              <w:right w:val="single" w:color="auto" w:sz="4" w:space="0"/>
            </w:tcBorders>
            <w:vAlign w:val="center"/>
          </w:tcPr>
          <w:p w14:paraId="70E90CA3">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t>台</w:t>
            </w:r>
          </w:p>
        </w:tc>
        <w:tc>
          <w:tcPr>
            <w:tcW w:w="3659" w:type="pct"/>
            <w:tcBorders>
              <w:top w:val="single" w:color="auto" w:sz="4" w:space="0"/>
              <w:left w:val="nil"/>
              <w:bottom w:val="single" w:color="auto" w:sz="4" w:space="0"/>
              <w:right w:val="single" w:color="auto" w:sz="4" w:space="0"/>
            </w:tcBorders>
            <w:vAlign w:val="center"/>
          </w:tcPr>
          <w:p w14:paraId="2009AFC8">
            <w:pPr>
              <w:keepNext w:val="0"/>
              <w:keepLines w:val="0"/>
              <w:pageBreakBefore w:val="0"/>
              <w:widowControl/>
              <w:kinsoku/>
              <w:wordWrap w:val="0"/>
              <w:overflowPunct/>
              <w:topLinePunct w:val="0"/>
              <w:autoSpaceDE/>
              <w:autoSpaceDN/>
              <w:bidi w:val="0"/>
              <w:adjustRightInd/>
              <w:snapToGrid/>
              <w:spacing w:line="240" w:lineRule="auto"/>
              <w:ind w:firstLine="0" w:firstLineChars="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t>1.4K Sensor和4K镜头，1/2.7英寸HD CMOS或以上图像传感器，有效像素不少于800万；</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2.镜头应支持自动对焦，不小于M12 镜头卡口，水平视场角不少于44°；</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3.支持自动变焦和手动变焦，变焦倍数≥8倍；</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4.最低照度：0.5 Lux @ (F1.8， AGC ON)；电子快门1/30s ~ 1/10000s；</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5.支持自动、手动等多种白平衡模式；</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6.数字降噪支持2D和3D降噪算法；</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7.图像信噪：55dB；</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8.支持背光补偿功能；</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9.支持EPTZ电子云台控制方式，实现画面的上下左右移动、放大缩小变焦等操作；</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10.视频编码支持不少于H.265 / H.264 / MJEPG三种格式；</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11.单台摄像机支持进行4路视频流编码输出，输出视频分辨率支持4K和1080P等标准视频分辨率格式；视频码率32Kbps ~ 16384Kbps可调；帧率1~30fps可调；</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12.音频编码支持不少于AAC/G.711a两种格式；</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13.支持TCP/IP、 HTTP、RTSP、RTMP、Onvif、DHCP、GB28181、组播等协议；</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14.具有不少于1个USB 2.0接口，支持外接U盘、麦克风等设备；</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15.具有不少于1个RJ45接口，支持PoE功能并支持系统管理和RTSP协议网络视频输出；</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16.支持通用浏览器直接访问进行管理，支持曝光模式设置、摄像机图像质量调节；</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17.音频接口不少于1路3.5mm LINE IN接口和1路3.5mm LINE OUT接口；</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18.供电方式采用POE 供电、电源适配器供电方式，根据环境实际情况可灵活选择。</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19.图像翻转：要求支持图像水平、垂直翻转，适应摄像机不同的安装方式要求；</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20.内置图像识别技术和跟踪算法，无需增加任何辅助设备即可实现人像自动跟踪，通过水平运动、俯仰运动、变焦、聚焦四维实时跟踪，准确定位教师的位置，并能实时的跟踪拍摄，实时控制摄像头精确定位，并且能够特写模式拍摄，跟踪过程平滑流畅，视觉体验舒适</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21.支持教师和学生的AI自动识别切换，根据部署位置、模式自主适配教师或学生的跟踪逻辑。</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22.支持AI人体特征识别，能够自动识别并锁定跟踪人，人物丢失后再进入拍摄区域可以继续识别锁定进行跟踪。</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23.采用教师角色识别逻辑，可基于站立姿态、面/背向状态等多维判定，快速识别教师，避免学生站立影响；</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24.支持划分自动跟踪区域，当锁定跟踪人物走出自动跟踪区域时即停止跟踪，直到重新回到区域出现在画面中为止；</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25.检测区域设置：支持对接入摄像机的AI跟踪检测区域设置，可根据实景拍摄画面中框选跟踪区域，框选后只在区域中方能触发跟踪。</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26.录制跟踪切换：根据设定的跟踪策略形成跟踪指令，实现多路接入摄像机的全自动AI跟踪画面切换。</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27.支持设置跟踪屏蔽区域，如主动屏蔽掉教师观摩区、窗户窗帘、教室门口、大屏液晶电视等易干扰跟踪效果的地方，所屏蔽的地方系统将不对其进行AI分析跟踪运算，以避免这些地方干扰整体的跟踪效果。</w:t>
            </w:r>
          </w:p>
        </w:tc>
      </w:tr>
      <w:tr w14:paraId="02BA38E7">
        <w:tblPrEx>
          <w:tblCellMar>
            <w:top w:w="0" w:type="dxa"/>
            <w:left w:w="108" w:type="dxa"/>
            <w:bottom w:w="0" w:type="dxa"/>
            <w:right w:w="108" w:type="dxa"/>
          </w:tblCellMar>
        </w:tblPrEx>
        <w:trPr>
          <w:trHeight w:val="20" w:hRule="atLeast"/>
        </w:trPr>
        <w:tc>
          <w:tcPr>
            <w:tcW w:w="225" w:type="pct"/>
            <w:tcBorders>
              <w:top w:val="single" w:color="auto" w:sz="4" w:space="0"/>
              <w:left w:val="single" w:color="auto" w:sz="4" w:space="0"/>
              <w:bottom w:val="single" w:color="auto" w:sz="4" w:space="0"/>
              <w:right w:val="single" w:color="auto" w:sz="4" w:space="0"/>
            </w:tcBorders>
            <w:vAlign w:val="center"/>
          </w:tcPr>
          <w:p w14:paraId="075837DD">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4"/>
                <w:szCs w:val="24"/>
                <w:highlight w:val="none"/>
                <w:lang w:eastAsia="zh-CN"/>
              </w:rPr>
            </w:pPr>
            <w:r>
              <w:rPr>
                <w:rFonts w:hint="eastAsia" w:ascii="仿宋" w:hAnsi="仿宋" w:eastAsia="仿宋" w:cs="仿宋"/>
                <w:color w:val="auto"/>
                <w:kern w:val="0"/>
                <w:sz w:val="24"/>
                <w:szCs w:val="24"/>
                <w:highlight w:val="none"/>
              </w:rPr>
              <w:t>2</w:t>
            </w:r>
            <w:r>
              <w:rPr>
                <w:rFonts w:hint="eastAsia" w:ascii="仿宋" w:hAnsi="仿宋" w:eastAsia="仿宋" w:cs="仿宋"/>
                <w:color w:val="auto"/>
                <w:kern w:val="0"/>
                <w:sz w:val="24"/>
                <w:szCs w:val="24"/>
                <w:highlight w:val="none"/>
                <w:lang w:val="en-US" w:eastAsia="zh-CN"/>
              </w:rPr>
              <w:t>3</w:t>
            </w:r>
          </w:p>
        </w:tc>
        <w:tc>
          <w:tcPr>
            <w:tcW w:w="225" w:type="pct"/>
            <w:tcBorders>
              <w:top w:val="single" w:color="auto" w:sz="4" w:space="0"/>
              <w:left w:val="nil"/>
              <w:bottom w:val="single" w:color="auto" w:sz="4" w:space="0"/>
              <w:right w:val="single" w:color="auto" w:sz="4" w:space="0"/>
            </w:tcBorders>
            <w:vAlign w:val="center"/>
          </w:tcPr>
          <w:p w14:paraId="5C4A8343">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w:t>
            </w:r>
          </w:p>
        </w:tc>
        <w:tc>
          <w:tcPr>
            <w:tcW w:w="337" w:type="pct"/>
            <w:tcBorders>
              <w:top w:val="single" w:color="auto" w:sz="4" w:space="0"/>
              <w:left w:val="nil"/>
              <w:bottom w:val="single" w:color="auto" w:sz="4" w:space="0"/>
              <w:right w:val="single" w:color="auto" w:sz="4" w:space="0"/>
            </w:tcBorders>
            <w:vAlign w:val="center"/>
          </w:tcPr>
          <w:p w14:paraId="67D088A8">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t>学生跟踪摄像机</w:t>
            </w:r>
          </w:p>
        </w:tc>
        <w:tc>
          <w:tcPr>
            <w:tcW w:w="310" w:type="pct"/>
            <w:tcBorders>
              <w:top w:val="single" w:color="auto" w:sz="4" w:space="0"/>
              <w:left w:val="nil"/>
              <w:bottom w:val="single" w:color="auto" w:sz="4" w:space="0"/>
              <w:right w:val="single" w:color="auto" w:sz="4" w:space="0"/>
            </w:tcBorders>
            <w:vAlign w:val="center"/>
          </w:tcPr>
          <w:p w14:paraId="209F590C">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t>1</w:t>
            </w:r>
          </w:p>
        </w:tc>
        <w:tc>
          <w:tcPr>
            <w:tcW w:w="240" w:type="pct"/>
            <w:gridSpan w:val="2"/>
            <w:tcBorders>
              <w:top w:val="single" w:color="auto" w:sz="4" w:space="0"/>
              <w:left w:val="nil"/>
              <w:bottom w:val="single" w:color="auto" w:sz="4" w:space="0"/>
              <w:right w:val="single" w:color="auto" w:sz="4" w:space="0"/>
            </w:tcBorders>
            <w:vAlign w:val="center"/>
          </w:tcPr>
          <w:p w14:paraId="63B03774">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t>台</w:t>
            </w:r>
          </w:p>
        </w:tc>
        <w:tc>
          <w:tcPr>
            <w:tcW w:w="3659" w:type="pct"/>
            <w:tcBorders>
              <w:top w:val="single" w:color="auto" w:sz="4" w:space="0"/>
              <w:left w:val="nil"/>
              <w:bottom w:val="single" w:color="auto" w:sz="4" w:space="0"/>
              <w:right w:val="single" w:color="auto" w:sz="4" w:space="0"/>
            </w:tcBorders>
            <w:vAlign w:val="center"/>
          </w:tcPr>
          <w:p w14:paraId="3E1909E8">
            <w:pPr>
              <w:keepNext w:val="0"/>
              <w:keepLines w:val="0"/>
              <w:pageBreakBefore w:val="0"/>
              <w:widowControl/>
              <w:kinsoku/>
              <w:wordWrap w:val="0"/>
              <w:overflowPunct/>
              <w:topLinePunct w:val="0"/>
              <w:autoSpaceDE/>
              <w:autoSpaceDN/>
              <w:bidi w:val="0"/>
              <w:adjustRightInd/>
              <w:snapToGrid/>
              <w:spacing w:line="240" w:lineRule="auto"/>
              <w:ind w:firstLine="0" w:firstLineChars="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t>1.4K Sensor和4K镜头，1/2.7英寸HD CMOS或以上图像传感器，有效像素不少于800万；</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2.镜头应支持自动对焦，不小于M12 镜头卡口，水平视场角不少于95°；</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3.支持自动变焦和手动变焦，变焦倍数≥8倍；</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4.最低照度：0.5 Lux @ (F1.8， AGC ON)；电子快门1/30s ~ 1/10000s；</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5.支持自动、手动等多种白平衡模式；</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6.数字降噪支持2D和3D降噪算法；</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7.图像信噪：55dB；</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8.支持背光补偿功能；</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9.支持EPTZ电子云台控制方式，实现画面的上下左右移动、放大缩小变焦等操作；</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10.视频编码支持不少于H.265 / H.264 / MJEPG三种格式；</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11.单台摄像机支持进行4路视频流编码输出，输出视频分辨率支持4K和1080P等标准视频分辨率格式；视频码率32Kbps ~ 16384Kbps可调；帧率1~30fps可调；</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12.音频编码支持不少于AAC/G.711a两种格式；</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13.支持TCP/IP、 HTTP、RTSP、RTMP、Onvif、DHCP、GB28181、组播等协议；</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14.具有不少于1个USB 2.0接口，支持外接U盘、麦克风等设备；</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15.具有不少于1个RJ45接口，支持PoE功能并支持系统管理和RTSP协议网络视频输出；</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16.支持通用浏览器直接访问进行管理，支持曝光模式设置、摄像机图像质量调节；</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17.音频接口不少于1路3.5mm LINE IN接口和1路3.5mm LINE OUT接口；</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18.供电方式采用POE 供电、电源适配器供电方式，根据环境实际情况可灵活选择。</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19.图像翻转：要求支持图像水平、垂直翻转，适应摄像机不同的安装方式要求；</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20.内置图像识别技术和跟踪算法，无需增加任何辅助设备即可实现人像自动跟踪，通过水平运动、俯仰运动、变焦、聚焦四维实时跟踪，准确定位教师的位置，并能实时的跟踪拍摄，实时控制摄像头精确定位，并且能够特写模式拍摄，跟踪过程平滑流畅，视觉体验舒适</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21.支持教师和学生的AI自动识别切换，根据部署位置、模式自主适配教师或学生的跟踪逻辑。</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22.支持AI人体特征识别，能够自动识别并锁定跟踪人，人物丢失后再进入拍摄区域可以继续识别锁定进行跟踪。</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23.支持学生智能跟踪，根据学生站立/做下动作状态，进行学生特写跟踪拍摄，并通知录播主机完成画面切换。</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24.检测区域设置：支持对接入摄像机的AI跟踪检测区域设置，可根据实景拍摄画面中框选跟踪区域，框选后只在区域中方能触发跟踪。</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录制跟踪切换：根据设定的跟踪策略形成跟踪指令，实现多路接入摄像机的全自动AI跟踪画面切换。</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25.支持设置跟踪屏蔽区域，如主动屏蔽掉教师观摩区、窗户窗帘、教室门口、大屏液晶电视等易干扰跟踪效果的地方，所屏蔽的地方系统将不对其进行AI分析跟踪运算，以避免这些地方干扰整体的跟踪效果。</w:t>
            </w:r>
          </w:p>
        </w:tc>
      </w:tr>
      <w:tr w14:paraId="2D26B4AC">
        <w:tblPrEx>
          <w:tblCellMar>
            <w:top w:w="0" w:type="dxa"/>
            <w:left w:w="108" w:type="dxa"/>
            <w:bottom w:w="0" w:type="dxa"/>
            <w:right w:w="108" w:type="dxa"/>
          </w:tblCellMar>
        </w:tblPrEx>
        <w:trPr>
          <w:trHeight w:val="20" w:hRule="atLeast"/>
        </w:trPr>
        <w:tc>
          <w:tcPr>
            <w:tcW w:w="225" w:type="pct"/>
            <w:tcBorders>
              <w:top w:val="single" w:color="auto" w:sz="4" w:space="0"/>
              <w:left w:val="single" w:color="auto" w:sz="4" w:space="0"/>
              <w:bottom w:val="single" w:color="auto" w:sz="4" w:space="0"/>
              <w:right w:val="single" w:color="auto" w:sz="4" w:space="0"/>
            </w:tcBorders>
            <w:vAlign w:val="center"/>
          </w:tcPr>
          <w:p w14:paraId="600EB491">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4"/>
                <w:szCs w:val="24"/>
                <w:highlight w:val="none"/>
                <w:lang w:eastAsia="zh-CN"/>
              </w:rPr>
            </w:pPr>
            <w:r>
              <w:rPr>
                <w:rFonts w:hint="eastAsia" w:ascii="仿宋" w:hAnsi="仿宋" w:eastAsia="仿宋" w:cs="仿宋"/>
                <w:color w:val="auto"/>
                <w:kern w:val="0"/>
                <w:sz w:val="24"/>
                <w:szCs w:val="24"/>
                <w:highlight w:val="none"/>
              </w:rPr>
              <w:t>2</w:t>
            </w:r>
            <w:r>
              <w:rPr>
                <w:rFonts w:hint="eastAsia" w:ascii="仿宋" w:hAnsi="仿宋" w:eastAsia="仿宋" w:cs="仿宋"/>
                <w:color w:val="auto"/>
                <w:kern w:val="0"/>
                <w:sz w:val="24"/>
                <w:szCs w:val="24"/>
                <w:highlight w:val="none"/>
                <w:lang w:val="en-US" w:eastAsia="zh-CN"/>
              </w:rPr>
              <w:t>4</w:t>
            </w:r>
          </w:p>
        </w:tc>
        <w:tc>
          <w:tcPr>
            <w:tcW w:w="225" w:type="pct"/>
            <w:tcBorders>
              <w:top w:val="single" w:color="auto" w:sz="4" w:space="0"/>
              <w:left w:val="nil"/>
              <w:bottom w:val="single" w:color="auto" w:sz="4" w:space="0"/>
              <w:right w:val="single" w:color="auto" w:sz="4" w:space="0"/>
            </w:tcBorders>
            <w:vAlign w:val="center"/>
          </w:tcPr>
          <w:p w14:paraId="6A6FBB36">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w:t>
            </w:r>
          </w:p>
        </w:tc>
        <w:tc>
          <w:tcPr>
            <w:tcW w:w="337" w:type="pct"/>
            <w:tcBorders>
              <w:top w:val="single" w:color="auto" w:sz="4" w:space="0"/>
              <w:left w:val="nil"/>
              <w:bottom w:val="single" w:color="auto" w:sz="4" w:space="0"/>
              <w:right w:val="single" w:color="auto" w:sz="4" w:space="0"/>
            </w:tcBorders>
            <w:vAlign w:val="center"/>
          </w:tcPr>
          <w:p w14:paraId="0D662315">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t>高清摄像机</w:t>
            </w:r>
          </w:p>
        </w:tc>
        <w:tc>
          <w:tcPr>
            <w:tcW w:w="310" w:type="pct"/>
            <w:tcBorders>
              <w:top w:val="single" w:color="auto" w:sz="4" w:space="0"/>
              <w:left w:val="nil"/>
              <w:bottom w:val="single" w:color="auto" w:sz="4" w:space="0"/>
              <w:right w:val="single" w:color="auto" w:sz="4" w:space="0"/>
            </w:tcBorders>
            <w:vAlign w:val="center"/>
          </w:tcPr>
          <w:p w14:paraId="1DFC115E">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t>2</w:t>
            </w:r>
          </w:p>
        </w:tc>
        <w:tc>
          <w:tcPr>
            <w:tcW w:w="240" w:type="pct"/>
            <w:gridSpan w:val="2"/>
            <w:tcBorders>
              <w:top w:val="single" w:color="auto" w:sz="4" w:space="0"/>
              <w:left w:val="nil"/>
              <w:bottom w:val="single" w:color="auto" w:sz="4" w:space="0"/>
              <w:right w:val="single" w:color="auto" w:sz="4" w:space="0"/>
            </w:tcBorders>
            <w:vAlign w:val="center"/>
          </w:tcPr>
          <w:p w14:paraId="71088F09">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t>台</w:t>
            </w:r>
          </w:p>
        </w:tc>
        <w:tc>
          <w:tcPr>
            <w:tcW w:w="3659" w:type="pct"/>
            <w:tcBorders>
              <w:top w:val="single" w:color="auto" w:sz="4" w:space="0"/>
              <w:left w:val="nil"/>
              <w:bottom w:val="single" w:color="auto" w:sz="4" w:space="0"/>
              <w:right w:val="single" w:color="auto" w:sz="4" w:space="0"/>
            </w:tcBorders>
            <w:vAlign w:val="center"/>
          </w:tcPr>
          <w:p w14:paraId="36603B03">
            <w:pPr>
              <w:keepNext w:val="0"/>
              <w:keepLines w:val="0"/>
              <w:pageBreakBefore w:val="0"/>
              <w:widowControl/>
              <w:kinsoku/>
              <w:wordWrap w:val="0"/>
              <w:overflowPunct/>
              <w:topLinePunct w:val="0"/>
              <w:autoSpaceDE/>
              <w:autoSpaceDN/>
              <w:bidi w:val="0"/>
              <w:adjustRightInd/>
              <w:snapToGrid/>
              <w:spacing w:line="240" w:lineRule="auto"/>
              <w:ind w:firstLine="0" w:firstLineChars="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t>1.要求采用1/2.8英寸或以上CMOS图像传感器，有效像素不低于207万；</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2.支持自动和手动变焦，变焦倍数≥20倍；</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3.水平视场角度范围72.0° ~ 6.1°；</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4.支持图像水平、垂直翻转，适应摄像机不同的安装方式要求；</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5.不少于1路RS232 in、1路RS232 out和1路RS485控制接口 ；</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6.视频输出：具有不少于1个USB 3.0接口、不少于1个高清网络输出接口、不少于1个3G-SDI接口、不少于1个HDMI接口；同时支持4口输出1080p60帧画面；</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7.RJ45接口支持POE功能，并支持RTSP协议支持网络视频输出；</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8.USB 2.0接口，支持外接U盘、麦克风等设备；</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9.内置音频处理算法，支持混音消除，有效降低环境噪音；支持EQ调节；</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10.支持双mic拾音，支持外接麦克风等拾音设备。</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11.支持H.265 / H.264 视频编码方式；</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12.音频编码：AAC/G.711a；音频码率96Kbps、128Kbps，256Kbps可调；</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13.支持NDI|HX、TCP/IP、 HTTP、RTSP、RTMP、Onvif、DHCP、GB/T28181、组播等协议；</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14.供电方式采用POE和电源适配器两种供电方式。</w:t>
            </w:r>
          </w:p>
        </w:tc>
      </w:tr>
      <w:tr w14:paraId="75F77122">
        <w:tblPrEx>
          <w:tblCellMar>
            <w:top w:w="0" w:type="dxa"/>
            <w:left w:w="108" w:type="dxa"/>
            <w:bottom w:w="0" w:type="dxa"/>
            <w:right w:w="108" w:type="dxa"/>
          </w:tblCellMar>
        </w:tblPrEx>
        <w:trPr>
          <w:trHeight w:val="20" w:hRule="atLeast"/>
        </w:trPr>
        <w:tc>
          <w:tcPr>
            <w:tcW w:w="5000" w:type="pct"/>
            <w:gridSpan w:val="7"/>
            <w:tcBorders>
              <w:top w:val="single" w:color="auto" w:sz="4" w:space="0"/>
              <w:left w:val="single" w:color="auto" w:sz="4" w:space="0"/>
              <w:bottom w:val="single" w:color="auto" w:sz="4" w:space="0"/>
              <w:right w:val="single" w:color="auto" w:sz="4" w:space="0"/>
            </w:tcBorders>
            <w:vAlign w:val="center"/>
          </w:tcPr>
          <w:p w14:paraId="2EB231D4">
            <w:pPr>
              <w:keepNext w:val="0"/>
              <w:keepLines w:val="0"/>
              <w:pageBreakBefore w:val="0"/>
              <w:widowControl/>
              <w:kinsoku/>
              <w:wordWrap w:val="0"/>
              <w:overflowPunct/>
              <w:topLinePunct w:val="0"/>
              <w:autoSpaceDE/>
              <w:autoSpaceDN/>
              <w:bidi w:val="0"/>
              <w:adjustRightInd/>
              <w:snapToGrid/>
              <w:spacing w:line="240" w:lineRule="auto"/>
              <w:ind w:firstLine="0" w:firstLineChars="0"/>
              <w:jc w:val="left"/>
              <w:textAlignment w:val="auto"/>
              <w:rPr>
                <w:rFonts w:hint="eastAsia"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rPr>
              <w:t>五、扩声系统</w:t>
            </w:r>
          </w:p>
        </w:tc>
      </w:tr>
      <w:tr w14:paraId="039B7AF9">
        <w:tblPrEx>
          <w:tblCellMar>
            <w:top w:w="0" w:type="dxa"/>
            <w:left w:w="108" w:type="dxa"/>
            <w:bottom w:w="0" w:type="dxa"/>
            <w:right w:w="108" w:type="dxa"/>
          </w:tblCellMar>
        </w:tblPrEx>
        <w:trPr>
          <w:trHeight w:val="20" w:hRule="atLeast"/>
        </w:trPr>
        <w:tc>
          <w:tcPr>
            <w:tcW w:w="225" w:type="pct"/>
            <w:tcBorders>
              <w:top w:val="single" w:color="auto" w:sz="4" w:space="0"/>
              <w:left w:val="single" w:color="auto" w:sz="4" w:space="0"/>
              <w:bottom w:val="single" w:color="auto" w:sz="4" w:space="0"/>
              <w:right w:val="single" w:color="auto" w:sz="4" w:space="0"/>
            </w:tcBorders>
            <w:vAlign w:val="center"/>
          </w:tcPr>
          <w:p w14:paraId="663E271A">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4"/>
                <w:szCs w:val="24"/>
                <w:highlight w:val="none"/>
                <w:lang w:eastAsia="zh-CN"/>
              </w:rPr>
            </w:pPr>
            <w:r>
              <w:rPr>
                <w:rFonts w:hint="eastAsia" w:ascii="仿宋" w:hAnsi="仿宋" w:eastAsia="仿宋" w:cs="仿宋"/>
                <w:color w:val="auto"/>
                <w:kern w:val="0"/>
                <w:sz w:val="24"/>
                <w:szCs w:val="24"/>
                <w:highlight w:val="none"/>
              </w:rPr>
              <w:t>2</w:t>
            </w:r>
            <w:r>
              <w:rPr>
                <w:rFonts w:hint="eastAsia" w:ascii="仿宋" w:hAnsi="仿宋" w:eastAsia="仿宋" w:cs="仿宋"/>
                <w:color w:val="auto"/>
                <w:kern w:val="0"/>
                <w:sz w:val="24"/>
                <w:szCs w:val="24"/>
                <w:highlight w:val="none"/>
                <w:lang w:val="en-US" w:eastAsia="zh-CN"/>
              </w:rPr>
              <w:t>5</w:t>
            </w:r>
          </w:p>
        </w:tc>
        <w:tc>
          <w:tcPr>
            <w:tcW w:w="225" w:type="pct"/>
            <w:tcBorders>
              <w:top w:val="single" w:color="auto" w:sz="4" w:space="0"/>
              <w:left w:val="nil"/>
              <w:bottom w:val="single" w:color="auto" w:sz="4" w:space="0"/>
              <w:right w:val="single" w:color="auto" w:sz="4" w:space="0"/>
            </w:tcBorders>
            <w:vAlign w:val="center"/>
          </w:tcPr>
          <w:p w14:paraId="33B13D08">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w:t>
            </w:r>
          </w:p>
        </w:tc>
        <w:tc>
          <w:tcPr>
            <w:tcW w:w="337" w:type="pct"/>
            <w:tcBorders>
              <w:top w:val="single" w:color="auto" w:sz="4" w:space="0"/>
              <w:left w:val="nil"/>
              <w:bottom w:val="single" w:color="auto" w:sz="4" w:space="0"/>
              <w:right w:val="single" w:color="auto" w:sz="4" w:space="0"/>
            </w:tcBorders>
            <w:vAlign w:val="center"/>
          </w:tcPr>
          <w:p w14:paraId="0D5AEBC9">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t>吊装麦克风</w:t>
            </w:r>
          </w:p>
        </w:tc>
        <w:tc>
          <w:tcPr>
            <w:tcW w:w="310" w:type="pct"/>
            <w:tcBorders>
              <w:top w:val="single" w:color="auto" w:sz="4" w:space="0"/>
              <w:left w:val="nil"/>
              <w:bottom w:val="single" w:color="auto" w:sz="4" w:space="0"/>
              <w:right w:val="single" w:color="auto" w:sz="4" w:space="0"/>
            </w:tcBorders>
            <w:vAlign w:val="center"/>
          </w:tcPr>
          <w:p w14:paraId="06308D23">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t>1</w:t>
            </w:r>
          </w:p>
        </w:tc>
        <w:tc>
          <w:tcPr>
            <w:tcW w:w="240" w:type="pct"/>
            <w:gridSpan w:val="2"/>
            <w:tcBorders>
              <w:top w:val="single" w:color="auto" w:sz="4" w:space="0"/>
              <w:left w:val="nil"/>
              <w:bottom w:val="single" w:color="auto" w:sz="4" w:space="0"/>
              <w:right w:val="single" w:color="auto" w:sz="4" w:space="0"/>
            </w:tcBorders>
            <w:vAlign w:val="center"/>
          </w:tcPr>
          <w:p w14:paraId="02C6B768">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t>支</w:t>
            </w:r>
          </w:p>
        </w:tc>
        <w:tc>
          <w:tcPr>
            <w:tcW w:w="3659" w:type="pct"/>
            <w:tcBorders>
              <w:top w:val="single" w:color="auto" w:sz="4" w:space="0"/>
              <w:left w:val="nil"/>
              <w:bottom w:val="single" w:color="auto" w:sz="4" w:space="0"/>
              <w:right w:val="single" w:color="auto" w:sz="4" w:space="0"/>
            </w:tcBorders>
            <w:vAlign w:val="center"/>
          </w:tcPr>
          <w:p w14:paraId="0672E9E9">
            <w:pPr>
              <w:keepNext w:val="0"/>
              <w:keepLines w:val="0"/>
              <w:pageBreakBefore w:val="0"/>
              <w:widowControl/>
              <w:kinsoku/>
              <w:wordWrap w:val="0"/>
              <w:overflowPunct/>
              <w:topLinePunct w:val="0"/>
              <w:autoSpaceDE/>
              <w:autoSpaceDN/>
              <w:bidi w:val="0"/>
              <w:adjustRightInd/>
              <w:snapToGrid/>
              <w:spacing w:line="240" w:lineRule="auto"/>
              <w:ind w:firstLine="0" w:firstLineChars="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t xml:space="preserve">1、频率范围：70Hz-18kHz。 </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 xml:space="preserve">2、灵敏度：≥-35dB（18mV/Pa）。 </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 xml:space="preserve">3、指向性：超心型。 </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4、最大声压级：≥132dB。</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 xml:space="preserve">5、信噪比：≥68dB 。 </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 xml:space="preserve">6、供电电压：48V幻象电源供电。 </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 xml:space="preserve">7、抗手机、电磁、高频干扰。 </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8、吊装麦克风最低处离地面至少3.5米（根据教室层高自行调整）。</w:t>
            </w:r>
          </w:p>
        </w:tc>
      </w:tr>
      <w:tr w14:paraId="0DA38586">
        <w:tblPrEx>
          <w:tblCellMar>
            <w:top w:w="0" w:type="dxa"/>
            <w:left w:w="108" w:type="dxa"/>
            <w:bottom w:w="0" w:type="dxa"/>
            <w:right w:w="108" w:type="dxa"/>
          </w:tblCellMar>
        </w:tblPrEx>
        <w:trPr>
          <w:trHeight w:val="20" w:hRule="atLeast"/>
        </w:trPr>
        <w:tc>
          <w:tcPr>
            <w:tcW w:w="225" w:type="pct"/>
            <w:tcBorders>
              <w:top w:val="single" w:color="auto" w:sz="4" w:space="0"/>
              <w:left w:val="single" w:color="auto" w:sz="4" w:space="0"/>
              <w:bottom w:val="single" w:color="auto" w:sz="4" w:space="0"/>
              <w:right w:val="single" w:color="auto" w:sz="4" w:space="0"/>
            </w:tcBorders>
            <w:vAlign w:val="center"/>
          </w:tcPr>
          <w:p w14:paraId="516DF4A7">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26</w:t>
            </w:r>
          </w:p>
        </w:tc>
        <w:tc>
          <w:tcPr>
            <w:tcW w:w="225" w:type="pct"/>
            <w:tcBorders>
              <w:top w:val="single" w:color="auto" w:sz="4" w:space="0"/>
              <w:left w:val="nil"/>
              <w:bottom w:val="single" w:color="auto" w:sz="4" w:space="0"/>
              <w:right w:val="single" w:color="auto" w:sz="4" w:space="0"/>
            </w:tcBorders>
            <w:vAlign w:val="center"/>
          </w:tcPr>
          <w:p w14:paraId="3640D125">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w:t>
            </w:r>
          </w:p>
        </w:tc>
        <w:tc>
          <w:tcPr>
            <w:tcW w:w="337" w:type="pct"/>
            <w:tcBorders>
              <w:top w:val="single" w:color="auto" w:sz="4" w:space="0"/>
              <w:left w:val="nil"/>
              <w:bottom w:val="single" w:color="auto" w:sz="4" w:space="0"/>
              <w:right w:val="single" w:color="auto" w:sz="4" w:space="0"/>
            </w:tcBorders>
            <w:vAlign w:val="center"/>
          </w:tcPr>
          <w:p w14:paraId="0793A1D1">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t>数字音频处理器</w:t>
            </w:r>
          </w:p>
        </w:tc>
        <w:tc>
          <w:tcPr>
            <w:tcW w:w="310" w:type="pct"/>
            <w:tcBorders>
              <w:top w:val="single" w:color="auto" w:sz="4" w:space="0"/>
              <w:left w:val="nil"/>
              <w:bottom w:val="single" w:color="auto" w:sz="4" w:space="0"/>
              <w:right w:val="single" w:color="auto" w:sz="4" w:space="0"/>
            </w:tcBorders>
            <w:vAlign w:val="center"/>
          </w:tcPr>
          <w:p w14:paraId="01DA3EB6">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t>1</w:t>
            </w:r>
          </w:p>
        </w:tc>
        <w:tc>
          <w:tcPr>
            <w:tcW w:w="240" w:type="pct"/>
            <w:gridSpan w:val="2"/>
            <w:tcBorders>
              <w:top w:val="single" w:color="auto" w:sz="4" w:space="0"/>
              <w:left w:val="nil"/>
              <w:bottom w:val="single" w:color="auto" w:sz="4" w:space="0"/>
              <w:right w:val="single" w:color="auto" w:sz="4" w:space="0"/>
            </w:tcBorders>
            <w:vAlign w:val="center"/>
          </w:tcPr>
          <w:p w14:paraId="1FC1C896">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t>台</w:t>
            </w:r>
          </w:p>
        </w:tc>
        <w:tc>
          <w:tcPr>
            <w:tcW w:w="3659" w:type="pct"/>
            <w:tcBorders>
              <w:top w:val="single" w:color="auto" w:sz="4" w:space="0"/>
              <w:left w:val="nil"/>
              <w:bottom w:val="single" w:color="auto" w:sz="4" w:space="0"/>
              <w:right w:val="single" w:color="auto" w:sz="4" w:space="0"/>
            </w:tcBorders>
            <w:vAlign w:val="center"/>
          </w:tcPr>
          <w:p w14:paraId="2CAB48E7">
            <w:pPr>
              <w:keepNext w:val="0"/>
              <w:keepLines w:val="0"/>
              <w:pageBreakBefore w:val="0"/>
              <w:widowControl/>
              <w:kinsoku/>
              <w:wordWrap w:val="0"/>
              <w:overflowPunct/>
              <w:topLinePunct w:val="0"/>
              <w:autoSpaceDE/>
              <w:autoSpaceDN/>
              <w:bidi w:val="0"/>
              <w:adjustRightInd/>
              <w:snapToGrid/>
              <w:spacing w:line="240" w:lineRule="auto"/>
              <w:ind w:firstLine="0" w:firstLineChars="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t>一、硬件部分</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▲1、机架式设备，高度≥1U，采用DSP嵌入式音频处理算法。</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2、前面板具有音量指示灯和≥3寸液晶显示屏，用于显示各项参数指标，为了便于调试，要求具有物理按键。</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3、具有一键静音按键。</w:t>
            </w:r>
            <w:r>
              <w:rPr>
                <w:rFonts w:hint="eastAsia" w:ascii="仿宋" w:hAnsi="仿宋" w:eastAsia="仿宋" w:cs="仿宋"/>
                <w:color w:val="auto"/>
                <w:sz w:val="24"/>
                <w:szCs w:val="24"/>
                <w:highlight w:val="none"/>
              </w:rPr>
              <w:br w:type="textWrapping"/>
            </w:r>
            <w:r>
              <w:rPr>
                <w:rFonts w:hint="eastAsia" w:cs="仿宋"/>
                <w:color w:val="auto"/>
                <w:sz w:val="24"/>
                <w:szCs w:val="24"/>
                <w:highlight w:val="none"/>
                <w:lang w:val="en-US" w:eastAsia="zh-CN"/>
              </w:rPr>
              <w:t>4</w:t>
            </w:r>
            <w:r>
              <w:rPr>
                <w:rFonts w:hint="eastAsia" w:ascii="仿宋" w:hAnsi="仿宋" w:eastAsia="仿宋" w:cs="仿宋"/>
                <w:color w:val="auto"/>
                <w:sz w:val="24"/>
                <w:szCs w:val="24"/>
                <w:highlight w:val="none"/>
              </w:rPr>
              <w:t>、具有≥1路RS232串口，用于连接配套的控制面板或对接其它品牌的控制系统。</w:t>
            </w:r>
            <w:r>
              <w:rPr>
                <w:rFonts w:hint="eastAsia" w:ascii="仿宋" w:hAnsi="仿宋" w:eastAsia="仿宋" w:cs="仿宋"/>
                <w:color w:val="auto"/>
                <w:sz w:val="24"/>
                <w:szCs w:val="24"/>
                <w:highlight w:val="none"/>
              </w:rPr>
              <w:br w:type="textWrapping"/>
            </w:r>
            <w:r>
              <w:rPr>
                <w:rFonts w:hint="eastAsia" w:cs="仿宋"/>
                <w:color w:val="auto"/>
                <w:sz w:val="24"/>
                <w:szCs w:val="24"/>
                <w:highlight w:val="none"/>
                <w:lang w:val="en-US" w:eastAsia="zh-CN"/>
              </w:rPr>
              <w:t>5</w:t>
            </w:r>
            <w:r>
              <w:rPr>
                <w:rFonts w:hint="eastAsia" w:ascii="仿宋" w:hAnsi="仿宋" w:eastAsia="仿宋" w:cs="仿宋"/>
                <w:color w:val="auto"/>
                <w:sz w:val="24"/>
                <w:szCs w:val="24"/>
                <w:highlight w:val="none"/>
              </w:rPr>
              <w:t>、采用数字功率放大器。</w:t>
            </w:r>
            <w:r>
              <w:rPr>
                <w:rFonts w:hint="eastAsia" w:ascii="仿宋" w:hAnsi="仿宋" w:eastAsia="仿宋" w:cs="仿宋"/>
                <w:color w:val="auto"/>
                <w:sz w:val="24"/>
                <w:szCs w:val="24"/>
                <w:highlight w:val="none"/>
              </w:rPr>
              <w:br w:type="textWrapping"/>
            </w:r>
            <w:r>
              <w:rPr>
                <w:rFonts w:hint="eastAsia" w:cs="仿宋"/>
                <w:color w:val="auto"/>
                <w:sz w:val="24"/>
                <w:szCs w:val="24"/>
                <w:highlight w:val="none"/>
                <w:lang w:val="en-US" w:eastAsia="zh-CN"/>
              </w:rPr>
              <w:t>6</w:t>
            </w:r>
            <w:r>
              <w:rPr>
                <w:rFonts w:hint="eastAsia" w:ascii="仿宋" w:hAnsi="仿宋" w:eastAsia="仿宋" w:cs="仿宋"/>
                <w:color w:val="auto"/>
                <w:sz w:val="24"/>
                <w:szCs w:val="24"/>
                <w:highlight w:val="none"/>
              </w:rPr>
              <w:t>、产品通过国家3C认证。</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二、软件部分</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1、反馈抑制（AFC）：传声增益提升幅度：≥15dB。</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2、自动增益控制（AGC）：增益控制幅度：-12dB - +12dB。自适应背景降噪（ANS）：信噪比提升≥18dB 。</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3、回声消除（AEC）：回音消除尾音长度：≥512ms，回声消除幅度：≥ 60dB，收敛速度：≥ 60dB/S 。</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 xml:space="preserve">4、支持回声抵消功能。 </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w:t>
            </w:r>
            <w:r>
              <w:rPr>
                <w:rFonts w:hint="eastAsia" w:cs="仿宋"/>
                <w:color w:val="auto"/>
                <w:sz w:val="24"/>
                <w:szCs w:val="24"/>
                <w:highlight w:val="none"/>
                <w:lang w:val="en-US" w:eastAsia="zh-CN"/>
              </w:rPr>
              <w:t>5</w:t>
            </w:r>
            <w:r>
              <w:rPr>
                <w:rFonts w:hint="eastAsia" w:ascii="仿宋" w:hAnsi="仿宋" w:eastAsia="仿宋" w:cs="仿宋"/>
                <w:color w:val="auto"/>
                <w:sz w:val="24"/>
                <w:szCs w:val="24"/>
                <w:highlight w:val="none"/>
              </w:rPr>
              <w:t>、通过一只吊装麦克风实现本地扩音和远程互动，本地扩音和远程互动能同时进行，并且相互不影响效果；本地扩音要求扩出来的声音清晰响亮、无啸叫，混响时间小于1秒；远程互动要求声音清晰、无噪声和回声，双端同时讲话无卡音、丢字、声音变小和失真现象。</w:t>
            </w:r>
            <w:r>
              <w:rPr>
                <w:rFonts w:hint="eastAsia" w:ascii="仿宋" w:hAnsi="仿宋" w:eastAsia="仿宋" w:cs="仿宋"/>
                <w:color w:val="auto"/>
                <w:sz w:val="24"/>
                <w:szCs w:val="24"/>
                <w:highlight w:val="none"/>
              </w:rPr>
              <w:br w:type="textWrapping"/>
            </w:r>
            <w:r>
              <w:rPr>
                <w:rFonts w:hint="eastAsia" w:cs="仿宋"/>
                <w:color w:val="auto"/>
                <w:sz w:val="24"/>
                <w:szCs w:val="24"/>
                <w:highlight w:val="none"/>
                <w:lang w:val="en-US" w:eastAsia="zh-CN"/>
              </w:rPr>
              <w:t>6</w:t>
            </w:r>
            <w:r>
              <w:rPr>
                <w:rFonts w:hint="eastAsia" w:ascii="仿宋" w:hAnsi="仿宋" w:eastAsia="仿宋" w:cs="仿宋"/>
                <w:color w:val="auto"/>
                <w:sz w:val="24"/>
                <w:szCs w:val="24"/>
                <w:highlight w:val="none"/>
              </w:rPr>
              <w:t>、具有有效过滤教室内的空调、电风扇等发出的噪音干扰功能，过滤噪声不影响扩声效果。</w:t>
            </w:r>
          </w:p>
        </w:tc>
      </w:tr>
      <w:tr w14:paraId="6B3E1D9A">
        <w:tblPrEx>
          <w:tblCellMar>
            <w:top w:w="0" w:type="dxa"/>
            <w:left w:w="108" w:type="dxa"/>
            <w:bottom w:w="0" w:type="dxa"/>
            <w:right w:w="108" w:type="dxa"/>
          </w:tblCellMar>
        </w:tblPrEx>
        <w:trPr>
          <w:trHeight w:val="20" w:hRule="atLeast"/>
        </w:trPr>
        <w:tc>
          <w:tcPr>
            <w:tcW w:w="225" w:type="pct"/>
            <w:tcBorders>
              <w:top w:val="single" w:color="auto" w:sz="4" w:space="0"/>
              <w:left w:val="single" w:color="auto" w:sz="4" w:space="0"/>
              <w:bottom w:val="single" w:color="auto" w:sz="4" w:space="0"/>
              <w:right w:val="single" w:color="auto" w:sz="4" w:space="0"/>
            </w:tcBorders>
            <w:vAlign w:val="center"/>
          </w:tcPr>
          <w:p w14:paraId="605C2688">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27</w:t>
            </w:r>
          </w:p>
        </w:tc>
        <w:tc>
          <w:tcPr>
            <w:tcW w:w="225" w:type="pct"/>
            <w:tcBorders>
              <w:top w:val="single" w:color="auto" w:sz="4" w:space="0"/>
              <w:left w:val="nil"/>
              <w:bottom w:val="single" w:color="auto" w:sz="4" w:space="0"/>
              <w:right w:val="single" w:color="auto" w:sz="4" w:space="0"/>
            </w:tcBorders>
            <w:vAlign w:val="center"/>
          </w:tcPr>
          <w:p w14:paraId="0221242B">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w:t>
            </w:r>
          </w:p>
        </w:tc>
        <w:tc>
          <w:tcPr>
            <w:tcW w:w="337" w:type="pct"/>
            <w:tcBorders>
              <w:top w:val="single" w:color="auto" w:sz="4" w:space="0"/>
              <w:left w:val="nil"/>
              <w:bottom w:val="single" w:color="auto" w:sz="4" w:space="0"/>
              <w:right w:val="single" w:color="auto" w:sz="4" w:space="0"/>
            </w:tcBorders>
            <w:vAlign w:val="center"/>
          </w:tcPr>
          <w:p w14:paraId="65DD67B9">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t>无线话筒套装</w:t>
            </w:r>
          </w:p>
        </w:tc>
        <w:tc>
          <w:tcPr>
            <w:tcW w:w="310" w:type="pct"/>
            <w:tcBorders>
              <w:top w:val="single" w:color="auto" w:sz="4" w:space="0"/>
              <w:left w:val="nil"/>
              <w:bottom w:val="single" w:color="auto" w:sz="4" w:space="0"/>
              <w:right w:val="single" w:color="auto" w:sz="4" w:space="0"/>
            </w:tcBorders>
            <w:vAlign w:val="center"/>
          </w:tcPr>
          <w:p w14:paraId="3BF564B0">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t>1</w:t>
            </w:r>
          </w:p>
        </w:tc>
        <w:tc>
          <w:tcPr>
            <w:tcW w:w="240" w:type="pct"/>
            <w:gridSpan w:val="2"/>
            <w:tcBorders>
              <w:top w:val="single" w:color="auto" w:sz="4" w:space="0"/>
              <w:left w:val="nil"/>
              <w:bottom w:val="single" w:color="auto" w:sz="4" w:space="0"/>
              <w:right w:val="single" w:color="auto" w:sz="4" w:space="0"/>
            </w:tcBorders>
            <w:vAlign w:val="center"/>
          </w:tcPr>
          <w:p w14:paraId="650339A4">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t>只</w:t>
            </w:r>
          </w:p>
        </w:tc>
        <w:tc>
          <w:tcPr>
            <w:tcW w:w="3659" w:type="pct"/>
            <w:tcBorders>
              <w:top w:val="single" w:color="auto" w:sz="4" w:space="0"/>
              <w:left w:val="nil"/>
              <w:bottom w:val="single" w:color="auto" w:sz="4" w:space="0"/>
              <w:right w:val="single" w:color="auto" w:sz="4" w:space="0"/>
            </w:tcBorders>
            <w:vAlign w:val="center"/>
          </w:tcPr>
          <w:p w14:paraId="594B0057">
            <w:pPr>
              <w:keepNext w:val="0"/>
              <w:keepLines w:val="0"/>
              <w:pageBreakBefore w:val="0"/>
              <w:widowControl/>
              <w:kinsoku/>
              <w:wordWrap w:val="0"/>
              <w:overflowPunct/>
              <w:topLinePunct w:val="0"/>
              <w:autoSpaceDE/>
              <w:autoSpaceDN/>
              <w:bidi w:val="0"/>
              <w:adjustRightInd/>
              <w:snapToGrid/>
              <w:spacing w:line="240" w:lineRule="auto"/>
              <w:ind w:firstLine="0" w:firstLineChars="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t>1、采用UHF数字调制和无线抗干扰编码技术（提供证明材料）。</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2、接收机和充电底座采用一体化设计，话筒插入充电座即可自动完成配对，开机即用。</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3、无线话筒采用直插式桌面充电器充电方式，具有充电提醒及保护功能。</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4、无线话筒具有翻页笔和激光笔功能。</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5、收发频率： 470MHz - 510MHz。</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6、频率响应范围：20Hz-20KHz（±3dB）。</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7、综合信噪比：≥85dB 。</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▲8、充电底座具有物理解锁按键（提供证明材料）。</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9、提供远程统一管理软硬件接口，配合中控可以做到上课可以开锁，下课后话筒插入底座后自动锁死，防止话筒丢失。</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10、通过中控可以远程获知和管理话筒当前状态、电池电量及未归还提醒等功能。</w:t>
            </w:r>
          </w:p>
        </w:tc>
      </w:tr>
      <w:tr w14:paraId="613AA789">
        <w:tblPrEx>
          <w:tblCellMar>
            <w:top w:w="0" w:type="dxa"/>
            <w:left w:w="108" w:type="dxa"/>
            <w:bottom w:w="0" w:type="dxa"/>
            <w:right w:w="108" w:type="dxa"/>
          </w:tblCellMar>
        </w:tblPrEx>
        <w:trPr>
          <w:trHeight w:val="20" w:hRule="atLeast"/>
        </w:trPr>
        <w:tc>
          <w:tcPr>
            <w:tcW w:w="5000" w:type="pct"/>
            <w:gridSpan w:val="7"/>
            <w:tcBorders>
              <w:top w:val="single" w:color="auto" w:sz="4" w:space="0"/>
              <w:left w:val="single" w:color="auto" w:sz="4" w:space="0"/>
              <w:bottom w:val="single" w:color="auto" w:sz="4" w:space="0"/>
              <w:right w:val="single" w:color="auto" w:sz="4" w:space="0"/>
            </w:tcBorders>
            <w:vAlign w:val="center"/>
          </w:tcPr>
          <w:p w14:paraId="73612896">
            <w:pPr>
              <w:keepNext w:val="0"/>
              <w:keepLines w:val="0"/>
              <w:pageBreakBefore w:val="0"/>
              <w:widowControl/>
              <w:kinsoku/>
              <w:wordWrap w:val="0"/>
              <w:overflowPunct/>
              <w:topLinePunct w:val="0"/>
              <w:autoSpaceDE/>
              <w:autoSpaceDN/>
              <w:bidi w:val="0"/>
              <w:adjustRightInd/>
              <w:snapToGrid/>
              <w:spacing w:line="240" w:lineRule="auto"/>
              <w:ind w:firstLine="0" w:firstLineChars="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b/>
                <w:bCs/>
                <w:color w:val="auto"/>
                <w:kern w:val="0"/>
                <w:sz w:val="24"/>
                <w:szCs w:val="24"/>
                <w:highlight w:val="none"/>
              </w:rPr>
              <w:t>六、环境改造</w:t>
            </w:r>
          </w:p>
        </w:tc>
      </w:tr>
      <w:tr w14:paraId="35F9B363">
        <w:tblPrEx>
          <w:tblCellMar>
            <w:top w:w="0" w:type="dxa"/>
            <w:left w:w="108" w:type="dxa"/>
            <w:bottom w:w="0" w:type="dxa"/>
            <w:right w:w="108" w:type="dxa"/>
          </w:tblCellMar>
        </w:tblPrEx>
        <w:trPr>
          <w:trHeight w:val="565" w:hRule="atLeast"/>
        </w:trPr>
        <w:tc>
          <w:tcPr>
            <w:tcW w:w="225" w:type="pct"/>
            <w:tcBorders>
              <w:top w:val="single" w:color="auto" w:sz="4" w:space="0"/>
              <w:left w:val="single" w:color="auto" w:sz="4" w:space="0"/>
              <w:bottom w:val="single" w:color="auto" w:sz="4" w:space="0"/>
              <w:right w:val="single" w:color="auto" w:sz="4" w:space="0"/>
            </w:tcBorders>
            <w:vAlign w:val="center"/>
          </w:tcPr>
          <w:p w14:paraId="1E9F4505">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28</w:t>
            </w:r>
          </w:p>
        </w:tc>
        <w:tc>
          <w:tcPr>
            <w:tcW w:w="225" w:type="pct"/>
            <w:tcBorders>
              <w:top w:val="single" w:color="auto" w:sz="4" w:space="0"/>
              <w:left w:val="nil"/>
              <w:bottom w:val="single" w:color="auto" w:sz="4" w:space="0"/>
              <w:right w:val="single" w:color="auto" w:sz="4" w:space="0"/>
            </w:tcBorders>
            <w:vAlign w:val="center"/>
          </w:tcPr>
          <w:p w14:paraId="6194EDE6">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w:t>
            </w:r>
          </w:p>
        </w:tc>
        <w:tc>
          <w:tcPr>
            <w:tcW w:w="337" w:type="pct"/>
            <w:tcBorders>
              <w:top w:val="single" w:color="auto" w:sz="4" w:space="0"/>
              <w:left w:val="nil"/>
              <w:bottom w:val="single" w:color="auto" w:sz="4" w:space="0"/>
              <w:right w:val="single" w:color="auto" w:sz="4" w:space="0"/>
            </w:tcBorders>
            <w:vAlign w:val="center"/>
          </w:tcPr>
          <w:p w14:paraId="07C00B01">
            <w:pPr>
              <w:keepNext w:val="0"/>
              <w:keepLines w:val="0"/>
              <w:pageBreakBefore w:val="0"/>
              <w:widowControl/>
              <w:kinsoku/>
              <w:wordWrap w:val="0"/>
              <w:overflowPunct/>
              <w:topLinePunct w:val="0"/>
              <w:autoSpaceDE/>
              <w:autoSpaceDN/>
              <w:bidi w:val="0"/>
              <w:adjustRightInd/>
              <w:snapToGrid/>
              <w:spacing w:line="240" w:lineRule="auto"/>
              <w:ind w:firstLine="0" w:firstLineChars="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环境改造</w:t>
            </w:r>
          </w:p>
        </w:tc>
        <w:tc>
          <w:tcPr>
            <w:tcW w:w="310" w:type="pct"/>
            <w:tcBorders>
              <w:top w:val="single" w:color="auto" w:sz="4" w:space="0"/>
              <w:left w:val="nil"/>
              <w:bottom w:val="single" w:color="auto" w:sz="4" w:space="0"/>
              <w:right w:val="single" w:color="auto" w:sz="4" w:space="0"/>
            </w:tcBorders>
            <w:vAlign w:val="center"/>
          </w:tcPr>
          <w:p w14:paraId="41B094AD">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t>1</w:t>
            </w:r>
          </w:p>
        </w:tc>
        <w:tc>
          <w:tcPr>
            <w:tcW w:w="240" w:type="pct"/>
            <w:gridSpan w:val="2"/>
            <w:tcBorders>
              <w:top w:val="single" w:color="auto" w:sz="4" w:space="0"/>
              <w:left w:val="nil"/>
              <w:bottom w:val="single" w:color="auto" w:sz="4" w:space="0"/>
              <w:right w:val="single" w:color="auto" w:sz="4" w:space="0"/>
            </w:tcBorders>
            <w:vAlign w:val="center"/>
          </w:tcPr>
          <w:p w14:paraId="305D1B84">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t>间</w:t>
            </w:r>
          </w:p>
        </w:tc>
        <w:tc>
          <w:tcPr>
            <w:tcW w:w="3659" w:type="pct"/>
            <w:tcBorders>
              <w:top w:val="single" w:color="auto" w:sz="4" w:space="0"/>
              <w:left w:val="nil"/>
              <w:bottom w:val="single" w:color="auto" w:sz="4" w:space="0"/>
              <w:right w:val="single" w:color="auto" w:sz="4" w:space="0"/>
            </w:tcBorders>
            <w:vAlign w:val="center"/>
          </w:tcPr>
          <w:p w14:paraId="0AF66B3F">
            <w:pPr>
              <w:keepNext w:val="0"/>
              <w:keepLines w:val="0"/>
              <w:pageBreakBefore w:val="0"/>
              <w:widowControl/>
              <w:kinsoku/>
              <w:wordWrap w:val="0"/>
              <w:overflowPunct/>
              <w:topLinePunct w:val="0"/>
              <w:autoSpaceDE/>
              <w:autoSpaceDN/>
              <w:bidi w:val="0"/>
              <w:adjustRightInd/>
              <w:snapToGrid/>
              <w:spacing w:line="240" w:lineRule="auto"/>
              <w:ind w:firstLine="0" w:firstLineChars="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t>一、室内灯光处理：满足学生区域每平方25瓦，教师区域每平方25瓦。采用LED灯。1、满足学生区域每平方25瓦；2、教师区域每平方25瓦；3、采用LED灯管，节能、环保，色温在6500之间。二、室内吊顶处理。三、室内吸音处理：可以颜色聚酯纤维吸音面板。四、窗帘处理：窗子外围做防水处理；遮光窗帘布,大小尺寸：根椐房间窗户实际大小定制。</w:t>
            </w:r>
          </w:p>
        </w:tc>
      </w:tr>
      <w:tr w14:paraId="181BE305">
        <w:tblPrEx>
          <w:tblCellMar>
            <w:top w:w="0" w:type="dxa"/>
            <w:left w:w="108" w:type="dxa"/>
            <w:bottom w:w="0" w:type="dxa"/>
            <w:right w:w="108" w:type="dxa"/>
          </w:tblCellMar>
        </w:tblPrEx>
        <w:trPr>
          <w:trHeight w:val="706" w:hRule="atLeast"/>
        </w:trPr>
        <w:tc>
          <w:tcPr>
            <w:tcW w:w="5000" w:type="pct"/>
            <w:gridSpan w:val="7"/>
            <w:tcBorders>
              <w:top w:val="single" w:color="auto" w:sz="4" w:space="0"/>
              <w:left w:val="single" w:color="auto" w:sz="4" w:space="0"/>
              <w:bottom w:val="single" w:color="auto" w:sz="4" w:space="0"/>
              <w:right w:val="single" w:color="000000" w:sz="4" w:space="0"/>
            </w:tcBorders>
            <w:vAlign w:val="center"/>
          </w:tcPr>
          <w:p w14:paraId="1D0E9D67">
            <w:pPr>
              <w:keepNext w:val="0"/>
              <w:keepLines w:val="0"/>
              <w:pageBreakBefore w:val="0"/>
              <w:widowControl/>
              <w:kinsoku/>
              <w:wordWrap w:val="0"/>
              <w:overflowPunct/>
              <w:topLinePunct w:val="0"/>
              <w:autoSpaceDE/>
              <w:autoSpaceDN/>
              <w:bidi w:val="0"/>
              <w:adjustRightInd/>
              <w:snapToGrid/>
              <w:spacing w:line="240" w:lineRule="auto"/>
              <w:ind w:firstLine="0" w:firstLineChars="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交货地点（备注）：云南轻纺职业学院（昆明安宁市宁泊路54号）。</w:t>
            </w:r>
          </w:p>
        </w:tc>
      </w:tr>
    </w:tbl>
    <w:p w14:paraId="06A3C5A4">
      <w:pPr>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br w:type="page"/>
      </w:r>
    </w:p>
    <w:p w14:paraId="3E4FC960">
      <w:pPr>
        <w:pStyle w:val="3"/>
        <w:bidi w:val="0"/>
        <w:rPr>
          <w:rFonts w:hint="eastAsia"/>
          <w:color w:val="auto"/>
          <w:highlight w:val="none"/>
          <w:lang w:val="en-US" w:eastAsia="zh-CN"/>
        </w:rPr>
      </w:pPr>
      <w:r>
        <w:rPr>
          <w:rFonts w:hint="eastAsia"/>
          <w:color w:val="auto"/>
          <w:highlight w:val="none"/>
          <w:lang w:val="en-US" w:eastAsia="zh-CN"/>
        </w:rPr>
        <w:t>四、采购清单</w:t>
      </w:r>
    </w:p>
    <w:tbl>
      <w:tblPr>
        <w:tblStyle w:val="35"/>
        <w:tblW w:w="9643" w:type="dxa"/>
        <w:tblInd w:w="0" w:type="dxa"/>
        <w:tblLayout w:type="autofit"/>
        <w:tblCellMar>
          <w:top w:w="0" w:type="dxa"/>
          <w:left w:w="108" w:type="dxa"/>
          <w:bottom w:w="0" w:type="dxa"/>
          <w:right w:w="108" w:type="dxa"/>
        </w:tblCellMar>
      </w:tblPr>
      <w:tblGrid>
        <w:gridCol w:w="550"/>
        <w:gridCol w:w="799"/>
        <w:gridCol w:w="1995"/>
        <w:gridCol w:w="831"/>
        <w:gridCol w:w="764"/>
        <w:gridCol w:w="2400"/>
        <w:gridCol w:w="1091"/>
        <w:gridCol w:w="1213"/>
      </w:tblGrid>
      <w:tr w14:paraId="17605F70">
        <w:tblPrEx>
          <w:tblCellMar>
            <w:top w:w="0" w:type="dxa"/>
            <w:left w:w="108" w:type="dxa"/>
            <w:bottom w:w="0" w:type="dxa"/>
            <w:right w:w="108" w:type="dxa"/>
          </w:tblCellMar>
        </w:tblPrEx>
        <w:trPr>
          <w:trHeight w:val="23" w:hRule="atLeast"/>
        </w:trPr>
        <w:tc>
          <w:tcPr>
            <w:tcW w:w="0" w:type="auto"/>
            <w:tcBorders>
              <w:top w:val="single" w:color="auto" w:sz="4" w:space="0"/>
              <w:left w:val="single" w:color="auto" w:sz="4" w:space="0"/>
              <w:bottom w:val="single" w:color="auto" w:sz="4" w:space="0"/>
              <w:right w:val="single" w:color="auto" w:sz="4" w:space="0"/>
            </w:tcBorders>
            <w:shd w:val="clear" w:color="auto" w:fill="92D050"/>
            <w:vAlign w:val="center"/>
          </w:tcPr>
          <w:p w14:paraId="3BB9301D">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b w:val="0"/>
                <w:bCs w:val="0"/>
                <w:color w:val="auto"/>
                <w:kern w:val="0"/>
                <w:sz w:val="21"/>
                <w:szCs w:val="21"/>
                <w:highlight w:val="none"/>
              </w:rPr>
            </w:pPr>
            <w:r>
              <w:rPr>
                <w:rFonts w:hint="eastAsia" w:ascii="仿宋" w:hAnsi="仿宋" w:eastAsia="仿宋" w:cs="仿宋"/>
                <w:b w:val="0"/>
                <w:bCs w:val="0"/>
                <w:color w:val="auto"/>
                <w:kern w:val="0"/>
                <w:sz w:val="21"/>
                <w:szCs w:val="21"/>
                <w:highlight w:val="none"/>
              </w:rPr>
              <w:t>序号</w:t>
            </w:r>
          </w:p>
        </w:tc>
        <w:tc>
          <w:tcPr>
            <w:tcW w:w="0" w:type="auto"/>
            <w:tcBorders>
              <w:top w:val="single" w:color="auto" w:sz="4" w:space="0"/>
              <w:left w:val="nil"/>
              <w:bottom w:val="single" w:color="auto" w:sz="4" w:space="0"/>
              <w:right w:val="single" w:color="auto" w:sz="4" w:space="0"/>
            </w:tcBorders>
            <w:shd w:val="clear" w:color="auto" w:fill="92D050"/>
            <w:vAlign w:val="center"/>
          </w:tcPr>
          <w:p w14:paraId="1DFA648B">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b w:val="0"/>
                <w:bCs w:val="0"/>
                <w:color w:val="auto"/>
                <w:kern w:val="0"/>
                <w:sz w:val="21"/>
                <w:szCs w:val="21"/>
                <w:highlight w:val="none"/>
              </w:rPr>
            </w:pPr>
            <w:r>
              <w:rPr>
                <w:rFonts w:hint="eastAsia" w:ascii="仿宋" w:hAnsi="仿宋" w:eastAsia="仿宋" w:cs="仿宋"/>
                <w:b w:val="0"/>
                <w:bCs w:val="0"/>
                <w:color w:val="auto"/>
                <w:kern w:val="0"/>
                <w:sz w:val="21"/>
                <w:szCs w:val="21"/>
                <w:highlight w:val="none"/>
              </w:rPr>
              <w:t>标段代码</w:t>
            </w:r>
          </w:p>
        </w:tc>
        <w:tc>
          <w:tcPr>
            <w:tcW w:w="1995" w:type="dxa"/>
            <w:tcBorders>
              <w:top w:val="single" w:color="auto" w:sz="4" w:space="0"/>
              <w:left w:val="nil"/>
              <w:bottom w:val="single" w:color="auto" w:sz="4" w:space="0"/>
              <w:right w:val="single" w:color="auto" w:sz="4" w:space="0"/>
            </w:tcBorders>
            <w:shd w:val="clear" w:color="auto" w:fill="92D050"/>
            <w:vAlign w:val="center"/>
          </w:tcPr>
          <w:p w14:paraId="76FD89D8">
            <w:pPr>
              <w:keepNext w:val="0"/>
              <w:keepLines w:val="0"/>
              <w:pageBreakBefore w:val="0"/>
              <w:widowControl/>
              <w:kinsoku/>
              <w:wordWrap w:val="0"/>
              <w:overflowPunct/>
              <w:topLinePunct w:val="0"/>
              <w:autoSpaceDE/>
              <w:autoSpaceDN/>
              <w:bidi w:val="0"/>
              <w:adjustRightInd/>
              <w:snapToGrid/>
              <w:spacing w:line="240" w:lineRule="auto"/>
              <w:ind w:firstLine="0" w:firstLineChars="0"/>
              <w:jc w:val="left"/>
              <w:textAlignment w:val="auto"/>
              <w:rPr>
                <w:rFonts w:hint="eastAsia" w:ascii="仿宋" w:hAnsi="仿宋" w:eastAsia="仿宋" w:cs="仿宋"/>
                <w:b w:val="0"/>
                <w:bCs w:val="0"/>
                <w:color w:val="auto"/>
                <w:kern w:val="0"/>
                <w:sz w:val="21"/>
                <w:szCs w:val="21"/>
                <w:highlight w:val="none"/>
              </w:rPr>
            </w:pPr>
            <w:r>
              <w:rPr>
                <w:rFonts w:hint="eastAsia" w:ascii="仿宋" w:hAnsi="仿宋" w:eastAsia="仿宋" w:cs="仿宋"/>
                <w:b w:val="0"/>
                <w:bCs w:val="0"/>
                <w:color w:val="auto"/>
                <w:kern w:val="0"/>
                <w:sz w:val="21"/>
                <w:szCs w:val="21"/>
                <w:highlight w:val="none"/>
              </w:rPr>
              <w:t>产品（项目）名称</w:t>
            </w:r>
          </w:p>
        </w:tc>
        <w:tc>
          <w:tcPr>
            <w:tcW w:w="831" w:type="dxa"/>
            <w:tcBorders>
              <w:top w:val="single" w:color="auto" w:sz="4" w:space="0"/>
              <w:left w:val="nil"/>
              <w:bottom w:val="single" w:color="auto" w:sz="4" w:space="0"/>
              <w:right w:val="single" w:color="auto" w:sz="4" w:space="0"/>
            </w:tcBorders>
            <w:shd w:val="clear" w:color="auto" w:fill="92D050"/>
            <w:vAlign w:val="center"/>
          </w:tcPr>
          <w:p w14:paraId="26A87636">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b w:val="0"/>
                <w:bCs w:val="0"/>
                <w:color w:val="auto"/>
                <w:kern w:val="0"/>
                <w:sz w:val="21"/>
                <w:szCs w:val="21"/>
                <w:highlight w:val="none"/>
              </w:rPr>
            </w:pPr>
            <w:r>
              <w:rPr>
                <w:rFonts w:hint="eastAsia" w:ascii="仿宋" w:hAnsi="仿宋" w:eastAsia="仿宋" w:cs="仿宋"/>
                <w:b w:val="0"/>
                <w:bCs w:val="0"/>
                <w:color w:val="auto"/>
                <w:kern w:val="0"/>
                <w:sz w:val="21"/>
                <w:szCs w:val="21"/>
                <w:highlight w:val="none"/>
              </w:rPr>
              <w:t>数量</w:t>
            </w:r>
          </w:p>
        </w:tc>
        <w:tc>
          <w:tcPr>
            <w:tcW w:w="764" w:type="dxa"/>
            <w:tcBorders>
              <w:top w:val="single" w:color="auto" w:sz="4" w:space="0"/>
              <w:left w:val="nil"/>
              <w:bottom w:val="single" w:color="auto" w:sz="4" w:space="0"/>
              <w:right w:val="single" w:color="auto" w:sz="4" w:space="0"/>
            </w:tcBorders>
            <w:shd w:val="clear" w:color="auto" w:fill="92D050"/>
            <w:vAlign w:val="center"/>
          </w:tcPr>
          <w:p w14:paraId="6067F9A1">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b w:val="0"/>
                <w:bCs w:val="0"/>
                <w:color w:val="auto"/>
                <w:kern w:val="0"/>
                <w:sz w:val="21"/>
                <w:szCs w:val="21"/>
                <w:highlight w:val="none"/>
              </w:rPr>
            </w:pPr>
            <w:r>
              <w:rPr>
                <w:rFonts w:hint="eastAsia" w:ascii="仿宋" w:hAnsi="仿宋" w:eastAsia="仿宋" w:cs="仿宋"/>
                <w:b w:val="0"/>
                <w:bCs w:val="0"/>
                <w:color w:val="auto"/>
                <w:kern w:val="0"/>
                <w:sz w:val="21"/>
                <w:szCs w:val="21"/>
                <w:highlight w:val="none"/>
              </w:rPr>
              <w:t>计量单位</w:t>
            </w:r>
          </w:p>
        </w:tc>
        <w:tc>
          <w:tcPr>
            <w:tcW w:w="2400" w:type="dxa"/>
            <w:tcBorders>
              <w:top w:val="single" w:color="auto" w:sz="4" w:space="0"/>
              <w:left w:val="nil"/>
              <w:bottom w:val="single" w:color="auto" w:sz="4" w:space="0"/>
              <w:right w:val="single" w:color="auto" w:sz="4" w:space="0"/>
            </w:tcBorders>
            <w:shd w:val="clear" w:color="auto" w:fill="92D050"/>
            <w:vAlign w:val="center"/>
          </w:tcPr>
          <w:p w14:paraId="43191B7E">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b w:val="0"/>
                <w:bCs w:val="0"/>
                <w:color w:val="auto"/>
                <w:kern w:val="0"/>
                <w:sz w:val="21"/>
                <w:szCs w:val="21"/>
                <w:highlight w:val="none"/>
              </w:rPr>
            </w:pPr>
            <w:r>
              <w:rPr>
                <w:rFonts w:hint="eastAsia" w:ascii="仿宋" w:hAnsi="仿宋" w:eastAsia="仿宋" w:cs="仿宋"/>
                <w:b w:val="0"/>
                <w:bCs w:val="0"/>
                <w:color w:val="auto"/>
                <w:kern w:val="0"/>
                <w:sz w:val="21"/>
                <w:szCs w:val="21"/>
                <w:highlight w:val="none"/>
                <w:lang w:val="en-US" w:eastAsia="zh-CN"/>
              </w:rPr>
              <w:t>中小企业划分标准所属行业</w:t>
            </w:r>
          </w:p>
        </w:tc>
        <w:tc>
          <w:tcPr>
            <w:tcW w:w="1091" w:type="dxa"/>
            <w:tcBorders>
              <w:top w:val="single" w:color="auto" w:sz="4" w:space="0"/>
              <w:left w:val="nil"/>
              <w:bottom w:val="single" w:color="auto" w:sz="4" w:space="0"/>
              <w:right w:val="single" w:color="auto" w:sz="4" w:space="0"/>
            </w:tcBorders>
            <w:shd w:val="clear" w:color="auto" w:fill="92D050"/>
            <w:vAlign w:val="center"/>
          </w:tcPr>
          <w:p w14:paraId="2191F2F6">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b w:val="0"/>
                <w:bCs w:val="0"/>
                <w:color w:val="auto"/>
                <w:kern w:val="0"/>
                <w:sz w:val="21"/>
                <w:szCs w:val="21"/>
                <w:highlight w:val="none"/>
              </w:rPr>
            </w:pPr>
            <w:r>
              <w:rPr>
                <w:rFonts w:hint="eastAsia" w:ascii="仿宋" w:hAnsi="仿宋" w:eastAsia="仿宋" w:cs="仿宋"/>
                <w:b w:val="0"/>
                <w:bCs w:val="0"/>
                <w:color w:val="auto"/>
                <w:kern w:val="0"/>
                <w:sz w:val="21"/>
                <w:szCs w:val="21"/>
                <w:highlight w:val="none"/>
                <w:lang w:val="en-US" w:eastAsia="zh-CN"/>
              </w:rPr>
              <w:t>是否为本项目核心产品</w:t>
            </w:r>
          </w:p>
        </w:tc>
        <w:tc>
          <w:tcPr>
            <w:tcW w:w="1213" w:type="dxa"/>
            <w:tcBorders>
              <w:top w:val="single" w:color="auto" w:sz="4" w:space="0"/>
              <w:left w:val="nil"/>
              <w:bottom w:val="single" w:color="auto" w:sz="4" w:space="0"/>
              <w:right w:val="single" w:color="auto" w:sz="4" w:space="0"/>
            </w:tcBorders>
            <w:shd w:val="clear" w:color="auto" w:fill="92D050"/>
            <w:vAlign w:val="center"/>
          </w:tcPr>
          <w:p w14:paraId="3E57E7CC">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b w:val="0"/>
                <w:bCs w:val="0"/>
                <w:color w:val="auto"/>
                <w:kern w:val="0"/>
                <w:sz w:val="21"/>
                <w:szCs w:val="21"/>
                <w:highlight w:val="none"/>
              </w:rPr>
            </w:pPr>
            <w:r>
              <w:rPr>
                <w:rFonts w:hint="eastAsia" w:ascii="仿宋" w:hAnsi="仿宋" w:eastAsia="仿宋" w:cs="仿宋"/>
                <w:b w:val="0"/>
                <w:bCs w:val="0"/>
                <w:color w:val="auto"/>
                <w:kern w:val="0"/>
                <w:sz w:val="21"/>
                <w:szCs w:val="21"/>
                <w:highlight w:val="none"/>
                <w:lang w:val="en-US" w:eastAsia="zh-CN"/>
              </w:rPr>
              <w:t>是否属于强制采购节能产品</w:t>
            </w:r>
          </w:p>
        </w:tc>
      </w:tr>
      <w:tr w14:paraId="3DBB030B">
        <w:tblPrEx>
          <w:tblCellMar>
            <w:top w:w="0" w:type="dxa"/>
            <w:left w:w="108" w:type="dxa"/>
            <w:bottom w:w="0" w:type="dxa"/>
            <w:right w:w="108" w:type="dxa"/>
          </w:tblCellMar>
        </w:tblPrEx>
        <w:trPr>
          <w:trHeight w:val="23" w:hRule="atLeast"/>
        </w:trPr>
        <w:tc>
          <w:tcPr>
            <w:tcW w:w="7339" w:type="dxa"/>
            <w:gridSpan w:val="6"/>
            <w:tcBorders>
              <w:top w:val="single" w:color="auto" w:sz="4" w:space="0"/>
              <w:left w:val="single" w:color="auto" w:sz="4" w:space="0"/>
              <w:bottom w:val="single" w:color="auto" w:sz="4" w:space="0"/>
              <w:right w:val="single" w:color="auto" w:sz="4" w:space="0"/>
            </w:tcBorders>
            <w:vAlign w:val="center"/>
          </w:tcPr>
          <w:p w14:paraId="5070C9E4">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b/>
                <w:bCs/>
                <w:color w:val="auto"/>
                <w:kern w:val="0"/>
                <w:sz w:val="21"/>
                <w:szCs w:val="21"/>
                <w:highlight w:val="none"/>
              </w:rPr>
            </w:pPr>
            <w:r>
              <w:rPr>
                <w:rFonts w:hint="eastAsia" w:ascii="仿宋" w:hAnsi="仿宋" w:eastAsia="仿宋" w:cs="仿宋"/>
                <w:b/>
                <w:bCs/>
                <w:color w:val="auto"/>
                <w:kern w:val="0"/>
                <w:sz w:val="21"/>
                <w:szCs w:val="21"/>
                <w:highlight w:val="none"/>
              </w:rPr>
              <w:t>人工智能学院云计算技术应用实训室建设</w:t>
            </w:r>
          </w:p>
        </w:tc>
        <w:tc>
          <w:tcPr>
            <w:tcW w:w="1091" w:type="dxa"/>
            <w:tcBorders>
              <w:top w:val="single" w:color="auto" w:sz="4" w:space="0"/>
              <w:left w:val="single" w:color="auto" w:sz="4" w:space="0"/>
              <w:bottom w:val="single" w:color="auto" w:sz="4" w:space="0"/>
              <w:right w:val="single" w:color="auto" w:sz="4" w:space="0"/>
            </w:tcBorders>
            <w:vAlign w:val="center"/>
          </w:tcPr>
          <w:p w14:paraId="60B26859">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b/>
                <w:bCs/>
                <w:color w:val="auto"/>
                <w:kern w:val="0"/>
                <w:sz w:val="21"/>
                <w:szCs w:val="21"/>
                <w:highlight w:val="none"/>
              </w:rPr>
            </w:pPr>
          </w:p>
        </w:tc>
        <w:tc>
          <w:tcPr>
            <w:tcW w:w="1213" w:type="dxa"/>
            <w:tcBorders>
              <w:top w:val="single" w:color="auto" w:sz="4" w:space="0"/>
              <w:left w:val="single" w:color="auto" w:sz="4" w:space="0"/>
              <w:bottom w:val="single" w:color="auto" w:sz="4" w:space="0"/>
              <w:right w:val="single" w:color="auto" w:sz="4" w:space="0"/>
            </w:tcBorders>
            <w:vAlign w:val="center"/>
          </w:tcPr>
          <w:p w14:paraId="585A396C">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b/>
                <w:bCs/>
                <w:color w:val="auto"/>
                <w:kern w:val="0"/>
                <w:sz w:val="21"/>
                <w:szCs w:val="21"/>
                <w:highlight w:val="none"/>
              </w:rPr>
            </w:pPr>
          </w:p>
        </w:tc>
      </w:tr>
      <w:tr w14:paraId="71D929B0">
        <w:tblPrEx>
          <w:tblCellMar>
            <w:top w:w="0" w:type="dxa"/>
            <w:left w:w="108" w:type="dxa"/>
            <w:bottom w:w="0" w:type="dxa"/>
            <w:right w:w="108" w:type="dxa"/>
          </w:tblCellMar>
        </w:tblPrEx>
        <w:trPr>
          <w:trHeight w:val="23" w:hRule="atLeast"/>
        </w:trPr>
        <w:tc>
          <w:tcPr>
            <w:tcW w:w="0" w:type="auto"/>
            <w:tcBorders>
              <w:top w:val="single" w:color="auto" w:sz="4" w:space="0"/>
              <w:left w:val="single" w:color="auto" w:sz="4" w:space="0"/>
              <w:bottom w:val="single" w:color="auto" w:sz="4" w:space="0"/>
              <w:right w:val="single" w:color="auto" w:sz="4" w:space="0"/>
            </w:tcBorders>
            <w:vAlign w:val="center"/>
          </w:tcPr>
          <w:p w14:paraId="26B9BE4E">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1</w:t>
            </w:r>
          </w:p>
        </w:tc>
        <w:tc>
          <w:tcPr>
            <w:tcW w:w="0" w:type="auto"/>
            <w:tcBorders>
              <w:top w:val="single" w:color="auto" w:sz="4" w:space="0"/>
              <w:left w:val="nil"/>
              <w:bottom w:val="single" w:color="auto" w:sz="4" w:space="0"/>
              <w:right w:val="single" w:color="auto" w:sz="4" w:space="0"/>
            </w:tcBorders>
            <w:vAlign w:val="center"/>
          </w:tcPr>
          <w:p w14:paraId="64D6B28F">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1</w:t>
            </w:r>
          </w:p>
        </w:tc>
        <w:tc>
          <w:tcPr>
            <w:tcW w:w="1995" w:type="dxa"/>
            <w:tcBorders>
              <w:top w:val="single" w:color="auto" w:sz="4" w:space="0"/>
              <w:left w:val="nil"/>
              <w:bottom w:val="single" w:color="auto" w:sz="4" w:space="0"/>
              <w:right w:val="single" w:color="auto" w:sz="4" w:space="0"/>
            </w:tcBorders>
            <w:vAlign w:val="center"/>
          </w:tcPr>
          <w:p w14:paraId="07CF9EE2">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一体化授课设备</w:t>
            </w:r>
          </w:p>
        </w:tc>
        <w:tc>
          <w:tcPr>
            <w:tcW w:w="831" w:type="dxa"/>
            <w:tcBorders>
              <w:top w:val="single" w:color="auto" w:sz="4" w:space="0"/>
              <w:left w:val="nil"/>
              <w:bottom w:val="single" w:color="auto" w:sz="4" w:space="0"/>
              <w:right w:val="single" w:color="auto" w:sz="4" w:space="0"/>
            </w:tcBorders>
            <w:vAlign w:val="center"/>
          </w:tcPr>
          <w:p w14:paraId="55FFFA36">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2</w:t>
            </w:r>
          </w:p>
        </w:tc>
        <w:tc>
          <w:tcPr>
            <w:tcW w:w="764" w:type="dxa"/>
            <w:tcBorders>
              <w:top w:val="single" w:color="auto" w:sz="4" w:space="0"/>
              <w:left w:val="nil"/>
              <w:bottom w:val="single" w:color="auto" w:sz="4" w:space="0"/>
              <w:right w:val="single" w:color="auto" w:sz="4" w:space="0"/>
            </w:tcBorders>
            <w:vAlign w:val="center"/>
          </w:tcPr>
          <w:p w14:paraId="691DC81F">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台</w:t>
            </w:r>
          </w:p>
        </w:tc>
        <w:tc>
          <w:tcPr>
            <w:tcW w:w="2400" w:type="dxa"/>
            <w:tcBorders>
              <w:top w:val="single" w:color="auto" w:sz="4" w:space="0"/>
              <w:left w:val="nil"/>
              <w:bottom w:val="single" w:color="auto" w:sz="4" w:space="0"/>
              <w:right w:val="single" w:color="auto" w:sz="4" w:space="0"/>
            </w:tcBorders>
            <w:vAlign w:val="center"/>
          </w:tcPr>
          <w:p w14:paraId="7A83FC3A">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软件和信息技术服务业</w:t>
            </w:r>
          </w:p>
        </w:tc>
        <w:tc>
          <w:tcPr>
            <w:tcW w:w="1091" w:type="dxa"/>
            <w:tcBorders>
              <w:top w:val="single" w:color="auto" w:sz="4" w:space="0"/>
              <w:left w:val="nil"/>
              <w:bottom w:val="single" w:color="auto" w:sz="4" w:space="0"/>
              <w:right w:val="single" w:color="auto" w:sz="4" w:space="0"/>
            </w:tcBorders>
            <w:vAlign w:val="center"/>
          </w:tcPr>
          <w:p w14:paraId="57B444A9">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否</w:t>
            </w:r>
          </w:p>
        </w:tc>
        <w:tc>
          <w:tcPr>
            <w:tcW w:w="1213" w:type="dxa"/>
            <w:tcBorders>
              <w:top w:val="single" w:color="auto" w:sz="4" w:space="0"/>
              <w:left w:val="nil"/>
              <w:bottom w:val="single" w:color="auto" w:sz="4" w:space="0"/>
              <w:right w:val="single" w:color="auto" w:sz="4" w:space="0"/>
            </w:tcBorders>
            <w:vAlign w:val="center"/>
          </w:tcPr>
          <w:p w14:paraId="0A1B4B6B">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否</w:t>
            </w:r>
          </w:p>
        </w:tc>
      </w:tr>
      <w:tr w14:paraId="3C73392E">
        <w:tblPrEx>
          <w:tblCellMar>
            <w:top w:w="0" w:type="dxa"/>
            <w:left w:w="108" w:type="dxa"/>
            <w:bottom w:w="0" w:type="dxa"/>
            <w:right w:w="108" w:type="dxa"/>
          </w:tblCellMar>
        </w:tblPrEx>
        <w:trPr>
          <w:trHeight w:val="23" w:hRule="atLeast"/>
        </w:trPr>
        <w:tc>
          <w:tcPr>
            <w:tcW w:w="0" w:type="auto"/>
            <w:tcBorders>
              <w:top w:val="single" w:color="auto" w:sz="4" w:space="0"/>
              <w:left w:val="single" w:color="auto" w:sz="4" w:space="0"/>
              <w:bottom w:val="single" w:color="auto" w:sz="4" w:space="0"/>
              <w:right w:val="single" w:color="auto" w:sz="4" w:space="0"/>
            </w:tcBorders>
            <w:vAlign w:val="center"/>
          </w:tcPr>
          <w:p w14:paraId="78B6FC72">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2</w:t>
            </w:r>
          </w:p>
        </w:tc>
        <w:tc>
          <w:tcPr>
            <w:tcW w:w="0" w:type="auto"/>
            <w:tcBorders>
              <w:top w:val="single" w:color="auto" w:sz="4" w:space="0"/>
              <w:left w:val="nil"/>
              <w:bottom w:val="single" w:color="auto" w:sz="4" w:space="0"/>
              <w:right w:val="single" w:color="auto" w:sz="4" w:space="0"/>
            </w:tcBorders>
            <w:vAlign w:val="center"/>
          </w:tcPr>
          <w:p w14:paraId="533B60EC">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1</w:t>
            </w:r>
          </w:p>
        </w:tc>
        <w:tc>
          <w:tcPr>
            <w:tcW w:w="1995" w:type="dxa"/>
            <w:tcBorders>
              <w:top w:val="single" w:color="auto" w:sz="4" w:space="0"/>
              <w:left w:val="nil"/>
              <w:bottom w:val="single" w:color="auto" w:sz="4" w:space="0"/>
              <w:right w:val="single" w:color="auto" w:sz="4" w:space="0"/>
            </w:tcBorders>
            <w:vAlign w:val="center"/>
          </w:tcPr>
          <w:p w14:paraId="45638D78">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教育桌面云软件</w:t>
            </w:r>
          </w:p>
        </w:tc>
        <w:tc>
          <w:tcPr>
            <w:tcW w:w="831" w:type="dxa"/>
            <w:tcBorders>
              <w:top w:val="single" w:color="auto" w:sz="4" w:space="0"/>
              <w:left w:val="nil"/>
              <w:bottom w:val="single" w:color="auto" w:sz="4" w:space="0"/>
              <w:right w:val="single" w:color="auto" w:sz="4" w:space="0"/>
            </w:tcBorders>
            <w:vAlign w:val="center"/>
          </w:tcPr>
          <w:p w14:paraId="084433CA">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112</w:t>
            </w:r>
          </w:p>
        </w:tc>
        <w:tc>
          <w:tcPr>
            <w:tcW w:w="764" w:type="dxa"/>
            <w:tcBorders>
              <w:top w:val="single" w:color="auto" w:sz="4" w:space="0"/>
              <w:left w:val="nil"/>
              <w:bottom w:val="single" w:color="auto" w:sz="4" w:space="0"/>
              <w:right w:val="single" w:color="auto" w:sz="4" w:space="0"/>
            </w:tcBorders>
            <w:vAlign w:val="center"/>
          </w:tcPr>
          <w:p w14:paraId="202EB695">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点</w:t>
            </w:r>
          </w:p>
        </w:tc>
        <w:tc>
          <w:tcPr>
            <w:tcW w:w="2400" w:type="dxa"/>
            <w:tcBorders>
              <w:top w:val="single" w:color="auto" w:sz="4" w:space="0"/>
              <w:left w:val="nil"/>
              <w:bottom w:val="single" w:color="auto" w:sz="4" w:space="0"/>
              <w:right w:val="single" w:color="auto" w:sz="4" w:space="0"/>
            </w:tcBorders>
            <w:vAlign w:val="center"/>
          </w:tcPr>
          <w:p w14:paraId="674A09CA">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软件和信息技术服务业</w:t>
            </w:r>
          </w:p>
        </w:tc>
        <w:tc>
          <w:tcPr>
            <w:tcW w:w="1091" w:type="dxa"/>
            <w:tcBorders>
              <w:top w:val="single" w:color="auto" w:sz="4" w:space="0"/>
              <w:left w:val="nil"/>
              <w:bottom w:val="single" w:color="auto" w:sz="4" w:space="0"/>
              <w:right w:val="single" w:color="auto" w:sz="4" w:space="0"/>
            </w:tcBorders>
            <w:vAlign w:val="center"/>
          </w:tcPr>
          <w:p w14:paraId="6C7132BE">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否</w:t>
            </w:r>
          </w:p>
        </w:tc>
        <w:tc>
          <w:tcPr>
            <w:tcW w:w="1213" w:type="dxa"/>
            <w:tcBorders>
              <w:top w:val="single" w:color="auto" w:sz="4" w:space="0"/>
              <w:left w:val="nil"/>
              <w:bottom w:val="single" w:color="auto" w:sz="4" w:space="0"/>
              <w:right w:val="single" w:color="auto" w:sz="4" w:space="0"/>
            </w:tcBorders>
            <w:vAlign w:val="center"/>
          </w:tcPr>
          <w:p w14:paraId="494EC623">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否</w:t>
            </w:r>
          </w:p>
        </w:tc>
      </w:tr>
      <w:tr w14:paraId="372C4DBB">
        <w:tblPrEx>
          <w:tblCellMar>
            <w:top w:w="0" w:type="dxa"/>
            <w:left w:w="108" w:type="dxa"/>
            <w:bottom w:w="0" w:type="dxa"/>
            <w:right w:w="108" w:type="dxa"/>
          </w:tblCellMar>
        </w:tblPrEx>
        <w:trPr>
          <w:trHeight w:val="23" w:hRule="atLeast"/>
        </w:trPr>
        <w:tc>
          <w:tcPr>
            <w:tcW w:w="0" w:type="auto"/>
            <w:tcBorders>
              <w:top w:val="single" w:color="auto" w:sz="4" w:space="0"/>
              <w:left w:val="single" w:color="auto" w:sz="4" w:space="0"/>
              <w:bottom w:val="single" w:color="auto" w:sz="4" w:space="0"/>
              <w:right w:val="single" w:color="auto" w:sz="4" w:space="0"/>
            </w:tcBorders>
            <w:vAlign w:val="center"/>
          </w:tcPr>
          <w:p w14:paraId="164D1976">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3</w:t>
            </w:r>
          </w:p>
        </w:tc>
        <w:tc>
          <w:tcPr>
            <w:tcW w:w="0" w:type="auto"/>
            <w:tcBorders>
              <w:top w:val="single" w:color="auto" w:sz="4" w:space="0"/>
              <w:left w:val="nil"/>
              <w:bottom w:val="single" w:color="auto" w:sz="4" w:space="0"/>
              <w:right w:val="single" w:color="auto" w:sz="4" w:space="0"/>
            </w:tcBorders>
            <w:vAlign w:val="center"/>
          </w:tcPr>
          <w:p w14:paraId="18521C5C">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1</w:t>
            </w:r>
          </w:p>
        </w:tc>
        <w:tc>
          <w:tcPr>
            <w:tcW w:w="1995" w:type="dxa"/>
            <w:tcBorders>
              <w:top w:val="single" w:color="auto" w:sz="4" w:space="0"/>
              <w:left w:val="nil"/>
              <w:bottom w:val="single" w:color="auto" w:sz="4" w:space="0"/>
              <w:right w:val="single" w:color="auto" w:sz="4" w:space="0"/>
            </w:tcBorders>
            <w:vAlign w:val="center"/>
          </w:tcPr>
          <w:p w14:paraId="64748300">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课堂教学互动管理系统</w:t>
            </w:r>
          </w:p>
        </w:tc>
        <w:tc>
          <w:tcPr>
            <w:tcW w:w="831" w:type="dxa"/>
            <w:tcBorders>
              <w:top w:val="single" w:color="auto" w:sz="4" w:space="0"/>
              <w:left w:val="nil"/>
              <w:bottom w:val="single" w:color="auto" w:sz="4" w:space="0"/>
              <w:right w:val="single" w:color="auto" w:sz="4" w:space="0"/>
            </w:tcBorders>
            <w:vAlign w:val="center"/>
          </w:tcPr>
          <w:p w14:paraId="2E9B3133">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2</w:t>
            </w:r>
          </w:p>
        </w:tc>
        <w:tc>
          <w:tcPr>
            <w:tcW w:w="764" w:type="dxa"/>
            <w:tcBorders>
              <w:top w:val="single" w:color="auto" w:sz="4" w:space="0"/>
              <w:left w:val="nil"/>
              <w:bottom w:val="single" w:color="auto" w:sz="4" w:space="0"/>
              <w:right w:val="single" w:color="auto" w:sz="4" w:space="0"/>
            </w:tcBorders>
            <w:vAlign w:val="center"/>
          </w:tcPr>
          <w:p w14:paraId="2ED23961">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套</w:t>
            </w:r>
          </w:p>
        </w:tc>
        <w:tc>
          <w:tcPr>
            <w:tcW w:w="2400" w:type="dxa"/>
            <w:tcBorders>
              <w:top w:val="single" w:color="auto" w:sz="4" w:space="0"/>
              <w:left w:val="nil"/>
              <w:bottom w:val="single" w:color="auto" w:sz="4" w:space="0"/>
              <w:right w:val="single" w:color="auto" w:sz="4" w:space="0"/>
            </w:tcBorders>
            <w:vAlign w:val="center"/>
          </w:tcPr>
          <w:p w14:paraId="4B27894A">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软件和信息技术服务业</w:t>
            </w:r>
          </w:p>
        </w:tc>
        <w:tc>
          <w:tcPr>
            <w:tcW w:w="1091" w:type="dxa"/>
            <w:tcBorders>
              <w:top w:val="single" w:color="auto" w:sz="4" w:space="0"/>
              <w:left w:val="nil"/>
              <w:bottom w:val="single" w:color="auto" w:sz="4" w:space="0"/>
              <w:right w:val="single" w:color="auto" w:sz="4" w:space="0"/>
            </w:tcBorders>
            <w:vAlign w:val="center"/>
          </w:tcPr>
          <w:p w14:paraId="457AFC76">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否</w:t>
            </w:r>
          </w:p>
        </w:tc>
        <w:tc>
          <w:tcPr>
            <w:tcW w:w="1213" w:type="dxa"/>
            <w:tcBorders>
              <w:top w:val="single" w:color="auto" w:sz="4" w:space="0"/>
              <w:left w:val="nil"/>
              <w:bottom w:val="single" w:color="auto" w:sz="4" w:space="0"/>
              <w:right w:val="single" w:color="auto" w:sz="4" w:space="0"/>
            </w:tcBorders>
            <w:vAlign w:val="center"/>
          </w:tcPr>
          <w:p w14:paraId="31AB313F">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否</w:t>
            </w:r>
          </w:p>
        </w:tc>
      </w:tr>
      <w:tr w14:paraId="5C4D2282">
        <w:tblPrEx>
          <w:tblCellMar>
            <w:top w:w="0" w:type="dxa"/>
            <w:left w:w="108" w:type="dxa"/>
            <w:bottom w:w="0" w:type="dxa"/>
            <w:right w:w="108" w:type="dxa"/>
          </w:tblCellMar>
        </w:tblPrEx>
        <w:trPr>
          <w:trHeight w:val="23" w:hRule="atLeast"/>
        </w:trPr>
        <w:tc>
          <w:tcPr>
            <w:tcW w:w="0" w:type="auto"/>
            <w:tcBorders>
              <w:top w:val="single" w:color="auto" w:sz="4" w:space="0"/>
              <w:left w:val="single" w:color="auto" w:sz="4" w:space="0"/>
              <w:bottom w:val="single" w:color="auto" w:sz="4" w:space="0"/>
              <w:right w:val="single" w:color="auto" w:sz="4" w:space="0"/>
            </w:tcBorders>
            <w:vAlign w:val="center"/>
          </w:tcPr>
          <w:p w14:paraId="64A829F3">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4</w:t>
            </w:r>
          </w:p>
        </w:tc>
        <w:tc>
          <w:tcPr>
            <w:tcW w:w="0" w:type="auto"/>
            <w:tcBorders>
              <w:top w:val="single" w:color="auto" w:sz="4" w:space="0"/>
              <w:left w:val="nil"/>
              <w:bottom w:val="single" w:color="auto" w:sz="4" w:space="0"/>
              <w:right w:val="single" w:color="auto" w:sz="4" w:space="0"/>
            </w:tcBorders>
            <w:vAlign w:val="center"/>
          </w:tcPr>
          <w:p w14:paraId="63AF428A">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1</w:t>
            </w:r>
          </w:p>
        </w:tc>
        <w:tc>
          <w:tcPr>
            <w:tcW w:w="1995" w:type="dxa"/>
            <w:tcBorders>
              <w:top w:val="single" w:color="auto" w:sz="4" w:space="0"/>
              <w:left w:val="nil"/>
              <w:bottom w:val="single" w:color="auto" w:sz="4" w:space="0"/>
              <w:right w:val="single" w:color="auto" w:sz="4" w:space="0"/>
            </w:tcBorders>
            <w:vAlign w:val="center"/>
          </w:tcPr>
          <w:p w14:paraId="34C7A5A9">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24口交换机</w:t>
            </w:r>
          </w:p>
        </w:tc>
        <w:tc>
          <w:tcPr>
            <w:tcW w:w="831" w:type="dxa"/>
            <w:tcBorders>
              <w:top w:val="single" w:color="auto" w:sz="4" w:space="0"/>
              <w:left w:val="nil"/>
              <w:bottom w:val="single" w:color="auto" w:sz="4" w:space="0"/>
              <w:right w:val="single" w:color="auto" w:sz="4" w:space="0"/>
            </w:tcBorders>
            <w:vAlign w:val="center"/>
          </w:tcPr>
          <w:p w14:paraId="32CC602C">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6</w:t>
            </w:r>
          </w:p>
        </w:tc>
        <w:tc>
          <w:tcPr>
            <w:tcW w:w="764" w:type="dxa"/>
            <w:tcBorders>
              <w:top w:val="single" w:color="auto" w:sz="4" w:space="0"/>
              <w:left w:val="nil"/>
              <w:bottom w:val="single" w:color="auto" w:sz="4" w:space="0"/>
              <w:right w:val="single" w:color="auto" w:sz="4" w:space="0"/>
            </w:tcBorders>
            <w:vAlign w:val="center"/>
          </w:tcPr>
          <w:p w14:paraId="0D52DC7E">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台</w:t>
            </w:r>
          </w:p>
        </w:tc>
        <w:tc>
          <w:tcPr>
            <w:tcW w:w="2400" w:type="dxa"/>
            <w:tcBorders>
              <w:top w:val="single" w:color="auto" w:sz="4" w:space="0"/>
              <w:left w:val="nil"/>
              <w:bottom w:val="single" w:color="auto" w:sz="4" w:space="0"/>
              <w:right w:val="single" w:color="auto" w:sz="4" w:space="0"/>
            </w:tcBorders>
            <w:vAlign w:val="center"/>
          </w:tcPr>
          <w:p w14:paraId="047054F8">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工业</w:t>
            </w:r>
          </w:p>
        </w:tc>
        <w:tc>
          <w:tcPr>
            <w:tcW w:w="1091" w:type="dxa"/>
            <w:tcBorders>
              <w:top w:val="single" w:color="auto" w:sz="4" w:space="0"/>
              <w:left w:val="nil"/>
              <w:bottom w:val="single" w:color="auto" w:sz="4" w:space="0"/>
              <w:right w:val="single" w:color="auto" w:sz="4" w:space="0"/>
            </w:tcBorders>
            <w:vAlign w:val="center"/>
          </w:tcPr>
          <w:p w14:paraId="7AC2DB25">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否</w:t>
            </w:r>
          </w:p>
        </w:tc>
        <w:tc>
          <w:tcPr>
            <w:tcW w:w="1213" w:type="dxa"/>
            <w:tcBorders>
              <w:top w:val="single" w:color="auto" w:sz="4" w:space="0"/>
              <w:left w:val="nil"/>
              <w:bottom w:val="single" w:color="auto" w:sz="4" w:space="0"/>
              <w:right w:val="single" w:color="auto" w:sz="4" w:space="0"/>
            </w:tcBorders>
            <w:vAlign w:val="center"/>
          </w:tcPr>
          <w:p w14:paraId="00C2EFBB">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否</w:t>
            </w:r>
          </w:p>
        </w:tc>
      </w:tr>
      <w:tr w14:paraId="34B44C98">
        <w:tblPrEx>
          <w:tblCellMar>
            <w:top w:w="0" w:type="dxa"/>
            <w:left w:w="108" w:type="dxa"/>
            <w:bottom w:w="0" w:type="dxa"/>
            <w:right w:w="108" w:type="dxa"/>
          </w:tblCellMar>
        </w:tblPrEx>
        <w:trPr>
          <w:trHeight w:val="23" w:hRule="atLeast"/>
        </w:trPr>
        <w:tc>
          <w:tcPr>
            <w:tcW w:w="0" w:type="auto"/>
            <w:tcBorders>
              <w:top w:val="single" w:color="auto" w:sz="4" w:space="0"/>
              <w:left w:val="single" w:color="auto" w:sz="4" w:space="0"/>
              <w:bottom w:val="single" w:color="auto" w:sz="4" w:space="0"/>
              <w:right w:val="single" w:color="auto" w:sz="4" w:space="0"/>
            </w:tcBorders>
            <w:vAlign w:val="center"/>
          </w:tcPr>
          <w:p w14:paraId="6121B645">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5</w:t>
            </w:r>
          </w:p>
        </w:tc>
        <w:tc>
          <w:tcPr>
            <w:tcW w:w="0" w:type="auto"/>
            <w:tcBorders>
              <w:top w:val="single" w:color="auto" w:sz="4" w:space="0"/>
              <w:left w:val="nil"/>
              <w:bottom w:val="single" w:color="auto" w:sz="4" w:space="0"/>
              <w:right w:val="single" w:color="auto" w:sz="4" w:space="0"/>
            </w:tcBorders>
            <w:vAlign w:val="center"/>
          </w:tcPr>
          <w:p w14:paraId="0ACBE886">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1</w:t>
            </w:r>
          </w:p>
        </w:tc>
        <w:tc>
          <w:tcPr>
            <w:tcW w:w="1995" w:type="dxa"/>
            <w:tcBorders>
              <w:top w:val="single" w:color="auto" w:sz="4" w:space="0"/>
              <w:left w:val="nil"/>
              <w:bottom w:val="single" w:color="auto" w:sz="4" w:space="0"/>
              <w:right w:val="single" w:color="auto" w:sz="4" w:space="0"/>
            </w:tcBorders>
            <w:vAlign w:val="center"/>
          </w:tcPr>
          <w:p w14:paraId="678146F7">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六类非屏蔽双绞线</w:t>
            </w:r>
          </w:p>
        </w:tc>
        <w:tc>
          <w:tcPr>
            <w:tcW w:w="831" w:type="dxa"/>
            <w:tcBorders>
              <w:top w:val="single" w:color="auto" w:sz="4" w:space="0"/>
              <w:left w:val="nil"/>
              <w:bottom w:val="single" w:color="auto" w:sz="4" w:space="0"/>
              <w:right w:val="single" w:color="auto" w:sz="4" w:space="0"/>
            </w:tcBorders>
            <w:vAlign w:val="center"/>
          </w:tcPr>
          <w:p w14:paraId="3F8C98C9">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4600</w:t>
            </w:r>
          </w:p>
        </w:tc>
        <w:tc>
          <w:tcPr>
            <w:tcW w:w="764" w:type="dxa"/>
            <w:tcBorders>
              <w:top w:val="single" w:color="auto" w:sz="4" w:space="0"/>
              <w:left w:val="nil"/>
              <w:bottom w:val="single" w:color="auto" w:sz="4" w:space="0"/>
              <w:right w:val="single" w:color="auto" w:sz="4" w:space="0"/>
            </w:tcBorders>
            <w:vAlign w:val="center"/>
          </w:tcPr>
          <w:p w14:paraId="53F250B8">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米</w:t>
            </w:r>
          </w:p>
        </w:tc>
        <w:tc>
          <w:tcPr>
            <w:tcW w:w="2400" w:type="dxa"/>
            <w:tcBorders>
              <w:top w:val="single" w:color="auto" w:sz="4" w:space="0"/>
              <w:left w:val="nil"/>
              <w:bottom w:val="single" w:color="auto" w:sz="4" w:space="0"/>
              <w:right w:val="single" w:color="auto" w:sz="4" w:space="0"/>
            </w:tcBorders>
            <w:vAlign w:val="center"/>
          </w:tcPr>
          <w:p w14:paraId="3950F426">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工业</w:t>
            </w:r>
          </w:p>
        </w:tc>
        <w:tc>
          <w:tcPr>
            <w:tcW w:w="1091" w:type="dxa"/>
            <w:tcBorders>
              <w:top w:val="single" w:color="auto" w:sz="4" w:space="0"/>
              <w:left w:val="nil"/>
              <w:bottom w:val="single" w:color="auto" w:sz="4" w:space="0"/>
              <w:right w:val="single" w:color="auto" w:sz="4" w:space="0"/>
            </w:tcBorders>
            <w:vAlign w:val="center"/>
          </w:tcPr>
          <w:p w14:paraId="7C0A336D">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否</w:t>
            </w:r>
          </w:p>
        </w:tc>
        <w:tc>
          <w:tcPr>
            <w:tcW w:w="1213" w:type="dxa"/>
            <w:tcBorders>
              <w:top w:val="single" w:color="auto" w:sz="4" w:space="0"/>
              <w:left w:val="nil"/>
              <w:bottom w:val="single" w:color="auto" w:sz="4" w:space="0"/>
              <w:right w:val="single" w:color="auto" w:sz="4" w:space="0"/>
            </w:tcBorders>
            <w:vAlign w:val="center"/>
          </w:tcPr>
          <w:p w14:paraId="46EB4DC5">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否</w:t>
            </w:r>
          </w:p>
        </w:tc>
      </w:tr>
      <w:tr w14:paraId="3A8F2D32">
        <w:tblPrEx>
          <w:tblCellMar>
            <w:top w:w="0" w:type="dxa"/>
            <w:left w:w="108" w:type="dxa"/>
            <w:bottom w:w="0" w:type="dxa"/>
            <w:right w:w="108" w:type="dxa"/>
          </w:tblCellMar>
        </w:tblPrEx>
        <w:trPr>
          <w:trHeight w:val="23" w:hRule="atLeast"/>
        </w:trPr>
        <w:tc>
          <w:tcPr>
            <w:tcW w:w="0" w:type="auto"/>
            <w:tcBorders>
              <w:top w:val="single" w:color="auto" w:sz="4" w:space="0"/>
              <w:left w:val="single" w:color="auto" w:sz="4" w:space="0"/>
              <w:bottom w:val="single" w:color="auto" w:sz="4" w:space="0"/>
              <w:right w:val="single" w:color="auto" w:sz="4" w:space="0"/>
            </w:tcBorders>
            <w:vAlign w:val="center"/>
          </w:tcPr>
          <w:p w14:paraId="6DC7D7C6">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6</w:t>
            </w:r>
          </w:p>
        </w:tc>
        <w:tc>
          <w:tcPr>
            <w:tcW w:w="0" w:type="auto"/>
            <w:tcBorders>
              <w:top w:val="single" w:color="auto" w:sz="4" w:space="0"/>
              <w:left w:val="nil"/>
              <w:bottom w:val="single" w:color="auto" w:sz="4" w:space="0"/>
              <w:right w:val="single" w:color="auto" w:sz="4" w:space="0"/>
            </w:tcBorders>
            <w:vAlign w:val="center"/>
          </w:tcPr>
          <w:p w14:paraId="58C09F6B">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1</w:t>
            </w:r>
          </w:p>
        </w:tc>
        <w:tc>
          <w:tcPr>
            <w:tcW w:w="1995" w:type="dxa"/>
            <w:tcBorders>
              <w:top w:val="single" w:color="auto" w:sz="4" w:space="0"/>
              <w:left w:val="nil"/>
              <w:bottom w:val="single" w:color="auto" w:sz="4" w:space="0"/>
              <w:right w:val="single" w:color="auto" w:sz="4" w:space="0"/>
            </w:tcBorders>
            <w:vAlign w:val="center"/>
          </w:tcPr>
          <w:p w14:paraId="385363FA">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网络机柜</w:t>
            </w:r>
          </w:p>
        </w:tc>
        <w:tc>
          <w:tcPr>
            <w:tcW w:w="831" w:type="dxa"/>
            <w:tcBorders>
              <w:top w:val="single" w:color="auto" w:sz="4" w:space="0"/>
              <w:left w:val="nil"/>
              <w:bottom w:val="single" w:color="auto" w:sz="4" w:space="0"/>
              <w:right w:val="single" w:color="auto" w:sz="4" w:space="0"/>
            </w:tcBorders>
            <w:vAlign w:val="center"/>
          </w:tcPr>
          <w:p w14:paraId="5282A32A">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2</w:t>
            </w:r>
          </w:p>
        </w:tc>
        <w:tc>
          <w:tcPr>
            <w:tcW w:w="764" w:type="dxa"/>
            <w:tcBorders>
              <w:top w:val="single" w:color="auto" w:sz="4" w:space="0"/>
              <w:left w:val="nil"/>
              <w:bottom w:val="single" w:color="auto" w:sz="4" w:space="0"/>
              <w:right w:val="single" w:color="auto" w:sz="4" w:space="0"/>
            </w:tcBorders>
            <w:vAlign w:val="center"/>
          </w:tcPr>
          <w:p w14:paraId="0B582DB7">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个</w:t>
            </w:r>
          </w:p>
        </w:tc>
        <w:tc>
          <w:tcPr>
            <w:tcW w:w="2400" w:type="dxa"/>
            <w:tcBorders>
              <w:top w:val="single" w:color="auto" w:sz="4" w:space="0"/>
              <w:left w:val="nil"/>
              <w:bottom w:val="single" w:color="auto" w:sz="4" w:space="0"/>
              <w:right w:val="single" w:color="auto" w:sz="4" w:space="0"/>
            </w:tcBorders>
            <w:vAlign w:val="center"/>
          </w:tcPr>
          <w:p w14:paraId="355C6775">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工业</w:t>
            </w:r>
          </w:p>
        </w:tc>
        <w:tc>
          <w:tcPr>
            <w:tcW w:w="1091" w:type="dxa"/>
            <w:tcBorders>
              <w:top w:val="single" w:color="auto" w:sz="4" w:space="0"/>
              <w:left w:val="nil"/>
              <w:bottom w:val="single" w:color="auto" w:sz="4" w:space="0"/>
              <w:right w:val="single" w:color="auto" w:sz="4" w:space="0"/>
            </w:tcBorders>
            <w:vAlign w:val="center"/>
          </w:tcPr>
          <w:p w14:paraId="7868D7CC">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否</w:t>
            </w:r>
          </w:p>
        </w:tc>
        <w:tc>
          <w:tcPr>
            <w:tcW w:w="1213" w:type="dxa"/>
            <w:tcBorders>
              <w:top w:val="single" w:color="auto" w:sz="4" w:space="0"/>
              <w:left w:val="nil"/>
              <w:bottom w:val="single" w:color="auto" w:sz="4" w:space="0"/>
              <w:right w:val="single" w:color="auto" w:sz="4" w:space="0"/>
            </w:tcBorders>
            <w:vAlign w:val="center"/>
          </w:tcPr>
          <w:p w14:paraId="43AC30BF">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否</w:t>
            </w:r>
          </w:p>
        </w:tc>
      </w:tr>
      <w:tr w14:paraId="369F8C17">
        <w:tblPrEx>
          <w:tblCellMar>
            <w:top w:w="0" w:type="dxa"/>
            <w:left w:w="108" w:type="dxa"/>
            <w:bottom w:w="0" w:type="dxa"/>
            <w:right w:w="108" w:type="dxa"/>
          </w:tblCellMar>
        </w:tblPrEx>
        <w:trPr>
          <w:trHeight w:val="23" w:hRule="atLeast"/>
        </w:trPr>
        <w:tc>
          <w:tcPr>
            <w:tcW w:w="0" w:type="auto"/>
            <w:tcBorders>
              <w:top w:val="single" w:color="auto" w:sz="4" w:space="0"/>
              <w:left w:val="single" w:color="auto" w:sz="4" w:space="0"/>
              <w:bottom w:val="single" w:color="auto" w:sz="4" w:space="0"/>
              <w:right w:val="single" w:color="auto" w:sz="4" w:space="0"/>
            </w:tcBorders>
            <w:vAlign w:val="center"/>
          </w:tcPr>
          <w:p w14:paraId="11EB4E76">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7</w:t>
            </w:r>
          </w:p>
        </w:tc>
        <w:tc>
          <w:tcPr>
            <w:tcW w:w="0" w:type="auto"/>
            <w:tcBorders>
              <w:top w:val="single" w:color="auto" w:sz="4" w:space="0"/>
              <w:left w:val="nil"/>
              <w:bottom w:val="single" w:color="auto" w:sz="4" w:space="0"/>
              <w:right w:val="single" w:color="auto" w:sz="4" w:space="0"/>
            </w:tcBorders>
            <w:vAlign w:val="center"/>
          </w:tcPr>
          <w:p w14:paraId="0091BBDD">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1</w:t>
            </w:r>
          </w:p>
        </w:tc>
        <w:tc>
          <w:tcPr>
            <w:tcW w:w="1995" w:type="dxa"/>
            <w:tcBorders>
              <w:top w:val="single" w:color="auto" w:sz="4" w:space="0"/>
              <w:left w:val="nil"/>
              <w:bottom w:val="single" w:color="auto" w:sz="4" w:space="0"/>
              <w:right w:val="single" w:color="auto" w:sz="4" w:space="0"/>
            </w:tcBorders>
            <w:vAlign w:val="center"/>
          </w:tcPr>
          <w:p w14:paraId="2E0FC90C">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强弱电桥架</w:t>
            </w:r>
          </w:p>
        </w:tc>
        <w:tc>
          <w:tcPr>
            <w:tcW w:w="831" w:type="dxa"/>
            <w:tcBorders>
              <w:top w:val="single" w:color="auto" w:sz="4" w:space="0"/>
              <w:left w:val="nil"/>
              <w:bottom w:val="single" w:color="auto" w:sz="4" w:space="0"/>
              <w:right w:val="single" w:color="auto" w:sz="4" w:space="0"/>
            </w:tcBorders>
            <w:vAlign w:val="center"/>
          </w:tcPr>
          <w:p w14:paraId="78763D71">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80</w:t>
            </w:r>
          </w:p>
        </w:tc>
        <w:tc>
          <w:tcPr>
            <w:tcW w:w="764" w:type="dxa"/>
            <w:tcBorders>
              <w:top w:val="single" w:color="auto" w:sz="4" w:space="0"/>
              <w:left w:val="nil"/>
              <w:bottom w:val="single" w:color="auto" w:sz="4" w:space="0"/>
              <w:right w:val="single" w:color="auto" w:sz="4" w:space="0"/>
            </w:tcBorders>
            <w:vAlign w:val="center"/>
          </w:tcPr>
          <w:p w14:paraId="2A915FC6">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米</w:t>
            </w:r>
          </w:p>
        </w:tc>
        <w:tc>
          <w:tcPr>
            <w:tcW w:w="2400" w:type="dxa"/>
            <w:tcBorders>
              <w:top w:val="single" w:color="auto" w:sz="4" w:space="0"/>
              <w:left w:val="nil"/>
              <w:bottom w:val="single" w:color="auto" w:sz="4" w:space="0"/>
              <w:right w:val="single" w:color="auto" w:sz="4" w:space="0"/>
            </w:tcBorders>
            <w:vAlign w:val="center"/>
          </w:tcPr>
          <w:p w14:paraId="7C9251B0">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工业</w:t>
            </w:r>
          </w:p>
        </w:tc>
        <w:tc>
          <w:tcPr>
            <w:tcW w:w="1091" w:type="dxa"/>
            <w:tcBorders>
              <w:top w:val="single" w:color="auto" w:sz="4" w:space="0"/>
              <w:left w:val="nil"/>
              <w:bottom w:val="single" w:color="auto" w:sz="4" w:space="0"/>
              <w:right w:val="single" w:color="auto" w:sz="4" w:space="0"/>
            </w:tcBorders>
            <w:vAlign w:val="center"/>
          </w:tcPr>
          <w:p w14:paraId="2F7B2EE8">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否</w:t>
            </w:r>
          </w:p>
        </w:tc>
        <w:tc>
          <w:tcPr>
            <w:tcW w:w="1213" w:type="dxa"/>
            <w:tcBorders>
              <w:top w:val="single" w:color="auto" w:sz="4" w:space="0"/>
              <w:left w:val="nil"/>
              <w:bottom w:val="single" w:color="auto" w:sz="4" w:space="0"/>
              <w:right w:val="single" w:color="auto" w:sz="4" w:space="0"/>
            </w:tcBorders>
            <w:vAlign w:val="center"/>
          </w:tcPr>
          <w:p w14:paraId="2BD602E8">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否</w:t>
            </w:r>
          </w:p>
        </w:tc>
      </w:tr>
      <w:tr w14:paraId="1275A501">
        <w:tblPrEx>
          <w:tblCellMar>
            <w:top w:w="0" w:type="dxa"/>
            <w:left w:w="108" w:type="dxa"/>
            <w:bottom w:w="0" w:type="dxa"/>
            <w:right w:w="108" w:type="dxa"/>
          </w:tblCellMar>
        </w:tblPrEx>
        <w:trPr>
          <w:trHeight w:val="23" w:hRule="atLeast"/>
        </w:trPr>
        <w:tc>
          <w:tcPr>
            <w:tcW w:w="0" w:type="auto"/>
            <w:tcBorders>
              <w:top w:val="single" w:color="auto" w:sz="4" w:space="0"/>
              <w:left w:val="single" w:color="auto" w:sz="4" w:space="0"/>
              <w:bottom w:val="single" w:color="auto" w:sz="4" w:space="0"/>
              <w:right w:val="single" w:color="auto" w:sz="4" w:space="0"/>
            </w:tcBorders>
            <w:vAlign w:val="center"/>
          </w:tcPr>
          <w:p w14:paraId="641DFC44">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8</w:t>
            </w:r>
          </w:p>
        </w:tc>
        <w:tc>
          <w:tcPr>
            <w:tcW w:w="0" w:type="auto"/>
            <w:tcBorders>
              <w:top w:val="single" w:color="auto" w:sz="4" w:space="0"/>
              <w:left w:val="nil"/>
              <w:bottom w:val="single" w:color="auto" w:sz="4" w:space="0"/>
              <w:right w:val="single" w:color="auto" w:sz="4" w:space="0"/>
            </w:tcBorders>
            <w:vAlign w:val="center"/>
          </w:tcPr>
          <w:p w14:paraId="2C6F6497">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1</w:t>
            </w:r>
          </w:p>
        </w:tc>
        <w:tc>
          <w:tcPr>
            <w:tcW w:w="1995" w:type="dxa"/>
            <w:tcBorders>
              <w:top w:val="single" w:color="auto" w:sz="4" w:space="0"/>
              <w:left w:val="nil"/>
              <w:bottom w:val="single" w:color="auto" w:sz="4" w:space="0"/>
              <w:right w:val="single" w:color="auto" w:sz="4" w:space="0"/>
            </w:tcBorders>
            <w:vAlign w:val="center"/>
          </w:tcPr>
          <w:p w14:paraId="5C51DCDD">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强弱电综合布线</w:t>
            </w:r>
          </w:p>
        </w:tc>
        <w:tc>
          <w:tcPr>
            <w:tcW w:w="831" w:type="dxa"/>
            <w:tcBorders>
              <w:top w:val="single" w:color="auto" w:sz="4" w:space="0"/>
              <w:left w:val="nil"/>
              <w:bottom w:val="single" w:color="auto" w:sz="4" w:space="0"/>
              <w:right w:val="single" w:color="auto" w:sz="4" w:space="0"/>
            </w:tcBorders>
            <w:vAlign w:val="center"/>
          </w:tcPr>
          <w:p w14:paraId="7F4E096E">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2</w:t>
            </w:r>
          </w:p>
        </w:tc>
        <w:tc>
          <w:tcPr>
            <w:tcW w:w="764" w:type="dxa"/>
            <w:tcBorders>
              <w:top w:val="single" w:color="auto" w:sz="4" w:space="0"/>
              <w:left w:val="nil"/>
              <w:bottom w:val="single" w:color="auto" w:sz="4" w:space="0"/>
              <w:right w:val="single" w:color="auto" w:sz="4" w:space="0"/>
            </w:tcBorders>
            <w:vAlign w:val="center"/>
          </w:tcPr>
          <w:p w14:paraId="38462A5A">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套</w:t>
            </w:r>
          </w:p>
        </w:tc>
        <w:tc>
          <w:tcPr>
            <w:tcW w:w="2400" w:type="dxa"/>
            <w:tcBorders>
              <w:top w:val="single" w:color="auto" w:sz="4" w:space="0"/>
              <w:left w:val="nil"/>
              <w:bottom w:val="single" w:color="auto" w:sz="4" w:space="0"/>
              <w:right w:val="single" w:color="auto" w:sz="4" w:space="0"/>
            </w:tcBorders>
            <w:vAlign w:val="center"/>
          </w:tcPr>
          <w:p w14:paraId="2E46EF42">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工业</w:t>
            </w:r>
          </w:p>
        </w:tc>
        <w:tc>
          <w:tcPr>
            <w:tcW w:w="1091" w:type="dxa"/>
            <w:tcBorders>
              <w:top w:val="single" w:color="auto" w:sz="4" w:space="0"/>
              <w:left w:val="nil"/>
              <w:bottom w:val="single" w:color="auto" w:sz="4" w:space="0"/>
              <w:right w:val="single" w:color="auto" w:sz="4" w:space="0"/>
            </w:tcBorders>
            <w:vAlign w:val="center"/>
          </w:tcPr>
          <w:p w14:paraId="278E087C">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否</w:t>
            </w:r>
          </w:p>
        </w:tc>
        <w:tc>
          <w:tcPr>
            <w:tcW w:w="1213" w:type="dxa"/>
            <w:tcBorders>
              <w:top w:val="single" w:color="auto" w:sz="4" w:space="0"/>
              <w:left w:val="nil"/>
              <w:bottom w:val="single" w:color="auto" w:sz="4" w:space="0"/>
              <w:right w:val="single" w:color="auto" w:sz="4" w:space="0"/>
            </w:tcBorders>
            <w:vAlign w:val="center"/>
          </w:tcPr>
          <w:p w14:paraId="03768BEE">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否</w:t>
            </w:r>
          </w:p>
        </w:tc>
      </w:tr>
      <w:tr w14:paraId="51EF359E">
        <w:tblPrEx>
          <w:tblCellMar>
            <w:top w:w="0" w:type="dxa"/>
            <w:left w:w="108" w:type="dxa"/>
            <w:bottom w:w="0" w:type="dxa"/>
            <w:right w:w="108" w:type="dxa"/>
          </w:tblCellMar>
        </w:tblPrEx>
        <w:trPr>
          <w:trHeight w:val="23" w:hRule="atLeast"/>
        </w:trPr>
        <w:tc>
          <w:tcPr>
            <w:tcW w:w="0" w:type="auto"/>
            <w:tcBorders>
              <w:top w:val="single" w:color="auto" w:sz="4" w:space="0"/>
              <w:left w:val="single" w:color="auto" w:sz="4" w:space="0"/>
              <w:bottom w:val="single" w:color="auto" w:sz="4" w:space="0"/>
              <w:right w:val="single" w:color="auto" w:sz="4" w:space="0"/>
            </w:tcBorders>
            <w:vAlign w:val="center"/>
          </w:tcPr>
          <w:p w14:paraId="72463B3A">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9</w:t>
            </w:r>
          </w:p>
        </w:tc>
        <w:tc>
          <w:tcPr>
            <w:tcW w:w="0" w:type="auto"/>
            <w:tcBorders>
              <w:top w:val="single" w:color="auto" w:sz="4" w:space="0"/>
              <w:left w:val="nil"/>
              <w:bottom w:val="single" w:color="auto" w:sz="4" w:space="0"/>
              <w:right w:val="single" w:color="auto" w:sz="4" w:space="0"/>
            </w:tcBorders>
            <w:vAlign w:val="center"/>
          </w:tcPr>
          <w:p w14:paraId="78E02CD9">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1</w:t>
            </w:r>
          </w:p>
        </w:tc>
        <w:tc>
          <w:tcPr>
            <w:tcW w:w="1995" w:type="dxa"/>
            <w:tcBorders>
              <w:top w:val="single" w:color="auto" w:sz="4" w:space="0"/>
              <w:left w:val="nil"/>
              <w:bottom w:val="single" w:color="auto" w:sz="4" w:space="0"/>
              <w:right w:val="single" w:color="auto" w:sz="4" w:space="0"/>
            </w:tcBorders>
            <w:vAlign w:val="center"/>
          </w:tcPr>
          <w:p w14:paraId="20E719D7">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稳压器</w:t>
            </w:r>
          </w:p>
        </w:tc>
        <w:tc>
          <w:tcPr>
            <w:tcW w:w="831" w:type="dxa"/>
            <w:tcBorders>
              <w:top w:val="single" w:color="auto" w:sz="4" w:space="0"/>
              <w:left w:val="nil"/>
              <w:bottom w:val="single" w:color="auto" w:sz="4" w:space="0"/>
              <w:right w:val="single" w:color="auto" w:sz="4" w:space="0"/>
            </w:tcBorders>
            <w:vAlign w:val="center"/>
          </w:tcPr>
          <w:p w14:paraId="693A7E58">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4</w:t>
            </w:r>
          </w:p>
        </w:tc>
        <w:tc>
          <w:tcPr>
            <w:tcW w:w="764" w:type="dxa"/>
            <w:tcBorders>
              <w:top w:val="single" w:color="auto" w:sz="4" w:space="0"/>
              <w:left w:val="nil"/>
              <w:bottom w:val="single" w:color="auto" w:sz="4" w:space="0"/>
              <w:right w:val="single" w:color="auto" w:sz="4" w:space="0"/>
            </w:tcBorders>
            <w:vAlign w:val="center"/>
          </w:tcPr>
          <w:p w14:paraId="357CB1EA">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台</w:t>
            </w:r>
          </w:p>
        </w:tc>
        <w:tc>
          <w:tcPr>
            <w:tcW w:w="2400" w:type="dxa"/>
            <w:tcBorders>
              <w:top w:val="single" w:color="auto" w:sz="4" w:space="0"/>
              <w:left w:val="nil"/>
              <w:bottom w:val="single" w:color="auto" w:sz="4" w:space="0"/>
              <w:right w:val="single" w:color="auto" w:sz="4" w:space="0"/>
            </w:tcBorders>
            <w:vAlign w:val="center"/>
          </w:tcPr>
          <w:p w14:paraId="0A99D787">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工业</w:t>
            </w:r>
          </w:p>
        </w:tc>
        <w:tc>
          <w:tcPr>
            <w:tcW w:w="1091" w:type="dxa"/>
            <w:tcBorders>
              <w:top w:val="single" w:color="auto" w:sz="4" w:space="0"/>
              <w:left w:val="nil"/>
              <w:bottom w:val="single" w:color="auto" w:sz="4" w:space="0"/>
              <w:right w:val="single" w:color="auto" w:sz="4" w:space="0"/>
            </w:tcBorders>
            <w:vAlign w:val="center"/>
          </w:tcPr>
          <w:p w14:paraId="2623A9ED">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否</w:t>
            </w:r>
          </w:p>
        </w:tc>
        <w:tc>
          <w:tcPr>
            <w:tcW w:w="1213" w:type="dxa"/>
            <w:tcBorders>
              <w:top w:val="single" w:color="auto" w:sz="4" w:space="0"/>
              <w:left w:val="nil"/>
              <w:bottom w:val="single" w:color="auto" w:sz="4" w:space="0"/>
              <w:right w:val="single" w:color="auto" w:sz="4" w:space="0"/>
            </w:tcBorders>
            <w:vAlign w:val="center"/>
          </w:tcPr>
          <w:p w14:paraId="23686E57">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否</w:t>
            </w:r>
          </w:p>
        </w:tc>
      </w:tr>
      <w:tr w14:paraId="0FD4A01C">
        <w:tblPrEx>
          <w:tblCellMar>
            <w:top w:w="0" w:type="dxa"/>
            <w:left w:w="108" w:type="dxa"/>
            <w:bottom w:w="0" w:type="dxa"/>
            <w:right w:w="108" w:type="dxa"/>
          </w:tblCellMar>
        </w:tblPrEx>
        <w:trPr>
          <w:trHeight w:val="23" w:hRule="atLeast"/>
        </w:trPr>
        <w:tc>
          <w:tcPr>
            <w:tcW w:w="9643" w:type="dxa"/>
            <w:gridSpan w:val="8"/>
            <w:tcBorders>
              <w:top w:val="single" w:color="auto" w:sz="4" w:space="0"/>
              <w:left w:val="single" w:color="auto" w:sz="4" w:space="0"/>
              <w:bottom w:val="single" w:color="auto" w:sz="4" w:space="0"/>
              <w:right w:val="single" w:color="auto" w:sz="4" w:space="0"/>
            </w:tcBorders>
            <w:vAlign w:val="center"/>
          </w:tcPr>
          <w:p w14:paraId="18F81603">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b/>
                <w:bCs/>
                <w:color w:val="auto"/>
                <w:kern w:val="0"/>
                <w:sz w:val="21"/>
                <w:szCs w:val="21"/>
                <w:highlight w:val="none"/>
              </w:rPr>
            </w:pPr>
            <w:r>
              <w:rPr>
                <w:rFonts w:hint="eastAsia" w:ascii="仿宋" w:hAnsi="仿宋" w:eastAsia="仿宋" w:cs="仿宋"/>
                <w:b/>
                <w:bCs/>
                <w:color w:val="auto"/>
                <w:kern w:val="0"/>
                <w:sz w:val="21"/>
                <w:szCs w:val="21"/>
                <w:highlight w:val="none"/>
              </w:rPr>
              <w:t>智慧教室建设</w:t>
            </w:r>
          </w:p>
        </w:tc>
      </w:tr>
      <w:tr w14:paraId="3A6F4798">
        <w:tblPrEx>
          <w:tblCellMar>
            <w:top w:w="0" w:type="dxa"/>
            <w:left w:w="108" w:type="dxa"/>
            <w:bottom w:w="0" w:type="dxa"/>
            <w:right w:w="108" w:type="dxa"/>
          </w:tblCellMar>
        </w:tblPrEx>
        <w:trPr>
          <w:trHeight w:val="23" w:hRule="atLeast"/>
        </w:trPr>
        <w:tc>
          <w:tcPr>
            <w:tcW w:w="9643" w:type="dxa"/>
            <w:gridSpan w:val="8"/>
            <w:tcBorders>
              <w:top w:val="single" w:color="auto" w:sz="4" w:space="0"/>
              <w:left w:val="single" w:color="auto" w:sz="4" w:space="0"/>
              <w:bottom w:val="single" w:color="auto" w:sz="4" w:space="0"/>
              <w:right w:val="single" w:color="auto" w:sz="4" w:space="0"/>
            </w:tcBorders>
            <w:vAlign w:val="center"/>
          </w:tcPr>
          <w:p w14:paraId="1516EA01">
            <w:pPr>
              <w:keepNext w:val="0"/>
              <w:keepLines w:val="0"/>
              <w:pageBreakBefore w:val="0"/>
              <w:widowControl/>
              <w:kinsoku/>
              <w:wordWrap w:val="0"/>
              <w:overflowPunct/>
              <w:topLinePunct w:val="0"/>
              <w:autoSpaceDE/>
              <w:autoSpaceDN/>
              <w:bidi w:val="0"/>
              <w:adjustRightInd/>
              <w:snapToGrid/>
              <w:spacing w:line="240" w:lineRule="auto"/>
              <w:ind w:firstLine="0" w:firstLineChars="0"/>
              <w:jc w:val="left"/>
              <w:textAlignment w:val="auto"/>
              <w:rPr>
                <w:rFonts w:hint="eastAsia" w:ascii="仿宋" w:hAnsi="仿宋" w:eastAsia="仿宋" w:cs="仿宋"/>
                <w:b/>
                <w:bCs/>
                <w:color w:val="auto"/>
                <w:kern w:val="0"/>
                <w:sz w:val="21"/>
                <w:szCs w:val="21"/>
                <w:highlight w:val="none"/>
              </w:rPr>
            </w:pPr>
            <w:r>
              <w:rPr>
                <w:rFonts w:hint="eastAsia" w:ascii="仿宋" w:hAnsi="仿宋" w:eastAsia="仿宋" w:cs="仿宋"/>
                <w:b/>
                <w:bCs/>
                <w:color w:val="auto"/>
                <w:kern w:val="0"/>
                <w:sz w:val="21"/>
                <w:szCs w:val="21"/>
                <w:highlight w:val="none"/>
              </w:rPr>
              <w:t>一、显示系统</w:t>
            </w:r>
          </w:p>
        </w:tc>
      </w:tr>
      <w:tr w14:paraId="486E011B">
        <w:tblPrEx>
          <w:tblCellMar>
            <w:top w:w="0" w:type="dxa"/>
            <w:left w:w="108" w:type="dxa"/>
            <w:bottom w:w="0" w:type="dxa"/>
            <w:right w:w="108" w:type="dxa"/>
          </w:tblCellMar>
        </w:tblPrEx>
        <w:trPr>
          <w:trHeight w:val="23" w:hRule="atLeast"/>
        </w:trPr>
        <w:tc>
          <w:tcPr>
            <w:tcW w:w="0" w:type="auto"/>
            <w:tcBorders>
              <w:top w:val="single" w:color="auto" w:sz="4" w:space="0"/>
              <w:left w:val="single" w:color="auto" w:sz="4" w:space="0"/>
              <w:bottom w:val="single" w:color="auto" w:sz="4" w:space="0"/>
              <w:right w:val="single" w:color="auto" w:sz="4" w:space="0"/>
            </w:tcBorders>
            <w:vAlign w:val="center"/>
          </w:tcPr>
          <w:p w14:paraId="200D4B3B">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10</w:t>
            </w:r>
          </w:p>
        </w:tc>
        <w:tc>
          <w:tcPr>
            <w:tcW w:w="0" w:type="auto"/>
            <w:tcBorders>
              <w:top w:val="single" w:color="auto" w:sz="4" w:space="0"/>
              <w:left w:val="nil"/>
              <w:bottom w:val="single" w:color="auto" w:sz="4" w:space="0"/>
              <w:right w:val="single" w:color="auto" w:sz="4" w:space="0"/>
            </w:tcBorders>
            <w:vAlign w:val="center"/>
          </w:tcPr>
          <w:p w14:paraId="7AB278C6">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1</w:t>
            </w:r>
          </w:p>
        </w:tc>
        <w:tc>
          <w:tcPr>
            <w:tcW w:w="1995" w:type="dxa"/>
            <w:tcBorders>
              <w:top w:val="single" w:color="auto" w:sz="4" w:space="0"/>
              <w:left w:val="nil"/>
              <w:bottom w:val="single" w:color="auto" w:sz="4" w:space="0"/>
              <w:right w:val="single" w:color="auto" w:sz="4" w:space="0"/>
            </w:tcBorders>
            <w:vAlign w:val="center"/>
          </w:tcPr>
          <w:p w14:paraId="77911364">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lang w:val="en-US" w:eastAsia="zh-CN"/>
              </w:rPr>
              <w:t>门禁系统</w:t>
            </w:r>
          </w:p>
        </w:tc>
        <w:tc>
          <w:tcPr>
            <w:tcW w:w="831" w:type="dxa"/>
            <w:tcBorders>
              <w:top w:val="single" w:color="auto" w:sz="4" w:space="0"/>
              <w:left w:val="nil"/>
              <w:bottom w:val="single" w:color="auto" w:sz="4" w:space="0"/>
              <w:right w:val="single" w:color="auto" w:sz="4" w:space="0"/>
            </w:tcBorders>
            <w:vAlign w:val="center"/>
          </w:tcPr>
          <w:p w14:paraId="6B72A37D">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1"/>
                <w:szCs w:val="21"/>
                <w:highlight w:val="none"/>
              </w:rPr>
            </w:pPr>
            <w:r>
              <w:rPr>
                <w:rFonts w:hint="eastAsia" w:ascii="仿宋" w:hAnsi="仿宋" w:eastAsia="仿宋" w:cs="仿宋"/>
                <w:color w:val="auto"/>
                <w:sz w:val="21"/>
                <w:szCs w:val="21"/>
                <w:highlight w:val="none"/>
              </w:rPr>
              <w:t>1</w:t>
            </w:r>
          </w:p>
        </w:tc>
        <w:tc>
          <w:tcPr>
            <w:tcW w:w="764" w:type="dxa"/>
            <w:tcBorders>
              <w:top w:val="single" w:color="auto" w:sz="4" w:space="0"/>
              <w:left w:val="nil"/>
              <w:bottom w:val="single" w:color="auto" w:sz="4" w:space="0"/>
              <w:right w:val="single" w:color="auto" w:sz="4" w:space="0"/>
            </w:tcBorders>
            <w:vAlign w:val="center"/>
          </w:tcPr>
          <w:p w14:paraId="5FB24484">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批</w:t>
            </w:r>
          </w:p>
        </w:tc>
        <w:tc>
          <w:tcPr>
            <w:tcW w:w="2400" w:type="dxa"/>
            <w:tcBorders>
              <w:top w:val="single" w:color="auto" w:sz="4" w:space="0"/>
              <w:left w:val="nil"/>
              <w:bottom w:val="single" w:color="auto" w:sz="4" w:space="0"/>
              <w:right w:val="single" w:color="auto" w:sz="4" w:space="0"/>
            </w:tcBorders>
            <w:vAlign w:val="center"/>
          </w:tcPr>
          <w:p w14:paraId="003F8247">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软件和信息技术服务业</w:t>
            </w:r>
          </w:p>
        </w:tc>
        <w:tc>
          <w:tcPr>
            <w:tcW w:w="1091" w:type="dxa"/>
            <w:tcBorders>
              <w:top w:val="single" w:color="auto" w:sz="4" w:space="0"/>
              <w:left w:val="nil"/>
              <w:bottom w:val="single" w:color="auto" w:sz="4" w:space="0"/>
              <w:right w:val="single" w:color="auto" w:sz="4" w:space="0"/>
            </w:tcBorders>
            <w:vAlign w:val="center"/>
          </w:tcPr>
          <w:p w14:paraId="767D3E4C">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1"/>
                <w:szCs w:val="21"/>
                <w:highlight w:val="none"/>
              </w:rPr>
            </w:pPr>
            <w:r>
              <w:rPr>
                <w:rFonts w:hint="eastAsia" w:ascii="仿宋" w:hAnsi="仿宋" w:eastAsia="仿宋" w:cs="仿宋"/>
                <w:color w:val="auto"/>
                <w:sz w:val="21"/>
                <w:szCs w:val="21"/>
                <w:highlight w:val="none"/>
                <w:lang w:val="en-US" w:eastAsia="zh-CN"/>
              </w:rPr>
              <w:t>否</w:t>
            </w:r>
          </w:p>
        </w:tc>
        <w:tc>
          <w:tcPr>
            <w:tcW w:w="1213" w:type="dxa"/>
            <w:tcBorders>
              <w:top w:val="single" w:color="auto" w:sz="4" w:space="0"/>
              <w:left w:val="nil"/>
              <w:bottom w:val="single" w:color="auto" w:sz="4" w:space="0"/>
              <w:right w:val="single" w:color="auto" w:sz="4" w:space="0"/>
            </w:tcBorders>
            <w:vAlign w:val="center"/>
          </w:tcPr>
          <w:p w14:paraId="030B13BD">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1"/>
                <w:szCs w:val="21"/>
                <w:highlight w:val="none"/>
              </w:rPr>
            </w:pPr>
            <w:r>
              <w:rPr>
                <w:rFonts w:hint="eastAsia" w:ascii="仿宋" w:hAnsi="仿宋" w:eastAsia="仿宋" w:cs="仿宋"/>
                <w:color w:val="auto"/>
                <w:sz w:val="21"/>
                <w:szCs w:val="21"/>
                <w:highlight w:val="none"/>
                <w:lang w:val="en-US" w:eastAsia="zh-CN"/>
              </w:rPr>
              <w:t>否</w:t>
            </w:r>
          </w:p>
        </w:tc>
      </w:tr>
      <w:tr w14:paraId="701BA96B">
        <w:tblPrEx>
          <w:tblCellMar>
            <w:top w:w="0" w:type="dxa"/>
            <w:left w:w="108" w:type="dxa"/>
            <w:bottom w:w="0" w:type="dxa"/>
            <w:right w:w="108" w:type="dxa"/>
          </w:tblCellMar>
        </w:tblPrEx>
        <w:trPr>
          <w:trHeight w:val="23" w:hRule="atLeast"/>
        </w:trPr>
        <w:tc>
          <w:tcPr>
            <w:tcW w:w="0" w:type="auto"/>
            <w:tcBorders>
              <w:top w:val="single" w:color="auto" w:sz="4" w:space="0"/>
              <w:left w:val="single" w:color="auto" w:sz="4" w:space="0"/>
              <w:bottom w:val="single" w:color="auto" w:sz="4" w:space="0"/>
              <w:right w:val="single" w:color="auto" w:sz="4" w:space="0"/>
            </w:tcBorders>
            <w:vAlign w:val="center"/>
          </w:tcPr>
          <w:p w14:paraId="0A4F7BFB">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1"/>
                <w:szCs w:val="21"/>
                <w:highlight w:val="none"/>
                <w:lang w:eastAsia="zh-CN"/>
              </w:rPr>
            </w:pPr>
            <w:r>
              <w:rPr>
                <w:rFonts w:hint="eastAsia" w:ascii="仿宋" w:hAnsi="仿宋" w:eastAsia="仿宋" w:cs="仿宋"/>
                <w:color w:val="auto"/>
                <w:kern w:val="0"/>
                <w:sz w:val="21"/>
                <w:szCs w:val="21"/>
                <w:highlight w:val="none"/>
              </w:rPr>
              <w:t>1</w:t>
            </w:r>
            <w:r>
              <w:rPr>
                <w:rFonts w:hint="eastAsia" w:ascii="仿宋" w:hAnsi="仿宋" w:eastAsia="仿宋" w:cs="仿宋"/>
                <w:color w:val="auto"/>
                <w:kern w:val="0"/>
                <w:sz w:val="21"/>
                <w:szCs w:val="21"/>
                <w:highlight w:val="none"/>
                <w:lang w:val="en-US" w:eastAsia="zh-CN"/>
              </w:rPr>
              <w:t>1</w:t>
            </w:r>
          </w:p>
        </w:tc>
        <w:tc>
          <w:tcPr>
            <w:tcW w:w="0" w:type="auto"/>
            <w:tcBorders>
              <w:top w:val="single" w:color="auto" w:sz="4" w:space="0"/>
              <w:left w:val="nil"/>
              <w:bottom w:val="single" w:color="auto" w:sz="4" w:space="0"/>
              <w:right w:val="single" w:color="auto" w:sz="4" w:space="0"/>
            </w:tcBorders>
            <w:vAlign w:val="center"/>
          </w:tcPr>
          <w:p w14:paraId="6851035B">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1</w:t>
            </w:r>
          </w:p>
        </w:tc>
        <w:tc>
          <w:tcPr>
            <w:tcW w:w="1995" w:type="dxa"/>
            <w:tcBorders>
              <w:top w:val="single" w:color="auto" w:sz="4" w:space="0"/>
              <w:left w:val="nil"/>
              <w:bottom w:val="single" w:color="auto" w:sz="4" w:space="0"/>
              <w:right w:val="single" w:color="auto" w:sz="4" w:space="0"/>
            </w:tcBorders>
            <w:vAlign w:val="center"/>
          </w:tcPr>
          <w:p w14:paraId="547DDAD7">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1"/>
                <w:szCs w:val="21"/>
                <w:highlight w:val="none"/>
              </w:rPr>
            </w:pPr>
            <w:r>
              <w:rPr>
                <w:rFonts w:hint="eastAsia" w:ascii="仿宋" w:hAnsi="仿宋" w:eastAsia="仿宋" w:cs="仿宋"/>
                <w:color w:val="auto"/>
                <w:sz w:val="21"/>
                <w:szCs w:val="21"/>
                <w:highlight w:val="none"/>
              </w:rPr>
              <w:t>小组研讨系统</w:t>
            </w:r>
          </w:p>
        </w:tc>
        <w:tc>
          <w:tcPr>
            <w:tcW w:w="831" w:type="dxa"/>
            <w:tcBorders>
              <w:top w:val="single" w:color="auto" w:sz="4" w:space="0"/>
              <w:left w:val="nil"/>
              <w:bottom w:val="single" w:color="auto" w:sz="4" w:space="0"/>
              <w:right w:val="single" w:color="auto" w:sz="4" w:space="0"/>
            </w:tcBorders>
            <w:vAlign w:val="center"/>
          </w:tcPr>
          <w:p w14:paraId="677989AC">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1"/>
                <w:szCs w:val="21"/>
                <w:highlight w:val="none"/>
              </w:rPr>
            </w:pPr>
            <w:r>
              <w:rPr>
                <w:rFonts w:hint="eastAsia" w:ascii="仿宋" w:hAnsi="仿宋" w:eastAsia="仿宋" w:cs="仿宋"/>
                <w:color w:val="auto"/>
                <w:sz w:val="21"/>
                <w:szCs w:val="21"/>
                <w:highlight w:val="none"/>
              </w:rPr>
              <w:t>6</w:t>
            </w:r>
          </w:p>
        </w:tc>
        <w:tc>
          <w:tcPr>
            <w:tcW w:w="764" w:type="dxa"/>
            <w:tcBorders>
              <w:top w:val="single" w:color="auto" w:sz="4" w:space="0"/>
              <w:left w:val="nil"/>
              <w:bottom w:val="single" w:color="auto" w:sz="4" w:space="0"/>
              <w:right w:val="single" w:color="auto" w:sz="4" w:space="0"/>
            </w:tcBorders>
            <w:vAlign w:val="center"/>
          </w:tcPr>
          <w:p w14:paraId="5099A426">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套</w:t>
            </w:r>
          </w:p>
        </w:tc>
        <w:tc>
          <w:tcPr>
            <w:tcW w:w="2400" w:type="dxa"/>
            <w:tcBorders>
              <w:top w:val="single" w:color="auto" w:sz="4" w:space="0"/>
              <w:left w:val="nil"/>
              <w:bottom w:val="single" w:color="auto" w:sz="4" w:space="0"/>
              <w:right w:val="single" w:color="auto" w:sz="4" w:space="0"/>
            </w:tcBorders>
            <w:vAlign w:val="center"/>
          </w:tcPr>
          <w:p w14:paraId="5FB7CEAB">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软件和信息技术服务业</w:t>
            </w:r>
          </w:p>
        </w:tc>
        <w:tc>
          <w:tcPr>
            <w:tcW w:w="1091" w:type="dxa"/>
            <w:tcBorders>
              <w:top w:val="single" w:color="auto" w:sz="4" w:space="0"/>
              <w:left w:val="nil"/>
              <w:bottom w:val="single" w:color="auto" w:sz="4" w:space="0"/>
              <w:right w:val="single" w:color="auto" w:sz="4" w:space="0"/>
            </w:tcBorders>
            <w:vAlign w:val="center"/>
          </w:tcPr>
          <w:p w14:paraId="57158C82">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1"/>
                <w:szCs w:val="21"/>
                <w:highlight w:val="none"/>
              </w:rPr>
            </w:pPr>
            <w:r>
              <w:rPr>
                <w:rFonts w:hint="eastAsia" w:ascii="仿宋" w:hAnsi="仿宋" w:eastAsia="仿宋" w:cs="仿宋"/>
                <w:color w:val="auto"/>
                <w:sz w:val="21"/>
                <w:szCs w:val="21"/>
                <w:highlight w:val="none"/>
                <w:lang w:val="en-US" w:eastAsia="zh-CN"/>
              </w:rPr>
              <w:t>否</w:t>
            </w:r>
          </w:p>
        </w:tc>
        <w:tc>
          <w:tcPr>
            <w:tcW w:w="1213" w:type="dxa"/>
            <w:tcBorders>
              <w:top w:val="single" w:color="auto" w:sz="4" w:space="0"/>
              <w:left w:val="nil"/>
              <w:bottom w:val="single" w:color="auto" w:sz="4" w:space="0"/>
              <w:right w:val="single" w:color="auto" w:sz="4" w:space="0"/>
            </w:tcBorders>
            <w:vAlign w:val="center"/>
          </w:tcPr>
          <w:p w14:paraId="56A9D0B0">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1"/>
                <w:szCs w:val="21"/>
                <w:highlight w:val="none"/>
              </w:rPr>
            </w:pPr>
            <w:r>
              <w:rPr>
                <w:rFonts w:hint="eastAsia" w:ascii="仿宋" w:hAnsi="仿宋" w:eastAsia="仿宋" w:cs="仿宋"/>
                <w:color w:val="auto"/>
                <w:sz w:val="21"/>
                <w:szCs w:val="21"/>
                <w:highlight w:val="none"/>
                <w:lang w:val="en-US" w:eastAsia="zh-CN"/>
              </w:rPr>
              <w:t>否</w:t>
            </w:r>
          </w:p>
        </w:tc>
      </w:tr>
      <w:tr w14:paraId="2F81E32B">
        <w:tblPrEx>
          <w:tblCellMar>
            <w:top w:w="0" w:type="dxa"/>
            <w:left w:w="108" w:type="dxa"/>
            <w:bottom w:w="0" w:type="dxa"/>
            <w:right w:w="108" w:type="dxa"/>
          </w:tblCellMar>
        </w:tblPrEx>
        <w:trPr>
          <w:trHeight w:val="23" w:hRule="atLeast"/>
        </w:trPr>
        <w:tc>
          <w:tcPr>
            <w:tcW w:w="9643" w:type="dxa"/>
            <w:gridSpan w:val="8"/>
            <w:tcBorders>
              <w:top w:val="single" w:color="auto" w:sz="4" w:space="0"/>
              <w:left w:val="single" w:color="auto" w:sz="4" w:space="0"/>
              <w:bottom w:val="single" w:color="auto" w:sz="4" w:space="0"/>
              <w:right w:val="single" w:color="auto" w:sz="4" w:space="0"/>
            </w:tcBorders>
            <w:vAlign w:val="center"/>
          </w:tcPr>
          <w:p w14:paraId="1DE5B59B">
            <w:pPr>
              <w:keepNext w:val="0"/>
              <w:keepLines w:val="0"/>
              <w:pageBreakBefore w:val="0"/>
              <w:widowControl/>
              <w:kinsoku/>
              <w:wordWrap w:val="0"/>
              <w:overflowPunct/>
              <w:topLinePunct w:val="0"/>
              <w:autoSpaceDE/>
              <w:autoSpaceDN/>
              <w:bidi w:val="0"/>
              <w:adjustRightInd/>
              <w:snapToGrid/>
              <w:spacing w:line="240" w:lineRule="auto"/>
              <w:ind w:firstLine="0" w:firstLineChars="0"/>
              <w:jc w:val="left"/>
              <w:textAlignment w:val="auto"/>
              <w:rPr>
                <w:rFonts w:hint="eastAsia" w:ascii="仿宋" w:hAnsi="仿宋" w:eastAsia="仿宋" w:cs="仿宋"/>
                <w:b/>
                <w:bCs/>
                <w:color w:val="auto"/>
                <w:kern w:val="0"/>
                <w:sz w:val="21"/>
                <w:szCs w:val="21"/>
                <w:highlight w:val="none"/>
              </w:rPr>
            </w:pPr>
            <w:r>
              <w:rPr>
                <w:rFonts w:hint="eastAsia" w:ascii="仿宋" w:hAnsi="仿宋" w:eastAsia="仿宋" w:cs="仿宋"/>
                <w:b/>
                <w:bCs/>
                <w:color w:val="auto"/>
                <w:kern w:val="0"/>
                <w:sz w:val="21"/>
                <w:szCs w:val="21"/>
                <w:highlight w:val="none"/>
              </w:rPr>
              <w:t>二、</w:t>
            </w:r>
            <w:r>
              <w:rPr>
                <w:rFonts w:hint="eastAsia" w:ascii="仿宋" w:hAnsi="仿宋" w:eastAsia="仿宋" w:cs="仿宋"/>
                <w:b/>
                <w:bCs/>
                <w:color w:val="auto"/>
                <w:sz w:val="21"/>
                <w:szCs w:val="21"/>
                <w:highlight w:val="none"/>
                <w:lang w:val="en-US" w:eastAsia="zh-CN" w:bidi="ar"/>
              </w:rPr>
              <w:t>一体化授课设备</w:t>
            </w:r>
          </w:p>
        </w:tc>
      </w:tr>
      <w:tr w14:paraId="3ADF9998">
        <w:tblPrEx>
          <w:tblCellMar>
            <w:top w:w="0" w:type="dxa"/>
            <w:left w:w="108" w:type="dxa"/>
            <w:bottom w:w="0" w:type="dxa"/>
            <w:right w:w="108" w:type="dxa"/>
          </w:tblCellMar>
        </w:tblPrEx>
        <w:trPr>
          <w:trHeight w:val="23" w:hRule="atLeast"/>
        </w:trPr>
        <w:tc>
          <w:tcPr>
            <w:tcW w:w="0" w:type="auto"/>
            <w:tcBorders>
              <w:top w:val="single" w:color="auto" w:sz="4" w:space="0"/>
              <w:left w:val="single" w:color="auto" w:sz="4" w:space="0"/>
              <w:bottom w:val="single" w:color="auto" w:sz="4" w:space="0"/>
              <w:right w:val="single" w:color="auto" w:sz="4" w:space="0"/>
            </w:tcBorders>
            <w:vAlign w:val="center"/>
          </w:tcPr>
          <w:p w14:paraId="3D17A0F7">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12</w:t>
            </w:r>
          </w:p>
        </w:tc>
        <w:tc>
          <w:tcPr>
            <w:tcW w:w="0" w:type="auto"/>
            <w:tcBorders>
              <w:top w:val="single" w:color="auto" w:sz="4" w:space="0"/>
              <w:left w:val="nil"/>
              <w:bottom w:val="single" w:color="auto" w:sz="4" w:space="0"/>
              <w:right w:val="single" w:color="auto" w:sz="4" w:space="0"/>
            </w:tcBorders>
            <w:vAlign w:val="center"/>
          </w:tcPr>
          <w:p w14:paraId="42ACE63E">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1</w:t>
            </w:r>
          </w:p>
        </w:tc>
        <w:tc>
          <w:tcPr>
            <w:tcW w:w="1995" w:type="dxa"/>
            <w:tcBorders>
              <w:top w:val="single" w:color="auto" w:sz="4" w:space="0"/>
              <w:left w:val="nil"/>
              <w:bottom w:val="single" w:color="auto" w:sz="4" w:space="0"/>
              <w:right w:val="single" w:color="auto" w:sz="4" w:space="0"/>
            </w:tcBorders>
            <w:vAlign w:val="center"/>
          </w:tcPr>
          <w:p w14:paraId="1E3F2822">
            <w:pPr>
              <w:keepNext w:val="0"/>
              <w:keepLines w:val="0"/>
              <w:pageBreakBefore w:val="0"/>
              <w:widowControl/>
              <w:kinsoku/>
              <w:wordWrap w:val="0"/>
              <w:overflowPunct/>
              <w:topLinePunct w:val="0"/>
              <w:autoSpaceDE/>
              <w:autoSpaceDN/>
              <w:bidi w:val="0"/>
              <w:adjustRightInd/>
              <w:snapToGrid/>
              <w:spacing w:line="240" w:lineRule="auto"/>
              <w:ind w:firstLine="0" w:firstLineChars="0"/>
              <w:jc w:val="left"/>
              <w:textAlignment w:val="auto"/>
              <w:rPr>
                <w:rFonts w:hint="eastAsia" w:ascii="仿宋" w:hAnsi="仿宋" w:eastAsia="仿宋" w:cs="仿宋"/>
                <w:color w:val="auto"/>
                <w:kern w:val="0"/>
                <w:sz w:val="21"/>
                <w:szCs w:val="21"/>
                <w:highlight w:val="none"/>
              </w:rPr>
            </w:pPr>
            <w:r>
              <w:rPr>
                <w:rFonts w:hint="eastAsia" w:ascii="仿宋" w:hAnsi="仿宋" w:eastAsia="仿宋" w:cs="仿宋"/>
                <w:color w:val="auto"/>
                <w:sz w:val="21"/>
                <w:szCs w:val="21"/>
                <w:highlight w:val="none"/>
                <w:lang w:val="en-US" w:eastAsia="zh-CN" w:bidi="ar"/>
              </w:rPr>
              <w:t>一体化授课设备</w:t>
            </w:r>
          </w:p>
        </w:tc>
        <w:tc>
          <w:tcPr>
            <w:tcW w:w="831" w:type="dxa"/>
            <w:tcBorders>
              <w:top w:val="single" w:color="auto" w:sz="4" w:space="0"/>
              <w:left w:val="nil"/>
              <w:bottom w:val="single" w:color="auto" w:sz="4" w:space="0"/>
              <w:right w:val="single" w:color="auto" w:sz="4" w:space="0"/>
            </w:tcBorders>
            <w:vAlign w:val="center"/>
          </w:tcPr>
          <w:p w14:paraId="54D33264">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sz w:val="21"/>
                <w:szCs w:val="21"/>
                <w:highlight w:val="none"/>
                <w:lang w:val="en-US" w:eastAsia="zh-CN"/>
              </w:rPr>
              <w:t>1</w:t>
            </w:r>
          </w:p>
        </w:tc>
        <w:tc>
          <w:tcPr>
            <w:tcW w:w="764" w:type="dxa"/>
            <w:tcBorders>
              <w:top w:val="single" w:color="auto" w:sz="4" w:space="0"/>
              <w:left w:val="nil"/>
              <w:bottom w:val="single" w:color="auto" w:sz="4" w:space="0"/>
              <w:right w:val="single" w:color="auto" w:sz="4" w:space="0"/>
            </w:tcBorders>
            <w:vAlign w:val="center"/>
          </w:tcPr>
          <w:p w14:paraId="479109A3">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台</w:t>
            </w:r>
          </w:p>
        </w:tc>
        <w:tc>
          <w:tcPr>
            <w:tcW w:w="2400" w:type="dxa"/>
            <w:tcBorders>
              <w:top w:val="single" w:color="auto" w:sz="4" w:space="0"/>
              <w:left w:val="nil"/>
              <w:bottom w:val="single" w:color="auto" w:sz="4" w:space="0"/>
              <w:right w:val="single" w:color="auto" w:sz="4" w:space="0"/>
            </w:tcBorders>
            <w:vAlign w:val="center"/>
          </w:tcPr>
          <w:p w14:paraId="5B89CD62">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软件和信息技术服务业</w:t>
            </w:r>
          </w:p>
        </w:tc>
        <w:tc>
          <w:tcPr>
            <w:tcW w:w="1091" w:type="dxa"/>
            <w:tcBorders>
              <w:top w:val="single" w:color="auto" w:sz="4" w:space="0"/>
              <w:left w:val="nil"/>
              <w:bottom w:val="single" w:color="auto" w:sz="4" w:space="0"/>
              <w:right w:val="single" w:color="auto" w:sz="4" w:space="0"/>
            </w:tcBorders>
            <w:vAlign w:val="center"/>
          </w:tcPr>
          <w:p w14:paraId="33863B0C">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否</w:t>
            </w:r>
          </w:p>
        </w:tc>
        <w:tc>
          <w:tcPr>
            <w:tcW w:w="1213" w:type="dxa"/>
            <w:tcBorders>
              <w:top w:val="single" w:color="auto" w:sz="4" w:space="0"/>
              <w:left w:val="nil"/>
              <w:bottom w:val="single" w:color="auto" w:sz="4" w:space="0"/>
              <w:right w:val="single" w:color="auto" w:sz="4" w:space="0"/>
            </w:tcBorders>
            <w:vAlign w:val="center"/>
          </w:tcPr>
          <w:p w14:paraId="43C9D367">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否</w:t>
            </w:r>
          </w:p>
        </w:tc>
      </w:tr>
      <w:tr w14:paraId="2F3F7C39">
        <w:tblPrEx>
          <w:tblCellMar>
            <w:top w:w="0" w:type="dxa"/>
            <w:left w:w="108" w:type="dxa"/>
            <w:bottom w:w="0" w:type="dxa"/>
            <w:right w:w="108" w:type="dxa"/>
          </w:tblCellMar>
        </w:tblPrEx>
        <w:trPr>
          <w:trHeight w:val="23" w:hRule="atLeast"/>
        </w:trPr>
        <w:tc>
          <w:tcPr>
            <w:tcW w:w="9643" w:type="dxa"/>
            <w:gridSpan w:val="8"/>
            <w:tcBorders>
              <w:top w:val="single" w:color="auto" w:sz="4" w:space="0"/>
              <w:left w:val="single" w:color="auto" w:sz="4" w:space="0"/>
              <w:bottom w:val="single" w:color="auto" w:sz="4" w:space="0"/>
              <w:right w:val="single" w:color="auto" w:sz="4" w:space="0"/>
            </w:tcBorders>
            <w:vAlign w:val="center"/>
          </w:tcPr>
          <w:p w14:paraId="31998B8E">
            <w:pPr>
              <w:keepNext w:val="0"/>
              <w:keepLines w:val="0"/>
              <w:pageBreakBefore w:val="0"/>
              <w:widowControl/>
              <w:kinsoku/>
              <w:wordWrap w:val="0"/>
              <w:overflowPunct/>
              <w:topLinePunct w:val="0"/>
              <w:autoSpaceDE/>
              <w:autoSpaceDN/>
              <w:bidi w:val="0"/>
              <w:adjustRightInd/>
              <w:snapToGrid/>
              <w:spacing w:line="240" w:lineRule="auto"/>
              <w:ind w:firstLine="0" w:firstLineChars="0"/>
              <w:jc w:val="left"/>
              <w:textAlignment w:val="auto"/>
              <w:rPr>
                <w:rFonts w:hint="eastAsia" w:ascii="仿宋" w:hAnsi="仿宋" w:eastAsia="仿宋" w:cs="仿宋"/>
                <w:b/>
                <w:bCs/>
                <w:color w:val="auto"/>
                <w:kern w:val="0"/>
                <w:sz w:val="21"/>
                <w:szCs w:val="21"/>
                <w:highlight w:val="none"/>
              </w:rPr>
            </w:pPr>
            <w:r>
              <w:rPr>
                <w:rFonts w:hint="eastAsia" w:ascii="仿宋" w:hAnsi="仿宋" w:eastAsia="仿宋" w:cs="仿宋"/>
                <w:b/>
                <w:bCs/>
                <w:color w:val="auto"/>
                <w:kern w:val="0"/>
                <w:sz w:val="21"/>
                <w:szCs w:val="21"/>
                <w:highlight w:val="none"/>
              </w:rPr>
              <w:t>三、智核主机及教学软件</w:t>
            </w:r>
          </w:p>
        </w:tc>
      </w:tr>
      <w:tr w14:paraId="2AD40E81">
        <w:tblPrEx>
          <w:tblCellMar>
            <w:top w:w="0" w:type="dxa"/>
            <w:left w:w="108" w:type="dxa"/>
            <w:bottom w:w="0" w:type="dxa"/>
            <w:right w:w="108" w:type="dxa"/>
          </w:tblCellMar>
        </w:tblPrEx>
        <w:trPr>
          <w:trHeight w:val="23" w:hRule="atLeast"/>
        </w:trPr>
        <w:tc>
          <w:tcPr>
            <w:tcW w:w="0" w:type="auto"/>
            <w:tcBorders>
              <w:top w:val="single" w:color="auto" w:sz="4" w:space="0"/>
              <w:left w:val="single" w:color="auto" w:sz="4" w:space="0"/>
              <w:bottom w:val="single" w:color="auto" w:sz="4" w:space="0"/>
              <w:right w:val="single" w:color="auto" w:sz="4" w:space="0"/>
            </w:tcBorders>
            <w:vAlign w:val="center"/>
          </w:tcPr>
          <w:p w14:paraId="745C19B9">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13</w:t>
            </w:r>
          </w:p>
        </w:tc>
        <w:tc>
          <w:tcPr>
            <w:tcW w:w="0" w:type="auto"/>
            <w:tcBorders>
              <w:top w:val="single" w:color="auto" w:sz="4" w:space="0"/>
              <w:left w:val="nil"/>
              <w:bottom w:val="single" w:color="auto" w:sz="4" w:space="0"/>
              <w:right w:val="single" w:color="auto" w:sz="4" w:space="0"/>
            </w:tcBorders>
            <w:vAlign w:val="center"/>
          </w:tcPr>
          <w:p w14:paraId="43F1DB12">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1</w:t>
            </w:r>
          </w:p>
        </w:tc>
        <w:tc>
          <w:tcPr>
            <w:tcW w:w="1995" w:type="dxa"/>
            <w:tcBorders>
              <w:top w:val="single" w:color="auto" w:sz="4" w:space="0"/>
              <w:left w:val="nil"/>
              <w:bottom w:val="single" w:color="auto" w:sz="4" w:space="0"/>
              <w:right w:val="single" w:color="auto" w:sz="4" w:space="0"/>
            </w:tcBorders>
            <w:vAlign w:val="center"/>
          </w:tcPr>
          <w:p w14:paraId="099BCBA0">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1"/>
                <w:szCs w:val="21"/>
                <w:highlight w:val="none"/>
              </w:rPr>
            </w:pPr>
            <w:r>
              <w:rPr>
                <w:rFonts w:hint="eastAsia" w:ascii="仿宋" w:hAnsi="仿宋" w:eastAsia="仿宋" w:cs="仿宋"/>
                <w:color w:val="auto"/>
                <w:sz w:val="21"/>
                <w:szCs w:val="21"/>
                <w:highlight w:val="none"/>
              </w:rPr>
              <w:t>智慧教学终端</w:t>
            </w:r>
          </w:p>
        </w:tc>
        <w:tc>
          <w:tcPr>
            <w:tcW w:w="831" w:type="dxa"/>
            <w:tcBorders>
              <w:top w:val="single" w:color="auto" w:sz="4" w:space="0"/>
              <w:left w:val="nil"/>
              <w:bottom w:val="single" w:color="auto" w:sz="4" w:space="0"/>
              <w:right w:val="single" w:color="auto" w:sz="4" w:space="0"/>
            </w:tcBorders>
            <w:vAlign w:val="center"/>
          </w:tcPr>
          <w:p w14:paraId="417069D4">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1"/>
                <w:szCs w:val="21"/>
                <w:highlight w:val="none"/>
              </w:rPr>
            </w:pPr>
            <w:r>
              <w:rPr>
                <w:rFonts w:hint="eastAsia" w:ascii="仿宋" w:hAnsi="仿宋" w:eastAsia="仿宋" w:cs="仿宋"/>
                <w:color w:val="auto"/>
                <w:sz w:val="21"/>
                <w:szCs w:val="21"/>
                <w:highlight w:val="none"/>
              </w:rPr>
              <w:t>1</w:t>
            </w:r>
          </w:p>
        </w:tc>
        <w:tc>
          <w:tcPr>
            <w:tcW w:w="764" w:type="dxa"/>
            <w:tcBorders>
              <w:top w:val="single" w:color="auto" w:sz="4" w:space="0"/>
              <w:left w:val="nil"/>
              <w:bottom w:val="single" w:color="auto" w:sz="4" w:space="0"/>
              <w:right w:val="single" w:color="auto" w:sz="4" w:space="0"/>
            </w:tcBorders>
            <w:vAlign w:val="center"/>
          </w:tcPr>
          <w:p w14:paraId="364433AE">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1"/>
                <w:szCs w:val="21"/>
                <w:highlight w:val="none"/>
              </w:rPr>
            </w:pPr>
            <w:r>
              <w:rPr>
                <w:rFonts w:hint="eastAsia" w:ascii="仿宋" w:hAnsi="仿宋" w:eastAsia="仿宋" w:cs="仿宋"/>
                <w:color w:val="auto"/>
                <w:sz w:val="21"/>
                <w:szCs w:val="21"/>
                <w:highlight w:val="none"/>
              </w:rPr>
              <w:t>套</w:t>
            </w:r>
          </w:p>
        </w:tc>
        <w:tc>
          <w:tcPr>
            <w:tcW w:w="2400" w:type="dxa"/>
            <w:tcBorders>
              <w:top w:val="single" w:color="auto" w:sz="4" w:space="0"/>
              <w:left w:val="nil"/>
              <w:bottom w:val="single" w:color="auto" w:sz="4" w:space="0"/>
              <w:right w:val="single" w:color="auto" w:sz="4" w:space="0"/>
            </w:tcBorders>
            <w:vAlign w:val="center"/>
          </w:tcPr>
          <w:p w14:paraId="34781DAB">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软件和信息技术服务业</w:t>
            </w:r>
          </w:p>
        </w:tc>
        <w:tc>
          <w:tcPr>
            <w:tcW w:w="1091" w:type="dxa"/>
            <w:tcBorders>
              <w:top w:val="single" w:color="auto" w:sz="4" w:space="0"/>
              <w:left w:val="nil"/>
              <w:bottom w:val="single" w:color="auto" w:sz="4" w:space="0"/>
              <w:right w:val="single" w:color="auto" w:sz="4" w:space="0"/>
            </w:tcBorders>
            <w:vAlign w:val="center"/>
          </w:tcPr>
          <w:p w14:paraId="42F1DC6E">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sz w:val="21"/>
                <w:szCs w:val="21"/>
                <w:highlight w:val="none"/>
                <w:lang w:val="en-US" w:eastAsia="zh-CN"/>
              </w:rPr>
            </w:pPr>
            <w:r>
              <w:rPr>
                <w:rFonts w:hint="eastAsia" w:cs="仿宋"/>
                <w:b/>
                <w:bCs/>
                <w:color w:val="auto"/>
                <w:sz w:val="21"/>
                <w:szCs w:val="21"/>
                <w:highlight w:val="none"/>
                <w:lang w:val="en-US" w:eastAsia="zh-CN"/>
              </w:rPr>
              <w:t>是</w:t>
            </w:r>
          </w:p>
        </w:tc>
        <w:tc>
          <w:tcPr>
            <w:tcW w:w="1213" w:type="dxa"/>
            <w:tcBorders>
              <w:top w:val="single" w:color="auto" w:sz="4" w:space="0"/>
              <w:left w:val="nil"/>
              <w:bottom w:val="single" w:color="auto" w:sz="4" w:space="0"/>
              <w:right w:val="single" w:color="auto" w:sz="4" w:space="0"/>
            </w:tcBorders>
            <w:vAlign w:val="center"/>
          </w:tcPr>
          <w:p w14:paraId="30C699F4">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否</w:t>
            </w:r>
          </w:p>
        </w:tc>
      </w:tr>
      <w:tr w14:paraId="3EED9022">
        <w:tblPrEx>
          <w:tblCellMar>
            <w:top w:w="0" w:type="dxa"/>
            <w:left w:w="108" w:type="dxa"/>
            <w:bottom w:w="0" w:type="dxa"/>
            <w:right w:w="108" w:type="dxa"/>
          </w:tblCellMar>
        </w:tblPrEx>
        <w:trPr>
          <w:trHeight w:val="23" w:hRule="atLeast"/>
        </w:trPr>
        <w:tc>
          <w:tcPr>
            <w:tcW w:w="0" w:type="auto"/>
            <w:tcBorders>
              <w:top w:val="single" w:color="auto" w:sz="4" w:space="0"/>
              <w:left w:val="single" w:color="auto" w:sz="4" w:space="0"/>
              <w:bottom w:val="single" w:color="auto" w:sz="4" w:space="0"/>
              <w:right w:val="single" w:color="auto" w:sz="4" w:space="0"/>
            </w:tcBorders>
            <w:vAlign w:val="center"/>
          </w:tcPr>
          <w:p w14:paraId="6F1FE4DE">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1"/>
                <w:szCs w:val="21"/>
                <w:highlight w:val="none"/>
                <w:lang w:eastAsia="zh-CN"/>
              </w:rPr>
            </w:pPr>
            <w:r>
              <w:rPr>
                <w:rFonts w:hint="eastAsia" w:ascii="仿宋" w:hAnsi="仿宋" w:eastAsia="仿宋" w:cs="仿宋"/>
                <w:color w:val="auto"/>
                <w:kern w:val="0"/>
                <w:sz w:val="21"/>
                <w:szCs w:val="21"/>
                <w:highlight w:val="none"/>
              </w:rPr>
              <w:t>1</w:t>
            </w:r>
            <w:r>
              <w:rPr>
                <w:rFonts w:hint="eastAsia" w:ascii="仿宋" w:hAnsi="仿宋" w:eastAsia="仿宋" w:cs="仿宋"/>
                <w:color w:val="auto"/>
                <w:kern w:val="0"/>
                <w:sz w:val="21"/>
                <w:szCs w:val="21"/>
                <w:highlight w:val="none"/>
                <w:lang w:val="en-US" w:eastAsia="zh-CN"/>
              </w:rPr>
              <w:t>4</w:t>
            </w:r>
          </w:p>
        </w:tc>
        <w:tc>
          <w:tcPr>
            <w:tcW w:w="0" w:type="auto"/>
            <w:tcBorders>
              <w:top w:val="single" w:color="auto" w:sz="4" w:space="0"/>
              <w:left w:val="nil"/>
              <w:bottom w:val="single" w:color="auto" w:sz="4" w:space="0"/>
              <w:right w:val="single" w:color="auto" w:sz="4" w:space="0"/>
            </w:tcBorders>
            <w:vAlign w:val="center"/>
          </w:tcPr>
          <w:p w14:paraId="77224CED">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1</w:t>
            </w:r>
          </w:p>
        </w:tc>
        <w:tc>
          <w:tcPr>
            <w:tcW w:w="1995" w:type="dxa"/>
            <w:tcBorders>
              <w:top w:val="single" w:color="auto" w:sz="4" w:space="0"/>
              <w:left w:val="nil"/>
              <w:bottom w:val="single" w:color="auto" w:sz="4" w:space="0"/>
              <w:right w:val="single" w:color="auto" w:sz="4" w:space="0"/>
            </w:tcBorders>
            <w:vAlign w:val="center"/>
          </w:tcPr>
          <w:p w14:paraId="35DA54B2">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1"/>
                <w:szCs w:val="21"/>
                <w:highlight w:val="none"/>
              </w:rPr>
            </w:pPr>
            <w:r>
              <w:rPr>
                <w:rFonts w:hint="eastAsia" w:ascii="仿宋" w:hAnsi="仿宋" w:eastAsia="仿宋" w:cs="仿宋"/>
                <w:color w:val="auto"/>
                <w:sz w:val="21"/>
                <w:szCs w:val="21"/>
                <w:highlight w:val="none"/>
              </w:rPr>
              <w:t>智慧课堂互动软件</w:t>
            </w:r>
          </w:p>
        </w:tc>
        <w:tc>
          <w:tcPr>
            <w:tcW w:w="831" w:type="dxa"/>
            <w:tcBorders>
              <w:top w:val="single" w:color="auto" w:sz="4" w:space="0"/>
              <w:left w:val="nil"/>
              <w:bottom w:val="single" w:color="auto" w:sz="4" w:space="0"/>
              <w:right w:val="single" w:color="auto" w:sz="4" w:space="0"/>
            </w:tcBorders>
            <w:vAlign w:val="center"/>
          </w:tcPr>
          <w:p w14:paraId="22230689">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1"/>
                <w:szCs w:val="21"/>
                <w:highlight w:val="none"/>
              </w:rPr>
            </w:pPr>
            <w:r>
              <w:rPr>
                <w:rFonts w:hint="eastAsia" w:ascii="仿宋" w:hAnsi="仿宋" w:eastAsia="仿宋" w:cs="仿宋"/>
                <w:color w:val="auto"/>
                <w:sz w:val="21"/>
                <w:szCs w:val="21"/>
                <w:highlight w:val="none"/>
              </w:rPr>
              <w:t>1</w:t>
            </w:r>
          </w:p>
        </w:tc>
        <w:tc>
          <w:tcPr>
            <w:tcW w:w="764" w:type="dxa"/>
            <w:tcBorders>
              <w:top w:val="single" w:color="auto" w:sz="4" w:space="0"/>
              <w:left w:val="nil"/>
              <w:bottom w:val="single" w:color="auto" w:sz="4" w:space="0"/>
              <w:right w:val="single" w:color="auto" w:sz="4" w:space="0"/>
            </w:tcBorders>
            <w:vAlign w:val="center"/>
          </w:tcPr>
          <w:p w14:paraId="53A2FE64">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1"/>
                <w:szCs w:val="21"/>
                <w:highlight w:val="none"/>
              </w:rPr>
            </w:pPr>
            <w:r>
              <w:rPr>
                <w:rFonts w:hint="eastAsia" w:ascii="仿宋" w:hAnsi="仿宋" w:eastAsia="仿宋" w:cs="仿宋"/>
                <w:color w:val="auto"/>
                <w:sz w:val="21"/>
                <w:szCs w:val="21"/>
                <w:highlight w:val="none"/>
              </w:rPr>
              <w:t>套</w:t>
            </w:r>
          </w:p>
        </w:tc>
        <w:tc>
          <w:tcPr>
            <w:tcW w:w="2400" w:type="dxa"/>
            <w:tcBorders>
              <w:top w:val="single" w:color="auto" w:sz="4" w:space="0"/>
              <w:left w:val="nil"/>
              <w:bottom w:val="single" w:color="auto" w:sz="4" w:space="0"/>
              <w:right w:val="single" w:color="auto" w:sz="4" w:space="0"/>
            </w:tcBorders>
            <w:vAlign w:val="center"/>
          </w:tcPr>
          <w:p w14:paraId="15724B73">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软件和信息技术服务业</w:t>
            </w:r>
          </w:p>
        </w:tc>
        <w:tc>
          <w:tcPr>
            <w:tcW w:w="1091" w:type="dxa"/>
            <w:tcBorders>
              <w:top w:val="single" w:color="auto" w:sz="4" w:space="0"/>
              <w:left w:val="nil"/>
              <w:bottom w:val="single" w:color="auto" w:sz="4" w:space="0"/>
              <w:right w:val="single" w:color="auto" w:sz="4" w:space="0"/>
            </w:tcBorders>
            <w:vAlign w:val="center"/>
          </w:tcPr>
          <w:p w14:paraId="1E7AC7CF">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否</w:t>
            </w:r>
          </w:p>
        </w:tc>
        <w:tc>
          <w:tcPr>
            <w:tcW w:w="1213" w:type="dxa"/>
            <w:tcBorders>
              <w:top w:val="single" w:color="auto" w:sz="4" w:space="0"/>
              <w:left w:val="nil"/>
              <w:bottom w:val="single" w:color="auto" w:sz="4" w:space="0"/>
              <w:right w:val="single" w:color="auto" w:sz="4" w:space="0"/>
            </w:tcBorders>
            <w:vAlign w:val="center"/>
          </w:tcPr>
          <w:p w14:paraId="5B59EF1C">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否</w:t>
            </w:r>
          </w:p>
        </w:tc>
      </w:tr>
      <w:tr w14:paraId="38DCD381">
        <w:tblPrEx>
          <w:tblCellMar>
            <w:top w:w="0" w:type="dxa"/>
            <w:left w:w="108" w:type="dxa"/>
            <w:bottom w:w="0" w:type="dxa"/>
            <w:right w:w="108" w:type="dxa"/>
          </w:tblCellMar>
        </w:tblPrEx>
        <w:trPr>
          <w:trHeight w:val="23" w:hRule="atLeast"/>
        </w:trPr>
        <w:tc>
          <w:tcPr>
            <w:tcW w:w="0" w:type="auto"/>
            <w:tcBorders>
              <w:top w:val="single" w:color="auto" w:sz="4" w:space="0"/>
              <w:left w:val="single" w:color="auto" w:sz="4" w:space="0"/>
              <w:bottom w:val="single" w:color="auto" w:sz="4" w:space="0"/>
              <w:right w:val="single" w:color="auto" w:sz="4" w:space="0"/>
            </w:tcBorders>
            <w:vAlign w:val="center"/>
          </w:tcPr>
          <w:p w14:paraId="01E1236E">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1"/>
                <w:szCs w:val="21"/>
                <w:highlight w:val="none"/>
                <w:lang w:eastAsia="zh-CN"/>
              </w:rPr>
            </w:pPr>
            <w:r>
              <w:rPr>
                <w:rFonts w:hint="eastAsia" w:ascii="仿宋" w:hAnsi="仿宋" w:eastAsia="仿宋" w:cs="仿宋"/>
                <w:color w:val="auto"/>
                <w:kern w:val="0"/>
                <w:sz w:val="21"/>
                <w:szCs w:val="21"/>
                <w:highlight w:val="none"/>
              </w:rPr>
              <w:t>1</w:t>
            </w:r>
            <w:r>
              <w:rPr>
                <w:rFonts w:hint="eastAsia" w:ascii="仿宋" w:hAnsi="仿宋" w:eastAsia="仿宋" w:cs="仿宋"/>
                <w:color w:val="auto"/>
                <w:kern w:val="0"/>
                <w:sz w:val="21"/>
                <w:szCs w:val="21"/>
                <w:highlight w:val="none"/>
                <w:lang w:val="en-US" w:eastAsia="zh-CN"/>
              </w:rPr>
              <w:t>5</w:t>
            </w:r>
          </w:p>
        </w:tc>
        <w:tc>
          <w:tcPr>
            <w:tcW w:w="0" w:type="auto"/>
            <w:tcBorders>
              <w:top w:val="single" w:color="auto" w:sz="4" w:space="0"/>
              <w:left w:val="nil"/>
              <w:bottom w:val="single" w:color="auto" w:sz="4" w:space="0"/>
              <w:right w:val="single" w:color="auto" w:sz="4" w:space="0"/>
            </w:tcBorders>
            <w:vAlign w:val="center"/>
          </w:tcPr>
          <w:p w14:paraId="4FC9F081">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1</w:t>
            </w:r>
          </w:p>
        </w:tc>
        <w:tc>
          <w:tcPr>
            <w:tcW w:w="1995" w:type="dxa"/>
            <w:tcBorders>
              <w:top w:val="single" w:color="auto" w:sz="4" w:space="0"/>
              <w:left w:val="nil"/>
              <w:bottom w:val="single" w:color="auto" w:sz="4" w:space="0"/>
              <w:right w:val="single" w:color="auto" w:sz="4" w:space="0"/>
            </w:tcBorders>
            <w:vAlign w:val="center"/>
          </w:tcPr>
          <w:p w14:paraId="2BC5CC8A">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1"/>
                <w:szCs w:val="21"/>
                <w:highlight w:val="none"/>
              </w:rPr>
            </w:pPr>
            <w:r>
              <w:rPr>
                <w:rFonts w:hint="eastAsia" w:ascii="仿宋" w:hAnsi="仿宋" w:eastAsia="仿宋" w:cs="仿宋"/>
                <w:color w:val="auto"/>
                <w:sz w:val="21"/>
                <w:szCs w:val="21"/>
                <w:highlight w:val="none"/>
              </w:rPr>
              <w:t>智慧教学平台</w:t>
            </w:r>
          </w:p>
        </w:tc>
        <w:tc>
          <w:tcPr>
            <w:tcW w:w="831" w:type="dxa"/>
            <w:tcBorders>
              <w:top w:val="single" w:color="auto" w:sz="4" w:space="0"/>
              <w:left w:val="nil"/>
              <w:bottom w:val="single" w:color="auto" w:sz="4" w:space="0"/>
              <w:right w:val="single" w:color="auto" w:sz="4" w:space="0"/>
            </w:tcBorders>
            <w:vAlign w:val="center"/>
          </w:tcPr>
          <w:p w14:paraId="3ADB7C7C">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1"/>
                <w:szCs w:val="21"/>
                <w:highlight w:val="none"/>
              </w:rPr>
            </w:pPr>
            <w:r>
              <w:rPr>
                <w:rFonts w:hint="eastAsia" w:ascii="仿宋" w:hAnsi="仿宋" w:eastAsia="仿宋" w:cs="仿宋"/>
                <w:color w:val="auto"/>
                <w:sz w:val="21"/>
                <w:szCs w:val="21"/>
                <w:highlight w:val="none"/>
              </w:rPr>
              <w:t>1</w:t>
            </w:r>
          </w:p>
        </w:tc>
        <w:tc>
          <w:tcPr>
            <w:tcW w:w="764" w:type="dxa"/>
            <w:tcBorders>
              <w:top w:val="single" w:color="auto" w:sz="4" w:space="0"/>
              <w:left w:val="nil"/>
              <w:bottom w:val="single" w:color="auto" w:sz="4" w:space="0"/>
              <w:right w:val="single" w:color="auto" w:sz="4" w:space="0"/>
            </w:tcBorders>
            <w:vAlign w:val="center"/>
          </w:tcPr>
          <w:p w14:paraId="711CF980">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1"/>
                <w:szCs w:val="21"/>
                <w:highlight w:val="none"/>
              </w:rPr>
            </w:pPr>
            <w:r>
              <w:rPr>
                <w:rFonts w:hint="eastAsia" w:ascii="仿宋" w:hAnsi="仿宋" w:eastAsia="仿宋" w:cs="仿宋"/>
                <w:color w:val="auto"/>
                <w:sz w:val="21"/>
                <w:szCs w:val="21"/>
                <w:highlight w:val="none"/>
              </w:rPr>
              <w:t>套</w:t>
            </w:r>
          </w:p>
        </w:tc>
        <w:tc>
          <w:tcPr>
            <w:tcW w:w="2400" w:type="dxa"/>
            <w:tcBorders>
              <w:top w:val="single" w:color="auto" w:sz="4" w:space="0"/>
              <w:left w:val="nil"/>
              <w:bottom w:val="single" w:color="auto" w:sz="4" w:space="0"/>
              <w:right w:val="single" w:color="auto" w:sz="4" w:space="0"/>
            </w:tcBorders>
            <w:vAlign w:val="center"/>
          </w:tcPr>
          <w:p w14:paraId="2D04F69C">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软件和信息技术服务业</w:t>
            </w:r>
          </w:p>
        </w:tc>
        <w:tc>
          <w:tcPr>
            <w:tcW w:w="1091" w:type="dxa"/>
            <w:tcBorders>
              <w:top w:val="single" w:color="auto" w:sz="4" w:space="0"/>
              <w:left w:val="nil"/>
              <w:bottom w:val="single" w:color="auto" w:sz="4" w:space="0"/>
              <w:right w:val="single" w:color="auto" w:sz="4" w:space="0"/>
            </w:tcBorders>
            <w:vAlign w:val="center"/>
          </w:tcPr>
          <w:p w14:paraId="15102913">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否</w:t>
            </w:r>
          </w:p>
        </w:tc>
        <w:tc>
          <w:tcPr>
            <w:tcW w:w="1213" w:type="dxa"/>
            <w:tcBorders>
              <w:top w:val="single" w:color="auto" w:sz="4" w:space="0"/>
              <w:left w:val="nil"/>
              <w:bottom w:val="single" w:color="auto" w:sz="4" w:space="0"/>
              <w:right w:val="single" w:color="auto" w:sz="4" w:space="0"/>
            </w:tcBorders>
            <w:vAlign w:val="center"/>
          </w:tcPr>
          <w:p w14:paraId="77921EC5">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否</w:t>
            </w:r>
          </w:p>
        </w:tc>
      </w:tr>
      <w:tr w14:paraId="21BD0FB0">
        <w:tblPrEx>
          <w:tblCellMar>
            <w:top w:w="0" w:type="dxa"/>
            <w:left w:w="108" w:type="dxa"/>
            <w:bottom w:w="0" w:type="dxa"/>
            <w:right w:w="108" w:type="dxa"/>
          </w:tblCellMar>
        </w:tblPrEx>
        <w:trPr>
          <w:trHeight w:val="23" w:hRule="atLeast"/>
        </w:trPr>
        <w:tc>
          <w:tcPr>
            <w:tcW w:w="0" w:type="auto"/>
            <w:tcBorders>
              <w:top w:val="single" w:color="auto" w:sz="4" w:space="0"/>
              <w:left w:val="single" w:color="auto" w:sz="4" w:space="0"/>
              <w:bottom w:val="single" w:color="auto" w:sz="4" w:space="0"/>
              <w:right w:val="single" w:color="auto" w:sz="4" w:space="0"/>
            </w:tcBorders>
            <w:vAlign w:val="center"/>
          </w:tcPr>
          <w:p w14:paraId="16137C4C">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16</w:t>
            </w:r>
          </w:p>
        </w:tc>
        <w:tc>
          <w:tcPr>
            <w:tcW w:w="0" w:type="auto"/>
            <w:tcBorders>
              <w:top w:val="single" w:color="auto" w:sz="4" w:space="0"/>
              <w:left w:val="nil"/>
              <w:bottom w:val="single" w:color="auto" w:sz="4" w:space="0"/>
              <w:right w:val="single" w:color="auto" w:sz="4" w:space="0"/>
            </w:tcBorders>
            <w:vAlign w:val="center"/>
          </w:tcPr>
          <w:p w14:paraId="6D5EF20F">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1</w:t>
            </w:r>
          </w:p>
        </w:tc>
        <w:tc>
          <w:tcPr>
            <w:tcW w:w="1995" w:type="dxa"/>
            <w:tcBorders>
              <w:top w:val="single" w:color="auto" w:sz="4" w:space="0"/>
              <w:left w:val="nil"/>
              <w:bottom w:val="single" w:color="auto" w:sz="4" w:space="0"/>
              <w:right w:val="single" w:color="auto" w:sz="4" w:space="0"/>
            </w:tcBorders>
            <w:vAlign w:val="center"/>
          </w:tcPr>
          <w:p w14:paraId="691E0FBB">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1"/>
                <w:szCs w:val="21"/>
                <w:highlight w:val="none"/>
              </w:rPr>
            </w:pPr>
            <w:r>
              <w:rPr>
                <w:rFonts w:hint="eastAsia" w:ascii="仿宋" w:hAnsi="仿宋" w:eastAsia="仿宋" w:cs="仿宋"/>
                <w:color w:val="auto"/>
                <w:sz w:val="21"/>
                <w:szCs w:val="21"/>
                <w:highlight w:val="none"/>
              </w:rPr>
              <w:t>多屏互动研讨软件</w:t>
            </w:r>
          </w:p>
        </w:tc>
        <w:tc>
          <w:tcPr>
            <w:tcW w:w="831" w:type="dxa"/>
            <w:tcBorders>
              <w:top w:val="single" w:color="auto" w:sz="4" w:space="0"/>
              <w:left w:val="nil"/>
              <w:bottom w:val="single" w:color="auto" w:sz="4" w:space="0"/>
              <w:right w:val="single" w:color="auto" w:sz="4" w:space="0"/>
            </w:tcBorders>
            <w:vAlign w:val="center"/>
          </w:tcPr>
          <w:p w14:paraId="1D5A1018">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1"/>
                <w:szCs w:val="21"/>
                <w:highlight w:val="none"/>
              </w:rPr>
            </w:pPr>
            <w:r>
              <w:rPr>
                <w:rFonts w:hint="eastAsia" w:ascii="仿宋" w:hAnsi="仿宋" w:eastAsia="仿宋" w:cs="仿宋"/>
                <w:color w:val="auto"/>
                <w:sz w:val="21"/>
                <w:szCs w:val="21"/>
                <w:highlight w:val="none"/>
              </w:rPr>
              <w:t>1</w:t>
            </w:r>
          </w:p>
        </w:tc>
        <w:tc>
          <w:tcPr>
            <w:tcW w:w="764" w:type="dxa"/>
            <w:tcBorders>
              <w:top w:val="single" w:color="auto" w:sz="4" w:space="0"/>
              <w:left w:val="nil"/>
              <w:bottom w:val="single" w:color="auto" w:sz="4" w:space="0"/>
              <w:right w:val="single" w:color="auto" w:sz="4" w:space="0"/>
            </w:tcBorders>
            <w:vAlign w:val="center"/>
          </w:tcPr>
          <w:p w14:paraId="25ABA28B">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1"/>
                <w:szCs w:val="21"/>
                <w:highlight w:val="none"/>
              </w:rPr>
            </w:pPr>
            <w:r>
              <w:rPr>
                <w:rFonts w:hint="eastAsia" w:ascii="仿宋" w:hAnsi="仿宋" w:eastAsia="仿宋" w:cs="仿宋"/>
                <w:color w:val="auto"/>
                <w:sz w:val="21"/>
                <w:szCs w:val="21"/>
                <w:highlight w:val="none"/>
              </w:rPr>
              <w:t>套</w:t>
            </w:r>
          </w:p>
        </w:tc>
        <w:tc>
          <w:tcPr>
            <w:tcW w:w="2400" w:type="dxa"/>
            <w:tcBorders>
              <w:top w:val="single" w:color="auto" w:sz="4" w:space="0"/>
              <w:left w:val="nil"/>
              <w:bottom w:val="single" w:color="auto" w:sz="4" w:space="0"/>
              <w:right w:val="single" w:color="auto" w:sz="4" w:space="0"/>
            </w:tcBorders>
            <w:vAlign w:val="center"/>
          </w:tcPr>
          <w:p w14:paraId="0C32B888">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软件和信息技术服务业</w:t>
            </w:r>
          </w:p>
        </w:tc>
        <w:tc>
          <w:tcPr>
            <w:tcW w:w="1091" w:type="dxa"/>
            <w:tcBorders>
              <w:top w:val="single" w:color="auto" w:sz="4" w:space="0"/>
              <w:left w:val="nil"/>
              <w:bottom w:val="single" w:color="auto" w:sz="4" w:space="0"/>
              <w:right w:val="single" w:color="auto" w:sz="4" w:space="0"/>
            </w:tcBorders>
            <w:vAlign w:val="center"/>
          </w:tcPr>
          <w:p w14:paraId="5EEA75D2">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否</w:t>
            </w:r>
          </w:p>
        </w:tc>
        <w:tc>
          <w:tcPr>
            <w:tcW w:w="1213" w:type="dxa"/>
            <w:tcBorders>
              <w:top w:val="single" w:color="auto" w:sz="4" w:space="0"/>
              <w:left w:val="nil"/>
              <w:bottom w:val="single" w:color="auto" w:sz="4" w:space="0"/>
              <w:right w:val="single" w:color="auto" w:sz="4" w:space="0"/>
            </w:tcBorders>
            <w:vAlign w:val="center"/>
          </w:tcPr>
          <w:p w14:paraId="35128578">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否</w:t>
            </w:r>
          </w:p>
        </w:tc>
      </w:tr>
      <w:tr w14:paraId="23468FA0">
        <w:tblPrEx>
          <w:tblCellMar>
            <w:top w:w="0" w:type="dxa"/>
            <w:left w:w="108" w:type="dxa"/>
            <w:bottom w:w="0" w:type="dxa"/>
            <w:right w:w="108" w:type="dxa"/>
          </w:tblCellMar>
        </w:tblPrEx>
        <w:trPr>
          <w:trHeight w:val="23" w:hRule="atLeast"/>
        </w:trPr>
        <w:tc>
          <w:tcPr>
            <w:tcW w:w="0" w:type="auto"/>
            <w:tcBorders>
              <w:top w:val="single" w:color="auto" w:sz="4" w:space="0"/>
              <w:left w:val="single" w:color="auto" w:sz="4" w:space="0"/>
              <w:bottom w:val="single" w:color="auto" w:sz="4" w:space="0"/>
              <w:right w:val="single" w:color="auto" w:sz="4" w:space="0"/>
            </w:tcBorders>
            <w:vAlign w:val="center"/>
          </w:tcPr>
          <w:p w14:paraId="25E8E637">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17</w:t>
            </w:r>
          </w:p>
        </w:tc>
        <w:tc>
          <w:tcPr>
            <w:tcW w:w="0" w:type="auto"/>
            <w:tcBorders>
              <w:top w:val="single" w:color="auto" w:sz="4" w:space="0"/>
              <w:left w:val="nil"/>
              <w:bottom w:val="single" w:color="auto" w:sz="4" w:space="0"/>
              <w:right w:val="single" w:color="auto" w:sz="4" w:space="0"/>
            </w:tcBorders>
            <w:vAlign w:val="center"/>
          </w:tcPr>
          <w:p w14:paraId="6EC09743">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1</w:t>
            </w:r>
          </w:p>
        </w:tc>
        <w:tc>
          <w:tcPr>
            <w:tcW w:w="1995" w:type="dxa"/>
            <w:tcBorders>
              <w:top w:val="single" w:color="auto" w:sz="4" w:space="0"/>
              <w:left w:val="nil"/>
              <w:bottom w:val="single" w:color="auto" w:sz="4" w:space="0"/>
              <w:right w:val="single" w:color="auto" w:sz="4" w:space="0"/>
            </w:tcBorders>
            <w:vAlign w:val="center"/>
          </w:tcPr>
          <w:p w14:paraId="5C29C59D">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1"/>
                <w:szCs w:val="21"/>
                <w:highlight w:val="none"/>
              </w:rPr>
            </w:pPr>
            <w:r>
              <w:rPr>
                <w:rFonts w:hint="eastAsia" w:ascii="仿宋" w:hAnsi="仿宋" w:eastAsia="仿宋" w:cs="仿宋"/>
                <w:color w:val="auto"/>
                <w:sz w:val="21"/>
                <w:szCs w:val="21"/>
                <w:highlight w:val="none"/>
              </w:rPr>
              <w:t>课堂录播系统</w:t>
            </w:r>
          </w:p>
        </w:tc>
        <w:tc>
          <w:tcPr>
            <w:tcW w:w="831" w:type="dxa"/>
            <w:tcBorders>
              <w:top w:val="single" w:color="auto" w:sz="4" w:space="0"/>
              <w:left w:val="nil"/>
              <w:bottom w:val="single" w:color="auto" w:sz="4" w:space="0"/>
              <w:right w:val="single" w:color="auto" w:sz="4" w:space="0"/>
            </w:tcBorders>
            <w:vAlign w:val="center"/>
          </w:tcPr>
          <w:p w14:paraId="71CB704F">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1"/>
                <w:szCs w:val="21"/>
                <w:highlight w:val="none"/>
              </w:rPr>
            </w:pPr>
            <w:r>
              <w:rPr>
                <w:rFonts w:hint="eastAsia" w:ascii="仿宋" w:hAnsi="仿宋" w:eastAsia="仿宋" w:cs="仿宋"/>
                <w:color w:val="auto"/>
                <w:sz w:val="21"/>
                <w:szCs w:val="21"/>
                <w:highlight w:val="none"/>
              </w:rPr>
              <w:t>1</w:t>
            </w:r>
          </w:p>
        </w:tc>
        <w:tc>
          <w:tcPr>
            <w:tcW w:w="764" w:type="dxa"/>
            <w:tcBorders>
              <w:top w:val="single" w:color="auto" w:sz="4" w:space="0"/>
              <w:left w:val="nil"/>
              <w:bottom w:val="single" w:color="auto" w:sz="4" w:space="0"/>
              <w:right w:val="single" w:color="auto" w:sz="4" w:space="0"/>
            </w:tcBorders>
            <w:vAlign w:val="center"/>
          </w:tcPr>
          <w:p w14:paraId="6D8F37B4">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1"/>
                <w:szCs w:val="21"/>
                <w:highlight w:val="none"/>
              </w:rPr>
            </w:pPr>
            <w:r>
              <w:rPr>
                <w:rFonts w:hint="eastAsia" w:ascii="仿宋" w:hAnsi="仿宋" w:eastAsia="仿宋" w:cs="仿宋"/>
                <w:color w:val="auto"/>
                <w:sz w:val="21"/>
                <w:szCs w:val="21"/>
                <w:highlight w:val="none"/>
              </w:rPr>
              <w:t>套</w:t>
            </w:r>
          </w:p>
        </w:tc>
        <w:tc>
          <w:tcPr>
            <w:tcW w:w="2400" w:type="dxa"/>
            <w:tcBorders>
              <w:top w:val="single" w:color="auto" w:sz="4" w:space="0"/>
              <w:left w:val="nil"/>
              <w:bottom w:val="single" w:color="auto" w:sz="4" w:space="0"/>
              <w:right w:val="single" w:color="auto" w:sz="4" w:space="0"/>
            </w:tcBorders>
            <w:vAlign w:val="center"/>
          </w:tcPr>
          <w:p w14:paraId="620151DF">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val="en-US" w:eastAsia="zh-CN"/>
              </w:rPr>
              <w:t>软件和信息技术服务业</w:t>
            </w:r>
          </w:p>
        </w:tc>
        <w:tc>
          <w:tcPr>
            <w:tcW w:w="1091" w:type="dxa"/>
            <w:tcBorders>
              <w:top w:val="single" w:color="auto" w:sz="4" w:space="0"/>
              <w:left w:val="nil"/>
              <w:bottom w:val="single" w:color="auto" w:sz="4" w:space="0"/>
              <w:right w:val="single" w:color="auto" w:sz="4" w:space="0"/>
            </w:tcBorders>
            <w:vAlign w:val="center"/>
          </w:tcPr>
          <w:p w14:paraId="29BD3A90">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否</w:t>
            </w:r>
          </w:p>
        </w:tc>
        <w:tc>
          <w:tcPr>
            <w:tcW w:w="1213" w:type="dxa"/>
            <w:tcBorders>
              <w:top w:val="single" w:color="auto" w:sz="4" w:space="0"/>
              <w:left w:val="nil"/>
              <w:bottom w:val="single" w:color="auto" w:sz="4" w:space="0"/>
              <w:right w:val="single" w:color="auto" w:sz="4" w:space="0"/>
            </w:tcBorders>
            <w:vAlign w:val="center"/>
          </w:tcPr>
          <w:p w14:paraId="6277B765">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否</w:t>
            </w:r>
          </w:p>
        </w:tc>
      </w:tr>
      <w:tr w14:paraId="50EF6B8A">
        <w:tblPrEx>
          <w:tblCellMar>
            <w:top w:w="0" w:type="dxa"/>
            <w:left w:w="108" w:type="dxa"/>
            <w:bottom w:w="0" w:type="dxa"/>
            <w:right w:w="108" w:type="dxa"/>
          </w:tblCellMar>
        </w:tblPrEx>
        <w:trPr>
          <w:trHeight w:val="23" w:hRule="atLeast"/>
        </w:trPr>
        <w:tc>
          <w:tcPr>
            <w:tcW w:w="0" w:type="auto"/>
            <w:tcBorders>
              <w:top w:val="single" w:color="auto" w:sz="4" w:space="0"/>
              <w:left w:val="single" w:color="auto" w:sz="4" w:space="0"/>
              <w:bottom w:val="single" w:color="auto" w:sz="4" w:space="0"/>
              <w:right w:val="single" w:color="auto" w:sz="4" w:space="0"/>
            </w:tcBorders>
            <w:vAlign w:val="center"/>
          </w:tcPr>
          <w:p w14:paraId="2984A5BB">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18</w:t>
            </w:r>
          </w:p>
        </w:tc>
        <w:tc>
          <w:tcPr>
            <w:tcW w:w="0" w:type="auto"/>
            <w:tcBorders>
              <w:top w:val="single" w:color="auto" w:sz="4" w:space="0"/>
              <w:left w:val="nil"/>
              <w:bottom w:val="single" w:color="auto" w:sz="4" w:space="0"/>
              <w:right w:val="single" w:color="auto" w:sz="4" w:space="0"/>
            </w:tcBorders>
            <w:vAlign w:val="center"/>
          </w:tcPr>
          <w:p w14:paraId="10B1CD42">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1</w:t>
            </w:r>
          </w:p>
        </w:tc>
        <w:tc>
          <w:tcPr>
            <w:tcW w:w="1995" w:type="dxa"/>
            <w:tcBorders>
              <w:top w:val="single" w:color="auto" w:sz="4" w:space="0"/>
              <w:left w:val="nil"/>
              <w:bottom w:val="single" w:color="auto" w:sz="4" w:space="0"/>
              <w:right w:val="single" w:color="auto" w:sz="4" w:space="0"/>
            </w:tcBorders>
            <w:vAlign w:val="center"/>
          </w:tcPr>
          <w:p w14:paraId="5BA970AB">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1"/>
                <w:szCs w:val="21"/>
                <w:highlight w:val="none"/>
              </w:rPr>
            </w:pPr>
            <w:r>
              <w:rPr>
                <w:rFonts w:hint="eastAsia" w:ascii="仿宋" w:hAnsi="仿宋" w:eastAsia="仿宋" w:cs="仿宋"/>
                <w:color w:val="auto"/>
                <w:sz w:val="21"/>
                <w:szCs w:val="21"/>
                <w:highlight w:val="none"/>
              </w:rPr>
              <w:t>智慧教学终端软件</w:t>
            </w:r>
          </w:p>
        </w:tc>
        <w:tc>
          <w:tcPr>
            <w:tcW w:w="831" w:type="dxa"/>
            <w:tcBorders>
              <w:top w:val="single" w:color="auto" w:sz="4" w:space="0"/>
              <w:left w:val="nil"/>
              <w:bottom w:val="single" w:color="auto" w:sz="4" w:space="0"/>
              <w:right w:val="single" w:color="auto" w:sz="4" w:space="0"/>
            </w:tcBorders>
            <w:vAlign w:val="center"/>
          </w:tcPr>
          <w:p w14:paraId="2A20C88D">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1"/>
                <w:szCs w:val="21"/>
                <w:highlight w:val="none"/>
              </w:rPr>
            </w:pPr>
            <w:r>
              <w:rPr>
                <w:rFonts w:hint="eastAsia" w:ascii="仿宋" w:hAnsi="仿宋" w:eastAsia="仿宋" w:cs="仿宋"/>
                <w:color w:val="auto"/>
                <w:sz w:val="21"/>
                <w:szCs w:val="21"/>
                <w:highlight w:val="none"/>
              </w:rPr>
              <w:t>1</w:t>
            </w:r>
          </w:p>
        </w:tc>
        <w:tc>
          <w:tcPr>
            <w:tcW w:w="764" w:type="dxa"/>
            <w:tcBorders>
              <w:top w:val="single" w:color="auto" w:sz="4" w:space="0"/>
              <w:left w:val="nil"/>
              <w:bottom w:val="single" w:color="auto" w:sz="4" w:space="0"/>
              <w:right w:val="single" w:color="auto" w:sz="4" w:space="0"/>
            </w:tcBorders>
            <w:vAlign w:val="center"/>
          </w:tcPr>
          <w:p w14:paraId="3D279D18">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1"/>
                <w:szCs w:val="21"/>
                <w:highlight w:val="none"/>
              </w:rPr>
            </w:pPr>
            <w:r>
              <w:rPr>
                <w:rFonts w:hint="eastAsia" w:ascii="仿宋" w:hAnsi="仿宋" w:eastAsia="仿宋" w:cs="仿宋"/>
                <w:color w:val="auto"/>
                <w:sz w:val="21"/>
                <w:szCs w:val="21"/>
                <w:highlight w:val="none"/>
              </w:rPr>
              <w:t>套</w:t>
            </w:r>
          </w:p>
        </w:tc>
        <w:tc>
          <w:tcPr>
            <w:tcW w:w="2400" w:type="dxa"/>
            <w:tcBorders>
              <w:top w:val="single" w:color="auto" w:sz="4" w:space="0"/>
              <w:left w:val="nil"/>
              <w:bottom w:val="single" w:color="auto" w:sz="4" w:space="0"/>
              <w:right w:val="single" w:color="auto" w:sz="4" w:space="0"/>
            </w:tcBorders>
            <w:vAlign w:val="center"/>
          </w:tcPr>
          <w:p w14:paraId="571B47FD">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val="en-US" w:eastAsia="zh-CN"/>
              </w:rPr>
              <w:t>软件和信息技术服务业</w:t>
            </w:r>
          </w:p>
        </w:tc>
        <w:tc>
          <w:tcPr>
            <w:tcW w:w="1091" w:type="dxa"/>
            <w:tcBorders>
              <w:top w:val="single" w:color="auto" w:sz="4" w:space="0"/>
              <w:left w:val="nil"/>
              <w:bottom w:val="single" w:color="auto" w:sz="4" w:space="0"/>
              <w:right w:val="single" w:color="auto" w:sz="4" w:space="0"/>
            </w:tcBorders>
            <w:vAlign w:val="center"/>
          </w:tcPr>
          <w:p w14:paraId="3AE86955">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否</w:t>
            </w:r>
          </w:p>
        </w:tc>
        <w:tc>
          <w:tcPr>
            <w:tcW w:w="1213" w:type="dxa"/>
            <w:tcBorders>
              <w:top w:val="single" w:color="auto" w:sz="4" w:space="0"/>
              <w:left w:val="nil"/>
              <w:bottom w:val="single" w:color="auto" w:sz="4" w:space="0"/>
              <w:right w:val="single" w:color="auto" w:sz="4" w:space="0"/>
            </w:tcBorders>
            <w:vAlign w:val="center"/>
          </w:tcPr>
          <w:p w14:paraId="3AE63B78">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否</w:t>
            </w:r>
          </w:p>
        </w:tc>
      </w:tr>
      <w:tr w14:paraId="2EBFED9E">
        <w:tblPrEx>
          <w:tblCellMar>
            <w:top w:w="0" w:type="dxa"/>
            <w:left w:w="108" w:type="dxa"/>
            <w:bottom w:w="0" w:type="dxa"/>
            <w:right w:w="108" w:type="dxa"/>
          </w:tblCellMar>
        </w:tblPrEx>
        <w:trPr>
          <w:trHeight w:val="23" w:hRule="atLeast"/>
        </w:trPr>
        <w:tc>
          <w:tcPr>
            <w:tcW w:w="0" w:type="auto"/>
            <w:tcBorders>
              <w:top w:val="single" w:color="auto" w:sz="4" w:space="0"/>
              <w:left w:val="single" w:color="auto" w:sz="4" w:space="0"/>
              <w:bottom w:val="single" w:color="auto" w:sz="4" w:space="0"/>
              <w:right w:val="single" w:color="auto" w:sz="4" w:space="0"/>
            </w:tcBorders>
            <w:vAlign w:val="center"/>
          </w:tcPr>
          <w:p w14:paraId="490FEB13">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19</w:t>
            </w:r>
          </w:p>
        </w:tc>
        <w:tc>
          <w:tcPr>
            <w:tcW w:w="0" w:type="auto"/>
            <w:tcBorders>
              <w:top w:val="single" w:color="auto" w:sz="4" w:space="0"/>
              <w:left w:val="nil"/>
              <w:bottom w:val="single" w:color="auto" w:sz="4" w:space="0"/>
              <w:right w:val="single" w:color="auto" w:sz="4" w:space="0"/>
            </w:tcBorders>
            <w:vAlign w:val="center"/>
          </w:tcPr>
          <w:p w14:paraId="67FD4BCD">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1</w:t>
            </w:r>
          </w:p>
        </w:tc>
        <w:tc>
          <w:tcPr>
            <w:tcW w:w="1995" w:type="dxa"/>
            <w:tcBorders>
              <w:top w:val="single" w:color="auto" w:sz="4" w:space="0"/>
              <w:left w:val="nil"/>
              <w:bottom w:val="single" w:color="auto" w:sz="4" w:space="0"/>
              <w:right w:val="single" w:color="auto" w:sz="4" w:space="0"/>
            </w:tcBorders>
            <w:vAlign w:val="center"/>
          </w:tcPr>
          <w:p w14:paraId="18281675">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1"/>
                <w:szCs w:val="21"/>
                <w:highlight w:val="none"/>
              </w:rPr>
            </w:pPr>
            <w:r>
              <w:rPr>
                <w:rFonts w:hint="eastAsia" w:ascii="仿宋" w:hAnsi="仿宋" w:eastAsia="仿宋" w:cs="仿宋"/>
                <w:color w:val="auto"/>
                <w:sz w:val="21"/>
                <w:szCs w:val="21"/>
                <w:highlight w:val="none"/>
              </w:rPr>
              <w:t>中控系统</w:t>
            </w:r>
          </w:p>
        </w:tc>
        <w:tc>
          <w:tcPr>
            <w:tcW w:w="831" w:type="dxa"/>
            <w:tcBorders>
              <w:top w:val="single" w:color="auto" w:sz="4" w:space="0"/>
              <w:left w:val="nil"/>
              <w:bottom w:val="single" w:color="auto" w:sz="4" w:space="0"/>
              <w:right w:val="single" w:color="auto" w:sz="4" w:space="0"/>
            </w:tcBorders>
            <w:vAlign w:val="center"/>
          </w:tcPr>
          <w:p w14:paraId="04C98EB7">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1"/>
                <w:szCs w:val="21"/>
                <w:highlight w:val="none"/>
              </w:rPr>
            </w:pPr>
            <w:r>
              <w:rPr>
                <w:rFonts w:hint="eastAsia" w:ascii="仿宋" w:hAnsi="仿宋" w:eastAsia="仿宋" w:cs="仿宋"/>
                <w:color w:val="auto"/>
                <w:sz w:val="21"/>
                <w:szCs w:val="21"/>
                <w:highlight w:val="none"/>
              </w:rPr>
              <w:t>1</w:t>
            </w:r>
          </w:p>
        </w:tc>
        <w:tc>
          <w:tcPr>
            <w:tcW w:w="764" w:type="dxa"/>
            <w:tcBorders>
              <w:top w:val="single" w:color="auto" w:sz="4" w:space="0"/>
              <w:left w:val="nil"/>
              <w:bottom w:val="single" w:color="auto" w:sz="4" w:space="0"/>
              <w:right w:val="single" w:color="auto" w:sz="4" w:space="0"/>
            </w:tcBorders>
            <w:vAlign w:val="center"/>
          </w:tcPr>
          <w:p w14:paraId="56916290">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1"/>
                <w:szCs w:val="21"/>
                <w:highlight w:val="none"/>
              </w:rPr>
            </w:pPr>
            <w:r>
              <w:rPr>
                <w:rFonts w:hint="eastAsia" w:ascii="仿宋" w:hAnsi="仿宋" w:eastAsia="仿宋" w:cs="仿宋"/>
                <w:color w:val="auto"/>
                <w:sz w:val="21"/>
                <w:szCs w:val="21"/>
                <w:highlight w:val="none"/>
              </w:rPr>
              <w:t>套</w:t>
            </w:r>
          </w:p>
        </w:tc>
        <w:tc>
          <w:tcPr>
            <w:tcW w:w="2400" w:type="dxa"/>
            <w:tcBorders>
              <w:top w:val="single" w:color="auto" w:sz="4" w:space="0"/>
              <w:left w:val="nil"/>
              <w:bottom w:val="single" w:color="auto" w:sz="4" w:space="0"/>
              <w:right w:val="single" w:color="auto" w:sz="4" w:space="0"/>
            </w:tcBorders>
            <w:vAlign w:val="center"/>
          </w:tcPr>
          <w:p w14:paraId="177DB6AC">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软件和信息技术服务业</w:t>
            </w:r>
          </w:p>
        </w:tc>
        <w:tc>
          <w:tcPr>
            <w:tcW w:w="1091" w:type="dxa"/>
            <w:tcBorders>
              <w:top w:val="single" w:color="auto" w:sz="4" w:space="0"/>
              <w:left w:val="nil"/>
              <w:bottom w:val="single" w:color="auto" w:sz="4" w:space="0"/>
              <w:right w:val="single" w:color="auto" w:sz="4" w:space="0"/>
            </w:tcBorders>
            <w:vAlign w:val="center"/>
          </w:tcPr>
          <w:p w14:paraId="45117F8D">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否</w:t>
            </w:r>
          </w:p>
        </w:tc>
        <w:tc>
          <w:tcPr>
            <w:tcW w:w="1213" w:type="dxa"/>
            <w:tcBorders>
              <w:top w:val="single" w:color="auto" w:sz="4" w:space="0"/>
              <w:left w:val="nil"/>
              <w:bottom w:val="single" w:color="auto" w:sz="4" w:space="0"/>
              <w:right w:val="single" w:color="auto" w:sz="4" w:space="0"/>
            </w:tcBorders>
            <w:vAlign w:val="center"/>
          </w:tcPr>
          <w:p w14:paraId="1A90356D">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否</w:t>
            </w:r>
          </w:p>
        </w:tc>
      </w:tr>
      <w:tr w14:paraId="5CE5218D">
        <w:tblPrEx>
          <w:tblCellMar>
            <w:top w:w="0" w:type="dxa"/>
            <w:left w:w="108" w:type="dxa"/>
            <w:bottom w:w="0" w:type="dxa"/>
            <w:right w:w="108" w:type="dxa"/>
          </w:tblCellMar>
        </w:tblPrEx>
        <w:trPr>
          <w:trHeight w:val="23" w:hRule="atLeast"/>
        </w:trPr>
        <w:tc>
          <w:tcPr>
            <w:tcW w:w="0" w:type="auto"/>
            <w:tcBorders>
              <w:top w:val="single" w:color="auto" w:sz="4" w:space="0"/>
              <w:left w:val="single" w:color="auto" w:sz="4" w:space="0"/>
              <w:bottom w:val="single" w:color="auto" w:sz="4" w:space="0"/>
              <w:right w:val="single" w:color="auto" w:sz="4" w:space="0"/>
            </w:tcBorders>
            <w:vAlign w:val="center"/>
          </w:tcPr>
          <w:p w14:paraId="198B2A9A">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20</w:t>
            </w:r>
          </w:p>
        </w:tc>
        <w:tc>
          <w:tcPr>
            <w:tcW w:w="0" w:type="auto"/>
            <w:tcBorders>
              <w:top w:val="single" w:color="auto" w:sz="4" w:space="0"/>
              <w:left w:val="nil"/>
              <w:bottom w:val="single" w:color="auto" w:sz="4" w:space="0"/>
              <w:right w:val="single" w:color="auto" w:sz="4" w:space="0"/>
            </w:tcBorders>
            <w:vAlign w:val="center"/>
          </w:tcPr>
          <w:p w14:paraId="1276D42C">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1</w:t>
            </w:r>
          </w:p>
        </w:tc>
        <w:tc>
          <w:tcPr>
            <w:tcW w:w="1995" w:type="dxa"/>
            <w:tcBorders>
              <w:top w:val="single" w:color="auto" w:sz="4" w:space="0"/>
              <w:left w:val="nil"/>
              <w:bottom w:val="single" w:color="auto" w:sz="4" w:space="0"/>
              <w:right w:val="single" w:color="auto" w:sz="4" w:space="0"/>
            </w:tcBorders>
            <w:vAlign w:val="center"/>
          </w:tcPr>
          <w:p w14:paraId="04BDC0DE">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1"/>
                <w:szCs w:val="21"/>
                <w:highlight w:val="none"/>
              </w:rPr>
            </w:pPr>
            <w:r>
              <w:rPr>
                <w:rFonts w:hint="eastAsia" w:ascii="仿宋" w:hAnsi="仿宋" w:eastAsia="仿宋" w:cs="仿宋"/>
                <w:color w:val="auto"/>
                <w:sz w:val="21"/>
                <w:szCs w:val="21"/>
                <w:highlight w:val="none"/>
              </w:rPr>
              <w:t>AI课堂分析软件</w:t>
            </w:r>
          </w:p>
        </w:tc>
        <w:tc>
          <w:tcPr>
            <w:tcW w:w="831" w:type="dxa"/>
            <w:tcBorders>
              <w:top w:val="single" w:color="auto" w:sz="4" w:space="0"/>
              <w:left w:val="nil"/>
              <w:bottom w:val="single" w:color="auto" w:sz="4" w:space="0"/>
              <w:right w:val="single" w:color="auto" w:sz="4" w:space="0"/>
            </w:tcBorders>
            <w:vAlign w:val="center"/>
          </w:tcPr>
          <w:p w14:paraId="1E3E8793">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1"/>
                <w:szCs w:val="21"/>
                <w:highlight w:val="none"/>
              </w:rPr>
            </w:pPr>
            <w:r>
              <w:rPr>
                <w:rFonts w:hint="eastAsia" w:ascii="仿宋" w:hAnsi="仿宋" w:eastAsia="仿宋" w:cs="仿宋"/>
                <w:color w:val="auto"/>
                <w:sz w:val="21"/>
                <w:szCs w:val="21"/>
                <w:highlight w:val="none"/>
              </w:rPr>
              <w:t>1</w:t>
            </w:r>
          </w:p>
        </w:tc>
        <w:tc>
          <w:tcPr>
            <w:tcW w:w="764" w:type="dxa"/>
            <w:tcBorders>
              <w:top w:val="single" w:color="auto" w:sz="4" w:space="0"/>
              <w:left w:val="nil"/>
              <w:bottom w:val="single" w:color="auto" w:sz="4" w:space="0"/>
              <w:right w:val="single" w:color="auto" w:sz="4" w:space="0"/>
            </w:tcBorders>
            <w:vAlign w:val="center"/>
          </w:tcPr>
          <w:p w14:paraId="46438996">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1"/>
                <w:szCs w:val="21"/>
                <w:highlight w:val="none"/>
              </w:rPr>
            </w:pPr>
            <w:r>
              <w:rPr>
                <w:rFonts w:hint="eastAsia" w:ascii="仿宋" w:hAnsi="仿宋" w:eastAsia="仿宋" w:cs="仿宋"/>
                <w:color w:val="auto"/>
                <w:sz w:val="21"/>
                <w:szCs w:val="21"/>
                <w:highlight w:val="none"/>
              </w:rPr>
              <w:t>套</w:t>
            </w:r>
          </w:p>
        </w:tc>
        <w:tc>
          <w:tcPr>
            <w:tcW w:w="2400" w:type="dxa"/>
            <w:tcBorders>
              <w:top w:val="single" w:color="auto" w:sz="4" w:space="0"/>
              <w:left w:val="nil"/>
              <w:bottom w:val="single" w:color="auto" w:sz="4" w:space="0"/>
              <w:right w:val="single" w:color="auto" w:sz="4" w:space="0"/>
            </w:tcBorders>
            <w:vAlign w:val="center"/>
          </w:tcPr>
          <w:p w14:paraId="527A953C">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软件和信息技术服务业</w:t>
            </w:r>
          </w:p>
        </w:tc>
        <w:tc>
          <w:tcPr>
            <w:tcW w:w="1091" w:type="dxa"/>
            <w:tcBorders>
              <w:top w:val="single" w:color="auto" w:sz="4" w:space="0"/>
              <w:left w:val="nil"/>
              <w:bottom w:val="single" w:color="auto" w:sz="4" w:space="0"/>
              <w:right w:val="single" w:color="auto" w:sz="4" w:space="0"/>
            </w:tcBorders>
            <w:vAlign w:val="center"/>
          </w:tcPr>
          <w:p w14:paraId="577901F5">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否</w:t>
            </w:r>
          </w:p>
        </w:tc>
        <w:tc>
          <w:tcPr>
            <w:tcW w:w="1213" w:type="dxa"/>
            <w:tcBorders>
              <w:top w:val="single" w:color="auto" w:sz="4" w:space="0"/>
              <w:left w:val="nil"/>
              <w:bottom w:val="single" w:color="auto" w:sz="4" w:space="0"/>
              <w:right w:val="single" w:color="auto" w:sz="4" w:space="0"/>
            </w:tcBorders>
            <w:vAlign w:val="center"/>
          </w:tcPr>
          <w:p w14:paraId="4E684D29">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否</w:t>
            </w:r>
          </w:p>
        </w:tc>
      </w:tr>
      <w:tr w14:paraId="4D4A8DA3">
        <w:tblPrEx>
          <w:tblCellMar>
            <w:top w:w="0" w:type="dxa"/>
            <w:left w:w="108" w:type="dxa"/>
            <w:bottom w:w="0" w:type="dxa"/>
            <w:right w:w="108" w:type="dxa"/>
          </w:tblCellMar>
        </w:tblPrEx>
        <w:trPr>
          <w:trHeight w:val="23" w:hRule="atLeast"/>
        </w:trPr>
        <w:tc>
          <w:tcPr>
            <w:tcW w:w="0" w:type="auto"/>
            <w:tcBorders>
              <w:top w:val="single" w:color="auto" w:sz="4" w:space="0"/>
              <w:left w:val="single" w:color="auto" w:sz="4" w:space="0"/>
              <w:bottom w:val="single" w:color="auto" w:sz="4" w:space="0"/>
              <w:right w:val="single" w:color="auto" w:sz="4" w:space="0"/>
            </w:tcBorders>
            <w:vAlign w:val="center"/>
          </w:tcPr>
          <w:p w14:paraId="74944291">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21</w:t>
            </w:r>
          </w:p>
        </w:tc>
        <w:tc>
          <w:tcPr>
            <w:tcW w:w="0" w:type="auto"/>
            <w:tcBorders>
              <w:top w:val="single" w:color="auto" w:sz="4" w:space="0"/>
              <w:left w:val="nil"/>
              <w:bottom w:val="single" w:color="auto" w:sz="4" w:space="0"/>
              <w:right w:val="single" w:color="auto" w:sz="4" w:space="0"/>
            </w:tcBorders>
            <w:vAlign w:val="center"/>
          </w:tcPr>
          <w:p w14:paraId="4DC31908">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1</w:t>
            </w:r>
          </w:p>
        </w:tc>
        <w:tc>
          <w:tcPr>
            <w:tcW w:w="1995" w:type="dxa"/>
            <w:tcBorders>
              <w:top w:val="single" w:color="auto" w:sz="4" w:space="0"/>
              <w:left w:val="nil"/>
              <w:bottom w:val="single" w:color="auto" w:sz="4" w:space="0"/>
              <w:right w:val="single" w:color="auto" w:sz="4" w:space="0"/>
            </w:tcBorders>
            <w:vAlign w:val="center"/>
          </w:tcPr>
          <w:p w14:paraId="6B5FBFC6">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1"/>
                <w:szCs w:val="21"/>
                <w:highlight w:val="none"/>
              </w:rPr>
            </w:pPr>
            <w:r>
              <w:rPr>
                <w:rFonts w:hint="eastAsia" w:ascii="仿宋" w:hAnsi="仿宋" w:eastAsia="仿宋" w:cs="仿宋"/>
                <w:color w:val="auto"/>
                <w:sz w:val="21"/>
                <w:szCs w:val="21"/>
                <w:highlight w:val="none"/>
              </w:rPr>
              <w:t>AI课堂观察软件</w:t>
            </w:r>
          </w:p>
        </w:tc>
        <w:tc>
          <w:tcPr>
            <w:tcW w:w="831" w:type="dxa"/>
            <w:tcBorders>
              <w:top w:val="single" w:color="auto" w:sz="4" w:space="0"/>
              <w:left w:val="nil"/>
              <w:bottom w:val="single" w:color="auto" w:sz="4" w:space="0"/>
              <w:right w:val="single" w:color="auto" w:sz="4" w:space="0"/>
            </w:tcBorders>
            <w:vAlign w:val="center"/>
          </w:tcPr>
          <w:p w14:paraId="59DED98D">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w:t>
            </w:r>
          </w:p>
        </w:tc>
        <w:tc>
          <w:tcPr>
            <w:tcW w:w="764" w:type="dxa"/>
            <w:tcBorders>
              <w:top w:val="single" w:color="auto" w:sz="4" w:space="0"/>
              <w:left w:val="nil"/>
              <w:bottom w:val="single" w:color="auto" w:sz="4" w:space="0"/>
              <w:right w:val="single" w:color="auto" w:sz="4" w:space="0"/>
            </w:tcBorders>
            <w:vAlign w:val="center"/>
          </w:tcPr>
          <w:p w14:paraId="46369394">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套</w:t>
            </w:r>
          </w:p>
        </w:tc>
        <w:tc>
          <w:tcPr>
            <w:tcW w:w="2400" w:type="dxa"/>
            <w:tcBorders>
              <w:top w:val="single" w:color="auto" w:sz="4" w:space="0"/>
              <w:left w:val="nil"/>
              <w:bottom w:val="single" w:color="auto" w:sz="4" w:space="0"/>
              <w:right w:val="single" w:color="auto" w:sz="4" w:space="0"/>
            </w:tcBorders>
            <w:vAlign w:val="center"/>
          </w:tcPr>
          <w:p w14:paraId="1AF95596">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软件和信息技术服务业</w:t>
            </w:r>
          </w:p>
        </w:tc>
        <w:tc>
          <w:tcPr>
            <w:tcW w:w="1091" w:type="dxa"/>
            <w:tcBorders>
              <w:top w:val="single" w:color="auto" w:sz="4" w:space="0"/>
              <w:left w:val="nil"/>
              <w:bottom w:val="single" w:color="auto" w:sz="4" w:space="0"/>
              <w:right w:val="single" w:color="auto" w:sz="4" w:space="0"/>
            </w:tcBorders>
            <w:vAlign w:val="center"/>
          </w:tcPr>
          <w:p w14:paraId="0B2A0D5D">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否</w:t>
            </w:r>
          </w:p>
        </w:tc>
        <w:tc>
          <w:tcPr>
            <w:tcW w:w="1213" w:type="dxa"/>
            <w:tcBorders>
              <w:top w:val="single" w:color="auto" w:sz="4" w:space="0"/>
              <w:left w:val="nil"/>
              <w:bottom w:val="single" w:color="auto" w:sz="4" w:space="0"/>
              <w:right w:val="single" w:color="auto" w:sz="4" w:space="0"/>
            </w:tcBorders>
            <w:vAlign w:val="center"/>
          </w:tcPr>
          <w:p w14:paraId="4C197AAB">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否</w:t>
            </w:r>
          </w:p>
        </w:tc>
      </w:tr>
      <w:tr w14:paraId="027F5BF9">
        <w:tblPrEx>
          <w:tblCellMar>
            <w:top w:w="0" w:type="dxa"/>
            <w:left w:w="108" w:type="dxa"/>
            <w:bottom w:w="0" w:type="dxa"/>
            <w:right w:w="108" w:type="dxa"/>
          </w:tblCellMar>
        </w:tblPrEx>
        <w:trPr>
          <w:trHeight w:val="23" w:hRule="atLeast"/>
        </w:trPr>
        <w:tc>
          <w:tcPr>
            <w:tcW w:w="9643" w:type="dxa"/>
            <w:gridSpan w:val="8"/>
            <w:tcBorders>
              <w:top w:val="single" w:color="auto" w:sz="4" w:space="0"/>
              <w:left w:val="single" w:color="auto" w:sz="4" w:space="0"/>
              <w:bottom w:val="single" w:color="auto" w:sz="4" w:space="0"/>
              <w:right w:val="single" w:color="auto" w:sz="4" w:space="0"/>
            </w:tcBorders>
            <w:vAlign w:val="center"/>
          </w:tcPr>
          <w:p w14:paraId="764893B4">
            <w:pPr>
              <w:keepNext w:val="0"/>
              <w:keepLines w:val="0"/>
              <w:pageBreakBefore w:val="0"/>
              <w:widowControl/>
              <w:kinsoku/>
              <w:wordWrap w:val="0"/>
              <w:overflowPunct/>
              <w:topLinePunct w:val="0"/>
              <w:autoSpaceDE/>
              <w:autoSpaceDN/>
              <w:bidi w:val="0"/>
              <w:adjustRightInd/>
              <w:snapToGrid/>
              <w:spacing w:line="240" w:lineRule="auto"/>
              <w:ind w:firstLine="0" w:firstLineChars="0"/>
              <w:jc w:val="left"/>
              <w:textAlignment w:val="auto"/>
              <w:rPr>
                <w:rFonts w:hint="eastAsia" w:ascii="仿宋" w:hAnsi="仿宋" w:eastAsia="仿宋" w:cs="仿宋"/>
                <w:b/>
                <w:bCs/>
                <w:color w:val="auto"/>
                <w:kern w:val="0"/>
                <w:sz w:val="21"/>
                <w:szCs w:val="21"/>
                <w:highlight w:val="none"/>
              </w:rPr>
            </w:pPr>
            <w:r>
              <w:rPr>
                <w:rFonts w:hint="eastAsia" w:ascii="仿宋" w:hAnsi="仿宋" w:eastAsia="仿宋" w:cs="仿宋"/>
                <w:b/>
                <w:bCs/>
                <w:color w:val="auto"/>
                <w:kern w:val="0"/>
                <w:sz w:val="21"/>
                <w:szCs w:val="21"/>
                <w:highlight w:val="none"/>
              </w:rPr>
              <w:t>四、智核录播摄像机</w:t>
            </w:r>
          </w:p>
        </w:tc>
      </w:tr>
      <w:tr w14:paraId="4F7ACE18">
        <w:tblPrEx>
          <w:tblCellMar>
            <w:top w:w="0" w:type="dxa"/>
            <w:left w:w="108" w:type="dxa"/>
            <w:bottom w:w="0" w:type="dxa"/>
            <w:right w:w="108" w:type="dxa"/>
          </w:tblCellMar>
        </w:tblPrEx>
        <w:trPr>
          <w:trHeight w:val="23" w:hRule="atLeast"/>
        </w:trPr>
        <w:tc>
          <w:tcPr>
            <w:tcW w:w="0" w:type="auto"/>
            <w:tcBorders>
              <w:top w:val="single" w:color="auto" w:sz="4" w:space="0"/>
              <w:left w:val="single" w:color="auto" w:sz="4" w:space="0"/>
              <w:bottom w:val="single" w:color="auto" w:sz="4" w:space="0"/>
              <w:right w:val="single" w:color="auto" w:sz="4" w:space="0"/>
            </w:tcBorders>
            <w:vAlign w:val="center"/>
          </w:tcPr>
          <w:p w14:paraId="162224B0">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1"/>
                <w:szCs w:val="21"/>
                <w:highlight w:val="none"/>
                <w:lang w:eastAsia="zh-CN"/>
              </w:rPr>
            </w:pPr>
            <w:r>
              <w:rPr>
                <w:rFonts w:hint="eastAsia" w:ascii="仿宋" w:hAnsi="仿宋" w:eastAsia="仿宋" w:cs="仿宋"/>
                <w:color w:val="auto"/>
                <w:kern w:val="0"/>
                <w:sz w:val="21"/>
                <w:szCs w:val="21"/>
                <w:highlight w:val="none"/>
              </w:rPr>
              <w:t>2</w:t>
            </w:r>
            <w:r>
              <w:rPr>
                <w:rFonts w:hint="eastAsia" w:ascii="仿宋" w:hAnsi="仿宋" w:eastAsia="仿宋" w:cs="仿宋"/>
                <w:color w:val="auto"/>
                <w:kern w:val="0"/>
                <w:sz w:val="21"/>
                <w:szCs w:val="21"/>
                <w:highlight w:val="none"/>
                <w:lang w:val="en-US" w:eastAsia="zh-CN"/>
              </w:rPr>
              <w:t>2</w:t>
            </w:r>
          </w:p>
        </w:tc>
        <w:tc>
          <w:tcPr>
            <w:tcW w:w="0" w:type="auto"/>
            <w:tcBorders>
              <w:top w:val="single" w:color="auto" w:sz="4" w:space="0"/>
              <w:left w:val="nil"/>
              <w:bottom w:val="single" w:color="auto" w:sz="4" w:space="0"/>
              <w:right w:val="single" w:color="auto" w:sz="4" w:space="0"/>
            </w:tcBorders>
            <w:vAlign w:val="center"/>
          </w:tcPr>
          <w:p w14:paraId="4ABCDCCA">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1</w:t>
            </w:r>
          </w:p>
        </w:tc>
        <w:tc>
          <w:tcPr>
            <w:tcW w:w="1995" w:type="dxa"/>
            <w:tcBorders>
              <w:top w:val="single" w:color="auto" w:sz="4" w:space="0"/>
              <w:left w:val="nil"/>
              <w:bottom w:val="single" w:color="auto" w:sz="4" w:space="0"/>
              <w:right w:val="single" w:color="auto" w:sz="4" w:space="0"/>
            </w:tcBorders>
            <w:vAlign w:val="center"/>
          </w:tcPr>
          <w:p w14:paraId="3BDB91F6">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1"/>
                <w:szCs w:val="21"/>
                <w:highlight w:val="none"/>
              </w:rPr>
            </w:pPr>
            <w:r>
              <w:rPr>
                <w:rFonts w:hint="eastAsia" w:ascii="仿宋" w:hAnsi="仿宋" w:eastAsia="仿宋" w:cs="仿宋"/>
                <w:color w:val="auto"/>
                <w:sz w:val="21"/>
                <w:szCs w:val="21"/>
                <w:highlight w:val="none"/>
              </w:rPr>
              <w:t>教师跟踪摄像机</w:t>
            </w:r>
          </w:p>
        </w:tc>
        <w:tc>
          <w:tcPr>
            <w:tcW w:w="831" w:type="dxa"/>
            <w:tcBorders>
              <w:top w:val="single" w:color="auto" w:sz="4" w:space="0"/>
              <w:left w:val="nil"/>
              <w:bottom w:val="single" w:color="auto" w:sz="4" w:space="0"/>
              <w:right w:val="single" w:color="auto" w:sz="4" w:space="0"/>
            </w:tcBorders>
            <w:vAlign w:val="center"/>
          </w:tcPr>
          <w:p w14:paraId="364A752B">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1"/>
                <w:szCs w:val="21"/>
                <w:highlight w:val="none"/>
              </w:rPr>
            </w:pPr>
            <w:r>
              <w:rPr>
                <w:rFonts w:hint="eastAsia" w:ascii="仿宋" w:hAnsi="仿宋" w:eastAsia="仿宋" w:cs="仿宋"/>
                <w:color w:val="auto"/>
                <w:sz w:val="21"/>
                <w:szCs w:val="21"/>
                <w:highlight w:val="none"/>
              </w:rPr>
              <w:t>1</w:t>
            </w:r>
          </w:p>
        </w:tc>
        <w:tc>
          <w:tcPr>
            <w:tcW w:w="764" w:type="dxa"/>
            <w:tcBorders>
              <w:top w:val="single" w:color="auto" w:sz="4" w:space="0"/>
              <w:left w:val="nil"/>
              <w:bottom w:val="single" w:color="auto" w:sz="4" w:space="0"/>
              <w:right w:val="single" w:color="auto" w:sz="4" w:space="0"/>
            </w:tcBorders>
            <w:vAlign w:val="center"/>
          </w:tcPr>
          <w:p w14:paraId="1FBCD512">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1"/>
                <w:szCs w:val="21"/>
                <w:highlight w:val="none"/>
              </w:rPr>
            </w:pPr>
            <w:r>
              <w:rPr>
                <w:rFonts w:hint="eastAsia" w:ascii="仿宋" w:hAnsi="仿宋" w:eastAsia="仿宋" w:cs="仿宋"/>
                <w:color w:val="auto"/>
                <w:sz w:val="21"/>
                <w:szCs w:val="21"/>
                <w:highlight w:val="none"/>
              </w:rPr>
              <w:t>台</w:t>
            </w:r>
          </w:p>
        </w:tc>
        <w:tc>
          <w:tcPr>
            <w:tcW w:w="2400" w:type="dxa"/>
            <w:tcBorders>
              <w:top w:val="single" w:color="auto" w:sz="4" w:space="0"/>
              <w:left w:val="nil"/>
              <w:bottom w:val="single" w:color="auto" w:sz="4" w:space="0"/>
              <w:right w:val="single" w:color="auto" w:sz="4" w:space="0"/>
            </w:tcBorders>
            <w:vAlign w:val="center"/>
          </w:tcPr>
          <w:p w14:paraId="304BC57C">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工业</w:t>
            </w:r>
          </w:p>
        </w:tc>
        <w:tc>
          <w:tcPr>
            <w:tcW w:w="1091" w:type="dxa"/>
            <w:tcBorders>
              <w:top w:val="single" w:color="auto" w:sz="4" w:space="0"/>
              <w:left w:val="nil"/>
              <w:bottom w:val="single" w:color="auto" w:sz="4" w:space="0"/>
              <w:right w:val="single" w:color="auto" w:sz="4" w:space="0"/>
            </w:tcBorders>
            <w:vAlign w:val="center"/>
          </w:tcPr>
          <w:p w14:paraId="5DF8E105">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否</w:t>
            </w:r>
          </w:p>
        </w:tc>
        <w:tc>
          <w:tcPr>
            <w:tcW w:w="1213" w:type="dxa"/>
            <w:tcBorders>
              <w:top w:val="single" w:color="auto" w:sz="4" w:space="0"/>
              <w:left w:val="nil"/>
              <w:bottom w:val="single" w:color="auto" w:sz="4" w:space="0"/>
              <w:right w:val="single" w:color="auto" w:sz="4" w:space="0"/>
            </w:tcBorders>
            <w:vAlign w:val="center"/>
          </w:tcPr>
          <w:p w14:paraId="40D11D82">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否</w:t>
            </w:r>
          </w:p>
        </w:tc>
      </w:tr>
      <w:tr w14:paraId="0AB770CA">
        <w:tblPrEx>
          <w:tblCellMar>
            <w:top w:w="0" w:type="dxa"/>
            <w:left w:w="108" w:type="dxa"/>
            <w:bottom w:w="0" w:type="dxa"/>
            <w:right w:w="108" w:type="dxa"/>
          </w:tblCellMar>
        </w:tblPrEx>
        <w:trPr>
          <w:trHeight w:val="23" w:hRule="atLeast"/>
        </w:trPr>
        <w:tc>
          <w:tcPr>
            <w:tcW w:w="0" w:type="auto"/>
            <w:tcBorders>
              <w:top w:val="single" w:color="auto" w:sz="4" w:space="0"/>
              <w:left w:val="single" w:color="auto" w:sz="4" w:space="0"/>
              <w:bottom w:val="single" w:color="auto" w:sz="4" w:space="0"/>
              <w:right w:val="single" w:color="auto" w:sz="4" w:space="0"/>
            </w:tcBorders>
            <w:vAlign w:val="center"/>
          </w:tcPr>
          <w:p w14:paraId="56198388">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1"/>
                <w:szCs w:val="21"/>
                <w:highlight w:val="none"/>
                <w:lang w:eastAsia="zh-CN"/>
              </w:rPr>
            </w:pPr>
            <w:r>
              <w:rPr>
                <w:rFonts w:hint="eastAsia" w:ascii="仿宋" w:hAnsi="仿宋" w:eastAsia="仿宋" w:cs="仿宋"/>
                <w:color w:val="auto"/>
                <w:kern w:val="0"/>
                <w:sz w:val="21"/>
                <w:szCs w:val="21"/>
                <w:highlight w:val="none"/>
              </w:rPr>
              <w:t>2</w:t>
            </w:r>
            <w:r>
              <w:rPr>
                <w:rFonts w:hint="eastAsia" w:ascii="仿宋" w:hAnsi="仿宋" w:eastAsia="仿宋" w:cs="仿宋"/>
                <w:color w:val="auto"/>
                <w:kern w:val="0"/>
                <w:sz w:val="21"/>
                <w:szCs w:val="21"/>
                <w:highlight w:val="none"/>
                <w:lang w:val="en-US" w:eastAsia="zh-CN"/>
              </w:rPr>
              <w:t>3</w:t>
            </w:r>
          </w:p>
        </w:tc>
        <w:tc>
          <w:tcPr>
            <w:tcW w:w="0" w:type="auto"/>
            <w:tcBorders>
              <w:top w:val="single" w:color="auto" w:sz="4" w:space="0"/>
              <w:left w:val="nil"/>
              <w:bottom w:val="single" w:color="auto" w:sz="4" w:space="0"/>
              <w:right w:val="single" w:color="auto" w:sz="4" w:space="0"/>
            </w:tcBorders>
            <w:vAlign w:val="center"/>
          </w:tcPr>
          <w:p w14:paraId="008FAFC1">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1</w:t>
            </w:r>
          </w:p>
        </w:tc>
        <w:tc>
          <w:tcPr>
            <w:tcW w:w="1995" w:type="dxa"/>
            <w:tcBorders>
              <w:top w:val="single" w:color="auto" w:sz="4" w:space="0"/>
              <w:left w:val="nil"/>
              <w:bottom w:val="single" w:color="auto" w:sz="4" w:space="0"/>
              <w:right w:val="single" w:color="auto" w:sz="4" w:space="0"/>
            </w:tcBorders>
            <w:vAlign w:val="center"/>
          </w:tcPr>
          <w:p w14:paraId="7DC7C9E4">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1"/>
                <w:szCs w:val="21"/>
                <w:highlight w:val="none"/>
              </w:rPr>
            </w:pPr>
            <w:r>
              <w:rPr>
                <w:rFonts w:hint="eastAsia" w:ascii="仿宋" w:hAnsi="仿宋" w:eastAsia="仿宋" w:cs="仿宋"/>
                <w:color w:val="auto"/>
                <w:sz w:val="21"/>
                <w:szCs w:val="21"/>
                <w:highlight w:val="none"/>
              </w:rPr>
              <w:t>学生跟踪摄像机</w:t>
            </w:r>
          </w:p>
        </w:tc>
        <w:tc>
          <w:tcPr>
            <w:tcW w:w="831" w:type="dxa"/>
            <w:tcBorders>
              <w:top w:val="single" w:color="auto" w:sz="4" w:space="0"/>
              <w:left w:val="nil"/>
              <w:bottom w:val="single" w:color="auto" w:sz="4" w:space="0"/>
              <w:right w:val="single" w:color="auto" w:sz="4" w:space="0"/>
            </w:tcBorders>
            <w:vAlign w:val="center"/>
          </w:tcPr>
          <w:p w14:paraId="41348E83">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1"/>
                <w:szCs w:val="21"/>
                <w:highlight w:val="none"/>
              </w:rPr>
            </w:pPr>
            <w:r>
              <w:rPr>
                <w:rFonts w:hint="eastAsia" w:ascii="仿宋" w:hAnsi="仿宋" w:eastAsia="仿宋" w:cs="仿宋"/>
                <w:color w:val="auto"/>
                <w:sz w:val="21"/>
                <w:szCs w:val="21"/>
                <w:highlight w:val="none"/>
              </w:rPr>
              <w:t>1</w:t>
            </w:r>
          </w:p>
        </w:tc>
        <w:tc>
          <w:tcPr>
            <w:tcW w:w="764" w:type="dxa"/>
            <w:tcBorders>
              <w:top w:val="single" w:color="auto" w:sz="4" w:space="0"/>
              <w:left w:val="nil"/>
              <w:bottom w:val="single" w:color="auto" w:sz="4" w:space="0"/>
              <w:right w:val="single" w:color="auto" w:sz="4" w:space="0"/>
            </w:tcBorders>
            <w:vAlign w:val="center"/>
          </w:tcPr>
          <w:p w14:paraId="0CA25821">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1"/>
                <w:szCs w:val="21"/>
                <w:highlight w:val="none"/>
              </w:rPr>
            </w:pPr>
            <w:r>
              <w:rPr>
                <w:rFonts w:hint="eastAsia" w:ascii="仿宋" w:hAnsi="仿宋" w:eastAsia="仿宋" w:cs="仿宋"/>
                <w:color w:val="auto"/>
                <w:sz w:val="21"/>
                <w:szCs w:val="21"/>
                <w:highlight w:val="none"/>
              </w:rPr>
              <w:t>台</w:t>
            </w:r>
          </w:p>
        </w:tc>
        <w:tc>
          <w:tcPr>
            <w:tcW w:w="2400" w:type="dxa"/>
            <w:tcBorders>
              <w:top w:val="single" w:color="auto" w:sz="4" w:space="0"/>
              <w:left w:val="nil"/>
              <w:bottom w:val="single" w:color="auto" w:sz="4" w:space="0"/>
              <w:right w:val="single" w:color="auto" w:sz="4" w:space="0"/>
            </w:tcBorders>
            <w:vAlign w:val="center"/>
          </w:tcPr>
          <w:p w14:paraId="73CBBE55">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工业</w:t>
            </w:r>
          </w:p>
        </w:tc>
        <w:tc>
          <w:tcPr>
            <w:tcW w:w="1091" w:type="dxa"/>
            <w:tcBorders>
              <w:top w:val="single" w:color="auto" w:sz="4" w:space="0"/>
              <w:left w:val="nil"/>
              <w:bottom w:val="single" w:color="auto" w:sz="4" w:space="0"/>
              <w:right w:val="single" w:color="auto" w:sz="4" w:space="0"/>
            </w:tcBorders>
            <w:vAlign w:val="center"/>
          </w:tcPr>
          <w:p w14:paraId="10537325">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否</w:t>
            </w:r>
          </w:p>
        </w:tc>
        <w:tc>
          <w:tcPr>
            <w:tcW w:w="1213" w:type="dxa"/>
            <w:tcBorders>
              <w:top w:val="single" w:color="auto" w:sz="4" w:space="0"/>
              <w:left w:val="nil"/>
              <w:bottom w:val="single" w:color="auto" w:sz="4" w:space="0"/>
              <w:right w:val="single" w:color="auto" w:sz="4" w:space="0"/>
            </w:tcBorders>
            <w:vAlign w:val="center"/>
          </w:tcPr>
          <w:p w14:paraId="79A12881">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否</w:t>
            </w:r>
          </w:p>
        </w:tc>
      </w:tr>
      <w:tr w14:paraId="26FF8F71">
        <w:tblPrEx>
          <w:tblCellMar>
            <w:top w:w="0" w:type="dxa"/>
            <w:left w:w="108" w:type="dxa"/>
            <w:bottom w:w="0" w:type="dxa"/>
            <w:right w:w="108" w:type="dxa"/>
          </w:tblCellMar>
        </w:tblPrEx>
        <w:trPr>
          <w:trHeight w:val="23" w:hRule="atLeast"/>
        </w:trPr>
        <w:tc>
          <w:tcPr>
            <w:tcW w:w="0" w:type="auto"/>
            <w:tcBorders>
              <w:top w:val="single" w:color="auto" w:sz="4" w:space="0"/>
              <w:left w:val="single" w:color="auto" w:sz="4" w:space="0"/>
              <w:bottom w:val="single" w:color="auto" w:sz="4" w:space="0"/>
              <w:right w:val="single" w:color="auto" w:sz="4" w:space="0"/>
            </w:tcBorders>
            <w:vAlign w:val="center"/>
          </w:tcPr>
          <w:p w14:paraId="68AEFF05">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1"/>
                <w:szCs w:val="21"/>
                <w:highlight w:val="none"/>
                <w:lang w:eastAsia="zh-CN"/>
              </w:rPr>
            </w:pPr>
            <w:r>
              <w:rPr>
                <w:rFonts w:hint="eastAsia" w:ascii="仿宋" w:hAnsi="仿宋" w:eastAsia="仿宋" w:cs="仿宋"/>
                <w:color w:val="auto"/>
                <w:kern w:val="0"/>
                <w:sz w:val="21"/>
                <w:szCs w:val="21"/>
                <w:highlight w:val="none"/>
              </w:rPr>
              <w:t>2</w:t>
            </w:r>
            <w:r>
              <w:rPr>
                <w:rFonts w:hint="eastAsia" w:ascii="仿宋" w:hAnsi="仿宋" w:eastAsia="仿宋" w:cs="仿宋"/>
                <w:color w:val="auto"/>
                <w:kern w:val="0"/>
                <w:sz w:val="21"/>
                <w:szCs w:val="21"/>
                <w:highlight w:val="none"/>
                <w:lang w:val="en-US" w:eastAsia="zh-CN"/>
              </w:rPr>
              <w:t>4</w:t>
            </w:r>
          </w:p>
        </w:tc>
        <w:tc>
          <w:tcPr>
            <w:tcW w:w="0" w:type="auto"/>
            <w:tcBorders>
              <w:top w:val="single" w:color="auto" w:sz="4" w:space="0"/>
              <w:left w:val="nil"/>
              <w:bottom w:val="single" w:color="auto" w:sz="4" w:space="0"/>
              <w:right w:val="single" w:color="auto" w:sz="4" w:space="0"/>
            </w:tcBorders>
            <w:vAlign w:val="center"/>
          </w:tcPr>
          <w:p w14:paraId="784A40F5">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1</w:t>
            </w:r>
          </w:p>
        </w:tc>
        <w:tc>
          <w:tcPr>
            <w:tcW w:w="1995" w:type="dxa"/>
            <w:tcBorders>
              <w:top w:val="single" w:color="auto" w:sz="4" w:space="0"/>
              <w:left w:val="nil"/>
              <w:bottom w:val="single" w:color="auto" w:sz="4" w:space="0"/>
              <w:right w:val="single" w:color="auto" w:sz="4" w:space="0"/>
            </w:tcBorders>
            <w:vAlign w:val="center"/>
          </w:tcPr>
          <w:p w14:paraId="52D0BBB4">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1"/>
                <w:szCs w:val="21"/>
                <w:highlight w:val="none"/>
              </w:rPr>
            </w:pPr>
            <w:r>
              <w:rPr>
                <w:rFonts w:hint="eastAsia" w:ascii="仿宋" w:hAnsi="仿宋" w:eastAsia="仿宋" w:cs="仿宋"/>
                <w:color w:val="auto"/>
                <w:sz w:val="21"/>
                <w:szCs w:val="21"/>
                <w:highlight w:val="none"/>
              </w:rPr>
              <w:t>高清摄像机</w:t>
            </w:r>
          </w:p>
        </w:tc>
        <w:tc>
          <w:tcPr>
            <w:tcW w:w="831" w:type="dxa"/>
            <w:tcBorders>
              <w:top w:val="single" w:color="auto" w:sz="4" w:space="0"/>
              <w:left w:val="nil"/>
              <w:bottom w:val="single" w:color="auto" w:sz="4" w:space="0"/>
              <w:right w:val="single" w:color="auto" w:sz="4" w:space="0"/>
            </w:tcBorders>
            <w:vAlign w:val="center"/>
          </w:tcPr>
          <w:p w14:paraId="10679EBC">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1"/>
                <w:szCs w:val="21"/>
                <w:highlight w:val="none"/>
              </w:rPr>
            </w:pPr>
            <w:r>
              <w:rPr>
                <w:rFonts w:hint="eastAsia" w:ascii="仿宋" w:hAnsi="仿宋" w:eastAsia="仿宋" w:cs="仿宋"/>
                <w:color w:val="auto"/>
                <w:sz w:val="21"/>
                <w:szCs w:val="21"/>
                <w:highlight w:val="none"/>
              </w:rPr>
              <w:t>2</w:t>
            </w:r>
          </w:p>
        </w:tc>
        <w:tc>
          <w:tcPr>
            <w:tcW w:w="764" w:type="dxa"/>
            <w:tcBorders>
              <w:top w:val="single" w:color="auto" w:sz="4" w:space="0"/>
              <w:left w:val="nil"/>
              <w:bottom w:val="single" w:color="auto" w:sz="4" w:space="0"/>
              <w:right w:val="single" w:color="auto" w:sz="4" w:space="0"/>
            </w:tcBorders>
            <w:vAlign w:val="center"/>
          </w:tcPr>
          <w:p w14:paraId="4659EB44">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1"/>
                <w:szCs w:val="21"/>
                <w:highlight w:val="none"/>
              </w:rPr>
            </w:pPr>
            <w:r>
              <w:rPr>
                <w:rFonts w:hint="eastAsia" w:ascii="仿宋" w:hAnsi="仿宋" w:eastAsia="仿宋" w:cs="仿宋"/>
                <w:color w:val="auto"/>
                <w:sz w:val="21"/>
                <w:szCs w:val="21"/>
                <w:highlight w:val="none"/>
              </w:rPr>
              <w:t>台</w:t>
            </w:r>
          </w:p>
        </w:tc>
        <w:tc>
          <w:tcPr>
            <w:tcW w:w="2400" w:type="dxa"/>
            <w:tcBorders>
              <w:top w:val="single" w:color="auto" w:sz="4" w:space="0"/>
              <w:left w:val="nil"/>
              <w:bottom w:val="single" w:color="auto" w:sz="4" w:space="0"/>
              <w:right w:val="single" w:color="auto" w:sz="4" w:space="0"/>
            </w:tcBorders>
            <w:vAlign w:val="center"/>
          </w:tcPr>
          <w:p w14:paraId="3C8A2C50">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工业</w:t>
            </w:r>
          </w:p>
        </w:tc>
        <w:tc>
          <w:tcPr>
            <w:tcW w:w="1091" w:type="dxa"/>
            <w:tcBorders>
              <w:top w:val="single" w:color="auto" w:sz="4" w:space="0"/>
              <w:left w:val="nil"/>
              <w:bottom w:val="single" w:color="auto" w:sz="4" w:space="0"/>
              <w:right w:val="single" w:color="auto" w:sz="4" w:space="0"/>
            </w:tcBorders>
            <w:vAlign w:val="center"/>
          </w:tcPr>
          <w:p w14:paraId="7E32B1B0">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否</w:t>
            </w:r>
          </w:p>
        </w:tc>
        <w:tc>
          <w:tcPr>
            <w:tcW w:w="1213" w:type="dxa"/>
            <w:tcBorders>
              <w:top w:val="single" w:color="auto" w:sz="4" w:space="0"/>
              <w:left w:val="nil"/>
              <w:bottom w:val="single" w:color="auto" w:sz="4" w:space="0"/>
              <w:right w:val="single" w:color="auto" w:sz="4" w:space="0"/>
            </w:tcBorders>
            <w:vAlign w:val="center"/>
          </w:tcPr>
          <w:p w14:paraId="2FA99AE0">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否</w:t>
            </w:r>
          </w:p>
        </w:tc>
      </w:tr>
      <w:tr w14:paraId="2A480A27">
        <w:tblPrEx>
          <w:tblCellMar>
            <w:top w:w="0" w:type="dxa"/>
            <w:left w:w="108" w:type="dxa"/>
            <w:bottom w:w="0" w:type="dxa"/>
            <w:right w:w="108" w:type="dxa"/>
          </w:tblCellMar>
        </w:tblPrEx>
        <w:trPr>
          <w:trHeight w:val="23" w:hRule="atLeast"/>
        </w:trPr>
        <w:tc>
          <w:tcPr>
            <w:tcW w:w="9643" w:type="dxa"/>
            <w:gridSpan w:val="8"/>
            <w:tcBorders>
              <w:top w:val="single" w:color="auto" w:sz="4" w:space="0"/>
              <w:left w:val="single" w:color="auto" w:sz="4" w:space="0"/>
              <w:bottom w:val="single" w:color="auto" w:sz="4" w:space="0"/>
              <w:right w:val="single" w:color="auto" w:sz="4" w:space="0"/>
            </w:tcBorders>
            <w:vAlign w:val="center"/>
          </w:tcPr>
          <w:p w14:paraId="095070E4">
            <w:pPr>
              <w:keepNext w:val="0"/>
              <w:keepLines w:val="0"/>
              <w:pageBreakBefore w:val="0"/>
              <w:widowControl/>
              <w:kinsoku/>
              <w:wordWrap w:val="0"/>
              <w:overflowPunct/>
              <w:topLinePunct w:val="0"/>
              <w:autoSpaceDE/>
              <w:autoSpaceDN/>
              <w:bidi w:val="0"/>
              <w:adjustRightInd/>
              <w:snapToGrid/>
              <w:spacing w:line="240" w:lineRule="auto"/>
              <w:ind w:firstLine="0" w:firstLineChars="0"/>
              <w:jc w:val="left"/>
              <w:textAlignment w:val="auto"/>
              <w:rPr>
                <w:rFonts w:hint="eastAsia" w:ascii="仿宋" w:hAnsi="仿宋" w:eastAsia="仿宋" w:cs="仿宋"/>
                <w:b/>
                <w:bCs/>
                <w:color w:val="auto"/>
                <w:kern w:val="0"/>
                <w:sz w:val="21"/>
                <w:szCs w:val="21"/>
                <w:highlight w:val="none"/>
              </w:rPr>
            </w:pPr>
            <w:r>
              <w:rPr>
                <w:rFonts w:hint="eastAsia" w:ascii="仿宋" w:hAnsi="仿宋" w:eastAsia="仿宋" w:cs="仿宋"/>
                <w:b/>
                <w:bCs/>
                <w:color w:val="auto"/>
                <w:kern w:val="0"/>
                <w:sz w:val="21"/>
                <w:szCs w:val="21"/>
                <w:highlight w:val="none"/>
              </w:rPr>
              <w:t>五、扩声系统</w:t>
            </w:r>
          </w:p>
        </w:tc>
      </w:tr>
      <w:tr w14:paraId="400F3EDC">
        <w:tblPrEx>
          <w:tblCellMar>
            <w:top w:w="0" w:type="dxa"/>
            <w:left w:w="108" w:type="dxa"/>
            <w:bottom w:w="0" w:type="dxa"/>
            <w:right w:w="108" w:type="dxa"/>
          </w:tblCellMar>
        </w:tblPrEx>
        <w:trPr>
          <w:trHeight w:val="23" w:hRule="atLeast"/>
        </w:trPr>
        <w:tc>
          <w:tcPr>
            <w:tcW w:w="0" w:type="auto"/>
            <w:tcBorders>
              <w:top w:val="single" w:color="auto" w:sz="4" w:space="0"/>
              <w:left w:val="single" w:color="auto" w:sz="4" w:space="0"/>
              <w:bottom w:val="single" w:color="auto" w:sz="4" w:space="0"/>
              <w:right w:val="single" w:color="auto" w:sz="4" w:space="0"/>
            </w:tcBorders>
            <w:vAlign w:val="center"/>
          </w:tcPr>
          <w:p w14:paraId="1055CBEE">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1"/>
                <w:szCs w:val="21"/>
                <w:highlight w:val="none"/>
                <w:lang w:eastAsia="zh-CN"/>
              </w:rPr>
            </w:pPr>
            <w:r>
              <w:rPr>
                <w:rFonts w:hint="eastAsia" w:ascii="仿宋" w:hAnsi="仿宋" w:eastAsia="仿宋" w:cs="仿宋"/>
                <w:color w:val="auto"/>
                <w:kern w:val="0"/>
                <w:sz w:val="21"/>
                <w:szCs w:val="21"/>
                <w:highlight w:val="none"/>
              </w:rPr>
              <w:t>2</w:t>
            </w:r>
            <w:r>
              <w:rPr>
                <w:rFonts w:hint="eastAsia" w:ascii="仿宋" w:hAnsi="仿宋" w:eastAsia="仿宋" w:cs="仿宋"/>
                <w:color w:val="auto"/>
                <w:kern w:val="0"/>
                <w:sz w:val="21"/>
                <w:szCs w:val="21"/>
                <w:highlight w:val="none"/>
                <w:lang w:val="en-US" w:eastAsia="zh-CN"/>
              </w:rPr>
              <w:t>5</w:t>
            </w:r>
          </w:p>
        </w:tc>
        <w:tc>
          <w:tcPr>
            <w:tcW w:w="0" w:type="auto"/>
            <w:tcBorders>
              <w:top w:val="single" w:color="auto" w:sz="4" w:space="0"/>
              <w:left w:val="nil"/>
              <w:bottom w:val="single" w:color="auto" w:sz="4" w:space="0"/>
              <w:right w:val="single" w:color="auto" w:sz="4" w:space="0"/>
            </w:tcBorders>
            <w:vAlign w:val="center"/>
          </w:tcPr>
          <w:p w14:paraId="20C971D6">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1</w:t>
            </w:r>
          </w:p>
        </w:tc>
        <w:tc>
          <w:tcPr>
            <w:tcW w:w="1995" w:type="dxa"/>
            <w:tcBorders>
              <w:top w:val="single" w:color="auto" w:sz="4" w:space="0"/>
              <w:left w:val="nil"/>
              <w:bottom w:val="single" w:color="auto" w:sz="4" w:space="0"/>
              <w:right w:val="single" w:color="auto" w:sz="4" w:space="0"/>
            </w:tcBorders>
            <w:vAlign w:val="center"/>
          </w:tcPr>
          <w:p w14:paraId="6D9607DD">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1"/>
                <w:szCs w:val="21"/>
                <w:highlight w:val="none"/>
              </w:rPr>
            </w:pPr>
            <w:r>
              <w:rPr>
                <w:rFonts w:hint="eastAsia" w:ascii="仿宋" w:hAnsi="仿宋" w:eastAsia="仿宋" w:cs="仿宋"/>
                <w:color w:val="auto"/>
                <w:sz w:val="21"/>
                <w:szCs w:val="21"/>
                <w:highlight w:val="none"/>
              </w:rPr>
              <w:t>吊装麦克风</w:t>
            </w:r>
          </w:p>
        </w:tc>
        <w:tc>
          <w:tcPr>
            <w:tcW w:w="831" w:type="dxa"/>
            <w:tcBorders>
              <w:top w:val="single" w:color="auto" w:sz="4" w:space="0"/>
              <w:left w:val="nil"/>
              <w:bottom w:val="single" w:color="auto" w:sz="4" w:space="0"/>
              <w:right w:val="single" w:color="auto" w:sz="4" w:space="0"/>
            </w:tcBorders>
            <w:vAlign w:val="center"/>
          </w:tcPr>
          <w:p w14:paraId="33B338CE">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1"/>
                <w:szCs w:val="21"/>
                <w:highlight w:val="none"/>
              </w:rPr>
            </w:pPr>
            <w:r>
              <w:rPr>
                <w:rFonts w:hint="eastAsia" w:ascii="仿宋" w:hAnsi="仿宋" w:eastAsia="仿宋" w:cs="仿宋"/>
                <w:color w:val="auto"/>
                <w:sz w:val="21"/>
                <w:szCs w:val="21"/>
                <w:highlight w:val="none"/>
              </w:rPr>
              <w:t>1</w:t>
            </w:r>
          </w:p>
        </w:tc>
        <w:tc>
          <w:tcPr>
            <w:tcW w:w="764" w:type="dxa"/>
            <w:tcBorders>
              <w:top w:val="single" w:color="auto" w:sz="4" w:space="0"/>
              <w:left w:val="nil"/>
              <w:bottom w:val="single" w:color="auto" w:sz="4" w:space="0"/>
              <w:right w:val="single" w:color="auto" w:sz="4" w:space="0"/>
            </w:tcBorders>
            <w:vAlign w:val="center"/>
          </w:tcPr>
          <w:p w14:paraId="71FCE71A">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1"/>
                <w:szCs w:val="21"/>
                <w:highlight w:val="none"/>
              </w:rPr>
            </w:pPr>
            <w:r>
              <w:rPr>
                <w:rFonts w:hint="eastAsia" w:ascii="仿宋" w:hAnsi="仿宋" w:eastAsia="仿宋" w:cs="仿宋"/>
                <w:color w:val="auto"/>
                <w:sz w:val="21"/>
                <w:szCs w:val="21"/>
                <w:highlight w:val="none"/>
              </w:rPr>
              <w:t>支</w:t>
            </w:r>
          </w:p>
        </w:tc>
        <w:tc>
          <w:tcPr>
            <w:tcW w:w="2400" w:type="dxa"/>
            <w:tcBorders>
              <w:top w:val="single" w:color="auto" w:sz="4" w:space="0"/>
              <w:left w:val="nil"/>
              <w:bottom w:val="single" w:color="auto" w:sz="4" w:space="0"/>
              <w:right w:val="single" w:color="auto" w:sz="4" w:space="0"/>
            </w:tcBorders>
            <w:vAlign w:val="center"/>
          </w:tcPr>
          <w:p w14:paraId="1F4D9D14">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工业</w:t>
            </w:r>
          </w:p>
        </w:tc>
        <w:tc>
          <w:tcPr>
            <w:tcW w:w="1091" w:type="dxa"/>
            <w:tcBorders>
              <w:top w:val="single" w:color="auto" w:sz="4" w:space="0"/>
              <w:left w:val="nil"/>
              <w:bottom w:val="single" w:color="auto" w:sz="4" w:space="0"/>
              <w:right w:val="single" w:color="auto" w:sz="4" w:space="0"/>
            </w:tcBorders>
            <w:vAlign w:val="center"/>
          </w:tcPr>
          <w:p w14:paraId="539CC1A6">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lang w:val="en-US" w:eastAsia="zh-CN"/>
              </w:rPr>
              <w:t>否</w:t>
            </w:r>
          </w:p>
        </w:tc>
        <w:tc>
          <w:tcPr>
            <w:tcW w:w="1213" w:type="dxa"/>
            <w:tcBorders>
              <w:top w:val="single" w:color="auto" w:sz="4" w:space="0"/>
              <w:left w:val="nil"/>
              <w:bottom w:val="single" w:color="auto" w:sz="4" w:space="0"/>
              <w:right w:val="single" w:color="auto" w:sz="4" w:space="0"/>
            </w:tcBorders>
            <w:vAlign w:val="center"/>
          </w:tcPr>
          <w:p w14:paraId="03D3DFE1">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lang w:val="en-US" w:eastAsia="zh-CN"/>
              </w:rPr>
              <w:t>否</w:t>
            </w:r>
          </w:p>
        </w:tc>
      </w:tr>
      <w:tr w14:paraId="27B3DB2C">
        <w:tblPrEx>
          <w:tblCellMar>
            <w:top w:w="0" w:type="dxa"/>
            <w:left w:w="108" w:type="dxa"/>
            <w:bottom w:w="0" w:type="dxa"/>
            <w:right w:w="108" w:type="dxa"/>
          </w:tblCellMar>
        </w:tblPrEx>
        <w:trPr>
          <w:trHeight w:val="23" w:hRule="atLeast"/>
        </w:trPr>
        <w:tc>
          <w:tcPr>
            <w:tcW w:w="0" w:type="auto"/>
            <w:tcBorders>
              <w:top w:val="single" w:color="auto" w:sz="4" w:space="0"/>
              <w:left w:val="single" w:color="auto" w:sz="4" w:space="0"/>
              <w:bottom w:val="single" w:color="auto" w:sz="4" w:space="0"/>
              <w:right w:val="single" w:color="auto" w:sz="4" w:space="0"/>
            </w:tcBorders>
            <w:vAlign w:val="center"/>
          </w:tcPr>
          <w:p w14:paraId="16444D4A">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26</w:t>
            </w:r>
          </w:p>
        </w:tc>
        <w:tc>
          <w:tcPr>
            <w:tcW w:w="0" w:type="auto"/>
            <w:tcBorders>
              <w:top w:val="single" w:color="auto" w:sz="4" w:space="0"/>
              <w:left w:val="nil"/>
              <w:bottom w:val="single" w:color="auto" w:sz="4" w:space="0"/>
              <w:right w:val="single" w:color="auto" w:sz="4" w:space="0"/>
            </w:tcBorders>
            <w:vAlign w:val="center"/>
          </w:tcPr>
          <w:p w14:paraId="61710254">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1</w:t>
            </w:r>
          </w:p>
        </w:tc>
        <w:tc>
          <w:tcPr>
            <w:tcW w:w="1995" w:type="dxa"/>
            <w:tcBorders>
              <w:top w:val="single" w:color="auto" w:sz="4" w:space="0"/>
              <w:left w:val="nil"/>
              <w:bottom w:val="single" w:color="auto" w:sz="4" w:space="0"/>
              <w:right w:val="single" w:color="auto" w:sz="4" w:space="0"/>
            </w:tcBorders>
            <w:vAlign w:val="center"/>
          </w:tcPr>
          <w:p w14:paraId="36737B08">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1"/>
                <w:szCs w:val="21"/>
                <w:highlight w:val="none"/>
              </w:rPr>
            </w:pPr>
            <w:r>
              <w:rPr>
                <w:rFonts w:hint="eastAsia" w:ascii="仿宋" w:hAnsi="仿宋" w:eastAsia="仿宋" w:cs="仿宋"/>
                <w:color w:val="auto"/>
                <w:sz w:val="21"/>
                <w:szCs w:val="21"/>
                <w:highlight w:val="none"/>
              </w:rPr>
              <w:t>数字音频处理器</w:t>
            </w:r>
          </w:p>
        </w:tc>
        <w:tc>
          <w:tcPr>
            <w:tcW w:w="831" w:type="dxa"/>
            <w:tcBorders>
              <w:top w:val="single" w:color="auto" w:sz="4" w:space="0"/>
              <w:left w:val="nil"/>
              <w:bottom w:val="single" w:color="auto" w:sz="4" w:space="0"/>
              <w:right w:val="single" w:color="auto" w:sz="4" w:space="0"/>
            </w:tcBorders>
            <w:vAlign w:val="center"/>
          </w:tcPr>
          <w:p w14:paraId="7B483C61">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1"/>
                <w:szCs w:val="21"/>
                <w:highlight w:val="none"/>
              </w:rPr>
            </w:pPr>
            <w:r>
              <w:rPr>
                <w:rFonts w:hint="eastAsia" w:ascii="仿宋" w:hAnsi="仿宋" w:eastAsia="仿宋" w:cs="仿宋"/>
                <w:color w:val="auto"/>
                <w:sz w:val="21"/>
                <w:szCs w:val="21"/>
                <w:highlight w:val="none"/>
              </w:rPr>
              <w:t>1</w:t>
            </w:r>
          </w:p>
        </w:tc>
        <w:tc>
          <w:tcPr>
            <w:tcW w:w="764" w:type="dxa"/>
            <w:tcBorders>
              <w:top w:val="single" w:color="auto" w:sz="4" w:space="0"/>
              <w:left w:val="nil"/>
              <w:bottom w:val="single" w:color="auto" w:sz="4" w:space="0"/>
              <w:right w:val="single" w:color="auto" w:sz="4" w:space="0"/>
            </w:tcBorders>
            <w:vAlign w:val="center"/>
          </w:tcPr>
          <w:p w14:paraId="6DEAF9B3">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1"/>
                <w:szCs w:val="21"/>
                <w:highlight w:val="none"/>
              </w:rPr>
            </w:pPr>
            <w:r>
              <w:rPr>
                <w:rFonts w:hint="eastAsia" w:ascii="仿宋" w:hAnsi="仿宋" w:eastAsia="仿宋" w:cs="仿宋"/>
                <w:color w:val="auto"/>
                <w:sz w:val="21"/>
                <w:szCs w:val="21"/>
                <w:highlight w:val="none"/>
              </w:rPr>
              <w:t>台</w:t>
            </w:r>
          </w:p>
        </w:tc>
        <w:tc>
          <w:tcPr>
            <w:tcW w:w="2400" w:type="dxa"/>
            <w:tcBorders>
              <w:top w:val="single" w:color="auto" w:sz="4" w:space="0"/>
              <w:left w:val="nil"/>
              <w:bottom w:val="single" w:color="auto" w:sz="4" w:space="0"/>
              <w:right w:val="single" w:color="auto" w:sz="4" w:space="0"/>
            </w:tcBorders>
            <w:vAlign w:val="center"/>
          </w:tcPr>
          <w:p w14:paraId="132AF645">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工业</w:t>
            </w:r>
          </w:p>
        </w:tc>
        <w:tc>
          <w:tcPr>
            <w:tcW w:w="1091" w:type="dxa"/>
            <w:tcBorders>
              <w:top w:val="single" w:color="auto" w:sz="4" w:space="0"/>
              <w:left w:val="nil"/>
              <w:bottom w:val="single" w:color="auto" w:sz="4" w:space="0"/>
              <w:right w:val="single" w:color="auto" w:sz="4" w:space="0"/>
            </w:tcBorders>
            <w:vAlign w:val="center"/>
          </w:tcPr>
          <w:p w14:paraId="652F028C">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lang w:val="en-US" w:eastAsia="zh-CN"/>
              </w:rPr>
              <w:t>否</w:t>
            </w:r>
          </w:p>
        </w:tc>
        <w:tc>
          <w:tcPr>
            <w:tcW w:w="1213" w:type="dxa"/>
            <w:tcBorders>
              <w:top w:val="single" w:color="auto" w:sz="4" w:space="0"/>
              <w:left w:val="nil"/>
              <w:bottom w:val="single" w:color="auto" w:sz="4" w:space="0"/>
              <w:right w:val="single" w:color="auto" w:sz="4" w:space="0"/>
            </w:tcBorders>
            <w:vAlign w:val="center"/>
          </w:tcPr>
          <w:p w14:paraId="11E5BA7F">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lang w:val="en-US" w:eastAsia="zh-CN"/>
              </w:rPr>
              <w:t>否</w:t>
            </w:r>
          </w:p>
        </w:tc>
      </w:tr>
      <w:tr w14:paraId="0DB77C74">
        <w:tblPrEx>
          <w:tblCellMar>
            <w:top w:w="0" w:type="dxa"/>
            <w:left w:w="108" w:type="dxa"/>
            <w:bottom w:w="0" w:type="dxa"/>
            <w:right w:w="108" w:type="dxa"/>
          </w:tblCellMar>
        </w:tblPrEx>
        <w:trPr>
          <w:trHeight w:val="23" w:hRule="atLeast"/>
        </w:trPr>
        <w:tc>
          <w:tcPr>
            <w:tcW w:w="0" w:type="auto"/>
            <w:tcBorders>
              <w:top w:val="single" w:color="auto" w:sz="4" w:space="0"/>
              <w:left w:val="single" w:color="auto" w:sz="4" w:space="0"/>
              <w:bottom w:val="single" w:color="auto" w:sz="4" w:space="0"/>
              <w:right w:val="single" w:color="auto" w:sz="4" w:space="0"/>
            </w:tcBorders>
            <w:vAlign w:val="center"/>
          </w:tcPr>
          <w:p w14:paraId="51D35249">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27</w:t>
            </w:r>
          </w:p>
        </w:tc>
        <w:tc>
          <w:tcPr>
            <w:tcW w:w="0" w:type="auto"/>
            <w:tcBorders>
              <w:top w:val="single" w:color="auto" w:sz="4" w:space="0"/>
              <w:left w:val="nil"/>
              <w:bottom w:val="single" w:color="auto" w:sz="4" w:space="0"/>
              <w:right w:val="single" w:color="auto" w:sz="4" w:space="0"/>
            </w:tcBorders>
            <w:vAlign w:val="center"/>
          </w:tcPr>
          <w:p w14:paraId="7F354687">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1</w:t>
            </w:r>
          </w:p>
        </w:tc>
        <w:tc>
          <w:tcPr>
            <w:tcW w:w="1995" w:type="dxa"/>
            <w:tcBorders>
              <w:top w:val="single" w:color="auto" w:sz="4" w:space="0"/>
              <w:left w:val="nil"/>
              <w:bottom w:val="single" w:color="auto" w:sz="4" w:space="0"/>
              <w:right w:val="single" w:color="auto" w:sz="4" w:space="0"/>
            </w:tcBorders>
            <w:vAlign w:val="center"/>
          </w:tcPr>
          <w:p w14:paraId="60A7390C">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1"/>
                <w:szCs w:val="21"/>
                <w:highlight w:val="none"/>
              </w:rPr>
            </w:pPr>
            <w:r>
              <w:rPr>
                <w:rFonts w:hint="eastAsia" w:ascii="仿宋" w:hAnsi="仿宋" w:eastAsia="仿宋" w:cs="仿宋"/>
                <w:color w:val="auto"/>
                <w:sz w:val="21"/>
                <w:szCs w:val="21"/>
                <w:highlight w:val="none"/>
              </w:rPr>
              <w:t>无线话筒套装</w:t>
            </w:r>
          </w:p>
        </w:tc>
        <w:tc>
          <w:tcPr>
            <w:tcW w:w="831" w:type="dxa"/>
            <w:tcBorders>
              <w:top w:val="single" w:color="auto" w:sz="4" w:space="0"/>
              <w:left w:val="nil"/>
              <w:bottom w:val="single" w:color="auto" w:sz="4" w:space="0"/>
              <w:right w:val="single" w:color="auto" w:sz="4" w:space="0"/>
            </w:tcBorders>
            <w:vAlign w:val="center"/>
          </w:tcPr>
          <w:p w14:paraId="16249100">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1"/>
                <w:szCs w:val="21"/>
                <w:highlight w:val="none"/>
              </w:rPr>
            </w:pPr>
            <w:r>
              <w:rPr>
                <w:rFonts w:hint="eastAsia" w:ascii="仿宋" w:hAnsi="仿宋" w:eastAsia="仿宋" w:cs="仿宋"/>
                <w:color w:val="auto"/>
                <w:sz w:val="21"/>
                <w:szCs w:val="21"/>
                <w:highlight w:val="none"/>
              </w:rPr>
              <w:t>1</w:t>
            </w:r>
          </w:p>
        </w:tc>
        <w:tc>
          <w:tcPr>
            <w:tcW w:w="764" w:type="dxa"/>
            <w:tcBorders>
              <w:top w:val="single" w:color="auto" w:sz="4" w:space="0"/>
              <w:left w:val="nil"/>
              <w:bottom w:val="single" w:color="auto" w:sz="4" w:space="0"/>
              <w:right w:val="single" w:color="auto" w:sz="4" w:space="0"/>
            </w:tcBorders>
            <w:vAlign w:val="center"/>
          </w:tcPr>
          <w:p w14:paraId="0F536CD2">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1"/>
                <w:szCs w:val="21"/>
                <w:highlight w:val="none"/>
              </w:rPr>
            </w:pPr>
            <w:r>
              <w:rPr>
                <w:rFonts w:hint="eastAsia" w:ascii="仿宋" w:hAnsi="仿宋" w:eastAsia="仿宋" w:cs="仿宋"/>
                <w:color w:val="auto"/>
                <w:sz w:val="21"/>
                <w:szCs w:val="21"/>
                <w:highlight w:val="none"/>
              </w:rPr>
              <w:t>只</w:t>
            </w:r>
          </w:p>
        </w:tc>
        <w:tc>
          <w:tcPr>
            <w:tcW w:w="2400" w:type="dxa"/>
            <w:tcBorders>
              <w:top w:val="single" w:color="auto" w:sz="4" w:space="0"/>
              <w:left w:val="nil"/>
              <w:bottom w:val="single" w:color="auto" w:sz="4" w:space="0"/>
              <w:right w:val="single" w:color="auto" w:sz="4" w:space="0"/>
            </w:tcBorders>
            <w:vAlign w:val="center"/>
          </w:tcPr>
          <w:p w14:paraId="4BA49553">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工业</w:t>
            </w:r>
          </w:p>
        </w:tc>
        <w:tc>
          <w:tcPr>
            <w:tcW w:w="1091" w:type="dxa"/>
            <w:tcBorders>
              <w:top w:val="single" w:color="auto" w:sz="4" w:space="0"/>
              <w:left w:val="nil"/>
              <w:bottom w:val="single" w:color="auto" w:sz="4" w:space="0"/>
              <w:right w:val="single" w:color="auto" w:sz="4" w:space="0"/>
            </w:tcBorders>
            <w:vAlign w:val="center"/>
          </w:tcPr>
          <w:p w14:paraId="191E3A2C">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lang w:val="en-US" w:eastAsia="zh-CN"/>
              </w:rPr>
              <w:t>否</w:t>
            </w:r>
          </w:p>
        </w:tc>
        <w:tc>
          <w:tcPr>
            <w:tcW w:w="1213" w:type="dxa"/>
            <w:tcBorders>
              <w:top w:val="single" w:color="auto" w:sz="4" w:space="0"/>
              <w:left w:val="nil"/>
              <w:bottom w:val="single" w:color="auto" w:sz="4" w:space="0"/>
              <w:right w:val="single" w:color="auto" w:sz="4" w:space="0"/>
            </w:tcBorders>
            <w:vAlign w:val="center"/>
          </w:tcPr>
          <w:p w14:paraId="51930899">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lang w:val="en-US" w:eastAsia="zh-CN"/>
              </w:rPr>
              <w:t>否</w:t>
            </w:r>
          </w:p>
        </w:tc>
      </w:tr>
      <w:tr w14:paraId="62A842FD">
        <w:tblPrEx>
          <w:tblCellMar>
            <w:top w:w="0" w:type="dxa"/>
            <w:left w:w="108" w:type="dxa"/>
            <w:bottom w:w="0" w:type="dxa"/>
            <w:right w:w="108" w:type="dxa"/>
          </w:tblCellMar>
        </w:tblPrEx>
        <w:trPr>
          <w:trHeight w:val="23" w:hRule="atLeast"/>
        </w:trPr>
        <w:tc>
          <w:tcPr>
            <w:tcW w:w="9643" w:type="dxa"/>
            <w:gridSpan w:val="8"/>
            <w:tcBorders>
              <w:top w:val="single" w:color="auto" w:sz="4" w:space="0"/>
              <w:left w:val="single" w:color="auto" w:sz="4" w:space="0"/>
              <w:bottom w:val="single" w:color="auto" w:sz="4" w:space="0"/>
              <w:right w:val="single" w:color="auto" w:sz="4" w:space="0"/>
            </w:tcBorders>
            <w:vAlign w:val="center"/>
          </w:tcPr>
          <w:p w14:paraId="2052C5A8">
            <w:pPr>
              <w:keepNext w:val="0"/>
              <w:keepLines w:val="0"/>
              <w:pageBreakBefore w:val="0"/>
              <w:widowControl/>
              <w:kinsoku/>
              <w:wordWrap w:val="0"/>
              <w:overflowPunct/>
              <w:topLinePunct w:val="0"/>
              <w:autoSpaceDE/>
              <w:autoSpaceDN/>
              <w:bidi w:val="0"/>
              <w:adjustRightInd/>
              <w:snapToGrid/>
              <w:spacing w:line="240" w:lineRule="auto"/>
              <w:ind w:firstLine="0" w:firstLineChars="0"/>
              <w:jc w:val="left"/>
              <w:textAlignment w:val="auto"/>
              <w:rPr>
                <w:rFonts w:hint="eastAsia" w:ascii="仿宋" w:hAnsi="仿宋" w:eastAsia="仿宋" w:cs="仿宋"/>
                <w:b/>
                <w:bCs/>
                <w:color w:val="auto"/>
                <w:kern w:val="0"/>
                <w:sz w:val="21"/>
                <w:szCs w:val="21"/>
                <w:highlight w:val="none"/>
              </w:rPr>
            </w:pPr>
            <w:r>
              <w:rPr>
                <w:rFonts w:hint="eastAsia" w:ascii="仿宋" w:hAnsi="仿宋" w:eastAsia="仿宋" w:cs="仿宋"/>
                <w:b/>
                <w:bCs/>
                <w:color w:val="auto"/>
                <w:kern w:val="0"/>
                <w:sz w:val="21"/>
                <w:szCs w:val="21"/>
                <w:highlight w:val="none"/>
              </w:rPr>
              <w:t>六、环境改造</w:t>
            </w:r>
          </w:p>
        </w:tc>
      </w:tr>
      <w:tr w14:paraId="10697237">
        <w:tblPrEx>
          <w:tblCellMar>
            <w:top w:w="0" w:type="dxa"/>
            <w:left w:w="108" w:type="dxa"/>
            <w:bottom w:w="0" w:type="dxa"/>
            <w:right w:w="108" w:type="dxa"/>
          </w:tblCellMar>
        </w:tblPrEx>
        <w:trPr>
          <w:trHeight w:val="23" w:hRule="atLeast"/>
        </w:trPr>
        <w:tc>
          <w:tcPr>
            <w:tcW w:w="0" w:type="auto"/>
            <w:tcBorders>
              <w:top w:val="single" w:color="auto" w:sz="4" w:space="0"/>
              <w:left w:val="single" w:color="auto" w:sz="4" w:space="0"/>
              <w:bottom w:val="single" w:color="auto" w:sz="4" w:space="0"/>
              <w:right w:val="single" w:color="auto" w:sz="4" w:space="0"/>
            </w:tcBorders>
            <w:vAlign w:val="center"/>
          </w:tcPr>
          <w:p w14:paraId="006BE9A8">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28</w:t>
            </w:r>
          </w:p>
        </w:tc>
        <w:tc>
          <w:tcPr>
            <w:tcW w:w="0" w:type="auto"/>
            <w:tcBorders>
              <w:top w:val="single" w:color="auto" w:sz="4" w:space="0"/>
              <w:left w:val="nil"/>
              <w:bottom w:val="single" w:color="auto" w:sz="4" w:space="0"/>
              <w:right w:val="single" w:color="auto" w:sz="4" w:space="0"/>
            </w:tcBorders>
            <w:vAlign w:val="center"/>
          </w:tcPr>
          <w:p w14:paraId="70814C57">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w:t>
            </w:r>
          </w:p>
        </w:tc>
        <w:tc>
          <w:tcPr>
            <w:tcW w:w="1995" w:type="dxa"/>
            <w:tcBorders>
              <w:top w:val="single" w:color="auto" w:sz="4" w:space="0"/>
              <w:left w:val="nil"/>
              <w:bottom w:val="single" w:color="auto" w:sz="4" w:space="0"/>
              <w:right w:val="single" w:color="auto" w:sz="4" w:space="0"/>
            </w:tcBorders>
            <w:vAlign w:val="center"/>
          </w:tcPr>
          <w:p w14:paraId="4C6934AD">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环境改造</w:t>
            </w:r>
          </w:p>
        </w:tc>
        <w:tc>
          <w:tcPr>
            <w:tcW w:w="831" w:type="dxa"/>
            <w:tcBorders>
              <w:top w:val="single" w:color="auto" w:sz="4" w:space="0"/>
              <w:left w:val="nil"/>
              <w:bottom w:val="single" w:color="auto" w:sz="4" w:space="0"/>
              <w:right w:val="single" w:color="auto" w:sz="4" w:space="0"/>
            </w:tcBorders>
            <w:vAlign w:val="center"/>
          </w:tcPr>
          <w:p w14:paraId="29544F62">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w:t>
            </w:r>
          </w:p>
        </w:tc>
        <w:tc>
          <w:tcPr>
            <w:tcW w:w="764" w:type="dxa"/>
            <w:tcBorders>
              <w:top w:val="single" w:color="auto" w:sz="4" w:space="0"/>
              <w:left w:val="nil"/>
              <w:bottom w:val="single" w:color="auto" w:sz="4" w:space="0"/>
              <w:right w:val="single" w:color="auto" w:sz="4" w:space="0"/>
            </w:tcBorders>
            <w:vAlign w:val="center"/>
          </w:tcPr>
          <w:p w14:paraId="0992E89C">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间</w:t>
            </w:r>
          </w:p>
        </w:tc>
        <w:tc>
          <w:tcPr>
            <w:tcW w:w="2400" w:type="dxa"/>
            <w:tcBorders>
              <w:top w:val="single" w:color="auto" w:sz="4" w:space="0"/>
              <w:left w:val="nil"/>
              <w:bottom w:val="single" w:color="auto" w:sz="4" w:space="0"/>
              <w:right w:val="single" w:color="auto" w:sz="4" w:space="0"/>
            </w:tcBorders>
            <w:vAlign w:val="center"/>
          </w:tcPr>
          <w:p w14:paraId="440319FD">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工业</w:t>
            </w:r>
          </w:p>
        </w:tc>
        <w:tc>
          <w:tcPr>
            <w:tcW w:w="1091" w:type="dxa"/>
            <w:tcBorders>
              <w:top w:val="single" w:color="auto" w:sz="4" w:space="0"/>
              <w:left w:val="nil"/>
              <w:bottom w:val="single" w:color="auto" w:sz="4" w:space="0"/>
              <w:right w:val="single" w:color="auto" w:sz="4" w:space="0"/>
            </w:tcBorders>
            <w:vAlign w:val="center"/>
          </w:tcPr>
          <w:p w14:paraId="48E1DDCE">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否</w:t>
            </w:r>
          </w:p>
        </w:tc>
        <w:tc>
          <w:tcPr>
            <w:tcW w:w="1213" w:type="dxa"/>
            <w:tcBorders>
              <w:top w:val="single" w:color="auto" w:sz="4" w:space="0"/>
              <w:left w:val="nil"/>
              <w:bottom w:val="single" w:color="auto" w:sz="4" w:space="0"/>
              <w:right w:val="single" w:color="auto" w:sz="4" w:space="0"/>
            </w:tcBorders>
            <w:vAlign w:val="center"/>
          </w:tcPr>
          <w:p w14:paraId="27198ABE">
            <w:pPr>
              <w:keepNext w:val="0"/>
              <w:keepLines w:val="0"/>
              <w:pageBreakBefore w:val="0"/>
              <w:widowControl/>
              <w:kinsoku/>
              <w:wordWrap w:val="0"/>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否</w:t>
            </w:r>
          </w:p>
        </w:tc>
      </w:tr>
      <w:bookmarkEnd w:id="268"/>
      <w:bookmarkEnd w:id="269"/>
      <w:bookmarkEnd w:id="270"/>
    </w:tbl>
    <w:p w14:paraId="6B69316D">
      <w:pPr>
        <w:pStyle w:val="3"/>
        <w:bidi w:val="0"/>
        <w:rPr>
          <w:rFonts w:hint="eastAsia" w:ascii="仿宋" w:hAnsi="仿宋" w:eastAsia="仿宋" w:cs="仿宋"/>
          <w:color w:val="auto"/>
          <w:highlight w:val="none"/>
        </w:rPr>
      </w:pPr>
      <w:bookmarkStart w:id="273" w:name="_Toc1697"/>
      <w:bookmarkStart w:id="274" w:name="_Toc13089"/>
      <w:bookmarkStart w:id="275" w:name="_Toc3386"/>
      <w:r>
        <w:rPr>
          <w:rFonts w:hint="eastAsia" w:ascii="仿宋" w:hAnsi="仿宋" w:eastAsia="仿宋" w:cs="仿宋"/>
          <w:color w:val="auto"/>
          <w:highlight w:val="none"/>
        </w:rPr>
        <w:t>五、采购标的需满足的服务标准、期限、效率等要求；</w:t>
      </w:r>
      <w:bookmarkEnd w:id="273"/>
      <w:bookmarkEnd w:id="274"/>
      <w:bookmarkEnd w:id="275"/>
    </w:p>
    <w:p w14:paraId="51611D6F">
      <w:pPr>
        <w:ind w:firstLine="560" w:firstLineChars="200"/>
        <w:rPr>
          <w:rFonts w:hint="eastAsia" w:ascii="仿宋" w:hAnsi="仿宋" w:eastAsia="仿宋" w:cs="仿宋"/>
          <w:color w:val="auto"/>
          <w:kern w:val="2"/>
          <w:sz w:val="28"/>
          <w:szCs w:val="28"/>
          <w:highlight w:val="none"/>
          <w:lang w:val="en-US" w:eastAsia="zh-CN"/>
        </w:rPr>
      </w:pPr>
      <w:bookmarkStart w:id="276" w:name="_Toc1227"/>
      <w:bookmarkStart w:id="277" w:name="_Toc2773"/>
      <w:r>
        <w:rPr>
          <w:rFonts w:hint="eastAsia" w:ascii="仿宋" w:hAnsi="仿宋" w:eastAsia="仿宋" w:cs="仿宋"/>
          <w:color w:val="auto"/>
          <w:kern w:val="2"/>
          <w:sz w:val="28"/>
          <w:szCs w:val="28"/>
          <w:highlight w:val="none"/>
          <w:lang w:val="en-US" w:eastAsia="zh-CN"/>
        </w:rPr>
        <w:t>1.质量要求：满足国家相关标准、行业标准、地方标准或者其他标准、规范。参照：GB/T 36447-2018《多媒体教学环境设计要求》DB3402/T58—2023《高等学校智慧教室建设规范》。</w:t>
      </w:r>
    </w:p>
    <w:p w14:paraId="5D2CDA9F">
      <w:pPr>
        <w:ind w:firstLine="560" w:firstLineChars="200"/>
        <w:rPr>
          <w:rFonts w:hint="eastAsia" w:ascii="仿宋" w:hAnsi="仿宋" w:eastAsia="仿宋" w:cs="仿宋"/>
          <w:color w:val="auto"/>
          <w:kern w:val="2"/>
          <w:sz w:val="28"/>
          <w:szCs w:val="28"/>
          <w:highlight w:val="none"/>
          <w:lang w:val="en-US" w:eastAsia="zh-CN"/>
        </w:rPr>
      </w:pPr>
      <w:r>
        <w:rPr>
          <w:rFonts w:hint="eastAsia" w:ascii="仿宋" w:hAnsi="仿宋" w:eastAsia="仿宋" w:cs="仿宋"/>
          <w:color w:val="auto"/>
          <w:kern w:val="2"/>
          <w:sz w:val="28"/>
          <w:szCs w:val="28"/>
          <w:highlight w:val="none"/>
          <w:lang w:val="en-US" w:eastAsia="zh-CN"/>
        </w:rPr>
        <w:t>2.合同履行期限：</w:t>
      </w:r>
      <w:r>
        <w:rPr>
          <w:rFonts w:hint="eastAsia" w:ascii="仿宋" w:hAnsi="仿宋" w:eastAsia="仿宋" w:cs="仿宋"/>
          <w:b w:val="0"/>
          <w:bCs w:val="0"/>
          <w:color w:val="auto"/>
          <w:highlight w:val="none"/>
        </w:rPr>
        <w:t>合同生签订生效后30个日历天内完成交货安装、调试及验收</w:t>
      </w:r>
      <w:r>
        <w:rPr>
          <w:rFonts w:hint="eastAsia" w:cs="仿宋"/>
          <w:b w:val="0"/>
          <w:bCs w:val="0"/>
          <w:color w:val="auto"/>
          <w:highlight w:val="none"/>
          <w:lang w:eastAsia="zh-CN"/>
        </w:rPr>
        <w:t>。</w:t>
      </w:r>
    </w:p>
    <w:p w14:paraId="0CCD45A6">
      <w:pPr>
        <w:ind w:firstLine="560" w:firstLineChars="200"/>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3.交货地点：云南轻纺职业学院（昆明安宁市宁泊路54号）。</w:t>
      </w:r>
    </w:p>
    <w:p w14:paraId="2E9F5BE8">
      <w:pPr>
        <w:pStyle w:val="3"/>
        <w:bidi w:val="0"/>
        <w:rPr>
          <w:rFonts w:hint="eastAsia" w:ascii="仿宋" w:hAnsi="仿宋" w:eastAsia="仿宋" w:cs="仿宋"/>
          <w:color w:val="auto"/>
          <w:highlight w:val="none"/>
        </w:rPr>
      </w:pPr>
      <w:bookmarkStart w:id="278" w:name="_Toc23974"/>
      <w:r>
        <w:rPr>
          <w:rFonts w:hint="eastAsia" w:ascii="仿宋" w:hAnsi="仿宋" w:eastAsia="仿宋" w:cs="仿宋"/>
          <w:color w:val="auto"/>
          <w:highlight w:val="none"/>
        </w:rPr>
        <w:t>六、采购标的的验收标准；</w:t>
      </w:r>
      <w:bookmarkEnd w:id="276"/>
      <w:bookmarkEnd w:id="277"/>
      <w:bookmarkEnd w:id="278"/>
    </w:p>
    <w:p w14:paraId="1FABA0A1">
      <w:pPr>
        <w:ind w:firstLine="560" w:firstLineChars="200"/>
        <w:rPr>
          <w:rFonts w:hint="eastAsia" w:ascii="仿宋" w:hAnsi="仿宋" w:eastAsia="仿宋" w:cs="仿宋"/>
          <w:color w:val="auto"/>
          <w:kern w:val="2"/>
          <w:sz w:val="28"/>
          <w:szCs w:val="28"/>
          <w:highlight w:val="none"/>
          <w:lang w:val="en-US" w:eastAsia="zh-CN"/>
        </w:rPr>
      </w:pPr>
      <w:r>
        <w:rPr>
          <w:rFonts w:hint="eastAsia" w:ascii="仿宋" w:hAnsi="仿宋" w:eastAsia="仿宋" w:cs="仿宋"/>
          <w:color w:val="auto"/>
          <w:kern w:val="2"/>
          <w:sz w:val="28"/>
          <w:szCs w:val="28"/>
          <w:highlight w:val="none"/>
          <w:lang w:val="en-US" w:eastAsia="zh-CN"/>
        </w:rPr>
        <w:t>（1）中标人交付的货物应当完全符合本合同以及采购文件所规定的货物、数量和规格要求。中标人提供的货物不符合采购文件和合同规定的，采购人有权拒收货物，由此引起的风险及责任，由中标人承担。</w:t>
      </w:r>
    </w:p>
    <w:p w14:paraId="79130E99">
      <w:pPr>
        <w:ind w:firstLine="560" w:firstLineChars="200"/>
        <w:rPr>
          <w:rFonts w:hint="eastAsia" w:ascii="仿宋" w:hAnsi="仿宋" w:eastAsia="仿宋" w:cs="仿宋"/>
          <w:color w:val="auto"/>
          <w:kern w:val="2"/>
          <w:sz w:val="28"/>
          <w:szCs w:val="28"/>
          <w:highlight w:val="none"/>
          <w:lang w:val="en-US" w:eastAsia="zh-CN"/>
        </w:rPr>
      </w:pPr>
      <w:r>
        <w:rPr>
          <w:rFonts w:hint="eastAsia" w:ascii="仿宋" w:hAnsi="仿宋" w:eastAsia="仿宋" w:cs="仿宋"/>
          <w:color w:val="auto"/>
          <w:kern w:val="2"/>
          <w:sz w:val="28"/>
          <w:szCs w:val="28"/>
          <w:highlight w:val="none"/>
          <w:lang w:val="en-US" w:eastAsia="zh-CN"/>
        </w:rPr>
        <w:t>（2）货物的到货验收包括：型号、规格、数量。</w:t>
      </w:r>
    </w:p>
    <w:p w14:paraId="391DE598">
      <w:pPr>
        <w:ind w:firstLine="560" w:firstLineChars="200"/>
        <w:rPr>
          <w:rFonts w:hint="eastAsia" w:ascii="仿宋" w:hAnsi="仿宋" w:eastAsia="仿宋" w:cs="仿宋"/>
          <w:color w:val="auto"/>
          <w:kern w:val="2"/>
          <w:sz w:val="28"/>
          <w:szCs w:val="28"/>
          <w:highlight w:val="none"/>
          <w:lang w:val="en-US" w:eastAsia="zh-CN"/>
        </w:rPr>
      </w:pPr>
      <w:r>
        <w:rPr>
          <w:rFonts w:hint="eastAsia" w:ascii="仿宋" w:hAnsi="仿宋" w:eastAsia="仿宋" w:cs="仿宋"/>
          <w:color w:val="auto"/>
          <w:kern w:val="2"/>
          <w:sz w:val="28"/>
          <w:szCs w:val="28"/>
          <w:highlight w:val="none"/>
          <w:lang w:val="en-US" w:eastAsia="zh-CN"/>
        </w:rPr>
        <w:t>（3）中标人应将所提供货物的用户手册、随机资料及相关承诺等交付给采购人。中标人不能完整交付货物及本款规定的单证和配件材料及辅助工具的，视为未按本合同约定交货，中标人负责补齐，因此导致逾期交付的，由中标人承担相应的责任。</w:t>
      </w:r>
    </w:p>
    <w:p w14:paraId="59F10612">
      <w:pPr>
        <w:ind w:firstLine="560" w:firstLineChars="200"/>
        <w:rPr>
          <w:rFonts w:hint="eastAsia" w:ascii="仿宋" w:hAnsi="仿宋" w:eastAsia="仿宋" w:cs="仿宋"/>
          <w:color w:val="auto"/>
          <w:kern w:val="2"/>
          <w:sz w:val="28"/>
          <w:szCs w:val="28"/>
          <w:highlight w:val="none"/>
          <w:lang w:val="en-US" w:eastAsia="zh-CN"/>
        </w:rPr>
      </w:pPr>
      <w:r>
        <w:rPr>
          <w:rFonts w:hint="eastAsia" w:ascii="仿宋" w:hAnsi="仿宋" w:eastAsia="仿宋" w:cs="仿宋"/>
          <w:color w:val="auto"/>
          <w:kern w:val="2"/>
          <w:sz w:val="28"/>
          <w:szCs w:val="28"/>
          <w:highlight w:val="none"/>
          <w:lang w:val="en-US" w:eastAsia="zh-CN"/>
        </w:rPr>
        <w:t>（4）中标人对货物安装调试、试运行。试运行结束后由采购人组织验收。采购文件对验收期限另有规定的，从其规定。</w:t>
      </w:r>
    </w:p>
    <w:p w14:paraId="3FC12B25">
      <w:pPr>
        <w:ind w:firstLine="560" w:firstLineChars="200"/>
        <w:rPr>
          <w:rFonts w:hint="eastAsia" w:ascii="仿宋" w:hAnsi="仿宋" w:eastAsia="仿宋" w:cs="仿宋"/>
          <w:color w:val="auto"/>
          <w:kern w:val="2"/>
          <w:sz w:val="28"/>
          <w:szCs w:val="28"/>
          <w:highlight w:val="none"/>
          <w:lang w:val="en-US" w:eastAsia="zh-CN"/>
        </w:rPr>
      </w:pPr>
      <w:r>
        <w:rPr>
          <w:rFonts w:hint="eastAsia" w:ascii="仿宋" w:hAnsi="仿宋" w:eastAsia="仿宋" w:cs="仿宋"/>
          <w:color w:val="auto"/>
          <w:kern w:val="2"/>
          <w:sz w:val="28"/>
          <w:szCs w:val="28"/>
          <w:highlight w:val="none"/>
          <w:lang w:val="en-US" w:eastAsia="zh-CN"/>
        </w:rPr>
        <w:t>（5）货物验收的标准：按行业通行标准、厂方出厂标准、招标文件要求和中标人文件的承诺，且不低于国家相关标准。若有样品，则须同时不低于样品标准及投标时的承诺。</w:t>
      </w:r>
    </w:p>
    <w:p w14:paraId="16FE5E71">
      <w:pPr>
        <w:ind w:firstLine="560" w:firstLineChars="200"/>
        <w:rPr>
          <w:rFonts w:hint="eastAsia" w:ascii="仿宋" w:hAnsi="仿宋" w:eastAsia="仿宋" w:cs="仿宋"/>
          <w:color w:val="auto"/>
          <w:kern w:val="2"/>
          <w:sz w:val="28"/>
          <w:szCs w:val="28"/>
          <w:highlight w:val="none"/>
          <w:lang w:val="en-US" w:eastAsia="zh-CN"/>
        </w:rPr>
      </w:pPr>
      <w:r>
        <w:rPr>
          <w:rFonts w:hint="eastAsia" w:ascii="仿宋" w:hAnsi="仿宋" w:eastAsia="仿宋" w:cs="仿宋"/>
          <w:color w:val="auto"/>
          <w:kern w:val="2"/>
          <w:sz w:val="28"/>
          <w:szCs w:val="28"/>
          <w:highlight w:val="none"/>
          <w:lang w:val="en-US" w:eastAsia="zh-CN"/>
        </w:rPr>
        <w:t>（6）验收时须提供质保期满后备品、备件、服务价格清单。</w:t>
      </w:r>
    </w:p>
    <w:p w14:paraId="1ACB3DC6">
      <w:pPr>
        <w:pStyle w:val="3"/>
        <w:bidi w:val="0"/>
        <w:rPr>
          <w:rFonts w:hint="eastAsia" w:ascii="仿宋" w:hAnsi="仿宋" w:eastAsia="仿宋" w:cs="仿宋"/>
          <w:color w:val="auto"/>
          <w:highlight w:val="none"/>
        </w:rPr>
      </w:pPr>
      <w:bookmarkStart w:id="279" w:name="_Toc10679"/>
      <w:bookmarkStart w:id="280" w:name="_Toc3662"/>
      <w:bookmarkStart w:id="281" w:name="_Toc23788"/>
      <w:r>
        <w:rPr>
          <w:rFonts w:hint="eastAsia" w:ascii="仿宋" w:hAnsi="仿宋" w:eastAsia="仿宋" w:cs="仿宋"/>
          <w:color w:val="auto"/>
          <w:highlight w:val="none"/>
        </w:rPr>
        <w:t>七、采购标的的其他技术、服务等要求。</w:t>
      </w:r>
      <w:bookmarkEnd w:id="279"/>
      <w:bookmarkEnd w:id="280"/>
      <w:bookmarkEnd w:id="281"/>
    </w:p>
    <w:p w14:paraId="749687EF">
      <w:pPr>
        <w:pStyle w:val="5"/>
        <w:bidi w:val="0"/>
        <w:rPr>
          <w:rFonts w:hint="default" w:ascii="仿宋" w:hAnsi="仿宋" w:eastAsia="仿宋" w:cs="仿宋"/>
          <w:color w:val="auto"/>
          <w:highlight w:val="none"/>
          <w:lang w:val="en-US" w:eastAsia="zh-CN"/>
        </w:rPr>
      </w:pPr>
      <w:bookmarkStart w:id="282" w:name="_Toc19805"/>
      <w:r>
        <w:rPr>
          <w:rFonts w:hint="eastAsia" w:ascii="仿宋" w:hAnsi="仿宋" w:eastAsia="仿宋" w:cs="仿宋"/>
          <w:color w:val="auto"/>
          <w:highlight w:val="none"/>
          <w:lang w:val="en-US" w:eastAsia="zh-CN"/>
        </w:rPr>
        <w:t>（一）质量及售后服务要求</w:t>
      </w:r>
    </w:p>
    <w:p w14:paraId="4EDFBE7B">
      <w:pPr>
        <w:bidi w:val="0"/>
        <w:rPr>
          <w:rFonts w:hint="eastAsia"/>
          <w:color w:val="auto"/>
          <w:highlight w:val="none"/>
          <w:lang w:val="en-US" w:eastAsia="zh-CN"/>
        </w:rPr>
      </w:pPr>
      <w:r>
        <w:rPr>
          <w:rFonts w:hint="eastAsia"/>
          <w:color w:val="auto"/>
          <w:highlight w:val="none"/>
          <w:lang w:val="en-US" w:eastAsia="zh-CN"/>
        </w:rPr>
        <w:tab/>
      </w:r>
      <w:r>
        <w:rPr>
          <w:rFonts w:hint="eastAsia"/>
          <w:color w:val="auto"/>
          <w:highlight w:val="none"/>
          <w:lang w:val="en-US" w:eastAsia="zh-CN"/>
        </w:rPr>
        <w:t>硬件质保3年，质保期内，须在接到电话通知1小时内响应，24小时内现场支持服务，有特殊规定的须根据技术参数部分的要求执行；在质保期内，乙方应无偿的承担故障维修、维护保养的义务，确系质量原因无法正常工作时，乙方应无偿更换全新合格的产品。质保期内和质保期满后，乙方应保证接到通知后及时进行现场处理，并应在售后服务承诺书中注明售后服务响应时间以及保证措施和相关费用；若系统发生重大故障，收到甲方通知后，乙方必须在2小时内派维修人员上门修理。对于故障维修无论是在质保期内，还是在质保期外都应及时给予答复和解决。质保期满后，若发生重大故障，收到采购人通知后，中标人必需在2小时内派维修人员上门修理并优惠收费。</w:t>
      </w:r>
    </w:p>
    <w:p w14:paraId="56211016">
      <w:pPr>
        <w:bidi w:val="0"/>
        <w:rPr>
          <w:rFonts w:hint="eastAsia"/>
          <w:color w:val="auto"/>
          <w:highlight w:val="none"/>
          <w:lang w:val="en-US" w:eastAsia="zh-CN"/>
        </w:rPr>
      </w:pPr>
      <w:r>
        <w:rPr>
          <w:rFonts w:hint="eastAsia"/>
          <w:color w:val="auto"/>
          <w:highlight w:val="none"/>
          <w:lang w:val="en-US" w:eastAsia="zh-CN"/>
        </w:rPr>
        <w:t>使用培训不少于1次，（包含培训计划及安排、培训形式、培训内容等）。</w:t>
      </w:r>
    </w:p>
    <w:p w14:paraId="65B4E6D5">
      <w:pPr>
        <w:pStyle w:val="5"/>
        <w:bidi w:val="0"/>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w:t>
      </w:r>
      <w:r>
        <w:rPr>
          <w:rFonts w:hint="eastAsia" w:cs="仿宋"/>
          <w:color w:val="auto"/>
          <w:highlight w:val="none"/>
          <w:lang w:val="en-US" w:eastAsia="zh-CN"/>
        </w:rPr>
        <w:t>二</w:t>
      </w:r>
      <w:r>
        <w:rPr>
          <w:rFonts w:hint="eastAsia" w:ascii="仿宋" w:hAnsi="仿宋" w:eastAsia="仿宋" w:cs="仿宋"/>
          <w:color w:val="auto"/>
          <w:highlight w:val="none"/>
          <w:lang w:val="en-US" w:eastAsia="zh-CN"/>
        </w:rPr>
        <w:t>）报价要求</w:t>
      </w:r>
      <w:bookmarkEnd w:id="282"/>
    </w:p>
    <w:p w14:paraId="7B0E425F">
      <w:pPr>
        <w:ind w:firstLine="560" w:firstLineChars="200"/>
        <w:rPr>
          <w:rFonts w:hint="eastAsia" w:ascii="仿宋" w:hAnsi="仿宋" w:eastAsia="仿宋" w:cs="仿宋"/>
          <w:color w:val="auto"/>
          <w:kern w:val="2"/>
          <w:sz w:val="28"/>
          <w:szCs w:val="28"/>
          <w:highlight w:val="none"/>
          <w:lang w:val="en-US" w:eastAsia="zh-CN"/>
        </w:rPr>
      </w:pPr>
      <w:r>
        <w:rPr>
          <w:rFonts w:hint="eastAsia" w:ascii="仿宋" w:hAnsi="仿宋" w:eastAsia="仿宋" w:cs="仿宋"/>
          <w:color w:val="auto"/>
          <w:kern w:val="2"/>
          <w:sz w:val="28"/>
          <w:szCs w:val="28"/>
          <w:highlight w:val="none"/>
          <w:lang w:val="en-US" w:eastAsia="zh-CN"/>
        </w:rPr>
        <w:t>1、投标人须对本项目中要求的所有内容进行整体报价，否则作无效投标处理。</w:t>
      </w:r>
    </w:p>
    <w:p w14:paraId="29F758A3">
      <w:pPr>
        <w:ind w:firstLine="560" w:firstLineChars="200"/>
        <w:rPr>
          <w:rFonts w:hint="eastAsia" w:ascii="仿宋" w:hAnsi="仿宋" w:eastAsia="仿宋" w:cs="仿宋"/>
          <w:color w:val="auto"/>
          <w:kern w:val="2"/>
          <w:sz w:val="28"/>
          <w:szCs w:val="28"/>
          <w:highlight w:val="none"/>
          <w:lang w:val="en-US" w:eastAsia="zh-CN"/>
        </w:rPr>
      </w:pPr>
      <w:r>
        <w:rPr>
          <w:rFonts w:hint="eastAsia" w:ascii="仿宋" w:hAnsi="仿宋" w:eastAsia="仿宋" w:cs="仿宋"/>
          <w:color w:val="auto"/>
          <w:kern w:val="2"/>
          <w:sz w:val="28"/>
          <w:szCs w:val="28"/>
          <w:highlight w:val="none"/>
          <w:lang w:val="en-US" w:eastAsia="zh-CN"/>
        </w:rPr>
        <w:t>2、投标人应以人民币报价，报价总价为完成本项目工作所需的所有含税价格，包括但不限于：</w:t>
      </w:r>
      <w:r>
        <w:rPr>
          <w:rFonts w:hint="eastAsia" w:ascii="仿宋" w:hAnsi="仿宋" w:eastAsia="仿宋" w:cs="仿宋"/>
          <w:b/>
          <w:bCs/>
          <w:color w:val="auto"/>
          <w:kern w:val="2"/>
          <w:sz w:val="28"/>
          <w:szCs w:val="28"/>
          <w:highlight w:val="none"/>
          <w:lang w:val="en-US" w:eastAsia="zh-CN"/>
        </w:rPr>
        <w:t>货物（产品）费、运输费、安装调试费、培训费、售后服务费、项目验收时由采购人委托第三方进行检测的费用（如涉及）、管理费、税费</w:t>
      </w:r>
      <w:r>
        <w:rPr>
          <w:rFonts w:hint="eastAsia" w:ascii="仿宋" w:hAnsi="仿宋" w:eastAsia="仿宋" w:cs="仿宋"/>
          <w:color w:val="auto"/>
          <w:kern w:val="2"/>
          <w:sz w:val="28"/>
          <w:szCs w:val="28"/>
          <w:highlight w:val="none"/>
          <w:lang w:val="en-US" w:eastAsia="zh-CN"/>
        </w:rPr>
        <w:t>等本项目涉及的一切费用，采购人不再为本项目支付其他任何费用。</w:t>
      </w:r>
    </w:p>
    <w:p w14:paraId="7210D57A">
      <w:pPr>
        <w:ind w:firstLine="560" w:firstLineChars="200"/>
        <w:rPr>
          <w:rFonts w:hint="eastAsia" w:ascii="仿宋" w:hAnsi="仿宋" w:eastAsia="仿宋" w:cs="仿宋"/>
          <w:color w:val="auto"/>
          <w:kern w:val="2"/>
          <w:sz w:val="28"/>
          <w:szCs w:val="28"/>
          <w:highlight w:val="none"/>
          <w:lang w:val="en-US" w:eastAsia="zh-CN"/>
        </w:rPr>
      </w:pPr>
      <w:r>
        <w:rPr>
          <w:rFonts w:hint="eastAsia" w:ascii="仿宋" w:hAnsi="仿宋" w:eastAsia="仿宋" w:cs="仿宋"/>
          <w:color w:val="auto"/>
          <w:kern w:val="2"/>
          <w:sz w:val="28"/>
          <w:szCs w:val="28"/>
          <w:highlight w:val="none"/>
          <w:lang w:val="en-US" w:eastAsia="zh-CN"/>
        </w:rPr>
        <w:t>3、投标人在报价时应考虑各种风险因素，相关风险因素费用包含在投标总报价中。风险因素包括遇重大活动、检查、突发情况、最低工资标准调整、物价调整、税费调整等。</w:t>
      </w:r>
    </w:p>
    <w:p w14:paraId="4387274B">
      <w:pPr>
        <w:pStyle w:val="5"/>
        <w:bidi w:val="0"/>
        <w:rPr>
          <w:rFonts w:hint="eastAsia" w:ascii="仿宋" w:hAnsi="仿宋" w:eastAsia="仿宋" w:cs="仿宋"/>
          <w:color w:val="auto"/>
          <w:highlight w:val="none"/>
          <w:lang w:val="en-US" w:eastAsia="zh-CN"/>
        </w:rPr>
      </w:pPr>
      <w:bookmarkStart w:id="283" w:name="_Toc15700"/>
      <w:r>
        <w:rPr>
          <w:rFonts w:hint="eastAsia" w:ascii="仿宋" w:hAnsi="仿宋" w:eastAsia="仿宋" w:cs="仿宋"/>
          <w:color w:val="auto"/>
          <w:highlight w:val="none"/>
          <w:lang w:val="en-US" w:eastAsia="zh-CN"/>
        </w:rPr>
        <w:t>（</w:t>
      </w:r>
      <w:r>
        <w:rPr>
          <w:rFonts w:hint="eastAsia" w:cs="仿宋"/>
          <w:color w:val="auto"/>
          <w:highlight w:val="none"/>
          <w:lang w:val="en-US" w:eastAsia="zh-CN"/>
        </w:rPr>
        <w:t>三</w:t>
      </w:r>
      <w:r>
        <w:rPr>
          <w:rFonts w:hint="eastAsia" w:ascii="仿宋" w:hAnsi="仿宋" w:eastAsia="仿宋" w:cs="仿宋"/>
          <w:color w:val="auto"/>
          <w:highlight w:val="none"/>
          <w:lang w:val="en-US" w:eastAsia="zh-CN"/>
        </w:rPr>
        <w:t>）所有权</w:t>
      </w:r>
      <w:bookmarkEnd w:id="283"/>
    </w:p>
    <w:p w14:paraId="2511AEDF">
      <w:pPr>
        <w:ind w:firstLine="560" w:firstLineChars="200"/>
        <w:rPr>
          <w:rFonts w:hint="eastAsia" w:ascii="仿宋" w:hAnsi="仿宋" w:eastAsia="仿宋" w:cs="仿宋"/>
          <w:color w:val="auto"/>
          <w:kern w:val="2"/>
          <w:sz w:val="28"/>
          <w:szCs w:val="28"/>
          <w:highlight w:val="none"/>
          <w:lang w:val="en-US" w:eastAsia="zh-CN"/>
        </w:rPr>
      </w:pPr>
      <w:r>
        <w:rPr>
          <w:rFonts w:hint="eastAsia" w:ascii="仿宋" w:hAnsi="仿宋" w:eastAsia="仿宋" w:cs="仿宋"/>
          <w:color w:val="auto"/>
          <w:kern w:val="2"/>
          <w:sz w:val="28"/>
          <w:szCs w:val="28"/>
          <w:highlight w:val="none"/>
          <w:lang w:val="en-US" w:eastAsia="zh-CN"/>
        </w:rPr>
        <w:t>投标人提供的产品应为符合国家知识产权法律法规要求的正规正版产品，不属于假冒伪劣商品。中标人必须拥有所提供产品的合法使用权限，保证学校不受到第三方关于侵犯知识产权以及专利权、商标权或工业设计权等知识产权方面的指控，任何第三方如果提出此方面指控均与学校无关，中标人应与第三方交涉，并承担可能发生的一切法律责任、费用和后果；若学校因此而遭致损失的中标人须赔偿该损失。</w:t>
      </w:r>
    </w:p>
    <w:p w14:paraId="0AC3BC29">
      <w:pPr>
        <w:pStyle w:val="5"/>
        <w:bidi w:val="0"/>
        <w:rPr>
          <w:rFonts w:hint="eastAsia" w:ascii="仿宋" w:hAnsi="仿宋" w:eastAsia="仿宋" w:cs="仿宋"/>
          <w:color w:val="auto"/>
          <w:highlight w:val="none"/>
          <w:lang w:val="en-US" w:eastAsia="zh-CN"/>
        </w:rPr>
      </w:pPr>
      <w:bookmarkStart w:id="284" w:name="_Toc18520"/>
      <w:r>
        <w:rPr>
          <w:rFonts w:hint="eastAsia" w:ascii="仿宋" w:hAnsi="仿宋" w:eastAsia="仿宋" w:cs="仿宋"/>
          <w:color w:val="auto"/>
          <w:highlight w:val="none"/>
          <w:lang w:val="en-US" w:eastAsia="zh-CN"/>
        </w:rPr>
        <w:t>（</w:t>
      </w:r>
      <w:r>
        <w:rPr>
          <w:rFonts w:hint="eastAsia" w:cs="仿宋"/>
          <w:color w:val="auto"/>
          <w:highlight w:val="none"/>
          <w:lang w:val="en-US" w:eastAsia="zh-CN"/>
        </w:rPr>
        <w:t>四</w:t>
      </w:r>
      <w:r>
        <w:rPr>
          <w:rFonts w:hint="eastAsia" w:ascii="仿宋" w:hAnsi="仿宋" w:eastAsia="仿宋" w:cs="仿宋"/>
          <w:color w:val="auto"/>
          <w:highlight w:val="none"/>
          <w:lang w:val="en-US" w:eastAsia="zh-CN"/>
        </w:rPr>
        <w:t>）付款进度及方式</w:t>
      </w:r>
      <w:bookmarkEnd w:id="284"/>
    </w:p>
    <w:p w14:paraId="6B72421D">
      <w:pPr>
        <w:ind w:firstLine="560" w:firstLineChars="200"/>
        <w:rPr>
          <w:rFonts w:hint="eastAsia" w:ascii="仿宋" w:hAnsi="仿宋" w:eastAsia="仿宋" w:cs="仿宋"/>
          <w:color w:val="auto"/>
          <w:kern w:val="2"/>
          <w:sz w:val="28"/>
          <w:szCs w:val="28"/>
          <w:highlight w:val="none"/>
          <w:lang w:val="en-US" w:eastAsia="zh-CN"/>
        </w:rPr>
      </w:pPr>
      <w:r>
        <w:rPr>
          <w:rFonts w:hint="eastAsia" w:ascii="仿宋" w:hAnsi="仿宋" w:eastAsia="仿宋" w:cs="仿宋"/>
          <w:color w:val="auto"/>
          <w:kern w:val="2"/>
          <w:sz w:val="28"/>
          <w:szCs w:val="28"/>
          <w:highlight w:val="none"/>
          <w:lang w:val="en-US" w:eastAsia="zh-CN"/>
        </w:rPr>
        <w:t>（1）合同签订后，甲方收到乙方当期应付金额的发票</w:t>
      </w:r>
      <w:r>
        <w:rPr>
          <w:rFonts w:hint="eastAsia" w:cs="仿宋"/>
          <w:color w:val="auto"/>
          <w:kern w:val="2"/>
          <w:sz w:val="28"/>
          <w:szCs w:val="28"/>
          <w:highlight w:val="none"/>
          <w:lang w:val="en-US" w:eastAsia="zh-CN"/>
        </w:rPr>
        <w:t>后</w:t>
      </w:r>
      <w:r>
        <w:rPr>
          <w:rFonts w:hint="eastAsia" w:ascii="仿宋" w:hAnsi="仿宋" w:eastAsia="仿宋" w:cs="仿宋"/>
          <w:color w:val="auto"/>
          <w:kern w:val="2"/>
          <w:sz w:val="28"/>
          <w:szCs w:val="28"/>
          <w:highlight w:val="none"/>
          <w:lang w:val="en-US" w:eastAsia="zh-CN"/>
        </w:rPr>
        <w:t>支付合同额的30%作为</w:t>
      </w:r>
      <w:r>
        <w:rPr>
          <w:rFonts w:hint="eastAsia" w:cs="仿宋"/>
          <w:color w:val="auto"/>
          <w:kern w:val="2"/>
          <w:sz w:val="28"/>
          <w:szCs w:val="28"/>
          <w:highlight w:val="none"/>
          <w:lang w:val="en-US" w:eastAsia="zh-CN"/>
        </w:rPr>
        <w:t>预</w:t>
      </w:r>
      <w:r>
        <w:rPr>
          <w:rFonts w:hint="eastAsia" w:ascii="仿宋" w:hAnsi="仿宋" w:eastAsia="仿宋" w:cs="仿宋"/>
          <w:color w:val="auto"/>
          <w:kern w:val="2"/>
          <w:sz w:val="28"/>
          <w:szCs w:val="28"/>
          <w:highlight w:val="none"/>
          <w:lang w:val="en-US" w:eastAsia="zh-CN"/>
        </w:rPr>
        <w:t>付款;</w:t>
      </w:r>
    </w:p>
    <w:p w14:paraId="32123044">
      <w:pPr>
        <w:ind w:firstLine="560" w:firstLineChars="200"/>
        <w:rPr>
          <w:rFonts w:hint="eastAsia" w:ascii="仿宋" w:hAnsi="仿宋" w:eastAsia="仿宋" w:cs="仿宋"/>
          <w:color w:val="auto"/>
          <w:kern w:val="2"/>
          <w:sz w:val="28"/>
          <w:szCs w:val="28"/>
          <w:highlight w:val="none"/>
          <w:lang w:val="en-US" w:eastAsia="zh-CN"/>
        </w:rPr>
      </w:pPr>
      <w:r>
        <w:rPr>
          <w:rFonts w:hint="eastAsia" w:ascii="仿宋" w:hAnsi="仿宋" w:eastAsia="仿宋" w:cs="仿宋"/>
          <w:color w:val="auto"/>
          <w:kern w:val="2"/>
          <w:sz w:val="28"/>
          <w:szCs w:val="28"/>
          <w:highlight w:val="none"/>
          <w:lang w:val="en-US" w:eastAsia="zh-CN"/>
        </w:rPr>
        <w:t>（2）项目整体验收后，甲方收到乙方当期应付金额的发票</w:t>
      </w:r>
      <w:r>
        <w:rPr>
          <w:rFonts w:hint="eastAsia" w:cs="仿宋"/>
          <w:color w:val="auto"/>
          <w:kern w:val="2"/>
          <w:sz w:val="28"/>
          <w:szCs w:val="28"/>
          <w:highlight w:val="none"/>
          <w:lang w:val="en-US" w:eastAsia="zh-CN"/>
        </w:rPr>
        <w:t>后</w:t>
      </w:r>
      <w:r>
        <w:rPr>
          <w:rFonts w:hint="eastAsia" w:ascii="仿宋" w:hAnsi="仿宋" w:eastAsia="仿宋" w:cs="仿宋"/>
          <w:color w:val="auto"/>
          <w:kern w:val="2"/>
          <w:sz w:val="28"/>
          <w:szCs w:val="28"/>
          <w:highlight w:val="none"/>
          <w:lang w:val="en-US" w:eastAsia="zh-CN"/>
        </w:rPr>
        <w:t>支付剩余全部合同额。</w:t>
      </w:r>
    </w:p>
    <w:p w14:paraId="32A1F956">
      <w:pPr>
        <w:ind w:firstLine="560" w:firstLineChars="200"/>
        <w:rPr>
          <w:rFonts w:hint="eastAsia" w:ascii="仿宋" w:hAnsi="仿宋" w:eastAsia="仿宋" w:cs="仿宋"/>
          <w:color w:val="auto"/>
          <w:kern w:val="2"/>
          <w:sz w:val="28"/>
          <w:szCs w:val="28"/>
          <w:highlight w:val="none"/>
          <w:lang w:val="en-US" w:eastAsia="zh-CN"/>
        </w:rPr>
      </w:pPr>
    </w:p>
    <w:p w14:paraId="2473A449">
      <w:pPr>
        <w:rPr>
          <w:rFonts w:hint="eastAsia" w:ascii="仿宋" w:hAnsi="仿宋" w:eastAsia="仿宋" w:cs="仿宋"/>
          <w:color w:val="auto"/>
          <w:highlight w:val="none"/>
        </w:rPr>
      </w:pPr>
      <w:bookmarkStart w:id="285" w:name="_Toc32395"/>
      <w:r>
        <w:rPr>
          <w:rFonts w:hint="eastAsia" w:ascii="仿宋" w:hAnsi="仿宋" w:eastAsia="仿宋" w:cs="仿宋"/>
          <w:color w:val="auto"/>
          <w:highlight w:val="none"/>
        </w:rPr>
        <w:br w:type="page"/>
      </w:r>
    </w:p>
    <w:p w14:paraId="17046B12">
      <w:pPr>
        <w:pStyle w:val="2"/>
        <w:wordWrap/>
        <w:adjustRightInd/>
        <w:snapToGrid/>
        <w:spacing w:before="120" w:after="120" w:line="360" w:lineRule="auto"/>
        <w:rPr>
          <w:rFonts w:hint="eastAsia" w:ascii="仿宋" w:hAnsi="仿宋" w:eastAsia="仿宋" w:cs="仿宋"/>
          <w:color w:val="auto"/>
          <w:highlight w:val="none"/>
        </w:rPr>
      </w:pPr>
      <w:r>
        <w:rPr>
          <w:rFonts w:hint="eastAsia" w:ascii="仿宋" w:hAnsi="仿宋" w:eastAsia="仿宋" w:cs="仿宋"/>
          <w:color w:val="auto"/>
          <w:highlight w:val="none"/>
        </w:rPr>
        <w:t>第四章 资格审查方法及标准</w:t>
      </w:r>
      <w:bookmarkEnd w:id="260"/>
      <w:bookmarkEnd w:id="261"/>
      <w:bookmarkEnd w:id="285"/>
    </w:p>
    <w:p w14:paraId="6BAE676B">
      <w:pPr>
        <w:pStyle w:val="47"/>
        <w:ind w:firstLine="560"/>
        <w:rPr>
          <w:rFonts w:hint="eastAsia" w:ascii="仿宋" w:hAnsi="仿宋" w:eastAsia="仿宋" w:cs="仿宋"/>
          <w:color w:val="auto"/>
          <w:highlight w:val="none"/>
        </w:rPr>
      </w:pPr>
      <w:r>
        <w:rPr>
          <w:rFonts w:hint="eastAsia" w:ascii="仿宋" w:hAnsi="仿宋" w:eastAsia="仿宋" w:cs="仿宋"/>
          <w:color w:val="auto"/>
          <w:highlight w:val="none"/>
        </w:rPr>
        <w:t>根据《中华人民共和国政府采购法》及其实施条例、《政府采购货物和服务招标投标管理办法》等相关法律法规确定以下资格审查方法和标准。</w:t>
      </w:r>
    </w:p>
    <w:p w14:paraId="50B46779">
      <w:pPr>
        <w:pStyle w:val="3"/>
        <w:spacing w:before="93" w:after="93"/>
        <w:ind w:firstLine="643"/>
        <w:rPr>
          <w:rFonts w:hint="eastAsia" w:ascii="仿宋" w:hAnsi="仿宋" w:eastAsia="仿宋" w:cs="仿宋"/>
          <w:color w:val="auto"/>
          <w:highlight w:val="none"/>
          <w:lang w:val="zh-CN"/>
        </w:rPr>
      </w:pPr>
      <w:bookmarkStart w:id="286" w:name="_Toc155185897"/>
      <w:bookmarkStart w:id="287" w:name="_Toc140132822"/>
      <w:bookmarkStart w:id="288" w:name="_Toc163492893"/>
      <w:bookmarkStart w:id="289" w:name="_Toc9798"/>
      <w:r>
        <w:rPr>
          <w:rFonts w:hint="eastAsia" w:ascii="仿宋" w:hAnsi="仿宋" w:eastAsia="仿宋" w:cs="仿宋"/>
          <w:color w:val="auto"/>
          <w:highlight w:val="none"/>
        </w:rPr>
        <w:t>一、</w:t>
      </w:r>
      <w:r>
        <w:rPr>
          <w:rFonts w:hint="eastAsia" w:ascii="仿宋" w:hAnsi="仿宋" w:eastAsia="仿宋" w:cs="仿宋"/>
          <w:color w:val="auto"/>
          <w:highlight w:val="none"/>
          <w:lang w:val="zh-CN"/>
        </w:rPr>
        <w:t>资格审查</w:t>
      </w:r>
      <w:bookmarkEnd w:id="286"/>
      <w:bookmarkEnd w:id="287"/>
      <w:r>
        <w:rPr>
          <w:rFonts w:hint="eastAsia" w:ascii="仿宋" w:hAnsi="仿宋" w:eastAsia="仿宋" w:cs="仿宋"/>
          <w:color w:val="auto"/>
          <w:highlight w:val="none"/>
        </w:rPr>
        <w:t>方法</w:t>
      </w:r>
      <w:bookmarkEnd w:id="288"/>
      <w:bookmarkEnd w:id="289"/>
    </w:p>
    <w:p w14:paraId="1148F937">
      <w:pPr>
        <w:ind w:firstLine="560"/>
        <w:rPr>
          <w:rFonts w:hint="eastAsia" w:ascii="仿宋" w:hAnsi="仿宋" w:eastAsia="仿宋" w:cs="仿宋"/>
          <w:color w:val="auto"/>
          <w:highlight w:val="none"/>
          <w:lang w:val="zh-CN"/>
        </w:rPr>
      </w:pPr>
      <w:r>
        <w:rPr>
          <w:rFonts w:hint="eastAsia" w:ascii="仿宋" w:hAnsi="仿宋" w:eastAsia="仿宋" w:cs="仿宋"/>
          <w:color w:val="auto"/>
          <w:highlight w:val="none"/>
          <w:lang w:val="zh-CN"/>
        </w:rPr>
        <w:t>开标结束后，采购人或采购代理机构依据法律、法规及招标文件的规定，对投标人的资格进行审查，以确定投标人资格是否合格。</w:t>
      </w:r>
    </w:p>
    <w:p w14:paraId="521D27AB">
      <w:pPr>
        <w:pStyle w:val="3"/>
        <w:spacing w:before="93" w:after="93"/>
        <w:ind w:firstLine="643"/>
        <w:rPr>
          <w:rFonts w:hint="eastAsia" w:ascii="仿宋" w:hAnsi="仿宋" w:eastAsia="仿宋" w:cs="仿宋"/>
          <w:color w:val="auto"/>
          <w:highlight w:val="none"/>
          <w:lang w:val="zh-CN"/>
        </w:rPr>
      </w:pPr>
      <w:bookmarkStart w:id="290" w:name="_Toc163492894"/>
      <w:bookmarkStart w:id="291" w:name="_Toc18768"/>
      <w:r>
        <w:rPr>
          <w:rFonts w:hint="eastAsia" w:ascii="仿宋" w:hAnsi="仿宋" w:eastAsia="仿宋" w:cs="仿宋"/>
          <w:color w:val="auto"/>
          <w:highlight w:val="none"/>
        </w:rPr>
        <w:t>二、</w:t>
      </w:r>
      <w:r>
        <w:rPr>
          <w:rFonts w:hint="eastAsia" w:ascii="仿宋" w:hAnsi="仿宋" w:eastAsia="仿宋" w:cs="仿宋"/>
          <w:color w:val="auto"/>
          <w:highlight w:val="none"/>
          <w:lang w:val="zh-CN"/>
        </w:rPr>
        <w:t>资格审查程序</w:t>
      </w:r>
      <w:bookmarkEnd w:id="290"/>
      <w:bookmarkEnd w:id="291"/>
    </w:p>
    <w:p w14:paraId="025F8F7D">
      <w:pPr>
        <w:pStyle w:val="5"/>
        <w:ind w:firstLine="602"/>
        <w:jc w:val="both"/>
        <w:rPr>
          <w:rFonts w:hint="eastAsia" w:ascii="仿宋" w:hAnsi="仿宋" w:eastAsia="仿宋" w:cs="仿宋"/>
          <w:color w:val="auto"/>
          <w:highlight w:val="none"/>
        </w:rPr>
      </w:pPr>
      <w:bookmarkStart w:id="292" w:name="_Toc163492895"/>
      <w:bookmarkStart w:id="293" w:name="_Toc12401"/>
      <w:bookmarkStart w:id="294" w:name="_Toc17282"/>
      <w:bookmarkStart w:id="295" w:name="_Toc13929"/>
      <w:bookmarkStart w:id="296" w:name="_Toc155185898"/>
      <w:r>
        <w:rPr>
          <w:rFonts w:hint="eastAsia" w:ascii="仿宋" w:hAnsi="仿宋" w:eastAsia="仿宋" w:cs="仿宋"/>
          <w:color w:val="auto"/>
          <w:highlight w:val="none"/>
          <w:lang w:val="zh-CN"/>
        </w:rPr>
        <w:t>（</w:t>
      </w:r>
      <w:r>
        <w:rPr>
          <w:rFonts w:hint="eastAsia" w:ascii="仿宋" w:hAnsi="仿宋" w:eastAsia="仿宋" w:cs="仿宋"/>
          <w:color w:val="auto"/>
          <w:highlight w:val="none"/>
        </w:rPr>
        <w:t>一</w:t>
      </w:r>
      <w:r>
        <w:rPr>
          <w:rFonts w:hint="eastAsia" w:ascii="仿宋" w:hAnsi="仿宋" w:eastAsia="仿宋" w:cs="仿宋"/>
          <w:color w:val="auto"/>
          <w:highlight w:val="none"/>
          <w:lang w:val="zh-CN"/>
        </w:rPr>
        <w:t>）资格审查</w:t>
      </w:r>
      <w:bookmarkEnd w:id="292"/>
      <w:bookmarkEnd w:id="293"/>
      <w:bookmarkEnd w:id="294"/>
      <w:bookmarkEnd w:id="295"/>
      <w:bookmarkEnd w:id="296"/>
    </w:p>
    <w:p w14:paraId="3B144424">
      <w:pPr>
        <w:ind w:firstLine="560"/>
        <w:rPr>
          <w:rFonts w:hint="eastAsia" w:ascii="仿宋" w:hAnsi="仿宋" w:eastAsia="仿宋" w:cs="仿宋"/>
          <w:color w:val="auto"/>
          <w:highlight w:val="none"/>
          <w:lang w:val="zh-CN"/>
        </w:rPr>
      </w:pPr>
      <w:r>
        <w:rPr>
          <w:rFonts w:hint="eastAsia" w:ascii="仿宋" w:hAnsi="仿宋" w:eastAsia="仿宋" w:cs="仿宋"/>
          <w:color w:val="auto"/>
          <w:highlight w:val="none"/>
          <w:lang w:val="zh-CN"/>
        </w:rPr>
        <w:t xml:space="preserve">1.开标结束后，采购人或采购代理机构根据“第一章 </w:t>
      </w:r>
      <w:r>
        <w:rPr>
          <w:rFonts w:hint="eastAsia" w:ascii="仿宋" w:hAnsi="仿宋" w:eastAsia="仿宋" w:cs="仿宋"/>
          <w:color w:val="auto"/>
          <w:highlight w:val="none"/>
        </w:rPr>
        <w:t>招标公告</w:t>
      </w:r>
      <w:r>
        <w:rPr>
          <w:rFonts w:hint="eastAsia" w:ascii="仿宋" w:hAnsi="仿宋" w:eastAsia="仿宋" w:cs="仿宋"/>
          <w:color w:val="auto"/>
          <w:highlight w:val="none"/>
          <w:lang w:val="zh-CN"/>
        </w:rPr>
        <w:t>”中投标人资格要求并按本章“三、资格审查标准”所列的内容，对投标人资格进行审查，不满足资格审查标准要求的按</w:t>
      </w:r>
      <w:r>
        <w:rPr>
          <w:rFonts w:hint="eastAsia" w:ascii="仿宋" w:hAnsi="仿宋" w:eastAsia="仿宋" w:cs="仿宋"/>
          <w:b/>
          <w:bCs/>
          <w:color w:val="auto"/>
          <w:highlight w:val="none"/>
          <w:lang w:val="zh-CN"/>
        </w:rPr>
        <w:t>无效投标</w:t>
      </w:r>
      <w:r>
        <w:rPr>
          <w:rFonts w:hint="eastAsia" w:ascii="仿宋" w:hAnsi="仿宋" w:eastAsia="仿宋" w:cs="仿宋"/>
          <w:color w:val="auto"/>
          <w:highlight w:val="none"/>
          <w:lang w:val="zh-CN"/>
        </w:rPr>
        <w:t>处理。</w:t>
      </w:r>
      <w:bookmarkStart w:id="297" w:name="_Toc102056216"/>
      <w:bookmarkStart w:id="298" w:name="_Toc102116020"/>
      <w:bookmarkStart w:id="299" w:name="_Toc102119851"/>
      <w:bookmarkStart w:id="300" w:name="_Toc102114918"/>
      <w:bookmarkStart w:id="301" w:name="_Toc102116150"/>
      <w:bookmarkStart w:id="302" w:name="_Toc102057716"/>
      <w:bookmarkStart w:id="303" w:name="_Toc102119874"/>
      <w:bookmarkStart w:id="304" w:name="_Toc102116043"/>
      <w:bookmarkStart w:id="305" w:name="_Toc102056239"/>
      <w:bookmarkStart w:id="306" w:name="_Toc102114941"/>
      <w:bookmarkStart w:id="307" w:name="_Toc102116173"/>
      <w:bookmarkStart w:id="308" w:name="_Toc102057739"/>
    </w:p>
    <w:bookmarkEnd w:id="297"/>
    <w:bookmarkEnd w:id="298"/>
    <w:bookmarkEnd w:id="299"/>
    <w:bookmarkEnd w:id="300"/>
    <w:bookmarkEnd w:id="301"/>
    <w:bookmarkEnd w:id="302"/>
    <w:p w14:paraId="140D9EF2">
      <w:pPr>
        <w:pStyle w:val="5"/>
        <w:ind w:firstLine="602"/>
        <w:jc w:val="both"/>
        <w:rPr>
          <w:rFonts w:hint="eastAsia" w:ascii="仿宋" w:hAnsi="仿宋" w:eastAsia="仿宋" w:cs="仿宋"/>
          <w:color w:val="auto"/>
          <w:highlight w:val="none"/>
          <w:lang w:val="zh-CN"/>
        </w:rPr>
      </w:pPr>
      <w:bookmarkStart w:id="309" w:name="_Toc6207"/>
      <w:bookmarkStart w:id="310" w:name="_Toc163492896"/>
      <w:bookmarkStart w:id="311" w:name="_Toc28600"/>
      <w:bookmarkStart w:id="312" w:name="_Toc28033"/>
      <w:bookmarkStart w:id="313" w:name="_Toc155185900"/>
      <w:r>
        <w:rPr>
          <w:rFonts w:hint="eastAsia" w:ascii="仿宋" w:hAnsi="仿宋" w:eastAsia="仿宋" w:cs="仿宋"/>
          <w:color w:val="auto"/>
          <w:highlight w:val="none"/>
          <w:lang w:val="zh-CN"/>
        </w:rPr>
        <w:t>（</w:t>
      </w:r>
      <w:r>
        <w:rPr>
          <w:rFonts w:hint="eastAsia" w:ascii="仿宋" w:hAnsi="仿宋" w:eastAsia="仿宋" w:cs="仿宋"/>
          <w:color w:val="auto"/>
          <w:highlight w:val="none"/>
        </w:rPr>
        <w:t>二</w:t>
      </w:r>
      <w:r>
        <w:rPr>
          <w:rFonts w:hint="eastAsia" w:ascii="仿宋" w:hAnsi="仿宋" w:eastAsia="仿宋" w:cs="仿宋"/>
          <w:color w:val="auto"/>
          <w:highlight w:val="none"/>
          <w:lang w:val="zh-CN"/>
        </w:rPr>
        <w:t>）信</w:t>
      </w:r>
      <w:bookmarkStart w:id="314" w:name="_Hlk162301965"/>
      <w:r>
        <w:rPr>
          <w:rFonts w:hint="eastAsia" w:ascii="仿宋" w:hAnsi="仿宋" w:eastAsia="仿宋" w:cs="仿宋"/>
          <w:color w:val="auto"/>
          <w:highlight w:val="none"/>
          <w:lang w:val="zh-CN"/>
        </w:rPr>
        <w:t>用信息核查</w:t>
      </w:r>
      <w:bookmarkEnd w:id="309"/>
      <w:bookmarkEnd w:id="310"/>
      <w:bookmarkEnd w:id="311"/>
      <w:bookmarkEnd w:id="312"/>
      <w:bookmarkEnd w:id="314"/>
    </w:p>
    <w:p w14:paraId="1AB02FED">
      <w:pPr>
        <w:ind w:firstLine="560"/>
        <w:rPr>
          <w:rFonts w:hint="eastAsia" w:ascii="仿宋" w:hAnsi="仿宋" w:eastAsia="仿宋" w:cs="仿宋"/>
          <w:color w:val="auto"/>
          <w:highlight w:val="none"/>
        </w:rPr>
      </w:pPr>
      <w:bookmarkStart w:id="315" w:name="_Hlk162301966"/>
      <w:r>
        <w:rPr>
          <w:rFonts w:hint="eastAsia" w:ascii="仿宋" w:hAnsi="仿宋" w:eastAsia="仿宋" w:cs="仿宋"/>
          <w:color w:val="auto"/>
          <w:highlight w:val="none"/>
        </w:rPr>
        <w:t>1.根据《关于在政府采购活动中查询及使用信用记录有关问题的通知》（财库〔2016〕125号）要求，</w:t>
      </w:r>
      <w:r>
        <w:rPr>
          <w:rFonts w:hint="eastAsia" w:ascii="仿宋" w:hAnsi="仿宋" w:eastAsia="仿宋" w:cs="仿宋"/>
          <w:color w:val="auto"/>
          <w:highlight w:val="none"/>
          <w:lang w:eastAsia="zh-CN"/>
        </w:rPr>
        <w:t>投标人</w:t>
      </w:r>
      <w:r>
        <w:rPr>
          <w:rFonts w:hint="eastAsia" w:ascii="仿宋" w:hAnsi="仿宋" w:eastAsia="仿宋" w:cs="仿宋"/>
          <w:color w:val="auto"/>
          <w:highlight w:val="none"/>
        </w:rPr>
        <w:t>信用信息以信用中国网(http://www.creditchina.gov.cn</w:t>
      </w:r>
      <w:r>
        <w:rPr>
          <w:rFonts w:hint="eastAsia" w:ascii="仿宋" w:hAnsi="仿宋" w:eastAsia="仿宋" w:cs="仿宋"/>
          <w:color w:val="auto"/>
          <w:highlight w:val="none"/>
          <w:lang w:eastAsia="zh-CN"/>
        </w:rPr>
        <w:t>）</w:t>
      </w:r>
      <w:r>
        <w:rPr>
          <w:rFonts w:hint="eastAsia" w:ascii="仿宋" w:hAnsi="仿宋" w:eastAsia="仿宋" w:cs="仿宋"/>
          <w:color w:val="auto"/>
          <w:highlight w:val="none"/>
          <w:lang w:val="en-US" w:eastAsia="zh-CN"/>
        </w:rPr>
        <w:t>和</w:t>
      </w:r>
      <w:r>
        <w:rPr>
          <w:rFonts w:hint="eastAsia" w:ascii="仿宋" w:hAnsi="仿宋" w:eastAsia="仿宋" w:cs="仿宋"/>
          <w:color w:val="auto"/>
          <w:highlight w:val="none"/>
        </w:rPr>
        <w:t>中国政府采购网</w:t>
      </w:r>
      <w:r>
        <w:rPr>
          <w:rFonts w:hint="eastAsia" w:ascii="仿宋" w:hAnsi="仿宋" w:eastAsia="仿宋" w:cs="仿宋"/>
          <w:color w:val="auto"/>
          <w:highlight w:val="none"/>
          <w:lang w:eastAsia="zh-CN"/>
        </w:rPr>
        <w:t>（</w:t>
      </w:r>
      <w:r>
        <w:rPr>
          <w:rFonts w:hint="eastAsia" w:ascii="仿宋" w:hAnsi="仿宋" w:eastAsia="仿宋" w:cs="仿宋"/>
          <w:color w:val="auto"/>
          <w:highlight w:val="none"/>
        </w:rPr>
        <w:t>http://www.ccgp.gov.cn</w:t>
      </w:r>
      <w:r>
        <w:rPr>
          <w:rFonts w:hint="eastAsia" w:ascii="仿宋" w:hAnsi="仿宋" w:eastAsia="仿宋" w:cs="仿宋"/>
          <w:color w:val="auto"/>
          <w:highlight w:val="none"/>
          <w:lang w:eastAsia="zh-CN"/>
        </w:rPr>
        <w:t>）</w:t>
      </w:r>
      <w:r>
        <w:rPr>
          <w:rFonts w:hint="eastAsia" w:ascii="仿宋" w:hAnsi="仿宋" w:eastAsia="仿宋" w:cs="仿宋"/>
          <w:color w:val="auto"/>
          <w:highlight w:val="none"/>
        </w:rPr>
        <w:t>查询的结果为准。</w:t>
      </w:r>
    </w:p>
    <w:p w14:paraId="42033964">
      <w:pPr>
        <w:ind w:firstLine="560"/>
        <w:rPr>
          <w:rFonts w:hint="eastAsia" w:ascii="仿宋" w:hAnsi="仿宋" w:eastAsia="仿宋" w:cs="仿宋"/>
          <w:color w:val="auto"/>
          <w:highlight w:val="none"/>
        </w:rPr>
      </w:pPr>
      <w:r>
        <w:rPr>
          <w:rFonts w:hint="eastAsia" w:ascii="仿宋" w:hAnsi="仿宋" w:eastAsia="仿宋" w:cs="仿宋"/>
          <w:color w:val="auto"/>
          <w:highlight w:val="none"/>
        </w:rPr>
        <w:t>2.资格审查当日应当核查</w:t>
      </w:r>
      <w:r>
        <w:rPr>
          <w:rFonts w:hint="eastAsia" w:ascii="仿宋" w:hAnsi="仿宋" w:eastAsia="仿宋" w:cs="仿宋"/>
          <w:color w:val="auto"/>
          <w:highlight w:val="none"/>
          <w:lang w:eastAsia="zh-CN"/>
        </w:rPr>
        <w:t>投标人</w:t>
      </w:r>
      <w:r>
        <w:rPr>
          <w:rFonts w:hint="eastAsia" w:ascii="仿宋" w:hAnsi="仿宋" w:eastAsia="仿宋" w:cs="仿宋"/>
          <w:color w:val="auto"/>
          <w:highlight w:val="none"/>
        </w:rPr>
        <w:t>信用记录，</w:t>
      </w:r>
      <w:r>
        <w:rPr>
          <w:rFonts w:hint="eastAsia" w:ascii="仿宋" w:hAnsi="仿宋" w:eastAsia="仿宋" w:cs="仿宋"/>
          <w:color w:val="auto"/>
          <w:highlight w:val="none"/>
          <w:lang w:eastAsia="zh-CN"/>
        </w:rPr>
        <w:t>投标人</w:t>
      </w:r>
      <w:r>
        <w:rPr>
          <w:rFonts w:hint="eastAsia" w:ascii="仿宋" w:hAnsi="仿宋" w:eastAsia="仿宋" w:cs="仿宋"/>
          <w:color w:val="auto"/>
          <w:highlight w:val="none"/>
        </w:rPr>
        <w:t>被列入失信被执行人、重大税收违法失信主体、政府采购严重违法失信行为记录名单的，采购</w:t>
      </w:r>
      <w:r>
        <w:rPr>
          <w:rFonts w:hint="eastAsia" w:ascii="仿宋" w:hAnsi="仿宋" w:eastAsia="仿宋" w:cs="仿宋"/>
          <w:color w:val="auto"/>
          <w:highlight w:val="none"/>
          <w:lang w:val="en-US" w:eastAsia="zh-CN"/>
        </w:rPr>
        <w:t>人</w:t>
      </w:r>
      <w:r>
        <w:rPr>
          <w:rFonts w:hint="eastAsia" w:ascii="仿宋" w:hAnsi="仿宋" w:eastAsia="仿宋" w:cs="仿宋"/>
          <w:color w:val="auto"/>
          <w:highlight w:val="none"/>
        </w:rPr>
        <w:t>拒绝其参加政府采购活动。</w:t>
      </w:r>
    </w:p>
    <w:p w14:paraId="1555F063">
      <w:pPr>
        <w:ind w:firstLine="560"/>
        <w:rPr>
          <w:rFonts w:hint="eastAsia" w:ascii="仿宋" w:hAnsi="仿宋" w:eastAsia="仿宋" w:cs="仿宋"/>
          <w:color w:val="auto"/>
          <w:highlight w:val="none"/>
        </w:rPr>
      </w:pPr>
      <w:r>
        <w:rPr>
          <w:rFonts w:hint="eastAsia" w:ascii="仿宋" w:hAnsi="仿宋" w:eastAsia="仿宋" w:cs="仿宋"/>
          <w:color w:val="auto"/>
          <w:highlight w:val="none"/>
        </w:rPr>
        <w:t>3．资格审查与评标工作未在同日进行的特殊情形下，采购代理机构工作人员在评标时应当对</w:t>
      </w:r>
      <w:r>
        <w:rPr>
          <w:rFonts w:hint="eastAsia" w:ascii="仿宋" w:hAnsi="仿宋" w:eastAsia="仿宋" w:cs="仿宋"/>
          <w:color w:val="auto"/>
          <w:highlight w:val="none"/>
          <w:lang w:eastAsia="zh-CN"/>
        </w:rPr>
        <w:t>投标人</w:t>
      </w:r>
      <w:r>
        <w:rPr>
          <w:rFonts w:hint="eastAsia" w:ascii="仿宋" w:hAnsi="仿宋" w:eastAsia="仿宋" w:cs="仿宋"/>
          <w:color w:val="auto"/>
          <w:highlight w:val="none"/>
        </w:rPr>
        <w:t>的信用信息进行复核，发现评标当日存在不良信用信息的，由评标委员会按照符合性审查不合格作</w:t>
      </w:r>
      <w:r>
        <w:rPr>
          <w:rFonts w:hint="eastAsia" w:ascii="仿宋" w:hAnsi="仿宋" w:eastAsia="仿宋" w:cs="仿宋"/>
          <w:b/>
          <w:bCs/>
          <w:color w:val="auto"/>
          <w:highlight w:val="none"/>
        </w:rPr>
        <w:t>无效投标</w:t>
      </w:r>
      <w:r>
        <w:rPr>
          <w:rFonts w:hint="eastAsia" w:ascii="仿宋" w:hAnsi="仿宋" w:eastAsia="仿宋" w:cs="仿宋"/>
          <w:color w:val="auto"/>
          <w:highlight w:val="none"/>
        </w:rPr>
        <w:t>处理。</w:t>
      </w:r>
      <w:bookmarkEnd w:id="315"/>
    </w:p>
    <w:p w14:paraId="2C7B9378">
      <w:pPr>
        <w:pStyle w:val="5"/>
        <w:ind w:firstLine="602"/>
        <w:jc w:val="both"/>
        <w:rPr>
          <w:rFonts w:hint="eastAsia" w:ascii="仿宋" w:hAnsi="仿宋" w:eastAsia="仿宋" w:cs="仿宋"/>
          <w:color w:val="auto"/>
          <w:highlight w:val="none"/>
          <w:lang w:val="zh-CN"/>
        </w:rPr>
      </w:pPr>
      <w:bookmarkStart w:id="316" w:name="_Toc30056"/>
      <w:bookmarkStart w:id="317" w:name="_Toc163492897"/>
      <w:bookmarkStart w:id="318" w:name="_Toc3525"/>
      <w:bookmarkStart w:id="319" w:name="_Toc437"/>
      <w:r>
        <w:rPr>
          <w:rFonts w:hint="eastAsia" w:ascii="仿宋" w:hAnsi="仿宋" w:eastAsia="仿宋" w:cs="仿宋"/>
          <w:color w:val="auto"/>
          <w:highlight w:val="none"/>
          <w:lang w:val="zh-CN"/>
        </w:rPr>
        <w:t>（</w:t>
      </w:r>
      <w:r>
        <w:rPr>
          <w:rFonts w:hint="eastAsia" w:ascii="仿宋" w:hAnsi="仿宋" w:eastAsia="仿宋" w:cs="仿宋"/>
          <w:color w:val="auto"/>
          <w:highlight w:val="none"/>
        </w:rPr>
        <w:t>三</w:t>
      </w:r>
      <w:r>
        <w:rPr>
          <w:rFonts w:hint="eastAsia" w:ascii="仿宋" w:hAnsi="仿宋" w:eastAsia="仿宋" w:cs="仿宋"/>
          <w:color w:val="auto"/>
          <w:highlight w:val="none"/>
          <w:lang w:val="zh-CN"/>
        </w:rPr>
        <w:t>）资格审查</w:t>
      </w:r>
      <w:bookmarkEnd w:id="303"/>
      <w:bookmarkEnd w:id="304"/>
      <w:bookmarkEnd w:id="305"/>
      <w:bookmarkEnd w:id="306"/>
      <w:bookmarkEnd w:id="307"/>
      <w:bookmarkEnd w:id="308"/>
      <w:r>
        <w:rPr>
          <w:rFonts w:hint="eastAsia" w:ascii="仿宋" w:hAnsi="仿宋" w:eastAsia="仿宋" w:cs="仿宋"/>
          <w:color w:val="auto"/>
          <w:highlight w:val="none"/>
          <w:lang w:val="zh-CN"/>
        </w:rPr>
        <w:t>结果</w:t>
      </w:r>
      <w:bookmarkEnd w:id="313"/>
      <w:bookmarkEnd w:id="316"/>
      <w:bookmarkEnd w:id="317"/>
      <w:bookmarkEnd w:id="318"/>
      <w:bookmarkEnd w:id="319"/>
    </w:p>
    <w:p w14:paraId="66E31E86">
      <w:pPr>
        <w:ind w:firstLine="560"/>
        <w:rPr>
          <w:rFonts w:hint="eastAsia" w:ascii="仿宋" w:hAnsi="仿宋" w:eastAsia="仿宋" w:cs="仿宋"/>
          <w:color w:val="auto"/>
          <w:highlight w:val="none"/>
        </w:rPr>
      </w:pPr>
      <w:r>
        <w:rPr>
          <w:rFonts w:hint="eastAsia" w:ascii="仿宋" w:hAnsi="仿宋" w:eastAsia="仿宋" w:cs="仿宋"/>
          <w:color w:val="auto"/>
          <w:highlight w:val="none"/>
        </w:rPr>
        <w:t>1.根据资格审查的情况，确定资格审查合格的</w:t>
      </w:r>
      <w:r>
        <w:rPr>
          <w:rFonts w:hint="eastAsia" w:ascii="仿宋" w:hAnsi="仿宋" w:eastAsia="仿宋" w:cs="仿宋"/>
          <w:color w:val="auto"/>
          <w:highlight w:val="none"/>
          <w:lang w:eastAsia="zh-CN"/>
        </w:rPr>
        <w:t>投标人</w:t>
      </w:r>
      <w:r>
        <w:rPr>
          <w:rFonts w:hint="eastAsia" w:ascii="仿宋" w:hAnsi="仿宋" w:eastAsia="仿宋" w:cs="仿宋"/>
          <w:color w:val="auto"/>
          <w:highlight w:val="none"/>
        </w:rPr>
        <w:t>，并形成资格审查结果。</w:t>
      </w:r>
    </w:p>
    <w:p w14:paraId="0152D390">
      <w:pPr>
        <w:ind w:firstLine="560"/>
        <w:rPr>
          <w:rFonts w:hint="eastAsia" w:ascii="仿宋" w:hAnsi="仿宋" w:eastAsia="仿宋" w:cs="仿宋"/>
          <w:color w:val="auto"/>
          <w:highlight w:val="none"/>
        </w:rPr>
      </w:pPr>
      <w:r>
        <w:rPr>
          <w:rFonts w:hint="eastAsia" w:ascii="仿宋" w:hAnsi="仿宋" w:eastAsia="仿宋" w:cs="仿宋"/>
          <w:color w:val="auto"/>
          <w:highlight w:val="none"/>
        </w:rPr>
        <w:t>2.资格审查合格</w:t>
      </w:r>
      <w:r>
        <w:rPr>
          <w:rFonts w:hint="eastAsia" w:ascii="仿宋" w:hAnsi="仿宋" w:eastAsia="仿宋" w:cs="仿宋"/>
          <w:color w:val="auto"/>
          <w:highlight w:val="none"/>
          <w:lang w:eastAsia="zh-CN"/>
        </w:rPr>
        <w:t>投标人</w:t>
      </w:r>
      <w:r>
        <w:rPr>
          <w:rFonts w:hint="eastAsia" w:ascii="仿宋" w:hAnsi="仿宋" w:eastAsia="仿宋" w:cs="仿宋"/>
          <w:color w:val="auto"/>
          <w:highlight w:val="none"/>
        </w:rPr>
        <w:t>不足3家的，不得评标，应予以</w:t>
      </w:r>
      <w:r>
        <w:rPr>
          <w:rFonts w:hint="eastAsia" w:ascii="仿宋" w:hAnsi="仿宋" w:eastAsia="仿宋" w:cs="仿宋"/>
          <w:b/>
          <w:bCs/>
          <w:color w:val="auto"/>
          <w:highlight w:val="none"/>
        </w:rPr>
        <w:t>废标</w:t>
      </w:r>
      <w:r>
        <w:rPr>
          <w:rFonts w:hint="eastAsia" w:ascii="仿宋" w:hAnsi="仿宋" w:eastAsia="仿宋" w:cs="仿宋"/>
          <w:color w:val="auto"/>
          <w:highlight w:val="none"/>
        </w:rPr>
        <w:t>。</w:t>
      </w:r>
    </w:p>
    <w:p w14:paraId="1543CB6B">
      <w:pPr>
        <w:pStyle w:val="3"/>
        <w:spacing w:before="93" w:after="93"/>
        <w:ind w:firstLine="643"/>
        <w:rPr>
          <w:rFonts w:hint="eastAsia" w:ascii="仿宋" w:hAnsi="仿宋" w:eastAsia="仿宋" w:cs="仿宋"/>
          <w:color w:val="auto"/>
          <w:highlight w:val="none"/>
        </w:rPr>
      </w:pPr>
      <w:bookmarkStart w:id="320" w:name="_Toc163492898"/>
      <w:bookmarkStart w:id="321" w:name="_Toc7453"/>
      <w:bookmarkStart w:id="322" w:name="_Toc109900318"/>
      <w:bookmarkStart w:id="323" w:name="_Toc155185896"/>
      <w:bookmarkStart w:id="324" w:name="_Toc494561958"/>
      <w:bookmarkStart w:id="325" w:name="_Toc109899899"/>
      <w:bookmarkStart w:id="326" w:name="_Toc140132821"/>
      <w:bookmarkStart w:id="327" w:name="_Toc511894514"/>
      <w:bookmarkStart w:id="328" w:name="_Toc109899480"/>
      <w:bookmarkStart w:id="329" w:name="_Toc61280398"/>
      <w:bookmarkStart w:id="330" w:name="_Toc155185903"/>
      <w:r>
        <w:rPr>
          <w:rFonts w:hint="eastAsia" w:ascii="仿宋" w:hAnsi="仿宋" w:eastAsia="仿宋" w:cs="仿宋"/>
          <w:color w:val="auto"/>
          <w:highlight w:val="none"/>
        </w:rPr>
        <w:t>三、资格审查标准</w:t>
      </w:r>
      <w:bookmarkEnd w:id="320"/>
      <w:bookmarkEnd w:id="321"/>
    </w:p>
    <w:tbl>
      <w:tblPr>
        <w:tblStyle w:val="36"/>
        <w:tblpPr w:leftFromText="180" w:rightFromText="180" w:vertAnchor="text" w:tblpXSpec="center" w:tblpY="235"/>
        <w:tblOverlap w:val="never"/>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724"/>
      </w:tblGrid>
      <w:tr w14:paraId="0A6F4F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8" w:hRule="atLeast"/>
          <w:jc w:val="center"/>
        </w:trPr>
        <w:tc>
          <w:tcPr>
            <w:tcW w:w="5000" w:type="pct"/>
            <w:shd w:val="clear" w:color="auto" w:fill="BDD6EE" w:themeFill="accent5" w:themeFillTint="66"/>
          </w:tcPr>
          <w:p w14:paraId="5F372C49">
            <w:pPr>
              <w:pStyle w:val="20"/>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资格审查标准及审查内容</w:t>
            </w:r>
          </w:p>
        </w:tc>
      </w:tr>
      <w:tr w14:paraId="2231E6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5" w:hRule="atLeast"/>
          <w:jc w:val="center"/>
        </w:trPr>
        <w:tc>
          <w:tcPr>
            <w:tcW w:w="5000" w:type="pct"/>
            <w:vAlign w:val="center"/>
          </w:tcPr>
          <w:p w14:paraId="78F62304">
            <w:pPr>
              <w:ind w:firstLine="562"/>
              <w:jc w:val="both"/>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1.满足《中华人民共和国政府采购法》第二十二条规定，提供以下材料：</w:t>
            </w:r>
          </w:p>
          <w:p w14:paraId="5A6CA472">
            <w:pPr>
              <w:ind w:firstLine="562"/>
              <w:jc w:val="both"/>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具有独立承担民事责任的能力：投标人是具有独立承担民事责任能力的企业或事业单位或非企业机构或个体工商户或自然人，在投标文件中提供有效的营业执照或事业单位法人证书或执业许可证或登记证书或</w:t>
            </w:r>
            <w:r>
              <w:rPr>
                <w:rFonts w:hint="eastAsia" w:cs="仿宋"/>
                <w:color w:val="auto"/>
                <w:sz w:val="24"/>
                <w:szCs w:val="24"/>
                <w:highlight w:val="none"/>
                <w:lang w:val="en-US" w:eastAsia="zh-CN"/>
              </w:rPr>
              <w:t>个体工商户营业执照或自然人身份</w:t>
            </w:r>
            <w:r>
              <w:rPr>
                <w:rFonts w:hint="eastAsia" w:ascii="仿宋" w:hAnsi="仿宋" w:eastAsia="仿宋" w:cs="仿宋"/>
                <w:color w:val="auto"/>
                <w:sz w:val="24"/>
                <w:szCs w:val="24"/>
                <w:highlight w:val="none"/>
                <w:lang w:val="en-US" w:eastAsia="zh-CN"/>
              </w:rPr>
              <w:t>证明。</w:t>
            </w:r>
          </w:p>
          <w:p w14:paraId="3C64B49D">
            <w:pPr>
              <w:ind w:firstLine="562"/>
              <w:jc w:val="both"/>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（2）具有良好的商业信誉和健全的财务会计制度：</w:t>
            </w:r>
          </w:p>
          <w:p w14:paraId="19231F1B">
            <w:pPr>
              <w:ind w:firstLine="562"/>
              <w:jc w:val="both"/>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投标文件中提供以下材料（①或②或③之一）①2024年度或2025年度经审计的财务报告【执行企业会计准则的，应提供“四表一注”（资产负债表、利润表、现金流量表、所有者权益变动表及其附注）；执行小企业会计准则的，应提供“三表一注”（资产负债表、利润表、现金流量表及其附注）；审计报告应附注册会计师行业统一监管平台验证码】；成立时间不足1年的法人及其他组织，可提供自成立以来的财务报告或财务状况说明。②近三个月内基本开户银行出具的资信证明（投标人属于个体工商户、自然人的，提供近三个月内银行出具的资信证明）。③专业担保机构出具的投标担保函（但须同时提供专业担保机构经财政部门认可的证明文件）。</w:t>
            </w:r>
          </w:p>
          <w:p w14:paraId="27C66E0B">
            <w:pPr>
              <w:ind w:firstLine="562"/>
              <w:jc w:val="both"/>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（3）具有履行合同所必需的设备和专业技术能力：投标文件中提供具有履行合同所必需的设备和专业技术能力的书面声明。</w:t>
            </w:r>
          </w:p>
          <w:p w14:paraId="4D6BA9D1">
            <w:pPr>
              <w:ind w:firstLine="562"/>
              <w:jc w:val="both"/>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有依法缴纳税收和社会保障资金的良好记录：投标文件中提供在投标文件提交截止时间前12个月内任意1个月的依法缴纳税收和在投标文件提交截止时间前12个月内任意1个月的依法缴纳社会保障资金的证明材料（投标人属于个体工商户、自然人的，或为成立时间不足1个月的法人及其他组织的，投标文件中提供情况说明（无需单独提供本条款要求的税收及社会保障资金缴纳证明材料）；投标人属于依法免税或依法不需要缴纳社会保障资金范围的，无需提供相应缴纳证明，但须提供由税务、社会保险经办等主管部门出具的，证明其依法免税或依法不需要缴纳社会保障资金的有效文件）。</w:t>
            </w:r>
          </w:p>
          <w:p w14:paraId="45681616">
            <w:pPr>
              <w:ind w:firstLine="562"/>
              <w:jc w:val="both"/>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参加政府采购活动前3年内，在经营活动中没有重大违法记录：投标文件中提供投标文件递交截止日前3年内，在经营活动中没有重大违法记录的书面声明（投标人成立不足3年的，提供自成立以来无重大违法记录的书面声明，重大违法记录指投标人因违法经营受到刑事处罚或者责令停产停业、吊销许可证或者执照、较大数额罚款的行政处罚）。</w:t>
            </w:r>
          </w:p>
          <w:p w14:paraId="610946FB">
            <w:pPr>
              <w:ind w:firstLine="562"/>
              <w:jc w:val="both"/>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（6）法律、行政法规规定的其他条件：投标文件中提供投标人符合法律、行政法规规定的其他条件的书面声明。</w:t>
            </w:r>
          </w:p>
          <w:p w14:paraId="633A7B37">
            <w:pPr>
              <w:ind w:firstLine="562"/>
              <w:jc w:val="both"/>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2.落实政府采购政策需满足的资格要求：本项目非专门面向中小（微）企业采购，小微企业价格扣除优惠比例:10%。</w:t>
            </w:r>
          </w:p>
          <w:p w14:paraId="542CE759">
            <w:pPr>
              <w:ind w:firstLine="562"/>
              <w:jc w:val="both"/>
              <w:rPr>
                <w:rFonts w:hint="eastAsia"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3.本项目的特定资格要求：</w:t>
            </w:r>
            <w:r>
              <w:rPr>
                <w:rFonts w:hint="eastAsia" w:cs="仿宋"/>
                <w:color w:val="auto"/>
                <w:sz w:val="24"/>
                <w:szCs w:val="24"/>
                <w:highlight w:val="none"/>
                <w:lang w:val="en-US" w:eastAsia="zh-CN"/>
              </w:rPr>
              <w:t>无</w:t>
            </w:r>
          </w:p>
          <w:p w14:paraId="248663DA">
            <w:pPr>
              <w:ind w:firstLine="562"/>
              <w:jc w:val="both"/>
              <w:rPr>
                <w:rFonts w:hint="default" w:cs="仿宋"/>
                <w:color w:val="auto"/>
                <w:sz w:val="24"/>
                <w:szCs w:val="24"/>
                <w:highlight w:val="none"/>
                <w:lang w:val="en-US" w:eastAsia="zh-CN"/>
              </w:rPr>
            </w:pPr>
            <w:r>
              <w:rPr>
                <w:rFonts w:hint="eastAsia" w:cs="仿宋"/>
                <w:color w:val="auto"/>
                <w:sz w:val="24"/>
                <w:szCs w:val="24"/>
                <w:highlight w:val="none"/>
                <w:lang w:val="en-US" w:eastAsia="zh-CN"/>
              </w:rPr>
              <w:t>4.</w:t>
            </w:r>
            <w:r>
              <w:rPr>
                <w:rFonts w:hint="eastAsia" w:ascii="仿宋" w:hAnsi="仿宋" w:eastAsia="仿宋" w:cs="仿宋"/>
                <w:color w:val="auto"/>
                <w:sz w:val="24"/>
                <w:szCs w:val="24"/>
                <w:highlight w:val="none"/>
                <w:lang w:val="en-US" w:eastAsia="zh-CN"/>
              </w:rPr>
              <w:t>本项目的</w:t>
            </w:r>
            <w:r>
              <w:rPr>
                <w:rFonts w:hint="eastAsia" w:cs="仿宋"/>
                <w:color w:val="auto"/>
                <w:sz w:val="24"/>
                <w:szCs w:val="24"/>
                <w:highlight w:val="none"/>
                <w:lang w:val="en-US" w:eastAsia="zh-CN"/>
              </w:rPr>
              <w:t>其他</w:t>
            </w:r>
            <w:r>
              <w:rPr>
                <w:rFonts w:hint="eastAsia" w:ascii="仿宋" w:hAnsi="仿宋" w:eastAsia="仿宋" w:cs="仿宋"/>
                <w:color w:val="auto"/>
                <w:sz w:val="24"/>
                <w:szCs w:val="24"/>
                <w:highlight w:val="none"/>
                <w:lang w:val="en-US" w:eastAsia="zh-CN"/>
              </w:rPr>
              <w:t>资格要求</w:t>
            </w:r>
            <w:r>
              <w:rPr>
                <w:rFonts w:hint="eastAsia" w:cs="仿宋"/>
                <w:color w:val="auto"/>
                <w:sz w:val="24"/>
                <w:szCs w:val="24"/>
                <w:highlight w:val="none"/>
                <w:lang w:val="en-US" w:eastAsia="zh-CN"/>
              </w:rPr>
              <w:t>：</w:t>
            </w:r>
          </w:p>
          <w:p w14:paraId="2E3D3593">
            <w:pPr>
              <w:ind w:firstLine="562"/>
              <w:jc w:val="both"/>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单位负责人为同一人或者存在直接控股、管理关系的不同投标人，不得参加同一合同项下的政府采购活动；为本项目提供整体设计、规范编制或者项目管理、监理、检测等服务的投标人，不得再参加本项目的采购活动；投标文件中提供书面声明；</w:t>
            </w:r>
          </w:p>
          <w:p w14:paraId="445F7F32">
            <w:pPr>
              <w:ind w:firstLine="562"/>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（2）列入失信被执行人或重大税收违法失信主体或政府采购严重违法失信行为记录名单的投标人，不得参加政府采购活动。</w:t>
            </w:r>
          </w:p>
        </w:tc>
      </w:tr>
    </w:tbl>
    <w:p w14:paraId="7EE92B30">
      <w:pPr>
        <w:ind w:firstLine="0" w:firstLineChars="0"/>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备注：</w:t>
      </w:r>
    </w:p>
    <w:p w14:paraId="0164B18B">
      <w:pPr>
        <w:ind w:firstLine="48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1.资格证明文件应为</w:t>
      </w:r>
      <w:r>
        <w:rPr>
          <w:rFonts w:hint="eastAsia" w:ascii="仿宋" w:hAnsi="仿宋" w:eastAsia="仿宋" w:cs="仿宋"/>
          <w:color w:val="auto"/>
          <w:sz w:val="28"/>
          <w:szCs w:val="28"/>
          <w:highlight w:val="none"/>
          <w:lang w:eastAsia="zh-CN"/>
        </w:rPr>
        <w:t>原件的扫描件（或复印件）</w:t>
      </w:r>
      <w:r>
        <w:rPr>
          <w:rFonts w:hint="eastAsia" w:ascii="仿宋" w:hAnsi="仿宋" w:eastAsia="仿宋" w:cs="仿宋"/>
          <w:color w:val="auto"/>
          <w:sz w:val="28"/>
          <w:szCs w:val="28"/>
          <w:highlight w:val="none"/>
        </w:rPr>
        <w:t>，投标文件中须编入清晰的原件的扫描件（或复印件）。所有证明材料须清晰可辨认，如因证明材料模糊无法辨认，缺页、漏页导致无法进行评审认定的责任由</w:t>
      </w:r>
      <w:r>
        <w:rPr>
          <w:rFonts w:hint="eastAsia" w:ascii="仿宋" w:hAnsi="仿宋" w:eastAsia="仿宋" w:cs="仿宋"/>
          <w:color w:val="auto"/>
          <w:sz w:val="28"/>
          <w:szCs w:val="28"/>
          <w:highlight w:val="none"/>
          <w:lang w:eastAsia="zh-CN"/>
        </w:rPr>
        <w:t>投标人</w:t>
      </w:r>
      <w:r>
        <w:rPr>
          <w:rFonts w:hint="eastAsia" w:ascii="仿宋" w:hAnsi="仿宋" w:eastAsia="仿宋" w:cs="仿宋"/>
          <w:color w:val="auto"/>
          <w:sz w:val="28"/>
          <w:szCs w:val="28"/>
          <w:highlight w:val="none"/>
        </w:rPr>
        <w:t>自负。</w:t>
      </w:r>
    </w:p>
    <w:p w14:paraId="70D56290">
      <w:pPr>
        <w:ind w:firstLine="48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w:t>
      </w:r>
      <w:r>
        <w:rPr>
          <w:rFonts w:hint="eastAsia" w:ascii="仿宋" w:hAnsi="仿宋" w:eastAsia="仿宋" w:cs="仿宋"/>
          <w:color w:val="auto"/>
          <w:sz w:val="28"/>
          <w:szCs w:val="28"/>
          <w:highlight w:val="none"/>
          <w:lang w:val="zh-CN"/>
        </w:rPr>
        <w:t>信用信息核</w:t>
      </w:r>
      <w:r>
        <w:rPr>
          <w:rFonts w:hint="eastAsia" w:ascii="仿宋" w:hAnsi="仿宋" w:eastAsia="仿宋" w:cs="仿宋"/>
          <w:color w:val="auto"/>
          <w:sz w:val="28"/>
          <w:szCs w:val="28"/>
          <w:highlight w:val="none"/>
        </w:rPr>
        <w:t>查</w:t>
      </w:r>
    </w:p>
    <w:p w14:paraId="5A1344A2">
      <w:pPr>
        <w:ind w:firstLine="48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2.1资格审查当日应当核查</w:t>
      </w:r>
      <w:r>
        <w:rPr>
          <w:rFonts w:hint="eastAsia" w:ascii="仿宋" w:hAnsi="仿宋" w:eastAsia="仿宋" w:cs="仿宋"/>
          <w:color w:val="auto"/>
          <w:sz w:val="28"/>
          <w:szCs w:val="28"/>
          <w:highlight w:val="none"/>
          <w:lang w:eastAsia="zh-CN"/>
        </w:rPr>
        <w:t>投标人</w:t>
      </w:r>
      <w:r>
        <w:rPr>
          <w:rFonts w:hint="eastAsia" w:ascii="仿宋" w:hAnsi="仿宋" w:eastAsia="仿宋" w:cs="仿宋"/>
          <w:color w:val="auto"/>
          <w:sz w:val="28"/>
          <w:szCs w:val="28"/>
          <w:highlight w:val="none"/>
        </w:rPr>
        <w:t>信用记录，</w:t>
      </w:r>
      <w:r>
        <w:rPr>
          <w:rFonts w:hint="eastAsia" w:ascii="仿宋" w:hAnsi="仿宋" w:eastAsia="仿宋" w:cs="仿宋"/>
          <w:color w:val="auto"/>
          <w:sz w:val="28"/>
          <w:szCs w:val="28"/>
          <w:highlight w:val="none"/>
          <w:lang w:eastAsia="zh-CN"/>
        </w:rPr>
        <w:t>投标人</w:t>
      </w:r>
      <w:r>
        <w:rPr>
          <w:rFonts w:hint="eastAsia" w:ascii="仿宋" w:hAnsi="仿宋" w:eastAsia="仿宋" w:cs="仿宋"/>
          <w:color w:val="auto"/>
          <w:sz w:val="28"/>
          <w:szCs w:val="28"/>
          <w:highlight w:val="none"/>
        </w:rPr>
        <w:t>被列入失信被执行人、重大税收违法案件当事人名单、政府采购严重违法失信行为记录名单的，采购</w:t>
      </w:r>
      <w:r>
        <w:rPr>
          <w:rFonts w:hint="eastAsia" w:ascii="仿宋" w:hAnsi="仿宋" w:eastAsia="仿宋" w:cs="仿宋"/>
          <w:color w:val="auto"/>
          <w:sz w:val="28"/>
          <w:szCs w:val="28"/>
          <w:highlight w:val="none"/>
          <w:lang w:val="en-US" w:eastAsia="zh-CN"/>
        </w:rPr>
        <w:t>人</w:t>
      </w:r>
      <w:r>
        <w:rPr>
          <w:rFonts w:hint="eastAsia" w:ascii="仿宋" w:hAnsi="仿宋" w:eastAsia="仿宋" w:cs="仿宋"/>
          <w:color w:val="auto"/>
          <w:sz w:val="28"/>
          <w:szCs w:val="28"/>
          <w:highlight w:val="none"/>
        </w:rPr>
        <w:t>拒绝其参与政府采购活动。</w:t>
      </w:r>
    </w:p>
    <w:p w14:paraId="2AD819CA">
      <w:pPr>
        <w:ind w:firstLine="480"/>
        <w:rPr>
          <w:rFonts w:hint="eastAsia" w:ascii="仿宋" w:hAnsi="仿宋" w:eastAsia="仿宋" w:cs="仿宋"/>
          <w:color w:val="auto"/>
          <w:sz w:val="24"/>
          <w:szCs w:val="24"/>
          <w:highlight w:val="none"/>
        </w:rPr>
      </w:pPr>
      <w:r>
        <w:rPr>
          <w:rFonts w:hint="eastAsia" w:ascii="仿宋" w:hAnsi="仿宋" w:eastAsia="仿宋" w:cs="仿宋"/>
          <w:color w:val="auto"/>
          <w:sz w:val="28"/>
          <w:szCs w:val="28"/>
          <w:highlight w:val="none"/>
        </w:rPr>
        <w:t>3.对于投标文件中有任意一条不满足上表要求的将导致其投标无效，不进入下一项评审。</w:t>
      </w:r>
      <w:bookmarkEnd w:id="322"/>
      <w:bookmarkEnd w:id="323"/>
      <w:bookmarkEnd w:id="324"/>
      <w:bookmarkEnd w:id="325"/>
      <w:bookmarkEnd w:id="326"/>
      <w:bookmarkEnd w:id="327"/>
      <w:bookmarkEnd w:id="328"/>
      <w:bookmarkEnd w:id="329"/>
    </w:p>
    <w:p w14:paraId="1693CC47">
      <w:pPr>
        <w:pStyle w:val="55"/>
        <w:rPr>
          <w:rFonts w:hint="eastAsia" w:ascii="仿宋" w:hAnsi="仿宋" w:eastAsia="仿宋" w:cs="仿宋"/>
          <w:color w:val="auto"/>
          <w:highlight w:val="none"/>
        </w:rPr>
      </w:pPr>
      <w:r>
        <w:rPr>
          <w:rFonts w:hint="eastAsia" w:ascii="仿宋" w:hAnsi="仿宋" w:eastAsia="仿宋" w:cs="仿宋"/>
          <w:color w:val="auto"/>
          <w:highlight w:val="none"/>
        </w:rPr>
        <w:br w:type="page"/>
      </w:r>
    </w:p>
    <w:p w14:paraId="5F9E1745">
      <w:pPr>
        <w:pStyle w:val="2"/>
        <w:adjustRightInd/>
        <w:snapToGrid/>
        <w:rPr>
          <w:rFonts w:hint="eastAsia" w:ascii="仿宋" w:hAnsi="仿宋" w:eastAsia="仿宋" w:cs="仿宋"/>
          <w:color w:val="auto"/>
          <w:highlight w:val="none"/>
        </w:rPr>
      </w:pPr>
      <w:bookmarkStart w:id="331" w:name="_Toc12721"/>
      <w:bookmarkStart w:id="332" w:name="_Toc163492899"/>
      <w:r>
        <w:rPr>
          <w:rFonts w:hint="eastAsia" w:ascii="仿宋" w:hAnsi="仿宋" w:eastAsia="仿宋" w:cs="仿宋"/>
          <w:color w:val="auto"/>
          <w:highlight w:val="none"/>
        </w:rPr>
        <w:t>第五章 评标办法</w:t>
      </w:r>
      <w:bookmarkEnd w:id="330"/>
      <w:r>
        <w:rPr>
          <w:rFonts w:hint="eastAsia" w:ascii="仿宋" w:hAnsi="仿宋" w:eastAsia="仿宋" w:cs="仿宋"/>
          <w:color w:val="auto"/>
          <w:highlight w:val="none"/>
        </w:rPr>
        <w:t>及标准</w:t>
      </w:r>
      <w:bookmarkEnd w:id="331"/>
      <w:bookmarkEnd w:id="332"/>
    </w:p>
    <w:p w14:paraId="62514B1A">
      <w:pPr>
        <w:ind w:firstLine="560"/>
        <w:rPr>
          <w:rFonts w:hint="eastAsia" w:ascii="仿宋" w:hAnsi="仿宋" w:eastAsia="仿宋" w:cs="仿宋"/>
          <w:color w:val="auto"/>
          <w:highlight w:val="none"/>
        </w:rPr>
      </w:pPr>
      <w:r>
        <w:rPr>
          <w:rFonts w:hint="eastAsia" w:ascii="仿宋" w:hAnsi="仿宋" w:eastAsia="仿宋" w:cs="仿宋"/>
          <w:color w:val="auto"/>
          <w:highlight w:val="none"/>
        </w:rPr>
        <w:t>根据《中华人民共和国政府采购法》及其实施条例、《政府采购货物和服务招标投标管理办法</w:t>
      </w:r>
      <w:r>
        <w:rPr>
          <w:rFonts w:hint="eastAsia" w:ascii="仿宋" w:hAnsi="仿宋" w:eastAsia="仿宋" w:cs="仿宋"/>
          <w:color w:val="auto"/>
          <w:highlight w:val="none"/>
          <w:lang w:eastAsia="zh-CN"/>
        </w:rPr>
        <w:t>》等</w:t>
      </w:r>
      <w:r>
        <w:rPr>
          <w:rFonts w:hint="eastAsia" w:ascii="仿宋" w:hAnsi="仿宋" w:eastAsia="仿宋" w:cs="仿宋"/>
          <w:color w:val="auto"/>
          <w:highlight w:val="none"/>
        </w:rPr>
        <w:t>相关法律法规确定以下评标办法及标准。</w:t>
      </w:r>
    </w:p>
    <w:p w14:paraId="4C4EFF80">
      <w:pPr>
        <w:pStyle w:val="3"/>
        <w:spacing w:before="93" w:after="93"/>
        <w:ind w:firstLine="643"/>
        <w:rPr>
          <w:rFonts w:hint="eastAsia" w:ascii="仿宋" w:hAnsi="仿宋" w:eastAsia="仿宋" w:cs="仿宋"/>
          <w:color w:val="auto"/>
          <w:highlight w:val="none"/>
          <w:lang w:val="zh-CN"/>
        </w:rPr>
      </w:pPr>
      <w:bookmarkStart w:id="333" w:name="_Toc13068"/>
      <w:bookmarkStart w:id="334" w:name="_Toc163492900"/>
      <w:bookmarkStart w:id="335" w:name="_Toc109899903"/>
      <w:bookmarkStart w:id="336" w:name="_Toc109899484"/>
      <w:bookmarkStart w:id="337" w:name="_Toc494561962"/>
      <w:bookmarkStart w:id="338" w:name="_Toc272247709"/>
      <w:bookmarkStart w:id="339" w:name="_Toc140132826"/>
      <w:bookmarkStart w:id="340" w:name="_Toc155185905"/>
      <w:bookmarkStart w:id="341" w:name="_Toc61280402"/>
      <w:bookmarkStart w:id="342" w:name="_Toc109900322"/>
      <w:bookmarkStart w:id="343" w:name="_Toc278891606"/>
      <w:bookmarkStart w:id="344" w:name="_Toc511894518"/>
      <w:r>
        <w:rPr>
          <w:rFonts w:hint="eastAsia" w:ascii="仿宋" w:hAnsi="仿宋" w:eastAsia="仿宋" w:cs="仿宋"/>
          <w:color w:val="auto"/>
          <w:highlight w:val="none"/>
        </w:rPr>
        <w:t>一、</w:t>
      </w:r>
      <w:r>
        <w:rPr>
          <w:rFonts w:hint="eastAsia" w:ascii="仿宋" w:hAnsi="仿宋" w:eastAsia="仿宋" w:cs="仿宋"/>
          <w:color w:val="auto"/>
          <w:highlight w:val="none"/>
          <w:lang w:val="zh-CN"/>
        </w:rPr>
        <w:t>评标办法前附表</w:t>
      </w:r>
      <w:bookmarkEnd w:id="333"/>
      <w:bookmarkEnd w:id="334"/>
    </w:p>
    <w:p w14:paraId="77C098B4">
      <w:pPr>
        <w:ind w:firstLine="560"/>
        <w:rPr>
          <w:rFonts w:hint="eastAsia" w:ascii="仿宋" w:hAnsi="仿宋" w:eastAsia="仿宋" w:cs="仿宋"/>
          <w:color w:val="auto"/>
          <w:highlight w:val="none"/>
        </w:rPr>
      </w:pPr>
      <w:r>
        <w:rPr>
          <w:rFonts w:hint="eastAsia" w:ascii="仿宋" w:hAnsi="仿宋" w:eastAsia="仿宋" w:cs="仿宋"/>
          <w:color w:val="auto"/>
          <w:highlight w:val="none"/>
        </w:rPr>
        <w:t>下面所列资料是对评标方法和评标程序的具体补充和说明。如有矛盾，应以本表为准。</w:t>
      </w:r>
    </w:p>
    <w:tbl>
      <w:tblPr>
        <w:tblStyle w:val="35"/>
        <w:tblW w:w="4997" w:type="pct"/>
        <w:tblInd w:w="0"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autofit"/>
        <w:tblCellMar>
          <w:top w:w="57" w:type="dxa"/>
          <w:left w:w="108" w:type="dxa"/>
          <w:bottom w:w="57" w:type="dxa"/>
          <w:right w:w="108" w:type="dxa"/>
        </w:tblCellMar>
      </w:tblPr>
      <w:tblGrid>
        <w:gridCol w:w="1103"/>
        <w:gridCol w:w="1657"/>
        <w:gridCol w:w="6970"/>
      </w:tblGrid>
      <w:tr w14:paraId="70CDB695">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90" w:hRule="atLeast"/>
          <w:tblHeader/>
        </w:trPr>
        <w:tc>
          <w:tcPr>
            <w:tcW w:w="567" w:type="pct"/>
            <w:tcBorders>
              <w:top w:val="single" w:color="auto" w:sz="4" w:space="0"/>
              <w:left w:val="single" w:color="auto" w:sz="4" w:space="0"/>
              <w:bottom w:val="single" w:color="auto" w:sz="4" w:space="0"/>
              <w:right w:val="single" w:color="auto" w:sz="4" w:space="0"/>
            </w:tcBorders>
            <w:shd w:val="clear" w:color="auto" w:fill="BDD6EE" w:themeFill="accent5" w:themeFillTint="66"/>
            <w:vAlign w:val="center"/>
          </w:tcPr>
          <w:p w14:paraId="7DD08331">
            <w:pPr>
              <w:pStyle w:val="20"/>
              <w:spacing w:line="24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条款号</w:t>
            </w:r>
          </w:p>
        </w:tc>
        <w:tc>
          <w:tcPr>
            <w:tcW w:w="851" w:type="pct"/>
            <w:tcBorders>
              <w:top w:val="single" w:color="auto" w:sz="4" w:space="0"/>
              <w:left w:val="single" w:color="auto" w:sz="4" w:space="0"/>
              <w:bottom w:val="single" w:color="auto" w:sz="4" w:space="0"/>
              <w:right w:val="single" w:color="auto" w:sz="4" w:space="0"/>
            </w:tcBorders>
            <w:shd w:val="clear" w:color="auto" w:fill="BDD6EE" w:themeFill="accent5" w:themeFillTint="66"/>
            <w:vAlign w:val="center"/>
          </w:tcPr>
          <w:p w14:paraId="656F8EC2">
            <w:pPr>
              <w:pStyle w:val="20"/>
              <w:spacing w:line="24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条款名称</w:t>
            </w:r>
          </w:p>
        </w:tc>
        <w:tc>
          <w:tcPr>
            <w:tcW w:w="3580" w:type="pct"/>
            <w:tcBorders>
              <w:top w:val="single" w:color="auto" w:sz="4" w:space="0"/>
              <w:left w:val="single" w:color="auto" w:sz="4" w:space="0"/>
              <w:bottom w:val="single" w:color="auto" w:sz="4" w:space="0"/>
              <w:right w:val="single" w:color="auto" w:sz="4" w:space="0"/>
            </w:tcBorders>
            <w:shd w:val="clear" w:color="auto" w:fill="BDD6EE" w:themeFill="accent5" w:themeFillTint="66"/>
            <w:vAlign w:val="center"/>
          </w:tcPr>
          <w:p w14:paraId="3AFD2155">
            <w:pPr>
              <w:pStyle w:val="20"/>
              <w:spacing w:line="24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内  容</w:t>
            </w:r>
          </w:p>
        </w:tc>
      </w:tr>
      <w:tr w14:paraId="50F24ECA">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144" w:hRule="atLeast"/>
        </w:trPr>
        <w:tc>
          <w:tcPr>
            <w:tcW w:w="567" w:type="pct"/>
            <w:tcBorders>
              <w:top w:val="single" w:color="auto" w:sz="4" w:space="0"/>
            </w:tcBorders>
            <w:vAlign w:val="center"/>
          </w:tcPr>
          <w:p w14:paraId="6017901E">
            <w:pPr>
              <w:pStyle w:val="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7.1</w:t>
            </w:r>
          </w:p>
        </w:tc>
        <w:tc>
          <w:tcPr>
            <w:tcW w:w="851" w:type="pct"/>
            <w:tcBorders>
              <w:top w:val="single" w:color="auto" w:sz="4" w:space="0"/>
            </w:tcBorders>
            <w:vAlign w:val="center"/>
          </w:tcPr>
          <w:p w14:paraId="01CC105B">
            <w:pPr>
              <w:pStyle w:val="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报价修正规定</w:t>
            </w:r>
          </w:p>
        </w:tc>
        <w:tc>
          <w:tcPr>
            <w:tcW w:w="3580" w:type="pct"/>
            <w:tcBorders>
              <w:top w:val="single" w:color="auto" w:sz="4" w:space="0"/>
            </w:tcBorders>
            <w:vAlign w:val="center"/>
          </w:tcPr>
          <w:p w14:paraId="68CF1C69">
            <w:pPr>
              <w:pStyle w:val="2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（1）投标文件中开标一览表（</w:t>
            </w:r>
            <w:r>
              <w:rPr>
                <w:rFonts w:hint="eastAsia" w:ascii="仿宋" w:hAnsi="仿宋" w:eastAsia="仿宋" w:cs="仿宋"/>
                <w:color w:val="auto"/>
                <w:sz w:val="24"/>
                <w:szCs w:val="24"/>
                <w:highlight w:val="none"/>
                <w:lang w:val="en-US" w:eastAsia="zh-CN"/>
              </w:rPr>
              <w:t>或</w:t>
            </w:r>
            <w:r>
              <w:rPr>
                <w:rFonts w:hint="eastAsia" w:ascii="仿宋" w:hAnsi="仿宋" w:eastAsia="仿宋" w:cs="仿宋"/>
                <w:color w:val="auto"/>
                <w:sz w:val="24"/>
                <w:szCs w:val="24"/>
                <w:highlight w:val="none"/>
              </w:rPr>
              <w:t>投标分项报价表）内容与投标文件中相应内容不一致的，以开标一览表（</w:t>
            </w:r>
            <w:r>
              <w:rPr>
                <w:rFonts w:hint="eastAsia" w:ascii="仿宋" w:hAnsi="仿宋" w:eastAsia="仿宋" w:cs="仿宋"/>
                <w:color w:val="auto"/>
                <w:sz w:val="24"/>
                <w:szCs w:val="24"/>
                <w:highlight w:val="none"/>
                <w:lang w:val="en-US" w:eastAsia="zh-CN"/>
              </w:rPr>
              <w:t>或</w:t>
            </w:r>
            <w:r>
              <w:rPr>
                <w:rFonts w:hint="eastAsia" w:ascii="仿宋" w:hAnsi="仿宋" w:eastAsia="仿宋" w:cs="仿宋"/>
                <w:color w:val="auto"/>
                <w:sz w:val="24"/>
                <w:szCs w:val="24"/>
                <w:highlight w:val="none"/>
              </w:rPr>
              <w:t>投标分项报价表）为准；</w:t>
            </w:r>
          </w:p>
          <w:p w14:paraId="1A2A49AD">
            <w:pPr>
              <w:pStyle w:val="2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（2）大写金额和小写金额不一致的，以大写金额为准；</w:t>
            </w:r>
          </w:p>
          <w:p w14:paraId="23FF717C">
            <w:pPr>
              <w:pStyle w:val="2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（3）单价金额小数点或者百分比有明显错位的，以开标一览表的总价为准，并修改单价；</w:t>
            </w:r>
          </w:p>
          <w:p w14:paraId="086B521B">
            <w:pPr>
              <w:pStyle w:val="2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（4）总价金额与按单价汇总金额不一致的，以单价金额计算结果为准。</w:t>
            </w:r>
          </w:p>
          <w:p w14:paraId="5A359788">
            <w:pPr>
              <w:pStyle w:val="2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（5）同时出现两种以上不一致的，按照前款规定的顺序修正。</w:t>
            </w:r>
          </w:p>
        </w:tc>
      </w:tr>
      <w:tr w14:paraId="2346FC26">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567" w:type="pct"/>
            <w:vAlign w:val="center"/>
          </w:tcPr>
          <w:p w14:paraId="43C2BC7A">
            <w:pPr>
              <w:pStyle w:val="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8.2</w:t>
            </w:r>
          </w:p>
        </w:tc>
        <w:tc>
          <w:tcPr>
            <w:tcW w:w="851" w:type="pct"/>
            <w:vAlign w:val="center"/>
          </w:tcPr>
          <w:p w14:paraId="4A445DB6">
            <w:pPr>
              <w:pStyle w:val="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评标方法</w:t>
            </w:r>
          </w:p>
        </w:tc>
        <w:tc>
          <w:tcPr>
            <w:tcW w:w="3580" w:type="pct"/>
            <w:vAlign w:val="center"/>
          </w:tcPr>
          <w:p w14:paraId="43B75520">
            <w:pPr>
              <w:pStyle w:val="2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综合评分法</w:t>
            </w:r>
          </w:p>
        </w:tc>
      </w:tr>
      <w:tr w14:paraId="599C15B4">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567" w:type="pct"/>
            <w:vAlign w:val="center"/>
          </w:tcPr>
          <w:p w14:paraId="54100EB1">
            <w:pPr>
              <w:pStyle w:val="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.1</w:t>
            </w:r>
          </w:p>
        </w:tc>
        <w:tc>
          <w:tcPr>
            <w:tcW w:w="851" w:type="pct"/>
            <w:vAlign w:val="center"/>
          </w:tcPr>
          <w:p w14:paraId="482AB522">
            <w:pPr>
              <w:pStyle w:val="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相同品牌中标候选人推荐方式</w:t>
            </w:r>
          </w:p>
        </w:tc>
        <w:tc>
          <w:tcPr>
            <w:tcW w:w="3580" w:type="pct"/>
            <w:vAlign w:val="center"/>
          </w:tcPr>
          <w:p w14:paraId="60C03C46">
            <w:pPr>
              <w:pStyle w:val="2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提供相同品牌产品且通过资格审查、符合性审查的不同</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参加同一合同项下投标的，按一家</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计算，评审后得分最高的同品牌</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获得中标人推荐资格</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评审得分相同的，由采购人或者采购人委托评标委员会按照</w:t>
            </w:r>
            <w:r>
              <w:rPr>
                <w:rFonts w:hint="eastAsia" w:ascii="仿宋" w:hAnsi="仿宋" w:eastAsia="仿宋" w:cs="仿宋"/>
                <w:color w:val="auto"/>
                <w:sz w:val="24"/>
                <w:szCs w:val="24"/>
                <w:highlight w:val="none"/>
                <w:lang w:val="en-US" w:eastAsia="zh-CN"/>
              </w:rPr>
              <w:t>技术部分得分高优先</w:t>
            </w:r>
            <w:r>
              <w:rPr>
                <w:rFonts w:hint="eastAsia" w:ascii="仿宋" w:hAnsi="仿宋" w:eastAsia="仿宋" w:cs="仿宋"/>
                <w:color w:val="auto"/>
                <w:sz w:val="24"/>
                <w:szCs w:val="24"/>
                <w:highlight w:val="none"/>
              </w:rPr>
              <w:t>的方式确定一个</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获得中标人推荐资格，</w:t>
            </w:r>
            <w:r>
              <w:rPr>
                <w:rFonts w:hint="eastAsia" w:ascii="仿宋" w:hAnsi="仿宋" w:eastAsia="仿宋" w:cs="仿宋"/>
                <w:color w:val="auto"/>
                <w:sz w:val="24"/>
                <w:szCs w:val="24"/>
                <w:highlight w:val="none"/>
                <w:lang w:eastAsia="zh-CN"/>
              </w:rPr>
              <w:t>招标文件</w:t>
            </w:r>
            <w:r>
              <w:rPr>
                <w:rFonts w:hint="eastAsia" w:ascii="仿宋" w:hAnsi="仿宋" w:eastAsia="仿宋" w:cs="仿宋"/>
                <w:color w:val="auto"/>
                <w:sz w:val="24"/>
                <w:szCs w:val="24"/>
                <w:highlight w:val="none"/>
              </w:rPr>
              <w:t>未规定的</w:t>
            </w:r>
            <w:r>
              <w:rPr>
                <w:rFonts w:hint="eastAsia" w:ascii="仿宋" w:hAnsi="仿宋" w:eastAsia="仿宋" w:cs="仿宋"/>
                <w:color w:val="auto"/>
                <w:sz w:val="24"/>
                <w:szCs w:val="24"/>
                <w:highlight w:val="none"/>
                <w:lang w:val="en-US" w:eastAsia="zh-CN"/>
              </w:rPr>
              <w:t>由</w:t>
            </w:r>
            <w:r>
              <w:rPr>
                <w:rFonts w:hint="eastAsia" w:ascii="仿宋" w:hAnsi="仿宋" w:eastAsia="仿宋" w:cs="仿宋"/>
                <w:color w:val="auto"/>
                <w:sz w:val="24"/>
                <w:szCs w:val="24"/>
                <w:highlight w:val="none"/>
              </w:rPr>
              <w:t>评标委员会采取随机抽取方式确定，其他同品牌</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不作为中标候选人。</w:t>
            </w:r>
          </w:p>
          <w:p w14:paraId="3BAE1F6F">
            <w:pPr>
              <w:pStyle w:val="2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非单一产品采购项目的核心产品，多家</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提供的核心产品品牌相同的，按前款规定处理。</w:t>
            </w:r>
          </w:p>
        </w:tc>
      </w:tr>
      <w:tr w14:paraId="65E8D0B8">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567" w:type="pct"/>
            <w:vAlign w:val="center"/>
          </w:tcPr>
          <w:p w14:paraId="722130CD">
            <w:pPr>
              <w:pStyle w:val="2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val="en-US" w:eastAsia="zh-CN"/>
              </w:rPr>
              <w:t>2</w:t>
            </w:r>
          </w:p>
        </w:tc>
        <w:tc>
          <w:tcPr>
            <w:tcW w:w="851" w:type="pct"/>
            <w:vAlign w:val="center"/>
          </w:tcPr>
          <w:p w14:paraId="5269CB18">
            <w:pPr>
              <w:pStyle w:val="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中标候选人排序方式</w:t>
            </w:r>
          </w:p>
        </w:tc>
        <w:tc>
          <w:tcPr>
            <w:tcW w:w="3580" w:type="pct"/>
            <w:vAlign w:val="center"/>
          </w:tcPr>
          <w:p w14:paraId="1363D390">
            <w:pPr>
              <w:pStyle w:val="2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评标结果排序按评审后得分由高到低顺序排列。得分相同的，按投标报价由低到高顺序排列。得分且投标报价相同的并列。投标文件满足</w:t>
            </w:r>
            <w:r>
              <w:rPr>
                <w:rFonts w:hint="eastAsia" w:ascii="仿宋" w:hAnsi="仿宋" w:eastAsia="仿宋" w:cs="仿宋"/>
                <w:color w:val="auto"/>
                <w:sz w:val="24"/>
                <w:szCs w:val="24"/>
                <w:highlight w:val="none"/>
                <w:lang w:eastAsia="zh-CN"/>
              </w:rPr>
              <w:t>招标文件</w:t>
            </w:r>
            <w:r>
              <w:rPr>
                <w:rFonts w:hint="eastAsia" w:ascii="仿宋" w:hAnsi="仿宋" w:eastAsia="仿宋" w:cs="仿宋"/>
                <w:color w:val="auto"/>
                <w:sz w:val="24"/>
                <w:szCs w:val="24"/>
                <w:highlight w:val="none"/>
              </w:rPr>
              <w:t>全部实质性要求，且按照评审因素的量化指标评审得分最高的</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为排名第一的中标候选人。</w:t>
            </w:r>
          </w:p>
        </w:tc>
      </w:tr>
    </w:tbl>
    <w:p w14:paraId="55B3876B">
      <w:pPr>
        <w:pStyle w:val="3"/>
        <w:spacing w:before="93" w:after="93"/>
        <w:ind w:firstLine="643"/>
        <w:rPr>
          <w:rFonts w:hint="eastAsia" w:ascii="仿宋" w:hAnsi="仿宋" w:eastAsia="仿宋" w:cs="仿宋"/>
          <w:color w:val="auto"/>
          <w:highlight w:val="none"/>
          <w:lang w:val="zh-CN"/>
        </w:rPr>
      </w:pPr>
      <w:bookmarkStart w:id="345" w:name="_Toc2853"/>
      <w:bookmarkStart w:id="346" w:name="_Toc163492901"/>
      <w:r>
        <w:rPr>
          <w:rFonts w:hint="eastAsia" w:ascii="仿宋" w:hAnsi="仿宋" w:eastAsia="仿宋" w:cs="仿宋"/>
          <w:color w:val="auto"/>
          <w:highlight w:val="none"/>
        </w:rPr>
        <w:t>二、</w:t>
      </w:r>
      <w:r>
        <w:rPr>
          <w:rFonts w:hint="eastAsia" w:ascii="仿宋" w:hAnsi="仿宋" w:eastAsia="仿宋" w:cs="仿宋"/>
          <w:color w:val="auto"/>
          <w:highlight w:val="none"/>
          <w:lang w:val="zh-CN"/>
        </w:rPr>
        <w:t>评标程序</w:t>
      </w:r>
      <w:bookmarkEnd w:id="335"/>
      <w:bookmarkEnd w:id="336"/>
      <w:bookmarkEnd w:id="337"/>
      <w:bookmarkEnd w:id="338"/>
      <w:bookmarkEnd w:id="339"/>
      <w:bookmarkEnd w:id="340"/>
      <w:bookmarkEnd w:id="341"/>
      <w:bookmarkEnd w:id="342"/>
      <w:bookmarkEnd w:id="343"/>
      <w:bookmarkEnd w:id="344"/>
      <w:bookmarkEnd w:id="345"/>
      <w:bookmarkEnd w:id="346"/>
    </w:p>
    <w:p w14:paraId="5A978398">
      <w:pPr>
        <w:pStyle w:val="5"/>
        <w:ind w:firstLine="602"/>
        <w:jc w:val="both"/>
        <w:rPr>
          <w:rFonts w:hint="eastAsia" w:ascii="仿宋" w:hAnsi="仿宋" w:eastAsia="仿宋" w:cs="仿宋"/>
          <w:color w:val="auto"/>
          <w:highlight w:val="none"/>
          <w:lang w:val="zh-CN"/>
        </w:rPr>
      </w:pPr>
      <w:bookmarkStart w:id="347" w:name="_Toc163492902"/>
      <w:bookmarkStart w:id="348" w:name="_Toc25103"/>
      <w:bookmarkStart w:id="349" w:name="_Toc4617"/>
      <w:bookmarkStart w:id="350" w:name="_Toc2911"/>
      <w:r>
        <w:rPr>
          <w:rFonts w:hint="eastAsia" w:ascii="仿宋" w:hAnsi="仿宋" w:eastAsia="仿宋" w:cs="仿宋"/>
          <w:color w:val="auto"/>
          <w:highlight w:val="none"/>
          <w:lang w:val="zh-CN"/>
        </w:rPr>
        <w:t>（</w:t>
      </w:r>
      <w:r>
        <w:rPr>
          <w:rFonts w:hint="eastAsia" w:ascii="仿宋" w:hAnsi="仿宋" w:eastAsia="仿宋" w:cs="仿宋"/>
          <w:color w:val="auto"/>
          <w:highlight w:val="none"/>
        </w:rPr>
        <w:t>一</w:t>
      </w:r>
      <w:r>
        <w:rPr>
          <w:rFonts w:hint="eastAsia" w:ascii="仿宋" w:hAnsi="仿宋" w:eastAsia="仿宋" w:cs="仿宋"/>
          <w:color w:val="auto"/>
          <w:highlight w:val="none"/>
          <w:lang w:val="zh-CN"/>
        </w:rPr>
        <w:t>）符合性审查</w:t>
      </w:r>
      <w:bookmarkEnd w:id="347"/>
      <w:bookmarkEnd w:id="348"/>
      <w:bookmarkEnd w:id="349"/>
      <w:bookmarkEnd w:id="350"/>
    </w:p>
    <w:p w14:paraId="3533AFBC">
      <w:pPr>
        <w:ind w:firstLine="548" w:firstLineChars="196"/>
        <w:rPr>
          <w:rFonts w:hint="eastAsia" w:ascii="仿宋" w:hAnsi="仿宋" w:eastAsia="仿宋" w:cs="仿宋"/>
          <w:color w:val="auto"/>
          <w:highlight w:val="none"/>
          <w:lang w:val="zh-CN"/>
        </w:rPr>
      </w:pPr>
      <w:r>
        <w:rPr>
          <w:rFonts w:hint="eastAsia" w:ascii="仿宋" w:hAnsi="仿宋" w:eastAsia="仿宋" w:cs="仿宋"/>
          <w:color w:val="auto"/>
          <w:highlight w:val="none"/>
        </w:rPr>
        <w:t>1.</w:t>
      </w:r>
      <w:r>
        <w:rPr>
          <w:rFonts w:hint="eastAsia" w:ascii="仿宋" w:hAnsi="仿宋" w:eastAsia="仿宋" w:cs="仿宋"/>
          <w:color w:val="auto"/>
          <w:highlight w:val="none"/>
          <w:lang w:val="zh-CN"/>
        </w:rPr>
        <w:t>评标委员会应当按照本章“三、评标标准”中“（一）符合性审查”的内容对通过资格审查的投标人的投标文件进行符合性审查，以确定其是否满足招标文件实质性要求。不满足招标文件实质性要求的按照</w:t>
      </w:r>
      <w:r>
        <w:rPr>
          <w:rFonts w:hint="eastAsia" w:ascii="仿宋" w:hAnsi="仿宋" w:eastAsia="仿宋" w:cs="仿宋"/>
          <w:b/>
          <w:bCs/>
          <w:color w:val="auto"/>
          <w:highlight w:val="none"/>
          <w:lang w:val="zh-CN"/>
        </w:rPr>
        <w:t>无效投标</w:t>
      </w:r>
      <w:r>
        <w:rPr>
          <w:rFonts w:hint="eastAsia" w:ascii="仿宋" w:hAnsi="仿宋" w:eastAsia="仿宋" w:cs="仿宋"/>
          <w:color w:val="auto"/>
          <w:highlight w:val="none"/>
          <w:lang w:val="zh-CN"/>
        </w:rPr>
        <w:t>处理。</w:t>
      </w:r>
    </w:p>
    <w:p w14:paraId="33C6C21B">
      <w:pPr>
        <w:numPr>
          <w:ilvl w:val="255"/>
          <w:numId w:val="0"/>
        </w:numPr>
        <w:ind w:firstLine="551" w:firstLineChars="196"/>
        <w:rPr>
          <w:rFonts w:hint="eastAsia" w:ascii="仿宋" w:hAnsi="仿宋" w:eastAsia="仿宋" w:cs="仿宋"/>
          <w:b/>
          <w:bCs/>
          <w:color w:val="auto"/>
          <w:highlight w:val="none"/>
          <w:lang w:val="zh-CN"/>
        </w:rPr>
      </w:pPr>
      <w:bookmarkStart w:id="351" w:name="_Hlk161614521"/>
      <w:r>
        <w:rPr>
          <w:rFonts w:hint="eastAsia" w:ascii="仿宋" w:hAnsi="仿宋" w:eastAsia="仿宋" w:cs="仿宋"/>
          <w:b/>
          <w:bCs/>
          <w:color w:val="auto"/>
          <w:highlight w:val="none"/>
        </w:rPr>
        <w:t>2.同品牌检查：</w:t>
      </w:r>
    </w:p>
    <w:p w14:paraId="3B8A6E52">
      <w:pPr>
        <w:ind w:firstLine="560"/>
        <w:rPr>
          <w:rFonts w:hint="eastAsia" w:ascii="仿宋" w:hAnsi="仿宋" w:eastAsia="仿宋" w:cs="仿宋"/>
          <w:color w:val="auto"/>
          <w:highlight w:val="none"/>
        </w:rPr>
      </w:pPr>
      <w:r>
        <w:rPr>
          <w:rFonts w:hint="eastAsia" w:ascii="仿宋" w:hAnsi="仿宋" w:eastAsia="仿宋" w:cs="仿宋"/>
          <w:color w:val="auto"/>
          <w:highlight w:val="none"/>
        </w:rPr>
        <w:t>2.1</w:t>
      </w: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rPr>
        <w:t>单一产品采购（或非单一产品采购）中的核心产品，提供相同品牌产品且通过资格审查、符合性审查的不同</w:t>
      </w:r>
      <w:r>
        <w:rPr>
          <w:rFonts w:hint="eastAsia" w:ascii="仿宋" w:hAnsi="仿宋" w:eastAsia="仿宋" w:cs="仿宋"/>
          <w:color w:val="auto"/>
          <w:highlight w:val="none"/>
          <w:lang w:eastAsia="zh-CN"/>
        </w:rPr>
        <w:t>投标人</w:t>
      </w:r>
      <w:r>
        <w:rPr>
          <w:rFonts w:hint="eastAsia" w:ascii="仿宋" w:hAnsi="仿宋" w:eastAsia="仿宋" w:cs="仿宋"/>
          <w:color w:val="auto"/>
          <w:highlight w:val="none"/>
        </w:rPr>
        <w:t>参加同一合同项下投标的，按一家</w:t>
      </w:r>
      <w:r>
        <w:rPr>
          <w:rFonts w:hint="eastAsia" w:ascii="仿宋" w:hAnsi="仿宋" w:eastAsia="仿宋" w:cs="仿宋"/>
          <w:color w:val="auto"/>
          <w:highlight w:val="none"/>
          <w:lang w:eastAsia="zh-CN"/>
        </w:rPr>
        <w:t>投标人</w:t>
      </w:r>
      <w:r>
        <w:rPr>
          <w:rFonts w:hint="eastAsia" w:ascii="仿宋" w:hAnsi="仿宋" w:eastAsia="仿宋" w:cs="仿宋"/>
          <w:color w:val="auto"/>
          <w:highlight w:val="none"/>
        </w:rPr>
        <w:t>计算。</w:t>
      </w:r>
    </w:p>
    <w:p w14:paraId="52374954">
      <w:pPr>
        <w:ind w:firstLine="560"/>
        <w:rPr>
          <w:rFonts w:hint="eastAsia" w:ascii="仿宋" w:hAnsi="仿宋" w:eastAsia="仿宋" w:cs="仿宋"/>
          <w:color w:val="auto"/>
          <w:highlight w:val="none"/>
        </w:rPr>
      </w:pPr>
      <w:r>
        <w:rPr>
          <w:rFonts w:hint="eastAsia" w:ascii="仿宋" w:hAnsi="仿宋" w:eastAsia="仿宋" w:cs="仿宋"/>
          <w:color w:val="auto"/>
          <w:highlight w:val="none"/>
        </w:rPr>
        <w:t>2.2</w:t>
      </w: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rPr>
        <w:t>非单一产品采购项目，采购人应当根据采购项目技术构成、产品价格比重等合理确定一个核心产品（采购清单中作“与核心产品相同〈或同一〉品牌”实质性要求的产品，视为一个核心产品），并以“核心产品”在</w:t>
      </w:r>
      <w:r>
        <w:rPr>
          <w:rFonts w:hint="eastAsia" w:ascii="仿宋" w:hAnsi="仿宋" w:eastAsia="仿宋" w:cs="仿宋"/>
          <w:color w:val="auto"/>
          <w:highlight w:val="none"/>
          <w:lang w:eastAsia="zh-CN"/>
        </w:rPr>
        <w:t>招标文件</w:t>
      </w:r>
      <w:r>
        <w:rPr>
          <w:rFonts w:hint="eastAsia" w:ascii="仿宋" w:hAnsi="仿宋" w:eastAsia="仿宋" w:cs="仿宋"/>
          <w:color w:val="auto"/>
          <w:highlight w:val="none"/>
        </w:rPr>
        <w:t>中载明，评审时按前款规定处理。</w:t>
      </w:r>
    </w:p>
    <w:p w14:paraId="1103FC16">
      <w:pPr>
        <w:pStyle w:val="47"/>
        <w:ind w:firstLine="560"/>
        <w:rPr>
          <w:rFonts w:hint="eastAsia" w:ascii="仿宋" w:hAnsi="仿宋" w:eastAsia="仿宋" w:cs="仿宋"/>
          <w:color w:val="auto"/>
          <w:highlight w:val="none"/>
        </w:rPr>
      </w:pPr>
      <w:r>
        <w:rPr>
          <w:rFonts w:hint="eastAsia" w:ascii="仿宋" w:hAnsi="仿宋" w:eastAsia="仿宋" w:cs="仿宋"/>
          <w:color w:val="auto"/>
          <w:highlight w:val="none"/>
        </w:rPr>
        <w:t>2.3</w:t>
      </w: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rPr>
        <w:t>有效投标品牌不足3家的应按</w:t>
      </w:r>
      <w:r>
        <w:rPr>
          <w:rFonts w:hint="eastAsia" w:ascii="仿宋" w:hAnsi="仿宋" w:eastAsia="仿宋" w:cs="仿宋"/>
          <w:b/>
          <w:bCs/>
          <w:color w:val="auto"/>
          <w:highlight w:val="none"/>
        </w:rPr>
        <w:t>废标</w:t>
      </w:r>
      <w:r>
        <w:rPr>
          <w:rFonts w:hint="eastAsia" w:ascii="仿宋" w:hAnsi="仿宋" w:eastAsia="仿宋" w:cs="仿宋"/>
          <w:color w:val="auto"/>
          <w:highlight w:val="none"/>
        </w:rPr>
        <w:t>处理。</w:t>
      </w:r>
    </w:p>
    <w:bookmarkEnd w:id="351"/>
    <w:p w14:paraId="79A49505">
      <w:pPr>
        <w:pStyle w:val="5"/>
        <w:ind w:firstLine="602"/>
        <w:jc w:val="both"/>
        <w:rPr>
          <w:rFonts w:hint="eastAsia" w:ascii="仿宋" w:hAnsi="仿宋" w:eastAsia="仿宋" w:cs="仿宋"/>
          <w:color w:val="auto"/>
          <w:highlight w:val="none"/>
          <w:lang w:val="zh-CN"/>
        </w:rPr>
      </w:pPr>
      <w:bookmarkStart w:id="352" w:name="_Toc155185907"/>
      <w:bookmarkStart w:id="353" w:name="_Toc102057744"/>
      <w:bookmarkStart w:id="354" w:name="_Toc102119879"/>
      <w:bookmarkStart w:id="355" w:name="_Toc102056244"/>
      <w:bookmarkStart w:id="356" w:name="_Toc102116048"/>
      <w:bookmarkStart w:id="357" w:name="_Toc102116178"/>
      <w:bookmarkStart w:id="358" w:name="_Toc102114946"/>
      <w:bookmarkStart w:id="359" w:name="_Toc163492903"/>
      <w:bookmarkStart w:id="360" w:name="_Toc9380"/>
      <w:bookmarkStart w:id="361" w:name="_Toc7055"/>
      <w:bookmarkStart w:id="362" w:name="_Toc4315"/>
      <w:bookmarkStart w:id="363" w:name="_Toc493702305"/>
      <w:bookmarkStart w:id="364" w:name="_Toc27945260"/>
      <w:bookmarkStart w:id="365" w:name="_Toc492403836"/>
      <w:r>
        <w:rPr>
          <w:rFonts w:hint="eastAsia" w:ascii="仿宋" w:hAnsi="仿宋" w:eastAsia="仿宋" w:cs="仿宋"/>
          <w:color w:val="auto"/>
          <w:highlight w:val="none"/>
          <w:lang w:val="zh-CN"/>
        </w:rPr>
        <w:t>（</w:t>
      </w:r>
      <w:r>
        <w:rPr>
          <w:rFonts w:hint="eastAsia" w:ascii="仿宋" w:hAnsi="仿宋" w:eastAsia="仿宋" w:cs="仿宋"/>
          <w:color w:val="auto"/>
          <w:highlight w:val="none"/>
        </w:rPr>
        <w:t>二</w:t>
      </w:r>
      <w:r>
        <w:rPr>
          <w:rFonts w:hint="eastAsia" w:ascii="仿宋" w:hAnsi="仿宋" w:eastAsia="仿宋" w:cs="仿宋"/>
          <w:color w:val="auto"/>
          <w:highlight w:val="none"/>
          <w:lang w:val="zh-CN"/>
        </w:rPr>
        <w:t>）投标文件澄清</w:t>
      </w:r>
      <w:bookmarkEnd w:id="352"/>
      <w:bookmarkEnd w:id="353"/>
      <w:bookmarkEnd w:id="354"/>
      <w:bookmarkEnd w:id="355"/>
      <w:bookmarkEnd w:id="356"/>
      <w:bookmarkEnd w:id="357"/>
      <w:bookmarkEnd w:id="358"/>
      <w:r>
        <w:rPr>
          <w:rFonts w:hint="eastAsia" w:ascii="仿宋" w:hAnsi="仿宋" w:eastAsia="仿宋" w:cs="仿宋"/>
          <w:color w:val="auto"/>
          <w:highlight w:val="none"/>
        </w:rPr>
        <w:t>及修正</w:t>
      </w:r>
      <w:bookmarkEnd w:id="359"/>
      <w:bookmarkEnd w:id="360"/>
      <w:bookmarkEnd w:id="361"/>
      <w:bookmarkEnd w:id="362"/>
    </w:p>
    <w:p w14:paraId="7092BD10">
      <w:pPr>
        <w:ind w:firstLine="560"/>
        <w:rPr>
          <w:rFonts w:hint="eastAsia" w:ascii="仿宋" w:hAnsi="仿宋" w:eastAsia="仿宋" w:cs="仿宋"/>
          <w:color w:val="auto"/>
          <w:highlight w:val="none"/>
        </w:rPr>
      </w:pPr>
      <w:r>
        <w:rPr>
          <w:rFonts w:hint="eastAsia" w:ascii="仿宋" w:hAnsi="仿宋" w:eastAsia="仿宋" w:cs="仿宋"/>
          <w:color w:val="auto"/>
          <w:highlight w:val="none"/>
        </w:rPr>
        <w:t>3.评标期间，对于投标文件中含义不明确、同类问题表述不一致或者有明显文字和计算错误的内容，评标委员会应当在“政采云”平台中以书面的形式要求</w:t>
      </w:r>
      <w:r>
        <w:rPr>
          <w:rFonts w:hint="eastAsia" w:ascii="仿宋" w:hAnsi="仿宋" w:eastAsia="仿宋" w:cs="仿宋"/>
          <w:color w:val="auto"/>
          <w:highlight w:val="none"/>
          <w:lang w:eastAsia="zh-CN"/>
        </w:rPr>
        <w:t>投标人</w:t>
      </w:r>
      <w:r>
        <w:rPr>
          <w:rFonts w:hint="eastAsia" w:ascii="仿宋" w:hAnsi="仿宋" w:eastAsia="仿宋" w:cs="仿宋"/>
          <w:color w:val="auto"/>
          <w:highlight w:val="none"/>
        </w:rPr>
        <w:t>作出必要的澄清、说明或者补正。</w:t>
      </w:r>
    </w:p>
    <w:p w14:paraId="3041AE90">
      <w:pPr>
        <w:ind w:firstLine="560"/>
        <w:rPr>
          <w:rFonts w:hint="eastAsia" w:ascii="仿宋" w:hAnsi="仿宋" w:eastAsia="仿宋" w:cs="仿宋"/>
          <w:color w:val="auto"/>
          <w:highlight w:val="none"/>
        </w:rPr>
      </w:pPr>
      <w:r>
        <w:rPr>
          <w:rFonts w:hint="eastAsia" w:ascii="仿宋" w:hAnsi="仿宋" w:eastAsia="仿宋" w:cs="仿宋"/>
          <w:color w:val="auto"/>
          <w:highlight w:val="none"/>
        </w:rPr>
        <w:t>4.</w:t>
      </w:r>
      <w:r>
        <w:rPr>
          <w:rFonts w:hint="eastAsia" w:ascii="仿宋" w:hAnsi="仿宋" w:eastAsia="仿宋" w:cs="仿宋"/>
          <w:color w:val="auto"/>
          <w:highlight w:val="none"/>
          <w:lang w:eastAsia="zh-CN"/>
        </w:rPr>
        <w:t>投标人</w:t>
      </w:r>
      <w:r>
        <w:rPr>
          <w:rFonts w:hint="eastAsia" w:ascii="仿宋" w:hAnsi="仿宋" w:eastAsia="仿宋" w:cs="仿宋"/>
          <w:color w:val="auto"/>
          <w:highlight w:val="none"/>
        </w:rPr>
        <w:t>应按照评标委员会要求在规定时间内作出澄清、说明或者补正，澄清、说明或者补正不得超出投标文件的范围或者改变投标文件的实质性内容。</w:t>
      </w:r>
    </w:p>
    <w:p w14:paraId="03342970">
      <w:pPr>
        <w:ind w:firstLine="560"/>
        <w:rPr>
          <w:rFonts w:hint="eastAsia" w:ascii="仿宋" w:hAnsi="仿宋" w:eastAsia="仿宋" w:cs="仿宋"/>
          <w:color w:val="auto"/>
          <w:highlight w:val="none"/>
        </w:rPr>
      </w:pPr>
      <w:r>
        <w:rPr>
          <w:rFonts w:hint="eastAsia" w:ascii="仿宋" w:hAnsi="仿宋" w:eastAsia="仿宋" w:cs="仿宋"/>
          <w:color w:val="auto"/>
          <w:highlight w:val="none"/>
        </w:rPr>
        <w:t>5.</w:t>
      </w:r>
      <w:r>
        <w:rPr>
          <w:rFonts w:hint="eastAsia" w:ascii="仿宋" w:hAnsi="仿宋" w:eastAsia="仿宋" w:cs="仿宋"/>
          <w:color w:val="auto"/>
          <w:highlight w:val="none"/>
          <w:lang w:eastAsia="zh-CN"/>
        </w:rPr>
        <w:t>投标人</w:t>
      </w:r>
      <w:r>
        <w:rPr>
          <w:rFonts w:hint="eastAsia" w:ascii="仿宋" w:hAnsi="仿宋" w:eastAsia="仿宋" w:cs="仿宋"/>
          <w:color w:val="auto"/>
          <w:highlight w:val="none"/>
        </w:rPr>
        <w:t>的澄清、说明或者补正是其投标文件的有效组成部分，澄清、说明或者补正应当在交易系统中加盖电子印章后提交。</w:t>
      </w:r>
    </w:p>
    <w:p w14:paraId="74BFE600">
      <w:pPr>
        <w:ind w:firstLine="560"/>
        <w:rPr>
          <w:rFonts w:hint="eastAsia" w:ascii="仿宋" w:hAnsi="仿宋" w:eastAsia="仿宋" w:cs="仿宋"/>
          <w:color w:val="auto"/>
          <w:highlight w:val="none"/>
        </w:rPr>
      </w:pPr>
      <w:r>
        <w:rPr>
          <w:rFonts w:hint="eastAsia" w:ascii="仿宋" w:hAnsi="仿宋" w:eastAsia="仿宋" w:cs="仿宋"/>
          <w:color w:val="auto"/>
          <w:highlight w:val="none"/>
        </w:rPr>
        <w:t>6.报价合理性说明</w:t>
      </w:r>
    </w:p>
    <w:p w14:paraId="15D6EDBF">
      <w:pPr>
        <w:pStyle w:val="47"/>
        <w:ind w:firstLine="560"/>
        <w:rPr>
          <w:rFonts w:hint="eastAsia" w:ascii="仿宋" w:hAnsi="仿宋" w:eastAsia="仿宋" w:cs="仿宋"/>
          <w:b/>
          <w:bCs/>
          <w:color w:val="auto"/>
          <w:highlight w:val="none"/>
        </w:rPr>
      </w:pPr>
      <w:r>
        <w:rPr>
          <w:rFonts w:hint="eastAsia" w:ascii="仿宋" w:hAnsi="仿宋" w:eastAsia="仿宋" w:cs="仿宋"/>
          <w:b/>
          <w:bCs/>
          <w:color w:val="auto"/>
          <w:highlight w:val="none"/>
          <w:lang w:val="en-US" w:eastAsia="zh-CN"/>
        </w:rPr>
        <w:t>6</w:t>
      </w:r>
      <w:r>
        <w:rPr>
          <w:rFonts w:hint="eastAsia" w:ascii="仿宋" w:hAnsi="仿宋" w:eastAsia="仿宋" w:cs="仿宋"/>
          <w:b/>
          <w:bCs/>
          <w:color w:val="auto"/>
          <w:highlight w:val="none"/>
        </w:rPr>
        <w:t>.1</w:t>
      </w:r>
      <w:r>
        <w:rPr>
          <w:rFonts w:hint="eastAsia" w:ascii="仿宋" w:hAnsi="仿宋" w:eastAsia="仿宋" w:cs="仿宋"/>
          <w:b/>
          <w:bCs/>
          <w:color w:val="auto"/>
          <w:highlight w:val="none"/>
          <w:lang w:eastAsia="zh-CN"/>
        </w:rPr>
        <w:t>投标</w:t>
      </w:r>
      <w:r>
        <w:rPr>
          <w:rFonts w:hint="eastAsia" w:ascii="仿宋" w:hAnsi="仿宋" w:eastAsia="仿宋" w:cs="仿宋"/>
          <w:b/>
          <w:bCs/>
          <w:color w:val="auto"/>
          <w:highlight w:val="none"/>
          <w:lang w:val="en-US" w:eastAsia="zh-CN"/>
        </w:rPr>
        <w:t>总</w:t>
      </w:r>
      <w:r>
        <w:rPr>
          <w:rFonts w:hint="eastAsia" w:ascii="仿宋" w:hAnsi="仿宋" w:eastAsia="仿宋" w:cs="仿宋"/>
          <w:b/>
          <w:bCs/>
          <w:color w:val="auto"/>
          <w:highlight w:val="none"/>
        </w:rPr>
        <w:t>报价出现下列情形之一的，</w:t>
      </w:r>
      <w:r>
        <w:rPr>
          <w:rFonts w:hint="eastAsia" w:ascii="仿宋" w:hAnsi="仿宋" w:eastAsia="仿宋" w:cs="仿宋"/>
          <w:b/>
          <w:bCs/>
          <w:color w:val="auto"/>
          <w:highlight w:val="none"/>
          <w:lang w:val="en-US" w:eastAsia="zh-CN"/>
        </w:rPr>
        <w:t>评标委员会</w:t>
      </w:r>
      <w:r>
        <w:rPr>
          <w:rFonts w:hint="eastAsia" w:ascii="仿宋" w:hAnsi="仿宋" w:eastAsia="仿宋" w:cs="仿宋"/>
          <w:b/>
          <w:bCs/>
          <w:color w:val="auto"/>
          <w:highlight w:val="none"/>
        </w:rPr>
        <w:t>应当启动异常低价响应审查程序：</w:t>
      </w:r>
    </w:p>
    <w:p w14:paraId="12642326">
      <w:pPr>
        <w:pStyle w:val="47"/>
        <w:ind w:firstLine="560"/>
        <w:rPr>
          <w:rFonts w:hint="eastAsia" w:ascii="仿宋" w:hAnsi="仿宋" w:eastAsia="仿宋" w:cs="仿宋"/>
          <w:b/>
          <w:bCs/>
          <w:color w:val="auto"/>
          <w:highlight w:val="none"/>
        </w:rPr>
      </w:pPr>
      <w:r>
        <w:rPr>
          <w:rFonts w:hint="eastAsia" w:ascii="仿宋" w:hAnsi="仿宋" w:eastAsia="仿宋" w:cs="仿宋"/>
          <w:b/>
          <w:bCs/>
          <w:color w:val="auto"/>
          <w:highlight w:val="none"/>
          <w:lang w:eastAsia="zh-CN"/>
        </w:rPr>
        <w:t>（</w:t>
      </w:r>
      <w:r>
        <w:rPr>
          <w:rFonts w:hint="eastAsia" w:ascii="仿宋" w:hAnsi="仿宋" w:eastAsia="仿宋" w:cs="仿宋"/>
          <w:b/>
          <w:bCs/>
          <w:color w:val="auto"/>
          <w:highlight w:val="none"/>
          <w:lang w:val="en-US" w:eastAsia="zh-CN"/>
        </w:rPr>
        <w:t>1</w:t>
      </w:r>
      <w:r>
        <w:rPr>
          <w:rFonts w:hint="eastAsia" w:ascii="仿宋" w:hAnsi="仿宋" w:eastAsia="仿宋" w:cs="仿宋"/>
          <w:b/>
          <w:bCs/>
          <w:color w:val="auto"/>
          <w:highlight w:val="none"/>
          <w:lang w:eastAsia="zh-CN"/>
        </w:rPr>
        <w:t>）投标</w:t>
      </w:r>
      <w:r>
        <w:rPr>
          <w:rFonts w:hint="eastAsia" w:ascii="仿宋" w:hAnsi="仿宋" w:eastAsia="仿宋" w:cs="仿宋"/>
          <w:b/>
          <w:bCs/>
          <w:color w:val="auto"/>
          <w:highlight w:val="none"/>
          <w:lang w:val="en-US" w:eastAsia="zh-CN"/>
        </w:rPr>
        <w:t>总</w:t>
      </w:r>
      <w:r>
        <w:rPr>
          <w:rFonts w:hint="eastAsia" w:ascii="仿宋" w:hAnsi="仿宋" w:eastAsia="仿宋" w:cs="仿宋"/>
          <w:b/>
          <w:bCs/>
          <w:color w:val="auto"/>
          <w:highlight w:val="none"/>
        </w:rPr>
        <w:t>报价低于全部通过符合性审查</w:t>
      </w:r>
      <w:r>
        <w:rPr>
          <w:rFonts w:hint="eastAsia" w:ascii="仿宋" w:hAnsi="仿宋" w:eastAsia="仿宋" w:cs="仿宋"/>
          <w:b/>
          <w:bCs/>
          <w:color w:val="auto"/>
          <w:highlight w:val="none"/>
          <w:lang w:eastAsia="zh-CN"/>
        </w:rPr>
        <w:t>投标</w:t>
      </w:r>
      <w:r>
        <w:rPr>
          <w:rFonts w:hint="eastAsia" w:ascii="仿宋" w:hAnsi="仿宋" w:eastAsia="仿宋" w:cs="仿宋"/>
          <w:b/>
          <w:bCs/>
          <w:color w:val="auto"/>
          <w:highlight w:val="none"/>
          <w:lang w:val="en-US" w:eastAsia="zh-CN"/>
        </w:rPr>
        <w:t>总</w:t>
      </w:r>
      <w:r>
        <w:rPr>
          <w:rFonts w:hint="eastAsia" w:ascii="仿宋" w:hAnsi="仿宋" w:eastAsia="仿宋" w:cs="仿宋"/>
          <w:b/>
          <w:bCs/>
          <w:color w:val="auto"/>
          <w:highlight w:val="none"/>
        </w:rPr>
        <w:t>报价平均值50%的，即</w:t>
      </w:r>
      <w:r>
        <w:rPr>
          <w:rFonts w:hint="eastAsia" w:ascii="仿宋" w:hAnsi="仿宋" w:eastAsia="仿宋" w:cs="仿宋"/>
          <w:b/>
          <w:bCs/>
          <w:color w:val="auto"/>
          <w:highlight w:val="none"/>
          <w:lang w:eastAsia="zh-CN"/>
        </w:rPr>
        <w:t>投标</w:t>
      </w:r>
      <w:r>
        <w:rPr>
          <w:rFonts w:hint="eastAsia" w:ascii="仿宋" w:hAnsi="仿宋" w:eastAsia="仿宋" w:cs="仿宋"/>
          <w:b/>
          <w:bCs/>
          <w:color w:val="auto"/>
          <w:highlight w:val="none"/>
          <w:lang w:val="en-US" w:eastAsia="zh-CN"/>
        </w:rPr>
        <w:t>总</w:t>
      </w:r>
      <w:r>
        <w:rPr>
          <w:rFonts w:hint="eastAsia" w:ascii="仿宋" w:hAnsi="仿宋" w:eastAsia="仿宋" w:cs="仿宋"/>
          <w:b/>
          <w:bCs/>
          <w:color w:val="auto"/>
          <w:highlight w:val="none"/>
        </w:rPr>
        <w:t>报价</w:t>
      </w:r>
      <w:r>
        <w:rPr>
          <w:rFonts w:hint="eastAsia" w:ascii="仿宋" w:hAnsi="仿宋" w:eastAsia="仿宋" w:cs="仿宋"/>
          <w:b/>
          <w:bCs/>
          <w:color w:val="auto"/>
          <w:highlight w:val="none"/>
          <w:lang w:val="en-US" w:eastAsia="zh-CN"/>
        </w:rPr>
        <w:t>＜</w:t>
      </w:r>
      <w:r>
        <w:rPr>
          <w:rFonts w:hint="eastAsia" w:ascii="仿宋" w:hAnsi="仿宋" w:eastAsia="仿宋" w:cs="仿宋"/>
          <w:b/>
          <w:bCs/>
          <w:color w:val="auto"/>
          <w:highlight w:val="none"/>
        </w:rPr>
        <w:t>全部通过符合性审查</w:t>
      </w:r>
      <w:r>
        <w:rPr>
          <w:rFonts w:hint="eastAsia" w:ascii="仿宋" w:hAnsi="仿宋" w:eastAsia="仿宋" w:cs="仿宋"/>
          <w:b/>
          <w:bCs/>
          <w:color w:val="auto"/>
          <w:highlight w:val="none"/>
          <w:lang w:eastAsia="zh-CN"/>
        </w:rPr>
        <w:t>投标</w:t>
      </w:r>
      <w:r>
        <w:rPr>
          <w:rFonts w:hint="eastAsia" w:ascii="仿宋" w:hAnsi="仿宋" w:eastAsia="仿宋" w:cs="仿宋"/>
          <w:b/>
          <w:bCs/>
          <w:color w:val="auto"/>
          <w:highlight w:val="none"/>
          <w:lang w:val="en-US" w:eastAsia="zh-CN"/>
        </w:rPr>
        <w:t>总</w:t>
      </w:r>
      <w:r>
        <w:rPr>
          <w:rFonts w:hint="eastAsia" w:ascii="仿宋" w:hAnsi="仿宋" w:eastAsia="仿宋" w:cs="仿宋"/>
          <w:b/>
          <w:bCs/>
          <w:color w:val="auto"/>
          <w:highlight w:val="none"/>
        </w:rPr>
        <w:t>报价平均值</w:t>
      </w:r>
      <w:r>
        <w:rPr>
          <w:rFonts w:hint="eastAsia" w:ascii="仿宋" w:hAnsi="仿宋" w:eastAsia="仿宋" w:cs="仿宋"/>
          <w:b/>
          <w:bCs/>
          <w:color w:val="auto"/>
          <w:highlight w:val="none"/>
          <w:lang w:val="en-US" w:eastAsia="zh-CN"/>
        </w:rPr>
        <w:t>的</w:t>
      </w:r>
      <w:r>
        <w:rPr>
          <w:rFonts w:hint="eastAsia" w:ascii="仿宋" w:hAnsi="仿宋" w:eastAsia="仿宋" w:cs="仿宋"/>
          <w:b/>
          <w:bCs/>
          <w:color w:val="auto"/>
          <w:highlight w:val="none"/>
        </w:rPr>
        <w:t>50%；</w:t>
      </w:r>
    </w:p>
    <w:p w14:paraId="6549BAE2">
      <w:pPr>
        <w:pStyle w:val="47"/>
        <w:ind w:firstLine="560"/>
        <w:rPr>
          <w:rFonts w:hint="eastAsia" w:ascii="仿宋" w:hAnsi="仿宋" w:eastAsia="仿宋" w:cs="仿宋"/>
          <w:b/>
          <w:bCs/>
          <w:color w:val="auto"/>
          <w:highlight w:val="none"/>
        </w:rPr>
      </w:pPr>
      <w:r>
        <w:rPr>
          <w:rFonts w:hint="eastAsia" w:ascii="仿宋" w:hAnsi="仿宋" w:eastAsia="仿宋" w:cs="仿宋"/>
          <w:b/>
          <w:bCs/>
          <w:color w:val="auto"/>
          <w:highlight w:val="none"/>
          <w:lang w:eastAsia="zh-CN"/>
        </w:rPr>
        <w:t>（</w:t>
      </w:r>
      <w:r>
        <w:rPr>
          <w:rFonts w:hint="eastAsia" w:ascii="仿宋" w:hAnsi="仿宋" w:eastAsia="仿宋" w:cs="仿宋"/>
          <w:b/>
          <w:bCs/>
          <w:color w:val="auto"/>
          <w:highlight w:val="none"/>
          <w:lang w:val="en-US" w:eastAsia="zh-CN"/>
        </w:rPr>
        <w:t>2</w:t>
      </w:r>
      <w:r>
        <w:rPr>
          <w:rFonts w:hint="eastAsia" w:ascii="仿宋" w:hAnsi="仿宋" w:eastAsia="仿宋" w:cs="仿宋"/>
          <w:b/>
          <w:bCs/>
          <w:color w:val="auto"/>
          <w:highlight w:val="none"/>
          <w:lang w:eastAsia="zh-CN"/>
        </w:rPr>
        <w:t>）投标</w:t>
      </w:r>
      <w:r>
        <w:rPr>
          <w:rFonts w:hint="eastAsia" w:ascii="仿宋" w:hAnsi="仿宋" w:eastAsia="仿宋" w:cs="仿宋"/>
          <w:b/>
          <w:bCs/>
          <w:color w:val="auto"/>
          <w:highlight w:val="none"/>
          <w:lang w:val="en-US" w:eastAsia="zh-CN"/>
        </w:rPr>
        <w:t>总</w:t>
      </w:r>
      <w:r>
        <w:rPr>
          <w:rFonts w:hint="eastAsia" w:ascii="仿宋" w:hAnsi="仿宋" w:eastAsia="仿宋" w:cs="仿宋"/>
          <w:b/>
          <w:bCs/>
          <w:color w:val="auto"/>
          <w:highlight w:val="none"/>
        </w:rPr>
        <w:t>报价低于通过符合性审查的次低</w:t>
      </w:r>
      <w:r>
        <w:rPr>
          <w:rFonts w:hint="eastAsia" w:ascii="仿宋" w:hAnsi="仿宋" w:eastAsia="仿宋" w:cs="仿宋"/>
          <w:b/>
          <w:bCs/>
          <w:color w:val="auto"/>
          <w:highlight w:val="none"/>
          <w:lang w:eastAsia="zh-CN"/>
        </w:rPr>
        <w:t>投标</w:t>
      </w:r>
      <w:r>
        <w:rPr>
          <w:rFonts w:hint="eastAsia" w:ascii="仿宋" w:hAnsi="仿宋" w:eastAsia="仿宋" w:cs="仿宋"/>
          <w:b/>
          <w:bCs/>
          <w:color w:val="auto"/>
          <w:highlight w:val="none"/>
          <w:lang w:val="en-US" w:eastAsia="zh-CN"/>
        </w:rPr>
        <w:t>总</w:t>
      </w:r>
      <w:r>
        <w:rPr>
          <w:rFonts w:hint="eastAsia" w:ascii="仿宋" w:hAnsi="仿宋" w:eastAsia="仿宋" w:cs="仿宋"/>
          <w:b/>
          <w:bCs/>
          <w:color w:val="auto"/>
          <w:highlight w:val="none"/>
        </w:rPr>
        <w:t>报价50%的，即</w:t>
      </w:r>
      <w:r>
        <w:rPr>
          <w:rFonts w:hint="eastAsia" w:ascii="仿宋" w:hAnsi="仿宋" w:eastAsia="仿宋" w:cs="仿宋"/>
          <w:b/>
          <w:bCs/>
          <w:color w:val="auto"/>
          <w:highlight w:val="none"/>
          <w:lang w:eastAsia="zh-CN"/>
        </w:rPr>
        <w:t>投标</w:t>
      </w:r>
      <w:r>
        <w:rPr>
          <w:rFonts w:hint="eastAsia" w:ascii="仿宋" w:hAnsi="仿宋" w:eastAsia="仿宋" w:cs="仿宋"/>
          <w:b/>
          <w:bCs/>
          <w:color w:val="auto"/>
          <w:highlight w:val="none"/>
          <w:lang w:val="en-US" w:eastAsia="zh-CN"/>
        </w:rPr>
        <w:t>总</w:t>
      </w:r>
      <w:r>
        <w:rPr>
          <w:rFonts w:hint="eastAsia" w:ascii="仿宋" w:hAnsi="仿宋" w:eastAsia="仿宋" w:cs="仿宋"/>
          <w:b/>
          <w:bCs/>
          <w:color w:val="auto"/>
          <w:highlight w:val="none"/>
        </w:rPr>
        <w:t>报价</w:t>
      </w:r>
      <w:r>
        <w:rPr>
          <w:rFonts w:hint="eastAsia" w:ascii="仿宋" w:hAnsi="仿宋" w:eastAsia="仿宋" w:cs="仿宋"/>
          <w:b/>
          <w:bCs/>
          <w:color w:val="auto"/>
          <w:highlight w:val="none"/>
          <w:lang w:val="en-US" w:eastAsia="zh-CN"/>
        </w:rPr>
        <w:t>＜</w:t>
      </w:r>
      <w:r>
        <w:rPr>
          <w:rFonts w:hint="eastAsia" w:ascii="仿宋" w:hAnsi="仿宋" w:eastAsia="仿宋" w:cs="仿宋"/>
          <w:b/>
          <w:bCs/>
          <w:color w:val="auto"/>
          <w:highlight w:val="none"/>
        </w:rPr>
        <w:t>通过符合性审查的次低</w:t>
      </w:r>
      <w:r>
        <w:rPr>
          <w:rFonts w:hint="eastAsia" w:ascii="仿宋" w:hAnsi="仿宋" w:eastAsia="仿宋" w:cs="仿宋"/>
          <w:b/>
          <w:bCs/>
          <w:color w:val="auto"/>
          <w:highlight w:val="none"/>
          <w:lang w:eastAsia="zh-CN"/>
        </w:rPr>
        <w:t>投标</w:t>
      </w:r>
      <w:r>
        <w:rPr>
          <w:rFonts w:hint="eastAsia" w:ascii="仿宋" w:hAnsi="仿宋" w:eastAsia="仿宋" w:cs="仿宋"/>
          <w:b/>
          <w:bCs/>
          <w:color w:val="auto"/>
          <w:highlight w:val="none"/>
          <w:lang w:val="en-US" w:eastAsia="zh-CN"/>
        </w:rPr>
        <w:t>总</w:t>
      </w:r>
      <w:r>
        <w:rPr>
          <w:rFonts w:hint="eastAsia" w:ascii="仿宋" w:hAnsi="仿宋" w:eastAsia="仿宋" w:cs="仿宋"/>
          <w:b/>
          <w:bCs/>
          <w:color w:val="auto"/>
          <w:highlight w:val="none"/>
        </w:rPr>
        <w:t>报价</w:t>
      </w:r>
      <w:r>
        <w:rPr>
          <w:rFonts w:hint="eastAsia" w:ascii="仿宋" w:hAnsi="仿宋" w:eastAsia="仿宋" w:cs="仿宋"/>
          <w:b/>
          <w:bCs/>
          <w:color w:val="auto"/>
          <w:highlight w:val="none"/>
          <w:lang w:val="en-US" w:eastAsia="zh-CN"/>
        </w:rPr>
        <w:t>的</w:t>
      </w:r>
      <w:r>
        <w:rPr>
          <w:rFonts w:hint="eastAsia" w:ascii="仿宋" w:hAnsi="仿宋" w:eastAsia="仿宋" w:cs="仿宋"/>
          <w:b/>
          <w:bCs/>
          <w:color w:val="auto"/>
          <w:highlight w:val="none"/>
        </w:rPr>
        <w:t>50%；</w:t>
      </w:r>
    </w:p>
    <w:p w14:paraId="05793E1E">
      <w:pPr>
        <w:pStyle w:val="47"/>
        <w:ind w:firstLine="560"/>
        <w:rPr>
          <w:rFonts w:hint="eastAsia" w:ascii="仿宋" w:hAnsi="仿宋" w:eastAsia="仿宋" w:cs="仿宋"/>
          <w:b/>
          <w:bCs/>
          <w:color w:val="auto"/>
          <w:highlight w:val="none"/>
        </w:rPr>
      </w:pPr>
      <w:r>
        <w:rPr>
          <w:rFonts w:hint="eastAsia" w:ascii="仿宋" w:hAnsi="仿宋" w:eastAsia="仿宋" w:cs="仿宋"/>
          <w:b/>
          <w:bCs/>
          <w:color w:val="auto"/>
          <w:highlight w:val="none"/>
          <w:lang w:eastAsia="zh-CN"/>
        </w:rPr>
        <w:t>（</w:t>
      </w:r>
      <w:r>
        <w:rPr>
          <w:rFonts w:hint="eastAsia" w:ascii="仿宋" w:hAnsi="仿宋" w:eastAsia="仿宋" w:cs="仿宋"/>
          <w:b/>
          <w:bCs/>
          <w:color w:val="auto"/>
          <w:highlight w:val="none"/>
          <w:lang w:val="en-US" w:eastAsia="zh-CN"/>
        </w:rPr>
        <w:t>3</w:t>
      </w:r>
      <w:r>
        <w:rPr>
          <w:rFonts w:hint="eastAsia" w:ascii="仿宋" w:hAnsi="仿宋" w:eastAsia="仿宋" w:cs="仿宋"/>
          <w:b/>
          <w:bCs/>
          <w:color w:val="auto"/>
          <w:highlight w:val="none"/>
          <w:lang w:eastAsia="zh-CN"/>
        </w:rPr>
        <w:t>）投标</w:t>
      </w:r>
      <w:r>
        <w:rPr>
          <w:rFonts w:hint="eastAsia" w:ascii="仿宋" w:hAnsi="仿宋" w:eastAsia="仿宋" w:cs="仿宋"/>
          <w:b/>
          <w:bCs/>
          <w:color w:val="auto"/>
          <w:highlight w:val="none"/>
          <w:lang w:val="en-US" w:eastAsia="zh-CN"/>
        </w:rPr>
        <w:t>总</w:t>
      </w:r>
      <w:r>
        <w:rPr>
          <w:rFonts w:hint="eastAsia" w:ascii="仿宋" w:hAnsi="仿宋" w:eastAsia="仿宋" w:cs="仿宋"/>
          <w:b/>
          <w:bCs/>
          <w:color w:val="auto"/>
          <w:highlight w:val="none"/>
        </w:rPr>
        <w:t>报价低于采购项目最高限价45%的，即</w:t>
      </w:r>
      <w:r>
        <w:rPr>
          <w:rFonts w:hint="eastAsia" w:ascii="仿宋" w:hAnsi="仿宋" w:eastAsia="仿宋" w:cs="仿宋"/>
          <w:b/>
          <w:bCs/>
          <w:color w:val="auto"/>
          <w:highlight w:val="none"/>
          <w:lang w:eastAsia="zh-CN"/>
        </w:rPr>
        <w:t>投标</w:t>
      </w:r>
      <w:r>
        <w:rPr>
          <w:rFonts w:hint="eastAsia" w:ascii="仿宋" w:hAnsi="仿宋" w:eastAsia="仿宋" w:cs="仿宋"/>
          <w:b/>
          <w:bCs/>
          <w:color w:val="auto"/>
          <w:highlight w:val="none"/>
          <w:lang w:val="en-US" w:eastAsia="zh-CN"/>
        </w:rPr>
        <w:t>总</w:t>
      </w:r>
      <w:r>
        <w:rPr>
          <w:rFonts w:hint="eastAsia" w:ascii="仿宋" w:hAnsi="仿宋" w:eastAsia="仿宋" w:cs="仿宋"/>
          <w:b/>
          <w:bCs/>
          <w:color w:val="auto"/>
          <w:highlight w:val="none"/>
        </w:rPr>
        <w:t>报价</w:t>
      </w:r>
      <w:r>
        <w:rPr>
          <w:rFonts w:hint="eastAsia" w:ascii="仿宋" w:hAnsi="仿宋" w:eastAsia="仿宋" w:cs="仿宋"/>
          <w:b/>
          <w:bCs/>
          <w:color w:val="auto"/>
          <w:highlight w:val="none"/>
          <w:lang w:val="en-US" w:eastAsia="zh-CN"/>
        </w:rPr>
        <w:t>＜</w:t>
      </w:r>
      <w:r>
        <w:rPr>
          <w:rFonts w:hint="eastAsia" w:ascii="仿宋" w:hAnsi="仿宋" w:eastAsia="仿宋" w:cs="仿宋"/>
          <w:b/>
          <w:bCs/>
          <w:color w:val="auto"/>
          <w:highlight w:val="none"/>
        </w:rPr>
        <w:t>采购项目最高限价</w:t>
      </w:r>
      <w:r>
        <w:rPr>
          <w:rFonts w:hint="eastAsia" w:ascii="仿宋" w:hAnsi="仿宋" w:eastAsia="仿宋" w:cs="仿宋"/>
          <w:b/>
          <w:bCs/>
          <w:color w:val="auto"/>
          <w:highlight w:val="none"/>
          <w:lang w:val="en-US" w:eastAsia="zh-CN"/>
        </w:rPr>
        <w:t>的</w:t>
      </w:r>
      <w:r>
        <w:rPr>
          <w:rFonts w:hint="eastAsia" w:ascii="仿宋" w:hAnsi="仿宋" w:eastAsia="仿宋" w:cs="仿宋"/>
          <w:b/>
          <w:bCs/>
          <w:color w:val="auto"/>
          <w:highlight w:val="none"/>
        </w:rPr>
        <w:t>45%；</w:t>
      </w:r>
    </w:p>
    <w:p w14:paraId="79E73317">
      <w:pPr>
        <w:pStyle w:val="47"/>
        <w:ind w:firstLine="560"/>
        <w:rPr>
          <w:rFonts w:hint="eastAsia" w:ascii="仿宋" w:hAnsi="仿宋" w:eastAsia="仿宋" w:cs="仿宋"/>
          <w:b/>
          <w:bCs/>
          <w:color w:val="auto"/>
          <w:highlight w:val="none"/>
        </w:rPr>
      </w:pPr>
      <w:r>
        <w:rPr>
          <w:rFonts w:hint="eastAsia" w:ascii="仿宋" w:hAnsi="仿宋" w:eastAsia="仿宋" w:cs="仿宋"/>
          <w:b/>
          <w:bCs/>
          <w:color w:val="auto"/>
          <w:highlight w:val="none"/>
          <w:lang w:eastAsia="zh-CN"/>
        </w:rPr>
        <w:t>（</w:t>
      </w:r>
      <w:r>
        <w:rPr>
          <w:rFonts w:hint="eastAsia" w:ascii="仿宋" w:hAnsi="仿宋" w:eastAsia="仿宋" w:cs="仿宋"/>
          <w:b/>
          <w:bCs/>
          <w:color w:val="auto"/>
          <w:highlight w:val="none"/>
          <w:lang w:val="en-US" w:eastAsia="zh-CN"/>
        </w:rPr>
        <w:t>4</w:t>
      </w:r>
      <w:r>
        <w:rPr>
          <w:rFonts w:hint="eastAsia" w:ascii="仿宋" w:hAnsi="仿宋" w:eastAsia="仿宋" w:cs="仿宋"/>
          <w:b/>
          <w:bCs/>
          <w:color w:val="auto"/>
          <w:highlight w:val="none"/>
          <w:lang w:eastAsia="zh-CN"/>
        </w:rPr>
        <w:t>）</w:t>
      </w:r>
      <w:r>
        <w:rPr>
          <w:rFonts w:hint="eastAsia" w:ascii="仿宋" w:hAnsi="仿宋" w:eastAsia="仿宋" w:cs="仿宋"/>
          <w:b/>
          <w:bCs/>
          <w:color w:val="auto"/>
          <w:highlight w:val="none"/>
          <w:lang w:val="en-US" w:eastAsia="zh-CN"/>
        </w:rPr>
        <w:t>评标委员会</w:t>
      </w:r>
      <w:r>
        <w:rPr>
          <w:rFonts w:hint="eastAsia" w:ascii="仿宋" w:hAnsi="仿宋" w:eastAsia="仿宋" w:cs="仿宋"/>
          <w:b/>
          <w:bCs/>
          <w:color w:val="auto"/>
          <w:highlight w:val="none"/>
        </w:rPr>
        <w:t>基于专业判断，认为</w:t>
      </w:r>
      <w:r>
        <w:rPr>
          <w:rFonts w:hint="eastAsia" w:ascii="仿宋" w:hAnsi="仿宋" w:eastAsia="仿宋" w:cs="仿宋"/>
          <w:b/>
          <w:bCs/>
          <w:color w:val="auto"/>
          <w:highlight w:val="none"/>
          <w:lang w:eastAsia="zh-CN"/>
        </w:rPr>
        <w:t>投标人</w:t>
      </w:r>
      <w:r>
        <w:rPr>
          <w:rFonts w:hint="eastAsia" w:ascii="仿宋" w:hAnsi="仿宋" w:eastAsia="仿宋" w:cs="仿宋"/>
          <w:b/>
          <w:bCs/>
          <w:color w:val="auto"/>
          <w:highlight w:val="none"/>
        </w:rPr>
        <w:t>报价过低，有可能影响产品质量或者不能诚信履约的其他情形。</w:t>
      </w:r>
    </w:p>
    <w:p w14:paraId="50E2FD4B">
      <w:pPr>
        <w:pStyle w:val="47"/>
        <w:ind w:firstLine="560"/>
        <w:rPr>
          <w:rFonts w:hint="eastAsia" w:ascii="仿宋" w:hAnsi="仿宋" w:eastAsia="仿宋" w:cs="仿宋"/>
          <w:b/>
          <w:bCs/>
          <w:color w:val="auto"/>
          <w:highlight w:val="none"/>
        </w:rPr>
      </w:pPr>
      <w:r>
        <w:rPr>
          <w:rFonts w:hint="eastAsia" w:ascii="仿宋" w:hAnsi="仿宋" w:eastAsia="仿宋" w:cs="仿宋"/>
          <w:b/>
          <w:bCs/>
          <w:color w:val="auto"/>
          <w:highlight w:val="none"/>
          <w:lang w:val="en-US" w:eastAsia="zh-CN"/>
        </w:rPr>
        <w:t>6.2 评标委员会</w:t>
      </w:r>
      <w:r>
        <w:rPr>
          <w:rFonts w:hint="eastAsia" w:ascii="仿宋" w:hAnsi="仿宋" w:eastAsia="仿宋" w:cs="仿宋"/>
          <w:b/>
          <w:bCs/>
          <w:color w:val="auto"/>
          <w:highlight w:val="none"/>
        </w:rPr>
        <w:t>启动异常低价响应审查后，属于前述第1项至第4项情形的，应当要求相关</w:t>
      </w:r>
      <w:r>
        <w:rPr>
          <w:rFonts w:hint="eastAsia" w:ascii="仿宋" w:hAnsi="仿宋" w:eastAsia="仿宋" w:cs="仿宋"/>
          <w:b/>
          <w:bCs/>
          <w:color w:val="auto"/>
          <w:highlight w:val="none"/>
          <w:lang w:eastAsia="zh-CN"/>
        </w:rPr>
        <w:t>投标人</w:t>
      </w:r>
      <w:r>
        <w:rPr>
          <w:rFonts w:hint="eastAsia" w:ascii="仿宋" w:hAnsi="仿宋" w:eastAsia="仿宋" w:cs="仿宋"/>
          <w:b/>
          <w:bCs/>
          <w:color w:val="auto"/>
          <w:highlight w:val="none"/>
        </w:rPr>
        <w:t>在评审现场合理的时间内对响应价格作出解释，提供项目具体成本测算等与报价合理性相关的书面说明及必要的证明材料，包括但不限于原材料成本、人工成本、制造费用等，给予相关</w:t>
      </w:r>
      <w:r>
        <w:rPr>
          <w:rFonts w:hint="eastAsia" w:ascii="仿宋" w:hAnsi="仿宋" w:eastAsia="仿宋" w:cs="仿宋"/>
          <w:b/>
          <w:bCs/>
          <w:color w:val="auto"/>
          <w:highlight w:val="none"/>
          <w:lang w:eastAsia="zh-CN"/>
        </w:rPr>
        <w:t>投标人</w:t>
      </w:r>
      <w:r>
        <w:rPr>
          <w:rFonts w:hint="eastAsia" w:ascii="仿宋" w:hAnsi="仿宋" w:eastAsia="仿宋" w:cs="仿宋"/>
          <w:b/>
          <w:bCs/>
          <w:color w:val="auto"/>
          <w:highlight w:val="none"/>
        </w:rPr>
        <w:t>的合理时间</w:t>
      </w:r>
      <w:r>
        <w:rPr>
          <w:rFonts w:hint="eastAsia" w:ascii="仿宋" w:hAnsi="仿宋" w:eastAsia="仿宋" w:cs="仿宋"/>
          <w:b/>
          <w:bCs/>
          <w:color w:val="auto"/>
          <w:highlight w:val="none"/>
          <w:lang w:val="en-US" w:eastAsia="zh-CN"/>
        </w:rPr>
        <w:t>为</w:t>
      </w:r>
      <w:r>
        <w:rPr>
          <w:rFonts w:hint="eastAsia" w:ascii="仿宋" w:hAnsi="仿宋" w:eastAsia="仿宋" w:cs="仿宋"/>
          <w:b/>
          <w:bCs/>
          <w:color w:val="auto"/>
          <w:highlight w:val="none"/>
        </w:rPr>
        <w:t>30分钟。其中，属于第3项情形，</w:t>
      </w:r>
      <w:r>
        <w:rPr>
          <w:rFonts w:hint="eastAsia" w:ascii="仿宋" w:hAnsi="仿宋" w:eastAsia="仿宋" w:cs="仿宋"/>
          <w:b/>
          <w:bCs/>
          <w:color w:val="auto"/>
          <w:highlight w:val="none"/>
          <w:lang w:eastAsia="zh-CN"/>
        </w:rPr>
        <w:t>投标人</w:t>
      </w:r>
      <w:r>
        <w:rPr>
          <w:rFonts w:hint="eastAsia" w:ascii="仿宋" w:hAnsi="仿宋" w:eastAsia="仿宋" w:cs="仿宋"/>
          <w:b/>
          <w:bCs/>
          <w:color w:val="auto"/>
          <w:highlight w:val="none"/>
        </w:rPr>
        <w:t>已随响应文件一并提交相关书面说明及必要的证明材料的，在评审现场可不再重复提交。</w:t>
      </w:r>
    </w:p>
    <w:p w14:paraId="1C32DA01">
      <w:pPr>
        <w:pStyle w:val="47"/>
        <w:ind w:firstLine="560"/>
        <w:rPr>
          <w:rFonts w:hint="eastAsia" w:ascii="仿宋" w:hAnsi="仿宋" w:eastAsia="仿宋" w:cs="仿宋"/>
          <w:b/>
          <w:bCs/>
          <w:color w:val="auto"/>
          <w:highlight w:val="none"/>
        </w:rPr>
      </w:pPr>
      <w:r>
        <w:rPr>
          <w:rFonts w:hint="eastAsia" w:ascii="仿宋" w:hAnsi="仿宋" w:eastAsia="仿宋" w:cs="仿宋"/>
          <w:b/>
          <w:bCs/>
          <w:color w:val="auto"/>
          <w:highlight w:val="none"/>
          <w:lang w:val="en-US" w:eastAsia="zh-CN"/>
        </w:rPr>
        <w:t>6.3 评标委员会</w:t>
      </w:r>
      <w:r>
        <w:rPr>
          <w:rFonts w:hint="eastAsia" w:ascii="仿宋" w:hAnsi="仿宋" w:eastAsia="仿宋" w:cs="仿宋"/>
          <w:b/>
          <w:bCs/>
          <w:color w:val="auto"/>
          <w:highlight w:val="none"/>
        </w:rPr>
        <w:t>依据专业经验，参考同类项目中标价格、类似产品市场价格水平、行业人工费用标准、国家有关部门指导行业协会发布的行业平均成本等情况，对报价合理性进行判断。</w:t>
      </w:r>
      <w:r>
        <w:rPr>
          <w:rFonts w:hint="eastAsia" w:ascii="仿宋" w:hAnsi="仿宋" w:eastAsia="仿宋" w:cs="仿宋"/>
          <w:b/>
          <w:bCs/>
          <w:color w:val="auto"/>
          <w:highlight w:val="none"/>
          <w:lang w:eastAsia="zh-CN"/>
        </w:rPr>
        <w:t>投标人</w:t>
      </w:r>
      <w:r>
        <w:rPr>
          <w:rFonts w:hint="eastAsia" w:ascii="仿宋" w:hAnsi="仿宋" w:eastAsia="仿宋" w:cs="仿宋"/>
          <w:b/>
          <w:bCs/>
          <w:color w:val="auto"/>
          <w:highlight w:val="none"/>
        </w:rPr>
        <w:t>不能提供书面说明、证明材料，或者提供的书面说明、证明材料不能证明其报价合理性的，评标委</w:t>
      </w:r>
      <w:r>
        <w:rPr>
          <w:rFonts w:hint="eastAsia" w:ascii="仿宋" w:hAnsi="仿宋" w:eastAsia="仿宋" w:cs="仿宋"/>
          <w:b/>
          <w:bCs/>
          <w:color w:val="auto"/>
          <w:highlight w:val="none"/>
          <w:lang w:eastAsia="zh-CN"/>
        </w:rPr>
        <w:t>员会</w:t>
      </w:r>
      <w:r>
        <w:rPr>
          <w:rFonts w:hint="eastAsia" w:ascii="仿宋" w:hAnsi="仿宋" w:eastAsia="仿宋" w:cs="仿宋"/>
          <w:b/>
          <w:bCs/>
          <w:color w:val="auto"/>
          <w:highlight w:val="none"/>
        </w:rPr>
        <w:t>应当将其作为无效投标处理。</w:t>
      </w:r>
    </w:p>
    <w:p w14:paraId="0B927C4E">
      <w:pPr>
        <w:pStyle w:val="47"/>
        <w:ind w:firstLine="560"/>
        <w:rPr>
          <w:rFonts w:hint="eastAsia" w:ascii="仿宋" w:hAnsi="仿宋" w:eastAsia="仿宋" w:cs="仿宋"/>
          <w:color w:val="auto"/>
          <w:highlight w:val="none"/>
        </w:rPr>
      </w:pPr>
      <w:r>
        <w:rPr>
          <w:rFonts w:hint="eastAsia" w:ascii="仿宋" w:hAnsi="仿宋" w:eastAsia="仿宋" w:cs="仿宋"/>
          <w:color w:val="auto"/>
          <w:highlight w:val="none"/>
        </w:rPr>
        <w:t>7.投标文件报价出现前后不一致的，按照下列规定修正：</w:t>
      </w:r>
    </w:p>
    <w:p w14:paraId="08662A83">
      <w:pPr>
        <w:pStyle w:val="47"/>
        <w:ind w:firstLine="560"/>
        <w:rPr>
          <w:rFonts w:hint="eastAsia" w:ascii="仿宋" w:hAnsi="仿宋" w:eastAsia="仿宋" w:cs="仿宋"/>
          <w:color w:val="auto"/>
          <w:highlight w:val="none"/>
        </w:rPr>
      </w:pPr>
      <w:r>
        <w:rPr>
          <w:rFonts w:hint="eastAsia" w:ascii="仿宋" w:hAnsi="仿宋" w:eastAsia="仿宋" w:cs="仿宋"/>
          <w:color w:val="auto"/>
          <w:highlight w:val="none"/>
        </w:rPr>
        <w:t>7.1</w:t>
      </w: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rPr>
        <w:t>报价修正规定见“</w:t>
      </w:r>
      <w:r>
        <w:rPr>
          <w:rFonts w:hint="eastAsia" w:ascii="仿宋" w:hAnsi="仿宋" w:eastAsia="仿宋" w:cs="仿宋"/>
          <w:color w:val="auto"/>
          <w:highlight w:val="none"/>
          <w:lang w:val="en-US"/>
        </w:rPr>
        <w:t>评标办法前附表</w:t>
      </w:r>
      <w:r>
        <w:rPr>
          <w:rFonts w:hint="eastAsia" w:ascii="仿宋" w:hAnsi="仿宋" w:eastAsia="仿宋" w:cs="仿宋"/>
          <w:color w:val="auto"/>
          <w:highlight w:val="none"/>
        </w:rPr>
        <w:t>”；</w:t>
      </w:r>
    </w:p>
    <w:p w14:paraId="0647EA09">
      <w:pPr>
        <w:pStyle w:val="47"/>
        <w:ind w:firstLine="560"/>
        <w:rPr>
          <w:rFonts w:hint="eastAsia" w:ascii="仿宋" w:hAnsi="仿宋" w:eastAsia="仿宋" w:cs="仿宋"/>
          <w:color w:val="auto"/>
          <w:highlight w:val="none"/>
        </w:rPr>
      </w:pPr>
      <w:r>
        <w:rPr>
          <w:rFonts w:hint="eastAsia" w:ascii="仿宋" w:hAnsi="仿宋" w:eastAsia="仿宋" w:cs="仿宋"/>
          <w:color w:val="auto"/>
          <w:highlight w:val="none"/>
        </w:rPr>
        <w:t>7.2</w:t>
      </w: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rPr>
        <w:t>修正后的报价按照第5条规定经</w:t>
      </w:r>
      <w:r>
        <w:rPr>
          <w:rFonts w:hint="eastAsia" w:ascii="仿宋" w:hAnsi="仿宋" w:eastAsia="仿宋" w:cs="仿宋"/>
          <w:color w:val="auto"/>
          <w:highlight w:val="none"/>
          <w:lang w:eastAsia="zh-CN"/>
        </w:rPr>
        <w:t>投标人</w:t>
      </w:r>
      <w:r>
        <w:rPr>
          <w:rFonts w:hint="eastAsia" w:ascii="仿宋" w:hAnsi="仿宋" w:eastAsia="仿宋" w:cs="仿宋"/>
          <w:color w:val="auto"/>
          <w:highlight w:val="none"/>
        </w:rPr>
        <w:t>确认后产生约束力，</w:t>
      </w:r>
      <w:r>
        <w:rPr>
          <w:rFonts w:hint="eastAsia" w:ascii="仿宋" w:hAnsi="仿宋" w:eastAsia="仿宋" w:cs="仿宋"/>
          <w:color w:val="auto"/>
          <w:highlight w:val="none"/>
          <w:lang w:eastAsia="zh-CN"/>
        </w:rPr>
        <w:t>投标人</w:t>
      </w:r>
      <w:r>
        <w:rPr>
          <w:rFonts w:hint="eastAsia" w:ascii="仿宋" w:hAnsi="仿宋" w:eastAsia="仿宋" w:cs="仿宋"/>
          <w:color w:val="auto"/>
          <w:highlight w:val="none"/>
        </w:rPr>
        <w:t>不确认的，按照</w:t>
      </w:r>
      <w:r>
        <w:rPr>
          <w:rFonts w:hint="eastAsia" w:ascii="仿宋" w:hAnsi="仿宋" w:eastAsia="仿宋" w:cs="仿宋"/>
          <w:b/>
          <w:bCs/>
          <w:color w:val="auto"/>
          <w:highlight w:val="none"/>
        </w:rPr>
        <w:t>无效投标</w:t>
      </w:r>
      <w:r>
        <w:rPr>
          <w:rFonts w:hint="eastAsia" w:ascii="仿宋" w:hAnsi="仿宋" w:eastAsia="仿宋" w:cs="仿宋"/>
          <w:color w:val="auto"/>
          <w:highlight w:val="none"/>
        </w:rPr>
        <w:t>处理。</w:t>
      </w:r>
    </w:p>
    <w:p w14:paraId="4FC3558C">
      <w:pPr>
        <w:pStyle w:val="5"/>
        <w:ind w:firstLine="602"/>
        <w:jc w:val="both"/>
        <w:rPr>
          <w:rFonts w:hint="eastAsia" w:ascii="仿宋" w:hAnsi="仿宋" w:eastAsia="仿宋" w:cs="仿宋"/>
          <w:color w:val="auto"/>
          <w:highlight w:val="none"/>
        </w:rPr>
      </w:pPr>
      <w:bookmarkStart w:id="366" w:name="_Toc6172"/>
      <w:bookmarkStart w:id="367" w:name="_Toc163492904"/>
      <w:bookmarkStart w:id="368" w:name="_Toc32481"/>
      <w:bookmarkStart w:id="369" w:name="_Toc426"/>
      <w:bookmarkStart w:id="370" w:name="_Toc102119880"/>
      <w:bookmarkStart w:id="371" w:name="_Toc102114947"/>
      <w:bookmarkStart w:id="372" w:name="_Toc102056245"/>
      <w:bookmarkStart w:id="373" w:name="_Toc102116049"/>
      <w:bookmarkStart w:id="374" w:name="_Toc155185908"/>
      <w:bookmarkStart w:id="375" w:name="_Toc102057745"/>
      <w:bookmarkStart w:id="376" w:name="_Toc102116179"/>
      <w:r>
        <w:rPr>
          <w:rFonts w:hint="eastAsia" w:ascii="仿宋" w:hAnsi="仿宋" w:eastAsia="仿宋" w:cs="仿宋"/>
          <w:color w:val="auto"/>
          <w:highlight w:val="none"/>
        </w:rPr>
        <w:t>（三）比较和评价</w:t>
      </w:r>
      <w:bookmarkEnd w:id="366"/>
      <w:bookmarkEnd w:id="367"/>
      <w:bookmarkEnd w:id="368"/>
      <w:bookmarkEnd w:id="369"/>
    </w:p>
    <w:p w14:paraId="103DF3B0">
      <w:pPr>
        <w:pStyle w:val="47"/>
        <w:ind w:firstLine="562"/>
        <w:rPr>
          <w:rFonts w:hint="eastAsia" w:ascii="仿宋" w:hAnsi="仿宋" w:eastAsia="仿宋" w:cs="仿宋"/>
          <w:b/>
          <w:bCs/>
          <w:color w:val="auto"/>
          <w:highlight w:val="none"/>
        </w:rPr>
      </w:pPr>
      <w:r>
        <w:rPr>
          <w:rFonts w:hint="eastAsia" w:ascii="仿宋" w:hAnsi="仿宋" w:eastAsia="仿宋" w:cs="仿宋"/>
          <w:b/>
          <w:bCs/>
          <w:color w:val="auto"/>
          <w:highlight w:val="none"/>
        </w:rPr>
        <w:t>8.评标方法</w:t>
      </w:r>
    </w:p>
    <w:p w14:paraId="73E249C5">
      <w:pPr>
        <w:ind w:firstLine="560"/>
        <w:rPr>
          <w:rFonts w:hint="eastAsia" w:ascii="仿宋" w:hAnsi="仿宋" w:eastAsia="仿宋" w:cs="仿宋"/>
          <w:color w:val="auto"/>
          <w:highlight w:val="none"/>
        </w:rPr>
      </w:pPr>
      <w:r>
        <w:rPr>
          <w:rFonts w:hint="eastAsia" w:ascii="仿宋" w:hAnsi="仿宋" w:eastAsia="仿宋" w:cs="仿宋"/>
          <w:color w:val="auto"/>
          <w:highlight w:val="none"/>
        </w:rPr>
        <w:t>8.1</w:t>
      </w: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rPr>
        <w:t>综合评分法，是指投标文件满足</w:t>
      </w:r>
      <w:r>
        <w:rPr>
          <w:rFonts w:hint="eastAsia" w:ascii="仿宋" w:hAnsi="仿宋" w:eastAsia="仿宋" w:cs="仿宋"/>
          <w:color w:val="auto"/>
          <w:highlight w:val="none"/>
          <w:lang w:eastAsia="zh-CN"/>
        </w:rPr>
        <w:t>招标文件</w:t>
      </w:r>
      <w:r>
        <w:rPr>
          <w:rFonts w:hint="eastAsia" w:ascii="仿宋" w:hAnsi="仿宋" w:eastAsia="仿宋" w:cs="仿宋"/>
          <w:color w:val="auto"/>
          <w:highlight w:val="none"/>
        </w:rPr>
        <w:t>全部实质性要求，且按照评审因素的量化指标评审得分最高的</w:t>
      </w:r>
      <w:r>
        <w:rPr>
          <w:rFonts w:hint="eastAsia" w:ascii="仿宋" w:hAnsi="仿宋" w:eastAsia="仿宋" w:cs="仿宋"/>
          <w:color w:val="auto"/>
          <w:highlight w:val="none"/>
          <w:lang w:eastAsia="zh-CN"/>
        </w:rPr>
        <w:t>投标人</w:t>
      </w:r>
      <w:r>
        <w:rPr>
          <w:rFonts w:hint="eastAsia" w:ascii="仿宋" w:hAnsi="仿宋" w:eastAsia="仿宋" w:cs="仿宋"/>
          <w:color w:val="auto"/>
          <w:highlight w:val="none"/>
        </w:rPr>
        <w:t>为中标候选人的评标方法。</w:t>
      </w:r>
    </w:p>
    <w:p w14:paraId="1D97AC01">
      <w:pPr>
        <w:ind w:firstLine="560"/>
        <w:rPr>
          <w:rFonts w:hint="eastAsia" w:ascii="仿宋" w:hAnsi="仿宋" w:eastAsia="仿宋" w:cs="仿宋"/>
          <w:color w:val="auto"/>
          <w:highlight w:val="none"/>
        </w:rPr>
      </w:pPr>
      <w:r>
        <w:rPr>
          <w:rFonts w:hint="eastAsia" w:ascii="仿宋" w:hAnsi="仿宋" w:eastAsia="仿宋" w:cs="仿宋"/>
          <w:color w:val="auto"/>
          <w:highlight w:val="none"/>
        </w:rPr>
        <w:t>8.2</w:t>
      </w: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rPr>
        <w:t>本项目评标方法详见《评标办法前附表》。</w:t>
      </w:r>
    </w:p>
    <w:p w14:paraId="364D4C2B">
      <w:pPr>
        <w:pStyle w:val="47"/>
        <w:ind w:firstLine="562"/>
        <w:rPr>
          <w:rFonts w:hint="eastAsia" w:ascii="仿宋" w:hAnsi="仿宋" w:eastAsia="仿宋" w:cs="仿宋"/>
          <w:b/>
          <w:bCs/>
          <w:color w:val="auto"/>
          <w:highlight w:val="none"/>
        </w:rPr>
      </w:pPr>
      <w:r>
        <w:rPr>
          <w:rFonts w:hint="eastAsia" w:ascii="仿宋" w:hAnsi="仿宋" w:eastAsia="仿宋" w:cs="仿宋"/>
          <w:b/>
          <w:bCs/>
          <w:color w:val="auto"/>
          <w:highlight w:val="none"/>
        </w:rPr>
        <w:t>9.综合评分法</w:t>
      </w:r>
    </w:p>
    <w:p w14:paraId="40953393">
      <w:pPr>
        <w:ind w:firstLine="560"/>
        <w:rPr>
          <w:rFonts w:hint="eastAsia" w:ascii="仿宋" w:hAnsi="仿宋" w:eastAsia="仿宋" w:cs="仿宋"/>
          <w:color w:val="auto"/>
          <w:highlight w:val="none"/>
        </w:rPr>
      </w:pPr>
      <w:r>
        <w:rPr>
          <w:rFonts w:hint="eastAsia" w:ascii="仿宋" w:hAnsi="仿宋" w:eastAsia="仿宋" w:cs="仿宋"/>
          <w:color w:val="auto"/>
          <w:highlight w:val="none"/>
        </w:rPr>
        <w:t>9.1</w:t>
      </w: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rPr>
        <w:t>评审因素包括投标报价、商务技术以及落实政府采购政策。评审因素及标准见本章《评分标准》。</w:t>
      </w:r>
    </w:p>
    <w:p w14:paraId="0CDCBAD4">
      <w:pPr>
        <w:ind w:firstLine="560"/>
        <w:rPr>
          <w:rFonts w:hint="eastAsia" w:ascii="仿宋" w:hAnsi="仿宋" w:eastAsia="仿宋" w:cs="仿宋"/>
          <w:color w:val="auto"/>
          <w:highlight w:val="none"/>
        </w:rPr>
      </w:pPr>
      <w:r>
        <w:rPr>
          <w:rFonts w:hint="eastAsia" w:ascii="仿宋" w:hAnsi="仿宋" w:eastAsia="仿宋" w:cs="仿宋"/>
          <w:color w:val="auto"/>
          <w:highlight w:val="none"/>
        </w:rPr>
        <w:t>9.2</w:t>
      </w: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rPr>
        <w:t>投标报价评审</w:t>
      </w:r>
    </w:p>
    <w:p w14:paraId="70A5348A">
      <w:pPr>
        <w:ind w:firstLine="560"/>
        <w:rPr>
          <w:rFonts w:hint="eastAsia" w:ascii="仿宋" w:hAnsi="仿宋" w:eastAsia="仿宋" w:cs="仿宋"/>
          <w:color w:val="auto"/>
          <w:highlight w:val="none"/>
        </w:rPr>
      </w:pPr>
      <w:r>
        <w:rPr>
          <w:rFonts w:hint="eastAsia" w:ascii="仿宋" w:hAnsi="仿宋" w:eastAsia="仿宋" w:cs="仿宋"/>
          <w:color w:val="auto"/>
          <w:highlight w:val="none"/>
        </w:rPr>
        <w:t>（1）价格分应当采用低价优先法计算，即满足</w:t>
      </w:r>
      <w:r>
        <w:rPr>
          <w:rFonts w:hint="eastAsia" w:ascii="仿宋" w:hAnsi="仿宋" w:eastAsia="仿宋" w:cs="仿宋"/>
          <w:color w:val="auto"/>
          <w:highlight w:val="none"/>
          <w:lang w:eastAsia="zh-CN"/>
        </w:rPr>
        <w:t>招标文件</w:t>
      </w:r>
      <w:r>
        <w:rPr>
          <w:rFonts w:hint="eastAsia" w:ascii="仿宋" w:hAnsi="仿宋" w:eastAsia="仿宋" w:cs="仿宋"/>
          <w:color w:val="auto"/>
          <w:highlight w:val="none"/>
        </w:rPr>
        <w:t>要求且投标价格最低的投标报价为评标基准价，其价格分为满分。</w:t>
      </w:r>
    </w:p>
    <w:p w14:paraId="0C13329D">
      <w:pPr>
        <w:ind w:firstLine="560"/>
        <w:rPr>
          <w:rFonts w:hint="eastAsia" w:ascii="仿宋" w:hAnsi="仿宋" w:eastAsia="仿宋" w:cs="仿宋"/>
          <w:color w:val="auto"/>
          <w:highlight w:val="none"/>
        </w:rPr>
      </w:pPr>
      <w:r>
        <w:rPr>
          <w:rFonts w:hint="eastAsia" w:ascii="仿宋" w:hAnsi="仿宋" w:eastAsia="仿宋" w:cs="仿宋"/>
          <w:color w:val="auto"/>
          <w:highlight w:val="none"/>
        </w:rPr>
        <w:t>评标过程中，不得去掉报价中的最高报价和最低报价。</w:t>
      </w:r>
    </w:p>
    <w:p w14:paraId="08D19EBC">
      <w:pPr>
        <w:ind w:firstLine="560"/>
        <w:rPr>
          <w:rFonts w:hint="eastAsia" w:ascii="仿宋" w:hAnsi="仿宋" w:eastAsia="仿宋" w:cs="仿宋"/>
          <w:color w:val="auto"/>
          <w:highlight w:val="none"/>
        </w:rPr>
      </w:pPr>
      <w:r>
        <w:rPr>
          <w:rFonts w:hint="eastAsia" w:ascii="仿宋" w:hAnsi="仿宋" w:eastAsia="仿宋" w:cs="仿宋"/>
          <w:color w:val="auto"/>
          <w:highlight w:val="none"/>
        </w:rPr>
        <w:t>（2）除算术修正和落实政府采购政策的价格扣除外，不对投标报价进行调整；</w:t>
      </w:r>
    </w:p>
    <w:p w14:paraId="4D3D0C40">
      <w:pPr>
        <w:ind w:firstLine="560"/>
        <w:rPr>
          <w:rFonts w:hint="eastAsia" w:ascii="仿宋" w:hAnsi="仿宋" w:eastAsia="仿宋" w:cs="仿宋"/>
          <w:color w:val="auto"/>
          <w:highlight w:val="none"/>
        </w:rPr>
      </w:pPr>
      <w:r>
        <w:rPr>
          <w:rFonts w:hint="eastAsia" w:ascii="仿宋" w:hAnsi="仿宋" w:eastAsia="仿宋" w:cs="仿宋"/>
          <w:color w:val="auto"/>
          <w:highlight w:val="none"/>
        </w:rPr>
        <w:t>9.3</w:t>
      </w: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rPr>
        <w:t>商务技术评审</w:t>
      </w:r>
    </w:p>
    <w:p w14:paraId="5D955528">
      <w:pPr>
        <w:ind w:firstLine="560"/>
        <w:rPr>
          <w:rFonts w:hint="eastAsia" w:ascii="仿宋" w:hAnsi="仿宋" w:eastAsia="仿宋" w:cs="仿宋"/>
          <w:color w:val="auto"/>
          <w:highlight w:val="none"/>
        </w:rPr>
      </w:pPr>
      <w:r>
        <w:rPr>
          <w:rFonts w:hint="eastAsia" w:ascii="仿宋" w:hAnsi="仿宋" w:eastAsia="仿宋" w:cs="仿宋"/>
          <w:color w:val="auto"/>
          <w:highlight w:val="none"/>
        </w:rPr>
        <w:t>评标委员会应对符合性审查合格的投标文件进行商务和技术评审，并按照</w:t>
      </w:r>
      <w:r>
        <w:rPr>
          <w:rFonts w:hint="eastAsia" w:ascii="仿宋" w:hAnsi="仿宋" w:eastAsia="仿宋" w:cs="仿宋"/>
          <w:color w:val="auto"/>
          <w:highlight w:val="none"/>
          <w:lang w:eastAsia="zh-CN"/>
        </w:rPr>
        <w:t>招标文件</w:t>
      </w:r>
      <w:r>
        <w:rPr>
          <w:rFonts w:hint="eastAsia" w:ascii="仿宋" w:hAnsi="仿宋" w:eastAsia="仿宋" w:cs="仿宋"/>
          <w:color w:val="auto"/>
          <w:highlight w:val="none"/>
        </w:rPr>
        <w:t>要求及本章“三、评标标准”中的内容进行综合比较和评价。</w:t>
      </w:r>
    </w:p>
    <w:p w14:paraId="0998983F">
      <w:pPr>
        <w:ind w:firstLine="560"/>
        <w:rPr>
          <w:rFonts w:hint="eastAsia" w:ascii="仿宋" w:hAnsi="仿宋" w:eastAsia="仿宋" w:cs="仿宋"/>
          <w:color w:val="auto"/>
          <w:highlight w:val="none"/>
        </w:rPr>
      </w:pPr>
      <w:r>
        <w:rPr>
          <w:rFonts w:hint="eastAsia" w:ascii="仿宋" w:hAnsi="仿宋" w:eastAsia="仿宋" w:cs="仿宋"/>
          <w:color w:val="auto"/>
          <w:highlight w:val="none"/>
        </w:rPr>
        <w:t>9.4</w:t>
      </w: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rPr>
        <w:t>计分办法及复核</w:t>
      </w:r>
    </w:p>
    <w:p w14:paraId="0D49B500">
      <w:pPr>
        <w:ind w:firstLine="560"/>
        <w:rPr>
          <w:rFonts w:hint="eastAsia" w:ascii="仿宋" w:hAnsi="仿宋" w:eastAsia="仿宋" w:cs="仿宋"/>
          <w:color w:val="auto"/>
          <w:highlight w:val="none"/>
        </w:rPr>
      </w:pPr>
      <w:r>
        <w:rPr>
          <w:rFonts w:hint="eastAsia" w:ascii="仿宋" w:hAnsi="仿宋" w:eastAsia="仿宋" w:cs="仿宋"/>
          <w:color w:val="auto"/>
          <w:highlight w:val="none"/>
        </w:rPr>
        <w:t>（1）评标过程中，各项分值一般精确到小数点后两位，评标得分应为商务评分、技术评分、报价评分之和。评标委员会各成员应汇总每个</w:t>
      </w:r>
      <w:r>
        <w:rPr>
          <w:rFonts w:hint="eastAsia" w:ascii="仿宋" w:hAnsi="仿宋" w:eastAsia="仿宋" w:cs="仿宋"/>
          <w:color w:val="auto"/>
          <w:highlight w:val="none"/>
          <w:lang w:eastAsia="zh-CN"/>
        </w:rPr>
        <w:t>投标人</w:t>
      </w:r>
      <w:r>
        <w:rPr>
          <w:rFonts w:hint="eastAsia" w:ascii="仿宋" w:hAnsi="仿宋" w:eastAsia="仿宋" w:cs="仿宋"/>
          <w:color w:val="auto"/>
          <w:highlight w:val="none"/>
        </w:rPr>
        <w:t>的得分。</w:t>
      </w:r>
    </w:p>
    <w:p w14:paraId="2B044AA7">
      <w:pPr>
        <w:ind w:firstLine="560"/>
        <w:rPr>
          <w:rFonts w:hint="eastAsia" w:ascii="仿宋" w:hAnsi="仿宋" w:eastAsia="仿宋" w:cs="仿宋"/>
          <w:color w:val="auto"/>
          <w:highlight w:val="none"/>
        </w:rPr>
      </w:pPr>
      <w:r>
        <w:rPr>
          <w:rFonts w:hint="eastAsia" w:ascii="仿宋" w:hAnsi="仿宋" w:eastAsia="仿宋" w:cs="仿宋"/>
          <w:color w:val="auto"/>
          <w:highlight w:val="none"/>
        </w:rPr>
        <w:t>（2）评标结果汇总完成后，</w:t>
      </w:r>
      <w:r>
        <w:rPr>
          <w:rFonts w:hint="eastAsia" w:ascii="仿宋" w:hAnsi="仿宋" w:eastAsia="仿宋" w:cs="仿宋"/>
          <w:color w:val="auto"/>
          <w:highlight w:val="none"/>
          <w:lang w:val="en-US" w:eastAsia="zh-CN"/>
        </w:rPr>
        <w:t>采购人或</w:t>
      </w:r>
      <w:r>
        <w:rPr>
          <w:rFonts w:hint="eastAsia" w:ascii="仿宋" w:hAnsi="仿宋" w:eastAsia="仿宋" w:cs="仿宋"/>
          <w:color w:val="auto"/>
          <w:highlight w:val="none"/>
        </w:rPr>
        <w:t>采购代理机构</w:t>
      </w:r>
      <w:r>
        <w:rPr>
          <w:rFonts w:hint="eastAsia" w:ascii="仿宋" w:hAnsi="仿宋" w:eastAsia="仿宋" w:cs="仿宋"/>
          <w:color w:val="auto"/>
          <w:highlight w:val="none"/>
          <w:lang w:val="en-US" w:eastAsia="zh-CN"/>
        </w:rPr>
        <w:t>可以</w:t>
      </w:r>
      <w:r>
        <w:rPr>
          <w:rFonts w:hint="eastAsia" w:ascii="仿宋" w:hAnsi="仿宋" w:eastAsia="仿宋" w:cs="仿宋"/>
          <w:color w:val="auto"/>
          <w:highlight w:val="none"/>
        </w:rPr>
        <w:t>对评标结果进行复核。经复核发现存在以下情形之一的，评标委员会应当当场修改评标结果，并在评标报告中记载：</w:t>
      </w:r>
    </w:p>
    <w:p w14:paraId="0258071E">
      <w:pPr>
        <w:ind w:firstLine="560"/>
        <w:rPr>
          <w:rFonts w:hint="eastAsia" w:ascii="仿宋" w:hAnsi="仿宋" w:eastAsia="仿宋" w:cs="仿宋"/>
          <w:color w:val="auto"/>
          <w:highlight w:val="none"/>
        </w:rPr>
      </w:pPr>
      <w:r>
        <w:rPr>
          <w:rFonts w:hint="eastAsia" w:ascii="仿宋" w:hAnsi="仿宋" w:eastAsia="仿宋" w:cs="仿宋"/>
          <w:color w:val="auto"/>
          <w:highlight w:val="none"/>
        </w:rPr>
        <w:t>①分值汇总计算错误的；</w:t>
      </w:r>
    </w:p>
    <w:p w14:paraId="1A69A1BE">
      <w:pPr>
        <w:ind w:firstLine="560"/>
        <w:rPr>
          <w:rFonts w:hint="eastAsia" w:ascii="仿宋" w:hAnsi="仿宋" w:eastAsia="仿宋" w:cs="仿宋"/>
          <w:color w:val="auto"/>
          <w:highlight w:val="none"/>
        </w:rPr>
      </w:pPr>
      <w:r>
        <w:rPr>
          <w:rFonts w:hint="eastAsia" w:ascii="仿宋" w:hAnsi="仿宋" w:eastAsia="仿宋" w:cs="仿宋"/>
          <w:color w:val="auto"/>
          <w:highlight w:val="none"/>
        </w:rPr>
        <w:t>②分项评分超出评分标准范围的；</w:t>
      </w:r>
    </w:p>
    <w:p w14:paraId="3F301073">
      <w:pPr>
        <w:ind w:firstLine="560"/>
        <w:rPr>
          <w:rFonts w:hint="eastAsia" w:ascii="仿宋" w:hAnsi="仿宋" w:eastAsia="仿宋" w:cs="仿宋"/>
          <w:color w:val="auto"/>
          <w:highlight w:val="none"/>
        </w:rPr>
      </w:pPr>
      <w:r>
        <w:rPr>
          <w:rFonts w:hint="eastAsia" w:ascii="仿宋" w:hAnsi="仿宋" w:eastAsia="仿宋" w:cs="仿宋"/>
          <w:color w:val="auto"/>
          <w:highlight w:val="none"/>
        </w:rPr>
        <w:t>③评标委员会成员对客观评审因素评分不一致的；</w:t>
      </w:r>
    </w:p>
    <w:p w14:paraId="5A42DC8F">
      <w:pPr>
        <w:ind w:firstLine="560"/>
        <w:rPr>
          <w:rFonts w:hint="eastAsia" w:ascii="仿宋" w:hAnsi="仿宋" w:eastAsia="仿宋" w:cs="仿宋"/>
          <w:color w:val="auto"/>
          <w:highlight w:val="none"/>
        </w:rPr>
      </w:pPr>
      <w:r>
        <w:rPr>
          <w:rFonts w:hint="eastAsia" w:ascii="仿宋" w:hAnsi="仿宋" w:eastAsia="仿宋" w:cs="仿宋"/>
          <w:color w:val="auto"/>
          <w:highlight w:val="none"/>
        </w:rPr>
        <w:t>④经评标委员会认定评分畸高、畸低的。</w:t>
      </w:r>
    </w:p>
    <w:p w14:paraId="58B91164">
      <w:pPr>
        <w:ind w:firstLine="560"/>
        <w:rPr>
          <w:rFonts w:hint="eastAsia" w:ascii="仿宋" w:hAnsi="仿宋" w:eastAsia="仿宋" w:cs="仿宋"/>
          <w:color w:val="auto"/>
          <w:highlight w:val="none"/>
        </w:rPr>
      </w:pPr>
      <w:r>
        <w:rPr>
          <w:rFonts w:hint="eastAsia" w:ascii="仿宋" w:hAnsi="仿宋" w:eastAsia="仿宋" w:cs="仿宋"/>
          <w:color w:val="auto"/>
          <w:highlight w:val="none"/>
        </w:rPr>
        <w:t>（3）各</w:t>
      </w:r>
      <w:r>
        <w:rPr>
          <w:rFonts w:hint="eastAsia" w:ascii="仿宋" w:hAnsi="仿宋" w:eastAsia="仿宋" w:cs="仿宋"/>
          <w:color w:val="auto"/>
          <w:highlight w:val="none"/>
          <w:lang w:eastAsia="zh-CN"/>
        </w:rPr>
        <w:t>投标人</w:t>
      </w:r>
      <w:r>
        <w:rPr>
          <w:rFonts w:hint="eastAsia" w:ascii="仿宋" w:hAnsi="仿宋" w:eastAsia="仿宋" w:cs="仿宋"/>
          <w:color w:val="auto"/>
          <w:highlight w:val="none"/>
        </w:rPr>
        <w:t>的最终得分为评标委员会所有成员对各</w:t>
      </w:r>
      <w:r>
        <w:rPr>
          <w:rFonts w:hint="eastAsia" w:ascii="仿宋" w:hAnsi="仿宋" w:eastAsia="仿宋" w:cs="仿宋"/>
          <w:color w:val="auto"/>
          <w:highlight w:val="none"/>
          <w:lang w:eastAsia="zh-CN"/>
        </w:rPr>
        <w:t>投标人</w:t>
      </w:r>
      <w:r>
        <w:rPr>
          <w:rFonts w:hint="eastAsia" w:ascii="仿宋" w:hAnsi="仿宋" w:eastAsia="仿宋" w:cs="仿宋"/>
          <w:color w:val="auto"/>
          <w:highlight w:val="none"/>
        </w:rPr>
        <w:t>评标得分汇总后的算术平均值。</w:t>
      </w:r>
    </w:p>
    <w:p w14:paraId="1C6BE9DC">
      <w:pPr>
        <w:pStyle w:val="47"/>
        <w:ind w:firstLine="562"/>
        <w:rPr>
          <w:rFonts w:hint="eastAsia" w:ascii="仿宋" w:hAnsi="仿宋" w:eastAsia="仿宋" w:cs="仿宋"/>
          <w:b/>
          <w:bCs/>
          <w:color w:val="auto"/>
          <w:highlight w:val="none"/>
        </w:rPr>
      </w:pPr>
      <w:r>
        <w:rPr>
          <w:rFonts w:hint="eastAsia" w:ascii="仿宋" w:hAnsi="仿宋" w:eastAsia="仿宋" w:cs="仿宋"/>
          <w:b/>
          <w:bCs/>
          <w:color w:val="auto"/>
          <w:highlight w:val="none"/>
        </w:rPr>
        <w:t>1</w:t>
      </w:r>
      <w:r>
        <w:rPr>
          <w:rFonts w:hint="eastAsia" w:ascii="仿宋" w:hAnsi="仿宋" w:eastAsia="仿宋" w:cs="仿宋"/>
          <w:b/>
          <w:bCs/>
          <w:color w:val="auto"/>
          <w:highlight w:val="none"/>
          <w:lang w:val="en-US"/>
        </w:rPr>
        <w:t>0</w:t>
      </w:r>
      <w:r>
        <w:rPr>
          <w:rFonts w:hint="eastAsia" w:ascii="仿宋" w:hAnsi="仿宋" w:eastAsia="仿宋" w:cs="仿宋"/>
          <w:b/>
          <w:bCs/>
          <w:color w:val="auto"/>
          <w:highlight w:val="none"/>
        </w:rPr>
        <w:t>.政府采购政策评审</w:t>
      </w:r>
    </w:p>
    <w:p w14:paraId="13C9C205">
      <w:pPr>
        <w:ind w:firstLine="560"/>
        <w:rPr>
          <w:rFonts w:hint="eastAsia" w:ascii="仿宋" w:hAnsi="仿宋" w:eastAsia="仿宋" w:cs="仿宋"/>
          <w:color w:val="auto"/>
          <w:highlight w:val="none"/>
        </w:rPr>
      </w:pPr>
      <w:r>
        <w:rPr>
          <w:rFonts w:hint="eastAsia" w:ascii="仿宋" w:hAnsi="仿宋" w:eastAsia="仿宋" w:cs="仿宋"/>
          <w:color w:val="auto"/>
          <w:highlight w:val="none"/>
        </w:rPr>
        <w:t>10.1</w:t>
      </w:r>
      <w:r>
        <w:rPr>
          <w:rFonts w:hint="eastAsia" w:ascii="仿宋" w:hAnsi="仿宋" w:eastAsia="仿宋" w:cs="仿宋"/>
          <w:color w:val="auto"/>
          <w:highlight w:val="none"/>
          <w:lang w:val="en-US" w:eastAsia="zh-CN"/>
        </w:rPr>
        <w:t xml:space="preserve"> 支持中小企业政策</w:t>
      </w:r>
      <w:r>
        <w:rPr>
          <w:rFonts w:hint="eastAsia" w:ascii="仿宋" w:hAnsi="仿宋" w:eastAsia="仿宋" w:cs="仿宋"/>
          <w:color w:val="auto"/>
          <w:highlight w:val="none"/>
        </w:rPr>
        <w:t>价格扣除</w:t>
      </w:r>
    </w:p>
    <w:p w14:paraId="02B776B2">
      <w:pPr>
        <w:ind w:firstLine="560"/>
        <w:rPr>
          <w:rFonts w:hint="eastAsia" w:ascii="仿宋" w:hAnsi="仿宋" w:eastAsia="仿宋" w:cs="仿宋"/>
          <w:color w:val="auto"/>
          <w:highlight w:val="none"/>
        </w:rPr>
      </w:pPr>
      <w:r>
        <w:rPr>
          <w:rFonts w:hint="eastAsia" w:ascii="仿宋" w:hAnsi="仿宋" w:eastAsia="仿宋" w:cs="仿宋"/>
          <w:color w:val="auto"/>
          <w:highlight w:val="none"/>
        </w:rPr>
        <w:t>（1）非专门面向中小企业的采购项目或采购包，对符合规定的小微企业（监狱企业、残疾人福利性单位、联合体各方均为小微企业的联合体、符合小微企业划分标准的个体工商户视同小微企业）报价按照本</w:t>
      </w:r>
      <w:r>
        <w:rPr>
          <w:rFonts w:hint="eastAsia" w:ascii="仿宋" w:hAnsi="仿宋" w:eastAsia="仿宋" w:cs="仿宋"/>
          <w:color w:val="auto"/>
          <w:highlight w:val="none"/>
          <w:lang w:eastAsia="zh-CN"/>
        </w:rPr>
        <w:t>招标文件</w:t>
      </w:r>
      <w:r>
        <w:rPr>
          <w:rFonts w:hint="eastAsia" w:ascii="仿宋" w:hAnsi="仿宋" w:eastAsia="仿宋" w:cs="仿宋"/>
          <w:color w:val="auto"/>
          <w:highlight w:val="none"/>
        </w:rPr>
        <w:t>”</w:t>
      </w:r>
      <w:r>
        <w:rPr>
          <w:rFonts w:hint="eastAsia" w:ascii="仿宋" w:hAnsi="仿宋" w:eastAsia="仿宋" w:cs="仿宋"/>
          <w:color w:val="auto"/>
          <w:highlight w:val="none"/>
          <w:lang w:eastAsia="zh-CN"/>
        </w:rPr>
        <w:t>投标人</w:t>
      </w:r>
      <w:r>
        <w:rPr>
          <w:rFonts w:hint="eastAsia" w:ascii="仿宋" w:hAnsi="仿宋" w:eastAsia="仿宋" w:cs="仿宋"/>
          <w:color w:val="auto"/>
          <w:highlight w:val="none"/>
        </w:rPr>
        <w:t>须知前附表”中的规定扣除，对小微企业中的监狱企业、残疾人福利性单位、采购产品纳入创新产品应用示范推荐目录内企业、采购产品获得节能产品或环境标志产品认证证书的企业报价按照本</w:t>
      </w:r>
      <w:r>
        <w:rPr>
          <w:rFonts w:hint="eastAsia" w:ascii="仿宋" w:hAnsi="仿宋" w:eastAsia="仿宋" w:cs="仿宋"/>
          <w:color w:val="auto"/>
          <w:highlight w:val="none"/>
          <w:lang w:eastAsia="zh-CN"/>
        </w:rPr>
        <w:t>招标文件</w:t>
      </w:r>
      <w:r>
        <w:rPr>
          <w:rFonts w:hint="eastAsia" w:ascii="仿宋" w:hAnsi="仿宋" w:eastAsia="仿宋" w:cs="仿宋"/>
          <w:color w:val="auto"/>
          <w:highlight w:val="none"/>
        </w:rPr>
        <w:t>”</w:t>
      </w:r>
      <w:r>
        <w:rPr>
          <w:rFonts w:hint="eastAsia" w:ascii="仿宋" w:hAnsi="仿宋" w:eastAsia="仿宋" w:cs="仿宋"/>
          <w:color w:val="auto"/>
          <w:highlight w:val="none"/>
          <w:lang w:eastAsia="zh-CN"/>
        </w:rPr>
        <w:t>投标人</w:t>
      </w:r>
      <w:r>
        <w:rPr>
          <w:rFonts w:hint="eastAsia" w:ascii="仿宋" w:hAnsi="仿宋" w:eastAsia="仿宋" w:cs="仿宋"/>
          <w:color w:val="auto"/>
          <w:highlight w:val="none"/>
        </w:rPr>
        <w:t>须知前附表”中的规定扣除，用扣除后的价格参加评审。</w:t>
      </w:r>
    </w:p>
    <w:p w14:paraId="22A63450">
      <w:pPr>
        <w:ind w:firstLine="560"/>
        <w:rPr>
          <w:rFonts w:hint="eastAsia" w:ascii="仿宋" w:hAnsi="仿宋" w:eastAsia="仿宋" w:cs="仿宋"/>
          <w:color w:val="auto"/>
          <w:highlight w:val="none"/>
        </w:rPr>
      </w:pPr>
      <w:r>
        <w:rPr>
          <w:rFonts w:hint="eastAsia" w:ascii="仿宋" w:hAnsi="仿宋" w:eastAsia="仿宋" w:cs="仿宋"/>
          <w:color w:val="auto"/>
          <w:highlight w:val="none"/>
        </w:rPr>
        <w:t>（2）参加政府采购活动的小微企业（含节能环保、创新产品企业）未提供“中小企业声明函”的；监狱企业未提供“监狱企业证明文件”的；监狱企业中的小微企业未提供“中小企业声明函”的；残疾人福利性单位未提供“残疾人福利性单位声明函”的；残疾人福利性单位中的小微企业未提供“中小企业声明函”的；不得享受相应的价格扣除优惠。组成联合体或者接受分包的小微企业与联合体内其他企业、分包企业之间存在直接控股、管理关系的，不得享受价格扣除优惠。</w:t>
      </w:r>
    </w:p>
    <w:p w14:paraId="6F0D5BA2">
      <w:pPr>
        <w:ind w:firstLine="560"/>
        <w:rPr>
          <w:rFonts w:hint="eastAsia" w:ascii="仿宋" w:hAnsi="仿宋" w:eastAsia="仿宋" w:cs="仿宋"/>
          <w:color w:val="auto"/>
          <w:highlight w:val="none"/>
        </w:rPr>
      </w:pPr>
      <w:r>
        <w:rPr>
          <w:rFonts w:hint="eastAsia" w:ascii="仿宋" w:hAnsi="仿宋" w:eastAsia="仿宋" w:cs="仿宋"/>
          <w:color w:val="auto"/>
          <w:highlight w:val="none"/>
        </w:rPr>
        <w:t>（3）专门面向中小企业、预留部分采购份额面向中小企业采购的项目或采购包，评审时不再进行价格扣除。</w:t>
      </w:r>
    </w:p>
    <w:p w14:paraId="40800EFE">
      <w:pPr>
        <w:ind w:firstLine="562"/>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10.2 </w:t>
      </w:r>
      <w:r>
        <w:rPr>
          <w:rFonts w:hint="eastAsia" w:ascii="仿宋" w:hAnsi="仿宋" w:eastAsia="仿宋" w:cs="仿宋"/>
          <w:b w:val="0"/>
          <w:bCs w:val="0"/>
          <w:iCs/>
          <w:snapToGrid w:val="0"/>
          <w:color w:val="auto"/>
          <w:highlight w:val="none"/>
          <w:shd w:val="clear" w:color="auto" w:fill="FFFFFF" w:themeFill="background1"/>
          <w:lang w:val="en-US" w:eastAsia="zh-CN"/>
        </w:rPr>
        <w:t>政府采购中实施本国产品标准及相关政策</w:t>
      </w:r>
    </w:p>
    <w:p w14:paraId="17D278E2">
      <w:pPr>
        <w:ind w:firstLine="562"/>
        <w:rPr>
          <w:rFonts w:hint="eastAsia" w:ascii="仿宋" w:hAnsi="仿宋" w:eastAsia="仿宋" w:cs="仿宋"/>
          <w:b w:val="0"/>
          <w:bCs w:val="0"/>
          <w:iCs/>
          <w:snapToGrid w:val="0"/>
          <w:color w:val="auto"/>
          <w:highlight w:val="none"/>
          <w:shd w:val="clear" w:color="auto" w:fill="FFFFFF" w:themeFill="background1"/>
          <w:lang w:eastAsia="zh-CN"/>
        </w:rPr>
      </w:pPr>
      <w:r>
        <w:rPr>
          <w:rFonts w:hint="eastAsia" w:ascii="仿宋" w:hAnsi="仿宋" w:eastAsia="仿宋" w:cs="仿宋"/>
          <w:b w:val="0"/>
          <w:bCs w:val="0"/>
          <w:iCs/>
          <w:snapToGrid w:val="0"/>
          <w:color w:val="auto"/>
          <w:highlight w:val="none"/>
          <w:shd w:val="clear" w:color="auto" w:fill="FFFFFF" w:themeFill="background1"/>
          <w:lang w:val="en-US" w:eastAsia="zh-CN"/>
        </w:rPr>
        <w:t>按照《国务院办公厅关于在政府采购中实施本国产品标准及相关政策的通知》（国办发〔2025〕34号）的规定：政府采购活动中既有本国产品又有非本国产品参与竞争的，依法对本国产品给予价格评审优惠，对本国产品的报价给予20%的价格扣除，用扣除后的价格参与评审。</w:t>
      </w:r>
      <w:r>
        <w:rPr>
          <w:rFonts w:hint="eastAsia" w:ascii="仿宋" w:hAnsi="仿宋" w:eastAsia="仿宋" w:cs="仿宋"/>
          <w:b w:val="0"/>
          <w:bCs w:val="0"/>
          <w:iCs/>
          <w:snapToGrid w:val="0"/>
          <w:color w:val="auto"/>
          <w:highlight w:val="none"/>
          <w:shd w:val="clear" w:color="auto" w:fill="FFFFFF" w:themeFill="background1"/>
          <w:lang w:eastAsia="zh-CN"/>
        </w:rPr>
        <w:t>进口产品属于非本国产品。但对一些非进口产品，如果不满足上述《</w:t>
      </w:r>
      <w:r>
        <w:rPr>
          <w:rFonts w:hint="eastAsia" w:ascii="仿宋" w:hAnsi="仿宋" w:eastAsia="仿宋" w:cs="仿宋"/>
          <w:b w:val="0"/>
          <w:bCs w:val="0"/>
          <w:iCs/>
          <w:snapToGrid w:val="0"/>
          <w:color w:val="auto"/>
          <w:highlight w:val="none"/>
          <w:shd w:val="clear" w:color="auto" w:fill="FFFFFF" w:themeFill="background1"/>
          <w:lang w:val="en-US" w:eastAsia="zh-CN"/>
        </w:rPr>
        <w:t>通知</w:t>
      </w:r>
      <w:r>
        <w:rPr>
          <w:rFonts w:hint="eastAsia" w:ascii="仿宋" w:hAnsi="仿宋" w:eastAsia="仿宋" w:cs="仿宋"/>
          <w:b w:val="0"/>
          <w:bCs w:val="0"/>
          <w:iCs/>
          <w:snapToGrid w:val="0"/>
          <w:color w:val="auto"/>
          <w:highlight w:val="none"/>
          <w:shd w:val="clear" w:color="auto" w:fill="FFFFFF" w:themeFill="background1"/>
          <w:lang w:eastAsia="zh-CN"/>
        </w:rPr>
        <w:t>》规定的“在中国境内生产”等条件，这些产品也属于非本国产品。对于仅有本国产品参与竞争的政府采购项目，本国产品不享受价格扣除评审优惠。</w:t>
      </w:r>
      <w:r>
        <w:rPr>
          <w:rFonts w:hint="eastAsia" w:ascii="仿宋" w:hAnsi="仿宋" w:eastAsia="仿宋" w:cs="仿宋"/>
          <w:b w:val="0"/>
          <w:bCs w:val="0"/>
          <w:iCs/>
          <w:snapToGrid w:val="0"/>
          <w:color w:val="auto"/>
          <w:highlight w:val="none"/>
          <w:shd w:val="clear" w:color="auto" w:fill="FFFFFF" w:themeFill="background1"/>
          <w:lang w:val="en-US" w:eastAsia="zh-CN"/>
        </w:rPr>
        <w:t>符合规定的投标人</w:t>
      </w:r>
      <w:r>
        <w:rPr>
          <w:rFonts w:hint="eastAsia" w:ascii="仿宋" w:hAnsi="仿宋" w:eastAsia="仿宋" w:cs="仿宋"/>
          <w:b w:val="0"/>
          <w:bCs w:val="0"/>
          <w:iCs/>
          <w:snapToGrid w:val="0"/>
          <w:color w:val="auto"/>
          <w:highlight w:val="none"/>
          <w:shd w:val="clear" w:color="auto" w:fill="FFFFFF" w:themeFill="background1"/>
          <w:lang w:eastAsia="zh-CN"/>
        </w:rPr>
        <w:t>，应当提供《</w:t>
      </w:r>
      <w:r>
        <w:rPr>
          <w:rFonts w:hint="eastAsia" w:ascii="仿宋" w:hAnsi="仿宋" w:eastAsia="仿宋" w:cs="仿宋"/>
          <w:b w:val="0"/>
          <w:bCs w:val="0"/>
          <w:iCs/>
          <w:snapToGrid w:val="0"/>
          <w:color w:val="auto"/>
          <w:highlight w:val="none"/>
          <w:shd w:val="clear" w:color="auto" w:fill="FFFFFF" w:themeFill="background1"/>
          <w:lang w:val="en-US" w:eastAsia="zh-CN"/>
        </w:rPr>
        <w:t>关于符合本国产品标准的声明函</w:t>
      </w:r>
      <w:r>
        <w:rPr>
          <w:rFonts w:hint="eastAsia" w:ascii="仿宋" w:hAnsi="仿宋" w:eastAsia="仿宋" w:cs="仿宋"/>
          <w:b w:val="0"/>
          <w:bCs w:val="0"/>
          <w:iCs/>
          <w:snapToGrid w:val="0"/>
          <w:color w:val="auto"/>
          <w:highlight w:val="none"/>
          <w:shd w:val="clear" w:color="auto" w:fill="FFFFFF" w:themeFill="background1"/>
          <w:lang w:eastAsia="zh-CN"/>
        </w:rPr>
        <w:t>》（详见本招标文件“第七章 投标文件的格式”），否则在评审时不享受上述评审优惠。</w:t>
      </w:r>
    </w:p>
    <w:p w14:paraId="6177C9CD">
      <w:pPr>
        <w:bidi w:val="0"/>
        <w:rPr>
          <w:rFonts w:hint="eastAsia" w:ascii="仿宋" w:hAnsi="仿宋" w:eastAsia="仿宋" w:cs="仿宋"/>
          <w:color w:val="auto"/>
          <w:highlight w:val="none"/>
        </w:rPr>
      </w:pPr>
      <w:r>
        <w:rPr>
          <w:rFonts w:hint="eastAsia" w:ascii="仿宋" w:hAnsi="仿宋" w:eastAsia="仿宋" w:cs="仿宋"/>
          <w:b w:val="0"/>
          <w:bCs w:val="0"/>
          <w:iCs/>
          <w:snapToGrid w:val="0"/>
          <w:color w:val="auto"/>
          <w:highlight w:val="none"/>
          <w:shd w:val="clear" w:color="auto" w:fill="FFFFFF" w:themeFill="background1"/>
          <w:lang w:eastAsia="zh-CN"/>
        </w:rPr>
        <w:t>当采购项目或者采购包中含有多种产品，投标人为该采购项目或者采购包提供的符合本国产品标准的产品成本之和占该投标人提供的全部产品成本之和的比例达到80%以上时，依法对该投标人提供的全部产品给予价格评审优惠，</w:t>
      </w:r>
      <w:r>
        <w:rPr>
          <w:rFonts w:hint="eastAsia" w:ascii="仿宋" w:hAnsi="仿宋" w:eastAsia="仿宋" w:cs="仿宋"/>
          <w:i w:val="0"/>
          <w:iCs w:val="0"/>
          <w:caps w:val="0"/>
          <w:color w:val="auto"/>
          <w:spacing w:val="0"/>
          <w:szCs w:val="28"/>
          <w:highlight w:val="none"/>
          <w:shd w:val="clear" w:fill="FFFFFF"/>
          <w:vertAlign w:val="baseline"/>
        </w:rPr>
        <w:t>即对该</w:t>
      </w:r>
      <w:r>
        <w:rPr>
          <w:rFonts w:hint="eastAsia" w:ascii="仿宋" w:hAnsi="仿宋" w:eastAsia="仿宋" w:cs="仿宋"/>
          <w:i w:val="0"/>
          <w:iCs w:val="0"/>
          <w:caps w:val="0"/>
          <w:color w:val="auto"/>
          <w:spacing w:val="0"/>
          <w:szCs w:val="28"/>
          <w:highlight w:val="none"/>
          <w:shd w:val="clear" w:fill="FFFFFF"/>
          <w:vertAlign w:val="baseline"/>
          <w:lang w:eastAsia="zh-CN"/>
        </w:rPr>
        <w:t>投标人</w:t>
      </w:r>
      <w:r>
        <w:rPr>
          <w:rFonts w:hint="eastAsia" w:ascii="仿宋" w:hAnsi="仿宋" w:eastAsia="仿宋" w:cs="仿宋"/>
          <w:i w:val="0"/>
          <w:iCs w:val="0"/>
          <w:caps w:val="0"/>
          <w:color w:val="auto"/>
          <w:spacing w:val="0"/>
          <w:szCs w:val="28"/>
          <w:highlight w:val="none"/>
          <w:shd w:val="clear" w:fill="FFFFFF"/>
          <w:vertAlign w:val="baseline"/>
        </w:rPr>
        <w:t>提供的全部产品的总报价给予20%的价格扣除，用扣除后的价格参与评审。</w:t>
      </w:r>
      <w:r>
        <w:rPr>
          <w:rFonts w:hint="eastAsia" w:ascii="仿宋" w:hAnsi="仿宋" w:eastAsia="仿宋" w:cs="仿宋"/>
          <w:snapToGrid w:val="0"/>
          <w:color w:val="auto"/>
          <w:highlight w:val="none"/>
          <w:lang w:eastAsia="zh-CN"/>
        </w:rPr>
        <w:t>投标人</w:t>
      </w:r>
      <w:r>
        <w:rPr>
          <w:rFonts w:hint="eastAsia" w:ascii="仿宋" w:hAnsi="仿宋" w:eastAsia="仿宋" w:cs="仿宋"/>
          <w:snapToGrid w:val="0"/>
          <w:color w:val="auto"/>
          <w:highlight w:val="none"/>
        </w:rPr>
        <w:t>如符合上述</w:t>
      </w:r>
      <w:r>
        <w:rPr>
          <w:rFonts w:hint="eastAsia" w:ascii="仿宋" w:hAnsi="仿宋" w:eastAsia="仿宋" w:cs="仿宋"/>
          <w:snapToGrid w:val="0"/>
          <w:color w:val="auto"/>
          <w:highlight w:val="none"/>
          <w:lang w:eastAsia="zh-CN"/>
        </w:rPr>
        <w:t>《</w:t>
      </w:r>
      <w:r>
        <w:rPr>
          <w:rFonts w:hint="eastAsia" w:ascii="仿宋" w:hAnsi="仿宋" w:eastAsia="仿宋" w:cs="仿宋"/>
          <w:snapToGrid w:val="0"/>
          <w:color w:val="auto"/>
          <w:highlight w:val="none"/>
          <w:lang w:val="en-US" w:eastAsia="zh-CN"/>
        </w:rPr>
        <w:t>通知</w:t>
      </w:r>
      <w:r>
        <w:rPr>
          <w:rFonts w:hint="eastAsia" w:ascii="仿宋" w:hAnsi="仿宋" w:eastAsia="仿宋" w:cs="仿宋"/>
          <w:snapToGrid w:val="0"/>
          <w:color w:val="auto"/>
          <w:highlight w:val="none"/>
          <w:lang w:eastAsia="zh-CN"/>
        </w:rPr>
        <w:t>》</w:t>
      </w:r>
      <w:r>
        <w:rPr>
          <w:rFonts w:hint="eastAsia" w:ascii="仿宋" w:hAnsi="仿宋" w:eastAsia="仿宋" w:cs="仿宋"/>
          <w:snapToGrid w:val="0"/>
          <w:color w:val="auto"/>
          <w:highlight w:val="none"/>
        </w:rPr>
        <w:t>规定的，需提供《关于符合本国产品标准的声明函》。</w:t>
      </w:r>
    </w:p>
    <w:p w14:paraId="40709BAD">
      <w:pPr>
        <w:bidi w:val="0"/>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本国产品应当符合产品在中国境内生产,且在中国境内生产的组件成本占比达到规定比例,以及对特定产品的关键组件、关键工序在中国境内生产、完成等要求。财政部将会同有关行业主管部门自上述《通知》施行之日起5年内，在充分征求有关内外资企业、行业协会商会等方面意见的基础上，分产品确定在中国境内生产的组件成本占比应当达到的规定比例，以及对特定产品的关键组件、关键工序相关要求。在分产品的中国境内生产的组件成本占比，以及对特定产品的关键组件、关键工序相关要求实施前，符合在中国境内生产条件的产品在政府采购活动中视同本国产品。其中，“在中国境内生产”是指在中华人民共和国关境内实现从原材料、组件到产品的属性改变。属性改变是指经过制造、加工或者组装等工序，产生完全不同于原材料、组件的新产品，并具有新的名称和特征（用途），不包括贴牌、简单的上漆等细微操作。因此，进口产品属于非本国产品。但对一些非进口产品，如果不满足上述《通知》规定的“在中国境内生产”等条件，这些产品也属于非本国产品。</w:t>
      </w:r>
    </w:p>
    <w:p w14:paraId="13BD24CD">
      <w:pPr>
        <w:bidi w:val="0"/>
        <w:rPr>
          <w:rFonts w:hint="eastAsia" w:ascii="仿宋" w:hAnsi="仿宋" w:eastAsia="仿宋" w:cs="仿宋"/>
          <w:b w:val="0"/>
          <w:bCs w:val="0"/>
          <w:color w:val="auto"/>
          <w:highlight w:val="none"/>
          <w:lang w:val="en-US" w:eastAsia="zh-CN"/>
        </w:rPr>
      </w:pPr>
      <w:r>
        <w:rPr>
          <w:rFonts w:hint="eastAsia" w:ascii="仿宋" w:hAnsi="仿宋" w:eastAsia="仿宋" w:cs="仿宋"/>
          <w:color w:val="auto"/>
          <w:highlight w:val="none"/>
          <w:lang w:val="en-US" w:eastAsia="zh-CN"/>
        </w:rPr>
        <w:t>注：对于非专门面向中小企业的采购项目，既有本国产品也有非本国产品参与竞争，且提供本国产品的投标人同时为小微企业的，应按照《国</w:t>
      </w:r>
      <w:r>
        <w:rPr>
          <w:rFonts w:hint="eastAsia" w:ascii="仿宋" w:hAnsi="仿宋" w:eastAsia="仿宋" w:cs="仿宋"/>
          <w:b w:val="0"/>
          <w:bCs w:val="0"/>
          <w:snapToGrid w:val="0"/>
          <w:color w:val="auto"/>
          <w:highlight w:val="none"/>
          <w:lang w:val="en-US" w:eastAsia="zh-CN"/>
        </w:rPr>
        <w:t>务院办公厅关于在政府采购中实施本国产品标准及相关政策的通知》（国办发〔2025〕34 号）、《政府采购促进中小企业发展管理办法》、《财政部关于进一步加大政府采购支持中小企业力度的通知》规定，对该投标人的产品同时给予支持本国产品和小微企业产品的价格评审优惠。相关价格评审扣除优惠，均应该在投标人原始报价基础上计算，用扣除后的价格参与评审。</w:t>
      </w:r>
    </w:p>
    <w:p w14:paraId="541CC3B4">
      <w:pPr>
        <w:pStyle w:val="47"/>
        <w:ind w:firstLine="562"/>
        <w:rPr>
          <w:rFonts w:hint="eastAsia" w:ascii="仿宋" w:hAnsi="仿宋" w:eastAsia="仿宋" w:cs="仿宋"/>
          <w:b/>
          <w:bCs/>
          <w:color w:val="auto"/>
          <w:highlight w:val="none"/>
        </w:rPr>
      </w:pPr>
      <w:r>
        <w:rPr>
          <w:rFonts w:hint="eastAsia" w:ascii="仿宋" w:hAnsi="仿宋" w:eastAsia="仿宋" w:cs="仿宋"/>
          <w:b/>
          <w:bCs/>
          <w:color w:val="auto"/>
          <w:highlight w:val="none"/>
        </w:rPr>
        <w:t>1</w:t>
      </w:r>
      <w:r>
        <w:rPr>
          <w:rFonts w:hint="eastAsia" w:ascii="仿宋" w:hAnsi="仿宋" w:eastAsia="仿宋" w:cs="仿宋"/>
          <w:b/>
          <w:bCs/>
          <w:color w:val="auto"/>
          <w:highlight w:val="none"/>
          <w:lang w:val="en-US"/>
        </w:rPr>
        <w:t>1</w:t>
      </w:r>
      <w:r>
        <w:rPr>
          <w:rFonts w:hint="eastAsia" w:ascii="仿宋" w:hAnsi="仿宋" w:eastAsia="仿宋" w:cs="仿宋"/>
          <w:b/>
          <w:bCs/>
          <w:color w:val="auto"/>
          <w:highlight w:val="none"/>
        </w:rPr>
        <w:t>.相同品牌处理原则</w:t>
      </w:r>
    </w:p>
    <w:p w14:paraId="624376E1">
      <w:pPr>
        <w:ind w:firstLine="560"/>
        <w:rPr>
          <w:rFonts w:hint="eastAsia" w:ascii="仿宋" w:hAnsi="仿宋" w:eastAsia="仿宋" w:cs="仿宋"/>
          <w:color w:val="auto"/>
          <w:highlight w:val="none"/>
        </w:rPr>
      </w:pPr>
      <w:r>
        <w:rPr>
          <w:rFonts w:hint="eastAsia" w:ascii="仿宋" w:hAnsi="仿宋" w:eastAsia="仿宋" w:cs="仿宋"/>
          <w:color w:val="auto"/>
          <w:highlight w:val="none"/>
        </w:rPr>
        <w:t>11.1</w:t>
      </w: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rPr>
        <w:t>单一产品采购（或非单一产品采购）中的核心产品，提供相同品牌产品且通过资格审查、符合性审查的不同</w:t>
      </w:r>
      <w:r>
        <w:rPr>
          <w:rFonts w:hint="eastAsia" w:ascii="仿宋" w:hAnsi="仿宋" w:eastAsia="仿宋" w:cs="仿宋"/>
          <w:color w:val="auto"/>
          <w:highlight w:val="none"/>
          <w:lang w:eastAsia="zh-CN"/>
        </w:rPr>
        <w:t>投标人</w:t>
      </w:r>
      <w:r>
        <w:rPr>
          <w:rFonts w:hint="eastAsia" w:ascii="仿宋" w:hAnsi="仿宋" w:eastAsia="仿宋" w:cs="仿宋"/>
          <w:color w:val="auto"/>
          <w:highlight w:val="none"/>
        </w:rPr>
        <w:t>参加同一合同项下投标的，按一家</w:t>
      </w:r>
      <w:r>
        <w:rPr>
          <w:rFonts w:hint="eastAsia" w:ascii="仿宋" w:hAnsi="仿宋" w:eastAsia="仿宋" w:cs="仿宋"/>
          <w:color w:val="auto"/>
          <w:highlight w:val="none"/>
          <w:lang w:eastAsia="zh-CN"/>
        </w:rPr>
        <w:t>投标人</w:t>
      </w:r>
      <w:r>
        <w:rPr>
          <w:rFonts w:hint="eastAsia" w:ascii="仿宋" w:hAnsi="仿宋" w:eastAsia="仿宋" w:cs="仿宋"/>
          <w:color w:val="auto"/>
          <w:highlight w:val="none"/>
        </w:rPr>
        <w:t>计算，评审后中标候选人推荐资格方式见“评标办法前附表”；</w:t>
      </w:r>
    </w:p>
    <w:p w14:paraId="0A77FC09">
      <w:pPr>
        <w:ind w:firstLine="560"/>
        <w:rPr>
          <w:rFonts w:hint="eastAsia" w:ascii="仿宋" w:hAnsi="仿宋" w:eastAsia="仿宋" w:cs="仿宋"/>
          <w:color w:val="auto"/>
          <w:highlight w:val="none"/>
        </w:rPr>
      </w:pPr>
      <w:r>
        <w:rPr>
          <w:rFonts w:hint="eastAsia" w:ascii="仿宋" w:hAnsi="仿宋" w:eastAsia="仿宋" w:cs="仿宋"/>
          <w:color w:val="auto"/>
          <w:highlight w:val="none"/>
        </w:rPr>
        <w:t>11.2</w:t>
      </w: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rPr>
        <w:t>非单一产品采购项目，采购人应当根据采购项目技术构成、产品价格比重等合理确定一个核心产品（采购清单中作“与核心产品相同〈或同一〉品牌”实质性要求的产品，视为一个核心产品），并以“核心产品”在</w:t>
      </w:r>
      <w:r>
        <w:rPr>
          <w:rFonts w:hint="eastAsia" w:ascii="仿宋" w:hAnsi="仿宋" w:eastAsia="仿宋" w:cs="仿宋"/>
          <w:color w:val="auto"/>
          <w:highlight w:val="none"/>
          <w:lang w:eastAsia="zh-CN"/>
        </w:rPr>
        <w:t>招标文件</w:t>
      </w:r>
      <w:r>
        <w:rPr>
          <w:rFonts w:hint="eastAsia" w:ascii="仿宋" w:hAnsi="仿宋" w:eastAsia="仿宋" w:cs="仿宋"/>
          <w:color w:val="auto"/>
          <w:highlight w:val="none"/>
        </w:rPr>
        <w:t>中载明，评审时按前款规定处理。</w:t>
      </w:r>
    </w:p>
    <w:bookmarkEnd w:id="370"/>
    <w:bookmarkEnd w:id="371"/>
    <w:bookmarkEnd w:id="372"/>
    <w:bookmarkEnd w:id="373"/>
    <w:bookmarkEnd w:id="374"/>
    <w:bookmarkEnd w:id="375"/>
    <w:bookmarkEnd w:id="376"/>
    <w:p w14:paraId="6BB3696B">
      <w:pPr>
        <w:pStyle w:val="5"/>
        <w:ind w:firstLine="602"/>
        <w:jc w:val="both"/>
        <w:rPr>
          <w:rFonts w:hint="eastAsia" w:ascii="仿宋" w:hAnsi="仿宋" w:eastAsia="仿宋" w:cs="仿宋"/>
          <w:color w:val="auto"/>
          <w:highlight w:val="none"/>
          <w:lang w:val="zh-CN"/>
        </w:rPr>
      </w:pPr>
      <w:bookmarkStart w:id="377" w:name="_Toc102114952"/>
      <w:bookmarkStart w:id="378" w:name="_Toc102057750"/>
      <w:bookmarkStart w:id="379" w:name="_Toc102116184"/>
      <w:bookmarkStart w:id="380" w:name="_Toc102116054"/>
      <w:bookmarkStart w:id="381" w:name="_Toc6266"/>
      <w:bookmarkStart w:id="382" w:name="_Toc18502"/>
      <w:bookmarkStart w:id="383" w:name="_Toc155185912"/>
      <w:bookmarkStart w:id="384" w:name="_Toc102119885"/>
      <w:bookmarkStart w:id="385" w:name="_Toc102056250"/>
      <w:bookmarkStart w:id="386" w:name="_Toc13902"/>
      <w:bookmarkStart w:id="387" w:name="_Toc163492905"/>
      <w:r>
        <w:rPr>
          <w:rFonts w:hint="eastAsia" w:ascii="仿宋" w:hAnsi="仿宋" w:eastAsia="仿宋" w:cs="仿宋"/>
          <w:color w:val="auto"/>
          <w:highlight w:val="none"/>
          <w:lang w:val="zh-CN"/>
        </w:rPr>
        <w:t>（</w:t>
      </w:r>
      <w:r>
        <w:rPr>
          <w:rFonts w:hint="eastAsia" w:ascii="仿宋" w:hAnsi="仿宋" w:eastAsia="仿宋" w:cs="仿宋"/>
          <w:color w:val="auto"/>
          <w:highlight w:val="none"/>
        </w:rPr>
        <w:t>四</w:t>
      </w:r>
      <w:r>
        <w:rPr>
          <w:rFonts w:hint="eastAsia" w:ascii="仿宋" w:hAnsi="仿宋" w:eastAsia="仿宋" w:cs="仿宋"/>
          <w:color w:val="auto"/>
          <w:highlight w:val="none"/>
          <w:lang w:val="zh-CN"/>
        </w:rPr>
        <w:t>）评标报告</w:t>
      </w:r>
      <w:bookmarkEnd w:id="377"/>
      <w:bookmarkEnd w:id="378"/>
      <w:bookmarkEnd w:id="379"/>
      <w:bookmarkEnd w:id="380"/>
      <w:bookmarkEnd w:id="381"/>
      <w:bookmarkEnd w:id="382"/>
      <w:bookmarkEnd w:id="383"/>
      <w:bookmarkEnd w:id="384"/>
      <w:bookmarkEnd w:id="385"/>
      <w:bookmarkEnd w:id="386"/>
      <w:bookmarkEnd w:id="387"/>
    </w:p>
    <w:p w14:paraId="08F837DB">
      <w:pPr>
        <w:ind w:firstLine="560"/>
        <w:rPr>
          <w:rFonts w:hint="eastAsia" w:ascii="仿宋" w:hAnsi="仿宋" w:eastAsia="仿宋" w:cs="仿宋"/>
          <w:color w:val="auto"/>
          <w:highlight w:val="none"/>
        </w:rPr>
      </w:pPr>
      <w:r>
        <w:rPr>
          <w:rFonts w:hint="eastAsia" w:ascii="仿宋" w:hAnsi="仿宋" w:eastAsia="仿宋" w:cs="仿宋"/>
          <w:color w:val="auto"/>
          <w:highlight w:val="none"/>
        </w:rPr>
        <w:t>12.评标委员会按照</w:t>
      </w:r>
      <w:r>
        <w:rPr>
          <w:rFonts w:hint="eastAsia" w:ascii="仿宋" w:hAnsi="仿宋" w:eastAsia="仿宋" w:cs="仿宋"/>
          <w:color w:val="auto"/>
          <w:highlight w:val="none"/>
          <w:lang w:eastAsia="zh-CN"/>
        </w:rPr>
        <w:t>招标文件</w:t>
      </w:r>
      <w:r>
        <w:rPr>
          <w:rFonts w:hint="eastAsia" w:ascii="仿宋" w:hAnsi="仿宋" w:eastAsia="仿宋" w:cs="仿宋"/>
          <w:color w:val="auto"/>
          <w:highlight w:val="none"/>
        </w:rPr>
        <w:t>确定的评标方法、程序及标准，对投标文件进行评审。中标候选人排序方式见“评标办法前附表”。</w:t>
      </w:r>
    </w:p>
    <w:p w14:paraId="6478676C">
      <w:pPr>
        <w:ind w:firstLine="560"/>
        <w:rPr>
          <w:rFonts w:hint="eastAsia" w:ascii="仿宋" w:hAnsi="仿宋" w:eastAsia="仿宋" w:cs="仿宋"/>
          <w:color w:val="auto"/>
          <w:highlight w:val="none"/>
        </w:rPr>
      </w:pPr>
      <w:r>
        <w:rPr>
          <w:rFonts w:hint="eastAsia" w:ascii="仿宋" w:hAnsi="仿宋" w:eastAsia="仿宋" w:cs="仿宋"/>
          <w:color w:val="auto"/>
          <w:highlight w:val="none"/>
        </w:rPr>
        <w:t>13.评标委员会依据评标结果，向采购人推荐中标候选人名单，并形成评标报告。</w:t>
      </w:r>
    </w:p>
    <w:p w14:paraId="0005D3D7">
      <w:pPr>
        <w:ind w:firstLine="560"/>
        <w:rPr>
          <w:rFonts w:hint="eastAsia" w:ascii="仿宋" w:hAnsi="仿宋" w:eastAsia="仿宋" w:cs="仿宋"/>
          <w:color w:val="auto"/>
          <w:highlight w:val="none"/>
        </w:rPr>
      </w:pPr>
      <w:r>
        <w:rPr>
          <w:rFonts w:hint="eastAsia" w:ascii="仿宋" w:hAnsi="仿宋" w:eastAsia="仿宋" w:cs="仿宋"/>
          <w:color w:val="auto"/>
          <w:highlight w:val="none"/>
        </w:rPr>
        <w:t>14.评标委员会应当在评标报告上签名，对自己的评审意见承担法律责任。对需要共同认定的事项存在争议的，应当按照少数服从多数的原则作出结论。持不同意见的评标委员会成员应当在评标报告上签署不同意见，并说明理由，否则视为同意评标报告。</w:t>
      </w:r>
    </w:p>
    <w:p w14:paraId="7117972A">
      <w:pPr>
        <w:pStyle w:val="5"/>
        <w:ind w:firstLine="602"/>
        <w:jc w:val="both"/>
        <w:rPr>
          <w:rFonts w:hint="eastAsia" w:ascii="仿宋" w:hAnsi="仿宋" w:eastAsia="仿宋" w:cs="仿宋"/>
          <w:color w:val="auto"/>
          <w:highlight w:val="none"/>
          <w:lang w:val="zh-CN"/>
        </w:rPr>
      </w:pPr>
      <w:bookmarkStart w:id="388" w:name="_Toc102119852"/>
      <w:bookmarkStart w:id="389" w:name="_Toc155185913"/>
      <w:bookmarkStart w:id="390" w:name="_Toc102057717"/>
      <w:bookmarkStart w:id="391" w:name="_Toc102116021"/>
      <w:bookmarkStart w:id="392" w:name="_Toc102116151"/>
      <w:bookmarkStart w:id="393" w:name="_Toc102114919"/>
      <w:bookmarkStart w:id="394" w:name="_Toc8635"/>
      <w:bookmarkStart w:id="395" w:name="_Toc163492906"/>
      <w:bookmarkStart w:id="396" w:name="_Toc18139"/>
      <w:bookmarkStart w:id="397" w:name="_Toc21685"/>
      <w:bookmarkStart w:id="398" w:name="_Toc102056217"/>
      <w:r>
        <w:rPr>
          <w:rFonts w:hint="eastAsia" w:ascii="仿宋" w:hAnsi="仿宋" w:eastAsia="仿宋" w:cs="仿宋"/>
          <w:color w:val="auto"/>
          <w:highlight w:val="none"/>
          <w:lang w:val="zh-CN"/>
        </w:rPr>
        <w:t>（</w:t>
      </w:r>
      <w:r>
        <w:rPr>
          <w:rFonts w:hint="eastAsia" w:ascii="仿宋" w:hAnsi="仿宋" w:eastAsia="仿宋" w:cs="仿宋"/>
          <w:color w:val="auto"/>
          <w:highlight w:val="none"/>
        </w:rPr>
        <w:t>五</w:t>
      </w:r>
      <w:r>
        <w:rPr>
          <w:rFonts w:hint="eastAsia" w:ascii="仿宋" w:hAnsi="仿宋" w:eastAsia="仿宋" w:cs="仿宋"/>
          <w:color w:val="auto"/>
          <w:highlight w:val="none"/>
          <w:lang w:val="zh-CN"/>
        </w:rPr>
        <w:t>）应予废标的情形</w:t>
      </w:r>
      <w:bookmarkEnd w:id="388"/>
      <w:bookmarkEnd w:id="389"/>
      <w:bookmarkEnd w:id="390"/>
      <w:bookmarkEnd w:id="391"/>
      <w:bookmarkEnd w:id="392"/>
      <w:bookmarkEnd w:id="393"/>
      <w:bookmarkEnd w:id="394"/>
      <w:bookmarkEnd w:id="395"/>
      <w:bookmarkEnd w:id="396"/>
      <w:bookmarkEnd w:id="397"/>
      <w:bookmarkEnd w:id="398"/>
    </w:p>
    <w:p w14:paraId="120CFEE6">
      <w:pPr>
        <w:pStyle w:val="47"/>
        <w:ind w:firstLine="560"/>
        <w:rPr>
          <w:rFonts w:hint="eastAsia" w:ascii="仿宋" w:hAnsi="仿宋" w:eastAsia="仿宋" w:cs="仿宋"/>
          <w:color w:val="auto"/>
          <w:highlight w:val="none"/>
        </w:rPr>
      </w:pPr>
      <w:r>
        <w:rPr>
          <w:rFonts w:hint="eastAsia" w:ascii="仿宋" w:hAnsi="仿宋" w:eastAsia="仿宋" w:cs="仿宋"/>
          <w:color w:val="auto"/>
          <w:highlight w:val="none"/>
        </w:rPr>
        <w:t>1</w:t>
      </w:r>
      <w:r>
        <w:rPr>
          <w:rFonts w:hint="eastAsia" w:ascii="仿宋" w:hAnsi="仿宋" w:eastAsia="仿宋" w:cs="仿宋"/>
          <w:color w:val="auto"/>
          <w:highlight w:val="none"/>
          <w:lang w:val="en-US"/>
        </w:rPr>
        <w:t>5</w:t>
      </w:r>
      <w:r>
        <w:rPr>
          <w:rFonts w:hint="eastAsia" w:ascii="仿宋" w:hAnsi="仿宋" w:eastAsia="仿宋" w:cs="仿宋"/>
          <w:color w:val="auto"/>
          <w:highlight w:val="none"/>
        </w:rPr>
        <w:t>.在招标采购过程中，出现下列情形之一的，应予</w:t>
      </w:r>
      <w:r>
        <w:rPr>
          <w:rFonts w:hint="eastAsia" w:ascii="仿宋" w:hAnsi="仿宋" w:eastAsia="仿宋" w:cs="仿宋"/>
          <w:b/>
          <w:bCs/>
          <w:color w:val="auto"/>
          <w:highlight w:val="none"/>
        </w:rPr>
        <w:t>废标</w:t>
      </w:r>
      <w:r>
        <w:rPr>
          <w:rFonts w:hint="eastAsia" w:ascii="仿宋" w:hAnsi="仿宋" w:eastAsia="仿宋" w:cs="仿宋"/>
          <w:color w:val="auto"/>
          <w:highlight w:val="none"/>
        </w:rPr>
        <w:t>：</w:t>
      </w:r>
    </w:p>
    <w:p w14:paraId="14D77640">
      <w:pPr>
        <w:ind w:firstLine="560"/>
        <w:rPr>
          <w:rFonts w:hint="eastAsia" w:ascii="仿宋" w:hAnsi="仿宋" w:eastAsia="仿宋" w:cs="仿宋"/>
          <w:color w:val="auto"/>
          <w:highlight w:val="none"/>
        </w:rPr>
      </w:pPr>
      <w:r>
        <w:rPr>
          <w:rFonts w:hint="eastAsia" w:ascii="仿宋" w:hAnsi="仿宋" w:eastAsia="仿宋" w:cs="仿宋"/>
          <w:color w:val="auto"/>
          <w:highlight w:val="none"/>
        </w:rPr>
        <w:t>15.1符合专业条件的</w:t>
      </w:r>
      <w:r>
        <w:rPr>
          <w:rFonts w:hint="eastAsia" w:ascii="仿宋" w:hAnsi="仿宋" w:eastAsia="仿宋" w:cs="仿宋"/>
          <w:color w:val="auto"/>
          <w:highlight w:val="none"/>
          <w:lang w:eastAsia="zh-CN"/>
        </w:rPr>
        <w:t>投标人</w:t>
      </w:r>
      <w:r>
        <w:rPr>
          <w:rFonts w:hint="eastAsia" w:ascii="仿宋" w:hAnsi="仿宋" w:eastAsia="仿宋" w:cs="仿宋"/>
          <w:color w:val="auto"/>
          <w:highlight w:val="none"/>
        </w:rPr>
        <w:t>或者对</w:t>
      </w:r>
      <w:r>
        <w:rPr>
          <w:rFonts w:hint="eastAsia" w:ascii="仿宋" w:hAnsi="仿宋" w:eastAsia="仿宋" w:cs="仿宋"/>
          <w:color w:val="auto"/>
          <w:highlight w:val="none"/>
          <w:lang w:eastAsia="zh-CN"/>
        </w:rPr>
        <w:t>招标文件做</w:t>
      </w:r>
      <w:r>
        <w:rPr>
          <w:rFonts w:hint="eastAsia" w:ascii="仿宋" w:hAnsi="仿宋" w:eastAsia="仿宋" w:cs="仿宋"/>
          <w:color w:val="auto"/>
          <w:highlight w:val="none"/>
        </w:rPr>
        <w:t>实质响应的</w:t>
      </w:r>
      <w:r>
        <w:rPr>
          <w:rFonts w:hint="eastAsia" w:ascii="仿宋" w:hAnsi="仿宋" w:eastAsia="仿宋" w:cs="仿宋"/>
          <w:color w:val="auto"/>
          <w:highlight w:val="none"/>
          <w:lang w:eastAsia="zh-CN"/>
        </w:rPr>
        <w:t>投标人</w:t>
      </w:r>
      <w:r>
        <w:rPr>
          <w:rFonts w:hint="eastAsia" w:ascii="仿宋" w:hAnsi="仿宋" w:eastAsia="仿宋" w:cs="仿宋"/>
          <w:color w:val="auto"/>
          <w:highlight w:val="none"/>
        </w:rPr>
        <w:t>不足3家的；</w:t>
      </w:r>
    </w:p>
    <w:p w14:paraId="23ABCFC8">
      <w:pPr>
        <w:ind w:firstLine="560"/>
        <w:rPr>
          <w:rFonts w:hint="eastAsia" w:ascii="仿宋" w:hAnsi="仿宋" w:eastAsia="仿宋" w:cs="仿宋"/>
          <w:color w:val="auto"/>
          <w:highlight w:val="none"/>
        </w:rPr>
      </w:pPr>
      <w:r>
        <w:rPr>
          <w:rFonts w:hint="eastAsia" w:ascii="仿宋" w:hAnsi="仿宋" w:eastAsia="仿宋" w:cs="仿宋"/>
          <w:color w:val="auto"/>
          <w:highlight w:val="none"/>
        </w:rPr>
        <w:t>15.2出现影响采购公正的违法、违规行为的；</w:t>
      </w:r>
    </w:p>
    <w:p w14:paraId="5E778BB5">
      <w:pPr>
        <w:ind w:firstLine="560"/>
        <w:rPr>
          <w:rFonts w:hint="eastAsia" w:ascii="仿宋" w:hAnsi="仿宋" w:eastAsia="仿宋" w:cs="仿宋"/>
          <w:color w:val="auto"/>
          <w:highlight w:val="none"/>
        </w:rPr>
      </w:pPr>
      <w:r>
        <w:rPr>
          <w:rFonts w:hint="eastAsia" w:ascii="仿宋" w:hAnsi="仿宋" w:eastAsia="仿宋" w:cs="仿宋"/>
          <w:color w:val="auto"/>
          <w:highlight w:val="none"/>
        </w:rPr>
        <w:t>15.3</w:t>
      </w:r>
      <w:r>
        <w:rPr>
          <w:rFonts w:hint="eastAsia" w:ascii="仿宋" w:hAnsi="仿宋" w:eastAsia="仿宋" w:cs="仿宋"/>
          <w:color w:val="auto"/>
          <w:highlight w:val="none"/>
          <w:lang w:eastAsia="zh-CN"/>
        </w:rPr>
        <w:t>投标人</w:t>
      </w:r>
      <w:r>
        <w:rPr>
          <w:rFonts w:hint="eastAsia" w:ascii="仿宋" w:hAnsi="仿宋" w:eastAsia="仿宋" w:cs="仿宋"/>
          <w:color w:val="auto"/>
          <w:highlight w:val="none"/>
        </w:rPr>
        <w:t>的报价均超过了采购预算，采购人不能支付的；</w:t>
      </w:r>
    </w:p>
    <w:p w14:paraId="309D333A">
      <w:pPr>
        <w:ind w:firstLine="560"/>
        <w:rPr>
          <w:rFonts w:hint="eastAsia" w:ascii="仿宋" w:hAnsi="仿宋" w:eastAsia="仿宋" w:cs="仿宋"/>
          <w:color w:val="auto"/>
          <w:highlight w:val="none"/>
        </w:rPr>
      </w:pPr>
      <w:r>
        <w:rPr>
          <w:rFonts w:hint="eastAsia" w:ascii="仿宋" w:hAnsi="仿宋" w:eastAsia="仿宋" w:cs="仿宋"/>
          <w:color w:val="auto"/>
          <w:highlight w:val="none"/>
        </w:rPr>
        <w:t>15.4因重大变故，采购任务取消的。</w:t>
      </w:r>
    </w:p>
    <w:p w14:paraId="74AE8A16">
      <w:pPr>
        <w:ind w:firstLine="560"/>
        <w:rPr>
          <w:rFonts w:hint="eastAsia" w:ascii="仿宋" w:hAnsi="仿宋" w:eastAsia="仿宋" w:cs="仿宋"/>
          <w:color w:val="auto"/>
          <w:highlight w:val="none"/>
        </w:rPr>
      </w:pPr>
      <w:r>
        <w:rPr>
          <w:rFonts w:hint="eastAsia" w:ascii="仿宋" w:hAnsi="仿宋" w:eastAsia="仿宋" w:cs="仿宋"/>
          <w:color w:val="auto"/>
          <w:highlight w:val="none"/>
        </w:rPr>
        <w:t>16.废标后，采购人应当将废标理由通知所有</w:t>
      </w:r>
      <w:r>
        <w:rPr>
          <w:rFonts w:hint="eastAsia" w:ascii="仿宋" w:hAnsi="仿宋" w:eastAsia="仿宋" w:cs="仿宋"/>
          <w:color w:val="auto"/>
          <w:highlight w:val="none"/>
          <w:lang w:eastAsia="zh-CN"/>
        </w:rPr>
        <w:t>投标人</w:t>
      </w:r>
      <w:r>
        <w:rPr>
          <w:rFonts w:hint="eastAsia" w:ascii="仿宋" w:hAnsi="仿宋" w:eastAsia="仿宋" w:cs="仿宋"/>
          <w:color w:val="auto"/>
          <w:highlight w:val="none"/>
        </w:rPr>
        <w:t>。</w:t>
      </w:r>
    </w:p>
    <w:p w14:paraId="30A322E6">
      <w:pPr>
        <w:pStyle w:val="5"/>
        <w:ind w:firstLine="602"/>
        <w:jc w:val="both"/>
        <w:rPr>
          <w:rFonts w:hint="eastAsia" w:ascii="仿宋" w:hAnsi="仿宋" w:eastAsia="仿宋" w:cs="仿宋"/>
          <w:color w:val="auto"/>
          <w:highlight w:val="none"/>
          <w:lang w:val="zh-CN"/>
        </w:rPr>
      </w:pPr>
      <w:bookmarkStart w:id="399" w:name="_Toc102114920"/>
      <w:bookmarkStart w:id="400" w:name="_Toc102119853"/>
      <w:bookmarkStart w:id="401" w:name="_Toc23637"/>
      <w:bookmarkStart w:id="402" w:name="_Toc155185914"/>
      <w:bookmarkStart w:id="403" w:name="_Toc102116022"/>
      <w:bookmarkStart w:id="404" w:name="_Toc4070"/>
      <w:bookmarkStart w:id="405" w:name="_Toc102057718"/>
      <w:bookmarkStart w:id="406" w:name="_Toc102056218"/>
      <w:bookmarkStart w:id="407" w:name="_Toc163492907"/>
      <w:bookmarkStart w:id="408" w:name="_Toc102116152"/>
      <w:bookmarkStart w:id="409" w:name="_Toc22230"/>
      <w:r>
        <w:rPr>
          <w:rFonts w:hint="eastAsia" w:ascii="仿宋" w:hAnsi="仿宋" w:eastAsia="仿宋" w:cs="仿宋"/>
          <w:color w:val="auto"/>
          <w:highlight w:val="none"/>
          <w:lang w:val="zh-CN"/>
        </w:rPr>
        <w:t>（</w:t>
      </w:r>
      <w:r>
        <w:rPr>
          <w:rFonts w:hint="eastAsia" w:ascii="仿宋" w:hAnsi="仿宋" w:eastAsia="仿宋" w:cs="仿宋"/>
          <w:color w:val="auto"/>
          <w:highlight w:val="none"/>
        </w:rPr>
        <w:t>六</w:t>
      </w:r>
      <w:r>
        <w:rPr>
          <w:rFonts w:hint="eastAsia" w:ascii="仿宋" w:hAnsi="仿宋" w:eastAsia="仿宋" w:cs="仿宋"/>
          <w:color w:val="auto"/>
          <w:highlight w:val="none"/>
          <w:lang w:val="zh-CN"/>
        </w:rPr>
        <w:t>）停止评标的情形</w:t>
      </w:r>
      <w:bookmarkEnd w:id="399"/>
      <w:bookmarkEnd w:id="400"/>
      <w:bookmarkEnd w:id="401"/>
      <w:bookmarkEnd w:id="402"/>
      <w:bookmarkEnd w:id="403"/>
      <w:bookmarkEnd w:id="404"/>
      <w:bookmarkEnd w:id="405"/>
      <w:bookmarkEnd w:id="406"/>
      <w:bookmarkEnd w:id="407"/>
      <w:bookmarkEnd w:id="408"/>
      <w:bookmarkEnd w:id="409"/>
    </w:p>
    <w:p w14:paraId="37D18035">
      <w:pPr>
        <w:ind w:firstLine="560"/>
        <w:rPr>
          <w:rFonts w:hint="eastAsia" w:ascii="仿宋" w:hAnsi="仿宋" w:eastAsia="仿宋" w:cs="仿宋"/>
          <w:color w:val="auto"/>
          <w:highlight w:val="none"/>
        </w:rPr>
      </w:pPr>
      <w:r>
        <w:rPr>
          <w:rFonts w:hint="eastAsia" w:ascii="仿宋" w:hAnsi="仿宋" w:eastAsia="仿宋" w:cs="仿宋"/>
          <w:color w:val="auto"/>
          <w:highlight w:val="none"/>
        </w:rPr>
        <w:t>17.评标委员会发现</w:t>
      </w:r>
      <w:r>
        <w:rPr>
          <w:rFonts w:hint="eastAsia" w:ascii="仿宋" w:hAnsi="仿宋" w:eastAsia="仿宋" w:cs="仿宋"/>
          <w:color w:val="auto"/>
          <w:highlight w:val="none"/>
          <w:lang w:eastAsia="zh-CN"/>
        </w:rPr>
        <w:t>招标文件</w:t>
      </w:r>
      <w:r>
        <w:rPr>
          <w:rFonts w:hint="eastAsia" w:ascii="仿宋" w:hAnsi="仿宋" w:eastAsia="仿宋" w:cs="仿宋"/>
          <w:color w:val="auto"/>
          <w:highlight w:val="none"/>
        </w:rPr>
        <w:t>存在歧义、重大缺陷导致评标工作无法进行，或者</w:t>
      </w:r>
      <w:r>
        <w:rPr>
          <w:rFonts w:hint="eastAsia" w:ascii="仿宋" w:hAnsi="仿宋" w:eastAsia="仿宋" w:cs="仿宋"/>
          <w:color w:val="auto"/>
          <w:highlight w:val="none"/>
          <w:lang w:eastAsia="zh-CN"/>
        </w:rPr>
        <w:t>招标文件</w:t>
      </w:r>
      <w:r>
        <w:rPr>
          <w:rFonts w:hint="eastAsia" w:ascii="仿宋" w:hAnsi="仿宋" w:eastAsia="仿宋" w:cs="仿宋"/>
          <w:color w:val="auto"/>
          <w:highlight w:val="none"/>
        </w:rPr>
        <w:t>内容违反国家有关强制性规定的，应当停止评标工作，与采购人或者采购代理机构沟通并作书面记录。采购人或者采购代理机构确认后，应当修改</w:t>
      </w:r>
      <w:r>
        <w:rPr>
          <w:rFonts w:hint="eastAsia" w:ascii="仿宋" w:hAnsi="仿宋" w:eastAsia="仿宋" w:cs="仿宋"/>
          <w:color w:val="auto"/>
          <w:highlight w:val="none"/>
          <w:lang w:eastAsia="zh-CN"/>
        </w:rPr>
        <w:t>招标文件</w:t>
      </w:r>
      <w:r>
        <w:rPr>
          <w:rFonts w:hint="eastAsia" w:ascii="仿宋" w:hAnsi="仿宋" w:eastAsia="仿宋" w:cs="仿宋"/>
          <w:color w:val="auto"/>
          <w:highlight w:val="none"/>
        </w:rPr>
        <w:t>，重新组织采购活动。</w:t>
      </w:r>
      <w:bookmarkEnd w:id="363"/>
      <w:bookmarkEnd w:id="364"/>
      <w:bookmarkEnd w:id="365"/>
      <w:r>
        <w:rPr>
          <w:rFonts w:hint="eastAsia" w:ascii="仿宋" w:hAnsi="仿宋" w:eastAsia="仿宋" w:cs="仿宋"/>
          <w:color w:val="auto"/>
          <w:highlight w:val="none"/>
        </w:rPr>
        <w:br w:type="page"/>
      </w:r>
    </w:p>
    <w:p w14:paraId="7F31A96C">
      <w:pPr>
        <w:pStyle w:val="3"/>
        <w:spacing w:before="93" w:after="93"/>
        <w:ind w:firstLine="643"/>
        <w:rPr>
          <w:rFonts w:hint="eastAsia" w:ascii="仿宋" w:hAnsi="仿宋" w:eastAsia="仿宋" w:cs="仿宋"/>
          <w:color w:val="auto"/>
          <w:highlight w:val="none"/>
          <w:lang w:val="zh-CN"/>
        </w:rPr>
      </w:pPr>
      <w:bookmarkStart w:id="410" w:name="_Toc13595"/>
      <w:bookmarkStart w:id="411" w:name="_Toc155185915"/>
      <w:bookmarkStart w:id="412" w:name="_Toc163492908"/>
      <w:r>
        <w:rPr>
          <w:rFonts w:hint="eastAsia" w:ascii="仿宋" w:hAnsi="仿宋" w:eastAsia="仿宋" w:cs="仿宋"/>
          <w:color w:val="auto"/>
          <w:highlight w:val="none"/>
        </w:rPr>
        <w:t>三、</w:t>
      </w:r>
      <w:r>
        <w:rPr>
          <w:rFonts w:hint="eastAsia" w:ascii="仿宋" w:hAnsi="仿宋" w:eastAsia="仿宋" w:cs="仿宋"/>
          <w:color w:val="auto"/>
          <w:highlight w:val="none"/>
          <w:lang w:val="zh-CN"/>
        </w:rPr>
        <w:t>评标标准</w:t>
      </w:r>
      <w:bookmarkEnd w:id="410"/>
      <w:bookmarkEnd w:id="411"/>
      <w:bookmarkEnd w:id="412"/>
    </w:p>
    <w:p w14:paraId="03FA0E8B">
      <w:pPr>
        <w:pStyle w:val="5"/>
        <w:ind w:firstLine="602"/>
        <w:jc w:val="both"/>
        <w:rPr>
          <w:rFonts w:hint="eastAsia" w:ascii="仿宋" w:hAnsi="仿宋" w:eastAsia="仿宋" w:cs="仿宋"/>
          <w:color w:val="auto"/>
          <w:highlight w:val="none"/>
          <w:lang w:val="zh-CN"/>
        </w:rPr>
      </w:pPr>
      <w:bookmarkStart w:id="413" w:name="_Toc163492909"/>
      <w:bookmarkStart w:id="414" w:name="_Toc27158"/>
      <w:bookmarkStart w:id="415" w:name="_Toc4349"/>
      <w:bookmarkStart w:id="416" w:name="_Toc28023"/>
      <w:r>
        <w:rPr>
          <w:rFonts w:hint="eastAsia" w:ascii="仿宋" w:hAnsi="仿宋" w:eastAsia="仿宋" w:cs="仿宋"/>
          <w:color w:val="auto"/>
          <w:highlight w:val="none"/>
          <w:lang w:val="zh-CN"/>
        </w:rPr>
        <w:t>（</w:t>
      </w:r>
      <w:r>
        <w:rPr>
          <w:rFonts w:hint="eastAsia" w:ascii="仿宋" w:hAnsi="仿宋" w:eastAsia="仿宋" w:cs="仿宋"/>
          <w:color w:val="auto"/>
          <w:highlight w:val="none"/>
        </w:rPr>
        <w:t>一</w:t>
      </w:r>
      <w:r>
        <w:rPr>
          <w:rFonts w:hint="eastAsia" w:ascii="仿宋" w:hAnsi="仿宋" w:eastAsia="仿宋" w:cs="仿宋"/>
          <w:color w:val="auto"/>
          <w:highlight w:val="none"/>
          <w:lang w:val="zh-CN"/>
        </w:rPr>
        <w:t>）符合性审查表</w:t>
      </w:r>
      <w:bookmarkEnd w:id="413"/>
      <w:bookmarkEnd w:id="414"/>
      <w:bookmarkEnd w:id="415"/>
      <w:bookmarkEnd w:id="416"/>
    </w:p>
    <w:tbl>
      <w:tblPr>
        <w:tblStyle w:val="35"/>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26"/>
        <w:gridCol w:w="1726"/>
        <w:gridCol w:w="7078"/>
      </w:tblGrid>
      <w:tr w14:paraId="0ECC6A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3" w:hRule="atLeast"/>
        </w:trPr>
        <w:tc>
          <w:tcPr>
            <w:tcW w:w="476" w:type="pct"/>
            <w:shd w:val="clear" w:color="auto" w:fill="9CC2E5" w:themeFill="accent5" w:themeFillTint="99"/>
            <w:vAlign w:val="center"/>
          </w:tcPr>
          <w:p w14:paraId="4C60B511">
            <w:pPr>
              <w:pStyle w:val="20"/>
              <w:rPr>
                <w:rFonts w:hint="eastAsia" w:ascii="仿宋" w:hAnsi="仿宋" w:eastAsia="仿宋" w:cs="仿宋"/>
                <w:b/>
                <w:bCs/>
                <w:color w:val="auto"/>
                <w:sz w:val="24"/>
                <w:szCs w:val="24"/>
                <w:highlight w:val="none"/>
                <w:lang w:val="zh-CN"/>
              </w:rPr>
            </w:pPr>
            <w:r>
              <w:rPr>
                <w:rFonts w:hint="eastAsia" w:ascii="仿宋" w:hAnsi="仿宋" w:eastAsia="仿宋" w:cs="仿宋"/>
                <w:b/>
                <w:bCs/>
                <w:color w:val="auto"/>
                <w:sz w:val="24"/>
                <w:szCs w:val="24"/>
                <w:highlight w:val="none"/>
                <w:lang w:val="zh-CN"/>
              </w:rPr>
              <w:t>序号</w:t>
            </w:r>
          </w:p>
        </w:tc>
        <w:tc>
          <w:tcPr>
            <w:tcW w:w="887" w:type="pct"/>
            <w:shd w:val="clear" w:color="auto" w:fill="9CC2E5" w:themeFill="accent5" w:themeFillTint="99"/>
            <w:vAlign w:val="center"/>
          </w:tcPr>
          <w:p w14:paraId="11D66C1C">
            <w:pPr>
              <w:pStyle w:val="20"/>
              <w:rPr>
                <w:rFonts w:hint="eastAsia" w:ascii="仿宋" w:hAnsi="仿宋" w:eastAsia="仿宋" w:cs="仿宋"/>
                <w:b/>
                <w:bCs/>
                <w:color w:val="auto"/>
                <w:sz w:val="24"/>
                <w:szCs w:val="24"/>
                <w:highlight w:val="none"/>
                <w:lang w:val="zh-CN"/>
              </w:rPr>
            </w:pPr>
            <w:r>
              <w:rPr>
                <w:rFonts w:hint="eastAsia" w:ascii="仿宋" w:hAnsi="仿宋" w:eastAsia="仿宋" w:cs="仿宋"/>
                <w:b/>
                <w:bCs/>
                <w:color w:val="auto"/>
                <w:sz w:val="24"/>
                <w:szCs w:val="24"/>
                <w:highlight w:val="none"/>
                <w:lang w:val="zh-CN"/>
              </w:rPr>
              <w:t>审查项名称</w:t>
            </w:r>
          </w:p>
        </w:tc>
        <w:tc>
          <w:tcPr>
            <w:tcW w:w="3636" w:type="pct"/>
            <w:shd w:val="clear" w:color="auto" w:fill="9CC2E5" w:themeFill="accent5" w:themeFillTint="99"/>
            <w:vAlign w:val="center"/>
          </w:tcPr>
          <w:p w14:paraId="1EB056D0">
            <w:pPr>
              <w:pStyle w:val="20"/>
              <w:rPr>
                <w:rFonts w:hint="eastAsia" w:ascii="仿宋" w:hAnsi="仿宋" w:eastAsia="仿宋" w:cs="仿宋"/>
                <w:b/>
                <w:bCs/>
                <w:color w:val="auto"/>
                <w:sz w:val="24"/>
                <w:szCs w:val="24"/>
                <w:highlight w:val="none"/>
                <w:lang w:val="zh-CN"/>
              </w:rPr>
            </w:pPr>
            <w:r>
              <w:rPr>
                <w:rFonts w:hint="eastAsia" w:ascii="仿宋" w:hAnsi="仿宋" w:eastAsia="仿宋" w:cs="仿宋"/>
                <w:b/>
                <w:bCs/>
                <w:color w:val="auto"/>
                <w:sz w:val="24"/>
                <w:szCs w:val="24"/>
                <w:highlight w:val="none"/>
                <w:lang w:val="zh-CN"/>
              </w:rPr>
              <w:t>审查内容</w:t>
            </w:r>
          </w:p>
        </w:tc>
      </w:tr>
      <w:tr w14:paraId="7BECAE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6" w:type="pct"/>
            <w:shd w:val="clear" w:color="auto" w:fill="auto"/>
            <w:vAlign w:val="center"/>
          </w:tcPr>
          <w:p w14:paraId="5E100D5E">
            <w:pPr>
              <w:pStyle w:val="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p>
        </w:tc>
        <w:tc>
          <w:tcPr>
            <w:tcW w:w="887" w:type="pct"/>
            <w:shd w:val="clear" w:color="auto" w:fill="auto"/>
            <w:vAlign w:val="center"/>
          </w:tcPr>
          <w:p w14:paraId="663C43EA">
            <w:pPr>
              <w:pStyle w:val="20"/>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投标报价</w:t>
            </w:r>
          </w:p>
        </w:tc>
        <w:tc>
          <w:tcPr>
            <w:tcW w:w="3636" w:type="pct"/>
            <w:shd w:val="clear" w:color="auto" w:fill="auto"/>
            <w:vAlign w:val="center"/>
          </w:tcPr>
          <w:p w14:paraId="39F32F6E">
            <w:pPr>
              <w:pStyle w:val="20"/>
              <w:jc w:val="lef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（1）投标</w:t>
            </w:r>
            <w:r>
              <w:rPr>
                <w:rFonts w:hint="eastAsia" w:ascii="仿宋" w:hAnsi="仿宋" w:eastAsia="仿宋" w:cs="仿宋"/>
                <w:color w:val="auto"/>
                <w:sz w:val="24"/>
                <w:szCs w:val="24"/>
                <w:highlight w:val="none"/>
                <w:lang w:val="en-US" w:eastAsia="zh-CN"/>
              </w:rPr>
              <w:t>总</w:t>
            </w:r>
            <w:r>
              <w:rPr>
                <w:rFonts w:hint="eastAsia" w:ascii="仿宋" w:hAnsi="仿宋" w:eastAsia="仿宋" w:cs="仿宋"/>
                <w:color w:val="auto"/>
                <w:sz w:val="24"/>
                <w:szCs w:val="24"/>
                <w:highlight w:val="none"/>
                <w:lang w:val="zh-CN"/>
              </w:rPr>
              <w:t>报价没有超过项目最高限价；</w:t>
            </w:r>
          </w:p>
          <w:p w14:paraId="28AF341C">
            <w:pPr>
              <w:pStyle w:val="20"/>
              <w:jc w:val="lef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（2）投标报价不存在缺项、漏项。</w:t>
            </w:r>
          </w:p>
        </w:tc>
      </w:tr>
      <w:tr w14:paraId="1AE53E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52" w:hRule="atLeast"/>
        </w:trPr>
        <w:tc>
          <w:tcPr>
            <w:tcW w:w="476" w:type="pct"/>
            <w:shd w:val="clear" w:color="auto" w:fill="auto"/>
            <w:vAlign w:val="center"/>
          </w:tcPr>
          <w:p w14:paraId="73673861">
            <w:pPr>
              <w:pStyle w:val="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p>
        </w:tc>
        <w:tc>
          <w:tcPr>
            <w:tcW w:w="887" w:type="pct"/>
            <w:shd w:val="clear" w:color="auto" w:fill="auto"/>
            <w:vAlign w:val="center"/>
          </w:tcPr>
          <w:p w14:paraId="226A9D30">
            <w:pPr>
              <w:pStyle w:val="20"/>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投标文件</w:t>
            </w:r>
            <w:r>
              <w:rPr>
                <w:rFonts w:hint="eastAsia" w:ascii="仿宋" w:hAnsi="仿宋" w:eastAsia="仿宋" w:cs="仿宋"/>
                <w:color w:val="auto"/>
                <w:sz w:val="24"/>
                <w:szCs w:val="24"/>
                <w:highlight w:val="none"/>
              </w:rPr>
              <w:t>签署</w:t>
            </w:r>
          </w:p>
        </w:tc>
        <w:tc>
          <w:tcPr>
            <w:tcW w:w="3636" w:type="pct"/>
            <w:shd w:val="clear" w:color="auto" w:fill="auto"/>
            <w:vAlign w:val="center"/>
          </w:tcPr>
          <w:p w14:paraId="33EBF61B">
            <w:pPr>
              <w:pStyle w:val="20"/>
              <w:jc w:val="lef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按照</w:t>
            </w:r>
            <w:r>
              <w:rPr>
                <w:rFonts w:hint="eastAsia" w:ascii="仿宋" w:hAnsi="仿宋" w:eastAsia="仿宋" w:cs="仿宋"/>
                <w:color w:val="auto"/>
                <w:sz w:val="24"/>
                <w:szCs w:val="24"/>
                <w:highlight w:val="none"/>
                <w:lang w:eastAsia="zh-CN"/>
              </w:rPr>
              <w:t>招标文件</w:t>
            </w:r>
            <w:r>
              <w:rPr>
                <w:rFonts w:hint="eastAsia" w:ascii="仿宋" w:hAnsi="仿宋" w:eastAsia="仿宋" w:cs="仿宋"/>
                <w:color w:val="auto"/>
                <w:sz w:val="24"/>
                <w:szCs w:val="24"/>
                <w:highlight w:val="none"/>
              </w:rPr>
              <w:t>要求签署、盖章。</w:t>
            </w:r>
          </w:p>
        </w:tc>
      </w:tr>
      <w:tr w14:paraId="59B959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6" w:type="pct"/>
            <w:shd w:val="clear" w:color="auto" w:fill="auto"/>
            <w:vAlign w:val="center"/>
          </w:tcPr>
          <w:p w14:paraId="1D815CDC">
            <w:pPr>
              <w:pStyle w:val="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w:t>
            </w:r>
          </w:p>
        </w:tc>
        <w:tc>
          <w:tcPr>
            <w:tcW w:w="887" w:type="pct"/>
            <w:shd w:val="clear" w:color="auto" w:fill="auto"/>
            <w:vAlign w:val="center"/>
          </w:tcPr>
          <w:p w14:paraId="46842E12">
            <w:pPr>
              <w:pStyle w:val="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进口产品</w:t>
            </w:r>
          </w:p>
        </w:tc>
        <w:tc>
          <w:tcPr>
            <w:tcW w:w="3636" w:type="pct"/>
            <w:shd w:val="clear" w:color="auto" w:fill="auto"/>
            <w:vAlign w:val="center"/>
          </w:tcPr>
          <w:p w14:paraId="15938F6C">
            <w:pPr>
              <w:pStyle w:val="20"/>
              <w:jc w:val="lef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招标文件不接受进口产品投标时，投标人所投产品</w:t>
            </w:r>
            <w:r>
              <w:rPr>
                <w:rFonts w:hint="eastAsia" w:ascii="仿宋" w:hAnsi="仿宋" w:eastAsia="仿宋" w:cs="仿宋"/>
                <w:color w:val="auto"/>
                <w:sz w:val="24"/>
                <w:szCs w:val="24"/>
                <w:highlight w:val="none"/>
              </w:rPr>
              <w:t>不</w:t>
            </w:r>
            <w:r>
              <w:rPr>
                <w:rFonts w:hint="eastAsia" w:ascii="仿宋" w:hAnsi="仿宋" w:eastAsia="仿宋" w:cs="仿宋"/>
                <w:color w:val="auto"/>
                <w:sz w:val="24"/>
                <w:szCs w:val="24"/>
                <w:highlight w:val="none"/>
                <w:lang w:val="zh-CN"/>
              </w:rPr>
              <w:t>是通过中国海关报关验放进入中国境内且产自关境外的。</w:t>
            </w:r>
          </w:p>
        </w:tc>
      </w:tr>
      <w:tr w14:paraId="3C041C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6" w:type="pct"/>
            <w:shd w:val="clear" w:color="auto" w:fill="auto"/>
            <w:vAlign w:val="center"/>
          </w:tcPr>
          <w:p w14:paraId="485EC83A">
            <w:pPr>
              <w:pStyle w:val="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w:t>
            </w:r>
          </w:p>
        </w:tc>
        <w:tc>
          <w:tcPr>
            <w:tcW w:w="887" w:type="pct"/>
            <w:shd w:val="clear" w:color="auto" w:fill="auto"/>
            <w:vAlign w:val="center"/>
          </w:tcPr>
          <w:p w14:paraId="04E03F2B">
            <w:pPr>
              <w:pStyle w:val="20"/>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实质性要求</w:t>
            </w:r>
          </w:p>
        </w:tc>
        <w:tc>
          <w:tcPr>
            <w:tcW w:w="3636" w:type="pct"/>
            <w:shd w:val="clear" w:color="auto" w:fill="auto"/>
            <w:vAlign w:val="center"/>
          </w:tcPr>
          <w:p w14:paraId="14EA58FA">
            <w:pPr>
              <w:pStyle w:val="20"/>
              <w:jc w:val="lef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w:t>
            </w: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val="zh-CN"/>
              </w:rPr>
              <w:t>）满足招标文件中带“★”条款的要求</w:t>
            </w:r>
            <w:r>
              <w:rPr>
                <w:rFonts w:hint="eastAsia" w:ascii="仿宋" w:hAnsi="仿宋" w:eastAsia="仿宋" w:cs="仿宋"/>
                <w:color w:val="auto"/>
                <w:sz w:val="24"/>
                <w:szCs w:val="24"/>
                <w:highlight w:val="none"/>
                <w:lang w:val="en-US" w:eastAsia="zh-CN"/>
              </w:rPr>
              <w:t>或其他</w:t>
            </w:r>
            <w:r>
              <w:rPr>
                <w:rFonts w:hint="eastAsia" w:ascii="仿宋" w:hAnsi="仿宋" w:eastAsia="仿宋" w:cs="仿宋"/>
                <w:color w:val="auto"/>
                <w:sz w:val="24"/>
                <w:szCs w:val="24"/>
                <w:highlight w:val="none"/>
                <w:lang w:val="zh-CN"/>
              </w:rPr>
              <w:t>实质性要求；</w:t>
            </w:r>
          </w:p>
          <w:p w14:paraId="5F191E8F">
            <w:pPr>
              <w:pStyle w:val="20"/>
              <w:jc w:val="lef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w:t>
            </w:r>
            <w:r>
              <w:rPr>
                <w:rFonts w:hint="eastAsia" w:ascii="仿宋" w:hAnsi="仿宋" w:eastAsia="仿宋" w:cs="仿宋"/>
                <w:color w:val="auto"/>
                <w:sz w:val="24"/>
                <w:szCs w:val="24"/>
                <w:highlight w:val="none"/>
              </w:rPr>
              <w:t>2</w:t>
            </w:r>
            <w:r>
              <w:rPr>
                <w:rFonts w:hint="eastAsia" w:ascii="仿宋" w:hAnsi="仿宋" w:eastAsia="仿宋" w:cs="仿宋"/>
                <w:color w:val="auto"/>
                <w:sz w:val="24"/>
                <w:szCs w:val="24"/>
                <w:highlight w:val="none"/>
                <w:lang w:val="zh-CN"/>
              </w:rPr>
              <w:t>）投标有效期满足招标文件要求；</w:t>
            </w:r>
          </w:p>
          <w:p w14:paraId="1B614758">
            <w:pPr>
              <w:pStyle w:val="20"/>
              <w:jc w:val="lef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w:t>
            </w:r>
            <w:r>
              <w:rPr>
                <w:rFonts w:hint="eastAsia" w:ascii="仿宋" w:hAnsi="仿宋" w:eastAsia="仿宋" w:cs="仿宋"/>
                <w:color w:val="auto"/>
                <w:sz w:val="24"/>
                <w:szCs w:val="24"/>
                <w:highlight w:val="none"/>
              </w:rPr>
              <w:t>3</w:t>
            </w:r>
            <w:r>
              <w:rPr>
                <w:rFonts w:hint="eastAsia" w:ascii="仿宋" w:hAnsi="仿宋" w:eastAsia="仿宋" w:cs="仿宋"/>
                <w:color w:val="auto"/>
                <w:sz w:val="24"/>
                <w:szCs w:val="24"/>
                <w:highlight w:val="none"/>
                <w:lang w:val="zh-CN"/>
              </w:rPr>
              <w:t>）</w:t>
            </w:r>
            <w:r>
              <w:rPr>
                <w:rFonts w:hint="eastAsia" w:ascii="仿宋" w:hAnsi="仿宋" w:eastAsia="仿宋" w:cs="仿宋"/>
                <w:color w:val="auto"/>
                <w:sz w:val="24"/>
                <w:szCs w:val="24"/>
                <w:highlight w:val="none"/>
              </w:rPr>
              <w:t>投标文件</w:t>
            </w:r>
            <w:r>
              <w:rPr>
                <w:rFonts w:hint="eastAsia" w:ascii="仿宋" w:hAnsi="仿宋" w:eastAsia="仿宋" w:cs="仿宋"/>
                <w:color w:val="auto"/>
                <w:sz w:val="24"/>
                <w:szCs w:val="24"/>
                <w:highlight w:val="none"/>
                <w:lang w:val="zh-CN"/>
              </w:rPr>
              <w:t>没有采购人不能接受的附加条件。</w:t>
            </w:r>
          </w:p>
        </w:tc>
      </w:tr>
      <w:tr w14:paraId="7451C9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6" w:type="pct"/>
            <w:shd w:val="clear" w:color="auto" w:fill="auto"/>
            <w:vAlign w:val="center"/>
          </w:tcPr>
          <w:p w14:paraId="75C4E692">
            <w:pPr>
              <w:pStyle w:val="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w:t>
            </w:r>
          </w:p>
        </w:tc>
        <w:tc>
          <w:tcPr>
            <w:tcW w:w="887" w:type="pct"/>
            <w:shd w:val="clear" w:color="auto" w:fill="auto"/>
            <w:vAlign w:val="center"/>
          </w:tcPr>
          <w:p w14:paraId="3F83A42B">
            <w:pPr>
              <w:pStyle w:val="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围标串标情形</w:t>
            </w:r>
          </w:p>
        </w:tc>
        <w:tc>
          <w:tcPr>
            <w:tcW w:w="3636" w:type="pct"/>
            <w:shd w:val="clear" w:color="auto" w:fill="auto"/>
            <w:vAlign w:val="center"/>
          </w:tcPr>
          <w:p w14:paraId="5702D856">
            <w:pPr>
              <w:pStyle w:val="2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不存在下列任一情形：</w:t>
            </w:r>
          </w:p>
          <w:p w14:paraId="4A5F6ED4">
            <w:pPr>
              <w:pStyle w:val="2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（1）不同</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的投标文件由同一单位或者个人编制；</w:t>
            </w:r>
          </w:p>
          <w:p w14:paraId="1753ACB0">
            <w:pPr>
              <w:pStyle w:val="2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（2）不同</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委托同一单位或者个人办理投标事宜；</w:t>
            </w:r>
          </w:p>
          <w:p w14:paraId="3BC0247F">
            <w:pPr>
              <w:pStyle w:val="2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（3）不同</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的投标文件载明的项目管理成员或者联系人员为同一人；</w:t>
            </w:r>
          </w:p>
          <w:p w14:paraId="295ABE60">
            <w:pPr>
              <w:pStyle w:val="2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（4）不同</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的投标文件异常一致或者投标报价呈规律性差异；</w:t>
            </w:r>
          </w:p>
          <w:p w14:paraId="3B292CD2">
            <w:pPr>
              <w:pStyle w:val="2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（5）不同</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的投标文件相互混装；</w:t>
            </w:r>
          </w:p>
          <w:p w14:paraId="08326DBC">
            <w:pPr>
              <w:pStyle w:val="20"/>
              <w:jc w:val="lef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（6）</w:t>
            </w:r>
            <w:r>
              <w:rPr>
                <w:rFonts w:hint="eastAsia" w:ascii="仿宋" w:hAnsi="仿宋" w:eastAsia="仿宋" w:cs="仿宋"/>
                <w:color w:val="auto"/>
                <w:sz w:val="24"/>
                <w:szCs w:val="24"/>
                <w:highlight w:val="none"/>
                <w:lang w:val="zh-CN"/>
              </w:rPr>
              <w:t>不同投标人使用同一电脑（机器特征值一致：如MAC地址等）或使用同一电子密钥，编制或上传电子投标文件。</w:t>
            </w:r>
          </w:p>
        </w:tc>
      </w:tr>
      <w:tr w14:paraId="6BE756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72" w:hRule="atLeast"/>
        </w:trPr>
        <w:tc>
          <w:tcPr>
            <w:tcW w:w="476" w:type="pct"/>
            <w:shd w:val="clear" w:color="auto" w:fill="auto"/>
            <w:vAlign w:val="center"/>
          </w:tcPr>
          <w:p w14:paraId="1C040EEC">
            <w:pPr>
              <w:pStyle w:val="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w:t>
            </w:r>
          </w:p>
        </w:tc>
        <w:tc>
          <w:tcPr>
            <w:tcW w:w="887" w:type="pct"/>
            <w:shd w:val="clear" w:color="auto" w:fill="auto"/>
            <w:vAlign w:val="center"/>
          </w:tcPr>
          <w:p w14:paraId="544AAC74">
            <w:pPr>
              <w:pStyle w:val="20"/>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其他无效情形</w:t>
            </w:r>
          </w:p>
        </w:tc>
        <w:tc>
          <w:tcPr>
            <w:tcW w:w="3636" w:type="pct"/>
            <w:shd w:val="clear" w:color="auto" w:fill="auto"/>
            <w:vAlign w:val="center"/>
          </w:tcPr>
          <w:p w14:paraId="08DEF70A">
            <w:pPr>
              <w:pStyle w:val="20"/>
              <w:jc w:val="lef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不存在法律、法规和招标文件规定的其他无效投标情形。</w:t>
            </w:r>
          </w:p>
        </w:tc>
      </w:tr>
    </w:tbl>
    <w:p w14:paraId="56847022">
      <w:pPr>
        <w:ind w:firstLine="560"/>
        <w:rPr>
          <w:rFonts w:hint="eastAsia" w:ascii="仿宋" w:hAnsi="仿宋" w:eastAsia="仿宋" w:cs="仿宋"/>
          <w:color w:val="auto"/>
          <w:highlight w:val="none"/>
          <w:lang w:val="zh-CN"/>
        </w:rPr>
      </w:pPr>
      <w:bookmarkStart w:id="417" w:name="_Toc155185917"/>
      <w:bookmarkStart w:id="418" w:name="_Toc163492910"/>
      <w:r>
        <w:rPr>
          <w:rFonts w:hint="eastAsia" w:ascii="仿宋" w:hAnsi="仿宋" w:eastAsia="仿宋" w:cs="仿宋"/>
          <w:color w:val="auto"/>
          <w:highlight w:val="none"/>
          <w:lang w:val="zh-CN"/>
        </w:rPr>
        <w:br w:type="page"/>
      </w:r>
    </w:p>
    <w:p w14:paraId="7A586B1C">
      <w:pPr>
        <w:pStyle w:val="5"/>
        <w:ind w:firstLine="602"/>
        <w:jc w:val="both"/>
        <w:rPr>
          <w:rFonts w:hint="eastAsia" w:ascii="仿宋" w:hAnsi="仿宋" w:eastAsia="仿宋" w:cs="仿宋"/>
          <w:color w:val="auto"/>
          <w:highlight w:val="none"/>
          <w:lang w:val="zh-CN"/>
        </w:rPr>
      </w:pPr>
      <w:bookmarkStart w:id="419" w:name="_Toc2682"/>
      <w:bookmarkStart w:id="420" w:name="_Toc2804"/>
      <w:bookmarkStart w:id="421" w:name="_Toc23556"/>
      <w:r>
        <w:rPr>
          <w:rFonts w:hint="eastAsia" w:ascii="仿宋" w:hAnsi="仿宋" w:eastAsia="仿宋" w:cs="仿宋"/>
          <w:color w:val="auto"/>
          <w:highlight w:val="none"/>
          <w:lang w:val="zh-CN"/>
        </w:rPr>
        <w:t>（</w:t>
      </w:r>
      <w:r>
        <w:rPr>
          <w:rFonts w:hint="eastAsia" w:ascii="仿宋" w:hAnsi="仿宋" w:eastAsia="仿宋" w:cs="仿宋"/>
          <w:color w:val="auto"/>
          <w:highlight w:val="none"/>
        </w:rPr>
        <w:t>二</w:t>
      </w:r>
      <w:r>
        <w:rPr>
          <w:rFonts w:hint="eastAsia" w:ascii="仿宋" w:hAnsi="仿宋" w:eastAsia="仿宋" w:cs="仿宋"/>
          <w:color w:val="auto"/>
          <w:highlight w:val="none"/>
          <w:lang w:val="zh-CN"/>
        </w:rPr>
        <w:t>）评分标准</w:t>
      </w:r>
      <w:bookmarkEnd w:id="417"/>
      <w:bookmarkEnd w:id="418"/>
      <w:bookmarkEnd w:id="419"/>
      <w:bookmarkEnd w:id="420"/>
      <w:bookmarkEnd w:id="421"/>
    </w:p>
    <w:tbl>
      <w:tblPr>
        <w:tblStyle w:val="35"/>
        <w:tblW w:w="493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79"/>
        <w:gridCol w:w="8023"/>
      </w:tblGrid>
      <w:tr w14:paraId="43F181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blHeader/>
          <w:jc w:val="center"/>
        </w:trPr>
        <w:tc>
          <w:tcPr>
            <w:tcW w:w="822" w:type="pct"/>
            <w:tcBorders>
              <w:bottom w:val="single" w:color="auto" w:sz="4" w:space="0"/>
            </w:tcBorders>
            <w:shd w:val="clear" w:color="auto" w:fill="9CC2E5" w:themeFill="accent5" w:themeFillTint="99"/>
            <w:vAlign w:val="center"/>
          </w:tcPr>
          <w:p w14:paraId="489E097D">
            <w:pPr>
              <w:pStyle w:val="20"/>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评审因素</w:t>
            </w:r>
          </w:p>
        </w:tc>
        <w:tc>
          <w:tcPr>
            <w:tcW w:w="4177" w:type="pct"/>
            <w:tcBorders>
              <w:bottom w:val="single" w:color="auto" w:sz="4" w:space="0"/>
            </w:tcBorders>
            <w:shd w:val="clear" w:color="auto" w:fill="9CC2E5" w:themeFill="accent5" w:themeFillTint="99"/>
            <w:vAlign w:val="center"/>
          </w:tcPr>
          <w:p w14:paraId="177A1C7C">
            <w:pPr>
              <w:pStyle w:val="20"/>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评审内容及评分标准</w:t>
            </w:r>
          </w:p>
        </w:tc>
      </w:tr>
      <w:tr w14:paraId="500019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5" w:hRule="atLeast"/>
          <w:jc w:val="center"/>
        </w:trPr>
        <w:tc>
          <w:tcPr>
            <w:tcW w:w="822" w:type="pct"/>
            <w:vAlign w:val="center"/>
          </w:tcPr>
          <w:p w14:paraId="019B8427">
            <w:pPr>
              <w:pStyle w:val="20"/>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价格部分</w:t>
            </w:r>
          </w:p>
          <w:p w14:paraId="4B7E5AC7">
            <w:pPr>
              <w:pStyle w:val="20"/>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评分标准</w:t>
            </w:r>
          </w:p>
          <w:p w14:paraId="37BBAE50">
            <w:pPr>
              <w:pStyle w:val="20"/>
              <w:spacing w:line="360" w:lineRule="auto"/>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（满分</w:t>
            </w:r>
            <w:r>
              <w:rPr>
                <w:rFonts w:hint="eastAsia" w:ascii="仿宋" w:hAnsi="仿宋" w:eastAsia="仿宋" w:cs="仿宋"/>
                <w:b/>
                <w:bCs/>
                <w:color w:val="auto"/>
                <w:sz w:val="24"/>
                <w:szCs w:val="24"/>
                <w:highlight w:val="none"/>
                <w:lang w:val="en-US" w:eastAsia="zh-CN"/>
              </w:rPr>
              <w:t>30</w:t>
            </w:r>
            <w:r>
              <w:rPr>
                <w:rFonts w:hint="eastAsia" w:ascii="仿宋" w:hAnsi="仿宋" w:eastAsia="仿宋" w:cs="仿宋"/>
                <w:b/>
                <w:bCs/>
                <w:color w:val="auto"/>
                <w:sz w:val="24"/>
                <w:szCs w:val="24"/>
                <w:highlight w:val="none"/>
              </w:rPr>
              <w:t>分）</w:t>
            </w:r>
          </w:p>
        </w:tc>
        <w:tc>
          <w:tcPr>
            <w:tcW w:w="4177" w:type="pct"/>
            <w:vAlign w:val="center"/>
          </w:tcPr>
          <w:p w14:paraId="222E49D1">
            <w:pPr>
              <w:pStyle w:val="20"/>
              <w:spacing w:line="360" w:lineRule="auto"/>
              <w:jc w:val="lef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投标报价计算公式</w:t>
            </w:r>
          </w:p>
          <w:p w14:paraId="1D3AE108">
            <w:pPr>
              <w:pStyle w:val="20"/>
              <w:spacing w:line="360" w:lineRule="auto"/>
              <w:ind w:firstLine="480" w:firstLineChars="200"/>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报价得分＝（评标基准价/该</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的报价）×</w:t>
            </w:r>
            <w:r>
              <w:rPr>
                <w:rFonts w:hint="eastAsia" w:ascii="仿宋" w:hAnsi="仿宋" w:eastAsia="仿宋" w:cs="仿宋"/>
                <w:color w:val="auto"/>
                <w:sz w:val="24"/>
                <w:szCs w:val="24"/>
                <w:highlight w:val="none"/>
                <w:lang w:val="en-US" w:eastAsia="zh-CN"/>
              </w:rPr>
              <w:t>30</w:t>
            </w:r>
          </w:p>
          <w:p w14:paraId="1C0907D6">
            <w:pPr>
              <w:pStyle w:val="20"/>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评标基准价计算方法：满足</w:t>
            </w:r>
            <w:r>
              <w:rPr>
                <w:rFonts w:hint="eastAsia" w:ascii="仿宋" w:hAnsi="仿宋" w:eastAsia="仿宋" w:cs="仿宋"/>
                <w:color w:val="auto"/>
                <w:sz w:val="24"/>
                <w:szCs w:val="24"/>
                <w:highlight w:val="none"/>
                <w:lang w:eastAsia="zh-CN"/>
              </w:rPr>
              <w:t>招标文件</w:t>
            </w:r>
            <w:r>
              <w:rPr>
                <w:rFonts w:hint="eastAsia" w:ascii="仿宋" w:hAnsi="仿宋" w:eastAsia="仿宋" w:cs="仿宋"/>
                <w:color w:val="auto"/>
                <w:sz w:val="24"/>
                <w:szCs w:val="24"/>
                <w:highlight w:val="none"/>
              </w:rPr>
              <w:t>要求且</w:t>
            </w:r>
            <w:r>
              <w:rPr>
                <w:rFonts w:hint="eastAsia" w:ascii="仿宋" w:hAnsi="仿宋" w:eastAsia="仿宋" w:cs="仿宋"/>
                <w:color w:val="auto"/>
                <w:sz w:val="24"/>
                <w:szCs w:val="24"/>
                <w:highlight w:val="none"/>
                <w:lang w:val="en-US" w:eastAsia="zh-CN"/>
              </w:rPr>
              <w:t>投标总</w:t>
            </w:r>
            <w:r>
              <w:rPr>
                <w:rFonts w:hint="eastAsia" w:ascii="仿宋" w:hAnsi="仿宋" w:eastAsia="仿宋" w:cs="仿宋"/>
                <w:color w:val="auto"/>
                <w:sz w:val="24"/>
                <w:szCs w:val="24"/>
                <w:highlight w:val="none"/>
              </w:rPr>
              <w:t>报价最低的</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的价格为评标基准价。</w:t>
            </w:r>
          </w:p>
          <w:p w14:paraId="035552A5">
            <w:pPr>
              <w:spacing w:line="360" w:lineRule="auto"/>
              <w:ind w:left="-76" w:leftChars="-27" w:firstLine="96" w:firstLineChars="40"/>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注：</w:t>
            </w:r>
          </w:p>
          <w:p w14:paraId="074FA6EF">
            <w:pPr>
              <w:spacing w:line="360" w:lineRule="auto"/>
              <w:ind w:left="-76" w:leftChars="-27" w:firstLine="96" w:firstLineChars="4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1）应落实政府采购政策进行价格调整的，以调整后的价格计算基准价；</w:t>
            </w:r>
          </w:p>
          <w:p w14:paraId="7BA9BEB0">
            <w:pPr>
              <w:spacing w:line="360" w:lineRule="auto"/>
              <w:ind w:left="-76" w:leftChars="-27" w:firstLine="96" w:firstLineChars="4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2）若本次采购范围内所有标的物均由小微型企业（残疾人福利性单位、监狱企业）提供，请按第四章投标文件格式规定填写“中小企业声明函”，经评标委员会核实方可获得价格扣除；</w:t>
            </w:r>
          </w:p>
          <w:p w14:paraId="3B925C21">
            <w:pPr>
              <w:spacing w:line="360" w:lineRule="auto"/>
              <w:ind w:left="-76" w:leftChars="-27" w:firstLine="96" w:firstLineChars="4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3）对于非专门面向中小企业的项目，在计算投标报价得分时，对提供的所有标的物均为小微型企业产品的投标人投标总报价给予</w:t>
            </w:r>
            <w:r>
              <w:rPr>
                <w:rFonts w:hint="eastAsia" w:ascii="仿宋" w:hAnsi="仿宋" w:eastAsia="仿宋" w:cs="仿宋"/>
                <w:b/>
                <w:bCs/>
                <w:color w:val="auto"/>
                <w:sz w:val="24"/>
                <w:szCs w:val="24"/>
                <w:highlight w:val="none"/>
              </w:rPr>
              <w:t>10%</w:t>
            </w:r>
            <w:r>
              <w:rPr>
                <w:rFonts w:hint="eastAsia" w:ascii="仿宋" w:hAnsi="仿宋" w:eastAsia="仿宋" w:cs="仿宋"/>
                <w:color w:val="auto"/>
                <w:sz w:val="24"/>
                <w:szCs w:val="24"/>
                <w:highlight w:val="none"/>
              </w:rPr>
              <w:t>的扣除，用扣除后的报价参与评审；</w:t>
            </w:r>
          </w:p>
          <w:p w14:paraId="2CEB4FDC">
            <w:pPr>
              <w:spacing w:line="360" w:lineRule="auto"/>
              <w:ind w:left="-76" w:leftChars="-27" w:firstLine="96" w:firstLineChars="4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4）残疾人福利性单位（或监狱企业）产品视同小型、微型企业，享受同等价格扣除；针对小微企业价格扣除政策，投标人仅能获得一种政策的价格扣除，不重复享受；</w:t>
            </w:r>
          </w:p>
          <w:p w14:paraId="12097F08">
            <w:pPr>
              <w:spacing w:line="360" w:lineRule="auto"/>
              <w:ind w:left="-76" w:leftChars="-27" w:firstLine="96" w:firstLineChars="4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w:t>
            </w:r>
            <w:r>
              <w:rPr>
                <w:rFonts w:hint="eastAsia" w:ascii="仿宋" w:hAnsi="仿宋" w:eastAsia="仿宋" w:cs="仿宋"/>
                <w:b/>
                <w:bCs/>
                <w:color w:val="auto"/>
                <w:sz w:val="24"/>
                <w:szCs w:val="24"/>
                <w:highlight w:val="none"/>
              </w:rPr>
              <w:t>根据《国务院办公厅关于在政府采购中实施本国产品标准及相关政策的通知》（国办发〔2025〕34号）</w:t>
            </w:r>
            <w:r>
              <w:rPr>
                <w:rFonts w:hint="eastAsia" w:ascii="仿宋" w:hAnsi="仿宋" w:eastAsia="仿宋" w:cs="仿宋"/>
                <w:color w:val="auto"/>
                <w:sz w:val="24"/>
                <w:szCs w:val="24"/>
                <w:highlight w:val="none"/>
              </w:rPr>
              <w:t>，供应商为本采购项目或者采购包提供的符合本国产品标准的产品成本之和占该供应商提供的全部产品成本之和的比例达到</w:t>
            </w:r>
            <w:r>
              <w:rPr>
                <w:rFonts w:hint="eastAsia" w:ascii="仿宋" w:hAnsi="仿宋" w:eastAsia="仿宋" w:cs="仿宋"/>
                <w:b/>
                <w:bCs/>
                <w:color w:val="auto"/>
                <w:sz w:val="24"/>
                <w:szCs w:val="24"/>
                <w:highlight w:val="none"/>
              </w:rPr>
              <w:t>80%以上</w:t>
            </w:r>
            <w:r>
              <w:rPr>
                <w:rFonts w:hint="eastAsia" w:ascii="仿宋" w:hAnsi="仿宋" w:eastAsia="仿宋" w:cs="仿宋"/>
                <w:color w:val="auto"/>
                <w:sz w:val="24"/>
                <w:szCs w:val="24"/>
                <w:highlight w:val="none"/>
              </w:rPr>
              <w:t>时，依法对该供应商提供的全部产品给予价格评审优惠，即对该供应商提供的全部产品的总报价给予</w:t>
            </w:r>
            <w:r>
              <w:rPr>
                <w:rFonts w:hint="eastAsia" w:ascii="仿宋" w:hAnsi="仿宋" w:eastAsia="仿宋" w:cs="仿宋"/>
                <w:b/>
                <w:bCs/>
                <w:color w:val="auto"/>
                <w:sz w:val="24"/>
                <w:szCs w:val="24"/>
                <w:highlight w:val="none"/>
              </w:rPr>
              <w:t>20%</w:t>
            </w:r>
            <w:r>
              <w:rPr>
                <w:rFonts w:hint="eastAsia" w:ascii="仿宋" w:hAnsi="仿宋" w:eastAsia="仿宋" w:cs="仿宋"/>
                <w:color w:val="auto"/>
                <w:sz w:val="24"/>
                <w:szCs w:val="24"/>
                <w:highlight w:val="none"/>
              </w:rPr>
              <w:t>的价格扣除，用扣除后的价格参与评审。对于仅有本国产品参与竞争的政府采购项目，本国产品不享受价格扣除评审优惠。投标人应按第四章投标文件格式规定提供并填写“关于符合本国产品标准的声明函”，否则不考虑价格扣除。</w:t>
            </w:r>
          </w:p>
          <w:p w14:paraId="3075B6C6">
            <w:pPr>
              <w:pStyle w:val="20"/>
              <w:spacing w:line="360" w:lineRule="auto"/>
              <w:jc w:val="left"/>
              <w:rPr>
                <w:rFonts w:hint="eastAsia"/>
                <w:color w:val="auto"/>
                <w:highlight w:val="none"/>
              </w:rPr>
            </w:pPr>
            <w:r>
              <w:rPr>
                <w:rFonts w:hint="eastAsia" w:ascii="仿宋" w:hAnsi="仿宋" w:eastAsia="仿宋" w:cs="仿宋"/>
                <w:color w:val="auto"/>
                <w:sz w:val="24"/>
                <w:szCs w:val="24"/>
                <w:highlight w:val="none"/>
              </w:rPr>
              <w:t>6）计算结果四舍五入保留至小数点后两位。</w:t>
            </w:r>
          </w:p>
        </w:tc>
      </w:tr>
      <w:tr w14:paraId="2A17F7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2" w:type="pct"/>
            <w:vMerge w:val="restart"/>
            <w:vAlign w:val="center"/>
          </w:tcPr>
          <w:p w14:paraId="2BBEDF9B">
            <w:pPr>
              <w:pStyle w:val="20"/>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技术部分</w:t>
            </w:r>
          </w:p>
          <w:p w14:paraId="20B42572">
            <w:pPr>
              <w:pStyle w:val="20"/>
              <w:spacing w:line="360" w:lineRule="auto"/>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评分标准</w:t>
            </w:r>
          </w:p>
          <w:p w14:paraId="5C6993BC">
            <w:pPr>
              <w:pStyle w:val="20"/>
              <w:spacing w:line="360" w:lineRule="auto"/>
              <w:ind w:firstLine="0" w:firstLineChars="0"/>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（满分</w:t>
            </w:r>
            <w:r>
              <w:rPr>
                <w:rFonts w:hint="eastAsia" w:cs="仿宋"/>
                <w:b/>
                <w:bCs/>
                <w:color w:val="auto"/>
                <w:sz w:val="24"/>
                <w:szCs w:val="24"/>
                <w:highlight w:val="none"/>
                <w:lang w:val="en-US" w:eastAsia="zh-CN"/>
              </w:rPr>
              <w:t>60</w:t>
            </w:r>
            <w:r>
              <w:rPr>
                <w:rFonts w:hint="eastAsia" w:ascii="仿宋" w:hAnsi="仿宋" w:eastAsia="仿宋" w:cs="仿宋"/>
                <w:b/>
                <w:bCs/>
                <w:color w:val="auto"/>
                <w:sz w:val="24"/>
                <w:szCs w:val="24"/>
                <w:highlight w:val="none"/>
              </w:rPr>
              <w:t>分）</w:t>
            </w:r>
          </w:p>
        </w:tc>
        <w:tc>
          <w:tcPr>
            <w:tcW w:w="4177" w:type="pct"/>
            <w:vAlign w:val="top"/>
          </w:tcPr>
          <w:p w14:paraId="60B87BE7">
            <w:pPr>
              <w:spacing w:line="360" w:lineRule="auto"/>
              <w:ind w:left="0" w:leftChars="0" w:firstLine="0" w:firstLineChars="0"/>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一、技术要求或功能（性能）描述的响应（满分</w:t>
            </w:r>
            <w:r>
              <w:rPr>
                <w:rFonts w:hint="eastAsia" w:cs="仿宋"/>
                <w:b/>
                <w:bCs/>
                <w:color w:val="auto"/>
                <w:sz w:val="24"/>
                <w:szCs w:val="24"/>
                <w:highlight w:val="none"/>
                <w:lang w:val="en-US" w:eastAsia="zh-CN"/>
              </w:rPr>
              <w:t>34.8</w:t>
            </w:r>
            <w:r>
              <w:rPr>
                <w:rFonts w:hint="eastAsia" w:ascii="仿宋" w:hAnsi="仿宋" w:eastAsia="仿宋" w:cs="仿宋"/>
                <w:b/>
                <w:bCs/>
                <w:color w:val="auto"/>
                <w:sz w:val="24"/>
                <w:szCs w:val="24"/>
                <w:highlight w:val="none"/>
              </w:rPr>
              <w:t>分）</w:t>
            </w:r>
          </w:p>
          <w:p w14:paraId="6B88EF37">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审查投标文件对招标文件“第三章 </w:t>
            </w:r>
            <w:r>
              <w:rPr>
                <w:rFonts w:hint="eastAsia" w:ascii="仿宋" w:hAnsi="仿宋" w:eastAsia="仿宋" w:cs="仿宋"/>
                <w:color w:val="auto"/>
                <w:sz w:val="24"/>
                <w:szCs w:val="24"/>
                <w:highlight w:val="none"/>
                <w:lang w:eastAsia="zh-CN"/>
              </w:rPr>
              <w:t>采购需求</w:t>
            </w:r>
            <w:r>
              <w:rPr>
                <w:rFonts w:hint="eastAsia" w:ascii="仿宋" w:hAnsi="仿宋" w:eastAsia="仿宋" w:cs="仿宋"/>
                <w:color w:val="auto"/>
                <w:sz w:val="24"/>
                <w:szCs w:val="24"/>
                <w:highlight w:val="none"/>
              </w:rPr>
              <w:t>”的“三、采购标的需满足的质量、安全、技术规格、物理特性等要求”中的“配置要求及参数技术要求或功能（性能）描述”的响应程度进行打分：</w:t>
            </w:r>
          </w:p>
          <w:p w14:paraId="42565A52">
            <w:pPr>
              <w:spacing w:line="360" w:lineRule="auto"/>
              <w:ind w:left="0" w:leftChars="0" w:firstLine="0" w:firstLineChars="0"/>
              <w:rPr>
                <w:rFonts w:hint="default" w:ascii="仿宋" w:hAnsi="仿宋" w:eastAsia="仿宋" w:cs="仿宋"/>
                <w:color w:val="auto"/>
                <w:sz w:val="24"/>
                <w:szCs w:val="24"/>
                <w:highlight w:val="none"/>
                <w:lang w:val="en-US" w:eastAsia="zh-CN"/>
              </w:rPr>
            </w:pPr>
            <w:r>
              <w:rPr>
                <w:rFonts w:hint="eastAsia" w:cs="仿宋"/>
                <w:color w:val="auto"/>
                <w:sz w:val="24"/>
                <w:szCs w:val="24"/>
                <w:highlight w:val="none"/>
                <w:lang w:val="en-US" w:eastAsia="zh-CN"/>
              </w:rPr>
              <w:t>标“</w:t>
            </w:r>
            <w:r>
              <w:rPr>
                <w:rFonts w:hint="eastAsia" w:ascii="仿宋" w:hAnsi="仿宋" w:eastAsia="仿宋" w:cs="仿宋"/>
                <w:color w:val="auto"/>
                <w:sz w:val="24"/>
                <w:szCs w:val="24"/>
                <w:highlight w:val="none"/>
              </w:rPr>
              <w:t>▲</w:t>
            </w:r>
            <w:r>
              <w:rPr>
                <w:rFonts w:hint="eastAsia" w:cs="仿宋"/>
                <w:color w:val="auto"/>
                <w:sz w:val="24"/>
                <w:szCs w:val="24"/>
                <w:highlight w:val="none"/>
                <w:lang w:val="en-US" w:eastAsia="zh-CN"/>
              </w:rPr>
              <w:t>”项为重要参数要求，共27项，</w:t>
            </w:r>
            <w:r>
              <w:rPr>
                <w:rFonts w:hint="eastAsia" w:ascii="仿宋" w:hAnsi="仿宋" w:eastAsia="仿宋" w:cs="仿宋"/>
                <w:color w:val="auto"/>
                <w:sz w:val="24"/>
                <w:szCs w:val="24"/>
                <w:highlight w:val="none"/>
                <w:u w:val="none"/>
              </w:rPr>
              <w:t>每出现一项负偏离的，扣</w:t>
            </w:r>
            <w:r>
              <w:rPr>
                <w:rFonts w:hint="eastAsia" w:ascii="仿宋" w:hAnsi="仿宋" w:eastAsia="仿宋" w:cs="仿宋"/>
                <w:color w:val="auto"/>
                <w:sz w:val="24"/>
                <w:szCs w:val="24"/>
                <w:highlight w:val="none"/>
                <w:u w:val="none"/>
                <w:lang w:val="en-US" w:eastAsia="zh-CN"/>
              </w:rPr>
              <w:t>0.</w:t>
            </w:r>
            <w:r>
              <w:rPr>
                <w:rFonts w:hint="eastAsia" w:cs="仿宋"/>
                <w:color w:val="auto"/>
                <w:sz w:val="24"/>
                <w:szCs w:val="24"/>
                <w:highlight w:val="none"/>
                <w:u w:val="none"/>
                <w:lang w:val="en-US" w:eastAsia="zh-CN"/>
              </w:rPr>
              <w:t>3</w:t>
            </w:r>
            <w:r>
              <w:rPr>
                <w:rFonts w:hint="eastAsia" w:ascii="仿宋" w:hAnsi="仿宋" w:eastAsia="仿宋" w:cs="仿宋"/>
                <w:color w:val="auto"/>
                <w:sz w:val="24"/>
                <w:szCs w:val="24"/>
                <w:highlight w:val="none"/>
                <w:u w:val="none"/>
              </w:rPr>
              <w:t>分</w:t>
            </w:r>
            <w:r>
              <w:rPr>
                <w:rFonts w:hint="eastAsia" w:ascii="仿宋" w:hAnsi="仿宋" w:eastAsia="仿宋" w:cs="仿宋"/>
                <w:color w:val="auto"/>
                <w:sz w:val="24"/>
                <w:szCs w:val="24"/>
                <w:highlight w:val="none"/>
                <w:u w:val="none"/>
                <w:lang w:eastAsia="zh-CN"/>
              </w:rPr>
              <w:t>。</w:t>
            </w:r>
          </w:p>
          <w:p w14:paraId="14269DB0">
            <w:pPr>
              <w:spacing w:line="360" w:lineRule="auto"/>
              <w:ind w:left="0" w:leftChars="0" w:firstLine="0" w:firstLineChars="0"/>
              <w:rPr>
                <w:rFonts w:hint="eastAsia" w:ascii="仿宋" w:hAnsi="仿宋" w:eastAsia="仿宋" w:cs="仿宋"/>
                <w:color w:val="auto"/>
                <w:sz w:val="24"/>
                <w:szCs w:val="24"/>
                <w:highlight w:val="none"/>
                <w:u w:val="none"/>
                <w:lang w:val="en-US" w:eastAsia="zh-CN"/>
              </w:rPr>
            </w:pPr>
            <w:r>
              <w:rPr>
                <w:rFonts w:hint="eastAsia" w:cs="仿宋"/>
                <w:color w:val="auto"/>
                <w:sz w:val="24"/>
                <w:szCs w:val="24"/>
                <w:highlight w:val="none"/>
                <w:lang w:val="en-US" w:eastAsia="zh-CN"/>
              </w:rPr>
              <w:t>非标“</w:t>
            </w:r>
            <w:r>
              <w:rPr>
                <w:rFonts w:hint="eastAsia" w:ascii="仿宋" w:hAnsi="仿宋" w:eastAsia="仿宋" w:cs="仿宋"/>
                <w:color w:val="auto"/>
                <w:sz w:val="24"/>
                <w:szCs w:val="24"/>
                <w:highlight w:val="none"/>
              </w:rPr>
              <w:t>▲</w:t>
            </w:r>
            <w:r>
              <w:rPr>
                <w:rFonts w:hint="eastAsia" w:cs="仿宋"/>
                <w:color w:val="auto"/>
                <w:sz w:val="24"/>
                <w:szCs w:val="24"/>
                <w:highlight w:val="none"/>
                <w:lang w:val="en-US" w:eastAsia="zh-CN"/>
              </w:rPr>
              <w:t>”项为一般参数要求，共267项，</w:t>
            </w:r>
            <w:r>
              <w:rPr>
                <w:rFonts w:hint="eastAsia" w:ascii="仿宋" w:hAnsi="仿宋" w:eastAsia="仿宋" w:cs="仿宋"/>
                <w:color w:val="auto"/>
                <w:sz w:val="24"/>
                <w:szCs w:val="24"/>
                <w:highlight w:val="none"/>
                <w:u w:val="none"/>
              </w:rPr>
              <w:t>每出现一项负偏离的，扣</w:t>
            </w:r>
            <w:r>
              <w:rPr>
                <w:rFonts w:hint="eastAsia" w:ascii="仿宋" w:hAnsi="仿宋" w:eastAsia="仿宋" w:cs="仿宋"/>
                <w:color w:val="auto"/>
                <w:sz w:val="24"/>
                <w:szCs w:val="24"/>
                <w:highlight w:val="none"/>
                <w:u w:val="none"/>
                <w:lang w:val="en-US" w:eastAsia="zh-CN"/>
              </w:rPr>
              <w:t>0.</w:t>
            </w:r>
            <w:r>
              <w:rPr>
                <w:rFonts w:hint="eastAsia" w:cs="仿宋"/>
                <w:color w:val="auto"/>
                <w:sz w:val="24"/>
                <w:szCs w:val="24"/>
                <w:highlight w:val="none"/>
                <w:u w:val="none"/>
                <w:lang w:val="en-US" w:eastAsia="zh-CN"/>
              </w:rPr>
              <w:t>1</w:t>
            </w:r>
            <w:r>
              <w:rPr>
                <w:rFonts w:hint="eastAsia" w:ascii="仿宋" w:hAnsi="仿宋" w:eastAsia="仿宋" w:cs="仿宋"/>
                <w:color w:val="auto"/>
                <w:sz w:val="24"/>
                <w:szCs w:val="24"/>
                <w:highlight w:val="none"/>
                <w:u w:val="none"/>
              </w:rPr>
              <w:t>分</w:t>
            </w:r>
            <w:r>
              <w:rPr>
                <w:rFonts w:hint="eastAsia" w:cs="仿宋"/>
                <w:color w:val="auto"/>
                <w:sz w:val="24"/>
                <w:szCs w:val="24"/>
                <w:highlight w:val="none"/>
                <w:u w:val="none"/>
                <w:lang w:eastAsia="zh-CN"/>
              </w:rPr>
              <w:t>。</w:t>
            </w:r>
          </w:p>
          <w:p w14:paraId="0D21B028">
            <w:pPr>
              <w:spacing w:line="240" w:lineRule="auto"/>
              <w:ind w:firstLine="422" w:firstLineChars="200"/>
              <w:rPr>
                <w:rFonts w:hint="eastAsia" w:ascii="仿宋" w:hAnsi="仿宋" w:eastAsia="仿宋" w:cs="仿宋"/>
                <w:color w:val="auto"/>
                <w:highlight w:val="none"/>
                <w:lang w:eastAsia="zh-CN"/>
              </w:rPr>
            </w:pPr>
            <w:r>
              <w:rPr>
                <w:rFonts w:hint="eastAsia" w:ascii="仿宋" w:hAnsi="仿宋" w:eastAsia="仿宋" w:cs="仿宋"/>
                <w:b/>
                <w:bCs/>
                <w:color w:val="auto"/>
                <w:sz w:val="21"/>
                <w:szCs w:val="21"/>
                <w:highlight w:val="none"/>
              </w:rPr>
              <w:t>注：</w:t>
            </w:r>
            <w:r>
              <w:rPr>
                <w:rFonts w:hint="eastAsia" w:ascii="仿宋" w:hAnsi="仿宋" w:eastAsia="仿宋" w:cs="仿宋"/>
                <w:b/>
                <w:bCs/>
                <w:color w:val="auto"/>
                <w:sz w:val="21"/>
                <w:szCs w:val="21"/>
                <w:highlight w:val="none"/>
                <w:lang w:eastAsia="zh-CN"/>
              </w:rPr>
              <w:t>（</w:t>
            </w:r>
            <w:r>
              <w:rPr>
                <w:rFonts w:hint="eastAsia" w:ascii="仿宋" w:hAnsi="仿宋" w:eastAsia="仿宋" w:cs="仿宋"/>
                <w:b/>
                <w:bCs/>
                <w:color w:val="auto"/>
                <w:sz w:val="21"/>
                <w:szCs w:val="21"/>
                <w:highlight w:val="none"/>
                <w:lang w:val="en-US" w:eastAsia="zh-CN"/>
              </w:rPr>
              <w:t>1</w:t>
            </w:r>
            <w:r>
              <w:rPr>
                <w:rFonts w:hint="eastAsia" w:ascii="仿宋" w:hAnsi="仿宋" w:eastAsia="仿宋" w:cs="仿宋"/>
                <w:b/>
                <w:bCs/>
                <w:color w:val="auto"/>
                <w:sz w:val="21"/>
                <w:szCs w:val="21"/>
                <w:highlight w:val="none"/>
                <w:lang w:eastAsia="zh-CN"/>
              </w:rPr>
              <w:t>）“负偏离”指</w:t>
            </w:r>
            <w:r>
              <w:rPr>
                <w:rFonts w:hint="eastAsia" w:ascii="仿宋" w:hAnsi="仿宋" w:eastAsia="仿宋" w:cs="仿宋"/>
                <w:b/>
                <w:bCs/>
                <w:color w:val="auto"/>
                <w:sz w:val="21"/>
                <w:szCs w:val="21"/>
                <w:highlight w:val="none"/>
                <w:lang w:val="en-US" w:eastAsia="zh-CN"/>
              </w:rPr>
              <w:t>投标应答内容或</w:t>
            </w:r>
            <w:r>
              <w:rPr>
                <w:rFonts w:hint="eastAsia" w:ascii="仿宋" w:hAnsi="仿宋" w:eastAsia="仿宋" w:cs="仿宋"/>
                <w:b/>
                <w:bCs/>
                <w:color w:val="auto"/>
                <w:sz w:val="21"/>
                <w:szCs w:val="21"/>
                <w:highlight w:val="none"/>
                <w:lang w:eastAsia="zh-CN"/>
              </w:rPr>
              <w:t>参数指标低于招标文件“第三章 采购需求”的“三、采购标的需满足的质量、安全、技术规格、物理特性等要求”中“配置要求及参数技术要求或功能（性能）描述”的</w:t>
            </w:r>
            <w:r>
              <w:rPr>
                <w:rFonts w:hint="eastAsia" w:ascii="仿宋" w:hAnsi="仿宋" w:eastAsia="仿宋" w:cs="仿宋"/>
                <w:b/>
                <w:bCs/>
                <w:color w:val="auto"/>
                <w:sz w:val="21"/>
                <w:szCs w:val="21"/>
                <w:highlight w:val="none"/>
                <w:lang w:val="en-US" w:eastAsia="zh-CN"/>
              </w:rPr>
              <w:t>要求</w:t>
            </w:r>
            <w:r>
              <w:rPr>
                <w:rFonts w:hint="eastAsia" w:ascii="仿宋" w:hAnsi="仿宋" w:eastAsia="仿宋" w:cs="仿宋"/>
                <w:b/>
                <w:bCs/>
                <w:color w:val="auto"/>
                <w:sz w:val="21"/>
                <w:szCs w:val="21"/>
                <w:highlight w:val="none"/>
                <w:lang w:eastAsia="zh-CN"/>
              </w:rPr>
              <w:t>；（</w:t>
            </w:r>
            <w:r>
              <w:rPr>
                <w:rFonts w:hint="eastAsia" w:ascii="仿宋" w:hAnsi="仿宋" w:eastAsia="仿宋" w:cs="仿宋"/>
                <w:b/>
                <w:bCs/>
                <w:color w:val="auto"/>
                <w:sz w:val="21"/>
                <w:szCs w:val="21"/>
                <w:highlight w:val="none"/>
                <w:lang w:val="en-US" w:eastAsia="zh-CN"/>
              </w:rPr>
              <w:t>2</w:t>
            </w:r>
            <w:r>
              <w:rPr>
                <w:rFonts w:hint="eastAsia" w:ascii="仿宋" w:hAnsi="仿宋" w:eastAsia="仿宋" w:cs="仿宋"/>
                <w:b/>
                <w:bCs/>
                <w:color w:val="auto"/>
                <w:sz w:val="21"/>
                <w:szCs w:val="21"/>
                <w:highlight w:val="none"/>
                <w:lang w:eastAsia="zh-CN"/>
              </w:rPr>
              <w:t>）</w:t>
            </w:r>
            <w:r>
              <w:rPr>
                <w:rFonts w:hint="eastAsia" w:ascii="仿宋" w:hAnsi="仿宋" w:eastAsia="仿宋" w:cs="仿宋"/>
                <w:b/>
                <w:bCs/>
                <w:color w:val="auto"/>
                <w:sz w:val="21"/>
                <w:szCs w:val="21"/>
                <w:highlight w:val="none"/>
              </w:rPr>
              <w:t>评标委员会根据投标人在招标文件“第七章 投标文件的格式”中“</w:t>
            </w:r>
            <w:r>
              <w:rPr>
                <w:rFonts w:hint="eastAsia" w:ascii="仿宋" w:hAnsi="仿宋" w:eastAsia="仿宋" w:cs="仿宋"/>
                <w:b/>
                <w:bCs/>
                <w:color w:val="auto"/>
                <w:sz w:val="21"/>
                <w:szCs w:val="21"/>
                <w:highlight w:val="none"/>
                <w:lang w:eastAsia="zh-CN"/>
              </w:rPr>
              <w:t>技术偏离应答表</w:t>
            </w:r>
            <w:r>
              <w:rPr>
                <w:rFonts w:hint="eastAsia" w:ascii="仿宋" w:hAnsi="仿宋" w:eastAsia="仿宋" w:cs="仿宋"/>
                <w:b/>
                <w:bCs/>
                <w:color w:val="auto"/>
                <w:sz w:val="21"/>
                <w:szCs w:val="21"/>
                <w:highlight w:val="none"/>
              </w:rPr>
              <w:t>”的应答情况进行评分。</w:t>
            </w:r>
          </w:p>
        </w:tc>
      </w:tr>
      <w:tr w14:paraId="4E6E4D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2" w:hRule="atLeast"/>
          <w:jc w:val="center"/>
        </w:trPr>
        <w:tc>
          <w:tcPr>
            <w:tcW w:w="822" w:type="pct"/>
            <w:vMerge w:val="continue"/>
            <w:vAlign w:val="center"/>
          </w:tcPr>
          <w:p w14:paraId="328A9C0C">
            <w:pPr>
              <w:pStyle w:val="20"/>
              <w:spacing w:line="360" w:lineRule="auto"/>
              <w:rPr>
                <w:rFonts w:hint="eastAsia" w:ascii="仿宋" w:hAnsi="仿宋" w:eastAsia="仿宋" w:cs="仿宋"/>
                <w:color w:val="auto"/>
                <w:sz w:val="24"/>
                <w:szCs w:val="24"/>
                <w:highlight w:val="none"/>
              </w:rPr>
            </w:pPr>
          </w:p>
        </w:tc>
        <w:tc>
          <w:tcPr>
            <w:tcW w:w="4177" w:type="pct"/>
            <w:vAlign w:val="top"/>
          </w:tcPr>
          <w:p w14:paraId="7C0F888B">
            <w:pPr>
              <w:pStyle w:val="14"/>
              <w:spacing w:line="360" w:lineRule="auto"/>
              <w:ind w:left="0" w:leftChars="0" w:right="90" w:rightChars="32" w:firstLine="0" w:firstLineChars="0"/>
              <w:rPr>
                <w:rFonts w:hint="eastAsia" w:ascii="仿宋" w:hAnsi="仿宋" w:eastAsia="仿宋" w:cs="仿宋"/>
                <w:b/>
                <w:bCs/>
                <w:color w:val="auto"/>
                <w:sz w:val="24"/>
                <w:szCs w:val="24"/>
                <w:highlight w:val="none"/>
                <w:lang w:eastAsia="zh-CN"/>
              </w:rPr>
            </w:pPr>
            <w:r>
              <w:rPr>
                <w:rFonts w:hint="eastAsia" w:cs="仿宋"/>
                <w:b/>
                <w:bCs/>
                <w:color w:val="auto"/>
                <w:sz w:val="24"/>
                <w:szCs w:val="24"/>
                <w:highlight w:val="none"/>
                <w:lang w:val="en-US" w:eastAsia="zh-CN"/>
              </w:rPr>
              <w:t>二、</w:t>
            </w:r>
            <w:r>
              <w:rPr>
                <w:rFonts w:hint="eastAsia" w:ascii="仿宋" w:hAnsi="仿宋" w:eastAsia="仿宋" w:cs="仿宋"/>
                <w:b/>
                <w:bCs/>
                <w:color w:val="auto"/>
                <w:sz w:val="24"/>
                <w:szCs w:val="24"/>
                <w:highlight w:val="none"/>
                <w:lang w:eastAsia="zh-CN"/>
              </w:rPr>
              <w:t>节能、环保产品（满分</w:t>
            </w:r>
            <w:r>
              <w:rPr>
                <w:rFonts w:hint="eastAsia" w:cs="仿宋"/>
                <w:b/>
                <w:bCs/>
                <w:color w:val="auto"/>
                <w:sz w:val="24"/>
                <w:szCs w:val="24"/>
                <w:highlight w:val="none"/>
                <w:lang w:val="en-US" w:eastAsia="zh-CN"/>
              </w:rPr>
              <w:t>1.2</w:t>
            </w:r>
            <w:r>
              <w:rPr>
                <w:rFonts w:hint="eastAsia" w:ascii="仿宋" w:hAnsi="仿宋" w:eastAsia="仿宋" w:cs="仿宋"/>
                <w:b/>
                <w:bCs/>
                <w:color w:val="auto"/>
                <w:sz w:val="24"/>
                <w:szCs w:val="24"/>
                <w:highlight w:val="none"/>
                <w:lang w:eastAsia="zh-CN"/>
              </w:rPr>
              <w:t>分）</w:t>
            </w:r>
          </w:p>
          <w:p w14:paraId="4C13C6FD">
            <w:pPr>
              <w:pStyle w:val="14"/>
              <w:spacing w:line="360" w:lineRule="auto"/>
              <w:ind w:left="0" w:leftChars="0" w:right="90" w:rightChars="32" w:firstLine="0" w:firstLineChars="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投标产品认定为节能产品的得</w:t>
            </w:r>
            <w:r>
              <w:rPr>
                <w:rFonts w:hint="eastAsia" w:ascii="仿宋" w:hAnsi="仿宋" w:eastAsia="仿宋" w:cs="仿宋"/>
                <w:color w:val="auto"/>
                <w:sz w:val="24"/>
                <w:szCs w:val="24"/>
                <w:highlight w:val="none"/>
                <w:lang w:val="en-US" w:eastAsia="zh-CN"/>
              </w:rPr>
              <w:t>0.</w:t>
            </w:r>
            <w:r>
              <w:rPr>
                <w:rFonts w:hint="eastAsia" w:cs="仿宋"/>
                <w:color w:val="auto"/>
                <w:sz w:val="24"/>
                <w:szCs w:val="24"/>
                <w:highlight w:val="none"/>
                <w:lang w:val="en-US" w:eastAsia="zh-CN"/>
              </w:rPr>
              <w:t>6</w:t>
            </w:r>
            <w:r>
              <w:rPr>
                <w:rFonts w:hint="eastAsia" w:ascii="仿宋" w:hAnsi="仿宋" w:eastAsia="仿宋" w:cs="仿宋"/>
                <w:color w:val="auto"/>
                <w:sz w:val="24"/>
                <w:szCs w:val="24"/>
                <w:highlight w:val="none"/>
                <w:lang w:eastAsia="zh-CN"/>
              </w:rPr>
              <w:t>分；</w:t>
            </w:r>
          </w:p>
          <w:p w14:paraId="46AE3FE4">
            <w:pPr>
              <w:pStyle w:val="14"/>
              <w:spacing w:line="360" w:lineRule="auto"/>
              <w:ind w:left="0" w:leftChars="0" w:right="90" w:rightChars="32" w:firstLine="0" w:firstLineChars="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投标产品认定为环保产品的得</w:t>
            </w:r>
            <w:r>
              <w:rPr>
                <w:rFonts w:hint="eastAsia" w:ascii="仿宋" w:hAnsi="仿宋" w:eastAsia="仿宋" w:cs="仿宋"/>
                <w:color w:val="auto"/>
                <w:sz w:val="24"/>
                <w:szCs w:val="24"/>
                <w:highlight w:val="none"/>
                <w:lang w:val="en-US" w:eastAsia="zh-CN"/>
              </w:rPr>
              <w:t>0.</w:t>
            </w:r>
            <w:r>
              <w:rPr>
                <w:rFonts w:hint="eastAsia" w:cs="仿宋"/>
                <w:color w:val="auto"/>
                <w:sz w:val="24"/>
                <w:szCs w:val="24"/>
                <w:highlight w:val="none"/>
                <w:lang w:val="en-US" w:eastAsia="zh-CN"/>
              </w:rPr>
              <w:t>6</w:t>
            </w:r>
            <w:r>
              <w:rPr>
                <w:rFonts w:hint="eastAsia" w:ascii="仿宋" w:hAnsi="仿宋" w:eastAsia="仿宋" w:cs="仿宋"/>
                <w:color w:val="auto"/>
                <w:sz w:val="24"/>
                <w:szCs w:val="24"/>
                <w:highlight w:val="none"/>
                <w:lang w:eastAsia="zh-CN"/>
              </w:rPr>
              <w:t>分。</w:t>
            </w:r>
          </w:p>
          <w:p w14:paraId="15FF2B3A">
            <w:pPr>
              <w:pStyle w:val="14"/>
              <w:spacing w:line="360" w:lineRule="auto"/>
              <w:ind w:left="0" w:leftChars="0" w:right="90" w:rightChars="32" w:firstLine="0" w:firstLineChars="0"/>
              <w:rPr>
                <w:rFonts w:hint="eastAsia" w:ascii="仿宋" w:hAnsi="仿宋" w:eastAsia="仿宋" w:cs="仿宋"/>
                <w:b/>
                <w:bCs/>
                <w:color w:val="auto"/>
                <w:sz w:val="21"/>
                <w:szCs w:val="21"/>
                <w:highlight w:val="none"/>
                <w:lang w:eastAsia="zh-CN"/>
              </w:rPr>
            </w:pPr>
            <w:r>
              <w:rPr>
                <w:rFonts w:hint="eastAsia" w:ascii="仿宋" w:hAnsi="仿宋" w:eastAsia="仿宋" w:cs="仿宋"/>
                <w:color w:val="auto"/>
                <w:sz w:val="24"/>
                <w:szCs w:val="24"/>
                <w:highlight w:val="none"/>
                <w:lang w:eastAsia="zh-CN"/>
              </w:rPr>
              <w:t>若货物为除强制节能产品（强制节能产品详见招标公告或采购需求）以外的经国家认定的节能产品或环境标志产品，提供有效期内的节能产品认证证书或环境标志产品认证证书，未提供的不得分。</w:t>
            </w:r>
          </w:p>
        </w:tc>
      </w:tr>
      <w:tr w14:paraId="576E4A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2" w:hRule="atLeast"/>
          <w:jc w:val="center"/>
        </w:trPr>
        <w:tc>
          <w:tcPr>
            <w:tcW w:w="822" w:type="pct"/>
            <w:vMerge w:val="continue"/>
            <w:vAlign w:val="center"/>
          </w:tcPr>
          <w:p w14:paraId="600628F8">
            <w:pPr>
              <w:pStyle w:val="20"/>
              <w:spacing w:line="360" w:lineRule="auto"/>
              <w:rPr>
                <w:rFonts w:hint="eastAsia" w:ascii="仿宋" w:hAnsi="仿宋" w:eastAsia="仿宋" w:cs="仿宋"/>
                <w:color w:val="auto"/>
                <w:sz w:val="24"/>
                <w:szCs w:val="24"/>
                <w:highlight w:val="none"/>
              </w:rPr>
            </w:pPr>
          </w:p>
        </w:tc>
        <w:tc>
          <w:tcPr>
            <w:tcW w:w="4177" w:type="pct"/>
            <w:vAlign w:val="top"/>
          </w:tcPr>
          <w:p w14:paraId="112A2DCA">
            <w:pPr>
              <w:pStyle w:val="14"/>
              <w:spacing w:line="360" w:lineRule="auto"/>
              <w:ind w:left="0" w:leftChars="0" w:right="90" w:rightChars="32" w:firstLine="0" w:firstLineChars="0"/>
              <w:rPr>
                <w:rFonts w:hint="eastAsia" w:ascii="仿宋" w:hAnsi="仿宋" w:eastAsia="仿宋" w:cs="仿宋"/>
                <w:b/>
                <w:bCs/>
                <w:color w:val="auto"/>
                <w:sz w:val="24"/>
                <w:szCs w:val="24"/>
                <w:highlight w:val="none"/>
                <w:lang w:eastAsia="zh-CN"/>
              </w:rPr>
            </w:pPr>
            <w:r>
              <w:rPr>
                <w:rFonts w:hint="eastAsia" w:cs="仿宋"/>
                <w:b/>
                <w:bCs/>
                <w:color w:val="auto"/>
                <w:sz w:val="24"/>
                <w:szCs w:val="24"/>
                <w:highlight w:val="none"/>
                <w:lang w:val="en-US" w:eastAsia="zh-CN"/>
              </w:rPr>
              <w:t>三</w:t>
            </w:r>
            <w:r>
              <w:rPr>
                <w:rFonts w:hint="eastAsia" w:ascii="仿宋" w:hAnsi="仿宋" w:eastAsia="仿宋" w:cs="仿宋"/>
                <w:b/>
                <w:bCs/>
                <w:color w:val="auto"/>
                <w:sz w:val="24"/>
                <w:szCs w:val="24"/>
                <w:highlight w:val="none"/>
                <w:lang w:eastAsia="zh-CN"/>
              </w:rPr>
              <w:t>、</w:t>
            </w:r>
            <w:r>
              <w:rPr>
                <w:rFonts w:hint="eastAsia" w:cs="仿宋"/>
                <w:b/>
                <w:bCs/>
                <w:color w:val="auto"/>
                <w:sz w:val="24"/>
                <w:szCs w:val="24"/>
                <w:highlight w:val="none"/>
                <w:lang w:val="en-US" w:eastAsia="zh-CN"/>
              </w:rPr>
              <w:t>供货</w:t>
            </w:r>
            <w:r>
              <w:rPr>
                <w:rFonts w:hint="eastAsia" w:ascii="仿宋" w:hAnsi="仿宋" w:eastAsia="仿宋" w:cs="仿宋"/>
                <w:b/>
                <w:bCs/>
                <w:color w:val="auto"/>
                <w:sz w:val="24"/>
                <w:szCs w:val="24"/>
                <w:highlight w:val="none"/>
                <w:lang w:eastAsia="zh-CN"/>
              </w:rPr>
              <w:t>方案（满分</w:t>
            </w:r>
            <w:r>
              <w:rPr>
                <w:rFonts w:hint="eastAsia" w:cs="仿宋"/>
                <w:b/>
                <w:bCs/>
                <w:color w:val="auto"/>
                <w:sz w:val="24"/>
                <w:szCs w:val="24"/>
                <w:highlight w:val="none"/>
                <w:lang w:val="en-US" w:eastAsia="zh-CN"/>
              </w:rPr>
              <w:t>20</w:t>
            </w:r>
            <w:r>
              <w:rPr>
                <w:rFonts w:hint="eastAsia" w:ascii="仿宋" w:hAnsi="仿宋" w:eastAsia="仿宋" w:cs="仿宋"/>
                <w:b/>
                <w:bCs/>
                <w:color w:val="auto"/>
                <w:sz w:val="24"/>
                <w:szCs w:val="24"/>
                <w:highlight w:val="none"/>
                <w:lang w:eastAsia="zh-CN"/>
              </w:rPr>
              <w:t>分）</w:t>
            </w:r>
          </w:p>
          <w:p w14:paraId="4D9C2BCC">
            <w:pPr>
              <w:pStyle w:val="14"/>
              <w:spacing w:line="360" w:lineRule="auto"/>
              <w:ind w:left="0" w:leftChars="0" w:right="90" w:rightChars="32" w:firstLine="482" w:firstLineChars="200"/>
              <w:rPr>
                <w:rFonts w:hint="eastAsia" w:ascii="仿宋" w:hAnsi="仿宋" w:eastAsia="仿宋" w:cs="仿宋"/>
                <w:color w:val="auto"/>
                <w:sz w:val="24"/>
                <w:szCs w:val="24"/>
                <w:highlight w:val="none"/>
                <w:u w:val="none"/>
                <w:lang w:eastAsia="zh-CN"/>
              </w:rPr>
            </w:pPr>
            <w:r>
              <w:rPr>
                <w:rFonts w:hint="eastAsia" w:ascii="仿宋" w:hAnsi="仿宋" w:eastAsia="仿宋" w:cs="仿宋"/>
                <w:b/>
                <w:bCs/>
                <w:color w:val="auto"/>
                <w:sz w:val="24"/>
                <w:szCs w:val="24"/>
                <w:highlight w:val="none"/>
                <w:lang w:eastAsia="zh-CN"/>
              </w:rPr>
              <w:t>评审内容：</w:t>
            </w:r>
            <w:r>
              <w:rPr>
                <w:rFonts w:hint="eastAsia" w:ascii="仿宋" w:hAnsi="仿宋" w:eastAsia="仿宋" w:cs="仿宋"/>
                <w:color w:val="auto"/>
                <w:sz w:val="24"/>
                <w:szCs w:val="24"/>
                <w:highlight w:val="none"/>
                <w:lang w:eastAsia="zh-CN"/>
              </w:rPr>
              <w:t>投标人需提供完整的</w:t>
            </w:r>
            <w:r>
              <w:rPr>
                <w:rFonts w:hint="eastAsia" w:cs="仿宋"/>
                <w:color w:val="auto"/>
                <w:sz w:val="24"/>
                <w:szCs w:val="24"/>
                <w:highlight w:val="none"/>
                <w:lang w:val="en-US" w:eastAsia="zh-CN"/>
              </w:rPr>
              <w:t>供货</w:t>
            </w:r>
            <w:r>
              <w:rPr>
                <w:rFonts w:hint="eastAsia" w:ascii="仿宋" w:hAnsi="仿宋" w:eastAsia="仿宋" w:cs="仿宋"/>
                <w:color w:val="auto"/>
                <w:sz w:val="24"/>
                <w:szCs w:val="24"/>
                <w:highlight w:val="none"/>
                <w:lang w:eastAsia="zh-CN"/>
              </w:rPr>
              <w:t>方案，至少应包含以下核心内容：</w:t>
            </w:r>
            <w:r>
              <w:rPr>
                <w:rFonts w:hint="eastAsia" w:ascii="仿宋" w:hAnsi="仿宋" w:eastAsia="仿宋" w:cs="仿宋"/>
                <w:color w:val="auto"/>
                <w:sz w:val="24"/>
                <w:szCs w:val="24"/>
                <w:highlight w:val="none"/>
                <w:u w:val="none"/>
                <w:lang w:val="en-US" w:eastAsia="zh-CN"/>
              </w:rPr>
              <w:t>1.供货计划安排</w:t>
            </w:r>
            <w:r>
              <w:rPr>
                <w:rFonts w:hint="eastAsia" w:ascii="仿宋" w:hAnsi="仿宋" w:eastAsia="仿宋" w:cs="仿宋"/>
                <w:color w:val="auto"/>
                <w:sz w:val="24"/>
                <w:szCs w:val="24"/>
                <w:highlight w:val="none"/>
                <w:u w:val="none"/>
                <w:lang w:eastAsia="zh-CN"/>
              </w:rPr>
              <w:t>；</w:t>
            </w:r>
            <w:r>
              <w:rPr>
                <w:rFonts w:hint="eastAsia" w:ascii="仿宋" w:hAnsi="仿宋" w:eastAsia="仿宋" w:cs="仿宋"/>
                <w:color w:val="auto"/>
                <w:sz w:val="24"/>
                <w:szCs w:val="24"/>
                <w:highlight w:val="none"/>
                <w:u w:val="none"/>
                <w:lang w:val="en-US" w:eastAsia="zh-CN"/>
              </w:rPr>
              <w:t>2.</w:t>
            </w:r>
            <w:r>
              <w:rPr>
                <w:rFonts w:hint="eastAsia" w:cs="仿宋"/>
                <w:color w:val="auto"/>
                <w:sz w:val="24"/>
                <w:szCs w:val="24"/>
                <w:highlight w:val="none"/>
                <w:u w:val="none"/>
                <w:lang w:val="en-US" w:eastAsia="zh-CN"/>
              </w:rPr>
              <w:t>供货及</w:t>
            </w:r>
            <w:r>
              <w:rPr>
                <w:rFonts w:hint="eastAsia" w:ascii="仿宋" w:hAnsi="仿宋" w:eastAsia="仿宋" w:cs="仿宋"/>
                <w:color w:val="auto"/>
                <w:sz w:val="24"/>
                <w:szCs w:val="24"/>
                <w:highlight w:val="none"/>
                <w:u w:val="none"/>
                <w:lang w:eastAsia="zh-CN"/>
              </w:rPr>
              <w:t>安装方案；</w:t>
            </w:r>
            <w:r>
              <w:rPr>
                <w:rFonts w:hint="eastAsia" w:ascii="仿宋" w:hAnsi="仿宋" w:eastAsia="仿宋" w:cs="仿宋"/>
                <w:color w:val="auto"/>
                <w:sz w:val="24"/>
                <w:szCs w:val="24"/>
                <w:highlight w:val="none"/>
                <w:u w:val="none"/>
                <w:lang w:val="en-US" w:eastAsia="zh-CN"/>
              </w:rPr>
              <w:t>3.</w:t>
            </w:r>
            <w:r>
              <w:rPr>
                <w:rFonts w:hint="eastAsia" w:ascii="仿宋" w:hAnsi="仿宋" w:eastAsia="仿宋" w:cs="仿宋"/>
                <w:color w:val="auto"/>
                <w:sz w:val="24"/>
                <w:szCs w:val="24"/>
                <w:highlight w:val="none"/>
                <w:u w:val="none"/>
                <w:lang w:eastAsia="zh-CN"/>
              </w:rPr>
              <w:t>安全保障措施方案；</w:t>
            </w:r>
            <w:r>
              <w:rPr>
                <w:rFonts w:hint="eastAsia" w:ascii="仿宋" w:hAnsi="仿宋" w:eastAsia="仿宋" w:cs="仿宋"/>
                <w:color w:val="auto"/>
                <w:sz w:val="24"/>
                <w:szCs w:val="24"/>
                <w:highlight w:val="none"/>
                <w:u w:val="none"/>
                <w:lang w:val="en-US" w:eastAsia="zh-CN"/>
              </w:rPr>
              <w:t>4.</w:t>
            </w:r>
            <w:r>
              <w:rPr>
                <w:rFonts w:hint="eastAsia" w:ascii="仿宋" w:hAnsi="仿宋" w:eastAsia="仿宋" w:cs="仿宋"/>
                <w:color w:val="auto"/>
                <w:sz w:val="24"/>
                <w:szCs w:val="24"/>
                <w:highlight w:val="none"/>
                <w:u w:val="none"/>
                <w:lang w:eastAsia="zh-CN"/>
              </w:rPr>
              <w:t>质量保障措施方案</w:t>
            </w:r>
            <w:r>
              <w:rPr>
                <w:rFonts w:hint="eastAsia" w:cs="仿宋"/>
                <w:color w:val="auto"/>
                <w:sz w:val="24"/>
                <w:szCs w:val="24"/>
                <w:highlight w:val="none"/>
                <w:u w:val="none"/>
                <w:lang w:val="en-US" w:eastAsia="zh-CN"/>
              </w:rPr>
              <w:t>及违约承诺</w:t>
            </w:r>
            <w:r>
              <w:rPr>
                <w:rFonts w:hint="eastAsia" w:ascii="仿宋" w:hAnsi="仿宋" w:eastAsia="仿宋" w:cs="仿宋"/>
                <w:color w:val="auto"/>
                <w:sz w:val="24"/>
                <w:szCs w:val="24"/>
                <w:highlight w:val="none"/>
                <w:u w:val="none"/>
                <w:lang w:eastAsia="zh-CN"/>
              </w:rPr>
              <w:t>；</w:t>
            </w:r>
            <w:r>
              <w:rPr>
                <w:rFonts w:hint="eastAsia" w:ascii="仿宋" w:hAnsi="仿宋" w:eastAsia="仿宋" w:cs="仿宋"/>
                <w:color w:val="auto"/>
                <w:sz w:val="24"/>
                <w:szCs w:val="24"/>
                <w:highlight w:val="none"/>
                <w:u w:val="none"/>
                <w:lang w:val="en-US" w:eastAsia="zh-CN"/>
              </w:rPr>
              <w:t>5.</w:t>
            </w:r>
            <w:r>
              <w:rPr>
                <w:rFonts w:hint="eastAsia" w:ascii="仿宋" w:hAnsi="仿宋" w:eastAsia="仿宋" w:cs="仿宋"/>
                <w:color w:val="auto"/>
                <w:sz w:val="24"/>
                <w:szCs w:val="24"/>
                <w:highlight w:val="none"/>
                <w:u w:val="none"/>
                <w:lang w:eastAsia="zh-CN"/>
              </w:rPr>
              <w:t>应急预案。</w:t>
            </w:r>
          </w:p>
          <w:p w14:paraId="61447231">
            <w:pPr>
              <w:pStyle w:val="14"/>
              <w:spacing w:line="360" w:lineRule="auto"/>
              <w:ind w:left="0" w:leftChars="0" w:right="90" w:rightChars="32" w:firstLine="482" w:firstLineChars="200"/>
              <w:rPr>
                <w:rFonts w:hint="eastAsia"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lang w:eastAsia="zh-CN"/>
              </w:rPr>
              <w:t>评分标准：</w:t>
            </w:r>
          </w:p>
          <w:p w14:paraId="1B9BF615">
            <w:pPr>
              <w:pStyle w:val="14"/>
              <w:spacing w:line="360" w:lineRule="auto"/>
              <w:ind w:left="0" w:leftChars="0" w:right="90" w:rightChars="32" w:firstLine="480" w:firstLineChars="2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lang w:eastAsia="zh-CN"/>
              </w:rPr>
              <w:t>方案同时满足以下条件</w:t>
            </w:r>
            <w:r>
              <w:rPr>
                <w:rFonts w:hint="eastAsia" w:ascii="仿宋" w:hAnsi="仿宋" w:eastAsia="仿宋" w:cs="仿宋"/>
                <w:color w:val="auto"/>
                <w:sz w:val="24"/>
                <w:szCs w:val="24"/>
                <w:highlight w:val="none"/>
                <w:lang w:val="en-US" w:eastAsia="zh-CN"/>
              </w:rPr>
              <w:t>的得</w:t>
            </w:r>
            <w:r>
              <w:rPr>
                <w:rFonts w:hint="eastAsia" w:cs="仿宋"/>
                <w:color w:val="auto"/>
                <w:sz w:val="24"/>
                <w:szCs w:val="24"/>
                <w:highlight w:val="none"/>
                <w:lang w:val="en-US" w:eastAsia="zh-CN"/>
              </w:rPr>
              <w:t>20</w:t>
            </w:r>
            <w:r>
              <w:rPr>
                <w:rFonts w:hint="eastAsia" w:ascii="仿宋" w:hAnsi="仿宋" w:eastAsia="仿宋" w:cs="仿宋"/>
                <w:color w:val="auto"/>
                <w:sz w:val="24"/>
                <w:szCs w:val="24"/>
                <w:highlight w:val="none"/>
                <w:lang w:eastAsia="zh-CN"/>
              </w:rPr>
              <w:t>分：</w:t>
            </w:r>
          </w:p>
          <w:p w14:paraId="49244EEA">
            <w:pPr>
              <w:pStyle w:val="14"/>
              <w:spacing w:line="360" w:lineRule="auto"/>
              <w:ind w:left="0" w:leftChars="0" w:right="90" w:rightChars="32" w:firstLine="480" w:firstLineChars="2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lang w:eastAsia="zh-CN"/>
              </w:rPr>
              <w:t>）上述内容完整覆盖，无缺项；</w:t>
            </w:r>
          </w:p>
          <w:p w14:paraId="6FCA1676">
            <w:pPr>
              <w:pStyle w:val="14"/>
              <w:spacing w:line="360" w:lineRule="auto"/>
              <w:ind w:left="0" w:leftChars="0" w:right="90" w:rightChars="32" w:firstLine="480" w:firstLineChars="2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lang w:eastAsia="zh-CN"/>
              </w:rPr>
              <w:t>）每项内容均具体明确、程序规范、切合本项目实际；</w:t>
            </w:r>
          </w:p>
          <w:p w14:paraId="3CB78DE5">
            <w:pPr>
              <w:pStyle w:val="14"/>
              <w:spacing w:line="360" w:lineRule="auto"/>
              <w:ind w:left="0" w:leftChars="0" w:right="90" w:rightChars="32" w:firstLine="480" w:firstLineChars="2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lang w:eastAsia="zh-CN"/>
              </w:rPr>
              <w:t>）无本评审标准所定义的“不足”情形。</w:t>
            </w:r>
          </w:p>
          <w:p w14:paraId="4AC2D575">
            <w:pPr>
              <w:pStyle w:val="14"/>
              <w:spacing w:line="360" w:lineRule="auto"/>
              <w:ind w:left="0" w:leftChars="0" w:right="90" w:rightChars="32" w:firstLine="480" w:firstLineChars="2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lang w:eastAsia="zh-CN"/>
              </w:rPr>
              <w:t>缺项扣分：每</w:t>
            </w:r>
            <w:r>
              <w:rPr>
                <w:rFonts w:hint="eastAsia" w:ascii="仿宋" w:hAnsi="仿宋" w:eastAsia="仿宋" w:cs="仿宋"/>
                <w:color w:val="auto"/>
                <w:sz w:val="24"/>
                <w:szCs w:val="24"/>
                <w:highlight w:val="none"/>
                <w:lang w:val="en-US" w:eastAsia="zh-CN"/>
              </w:rPr>
              <w:t>完全</w:t>
            </w:r>
            <w:r>
              <w:rPr>
                <w:rFonts w:hint="eastAsia" w:ascii="仿宋" w:hAnsi="仿宋" w:eastAsia="仿宋" w:cs="仿宋"/>
                <w:color w:val="auto"/>
                <w:sz w:val="24"/>
                <w:szCs w:val="24"/>
                <w:highlight w:val="none"/>
                <w:lang w:eastAsia="zh-CN"/>
              </w:rPr>
              <w:t>缺少1项内容的，扣</w:t>
            </w:r>
            <w:r>
              <w:rPr>
                <w:rFonts w:hint="eastAsia" w:cs="仿宋"/>
                <w:color w:val="auto"/>
                <w:sz w:val="24"/>
                <w:szCs w:val="24"/>
                <w:highlight w:val="none"/>
                <w:lang w:val="en-US" w:eastAsia="zh-CN"/>
              </w:rPr>
              <w:t>4</w:t>
            </w:r>
            <w:r>
              <w:rPr>
                <w:rFonts w:hint="eastAsia" w:ascii="仿宋" w:hAnsi="仿宋" w:eastAsia="仿宋" w:cs="仿宋"/>
                <w:color w:val="auto"/>
                <w:sz w:val="24"/>
                <w:szCs w:val="24"/>
                <w:highlight w:val="none"/>
                <w:lang w:eastAsia="zh-CN"/>
              </w:rPr>
              <w:t>分。</w:t>
            </w:r>
          </w:p>
          <w:p w14:paraId="045567C0">
            <w:pPr>
              <w:pStyle w:val="14"/>
              <w:spacing w:line="360" w:lineRule="auto"/>
              <w:ind w:left="0" w:leftChars="0" w:right="90" w:rightChars="32" w:firstLine="480" w:firstLineChars="2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lang w:eastAsia="zh-CN"/>
              </w:rPr>
              <w:t>“不足”扣分：某项内容存在“不足”情形的，每处扣1分，单项扣分不设上限（直至该项内容分数扣完）。</w:t>
            </w:r>
          </w:p>
          <w:p w14:paraId="54B6EF56">
            <w:pPr>
              <w:pStyle w:val="14"/>
              <w:spacing w:line="360" w:lineRule="auto"/>
              <w:ind w:left="0" w:leftChars="0" w:right="90" w:rightChars="32" w:firstLine="480" w:firstLineChars="2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lang w:eastAsia="zh-CN"/>
              </w:rPr>
              <w:t>扣分</w:t>
            </w:r>
            <w:r>
              <w:rPr>
                <w:rFonts w:hint="eastAsia" w:ascii="仿宋" w:hAnsi="仿宋" w:eastAsia="仿宋" w:cs="仿宋"/>
                <w:color w:val="auto"/>
                <w:sz w:val="24"/>
                <w:szCs w:val="24"/>
                <w:highlight w:val="none"/>
                <w:lang w:val="en-US" w:eastAsia="zh-CN"/>
              </w:rPr>
              <w:t>下</w:t>
            </w:r>
            <w:r>
              <w:rPr>
                <w:rFonts w:hint="eastAsia" w:ascii="仿宋" w:hAnsi="仿宋" w:eastAsia="仿宋" w:cs="仿宋"/>
                <w:color w:val="auto"/>
                <w:sz w:val="24"/>
                <w:szCs w:val="24"/>
                <w:highlight w:val="none"/>
                <w:lang w:eastAsia="zh-CN"/>
              </w:rPr>
              <w:t>限：本项得分最低为0分。</w:t>
            </w:r>
          </w:p>
          <w:p w14:paraId="60D1AEB1">
            <w:pPr>
              <w:pStyle w:val="14"/>
              <w:spacing w:line="240" w:lineRule="auto"/>
              <w:ind w:left="0" w:leftChars="0" w:right="90" w:rightChars="32" w:firstLine="422" w:firstLineChars="200"/>
              <w:rPr>
                <w:rFonts w:hint="eastAsia" w:ascii="仿宋" w:hAnsi="仿宋" w:eastAsia="仿宋" w:cs="仿宋"/>
                <w:color w:val="auto"/>
                <w:sz w:val="24"/>
                <w:szCs w:val="24"/>
                <w:highlight w:val="none"/>
                <w:lang w:eastAsia="zh-CN"/>
              </w:rPr>
            </w:pPr>
            <w:r>
              <w:rPr>
                <w:rFonts w:hint="eastAsia" w:ascii="仿宋" w:hAnsi="仿宋" w:eastAsia="仿宋" w:cs="仿宋"/>
                <w:b/>
                <w:bCs/>
                <w:color w:val="auto"/>
                <w:sz w:val="21"/>
                <w:szCs w:val="21"/>
                <w:highlight w:val="none"/>
                <w:lang w:eastAsia="zh-CN"/>
              </w:rPr>
              <w:t>注：“不足”认定细则①内容简略/缺失关键点</w:t>
            </w:r>
            <w:r>
              <w:rPr>
                <w:rFonts w:hint="eastAsia" w:cs="仿宋"/>
                <w:b/>
                <w:bCs/>
                <w:color w:val="auto"/>
                <w:sz w:val="21"/>
                <w:szCs w:val="21"/>
                <w:highlight w:val="none"/>
                <w:lang w:eastAsia="zh-CN"/>
              </w:rPr>
              <w:t>。</w:t>
            </w:r>
            <w:r>
              <w:rPr>
                <w:rFonts w:hint="eastAsia" w:ascii="仿宋" w:hAnsi="仿宋" w:eastAsia="仿宋" w:cs="仿宋"/>
                <w:b/>
                <w:bCs/>
                <w:color w:val="auto"/>
                <w:sz w:val="21"/>
                <w:szCs w:val="21"/>
                <w:highlight w:val="none"/>
                <w:lang w:eastAsia="zh-CN"/>
              </w:rPr>
              <w:t>②套用模板/针对性差。③前后表述矛盾。④逻辑/原理错误。⑤不利于目标实现。</w:t>
            </w:r>
          </w:p>
        </w:tc>
      </w:tr>
      <w:tr w14:paraId="2DBB9E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2" w:hRule="atLeast"/>
          <w:jc w:val="center"/>
        </w:trPr>
        <w:tc>
          <w:tcPr>
            <w:tcW w:w="822" w:type="pct"/>
            <w:vMerge w:val="continue"/>
            <w:vAlign w:val="center"/>
          </w:tcPr>
          <w:p w14:paraId="3F9AFE8F">
            <w:pPr>
              <w:pStyle w:val="20"/>
              <w:spacing w:line="360" w:lineRule="auto"/>
              <w:rPr>
                <w:rFonts w:hint="eastAsia" w:ascii="仿宋" w:hAnsi="仿宋" w:eastAsia="仿宋" w:cs="仿宋"/>
                <w:color w:val="auto"/>
                <w:sz w:val="24"/>
                <w:szCs w:val="24"/>
                <w:highlight w:val="none"/>
              </w:rPr>
            </w:pPr>
          </w:p>
        </w:tc>
        <w:tc>
          <w:tcPr>
            <w:tcW w:w="4177" w:type="pct"/>
            <w:vAlign w:val="top"/>
          </w:tcPr>
          <w:p w14:paraId="6CEA674E">
            <w:pPr>
              <w:pStyle w:val="14"/>
              <w:spacing w:line="360" w:lineRule="auto"/>
              <w:ind w:left="0" w:leftChars="0" w:right="90" w:rightChars="32" w:firstLine="0" w:firstLineChars="0"/>
              <w:rPr>
                <w:rFonts w:hint="eastAsia" w:ascii="仿宋" w:hAnsi="仿宋" w:eastAsia="仿宋" w:cs="仿宋"/>
                <w:b/>
                <w:bCs/>
                <w:color w:val="auto"/>
                <w:sz w:val="24"/>
                <w:szCs w:val="24"/>
                <w:highlight w:val="none"/>
                <w:lang w:eastAsia="zh-CN"/>
              </w:rPr>
            </w:pPr>
            <w:r>
              <w:rPr>
                <w:rFonts w:hint="eastAsia" w:cs="仿宋"/>
                <w:b/>
                <w:bCs/>
                <w:color w:val="auto"/>
                <w:sz w:val="24"/>
                <w:szCs w:val="24"/>
                <w:highlight w:val="none"/>
                <w:lang w:val="en-US" w:eastAsia="zh-CN"/>
              </w:rPr>
              <w:t>四</w:t>
            </w:r>
            <w:r>
              <w:rPr>
                <w:rFonts w:hint="eastAsia" w:ascii="仿宋" w:hAnsi="仿宋" w:eastAsia="仿宋" w:cs="仿宋"/>
                <w:b/>
                <w:bCs/>
                <w:color w:val="auto"/>
                <w:sz w:val="24"/>
                <w:szCs w:val="24"/>
                <w:highlight w:val="none"/>
                <w:lang w:eastAsia="zh-CN"/>
              </w:rPr>
              <w:t>、调试与验收方案（满分</w:t>
            </w:r>
            <w:r>
              <w:rPr>
                <w:rFonts w:hint="eastAsia" w:cs="仿宋"/>
                <w:b/>
                <w:bCs/>
                <w:color w:val="auto"/>
                <w:sz w:val="24"/>
                <w:szCs w:val="24"/>
                <w:highlight w:val="none"/>
                <w:lang w:val="en-US" w:eastAsia="zh-CN"/>
              </w:rPr>
              <w:t>4</w:t>
            </w:r>
            <w:r>
              <w:rPr>
                <w:rFonts w:hint="eastAsia" w:ascii="仿宋" w:hAnsi="仿宋" w:eastAsia="仿宋" w:cs="仿宋"/>
                <w:b/>
                <w:bCs/>
                <w:color w:val="auto"/>
                <w:sz w:val="24"/>
                <w:szCs w:val="24"/>
                <w:highlight w:val="none"/>
                <w:lang w:eastAsia="zh-CN"/>
              </w:rPr>
              <w:t>分）</w:t>
            </w:r>
          </w:p>
          <w:p w14:paraId="50CAC8C6">
            <w:pPr>
              <w:pStyle w:val="14"/>
              <w:spacing w:line="360" w:lineRule="auto"/>
              <w:ind w:left="0" w:leftChars="0" w:right="90" w:rightChars="32" w:firstLine="482" w:firstLineChars="200"/>
              <w:rPr>
                <w:rFonts w:hint="eastAsia" w:ascii="仿宋" w:hAnsi="仿宋" w:eastAsia="仿宋" w:cs="仿宋"/>
                <w:color w:val="auto"/>
                <w:sz w:val="24"/>
                <w:szCs w:val="24"/>
                <w:highlight w:val="none"/>
                <w:lang w:eastAsia="zh-CN"/>
              </w:rPr>
            </w:pPr>
            <w:r>
              <w:rPr>
                <w:rFonts w:hint="eastAsia" w:ascii="仿宋" w:hAnsi="仿宋" w:eastAsia="仿宋" w:cs="仿宋"/>
                <w:b/>
                <w:bCs/>
                <w:color w:val="auto"/>
                <w:sz w:val="24"/>
                <w:szCs w:val="24"/>
                <w:highlight w:val="none"/>
                <w:lang w:eastAsia="zh-CN"/>
              </w:rPr>
              <w:t>评审内容：</w:t>
            </w:r>
            <w:r>
              <w:rPr>
                <w:rFonts w:hint="eastAsia" w:ascii="仿宋" w:hAnsi="仿宋" w:eastAsia="仿宋" w:cs="仿宋"/>
                <w:color w:val="auto"/>
                <w:sz w:val="24"/>
                <w:szCs w:val="24"/>
                <w:highlight w:val="none"/>
                <w:lang w:eastAsia="zh-CN"/>
              </w:rPr>
              <w:t>投标人需提供完整的调试与验收方案，至少应包含以下核心内容：</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lang w:eastAsia="zh-CN"/>
              </w:rPr>
              <w:t>调试方案；</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lang w:eastAsia="zh-CN"/>
              </w:rPr>
              <w:t>验收方案。</w:t>
            </w:r>
          </w:p>
          <w:p w14:paraId="77C06D71">
            <w:pPr>
              <w:pStyle w:val="14"/>
              <w:spacing w:line="360" w:lineRule="auto"/>
              <w:ind w:left="0" w:leftChars="0" w:right="90" w:rightChars="32" w:firstLine="482" w:firstLineChars="200"/>
              <w:rPr>
                <w:rFonts w:hint="eastAsia"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lang w:eastAsia="zh-CN"/>
              </w:rPr>
              <w:t>评分标准：</w:t>
            </w:r>
          </w:p>
          <w:p w14:paraId="781E0CDB">
            <w:pPr>
              <w:pStyle w:val="14"/>
              <w:spacing w:line="360" w:lineRule="auto"/>
              <w:ind w:left="0" w:leftChars="0" w:right="90" w:rightChars="32" w:firstLine="480" w:firstLineChars="2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lang w:eastAsia="zh-CN"/>
              </w:rPr>
              <w:t>方案同时满足以下条件</w:t>
            </w:r>
            <w:r>
              <w:rPr>
                <w:rFonts w:hint="eastAsia" w:ascii="仿宋" w:hAnsi="仿宋" w:eastAsia="仿宋" w:cs="仿宋"/>
                <w:color w:val="auto"/>
                <w:sz w:val="24"/>
                <w:szCs w:val="24"/>
                <w:highlight w:val="none"/>
                <w:lang w:val="en-US" w:eastAsia="zh-CN"/>
              </w:rPr>
              <w:t>的得</w:t>
            </w:r>
            <w:r>
              <w:rPr>
                <w:rFonts w:hint="eastAsia" w:cs="仿宋"/>
                <w:color w:val="auto"/>
                <w:sz w:val="24"/>
                <w:szCs w:val="24"/>
                <w:highlight w:val="none"/>
                <w:lang w:val="en-US" w:eastAsia="zh-CN"/>
              </w:rPr>
              <w:t>4</w:t>
            </w:r>
            <w:r>
              <w:rPr>
                <w:rFonts w:hint="eastAsia" w:ascii="仿宋" w:hAnsi="仿宋" w:eastAsia="仿宋" w:cs="仿宋"/>
                <w:color w:val="auto"/>
                <w:sz w:val="24"/>
                <w:szCs w:val="24"/>
                <w:highlight w:val="none"/>
                <w:lang w:eastAsia="zh-CN"/>
              </w:rPr>
              <w:t>分：</w:t>
            </w:r>
          </w:p>
          <w:p w14:paraId="5F0427E9">
            <w:pPr>
              <w:pStyle w:val="14"/>
              <w:spacing w:line="360" w:lineRule="auto"/>
              <w:ind w:left="0" w:leftChars="0" w:right="90" w:rightChars="32" w:firstLine="480" w:firstLineChars="2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lang w:eastAsia="zh-CN"/>
              </w:rPr>
              <w:t>）上述内容完整覆盖，无缺项；</w:t>
            </w:r>
          </w:p>
          <w:p w14:paraId="1D26DFF4">
            <w:pPr>
              <w:pStyle w:val="14"/>
              <w:spacing w:line="360" w:lineRule="auto"/>
              <w:ind w:left="0" w:leftChars="0" w:right="90" w:rightChars="32" w:firstLine="480" w:firstLineChars="2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lang w:eastAsia="zh-CN"/>
              </w:rPr>
              <w:t>）每项内容均具体明确、程序清晰、切合本项目实际；</w:t>
            </w:r>
          </w:p>
          <w:p w14:paraId="7BA2B375">
            <w:pPr>
              <w:pStyle w:val="14"/>
              <w:spacing w:line="360" w:lineRule="auto"/>
              <w:ind w:left="0" w:leftChars="0" w:right="90" w:rightChars="32" w:firstLine="480" w:firstLineChars="2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lang w:eastAsia="zh-CN"/>
              </w:rPr>
              <w:t>）无本评审标准所定义的“不足”情形。</w:t>
            </w:r>
          </w:p>
          <w:p w14:paraId="135F192E">
            <w:pPr>
              <w:pStyle w:val="14"/>
              <w:spacing w:line="360" w:lineRule="auto"/>
              <w:ind w:left="0" w:leftChars="0" w:right="90" w:rightChars="32" w:firstLine="480" w:firstLineChars="2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lang w:eastAsia="zh-CN"/>
              </w:rPr>
              <w:t>缺项扣分：每</w:t>
            </w:r>
            <w:r>
              <w:rPr>
                <w:rFonts w:hint="eastAsia" w:ascii="仿宋" w:hAnsi="仿宋" w:eastAsia="仿宋" w:cs="仿宋"/>
                <w:color w:val="auto"/>
                <w:sz w:val="24"/>
                <w:szCs w:val="24"/>
                <w:highlight w:val="none"/>
                <w:lang w:val="en-US" w:eastAsia="zh-CN"/>
              </w:rPr>
              <w:t>完全</w:t>
            </w:r>
            <w:r>
              <w:rPr>
                <w:rFonts w:hint="eastAsia" w:ascii="仿宋" w:hAnsi="仿宋" w:eastAsia="仿宋" w:cs="仿宋"/>
                <w:color w:val="auto"/>
                <w:sz w:val="24"/>
                <w:szCs w:val="24"/>
                <w:highlight w:val="none"/>
                <w:lang w:eastAsia="zh-CN"/>
              </w:rPr>
              <w:t>缺少1项内容的，扣</w:t>
            </w:r>
            <w:r>
              <w:rPr>
                <w:rFonts w:hint="eastAsia" w:cs="仿宋"/>
                <w:color w:val="auto"/>
                <w:sz w:val="24"/>
                <w:szCs w:val="24"/>
                <w:highlight w:val="none"/>
                <w:lang w:val="en-US" w:eastAsia="zh-CN"/>
              </w:rPr>
              <w:t>2</w:t>
            </w:r>
            <w:r>
              <w:rPr>
                <w:rFonts w:hint="eastAsia" w:ascii="仿宋" w:hAnsi="仿宋" w:eastAsia="仿宋" w:cs="仿宋"/>
                <w:color w:val="auto"/>
                <w:sz w:val="24"/>
                <w:szCs w:val="24"/>
                <w:highlight w:val="none"/>
                <w:lang w:eastAsia="zh-CN"/>
              </w:rPr>
              <w:t>分。</w:t>
            </w:r>
          </w:p>
          <w:p w14:paraId="5586BC53">
            <w:pPr>
              <w:pStyle w:val="14"/>
              <w:spacing w:line="360" w:lineRule="auto"/>
              <w:ind w:left="0" w:leftChars="0" w:right="90" w:rightChars="32" w:firstLine="480" w:firstLineChars="2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lang w:eastAsia="zh-CN"/>
              </w:rPr>
              <w:t>“不足”扣分：某项内容存在“不足”情形的，每处扣</w:t>
            </w:r>
            <w:r>
              <w:rPr>
                <w:rFonts w:hint="eastAsia" w:cs="仿宋"/>
                <w:color w:val="auto"/>
                <w:sz w:val="24"/>
                <w:szCs w:val="24"/>
                <w:highlight w:val="none"/>
                <w:lang w:val="en-US" w:eastAsia="zh-CN"/>
              </w:rPr>
              <w:t>0.5</w:t>
            </w:r>
            <w:r>
              <w:rPr>
                <w:rFonts w:hint="eastAsia" w:ascii="仿宋" w:hAnsi="仿宋" w:eastAsia="仿宋" w:cs="仿宋"/>
                <w:color w:val="auto"/>
                <w:sz w:val="24"/>
                <w:szCs w:val="24"/>
                <w:highlight w:val="none"/>
                <w:lang w:eastAsia="zh-CN"/>
              </w:rPr>
              <w:t>分，单项扣分不设上限（直至该项内容分数扣完）。</w:t>
            </w:r>
          </w:p>
          <w:p w14:paraId="69D74299">
            <w:pPr>
              <w:pStyle w:val="14"/>
              <w:spacing w:line="360" w:lineRule="auto"/>
              <w:ind w:left="0" w:leftChars="0" w:right="90" w:rightChars="32" w:firstLine="480" w:firstLineChars="2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lang w:eastAsia="zh-CN"/>
              </w:rPr>
              <w:t>扣分</w:t>
            </w:r>
            <w:r>
              <w:rPr>
                <w:rFonts w:hint="eastAsia" w:ascii="仿宋" w:hAnsi="仿宋" w:eastAsia="仿宋" w:cs="仿宋"/>
                <w:color w:val="auto"/>
                <w:sz w:val="24"/>
                <w:szCs w:val="24"/>
                <w:highlight w:val="none"/>
                <w:lang w:val="en-US" w:eastAsia="zh-CN"/>
              </w:rPr>
              <w:t>下</w:t>
            </w:r>
            <w:r>
              <w:rPr>
                <w:rFonts w:hint="eastAsia" w:ascii="仿宋" w:hAnsi="仿宋" w:eastAsia="仿宋" w:cs="仿宋"/>
                <w:color w:val="auto"/>
                <w:sz w:val="24"/>
                <w:szCs w:val="24"/>
                <w:highlight w:val="none"/>
                <w:lang w:eastAsia="zh-CN"/>
              </w:rPr>
              <w:t>限：本项得分最低为0分。</w:t>
            </w:r>
          </w:p>
          <w:p w14:paraId="5FA5C784">
            <w:pPr>
              <w:pStyle w:val="14"/>
              <w:spacing w:line="240" w:lineRule="auto"/>
              <w:ind w:left="0" w:leftChars="0" w:right="90" w:rightChars="32" w:firstLine="422" w:firstLineChars="200"/>
              <w:rPr>
                <w:rFonts w:hint="eastAsia" w:ascii="仿宋" w:hAnsi="仿宋" w:eastAsia="仿宋" w:cs="仿宋"/>
                <w:color w:val="auto"/>
                <w:sz w:val="24"/>
                <w:szCs w:val="24"/>
                <w:highlight w:val="none"/>
                <w:lang w:eastAsia="zh-CN"/>
              </w:rPr>
            </w:pPr>
            <w:r>
              <w:rPr>
                <w:rFonts w:hint="eastAsia" w:ascii="仿宋" w:hAnsi="仿宋" w:eastAsia="仿宋" w:cs="仿宋"/>
                <w:b/>
                <w:bCs/>
                <w:color w:val="auto"/>
                <w:sz w:val="21"/>
                <w:szCs w:val="21"/>
                <w:highlight w:val="none"/>
                <w:lang w:eastAsia="zh-CN"/>
              </w:rPr>
              <w:t>注：“不足”认定细则①内容简略/缺失关键点</w:t>
            </w:r>
            <w:r>
              <w:rPr>
                <w:rFonts w:hint="eastAsia" w:cs="仿宋"/>
                <w:b/>
                <w:bCs/>
                <w:color w:val="auto"/>
                <w:sz w:val="21"/>
                <w:szCs w:val="21"/>
                <w:highlight w:val="none"/>
                <w:lang w:eastAsia="zh-CN"/>
              </w:rPr>
              <w:t>。</w:t>
            </w:r>
            <w:r>
              <w:rPr>
                <w:rFonts w:hint="eastAsia" w:ascii="仿宋" w:hAnsi="仿宋" w:eastAsia="仿宋" w:cs="仿宋"/>
                <w:b/>
                <w:bCs/>
                <w:color w:val="auto"/>
                <w:sz w:val="21"/>
                <w:szCs w:val="21"/>
                <w:highlight w:val="none"/>
                <w:lang w:eastAsia="zh-CN"/>
              </w:rPr>
              <w:t>②套用模板/针对性差。③前后表述矛盾。④逻辑/原理错误。⑤不利于目标实现。</w:t>
            </w:r>
          </w:p>
        </w:tc>
      </w:tr>
      <w:tr w14:paraId="21CDA7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jc w:val="center"/>
        </w:trPr>
        <w:tc>
          <w:tcPr>
            <w:tcW w:w="822" w:type="pct"/>
            <w:vMerge w:val="restart"/>
            <w:vAlign w:val="center"/>
          </w:tcPr>
          <w:p w14:paraId="6F566225">
            <w:pPr>
              <w:pStyle w:val="20"/>
              <w:spacing w:line="360" w:lineRule="auto"/>
              <w:ind w:firstLine="0" w:firstLineChars="0"/>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商务部分</w:t>
            </w:r>
          </w:p>
          <w:p w14:paraId="5112FC74">
            <w:pPr>
              <w:pStyle w:val="20"/>
              <w:spacing w:line="360" w:lineRule="auto"/>
              <w:ind w:firstLine="0" w:firstLineChars="0"/>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评分标准</w:t>
            </w:r>
          </w:p>
          <w:p w14:paraId="7E2338B0">
            <w:pPr>
              <w:pStyle w:val="20"/>
              <w:spacing w:line="360" w:lineRule="auto"/>
              <w:ind w:firstLine="0" w:firstLineChars="0"/>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（满分</w:t>
            </w:r>
            <w:r>
              <w:rPr>
                <w:rFonts w:hint="eastAsia" w:cs="仿宋"/>
                <w:b/>
                <w:bCs/>
                <w:color w:val="auto"/>
                <w:sz w:val="24"/>
                <w:szCs w:val="24"/>
                <w:highlight w:val="none"/>
                <w:lang w:val="en-US" w:eastAsia="zh-CN"/>
              </w:rPr>
              <w:t>10</w:t>
            </w:r>
            <w:r>
              <w:rPr>
                <w:rFonts w:hint="eastAsia" w:ascii="仿宋" w:hAnsi="仿宋" w:eastAsia="仿宋" w:cs="仿宋"/>
                <w:b/>
                <w:bCs/>
                <w:color w:val="auto"/>
                <w:sz w:val="24"/>
                <w:szCs w:val="24"/>
                <w:highlight w:val="none"/>
              </w:rPr>
              <w:t>分）</w:t>
            </w:r>
          </w:p>
        </w:tc>
        <w:tc>
          <w:tcPr>
            <w:tcW w:w="4177" w:type="pct"/>
            <w:shd w:val="clear" w:color="auto" w:fill="auto"/>
            <w:vAlign w:val="center"/>
          </w:tcPr>
          <w:p w14:paraId="783981F9">
            <w:pPr>
              <w:pStyle w:val="14"/>
              <w:spacing w:line="360" w:lineRule="auto"/>
              <w:ind w:left="0" w:leftChars="0" w:right="90" w:rightChars="32" w:firstLine="0" w:firstLineChars="0"/>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一</w:t>
            </w:r>
            <w:r>
              <w:rPr>
                <w:rFonts w:hint="eastAsia" w:cs="仿宋"/>
                <w:b/>
                <w:bCs/>
                <w:color w:val="auto"/>
                <w:sz w:val="24"/>
                <w:szCs w:val="24"/>
                <w:highlight w:val="none"/>
                <w:lang w:val="en-US" w:eastAsia="zh-CN"/>
              </w:rPr>
              <w:t>、</w:t>
            </w:r>
            <w:r>
              <w:rPr>
                <w:rFonts w:hint="eastAsia" w:ascii="仿宋" w:hAnsi="仿宋" w:eastAsia="仿宋" w:cs="仿宋"/>
                <w:b/>
                <w:bCs/>
                <w:color w:val="auto"/>
                <w:sz w:val="24"/>
                <w:szCs w:val="24"/>
                <w:highlight w:val="none"/>
                <w:lang w:val="en-US" w:eastAsia="zh-CN"/>
              </w:rPr>
              <w:t>售后服务方案及承诺(满分</w:t>
            </w:r>
            <w:r>
              <w:rPr>
                <w:rFonts w:hint="eastAsia" w:cs="仿宋"/>
                <w:b/>
                <w:bCs/>
                <w:color w:val="auto"/>
                <w:sz w:val="24"/>
                <w:szCs w:val="24"/>
                <w:highlight w:val="none"/>
                <w:lang w:val="en-US" w:eastAsia="zh-CN"/>
              </w:rPr>
              <w:t>8</w:t>
            </w:r>
            <w:r>
              <w:rPr>
                <w:rFonts w:hint="eastAsia" w:ascii="仿宋" w:hAnsi="仿宋" w:eastAsia="仿宋" w:cs="仿宋"/>
                <w:b/>
                <w:bCs/>
                <w:color w:val="auto"/>
                <w:sz w:val="24"/>
                <w:szCs w:val="24"/>
                <w:highlight w:val="none"/>
                <w:lang w:val="en-US" w:eastAsia="zh-CN"/>
              </w:rPr>
              <w:t>分)</w:t>
            </w:r>
          </w:p>
          <w:p w14:paraId="7D348402">
            <w:pPr>
              <w:spacing w:line="360" w:lineRule="auto"/>
              <w:ind w:firstLine="482" w:firstLineChars="200"/>
              <w:jc w:val="left"/>
              <w:rPr>
                <w:rFonts w:hint="eastAsia" w:ascii="宋体" w:hAnsi="宋体" w:eastAsia="仿宋" w:cs="宋体"/>
                <w:color w:val="auto"/>
                <w:kern w:val="2"/>
                <w:sz w:val="24"/>
                <w:szCs w:val="28"/>
                <w:highlight w:val="none"/>
                <w:lang w:val="en-US" w:eastAsia="zh-CN" w:bidi="ar-SA"/>
              </w:rPr>
            </w:pPr>
            <w:r>
              <w:rPr>
                <w:rFonts w:hint="eastAsia" w:ascii="仿宋" w:hAnsi="仿宋" w:eastAsia="仿宋" w:cs="仿宋"/>
                <w:b/>
                <w:bCs/>
                <w:color w:val="auto"/>
                <w:sz w:val="24"/>
                <w:szCs w:val="24"/>
                <w:highlight w:val="none"/>
                <w:lang w:eastAsia="zh-CN"/>
              </w:rPr>
              <w:t>评审内容：</w:t>
            </w:r>
            <w:r>
              <w:rPr>
                <w:rFonts w:hint="eastAsia" w:ascii="仿宋" w:hAnsi="仿宋" w:eastAsia="仿宋" w:cs="仿宋"/>
                <w:color w:val="auto"/>
                <w:sz w:val="24"/>
                <w:szCs w:val="24"/>
                <w:highlight w:val="none"/>
                <w:lang w:eastAsia="zh-CN"/>
              </w:rPr>
              <w:t>投标人需提供完整的</w:t>
            </w:r>
            <w:r>
              <w:rPr>
                <w:rFonts w:hint="eastAsia" w:ascii="宋体" w:hAnsi="宋体" w:eastAsia="仿宋" w:cs="宋体"/>
                <w:color w:val="auto"/>
                <w:kern w:val="2"/>
                <w:sz w:val="24"/>
                <w:szCs w:val="28"/>
                <w:highlight w:val="none"/>
                <w:lang w:val="en-US" w:eastAsia="zh-CN" w:bidi="ar-SA"/>
              </w:rPr>
              <w:t>售后服务方案及承诺</w:t>
            </w:r>
            <w:r>
              <w:rPr>
                <w:rFonts w:hint="eastAsia" w:ascii="宋体" w:hAnsi="宋体" w:cs="宋体"/>
                <w:color w:val="auto"/>
                <w:kern w:val="2"/>
                <w:sz w:val="24"/>
                <w:szCs w:val="28"/>
                <w:highlight w:val="none"/>
                <w:lang w:val="en-US" w:eastAsia="zh-CN" w:bidi="ar-SA"/>
              </w:rPr>
              <w:t>，</w:t>
            </w:r>
            <w:r>
              <w:rPr>
                <w:rFonts w:hint="eastAsia" w:ascii="仿宋" w:hAnsi="仿宋" w:eastAsia="仿宋" w:cs="仿宋"/>
                <w:color w:val="auto"/>
                <w:sz w:val="24"/>
                <w:szCs w:val="24"/>
                <w:highlight w:val="none"/>
                <w:lang w:eastAsia="zh-CN"/>
              </w:rPr>
              <w:t>至少应包含以下核心内容：</w:t>
            </w:r>
          </w:p>
          <w:p w14:paraId="3B18A40B">
            <w:pPr>
              <w:spacing w:line="360" w:lineRule="auto"/>
              <w:ind w:firstLine="480" w:firstLineChars="200"/>
              <w:jc w:val="left"/>
              <w:rPr>
                <w:rFonts w:hint="eastAsia" w:ascii="宋体" w:hAnsi="宋体" w:eastAsia="仿宋" w:cs="宋体"/>
                <w:color w:val="auto"/>
                <w:kern w:val="2"/>
                <w:sz w:val="24"/>
                <w:szCs w:val="28"/>
                <w:highlight w:val="none"/>
                <w:lang w:val="en-US" w:eastAsia="zh-CN" w:bidi="ar-SA"/>
              </w:rPr>
            </w:pPr>
            <w:r>
              <w:rPr>
                <w:rFonts w:hint="eastAsia" w:ascii="宋体" w:hAnsi="宋体" w:eastAsia="仿宋" w:cs="宋体"/>
                <w:color w:val="auto"/>
                <w:kern w:val="2"/>
                <w:sz w:val="24"/>
                <w:szCs w:val="28"/>
                <w:highlight w:val="none"/>
                <w:lang w:val="en-US" w:eastAsia="zh-CN" w:bidi="ar-SA"/>
              </w:rPr>
              <w:t>①售后服务力量（包括但不限于售后服务机构名称、服务人员名单、售后电话等）；</w:t>
            </w:r>
          </w:p>
          <w:p w14:paraId="6205B6F7">
            <w:pPr>
              <w:spacing w:line="360" w:lineRule="auto"/>
              <w:ind w:firstLine="480" w:firstLineChars="200"/>
              <w:jc w:val="left"/>
              <w:rPr>
                <w:rFonts w:hint="eastAsia" w:ascii="宋体" w:hAnsi="宋体" w:eastAsia="仿宋" w:cs="宋体"/>
                <w:color w:val="auto"/>
                <w:kern w:val="2"/>
                <w:sz w:val="24"/>
                <w:szCs w:val="28"/>
                <w:highlight w:val="none"/>
                <w:lang w:val="en-US" w:eastAsia="zh-CN" w:bidi="ar-SA"/>
              </w:rPr>
            </w:pPr>
            <w:r>
              <w:rPr>
                <w:rFonts w:hint="eastAsia" w:ascii="宋体" w:hAnsi="宋体" w:eastAsia="仿宋" w:cs="宋体"/>
                <w:color w:val="auto"/>
                <w:kern w:val="2"/>
                <w:sz w:val="24"/>
                <w:szCs w:val="28"/>
                <w:highlight w:val="none"/>
                <w:lang w:val="en-US" w:eastAsia="zh-CN" w:bidi="ar-SA"/>
              </w:rPr>
              <w:t>②售后服务内容（包括但不限于</w:t>
            </w:r>
            <w:r>
              <w:rPr>
                <w:rFonts w:hint="eastAsia" w:ascii="宋体" w:hAnsi="宋体" w:cs="宋体"/>
                <w:color w:val="auto"/>
                <w:sz w:val="24"/>
                <w:highlight w:val="none"/>
              </w:rPr>
              <w:t>培训服务</w:t>
            </w:r>
            <w:r>
              <w:rPr>
                <w:rFonts w:hint="eastAsia" w:ascii="宋体" w:hAnsi="宋体" w:cs="宋体"/>
                <w:color w:val="auto"/>
                <w:sz w:val="24"/>
                <w:highlight w:val="none"/>
                <w:lang w:eastAsia="zh-CN"/>
              </w:rPr>
              <w:t>、</w:t>
            </w:r>
            <w:r>
              <w:rPr>
                <w:rFonts w:hint="eastAsia" w:ascii="宋体" w:hAnsi="宋体" w:eastAsia="仿宋" w:cs="宋体"/>
                <w:color w:val="auto"/>
                <w:kern w:val="2"/>
                <w:sz w:val="24"/>
                <w:szCs w:val="28"/>
                <w:highlight w:val="none"/>
                <w:lang w:val="en-US" w:eastAsia="zh-CN" w:bidi="ar-SA"/>
              </w:rPr>
              <w:t>巡检或维护维修内容、设备性能调试或检校、设备软硬件升级服务等）；</w:t>
            </w:r>
          </w:p>
          <w:p w14:paraId="5E49BAEB">
            <w:pPr>
              <w:spacing w:line="360" w:lineRule="auto"/>
              <w:ind w:firstLine="480" w:firstLineChars="200"/>
              <w:jc w:val="left"/>
              <w:rPr>
                <w:rFonts w:hint="eastAsia" w:ascii="宋体" w:hAnsi="宋体" w:eastAsia="仿宋" w:cs="宋体"/>
                <w:color w:val="auto"/>
                <w:kern w:val="2"/>
                <w:sz w:val="24"/>
                <w:szCs w:val="28"/>
                <w:highlight w:val="none"/>
                <w:lang w:val="en-US" w:eastAsia="zh-CN" w:bidi="ar-SA"/>
              </w:rPr>
            </w:pPr>
            <w:r>
              <w:rPr>
                <w:rFonts w:hint="eastAsia" w:ascii="宋体" w:hAnsi="宋体" w:eastAsia="仿宋" w:cs="宋体"/>
                <w:color w:val="auto"/>
                <w:kern w:val="2"/>
                <w:sz w:val="24"/>
                <w:szCs w:val="28"/>
                <w:highlight w:val="none"/>
                <w:lang w:val="en-US" w:eastAsia="zh-CN" w:bidi="ar-SA"/>
              </w:rPr>
              <w:t>③故障处理方案（包括但不限于故障处理流程、故障响应/处理时间、故障应急方案等）；</w:t>
            </w:r>
          </w:p>
          <w:p w14:paraId="6A8A471D">
            <w:pPr>
              <w:spacing w:line="360" w:lineRule="auto"/>
              <w:ind w:firstLine="480" w:firstLineChars="200"/>
              <w:jc w:val="left"/>
              <w:rPr>
                <w:rFonts w:hint="eastAsia" w:ascii="宋体" w:hAnsi="宋体" w:eastAsia="仿宋" w:cs="宋体"/>
                <w:color w:val="auto"/>
                <w:kern w:val="2"/>
                <w:sz w:val="24"/>
                <w:szCs w:val="28"/>
                <w:highlight w:val="none"/>
                <w:lang w:val="en-US" w:eastAsia="zh-CN" w:bidi="ar-SA"/>
              </w:rPr>
            </w:pPr>
            <w:r>
              <w:rPr>
                <w:rFonts w:hint="eastAsia" w:ascii="宋体" w:hAnsi="宋体" w:eastAsia="仿宋" w:cs="宋体"/>
                <w:color w:val="auto"/>
                <w:kern w:val="2"/>
                <w:sz w:val="24"/>
                <w:szCs w:val="28"/>
                <w:highlight w:val="none"/>
                <w:lang w:val="en-US" w:eastAsia="zh-CN" w:bidi="ar-SA"/>
              </w:rPr>
              <w:t>④售后服务承诺（包括但不限于质保期内服务计划安排、售后服务保障制度、售后服务资料收集、违约惩罚措施等）。</w:t>
            </w:r>
          </w:p>
          <w:p w14:paraId="24EADB90">
            <w:pPr>
              <w:pStyle w:val="14"/>
              <w:spacing w:line="360" w:lineRule="auto"/>
              <w:ind w:left="0" w:leftChars="0" w:right="90" w:rightChars="32" w:firstLine="482" w:firstLineChars="200"/>
              <w:rPr>
                <w:rFonts w:hint="eastAsia"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lang w:eastAsia="zh-CN"/>
              </w:rPr>
              <w:t>评分标准：</w:t>
            </w:r>
          </w:p>
          <w:p w14:paraId="45723C94">
            <w:pPr>
              <w:pStyle w:val="14"/>
              <w:spacing w:line="360" w:lineRule="auto"/>
              <w:ind w:left="0" w:leftChars="0" w:right="90" w:rightChars="32" w:firstLine="480" w:firstLineChars="2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lang w:eastAsia="zh-CN"/>
              </w:rPr>
              <w:t>方案同时满足以下条件</w:t>
            </w:r>
            <w:r>
              <w:rPr>
                <w:rFonts w:hint="eastAsia" w:ascii="仿宋" w:hAnsi="仿宋" w:eastAsia="仿宋" w:cs="仿宋"/>
                <w:color w:val="auto"/>
                <w:sz w:val="24"/>
                <w:szCs w:val="24"/>
                <w:highlight w:val="none"/>
                <w:lang w:val="en-US" w:eastAsia="zh-CN"/>
              </w:rPr>
              <w:t>的得</w:t>
            </w:r>
            <w:r>
              <w:rPr>
                <w:rFonts w:hint="eastAsia" w:cs="仿宋"/>
                <w:color w:val="auto"/>
                <w:sz w:val="24"/>
                <w:szCs w:val="24"/>
                <w:highlight w:val="none"/>
                <w:lang w:val="en-US" w:eastAsia="zh-CN"/>
              </w:rPr>
              <w:t>8</w:t>
            </w:r>
            <w:r>
              <w:rPr>
                <w:rFonts w:hint="eastAsia" w:ascii="仿宋" w:hAnsi="仿宋" w:eastAsia="仿宋" w:cs="仿宋"/>
                <w:color w:val="auto"/>
                <w:sz w:val="24"/>
                <w:szCs w:val="24"/>
                <w:highlight w:val="none"/>
                <w:lang w:eastAsia="zh-CN"/>
              </w:rPr>
              <w:t>分：</w:t>
            </w:r>
          </w:p>
          <w:p w14:paraId="2F3EB25B">
            <w:pPr>
              <w:pStyle w:val="14"/>
              <w:spacing w:line="360" w:lineRule="auto"/>
              <w:ind w:left="0" w:leftChars="0" w:right="90" w:rightChars="32" w:firstLine="480" w:firstLineChars="2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lang w:eastAsia="zh-CN"/>
              </w:rPr>
              <w:t>）上述内容完整覆盖，无缺项；</w:t>
            </w:r>
          </w:p>
          <w:p w14:paraId="7AEF06C1">
            <w:pPr>
              <w:pStyle w:val="14"/>
              <w:spacing w:line="360" w:lineRule="auto"/>
              <w:ind w:left="0" w:leftChars="0" w:right="90" w:rightChars="32" w:firstLine="480" w:firstLineChars="2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lang w:eastAsia="zh-CN"/>
              </w:rPr>
              <w:t>）每项内容均具体明确、程序清晰、切合本项目实际；</w:t>
            </w:r>
          </w:p>
          <w:p w14:paraId="45A21C17">
            <w:pPr>
              <w:pStyle w:val="14"/>
              <w:spacing w:line="360" w:lineRule="auto"/>
              <w:ind w:left="0" w:leftChars="0" w:right="90" w:rightChars="32" w:firstLine="480" w:firstLineChars="2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lang w:eastAsia="zh-CN"/>
              </w:rPr>
              <w:t>）无本评审标准所定义的“不足”情形。</w:t>
            </w:r>
          </w:p>
          <w:p w14:paraId="301AAF67">
            <w:pPr>
              <w:pStyle w:val="14"/>
              <w:spacing w:line="360" w:lineRule="auto"/>
              <w:ind w:left="0" w:leftChars="0" w:right="90" w:rightChars="32" w:firstLine="480" w:firstLineChars="2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lang w:eastAsia="zh-CN"/>
              </w:rPr>
              <w:t>缺项扣分：每</w:t>
            </w:r>
            <w:r>
              <w:rPr>
                <w:rFonts w:hint="eastAsia" w:ascii="仿宋" w:hAnsi="仿宋" w:eastAsia="仿宋" w:cs="仿宋"/>
                <w:color w:val="auto"/>
                <w:sz w:val="24"/>
                <w:szCs w:val="24"/>
                <w:highlight w:val="none"/>
                <w:lang w:val="en-US" w:eastAsia="zh-CN"/>
              </w:rPr>
              <w:t>完全</w:t>
            </w:r>
            <w:r>
              <w:rPr>
                <w:rFonts w:hint="eastAsia" w:ascii="仿宋" w:hAnsi="仿宋" w:eastAsia="仿宋" w:cs="仿宋"/>
                <w:color w:val="auto"/>
                <w:sz w:val="24"/>
                <w:szCs w:val="24"/>
                <w:highlight w:val="none"/>
                <w:lang w:eastAsia="zh-CN"/>
              </w:rPr>
              <w:t>缺少1项内容的，扣</w:t>
            </w:r>
            <w:r>
              <w:rPr>
                <w:rFonts w:hint="eastAsia" w:cs="仿宋"/>
                <w:color w:val="auto"/>
                <w:sz w:val="24"/>
                <w:szCs w:val="24"/>
                <w:highlight w:val="none"/>
                <w:lang w:val="en-US" w:eastAsia="zh-CN"/>
              </w:rPr>
              <w:t>2</w:t>
            </w:r>
            <w:r>
              <w:rPr>
                <w:rFonts w:hint="eastAsia" w:ascii="仿宋" w:hAnsi="仿宋" w:eastAsia="仿宋" w:cs="仿宋"/>
                <w:color w:val="auto"/>
                <w:sz w:val="24"/>
                <w:szCs w:val="24"/>
                <w:highlight w:val="none"/>
                <w:lang w:eastAsia="zh-CN"/>
              </w:rPr>
              <w:t>分。</w:t>
            </w:r>
          </w:p>
          <w:p w14:paraId="2FCE1978">
            <w:pPr>
              <w:pStyle w:val="14"/>
              <w:spacing w:line="360" w:lineRule="auto"/>
              <w:ind w:left="0" w:leftChars="0" w:right="90" w:rightChars="32" w:firstLine="480" w:firstLineChars="2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lang w:eastAsia="zh-CN"/>
              </w:rPr>
              <w:t>“不足”扣分：某项内容存在“不足”情形的，每处扣</w:t>
            </w:r>
            <w:r>
              <w:rPr>
                <w:rFonts w:hint="eastAsia" w:cs="仿宋"/>
                <w:color w:val="auto"/>
                <w:sz w:val="24"/>
                <w:szCs w:val="24"/>
                <w:highlight w:val="none"/>
                <w:lang w:val="en-US" w:eastAsia="zh-CN"/>
              </w:rPr>
              <w:t>0.5</w:t>
            </w:r>
            <w:r>
              <w:rPr>
                <w:rFonts w:hint="eastAsia" w:ascii="仿宋" w:hAnsi="仿宋" w:eastAsia="仿宋" w:cs="仿宋"/>
                <w:color w:val="auto"/>
                <w:sz w:val="24"/>
                <w:szCs w:val="24"/>
                <w:highlight w:val="none"/>
                <w:lang w:eastAsia="zh-CN"/>
              </w:rPr>
              <w:t>分，单项扣分不设上限（直至该项内容分数扣完）。</w:t>
            </w:r>
          </w:p>
          <w:p w14:paraId="20944822">
            <w:pPr>
              <w:pStyle w:val="14"/>
              <w:spacing w:line="360" w:lineRule="auto"/>
              <w:ind w:left="0" w:leftChars="0" w:right="90" w:rightChars="32" w:firstLine="480" w:firstLineChars="2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lang w:eastAsia="zh-CN"/>
              </w:rPr>
              <w:t>扣分</w:t>
            </w:r>
            <w:r>
              <w:rPr>
                <w:rFonts w:hint="eastAsia" w:ascii="仿宋" w:hAnsi="仿宋" w:eastAsia="仿宋" w:cs="仿宋"/>
                <w:color w:val="auto"/>
                <w:sz w:val="24"/>
                <w:szCs w:val="24"/>
                <w:highlight w:val="none"/>
                <w:lang w:val="en-US" w:eastAsia="zh-CN"/>
              </w:rPr>
              <w:t>下</w:t>
            </w:r>
            <w:r>
              <w:rPr>
                <w:rFonts w:hint="eastAsia" w:ascii="仿宋" w:hAnsi="仿宋" w:eastAsia="仿宋" w:cs="仿宋"/>
                <w:color w:val="auto"/>
                <w:sz w:val="24"/>
                <w:szCs w:val="24"/>
                <w:highlight w:val="none"/>
                <w:lang w:eastAsia="zh-CN"/>
              </w:rPr>
              <w:t>限：本项得分最低为0分。</w:t>
            </w:r>
          </w:p>
          <w:p w14:paraId="1207B437">
            <w:pPr>
              <w:spacing w:line="360" w:lineRule="auto"/>
              <w:ind w:firstLine="422" w:firstLineChars="200"/>
              <w:jc w:val="left"/>
              <w:rPr>
                <w:rFonts w:hint="eastAsia" w:ascii="宋体" w:hAnsi="宋体" w:eastAsia="仿宋" w:cs="宋体"/>
                <w:color w:val="auto"/>
                <w:kern w:val="2"/>
                <w:sz w:val="24"/>
                <w:szCs w:val="28"/>
                <w:highlight w:val="none"/>
                <w:lang w:val="en-US" w:eastAsia="zh-CN" w:bidi="ar-SA"/>
              </w:rPr>
            </w:pPr>
            <w:r>
              <w:rPr>
                <w:rFonts w:hint="eastAsia" w:ascii="仿宋" w:hAnsi="仿宋" w:eastAsia="仿宋" w:cs="仿宋"/>
                <w:b/>
                <w:bCs/>
                <w:color w:val="auto"/>
                <w:sz w:val="21"/>
                <w:szCs w:val="21"/>
                <w:highlight w:val="none"/>
                <w:lang w:eastAsia="zh-CN"/>
              </w:rPr>
              <w:t>注：“不足”认定细则①内容简略/缺失关键点</w:t>
            </w:r>
            <w:r>
              <w:rPr>
                <w:rFonts w:hint="eastAsia" w:cs="仿宋"/>
                <w:b/>
                <w:bCs/>
                <w:color w:val="auto"/>
                <w:sz w:val="21"/>
                <w:szCs w:val="21"/>
                <w:highlight w:val="none"/>
                <w:lang w:eastAsia="zh-CN"/>
              </w:rPr>
              <w:t>。</w:t>
            </w:r>
            <w:r>
              <w:rPr>
                <w:rFonts w:hint="eastAsia" w:ascii="仿宋" w:hAnsi="仿宋" w:eastAsia="仿宋" w:cs="仿宋"/>
                <w:b/>
                <w:bCs/>
                <w:color w:val="auto"/>
                <w:sz w:val="21"/>
                <w:szCs w:val="21"/>
                <w:highlight w:val="none"/>
                <w:lang w:eastAsia="zh-CN"/>
              </w:rPr>
              <w:t>②套用模板/针对性差。③前后表述矛盾。④逻辑/原理错误。⑤不利于目标实现。</w:t>
            </w:r>
          </w:p>
        </w:tc>
      </w:tr>
      <w:tr w14:paraId="44AFB9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822" w:type="pct"/>
            <w:vMerge w:val="continue"/>
            <w:vAlign w:val="center"/>
          </w:tcPr>
          <w:p w14:paraId="29A2D5DD">
            <w:pPr>
              <w:pStyle w:val="20"/>
              <w:spacing w:line="360" w:lineRule="auto"/>
              <w:rPr>
                <w:rFonts w:hint="eastAsia" w:ascii="仿宋" w:hAnsi="仿宋" w:eastAsia="仿宋" w:cs="仿宋"/>
                <w:b/>
                <w:bCs/>
                <w:color w:val="auto"/>
                <w:sz w:val="24"/>
                <w:szCs w:val="24"/>
                <w:highlight w:val="none"/>
              </w:rPr>
            </w:pPr>
          </w:p>
        </w:tc>
        <w:tc>
          <w:tcPr>
            <w:tcW w:w="4177" w:type="pct"/>
            <w:shd w:val="clear" w:color="auto" w:fill="auto"/>
            <w:vAlign w:val="top"/>
          </w:tcPr>
          <w:p w14:paraId="24ECE39A">
            <w:pPr>
              <w:pStyle w:val="14"/>
              <w:spacing w:line="360" w:lineRule="auto"/>
              <w:ind w:left="0" w:leftChars="0" w:right="90" w:rightChars="32" w:firstLine="0" w:firstLineChars="0"/>
              <w:rPr>
                <w:rFonts w:hint="eastAsia" w:ascii="仿宋" w:hAnsi="仿宋" w:eastAsia="仿宋" w:cs="仿宋"/>
                <w:b/>
                <w:bCs/>
                <w:color w:val="auto"/>
                <w:sz w:val="24"/>
                <w:szCs w:val="24"/>
                <w:highlight w:val="none"/>
                <w:lang w:val="en-US" w:eastAsia="zh-CN"/>
              </w:rPr>
            </w:pPr>
            <w:r>
              <w:rPr>
                <w:rFonts w:hint="eastAsia" w:cs="仿宋"/>
                <w:b/>
                <w:bCs/>
                <w:color w:val="auto"/>
                <w:sz w:val="24"/>
                <w:szCs w:val="24"/>
                <w:highlight w:val="none"/>
                <w:lang w:val="en-US" w:eastAsia="zh-CN"/>
              </w:rPr>
              <w:t>二</w:t>
            </w:r>
            <w:r>
              <w:rPr>
                <w:rFonts w:hint="eastAsia" w:ascii="仿宋" w:hAnsi="仿宋" w:eastAsia="仿宋" w:cs="仿宋"/>
                <w:b/>
                <w:bCs/>
                <w:color w:val="auto"/>
                <w:sz w:val="24"/>
                <w:szCs w:val="24"/>
                <w:highlight w:val="none"/>
                <w:lang w:val="en-US" w:eastAsia="zh-CN"/>
              </w:rPr>
              <w:t>、类似业绩（满分2分）</w:t>
            </w:r>
          </w:p>
          <w:p w14:paraId="54BB7B23">
            <w:pPr>
              <w:pStyle w:val="14"/>
              <w:spacing w:line="360" w:lineRule="auto"/>
              <w:ind w:left="0" w:leftChars="0" w:right="90" w:rightChars="32" w:firstLine="482" w:firstLineChars="200"/>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评审内容：</w:t>
            </w:r>
            <w:r>
              <w:rPr>
                <w:rFonts w:hint="eastAsia" w:ascii="仿宋" w:hAnsi="仿宋" w:eastAsia="仿宋" w:cs="仿宋"/>
                <w:b w:val="0"/>
                <w:bCs w:val="0"/>
                <w:color w:val="auto"/>
                <w:sz w:val="24"/>
                <w:szCs w:val="24"/>
                <w:highlight w:val="none"/>
                <w:lang w:val="en-US" w:eastAsia="zh-CN"/>
              </w:rPr>
              <w:t>投标人提供的自2023年1月1日（合同签订时间）至本项目投标文件提交截止时间前的类似项目业绩。</w:t>
            </w:r>
          </w:p>
          <w:p w14:paraId="4E30C66D">
            <w:pPr>
              <w:pStyle w:val="14"/>
              <w:spacing w:line="360" w:lineRule="auto"/>
              <w:ind w:left="0" w:leftChars="0" w:right="90" w:rightChars="32" w:firstLine="482" w:firstLineChars="200"/>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评分标准：</w:t>
            </w:r>
            <w:r>
              <w:rPr>
                <w:rFonts w:hint="eastAsia" w:ascii="仿宋" w:hAnsi="仿宋" w:eastAsia="仿宋" w:cs="仿宋"/>
                <w:b w:val="0"/>
                <w:bCs w:val="0"/>
                <w:color w:val="auto"/>
                <w:sz w:val="24"/>
                <w:szCs w:val="24"/>
                <w:highlight w:val="none"/>
                <w:lang w:val="en-US" w:eastAsia="zh-CN"/>
              </w:rPr>
              <w:t>每提供1项符合要求的类似项目业绩证明材料的，得2分，本项最多得2分；未提供证明材料或证明材料不明确、无法体现业绩内容、不符合时限要求的，得0分。</w:t>
            </w:r>
          </w:p>
          <w:p w14:paraId="564C46DF">
            <w:pPr>
              <w:pStyle w:val="14"/>
              <w:spacing w:line="360" w:lineRule="auto"/>
              <w:ind w:left="0" w:leftChars="0" w:right="90" w:rightChars="32" w:firstLine="422" w:firstLineChars="200"/>
              <w:rPr>
                <w:rFonts w:hint="eastAsia"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t>证明材料要求：（1）须提供合同；（2）合同内容须包含合同首页、供货清单页、金额所在页及合同签字盖章页；（3）业绩时限以合同签订时间为准。</w:t>
            </w:r>
          </w:p>
        </w:tc>
      </w:tr>
    </w:tbl>
    <w:p w14:paraId="74F674FE">
      <w:pPr>
        <w:rPr>
          <w:rFonts w:hint="eastAsia" w:ascii="仿宋" w:hAnsi="仿宋" w:eastAsia="仿宋" w:cs="仿宋"/>
          <w:color w:val="auto"/>
          <w:highlight w:val="none"/>
          <w:lang w:val="zh-CN"/>
        </w:rPr>
      </w:pPr>
      <w:r>
        <w:rPr>
          <w:rFonts w:hint="eastAsia" w:ascii="仿宋" w:hAnsi="仿宋" w:eastAsia="仿宋" w:cs="仿宋"/>
          <w:color w:val="auto"/>
          <w:highlight w:val="none"/>
          <w:lang w:val="zh-CN"/>
        </w:rPr>
        <w:br w:type="page"/>
      </w:r>
    </w:p>
    <w:p w14:paraId="01D42F7A">
      <w:pPr>
        <w:pStyle w:val="2"/>
        <w:wordWrap/>
        <w:adjustRightInd/>
        <w:snapToGrid/>
        <w:spacing w:before="120" w:after="120" w:line="360" w:lineRule="auto"/>
        <w:rPr>
          <w:rFonts w:hint="eastAsia" w:ascii="仿宋" w:hAnsi="仿宋" w:eastAsia="仿宋" w:cs="仿宋"/>
          <w:color w:val="auto"/>
          <w:highlight w:val="none"/>
        </w:rPr>
      </w:pPr>
      <w:bookmarkStart w:id="422" w:name="_Toc24358"/>
      <w:bookmarkStart w:id="423" w:name="_Toc2121"/>
      <w:r>
        <w:rPr>
          <w:rFonts w:hint="eastAsia" w:ascii="仿宋" w:hAnsi="仿宋" w:eastAsia="仿宋" w:cs="仿宋"/>
          <w:color w:val="auto"/>
          <w:highlight w:val="none"/>
        </w:rPr>
        <w:t>第六章 合同书主要条款及样式</w:t>
      </w:r>
      <w:bookmarkEnd w:id="422"/>
      <w:bookmarkEnd w:id="423"/>
    </w:p>
    <w:p w14:paraId="6739CF56">
      <w:pPr>
        <w:pStyle w:val="3"/>
        <w:spacing w:before="93" w:after="93"/>
        <w:ind w:firstLine="0" w:firstLineChars="0"/>
        <w:jc w:val="center"/>
        <w:rPr>
          <w:rFonts w:hint="eastAsia" w:ascii="仿宋" w:hAnsi="仿宋" w:eastAsia="仿宋" w:cs="仿宋"/>
          <w:color w:val="auto"/>
          <w:highlight w:val="none"/>
        </w:rPr>
      </w:pPr>
      <w:bookmarkStart w:id="424" w:name="_Toc7037"/>
      <w:bookmarkStart w:id="425" w:name="_Toc22116"/>
      <w:bookmarkStart w:id="426" w:name="_Toc26098"/>
      <w:bookmarkStart w:id="427" w:name="_Toc29700"/>
      <w:bookmarkStart w:id="428" w:name="_Toc19636"/>
      <w:bookmarkStart w:id="429" w:name="_Toc27406"/>
      <w:r>
        <w:rPr>
          <w:rFonts w:hint="eastAsia" w:ascii="仿宋" w:hAnsi="仿宋" w:eastAsia="仿宋" w:cs="仿宋"/>
          <w:color w:val="auto"/>
          <w:highlight w:val="none"/>
        </w:rPr>
        <w:t>合同书主要条款</w:t>
      </w:r>
      <w:bookmarkEnd w:id="424"/>
      <w:bookmarkEnd w:id="425"/>
      <w:bookmarkEnd w:id="426"/>
      <w:bookmarkEnd w:id="427"/>
      <w:bookmarkEnd w:id="428"/>
    </w:p>
    <w:tbl>
      <w:tblPr>
        <w:tblStyle w:val="36"/>
        <w:tblW w:w="498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8"/>
        <w:gridCol w:w="8973"/>
      </w:tblGrid>
      <w:tr w14:paraId="5A479A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blHeader/>
        </w:trPr>
        <w:tc>
          <w:tcPr>
            <w:tcW w:w="375" w:type="pct"/>
            <w:shd w:val="clear" w:color="auto" w:fill="9CC2E5" w:themeFill="accent5" w:themeFillTint="99"/>
            <w:vAlign w:val="center"/>
          </w:tcPr>
          <w:p w14:paraId="6E1A7E0A">
            <w:pPr>
              <w:pStyle w:val="20"/>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序号</w:t>
            </w:r>
          </w:p>
        </w:tc>
        <w:tc>
          <w:tcPr>
            <w:tcW w:w="4624" w:type="pct"/>
            <w:shd w:val="clear" w:color="auto" w:fill="9CC2E5" w:themeFill="accent5" w:themeFillTint="99"/>
            <w:vAlign w:val="center"/>
          </w:tcPr>
          <w:p w14:paraId="0B22AF29">
            <w:pPr>
              <w:pStyle w:val="20"/>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内容</w:t>
            </w:r>
          </w:p>
        </w:tc>
      </w:tr>
      <w:tr w14:paraId="2F5549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4" w:hRule="atLeast"/>
        </w:trPr>
        <w:tc>
          <w:tcPr>
            <w:tcW w:w="375" w:type="pct"/>
            <w:vAlign w:val="center"/>
          </w:tcPr>
          <w:p w14:paraId="3982AFB2">
            <w:pPr>
              <w:pStyle w:val="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p>
        </w:tc>
        <w:tc>
          <w:tcPr>
            <w:tcW w:w="4624" w:type="pct"/>
            <w:vAlign w:val="center"/>
          </w:tcPr>
          <w:p w14:paraId="380A90BC">
            <w:pPr>
              <w:pStyle w:val="20"/>
              <w:jc w:val="lef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合同履行期限：</w:t>
            </w:r>
          </w:p>
          <w:p w14:paraId="285D3E87">
            <w:pPr>
              <w:pStyle w:val="20"/>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合同生签订生效后30个日历天内完成交货安装、调试及验收</w:t>
            </w:r>
            <w:r>
              <w:rPr>
                <w:rFonts w:hint="eastAsia" w:ascii="仿宋" w:hAnsi="仿宋" w:eastAsia="仿宋" w:cs="仿宋"/>
                <w:color w:val="auto"/>
                <w:sz w:val="24"/>
                <w:szCs w:val="24"/>
                <w:highlight w:val="none"/>
                <w:lang w:eastAsia="zh-CN"/>
              </w:rPr>
              <w:t>。</w:t>
            </w:r>
          </w:p>
        </w:tc>
      </w:tr>
      <w:tr w14:paraId="3482FB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4" w:hRule="atLeast"/>
        </w:trPr>
        <w:tc>
          <w:tcPr>
            <w:tcW w:w="375" w:type="pct"/>
            <w:vAlign w:val="center"/>
          </w:tcPr>
          <w:p w14:paraId="1C653554">
            <w:pPr>
              <w:pStyle w:val="20"/>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2</w:t>
            </w:r>
          </w:p>
        </w:tc>
        <w:tc>
          <w:tcPr>
            <w:tcW w:w="4624" w:type="pct"/>
            <w:vAlign w:val="center"/>
          </w:tcPr>
          <w:p w14:paraId="6A4E3FA0">
            <w:pPr>
              <w:pStyle w:val="20"/>
              <w:jc w:val="left"/>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交货地点：</w:t>
            </w:r>
          </w:p>
          <w:p w14:paraId="39E598AD">
            <w:pPr>
              <w:pStyle w:val="20"/>
              <w:ind w:firstLine="480" w:firstLineChars="200"/>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云南轻纺职业学院（昆明安宁市宁泊路54号）</w:t>
            </w:r>
          </w:p>
        </w:tc>
      </w:tr>
      <w:tr w14:paraId="066B43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60" w:hRule="atLeast"/>
        </w:trPr>
        <w:tc>
          <w:tcPr>
            <w:tcW w:w="375" w:type="pct"/>
            <w:vAlign w:val="center"/>
          </w:tcPr>
          <w:p w14:paraId="6EFCCD71">
            <w:pPr>
              <w:pStyle w:val="20"/>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3</w:t>
            </w:r>
          </w:p>
        </w:tc>
        <w:tc>
          <w:tcPr>
            <w:tcW w:w="4624" w:type="pct"/>
            <w:vAlign w:val="center"/>
          </w:tcPr>
          <w:p w14:paraId="17B86E93">
            <w:pPr>
              <w:pStyle w:val="20"/>
              <w:jc w:val="left"/>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质量要求：</w:t>
            </w:r>
          </w:p>
          <w:p w14:paraId="643249DD">
            <w:pPr>
              <w:pStyle w:val="20"/>
              <w:ind w:firstLine="480" w:firstLineChars="200"/>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满足国家相关标准、行业标准、地方标准或者其他标准、规范。参照：GB/T 36447-2018《多媒体教学环境设计要求》DB3402/T58—2023《高等学校智慧教室建设规范》。</w:t>
            </w:r>
          </w:p>
        </w:tc>
      </w:tr>
    </w:tbl>
    <w:p w14:paraId="4AA53315">
      <w:pPr>
        <w:rPr>
          <w:rFonts w:hint="eastAsia" w:ascii="仿宋" w:hAnsi="仿宋" w:eastAsia="仿宋" w:cs="仿宋"/>
          <w:color w:val="auto"/>
          <w:highlight w:val="none"/>
        </w:rPr>
      </w:pPr>
      <w:bookmarkStart w:id="430" w:name="_Toc3121"/>
      <w:bookmarkStart w:id="431" w:name="_Toc32287"/>
      <w:r>
        <w:rPr>
          <w:rFonts w:hint="eastAsia" w:ascii="仿宋" w:hAnsi="仿宋" w:eastAsia="仿宋" w:cs="仿宋"/>
          <w:color w:val="auto"/>
          <w:highlight w:val="none"/>
        </w:rPr>
        <w:br w:type="page"/>
      </w:r>
    </w:p>
    <w:p w14:paraId="1488D52A">
      <w:pPr>
        <w:pStyle w:val="3"/>
        <w:spacing w:before="93" w:after="93"/>
        <w:ind w:firstLine="0" w:firstLineChars="0"/>
        <w:jc w:val="center"/>
        <w:rPr>
          <w:rFonts w:hint="eastAsia" w:ascii="仿宋" w:hAnsi="仿宋" w:eastAsia="仿宋" w:cs="仿宋"/>
          <w:color w:val="auto"/>
          <w:highlight w:val="none"/>
        </w:rPr>
      </w:pPr>
      <w:r>
        <w:rPr>
          <w:rFonts w:hint="eastAsia" w:ascii="仿宋" w:hAnsi="仿宋" w:eastAsia="仿宋" w:cs="仿宋"/>
          <w:color w:val="auto"/>
          <w:highlight w:val="none"/>
        </w:rPr>
        <w:t>合同书样式</w:t>
      </w:r>
      <w:bookmarkEnd w:id="429"/>
      <w:bookmarkEnd w:id="430"/>
      <w:bookmarkEnd w:id="431"/>
    </w:p>
    <w:p w14:paraId="537A49D0">
      <w:pPr>
        <w:spacing w:line="240" w:lineRule="auto"/>
        <w:ind w:firstLine="0" w:firstLineChars="0"/>
        <w:jc w:val="center"/>
        <w:rPr>
          <w:rFonts w:hint="eastAsia" w:ascii="仿宋" w:hAnsi="仿宋" w:eastAsia="仿宋" w:cs="仿宋"/>
          <w:b/>
          <w:color w:val="auto"/>
          <w:sz w:val="20"/>
          <w:szCs w:val="20"/>
          <w:highlight w:val="none"/>
        </w:rPr>
      </w:pPr>
      <w:r>
        <w:rPr>
          <w:rFonts w:hint="eastAsia" w:ascii="仿宋" w:hAnsi="仿宋" w:eastAsia="仿宋" w:cs="仿宋"/>
          <w:b/>
          <w:color w:val="auto"/>
          <w:sz w:val="20"/>
          <w:szCs w:val="20"/>
          <w:highlight w:val="none"/>
        </w:rPr>
        <w:t>（注：按照《关于印发《政府采购货物买卖合同（试行）》的通知》（财办库〔2024〕84号），财政部制定了《政府采购货物买卖合同（试行）》，供采购人参考使用，具体合同内容以采购人提供为准）</w:t>
      </w:r>
    </w:p>
    <w:p w14:paraId="156E80BD">
      <w:pPr>
        <w:pStyle w:val="5"/>
        <w:bidi w:val="0"/>
        <w:ind w:left="0" w:leftChars="0" w:firstLine="0" w:firstLineChars="0"/>
        <w:jc w:val="center"/>
        <w:rPr>
          <w:rFonts w:hint="eastAsia" w:ascii="仿宋" w:hAnsi="仿宋" w:eastAsia="仿宋" w:cs="仿宋"/>
          <w:color w:val="auto"/>
          <w:highlight w:val="none"/>
        </w:rPr>
      </w:pPr>
      <w:bookmarkStart w:id="432" w:name="_Toc14422"/>
      <w:bookmarkStart w:id="433" w:name="_Toc23855"/>
      <w:bookmarkStart w:id="434" w:name="_Toc2039"/>
      <w:bookmarkStart w:id="435" w:name="_Toc7295"/>
      <w:bookmarkStart w:id="436" w:name="_Toc18638"/>
      <w:r>
        <w:rPr>
          <w:rFonts w:hint="eastAsia" w:ascii="仿宋" w:hAnsi="仿宋" w:eastAsia="仿宋" w:cs="仿宋"/>
          <w:color w:val="auto"/>
          <w:highlight w:val="none"/>
        </w:rPr>
        <w:t>第一节 政府采购合同协议书</w:t>
      </w:r>
      <w:bookmarkEnd w:id="432"/>
      <w:bookmarkEnd w:id="433"/>
      <w:bookmarkEnd w:id="434"/>
      <w:bookmarkEnd w:id="435"/>
      <w:bookmarkEnd w:id="436"/>
    </w:p>
    <w:p w14:paraId="7A2AE6D9">
      <w:pPr>
        <w:bidi w:val="0"/>
        <w:rPr>
          <w:rFonts w:hint="eastAsia" w:ascii="仿宋" w:hAnsi="仿宋" w:eastAsia="仿宋" w:cs="仿宋"/>
          <w:color w:val="auto"/>
          <w:highlight w:val="none"/>
        </w:rPr>
      </w:pPr>
      <w:r>
        <w:rPr>
          <w:rFonts w:hint="eastAsia" w:ascii="仿宋" w:hAnsi="仿宋" w:eastAsia="仿宋" w:cs="仿宋"/>
          <w:color w:val="auto"/>
          <w:highlight w:val="none"/>
        </w:rPr>
        <w:t>甲方（全称）：</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（采购人）</w:t>
      </w:r>
    </w:p>
    <w:p w14:paraId="6A963743">
      <w:pPr>
        <w:bidi w:val="0"/>
        <w:rPr>
          <w:rFonts w:hint="eastAsia" w:ascii="仿宋" w:hAnsi="仿宋" w:eastAsia="仿宋" w:cs="仿宋"/>
          <w:color w:val="auto"/>
          <w:highlight w:val="none"/>
        </w:rPr>
      </w:pPr>
      <w:r>
        <w:rPr>
          <w:rFonts w:hint="eastAsia" w:ascii="仿宋" w:hAnsi="仿宋" w:eastAsia="仿宋" w:cs="仿宋"/>
          <w:color w:val="auto"/>
          <w:highlight w:val="none"/>
        </w:rPr>
        <w:t>乙方（全称）：</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（投标人）</w:t>
      </w:r>
    </w:p>
    <w:p w14:paraId="1FD2E34D">
      <w:pPr>
        <w:bidi w:val="0"/>
        <w:rPr>
          <w:rFonts w:hint="eastAsia" w:ascii="仿宋" w:hAnsi="仿宋" w:eastAsia="仿宋" w:cs="仿宋"/>
          <w:color w:val="auto"/>
          <w:highlight w:val="none"/>
        </w:rPr>
      </w:pPr>
      <w:r>
        <w:rPr>
          <w:rFonts w:hint="eastAsia" w:ascii="仿宋" w:hAnsi="仿宋" w:eastAsia="仿宋" w:cs="仿宋"/>
          <w:color w:val="auto"/>
          <w:highlight w:val="none"/>
        </w:rPr>
        <w:t>依据《中华人民共和国民法典》、《中华人民共和国政府采购法》等有关的法律法规，以及本采购项目的招标/谈判文件等招标文件、乙方的《投标（响应）文件》及《中标（成交）通知书》，甲乙双方同意签订本合同。具体情况及要求如下：</w:t>
      </w:r>
    </w:p>
    <w:p w14:paraId="7866D244">
      <w:pPr>
        <w:bidi w:val="0"/>
        <w:rPr>
          <w:rFonts w:hint="eastAsia" w:ascii="仿宋" w:hAnsi="仿宋" w:eastAsia="仿宋" w:cs="仿宋"/>
          <w:color w:val="auto"/>
          <w:highlight w:val="none"/>
        </w:rPr>
      </w:pPr>
      <w:bookmarkStart w:id="437" w:name="_Toc26730"/>
      <w:bookmarkStart w:id="438" w:name="_Toc573"/>
      <w:bookmarkStart w:id="439" w:name="_Toc31067"/>
      <w:r>
        <w:rPr>
          <w:rFonts w:hint="eastAsia" w:ascii="仿宋" w:hAnsi="仿宋" w:eastAsia="仿宋" w:cs="仿宋"/>
          <w:color w:val="auto"/>
          <w:highlight w:val="none"/>
        </w:rPr>
        <w:t>1.项目信息</w:t>
      </w:r>
      <w:bookmarkEnd w:id="437"/>
      <w:bookmarkEnd w:id="438"/>
      <w:bookmarkEnd w:id="439"/>
    </w:p>
    <w:p w14:paraId="38019F6C">
      <w:pPr>
        <w:bidi w:val="0"/>
        <w:rPr>
          <w:rFonts w:hint="eastAsia" w:ascii="仿宋" w:hAnsi="仿宋" w:eastAsia="仿宋" w:cs="仿宋"/>
          <w:color w:val="auto"/>
          <w:highlight w:val="none"/>
        </w:rPr>
      </w:pPr>
      <w:r>
        <w:rPr>
          <w:rFonts w:hint="eastAsia" w:ascii="仿宋" w:hAnsi="仿宋" w:eastAsia="仿宋" w:cs="仿宋"/>
          <w:color w:val="auto"/>
          <w:highlight w:val="none"/>
        </w:rPr>
        <w:t>（1）采购项目名称：</w:t>
      </w:r>
    </w:p>
    <w:p w14:paraId="45E3EAC0">
      <w:pPr>
        <w:bidi w:val="0"/>
        <w:rPr>
          <w:rFonts w:hint="eastAsia" w:ascii="仿宋" w:hAnsi="仿宋" w:eastAsia="仿宋" w:cs="仿宋"/>
          <w:color w:val="auto"/>
          <w:highlight w:val="none"/>
        </w:rPr>
      </w:pPr>
      <w:r>
        <w:rPr>
          <w:rFonts w:hint="eastAsia" w:ascii="仿宋" w:hAnsi="仿宋" w:eastAsia="仿宋" w:cs="仿宋"/>
          <w:color w:val="auto"/>
          <w:highlight w:val="none"/>
        </w:rPr>
        <w:t>采购项目编号：</w:t>
      </w:r>
    </w:p>
    <w:p w14:paraId="1B9D7DFB">
      <w:pPr>
        <w:bidi w:val="0"/>
        <w:rPr>
          <w:rFonts w:hint="eastAsia" w:ascii="仿宋" w:hAnsi="仿宋" w:eastAsia="仿宋" w:cs="仿宋"/>
          <w:color w:val="auto"/>
          <w:highlight w:val="none"/>
        </w:rPr>
      </w:pPr>
      <w:r>
        <w:rPr>
          <w:rFonts w:hint="eastAsia" w:ascii="仿宋" w:hAnsi="仿宋" w:eastAsia="仿宋" w:cs="仿宋"/>
          <w:color w:val="auto"/>
          <w:highlight w:val="none"/>
        </w:rPr>
        <w:t>（2）采购计划编号：</w:t>
      </w:r>
    </w:p>
    <w:p w14:paraId="03F6C2A8">
      <w:pPr>
        <w:bidi w:val="0"/>
        <w:rPr>
          <w:rFonts w:hint="eastAsia" w:ascii="仿宋" w:hAnsi="仿宋" w:eastAsia="仿宋" w:cs="仿宋"/>
          <w:color w:val="auto"/>
          <w:highlight w:val="none"/>
        </w:rPr>
      </w:pPr>
      <w:r>
        <w:rPr>
          <w:rFonts w:hint="eastAsia" w:ascii="仿宋" w:hAnsi="仿宋" w:eastAsia="仿宋" w:cs="仿宋"/>
          <w:color w:val="auto"/>
          <w:highlight w:val="none"/>
        </w:rPr>
        <w:t>（3）项目内容：</w:t>
      </w:r>
    </w:p>
    <w:p w14:paraId="2C964A8C">
      <w:pPr>
        <w:bidi w:val="0"/>
        <w:rPr>
          <w:rFonts w:hint="eastAsia" w:ascii="仿宋" w:hAnsi="仿宋" w:eastAsia="仿宋" w:cs="仿宋"/>
          <w:color w:val="auto"/>
          <w:highlight w:val="none"/>
        </w:rPr>
      </w:pPr>
      <w:r>
        <w:rPr>
          <w:rFonts w:hint="eastAsia" w:ascii="仿宋" w:hAnsi="仿宋" w:eastAsia="仿宋" w:cs="仿宋"/>
          <w:color w:val="auto"/>
          <w:highlight w:val="none"/>
        </w:rPr>
        <w:t>采购标的及数量（台/套</w:t>
      </w:r>
      <w:r>
        <w:rPr>
          <w:rFonts w:hint="eastAsia" w:ascii="仿宋" w:hAnsi="仿宋" w:eastAsia="仿宋" w:cs="仿宋"/>
          <w:color w:val="auto"/>
          <w:highlight w:val="none"/>
          <w:lang w:val="en"/>
        </w:rPr>
        <w:t>/个/架/组等</w:t>
      </w:r>
      <w:r>
        <w:rPr>
          <w:rFonts w:hint="eastAsia" w:ascii="仿宋" w:hAnsi="仿宋" w:eastAsia="仿宋" w:cs="仿宋"/>
          <w:color w:val="auto"/>
          <w:highlight w:val="none"/>
        </w:rPr>
        <w:t>）：</w:t>
      </w:r>
    </w:p>
    <w:p w14:paraId="0E0A3AB1">
      <w:pPr>
        <w:bidi w:val="0"/>
        <w:rPr>
          <w:rFonts w:hint="eastAsia" w:ascii="仿宋" w:hAnsi="仿宋" w:eastAsia="仿宋" w:cs="仿宋"/>
          <w:color w:val="auto"/>
          <w:highlight w:val="none"/>
        </w:rPr>
      </w:pPr>
      <w:r>
        <w:rPr>
          <w:rFonts w:hint="eastAsia" w:ascii="仿宋" w:hAnsi="仿宋" w:eastAsia="仿宋" w:cs="仿宋"/>
          <w:color w:val="auto"/>
          <w:highlight w:val="none"/>
        </w:rPr>
        <w:t>品牌：</w:t>
      </w:r>
    </w:p>
    <w:p w14:paraId="1CB6BA73">
      <w:pPr>
        <w:bidi w:val="0"/>
        <w:rPr>
          <w:rFonts w:hint="eastAsia" w:ascii="仿宋" w:hAnsi="仿宋" w:eastAsia="仿宋" w:cs="仿宋"/>
          <w:color w:val="auto"/>
          <w:highlight w:val="none"/>
          <w:lang w:val="en"/>
        </w:rPr>
      </w:pPr>
      <w:r>
        <w:rPr>
          <w:rFonts w:hint="eastAsia" w:ascii="仿宋" w:hAnsi="仿宋" w:eastAsia="仿宋" w:cs="仿宋"/>
          <w:color w:val="auto"/>
          <w:highlight w:val="none"/>
        </w:rPr>
        <w:t>规格型号：</w:t>
      </w:r>
    </w:p>
    <w:p w14:paraId="291B7C3C">
      <w:pPr>
        <w:bidi w:val="0"/>
        <w:rPr>
          <w:rFonts w:hint="eastAsia" w:ascii="仿宋" w:hAnsi="仿宋" w:eastAsia="仿宋" w:cs="仿宋"/>
          <w:color w:val="auto"/>
          <w:highlight w:val="none"/>
        </w:rPr>
      </w:pPr>
      <w:r>
        <w:rPr>
          <w:rFonts w:hint="eastAsia" w:ascii="仿宋" w:hAnsi="仿宋" w:eastAsia="仿宋" w:cs="仿宋"/>
          <w:color w:val="auto"/>
          <w:highlight w:val="none"/>
        </w:rPr>
        <w:t>采购标的的技术要求、商务要求具体见附件。</w:t>
      </w:r>
    </w:p>
    <w:p w14:paraId="1E79D4F4">
      <w:pPr>
        <w:bidi w:val="0"/>
        <w:rPr>
          <w:rFonts w:hint="eastAsia" w:ascii="仿宋" w:hAnsi="仿宋" w:eastAsia="仿宋" w:cs="仿宋"/>
          <w:color w:val="auto"/>
          <w:highlight w:val="none"/>
        </w:rPr>
      </w:pPr>
      <w:r>
        <w:rPr>
          <w:rFonts w:hint="eastAsia" w:ascii="仿宋" w:hAnsi="仿宋" w:eastAsia="仿宋" w:cs="仿宋"/>
          <w:color w:val="auto"/>
          <w:highlight w:val="none"/>
        </w:rPr>
        <w:t>①涉及信息类产品，请填写该产品关键部件的品牌、型号：</w:t>
      </w:r>
    </w:p>
    <w:p w14:paraId="42EB4F3C">
      <w:pPr>
        <w:bidi w:val="0"/>
        <w:rPr>
          <w:rFonts w:hint="eastAsia" w:ascii="仿宋" w:hAnsi="仿宋" w:eastAsia="仿宋" w:cs="仿宋"/>
          <w:color w:val="auto"/>
          <w:highlight w:val="none"/>
        </w:rPr>
      </w:pPr>
      <w:r>
        <w:rPr>
          <w:rFonts w:hint="eastAsia" w:ascii="仿宋" w:hAnsi="仿宋" w:eastAsia="仿宋" w:cs="仿宋"/>
          <w:color w:val="auto"/>
          <w:highlight w:val="none"/>
        </w:rPr>
        <w:t>标的名称：</w:t>
      </w:r>
    </w:p>
    <w:p w14:paraId="3E81E194">
      <w:pPr>
        <w:bidi w:val="0"/>
        <w:rPr>
          <w:rFonts w:hint="eastAsia" w:ascii="仿宋" w:hAnsi="仿宋" w:eastAsia="仿宋" w:cs="仿宋"/>
          <w:color w:val="auto"/>
          <w:highlight w:val="none"/>
        </w:rPr>
      </w:pPr>
      <w:r>
        <w:rPr>
          <w:rFonts w:hint="eastAsia" w:ascii="仿宋" w:hAnsi="仿宋" w:eastAsia="仿宋" w:cs="仿宋"/>
          <w:color w:val="auto"/>
          <w:highlight w:val="none"/>
        </w:rPr>
        <w:t>关键部件：</w:t>
      </w:r>
    </w:p>
    <w:p w14:paraId="584B8C48">
      <w:pPr>
        <w:bidi w:val="0"/>
        <w:rPr>
          <w:rFonts w:hint="eastAsia" w:ascii="仿宋" w:hAnsi="仿宋" w:eastAsia="仿宋" w:cs="仿宋"/>
          <w:color w:val="auto"/>
          <w:highlight w:val="none"/>
        </w:rPr>
      </w:pPr>
      <w:r>
        <w:rPr>
          <w:rFonts w:hint="eastAsia" w:ascii="仿宋" w:hAnsi="仿宋" w:eastAsia="仿宋" w:cs="仿宋"/>
          <w:color w:val="auto"/>
          <w:highlight w:val="none"/>
        </w:rPr>
        <w:t xml:space="preserve">品牌：          型号：           </w:t>
      </w:r>
    </w:p>
    <w:p w14:paraId="65519E0A">
      <w:pPr>
        <w:bidi w:val="0"/>
        <w:rPr>
          <w:rFonts w:hint="eastAsia" w:ascii="仿宋" w:hAnsi="仿宋" w:eastAsia="仿宋" w:cs="仿宋"/>
          <w:color w:val="auto"/>
          <w:highlight w:val="none"/>
        </w:rPr>
      </w:pPr>
      <w:r>
        <w:rPr>
          <w:rFonts w:hint="eastAsia" w:ascii="仿宋" w:hAnsi="仿宋" w:eastAsia="仿宋" w:cs="仿宋"/>
          <w:color w:val="auto"/>
          <w:highlight w:val="none"/>
        </w:rPr>
        <w:t xml:space="preserve">关键部件：        品牌：          型号：               </w:t>
      </w:r>
    </w:p>
    <w:p w14:paraId="0728D774">
      <w:pPr>
        <w:bidi w:val="0"/>
        <w:rPr>
          <w:rFonts w:hint="eastAsia" w:ascii="仿宋" w:hAnsi="仿宋" w:eastAsia="仿宋" w:cs="仿宋"/>
          <w:color w:val="auto"/>
          <w:highlight w:val="none"/>
        </w:rPr>
      </w:pPr>
      <w:r>
        <w:rPr>
          <w:rFonts w:hint="eastAsia" w:ascii="仿宋" w:hAnsi="仿宋" w:eastAsia="仿宋" w:cs="仿宋"/>
          <w:color w:val="auto"/>
          <w:highlight w:val="none"/>
        </w:rPr>
        <w:t xml:space="preserve">    关键部件：        品牌：          型号：         ：       </w:t>
      </w:r>
    </w:p>
    <w:p w14:paraId="44DE2D3F">
      <w:pPr>
        <w:bidi w:val="0"/>
        <w:rPr>
          <w:rFonts w:hint="eastAsia" w:ascii="仿宋" w:hAnsi="仿宋" w:eastAsia="仿宋" w:cs="仿宋"/>
          <w:color w:val="auto"/>
          <w:highlight w:val="none"/>
        </w:rPr>
      </w:pPr>
      <w:r>
        <w:rPr>
          <w:rFonts w:hint="eastAsia" w:ascii="仿宋" w:hAnsi="仿宋" w:eastAsia="仿宋" w:cs="仿宋"/>
          <w:color w:val="auto"/>
          <w:highlight w:val="none"/>
        </w:rPr>
        <w:t>（注：关键部件是指财政部会同有关部门发布的政府采购需求标准规定的需要通过国家有关部门指定的测评机构开展的安全可靠测评的软硬件，如CPU芯片、操作系统、数据库等。）</w:t>
      </w:r>
    </w:p>
    <w:p w14:paraId="1A7A94E4">
      <w:pPr>
        <w:bidi w:val="0"/>
        <w:rPr>
          <w:rFonts w:hint="eastAsia" w:ascii="仿宋" w:hAnsi="仿宋" w:eastAsia="仿宋" w:cs="仿宋"/>
          <w:color w:val="auto"/>
          <w:highlight w:val="none"/>
        </w:rPr>
      </w:pPr>
      <w:r>
        <w:rPr>
          <w:rFonts w:hint="eastAsia" w:ascii="仿宋" w:hAnsi="仿宋" w:eastAsia="仿宋" w:cs="仿宋"/>
          <w:color w:val="auto"/>
          <w:highlight w:val="none"/>
        </w:rPr>
        <w:t>②涉及车辆采购，请填写是否属于新能源汽车：</w:t>
      </w:r>
    </w:p>
    <w:p w14:paraId="6BAEC1D9">
      <w:pPr>
        <w:bidi w:val="0"/>
        <w:rPr>
          <w:rFonts w:hint="eastAsia" w:ascii="仿宋" w:hAnsi="仿宋" w:eastAsia="仿宋" w:cs="仿宋"/>
          <w:color w:val="auto"/>
          <w:highlight w:val="none"/>
        </w:rPr>
      </w:pPr>
      <w:r>
        <w:rPr>
          <w:rFonts w:hint="eastAsia" w:ascii="仿宋" w:hAnsi="仿宋" w:eastAsia="仿宋" w:cs="仿宋"/>
          <w:color w:val="auto"/>
          <w:highlight w:val="none"/>
        </w:rPr>
        <w:sym w:font="Wingdings" w:char="00A8"/>
      </w:r>
      <w:r>
        <w:rPr>
          <w:rFonts w:hint="eastAsia" w:ascii="仿宋" w:hAnsi="仿宋" w:eastAsia="仿宋" w:cs="仿宋"/>
          <w:color w:val="auto"/>
          <w:highlight w:val="none"/>
        </w:rPr>
        <w:t>是，《政府采购品目分类目录》底级品目名称：      数量：     金额：</w:t>
      </w:r>
    </w:p>
    <w:p w14:paraId="2A4F8590">
      <w:pPr>
        <w:bidi w:val="0"/>
        <w:rPr>
          <w:rFonts w:hint="eastAsia" w:ascii="仿宋" w:hAnsi="仿宋" w:eastAsia="仿宋" w:cs="仿宋"/>
          <w:color w:val="auto"/>
          <w:highlight w:val="none"/>
        </w:rPr>
      </w:pPr>
      <w:r>
        <w:rPr>
          <w:rFonts w:hint="eastAsia" w:ascii="仿宋" w:hAnsi="仿宋" w:eastAsia="仿宋" w:cs="仿宋"/>
          <w:color w:val="auto"/>
          <w:highlight w:val="none"/>
        </w:rPr>
        <w:sym w:font="Wingdings" w:char="00A8"/>
      </w:r>
      <w:r>
        <w:rPr>
          <w:rFonts w:hint="eastAsia" w:ascii="仿宋" w:hAnsi="仿宋" w:eastAsia="仿宋" w:cs="仿宋"/>
          <w:color w:val="auto"/>
          <w:highlight w:val="none"/>
        </w:rPr>
        <w:t>否</w:t>
      </w:r>
    </w:p>
    <w:p w14:paraId="47C3B629">
      <w:pPr>
        <w:bidi w:val="0"/>
        <w:rPr>
          <w:rFonts w:hint="eastAsia" w:ascii="仿宋" w:hAnsi="仿宋" w:eastAsia="仿宋" w:cs="仿宋"/>
          <w:color w:val="auto"/>
          <w:highlight w:val="none"/>
        </w:rPr>
      </w:pPr>
      <w:r>
        <w:rPr>
          <w:rFonts w:hint="eastAsia" w:ascii="仿宋" w:hAnsi="仿宋" w:eastAsia="仿宋" w:cs="仿宋"/>
          <w:color w:val="auto"/>
          <w:highlight w:val="none"/>
        </w:rPr>
        <w:t>（</w:t>
      </w:r>
      <w:r>
        <w:rPr>
          <w:rFonts w:hint="eastAsia" w:ascii="仿宋" w:hAnsi="仿宋" w:eastAsia="仿宋" w:cs="仿宋"/>
          <w:color w:val="auto"/>
          <w:highlight w:val="none"/>
          <w:lang w:val="en"/>
        </w:rPr>
        <w:t>4</w:t>
      </w:r>
      <w:r>
        <w:rPr>
          <w:rFonts w:hint="eastAsia" w:ascii="仿宋" w:hAnsi="仿宋" w:eastAsia="仿宋" w:cs="仿宋"/>
          <w:color w:val="auto"/>
          <w:highlight w:val="none"/>
        </w:rPr>
        <w:t>）政府采购组织形式：</w:t>
      </w:r>
      <w:r>
        <w:rPr>
          <w:rFonts w:hint="eastAsia" w:ascii="仿宋" w:hAnsi="仿宋" w:eastAsia="仿宋" w:cs="仿宋"/>
          <w:color w:val="auto"/>
          <w:highlight w:val="none"/>
        </w:rPr>
        <w:sym w:font="Wingdings" w:char="00A8"/>
      </w:r>
      <w:r>
        <w:rPr>
          <w:rFonts w:hint="eastAsia" w:ascii="仿宋" w:hAnsi="仿宋" w:eastAsia="仿宋" w:cs="仿宋"/>
          <w:color w:val="auto"/>
          <w:highlight w:val="none"/>
        </w:rPr>
        <w:t xml:space="preserve">政府集中采购  </w:t>
      </w:r>
      <w:r>
        <w:rPr>
          <w:rFonts w:hint="eastAsia" w:ascii="仿宋" w:hAnsi="仿宋" w:eastAsia="仿宋" w:cs="仿宋"/>
          <w:color w:val="auto"/>
          <w:highlight w:val="none"/>
        </w:rPr>
        <w:sym w:font="Wingdings" w:char="00A8"/>
      </w:r>
      <w:r>
        <w:rPr>
          <w:rFonts w:hint="eastAsia" w:ascii="仿宋" w:hAnsi="仿宋" w:eastAsia="仿宋" w:cs="仿宋"/>
          <w:color w:val="auto"/>
          <w:highlight w:val="none"/>
        </w:rPr>
        <w:t xml:space="preserve">部门集中采购  </w:t>
      </w:r>
      <w:r>
        <w:rPr>
          <w:rFonts w:hint="eastAsia" w:ascii="仿宋" w:hAnsi="仿宋" w:eastAsia="仿宋" w:cs="仿宋"/>
          <w:color w:val="auto"/>
          <w:highlight w:val="none"/>
        </w:rPr>
        <w:sym w:font="Wingdings" w:char="00A8"/>
      </w:r>
      <w:r>
        <w:rPr>
          <w:rFonts w:hint="eastAsia" w:ascii="仿宋" w:hAnsi="仿宋" w:eastAsia="仿宋" w:cs="仿宋"/>
          <w:color w:val="auto"/>
          <w:highlight w:val="none"/>
        </w:rPr>
        <w:t>分散采购</w:t>
      </w:r>
    </w:p>
    <w:p w14:paraId="3A301C5C">
      <w:pPr>
        <w:bidi w:val="0"/>
        <w:rPr>
          <w:rFonts w:hint="eastAsia" w:ascii="仿宋" w:hAnsi="仿宋" w:eastAsia="仿宋" w:cs="仿宋"/>
          <w:color w:val="auto"/>
          <w:highlight w:val="none"/>
        </w:rPr>
      </w:pPr>
      <w:r>
        <w:rPr>
          <w:rFonts w:hint="eastAsia" w:ascii="仿宋" w:hAnsi="仿宋" w:eastAsia="仿宋" w:cs="仿宋"/>
          <w:color w:val="auto"/>
          <w:highlight w:val="none"/>
        </w:rPr>
        <w:t>（</w:t>
      </w:r>
      <w:r>
        <w:rPr>
          <w:rFonts w:hint="eastAsia" w:ascii="仿宋" w:hAnsi="仿宋" w:eastAsia="仿宋" w:cs="仿宋"/>
          <w:color w:val="auto"/>
          <w:highlight w:val="none"/>
          <w:lang w:val="en"/>
        </w:rPr>
        <w:t>5</w:t>
      </w:r>
      <w:r>
        <w:rPr>
          <w:rFonts w:hint="eastAsia" w:ascii="仿宋" w:hAnsi="仿宋" w:eastAsia="仿宋" w:cs="仿宋"/>
          <w:color w:val="auto"/>
          <w:highlight w:val="none"/>
        </w:rPr>
        <w:t>）政府采购方式：</w:t>
      </w:r>
      <w:r>
        <w:rPr>
          <w:rFonts w:hint="eastAsia" w:ascii="仿宋" w:hAnsi="仿宋" w:eastAsia="仿宋" w:cs="仿宋"/>
          <w:color w:val="auto"/>
          <w:highlight w:val="none"/>
        </w:rPr>
        <w:sym w:font="Wingdings" w:char="00A8"/>
      </w:r>
      <w:r>
        <w:rPr>
          <w:rFonts w:hint="eastAsia" w:ascii="仿宋" w:hAnsi="仿宋" w:eastAsia="仿宋" w:cs="仿宋"/>
          <w:color w:val="auto"/>
          <w:highlight w:val="none"/>
        </w:rPr>
        <w:t xml:space="preserve">公开招标 </w:t>
      </w:r>
      <w:r>
        <w:rPr>
          <w:rFonts w:hint="eastAsia" w:ascii="仿宋" w:hAnsi="仿宋" w:eastAsia="仿宋" w:cs="仿宋"/>
          <w:color w:val="auto"/>
          <w:highlight w:val="none"/>
        </w:rPr>
        <w:sym w:font="Wingdings" w:char="00A8"/>
      </w:r>
      <w:r>
        <w:rPr>
          <w:rFonts w:hint="eastAsia" w:ascii="仿宋" w:hAnsi="仿宋" w:eastAsia="仿宋" w:cs="仿宋"/>
          <w:color w:val="auto"/>
          <w:highlight w:val="none"/>
        </w:rPr>
        <w:t xml:space="preserve">邀请招标 </w:t>
      </w:r>
      <w:r>
        <w:rPr>
          <w:rFonts w:hint="eastAsia" w:ascii="仿宋" w:hAnsi="仿宋" w:eastAsia="仿宋" w:cs="仿宋"/>
          <w:color w:val="auto"/>
          <w:highlight w:val="none"/>
        </w:rPr>
        <w:sym w:font="Wingdings" w:char="00A8"/>
      </w:r>
      <w:r>
        <w:rPr>
          <w:rFonts w:hint="eastAsia" w:ascii="仿宋" w:hAnsi="仿宋" w:eastAsia="仿宋" w:cs="仿宋"/>
          <w:color w:val="auto"/>
          <w:highlight w:val="none"/>
        </w:rPr>
        <w:t xml:space="preserve">竞争性谈判 </w:t>
      </w:r>
      <w:r>
        <w:rPr>
          <w:rFonts w:hint="eastAsia" w:ascii="仿宋" w:hAnsi="仿宋" w:eastAsia="仿宋" w:cs="仿宋"/>
          <w:color w:val="auto"/>
          <w:highlight w:val="none"/>
        </w:rPr>
        <w:sym w:font="Wingdings" w:char="00A8"/>
      </w:r>
      <w:r>
        <w:rPr>
          <w:rFonts w:hint="eastAsia" w:ascii="仿宋" w:hAnsi="仿宋" w:eastAsia="仿宋" w:cs="仿宋"/>
          <w:color w:val="auto"/>
          <w:highlight w:val="none"/>
        </w:rPr>
        <w:t xml:space="preserve">竞争性磋商 </w:t>
      </w:r>
      <w:r>
        <w:rPr>
          <w:rFonts w:hint="eastAsia" w:ascii="仿宋" w:hAnsi="仿宋" w:eastAsia="仿宋" w:cs="仿宋"/>
          <w:color w:val="auto"/>
          <w:highlight w:val="none"/>
        </w:rPr>
        <w:sym w:font="Wingdings" w:char="00A8"/>
      </w:r>
      <w:r>
        <w:rPr>
          <w:rFonts w:hint="eastAsia" w:ascii="仿宋" w:hAnsi="仿宋" w:eastAsia="仿宋" w:cs="仿宋"/>
          <w:color w:val="auto"/>
          <w:highlight w:val="none"/>
        </w:rPr>
        <w:t xml:space="preserve">询价 </w:t>
      </w:r>
      <w:r>
        <w:rPr>
          <w:rFonts w:hint="eastAsia" w:ascii="仿宋" w:hAnsi="仿宋" w:eastAsia="仿宋" w:cs="仿宋"/>
          <w:color w:val="auto"/>
          <w:highlight w:val="none"/>
        </w:rPr>
        <w:sym w:font="Wingdings" w:char="00A8"/>
      </w:r>
      <w:r>
        <w:rPr>
          <w:rFonts w:hint="eastAsia" w:ascii="仿宋" w:hAnsi="仿宋" w:eastAsia="仿宋" w:cs="仿宋"/>
          <w:color w:val="auto"/>
          <w:highlight w:val="none"/>
        </w:rPr>
        <w:t xml:space="preserve">单一来源 </w:t>
      </w:r>
      <w:r>
        <w:rPr>
          <w:rFonts w:hint="eastAsia" w:ascii="仿宋" w:hAnsi="仿宋" w:eastAsia="仿宋" w:cs="仿宋"/>
          <w:color w:val="auto"/>
          <w:highlight w:val="none"/>
        </w:rPr>
        <w:sym w:font="Wingdings" w:char="00A8"/>
      </w:r>
      <w:r>
        <w:rPr>
          <w:rFonts w:hint="eastAsia" w:ascii="仿宋" w:hAnsi="仿宋" w:eastAsia="仿宋" w:cs="仿宋"/>
          <w:color w:val="auto"/>
          <w:highlight w:val="none"/>
        </w:rPr>
        <w:t xml:space="preserve">框架协议 </w:t>
      </w:r>
      <w:r>
        <w:rPr>
          <w:rFonts w:hint="eastAsia" w:ascii="仿宋" w:hAnsi="仿宋" w:eastAsia="仿宋" w:cs="仿宋"/>
          <w:color w:val="auto"/>
          <w:highlight w:val="none"/>
        </w:rPr>
        <w:sym w:font="Wingdings" w:char="00A8"/>
      </w:r>
      <w:r>
        <w:rPr>
          <w:rFonts w:hint="eastAsia" w:ascii="仿宋" w:hAnsi="仿宋" w:eastAsia="仿宋" w:cs="仿宋"/>
          <w:color w:val="auto"/>
          <w:highlight w:val="none"/>
        </w:rPr>
        <w:t xml:space="preserve">其他：          </w:t>
      </w:r>
    </w:p>
    <w:p w14:paraId="62BCCA9D">
      <w:pPr>
        <w:bidi w:val="0"/>
        <w:rPr>
          <w:rFonts w:hint="eastAsia" w:ascii="仿宋" w:hAnsi="仿宋" w:eastAsia="仿宋" w:cs="仿宋"/>
          <w:color w:val="auto"/>
          <w:highlight w:val="none"/>
        </w:rPr>
      </w:pPr>
      <w:r>
        <w:rPr>
          <w:rFonts w:hint="eastAsia" w:ascii="仿宋" w:hAnsi="仿宋" w:eastAsia="仿宋" w:cs="仿宋"/>
          <w:color w:val="auto"/>
          <w:highlight w:val="none"/>
        </w:rPr>
        <w:t>（注：在框架协议采购的第二阶段，可选择使用该合同文本）</w:t>
      </w:r>
    </w:p>
    <w:p w14:paraId="7FB5D707">
      <w:pPr>
        <w:bidi w:val="0"/>
        <w:rPr>
          <w:rFonts w:hint="eastAsia" w:ascii="仿宋" w:hAnsi="仿宋" w:eastAsia="仿宋" w:cs="仿宋"/>
          <w:color w:val="auto"/>
          <w:highlight w:val="none"/>
        </w:rPr>
      </w:pPr>
      <w:r>
        <w:rPr>
          <w:rFonts w:hint="eastAsia" w:ascii="仿宋" w:hAnsi="仿宋" w:eastAsia="仿宋" w:cs="仿宋"/>
          <w:color w:val="auto"/>
          <w:highlight w:val="none"/>
        </w:rPr>
        <w:t>（</w:t>
      </w:r>
      <w:r>
        <w:rPr>
          <w:rFonts w:hint="eastAsia" w:ascii="仿宋" w:hAnsi="仿宋" w:eastAsia="仿宋" w:cs="仿宋"/>
          <w:color w:val="auto"/>
          <w:highlight w:val="none"/>
          <w:lang w:val="en"/>
        </w:rPr>
        <w:t>6</w:t>
      </w:r>
      <w:r>
        <w:rPr>
          <w:rFonts w:hint="eastAsia" w:ascii="仿宋" w:hAnsi="仿宋" w:eastAsia="仿宋" w:cs="仿宋"/>
          <w:color w:val="auto"/>
          <w:highlight w:val="none"/>
        </w:rPr>
        <w:t>）中标（成交）采购标的制造商是否为中小企业：</w:t>
      </w:r>
      <w:r>
        <w:rPr>
          <w:rFonts w:hint="eastAsia" w:ascii="仿宋" w:hAnsi="仿宋" w:eastAsia="仿宋" w:cs="仿宋"/>
          <w:color w:val="auto"/>
          <w:highlight w:val="none"/>
        </w:rPr>
        <w:sym w:font="Wingdings" w:char="00A8"/>
      </w:r>
      <w:r>
        <w:rPr>
          <w:rFonts w:hint="eastAsia" w:ascii="仿宋" w:hAnsi="仿宋" w:eastAsia="仿宋" w:cs="仿宋"/>
          <w:color w:val="auto"/>
          <w:highlight w:val="none"/>
        </w:rPr>
        <w:t xml:space="preserve">是  </w:t>
      </w:r>
      <w:r>
        <w:rPr>
          <w:rFonts w:hint="eastAsia" w:ascii="仿宋" w:hAnsi="仿宋" w:eastAsia="仿宋" w:cs="仿宋"/>
          <w:color w:val="auto"/>
          <w:highlight w:val="none"/>
        </w:rPr>
        <w:sym w:font="Wingdings" w:char="00A8"/>
      </w:r>
      <w:r>
        <w:rPr>
          <w:rFonts w:hint="eastAsia" w:ascii="仿宋" w:hAnsi="仿宋" w:eastAsia="仿宋" w:cs="仿宋"/>
          <w:color w:val="auto"/>
          <w:highlight w:val="none"/>
        </w:rPr>
        <w:t>否</w:t>
      </w:r>
    </w:p>
    <w:p w14:paraId="7E071A41">
      <w:pPr>
        <w:bidi w:val="0"/>
        <w:rPr>
          <w:rFonts w:hint="eastAsia" w:ascii="仿宋" w:hAnsi="仿宋" w:eastAsia="仿宋" w:cs="仿宋"/>
          <w:color w:val="auto"/>
          <w:highlight w:val="none"/>
        </w:rPr>
      </w:pPr>
      <w:r>
        <w:rPr>
          <w:rFonts w:hint="eastAsia" w:ascii="仿宋" w:hAnsi="仿宋" w:eastAsia="仿宋" w:cs="仿宋"/>
          <w:color w:val="auto"/>
          <w:highlight w:val="none"/>
        </w:rPr>
        <w:t>本合同是否为专门面向中小企业的采购合同（中小企业预留合同）：</w:t>
      </w:r>
      <w:r>
        <w:rPr>
          <w:rFonts w:hint="eastAsia" w:ascii="仿宋" w:hAnsi="仿宋" w:eastAsia="仿宋" w:cs="仿宋"/>
          <w:color w:val="auto"/>
          <w:highlight w:val="none"/>
        </w:rPr>
        <w:sym w:font="Wingdings" w:char="00A8"/>
      </w:r>
      <w:r>
        <w:rPr>
          <w:rFonts w:hint="eastAsia" w:ascii="仿宋" w:hAnsi="仿宋" w:eastAsia="仿宋" w:cs="仿宋"/>
          <w:color w:val="auto"/>
          <w:highlight w:val="none"/>
        </w:rPr>
        <w:t xml:space="preserve">是   </w:t>
      </w:r>
      <w:r>
        <w:rPr>
          <w:rFonts w:hint="eastAsia" w:ascii="仿宋" w:hAnsi="仿宋" w:eastAsia="仿宋" w:cs="仿宋"/>
          <w:color w:val="auto"/>
          <w:highlight w:val="none"/>
        </w:rPr>
        <w:sym w:font="Wingdings" w:char="00A8"/>
      </w:r>
      <w:r>
        <w:rPr>
          <w:rFonts w:hint="eastAsia" w:ascii="仿宋" w:hAnsi="仿宋" w:eastAsia="仿宋" w:cs="仿宋"/>
          <w:color w:val="auto"/>
          <w:highlight w:val="none"/>
        </w:rPr>
        <w:t>否</w:t>
      </w:r>
    </w:p>
    <w:p w14:paraId="71873369">
      <w:pPr>
        <w:bidi w:val="0"/>
        <w:rPr>
          <w:rFonts w:hint="eastAsia" w:ascii="仿宋" w:hAnsi="仿宋" w:eastAsia="仿宋" w:cs="仿宋"/>
          <w:color w:val="auto"/>
          <w:highlight w:val="none"/>
        </w:rPr>
      </w:pPr>
      <w:r>
        <w:rPr>
          <w:rFonts w:hint="eastAsia" w:ascii="仿宋" w:hAnsi="仿宋" w:eastAsia="仿宋" w:cs="仿宋"/>
          <w:color w:val="auto"/>
          <w:highlight w:val="none"/>
        </w:rPr>
        <w:t>若本项目不专门面向中小企业采购，是否给予小微企业评审优惠：</w:t>
      </w:r>
      <w:r>
        <w:rPr>
          <w:rFonts w:hint="eastAsia" w:ascii="仿宋" w:hAnsi="仿宋" w:eastAsia="仿宋" w:cs="仿宋"/>
          <w:color w:val="auto"/>
          <w:highlight w:val="none"/>
        </w:rPr>
        <w:sym w:font="Wingdings" w:char="00A8"/>
      </w:r>
      <w:r>
        <w:rPr>
          <w:rFonts w:hint="eastAsia" w:ascii="仿宋" w:hAnsi="仿宋" w:eastAsia="仿宋" w:cs="仿宋"/>
          <w:color w:val="auto"/>
          <w:highlight w:val="none"/>
        </w:rPr>
        <w:t xml:space="preserve">是  </w:t>
      </w:r>
      <w:r>
        <w:rPr>
          <w:rFonts w:hint="eastAsia" w:ascii="仿宋" w:hAnsi="仿宋" w:eastAsia="仿宋" w:cs="仿宋"/>
          <w:color w:val="auto"/>
          <w:highlight w:val="none"/>
        </w:rPr>
        <w:sym w:font="Wingdings" w:char="00A8"/>
      </w:r>
      <w:r>
        <w:rPr>
          <w:rFonts w:hint="eastAsia" w:ascii="仿宋" w:hAnsi="仿宋" w:eastAsia="仿宋" w:cs="仿宋"/>
          <w:color w:val="auto"/>
          <w:highlight w:val="none"/>
        </w:rPr>
        <w:t>否</w:t>
      </w:r>
    </w:p>
    <w:p w14:paraId="6ACC3076">
      <w:pPr>
        <w:bidi w:val="0"/>
        <w:rPr>
          <w:rFonts w:hint="eastAsia" w:ascii="仿宋" w:hAnsi="仿宋" w:eastAsia="仿宋" w:cs="仿宋"/>
          <w:color w:val="auto"/>
          <w:highlight w:val="none"/>
        </w:rPr>
      </w:pPr>
      <w:r>
        <w:rPr>
          <w:rFonts w:hint="eastAsia" w:ascii="仿宋" w:hAnsi="仿宋" w:eastAsia="仿宋" w:cs="仿宋"/>
          <w:color w:val="auto"/>
          <w:highlight w:val="none"/>
        </w:rPr>
        <w:t>中标（成交）采购标的制造商是否为残疾人福利性单位：</w:t>
      </w:r>
      <w:r>
        <w:rPr>
          <w:rFonts w:hint="eastAsia" w:ascii="仿宋" w:hAnsi="仿宋" w:eastAsia="仿宋" w:cs="仿宋"/>
          <w:color w:val="auto"/>
          <w:highlight w:val="none"/>
        </w:rPr>
        <w:sym w:font="Wingdings" w:char="00A8"/>
      </w:r>
      <w:r>
        <w:rPr>
          <w:rFonts w:hint="eastAsia" w:ascii="仿宋" w:hAnsi="仿宋" w:eastAsia="仿宋" w:cs="仿宋"/>
          <w:color w:val="auto"/>
          <w:highlight w:val="none"/>
        </w:rPr>
        <w:t xml:space="preserve">是   </w:t>
      </w:r>
      <w:r>
        <w:rPr>
          <w:rFonts w:hint="eastAsia" w:ascii="仿宋" w:hAnsi="仿宋" w:eastAsia="仿宋" w:cs="仿宋"/>
          <w:color w:val="auto"/>
          <w:highlight w:val="none"/>
        </w:rPr>
        <w:sym w:font="Wingdings" w:char="00A8"/>
      </w:r>
      <w:r>
        <w:rPr>
          <w:rFonts w:hint="eastAsia" w:ascii="仿宋" w:hAnsi="仿宋" w:eastAsia="仿宋" w:cs="仿宋"/>
          <w:color w:val="auto"/>
          <w:highlight w:val="none"/>
        </w:rPr>
        <w:t>否</w:t>
      </w:r>
    </w:p>
    <w:p w14:paraId="366C1FAB">
      <w:pPr>
        <w:bidi w:val="0"/>
        <w:rPr>
          <w:rFonts w:hint="eastAsia" w:ascii="仿宋" w:hAnsi="仿宋" w:eastAsia="仿宋" w:cs="仿宋"/>
          <w:color w:val="auto"/>
          <w:highlight w:val="none"/>
        </w:rPr>
      </w:pPr>
      <w:r>
        <w:rPr>
          <w:rFonts w:hint="eastAsia" w:ascii="仿宋" w:hAnsi="仿宋" w:eastAsia="仿宋" w:cs="仿宋"/>
          <w:color w:val="auto"/>
          <w:highlight w:val="none"/>
        </w:rPr>
        <w:t>中标（成交）采购标的制造商是否为监狱企业：</w:t>
      </w:r>
      <w:r>
        <w:rPr>
          <w:rFonts w:hint="eastAsia" w:ascii="仿宋" w:hAnsi="仿宋" w:eastAsia="仿宋" w:cs="仿宋"/>
          <w:color w:val="auto"/>
          <w:highlight w:val="none"/>
        </w:rPr>
        <w:sym w:font="Wingdings" w:char="00A8"/>
      </w:r>
      <w:r>
        <w:rPr>
          <w:rFonts w:hint="eastAsia" w:ascii="仿宋" w:hAnsi="仿宋" w:eastAsia="仿宋" w:cs="仿宋"/>
          <w:color w:val="auto"/>
          <w:highlight w:val="none"/>
        </w:rPr>
        <w:t xml:space="preserve">是   </w:t>
      </w:r>
      <w:r>
        <w:rPr>
          <w:rFonts w:hint="eastAsia" w:ascii="仿宋" w:hAnsi="仿宋" w:eastAsia="仿宋" w:cs="仿宋"/>
          <w:color w:val="auto"/>
          <w:highlight w:val="none"/>
        </w:rPr>
        <w:sym w:font="Wingdings" w:char="00A8"/>
      </w:r>
      <w:r>
        <w:rPr>
          <w:rFonts w:hint="eastAsia" w:ascii="仿宋" w:hAnsi="仿宋" w:eastAsia="仿宋" w:cs="仿宋"/>
          <w:color w:val="auto"/>
          <w:highlight w:val="none"/>
        </w:rPr>
        <w:t>否</w:t>
      </w:r>
    </w:p>
    <w:p w14:paraId="6D07C640">
      <w:pPr>
        <w:bidi w:val="0"/>
        <w:rPr>
          <w:rFonts w:hint="eastAsia" w:ascii="仿宋" w:hAnsi="仿宋" w:eastAsia="仿宋" w:cs="仿宋"/>
          <w:color w:val="auto"/>
          <w:highlight w:val="none"/>
        </w:rPr>
      </w:pPr>
      <w:r>
        <w:rPr>
          <w:rFonts w:hint="eastAsia" w:ascii="仿宋" w:hAnsi="仿宋" w:eastAsia="仿宋" w:cs="仿宋"/>
          <w:color w:val="auto"/>
          <w:highlight w:val="none"/>
        </w:rPr>
        <w:t>（</w:t>
      </w:r>
      <w:r>
        <w:rPr>
          <w:rFonts w:hint="eastAsia" w:ascii="仿宋" w:hAnsi="仿宋" w:eastAsia="仿宋" w:cs="仿宋"/>
          <w:color w:val="auto"/>
          <w:highlight w:val="none"/>
          <w:lang w:val="en"/>
        </w:rPr>
        <w:t>7</w:t>
      </w:r>
      <w:r>
        <w:rPr>
          <w:rFonts w:hint="eastAsia" w:ascii="仿宋" w:hAnsi="仿宋" w:eastAsia="仿宋" w:cs="仿宋"/>
          <w:color w:val="auto"/>
          <w:highlight w:val="none"/>
        </w:rPr>
        <w:t>）合同是否分包：</w:t>
      </w:r>
      <w:r>
        <w:rPr>
          <w:rFonts w:hint="eastAsia" w:ascii="仿宋" w:hAnsi="仿宋" w:eastAsia="仿宋" w:cs="仿宋"/>
          <w:color w:val="auto"/>
          <w:highlight w:val="none"/>
        </w:rPr>
        <w:sym w:font="Wingdings" w:char="00A8"/>
      </w:r>
      <w:r>
        <w:rPr>
          <w:rFonts w:hint="eastAsia" w:ascii="仿宋" w:hAnsi="仿宋" w:eastAsia="仿宋" w:cs="仿宋"/>
          <w:color w:val="auto"/>
          <w:highlight w:val="none"/>
        </w:rPr>
        <w:t xml:space="preserve">是       </w:t>
      </w:r>
      <w:r>
        <w:rPr>
          <w:rFonts w:hint="eastAsia" w:ascii="仿宋" w:hAnsi="仿宋" w:eastAsia="仿宋" w:cs="仿宋"/>
          <w:color w:val="auto"/>
          <w:highlight w:val="none"/>
        </w:rPr>
        <w:sym w:font="Wingdings" w:char="00A8"/>
      </w:r>
      <w:r>
        <w:rPr>
          <w:rFonts w:hint="eastAsia" w:ascii="仿宋" w:hAnsi="仿宋" w:eastAsia="仿宋" w:cs="仿宋"/>
          <w:color w:val="auto"/>
          <w:highlight w:val="none"/>
        </w:rPr>
        <w:t>否</w:t>
      </w:r>
    </w:p>
    <w:p w14:paraId="5E4D6B00">
      <w:pPr>
        <w:bidi w:val="0"/>
        <w:rPr>
          <w:rFonts w:hint="eastAsia" w:ascii="仿宋" w:hAnsi="仿宋" w:eastAsia="仿宋" w:cs="仿宋"/>
          <w:color w:val="auto"/>
          <w:highlight w:val="none"/>
        </w:rPr>
      </w:pPr>
      <w:r>
        <w:rPr>
          <w:rFonts w:hint="eastAsia" w:ascii="仿宋" w:hAnsi="仿宋" w:eastAsia="仿宋" w:cs="仿宋"/>
          <w:color w:val="auto"/>
          <w:highlight w:val="none"/>
        </w:rPr>
        <w:t xml:space="preserve"> 分包主要内容：                                            </w:t>
      </w:r>
    </w:p>
    <w:p w14:paraId="5B0ED29D">
      <w:pPr>
        <w:bidi w:val="0"/>
        <w:rPr>
          <w:rFonts w:hint="eastAsia" w:ascii="仿宋" w:hAnsi="仿宋" w:eastAsia="仿宋" w:cs="仿宋"/>
          <w:color w:val="auto"/>
          <w:highlight w:val="none"/>
        </w:rPr>
      </w:pPr>
      <w:r>
        <w:rPr>
          <w:rFonts w:hint="eastAsia" w:ascii="仿宋" w:hAnsi="仿宋" w:eastAsia="仿宋" w:cs="仿宋"/>
          <w:color w:val="auto"/>
          <w:highlight w:val="none"/>
        </w:rPr>
        <w:t xml:space="preserve"> 分包投标人/制造商名称（如投标人和制造商不同，请分别填写）：     </w:t>
      </w:r>
    </w:p>
    <w:p w14:paraId="62B2B54A">
      <w:pPr>
        <w:bidi w:val="0"/>
        <w:rPr>
          <w:rFonts w:hint="eastAsia" w:ascii="仿宋" w:hAnsi="仿宋" w:eastAsia="仿宋" w:cs="仿宋"/>
          <w:color w:val="auto"/>
          <w:highlight w:val="none"/>
        </w:rPr>
      </w:pPr>
      <w:r>
        <w:rPr>
          <w:rFonts w:hint="eastAsia" w:ascii="仿宋" w:hAnsi="仿宋" w:eastAsia="仿宋" w:cs="仿宋"/>
          <w:color w:val="auto"/>
          <w:highlight w:val="none"/>
        </w:rPr>
        <w:t>分包投标人/制造商类型（如果投标人和制造商不同，只填写制造商类型）：</w:t>
      </w:r>
    </w:p>
    <w:p w14:paraId="7CE1B311">
      <w:pPr>
        <w:bidi w:val="0"/>
        <w:rPr>
          <w:rFonts w:hint="eastAsia" w:ascii="仿宋" w:hAnsi="仿宋" w:eastAsia="仿宋" w:cs="仿宋"/>
          <w:color w:val="auto"/>
          <w:highlight w:val="none"/>
        </w:rPr>
      </w:pPr>
      <w:r>
        <w:rPr>
          <w:rFonts w:hint="eastAsia" w:ascii="仿宋" w:hAnsi="仿宋" w:eastAsia="仿宋" w:cs="仿宋"/>
          <w:color w:val="auto"/>
          <w:highlight w:val="none"/>
        </w:rPr>
        <w:t xml:space="preserve"> </w:t>
      </w:r>
      <w:r>
        <w:rPr>
          <w:rFonts w:hint="eastAsia" w:ascii="仿宋" w:hAnsi="仿宋" w:eastAsia="仿宋" w:cs="仿宋"/>
          <w:color w:val="auto"/>
          <w:highlight w:val="none"/>
        </w:rPr>
        <w:sym w:font="Wingdings" w:char="00A8"/>
      </w:r>
      <w:r>
        <w:rPr>
          <w:rFonts w:hint="eastAsia" w:ascii="仿宋" w:hAnsi="仿宋" w:eastAsia="仿宋" w:cs="仿宋"/>
          <w:color w:val="auto"/>
          <w:highlight w:val="none"/>
        </w:rPr>
        <w:t xml:space="preserve">大型企业  </w:t>
      </w:r>
      <w:r>
        <w:rPr>
          <w:rFonts w:hint="eastAsia" w:ascii="仿宋" w:hAnsi="仿宋" w:eastAsia="仿宋" w:cs="仿宋"/>
          <w:color w:val="auto"/>
          <w:highlight w:val="none"/>
        </w:rPr>
        <w:sym w:font="Wingdings" w:char="00A8"/>
      </w:r>
      <w:r>
        <w:rPr>
          <w:rFonts w:hint="eastAsia" w:ascii="仿宋" w:hAnsi="仿宋" w:eastAsia="仿宋" w:cs="仿宋"/>
          <w:color w:val="auto"/>
          <w:highlight w:val="none"/>
        </w:rPr>
        <w:t xml:space="preserve">中型企业  </w:t>
      </w:r>
      <w:r>
        <w:rPr>
          <w:rFonts w:hint="eastAsia" w:ascii="仿宋" w:hAnsi="仿宋" w:eastAsia="仿宋" w:cs="仿宋"/>
          <w:color w:val="auto"/>
          <w:highlight w:val="none"/>
        </w:rPr>
        <w:sym w:font="Wingdings" w:char="00A8"/>
      </w:r>
      <w:r>
        <w:rPr>
          <w:rFonts w:hint="eastAsia" w:ascii="仿宋" w:hAnsi="仿宋" w:eastAsia="仿宋" w:cs="仿宋"/>
          <w:color w:val="auto"/>
          <w:highlight w:val="none"/>
        </w:rPr>
        <w:t xml:space="preserve">小微型企业  </w:t>
      </w:r>
    </w:p>
    <w:p w14:paraId="799F958C">
      <w:pPr>
        <w:bidi w:val="0"/>
        <w:rPr>
          <w:rFonts w:hint="eastAsia" w:ascii="仿宋" w:hAnsi="仿宋" w:eastAsia="仿宋" w:cs="仿宋"/>
          <w:color w:val="auto"/>
          <w:highlight w:val="none"/>
        </w:rPr>
      </w:pPr>
      <w:r>
        <w:rPr>
          <w:rFonts w:hint="eastAsia" w:ascii="仿宋" w:hAnsi="仿宋" w:eastAsia="仿宋" w:cs="仿宋"/>
          <w:color w:val="auto"/>
          <w:highlight w:val="none"/>
        </w:rPr>
        <w:t xml:space="preserve"> </w:t>
      </w:r>
      <w:r>
        <w:rPr>
          <w:rFonts w:hint="eastAsia" w:ascii="仿宋" w:hAnsi="仿宋" w:eastAsia="仿宋" w:cs="仿宋"/>
          <w:color w:val="auto"/>
          <w:highlight w:val="none"/>
        </w:rPr>
        <w:sym w:font="Wingdings" w:char="00A8"/>
      </w:r>
      <w:r>
        <w:rPr>
          <w:rFonts w:hint="eastAsia" w:ascii="仿宋" w:hAnsi="仿宋" w:eastAsia="仿宋" w:cs="仿宋"/>
          <w:color w:val="auto"/>
          <w:highlight w:val="none"/>
        </w:rPr>
        <w:t xml:space="preserve">残疾人福利性单位 </w:t>
      </w:r>
      <w:r>
        <w:rPr>
          <w:rFonts w:hint="eastAsia" w:ascii="仿宋" w:hAnsi="仿宋" w:eastAsia="仿宋" w:cs="仿宋"/>
          <w:color w:val="auto"/>
          <w:highlight w:val="none"/>
        </w:rPr>
        <w:sym w:font="Wingdings" w:char="00A8"/>
      </w:r>
      <w:r>
        <w:rPr>
          <w:rFonts w:hint="eastAsia" w:ascii="仿宋" w:hAnsi="仿宋" w:eastAsia="仿宋" w:cs="仿宋"/>
          <w:color w:val="auto"/>
          <w:highlight w:val="none"/>
        </w:rPr>
        <w:t xml:space="preserve">监狱企业 </w:t>
      </w:r>
      <w:r>
        <w:rPr>
          <w:rFonts w:hint="eastAsia" w:ascii="仿宋" w:hAnsi="仿宋" w:eastAsia="仿宋" w:cs="仿宋"/>
          <w:color w:val="auto"/>
          <w:highlight w:val="none"/>
        </w:rPr>
        <w:sym w:font="Wingdings" w:char="00A8"/>
      </w:r>
      <w:r>
        <w:rPr>
          <w:rFonts w:hint="eastAsia" w:ascii="仿宋" w:hAnsi="仿宋" w:eastAsia="仿宋" w:cs="仿宋"/>
          <w:color w:val="auto"/>
          <w:highlight w:val="none"/>
        </w:rPr>
        <w:t>其他</w:t>
      </w:r>
    </w:p>
    <w:p w14:paraId="7A391E28">
      <w:pPr>
        <w:bidi w:val="0"/>
        <w:rPr>
          <w:rFonts w:hint="eastAsia" w:ascii="仿宋" w:hAnsi="仿宋" w:eastAsia="仿宋" w:cs="仿宋"/>
          <w:color w:val="auto"/>
          <w:highlight w:val="none"/>
        </w:rPr>
      </w:pPr>
      <w:r>
        <w:rPr>
          <w:rFonts w:hint="eastAsia" w:ascii="仿宋" w:hAnsi="仿宋" w:eastAsia="仿宋" w:cs="仿宋"/>
          <w:color w:val="auto"/>
          <w:highlight w:val="none"/>
        </w:rPr>
        <w:t>（</w:t>
      </w:r>
      <w:r>
        <w:rPr>
          <w:rFonts w:hint="eastAsia" w:ascii="仿宋" w:hAnsi="仿宋" w:eastAsia="仿宋" w:cs="仿宋"/>
          <w:color w:val="auto"/>
          <w:highlight w:val="none"/>
          <w:lang w:val="en"/>
        </w:rPr>
        <w:t>8</w:t>
      </w:r>
      <w:r>
        <w:rPr>
          <w:rFonts w:hint="eastAsia" w:ascii="仿宋" w:hAnsi="仿宋" w:eastAsia="仿宋" w:cs="仿宋"/>
          <w:color w:val="auto"/>
          <w:highlight w:val="none"/>
        </w:rPr>
        <w:t>）中标（成交）投标人是否为外商投资企业：</w:t>
      </w:r>
      <w:r>
        <w:rPr>
          <w:rFonts w:hint="eastAsia" w:ascii="仿宋" w:hAnsi="仿宋" w:eastAsia="仿宋" w:cs="仿宋"/>
          <w:color w:val="auto"/>
          <w:highlight w:val="none"/>
        </w:rPr>
        <w:sym w:font="Wingdings" w:char="00A8"/>
      </w:r>
      <w:r>
        <w:rPr>
          <w:rFonts w:hint="eastAsia" w:ascii="仿宋" w:hAnsi="仿宋" w:eastAsia="仿宋" w:cs="仿宋"/>
          <w:color w:val="auto"/>
          <w:highlight w:val="none"/>
        </w:rPr>
        <w:t xml:space="preserve">是       </w:t>
      </w:r>
      <w:r>
        <w:rPr>
          <w:rFonts w:hint="eastAsia" w:ascii="仿宋" w:hAnsi="仿宋" w:eastAsia="仿宋" w:cs="仿宋"/>
          <w:color w:val="auto"/>
          <w:highlight w:val="none"/>
        </w:rPr>
        <w:sym w:font="Wingdings" w:char="00A8"/>
      </w:r>
      <w:r>
        <w:rPr>
          <w:rFonts w:hint="eastAsia" w:ascii="仿宋" w:hAnsi="仿宋" w:eastAsia="仿宋" w:cs="仿宋"/>
          <w:color w:val="auto"/>
          <w:highlight w:val="none"/>
        </w:rPr>
        <w:t>否</w:t>
      </w:r>
    </w:p>
    <w:p w14:paraId="7C46DFEF">
      <w:pPr>
        <w:bidi w:val="0"/>
        <w:rPr>
          <w:rFonts w:hint="eastAsia" w:ascii="仿宋" w:hAnsi="仿宋" w:eastAsia="仿宋" w:cs="仿宋"/>
          <w:color w:val="auto"/>
          <w:highlight w:val="none"/>
        </w:rPr>
      </w:pPr>
      <w:r>
        <w:rPr>
          <w:rFonts w:hint="eastAsia" w:ascii="仿宋" w:hAnsi="仿宋" w:eastAsia="仿宋" w:cs="仿宋"/>
          <w:color w:val="auto"/>
          <w:highlight w:val="none"/>
        </w:rPr>
        <w:t>外商投资企业类型：</w:t>
      </w:r>
      <w:r>
        <w:rPr>
          <w:rFonts w:hint="eastAsia" w:ascii="仿宋" w:hAnsi="仿宋" w:eastAsia="仿宋" w:cs="仿宋"/>
          <w:color w:val="auto"/>
          <w:highlight w:val="none"/>
        </w:rPr>
        <w:sym w:font="Wingdings" w:char="00A8"/>
      </w:r>
      <w:r>
        <w:rPr>
          <w:rFonts w:hint="eastAsia" w:ascii="仿宋" w:hAnsi="仿宋" w:eastAsia="仿宋" w:cs="仿宋"/>
          <w:color w:val="auto"/>
          <w:highlight w:val="none"/>
        </w:rPr>
        <w:t xml:space="preserve">全部由外国投资者投资  </w:t>
      </w:r>
      <w:r>
        <w:rPr>
          <w:rFonts w:hint="eastAsia" w:ascii="仿宋" w:hAnsi="仿宋" w:eastAsia="仿宋" w:cs="仿宋"/>
          <w:color w:val="auto"/>
          <w:highlight w:val="none"/>
        </w:rPr>
        <w:sym w:font="Wingdings" w:char="00A8"/>
      </w:r>
      <w:r>
        <w:rPr>
          <w:rFonts w:hint="eastAsia" w:ascii="仿宋" w:hAnsi="仿宋" w:eastAsia="仿宋" w:cs="仿宋"/>
          <w:color w:val="auto"/>
          <w:highlight w:val="none"/>
        </w:rPr>
        <w:t>部分由外国投资者投资</w:t>
      </w:r>
    </w:p>
    <w:p w14:paraId="4609DA52">
      <w:pPr>
        <w:bidi w:val="0"/>
        <w:rPr>
          <w:rFonts w:hint="eastAsia" w:ascii="仿宋" w:hAnsi="仿宋" w:eastAsia="仿宋" w:cs="仿宋"/>
          <w:color w:val="auto"/>
          <w:highlight w:val="none"/>
        </w:rPr>
      </w:pPr>
      <w:r>
        <w:rPr>
          <w:rFonts w:hint="eastAsia" w:ascii="仿宋" w:hAnsi="仿宋" w:eastAsia="仿宋" w:cs="仿宋"/>
          <w:color w:val="auto"/>
          <w:highlight w:val="none"/>
        </w:rPr>
        <w:t>（</w:t>
      </w:r>
      <w:r>
        <w:rPr>
          <w:rFonts w:hint="eastAsia" w:ascii="仿宋" w:hAnsi="仿宋" w:eastAsia="仿宋" w:cs="仿宋"/>
          <w:color w:val="auto"/>
          <w:highlight w:val="none"/>
          <w:lang w:val="en"/>
        </w:rPr>
        <w:t>9</w:t>
      </w:r>
      <w:r>
        <w:rPr>
          <w:rFonts w:hint="eastAsia" w:ascii="仿宋" w:hAnsi="仿宋" w:eastAsia="仿宋" w:cs="仿宋"/>
          <w:color w:val="auto"/>
          <w:highlight w:val="none"/>
        </w:rPr>
        <w:t>）是否涉及进口产品：</w:t>
      </w:r>
    </w:p>
    <w:p w14:paraId="0309576E">
      <w:pPr>
        <w:bidi w:val="0"/>
        <w:rPr>
          <w:rFonts w:hint="eastAsia" w:ascii="仿宋" w:hAnsi="仿宋" w:eastAsia="仿宋" w:cs="仿宋"/>
          <w:color w:val="auto"/>
          <w:highlight w:val="none"/>
        </w:rPr>
      </w:pPr>
      <w:r>
        <w:rPr>
          <w:rFonts w:hint="eastAsia" w:ascii="仿宋" w:hAnsi="仿宋" w:eastAsia="仿宋" w:cs="仿宋"/>
          <w:color w:val="auto"/>
          <w:highlight w:val="none"/>
        </w:rPr>
        <w:t xml:space="preserve"> </w:t>
      </w:r>
      <w:r>
        <w:rPr>
          <w:rFonts w:hint="eastAsia" w:ascii="仿宋" w:hAnsi="仿宋" w:eastAsia="仿宋" w:cs="仿宋"/>
          <w:color w:val="auto"/>
          <w:highlight w:val="none"/>
        </w:rPr>
        <w:sym w:font="Wingdings" w:char="00A8"/>
      </w:r>
      <w:r>
        <w:rPr>
          <w:rFonts w:hint="eastAsia" w:ascii="仿宋" w:hAnsi="仿宋" w:eastAsia="仿宋" w:cs="仿宋"/>
          <w:color w:val="auto"/>
          <w:highlight w:val="none"/>
        </w:rPr>
        <w:t xml:space="preserve">是，《政府采购品目分类目录》底级品目名称：          金额：      国别：         品牌：         规格型号：              </w:t>
      </w:r>
    </w:p>
    <w:p w14:paraId="186BD00F">
      <w:pPr>
        <w:bidi w:val="0"/>
        <w:rPr>
          <w:rFonts w:hint="eastAsia" w:ascii="仿宋" w:hAnsi="仿宋" w:eastAsia="仿宋" w:cs="仿宋"/>
          <w:color w:val="auto"/>
          <w:highlight w:val="none"/>
        </w:rPr>
      </w:pPr>
      <w:r>
        <w:rPr>
          <w:rFonts w:hint="eastAsia" w:ascii="仿宋" w:hAnsi="仿宋" w:eastAsia="仿宋" w:cs="仿宋"/>
          <w:color w:val="auto"/>
          <w:highlight w:val="none"/>
        </w:rPr>
        <w:t xml:space="preserve"> </w:t>
      </w:r>
      <w:r>
        <w:rPr>
          <w:rFonts w:hint="eastAsia" w:ascii="仿宋" w:hAnsi="仿宋" w:eastAsia="仿宋" w:cs="仿宋"/>
          <w:color w:val="auto"/>
          <w:highlight w:val="none"/>
        </w:rPr>
        <w:sym w:font="Wingdings" w:char="00A8"/>
      </w:r>
      <w:r>
        <w:rPr>
          <w:rFonts w:hint="eastAsia" w:ascii="仿宋" w:hAnsi="仿宋" w:eastAsia="仿宋" w:cs="仿宋"/>
          <w:color w:val="auto"/>
          <w:highlight w:val="none"/>
        </w:rPr>
        <w:t>否</w:t>
      </w:r>
    </w:p>
    <w:p w14:paraId="7B1992A9">
      <w:pPr>
        <w:bidi w:val="0"/>
        <w:rPr>
          <w:rFonts w:hint="eastAsia" w:ascii="仿宋" w:hAnsi="仿宋" w:eastAsia="仿宋" w:cs="仿宋"/>
          <w:color w:val="auto"/>
          <w:highlight w:val="none"/>
        </w:rPr>
      </w:pPr>
      <w:r>
        <w:rPr>
          <w:rFonts w:hint="eastAsia" w:ascii="仿宋" w:hAnsi="仿宋" w:eastAsia="仿宋" w:cs="仿宋"/>
          <w:color w:val="auto"/>
          <w:highlight w:val="none"/>
        </w:rPr>
        <w:t>（1</w:t>
      </w:r>
      <w:r>
        <w:rPr>
          <w:rFonts w:hint="eastAsia" w:ascii="仿宋" w:hAnsi="仿宋" w:eastAsia="仿宋" w:cs="仿宋"/>
          <w:color w:val="auto"/>
          <w:highlight w:val="none"/>
          <w:lang w:val="en"/>
        </w:rPr>
        <w:t>0</w:t>
      </w:r>
      <w:r>
        <w:rPr>
          <w:rFonts w:hint="eastAsia" w:ascii="仿宋" w:hAnsi="仿宋" w:eastAsia="仿宋" w:cs="仿宋"/>
          <w:color w:val="auto"/>
          <w:highlight w:val="none"/>
        </w:rPr>
        <w:t>）是否涉及节能产品：</w:t>
      </w:r>
    </w:p>
    <w:p w14:paraId="1F1C4B9E">
      <w:pPr>
        <w:bidi w:val="0"/>
        <w:rPr>
          <w:rFonts w:hint="eastAsia" w:ascii="仿宋" w:hAnsi="仿宋" w:eastAsia="仿宋" w:cs="仿宋"/>
          <w:color w:val="auto"/>
          <w:highlight w:val="none"/>
        </w:rPr>
      </w:pPr>
      <w:r>
        <w:rPr>
          <w:rFonts w:hint="eastAsia" w:ascii="仿宋" w:hAnsi="仿宋" w:eastAsia="仿宋" w:cs="仿宋"/>
          <w:color w:val="auto"/>
          <w:highlight w:val="none"/>
        </w:rPr>
        <w:sym w:font="Wingdings" w:char="00A8"/>
      </w:r>
      <w:r>
        <w:rPr>
          <w:rFonts w:hint="eastAsia" w:ascii="仿宋" w:hAnsi="仿宋" w:eastAsia="仿宋" w:cs="仿宋"/>
          <w:color w:val="auto"/>
          <w:highlight w:val="none"/>
        </w:rPr>
        <w:t xml:space="preserve">是，《节能产品政府采购品目清单》的底级品目名称：              </w:t>
      </w:r>
    </w:p>
    <w:p w14:paraId="1B8DA75F">
      <w:pPr>
        <w:bidi w:val="0"/>
        <w:rPr>
          <w:rFonts w:hint="eastAsia" w:ascii="仿宋" w:hAnsi="仿宋" w:eastAsia="仿宋" w:cs="仿宋"/>
          <w:color w:val="auto"/>
          <w:highlight w:val="none"/>
        </w:rPr>
      </w:pPr>
      <w:r>
        <w:rPr>
          <w:rFonts w:hint="eastAsia" w:ascii="仿宋" w:hAnsi="仿宋" w:eastAsia="仿宋" w:cs="仿宋"/>
          <w:color w:val="auto"/>
          <w:highlight w:val="none"/>
        </w:rPr>
        <w:sym w:font="Wingdings" w:char="00A8"/>
      </w:r>
      <w:r>
        <w:rPr>
          <w:rFonts w:hint="eastAsia" w:ascii="仿宋" w:hAnsi="仿宋" w:eastAsia="仿宋" w:cs="仿宋"/>
          <w:color w:val="auto"/>
          <w:highlight w:val="none"/>
        </w:rPr>
        <w:t xml:space="preserve">强制采购       </w:t>
      </w:r>
      <w:r>
        <w:rPr>
          <w:rFonts w:hint="eastAsia" w:ascii="仿宋" w:hAnsi="仿宋" w:eastAsia="仿宋" w:cs="仿宋"/>
          <w:color w:val="auto"/>
          <w:highlight w:val="none"/>
        </w:rPr>
        <w:sym w:font="Wingdings" w:char="00A8"/>
      </w:r>
      <w:r>
        <w:rPr>
          <w:rFonts w:hint="eastAsia" w:ascii="仿宋" w:hAnsi="仿宋" w:eastAsia="仿宋" w:cs="仿宋"/>
          <w:color w:val="auto"/>
          <w:highlight w:val="none"/>
        </w:rPr>
        <w:t xml:space="preserve">优先采购    </w:t>
      </w:r>
    </w:p>
    <w:p w14:paraId="245A991E">
      <w:pPr>
        <w:bidi w:val="0"/>
        <w:rPr>
          <w:rFonts w:hint="eastAsia" w:ascii="仿宋" w:hAnsi="仿宋" w:eastAsia="仿宋" w:cs="仿宋"/>
          <w:color w:val="auto"/>
          <w:highlight w:val="none"/>
        </w:rPr>
      </w:pPr>
      <w:r>
        <w:rPr>
          <w:rFonts w:hint="eastAsia" w:ascii="仿宋" w:hAnsi="仿宋" w:eastAsia="仿宋" w:cs="仿宋"/>
          <w:color w:val="auto"/>
          <w:highlight w:val="none"/>
        </w:rPr>
        <w:sym w:font="Wingdings" w:char="00A8"/>
      </w:r>
      <w:r>
        <w:rPr>
          <w:rFonts w:hint="eastAsia" w:ascii="仿宋" w:hAnsi="仿宋" w:eastAsia="仿宋" w:cs="仿宋"/>
          <w:color w:val="auto"/>
          <w:highlight w:val="none"/>
        </w:rPr>
        <w:t>否</w:t>
      </w:r>
    </w:p>
    <w:p w14:paraId="42B0D0D1">
      <w:pPr>
        <w:bidi w:val="0"/>
        <w:rPr>
          <w:rFonts w:hint="eastAsia" w:ascii="仿宋" w:hAnsi="仿宋" w:eastAsia="仿宋" w:cs="仿宋"/>
          <w:color w:val="auto"/>
          <w:highlight w:val="none"/>
        </w:rPr>
      </w:pPr>
      <w:r>
        <w:rPr>
          <w:rFonts w:hint="eastAsia" w:ascii="仿宋" w:hAnsi="仿宋" w:eastAsia="仿宋" w:cs="仿宋"/>
          <w:color w:val="auto"/>
          <w:highlight w:val="none"/>
        </w:rPr>
        <w:t>是否涉及环境标志产品：</w:t>
      </w:r>
    </w:p>
    <w:p w14:paraId="1447AF41">
      <w:pPr>
        <w:bidi w:val="0"/>
        <w:rPr>
          <w:rFonts w:hint="eastAsia" w:ascii="仿宋" w:hAnsi="仿宋" w:eastAsia="仿宋" w:cs="仿宋"/>
          <w:color w:val="auto"/>
          <w:highlight w:val="none"/>
        </w:rPr>
      </w:pPr>
      <w:r>
        <w:rPr>
          <w:rFonts w:hint="eastAsia" w:ascii="仿宋" w:hAnsi="仿宋" w:eastAsia="仿宋" w:cs="仿宋"/>
          <w:color w:val="auto"/>
          <w:highlight w:val="none"/>
        </w:rPr>
        <w:sym w:font="Wingdings" w:char="00A8"/>
      </w:r>
      <w:r>
        <w:rPr>
          <w:rFonts w:hint="eastAsia" w:ascii="仿宋" w:hAnsi="仿宋" w:eastAsia="仿宋" w:cs="仿宋"/>
          <w:color w:val="auto"/>
          <w:highlight w:val="none"/>
        </w:rPr>
        <w:t xml:space="preserve">是，《环境标志产品政府采购品目清单》的底级品目名称：          </w:t>
      </w:r>
    </w:p>
    <w:p w14:paraId="1D1B157A">
      <w:pPr>
        <w:bidi w:val="0"/>
        <w:rPr>
          <w:rFonts w:hint="eastAsia" w:ascii="仿宋" w:hAnsi="仿宋" w:eastAsia="仿宋" w:cs="仿宋"/>
          <w:color w:val="auto"/>
          <w:highlight w:val="none"/>
        </w:rPr>
      </w:pPr>
      <w:r>
        <w:rPr>
          <w:rFonts w:hint="eastAsia" w:ascii="仿宋" w:hAnsi="仿宋" w:eastAsia="仿宋" w:cs="仿宋"/>
          <w:color w:val="auto"/>
          <w:highlight w:val="none"/>
        </w:rPr>
        <w:sym w:font="Wingdings" w:char="00A8"/>
      </w:r>
      <w:r>
        <w:rPr>
          <w:rFonts w:hint="eastAsia" w:ascii="仿宋" w:hAnsi="仿宋" w:eastAsia="仿宋" w:cs="仿宋"/>
          <w:color w:val="auto"/>
          <w:highlight w:val="none"/>
        </w:rPr>
        <w:t xml:space="preserve">强制采购       </w:t>
      </w:r>
      <w:r>
        <w:rPr>
          <w:rFonts w:hint="eastAsia" w:ascii="仿宋" w:hAnsi="仿宋" w:eastAsia="仿宋" w:cs="仿宋"/>
          <w:color w:val="auto"/>
          <w:highlight w:val="none"/>
        </w:rPr>
        <w:sym w:font="Wingdings" w:char="00A8"/>
      </w:r>
      <w:r>
        <w:rPr>
          <w:rFonts w:hint="eastAsia" w:ascii="仿宋" w:hAnsi="仿宋" w:eastAsia="仿宋" w:cs="仿宋"/>
          <w:color w:val="auto"/>
          <w:highlight w:val="none"/>
        </w:rPr>
        <w:t xml:space="preserve">优先采购    </w:t>
      </w:r>
    </w:p>
    <w:p w14:paraId="33139A06">
      <w:pPr>
        <w:bidi w:val="0"/>
        <w:rPr>
          <w:rFonts w:hint="eastAsia" w:ascii="仿宋" w:hAnsi="仿宋" w:eastAsia="仿宋" w:cs="仿宋"/>
          <w:color w:val="auto"/>
          <w:highlight w:val="none"/>
        </w:rPr>
      </w:pPr>
      <w:r>
        <w:rPr>
          <w:rFonts w:hint="eastAsia" w:ascii="仿宋" w:hAnsi="仿宋" w:eastAsia="仿宋" w:cs="仿宋"/>
          <w:color w:val="auto"/>
          <w:highlight w:val="none"/>
        </w:rPr>
        <w:sym w:font="Wingdings" w:char="00A8"/>
      </w:r>
      <w:r>
        <w:rPr>
          <w:rFonts w:hint="eastAsia" w:ascii="仿宋" w:hAnsi="仿宋" w:eastAsia="仿宋" w:cs="仿宋"/>
          <w:color w:val="auto"/>
          <w:highlight w:val="none"/>
        </w:rPr>
        <w:t>否</w:t>
      </w:r>
    </w:p>
    <w:p w14:paraId="1208B492">
      <w:pPr>
        <w:bidi w:val="0"/>
        <w:rPr>
          <w:rFonts w:hint="eastAsia" w:ascii="仿宋" w:hAnsi="仿宋" w:eastAsia="仿宋" w:cs="仿宋"/>
          <w:color w:val="auto"/>
          <w:highlight w:val="none"/>
        </w:rPr>
      </w:pPr>
      <w:r>
        <w:rPr>
          <w:rFonts w:hint="eastAsia" w:ascii="仿宋" w:hAnsi="仿宋" w:eastAsia="仿宋" w:cs="仿宋"/>
          <w:color w:val="auto"/>
          <w:highlight w:val="none"/>
        </w:rPr>
        <w:t xml:space="preserve">是否涉及绿色产品： </w:t>
      </w:r>
    </w:p>
    <w:p w14:paraId="7303F717">
      <w:pPr>
        <w:bidi w:val="0"/>
        <w:rPr>
          <w:rFonts w:hint="eastAsia" w:ascii="仿宋" w:hAnsi="仿宋" w:eastAsia="仿宋" w:cs="仿宋"/>
          <w:color w:val="auto"/>
          <w:highlight w:val="none"/>
        </w:rPr>
      </w:pPr>
      <w:r>
        <w:rPr>
          <w:rFonts w:hint="eastAsia" w:ascii="仿宋" w:hAnsi="仿宋" w:eastAsia="仿宋" w:cs="仿宋"/>
          <w:color w:val="auto"/>
          <w:highlight w:val="none"/>
        </w:rPr>
        <w:sym w:font="Wingdings" w:char="00A8"/>
      </w:r>
      <w:r>
        <w:rPr>
          <w:rFonts w:hint="eastAsia" w:ascii="仿宋" w:hAnsi="仿宋" w:eastAsia="仿宋" w:cs="仿宋"/>
          <w:color w:val="auto"/>
          <w:highlight w:val="none"/>
        </w:rPr>
        <w:t xml:space="preserve">是，绿色产品政府采购相关政策确定的底级品目名称：         </w:t>
      </w:r>
    </w:p>
    <w:p w14:paraId="7A2B1414">
      <w:pPr>
        <w:bidi w:val="0"/>
        <w:rPr>
          <w:rFonts w:hint="eastAsia" w:ascii="仿宋" w:hAnsi="仿宋" w:eastAsia="仿宋" w:cs="仿宋"/>
          <w:color w:val="auto"/>
          <w:highlight w:val="none"/>
        </w:rPr>
      </w:pPr>
      <w:r>
        <w:rPr>
          <w:rFonts w:hint="eastAsia" w:ascii="仿宋" w:hAnsi="仿宋" w:eastAsia="仿宋" w:cs="仿宋"/>
          <w:color w:val="auto"/>
          <w:highlight w:val="none"/>
        </w:rPr>
        <w:sym w:font="Wingdings" w:char="00A8"/>
      </w:r>
      <w:r>
        <w:rPr>
          <w:rFonts w:hint="eastAsia" w:ascii="仿宋" w:hAnsi="仿宋" w:eastAsia="仿宋" w:cs="仿宋"/>
          <w:color w:val="auto"/>
          <w:highlight w:val="none"/>
        </w:rPr>
        <w:t xml:space="preserve">强制采购       </w:t>
      </w:r>
      <w:r>
        <w:rPr>
          <w:rFonts w:hint="eastAsia" w:ascii="仿宋" w:hAnsi="仿宋" w:eastAsia="仿宋" w:cs="仿宋"/>
          <w:color w:val="auto"/>
          <w:highlight w:val="none"/>
        </w:rPr>
        <w:sym w:font="Wingdings" w:char="00A8"/>
      </w:r>
      <w:r>
        <w:rPr>
          <w:rFonts w:hint="eastAsia" w:ascii="仿宋" w:hAnsi="仿宋" w:eastAsia="仿宋" w:cs="仿宋"/>
          <w:color w:val="auto"/>
          <w:highlight w:val="none"/>
        </w:rPr>
        <w:t xml:space="preserve">优先采购    </w:t>
      </w:r>
    </w:p>
    <w:p w14:paraId="61AE44AA">
      <w:pPr>
        <w:bidi w:val="0"/>
        <w:rPr>
          <w:rFonts w:hint="eastAsia" w:ascii="仿宋" w:hAnsi="仿宋" w:eastAsia="仿宋" w:cs="仿宋"/>
          <w:color w:val="auto"/>
          <w:highlight w:val="none"/>
        </w:rPr>
      </w:pPr>
      <w:r>
        <w:rPr>
          <w:rFonts w:hint="eastAsia" w:ascii="仿宋" w:hAnsi="仿宋" w:eastAsia="仿宋" w:cs="仿宋"/>
          <w:color w:val="auto"/>
          <w:highlight w:val="none"/>
        </w:rPr>
        <w:sym w:font="Wingdings" w:char="00A8"/>
      </w:r>
      <w:r>
        <w:rPr>
          <w:rFonts w:hint="eastAsia" w:ascii="仿宋" w:hAnsi="仿宋" w:eastAsia="仿宋" w:cs="仿宋"/>
          <w:color w:val="auto"/>
          <w:highlight w:val="none"/>
        </w:rPr>
        <w:t>否</w:t>
      </w:r>
    </w:p>
    <w:p w14:paraId="758D2245">
      <w:pPr>
        <w:bidi w:val="0"/>
        <w:rPr>
          <w:rFonts w:hint="eastAsia" w:ascii="仿宋" w:hAnsi="仿宋" w:eastAsia="仿宋" w:cs="仿宋"/>
          <w:color w:val="auto"/>
          <w:highlight w:val="none"/>
        </w:rPr>
      </w:pPr>
      <w:r>
        <w:rPr>
          <w:rFonts w:hint="eastAsia" w:ascii="仿宋" w:hAnsi="仿宋" w:eastAsia="仿宋" w:cs="仿宋"/>
          <w:color w:val="auto"/>
          <w:highlight w:val="none"/>
        </w:rPr>
        <w:t>（1</w:t>
      </w:r>
      <w:r>
        <w:rPr>
          <w:rFonts w:hint="eastAsia" w:ascii="仿宋" w:hAnsi="仿宋" w:eastAsia="仿宋" w:cs="仿宋"/>
          <w:color w:val="auto"/>
          <w:highlight w:val="none"/>
          <w:lang w:val="en"/>
        </w:rPr>
        <w:t>1</w:t>
      </w:r>
      <w:r>
        <w:rPr>
          <w:rFonts w:hint="eastAsia" w:ascii="仿宋" w:hAnsi="仿宋" w:eastAsia="仿宋" w:cs="仿宋"/>
          <w:color w:val="auto"/>
          <w:highlight w:val="none"/>
        </w:rPr>
        <w:t>）涉及商品包装和快递包装的，是否参考《商品包装政府采购需求标准（试行）》、《快递包装政府采购需求标准（试行）》明确产品及相关快递服务的具体包装要求：</w:t>
      </w:r>
    </w:p>
    <w:p w14:paraId="42689C37">
      <w:pPr>
        <w:bidi w:val="0"/>
        <w:rPr>
          <w:rFonts w:hint="eastAsia" w:ascii="仿宋" w:hAnsi="仿宋" w:eastAsia="仿宋" w:cs="仿宋"/>
          <w:color w:val="auto"/>
          <w:highlight w:val="none"/>
        </w:rPr>
      </w:pPr>
      <w:r>
        <w:rPr>
          <w:rFonts w:hint="eastAsia" w:ascii="仿宋" w:hAnsi="仿宋" w:eastAsia="仿宋" w:cs="仿宋"/>
          <w:color w:val="auto"/>
          <w:highlight w:val="none"/>
        </w:rPr>
        <w:sym w:font="Wingdings" w:char="00A8"/>
      </w:r>
      <w:r>
        <w:rPr>
          <w:rFonts w:hint="eastAsia" w:ascii="仿宋" w:hAnsi="仿宋" w:eastAsia="仿宋" w:cs="仿宋"/>
          <w:color w:val="auto"/>
          <w:highlight w:val="none"/>
        </w:rPr>
        <w:t xml:space="preserve">是       </w:t>
      </w:r>
      <w:r>
        <w:rPr>
          <w:rFonts w:hint="eastAsia" w:ascii="仿宋" w:hAnsi="仿宋" w:eastAsia="仿宋" w:cs="仿宋"/>
          <w:color w:val="auto"/>
          <w:highlight w:val="none"/>
        </w:rPr>
        <w:sym w:font="Wingdings" w:char="00A8"/>
      </w:r>
      <w:r>
        <w:rPr>
          <w:rFonts w:hint="eastAsia" w:ascii="仿宋" w:hAnsi="仿宋" w:eastAsia="仿宋" w:cs="仿宋"/>
          <w:color w:val="auto"/>
          <w:highlight w:val="none"/>
        </w:rPr>
        <w:t xml:space="preserve">否      </w:t>
      </w:r>
      <w:r>
        <w:rPr>
          <w:rFonts w:hint="eastAsia" w:ascii="仿宋" w:hAnsi="仿宋" w:eastAsia="仿宋" w:cs="仿宋"/>
          <w:color w:val="auto"/>
          <w:highlight w:val="none"/>
        </w:rPr>
        <w:sym w:font="Wingdings" w:char="00A8"/>
      </w:r>
      <w:r>
        <w:rPr>
          <w:rFonts w:hint="eastAsia" w:ascii="仿宋" w:hAnsi="仿宋" w:eastAsia="仿宋" w:cs="仿宋"/>
          <w:color w:val="auto"/>
          <w:highlight w:val="none"/>
        </w:rPr>
        <w:t>不涉及</w:t>
      </w:r>
    </w:p>
    <w:p w14:paraId="423DBA3B">
      <w:pPr>
        <w:bidi w:val="0"/>
        <w:rPr>
          <w:rFonts w:hint="eastAsia" w:ascii="仿宋" w:hAnsi="仿宋" w:eastAsia="仿宋" w:cs="仿宋"/>
          <w:color w:val="auto"/>
          <w:highlight w:val="none"/>
        </w:rPr>
      </w:pPr>
      <w:bookmarkStart w:id="440" w:name="_Toc27330"/>
      <w:bookmarkStart w:id="441" w:name="_Toc23279"/>
      <w:bookmarkStart w:id="442" w:name="_Toc15194"/>
      <w:r>
        <w:rPr>
          <w:rFonts w:hint="eastAsia" w:ascii="仿宋" w:hAnsi="仿宋" w:eastAsia="仿宋" w:cs="仿宋"/>
          <w:color w:val="auto"/>
          <w:highlight w:val="none"/>
        </w:rPr>
        <w:t>2.合同金额</w:t>
      </w:r>
      <w:bookmarkEnd w:id="440"/>
      <w:bookmarkEnd w:id="441"/>
      <w:bookmarkEnd w:id="442"/>
    </w:p>
    <w:p w14:paraId="551E3183">
      <w:pPr>
        <w:bidi w:val="0"/>
        <w:rPr>
          <w:rFonts w:hint="eastAsia" w:ascii="仿宋" w:hAnsi="仿宋" w:eastAsia="仿宋" w:cs="仿宋"/>
          <w:color w:val="auto"/>
          <w:highlight w:val="none"/>
        </w:rPr>
      </w:pPr>
      <w:r>
        <w:rPr>
          <w:rFonts w:hint="eastAsia" w:ascii="仿宋" w:hAnsi="仿宋" w:eastAsia="仿宋" w:cs="仿宋"/>
          <w:color w:val="auto"/>
          <w:highlight w:val="none"/>
        </w:rPr>
        <w:t xml:space="preserve">（1）合同金额小写：                                                                大写：                                           </w:t>
      </w:r>
    </w:p>
    <w:p w14:paraId="025E64C1">
      <w:pPr>
        <w:bidi w:val="0"/>
        <w:rPr>
          <w:rFonts w:hint="eastAsia" w:ascii="仿宋" w:hAnsi="仿宋" w:eastAsia="仿宋" w:cs="仿宋"/>
          <w:color w:val="auto"/>
          <w:highlight w:val="none"/>
        </w:rPr>
      </w:pPr>
      <w:r>
        <w:rPr>
          <w:rFonts w:hint="eastAsia" w:ascii="仿宋" w:hAnsi="仿宋" w:eastAsia="仿宋" w:cs="仿宋"/>
          <w:color w:val="auto"/>
          <w:highlight w:val="none"/>
        </w:rPr>
        <w:t xml:space="preserve">          （注：固定单价合同应填写单价和最高限价）</w:t>
      </w:r>
    </w:p>
    <w:p w14:paraId="7A4C04BF">
      <w:pPr>
        <w:bidi w:val="0"/>
        <w:rPr>
          <w:rFonts w:hint="eastAsia" w:ascii="仿宋" w:hAnsi="仿宋" w:eastAsia="仿宋" w:cs="仿宋"/>
          <w:color w:val="auto"/>
          <w:highlight w:val="none"/>
        </w:rPr>
      </w:pPr>
      <w:r>
        <w:rPr>
          <w:rFonts w:hint="eastAsia" w:ascii="仿宋" w:hAnsi="仿宋" w:eastAsia="仿宋" w:cs="仿宋"/>
          <w:color w:val="auto"/>
          <w:highlight w:val="none"/>
        </w:rPr>
        <w:t>（2）合同定价方式（采用组合定价方式的，可以勾选多项）：</w:t>
      </w:r>
    </w:p>
    <w:p w14:paraId="515EFBEA">
      <w:pPr>
        <w:bidi w:val="0"/>
        <w:rPr>
          <w:rFonts w:hint="eastAsia" w:ascii="仿宋" w:hAnsi="仿宋" w:eastAsia="仿宋" w:cs="仿宋"/>
          <w:color w:val="auto"/>
          <w:highlight w:val="none"/>
        </w:rPr>
      </w:pPr>
      <w:r>
        <w:rPr>
          <w:rFonts w:hint="eastAsia" w:ascii="仿宋" w:hAnsi="仿宋" w:eastAsia="仿宋" w:cs="仿宋"/>
          <w:color w:val="auto"/>
          <w:highlight w:val="none"/>
        </w:rPr>
        <w:t>（3）付款方式（按项目实际勾选填写）：</w:t>
      </w:r>
    </w:p>
    <w:p w14:paraId="43F31966">
      <w:pPr>
        <w:bidi w:val="0"/>
        <w:rPr>
          <w:rFonts w:hint="eastAsia" w:ascii="仿宋" w:hAnsi="仿宋" w:eastAsia="仿宋" w:cs="仿宋"/>
          <w:color w:val="auto"/>
          <w:highlight w:val="none"/>
        </w:rPr>
      </w:pPr>
      <w:r>
        <w:rPr>
          <w:rFonts w:hint="eastAsia" w:ascii="仿宋" w:hAnsi="仿宋" w:eastAsia="仿宋" w:cs="仿宋"/>
          <w:color w:val="auto"/>
          <w:highlight w:val="none"/>
        </w:rPr>
        <w:sym w:font="Wingdings" w:char="00A8"/>
      </w:r>
      <w:r>
        <w:rPr>
          <w:rFonts w:hint="eastAsia" w:ascii="仿宋" w:hAnsi="仿宋" w:eastAsia="仿宋" w:cs="仿宋"/>
          <w:color w:val="auto"/>
          <w:highlight w:val="none"/>
        </w:rPr>
        <w:t xml:space="preserve">全额付款：     （应明确一次性支付合同款项的条件）               </w:t>
      </w:r>
    </w:p>
    <w:p w14:paraId="60222C47">
      <w:pPr>
        <w:bidi w:val="0"/>
        <w:rPr>
          <w:rFonts w:hint="eastAsia" w:ascii="仿宋" w:hAnsi="仿宋" w:eastAsia="仿宋" w:cs="仿宋"/>
          <w:color w:val="auto"/>
          <w:highlight w:val="none"/>
        </w:rPr>
      </w:pPr>
      <w:r>
        <w:rPr>
          <w:rFonts w:hint="eastAsia" w:ascii="仿宋" w:hAnsi="仿宋" w:eastAsia="仿宋" w:cs="仿宋"/>
          <w:color w:val="auto"/>
          <w:highlight w:val="none"/>
        </w:rPr>
        <w:sym w:font="Wingdings" w:char="00A8"/>
      </w:r>
      <w:r>
        <w:rPr>
          <w:rFonts w:hint="eastAsia" w:ascii="仿宋" w:hAnsi="仿宋" w:eastAsia="仿宋" w:cs="仿宋"/>
          <w:color w:val="auto"/>
          <w:highlight w:val="none"/>
        </w:rPr>
        <w:t xml:space="preserve">分期付款：  （应明确分期支付合同款项的各期比例和支付条件，各期支付条件应与分期履约验收情况挂钩） ，其中涉及预付款的： （应明确预付款的支付比例和支付条件） </w:t>
      </w:r>
    </w:p>
    <w:p w14:paraId="1A0991E9">
      <w:pPr>
        <w:bidi w:val="0"/>
        <w:rPr>
          <w:rFonts w:hint="eastAsia" w:ascii="仿宋" w:hAnsi="仿宋" w:eastAsia="仿宋" w:cs="仿宋"/>
          <w:color w:val="auto"/>
          <w:highlight w:val="none"/>
        </w:rPr>
      </w:pPr>
      <w:r>
        <w:rPr>
          <w:rFonts w:hint="eastAsia" w:ascii="仿宋" w:hAnsi="仿宋" w:eastAsia="仿宋" w:cs="仿宋"/>
          <w:color w:val="auto"/>
          <w:highlight w:val="none"/>
        </w:rPr>
        <w:sym w:font="Wingdings" w:char="00A8"/>
      </w:r>
      <w:r>
        <w:rPr>
          <w:rFonts w:hint="eastAsia" w:ascii="仿宋" w:hAnsi="仿宋" w:eastAsia="仿宋" w:cs="仿宋"/>
          <w:color w:val="auto"/>
          <w:highlight w:val="none"/>
        </w:rPr>
        <w:t xml:space="preserve">成本补偿：      （应明确按照成本补偿方式的支付方式和支付条件）  </w:t>
      </w:r>
      <w:r>
        <w:rPr>
          <w:rFonts w:hint="eastAsia" w:ascii="仿宋" w:hAnsi="仿宋" w:eastAsia="仿宋" w:cs="仿宋"/>
          <w:color w:val="auto"/>
          <w:highlight w:val="none"/>
        </w:rPr>
        <w:sym w:font="Wingdings" w:char="00A8"/>
      </w:r>
      <w:r>
        <w:rPr>
          <w:rFonts w:hint="eastAsia" w:ascii="仿宋" w:hAnsi="仿宋" w:eastAsia="仿宋" w:cs="仿宋"/>
          <w:color w:val="auto"/>
          <w:highlight w:val="none"/>
        </w:rPr>
        <w:t xml:space="preserve">绩效激励：      （应明确按照绩效激励方式的支付方式和支付条件）  </w:t>
      </w:r>
    </w:p>
    <w:p w14:paraId="7C2F639E">
      <w:pPr>
        <w:bidi w:val="0"/>
        <w:rPr>
          <w:rFonts w:hint="eastAsia" w:ascii="仿宋" w:hAnsi="仿宋" w:eastAsia="仿宋" w:cs="仿宋"/>
          <w:color w:val="auto"/>
          <w:highlight w:val="none"/>
        </w:rPr>
      </w:pPr>
      <w:bookmarkStart w:id="443" w:name="_Toc13883"/>
      <w:bookmarkStart w:id="444" w:name="_Toc21785"/>
      <w:bookmarkStart w:id="445" w:name="_Toc24366"/>
      <w:r>
        <w:rPr>
          <w:rFonts w:hint="eastAsia" w:ascii="仿宋" w:hAnsi="仿宋" w:eastAsia="仿宋" w:cs="仿宋"/>
          <w:color w:val="auto"/>
          <w:highlight w:val="none"/>
        </w:rPr>
        <w:t>3.合同履行</w:t>
      </w:r>
      <w:bookmarkEnd w:id="443"/>
      <w:bookmarkEnd w:id="444"/>
      <w:bookmarkEnd w:id="445"/>
    </w:p>
    <w:p w14:paraId="410DABA5">
      <w:pPr>
        <w:bidi w:val="0"/>
        <w:rPr>
          <w:rFonts w:hint="eastAsia" w:ascii="仿宋" w:hAnsi="仿宋" w:eastAsia="仿宋" w:cs="仿宋"/>
          <w:color w:val="auto"/>
          <w:highlight w:val="none"/>
        </w:rPr>
      </w:pPr>
      <w:r>
        <w:rPr>
          <w:rFonts w:hint="eastAsia" w:ascii="仿宋" w:hAnsi="仿宋" w:eastAsia="仿宋" w:cs="仿宋"/>
          <w:color w:val="auto"/>
          <w:highlight w:val="none"/>
        </w:rPr>
        <w:t>（1）起始日期：    年   月   日，完成日期：    年   月   日。</w:t>
      </w:r>
    </w:p>
    <w:p w14:paraId="447EAD89">
      <w:pPr>
        <w:bidi w:val="0"/>
        <w:rPr>
          <w:rFonts w:hint="eastAsia" w:ascii="仿宋" w:hAnsi="仿宋" w:eastAsia="仿宋" w:cs="仿宋"/>
          <w:color w:val="auto"/>
          <w:highlight w:val="none"/>
        </w:rPr>
      </w:pPr>
      <w:r>
        <w:rPr>
          <w:rFonts w:hint="eastAsia" w:ascii="仿宋" w:hAnsi="仿宋" w:eastAsia="仿宋" w:cs="仿宋"/>
          <w:color w:val="auto"/>
          <w:highlight w:val="none"/>
        </w:rPr>
        <w:t>（2）履约地点：                                                      （3）履约担保：是否收取履约保证金：</w:t>
      </w:r>
      <w:r>
        <w:rPr>
          <w:rFonts w:hint="eastAsia" w:ascii="仿宋" w:hAnsi="仿宋" w:eastAsia="仿宋" w:cs="仿宋"/>
          <w:color w:val="auto"/>
          <w:highlight w:val="none"/>
        </w:rPr>
        <w:sym w:font="Wingdings" w:char="00A8"/>
      </w:r>
      <w:r>
        <w:rPr>
          <w:rFonts w:hint="eastAsia" w:ascii="仿宋" w:hAnsi="仿宋" w:eastAsia="仿宋" w:cs="仿宋"/>
          <w:color w:val="auto"/>
          <w:highlight w:val="none"/>
        </w:rPr>
        <w:t xml:space="preserve">是    </w:t>
      </w:r>
      <w:r>
        <w:rPr>
          <w:rFonts w:hint="eastAsia" w:ascii="仿宋" w:hAnsi="仿宋" w:eastAsia="仿宋" w:cs="仿宋"/>
          <w:color w:val="auto"/>
          <w:highlight w:val="none"/>
        </w:rPr>
        <w:sym w:font="Wingdings" w:char="00A8"/>
      </w:r>
      <w:r>
        <w:rPr>
          <w:rFonts w:hint="eastAsia" w:ascii="仿宋" w:hAnsi="仿宋" w:eastAsia="仿宋" w:cs="仿宋"/>
          <w:color w:val="auto"/>
          <w:highlight w:val="none"/>
        </w:rPr>
        <w:t>否</w:t>
      </w:r>
    </w:p>
    <w:p w14:paraId="4AD43D61">
      <w:pPr>
        <w:bidi w:val="0"/>
        <w:rPr>
          <w:rFonts w:hint="eastAsia" w:ascii="仿宋" w:hAnsi="仿宋" w:eastAsia="仿宋" w:cs="仿宋"/>
          <w:color w:val="auto"/>
          <w:highlight w:val="none"/>
        </w:rPr>
      </w:pPr>
      <w:r>
        <w:rPr>
          <w:rFonts w:hint="eastAsia" w:ascii="仿宋" w:hAnsi="仿宋" w:eastAsia="仿宋" w:cs="仿宋"/>
          <w:color w:val="auto"/>
          <w:highlight w:val="none"/>
        </w:rPr>
        <w:t xml:space="preserve">    收取履约保证金形式：                                              收取履约保证金金额：                                          </w:t>
      </w:r>
    </w:p>
    <w:p w14:paraId="4B439F8F">
      <w:pPr>
        <w:bidi w:val="0"/>
        <w:rPr>
          <w:rFonts w:hint="eastAsia" w:ascii="仿宋" w:hAnsi="仿宋" w:eastAsia="仿宋" w:cs="仿宋"/>
          <w:color w:val="auto"/>
          <w:highlight w:val="none"/>
        </w:rPr>
      </w:pPr>
      <w:r>
        <w:rPr>
          <w:rFonts w:hint="eastAsia" w:ascii="仿宋" w:hAnsi="仿宋" w:eastAsia="仿宋" w:cs="仿宋"/>
          <w:color w:val="auto"/>
          <w:highlight w:val="none"/>
        </w:rPr>
        <w:t xml:space="preserve">    履约担保期限：                                                  （4）分期履行要求：                                                  （5）风险处置措施和替代方案：                                     </w:t>
      </w:r>
    </w:p>
    <w:p w14:paraId="7C4D0B4F">
      <w:pPr>
        <w:bidi w:val="0"/>
        <w:rPr>
          <w:rFonts w:hint="eastAsia" w:ascii="仿宋" w:hAnsi="仿宋" w:eastAsia="仿宋" w:cs="仿宋"/>
          <w:color w:val="auto"/>
          <w:highlight w:val="none"/>
        </w:rPr>
      </w:pPr>
      <w:bookmarkStart w:id="446" w:name="_Toc6767"/>
      <w:bookmarkStart w:id="447" w:name="_Toc18421"/>
      <w:bookmarkStart w:id="448" w:name="_Toc27024"/>
      <w:r>
        <w:rPr>
          <w:rFonts w:hint="eastAsia" w:ascii="仿宋" w:hAnsi="仿宋" w:eastAsia="仿宋" w:cs="仿宋"/>
          <w:color w:val="auto"/>
          <w:highlight w:val="none"/>
        </w:rPr>
        <w:t>4.合同验收</w:t>
      </w:r>
      <w:bookmarkEnd w:id="446"/>
      <w:bookmarkEnd w:id="447"/>
      <w:bookmarkEnd w:id="448"/>
    </w:p>
    <w:p w14:paraId="32B7D827">
      <w:pPr>
        <w:bidi w:val="0"/>
        <w:rPr>
          <w:rFonts w:hint="eastAsia" w:ascii="仿宋" w:hAnsi="仿宋" w:eastAsia="仿宋" w:cs="仿宋"/>
          <w:color w:val="auto"/>
          <w:highlight w:val="none"/>
        </w:rPr>
      </w:pPr>
      <w:r>
        <w:rPr>
          <w:rFonts w:hint="eastAsia" w:ascii="仿宋" w:hAnsi="仿宋" w:eastAsia="仿宋" w:cs="仿宋"/>
          <w:color w:val="auto"/>
          <w:highlight w:val="none"/>
        </w:rPr>
        <w:t>（1）验收组织方式：</w:t>
      </w:r>
      <w:r>
        <w:rPr>
          <w:rFonts w:hint="eastAsia" w:ascii="仿宋" w:hAnsi="仿宋" w:eastAsia="仿宋" w:cs="仿宋"/>
          <w:color w:val="auto"/>
          <w:highlight w:val="none"/>
        </w:rPr>
        <w:sym w:font="Wingdings" w:char="00A8"/>
      </w:r>
      <w:r>
        <w:rPr>
          <w:rFonts w:hint="eastAsia" w:ascii="仿宋" w:hAnsi="仿宋" w:eastAsia="仿宋" w:cs="仿宋"/>
          <w:color w:val="auto"/>
          <w:highlight w:val="none"/>
        </w:rPr>
        <w:t xml:space="preserve">自行组织 </w:t>
      </w:r>
      <w:r>
        <w:rPr>
          <w:rFonts w:hint="eastAsia" w:ascii="仿宋" w:hAnsi="仿宋" w:eastAsia="仿宋" w:cs="仿宋"/>
          <w:color w:val="auto"/>
          <w:highlight w:val="none"/>
        </w:rPr>
        <w:sym w:font="Wingdings" w:char="00A8"/>
      </w:r>
      <w:r>
        <w:rPr>
          <w:rFonts w:hint="eastAsia" w:ascii="仿宋" w:hAnsi="仿宋" w:eastAsia="仿宋" w:cs="仿宋"/>
          <w:color w:val="auto"/>
          <w:highlight w:val="none"/>
        </w:rPr>
        <w:t>委托第三方组织</w:t>
      </w:r>
    </w:p>
    <w:p w14:paraId="51EC0CC9">
      <w:pPr>
        <w:bidi w:val="0"/>
        <w:rPr>
          <w:rFonts w:hint="eastAsia" w:ascii="仿宋" w:hAnsi="仿宋" w:eastAsia="仿宋" w:cs="仿宋"/>
          <w:color w:val="auto"/>
          <w:highlight w:val="none"/>
        </w:rPr>
      </w:pPr>
      <w:r>
        <w:rPr>
          <w:rFonts w:hint="eastAsia" w:ascii="仿宋" w:hAnsi="仿宋" w:eastAsia="仿宋" w:cs="仿宋"/>
          <w:color w:val="auto"/>
          <w:highlight w:val="none"/>
        </w:rPr>
        <w:t xml:space="preserve">         验收主体：                                                           是否邀请本项目的其他投标人参加验收：</w:t>
      </w:r>
      <w:r>
        <w:rPr>
          <w:rFonts w:hint="eastAsia" w:ascii="仿宋" w:hAnsi="仿宋" w:eastAsia="仿宋" w:cs="仿宋"/>
          <w:color w:val="auto"/>
          <w:highlight w:val="none"/>
        </w:rPr>
        <w:sym w:font="Wingdings" w:char="00A8"/>
      </w:r>
      <w:r>
        <w:rPr>
          <w:rFonts w:hint="eastAsia" w:ascii="仿宋" w:hAnsi="仿宋" w:eastAsia="仿宋" w:cs="仿宋"/>
          <w:color w:val="auto"/>
          <w:highlight w:val="none"/>
        </w:rPr>
        <w:t xml:space="preserve">是  </w:t>
      </w:r>
      <w:r>
        <w:rPr>
          <w:rFonts w:hint="eastAsia" w:ascii="仿宋" w:hAnsi="仿宋" w:eastAsia="仿宋" w:cs="仿宋"/>
          <w:color w:val="auto"/>
          <w:highlight w:val="none"/>
        </w:rPr>
        <w:sym w:font="Wingdings" w:char="00A8"/>
      </w:r>
      <w:r>
        <w:rPr>
          <w:rFonts w:hint="eastAsia" w:ascii="仿宋" w:hAnsi="仿宋" w:eastAsia="仿宋" w:cs="仿宋"/>
          <w:color w:val="auto"/>
          <w:highlight w:val="none"/>
        </w:rPr>
        <w:t>否</w:t>
      </w:r>
    </w:p>
    <w:p w14:paraId="67B352D5">
      <w:pPr>
        <w:bidi w:val="0"/>
        <w:rPr>
          <w:rFonts w:hint="eastAsia" w:ascii="仿宋" w:hAnsi="仿宋" w:eastAsia="仿宋" w:cs="仿宋"/>
          <w:color w:val="auto"/>
          <w:highlight w:val="none"/>
        </w:rPr>
      </w:pPr>
      <w:r>
        <w:rPr>
          <w:rFonts w:hint="eastAsia" w:ascii="仿宋" w:hAnsi="仿宋" w:eastAsia="仿宋" w:cs="仿宋"/>
          <w:color w:val="auto"/>
          <w:highlight w:val="none"/>
        </w:rPr>
        <w:t>是否邀请专家参加验收：</w:t>
      </w:r>
      <w:r>
        <w:rPr>
          <w:rFonts w:hint="eastAsia" w:ascii="仿宋" w:hAnsi="仿宋" w:eastAsia="仿宋" w:cs="仿宋"/>
          <w:color w:val="auto"/>
          <w:highlight w:val="none"/>
        </w:rPr>
        <w:sym w:font="Wingdings" w:char="00A8"/>
      </w:r>
      <w:r>
        <w:rPr>
          <w:rFonts w:hint="eastAsia" w:ascii="仿宋" w:hAnsi="仿宋" w:eastAsia="仿宋" w:cs="仿宋"/>
          <w:color w:val="auto"/>
          <w:highlight w:val="none"/>
        </w:rPr>
        <w:t xml:space="preserve">是  </w:t>
      </w:r>
      <w:r>
        <w:rPr>
          <w:rFonts w:hint="eastAsia" w:ascii="仿宋" w:hAnsi="仿宋" w:eastAsia="仿宋" w:cs="仿宋"/>
          <w:color w:val="auto"/>
          <w:highlight w:val="none"/>
        </w:rPr>
        <w:sym w:font="Wingdings" w:char="00A8"/>
      </w:r>
      <w:r>
        <w:rPr>
          <w:rFonts w:hint="eastAsia" w:ascii="仿宋" w:hAnsi="仿宋" w:eastAsia="仿宋" w:cs="仿宋"/>
          <w:color w:val="auto"/>
          <w:highlight w:val="none"/>
        </w:rPr>
        <w:t>否</w:t>
      </w:r>
    </w:p>
    <w:p w14:paraId="657DB115">
      <w:pPr>
        <w:bidi w:val="0"/>
        <w:rPr>
          <w:rFonts w:hint="eastAsia" w:ascii="仿宋" w:hAnsi="仿宋" w:eastAsia="仿宋" w:cs="仿宋"/>
          <w:color w:val="auto"/>
          <w:highlight w:val="none"/>
        </w:rPr>
      </w:pPr>
      <w:r>
        <w:rPr>
          <w:rFonts w:hint="eastAsia" w:ascii="仿宋" w:hAnsi="仿宋" w:eastAsia="仿宋" w:cs="仿宋"/>
          <w:color w:val="auto"/>
          <w:highlight w:val="none"/>
        </w:rPr>
        <w:t>是否邀请服务对象参加验收：</w:t>
      </w:r>
      <w:r>
        <w:rPr>
          <w:rFonts w:hint="eastAsia" w:ascii="仿宋" w:hAnsi="仿宋" w:eastAsia="仿宋" w:cs="仿宋"/>
          <w:color w:val="auto"/>
          <w:highlight w:val="none"/>
        </w:rPr>
        <w:sym w:font="Wingdings" w:char="00A8"/>
      </w:r>
      <w:r>
        <w:rPr>
          <w:rFonts w:hint="eastAsia" w:ascii="仿宋" w:hAnsi="仿宋" w:eastAsia="仿宋" w:cs="仿宋"/>
          <w:color w:val="auto"/>
          <w:highlight w:val="none"/>
        </w:rPr>
        <w:t xml:space="preserve">是  </w:t>
      </w:r>
      <w:r>
        <w:rPr>
          <w:rFonts w:hint="eastAsia" w:ascii="仿宋" w:hAnsi="仿宋" w:eastAsia="仿宋" w:cs="仿宋"/>
          <w:color w:val="auto"/>
          <w:highlight w:val="none"/>
        </w:rPr>
        <w:sym w:font="Wingdings" w:char="00A8"/>
      </w:r>
      <w:r>
        <w:rPr>
          <w:rFonts w:hint="eastAsia" w:ascii="仿宋" w:hAnsi="仿宋" w:eastAsia="仿宋" w:cs="仿宋"/>
          <w:color w:val="auto"/>
          <w:highlight w:val="none"/>
        </w:rPr>
        <w:t>否</w:t>
      </w:r>
    </w:p>
    <w:p w14:paraId="21FF6E90">
      <w:pPr>
        <w:bidi w:val="0"/>
        <w:rPr>
          <w:rFonts w:hint="eastAsia" w:ascii="仿宋" w:hAnsi="仿宋" w:eastAsia="仿宋" w:cs="仿宋"/>
          <w:color w:val="auto"/>
          <w:highlight w:val="none"/>
        </w:rPr>
      </w:pPr>
      <w:r>
        <w:rPr>
          <w:rFonts w:hint="eastAsia" w:ascii="仿宋" w:hAnsi="仿宋" w:eastAsia="仿宋" w:cs="仿宋"/>
          <w:color w:val="auto"/>
          <w:highlight w:val="none"/>
        </w:rPr>
        <w:t>是否邀请第三方检测机构参加验收：</w:t>
      </w:r>
      <w:r>
        <w:rPr>
          <w:rFonts w:hint="eastAsia" w:ascii="仿宋" w:hAnsi="仿宋" w:eastAsia="仿宋" w:cs="仿宋"/>
          <w:color w:val="auto"/>
          <w:highlight w:val="none"/>
        </w:rPr>
        <w:sym w:font="Wingdings" w:char="00A8"/>
      </w:r>
      <w:r>
        <w:rPr>
          <w:rFonts w:hint="eastAsia" w:ascii="仿宋" w:hAnsi="仿宋" w:eastAsia="仿宋" w:cs="仿宋"/>
          <w:color w:val="auto"/>
          <w:highlight w:val="none"/>
        </w:rPr>
        <w:t xml:space="preserve">是  </w:t>
      </w:r>
      <w:r>
        <w:rPr>
          <w:rFonts w:hint="eastAsia" w:ascii="仿宋" w:hAnsi="仿宋" w:eastAsia="仿宋" w:cs="仿宋"/>
          <w:color w:val="auto"/>
          <w:highlight w:val="none"/>
        </w:rPr>
        <w:sym w:font="Wingdings" w:char="00A8"/>
      </w:r>
      <w:r>
        <w:rPr>
          <w:rFonts w:hint="eastAsia" w:ascii="仿宋" w:hAnsi="仿宋" w:eastAsia="仿宋" w:cs="仿宋"/>
          <w:color w:val="auto"/>
          <w:highlight w:val="none"/>
        </w:rPr>
        <w:t>否</w:t>
      </w:r>
    </w:p>
    <w:p w14:paraId="5F414E6C">
      <w:pPr>
        <w:bidi w:val="0"/>
        <w:rPr>
          <w:rFonts w:hint="eastAsia" w:ascii="仿宋" w:hAnsi="仿宋" w:eastAsia="仿宋" w:cs="仿宋"/>
          <w:color w:val="auto"/>
          <w:highlight w:val="none"/>
        </w:rPr>
      </w:pPr>
      <w:r>
        <w:rPr>
          <w:rFonts w:hint="eastAsia" w:ascii="仿宋" w:hAnsi="仿宋" w:eastAsia="仿宋" w:cs="仿宋"/>
          <w:color w:val="auto"/>
          <w:highlight w:val="none"/>
        </w:rPr>
        <w:t>是否进行抽查检测：</w:t>
      </w:r>
      <w:r>
        <w:rPr>
          <w:rFonts w:hint="eastAsia" w:ascii="仿宋" w:hAnsi="仿宋" w:eastAsia="仿宋" w:cs="仿宋"/>
          <w:color w:val="auto"/>
          <w:highlight w:val="none"/>
        </w:rPr>
        <w:sym w:font="Wingdings" w:char="00A8"/>
      </w:r>
      <w:r>
        <w:rPr>
          <w:rFonts w:hint="eastAsia" w:ascii="仿宋" w:hAnsi="仿宋" w:eastAsia="仿宋" w:cs="仿宋"/>
          <w:color w:val="auto"/>
          <w:highlight w:val="none"/>
        </w:rPr>
        <w:t xml:space="preserve">是，抽查比例：         </w:t>
      </w:r>
      <w:r>
        <w:rPr>
          <w:rFonts w:hint="eastAsia" w:ascii="仿宋" w:hAnsi="仿宋" w:eastAsia="仿宋" w:cs="仿宋"/>
          <w:color w:val="auto"/>
          <w:highlight w:val="none"/>
        </w:rPr>
        <w:sym w:font="Wingdings" w:char="00A8"/>
      </w:r>
      <w:r>
        <w:rPr>
          <w:rFonts w:hint="eastAsia" w:ascii="仿宋" w:hAnsi="仿宋" w:eastAsia="仿宋" w:cs="仿宋"/>
          <w:color w:val="auto"/>
          <w:highlight w:val="none"/>
        </w:rPr>
        <w:t>否</w:t>
      </w:r>
    </w:p>
    <w:p w14:paraId="676A6358">
      <w:pPr>
        <w:bidi w:val="0"/>
        <w:rPr>
          <w:rFonts w:hint="eastAsia" w:ascii="仿宋" w:hAnsi="仿宋" w:eastAsia="仿宋" w:cs="仿宋"/>
          <w:color w:val="auto"/>
          <w:highlight w:val="none"/>
        </w:rPr>
      </w:pPr>
      <w:r>
        <w:rPr>
          <w:rFonts w:hint="eastAsia" w:ascii="仿宋" w:hAnsi="仿宋" w:eastAsia="仿宋" w:cs="仿宋"/>
          <w:color w:val="auto"/>
          <w:highlight w:val="none"/>
        </w:rPr>
        <w:t>是否存在破坏性检测：</w:t>
      </w:r>
      <w:r>
        <w:rPr>
          <w:rFonts w:hint="eastAsia" w:ascii="仿宋" w:hAnsi="仿宋" w:eastAsia="仿宋" w:cs="仿宋"/>
          <w:color w:val="auto"/>
          <w:highlight w:val="none"/>
        </w:rPr>
        <w:sym w:font="Wingdings" w:char="00A8"/>
      </w:r>
      <w:r>
        <w:rPr>
          <w:rFonts w:hint="eastAsia" w:ascii="仿宋" w:hAnsi="仿宋" w:eastAsia="仿宋" w:cs="仿宋"/>
          <w:color w:val="auto"/>
          <w:highlight w:val="none"/>
        </w:rPr>
        <w:t>是，（应明确对被破坏的检测产品的处理方式）</w:t>
      </w:r>
    </w:p>
    <w:p w14:paraId="77720633">
      <w:pPr>
        <w:bidi w:val="0"/>
        <w:rPr>
          <w:rFonts w:hint="eastAsia" w:ascii="仿宋" w:hAnsi="仿宋" w:eastAsia="仿宋" w:cs="仿宋"/>
          <w:color w:val="auto"/>
          <w:highlight w:val="none"/>
        </w:rPr>
      </w:pPr>
      <w:r>
        <w:rPr>
          <w:rFonts w:hint="eastAsia" w:ascii="仿宋" w:hAnsi="仿宋" w:eastAsia="仿宋" w:cs="仿宋"/>
          <w:color w:val="auto"/>
          <w:highlight w:val="none"/>
        </w:rPr>
        <w:t xml:space="preserve">                    </w:t>
      </w:r>
      <w:r>
        <w:rPr>
          <w:rFonts w:hint="eastAsia" w:ascii="仿宋" w:hAnsi="仿宋" w:eastAsia="仿宋" w:cs="仿宋"/>
          <w:color w:val="auto"/>
          <w:highlight w:val="none"/>
        </w:rPr>
        <w:sym w:font="Wingdings" w:char="00A8"/>
      </w:r>
      <w:r>
        <w:rPr>
          <w:rFonts w:hint="eastAsia" w:ascii="仿宋" w:hAnsi="仿宋" w:eastAsia="仿宋" w:cs="仿宋"/>
          <w:color w:val="auto"/>
          <w:highlight w:val="none"/>
        </w:rPr>
        <w:t>否</w:t>
      </w:r>
    </w:p>
    <w:p w14:paraId="6C64CD8F">
      <w:pPr>
        <w:bidi w:val="0"/>
        <w:rPr>
          <w:rFonts w:hint="eastAsia" w:ascii="仿宋" w:hAnsi="仿宋" w:eastAsia="仿宋" w:cs="仿宋"/>
          <w:color w:val="auto"/>
          <w:highlight w:val="none"/>
        </w:rPr>
      </w:pPr>
      <w:r>
        <w:rPr>
          <w:rFonts w:hint="eastAsia" w:ascii="仿宋" w:hAnsi="仿宋" w:eastAsia="仿宋" w:cs="仿宋"/>
          <w:color w:val="auto"/>
          <w:highlight w:val="none"/>
        </w:rPr>
        <w:t xml:space="preserve">验收组织的其他事项：                                              （2）履约验收时间：（计划于何时验收/投标人提出验收申请之日起   日内组织验收） </w:t>
      </w:r>
    </w:p>
    <w:p w14:paraId="722ECAAD">
      <w:pPr>
        <w:bidi w:val="0"/>
        <w:rPr>
          <w:rFonts w:hint="eastAsia" w:ascii="仿宋" w:hAnsi="仿宋" w:eastAsia="仿宋" w:cs="仿宋"/>
          <w:color w:val="auto"/>
          <w:highlight w:val="none"/>
        </w:rPr>
      </w:pPr>
      <w:r>
        <w:rPr>
          <w:rFonts w:hint="eastAsia" w:ascii="仿宋" w:hAnsi="仿宋" w:eastAsia="仿宋" w:cs="仿宋"/>
          <w:color w:val="auto"/>
          <w:highlight w:val="none"/>
        </w:rPr>
        <w:t>（3）履约验收方式：</w:t>
      </w:r>
      <w:r>
        <w:rPr>
          <w:rFonts w:hint="eastAsia" w:ascii="仿宋" w:hAnsi="仿宋" w:eastAsia="仿宋" w:cs="仿宋"/>
          <w:color w:val="auto"/>
          <w:highlight w:val="none"/>
        </w:rPr>
        <w:sym w:font="Wingdings" w:char="00A8"/>
      </w:r>
      <w:r>
        <w:rPr>
          <w:rFonts w:hint="eastAsia" w:ascii="仿宋" w:hAnsi="仿宋" w:eastAsia="仿宋" w:cs="仿宋"/>
          <w:color w:val="auto"/>
          <w:highlight w:val="none"/>
        </w:rPr>
        <w:t xml:space="preserve">一次性验收   </w:t>
      </w:r>
      <w:r>
        <w:rPr>
          <w:rFonts w:hint="eastAsia" w:ascii="仿宋" w:hAnsi="仿宋" w:eastAsia="仿宋" w:cs="仿宋"/>
          <w:color w:val="auto"/>
          <w:highlight w:val="none"/>
        </w:rPr>
        <w:sym w:font="Wingdings" w:char="00A8"/>
      </w:r>
      <w:r>
        <w:rPr>
          <w:rFonts w:hint="eastAsia" w:ascii="仿宋" w:hAnsi="仿宋" w:eastAsia="仿宋" w:cs="仿宋"/>
          <w:color w:val="auto"/>
          <w:highlight w:val="none"/>
        </w:rPr>
        <w:t>分期/分项验收：（应明确分期</w:t>
      </w:r>
      <w:r>
        <w:rPr>
          <w:rFonts w:hint="eastAsia" w:ascii="仿宋" w:hAnsi="仿宋" w:eastAsia="仿宋" w:cs="仿宋"/>
          <w:color w:val="auto"/>
          <w:highlight w:val="none"/>
          <w:lang w:val="en"/>
        </w:rPr>
        <w:t>/分项验收的工作安排</w:t>
      </w:r>
      <w:r>
        <w:rPr>
          <w:rFonts w:hint="eastAsia" w:ascii="仿宋" w:hAnsi="仿宋" w:eastAsia="仿宋" w:cs="仿宋"/>
          <w:color w:val="auto"/>
          <w:highlight w:val="none"/>
        </w:rPr>
        <w:t xml:space="preserve">）  </w:t>
      </w:r>
    </w:p>
    <w:p w14:paraId="08224610">
      <w:pPr>
        <w:bidi w:val="0"/>
        <w:rPr>
          <w:rFonts w:hint="eastAsia" w:ascii="仿宋" w:hAnsi="仿宋" w:eastAsia="仿宋" w:cs="仿宋"/>
          <w:color w:val="auto"/>
          <w:highlight w:val="none"/>
        </w:rPr>
      </w:pPr>
      <w:r>
        <w:rPr>
          <w:rFonts w:hint="eastAsia" w:ascii="仿宋" w:hAnsi="仿宋" w:eastAsia="仿宋" w:cs="仿宋"/>
          <w:color w:val="auto"/>
          <w:highlight w:val="none"/>
        </w:rPr>
        <w:t xml:space="preserve">（4）履约验收程序：                                                  （5）履约验收的内容：                                （应当包括每一项技术和商务要求的履约情况，特别是落实政府采购扶持中小企业，支持绿色发展和乡村振兴等政策情况）                                      </w:t>
      </w:r>
    </w:p>
    <w:p w14:paraId="25E686FE">
      <w:pPr>
        <w:bidi w:val="0"/>
        <w:rPr>
          <w:rFonts w:hint="eastAsia" w:ascii="仿宋" w:hAnsi="仿宋" w:eastAsia="仿宋" w:cs="仿宋"/>
          <w:color w:val="auto"/>
          <w:highlight w:val="none"/>
        </w:rPr>
      </w:pPr>
      <w:r>
        <w:rPr>
          <w:rFonts w:hint="eastAsia" w:ascii="仿宋" w:hAnsi="仿宋" w:eastAsia="仿宋" w:cs="仿宋"/>
          <w:color w:val="auto"/>
          <w:highlight w:val="none"/>
        </w:rPr>
        <w:t xml:space="preserve">（6）履约验收标准：                                      </w:t>
      </w:r>
    </w:p>
    <w:p w14:paraId="17D57413">
      <w:pPr>
        <w:bidi w:val="0"/>
        <w:rPr>
          <w:rFonts w:hint="eastAsia" w:ascii="仿宋" w:hAnsi="仿宋" w:eastAsia="仿宋" w:cs="仿宋"/>
          <w:color w:val="auto"/>
          <w:highlight w:val="none"/>
        </w:rPr>
      </w:pPr>
      <w:r>
        <w:rPr>
          <w:rFonts w:hint="eastAsia" w:ascii="仿宋" w:hAnsi="仿宋" w:eastAsia="仿宋" w:cs="仿宋"/>
          <w:color w:val="auto"/>
          <w:highlight w:val="none"/>
        </w:rPr>
        <w:t>（7）是否以采购活动中投标人提供的样品作为参考：</w:t>
      </w:r>
      <w:r>
        <w:rPr>
          <w:rFonts w:hint="eastAsia" w:ascii="仿宋" w:hAnsi="仿宋" w:eastAsia="仿宋" w:cs="仿宋"/>
          <w:color w:val="auto"/>
          <w:highlight w:val="none"/>
        </w:rPr>
        <w:sym w:font="Wingdings" w:char="00A8"/>
      </w:r>
      <w:r>
        <w:rPr>
          <w:rFonts w:hint="eastAsia" w:ascii="仿宋" w:hAnsi="仿宋" w:eastAsia="仿宋" w:cs="仿宋"/>
          <w:color w:val="auto"/>
          <w:highlight w:val="none"/>
        </w:rPr>
        <w:t xml:space="preserve">是  </w:t>
      </w:r>
      <w:r>
        <w:rPr>
          <w:rFonts w:hint="eastAsia" w:ascii="仿宋" w:hAnsi="仿宋" w:eastAsia="仿宋" w:cs="仿宋"/>
          <w:color w:val="auto"/>
          <w:highlight w:val="none"/>
        </w:rPr>
        <w:sym w:font="Wingdings" w:char="00A8"/>
      </w:r>
      <w:r>
        <w:rPr>
          <w:rFonts w:hint="eastAsia" w:ascii="仿宋" w:hAnsi="仿宋" w:eastAsia="仿宋" w:cs="仿宋"/>
          <w:color w:val="auto"/>
          <w:highlight w:val="none"/>
        </w:rPr>
        <w:t>否</w:t>
      </w:r>
    </w:p>
    <w:p w14:paraId="72D2C069">
      <w:pPr>
        <w:bidi w:val="0"/>
        <w:rPr>
          <w:rFonts w:hint="eastAsia" w:ascii="仿宋" w:hAnsi="仿宋" w:eastAsia="仿宋" w:cs="仿宋"/>
          <w:color w:val="auto"/>
          <w:highlight w:val="none"/>
        </w:rPr>
      </w:pPr>
      <w:r>
        <w:rPr>
          <w:rFonts w:hint="eastAsia" w:ascii="仿宋" w:hAnsi="仿宋" w:eastAsia="仿宋" w:cs="仿宋"/>
          <w:color w:val="auto"/>
          <w:highlight w:val="none"/>
        </w:rPr>
        <w:t xml:space="preserve">（8）履约验收其他事项：                               （产权过户登记等）          </w:t>
      </w:r>
    </w:p>
    <w:p w14:paraId="1A2C6F3D">
      <w:pPr>
        <w:bidi w:val="0"/>
        <w:rPr>
          <w:rFonts w:hint="eastAsia" w:ascii="仿宋" w:hAnsi="仿宋" w:eastAsia="仿宋" w:cs="仿宋"/>
          <w:color w:val="auto"/>
          <w:highlight w:val="none"/>
        </w:rPr>
      </w:pPr>
      <w:bookmarkStart w:id="449" w:name="_Toc26872"/>
      <w:bookmarkStart w:id="450" w:name="_Toc13346"/>
      <w:bookmarkStart w:id="451" w:name="_Toc21067"/>
      <w:r>
        <w:rPr>
          <w:rFonts w:hint="eastAsia" w:ascii="仿宋" w:hAnsi="仿宋" w:eastAsia="仿宋" w:cs="仿宋"/>
          <w:color w:val="auto"/>
          <w:highlight w:val="none"/>
        </w:rPr>
        <w:t>5.组成合同的文件</w:t>
      </w:r>
      <w:bookmarkEnd w:id="449"/>
      <w:bookmarkEnd w:id="450"/>
      <w:bookmarkEnd w:id="451"/>
    </w:p>
    <w:p w14:paraId="35B42AA3">
      <w:pPr>
        <w:bidi w:val="0"/>
        <w:rPr>
          <w:rFonts w:hint="eastAsia" w:ascii="仿宋" w:hAnsi="仿宋" w:eastAsia="仿宋" w:cs="仿宋"/>
          <w:color w:val="auto"/>
          <w:highlight w:val="none"/>
        </w:rPr>
      </w:pPr>
      <w:r>
        <w:rPr>
          <w:rFonts w:hint="eastAsia" w:ascii="仿宋" w:hAnsi="仿宋" w:eastAsia="仿宋" w:cs="仿宋"/>
          <w:color w:val="auto"/>
          <w:highlight w:val="none"/>
        </w:rPr>
        <w:t>本协议书与下列文件一起构成合同文件，如下述文件之间有任何抵触、矛盾或歧义，应按以下顺序解释：</w:t>
      </w:r>
    </w:p>
    <w:p w14:paraId="5BD480E3">
      <w:pPr>
        <w:bidi w:val="0"/>
        <w:rPr>
          <w:rFonts w:hint="eastAsia" w:ascii="仿宋" w:hAnsi="仿宋" w:eastAsia="仿宋" w:cs="仿宋"/>
          <w:color w:val="auto"/>
          <w:highlight w:val="none"/>
        </w:rPr>
      </w:pPr>
      <w:r>
        <w:rPr>
          <w:rFonts w:hint="eastAsia" w:ascii="仿宋" w:hAnsi="仿宋" w:eastAsia="仿宋" w:cs="仿宋"/>
          <w:color w:val="auto"/>
          <w:highlight w:val="none"/>
        </w:rPr>
        <w:t>（1）政府采购合同协议书及其变更、补充协议</w:t>
      </w:r>
    </w:p>
    <w:p w14:paraId="02615DDC">
      <w:pPr>
        <w:bidi w:val="0"/>
        <w:rPr>
          <w:rFonts w:hint="eastAsia" w:ascii="仿宋" w:hAnsi="仿宋" w:eastAsia="仿宋" w:cs="仿宋"/>
          <w:color w:val="auto"/>
          <w:highlight w:val="none"/>
        </w:rPr>
      </w:pPr>
      <w:r>
        <w:rPr>
          <w:rFonts w:hint="eastAsia" w:ascii="仿宋" w:hAnsi="仿宋" w:eastAsia="仿宋" w:cs="仿宋"/>
          <w:color w:val="auto"/>
          <w:highlight w:val="none"/>
        </w:rPr>
        <w:t>（2）政府采购合同专用条款</w:t>
      </w:r>
    </w:p>
    <w:p w14:paraId="6C5A68C8">
      <w:pPr>
        <w:bidi w:val="0"/>
        <w:rPr>
          <w:rFonts w:hint="eastAsia" w:ascii="仿宋" w:hAnsi="仿宋" w:eastAsia="仿宋" w:cs="仿宋"/>
          <w:color w:val="auto"/>
          <w:highlight w:val="none"/>
        </w:rPr>
      </w:pPr>
      <w:r>
        <w:rPr>
          <w:rFonts w:hint="eastAsia" w:ascii="仿宋" w:hAnsi="仿宋" w:eastAsia="仿宋" w:cs="仿宋"/>
          <w:color w:val="auto"/>
          <w:highlight w:val="none"/>
        </w:rPr>
        <w:t>（3）政府采购合同通用条款</w:t>
      </w:r>
    </w:p>
    <w:p w14:paraId="6372B2C6">
      <w:pPr>
        <w:bidi w:val="0"/>
        <w:rPr>
          <w:rFonts w:hint="eastAsia" w:ascii="仿宋" w:hAnsi="仿宋" w:eastAsia="仿宋" w:cs="仿宋"/>
          <w:color w:val="auto"/>
          <w:highlight w:val="none"/>
        </w:rPr>
      </w:pPr>
      <w:r>
        <w:rPr>
          <w:rFonts w:hint="eastAsia" w:ascii="仿宋" w:hAnsi="仿宋" w:eastAsia="仿宋" w:cs="仿宋"/>
          <w:color w:val="auto"/>
          <w:highlight w:val="none"/>
        </w:rPr>
        <w:t>（4）中标（成交）通知书</w:t>
      </w:r>
    </w:p>
    <w:p w14:paraId="424138E9">
      <w:pPr>
        <w:bidi w:val="0"/>
        <w:rPr>
          <w:rFonts w:hint="eastAsia" w:ascii="仿宋" w:hAnsi="仿宋" w:eastAsia="仿宋" w:cs="仿宋"/>
          <w:color w:val="auto"/>
          <w:highlight w:val="none"/>
        </w:rPr>
      </w:pPr>
      <w:r>
        <w:rPr>
          <w:rFonts w:hint="eastAsia" w:ascii="仿宋" w:hAnsi="仿宋" w:eastAsia="仿宋" w:cs="仿宋"/>
          <w:color w:val="auto"/>
          <w:highlight w:val="none"/>
        </w:rPr>
        <w:t>（5）投标（响应）文件</w:t>
      </w:r>
    </w:p>
    <w:p w14:paraId="5B311A76">
      <w:pPr>
        <w:bidi w:val="0"/>
        <w:rPr>
          <w:rFonts w:hint="eastAsia" w:ascii="仿宋" w:hAnsi="仿宋" w:eastAsia="仿宋" w:cs="仿宋"/>
          <w:color w:val="auto"/>
          <w:highlight w:val="none"/>
        </w:rPr>
      </w:pPr>
      <w:r>
        <w:rPr>
          <w:rFonts w:hint="eastAsia" w:ascii="仿宋" w:hAnsi="仿宋" w:eastAsia="仿宋" w:cs="仿宋"/>
          <w:color w:val="auto"/>
          <w:highlight w:val="none"/>
        </w:rPr>
        <w:t>（6）招标文件</w:t>
      </w:r>
    </w:p>
    <w:p w14:paraId="05D0F637">
      <w:pPr>
        <w:bidi w:val="0"/>
        <w:rPr>
          <w:rFonts w:hint="eastAsia" w:ascii="仿宋" w:hAnsi="仿宋" w:eastAsia="仿宋" w:cs="仿宋"/>
          <w:color w:val="auto"/>
          <w:highlight w:val="none"/>
        </w:rPr>
      </w:pPr>
      <w:r>
        <w:rPr>
          <w:rFonts w:hint="eastAsia" w:ascii="仿宋" w:hAnsi="仿宋" w:eastAsia="仿宋" w:cs="仿宋"/>
          <w:color w:val="auto"/>
          <w:highlight w:val="none"/>
        </w:rPr>
        <w:t>（7）有关技术文件，图纸</w:t>
      </w:r>
    </w:p>
    <w:p w14:paraId="3C824B30">
      <w:pPr>
        <w:bidi w:val="0"/>
        <w:rPr>
          <w:rFonts w:hint="eastAsia" w:ascii="仿宋" w:hAnsi="仿宋" w:eastAsia="仿宋" w:cs="仿宋"/>
          <w:color w:val="auto"/>
          <w:highlight w:val="none"/>
        </w:rPr>
      </w:pPr>
      <w:r>
        <w:rPr>
          <w:rFonts w:hint="eastAsia" w:ascii="仿宋" w:hAnsi="仿宋" w:eastAsia="仿宋" w:cs="仿宋"/>
          <w:color w:val="auto"/>
          <w:highlight w:val="none"/>
        </w:rPr>
        <w:t>（8）国家法律、行政法规和规章制度规定或合同约定的作为合同组成部分的其他文件</w:t>
      </w:r>
    </w:p>
    <w:p w14:paraId="6D8B348B">
      <w:pPr>
        <w:bidi w:val="0"/>
        <w:rPr>
          <w:rFonts w:hint="eastAsia" w:ascii="仿宋" w:hAnsi="仿宋" w:eastAsia="仿宋" w:cs="仿宋"/>
          <w:color w:val="auto"/>
          <w:highlight w:val="none"/>
        </w:rPr>
      </w:pPr>
      <w:bookmarkStart w:id="452" w:name="_Toc24823"/>
      <w:bookmarkStart w:id="453" w:name="_Toc13211"/>
      <w:bookmarkStart w:id="454" w:name="_Toc30009"/>
      <w:r>
        <w:rPr>
          <w:rFonts w:hint="eastAsia" w:ascii="仿宋" w:hAnsi="仿宋" w:eastAsia="仿宋" w:cs="仿宋"/>
          <w:color w:val="auto"/>
          <w:highlight w:val="none"/>
        </w:rPr>
        <w:t>6.合同生效</w:t>
      </w:r>
      <w:bookmarkEnd w:id="452"/>
      <w:bookmarkEnd w:id="453"/>
      <w:bookmarkEnd w:id="454"/>
    </w:p>
    <w:p w14:paraId="106BBCF9">
      <w:pPr>
        <w:bidi w:val="0"/>
        <w:rPr>
          <w:rFonts w:hint="eastAsia" w:ascii="仿宋" w:hAnsi="仿宋" w:eastAsia="仿宋" w:cs="仿宋"/>
          <w:color w:val="auto"/>
          <w:highlight w:val="none"/>
        </w:rPr>
      </w:pPr>
      <w:r>
        <w:rPr>
          <w:rFonts w:hint="eastAsia" w:ascii="仿宋" w:hAnsi="仿宋" w:eastAsia="仿宋" w:cs="仿宋"/>
          <w:color w:val="auto"/>
          <w:highlight w:val="none"/>
        </w:rPr>
        <w:t>本合同自                               生效。</w:t>
      </w:r>
    </w:p>
    <w:p w14:paraId="103D5555">
      <w:pPr>
        <w:bidi w:val="0"/>
        <w:rPr>
          <w:rFonts w:hint="eastAsia" w:ascii="仿宋" w:hAnsi="仿宋" w:eastAsia="仿宋" w:cs="仿宋"/>
          <w:color w:val="auto"/>
          <w:highlight w:val="none"/>
        </w:rPr>
      </w:pPr>
      <w:bookmarkStart w:id="455" w:name="_Toc30936"/>
      <w:bookmarkStart w:id="456" w:name="_Toc31212"/>
      <w:bookmarkStart w:id="457" w:name="_Toc25982"/>
      <w:r>
        <w:rPr>
          <w:rFonts w:hint="eastAsia" w:ascii="仿宋" w:hAnsi="仿宋" w:eastAsia="仿宋" w:cs="仿宋"/>
          <w:color w:val="auto"/>
          <w:highlight w:val="none"/>
        </w:rPr>
        <w:t>7.合同份数</w:t>
      </w:r>
      <w:bookmarkEnd w:id="455"/>
      <w:bookmarkEnd w:id="456"/>
      <w:bookmarkEnd w:id="457"/>
    </w:p>
    <w:p w14:paraId="1BFF4C30">
      <w:pPr>
        <w:bidi w:val="0"/>
        <w:rPr>
          <w:rFonts w:hint="eastAsia" w:ascii="仿宋" w:hAnsi="仿宋" w:eastAsia="仿宋" w:cs="仿宋"/>
          <w:color w:val="auto"/>
          <w:highlight w:val="none"/>
        </w:rPr>
      </w:pPr>
      <w:r>
        <w:rPr>
          <w:rFonts w:hint="eastAsia" w:ascii="仿宋" w:hAnsi="仿宋" w:eastAsia="仿宋" w:cs="仿宋"/>
          <w:color w:val="auto"/>
          <w:highlight w:val="none"/>
        </w:rPr>
        <w:t>本合同一式   份，甲方执   份，乙方执   份，均具有同等法律效力。</w:t>
      </w:r>
    </w:p>
    <w:p w14:paraId="2C1A8AA8">
      <w:pPr>
        <w:bidi w:val="0"/>
        <w:rPr>
          <w:rFonts w:hint="eastAsia" w:ascii="仿宋" w:hAnsi="仿宋" w:eastAsia="仿宋" w:cs="仿宋"/>
          <w:color w:val="auto"/>
          <w:highlight w:val="none"/>
        </w:rPr>
      </w:pPr>
      <w:r>
        <w:rPr>
          <w:rFonts w:hint="eastAsia" w:ascii="仿宋" w:hAnsi="仿宋" w:eastAsia="仿宋" w:cs="仿宋"/>
          <w:color w:val="auto"/>
          <w:highlight w:val="none"/>
        </w:rPr>
        <w:t>合同订立时间：   年   月   日</w:t>
      </w:r>
    </w:p>
    <w:p w14:paraId="114611DF">
      <w:pPr>
        <w:bidi w:val="0"/>
        <w:rPr>
          <w:rFonts w:hint="eastAsia" w:ascii="仿宋" w:hAnsi="仿宋" w:eastAsia="仿宋" w:cs="仿宋"/>
          <w:color w:val="auto"/>
          <w:highlight w:val="none"/>
        </w:rPr>
      </w:pPr>
      <w:r>
        <w:rPr>
          <w:rFonts w:hint="eastAsia" w:ascii="仿宋" w:hAnsi="仿宋" w:eastAsia="仿宋" w:cs="仿宋"/>
          <w:color w:val="auto"/>
          <w:highlight w:val="none"/>
        </w:rPr>
        <w:t xml:space="preserve">合同订立地点：                                       </w:t>
      </w:r>
    </w:p>
    <w:p w14:paraId="48284C63">
      <w:pPr>
        <w:bidi w:val="0"/>
        <w:rPr>
          <w:rFonts w:hint="eastAsia" w:ascii="仿宋" w:hAnsi="仿宋" w:eastAsia="仿宋" w:cs="仿宋"/>
          <w:color w:val="auto"/>
          <w:highlight w:val="none"/>
        </w:rPr>
      </w:pPr>
      <w:r>
        <w:rPr>
          <w:rFonts w:hint="eastAsia" w:ascii="仿宋" w:hAnsi="仿宋" w:eastAsia="仿宋" w:cs="仿宋"/>
          <w:color w:val="auto"/>
          <w:highlight w:val="none"/>
        </w:rPr>
        <w:t>附件：具体标的及其技术要求和商务要求、联合协议、分包意向协议等。</w:t>
      </w:r>
    </w:p>
    <w:p w14:paraId="4D074A88">
      <w:pPr>
        <w:bidi w:val="0"/>
        <w:rPr>
          <w:rFonts w:hint="eastAsia" w:ascii="仿宋" w:hAnsi="仿宋" w:eastAsia="仿宋" w:cs="仿宋"/>
          <w:color w:val="auto"/>
          <w:highlight w:val="none"/>
        </w:rPr>
      </w:pPr>
      <w:r>
        <w:rPr>
          <w:rFonts w:hint="eastAsia" w:ascii="仿宋" w:hAnsi="仿宋" w:eastAsia="仿宋" w:cs="仿宋"/>
          <w:color w:val="auto"/>
          <w:highlight w:val="none"/>
        </w:rPr>
        <w:br w:type="page"/>
      </w:r>
    </w:p>
    <w:p w14:paraId="2BC311B5">
      <w:pPr>
        <w:pStyle w:val="5"/>
        <w:bidi w:val="0"/>
        <w:ind w:left="0" w:leftChars="0" w:firstLine="0" w:firstLineChars="0"/>
        <w:jc w:val="center"/>
        <w:rPr>
          <w:rFonts w:hint="eastAsia" w:ascii="仿宋" w:hAnsi="仿宋" w:eastAsia="仿宋" w:cs="仿宋"/>
          <w:color w:val="auto"/>
          <w:highlight w:val="none"/>
        </w:rPr>
      </w:pPr>
      <w:bookmarkStart w:id="458" w:name="_Toc6530"/>
      <w:bookmarkStart w:id="459" w:name="_Toc30785"/>
      <w:bookmarkStart w:id="460" w:name="_Toc16055"/>
      <w:bookmarkStart w:id="461" w:name="_Toc24642"/>
      <w:bookmarkStart w:id="462" w:name="_Toc11048"/>
      <w:r>
        <w:rPr>
          <w:rFonts w:hint="eastAsia" w:ascii="仿宋" w:hAnsi="仿宋" w:eastAsia="仿宋" w:cs="仿宋"/>
          <w:color w:val="auto"/>
          <w:highlight w:val="none"/>
        </w:rPr>
        <w:t>第二节 政府采购合同通用条款</w:t>
      </w:r>
      <w:bookmarkEnd w:id="458"/>
      <w:bookmarkEnd w:id="459"/>
      <w:bookmarkEnd w:id="460"/>
      <w:bookmarkEnd w:id="461"/>
      <w:bookmarkEnd w:id="462"/>
    </w:p>
    <w:p w14:paraId="758B1F79">
      <w:pPr>
        <w:bidi w:val="0"/>
        <w:rPr>
          <w:rFonts w:hint="eastAsia" w:ascii="仿宋" w:hAnsi="仿宋" w:eastAsia="仿宋" w:cs="仿宋"/>
          <w:color w:val="auto"/>
          <w:highlight w:val="none"/>
        </w:rPr>
      </w:pPr>
      <w:bookmarkStart w:id="463" w:name="_Toc29587"/>
      <w:bookmarkStart w:id="464" w:name="_Toc23216"/>
      <w:bookmarkStart w:id="465" w:name="_Toc30981"/>
      <w:r>
        <w:rPr>
          <w:rFonts w:hint="eastAsia" w:ascii="仿宋" w:hAnsi="仿宋" w:eastAsia="仿宋" w:cs="仿宋"/>
          <w:color w:val="auto"/>
          <w:highlight w:val="none"/>
        </w:rPr>
        <w:t>1. 定义</w:t>
      </w:r>
      <w:bookmarkEnd w:id="463"/>
      <w:bookmarkEnd w:id="464"/>
      <w:bookmarkEnd w:id="465"/>
    </w:p>
    <w:p w14:paraId="7543532C">
      <w:pPr>
        <w:bidi w:val="0"/>
        <w:rPr>
          <w:rFonts w:hint="eastAsia" w:ascii="仿宋" w:hAnsi="仿宋" w:eastAsia="仿宋" w:cs="仿宋"/>
          <w:color w:val="auto"/>
          <w:highlight w:val="none"/>
        </w:rPr>
      </w:pPr>
      <w:r>
        <w:rPr>
          <w:rFonts w:hint="eastAsia" w:ascii="仿宋" w:hAnsi="仿宋" w:eastAsia="仿宋" w:cs="仿宋"/>
          <w:color w:val="auto"/>
          <w:highlight w:val="none"/>
        </w:rPr>
        <w:t>1.1合同当事人</w:t>
      </w:r>
    </w:p>
    <w:p w14:paraId="32DAC6AE">
      <w:pPr>
        <w:bidi w:val="0"/>
        <w:rPr>
          <w:rFonts w:hint="eastAsia" w:ascii="仿宋" w:hAnsi="仿宋" w:eastAsia="仿宋" w:cs="仿宋"/>
          <w:color w:val="auto"/>
          <w:highlight w:val="none"/>
        </w:rPr>
      </w:pPr>
      <w:r>
        <w:rPr>
          <w:rFonts w:hint="eastAsia" w:ascii="仿宋" w:hAnsi="仿宋" w:eastAsia="仿宋" w:cs="仿宋"/>
          <w:color w:val="auto"/>
          <w:highlight w:val="none"/>
        </w:rPr>
        <w:t>（1）采购人（以下称甲方）是指使用财政性资金，通过政府采购方式向投标人购买货物及其相关服务的国家机关、事业单位、团体组织。</w:t>
      </w:r>
    </w:p>
    <w:p w14:paraId="0E04D941">
      <w:pPr>
        <w:bidi w:val="0"/>
        <w:rPr>
          <w:rFonts w:hint="eastAsia" w:ascii="仿宋" w:hAnsi="仿宋" w:eastAsia="仿宋" w:cs="仿宋"/>
          <w:color w:val="auto"/>
          <w:highlight w:val="none"/>
        </w:rPr>
      </w:pPr>
      <w:r>
        <w:rPr>
          <w:rFonts w:hint="eastAsia" w:ascii="仿宋" w:hAnsi="仿宋" w:eastAsia="仿宋" w:cs="仿宋"/>
          <w:color w:val="auto"/>
          <w:highlight w:val="none"/>
        </w:rPr>
        <w:t>（2）投标人（以下称乙方）是指参加政府采购活动并且中标（成交），向采购人提供合同约定的货物及其相关服务的法人、非法人组织或者自然人。</w:t>
      </w:r>
    </w:p>
    <w:p w14:paraId="6B0F567F">
      <w:pPr>
        <w:bidi w:val="0"/>
        <w:rPr>
          <w:rFonts w:hint="eastAsia" w:ascii="仿宋" w:hAnsi="仿宋" w:eastAsia="仿宋" w:cs="仿宋"/>
          <w:color w:val="auto"/>
          <w:highlight w:val="none"/>
        </w:rPr>
      </w:pPr>
      <w:r>
        <w:rPr>
          <w:rFonts w:hint="eastAsia" w:ascii="仿宋" w:hAnsi="仿宋" w:eastAsia="仿宋" w:cs="仿宋"/>
          <w:color w:val="auto"/>
          <w:highlight w:val="none"/>
        </w:rPr>
        <w:t>（3）其他合同主体是指除采购人和投标人以外，依法参与合同缔结或履行，享有权利、承担义务的合同当事人。</w:t>
      </w:r>
    </w:p>
    <w:p w14:paraId="467635B4">
      <w:pPr>
        <w:bidi w:val="0"/>
        <w:rPr>
          <w:rFonts w:hint="eastAsia" w:ascii="仿宋" w:hAnsi="仿宋" w:eastAsia="仿宋" w:cs="仿宋"/>
          <w:color w:val="auto"/>
          <w:highlight w:val="none"/>
        </w:rPr>
      </w:pPr>
      <w:r>
        <w:rPr>
          <w:rFonts w:hint="eastAsia" w:ascii="仿宋" w:hAnsi="仿宋" w:eastAsia="仿宋" w:cs="仿宋"/>
          <w:color w:val="auto"/>
          <w:highlight w:val="none"/>
        </w:rPr>
        <w:t>1.2本合同下列术语应解释为：</w:t>
      </w:r>
    </w:p>
    <w:p w14:paraId="3FF72610">
      <w:pPr>
        <w:bidi w:val="0"/>
        <w:rPr>
          <w:rFonts w:hint="eastAsia" w:ascii="仿宋" w:hAnsi="仿宋" w:eastAsia="仿宋" w:cs="仿宋"/>
          <w:color w:val="auto"/>
          <w:highlight w:val="none"/>
        </w:rPr>
      </w:pPr>
      <w:r>
        <w:rPr>
          <w:rFonts w:hint="eastAsia" w:ascii="仿宋" w:hAnsi="仿宋" w:eastAsia="仿宋" w:cs="仿宋"/>
          <w:color w:val="auto"/>
          <w:highlight w:val="none"/>
        </w:rPr>
        <w:t>（1）“合同”系指合同当事人意思表示达成一致的任何协议，包括签署的政府采购合同协议书及其变更、补充协议，政府采购合同专用条款，政府采购合同通用条款，中标（成交）通知书，投标（响应）文件，招标文件，有关技术文件和图纸，以及国家法律、行政法规和规章制度规定或合同约定的作为合同组成部分的其他文件。</w:t>
      </w:r>
    </w:p>
    <w:p w14:paraId="077C0E54">
      <w:pPr>
        <w:bidi w:val="0"/>
        <w:rPr>
          <w:rFonts w:hint="eastAsia" w:ascii="仿宋" w:hAnsi="仿宋" w:eastAsia="仿宋" w:cs="仿宋"/>
          <w:color w:val="auto"/>
          <w:highlight w:val="none"/>
        </w:rPr>
      </w:pPr>
      <w:r>
        <w:rPr>
          <w:rFonts w:hint="eastAsia" w:ascii="仿宋" w:hAnsi="仿宋" w:eastAsia="仿宋" w:cs="仿宋"/>
          <w:color w:val="auto"/>
          <w:highlight w:val="none"/>
        </w:rPr>
        <w:t>（2）“合同价款”系指根据本合同规定乙方在全面履行合同义务后甲方应支付给乙方的价款。</w:t>
      </w:r>
    </w:p>
    <w:p w14:paraId="3D3E702D">
      <w:pPr>
        <w:bidi w:val="0"/>
        <w:rPr>
          <w:rFonts w:hint="eastAsia" w:ascii="仿宋" w:hAnsi="仿宋" w:eastAsia="仿宋" w:cs="仿宋"/>
          <w:color w:val="auto"/>
          <w:highlight w:val="none"/>
        </w:rPr>
      </w:pPr>
      <w:r>
        <w:rPr>
          <w:rFonts w:hint="eastAsia" w:ascii="仿宋" w:hAnsi="仿宋" w:eastAsia="仿宋" w:cs="仿宋"/>
          <w:color w:val="auto"/>
          <w:highlight w:val="none"/>
        </w:rPr>
        <w:t>（3）“货物”系指乙方根据本合同规定须向甲方提供的各种形态和种类的物品，包括原材料、设备、产品（包括软件）及相关的其备品备件、工具、手册及</w:t>
      </w:r>
      <w:r>
        <w:rPr>
          <w:rFonts w:hint="eastAsia" w:ascii="仿宋" w:hAnsi="仿宋" w:eastAsia="仿宋" w:cs="仿宋"/>
          <w:color w:val="auto"/>
          <w:highlight w:val="none"/>
          <w:lang w:val="en"/>
        </w:rPr>
        <w:t>其他</w:t>
      </w:r>
      <w:r>
        <w:rPr>
          <w:rFonts w:hint="eastAsia" w:ascii="仿宋" w:hAnsi="仿宋" w:eastAsia="仿宋" w:cs="仿宋"/>
          <w:color w:val="auto"/>
          <w:highlight w:val="none"/>
        </w:rPr>
        <w:t>技术资料和材料等。</w:t>
      </w:r>
    </w:p>
    <w:p w14:paraId="1F624903">
      <w:pPr>
        <w:bidi w:val="0"/>
        <w:rPr>
          <w:rFonts w:hint="eastAsia" w:ascii="仿宋" w:hAnsi="仿宋" w:eastAsia="仿宋" w:cs="仿宋"/>
          <w:color w:val="auto"/>
          <w:highlight w:val="none"/>
        </w:rPr>
      </w:pPr>
      <w:r>
        <w:rPr>
          <w:rFonts w:hint="eastAsia" w:ascii="仿宋" w:hAnsi="仿宋" w:eastAsia="仿宋" w:cs="仿宋"/>
          <w:color w:val="auto"/>
          <w:highlight w:val="none"/>
        </w:rPr>
        <w:t>（4）“相关服务”系指根据合同规定，乙方应提供的与货物有关的技术、管理和</w:t>
      </w:r>
      <w:r>
        <w:rPr>
          <w:rFonts w:hint="eastAsia" w:ascii="仿宋" w:hAnsi="仿宋" w:eastAsia="仿宋" w:cs="仿宋"/>
          <w:color w:val="auto"/>
          <w:highlight w:val="none"/>
          <w:lang w:val="en"/>
        </w:rPr>
        <w:t>其他</w:t>
      </w:r>
      <w:r>
        <w:rPr>
          <w:rFonts w:hint="eastAsia" w:ascii="仿宋" w:hAnsi="仿宋" w:eastAsia="仿宋" w:cs="仿宋"/>
          <w:color w:val="auto"/>
          <w:highlight w:val="none"/>
        </w:rPr>
        <w:t>服务，包括但不限于：管理和质量保证、运输、保险、检验、现场准备、安装、集成、调试、培训、维修、废弃处置、技术支持等以及合同中规定乙方应承担的</w:t>
      </w:r>
      <w:r>
        <w:rPr>
          <w:rFonts w:hint="eastAsia" w:ascii="仿宋" w:hAnsi="仿宋" w:eastAsia="仿宋" w:cs="仿宋"/>
          <w:color w:val="auto"/>
          <w:highlight w:val="none"/>
          <w:lang w:val="en"/>
        </w:rPr>
        <w:t>其他</w:t>
      </w:r>
      <w:r>
        <w:rPr>
          <w:rFonts w:hint="eastAsia" w:ascii="仿宋" w:hAnsi="仿宋" w:eastAsia="仿宋" w:cs="仿宋"/>
          <w:color w:val="auto"/>
          <w:highlight w:val="none"/>
        </w:rPr>
        <w:t>义务。</w:t>
      </w:r>
    </w:p>
    <w:p w14:paraId="1897C9B1">
      <w:pPr>
        <w:bidi w:val="0"/>
        <w:rPr>
          <w:rFonts w:hint="eastAsia" w:ascii="仿宋" w:hAnsi="仿宋" w:eastAsia="仿宋" w:cs="仿宋"/>
          <w:color w:val="auto"/>
          <w:highlight w:val="none"/>
        </w:rPr>
      </w:pPr>
      <w:r>
        <w:rPr>
          <w:rFonts w:hint="eastAsia" w:ascii="仿宋" w:hAnsi="仿宋" w:eastAsia="仿宋" w:cs="仿宋"/>
          <w:color w:val="auto"/>
          <w:highlight w:val="none"/>
        </w:rPr>
        <w:t>（5）“分包”系指中标（成交）投标人按招标文件、投标（响应）文件的规定，根据分包意向协议，将中标（成交）项目中的部分履约内容，分给具有相应资质条件的投标人履行合同的行为。</w:t>
      </w:r>
    </w:p>
    <w:p w14:paraId="1221375D">
      <w:pPr>
        <w:bidi w:val="0"/>
        <w:rPr>
          <w:rFonts w:hint="eastAsia" w:ascii="仿宋" w:hAnsi="仿宋" w:eastAsia="仿宋" w:cs="仿宋"/>
          <w:color w:val="auto"/>
          <w:highlight w:val="none"/>
        </w:rPr>
      </w:pPr>
      <w:r>
        <w:rPr>
          <w:rFonts w:hint="eastAsia" w:ascii="仿宋" w:hAnsi="仿宋" w:eastAsia="仿宋" w:cs="仿宋"/>
          <w:color w:val="auto"/>
          <w:highlight w:val="none"/>
        </w:rPr>
        <w:t>（6）“联合体”系指由两个以上的自然人、法人或者非法人组织组成，以一个投标人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政府采购合同专用条款】。</w:t>
      </w:r>
    </w:p>
    <w:p w14:paraId="1F5596C5">
      <w:pPr>
        <w:bidi w:val="0"/>
        <w:rPr>
          <w:rFonts w:hint="eastAsia" w:ascii="仿宋" w:hAnsi="仿宋" w:eastAsia="仿宋" w:cs="仿宋"/>
          <w:color w:val="auto"/>
          <w:highlight w:val="none"/>
        </w:rPr>
      </w:pPr>
      <w:r>
        <w:rPr>
          <w:rFonts w:hint="eastAsia" w:ascii="仿宋" w:hAnsi="仿宋" w:eastAsia="仿宋" w:cs="仿宋"/>
          <w:color w:val="auto"/>
          <w:highlight w:val="none"/>
        </w:rPr>
        <w:t>（7）其他术语解释，见【政府采购合同专用条款】。</w:t>
      </w:r>
    </w:p>
    <w:p w14:paraId="3185CEF2">
      <w:pPr>
        <w:bidi w:val="0"/>
        <w:rPr>
          <w:rFonts w:hint="eastAsia" w:ascii="仿宋" w:hAnsi="仿宋" w:eastAsia="仿宋" w:cs="仿宋"/>
          <w:color w:val="auto"/>
          <w:highlight w:val="none"/>
        </w:rPr>
      </w:pPr>
      <w:bookmarkStart w:id="466" w:name="_Toc18703"/>
      <w:bookmarkStart w:id="467" w:name="_Toc18837"/>
      <w:bookmarkStart w:id="468" w:name="_Toc21227"/>
      <w:r>
        <w:rPr>
          <w:rFonts w:hint="eastAsia" w:ascii="仿宋" w:hAnsi="仿宋" w:eastAsia="仿宋" w:cs="仿宋"/>
          <w:color w:val="auto"/>
          <w:highlight w:val="none"/>
        </w:rPr>
        <w:t>2.合同标的及金额</w:t>
      </w:r>
      <w:bookmarkEnd w:id="466"/>
      <w:bookmarkEnd w:id="467"/>
      <w:bookmarkEnd w:id="468"/>
    </w:p>
    <w:p w14:paraId="7560E969">
      <w:pPr>
        <w:bidi w:val="0"/>
        <w:rPr>
          <w:rFonts w:hint="eastAsia" w:ascii="仿宋" w:hAnsi="仿宋" w:eastAsia="仿宋" w:cs="仿宋"/>
          <w:color w:val="auto"/>
          <w:highlight w:val="none"/>
        </w:rPr>
      </w:pPr>
      <w:r>
        <w:rPr>
          <w:rFonts w:hint="eastAsia" w:ascii="仿宋" w:hAnsi="仿宋" w:eastAsia="仿宋" w:cs="仿宋"/>
          <w:color w:val="auto"/>
          <w:highlight w:val="none"/>
        </w:rPr>
        <w:t>2.1 合同标的及金额应与中标（成交）结果一致。乙方为履行本合同而发生的所有费用均应包含在合同价款中，甲方不再另行支付</w:t>
      </w:r>
      <w:r>
        <w:rPr>
          <w:rFonts w:hint="eastAsia" w:ascii="仿宋" w:hAnsi="仿宋" w:eastAsia="仿宋" w:cs="仿宋"/>
          <w:color w:val="auto"/>
          <w:highlight w:val="none"/>
          <w:lang w:val="en"/>
        </w:rPr>
        <w:t>其他</w:t>
      </w:r>
      <w:r>
        <w:rPr>
          <w:rFonts w:hint="eastAsia" w:ascii="仿宋" w:hAnsi="仿宋" w:eastAsia="仿宋" w:cs="仿宋"/>
          <w:color w:val="auto"/>
          <w:highlight w:val="none"/>
        </w:rPr>
        <w:t>任何费用。</w:t>
      </w:r>
    </w:p>
    <w:p w14:paraId="21E756A2">
      <w:pPr>
        <w:bidi w:val="0"/>
        <w:rPr>
          <w:rFonts w:hint="eastAsia" w:ascii="仿宋" w:hAnsi="仿宋" w:eastAsia="仿宋" w:cs="仿宋"/>
          <w:color w:val="auto"/>
          <w:highlight w:val="none"/>
        </w:rPr>
      </w:pPr>
      <w:bookmarkStart w:id="469" w:name="_Toc13313"/>
      <w:bookmarkStart w:id="470" w:name="_Toc12001"/>
      <w:bookmarkStart w:id="471" w:name="_Toc31892"/>
      <w:r>
        <w:rPr>
          <w:rFonts w:hint="eastAsia" w:ascii="仿宋" w:hAnsi="仿宋" w:eastAsia="仿宋" w:cs="仿宋"/>
          <w:color w:val="auto"/>
          <w:highlight w:val="none"/>
        </w:rPr>
        <w:t>3. 履行合同的时间、地点和方式</w:t>
      </w:r>
      <w:bookmarkEnd w:id="469"/>
      <w:bookmarkEnd w:id="470"/>
      <w:bookmarkEnd w:id="471"/>
    </w:p>
    <w:p w14:paraId="42F3577F">
      <w:pPr>
        <w:bidi w:val="0"/>
        <w:rPr>
          <w:rFonts w:hint="eastAsia" w:ascii="仿宋" w:hAnsi="仿宋" w:eastAsia="仿宋" w:cs="仿宋"/>
          <w:color w:val="auto"/>
          <w:highlight w:val="none"/>
        </w:rPr>
      </w:pPr>
      <w:r>
        <w:rPr>
          <w:rFonts w:hint="eastAsia" w:ascii="仿宋" w:hAnsi="仿宋" w:eastAsia="仿宋" w:cs="仿宋"/>
          <w:color w:val="auto"/>
          <w:highlight w:val="none"/>
        </w:rPr>
        <w:t>3.1 乙方应当在约定的时间、地点，按照约定方式履行合同。</w:t>
      </w:r>
    </w:p>
    <w:p w14:paraId="0C708A64">
      <w:pPr>
        <w:bidi w:val="0"/>
        <w:rPr>
          <w:rFonts w:hint="eastAsia" w:ascii="仿宋" w:hAnsi="仿宋" w:eastAsia="仿宋" w:cs="仿宋"/>
          <w:color w:val="auto"/>
          <w:highlight w:val="none"/>
        </w:rPr>
      </w:pPr>
      <w:bookmarkStart w:id="472" w:name="_Toc6698"/>
      <w:bookmarkStart w:id="473" w:name="_Toc19762"/>
      <w:bookmarkStart w:id="474" w:name="_Toc13756"/>
      <w:r>
        <w:rPr>
          <w:rFonts w:hint="eastAsia" w:ascii="仿宋" w:hAnsi="仿宋" w:eastAsia="仿宋" w:cs="仿宋"/>
          <w:color w:val="auto"/>
          <w:highlight w:val="none"/>
        </w:rPr>
        <w:t>4. 甲方的权利和义务</w:t>
      </w:r>
      <w:bookmarkEnd w:id="472"/>
      <w:bookmarkEnd w:id="473"/>
      <w:bookmarkEnd w:id="474"/>
    </w:p>
    <w:p w14:paraId="5479DD58">
      <w:pPr>
        <w:bidi w:val="0"/>
        <w:rPr>
          <w:rFonts w:hint="eastAsia" w:ascii="仿宋" w:hAnsi="仿宋" w:eastAsia="仿宋" w:cs="仿宋"/>
          <w:color w:val="auto"/>
          <w:highlight w:val="none"/>
        </w:rPr>
      </w:pPr>
      <w:r>
        <w:rPr>
          <w:rFonts w:hint="eastAsia" w:ascii="仿宋" w:hAnsi="仿宋" w:eastAsia="仿宋" w:cs="仿宋"/>
          <w:color w:val="auto"/>
          <w:highlight w:val="none"/>
        </w:rPr>
        <w:t>4.1 签署合同后，甲方应确定项目负责人（或项目联系人），负责与本合同有关的事务。甲方有权对乙方的履约行为进行检查，并及时确认乙方提交的事项。甲方应当配合乙方完成相关项目实施工作。</w:t>
      </w:r>
    </w:p>
    <w:p w14:paraId="622D4997">
      <w:pPr>
        <w:bidi w:val="0"/>
        <w:rPr>
          <w:rFonts w:hint="eastAsia" w:ascii="仿宋" w:hAnsi="仿宋" w:eastAsia="仿宋" w:cs="仿宋"/>
          <w:color w:val="auto"/>
          <w:highlight w:val="none"/>
        </w:rPr>
      </w:pPr>
      <w:r>
        <w:rPr>
          <w:rFonts w:hint="eastAsia" w:ascii="仿宋" w:hAnsi="仿宋" w:eastAsia="仿宋" w:cs="仿宋"/>
          <w:color w:val="auto"/>
          <w:highlight w:val="none"/>
        </w:rPr>
        <w:t>4.2 甲方有权要求乙方按时提交各阶段有关安排计划，并有权定期核对乙方提供货物数量、规格、质量等内容。甲方有权督促乙方工作并要求乙方更换不符合要求的货物。</w:t>
      </w:r>
    </w:p>
    <w:p w14:paraId="7E6D10C6">
      <w:pPr>
        <w:bidi w:val="0"/>
        <w:rPr>
          <w:rFonts w:hint="eastAsia" w:ascii="仿宋" w:hAnsi="仿宋" w:eastAsia="仿宋" w:cs="仿宋"/>
          <w:color w:val="auto"/>
          <w:highlight w:val="none"/>
        </w:rPr>
      </w:pPr>
      <w:r>
        <w:rPr>
          <w:rFonts w:hint="eastAsia" w:ascii="仿宋" w:hAnsi="仿宋" w:eastAsia="仿宋" w:cs="仿宋"/>
          <w:color w:val="auto"/>
          <w:highlight w:val="none"/>
        </w:rPr>
        <w:t>4.3 甲方有权要求乙方对缺陷部分予以修复，并按合同约定享有货物保修及其他合同约定的权利。</w:t>
      </w:r>
    </w:p>
    <w:p w14:paraId="392983DA">
      <w:pPr>
        <w:bidi w:val="0"/>
        <w:rPr>
          <w:rFonts w:hint="eastAsia" w:ascii="仿宋" w:hAnsi="仿宋" w:eastAsia="仿宋" w:cs="仿宋"/>
          <w:color w:val="auto"/>
          <w:highlight w:val="none"/>
        </w:rPr>
      </w:pPr>
      <w:r>
        <w:rPr>
          <w:rFonts w:hint="eastAsia" w:ascii="仿宋" w:hAnsi="仿宋" w:eastAsia="仿宋" w:cs="仿宋"/>
          <w:color w:val="auto"/>
          <w:highlight w:val="none"/>
        </w:rPr>
        <w:t>4.4 甲方应当按照合同约定及时对交付的货物进行验收，未在【政府采购合同专用条款】约定的期限内对乙方履约提出任何异议或者向乙方作出任何说明的，视为验收通过。</w:t>
      </w:r>
    </w:p>
    <w:p w14:paraId="08B408DB">
      <w:pPr>
        <w:bidi w:val="0"/>
        <w:rPr>
          <w:rFonts w:hint="eastAsia" w:ascii="仿宋" w:hAnsi="仿宋" w:eastAsia="仿宋" w:cs="仿宋"/>
          <w:color w:val="auto"/>
          <w:highlight w:val="none"/>
        </w:rPr>
      </w:pPr>
      <w:r>
        <w:rPr>
          <w:rFonts w:hint="eastAsia" w:ascii="仿宋" w:hAnsi="仿宋" w:eastAsia="仿宋" w:cs="仿宋"/>
          <w:color w:val="auto"/>
          <w:highlight w:val="none"/>
        </w:rPr>
        <w:t>4.5 甲方应当根据合同约定及时向乙方支付合同价款，不得以内部人员变更、履行内部付款流程等为由，拒绝或迟延支付。</w:t>
      </w:r>
    </w:p>
    <w:p w14:paraId="7DC4780C">
      <w:pPr>
        <w:bidi w:val="0"/>
        <w:rPr>
          <w:rFonts w:hint="eastAsia" w:ascii="仿宋" w:hAnsi="仿宋" w:eastAsia="仿宋" w:cs="仿宋"/>
          <w:color w:val="auto"/>
          <w:highlight w:val="none"/>
        </w:rPr>
      </w:pPr>
      <w:r>
        <w:rPr>
          <w:rFonts w:hint="eastAsia" w:ascii="仿宋" w:hAnsi="仿宋" w:eastAsia="仿宋" w:cs="仿宋"/>
          <w:color w:val="auto"/>
          <w:highlight w:val="none"/>
        </w:rPr>
        <w:t>4.6 国家法律法规规定及【政府采购合同专用条款】约定应由甲方承担的其他义务和责任。</w:t>
      </w:r>
    </w:p>
    <w:p w14:paraId="753E50ED">
      <w:pPr>
        <w:bidi w:val="0"/>
        <w:rPr>
          <w:rFonts w:hint="eastAsia" w:ascii="仿宋" w:hAnsi="仿宋" w:eastAsia="仿宋" w:cs="仿宋"/>
          <w:color w:val="auto"/>
          <w:highlight w:val="none"/>
        </w:rPr>
      </w:pPr>
      <w:bookmarkStart w:id="475" w:name="_Toc24650"/>
      <w:bookmarkStart w:id="476" w:name="_Toc15118"/>
      <w:bookmarkStart w:id="477" w:name="_Toc2594"/>
      <w:r>
        <w:rPr>
          <w:rFonts w:hint="eastAsia" w:ascii="仿宋" w:hAnsi="仿宋" w:eastAsia="仿宋" w:cs="仿宋"/>
          <w:color w:val="auto"/>
          <w:highlight w:val="none"/>
        </w:rPr>
        <w:t>5. 乙方的权利和义务</w:t>
      </w:r>
      <w:bookmarkEnd w:id="475"/>
      <w:bookmarkEnd w:id="476"/>
      <w:bookmarkEnd w:id="477"/>
    </w:p>
    <w:p w14:paraId="72B39BF1">
      <w:pPr>
        <w:bidi w:val="0"/>
        <w:rPr>
          <w:rFonts w:hint="eastAsia" w:ascii="仿宋" w:hAnsi="仿宋" w:eastAsia="仿宋" w:cs="仿宋"/>
          <w:color w:val="auto"/>
          <w:highlight w:val="none"/>
        </w:rPr>
      </w:pPr>
      <w:r>
        <w:rPr>
          <w:rFonts w:hint="eastAsia" w:ascii="仿宋" w:hAnsi="仿宋" w:eastAsia="仿宋" w:cs="仿宋"/>
          <w:color w:val="auto"/>
          <w:highlight w:val="none"/>
        </w:rPr>
        <w:t>5.1 签署合同后，乙方应确定项目负责人（或项目联系人），负责与本合同有关的事务。</w:t>
      </w:r>
    </w:p>
    <w:p w14:paraId="6F725287">
      <w:pPr>
        <w:bidi w:val="0"/>
        <w:rPr>
          <w:rFonts w:hint="eastAsia" w:ascii="仿宋" w:hAnsi="仿宋" w:eastAsia="仿宋" w:cs="仿宋"/>
          <w:color w:val="auto"/>
          <w:highlight w:val="none"/>
        </w:rPr>
      </w:pPr>
      <w:r>
        <w:rPr>
          <w:rFonts w:hint="eastAsia" w:ascii="仿宋" w:hAnsi="仿宋" w:eastAsia="仿宋" w:cs="仿宋"/>
          <w:color w:val="auto"/>
          <w:highlight w:val="none"/>
        </w:rPr>
        <w:t>5.2 乙方应按照合同要求履约，充分合理安排，确保提供的货物及相关服务符合合同有关要求。接受项目行业管理部门及政府有关部门的指导，配合甲方的履约检查及验收，并负责项目实施过程中的所有协调工作。</w:t>
      </w:r>
    </w:p>
    <w:p w14:paraId="0FD4E721">
      <w:pPr>
        <w:bidi w:val="0"/>
        <w:rPr>
          <w:rFonts w:hint="eastAsia" w:ascii="仿宋" w:hAnsi="仿宋" w:eastAsia="仿宋" w:cs="仿宋"/>
          <w:color w:val="auto"/>
          <w:highlight w:val="none"/>
        </w:rPr>
      </w:pPr>
      <w:r>
        <w:rPr>
          <w:rFonts w:hint="eastAsia" w:ascii="仿宋" w:hAnsi="仿宋" w:eastAsia="仿宋" w:cs="仿宋"/>
          <w:color w:val="auto"/>
          <w:highlight w:val="none"/>
        </w:rPr>
        <w:t>5.3乙方有权根据合同约定向甲方收取合同价款。</w:t>
      </w:r>
    </w:p>
    <w:p w14:paraId="75B3879F">
      <w:pPr>
        <w:bidi w:val="0"/>
        <w:rPr>
          <w:rFonts w:hint="eastAsia" w:ascii="仿宋" w:hAnsi="仿宋" w:eastAsia="仿宋" w:cs="仿宋"/>
          <w:color w:val="auto"/>
          <w:highlight w:val="none"/>
        </w:rPr>
      </w:pPr>
      <w:r>
        <w:rPr>
          <w:rFonts w:hint="eastAsia" w:ascii="仿宋" w:hAnsi="仿宋" w:eastAsia="仿宋" w:cs="仿宋"/>
          <w:color w:val="auto"/>
          <w:highlight w:val="none"/>
        </w:rPr>
        <w:t>5.4国家法律法规规定及【政府采购合同专用条款】约定应由乙方承担的其他义务和责任。</w:t>
      </w:r>
    </w:p>
    <w:p w14:paraId="0366C62B">
      <w:pPr>
        <w:bidi w:val="0"/>
        <w:rPr>
          <w:rFonts w:hint="eastAsia" w:ascii="仿宋" w:hAnsi="仿宋" w:eastAsia="仿宋" w:cs="仿宋"/>
          <w:color w:val="auto"/>
          <w:highlight w:val="none"/>
        </w:rPr>
      </w:pPr>
      <w:bookmarkStart w:id="478" w:name="_Toc13631"/>
      <w:bookmarkStart w:id="479" w:name="_Toc15553"/>
      <w:bookmarkStart w:id="480" w:name="_Toc19601"/>
      <w:r>
        <w:rPr>
          <w:rFonts w:hint="eastAsia" w:ascii="仿宋" w:hAnsi="仿宋" w:eastAsia="仿宋" w:cs="仿宋"/>
          <w:color w:val="auto"/>
          <w:highlight w:val="none"/>
        </w:rPr>
        <w:t>6.合同履行</w:t>
      </w:r>
      <w:bookmarkEnd w:id="478"/>
      <w:bookmarkEnd w:id="479"/>
      <w:bookmarkEnd w:id="480"/>
    </w:p>
    <w:p w14:paraId="18CD0636">
      <w:pPr>
        <w:bidi w:val="0"/>
        <w:rPr>
          <w:rFonts w:hint="eastAsia" w:ascii="仿宋" w:hAnsi="仿宋" w:eastAsia="仿宋" w:cs="仿宋"/>
          <w:color w:val="auto"/>
          <w:highlight w:val="none"/>
        </w:rPr>
      </w:pPr>
      <w:r>
        <w:rPr>
          <w:rFonts w:hint="eastAsia" w:ascii="仿宋" w:hAnsi="仿宋" w:eastAsia="仿宋" w:cs="仿宋"/>
          <w:color w:val="auto"/>
          <w:highlight w:val="none"/>
        </w:rPr>
        <w:t>6.1 甲乙双方应当按照【政府采购合同专用条款】约定顺序履行合同义务；如果没有先后顺序的，应当同时履行。</w:t>
      </w:r>
    </w:p>
    <w:p w14:paraId="0C740E00">
      <w:pPr>
        <w:bidi w:val="0"/>
        <w:rPr>
          <w:rFonts w:hint="eastAsia" w:ascii="仿宋" w:hAnsi="仿宋" w:eastAsia="仿宋" w:cs="仿宋"/>
          <w:color w:val="auto"/>
          <w:highlight w:val="none"/>
        </w:rPr>
      </w:pPr>
      <w:r>
        <w:rPr>
          <w:rFonts w:hint="eastAsia" w:ascii="仿宋" w:hAnsi="仿宋" w:eastAsia="仿宋" w:cs="仿宋"/>
          <w:color w:val="auto"/>
          <w:highlight w:val="none"/>
        </w:rPr>
        <w:t>6.2 甲乙双方按照合同约定顺序履行合同义务时，应当先履行一方未履行的，后履行一方有权拒绝其履行请求。先履行一方履行不符合约定的，后履行一方有权拒绝其相应的履行请求。</w:t>
      </w:r>
    </w:p>
    <w:p w14:paraId="5B49DB4F">
      <w:pPr>
        <w:bidi w:val="0"/>
        <w:rPr>
          <w:rFonts w:hint="eastAsia" w:ascii="仿宋" w:hAnsi="仿宋" w:eastAsia="仿宋" w:cs="仿宋"/>
          <w:color w:val="auto"/>
          <w:highlight w:val="none"/>
        </w:rPr>
      </w:pPr>
      <w:bookmarkStart w:id="481" w:name="_Toc9410"/>
      <w:bookmarkStart w:id="482" w:name="_Toc8493"/>
      <w:bookmarkStart w:id="483" w:name="_Toc29813"/>
      <w:r>
        <w:rPr>
          <w:rFonts w:hint="eastAsia" w:ascii="仿宋" w:hAnsi="仿宋" w:eastAsia="仿宋" w:cs="仿宋"/>
          <w:color w:val="auto"/>
          <w:highlight w:val="none"/>
        </w:rPr>
        <w:t>7. 货物包装、运输、保险和交付要求</w:t>
      </w:r>
      <w:bookmarkEnd w:id="481"/>
      <w:bookmarkEnd w:id="482"/>
      <w:bookmarkEnd w:id="483"/>
    </w:p>
    <w:p w14:paraId="3B6F4037">
      <w:pPr>
        <w:bidi w:val="0"/>
        <w:rPr>
          <w:rFonts w:hint="eastAsia" w:ascii="仿宋" w:hAnsi="仿宋" w:eastAsia="仿宋" w:cs="仿宋"/>
          <w:color w:val="auto"/>
          <w:highlight w:val="none"/>
        </w:rPr>
      </w:pPr>
      <w:r>
        <w:rPr>
          <w:rFonts w:hint="eastAsia" w:ascii="仿宋" w:hAnsi="仿宋" w:eastAsia="仿宋" w:cs="仿宋"/>
          <w:color w:val="auto"/>
          <w:highlight w:val="none"/>
        </w:rPr>
        <w:t>7.1 本合同涉及商品包装、快递包装的，除【政府采购合同专用条款】另有约定外，包装应适应远距离运输、防潮、防震、防锈和防野蛮装卸等要求，确保货物安全无损地运抵【政府采购合同专用条款】约定的指定现场。</w:t>
      </w:r>
    </w:p>
    <w:p w14:paraId="35FF41A4">
      <w:pPr>
        <w:bidi w:val="0"/>
        <w:rPr>
          <w:rFonts w:hint="eastAsia" w:ascii="仿宋" w:hAnsi="仿宋" w:eastAsia="仿宋" w:cs="仿宋"/>
          <w:color w:val="auto"/>
          <w:highlight w:val="none"/>
        </w:rPr>
      </w:pPr>
      <w:r>
        <w:rPr>
          <w:rFonts w:hint="eastAsia" w:ascii="仿宋" w:hAnsi="仿宋" w:eastAsia="仿宋" w:cs="仿宋"/>
          <w:color w:val="auto"/>
          <w:highlight w:val="none"/>
        </w:rPr>
        <w:t>7.2 除【政府采购合同专用条款】另有约定外，乙方负责办理将货物运抵本合同规定的交货地点，并装卸、交付至甲方的一切运输事项，相关费用应包含在合同价款中。</w:t>
      </w:r>
    </w:p>
    <w:p w14:paraId="1C860B3E">
      <w:pPr>
        <w:bidi w:val="0"/>
        <w:rPr>
          <w:rFonts w:hint="eastAsia" w:ascii="仿宋" w:hAnsi="仿宋" w:eastAsia="仿宋" w:cs="仿宋"/>
          <w:color w:val="auto"/>
          <w:highlight w:val="none"/>
        </w:rPr>
      </w:pPr>
      <w:r>
        <w:rPr>
          <w:rFonts w:hint="eastAsia" w:ascii="仿宋" w:hAnsi="仿宋" w:eastAsia="仿宋" w:cs="仿宋"/>
          <w:color w:val="auto"/>
          <w:highlight w:val="none"/>
        </w:rPr>
        <w:t>7.3 货物保险要求按【政府采购合同专用条款】规定执行。</w:t>
      </w:r>
    </w:p>
    <w:p w14:paraId="5D6A1B1E">
      <w:pPr>
        <w:bidi w:val="0"/>
        <w:rPr>
          <w:rFonts w:hint="eastAsia" w:ascii="仿宋" w:hAnsi="仿宋" w:eastAsia="仿宋" w:cs="仿宋"/>
          <w:color w:val="auto"/>
          <w:highlight w:val="none"/>
        </w:rPr>
      </w:pPr>
      <w:r>
        <w:rPr>
          <w:rFonts w:hint="eastAsia" w:ascii="仿宋" w:hAnsi="仿宋" w:eastAsia="仿宋" w:cs="仿宋"/>
          <w:color w:val="auto"/>
          <w:highlight w:val="none"/>
        </w:rPr>
        <w:t>7.4 除采购活动对商品包装、快递包装达成具体约定外，乙方提供产品及相关快递服务涉及到具体包装要求的，应≥《商品包装政府采购需求标准（试行）》《快递包装政府采购需求标准（试行）》标准，并作为履约验收的内容，必要时甲方可以要求乙方在履约验收环节出具检测报告。</w:t>
      </w:r>
    </w:p>
    <w:p w14:paraId="4A9F46AF">
      <w:pPr>
        <w:bidi w:val="0"/>
        <w:rPr>
          <w:rFonts w:hint="eastAsia" w:ascii="仿宋" w:hAnsi="仿宋" w:eastAsia="仿宋" w:cs="仿宋"/>
          <w:color w:val="auto"/>
          <w:highlight w:val="none"/>
        </w:rPr>
      </w:pPr>
      <w:r>
        <w:rPr>
          <w:rFonts w:hint="eastAsia" w:ascii="仿宋" w:hAnsi="仿宋" w:eastAsia="仿宋" w:cs="仿宋"/>
          <w:color w:val="auto"/>
          <w:highlight w:val="none"/>
        </w:rPr>
        <w:t>7.5 乙方在运输到达之前应提前通知甲方，并提示货物运输装卸的注意事项，甲方配合乙方做好货物的接收工作。</w:t>
      </w:r>
    </w:p>
    <w:p w14:paraId="5B6779EB">
      <w:pPr>
        <w:bidi w:val="0"/>
        <w:rPr>
          <w:rFonts w:hint="eastAsia" w:ascii="仿宋" w:hAnsi="仿宋" w:eastAsia="仿宋" w:cs="仿宋"/>
          <w:color w:val="auto"/>
          <w:highlight w:val="none"/>
        </w:rPr>
      </w:pPr>
      <w:r>
        <w:rPr>
          <w:rFonts w:hint="eastAsia" w:ascii="仿宋" w:hAnsi="仿宋" w:eastAsia="仿宋" w:cs="仿宋"/>
          <w:color w:val="auto"/>
          <w:highlight w:val="none"/>
        </w:rPr>
        <w:t>7.6 如因包装、运输问题导致货物损毁、丢失或者品质下降，甲方有权要求降价、换货、拒收部分或整批货物，由此产生的费用和损失，均由乙方承担。</w:t>
      </w:r>
    </w:p>
    <w:p w14:paraId="2BBD1E1D">
      <w:pPr>
        <w:bidi w:val="0"/>
        <w:rPr>
          <w:rFonts w:hint="eastAsia" w:ascii="仿宋" w:hAnsi="仿宋" w:eastAsia="仿宋" w:cs="仿宋"/>
          <w:color w:val="auto"/>
          <w:highlight w:val="none"/>
        </w:rPr>
      </w:pPr>
      <w:bookmarkStart w:id="484" w:name="_Toc2243"/>
      <w:bookmarkStart w:id="485" w:name="_Toc30880"/>
      <w:bookmarkStart w:id="486" w:name="_Toc5842"/>
      <w:r>
        <w:rPr>
          <w:rFonts w:hint="eastAsia" w:ascii="仿宋" w:hAnsi="仿宋" w:eastAsia="仿宋" w:cs="仿宋"/>
          <w:color w:val="auto"/>
          <w:highlight w:val="none"/>
        </w:rPr>
        <w:t>8. 质量标准和保证</w:t>
      </w:r>
      <w:bookmarkEnd w:id="484"/>
      <w:bookmarkEnd w:id="485"/>
      <w:bookmarkEnd w:id="486"/>
    </w:p>
    <w:p w14:paraId="11390E0A">
      <w:pPr>
        <w:bidi w:val="0"/>
        <w:rPr>
          <w:rFonts w:hint="eastAsia" w:ascii="仿宋" w:hAnsi="仿宋" w:eastAsia="仿宋" w:cs="仿宋"/>
          <w:color w:val="auto"/>
          <w:highlight w:val="none"/>
        </w:rPr>
      </w:pPr>
      <w:r>
        <w:rPr>
          <w:rFonts w:hint="eastAsia" w:ascii="仿宋" w:hAnsi="仿宋" w:eastAsia="仿宋" w:cs="仿宋"/>
          <w:color w:val="auto"/>
          <w:highlight w:val="none"/>
        </w:rPr>
        <w:t>8.1 质量标准</w:t>
      </w:r>
    </w:p>
    <w:p w14:paraId="54DC3E65">
      <w:pPr>
        <w:bidi w:val="0"/>
        <w:rPr>
          <w:rFonts w:hint="eastAsia" w:ascii="仿宋" w:hAnsi="仿宋" w:eastAsia="仿宋" w:cs="仿宋"/>
          <w:color w:val="auto"/>
          <w:highlight w:val="none"/>
        </w:rPr>
      </w:pPr>
      <w:r>
        <w:rPr>
          <w:rFonts w:hint="eastAsia" w:ascii="仿宋" w:hAnsi="仿宋" w:eastAsia="仿宋" w:cs="仿宋"/>
          <w:color w:val="auto"/>
          <w:highlight w:val="none"/>
        </w:rPr>
        <w:t>（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14:paraId="20527B57">
      <w:pPr>
        <w:bidi w:val="0"/>
        <w:rPr>
          <w:rFonts w:hint="eastAsia" w:ascii="仿宋" w:hAnsi="仿宋" w:eastAsia="仿宋" w:cs="仿宋"/>
          <w:color w:val="auto"/>
          <w:highlight w:val="none"/>
        </w:rPr>
      </w:pPr>
      <w:r>
        <w:rPr>
          <w:rFonts w:hint="eastAsia" w:ascii="仿宋" w:hAnsi="仿宋" w:eastAsia="仿宋" w:cs="仿宋"/>
          <w:color w:val="auto"/>
          <w:highlight w:val="none"/>
        </w:rPr>
        <w:t>（2）采用中华人民共和国法定计量单位。</w:t>
      </w:r>
    </w:p>
    <w:p w14:paraId="1752797F">
      <w:pPr>
        <w:bidi w:val="0"/>
        <w:rPr>
          <w:rFonts w:hint="eastAsia" w:ascii="仿宋" w:hAnsi="仿宋" w:eastAsia="仿宋" w:cs="仿宋"/>
          <w:color w:val="auto"/>
          <w:highlight w:val="none"/>
        </w:rPr>
      </w:pPr>
      <w:r>
        <w:rPr>
          <w:rFonts w:hint="eastAsia" w:ascii="仿宋" w:hAnsi="仿宋" w:eastAsia="仿宋" w:cs="仿宋"/>
          <w:color w:val="auto"/>
          <w:highlight w:val="none"/>
        </w:rPr>
        <w:t>（3）乙方所提供的货物应符合国家有关安全、环保、卫生的规定。</w:t>
      </w:r>
    </w:p>
    <w:p w14:paraId="520BBC27">
      <w:pPr>
        <w:bidi w:val="0"/>
        <w:rPr>
          <w:rFonts w:hint="eastAsia" w:ascii="仿宋" w:hAnsi="仿宋" w:eastAsia="仿宋" w:cs="仿宋"/>
          <w:color w:val="auto"/>
          <w:highlight w:val="none"/>
        </w:rPr>
      </w:pPr>
      <w:r>
        <w:rPr>
          <w:rFonts w:hint="eastAsia" w:ascii="仿宋" w:hAnsi="仿宋" w:eastAsia="仿宋" w:cs="仿宋"/>
          <w:color w:val="auto"/>
          <w:highlight w:val="none"/>
        </w:rPr>
        <w:t>（4）乙方应向甲方提交所提供货物的技术文件，包括相应的中文技术文件，如：产品目录、图纸、操作手册、使用说明、维护手册或服务指南等。上述文件应包装好随货物一同发运。</w:t>
      </w:r>
    </w:p>
    <w:p w14:paraId="273DF4CB">
      <w:pPr>
        <w:bidi w:val="0"/>
        <w:rPr>
          <w:rFonts w:hint="eastAsia" w:ascii="仿宋" w:hAnsi="仿宋" w:eastAsia="仿宋" w:cs="仿宋"/>
          <w:color w:val="auto"/>
          <w:highlight w:val="none"/>
        </w:rPr>
      </w:pPr>
      <w:r>
        <w:rPr>
          <w:rFonts w:hint="eastAsia" w:ascii="仿宋" w:hAnsi="仿宋" w:eastAsia="仿宋" w:cs="仿宋"/>
          <w:color w:val="auto"/>
          <w:highlight w:val="none"/>
        </w:rPr>
        <w:t>8.2 保证</w:t>
      </w:r>
    </w:p>
    <w:p w14:paraId="0EE4D44F">
      <w:pPr>
        <w:bidi w:val="0"/>
        <w:rPr>
          <w:rFonts w:hint="eastAsia" w:ascii="仿宋" w:hAnsi="仿宋" w:eastAsia="仿宋" w:cs="仿宋"/>
          <w:color w:val="auto"/>
          <w:highlight w:val="none"/>
        </w:rPr>
      </w:pPr>
      <w:r>
        <w:rPr>
          <w:rFonts w:hint="eastAsia" w:ascii="仿宋" w:hAnsi="仿宋" w:eastAsia="仿宋" w:cs="仿宋"/>
          <w:color w:val="auto"/>
          <w:highlight w:val="none"/>
        </w:rPr>
        <w:t>（1）乙方应保证提供的货物完全符合合同规定的质量、规格和性能要求。乙方应保证货物在正确安装、正常使用和保养条件下，在其使用寿命期内具备合同约定的性能。存在质量保证期的，货物最终交付验收合格后在【政府采购合同专用条款】规定或乙方书面承诺（两者以较长的为准）的质量保证期内，本保证保持有效。</w:t>
      </w:r>
    </w:p>
    <w:p w14:paraId="7BB195E4">
      <w:pPr>
        <w:bidi w:val="0"/>
        <w:rPr>
          <w:rFonts w:hint="eastAsia" w:ascii="仿宋" w:hAnsi="仿宋" w:eastAsia="仿宋" w:cs="仿宋"/>
          <w:color w:val="auto"/>
          <w:highlight w:val="none"/>
        </w:rPr>
      </w:pPr>
      <w:r>
        <w:rPr>
          <w:rFonts w:hint="eastAsia" w:ascii="仿宋" w:hAnsi="仿宋" w:eastAsia="仿宋" w:cs="仿宋"/>
          <w:color w:val="auto"/>
          <w:highlight w:val="none"/>
        </w:rPr>
        <w:t>（2）在质量保证期内所发现的缺陷，甲方应尽快以书面形式通知乙方。</w:t>
      </w:r>
    </w:p>
    <w:p w14:paraId="66D038B2">
      <w:pPr>
        <w:bidi w:val="0"/>
        <w:rPr>
          <w:rFonts w:hint="eastAsia" w:ascii="仿宋" w:hAnsi="仿宋" w:eastAsia="仿宋" w:cs="仿宋"/>
          <w:color w:val="auto"/>
          <w:highlight w:val="none"/>
        </w:rPr>
      </w:pPr>
      <w:r>
        <w:rPr>
          <w:rFonts w:hint="eastAsia" w:ascii="仿宋" w:hAnsi="仿宋" w:eastAsia="仿宋" w:cs="仿宋"/>
          <w:color w:val="auto"/>
          <w:highlight w:val="none"/>
        </w:rPr>
        <w:t>（3）乙方收到通知后，应在【政府采购合同专用条款】规定的响应时间内以合理的速度免费维修或更换有缺陷的货物或部件。</w:t>
      </w:r>
    </w:p>
    <w:p w14:paraId="5D1C0205">
      <w:pPr>
        <w:bidi w:val="0"/>
        <w:rPr>
          <w:rFonts w:hint="eastAsia" w:ascii="仿宋" w:hAnsi="仿宋" w:eastAsia="仿宋" w:cs="仿宋"/>
          <w:color w:val="auto"/>
          <w:highlight w:val="none"/>
        </w:rPr>
      </w:pPr>
      <w:r>
        <w:rPr>
          <w:rFonts w:hint="eastAsia" w:ascii="仿宋" w:hAnsi="仿宋" w:eastAsia="仿宋" w:cs="仿宋"/>
          <w:color w:val="auto"/>
          <w:highlight w:val="none"/>
        </w:rPr>
        <w:t>（4）在质量保证期内，如果货物的质量或规格与合同不符，或证实货物是有缺陷的，包括潜在的缺陷或使用不符合要求的材料等，甲方可以根据本合同第15.1条规定以书面形式追究乙方的违约责任。</w:t>
      </w:r>
    </w:p>
    <w:p w14:paraId="16864F3D">
      <w:pPr>
        <w:bidi w:val="0"/>
        <w:rPr>
          <w:rFonts w:hint="eastAsia" w:ascii="仿宋" w:hAnsi="仿宋" w:eastAsia="仿宋" w:cs="仿宋"/>
          <w:color w:val="auto"/>
          <w:highlight w:val="none"/>
        </w:rPr>
      </w:pPr>
      <w:r>
        <w:rPr>
          <w:rFonts w:hint="eastAsia" w:ascii="仿宋" w:hAnsi="仿宋" w:eastAsia="仿宋" w:cs="仿宋"/>
          <w:color w:val="auto"/>
          <w:highlight w:val="none"/>
        </w:rPr>
        <w:t>（5）乙方在约定的时间内未能弥补缺陷，甲方可采取必要的补救措施，但其风险和费用将由乙方承担，甲方根据合同约定对乙方行使的其他权利不受影响。</w:t>
      </w:r>
    </w:p>
    <w:p w14:paraId="399A8D56">
      <w:pPr>
        <w:bidi w:val="0"/>
        <w:rPr>
          <w:rFonts w:hint="eastAsia" w:ascii="仿宋" w:hAnsi="仿宋" w:eastAsia="仿宋" w:cs="仿宋"/>
          <w:color w:val="auto"/>
          <w:highlight w:val="none"/>
        </w:rPr>
      </w:pPr>
      <w:bookmarkStart w:id="487" w:name="_Toc29049"/>
      <w:bookmarkStart w:id="488" w:name="_Toc17898"/>
      <w:bookmarkStart w:id="489" w:name="_Toc8153"/>
      <w:r>
        <w:rPr>
          <w:rFonts w:hint="eastAsia" w:ascii="仿宋" w:hAnsi="仿宋" w:eastAsia="仿宋" w:cs="仿宋"/>
          <w:color w:val="auto"/>
          <w:highlight w:val="none"/>
        </w:rPr>
        <w:t>9. 权利瑕疵担保</w:t>
      </w:r>
      <w:bookmarkEnd w:id="487"/>
      <w:bookmarkEnd w:id="488"/>
      <w:bookmarkEnd w:id="489"/>
    </w:p>
    <w:p w14:paraId="792CDC3A">
      <w:pPr>
        <w:bidi w:val="0"/>
        <w:rPr>
          <w:rFonts w:hint="eastAsia" w:ascii="仿宋" w:hAnsi="仿宋" w:eastAsia="仿宋" w:cs="仿宋"/>
          <w:color w:val="auto"/>
          <w:highlight w:val="none"/>
        </w:rPr>
      </w:pPr>
      <w:r>
        <w:rPr>
          <w:rFonts w:hint="eastAsia" w:ascii="仿宋" w:hAnsi="仿宋" w:eastAsia="仿宋" w:cs="仿宋"/>
          <w:color w:val="auto"/>
          <w:highlight w:val="none"/>
        </w:rPr>
        <w:t>9.1 乙方保证对其出售的货物享有合法的权利。</w:t>
      </w:r>
    </w:p>
    <w:p w14:paraId="4909A1EB">
      <w:pPr>
        <w:bidi w:val="0"/>
        <w:rPr>
          <w:rFonts w:hint="eastAsia" w:ascii="仿宋" w:hAnsi="仿宋" w:eastAsia="仿宋" w:cs="仿宋"/>
          <w:color w:val="auto"/>
          <w:highlight w:val="none"/>
        </w:rPr>
      </w:pPr>
      <w:r>
        <w:rPr>
          <w:rFonts w:hint="eastAsia" w:ascii="仿宋" w:hAnsi="仿宋" w:eastAsia="仿宋" w:cs="仿宋"/>
          <w:color w:val="auto"/>
          <w:highlight w:val="none"/>
        </w:rPr>
        <w:t>9.2 乙方保证在交付的货物上不存在抵押权等担保物权。</w:t>
      </w:r>
    </w:p>
    <w:p w14:paraId="11959029">
      <w:pPr>
        <w:bidi w:val="0"/>
        <w:rPr>
          <w:rFonts w:hint="eastAsia" w:ascii="仿宋" w:hAnsi="仿宋" w:eastAsia="仿宋" w:cs="仿宋"/>
          <w:color w:val="auto"/>
          <w:highlight w:val="none"/>
        </w:rPr>
      </w:pPr>
      <w:r>
        <w:rPr>
          <w:rFonts w:hint="eastAsia" w:ascii="仿宋" w:hAnsi="仿宋" w:eastAsia="仿宋" w:cs="仿宋"/>
          <w:color w:val="auto"/>
          <w:highlight w:val="none"/>
        </w:rPr>
        <w:t>9.3 如甲方使用上述货物构成对第三人侵权的，则由乙方承担全部责任。</w:t>
      </w:r>
    </w:p>
    <w:p w14:paraId="31C83BEE">
      <w:pPr>
        <w:bidi w:val="0"/>
        <w:rPr>
          <w:rFonts w:hint="eastAsia" w:ascii="仿宋" w:hAnsi="仿宋" w:eastAsia="仿宋" w:cs="仿宋"/>
          <w:color w:val="auto"/>
          <w:highlight w:val="none"/>
        </w:rPr>
      </w:pPr>
      <w:bookmarkStart w:id="490" w:name="_Toc11874"/>
      <w:bookmarkStart w:id="491" w:name="_Toc13350"/>
      <w:bookmarkStart w:id="492" w:name="_Toc2362"/>
      <w:r>
        <w:rPr>
          <w:rFonts w:hint="eastAsia" w:ascii="仿宋" w:hAnsi="仿宋" w:eastAsia="仿宋" w:cs="仿宋"/>
          <w:color w:val="auto"/>
          <w:highlight w:val="none"/>
        </w:rPr>
        <w:t>10. 知识产权保护</w:t>
      </w:r>
      <w:bookmarkEnd w:id="490"/>
      <w:bookmarkEnd w:id="491"/>
      <w:bookmarkEnd w:id="492"/>
    </w:p>
    <w:p w14:paraId="69AFD46D">
      <w:pPr>
        <w:bidi w:val="0"/>
        <w:rPr>
          <w:rFonts w:hint="eastAsia" w:ascii="仿宋" w:hAnsi="仿宋" w:eastAsia="仿宋" w:cs="仿宋"/>
          <w:color w:val="auto"/>
          <w:highlight w:val="none"/>
        </w:rPr>
      </w:pPr>
      <w:r>
        <w:rPr>
          <w:rFonts w:hint="eastAsia" w:ascii="仿宋" w:hAnsi="仿宋" w:eastAsia="仿宋" w:cs="仿宋"/>
          <w:color w:val="auto"/>
          <w:highlight w:val="none"/>
        </w:rPr>
        <w:t>10.1 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p>
    <w:p w14:paraId="197557EE">
      <w:pPr>
        <w:bidi w:val="0"/>
        <w:rPr>
          <w:rFonts w:hint="eastAsia" w:ascii="仿宋" w:hAnsi="仿宋" w:eastAsia="仿宋" w:cs="仿宋"/>
          <w:color w:val="auto"/>
          <w:highlight w:val="none"/>
        </w:rPr>
      </w:pPr>
      <w:bookmarkStart w:id="493" w:name="_Toc27804"/>
      <w:bookmarkStart w:id="494" w:name="_Toc28695"/>
      <w:bookmarkStart w:id="495" w:name="_Toc2932"/>
      <w:r>
        <w:rPr>
          <w:rFonts w:hint="eastAsia" w:ascii="仿宋" w:hAnsi="仿宋" w:eastAsia="仿宋" w:cs="仿宋"/>
          <w:color w:val="auto"/>
          <w:highlight w:val="none"/>
        </w:rPr>
        <w:t>11. 保密义务</w:t>
      </w:r>
      <w:bookmarkEnd w:id="493"/>
      <w:bookmarkEnd w:id="494"/>
      <w:bookmarkEnd w:id="495"/>
    </w:p>
    <w:p w14:paraId="45BB0261">
      <w:pPr>
        <w:bidi w:val="0"/>
        <w:rPr>
          <w:rFonts w:hint="eastAsia" w:ascii="仿宋" w:hAnsi="仿宋" w:eastAsia="仿宋" w:cs="仿宋"/>
          <w:color w:val="auto"/>
          <w:highlight w:val="none"/>
        </w:rPr>
      </w:pPr>
      <w:r>
        <w:rPr>
          <w:rFonts w:hint="eastAsia" w:ascii="仿宋" w:hAnsi="仿宋" w:eastAsia="仿宋" w:cs="仿宋"/>
          <w:color w:val="auto"/>
          <w:highlight w:val="none"/>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政府采购合同专用条款】中约定。</w:t>
      </w:r>
    </w:p>
    <w:p w14:paraId="32571091">
      <w:pPr>
        <w:bidi w:val="0"/>
        <w:rPr>
          <w:rFonts w:hint="eastAsia" w:ascii="仿宋" w:hAnsi="仿宋" w:eastAsia="仿宋" w:cs="仿宋"/>
          <w:color w:val="auto"/>
          <w:highlight w:val="none"/>
        </w:rPr>
      </w:pPr>
      <w:bookmarkStart w:id="496" w:name="_Toc9843"/>
      <w:bookmarkStart w:id="497" w:name="_Toc7411"/>
      <w:bookmarkStart w:id="498" w:name="_Toc13627"/>
      <w:r>
        <w:rPr>
          <w:rFonts w:hint="eastAsia" w:ascii="仿宋" w:hAnsi="仿宋" w:eastAsia="仿宋" w:cs="仿宋"/>
          <w:color w:val="auto"/>
          <w:highlight w:val="none"/>
        </w:rPr>
        <w:t>12. 合同价款支付</w:t>
      </w:r>
      <w:bookmarkEnd w:id="496"/>
      <w:bookmarkEnd w:id="497"/>
      <w:bookmarkEnd w:id="498"/>
    </w:p>
    <w:p w14:paraId="51234F89">
      <w:pPr>
        <w:bidi w:val="0"/>
        <w:rPr>
          <w:rFonts w:hint="eastAsia" w:ascii="仿宋" w:hAnsi="仿宋" w:eastAsia="仿宋" w:cs="仿宋"/>
          <w:color w:val="auto"/>
          <w:highlight w:val="none"/>
        </w:rPr>
      </w:pPr>
      <w:r>
        <w:rPr>
          <w:rFonts w:hint="eastAsia" w:ascii="仿宋" w:hAnsi="仿宋" w:eastAsia="仿宋" w:cs="仿宋"/>
          <w:color w:val="auto"/>
          <w:highlight w:val="none"/>
        </w:rPr>
        <w:t>12.1 合同价款支付按照国库集中支付制度及财政管理相关规定执行。</w:t>
      </w:r>
    </w:p>
    <w:p w14:paraId="52AF11D6">
      <w:pPr>
        <w:bidi w:val="0"/>
        <w:rPr>
          <w:rFonts w:hint="eastAsia" w:ascii="仿宋" w:hAnsi="仿宋" w:eastAsia="仿宋" w:cs="仿宋"/>
          <w:color w:val="auto"/>
          <w:highlight w:val="none"/>
        </w:rPr>
      </w:pPr>
      <w:r>
        <w:rPr>
          <w:rFonts w:hint="eastAsia" w:ascii="仿宋" w:hAnsi="仿宋" w:eastAsia="仿宋" w:cs="仿宋"/>
          <w:color w:val="auto"/>
          <w:highlight w:val="none"/>
        </w:rPr>
        <w:t>12.2 对于满足合同约定支付条件的，甲方原则上应当自收到发票后10个工作日内将资金支付到合同约定的乙方账户，不得以机构变动、人员更替、政策调整等为由迟延付款，不得将招标文件和合同中未规定的义务作为向乙方付款的条件。具体合同价款支付时间在【政府采购合同专用条款】中约定。</w:t>
      </w:r>
    </w:p>
    <w:p w14:paraId="214C1B22">
      <w:pPr>
        <w:bidi w:val="0"/>
        <w:rPr>
          <w:rFonts w:hint="eastAsia" w:ascii="仿宋" w:hAnsi="仿宋" w:eastAsia="仿宋" w:cs="仿宋"/>
          <w:color w:val="auto"/>
          <w:highlight w:val="none"/>
        </w:rPr>
      </w:pPr>
      <w:bookmarkStart w:id="499" w:name="_Toc7649"/>
      <w:bookmarkStart w:id="500" w:name="_Toc4212"/>
      <w:bookmarkStart w:id="501" w:name="_Toc11572"/>
      <w:r>
        <w:rPr>
          <w:rFonts w:hint="eastAsia" w:ascii="仿宋" w:hAnsi="仿宋" w:eastAsia="仿宋" w:cs="仿宋"/>
          <w:color w:val="auto"/>
          <w:highlight w:val="none"/>
        </w:rPr>
        <w:t>13. 履约保证金</w:t>
      </w:r>
      <w:bookmarkEnd w:id="499"/>
      <w:bookmarkEnd w:id="500"/>
      <w:bookmarkEnd w:id="501"/>
    </w:p>
    <w:p w14:paraId="7FB99966">
      <w:pPr>
        <w:bidi w:val="0"/>
        <w:rPr>
          <w:rFonts w:hint="eastAsia" w:ascii="仿宋" w:hAnsi="仿宋" w:eastAsia="仿宋" w:cs="仿宋"/>
          <w:color w:val="auto"/>
          <w:highlight w:val="none"/>
        </w:rPr>
      </w:pPr>
      <w:r>
        <w:rPr>
          <w:rFonts w:hint="eastAsia" w:ascii="仿宋" w:hAnsi="仿宋" w:eastAsia="仿宋" w:cs="仿宋"/>
          <w:color w:val="auto"/>
          <w:highlight w:val="none"/>
        </w:rPr>
        <w:t>13.1 乙方应当以支票、汇票、本票或者金融机构、担保机构出具的保函等非现金形式提交。</w:t>
      </w:r>
    </w:p>
    <w:p w14:paraId="0E3EEB26">
      <w:pPr>
        <w:bidi w:val="0"/>
        <w:rPr>
          <w:rFonts w:hint="eastAsia" w:ascii="仿宋" w:hAnsi="仿宋" w:eastAsia="仿宋" w:cs="仿宋"/>
          <w:color w:val="auto"/>
          <w:highlight w:val="none"/>
        </w:rPr>
      </w:pPr>
      <w:r>
        <w:rPr>
          <w:rFonts w:hint="eastAsia" w:ascii="仿宋" w:hAnsi="仿宋" w:eastAsia="仿宋" w:cs="仿宋"/>
          <w:color w:val="auto"/>
          <w:highlight w:val="none"/>
        </w:rPr>
        <w:t>13.2 如果乙方出现【政府采购合同专用条款】约定情形的，履约保证金不予退还；如果乙方未能按合同约定全面履行义务，甲方有权从履约保证金中取得补偿或赔偿，且不影响甲方要求乙方承担合同约定的超过履约保证金的违约责任的权利。</w:t>
      </w:r>
    </w:p>
    <w:p w14:paraId="1ECFC57B">
      <w:pPr>
        <w:bidi w:val="0"/>
        <w:rPr>
          <w:rFonts w:hint="eastAsia" w:ascii="仿宋" w:hAnsi="仿宋" w:eastAsia="仿宋" w:cs="仿宋"/>
          <w:color w:val="auto"/>
          <w:highlight w:val="none"/>
        </w:rPr>
      </w:pPr>
      <w:r>
        <w:rPr>
          <w:rFonts w:hint="eastAsia" w:ascii="仿宋" w:hAnsi="仿宋" w:eastAsia="仿宋" w:cs="仿宋"/>
          <w:color w:val="auto"/>
          <w:highlight w:val="none"/>
        </w:rPr>
        <w:t>13.3 甲方在项目通过验收后按照【政府采购合同专用条款】规定的时间内将履约保证金退还乙方；逾期退还的，乙方可要求甲方支付违约金，违约金按照【政府采购合同专用条款】规定支付。</w:t>
      </w:r>
    </w:p>
    <w:p w14:paraId="23D7CDC3">
      <w:pPr>
        <w:bidi w:val="0"/>
        <w:rPr>
          <w:rFonts w:hint="eastAsia" w:ascii="仿宋" w:hAnsi="仿宋" w:eastAsia="仿宋" w:cs="仿宋"/>
          <w:color w:val="auto"/>
          <w:highlight w:val="none"/>
        </w:rPr>
      </w:pPr>
      <w:bookmarkStart w:id="502" w:name="_Toc19793"/>
      <w:bookmarkStart w:id="503" w:name="_Toc25227"/>
      <w:bookmarkStart w:id="504" w:name="_Toc5641"/>
      <w:r>
        <w:rPr>
          <w:rFonts w:hint="eastAsia" w:ascii="仿宋" w:hAnsi="仿宋" w:eastAsia="仿宋" w:cs="仿宋"/>
          <w:color w:val="auto"/>
          <w:highlight w:val="none"/>
        </w:rPr>
        <w:t>14. 售后服务</w:t>
      </w:r>
      <w:bookmarkEnd w:id="502"/>
      <w:bookmarkEnd w:id="503"/>
      <w:bookmarkEnd w:id="504"/>
    </w:p>
    <w:p w14:paraId="28FD6FA8">
      <w:pPr>
        <w:bidi w:val="0"/>
        <w:rPr>
          <w:rFonts w:hint="eastAsia" w:ascii="仿宋" w:hAnsi="仿宋" w:eastAsia="仿宋" w:cs="仿宋"/>
          <w:color w:val="auto"/>
          <w:highlight w:val="none"/>
        </w:rPr>
      </w:pPr>
      <w:r>
        <w:rPr>
          <w:rFonts w:hint="eastAsia" w:ascii="仿宋" w:hAnsi="仿宋" w:eastAsia="仿宋" w:cs="仿宋"/>
          <w:color w:val="auto"/>
          <w:highlight w:val="none"/>
        </w:rPr>
        <w:t>14.1 除项目不涉及或采购活动中明确约定无须承担外，乙方还应提供下列服务：</w:t>
      </w:r>
    </w:p>
    <w:p w14:paraId="1DB15441">
      <w:pPr>
        <w:bidi w:val="0"/>
        <w:rPr>
          <w:rFonts w:hint="eastAsia" w:ascii="仿宋" w:hAnsi="仿宋" w:eastAsia="仿宋" w:cs="仿宋"/>
          <w:color w:val="auto"/>
          <w:highlight w:val="none"/>
        </w:rPr>
      </w:pPr>
      <w:r>
        <w:rPr>
          <w:rFonts w:hint="eastAsia" w:ascii="仿宋" w:hAnsi="仿宋" w:eastAsia="仿宋" w:cs="仿宋"/>
          <w:color w:val="auto"/>
          <w:highlight w:val="none"/>
        </w:rPr>
        <w:t>（1）货物的现场移动、安装、调试、启动监督及技术支持；</w:t>
      </w:r>
    </w:p>
    <w:p w14:paraId="36F9FB62">
      <w:pPr>
        <w:bidi w:val="0"/>
        <w:rPr>
          <w:rFonts w:hint="eastAsia" w:ascii="仿宋" w:hAnsi="仿宋" w:eastAsia="仿宋" w:cs="仿宋"/>
          <w:color w:val="auto"/>
          <w:highlight w:val="none"/>
        </w:rPr>
      </w:pPr>
      <w:r>
        <w:rPr>
          <w:rFonts w:hint="eastAsia" w:ascii="仿宋" w:hAnsi="仿宋" w:eastAsia="仿宋" w:cs="仿宋"/>
          <w:color w:val="auto"/>
          <w:highlight w:val="none"/>
        </w:rPr>
        <w:t>（2）提供货物组装和维修所需的专用工具和辅助材料；</w:t>
      </w:r>
    </w:p>
    <w:p w14:paraId="2F2DBA2A">
      <w:pPr>
        <w:bidi w:val="0"/>
        <w:rPr>
          <w:rFonts w:hint="eastAsia" w:ascii="仿宋" w:hAnsi="仿宋" w:eastAsia="仿宋" w:cs="仿宋"/>
          <w:color w:val="auto"/>
          <w:highlight w:val="none"/>
        </w:rPr>
      </w:pPr>
      <w:r>
        <w:rPr>
          <w:rFonts w:hint="eastAsia" w:ascii="仿宋" w:hAnsi="仿宋" w:eastAsia="仿宋" w:cs="仿宋"/>
          <w:color w:val="auto"/>
          <w:highlight w:val="none"/>
        </w:rPr>
        <w:t>（3）在【政府采购合同专用条款】约定的期限内对所有的货物实施运行监督、维修，但前提条件是该服务并不能免除乙方在质量保证期内所承担的义务；</w:t>
      </w:r>
    </w:p>
    <w:p w14:paraId="084BB5C0">
      <w:pPr>
        <w:bidi w:val="0"/>
        <w:rPr>
          <w:rFonts w:hint="eastAsia" w:ascii="仿宋" w:hAnsi="仿宋" w:eastAsia="仿宋" w:cs="仿宋"/>
          <w:color w:val="auto"/>
          <w:highlight w:val="none"/>
        </w:rPr>
      </w:pPr>
      <w:r>
        <w:rPr>
          <w:rFonts w:hint="eastAsia" w:ascii="仿宋" w:hAnsi="仿宋" w:eastAsia="仿宋" w:cs="仿宋"/>
          <w:color w:val="auto"/>
          <w:highlight w:val="none"/>
        </w:rPr>
        <w:t>（4）在制造商所在地或指定现场就货物的安装、启动、运营、维护、废弃处置等对甲方操作人员进行培训；</w:t>
      </w:r>
    </w:p>
    <w:p w14:paraId="5B884E15">
      <w:pPr>
        <w:bidi w:val="0"/>
        <w:rPr>
          <w:rFonts w:hint="eastAsia" w:ascii="仿宋" w:hAnsi="仿宋" w:eastAsia="仿宋" w:cs="仿宋"/>
          <w:color w:val="auto"/>
          <w:highlight w:val="none"/>
        </w:rPr>
      </w:pPr>
      <w:r>
        <w:rPr>
          <w:rFonts w:hint="eastAsia" w:ascii="仿宋" w:hAnsi="仿宋" w:eastAsia="仿宋" w:cs="仿宋"/>
          <w:color w:val="auto"/>
          <w:highlight w:val="none"/>
        </w:rPr>
        <w:t>（5）依照法律、行政法规的规定或者按照【政府采购合同专用条款】约定，货物在有效使用年限届满后应予回收的，乙方负有自行或者委托第三人对货物予以回收的义务；</w:t>
      </w:r>
    </w:p>
    <w:p w14:paraId="17285279">
      <w:pPr>
        <w:bidi w:val="0"/>
        <w:rPr>
          <w:rFonts w:hint="eastAsia" w:ascii="仿宋" w:hAnsi="仿宋" w:eastAsia="仿宋" w:cs="仿宋"/>
          <w:color w:val="auto"/>
          <w:highlight w:val="none"/>
        </w:rPr>
      </w:pPr>
      <w:r>
        <w:rPr>
          <w:rFonts w:hint="eastAsia" w:ascii="仿宋" w:hAnsi="仿宋" w:eastAsia="仿宋" w:cs="仿宋"/>
          <w:color w:val="auto"/>
          <w:highlight w:val="none"/>
        </w:rPr>
        <w:t>（6）【政府采购合同专用条款】规定由乙方提供的其他服务。</w:t>
      </w:r>
    </w:p>
    <w:p w14:paraId="00F0B371">
      <w:pPr>
        <w:bidi w:val="0"/>
        <w:rPr>
          <w:rFonts w:hint="eastAsia" w:ascii="仿宋" w:hAnsi="仿宋" w:eastAsia="仿宋" w:cs="仿宋"/>
          <w:color w:val="auto"/>
          <w:highlight w:val="none"/>
        </w:rPr>
      </w:pPr>
      <w:r>
        <w:rPr>
          <w:rFonts w:hint="eastAsia" w:ascii="仿宋" w:hAnsi="仿宋" w:eastAsia="仿宋" w:cs="仿宋"/>
          <w:color w:val="auto"/>
          <w:highlight w:val="none"/>
        </w:rPr>
        <w:t>14.2 乙方提供的售后服务的费用已包含在合同价款中，甲方不再另行支付。</w:t>
      </w:r>
    </w:p>
    <w:p w14:paraId="2D20B478">
      <w:pPr>
        <w:bidi w:val="0"/>
        <w:rPr>
          <w:rFonts w:hint="eastAsia" w:ascii="仿宋" w:hAnsi="仿宋" w:eastAsia="仿宋" w:cs="仿宋"/>
          <w:color w:val="auto"/>
          <w:highlight w:val="none"/>
        </w:rPr>
      </w:pPr>
      <w:bookmarkStart w:id="505" w:name="_Toc7243"/>
      <w:bookmarkStart w:id="506" w:name="_Toc22005"/>
      <w:bookmarkStart w:id="507" w:name="_Toc11051"/>
      <w:r>
        <w:rPr>
          <w:rFonts w:hint="eastAsia" w:ascii="仿宋" w:hAnsi="仿宋" w:eastAsia="仿宋" w:cs="仿宋"/>
          <w:color w:val="auto"/>
          <w:highlight w:val="none"/>
        </w:rPr>
        <w:t>15. 违约责任</w:t>
      </w:r>
      <w:bookmarkEnd w:id="505"/>
      <w:bookmarkEnd w:id="506"/>
      <w:bookmarkEnd w:id="507"/>
    </w:p>
    <w:p w14:paraId="5AB81ED5">
      <w:pPr>
        <w:bidi w:val="0"/>
        <w:rPr>
          <w:rFonts w:hint="eastAsia" w:ascii="仿宋" w:hAnsi="仿宋" w:eastAsia="仿宋" w:cs="仿宋"/>
          <w:color w:val="auto"/>
          <w:highlight w:val="none"/>
        </w:rPr>
      </w:pPr>
      <w:r>
        <w:rPr>
          <w:rFonts w:hint="eastAsia" w:ascii="仿宋" w:hAnsi="仿宋" w:eastAsia="仿宋" w:cs="仿宋"/>
          <w:color w:val="auto"/>
          <w:highlight w:val="none"/>
        </w:rPr>
        <w:t>15.1质量瑕疵的违约责任</w:t>
      </w:r>
    </w:p>
    <w:p w14:paraId="6483C268">
      <w:pPr>
        <w:bidi w:val="0"/>
        <w:rPr>
          <w:rFonts w:hint="eastAsia" w:ascii="仿宋" w:hAnsi="仿宋" w:eastAsia="仿宋" w:cs="仿宋"/>
          <w:color w:val="auto"/>
          <w:highlight w:val="none"/>
        </w:rPr>
      </w:pPr>
      <w:r>
        <w:rPr>
          <w:rFonts w:hint="eastAsia" w:ascii="仿宋" w:hAnsi="仿宋" w:eastAsia="仿宋" w:cs="仿宋"/>
          <w:color w:val="auto"/>
          <w:highlight w:val="none"/>
        </w:rPr>
        <w:t>乙方提供的产品不符合合同约定的质量标准或存在产品质量缺陷，甲方有权要求乙方根据【政府采购合同专用条款】要求及时修理、重作、更换，并承担由此给甲方造成的损失。</w:t>
      </w:r>
    </w:p>
    <w:p w14:paraId="2DC5FD07">
      <w:pPr>
        <w:bidi w:val="0"/>
        <w:rPr>
          <w:rFonts w:hint="eastAsia" w:ascii="仿宋" w:hAnsi="仿宋" w:eastAsia="仿宋" w:cs="仿宋"/>
          <w:color w:val="auto"/>
          <w:highlight w:val="none"/>
        </w:rPr>
      </w:pPr>
      <w:r>
        <w:rPr>
          <w:rFonts w:hint="eastAsia" w:ascii="仿宋" w:hAnsi="仿宋" w:eastAsia="仿宋" w:cs="仿宋"/>
          <w:color w:val="auto"/>
          <w:highlight w:val="none"/>
        </w:rPr>
        <w:t>15.2 迟延交货的违约责任</w:t>
      </w:r>
    </w:p>
    <w:p w14:paraId="1F88C8F1">
      <w:pPr>
        <w:bidi w:val="0"/>
        <w:rPr>
          <w:rFonts w:hint="eastAsia" w:ascii="仿宋" w:hAnsi="仿宋" w:eastAsia="仿宋" w:cs="仿宋"/>
          <w:color w:val="auto"/>
          <w:highlight w:val="none"/>
        </w:rPr>
      </w:pPr>
      <w:r>
        <w:rPr>
          <w:rFonts w:hint="eastAsia" w:ascii="仿宋" w:hAnsi="仿宋" w:eastAsia="仿宋" w:cs="仿宋"/>
          <w:color w:val="auto"/>
          <w:highlight w:val="none"/>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14:paraId="5D917F65">
      <w:pPr>
        <w:bidi w:val="0"/>
        <w:rPr>
          <w:rFonts w:hint="eastAsia" w:ascii="仿宋" w:hAnsi="仿宋" w:eastAsia="仿宋" w:cs="仿宋"/>
          <w:color w:val="auto"/>
          <w:highlight w:val="none"/>
        </w:rPr>
      </w:pPr>
      <w:r>
        <w:rPr>
          <w:rFonts w:hint="eastAsia" w:ascii="仿宋" w:hAnsi="仿宋" w:eastAsia="仿宋" w:cs="仿宋"/>
          <w:color w:val="auto"/>
          <w:highlight w:val="none"/>
        </w:rPr>
        <w:t>（2）如果乙方没有按照合同规定的时间交货和提供相关服务，甲方有权从货款中扣除误期赔偿费而不影响合同项下的其他补救方法，赔偿费按【政府采购合同专用条款】规定执行。如果涉及公共利益，且赔偿金额无法弥补公共利益损失，甲方可要求继续履行或者采取其他补救措施。</w:t>
      </w:r>
    </w:p>
    <w:p w14:paraId="31D12839">
      <w:pPr>
        <w:bidi w:val="0"/>
        <w:rPr>
          <w:rFonts w:hint="eastAsia" w:ascii="仿宋" w:hAnsi="仿宋" w:eastAsia="仿宋" w:cs="仿宋"/>
          <w:color w:val="auto"/>
          <w:highlight w:val="none"/>
        </w:rPr>
      </w:pPr>
      <w:r>
        <w:rPr>
          <w:rFonts w:hint="eastAsia" w:ascii="仿宋" w:hAnsi="仿宋" w:eastAsia="仿宋" w:cs="仿宋"/>
          <w:color w:val="auto"/>
          <w:highlight w:val="none"/>
        </w:rPr>
        <w:t>15.3 迟延支付的违约责任</w:t>
      </w:r>
    </w:p>
    <w:p w14:paraId="4000E714">
      <w:pPr>
        <w:bidi w:val="0"/>
        <w:rPr>
          <w:rFonts w:hint="eastAsia" w:ascii="仿宋" w:hAnsi="仿宋" w:eastAsia="仿宋" w:cs="仿宋"/>
          <w:color w:val="auto"/>
          <w:highlight w:val="none"/>
        </w:rPr>
      </w:pPr>
      <w:r>
        <w:rPr>
          <w:rFonts w:hint="eastAsia" w:ascii="仿宋" w:hAnsi="仿宋" w:eastAsia="仿宋" w:cs="仿宋"/>
          <w:color w:val="auto"/>
          <w:highlight w:val="none"/>
        </w:rPr>
        <w:t>甲方存在迟延支付乙方合同款项的，应当承担【政府采购合同专用条款】规定的逾期付款利息。</w:t>
      </w:r>
    </w:p>
    <w:p w14:paraId="7DADB1F8">
      <w:pPr>
        <w:bidi w:val="0"/>
        <w:rPr>
          <w:rFonts w:hint="eastAsia" w:ascii="仿宋" w:hAnsi="仿宋" w:eastAsia="仿宋" w:cs="仿宋"/>
          <w:color w:val="auto"/>
          <w:highlight w:val="none"/>
        </w:rPr>
      </w:pPr>
      <w:r>
        <w:rPr>
          <w:rFonts w:hint="eastAsia" w:ascii="仿宋" w:hAnsi="仿宋" w:eastAsia="仿宋" w:cs="仿宋"/>
          <w:color w:val="auto"/>
          <w:highlight w:val="none"/>
        </w:rPr>
        <w:t>15.4其他违约责任根据项目实际需要按【政府采购合同专用条款】规定执行。</w:t>
      </w:r>
    </w:p>
    <w:p w14:paraId="0B9170C8">
      <w:pPr>
        <w:bidi w:val="0"/>
        <w:rPr>
          <w:rFonts w:hint="eastAsia" w:ascii="仿宋" w:hAnsi="仿宋" w:eastAsia="仿宋" w:cs="仿宋"/>
          <w:color w:val="auto"/>
          <w:highlight w:val="none"/>
        </w:rPr>
      </w:pPr>
      <w:bookmarkStart w:id="508" w:name="_Toc26660"/>
      <w:bookmarkStart w:id="509" w:name="_Toc16346"/>
      <w:bookmarkStart w:id="510" w:name="_Toc31644"/>
      <w:r>
        <w:rPr>
          <w:rFonts w:hint="eastAsia" w:ascii="仿宋" w:hAnsi="仿宋" w:eastAsia="仿宋" w:cs="仿宋"/>
          <w:color w:val="auto"/>
          <w:highlight w:val="none"/>
        </w:rPr>
        <w:t>16.合同变更、中止与终止</w:t>
      </w:r>
      <w:bookmarkEnd w:id="508"/>
      <w:bookmarkEnd w:id="509"/>
      <w:bookmarkEnd w:id="510"/>
    </w:p>
    <w:p w14:paraId="65A05B88">
      <w:pPr>
        <w:bidi w:val="0"/>
        <w:rPr>
          <w:rFonts w:hint="eastAsia" w:ascii="仿宋" w:hAnsi="仿宋" w:eastAsia="仿宋" w:cs="仿宋"/>
          <w:color w:val="auto"/>
          <w:highlight w:val="none"/>
        </w:rPr>
      </w:pPr>
      <w:r>
        <w:rPr>
          <w:rFonts w:hint="eastAsia" w:ascii="仿宋" w:hAnsi="仿宋" w:eastAsia="仿宋" w:cs="仿宋"/>
          <w:color w:val="auto"/>
          <w:highlight w:val="none"/>
        </w:rPr>
        <w:t>16.1合同的变更</w:t>
      </w:r>
    </w:p>
    <w:p w14:paraId="53E4570F">
      <w:pPr>
        <w:bidi w:val="0"/>
        <w:rPr>
          <w:rFonts w:hint="eastAsia" w:ascii="仿宋" w:hAnsi="仿宋" w:eastAsia="仿宋" w:cs="仿宋"/>
          <w:color w:val="auto"/>
          <w:highlight w:val="none"/>
        </w:rPr>
      </w:pPr>
      <w:r>
        <w:rPr>
          <w:rFonts w:hint="eastAsia" w:ascii="仿宋" w:hAnsi="仿宋" w:eastAsia="仿宋" w:cs="仿宋"/>
          <w:color w:val="auto"/>
          <w:highlight w:val="none"/>
        </w:rPr>
        <w:t>政府采购合同履行中，在不改变合同其他条款的前提下，甲方可以在合同价款10%的范围内追加与合同标的相同的货物，并就此与乙方协商一致后签订补充协议。</w:t>
      </w:r>
    </w:p>
    <w:p w14:paraId="79ECAE71">
      <w:pPr>
        <w:bidi w:val="0"/>
        <w:rPr>
          <w:rFonts w:hint="eastAsia" w:ascii="仿宋" w:hAnsi="仿宋" w:eastAsia="仿宋" w:cs="仿宋"/>
          <w:color w:val="auto"/>
          <w:highlight w:val="none"/>
        </w:rPr>
      </w:pPr>
      <w:r>
        <w:rPr>
          <w:rFonts w:hint="eastAsia" w:ascii="仿宋" w:hAnsi="仿宋" w:eastAsia="仿宋" w:cs="仿宋"/>
          <w:color w:val="auto"/>
          <w:highlight w:val="none"/>
        </w:rPr>
        <w:t>16.2合同的中止</w:t>
      </w:r>
    </w:p>
    <w:p w14:paraId="07ED16A5">
      <w:pPr>
        <w:bidi w:val="0"/>
        <w:rPr>
          <w:rFonts w:hint="eastAsia" w:ascii="仿宋" w:hAnsi="仿宋" w:eastAsia="仿宋" w:cs="仿宋"/>
          <w:color w:val="auto"/>
          <w:highlight w:val="none"/>
        </w:rPr>
      </w:pPr>
      <w:r>
        <w:rPr>
          <w:rFonts w:hint="eastAsia" w:ascii="仿宋" w:hAnsi="仿宋" w:eastAsia="仿宋" w:cs="仿宋"/>
          <w:color w:val="auto"/>
          <w:highlight w:val="none"/>
        </w:rPr>
        <w:t>（1）合同履行过程中因投标人就招标文件、采购过程或结果提起投诉的，甲方认为有必要的，可以中止合同的履行。</w:t>
      </w:r>
    </w:p>
    <w:p w14:paraId="2D8A7981">
      <w:pPr>
        <w:bidi w:val="0"/>
        <w:rPr>
          <w:rFonts w:hint="eastAsia" w:ascii="仿宋" w:hAnsi="仿宋" w:eastAsia="仿宋" w:cs="仿宋"/>
          <w:color w:val="auto"/>
          <w:highlight w:val="none"/>
        </w:rPr>
      </w:pPr>
      <w:r>
        <w:rPr>
          <w:rFonts w:hint="eastAsia" w:ascii="仿宋" w:hAnsi="仿宋" w:eastAsia="仿宋" w:cs="仿宋"/>
          <w:color w:val="auto"/>
          <w:highlight w:val="none"/>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14:paraId="3464213B">
      <w:pPr>
        <w:bidi w:val="0"/>
        <w:rPr>
          <w:rFonts w:hint="eastAsia" w:ascii="仿宋" w:hAnsi="仿宋" w:eastAsia="仿宋" w:cs="仿宋"/>
          <w:color w:val="auto"/>
          <w:highlight w:val="none"/>
        </w:rPr>
      </w:pPr>
      <w:r>
        <w:rPr>
          <w:rFonts w:hint="eastAsia" w:ascii="仿宋" w:hAnsi="仿宋" w:eastAsia="仿宋" w:cs="仿宋"/>
          <w:color w:val="auto"/>
          <w:highlight w:val="none"/>
        </w:rPr>
        <w:t>（3）乙方分立、合并或者变更住所的，应当及时以书面形式告知甲方。乙方没有及时告知甲方，致使合同履行发生困难的，甲方可以中止合同履行并要求乙方承担由此给甲方造成的损失。</w:t>
      </w:r>
    </w:p>
    <w:p w14:paraId="005BA656">
      <w:pPr>
        <w:bidi w:val="0"/>
        <w:rPr>
          <w:rFonts w:hint="eastAsia" w:ascii="仿宋" w:hAnsi="仿宋" w:eastAsia="仿宋" w:cs="仿宋"/>
          <w:color w:val="auto"/>
          <w:highlight w:val="none"/>
        </w:rPr>
      </w:pPr>
      <w:r>
        <w:rPr>
          <w:rFonts w:hint="eastAsia" w:ascii="仿宋" w:hAnsi="仿宋" w:eastAsia="仿宋" w:cs="仿宋"/>
          <w:color w:val="auto"/>
          <w:highlight w:val="none"/>
        </w:rPr>
        <w:t>（4）甲方不得以行政区划调整、政府换届、机构或者职能调整以及相关责任人更替为由中止合同。</w:t>
      </w:r>
    </w:p>
    <w:p w14:paraId="5708D2CF">
      <w:pPr>
        <w:bidi w:val="0"/>
        <w:rPr>
          <w:rFonts w:hint="eastAsia" w:ascii="仿宋" w:hAnsi="仿宋" w:eastAsia="仿宋" w:cs="仿宋"/>
          <w:color w:val="auto"/>
          <w:highlight w:val="none"/>
        </w:rPr>
      </w:pPr>
      <w:r>
        <w:rPr>
          <w:rFonts w:hint="eastAsia" w:ascii="仿宋" w:hAnsi="仿宋" w:eastAsia="仿宋" w:cs="仿宋"/>
          <w:color w:val="auto"/>
          <w:highlight w:val="none"/>
        </w:rPr>
        <w:t>16.3合同的终止</w:t>
      </w:r>
    </w:p>
    <w:p w14:paraId="088C376E">
      <w:pPr>
        <w:bidi w:val="0"/>
        <w:rPr>
          <w:rFonts w:hint="eastAsia" w:ascii="仿宋" w:hAnsi="仿宋" w:eastAsia="仿宋" w:cs="仿宋"/>
          <w:color w:val="auto"/>
          <w:highlight w:val="none"/>
        </w:rPr>
      </w:pPr>
      <w:r>
        <w:rPr>
          <w:rFonts w:hint="eastAsia" w:ascii="仿宋" w:hAnsi="仿宋" w:eastAsia="仿宋" w:cs="仿宋"/>
          <w:color w:val="auto"/>
          <w:highlight w:val="none"/>
        </w:rPr>
        <w:t>（1）合同因有效期限届满而终止；</w:t>
      </w:r>
    </w:p>
    <w:p w14:paraId="06372BDD">
      <w:pPr>
        <w:bidi w:val="0"/>
        <w:rPr>
          <w:rFonts w:hint="eastAsia" w:ascii="仿宋" w:hAnsi="仿宋" w:eastAsia="仿宋" w:cs="仿宋"/>
          <w:color w:val="auto"/>
          <w:highlight w:val="none"/>
        </w:rPr>
      </w:pPr>
      <w:r>
        <w:rPr>
          <w:rFonts w:hint="eastAsia" w:ascii="仿宋" w:hAnsi="仿宋" w:eastAsia="仿宋" w:cs="仿宋"/>
          <w:color w:val="auto"/>
          <w:highlight w:val="none"/>
        </w:rPr>
        <w:t>（2）乙方未按合同约定履行，构成根本性违约的，甲方有权终止合同，并追究乙方的违约责任。</w:t>
      </w:r>
    </w:p>
    <w:p w14:paraId="0D9A79E8">
      <w:pPr>
        <w:bidi w:val="0"/>
        <w:rPr>
          <w:rFonts w:hint="eastAsia" w:ascii="仿宋" w:hAnsi="仿宋" w:eastAsia="仿宋" w:cs="仿宋"/>
          <w:color w:val="auto"/>
          <w:highlight w:val="none"/>
        </w:rPr>
      </w:pPr>
      <w:r>
        <w:rPr>
          <w:rFonts w:hint="eastAsia" w:ascii="仿宋" w:hAnsi="仿宋" w:eastAsia="仿宋" w:cs="仿宋"/>
          <w:color w:val="auto"/>
          <w:highlight w:val="none"/>
        </w:rPr>
        <w:t>16.4 涉及国家利益、社会公共利益的情形</w:t>
      </w:r>
    </w:p>
    <w:p w14:paraId="7A436ABB">
      <w:pPr>
        <w:bidi w:val="0"/>
        <w:rPr>
          <w:rFonts w:hint="eastAsia" w:ascii="仿宋" w:hAnsi="仿宋" w:eastAsia="仿宋" w:cs="仿宋"/>
          <w:color w:val="auto"/>
          <w:highlight w:val="none"/>
        </w:rPr>
      </w:pPr>
      <w:r>
        <w:rPr>
          <w:rFonts w:hint="eastAsia" w:ascii="仿宋" w:hAnsi="仿宋" w:eastAsia="仿宋" w:cs="仿宋"/>
          <w:color w:val="auto"/>
          <w:highlight w:val="none"/>
        </w:rPr>
        <w:t>政府采购合同继续履行将损害国家利益和社会公共利益的，双方当事人应当变更、中止或者终止合同。有过错的一方应当承担赔偿责任，双方都有过错的，各自承担相应的责任。</w:t>
      </w:r>
    </w:p>
    <w:p w14:paraId="076283A5">
      <w:pPr>
        <w:bidi w:val="0"/>
        <w:rPr>
          <w:rFonts w:hint="eastAsia" w:ascii="仿宋" w:hAnsi="仿宋" w:eastAsia="仿宋" w:cs="仿宋"/>
          <w:color w:val="auto"/>
          <w:highlight w:val="none"/>
        </w:rPr>
      </w:pPr>
      <w:bookmarkStart w:id="511" w:name="_Toc10847"/>
      <w:bookmarkStart w:id="512" w:name="_Toc29231"/>
      <w:bookmarkStart w:id="513" w:name="_Toc7312"/>
      <w:r>
        <w:rPr>
          <w:rFonts w:hint="eastAsia" w:ascii="仿宋" w:hAnsi="仿宋" w:eastAsia="仿宋" w:cs="仿宋"/>
          <w:color w:val="auto"/>
          <w:highlight w:val="none"/>
        </w:rPr>
        <w:t>17. 合同分包</w:t>
      </w:r>
      <w:bookmarkEnd w:id="511"/>
      <w:bookmarkEnd w:id="512"/>
      <w:bookmarkEnd w:id="513"/>
    </w:p>
    <w:p w14:paraId="69610038">
      <w:pPr>
        <w:bidi w:val="0"/>
        <w:rPr>
          <w:rFonts w:hint="eastAsia" w:ascii="仿宋" w:hAnsi="仿宋" w:eastAsia="仿宋" w:cs="仿宋"/>
          <w:color w:val="auto"/>
          <w:highlight w:val="none"/>
        </w:rPr>
      </w:pPr>
      <w:r>
        <w:rPr>
          <w:rFonts w:hint="eastAsia" w:ascii="仿宋" w:hAnsi="仿宋" w:eastAsia="仿宋" w:cs="仿宋"/>
          <w:color w:val="auto"/>
          <w:highlight w:val="none"/>
        </w:rPr>
        <w:t>17.1 乙方不得将合同转包给其他投标人。涉及合同分包的，乙方应根据招标文件和投标（响应）文件规定进行合同分包。</w:t>
      </w:r>
    </w:p>
    <w:p w14:paraId="495255C9">
      <w:pPr>
        <w:bidi w:val="0"/>
        <w:rPr>
          <w:rFonts w:hint="eastAsia" w:ascii="仿宋" w:hAnsi="仿宋" w:eastAsia="仿宋" w:cs="仿宋"/>
          <w:color w:val="auto"/>
          <w:highlight w:val="none"/>
        </w:rPr>
      </w:pPr>
      <w:r>
        <w:rPr>
          <w:rFonts w:hint="eastAsia" w:ascii="仿宋" w:hAnsi="仿宋" w:eastAsia="仿宋" w:cs="仿宋"/>
          <w:color w:val="auto"/>
          <w:highlight w:val="none"/>
        </w:rPr>
        <w:t>17.2 乙方执行政府采购政策向中小企业依法分包的，乙方应当按招标文件和投标（响应）文件签订分包意向协议，分包意向协议属于本合同组成部分。</w:t>
      </w:r>
    </w:p>
    <w:p w14:paraId="76B1DA01">
      <w:pPr>
        <w:bidi w:val="0"/>
        <w:rPr>
          <w:rFonts w:hint="eastAsia" w:ascii="仿宋" w:hAnsi="仿宋" w:eastAsia="仿宋" w:cs="仿宋"/>
          <w:color w:val="auto"/>
          <w:highlight w:val="none"/>
        </w:rPr>
      </w:pPr>
      <w:bookmarkStart w:id="514" w:name="_Toc25506"/>
      <w:bookmarkStart w:id="515" w:name="_Toc23540"/>
      <w:bookmarkStart w:id="516" w:name="_Toc5590"/>
      <w:r>
        <w:rPr>
          <w:rFonts w:hint="eastAsia" w:ascii="仿宋" w:hAnsi="仿宋" w:eastAsia="仿宋" w:cs="仿宋"/>
          <w:color w:val="auto"/>
          <w:highlight w:val="none"/>
        </w:rPr>
        <w:t>18. 不可抗力</w:t>
      </w:r>
      <w:bookmarkEnd w:id="514"/>
      <w:bookmarkEnd w:id="515"/>
      <w:bookmarkEnd w:id="516"/>
    </w:p>
    <w:p w14:paraId="20055E56">
      <w:pPr>
        <w:bidi w:val="0"/>
        <w:rPr>
          <w:rFonts w:hint="eastAsia" w:ascii="仿宋" w:hAnsi="仿宋" w:eastAsia="仿宋" w:cs="仿宋"/>
          <w:color w:val="auto"/>
          <w:highlight w:val="none"/>
        </w:rPr>
      </w:pPr>
      <w:r>
        <w:rPr>
          <w:rFonts w:hint="eastAsia" w:ascii="仿宋" w:hAnsi="仿宋" w:eastAsia="仿宋" w:cs="仿宋"/>
          <w:color w:val="auto"/>
          <w:highlight w:val="none"/>
        </w:rPr>
        <w:t>18.1 不可抗力是指合同双方不能预见、不能避免且不能克服的客观情况。</w:t>
      </w:r>
    </w:p>
    <w:p w14:paraId="0900DA65">
      <w:pPr>
        <w:bidi w:val="0"/>
        <w:rPr>
          <w:rFonts w:hint="eastAsia" w:ascii="仿宋" w:hAnsi="仿宋" w:eastAsia="仿宋" w:cs="仿宋"/>
          <w:color w:val="auto"/>
          <w:highlight w:val="none"/>
        </w:rPr>
      </w:pPr>
      <w:r>
        <w:rPr>
          <w:rFonts w:hint="eastAsia" w:ascii="仿宋" w:hAnsi="仿宋" w:eastAsia="仿宋" w:cs="仿宋"/>
          <w:color w:val="auto"/>
          <w:highlight w:val="none"/>
        </w:rPr>
        <w:t>18.2 任何一方对由于不可抗力造成的部分或全部不能履行合同不承担违约责任。但迟延履行后发生不可抗力的，不能免除责任。</w:t>
      </w:r>
    </w:p>
    <w:p w14:paraId="00C6FD4F">
      <w:pPr>
        <w:bidi w:val="0"/>
        <w:rPr>
          <w:rFonts w:hint="eastAsia" w:ascii="仿宋" w:hAnsi="仿宋" w:eastAsia="仿宋" w:cs="仿宋"/>
          <w:color w:val="auto"/>
          <w:highlight w:val="none"/>
        </w:rPr>
      </w:pPr>
      <w:r>
        <w:rPr>
          <w:rFonts w:hint="eastAsia" w:ascii="仿宋" w:hAnsi="仿宋" w:eastAsia="仿宋" w:cs="仿宋"/>
          <w:color w:val="auto"/>
          <w:highlight w:val="none"/>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14:paraId="6CF05E0B">
      <w:pPr>
        <w:bidi w:val="0"/>
        <w:rPr>
          <w:rFonts w:hint="eastAsia" w:ascii="仿宋" w:hAnsi="仿宋" w:eastAsia="仿宋" w:cs="仿宋"/>
          <w:color w:val="auto"/>
          <w:highlight w:val="none"/>
        </w:rPr>
      </w:pPr>
      <w:bookmarkStart w:id="517" w:name="_Toc9257"/>
      <w:bookmarkStart w:id="518" w:name="_Toc6877"/>
      <w:bookmarkStart w:id="519" w:name="_Toc27584"/>
      <w:r>
        <w:rPr>
          <w:rFonts w:hint="eastAsia" w:ascii="仿宋" w:hAnsi="仿宋" w:eastAsia="仿宋" w:cs="仿宋"/>
          <w:color w:val="auto"/>
          <w:highlight w:val="none"/>
        </w:rPr>
        <w:t>19. 解决争议的方法</w:t>
      </w:r>
      <w:bookmarkEnd w:id="517"/>
      <w:bookmarkEnd w:id="518"/>
      <w:bookmarkEnd w:id="519"/>
    </w:p>
    <w:p w14:paraId="5C54BB7D">
      <w:pPr>
        <w:bidi w:val="0"/>
        <w:rPr>
          <w:rFonts w:hint="eastAsia" w:ascii="仿宋" w:hAnsi="仿宋" w:eastAsia="仿宋" w:cs="仿宋"/>
          <w:color w:val="auto"/>
          <w:highlight w:val="none"/>
        </w:rPr>
      </w:pPr>
      <w:r>
        <w:rPr>
          <w:rFonts w:hint="eastAsia" w:ascii="仿宋" w:hAnsi="仿宋" w:eastAsia="仿宋" w:cs="仿宋"/>
          <w:color w:val="auto"/>
          <w:highlight w:val="none"/>
        </w:rPr>
        <w:t>19.1 因本合同及合同有关事项发生的争议，由甲乙双方友好协商解决。协商不成时，可以向有关组织申请调解。合同一方或双方不愿调解或调解不成的，可以通过仲裁或诉讼的方式解决争议。</w:t>
      </w:r>
    </w:p>
    <w:p w14:paraId="39A99A94">
      <w:pPr>
        <w:bidi w:val="0"/>
        <w:rPr>
          <w:rFonts w:hint="eastAsia" w:ascii="仿宋" w:hAnsi="仿宋" w:eastAsia="仿宋" w:cs="仿宋"/>
          <w:color w:val="auto"/>
          <w:highlight w:val="none"/>
        </w:rPr>
      </w:pPr>
      <w:r>
        <w:rPr>
          <w:rFonts w:hint="eastAsia" w:ascii="仿宋" w:hAnsi="仿宋" w:eastAsia="仿宋" w:cs="仿宋"/>
          <w:color w:val="auto"/>
          <w:highlight w:val="none"/>
        </w:rPr>
        <w:t>19.2 选择仲裁的，应在【政府采购合同专用条款】中明确仲裁机构及仲裁地；通过诉讼方式解决的，可以在【政府采购合同专用条款】中进一步约定选择与争议有实际联系的地点的人民法院管辖，但管辖法院的约定不得违反级别管辖和专属管辖的规定。</w:t>
      </w:r>
    </w:p>
    <w:p w14:paraId="3A9BF662">
      <w:pPr>
        <w:bidi w:val="0"/>
        <w:rPr>
          <w:rFonts w:hint="eastAsia" w:ascii="仿宋" w:hAnsi="仿宋" w:eastAsia="仿宋" w:cs="仿宋"/>
          <w:color w:val="auto"/>
          <w:highlight w:val="none"/>
        </w:rPr>
      </w:pPr>
      <w:r>
        <w:rPr>
          <w:rFonts w:hint="eastAsia" w:ascii="仿宋" w:hAnsi="仿宋" w:eastAsia="仿宋" w:cs="仿宋"/>
          <w:color w:val="auto"/>
          <w:highlight w:val="none"/>
        </w:rPr>
        <w:t>19.3 如甲乙双方有争议的事项不影响合同其他部分的履行，在争议解决期间，合同其他部分应当继续履行。</w:t>
      </w:r>
    </w:p>
    <w:p w14:paraId="0C47E68C">
      <w:pPr>
        <w:bidi w:val="0"/>
        <w:rPr>
          <w:rFonts w:hint="eastAsia" w:ascii="仿宋" w:hAnsi="仿宋" w:eastAsia="仿宋" w:cs="仿宋"/>
          <w:color w:val="auto"/>
          <w:highlight w:val="none"/>
        </w:rPr>
      </w:pPr>
      <w:bookmarkStart w:id="520" w:name="_Toc26277"/>
      <w:bookmarkStart w:id="521" w:name="_Toc7176"/>
      <w:bookmarkStart w:id="522" w:name="_Toc9936"/>
      <w:r>
        <w:rPr>
          <w:rFonts w:hint="eastAsia" w:ascii="仿宋" w:hAnsi="仿宋" w:eastAsia="仿宋" w:cs="仿宋"/>
          <w:color w:val="auto"/>
          <w:highlight w:val="none"/>
        </w:rPr>
        <w:t>20. 政府采购政策</w:t>
      </w:r>
      <w:bookmarkEnd w:id="520"/>
      <w:bookmarkEnd w:id="521"/>
      <w:bookmarkEnd w:id="522"/>
    </w:p>
    <w:p w14:paraId="3D642D46">
      <w:pPr>
        <w:bidi w:val="0"/>
        <w:rPr>
          <w:rFonts w:hint="eastAsia" w:ascii="仿宋" w:hAnsi="仿宋" w:eastAsia="仿宋" w:cs="仿宋"/>
          <w:color w:val="auto"/>
          <w:highlight w:val="none"/>
        </w:rPr>
      </w:pPr>
      <w:r>
        <w:rPr>
          <w:rFonts w:hint="eastAsia" w:ascii="仿宋" w:hAnsi="仿宋" w:eastAsia="仿宋" w:cs="仿宋"/>
          <w:color w:val="auto"/>
          <w:highlight w:val="none"/>
        </w:rPr>
        <w:t xml:space="preserve">20.1 </w:t>
      </w:r>
      <w:r>
        <w:rPr>
          <w:rFonts w:hint="eastAsia" w:ascii="仿宋" w:hAnsi="仿宋" w:eastAsia="仿宋" w:cs="仿宋"/>
          <w:color w:val="auto"/>
          <w:highlight w:val="none"/>
          <w:lang w:val="en-GB"/>
        </w:rPr>
        <w:t>本合同应当按照规定执行政府采购政策。</w:t>
      </w:r>
    </w:p>
    <w:p w14:paraId="4729BAE9">
      <w:pPr>
        <w:bidi w:val="0"/>
        <w:rPr>
          <w:rFonts w:hint="eastAsia" w:ascii="仿宋" w:hAnsi="仿宋" w:eastAsia="仿宋" w:cs="仿宋"/>
          <w:color w:val="auto"/>
          <w:highlight w:val="none"/>
        </w:rPr>
      </w:pPr>
      <w:r>
        <w:rPr>
          <w:rFonts w:hint="eastAsia" w:ascii="仿宋" w:hAnsi="仿宋" w:eastAsia="仿宋" w:cs="仿宋"/>
          <w:color w:val="auto"/>
          <w:highlight w:val="none"/>
        </w:rPr>
        <w:t>20.2 本合同依法执行政府采购政策的方式和内容，属于合同履约验收的范围。甲乙双方</w:t>
      </w:r>
      <w:r>
        <w:rPr>
          <w:rFonts w:hint="eastAsia" w:ascii="仿宋" w:hAnsi="仿宋" w:eastAsia="仿宋" w:cs="仿宋"/>
          <w:color w:val="auto"/>
          <w:highlight w:val="none"/>
          <w:lang w:val="en-GB"/>
        </w:rPr>
        <w:t>未按规定要求执行政府采购政策造成损失的</w:t>
      </w:r>
      <w:r>
        <w:rPr>
          <w:rFonts w:hint="eastAsia" w:ascii="仿宋" w:hAnsi="仿宋" w:eastAsia="仿宋" w:cs="仿宋"/>
          <w:color w:val="auto"/>
          <w:highlight w:val="none"/>
        </w:rPr>
        <w:t>，有过错的一方应当承担赔偿责任，双方都有过错的，各自承担相应的责任。</w:t>
      </w:r>
    </w:p>
    <w:p w14:paraId="26F44660">
      <w:pPr>
        <w:bidi w:val="0"/>
        <w:rPr>
          <w:rFonts w:hint="eastAsia" w:ascii="仿宋" w:hAnsi="仿宋" w:eastAsia="仿宋" w:cs="仿宋"/>
          <w:color w:val="auto"/>
          <w:highlight w:val="none"/>
        </w:rPr>
      </w:pPr>
      <w:r>
        <w:rPr>
          <w:rFonts w:hint="eastAsia" w:ascii="仿宋" w:hAnsi="仿宋" w:eastAsia="仿宋" w:cs="仿宋"/>
          <w:color w:val="auto"/>
          <w:highlight w:val="none"/>
        </w:rPr>
        <w:t>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043CA087">
      <w:pPr>
        <w:bidi w:val="0"/>
        <w:rPr>
          <w:rFonts w:hint="eastAsia" w:ascii="仿宋" w:hAnsi="仿宋" w:eastAsia="仿宋" w:cs="仿宋"/>
          <w:color w:val="auto"/>
          <w:highlight w:val="none"/>
        </w:rPr>
      </w:pPr>
      <w:bookmarkStart w:id="523" w:name="_Toc30353"/>
      <w:bookmarkStart w:id="524" w:name="_Toc1845"/>
      <w:bookmarkStart w:id="525" w:name="_Toc31368"/>
      <w:r>
        <w:rPr>
          <w:rFonts w:hint="eastAsia" w:ascii="仿宋" w:hAnsi="仿宋" w:eastAsia="仿宋" w:cs="仿宋"/>
          <w:color w:val="auto"/>
          <w:highlight w:val="none"/>
        </w:rPr>
        <w:t>21. 法律适用</w:t>
      </w:r>
      <w:bookmarkEnd w:id="523"/>
      <w:bookmarkEnd w:id="524"/>
      <w:bookmarkEnd w:id="525"/>
    </w:p>
    <w:p w14:paraId="24E711BE">
      <w:pPr>
        <w:bidi w:val="0"/>
        <w:rPr>
          <w:rFonts w:hint="eastAsia" w:ascii="仿宋" w:hAnsi="仿宋" w:eastAsia="仿宋" w:cs="仿宋"/>
          <w:color w:val="auto"/>
          <w:highlight w:val="none"/>
        </w:rPr>
      </w:pPr>
      <w:r>
        <w:rPr>
          <w:rFonts w:hint="eastAsia" w:ascii="仿宋" w:hAnsi="仿宋" w:eastAsia="仿宋" w:cs="仿宋"/>
          <w:color w:val="auto"/>
          <w:highlight w:val="none"/>
        </w:rPr>
        <w:t>21.1 本合同的订立、生效、解释、履行及与本合同有关的争议解决，均适用法律、行政法规。</w:t>
      </w:r>
    </w:p>
    <w:p w14:paraId="4FA0706D">
      <w:pPr>
        <w:bidi w:val="0"/>
        <w:rPr>
          <w:rFonts w:hint="eastAsia" w:ascii="仿宋" w:hAnsi="仿宋" w:eastAsia="仿宋" w:cs="仿宋"/>
          <w:color w:val="auto"/>
          <w:highlight w:val="none"/>
        </w:rPr>
      </w:pPr>
      <w:r>
        <w:rPr>
          <w:rFonts w:hint="eastAsia" w:ascii="仿宋" w:hAnsi="仿宋" w:eastAsia="仿宋" w:cs="仿宋"/>
          <w:color w:val="auto"/>
          <w:highlight w:val="none"/>
        </w:rPr>
        <w:t>21.2 本合同条款与法律、行政法规的强制性规定不一致的，双方当事人应按照法律、行政法规的强制性规定修改本合同的相关条款。</w:t>
      </w:r>
    </w:p>
    <w:p w14:paraId="5905ED99">
      <w:pPr>
        <w:bidi w:val="0"/>
        <w:rPr>
          <w:rFonts w:hint="eastAsia" w:ascii="仿宋" w:hAnsi="仿宋" w:eastAsia="仿宋" w:cs="仿宋"/>
          <w:color w:val="auto"/>
          <w:highlight w:val="none"/>
        </w:rPr>
      </w:pPr>
      <w:bookmarkStart w:id="526" w:name="_Toc21216"/>
      <w:bookmarkStart w:id="527" w:name="_Toc26329"/>
      <w:bookmarkStart w:id="528" w:name="_Toc23383"/>
      <w:r>
        <w:rPr>
          <w:rFonts w:hint="eastAsia" w:ascii="仿宋" w:hAnsi="仿宋" w:eastAsia="仿宋" w:cs="仿宋"/>
          <w:color w:val="auto"/>
          <w:highlight w:val="none"/>
        </w:rPr>
        <w:t>22. 通知</w:t>
      </w:r>
      <w:bookmarkEnd w:id="526"/>
      <w:bookmarkEnd w:id="527"/>
      <w:bookmarkEnd w:id="528"/>
    </w:p>
    <w:p w14:paraId="5378E4EA">
      <w:pPr>
        <w:bidi w:val="0"/>
        <w:rPr>
          <w:rFonts w:hint="eastAsia" w:ascii="仿宋" w:hAnsi="仿宋" w:eastAsia="仿宋" w:cs="仿宋"/>
          <w:color w:val="auto"/>
          <w:highlight w:val="none"/>
        </w:rPr>
      </w:pPr>
      <w:r>
        <w:rPr>
          <w:rFonts w:hint="eastAsia" w:ascii="仿宋" w:hAnsi="仿宋" w:eastAsia="仿宋" w:cs="仿宋"/>
          <w:color w:val="auto"/>
          <w:highlight w:val="none"/>
        </w:rPr>
        <w:t>22.1 本合同任何一方向对方发出的通知、信件、数据电文等，应当发送至本合同第一部分《政府采购合同协议书》所约定的通讯地址、联系人、联系电话或电子邮箱。</w:t>
      </w:r>
    </w:p>
    <w:p w14:paraId="5FF2D925">
      <w:pPr>
        <w:bidi w:val="0"/>
        <w:rPr>
          <w:rFonts w:hint="eastAsia" w:ascii="仿宋" w:hAnsi="仿宋" w:eastAsia="仿宋" w:cs="仿宋"/>
          <w:color w:val="auto"/>
          <w:highlight w:val="none"/>
        </w:rPr>
      </w:pPr>
      <w:r>
        <w:rPr>
          <w:rFonts w:hint="eastAsia" w:ascii="仿宋" w:hAnsi="仿宋" w:eastAsia="仿宋" w:cs="仿宋"/>
          <w:color w:val="auto"/>
          <w:highlight w:val="none"/>
        </w:rPr>
        <w:t>22.2 一方当事人变更名称、住所、联系人、联系电话或电子邮箱等信息的，应当在变更后3日内及时书面通知对方，对方实际收到变更通知前的送达仍为有效送达。</w:t>
      </w:r>
    </w:p>
    <w:p w14:paraId="02814F1D">
      <w:pPr>
        <w:bidi w:val="0"/>
        <w:rPr>
          <w:rFonts w:hint="eastAsia" w:ascii="仿宋" w:hAnsi="仿宋" w:eastAsia="仿宋" w:cs="仿宋"/>
          <w:color w:val="auto"/>
          <w:highlight w:val="none"/>
        </w:rPr>
      </w:pPr>
      <w:r>
        <w:rPr>
          <w:rFonts w:hint="eastAsia" w:ascii="仿宋" w:hAnsi="仿宋" w:eastAsia="仿宋" w:cs="仿宋"/>
          <w:color w:val="auto"/>
          <w:highlight w:val="none"/>
        </w:rPr>
        <w:t>22.3本合同一方给另一方的通知均应采用书面形式，传真或快递送到本合同中规定的对方的地址和办理签收手续。</w:t>
      </w:r>
    </w:p>
    <w:p w14:paraId="35C4C9E0">
      <w:pPr>
        <w:bidi w:val="0"/>
        <w:rPr>
          <w:rFonts w:hint="eastAsia" w:ascii="仿宋" w:hAnsi="仿宋" w:eastAsia="仿宋" w:cs="仿宋"/>
          <w:color w:val="auto"/>
          <w:highlight w:val="none"/>
        </w:rPr>
      </w:pPr>
      <w:r>
        <w:rPr>
          <w:rFonts w:hint="eastAsia" w:ascii="仿宋" w:hAnsi="仿宋" w:eastAsia="仿宋" w:cs="仿宋"/>
          <w:color w:val="auto"/>
          <w:highlight w:val="none"/>
        </w:rPr>
        <w:t>22.4通知以送达之日或通知书中规定的生效之日起生效，两者中以较迟之日为准。</w:t>
      </w:r>
    </w:p>
    <w:p w14:paraId="59817503">
      <w:pPr>
        <w:bidi w:val="0"/>
        <w:rPr>
          <w:rFonts w:hint="eastAsia" w:ascii="仿宋" w:hAnsi="仿宋" w:eastAsia="仿宋" w:cs="仿宋"/>
          <w:color w:val="auto"/>
          <w:highlight w:val="none"/>
        </w:rPr>
      </w:pPr>
      <w:bookmarkStart w:id="529" w:name="_Toc9008"/>
      <w:r>
        <w:rPr>
          <w:rFonts w:hint="eastAsia" w:ascii="仿宋" w:hAnsi="仿宋" w:eastAsia="仿宋" w:cs="仿宋"/>
          <w:color w:val="auto"/>
          <w:highlight w:val="none"/>
        </w:rPr>
        <w:t>23.合同未尽事项</w:t>
      </w:r>
      <w:bookmarkEnd w:id="529"/>
    </w:p>
    <w:p w14:paraId="5672CE61">
      <w:pPr>
        <w:bidi w:val="0"/>
        <w:rPr>
          <w:rFonts w:hint="eastAsia" w:ascii="仿宋" w:hAnsi="仿宋" w:eastAsia="仿宋" w:cs="仿宋"/>
          <w:color w:val="auto"/>
          <w:highlight w:val="none"/>
        </w:rPr>
      </w:pPr>
      <w:r>
        <w:rPr>
          <w:rFonts w:hint="eastAsia" w:ascii="仿宋" w:hAnsi="仿宋" w:eastAsia="仿宋" w:cs="仿宋"/>
          <w:color w:val="auto"/>
          <w:highlight w:val="none"/>
        </w:rPr>
        <w:t>23.1合同未尽事项见【政府采购合同专用条款】。</w:t>
      </w:r>
    </w:p>
    <w:p w14:paraId="0D64345C">
      <w:pPr>
        <w:bidi w:val="0"/>
        <w:rPr>
          <w:rFonts w:hint="eastAsia" w:ascii="仿宋" w:hAnsi="仿宋" w:eastAsia="仿宋" w:cs="仿宋"/>
          <w:color w:val="auto"/>
          <w:highlight w:val="none"/>
        </w:rPr>
      </w:pPr>
      <w:r>
        <w:rPr>
          <w:rFonts w:hint="eastAsia" w:ascii="仿宋" w:hAnsi="仿宋" w:eastAsia="仿宋" w:cs="仿宋"/>
          <w:color w:val="auto"/>
          <w:highlight w:val="none"/>
        </w:rPr>
        <w:t>23.2 合同附件与合同正文具有同等的法律效力。</w:t>
      </w:r>
    </w:p>
    <w:p w14:paraId="58396E15">
      <w:pPr>
        <w:ind w:firstLine="560"/>
        <w:rPr>
          <w:rFonts w:hint="eastAsia" w:ascii="仿宋" w:hAnsi="仿宋" w:eastAsia="仿宋" w:cs="仿宋"/>
          <w:color w:val="auto"/>
          <w:highlight w:val="none"/>
        </w:rPr>
      </w:pPr>
      <w:r>
        <w:rPr>
          <w:rFonts w:hint="eastAsia" w:ascii="仿宋" w:hAnsi="仿宋" w:eastAsia="仿宋" w:cs="仿宋"/>
          <w:color w:val="auto"/>
          <w:highlight w:val="none"/>
        </w:rPr>
        <w:br w:type="page"/>
      </w:r>
    </w:p>
    <w:p w14:paraId="2E411277">
      <w:pPr>
        <w:pStyle w:val="5"/>
        <w:bidi w:val="0"/>
        <w:ind w:left="0" w:leftChars="0" w:firstLine="0" w:firstLineChars="0"/>
        <w:jc w:val="center"/>
        <w:rPr>
          <w:rFonts w:hint="eastAsia" w:ascii="仿宋" w:hAnsi="仿宋" w:eastAsia="仿宋" w:cs="仿宋"/>
          <w:color w:val="auto"/>
          <w:highlight w:val="none"/>
        </w:rPr>
      </w:pPr>
      <w:bookmarkStart w:id="530" w:name="_Toc27322"/>
      <w:bookmarkStart w:id="531" w:name="_Toc4338"/>
      <w:bookmarkStart w:id="532" w:name="_Toc20313"/>
      <w:bookmarkStart w:id="533" w:name="_Toc15769"/>
      <w:bookmarkStart w:id="534" w:name="_Toc31071"/>
      <w:bookmarkStart w:id="535" w:name="_Toc414"/>
      <w:r>
        <w:rPr>
          <w:rFonts w:hint="eastAsia" w:ascii="仿宋" w:hAnsi="仿宋" w:eastAsia="仿宋" w:cs="仿宋"/>
          <w:color w:val="auto"/>
          <w:highlight w:val="none"/>
        </w:rPr>
        <w:t>第三节 政府采购合同专用条款</w:t>
      </w:r>
      <w:bookmarkEnd w:id="530"/>
      <w:bookmarkEnd w:id="531"/>
      <w:bookmarkEnd w:id="532"/>
      <w:bookmarkEnd w:id="533"/>
      <w:bookmarkEnd w:id="534"/>
      <w:bookmarkEnd w:id="535"/>
    </w:p>
    <w:tbl>
      <w:tblPr>
        <w:tblStyle w:val="35"/>
        <w:tblW w:w="4999" w:type="pct"/>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autofit"/>
        <w:tblCellMar>
          <w:top w:w="0" w:type="dxa"/>
          <w:left w:w="108" w:type="dxa"/>
          <w:bottom w:w="0" w:type="dxa"/>
          <w:right w:w="108" w:type="dxa"/>
        </w:tblCellMar>
      </w:tblPr>
      <w:tblGrid>
        <w:gridCol w:w="1831"/>
        <w:gridCol w:w="1985"/>
        <w:gridCol w:w="5892"/>
      </w:tblGrid>
      <w:tr w14:paraId="25EA7A0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943" w:type="pct"/>
            <w:vAlign w:val="center"/>
          </w:tcPr>
          <w:p w14:paraId="116E3C38">
            <w:pPr>
              <w:pStyle w:val="20"/>
              <w:bidi w:val="0"/>
              <w:rPr>
                <w:rFonts w:hint="eastAsia" w:ascii="仿宋" w:hAnsi="仿宋" w:eastAsia="仿宋" w:cs="仿宋"/>
                <w:color w:val="auto"/>
                <w:highlight w:val="none"/>
              </w:rPr>
            </w:pPr>
            <w:r>
              <w:rPr>
                <w:rFonts w:hint="eastAsia" w:ascii="仿宋" w:hAnsi="仿宋" w:eastAsia="仿宋" w:cs="仿宋"/>
                <w:color w:val="auto"/>
                <w:highlight w:val="none"/>
              </w:rPr>
              <w:t>第二节</w:t>
            </w:r>
          </w:p>
          <w:p w14:paraId="4D08F3C7">
            <w:pPr>
              <w:pStyle w:val="20"/>
              <w:bidi w:val="0"/>
              <w:rPr>
                <w:rFonts w:hint="eastAsia" w:ascii="仿宋" w:hAnsi="仿宋" w:eastAsia="仿宋" w:cs="仿宋"/>
                <w:color w:val="auto"/>
                <w:highlight w:val="none"/>
              </w:rPr>
            </w:pPr>
            <w:r>
              <w:rPr>
                <w:rFonts w:hint="eastAsia" w:ascii="仿宋" w:hAnsi="仿宋" w:eastAsia="仿宋" w:cs="仿宋"/>
                <w:color w:val="auto"/>
                <w:highlight w:val="none"/>
              </w:rPr>
              <w:t>第1.2（6）项</w:t>
            </w:r>
          </w:p>
        </w:tc>
        <w:tc>
          <w:tcPr>
            <w:tcW w:w="1022" w:type="pct"/>
            <w:vAlign w:val="center"/>
          </w:tcPr>
          <w:p w14:paraId="6B7D056A">
            <w:pPr>
              <w:pStyle w:val="20"/>
              <w:bidi w:val="0"/>
              <w:rPr>
                <w:rFonts w:hint="eastAsia" w:ascii="仿宋" w:hAnsi="仿宋" w:eastAsia="仿宋" w:cs="仿宋"/>
                <w:color w:val="auto"/>
                <w:highlight w:val="none"/>
              </w:rPr>
            </w:pPr>
            <w:r>
              <w:rPr>
                <w:rFonts w:hint="eastAsia" w:ascii="仿宋" w:hAnsi="仿宋" w:eastAsia="仿宋" w:cs="仿宋"/>
                <w:color w:val="auto"/>
                <w:highlight w:val="none"/>
              </w:rPr>
              <w:t>联合体具体要求</w:t>
            </w:r>
          </w:p>
        </w:tc>
        <w:tc>
          <w:tcPr>
            <w:tcW w:w="3034" w:type="pct"/>
            <w:vAlign w:val="center"/>
          </w:tcPr>
          <w:p w14:paraId="36459178">
            <w:pPr>
              <w:pStyle w:val="20"/>
              <w:bidi w:val="0"/>
              <w:rPr>
                <w:rFonts w:hint="eastAsia" w:ascii="仿宋" w:hAnsi="仿宋" w:eastAsia="仿宋" w:cs="仿宋"/>
                <w:color w:val="auto"/>
                <w:highlight w:val="none"/>
              </w:rPr>
            </w:pPr>
          </w:p>
        </w:tc>
      </w:tr>
      <w:tr w14:paraId="58F4F43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04" w:hRule="atLeast"/>
        </w:trPr>
        <w:tc>
          <w:tcPr>
            <w:tcW w:w="943" w:type="pct"/>
            <w:vAlign w:val="center"/>
          </w:tcPr>
          <w:p w14:paraId="2F58BC7B">
            <w:pPr>
              <w:pStyle w:val="20"/>
              <w:bidi w:val="0"/>
              <w:rPr>
                <w:rFonts w:hint="eastAsia" w:ascii="仿宋" w:hAnsi="仿宋" w:eastAsia="仿宋" w:cs="仿宋"/>
                <w:color w:val="auto"/>
                <w:highlight w:val="none"/>
              </w:rPr>
            </w:pPr>
            <w:r>
              <w:rPr>
                <w:rFonts w:hint="eastAsia" w:ascii="仿宋" w:hAnsi="仿宋" w:eastAsia="仿宋" w:cs="仿宋"/>
                <w:color w:val="auto"/>
                <w:highlight w:val="none"/>
              </w:rPr>
              <w:t>第二节</w:t>
            </w:r>
          </w:p>
          <w:p w14:paraId="7A439545">
            <w:pPr>
              <w:pStyle w:val="20"/>
              <w:bidi w:val="0"/>
              <w:rPr>
                <w:rFonts w:hint="eastAsia" w:ascii="仿宋" w:hAnsi="仿宋" w:eastAsia="仿宋" w:cs="仿宋"/>
                <w:color w:val="auto"/>
                <w:highlight w:val="none"/>
              </w:rPr>
            </w:pPr>
            <w:r>
              <w:rPr>
                <w:rFonts w:hint="eastAsia" w:ascii="仿宋" w:hAnsi="仿宋" w:eastAsia="仿宋" w:cs="仿宋"/>
                <w:color w:val="auto"/>
                <w:highlight w:val="none"/>
              </w:rPr>
              <w:t>第1.2（7）项</w:t>
            </w:r>
          </w:p>
        </w:tc>
        <w:tc>
          <w:tcPr>
            <w:tcW w:w="1022" w:type="pct"/>
            <w:vAlign w:val="center"/>
          </w:tcPr>
          <w:p w14:paraId="0DC26910">
            <w:pPr>
              <w:pStyle w:val="20"/>
              <w:bidi w:val="0"/>
              <w:rPr>
                <w:rFonts w:hint="eastAsia" w:ascii="仿宋" w:hAnsi="仿宋" w:eastAsia="仿宋" w:cs="仿宋"/>
                <w:color w:val="auto"/>
                <w:highlight w:val="none"/>
              </w:rPr>
            </w:pPr>
            <w:r>
              <w:rPr>
                <w:rFonts w:hint="eastAsia" w:ascii="仿宋" w:hAnsi="仿宋" w:eastAsia="仿宋" w:cs="仿宋"/>
                <w:color w:val="auto"/>
                <w:highlight w:val="none"/>
              </w:rPr>
              <w:t>其他术语解释</w:t>
            </w:r>
          </w:p>
        </w:tc>
        <w:tc>
          <w:tcPr>
            <w:tcW w:w="3034" w:type="pct"/>
            <w:vAlign w:val="center"/>
          </w:tcPr>
          <w:p w14:paraId="76453AFD">
            <w:pPr>
              <w:pStyle w:val="20"/>
              <w:bidi w:val="0"/>
              <w:rPr>
                <w:rFonts w:hint="eastAsia" w:ascii="仿宋" w:hAnsi="仿宋" w:eastAsia="仿宋" w:cs="仿宋"/>
                <w:color w:val="auto"/>
                <w:highlight w:val="none"/>
              </w:rPr>
            </w:pPr>
          </w:p>
        </w:tc>
      </w:tr>
      <w:tr w14:paraId="3557C54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943" w:type="pct"/>
            <w:vAlign w:val="center"/>
          </w:tcPr>
          <w:p w14:paraId="484AE3F0">
            <w:pPr>
              <w:pStyle w:val="20"/>
              <w:bidi w:val="0"/>
              <w:rPr>
                <w:rFonts w:hint="eastAsia" w:ascii="仿宋" w:hAnsi="仿宋" w:eastAsia="仿宋" w:cs="仿宋"/>
                <w:color w:val="auto"/>
                <w:highlight w:val="none"/>
              </w:rPr>
            </w:pPr>
            <w:r>
              <w:rPr>
                <w:rFonts w:hint="eastAsia" w:ascii="仿宋" w:hAnsi="仿宋" w:eastAsia="仿宋" w:cs="仿宋"/>
                <w:color w:val="auto"/>
                <w:highlight w:val="none"/>
              </w:rPr>
              <w:t>第二节</w:t>
            </w:r>
          </w:p>
          <w:p w14:paraId="7C1739DD">
            <w:pPr>
              <w:pStyle w:val="20"/>
              <w:bidi w:val="0"/>
              <w:rPr>
                <w:rFonts w:hint="eastAsia" w:ascii="仿宋" w:hAnsi="仿宋" w:eastAsia="仿宋" w:cs="仿宋"/>
                <w:color w:val="auto"/>
                <w:highlight w:val="none"/>
              </w:rPr>
            </w:pPr>
            <w:r>
              <w:rPr>
                <w:rFonts w:hint="eastAsia" w:ascii="仿宋" w:hAnsi="仿宋" w:eastAsia="仿宋" w:cs="仿宋"/>
                <w:color w:val="auto"/>
                <w:highlight w:val="none"/>
              </w:rPr>
              <w:t>第4.4款</w:t>
            </w:r>
          </w:p>
        </w:tc>
        <w:tc>
          <w:tcPr>
            <w:tcW w:w="1022" w:type="pct"/>
            <w:vAlign w:val="center"/>
          </w:tcPr>
          <w:p w14:paraId="2213BEA9">
            <w:pPr>
              <w:pStyle w:val="20"/>
              <w:bidi w:val="0"/>
              <w:rPr>
                <w:rFonts w:hint="eastAsia" w:ascii="仿宋" w:hAnsi="仿宋" w:eastAsia="仿宋" w:cs="仿宋"/>
                <w:color w:val="auto"/>
                <w:highlight w:val="none"/>
              </w:rPr>
            </w:pPr>
            <w:r>
              <w:rPr>
                <w:rFonts w:hint="eastAsia" w:ascii="仿宋" w:hAnsi="仿宋" w:eastAsia="仿宋" w:cs="仿宋"/>
                <w:color w:val="auto"/>
                <w:highlight w:val="none"/>
              </w:rPr>
              <w:t>履约验收中甲方提出异议或作出说明的期限</w:t>
            </w:r>
          </w:p>
        </w:tc>
        <w:tc>
          <w:tcPr>
            <w:tcW w:w="3034" w:type="pct"/>
            <w:vAlign w:val="center"/>
          </w:tcPr>
          <w:p w14:paraId="6A86181B">
            <w:pPr>
              <w:pStyle w:val="20"/>
              <w:bidi w:val="0"/>
              <w:rPr>
                <w:rFonts w:hint="eastAsia" w:ascii="仿宋" w:hAnsi="仿宋" w:eastAsia="仿宋" w:cs="仿宋"/>
                <w:color w:val="auto"/>
                <w:highlight w:val="none"/>
              </w:rPr>
            </w:pPr>
          </w:p>
        </w:tc>
      </w:tr>
      <w:tr w14:paraId="02D5897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943" w:type="pct"/>
            <w:vAlign w:val="center"/>
          </w:tcPr>
          <w:p w14:paraId="03385691">
            <w:pPr>
              <w:pStyle w:val="20"/>
              <w:bidi w:val="0"/>
              <w:rPr>
                <w:rFonts w:hint="eastAsia" w:ascii="仿宋" w:hAnsi="仿宋" w:eastAsia="仿宋" w:cs="仿宋"/>
                <w:color w:val="auto"/>
                <w:highlight w:val="none"/>
              </w:rPr>
            </w:pPr>
            <w:r>
              <w:rPr>
                <w:rFonts w:hint="eastAsia" w:ascii="仿宋" w:hAnsi="仿宋" w:eastAsia="仿宋" w:cs="仿宋"/>
                <w:color w:val="auto"/>
                <w:highlight w:val="none"/>
              </w:rPr>
              <w:t>第二节</w:t>
            </w:r>
          </w:p>
          <w:p w14:paraId="235DB25F">
            <w:pPr>
              <w:pStyle w:val="20"/>
              <w:bidi w:val="0"/>
              <w:rPr>
                <w:rFonts w:hint="eastAsia" w:ascii="仿宋" w:hAnsi="仿宋" w:eastAsia="仿宋" w:cs="仿宋"/>
                <w:color w:val="auto"/>
                <w:highlight w:val="none"/>
              </w:rPr>
            </w:pPr>
            <w:r>
              <w:rPr>
                <w:rFonts w:hint="eastAsia" w:ascii="仿宋" w:hAnsi="仿宋" w:eastAsia="仿宋" w:cs="仿宋"/>
                <w:color w:val="auto"/>
                <w:highlight w:val="none"/>
              </w:rPr>
              <w:t>第4.6款</w:t>
            </w:r>
          </w:p>
        </w:tc>
        <w:tc>
          <w:tcPr>
            <w:tcW w:w="1022" w:type="pct"/>
            <w:vAlign w:val="center"/>
          </w:tcPr>
          <w:p w14:paraId="5C90BB1B">
            <w:pPr>
              <w:pStyle w:val="20"/>
              <w:bidi w:val="0"/>
              <w:rPr>
                <w:rFonts w:hint="eastAsia" w:ascii="仿宋" w:hAnsi="仿宋" w:eastAsia="仿宋" w:cs="仿宋"/>
                <w:color w:val="auto"/>
                <w:highlight w:val="none"/>
              </w:rPr>
            </w:pPr>
            <w:r>
              <w:rPr>
                <w:rFonts w:hint="eastAsia" w:ascii="仿宋" w:hAnsi="仿宋" w:eastAsia="仿宋" w:cs="仿宋"/>
                <w:color w:val="auto"/>
                <w:highlight w:val="none"/>
              </w:rPr>
              <w:t>约定甲方承担的其他义务和责任</w:t>
            </w:r>
          </w:p>
        </w:tc>
        <w:tc>
          <w:tcPr>
            <w:tcW w:w="3034" w:type="pct"/>
            <w:vAlign w:val="center"/>
          </w:tcPr>
          <w:p w14:paraId="3766EE6C">
            <w:pPr>
              <w:pStyle w:val="20"/>
              <w:bidi w:val="0"/>
              <w:rPr>
                <w:rFonts w:hint="eastAsia" w:ascii="仿宋" w:hAnsi="仿宋" w:eastAsia="仿宋" w:cs="仿宋"/>
                <w:color w:val="auto"/>
                <w:highlight w:val="none"/>
              </w:rPr>
            </w:pPr>
          </w:p>
        </w:tc>
      </w:tr>
      <w:tr w14:paraId="0635DE0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943" w:type="pct"/>
            <w:vAlign w:val="center"/>
          </w:tcPr>
          <w:p w14:paraId="55085B99">
            <w:pPr>
              <w:pStyle w:val="20"/>
              <w:bidi w:val="0"/>
              <w:rPr>
                <w:rFonts w:hint="eastAsia" w:ascii="仿宋" w:hAnsi="仿宋" w:eastAsia="仿宋" w:cs="仿宋"/>
                <w:color w:val="auto"/>
                <w:highlight w:val="none"/>
              </w:rPr>
            </w:pPr>
            <w:r>
              <w:rPr>
                <w:rFonts w:hint="eastAsia" w:ascii="仿宋" w:hAnsi="仿宋" w:eastAsia="仿宋" w:cs="仿宋"/>
                <w:color w:val="auto"/>
                <w:highlight w:val="none"/>
              </w:rPr>
              <w:t>第二节</w:t>
            </w:r>
          </w:p>
          <w:p w14:paraId="3CAED899">
            <w:pPr>
              <w:pStyle w:val="20"/>
              <w:bidi w:val="0"/>
              <w:rPr>
                <w:rFonts w:hint="eastAsia" w:ascii="仿宋" w:hAnsi="仿宋" w:eastAsia="仿宋" w:cs="仿宋"/>
                <w:color w:val="auto"/>
                <w:highlight w:val="none"/>
              </w:rPr>
            </w:pPr>
            <w:r>
              <w:rPr>
                <w:rFonts w:hint="eastAsia" w:ascii="仿宋" w:hAnsi="仿宋" w:eastAsia="仿宋" w:cs="仿宋"/>
                <w:color w:val="auto"/>
                <w:highlight w:val="none"/>
              </w:rPr>
              <w:t>第5.4款</w:t>
            </w:r>
          </w:p>
        </w:tc>
        <w:tc>
          <w:tcPr>
            <w:tcW w:w="1022" w:type="pct"/>
            <w:vAlign w:val="center"/>
          </w:tcPr>
          <w:p w14:paraId="1AB83229">
            <w:pPr>
              <w:pStyle w:val="20"/>
              <w:bidi w:val="0"/>
              <w:rPr>
                <w:rFonts w:hint="eastAsia" w:ascii="仿宋" w:hAnsi="仿宋" w:eastAsia="仿宋" w:cs="仿宋"/>
                <w:color w:val="auto"/>
                <w:highlight w:val="none"/>
              </w:rPr>
            </w:pPr>
            <w:r>
              <w:rPr>
                <w:rFonts w:hint="eastAsia" w:ascii="仿宋" w:hAnsi="仿宋" w:eastAsia="仿宋" w:cs="仿宋"/>
                <w:color w:val="auto"/>
                <w:highlight w:val="none"/>
              </w:rPr>
              <w:t>约定乙方承担的其他义务和责任</w:t>
            </w:r>
          </w:p>
        </w:tc>
        <w:tc>
          <w:tcPr>
            <w:tcW w:w="3034" w:type="pct"/>
            <w:vAlign w:val="center"/>
          </w:tcPr>
          <w:p w14:paraId="27691ACC">
            <w:pPr>
              <w:pStyle w:val="20"/>
              <w:bidi w:val="0"/>
              <w:rPr>
                <w:rFonts w:hint="eastAsia" w:ascii="仿宋" w:hAnsi="仿宋" w:eastAsia="仿宋" w:cs="仿宋"/>
                <w:color w:val="auto"/>
                <w:highlight w:val="none"/>
              </w:rPr>
            </w:pPr>
          </w:p>
        </w:tc>
      </w:tr>
      <w:tr w14:paraId="02C925E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943" w:type="pct"/>
            <w:vAlign w:val="center"/>
          </w:tcPr>
          <w:p w14:paraId="5B9364D2">
            <w:pPr>
              <w:pStyle w:val="20"/>
              <w:bidi w:val="0"/>
              <w:rPr>
                <w:rFonts w:hint="eastAsia" w:ascii="仿宋" w:hAnsi="仿宋" w:eastAsia="仿宋" w:cs="仿宋"/>
                <w:color w:val="auto"/>
                <w:highlight w:val="none"/>
              </w:rPr>
            </w:pPr>
            <w:r>
              <w:rPr>
                <w:rFonts w:hint="eastAsia" w:ascii="仿宋" w:hAnsi="仿宋" w:eastAsia="仿宋" w:cs="仿宋"/>
                <w:color w:val="auto"/>
                <w:highlight w:val="none"/>
              </w:rPr>
              <w:t>第二节</w:t>
            </w:r>
          </w:p>
          <w:p w14:paraId="408FA18F">
            <w:pPr>
              <w:pStyle w:val="20"/>
              <w:bidi w:val="0"/>
              <w:rPr>
                <w:rFonts w:hint="eastAsia" w:ascii="仿宋" w:hAnsi="仿宋" w:eastAsia="仿宋" w:cs="仿宋"/>
                <w:color w:val="auto"/>
                <w:highlight w:val="none"/>
              </w:rPr>
            </w:pPr>
            <w:r>
              <w:rPr>
                <w:rFonts w:hint="eastAsia" w:ascii="仿宋" w:hAnsi="仿宋" w:eastAsia="仿宋" w:cs="仿宋"/>
                <w:color w:val="auto"/>
                <w:highlight w:val="none"/>
              </w:rPr>
              <w:t>第6.1款</w:t>
            </w:r>
          </w:p>
        </w:tc>
        <w:tc>
          <w:tcPr>
            <w:tcW w:w="1022" w:type="pct"/>
            <w:vAlign w:val="center"/>
          </w:tcPr>
          <w:p w14:paraId="6135B98C">
            <w:pPr>
              <w:pStyle w:val="20"/>
              <w:bidi w:val="0"/>
              <w:rPr>
                <w:rFonts w:hint="eastAsia" w:ascii="仿宋" w:hAnsi="仿宋" w:eastAsia="仿宋" w:cs="仿宋"/>
                <w:color w:val="auto"/>
                <w:highlight w:val="none"/>
              </w:rPr>
            </w:pPr>
            <w:r>
              <w:rPr>
                <w:rFonts w:hint="eastAsia" w:ascii="仿宋" w:hAnsi="仿宋" w:eastAsia="仿宋" w:cs="仿宋"/>
                <w:color w:val="auto"/>
                <w:highlight w:val="none"/>
              </w:rPr>
              <w:t>履行合同义务的顺序</w:t>
            </w:r>
          </w:p>
        </w:tc>
        <w:tc>
          <w:tcPr>
            <w:tcW w:w="3034" w:type="pct"/>
            <w:vAlign w:val="center"/>
          </w:tcPr>
          <w:p w14:paraId="651C1E74">
            <w:pPr>
              <w:pStyle w:val="20"/>
              <w:bidi w:val="0"/>
              <w:rPr>
                <w:rFonts w:hint="eastAsia" w:ascii="仿宋" w:hAnsi="仿宋" w:eastAsia="仿宋" w:cs="仿宋"/>
                <w:color w:val="auto"/>
                <w:highlight w:val="none"/>
              </w:rPr>
            </w:pPr>
          </w:p>
        </w:tc>
      </w:tr>
      <w:tr w14:paraId="6D55521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943" w:type="pct"/>
            <w:vMerge w:val="restart"/>
            <w:vAlign w:val="center"/>
          </w:tcPr>
          <w:p w14:paraId="79BEE521">
            <w:pPr>
              <w:pStyle w:val="20"/>
              <w:bidi w:val="0"/>
              <w:rPr>
                <w:rFonts w:hint="eastAsia" w:ascii="仿宋" w:hAnsi="仿宋" w:eastAsia="仿宋" w:cs="仿宋"/>
                <w:color w:val="auto"/>
                <w:highlight w:val="none"/>
              </w:rPr>
            </w:pPr>
            <w:r>
              <w:rPr>
                <w:rFonts w:hint="eastAsia" w:ascii="仿宋" w:hAnsi="仿宋" w:eastAsia="仿宋" w:cs="仿宋"/>
                <w:color w:val="auto"/>
                <w:highlight w:val="none"/>
              </w:rPr>
              <w:t>第二节</w:t>
            </w:r>
          </w:p>
          <w:p w14:paraId="2B690C44">
            <w:pPr>
              <w:pStyle w:val="20"/>
              <w:bidi w:val="0"/>
              <w:rPr>
                <w:rFonts w:hint="eastAsia" w:ascii="仿宋" w:hAnsi="仿宋" w:eastAsia="仿宋" w:cs="仿宋"/>
                <w:color w:val="auto"/>
                <w:highlight w:val="none"/>
              </w:rPr>
            </w:pPr>
            <w:r>
              <w:rPr>
                <w:rFonts w:hint="eastAsia" w:ascii="仿宋" w:hAnsi="仿宋" w:eastAsia="仿宋" w:cs="仿宋"/>
                <w:color w:val="auto"/>
                <w:highlight w:val="none"/>
              </w:rPr>
              <w:t>第7.1款</w:t>
            </w:r>
          </w:p>
        </w:tc>
        <w:tc>
          <w:tcPr>
            <w:tcW w:w="1022" w:type="pct"/>
            <w:vAlign w:val="center"/>
          </w:tcPr>
          <w:p w14:paraId="78085F0C">
            <w:pPr>
              <w:pStyle w:val="20"/>
              <w:bidi w:val="0"/>
              <w:rPr>
                <w:rFonts w:hint="eastAsia" w:ascii="仿宋" w:hAnsi="仿宋" w:eastAsia="仿宋" w:cs="仿宋"/>
                <w:color w:val="auto"/>
                <w:highlight w:val="none"/>
              </w:rPr>
            </w:pPr>
            <w:r>
              <w:rPr>
                <w:rFonts w:hint="eastAsia" w:ascii="仿宋" w:hAnsi="仿宋" w:eastAsia="仿宋" w:cs="仿宋"/>
                <w:color w:val="auto"/>
                <w:highlight w:val="none"/>
              </w:rPr>
              <w:t>包装特殊要求</w:t>
            </w:r>
          </w:p>
        </w:tc>
        <w:tc>
          <w:tcPr>
            <w:tcW w:w="3034" w:type="pct"/>
            <w:vAlign w:val="center"/>
          </w:tcPr>
          <w:p w14:paraId="74334119">
            <w:pPr>
              <w:pStyle w:val="20"/>
              <w:bidi w:val="0"/>
              <w:rPr>
                <w:rFonts w:hint="eastAsia" w:ascii="仿宋" w:hAnsi="仿宋" w:eastAsia="仿宋" w:cs="仿宋"/>
                <w:color w:val="auto"/>
                <w:highlight w:val="none"/>
              </w:rPr>
            </w:pPr>
          </w:p>
        </w:tc>
      </w:tr>
      <w:tr w14:paraId="2CE9351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943" w:type="pct"/>
            <w:vMerge w:val="continue"/>
            <w:vAlign w:val="center"/>
          </w:tcPr>
          <w:p w14:paraId="7D3B3FDA">
            <w:pPr>
              <w:pStyle w:val="20"/>
              <w:bidi w:val="0"/>
              <w:rPr>
                <w:rFonts w:hint="eastAsia" w:ascii="仿宋" w:hAnsi="仿宋" w:eastAsia="仿宋" w:cs="仿宋"/>
                <w:color w:val="auto"/>
                <w:highlight w:val="none"/>
              </w:rPr>
            </w:pPr>
          </w:p>
        </w:tc>
        <w:tc>
          <w:tcPr>
            <w:tcW w:w="1022" w:type="pct"/>
            <w:vAlign w:val="center"/>
          </w:tcPr>
          <w:p w14:paraId="650D8601">
            <w:pPr>
              <w:pStyle w:val="20"/>
              <w:bidi w:val="0"/>
              <w:rPr>
                <w:rFonts w:hint="eastAsia" w:ascii="仿宋" w:hAnsi="仿宋" w:eastAsia="仿宋" w:cs="仿宋"/>
                <w:color w:val="auto"/>
                <w:highlight w:val="none"/>
              </w:rPr>
            </w:pPr>
            <w:r>
              <w:rPr>
                <w:rFonts w:hint="eastAsia" w:ascii="仿宋" w:hAnsi="仿宋" w:eastAsia="仿宋" w:cs="仿宋"/>
                <w:color w:val="auto"/>
                <w:highlight w:val="none"/>
              </w:rPr>
              <w:t>指定现场</w:t>
            </w:r>
          </w:p>
        </w:tc>
        <w:tc>
          <w:tcPr>
            <w:tcW w:w="3034" w:type="pct"/>
            <w:vAlign w:val="center"/>
          </w:tcPr>
          <w:p w14:paraId="52DABF49">
            <w:pPr>
              <w:pStyle w:val="20"/>
              <w:bidi w:val="0"/>
              <w:rPr>
                <w:rFonts w:hint="eastAsia" w:ascii="仿宋" w:hAnsi="仿宋" w:eastAsia="仿宋" w:cs="仿宋"/>
                <w:color w:val="auto"/>
                <w:highlight w:val="none"/>
              </w:rPr>
            </w:pPr>
          </w:p>
        </w:tc>
      </w:tr>
      <w:tr w14:paraId="00376E8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72" w:hRule="atLeast"/>
        </w:trPr>
        <w:tc>
          <w:tcPr>
            <w:tcW w:w="943" w:type="pct"/>
            <w:vAlign w:val="center"/>
          </w:tcPr>
          <w:p w14:paraId="09A606C7">
            <w:pPr>
              <w:pStyle w:val="20"/>
              <w:bidi w:val="0"/>
              <w:rPr>
                <w:rFonts w:hint="eastAsia" w:ascii="仿宋" w:hAnsi="仿宋" w:eastAsia="仿宋" w:cs="仿宋"/>
                <w:color w:val="auto"/>
                <w:highlight w:val="none"/>
              </w:rPr>
            </w:pPr>
            <w:r>
              <w:rPr>
                <w:rFonts w:hint="eastAsia" w:ascii="仿宋" w:hAnsi="仿宋" w:eastAsia="仿宋" w:cs="仿宋"/>
                <w:color w:val="auto"/>
                <w:highlight w:val="none"/>
              </w:rPr>
              <w:t>第二节</w:t>
            </w:r>
          </w:p>
          <w:p w14:paraId="415EB0D9">
            <w:pPr>
              <w:pStyle w:val="20"/>
              <w:bidi w:val="0"/>
              <w:rPr>
                <w:rFonts w:hint="eastAsia" w:ascii="仿宋" w:hAnsi="仿宋" w:eastAsia="仿宋" w:cs="仿宋"/>
                <w:color w:val="auto"/>
                <w:highlight w:val="none"/>
              </w:rPr>
            </w:pPr>
            <w:r>
              <w:rPr>
                <w:rFonts w:hint="eastAsia" w:ascii="仿宋" w:hAnsi="仿宋" w:eastAsia="仿宋" w:cs="仿宋"/>
                <w:color w:val="auto"/>
                <w:highlight w:val="none"/>
              </w:rPr>
              <w:t>第7.2款</w:t>
            </w:r>
          </w:p>
        </w:tc>
        <w:tc>
          <w:tcPr>
            <w:tcW w:w="1022" w:type="pct"/>
            <w:vAlign w:val="center"/>
          </w:tcPr>
          <w:p w14:paraId="68B34348">
            <w:pPr>
              <w:pStyle w:val="20"/>
              <w:bidi w:val="0"/>
              <w:rPr>
                <w:rFonts w:hint="eastAsia" w:ascii="仿宋" w:hAnsi="仿宋" w:eastAsia="仿宋" w:cs="仿宋"/>
                <w:color w:val="auto"/>
                <w:highlight w:val="none"/>
              </w:rPr>
            </w:pPr>
            <w:r>
              <w:rPr>
                <w:rFonts w:hint="eastAsia" w:ascii="仿宋" w:hAnsi="仿宋" w:eastAsia="仿宋" w:cs="仿宋"/>
                <w:color w:val="auto"/>
                <w:highlight w:val="none"/>
              </w:rPr>
              <w:t>运输特殊要求</w:t>
            </w:r>
          </w:p>
        </w:tc>
        <w:tc>
          <w:tcPr>
            <w:tcW w:w="3034" w:type="pct"/>
            <w:vAlign w:val="center"/>
          </w:tcPr>
          <w:p w14:paraId="402901D0">
            <w:pPr>
              <w:pStyle w:val="20"/>
              <w:bidi w:val="0"/>
              <w:rPr>
                <w:rFonts w:hint="eastAsia" w:ascii="仿宋" w:hAnsi="仿宋" w:eastAsia="仿宋" w:cs="仿宋"/>
                <w:color w:val="auto"/>
                <w:highlight w:val="none"/>
              </w:rPr>
            </w:pPr>
          </w:p>
        </w:tc>
      </w:tr>
      <w:tr w14:paraId="4B6D743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943" w:type="pct"/>
            <w:vAlign w:val="center"/>
          </w:tcPr>
          <w:p w14:paraId="69988623">
            <w:pPr>
              <w:pStyle w:val="20"/>
              <w:bidi w:val="0"/>
              <w:rPr>
                <w:rFonts w:hint="eastAsia" w:ascii="仿宋" w:hAnsi="仿宋" w:eastAsia="仿宋" w:cs="仿宋"/>
                <w:color w:val="auto"/>
                <w:highlight w:val="none"/>
              </w:rPr>
            </w:pPr>
            <w:r>
              <w:rPr>
                <w:rFonts w:hint="eastAsia" w:ascii="仿宋" w:hAnsi="仿宋" w:eastAsia="仿宋" w:cs="仿宋"/>
                <w:color w:val="auto"/>
                <w:highlight w:val="none"/>
              </w:rPr>
              <w:t>第二节</w:t>
            </w:r>
          </w:p>
          <w:p w14:paraId="1B5EDD09">
            <w:pPr>
              <w:pStyle w:val="20"/>
              <w:bidi w:val="0"/>
              <w:rPr>
                <w:rFonts w:hint="eastAsia" w:ascii="仿宋" w:hAnsi="仿宋" w:eastAsia="仿宋" w:cs="仿宋"/>
                <w:color w:val="auto"/>
                <w:highlight w:val="none"/>
              </w:rPr>
            </w:pPr>
            <w:r>
              <w:rPr>
                <w:rFonts w:hint="eastAsia" w:ascii="仿宋" w:hAnsi="仿宋" w:eastAsia="仿宋" w:cs="仿宋"/>
                <w:color w:val="auto"/>
                <w:highlight w:val="none"/>
              </w:rPr>
              <w:t>第7.3款</w:t>
            </w:r>
          </w:p>
        </w:tc>
        <w:tc>
          <w:tcPr>
            <w:tcW w:w="1022" w:type="pct"/>
            <w:vAlign w:val="center"/>
          </w:tcPr>
          <w:p w14:paraId="21526ED9">
            <w:pPr>
              <w:pStyle w:val="20"/>
              <w:bidi w:val="0"/>
              <w:rPr>
                <w:rFonts w:hint="eastAsia" w:ascii="仿宋" w:hAnsi="仿宋" w:eastAsia="仿宋" w:cs="仿宋"/>
                <w:color w:val="auto"/>
                <w:highlight w:val="none"/>
              </w:rPr>
            </w:pPr>
            <w:r>
              <w:rPr>
                <w:rFonts w:hint="eastAsia" w:ascii="仿宋" w:hAnsi="仿宋" w:eastAsia="仿宋" w:cs="仿宋"/>
                <w:color w:val="auto"/>
                <w:highlight w:val="none"/>
              </w:rPr>
              <w:t>保险要求</w:t>
            </w:r>
          </w:p>
        </w:tc>
        <w:tc>
          <w:tcPr>
            <w:tcW w:w="3034" w:type="pct"/>
            <w:vAlign w:val="center"/>
          </w:tcPr>
          <w:p w14:paraId="727346BB">
            <w:pPr>
              <w:pStyle w:val="20"/>
              <w:bidi w:val="0"/>
              <w:rPr>
                <w:rFonts w:hint="eastAsia" w:ascii="仿宋" w:hAnsi="仿宋" w:eastAsia="仿宋" w:cs="仿宋"/>
                <w:color w:val="auto"/>
                <w:highlight w:val="none"/>
              </w:rPr>
            </w:pPr>
          </w:p>
        </w:tc>
      </w:tr>
      <w:tr w14:paraId="2E2A705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943" w:type="pct"/>
            <w:vAlign w:val="center"/>
          </w:tcPr>
          <w:p w14:paraId="41101442">
            <w:pPr>
              <w:pStyle w:val="20"/>
              <w:bidi w:val="0"/>
              <w:rPr>
                <w:rFonts w:hint="eastAsia" w:ascii="仿宋" w:hAnsi="仿宋" w:eastAsia="仿宋" w:cs="仿宋"/>
                <w:color w:val="auto"/>
                <w:highlight w:val="none"/>
              </w:rPr>
            </w:pPr>
            <w:r>
              <w:rPr>
                <w:rFonts w:hint="eastAsia" w:ascii="仿宋" w:hAnsi="仿宋" w:eastAsia="仿宋" w:cs="仿宋"/>
                <w:color w:val="auto"/>
                <w:highlight w:val="none"/>
              </w:rPr>
              <w:t>第二节</w:t>
            </w:r>
          </w:p>
          <w:p w14:paraId="20E5FD3F">
            <w:pPr>
              <w:pStyle w:val="20"/>
              <w:bidi w:val="0"/>
              <w:rPr>
                <w:rFonts w:hint="eastAsia" w:ascii="仿宋" w:hAnsi="仿宋" w:eastAsia="仿宋" w:cs="仿宋"/>
                <w:color w:val="auto"/>
                <w:highlight w:val="none"/>
              </w:rPr>
            </w:pPr>
            <w:r>
              <w:rPr>
                <w:rFonts w:hint="eastAsia" w:ascii="仿宋" w:hAnsi="仿宋" w:eastAsia="仿宋" w:cs="仿宋"/>
                <w:color w:val="auto"/>
                <w:highlight w:val="none"/>
              </w:rPr>
              <w:t>第8.2（1）项</w:t>
            </w:r>
          </w:p>
        </w:tc>
        <w:tc>
          <w:tcPr>
            <w:tcW w:w="1022" w:type="pct"/>
            <w:vAlign w:val="center"/>
          </w:tcPr>
          <w:p w14:paraId="3231287D">
            <w:pPr>
              <w:pStyle w:val="20"/>
              <w:bidi w:val="0"/>
              <w:rPr>
                <w:rFonts w:hint="eastAsia" w:ascii="仿宋" w:hAnsi="仿宋" w:eastAsia="仿宋" w:cs="仿宋"/>
                <w:color w:val="auto"/>
                <w:highlight w:val="none"/>
              </w:rPr>
            </w:pPr>
            <w:r>
              <w:rPr>
                <w:rFonts w:hint="eastAsia" w:ascii="仿宋" w:hAnsi="仿宋" w:eastAsia="仿宋" w:cs="仿宋"/>
                <w:color w:val="auto"/>
                <w:highlight w:val="none"/>
              </w:rPr>
              <w:t>质量保证期</w:t>
            </w:r>
          </w:p>
        </w:tc>
        <w:tc>
          <w:tcPr>
            <w:tcW w:w="3034" w:type="pct"/>
            <w:vAlign w:val="center"/>
          </w:tcPr>
          <w:p w14:paraId="22EB0BA5">
            <w:pPr>
              <w:pStyle w:val="20"/>
              <w:bidi w:val="0"/>
              <w:rPr>
                <w:rFonts w:hint="eastAsia" w:ascii="仿宋" w:hAnsi="仿宋" w:eastAsia="仿宋" w:cs="仿宋"/>
                <w:color w:val="auto"/>
                <w:highlight w:val="none"/>
              </w:rPr>
            </w:pPr>
          </w:p>
        </w:tc>
      </w:tr>
      <w:tr w14:paraId="3DDF769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943" w:type="pct"/>
            <w:vAlign w:val="center"/>
          </w:tcPr>
          <w:p w14:paraId="2D238FD2">
            <w:pPr>
              <w:pStyle w:val="20"/>
              <w:bidi w:val="0"/>
              <w:rPr>
                <w:rFonts w:hint="eastAsia" w:ascii="仿宋" w:hAnsi="仿宋" w:eastAsia="仿宋" w:cs="仿宋"/>
                <w:color w:val="auto"/>
                <w:highlight w:val="none"/>
              </w:rPr>
            </w:pPr>
            <w:r>
              <w:rPr>
                <w:rFonts w:hint="eastAsia" w:ascii="仿宋" w:hAnsi="仿宋" w:eastAsia="仿宋" w:cs="仿宋"/>
                <w:color w:val="auto"/>
                <w:highlight w:val="none"/>
              </w:rPr>
              <w:t>第二节</w:t>
            </w:r>
          </w:p>
          <w:p w14:paraId="48512E33">
            <w:pPr>
              <w:pStyle w:val="20"/>
              <w:bidi w:val="0"/>
              <w:rPr>
                <w:rFonts w:hint="eastAsia" w:ascii="仿宋" w:hAnsi="仿宋" w:eastAsia="仿宋" w:cs="仿宋"/>
                <w:color w:val="auto"/>
                <w:highlight w:val="none"/>
              </w:rPr>
            </w:pPr>
            <w:r>
              <w:rPr>
                <w:rFonts w:hint="eastAsia" w:ascii="仿宋" w:hAnsi="仿宋" w:eastAsia="仿宋" w:cs="仿宋"/>
                <w:color w:val="auto"/>
                <w:highlight w:val="none"/>
              </w:rPr>
              <w:t>第8.2（3）项</w:t>
            </w:r>
          </w:p>
        </w:tc>
        <w:tc>
          <w:tcPr>
            <w:tcW w:w="1022" w:type="pct"/>
            <w:vAlign w:val="center"/>
          </w:tcPr>
          <w:p w14:paraId="6D663C3B">
            <w:pPr>
              <w:pStyle w:val="20"/>
              <w:bidi w:val="0"/>
              <w:rPr>
                <w:rFonts w:hint="eastAsia" w:ascii="仿宋" w:hAnsi="仿宋" w:eastAsia="仿宋" w:cs="仿宋"/>
                <w:color w:val="auto"/>
                <w:highlight w:val="none"/>
              </w:rPr>
            </w:pPr>
            <w:r>
              <w:rPr>
                <w:rFonts w:hint="eastAsia" w:ascii="仿宋" w:hAnsi="仿宋" w:eastAsia="仿宋" w:cs="仿宋"/>
                <w:color w:val="auto"/>
                <w:highlight w:val="none"/>
              </w:rPr>
              <w:t>货物质量缺陷</w:t>
            </w:r>
          </w:p>
          <w:p w14:paraId="06219E3F">
            <w:pPr>
              <w:pStyle w:val="20"/>
              <w:bidi w:val="0"/>
              <w:rPr>
                <w:rFonts w:hint="eastAsia" w:ascii="仿宋" w:hAnsi="仿宋" w:eastAsia="仿宋" w:cs="仿宋"/>
                <w:color w:val="auto"/>
                <w:highlight w:val="none"/>
              </w:rPr>
            </w:pPr>
            <w:r>
              <w:rPr>
                <w:rFonts w:hint="eastAsia" w:ascii="仿宋" w:hAnsi="仿宋" w:eastAsia="仿宋" w:cs="仿宋"/>
                <w:color w:val="auto"/>
                <w:highlight w:val="none"/>
              </w:rPr>
              <w:t>响应时间</w:t>
            </w:r>
          </w:p>
        </w:tc>
        <w:tc>
          <w:tcPr>
            <w:tcW w:w="3034" w:type="pct"/>
            <w:vAlign w:val="center"/>
          </w:tcPr>
          <w:p w14:paraId="52C07F46">
            <w:pPr>
              <w:pStyle w:val="20"/>
              <w:bidi w:val="0"/>
              <w:rPr>
                <w:rFonts w:hint="eastAsia" w:ascii="仿宋" w:hAnsi="仿宋" w:eastAsia="仿宋" w:cs="仿宋"/>
                <w:color w:val="auto"/>
                <w:highlight w:val="none"/>
              </w:rPr>
            </w:pPr>
          </w:p>
        </w:tc>
      </w:tr>
      <w:tr w14:paraId="075E047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943" w:type="pct"/>
            <w:vAlign w:val="center"/>
          </w:tcPr>
          <w:p w14:paraId="40D5A113">
            <w:pPr>
              <w:pStyle w:val="20"/>
              <w:bidi w:val="0"/>
              <w:rPr>
                <w:rFonts w:hint="eastAsia" w:ascii="仿宋" w:hAnsi="仿宋" w:eastAsia="仿宋" w:cs="仿宋"/>
                <w:color w:val="auto"/>
                <w:highlight w:val="none"/>
              </w:rPr>
            </w:pPr>
            <w:r>
              <w:rPr>
                <w:rFonts w:hint="eastAsia" w:ascii="仿宋" w:hAnsi="仿宋" w:eastAsia="仿宋" w:cs="仿宋"/>
                <w:color w:val="auto"/>
                <w:highlight w:val="none"/>
              </w:rPr>
              <w:t>第二节</w:t>
            </w:r>
          </w:p>
          <w:p w14:paraId="5E913968">
            <w:pPr>
              <w:pStyle w:val="20"/>
              <w:bidi w:val="0"/>
              <w:rPr>
                <w:rFonts w:hint="eastAsia" w:ascii="仿宋" w:hAnsi="仿宋" w:eastAsia="仿宋" w:cs="仿宋"/>
                <w:color w:val="auto"/>
                <w:highlight w:val="none"/>
              </w:rPr>
            </w:pPr>
            <w:r>
              <w:rPr>
                <w:rFonts w:hint="eastAsia" w:ascii="仿宋" w:hAnsi="仿宋" w:eastAsia="仿宋" w:cs="仿宋"/>
                <w:color w:val="auto"/>
                <w:highlight w:val="none"/>
              </w:rPr>
              <w:t>第11.1款</w:t>
            </w:r>
          </w:p>
        </w:tc>
        <w:tc>
          <w:tcPr>
            <w:tcW w:w="1022" w:type="pct"/>
            <w:vAlign w:val="center"/>
          </w:tcPr>
          <w:p w14:paraId="04542D04">
            <w:pPr>
              <w:pStyle w:val="20"/>
              <w:bidi w:val="0"/>
              <w:rPr>
                <w:rFonts w:hint="eastAsia" w:ascii="仿宋" w:hAnsi="仿宋" w:eastAsia="仿宋" w:cs="仿宋"/>
                <w:color w:val="auto"/>
                <w:highlight w:val="none"/>
              </w:rPr>
            </w:pPr>
            <w:r>
              <w:rPr>
                <w:rFonts w:hint="eastAsia" w:ascii="仿宋" w:hAnsi="仿宋" w:eastAsia="仿宋" w:cs="仿宋"/>
                <w:color w:val="auto"/>
                <w:highlight w:val="none"/>
              </w:rPr>
              <w:t>其他应当保密的信息</w:t>
            </w:r>
          </w:p>
        </w:tc>
        <w:tc>
          <w:tcPr>
            <w:tcW w:w="3034" w:type="pct"/>
            <w:vAlign w:val="center"/>
          </w:tcPr>
          <w:p w14:paraId="2C4FAAF3">
            <w:pPr>
              <w:pStyle w:val="20"/>
              <w:bidi w:val="0"/>
              <w:rPr>
                <w:rFonts w:hint="eastAsia" w:ascii="仿宋" w:hAnsi="仿宋" w:eastAsia="仿宋" w:cs="仿宋"/>
                <w:color w:val="auto"/>
                <w:highlight w:val="none"/>
              </w:rPr>
            </w:pPr>
          </w:p>
        </w:tc>
      </w:tr>
      <w:tr w14:paraId="497FE6D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97" w:hRule="atLeast"/>
        </w:trPr>
        <w:tc>
          <w:tcPr>
            <w:tcW w:w="943" w:type="pct"/>
            <w:vAlign w:val="center"/>
          </w:tcPr>
          <w:p w14:paraId="3CDE416A">
            <w:pPr>
              <w:pStyle w:val="20"/>
              <w:bidi w:val="0"/>
              <w:rPr>
                <w:rFonts w:hint="eastAsia" w:ascii="仿宋" w:hAnsi="仿宋" w:eastAsia="仿宋" w:cs="仿宋"/>
                <w:color w:val="auto"/>
                <w:highlight w:val="none"/>
              </w:rPr>
            </w:pPr>
            <w:r>
              <w:rPr>
                <w:rFonts w:hint="eastAsia" w:ascii="仿宋" w:hAnsi="仿宋" w:eastAsia="仿宋" w:cs="仿宋"/>
                <w:color w:val="auto"/>
                <w:highlight w:val="none"/>
              </w:rPr>
              <w:t>第二节</w:t>
            </w:r>
          </w:p>
          <w:p w14:paraId="358066D6">
            <w:pPr>
              <w:pStyle w:val="20"/>
              <w:bidi w:val="0"/>
              <w:rPr>
                <w:rFonts w:hint="eastAsia" w:ascii="仿宋" w:hAnsi="仿宋" w:eastAsia="仿宋" w:cs="仿宋"/>
                <w:color w:val="auto"/>
                <w:highlight w:val="none"/>
              </w:rPr>
            </w:pPr>
            <w:r>
              <w:rPr>
                <w:rFonts w:hint="eastAsia" w:ascii="仿宋" w:hAnsi="仿宋" w:eastAsia="仿宋" w:cs="仿宋"/>
                <w:color w:val="auto"/>
                <w:highlight w:val="none"/>
              </w:rPr>
              <w:t>第12.2款</w:t>
            </w:r>
          </w:p>
        </w:tc>
        <w:tc>
          <w:tcPr>
            <w:tcW w:w="1022" w:type="pct"/>
            <w:vAlign w:val="center"/>
          </w:tcPr>
          <w:p w14:paraId="19F5E5BA">
            <w:pPr>
              <w:pStyle w:val="20"/>
              <w:bidi w:val="0"/>
              <w:rPr>
                <w:rFonts w:hint="eastAsia" w:ascii="仿宋" w:hAnsi="仿宋" w:eastAsia="仿宋" w:cs="仿宋"/>
                <w:color w:val="auto"/>
                <w:highlight w:val="none"/>
              </w:rPr>
            </w:pPr>
            <w:r>
              <w:rPr>
                <w:rFonts w:hint="eastAsia" w:ascii="仿宋" w:hAnsi="仿宋" w:eastAsia="仿宋" w:cs="仿宋"/>
                <w:color w:val="auto"/>
                <w:highlight w:val="none"/>
              </w:rPr>
              <w:t>合同价款支付时间</w:t>
            </w:r>
          </w:p>
        </w:tc>
        <w:tc>
          <w:tcPr>
            <w:tcW w:w="3034" w:type="pct"/>
            <w:vAlign w:val="center"/>
          </w:tcPr>
          <w:p w14:paraId="097ADD13">
            <w:pPr>
              <w:pStyle w:val="20"/>
              <w:bidi w:val="0"/>
              <w:rPr>
                <w:rFonts w:hint="eastAsia" w:ascii="仿宋" w:hAnsi="仿宋" w:eastAsia="仿宋" w:cs="仿宋"/>
                <w:color w:val="auto"/>
                <w:highlight w:val="none"/>
              </w:rPr>
            </w:pPr>
          </w:p>
        </w:tc>
      </w:tr>
      <w:tr w14:paraId="5768A10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97" w:hRule="atLeast"/>
        </w:trPr>
        <w:tc>
          <w:tcPr>
            <w:tcW w:w="943" w:type="pct"/>
            <w:vAlign w:val="center"/>
          </w:tcPr>
          <w:p w14:paraId="4AC77DC7">
            <w:pPr>
              <w:pStyle w:val="20"/>
              <w:bidi w:val="0"/>
              <w:rPr>
                <w:rFonts w:hint="eastAsia" w:ascii="仿宋" w:hAnsi="仿宋" w:eastAsia="仿宋" w:cs="仿宋"/>
                <w:color w:val="auto"/>
                <w:highlight w:val="none"/>
              </w:rPr>
            </w:pPr>
            <w:r>
              <w:rPr>
                <w:rFonts w:hint="eastAsia" w:ascii="仿宋" w:hAnsi="仿宋" w:eastAsia="仿宋" w:cs="仿宋"/>
                <w:color w:val="auto"/>
                <w:highlight w:val="none"/>
              </w:rPr>
              <w:t>第二节</w:t>
            </w:r>
          </w:p>
          <w:p w14:paraId="6231138F">
            <w:pPr>
              <w:pStyle w:val="20"/>
              <w:bidi w:val="0"/>
              <w:rPr>
                <w:rFonts w:hint="eastAsia" w:ascii="仿宋" w:hAnsi="仿宋" w:eastAsia="仿宋" w:cs="仿宋"/>
                <w:color w:val="auto"/>
                <w:highlight w:val="none"/>
              </w:rPr>
            </w:pPr>
            <w:r>
              <w:rPr>
                <w:rFonts w:hint="eastAsia" w:ascii="仿宋" w:hAnsi="仿宋" w:eastAsia="仿宋" w:cs="仿宋"/>
                <w:color w:val="auto"/>
                <w:highlight w:val="none"/>
              </w:rPr>
              <w:t>第13.2款</w:t>
            </w:r>
          </w:p>
        </w:tc>
        <w:tc>
          <w:tcPr>
            <w:tcW w:w="1022" w:type="pct"/>
            <w:vAlign w:val="center"/>
          </w:tcPr>
          <w:p w14:paraId="0FC82DBE">
            <w:pPr>
              <w:pStyle w:val="20"/>
              <w:bidi w:val="0"/>
              <w:rPr>
                <w:rFonts w:hint="eastAsia" w:ascii="仿宋" w:hAnsi="仿宋" w:eastAsia="仿宋" w:cs="仿宋"/>
                <w:color w:val="auto"/>
                <w:highlight w:val="none"/>
              </w:rPr>
            </w:pPr>
            <w:r>
              <w:rPr>
                <w:rFonts w:hint="eastAsia" w:ascii="仿宋" w:hAnsi="仿宋" w:eastAsia="仿宋" w:cs="仿宋"/>
                <w:color w:val="auto"/>
                <w:highlight w:val="none"/>
              </w:rPr>
              <w:t>履约保证金不予退还的情形</w:t>
            </w:r>
          </w:p>
        </w:tc>
        <w:tc>
          <w:tcPr>
            <w:tcW w:w="3034" w:type="pct"/>
            <w:vAlign w:val="center"/>
          </w:tcPr>
          <w:p w14:paraId="0D8F8EDE">
            <w:pPr>
              <w:pStyle w:val="20"/>
              <w:bidi w:val="0"/>
              <w:rPr>
                <w:rFonts w:hint="eastAsia" w:ascii="仿宋" w:hAnsi="仿宋" w:eastAsia="仿宋" w:cs="仿宋"/>
                <w:color w:val="auto"/>
                <w:highlight w:val="none"/>
              </w:rPr>
            </w:pPr>
          </w:p>
        </w:tc>
      </w:tr>
      <w:tr w14:paraId="0FF0E50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943" w:type="pct"/>
            <w:vAlign w:val="center"/>
          </w:tcPr>
          <w:p w14:paraId="63F592B4">
            <w:pPr>
              <w:pStyle w:val="20"/>
              <w:bidi w:val="0"/>
              <w:rPr>
                <w:rFonts w:hint="eastAsia" w:ascii="仿宋" w:hAnsi="仿宋" w:eastAsia="仿宋" w:cs="仿宋"/>
                <w:color w:val="auto"/>
                <w:highlight w:val="none"/>
              </w:rPr>
            </w:pPr>
            <w:r>
              <w:rPr>
                <w:rFonts w:hint="eastAsia" w:ascii="仿宋" w:hAnsi="仿宋" w:eastAsia="仿宋" w:cs="仿宋"/>
                <w:color w:val="auto"/>
                <w:highlight w:val="none"/>
              </w:rPr>
              <w:t>第二节</w:t>
            </w:r>
          </w:p>
          <w:p w14:paraId="5F0A0072">
            <w:pPr>
              <w:pStyle w:val="20"/>
              <w:bidi w:val="0"/>
              <w:rPr>
                <w:rFonts w:hint="eastAsia" w:ascii="仿宋" w:hAnsi="仿宋" w:eastAsia="仿宋" w:cs="仿宋"/>
                <w:color w:val="auto"/>
                <w:highlight w:val="none"/>
              </w:rPr>
            </w:pPr>
            <w:r>
              <w:rPr>
                <w:rFonts w:hint="eastAsia" w:ascii="仿宋" w:hAnsi="仿宋" w:eastAsia="仿宋" w:cs="仿宋"/>
                <w:color w:val="auto"/>
                <w:highlight w:val="none"/>
              </w:rPr>
              <w:t>第13.3款</w:t>
            </w:r>
          </w:p>
        </w:tc>
        <w:tc>
          <w:tcPr>
            <w:tcW w:w="1022" w:type="pct"/>
            <w:vAlign w:val="center"/>
          </w:tcPr>
          <w:p w14:paraId="1DBFF553">
            <w:pPr>
              <w:pStyle w:val="20"/>
              <w:bidi w:val="0"/>
              <w:rPr>
                <w:rFonts w:hint="eastAsia" w:ascii="仿宋" w:hAnsi="仿宋" w:eastAsia="仿宋" w:cs="仿宋"/>
                <w:color w:val="auto"/>
                <w:highlight w:val="none"/>
              </w:rPr>
            </w:pPr>
            <w:r>
              <w:rPr>
                <w:rFonts w:hint="eastAsia" w:ascii="仿宋" w:hAnsi="仿宋" w:eastAsia="仿宋" w:cs="仿宋"/>
                <w:color w:val="auto"/>
                <w:highlight w:val="none"/>
              </w:rPr>
              <w:t>履约保证金退还时间及逾期退还的违约金</w:t>
            </w:r>
          </w:p>
        </w:tc>
        <w:tc>
          <w:tcPr>
            <w:tcW w:w="3034" w:type="pct"/>
            <w:vAlign w:val="center"/>
          </w:tcPr>
          <w:p w14:paraId="683337CF">
            <w:pPr>
              <w:pStyle w:val="20"/>
              <w:bidi w:val="0"/>
              <w:rPr>
                <w:rFonts w:hint="eastAsia" w:ascii="仿宋" w:hAnsi="仿宋" w:eastAsia="仿宋" w:cs="仿宋"/>
                <w:color w:val="auto"/>
                <w:highlight w:val="none"/>
              </w:rPr>
            </w:pPr>
          </w:p>
        </w:tc>
      </w:tr>
      <w:tr w14:paraId="4EF9938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84" w:hRule="atLeast"/>
        </w:trPr>
        <w:tc>
          <w:tcPr>
            <w:tcW w:w="943" w:type="pct"/>
            <w:vAlign w:val="center"/>
          </w:tcPr>
          <w:p w14:paraId="2790104C">
            <w:pPr>
              <w:pStyle w:val="20"/>
              <w:bidi w:val="0"/>
              <w:rPr>
                <w:rFonts w:hint="eastAsia" w:ascii="仿宋" w:hAnsi="仿宋" w:eastAsia="仿宋" w:cs="仿宋"/>
                <w:color w:val="auto"/>
                <w:highlight w:val="none"/>
              </w:rPr>
            </w:pPr>
            <w:r>
              <w:rPr>
                <w:rFonts w:hint="eastAsia" w:ascii="仿宋" w:hAnsi="仿宋" w:eastAsia="仿宋" w:cs="仿宋"/>
                <w:color w:val="auto"/>
                <w:highlight w:val="none"/>
              </w:rPr>
              <w:t>第二节</w:t>
            </w:r>
          </w:p>
          <w:p w14:paraId="5CCDEEA7">
            <w:pPr>
              <w:pStyle w:val="20"/>
              <w:bidi w:val="0"/>
              <w:rPr>
                <w:rFonts w:hint="eastAsia" w:ascii="仿宋" w:hAnsi="仿宋" w:eastAsia="仿宋" w:cs="仿宋"/>
                <w:color w:val="auto"/>
                <w:highlight w:val="none"/>
              </w:rPr>
            </w:pPr>
            <w:r>
              <w:rPr>
                <w:rFonts w:hint="eastAsia" w:ascii="仿宋" w:hAnsi="仿宋" w:eastAsia="仿宋" w:cs="仿宋"/>
                <w:color w:val="auto"/>
                <w:highlight w:val="none"/>
              </w:rPr>
              <w:t>第14.1（3）项</w:t>
            </w:r>
          </w:p>
        </w:tc>
        <w:tc>
          <w:tcPr>
            <w:tcW w:w="1022" w:type="pct"/>
            <w:vAlign w:val="center"/>
          </w:tcPr>
          <w:p w14:paraId="63495B9A">
            <w:pPr>
              <w:pStyle w:val="20"/>
              <w:bidi w:val="0"/>
              <w:rPr>
                <w:rFonts w:hint="eastAsia" w:ascii="仿宋" w:hAnsi="仿宋" w:eastAsia="仿宋" w:cs="仿宋"/>
                <w:color w:val="auto"/>
                <w:highlight w:val="none"/>
              </w:rPr>
            </w:pPr>
            <w:r>
              <w:rPr>
                <w:rFonts w:hint="eastAsia" w:ascii="仿宋" w:hAnsi="仿宋" w:eastAsia="仿宋" w:cs="仿宋"/>
                <w:color w:val="auto"/>
                <w:highlight w:val="none"/>
              </w:rPr>
              <w:t>运行监督、维修期限</w:t>
            </w:r>
          </w:p>
        </w:tc>
        <w:tc>
          <w:tcPr>
            <w:tcW w:w="3034" w:type="pct"/>
            <w:vAlign w:val="center"/>
          </w:tcPr>
          <w:p w14:paraId="104C021C">
            <w:pPr>
              <w:pStyle w:val="20"/>
              <w:bidi w:val="0"/>
              <w:rPr>
                <w:rFonts w:hint="eastAsia" w:ascii="仿宋" w:hAnsi="仿宋" w:eastAsia="仿宋" w:cs="仿宋"/>
                <w:color w:val="auto"/>
                <w:highlight w:val="none"/>
              </w:rPr>
            </w:pPr>
          </w:p>
        </w:tc>
      </w:tr>
      <w:tr w14:paraId="23D052D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84" w:hRule="atLeast"/>
        </w:trPr>
        <w:tc>
          <w:tcPr>
            <w:tcW w:w="943" w:type="pct"/>
            <w:vAlign w:val="center"/>
          </w:tcPr>
          <w:p w14:paraId="579CC9ED">
            <w:pPr>
              <w:pStyle w:val="20"/>
              <w:bidi w:val="0"/>
              <w:rPr>
                <w:rFonts w:hint="eastAsia" w:ascii="仿宋" w:hAnsi="仿宋" w:eastAsia="仿宋" w:cs="仿宋"/>
                <w:color w:val="auto"/>
                <w:highlight w:val="none"/>
              </w:rPr>
            </w:pPr>
            <w:r>
              <w:rPr>
                <w:rFonts w:hint="eastAsia" w:ascii="仿宋" w:hAnsi="仿宋" w:eastAsia="仿宋" w:cs="仿宋"/>
                <w:color w:val="auto"/>
                <w:highlight w:val="none"/>
              </w:rPr>
              <w:t>第二节</w:t>
            </w:r>
          </w:p>
          <w:p w14:paraId="34FB71EC">
            <w:pPr>
              <w:pStyle w:val="20"/>
              <w:bidi w:val="0"/>
              <w:rPr>
                <w:rFonts w:hint="eastAsia" w:ascii="仿宋" w:hAnsi="仿宋" w:eastAsia="仿宋" w:cs="仿宋"/>
                <w:color w:val="auto"/>
                <w:highlight w:val="none"/>
              </w:rPr>
            </w:pPr>
            <w:r>
              <w:rPr>
                <w:rFonts w:hint="eastAsia" w:ascii="仿宋" w:hAnsi="仿宋" w:eastAsia="仿宋" w:cs="仿宋"/>
                <w:color w:val="auto"/>
                <w:highlight w:val="none"/>
              </w:rPr>
              <w:t>第14.1（5）项</w:t>
            </w:r>
          </w:p>
        </w:tc>
        <w:tc>
          <w:tcPr>
            <w:tcW w:w="1022" w:type="pct"/>
            <w:vAlign w:val="center"/>
          </w:tcPr>
          <w:p w14:paraId="2D4E48FF">
            <w:pPr>
              <w:pStyle w:val="20"/>
              <w:bidi w:val="0"/>
              <w:rPr>
                <w:rFonts w:hint="eastAsia" w:ascii="仿宋" w:hAnsi="仿宋" w:eastAsia="仿宋" w:cs="仿宋"/>
                <w:color w:val="auto"/>
                <w:highlight w:val="none"/>
              </w:rPr>
            </w:pPr>
            <w:r>
              <w:rPr>
                <w:rFonts w:hint="eastAsia" w:ascii="仿宋" w:hAnsi="仿宋" w:eastAsia="仿宋" w:cs="仿宋"/>
                <w:color w:val="auto"/>
                <w:highlight w:val="none"/>
              </w:rPr>
              <w:t>货物回收的约定</w:t>
            </w:r>
          </w:p>
        </w:tc>
        <w:tc>
          <w:tcPr>
            <w:tcW w:w="3034" w:type="pct"/>
            <w:vAlign w:val="center"/>
          </w:tcPr>
          <w:p w14:paraId="2F532572">
            <w:pPr>
              <w:pStyle w:val="20"/>
              <w:bidi w:val="0"/>
              <w:rPr>
                <w:rFonts w:hint="eastAsia" w:ascii="仿宋" w:hAnsi="仿宋" w:eastAsia="仿宋" w:cs="仿宋"/>
                <w:color w:val="auto"/>
                <w:highlight w:val="none"/>
              </w:rPr>
            </w:pPr>
          </w:p>
        </w:tc>
      </w:tr>
      <w:tr w14:paraId="59A204E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943" w:type="pct"/>
            <w:vAlign w:val="center"/>
          </w:tcPr>
          <w:p w14:paraId="0A06E670">
            <w:pPr>
              <w:pStyle w:val="20"/>
              <w:bidi w:val="0"/>
              <w:rPr>
                <w:rFonts w:hint="eastAsia" w:ascii="仿宋" w:hAnsi="仿宋" w:eastAsia="仿宋" w:cs="仿宋"/>
                <w:color w:val="auto"/>
                <w:highlight w:val="none"/>
              </w:rPr>
            </w:pPr>
            <w:r>
              <w:rPr>
                <w:rFonts w:hint="eastAsia" w:ascii="仿宋" w:hAnsi="仿宋" w:eastAsia="仿宋" w:cs="仿宋"/>
                <w:color w:val="auto"/>
                <w:highlight w:val="none"/>
              </w:rPr>
              <w:t>第二节</w:t>
            </w:r>
          </w:p>
          <w:p w14:paraId="45C3127B">
            <w:pPr>
              <w:pStyle w:val="20"/>
              <w:bidi w:val="0"/>
              <w:rPr>
                <w:rFonts w:hint="eastAsia" w:ascii="仿宋" w:hAnsi="仿宋" w:eastAsia="仿宋" w:cs="仿宋"/>
                <w:color w:val="auto"/>
                <w:highlight w:val="none"/>
              </w:rPr>
            </w:pPr>
            <w:r>
              <w:rPr>
                <w:rFonts w:hint="eastAsia" w:ascii="仿宋" w:hAnsi="仿宋" w:eastAsia="仿宋" w:cs="仿宋"/>
                <w:color w:val="auto"/>
                <w:highlight w:val="none"/>
              </w:rPr>
              <w:t>第14.1（6）项</w:t>
            </w:r>
          </w:p>
        </w:tc>
        <w:tc>
          <w:tcPr>
            <w:tcW w:w="1022" w:type="pct"/>
            <w:vAlign w:val="center"/>
          </w:tcPr>
          <w:p w14:paraId="67A8D093">
            <w:pPr>
              <w:pStyle w:val="20"/>
              <w:bidi w:val="0"/>
              <w:rPr>
                <w:rFonts w:hint="eastAsia" w:ascii="仿宋" w:hAnsi="仿宋" w:eastAsia="仿宋" w:cs="仿宋"/>
                <w:color w:val="auto"/>
                <w:highlight w:val="none"/>
              </w:rPr>
            </w:pPr>
            <w:r>
              <w:rPr>
                <w:rFonts w:hint="eastAsia" w:ascii="仿宋" w:hAnsi="仿宋" w:eastAsia="仿宋" w:cs="仿宋"/>
                <w:color w:val="auto"/>
                <w:highlight w:val="none"/>
              </w:rPr>
              <w:t>乙方提供的其他服务</w:t>
            </w:r>
          </w:p>
        </w:tc>
        <w:tc>
          <w:tcPr>
            <w:tcW w:w="3034" w:type="pct"/>
            <w:vAlign w:val="center"/>
          </w:tcPr>
          <w:p w14:paraId="525673B7">
            <w:pPr>
              <w:pStyle w:val="20"/>
              <w:bidi w:val="0"/>
              <w:rPr>
                <w:rFonts w:hint="eastAsia" w:ascii="仿宋" w:hAnsi="仿宋" w:eastAsia="仿宋" w:cs="仿宋"/>
                <w:color w:val="auto"/>
                <w:highlight w:val="none"/>
              </w:rPr>
            </w:pPr>
          </w:p>
        </w:tc>
      </w:tr>
      <w:tr w14:paraId="0D293C6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943" w:type="pct"/>
            <w:vAlign w:val="center"/>
          </w:tcPr>
          <w:p w14:paraId="37A3E2F2">
            <w:pPr>
              <w:pStyle w:val="20"/>
              <w:bidi w:val="0"/>
              <w:rPr>
                <w:rFonts w:hint="eastAsia" w:ascii="仿宋" w:hAnsi="仿宋" w:eastAsia="仿宋" w:cs="仿宋"/>
                <w:color w:val="auto"/>
                <w:highlight w:val="none"/>
              </w:rPr>
            </w:pPr>
            <w:r>
              <w:rPr>
                <w:rFonts w:hint="eastAsia" w:ascii="仿宋" w:hAnsi="仿宋" w:eastAsia="仿宋" w:cs="仿宋"/>
                <w:color w:val="auto"/>
                <w:highlight w:val="none"/>
              </w:rPr>
              <w:t>第二节</w:t>
            </w:r>
          </w:p>
          <w:p w14:paraId="25463881">
            <w:pPr>
              <w:pStyle w:val="20"/>
              <w:bidi w:val="0"/>
              <w:rPr>
                <w:rFonts w:hint="eastAsia" w:ascii="仿宋" w:hAnsi="仿宋" w:eastAsia="仿宋" w:cs="仿宋"/>
                <w:color w:val="auto"/>
                <w:highlight w:val="none"/>
              </w:rPr>
            </w:pPr>
            <w:r>
              <w:rPr>
                <w:rFonts w:hint="eastAsia" w:ascii="仿宋" w:hAnsi="仿宋" w:eastAsia="仿宋" w:cs="仿宋"/>
                <w:color w:val="auto"/>
                <w:highlight w:val="none"/>
              </w:rPr>
              <w:t>第15.1款</w:t>
            </w:r>
          </w:p>
        </w:tc>
        <w:tc>
          <w:tcPr>
            <w:tcW w:w="1022" w:type="pct"/>
            <w:vAlign w:val="center"/>
          </w:tcPr>
          <w:p w14:paraId="11F2777F">
            <w:pPr>
              <w:pStyle w:val="20"/>
              <w:bidi w:val="0"/>
              <w:rPr>
                <w:rFonts w:hint="eastAsia" w:ascii="仿宋" w:hAnsi="仿宋" w:eastAsia="仿宋" w:cs="仿宋"/>
                <w:color w:val="auto"/>
                <w:highlight w:val="none"/>
              </w:rPr>
            </w:pPr>
            <w:r>
              <w:rPr>
                <w:rFonts w:hint="eastAsia" w:ascii="仿宋" w:hAnsi="仿宋" w:eastAsia="仿宋" w:cs="仿宋"/>
                <w:color w:val="auto"/>
                <w:highlight w:val="none"/>
              </w:rPr>
              <w:t>修理、重作、更换相关具体规定</w:t>
            </w:r>
          </w:p>
        </w:tc>
        <w:tc>
          <w:tcPr>
            <w:tcW w:w="3034" w:type="pct"/>
            <w:vAlign w:val="center"/>
          </w:tcPr>
          <w:p w14:paraId="1DDEF351">
            <w:pPr>
              <w:pStyle w:val="20"/>
              <w:bidi w:val="0"/>
              <w:rPr>
                <w:rFonts w:hint="eastAsia" w:ascii="仿宋" w:hAnsi="仿宋" w:eastAsia="仿宋" w:cs="仿宋"/>
                <w:color w:val="auto"/>
                <w:highlight w:val="none"/>
              </w:rPr>
            </w:pPr>
          </w:p>
        </w:tc>
      </w:tr>
      <w:tr w14:paraId="566B1F2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943" w:type="pct"/>
            <w:vAlign w:val="center"/>
          </w:tcPr>
          <w:p w14:paraId="01FEE3F5">
            <w:pPr>
              <w:pStyle w:val="20"/>
              <w:bidi w:val="0"/>
              <w:rPr>
                <w:rFonts w:hint="eastAsia" w:ascii="仿宋" w:hAnsi="仿宋" w:eastAsia="仿宋" w:cs="仿宋"/>
                <w:color w:val="auto"/>
                <w:highlight w:val="none"/>
              </w:rPr>
            </w:pPr>
            <w:r>
              <w:rPr>
                <w:rFonts w:hint="eastAsia" w:ascii="仿宋" w:hAnsi="仿宋" w:eastAsia="仿宋" w:cs="仿宋"/>
                <w:color w:val="auto"/>
                <w:highlight w:val="none"/>
              </w:rPr>
              <w:t>第二节</w:t>
            </w:r>
          </w:p>
          <w:p w14:paraId="2A7BEBBF">
            <w:pPr>
              <w:pStyle w:val="20"/>
              <w:bidi w:val="0"/>
              <w:rPr>
                <w:rFonts w:hint="eastAsia" w:ascii="仿宋" w:hAnsi="仿宋" w:eastAsia="仿宋" w:cs="仿宋"/>
                <w:color w:val="auto"/>
                <w:highlight w:val="none"/>
              </w:rPr>
            </w:pPr>
            <w:r>
              <w:rPr>
                <w:rFonts w:hint="eastAsia" w:ascii="仿宋" w:hAnsi="仿宋" w:eastAsia="仿宋" w:cs="仿宋"/>
                <w:color w:val="auto"/>
                <w:highlight w:val="none"/>
              </w:rPr>
              <w:t>第15.2（2）项</w:t>
            </w:r>
          </w:p>
        </w:tc>
        <w:tc>
          <w:tcPr>
            <w:tcW w:w="1022" w:type="pct"/>
            <w:vAlign w:val="center"/>
          </w:tcPr>
          <w:p w14:paraId="6F0FCBA3">
            <w:pPr>
              <w:pStyle w:val="20"/>
              <w:bidi w:val="0"/>
              <w:rPr>
                <w:rFonts w:hint="eastAsia" w:ascii="仿宋" w:hAnsi="仿宋" w:eastAsia="仿宋" w:cs="仿宋"/>
                <w:color w:val="auto"/>
                <w:highlight w:val="none"/>
              </w:rPr>
            </w:pPr>
            <w:r>
              <w:rPr>
                <w:rFonts w:hint="eastAsia" w:ascii="仿宋" w:hAnsi="仿宋" w:eastAsia="仿宋" w:cs="仿宋"/>
                <w:color w:val="auto"/>
                <w:highlight w:val="none"/>
              </w:rPr>
              <w:t>迟延交货赔偿费</w:t>
            </w:r>
          </w:p>
        </w:tc>
        <w:tc>
          <w:tcPr>
            <w:tcW w:w="3034" w:type="pct"/>
            <w:vAlign w:val="center"/>
          </w:tcPr>
          <w:p w14:paraId="4C042779">
            <w:pPr>
              <w:pStyle w:val="20"/>
              <w:bidi w:val="0"/>
              <w:rPr>
                <w:rFonts w:hint="eastAsia" w:ascii="仿宋" w:hAnsi="仿宋" w:eastAsia="仿宋" w:cs="仿宋"/>
                <w:color w:val="auto"/>
                <w:highlight w:val="none"/>
              </w:rPr>
            </w:pPr>
          </w:p>
        </w:tc>
      </w:tr>
      <w:tr w14:paraId="60F6077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943" w:type="pct"/>
            <w:vAlign w:val="center"/>
          </w:tcPr>
          <w:p w14:paraId="6696FEF8">
            <w:pPr>
              <w:pStyle w:val="20"/>
              <w:bidi w:val="0"/>
              <w:rPr>
                <w:rFonts w:hint="eastAsia" w:ascii="仿宋" w:hAnsi="仿宋" w:eastAsia="仿宋" w:cs="仿宋"/>
                <w:color w:val="auto"/>
                <w:highlight w:val="none"/>
              </w:rPr>
            </w:pPr>
            <w:r>
              <w:rPr>
                <w:rFonts w:hint="eastAsia" w:ascii="仿宋" w:hAnsi="仿宋" w:eastAsia="仿宋" w:cs="仿宋"/>
                <w:color w:val="auto"/>
                <w:highlight w:val="none"/>
              </w:rPr>
              <w:t>第二节</w:t>
            </w:r>
          </w:p>
          <w:p w14:paraId="49C06E33">
            <w:pPr>
              <w:pStyle w:val="20"/>
              <w:bidi w:val="0"/>
              <w:rPr>
                <w:rFonts w:hint="eastAsia" w:ascii="仿宋" w:hAnsi="仿宋" w:eastAsia="仿宋" w:cs="仿宋"/>
                <w:color w:val="auto"/>
                <w:highlight w:val="none"/>
              </w:rPr>
            </w:pPr>
            <w:r>
              <w:rPr>
                <w:rFonts w:hint="eastAsia" w:ascii="仿宋" w:hAnsi="仿宋" w:eastAsia="仿宋" w:cs="仿宋"/>
                <w:color w:val="auto"/>
                <w:highlight w:val="none"/>
              </w:rPr>
              <w:t>第15.3款</w:t>
            </w:r>
          </w:p>
        </w:tc>
        <w:tc>
          <w:tcPr>
            <w:tcW w:w="1022" w:type="pct"/>
            <w:vAlign w:val="center"/>
          </w:tcPr>
          <w:p w14:paraId="765068E6">
            <w:pPr>
              <w:pStyle w:val="20"/>
              <w:bidi w:val="0"/>
              <w:rPr>
                <w:rFonts w:hint="eastAsia" w:ascii="仿宋" w:hAnsi="仿宋" w:eastAsia="仿宋" w:cs="仿宋"/>
                <w:color w:val="auto"/>
                <w:highlight w:val="none"/>
              </w:rPr>
            </w:pPr>
            <w:r>
              <w:rPr>
                <w:rFonts w:hint="eastAsia" w:ascii="仿宋" w:hAnsi="仿宋" w:eastAsia="仿宋" w:cs="仿宋"/>
                <w:color w:val="auto"/>
                <w:highlight w:val="none"/>
              </w:rPr>
              <w:t>逾期付款利息</w:t>
            </w:r>
          </w:p>
        </w:tc>
        <w:tc>
          <w:tcPr>
            <w:tcW w:w="3034" w:type="pct"/>
            <w:vAlign w:val="center"/>
          </w:tcPr>
          <w:p w14:paraId="05D53F9C">
            <w:pPr>
              <w:pStyle w:val="20"/>
              <w:bidi w:val="0"/>
              <w:rPr>
                <w:rFonts w:hint="eastAsia" w:ascii="仿宋" w:hAnsi="仿宋" w:eastAsia="仿宋" w:cs="仿宋"/>
                <w:color w:val="auto"/>
                <w:highlight w:val="none"/>
              </w:rPr>
            </w:pPr>
          </w:p>
        </w:tc>
      </w:tr>
      <w:tr w14:paraId="0B7AA4C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6" w:hRule="atLeast"/>
        </w:trPr>
        <w:tc>
          <w:tcPr>
            <w:tcW w:w="943" w:type="pct"/>
            <w:tcBorders>
              <w:bottom w:val="single" w:color="auto" w:sz="2" w:space="0"/>
              <w:right w:val="single" w:color="auto" w:sz="2" w:space="0"/>
            </w:tcBorders>
            <w:vAlign w:val="center"/>
          </w:tcPr>
          <w:p w14:paraId="5989E248">
            <w:pPr>
              <w:pStyle w:val="20"/>
              <w:bidi w:val="0"/>
              <w:rPr>
                <w:rFonts w:hint="eastAsia" w:ascii="仿宋" w:hAnsi="仿宋" w:eastAsia="仿宋" w:cs="仿宋"/>
                <w:color w:val="auto"/>
                <w:highlight w:val="none"/>
              </w:rPr>
            </w:pPr>
            <w:r>
              <w:rPr>
                <w:rFonts w:hint="eastAsia" w:ascii="仿宋" w:hAnsi="仿宋" w:eastAsia="仿宋" w:cs="仿宋"/>
                <w:color w:val="auto"/>
                <w:highlight w:val="none"/>
              </w:rPr>
              <w:t>第二节</w:t>
            </w:r>
          </w:p>
          <w:p w14:paraId="19BAD3E1">
            <w:pPr>
              <w:pStyle w:val="20"/>
              <w:bidi w:val="0"/>
              <w:rPr>
                <w:rFonts w:hint="eastAsia" w:ascii="仿宋" w:hAnsi="仿宋" w:eastAsia="仿宋" w:cs="仿宋"/>
                <w:color w:val="auto"/>
                <w:highlight w:val="none"/>
              </w:rPr>
            </w:pPr>
            <w:r>
              <w:rPr>
                <w:rFonts w:hint="eastAsia" w:ascii="仿宋" w:hAnsi="仿宋" w:eastAsia="仿宋" w:cs="仿宋"/>
                <w:color w:val="auto"/>
                <w:highlight w:val="none"/>
              </w:rPr>
              <w:t>第15.4款</w:t>
            </w:r>
          </w:p>
        </w:tc>
        <w:tc>
          <w:tcPr>
            <w:tcW w:w="1022" w:type="pct"/>
            <w:tcBorders>
              <w:left w:val="single" w:color="auto" w:sz="2" w:space="0"/>
              <w:bottom w:val="single" w:color="auto" w:sz="2" w:space="0"/>
              <w:right w:val="single" w:color="auto" w:sz="2" w:space="0"/>
            </w:tcBorders>
            <w:vAlign w:val="center"/>
          </w:tcPr>
          <w:p w14:paraId="2F5F0B8C">
            <w:pPr>
              <w:pStyle w:val="20"/>
              <w:bidi w:val="0"/>
              <w:rPr>
                <w:rFonts w:hint="eastAsia" w:ascii="仿宋" w:hAnsi="仿宋" w:eastAsia="仿宋" w:cs="仿宋"/>
                <w:color w:val="auto"/>
                <w:highlight w:val="none"/>
              </w:rPr>
            </w:pPr>
            <w:r>
              <w:rPr>
                <w:rFonts w:hint="eastAsia" w:ascii="仿宋" w:hAnsi="仿宋" w:eastAsia="仿宋" w:cs="仿宋"/>
                <w:color w:val="auto"/>
                <w:highlight w:val="none"/>
              </w:rPr>
              <w:t>其他违约责任</w:t>
            </w:r>
          </w:p>
        </w:tc>
        <w:tc>
          <w:tcPr>
            <w:tcW w:w="3034" w:type="pct"/>
            <w:tcBorders>
              <w:left w:val="single" w:color="auto" w:sz="2" w:space="0"/>
              <w:bottom w:val="single" w:color="auto" w:sz="2" w:space="0"/>
            </w:tcBorders>
            <w:vAlign w:val="center"/>
          </w:tcPr>
          <w:p w14:paraId="6C4AC529">
            <w:pPr>
              <w:pStyle w:val="20"/>
              <w:bidi w:val="0"/>
              <w:rPr>
                <w:rFonts w:hint="eastAsia" w:ascii="仿宋" w:hAnsi="仿宋" w:eastAsia="仿宋" w:cs="仿宋"/>
                <w:color w:val="auto"/>
                <w:highlight w:val="none"/>
              </w:rPr>
            </w:pPr>
          </w:p>
        </w:tc>
      </w:tr>
      <w:tr w14:paraId="08CF79F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trPr>
        <w:tc>
          <w:tcPr>
            <w:tcW w:w="943" w:type="pct"/>
            <w:tcBorders>
              <w:top w:val="single" w:color="auto" w:sz="2" w:space="0"/>
              <w:right w:val="single" w:color="auto" w:sz="2" w:space="0"/>
            </w:tcBorders>
            <w:vAlign w:val="center"/>
          </w:tcPr>
          <w:p w14:paraId="7B10ACA0">
            <w:pPr>
              <w:pStyle w:val="20"/>
              <w:bidi w:val="0"/>
              <w:rPr>
                <w:rFonts w:hint="eastAsia" w:ascii="仿宋" w:hAnsi="仿宋" w:eastAsia="仿宋" w:cs="仿宋"/>
                <w:color w:val="auto"/>
                <w:highlight w:val="none"/>
              </w:rPr>
            </w:pPr>
            <w:r>
              <w:rPr>
                <w:rFonts w:hint="eastAsia" w:ascii="仿宋" w:hAnsi="仿宋" w:eastAsia="仿宋" w:cs="仿宋"/>
                <w:color w:val="auto"/>
                <w:highlight w:val="none"/>
              </w:rPr>
              <w:t>第二节</w:t>
            </w:r>
          </w:p>
          <w:p w14:paraId="49BB6EC2">
            <w:pPr>
              <w:pStyle w:val="20"/>
              <w:bidi w:val="0"/>
              <w:rPr>
                <w:rFonts w:hint="eastAsia" w:ascii="仿宋" w:hAnsi="仿宋" w:eastAsia="仿宋" w:cs="仿宋"/>
                <w:color w:val="auto"/>
                <w:highlight w:val="none"/>
              </w:rPr>
            </w:pPr>
            <w:r>
              <w:rPr>
                <w:rFonts w:hint="eastAsia" w:ascii="仿宋" w:hAnsi="仿宋" w:eastAsia="仿宋" w:cs="仿宋"/>
                <w:color w:val="auto"/>
                <w:highlight w:val="none"/>
              </w:rPr>
              <w:t>第19.2款</w:t>
            </w:r>
          </w:p>
        </w:tc>
        <w:tc>
          <w:tcPr>
            <w:tcW w:w="1022" w:type="pct"/>
            <w:tcBorders>
              <w:top w:val="single" w:color="auto" w:sz="2" w:space="0"/>
              <w:left w:val="single" w:color="auto" w:sz="2" w:space="0"/>
              <w:right w:val="single" w:color="auto" w:sz="2" w:space="0"/>
            </w:tcBorders>
            <w:vAlign w:val="center"/>
          </w:tcPr>
          <w:p w14:paraId="3694F366">
            <w:pPr>
              <w:pStyle w:val="20"/>
              <w:bidi w:val="0"/>
              <w:rPr>
                <w:rFonts w:hint="eastAsia" w:ascii="仿宋" w:hAnsi="仿宋" w:eastAsia="仿宋" w:cs="仿宋"/>
                <w:color w:val="auto"/>
                <w:highlight w:val="none"/>
              </w:rPr>
            </w:pPr>
            <w:r>
              <w:rPr>
                <w:rFonts w:hint="eastAsia" w:ascii="仿宋" w:hAnsi="仿宋" w:eastAsia="仿宋" w:cs="仿宋"/>
                <w:color w:val="auto"/>
                <w:highlight w:val="none"/>
              </w:rPr>
              <w:t>解决争议的方法</w:t>
            </w:r>
          </w:p>
        </w:tc>
        <w:tc>
          <w:tcPr>
            <w:tcW w:w="3034" w:type="pct"/>
            <w:tcBorders>
              <w:top w:val="single" w:color="auto" w:sz="2" w:space="0"/>
              <w:left w:val="single" w:color="auto" w:sz="2" w:space="0"/>
            </w:tcBorders>
            <w:vAlign w:val="center"/>
          </w:tcPr>
          <w:p w14:paraId="0B4A719D">
            <w:pPr>
              <w:pStyle w:val="20"/>
              <w:bidi w:val="0"/>
              <w:rPr>
                <w:rFonts w:hint="eastAsia" w:ascii="仿宋" w:hAnsi="仿宋" w:eastAsia="仿宋" w:cs="仿宋"/>
                <w:color w:val="auto"/>
                <w:highlight w:val="none"/>
              </w:rPr>
            </w:pPr>
            <w:r>
              <w:rPr>
                <w:rFonts w:hint="eastAsia" w:ascii="仿宋" w:hAnsi="仿宋" w:eastAsia="仿宋" w:cs="仿宋"/>
                <w:color w:val="auto"/>
                <w:highlight w:val="none"/>
              </w:rPr>
              <w:t>因本合同及合同有关事项发生的争议，按下列第   种方式解决：</w:t>
            </w:r>
          </w:p>
          <w:p w14:paraId="41F55A8B">
            <w:pPr>
              <w:pStyle w:val="20"/>
              <w:bidi w:val="0"/>
              <w:rPr>
                <w:rFonts w:hint="eastAsia" w:ascii="仿宋" w:hAnsi="仿宋" w:eastAsia="仿宋" w:cs="仿宋"/>
                <w:color w:val="auto"/>
                <w:highlight w:val="none"/>
              </w:rPr>
            </w:pPr>
            <w:r>
              <w:rPr>
                <w:rFonts w:hint="eastAsia" w:ascii="仿宋" w:hAnsi="仿宋" w:eastAsia="仿宋" w:cs="仿宋"/>
                <w:color w:val="auto"/>
                <w:highlight w:val="none"/>
              </w:rPr>
              <w:t>（1）向                    仲裁委员会申请仲裁，仲裁地点为           ；</w:t>
            </w:r>
          </w:p>
          <w:p w14:paraId="7C9F5D69">
            <w:pPr>
              <w:pStyle w:val="20"/>
              <w:bidi w:val="0"/>
              <w:rPr>
                <w:rFonts w:hint="eastAsia" w:ascii="仿宋" w:hAnsi="仿宋" w:eastAsia="仿宋" w:cs="仿宋"/>
                <w:color w:val="auto"/>
                <w:highlight w:val="none"/>
              </w:rPr>
            </w:pPr>
            <w:r>
              <w:rPr>
                <w:rFonts w:hint="eastAsia" w:ascii="仿宋" w:hAnsi="仿宋" w:eastAsia="仿宋" w:cs="仿宋"/>
                <w:color w:val="auto"/>
                <w:highlight w:val="none"/>
              </w:rPr>
              <w:t>（2）向                    人民法院起诉。</w:t>
            </w:r>
          </w:p>
        </w:tc>
      </w:tr>
      <w:tr w14:paraId="30CEE1F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70" w:hRule="atLeast"/>
        </w:trPr>
        <w:tc>
          <w:tcPr>
            <w:tcW w:w="943" w:type="pct"/>
            <w:vAlign w:val="center"/>
          </w:tcPr>
          <w:p w14:paraId="1A868CBD">
            <w:pPr>
              <w:pStyle w:val="20"/>
              <w:bidi w:val="0"/>
              <w:rPr>
                <w:rFonts w:hint="eastAsia" w:ascii="仿宋" w:hAnsi="仿宋" w:eastAsia="仿宋" w:cs="仿宋"/>
                <w:color w:val="auto"/>
                <w:highlight w:val="none"/>
              </w:rPr>
            </w:pPr>
            <w:r>
              <w:rPr>
                <w:rFonts w:hint="eastAsia" w:ascii="仿宋" w:hAnsi="仿宋" w:eastAsia="仿宋" w:cs="仿宋"/>
                <w:color w:val="auto"/>
                <w:highlight w:val="none"/>
              </w:rPr>
              <w:t>第二节</w:t>
            </w:r>
          </w:p>
          <w:p w14:paraId="36D1F53E">
            <w:pPr>
              <w:pStyle w:val="20"/>
              <w:bidi w:val="0"/>
              <w:rPr>
                <w:rFonts w:hint="eastAsia" w:ascii="仿宋" w:hAnsi="仿宋" w:eastAsia="仿宋" w:cs="仿宋"/>
                <w:color w:val="auto"/>
                <w:highlight w:val="none"/>
              </w:rPr>
            </w:pPr>
            <w:r>
              <w:rPr>
                <w:rFonts w:hint="eastAsia" w:ascii="仿宋" w:hAnsi="仿宋" w:eastAsia="仿宋" w:cs="仿宋"/>
                <w:color w:val="auto"/>
                <w:highlight w:val="none"/>
              </w:rPr>
              <w:t>第23.1款</w:t>
            </w:r>
          </w:p>
        </w:tc>
        <w:tc>
          <w:tcPr>
            <w:tcW w:w="1022" w:type="pct"/>
            <w:vAlign w:val="center"/>
          </w:tcPr>
          <w:p w14:paraId="2FBA2969">
            <w:pPr>
              <w:pStyle w:val="20"/>
              <w:bidi w:val="0"/>
              <w:rPr>
                <w:rFonts w:hint="eastAsia" w:ascii="仿宋" w:hAnsi="仿宋" w:eastAsia="仿宋" w:cs="仿宋"/>
                <w:color w:val="auto"/>
                <w:highlight w:val="none"/>
              </w:rPr>
            </w:pPr>
            <w:r>
              <w:rPr>
                <w:rFonts w:hint="eastAsia" w:ascii="仿宋" w:hAnsi="仿宋" w:eastAsia="仿宋" w:cs="仿宋"/>
                <w:color w:val="auto"/>
                <w:highlight w:val="none"/>
              </w:rPr>
              <w:t>其他专用条款</w:t>
            </w:r>
          </w:p>
        </w:tc>
        <w:tc>
          <w:tcPr>
            <w:tcW w:w="3034" w:type="pct"/>
            <w:vAlign w:val="center"/>
          </w:tcPr>
          <w:p w14:paraId="13D36B7A">
            <w:pPr>
              <w:pStyle w:val="20"/>
              <w:bidi w:val="0"/>
              <w:rPr>
                <w:rFonts w:hint="eastAsia" w:ascii="仿宋" w:hAnsi="仿宋" w:eastAsia="仿宋" w:cs="仿宋"/>
                <w:color w:val="auto"/>
                <w:highlight w:val="none"/>
              </w:rPr>
            </w:pPr>
          </w:p>
        </w:tc>
      </w:tr>
    </w:tbl>
    <w:p w14:paraId="0837F679">
      <w:pPr>
        <w:bidi w:val="0"/>
        <w:rPr>
          <w:rFonts w:hint="eastAsia" w:ascii="仿宋" w:hAnsi="仿宋" w:eastAsia="仿宋" w:cs="仿宋"/>
          <w:color w:val="auto"/>
          <w:highlight w:val="none"/>
        </w:rPr>
      </w:pPr>
    </w:p>
    <w:p w14:paraId="4C68DC91">
      <w:pPr>
        <w:ind w:firstLine="560"/>
        <w:rPr>
          <w:rFonts w:hint="eastAsia" w:ascii="仿宋" w:hAnsi="仿宋" w:eastAsia="仿宋" w:cs="仿宋"/>
          <w:color w:val="auto"/>
          <w:highlight w:val="none"/>
        </w:rPr>
      </w:pPr>
      <w:r>
        <w:rPr>
          <w:rFonts w:hint="eastAsia" w:ascii="仿宋" w:hAnsi="仿宋" w:eastAsia="仿宋" w:cs="仿宋"/>
          <w:color w:val="auto"/>
          <w:highlight w:val="none"/>
        </w:rPr>
        <w:br w:type="page"/>
      </w:r>
    </w:p>
    <w:p w14:paraId="721CB8BD">
      <w:pPr>
        <w:pStyle w:val="2"/>
        <w:wordWrap/>
        <w:adjustRightInd/>
        <w:snapToGrid/>
        <w:spacing w:before="120" w:after="120" w:line="360" w:lineRule="auto"/>
        <w:rPr>
          <w:rFonts w:hint="eastAsia" w:ascii="仿宋" w:hAnsi="仿宋" w:eastAsia="仿宋" w:cs="仿宋"/>
          <w:color w:val="auto"/>
          <w:highlight w:val="none"/>
        </w:rPr>
      </w:pPr>
      <w:bookmarkStart w:id="536" w:name="_Toc6062"/>
      <w:bookmarkStart w:id="537" w:name="_Toc18662"/>
      <w:bookmarkStart w:id="538" w:name="_Toc14561"/>
      <w:r>
        <w:rPr>
          <w:rFonts w:hint="eastAsia" w:ascii="仿宋" w:hAnsi="仿宋" w:eastAsia="仿宋" w:cs="仿宋"/>
          <w:color w:val="auto"/>
          <w:highlight w:val="none"/>
        </w:rPr>
        <w:t>第七章 投标文件的格式</w:t>
      </w:r>
      <w:bookmarkEnd w:id="536"/>
    </w:p>
    <w:p w14:paraId="50BF3838">
      <w:pPr>
        <w:ind w:firstLine="0" w:firstLineChars="0"/>
        <w:rPr>
          <w:rFonts w:hint="eastAsia" w:ascii="仿宋" w:hAnsi="仿宋" w:eastAsia="仿宋" w:cs="仿宋"/>
          <w:b/>
          <w:bCs/>
          <w:color w:val="auto"/>
          <w:highlight w:val="none"/>
        </w:rPr>
      </w:pPr>
      <w:r>
        <w:rPr>
          <w:rFonts w:hint="eastAsia" w:ascii="仿宋" w:hAnsi="仿宋" w:eastAsia="仿宋" w:cs="仿宋"/>
          <w:b/>
          <w:bCs/>
          <w:color w:val="auto"/>
          <w:highlight w:val="none"/>
          <w:lang w:eastAsia="zh-CN"/>
        </w:rPr>
        <w:t>投标人</w:t>
      </w:r>
      <w:r>
        <w:rPr>
          <w:rFonts w:hint="eastAsia" w:ascii="仿宋" w:hAnsi="仿宋" w:eastAsia="仿宋" w:cs="仿宋"/>
          <w:b/>
          <w:bCs/>
          <w:color w:val="auto"/>
          <w:highlight w:val="none"/>
        </w:rPr>
        <w:t>编制文件须知</w:t>
      </w:r>
    </w:p>
    <w:p w14:paraId="5BAACCD4">
      <w:pPr>
        <w:ind w:firstLine="560"/>
        <w:rPr>
          <w:rFonts w:hint="eastAsia" w:ascii="仿宋" w:hAnsi="仿宋" w:eastAsia="仿宋" w:cs="仿宋"/>
          <w:color w:val="auto"/>
          <w:highlight w:val="none"/>
        </w:rPr>
      </w:pPr>
      <w:r>
        <w:rPr>
          <w:rFonts w:hint="eastAsia" w:ascii="仿宋" w:hAnsi="仿宋" w:eastAsia="仿宋" w:cs="仿宋"/>
          <w:color w:val="auto"/>
          <w:highlight w:val="none"/>
        </w:rPr>
        <w:t>1、</w:t>
      </w:r>
      <w:r>
        <w:rPr>
          <w:rFonts w:hint="eastAsia" w:ascii="仿宋" w:hAnsi="仿宋" w:eastAsia="仿宋" w:cs="仿宋"/>
          <w:color w:val="auto"/>
          <w:highlight w:val="none"/>
          <w:lang w:eastAsia="zh-CN"/>
        </w:rPr>
        <w:t>投标人</w:t>
      </w:r>
      <w:r>
        <w:rPr>
          <w:rFonts w:hint="eastAsia" w:ascii="仿宋" w:hAnsi="仿宋" w:eastAsia="仿宋" w:cs="仿宋"/>
          <w:color w:val="auto"/>
          <w:highlight w:val="none"/>
        </w:rPr>
        <w:t>按照本部分编制投标文件（资格文件）、投标文件（商务报价文件）、投标文件（技术文件），并按照“政采云”平台的要求编制、加密后在投标截止时间前通过网络上传至“政采云”平台，编制中涉及格式资料的，应按照本部分提供的内容和格式（所有表格的格式可扩展）填写提交。</w:t>
      </w:r>
    </w:p>
    <w:p w14:paraId="04FEF940">
      <w:pPr>
        <w:ind w:firstLine="560"/>
        <w:rPr>
          <w:rFonts w:hint="eastAsia" w:ascii="仿宋" w:hAnsi="仿宋" w:eastAsia="仿宋" w:cs="仿宋"/>
          <w:color w:val="auto"/>
          <w:highlight w:val="none"/>
        </w:rPr>
      </w:pPr>
      <w:r>
        <w:rPr>
          <w:rFonts w:hint="eastAsia" w:ascii="仿宋" w:hAnsi="仿宋" w:eastAsia="仿宋" w:cs="仿宋"/>
          <w:color w:val="auto"/>
          <w:highlight w:val="none"/>
        </w:rPr>
        <w:t>2、对于</w:t>
      </w:r>
      <w:r>
        <w:rPr>
          <w:rFonts w:hint="eastAsia" w:ascii="仿宋" w:hAnsi="仿宋" w:eastAsia="仿宋" w:cs="仿宋"/>
          <w:color w:val="auto"/>
          <w:highlight w:val="none"/>
          <w:lang w:eastAsia="zh-CN"/>
        </w:rPr>
        <w:t>招标文件</w:t>
      </w:r>
      <w:r>
        <w:rPr>
          <w:rFonts w:hint="eastAsia" w:ascii="仿宋" w:hAnsi="仿宋" w:eastAsia="仿宋" w:cs="仿宋"/>
          <w:color w:val="auto"/>
          <w:highlight w:val="none"/>
        </w:rPr>
        <w:t>中标记了“实质性格式”文件的，</w:t>
      </w:r>
      <w:r>
        <w:rPr>
          <w:rFonts w:hint="eastAsia" w:ascii="仿宋" w:hAnsi="仿宋" w:eastAsia="仿宋" w:cs="仿宋"/>
          <w:color w:val="auto"/>
          <w:highlight w:val="none"/>
          <w:lang w:eastAsia="zh-CN"/>
        </w:rPr>
        <w:t>投标人</w:t>
      </w:r>
      <w:r>
        <w:rPr>
          <w:rFonts w:hint="eastAsia" w:ascii="仿宋" w:hAnsi="仿宋" w:eastAsia="仿宋" w:cs="仿宋"/>
          <w:color w:val="auto"/>
          <w:highlight w:val="none"/>
        </w:rPr>
        <w:t>不得改变格式中给定的文字所表达的含义，不得删减格式中的实质性内容，不得自行添加与格式中给定的文字内容相矛盾的内容，不得对应当填写的空格不填写或不实质性响应，</w:t>
      </w:r>
      <w:r>
        <w:rPr>
          <w:rFonts w:hint="eastAsia" w:ascii="仿宋" w:hAnsi="仿宋" w:eastAsia="仿宋" w:cs="仿宋"/>
          <w:b/>
          <w:bCs/>
          <w:color w:val="auto"/>
          <w:highlight w:val="none"/>
        </w:rPr>
        <w:t>否则投标无效</w:t>
      </w:r>
      <w:r>
        <w:rPr>
          <w:rFonts w:hint="eastAsia" w:ascii="仿宋" w:hAnsi="仿宋" w:eastAsia="仿宋" w:cs="仿宋"/>
          <w:color w:val="auto"/>
          <w:highlight w:val="none"/>
        </w:rPr>
        <w:t>。未标记“实质性格式”的文件和</w:t>
      </w:r>
      <w:r>
        <w:rPr>
          <w:rFonts w:hint="eastAsia" w:ascii="仿宋" w:hAnsi="仿宋" w:eastAsia="仿宋" w:cs="仿宋"/>
          <w:color w:val="auto"/>
          <w:highlight w:val="none"/>
          <w:lang w:eastAsia="zh-CN"/>
        </w:rPr>
        <w:t>招标文件</w:t>
      </w:r>
      <w:r>
        <w:rPr>
          <w:rFonts w:hint="eastAsia" w:ascii="仿宋" w:hAnsi="仿宋" w:eastAsia="仿宋" w:cs="仿宋"/>
          <w:color w:val="auto"/>
          <w:highlight w:val="none"/>
        </w:rPr>
        <w:t>未提供格式的内容，可由</w:t>
      </w:r>
      <w:r>
        <w:rPr>
          <w:rFonts w:hint="eastAsia" w:ascii="仿宋" w:hAnsi="仿宋" w:eastAsia="仿宋" w:cs="仿宋"/>
          <w:color w:val="auto"/>
          <w:highlight w:val="none"/>
          <w:lang w:eastAsia="zh-CN"/>
        </w:rPr>
        <w:t>投标人</w:t>
      </w:r>
      <w:r>
        <w:rPr>
          <w:rFonts w:hint="eastAsia" w:ascii="仿宋" w:hAnsi="仿宋" w:eastAsia="仿宋" w:cs="仿宋"/>
          <w:color w:val="auto"/>
          <w:highlight w:val="none"/>
        </w:rPr>
        <w:t>自行编写。</w:t>
      </w:r>
    </w:p>
    <w:p w14:paraId="1FB3CF12">
      <w:pPr>
        <w:ind w:firstLine="560"/>
        <w:rPr>
          <w:rFonts w:hint="eastAsia" w:ascii="仿宋" w:hAnsi="仿宋" w:eastAsia="仿宋" w:cs="仿宋"/>
          <w:color w:val="auto"/>
          <w:highlight w:val="none"/>
          <w:lang w:val="en-US" w:eastAsia="zh-CN"/>
        </w:rPr>
      </w:pPr>
      <w:r>
        <w:rPr>
          <w:rFonts w:hint="eastAsia" w:ascii="仿宋" w:hAnsi="仿宋" w:eastAsia="仿宋" w:cs="仿宋"/>
          <w:color w:val="auto"/>
          <w:highlight w:val="none"/>
        </w:rPr>
        <w:t>3、全部声明（承诺）和问题的回答及所附材料必须是真实的、准确的和完整的</w:t>
      </w:r>
      <w:r>
        <w:rPr>
          <w:rFonts w:hint="eastAsia" w:ascii="仿宋" w:hAnsi="仿宋" w:eastAsia="仿宋" w:cs="仿宋"/>
          <w:color w:val="auto"/>
          <w:highlight w:val="none"/>
          <w:lang w:val="en-US" w:eastAsia="zh-CN"/>
        </w:rPr>
        <w:t>。</w:t>
      </w:r>
    </w:p>
    <w:p w14:paraId="6C8DA257">
      <w:pPr>
        <w:pStyle w:val="47"/>
        <w:ind w:firstLine="560"/>
        <w:rPr>
          <w:rFonts w:hint="eastAsia" w:ascii="仿宋" w:hAnsi="仿宋" w:eastAsia="仿宋" w:cs="仿宋"/>
          <w:color w:val="auto"/>
          <w:highlight w:val="none"/>
        </w:rPr>
      </w:pPr>
      <w:r>
        <w:rPr>
          <w:rFonts w:hint="eastAsia" w:ascii="仿宋" w:hAnsi="仿宋" w:eastAsia="仿宋" w:cs="仿宋"/>
          <w:color w:val="auto"/>
          <w:highlight w:val="none"/>
        </w:rPr>
        <w:br w:type="page"/>
      </w:r>
    </w:p>
    <w:p w14:paraId="7AD26921">
      <w:pPr>
        <w:pStyle w:val="3"/>
        <w:spacing w:before="93" w:after="93"/>
        <w:ind w:firstLine="0" w:firstLineChars="0"/>
        <w:jc w:val="center"/>
        <w:rPr>
          <w:rFonts w:hint="eastAsia" w:ascii="仿宋" w:hAnsi="仿宋" w:eastAsia="仿宋" w:cs="仿宋"/>
          <w:color w:val="auto"/>
          <w:highlight w:val="none"/>
        </w:rPr>
      </w:pPr>
      <w:bookmarkStart w:id="539" w:name="_Toc1254"/>
      <w:bookmarkStart w:id="540" w:name="_Toc27789"/>
      <w:r>
        <w:rPr>
          <w:rFonts w:hint="eastAsia" w:ascii="仿宋" w:hAnsi="仿宋" w:eastAsia="仿宋" w:cs="仿宋"/>
          <w:color w:val="auto"/>
          <w:highlight w:val="none"/>
        </w:rPr>
        <w:t>资格文件</w:t>
      </w:r>
      <w:bookmarkEnd w:id="539"/>
      <w:bookmarkEnd w:id="540"/>
    </w:p>
    <w:p w14:paraId="6E6771D4">
      <w:pPr>
        <w:pStyle w:val="4"/>
        <w:spacing w:before="78" w:line="220" w:lineRule="auto"/>
        <w:ind w:firstLine="0" w:firstLineChars="0"/>
        <w:jc w:val="both"/>
        <w:rPr>
          <w:rFonts w:hint="eastAsia" w:ascii="仿宋" w:hAnsi="仿宋" w:eastAsia="仿宋" w:cs="仿宋"/>
          <w:b/>
          <w:bCs/>
          <w:color w:val="auto"/>
          <w:sz w:val="24"/>
          <w:szCs w:val="24"/>
          <w:highlight w:val="none"/>
          <w:lang w:val="en-US" w:eastAsia="zh-CN"/>
        </w:rPr>
      </w:pPr>
      <w:bookmarkStart w:id="541" w:name="_Toc16648"/>
      <w:bookmarkStart w:id="542" w:name="_Toc1778"/>
      <w:r>
        <w:rPr>
          <w:rFonts w:hint="eastAsia" w:ascii="仿宋" w:hAnsi="仿宋" w:eastAsia="仿宋" w:cs="仿宋"/>
          <w:b/>
          <w:bCs/>
          <w:color w:val="auto"/>
          <w:spacing w:val="-1"/>
          <w:sz w:val="24"/>
          <w:szCs w:val="24"/>
          <w:highlight w:val="none"/>
        </w:rPr>
        <w:t>投</w:t>
      </w:r>
      <w:r>
        <w:rPr>
          <w:rFonts w:hint="eastAsia" w:ascii="仿宋" w:hAnsi="仿宋" w:eastAsia="仿宋" w:cs="仿宋"/>
          <w:b/>
          <w:bCs/>
          <w:color w:val="auto"/>
          <w:spacing w:val="-68"/>
          <w:sz w:val="24"/>
          <w:szCs w:val="24"/>
          <w:highlight w:val="none"/>
        </w:rPr>
        <w:t xml:space="preserve"> </w:t>
      </w:r>
      <w:r>
        <w:rPr>
          <w:rFonts w:hint="eastAsia" w:ascii="仿宋" w:hAnsi="仿宋" w:eastAsia="仿宋" w:cs="仿宋"/>
          <w:b/>
          <w:bCs/>
          <w:color w:val="auto"/>
          <w:spacing w:val="-1"/>
          <w:sz w:val="24"/>
          <w:szCs w:val="24"/>
          <w:highlight w:val="none"/>
        </w:rPr>
        <w:t>标</w:t>
      </w:r>
      <w:r>
        <w:rPr>
          <w:rFonts w:hint="eastAsia" w:ascii="仿宋" w:hAnsi="仿宋" w:eastAsia="仿宋" w:cs="仿宋"/>
          <w:b/>
          <w:bCs/>
          <w:color w:val="auto"/>
          <w:spacing w:val="-68"/>
          <w:sz w:val="24"/>
          <w:szCs w:val="24"/>
          <w:highlight w:val="none"/>
        </w:rPr>
        <w:t xml:space="preserve"> </w:t>
      </w:r>
      <w:r>
        <w:rPr>
          <w:rFonts w:hint="eastAsia" w:ascii="仿宋" w:hAnsi="仿宋" w:eastAsia="仿宋" w:cs="仿宋"/>
          <w:b/>
          <w:bCs/>
          <w:color w:val="auto"/>
          <w:spacing w:val="-1"/>
          <w:sz w:val="24"/>
          <w:szCs w:val="24"/>
          <w:highlight w:val="none"/>
        </w:rPr>
        <w:t>文</w:t>
      </w:r>
      <w:r>
        <w:rPr>
          <w:rFonts w:hint="eastAsia" w:ascii="仿宋" w:hAnsi="仿宋" w:eastAsia="仿宋" w:cs="仿宋"/>
          <w:b/>
          <w:bCs/>
          <w:color w:val="auto"/>
          <w:spacing w:val="-71"/>
          <w:sz w:val="24"/>
          <w:szCs w:val="24"/>
          <w:highlight w:val="none"/>
        </w:rPr>
        <w:t xml:space="preserve"> </w:t>
      </w:r>
      <w:r>
        <w:rPr>
          <w:rFonts w:hint="eastAsia" w:ascii="仿宋" w:hAnsi="仿宋" w:eastAsia="仿宋" w:cs="仿宋"/>
          <w:b/>
          <w:bCs/>
          <w:color w:val="auto"/>
          <w:spacing w:val="-1"/>
          <w:sz w:val="24"/>
          <w:szCs w:val="24"/>
          <w:highlight w:val="none"/>
        </w:rPr>
        <w:t>件（资格文件</w:t>
      </w:r>
      <w:r>
        <w:rPr>
          <w:rFonts w:hint="eastAsia" w:ascii="仿宋" w:hAnsi="仿宋" w:eastAsia="仿宋" w:cs="仿宋"/>
          <w:b/>
          <w:bCs/>
          <w:color w:val="auto"/>
          <w:spacing w:val="-44"/>
          <w:sz w:val="24"/>
          <w:szCs w:val="24"/>
          <w:highlight w:val="none"/>
        </w:rPr>
        <w:t xml:space="preserve"> </w:t>
      </w:r>
      <w:r>
        <w:rPr>
          <w:rFonts w:hint="eastAsia" w:ascii="仿宋" w:hAnsi="仿宋" w:eastAsia="仿宋" w:cs="仿宋"/>
          <w:b/>
          <w:bCs/>
          <w:color w:val="auto"/>
          <w:spacing w:val="-1"/>
          <w:sz w:val="24"/>
          <w:szCs w:val="24"/>
          <w:highlight w:val="none"/>
        </w:rPr>
        <w:t>）封面</w:t>
      </w:r>
      <w:r>
        <w:rPr>
          <w:rFonts w:hint="eastAsia" w:ascii="仿宋" w:hAnsi="仿宋" w:eastAsia="仿宋" w:cs="仿宋"/>
          <w:b/>
          <w:bCs/>
          <w:color w:val="auto"/>
          <w:spacing w:val="-1"/>
          <w:sz w:val="24"/>
          <w:szCs w:val="24"/>
          <w:highlight w:val="none"/>
          <w:lang w:val="en-US" w:eastAsia="zh-CN"/>
        </w:rPr>
        <w:t>格式</w:t>
      </w:r>
    </w:p>
    <w:p w14:paraId="6B7F6F7A">
      <w:pPr>
        <w:ind w:firstLine="0" w:firstLineChars="0"/>
        <w:jc w:val="center"/>
        <w:rPr>
          <w:rFonts w:hint="eastAsia" w:ascii="仿宋" w:hAnsi="仿宋" w:eastAsia="仿宋" w:cs="仿宋"/>
          <w:b/>
          <w:bCs/>
          <w:color w:val="auto"/>
          <w:sz w:val="32"/>
          <w:szCs w:val="32"/>
          <w:highlight w:val="none"/>
        </w:rPr>
      </w:pPr>
    </w:p>
    <w:p w14:paraId="67DE2840">
      <w:pPr>
        <w:ind w:left="0" w:leftChars="0" w:firstLine="0" w:firstLineChars="0"/>
        <w:jc w:val="center"/>
        <w:rPr>
          <w:rFonts w:hint="eastAsia" w:ascii="仿宋" w:hAnsi="仿宋" w:eastAsia="仿宋" w:cs="仿宋"/>
          <w:b/>
          <w:bCs/>
          <w:color w:val="auto"/>
          <w:sz w:val="36"/>
          <w:szCs w:val="36"/>
          <w:highlight w:val="none"/>
          <w:lang w:eastAsia="zh-CN"/>
        </w:rPr>
      </w:pPr>
      <w:r>
        <w:rPr>
          <w:rFonts w:hint="eastAsia" w:cs="仿宋"/>
          <w:b/>
          <w:bCs/>
          <w:color w:val="auto"/>
          <w:sz w:val="44"/>
          <w:szCs w:val="44"/>
          <w:highlight w:val="none"/>
          <w:lang w:eastAsia="zh-CN"/>
        </w:rPr>
        <w:t>云南轻纺职业学院人工智能学院云计算技术应用实训室及智慧教室建设项目</w:t>
      </w:r>
      <w:r>
        <w:rPr>
          <w:rFonts w:hint="eastAsia" w:cs="仿宋"/>
          <w:b/>
          <w:bCs/>
          <w:color w:val="auto"/>
          <w:sz w:val="44"/>
          <w:szCs w:val="44"/>
          <w:highlight w:val="none"/>
          <w:lang w:eastAsia="zh-CN"/>
        </w:rPr>
        <w:t>（</w:t>
      </w:r>
      <w:r>
        <w:rPr>
          <w:rFonts w:hint="eastAsia" w:cs="仿宋"/>
          <w:b/>
          <w:bCs/>
          <w:color w:val="auto"/>
          <w:sz w:val="44"/>
          <w:szCs w:val="44"/>
          <w:highlight w:val="none"/>
          <w:lang w:val="en-US" w:eastAsia="zh-CN"/>
        </w:rPr>
        <w:t>二次</w:t>
      </w:r>
      <w:r>
        <w:rPr>
          <w:rFonts w:hint="eastAsia" w:cs="仿宋"/>
          <w:b/>
          <w:bCs/>
          <w:color w:val="auto"/>
          <w:sz w:val="44"/>
          <w:szCs w:val="44"/>
          <w:highlight w:val="none"/>
          <w:lang w:eastAsia="zh-CN"/>
        </w:rPr>
        <w:t>）</w:t>
      </w:r>
    </w:p>
    <w:p w14:paraId="015C9DEA">
      <w:pPr>
        <w:bidi w:val="0"/>
        <w:rPr>
          <w:rFonts w:hint="eastAsia" w:ascii="仿宋" w:hAnsi="仿宋" w:eastAsia="仿宋" w:cs="仿宋"/>
          <w:color w:val="auto"/>
          <w:highlight w:val="none"/>
          <w:lang w:eastAsia="zh-CN"/>
        </w:rPr>
      </w:pPr>
    </w:p>
    <w:p w14:paraId="24ABC0F6">
      <w:pPr>
        <w:bidi w:val="0"/>
        <w:rPr>
          <w:rFonts w:hint="eastAsia" w:ascii="仿宋" w:hAnsi="仿宋" w:eastAsia="仿宋" w:cs="仿宋"/>
          <w:color w:val="auto"/>
          <w:highlight w:val="none"/>
        </w:rPr>
      </w:pPr>
    </w:p>
    <w:p w14:paraId="0E190EB6">
      <w:pPr>
        <w:bidi w:val="0"/>
        <w:rPr>
          <w:rFonts w:hint="eastAsia" w:ascii="仿宋" w:hAnsi="仿宋" w:eastAsia="仿宋" w:cs="仿宋"/>
          <w:color w:val="auto"/>
          <w:highlight w:val="none"/>
        </w:rPr>
      </w:pPr>
    </w:p>
    <w:p w14:paraId="1B295CB7">
      <w:pPr>
        <w:pStyle w:val="20"/>
        <w:rPr>
          <w:rFonts w:hint="eastAsia" w:ascii="仿宋" w:hAnsi="仿宋" w:eastAsia="仿宋" w:cs="仿宋"/>
          <w:b/>
          <w:color w:val="auto"/>
          <w:sz w:val="72"/>
          <w:szCs w:val="72"/>
          <w:highlight w:val="none"/>
        </w:rPr>
      </w:pPr>
      <w:r>
        <w:rPr>
          <w:rFonts w:hint="eastAsia" w:ascii="仿宋" w:hAnsi="仿宋" w:eastAsia="仿宋" w:cs="仿宋"/>
          <w:b/>
          <w:color w:val="auto"/>
          <w:sz w:val="96"/>
          <w:szCs w:val="96"/>
          <w:highlight w:val="none"/>
        </w:rPr>
        <w:t>投标文件</w:t>
      </w:r>
    </w:p>
    <w:p w14:paraId="147F8D12">
      <w:pPr>
        <w:pStyle w:val="33"/>
        <w:ind w:left="0" w:leftChars="0" w:firstLine="0" w:firstLineChars="0"/>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（资格文件）</w:t>
      </w:r>
    </w:p>
    <w:p w14:paraId="16715A5E">
      <w:pPr>
        <w:pStyle w:val="33"/>
        <w:ind w:left="0" w:leftChars="0" w:firstLine="0" w:firstLineChars="0"/>
        <w:jc w:val="center"/>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项目编号：</w:t>
      </w:r>
      <w:r>
        <w:rPr>
          <w:rFonts w:hint="eastAsia" w:ascii="仿宋" w:eastAsia="仿宋" w:cs="仿宋"/>
          <w:color w:val="auto"/>
          <w:sz w:val="28"/>
          <w:szCs w:val="28"/>
          <w:highlight w:val="none"/>
          <w:lang w:eastAsia="zh-CN"/>
        </w:rPr>
        <w:t>云润招字 HW2026-120</w:t>
      </w:r>
    </w:p>
    <w:p w14:paraId="498D3D8B">
      <w:pPr>
        <w:bidi w:val="0"/>
        <w:rPr>
          <w:rFonts w:hint="eastAsia" w:ascii="仿宋" w:hAnsi="仿宋" w:eastAsia="仿宋" w:cs="仿宋"/>
          <w:color w:val="auto"/>
          <w:highlight w:val="none"/>
        </w:rPr>
      </w:pPr>
    </w:p>
    <w:p w14:paraId="7560B457">
      <w:pPr>
        <w:bidi w:val="0"/>
        <w:rPr>
          <w:rFonts w:hint="eastAsia" w:ascii="仿宋" w:hAnsi="仿宋" w:eastAsia="仿宋" w:cs="仿宋"/>
          <w:color w:val="auto"/>
          <w:highlight w:val="none"/>
        </w:rPr>
      </w:pPr>
    </w:p>
    <w:p w14:paraId="1DABE935">
      <w:pPr>
        <w:bidi w:val="0"/>
        <w:rPr>
          <w:rFonts w:hint="eastAsia" w:ascii="仿宋" w:hAnsi="仿宋" w:eastAsia="仿宋" w:cs="仿宋"/>
          <w:color w:val="auto"/>
          <w:highlight w:val="none"/>
        </w:rPr>
      </w:pPr>
    </w:p>
    <w:p w14:paraId="30A34397">
      <w:pPr>
        <w:bidi w:val="0"/>
        <w:rPr>
          <w:rFonts w:hint="eastAsia" w:ascii="仿宋" w:hAnsi="仿宋" w:eastAsia="仿宋" w:cs="仿宋"/>
          <w:color w:val="auto"/>
          <w:highlight w:val="none"/>
        </w:rPr>
      </w:pPr>
    </w:p>
    <w:p w14:paraId="457EDBC8">
      <w:pPr>
        <w:ind w:firstLine="904" w:firstLineChars="300"/>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lang w:eastAsia="zh-CN"/>
        </w:rPr>
        <w:t>投标人</w:t>
      </w:r>
      <w:r>
        <w:rPr>
          <w:rFonts w:hint="eastAsia" w:ascii="仿宋" w:hAnsi="仿宋" w:eastAsia="仿宋" w:cs="仿宋"/>
          <w:b/>
          <w:bCs/>
          <w:color w:val="auto"/>
          <w:sz w:val="30"/>
          <w:szCs w:val="30"/>
          <w:highlight w:val="none"/>
        </w:rPr>
        <w:t>：</w:t>
      </w:r>
      <w:r>
        <w:rPr>
          <w:rFonts w:hint="eastAsia" w:ascii="仿宋" w:hAnsi="仿宋" w:eastAsia="仿宋" w:cs="仿宋"/>
          <w:b/>
          <w:bCs/>
          <w:color w:val="auto"/>
          <w:sz w:val="30"/>
          <w:szCs w:val="30"/>
          <w:highlight w:val="none"/>
          <w:u w:val="single"/>
        </w:rPr>
        <w:t xml:space="preserve">             </w:t>
      </w:r>
      <w:r>
        <w:rPr>
          <w:rFonts w:hint="eastAsia" w:ascii="仿宋" w:hAnsi="仿宋" w:eastAsia="仿宋" w:cs="仿宋"/>
          <w:b/>
          <w:bCs/>
          <w:color w:val="auto"/>
          <w:sz w:val="30"/>
          <w:szCs w:val="30"/>
          <w:highlight w:val="none"/>
        </w:rPr>
        <w:t>（电子签章）</w:t>
      </w:r>
    </w:p>
    <w:p w14:paraId="392A3607">
      <w:pPr>
        <w:ind w:firstLine="904" w:firstLineChars="300"/>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t>法定代表人或委托代理人：</w:t>
      </w:r>
      <w:r>
        <w:rPr>
          <w:rFonts w:hint="eastAsia" w:ascii="仿宋" w:hAnsi="仿宋" w:eastAsia="仿宋" w:cs="仿宋"/>
          <w:b/>
          <w:bCs/>
          <w:color w:val="auto"/>
          <w:sz w:val="30"/>
          <w:szCs w:val="30"/>
          <w:highlight w:val="none"/>
          <w:u w:val="single"/>
        </w:rPr>
        <w:t xml:space="preserve">          </w:t>
      </w:r>
      <w:r>
        <w:rPr>
          <w:rFonts w:hint="eastAsia" w:ascii="仿宋" w:hAnsi="仿宋" w:eastAsia="仿宋" w:cs="仿宋"/>
          <w:b/>
          <w:bCs/>
          <w:color w:val="auto"/>
          <w:sz w:val="30"/>
          <w:szCs w:val="30"/>
          <w:highlight w:val="none"/>
        </w:rPr>
        <w:t xml:space="preserve"> （电子签章或电子签名）</w:t>
      </w:r>
    </w:p>
    <w:p w14:paraId="42DAF4F7">
      <w:pPr>
        <w:ind w:firstLine="904" w:firstLineChars="300"/>
        <w:rPr>
          <w:rFonts w:hint="eastAsia" w:ascii="仿宋" w:hAnsi="仿宋" w:eastAsia="仿宋" w:cs="仿宋"/>
          <w:color w:val="auto"/>
          <w:highlight w:val="none"/>
        </w:rPr>
      </w:pPr>
      <w:r>
        <w:rPr>
          <w:rFonts w:hint="eastAsia" w:ascii="仿宋" w:hAnsi="仿宋" w:eastAsia="仿宋" w:cs="仿宋"/>
          <w:b/>
          <w:bCs/>
          <w:color w:val="auto"/>
          <w:sz w:val="30"/>
          <w:szCs w:val="30"/>
          <w:highlight w:val="none"/>
        </w:rPr>
        <w:t>日  期：</w:t>
      </w:r>
      <w:r>
        <w:rPr>
          <w:rFonts w:hint="eastAsia" w:ascii="仿宋" w:hAnsi="仿宋" w:eastAsia="仿宋" w:cs="仿宋"/>
          <w:b/>
          <w:bCs/>
          <w:color w:val="auto"/>
          <w:sz w:val="30"/>
          <w:szCs w:val="30"/>
          <w:highlight w:val="none"/>
          <w:u w:val="single"/>
        </w:rPr>
        <w:t xml:space="preserve">       </w:t>
      </w:r>
      <w:r>
        <w:rPr>
          <w:rFonts w:hint="eastAsia" w:ascii="仿宋" w:hAnsi="仿宋" w:eastAsia="仿宋" w:cs="仿宋"/>
          <w:b/>
          <w:bCs/>
          <w:color w:val="auto"/>
          <w:sz w:val="30"/>
          <w:szCs w:val="30"/>
          <w:highlight w:val="none"/>
        </w:rPr>
        <w:t>年</w:t>
      </w:r>
      <w:r>
        <w:rPr>
          <w:rFonts w:hint="eastAsia" w:ascii="仿宋" w:hAnsi="仿宋" w:eastAsia="仿宋" w:cs="仿宋"/>
          <w:b/>
          <w:bCs/>
          <w:color w:val="auto"/>
          <w:sz w:val="30"/>
          <w:szCs w:val="30"/>
          <w:highlight w:val="none"/>
          <w:u w:val="single"/>
        </w:rPr>
        <w:t xml:space="preserve">        </w:t>
      </w:r>
      <w:r>
        <w:rPr>
          <w:rFonts w:hint="eastAsia" w:ascii="仿宋" w:hAnsi="仿宋" w:eastAsia="仿宋" w:cs="仿宋"/>
          <w:b/>
          <w:bCs/>
          <w:color w:val="auto"/>
          <w:sz w:val="30"/>
          <w:szCs w:val="30"/>
          <w:highlight w:val="none"/>
        </w:rPr>
        <w:t xml:space="preserve">月 </w:t>
      </w:r>
      <w:r>
        <w:rPr>
          <w:rFonts w:hint="eastAsia" w:ascii="仿宋" w:hAnsi="仿宋" w:eastAsia="仿宋" w:cs="仿宋"/>
          <w:b/>
          <w:bCs/>
          <w:color w:val="auto"/>
          <w:sz w:val="30"/>
          <w:szCs w:val="30"/>
          <w:highlight w:val="none"/>
          <w:u w:val="single"/>
        </w:rPr>
        <w:t xml:space="preserve">      </w:t>
      </w:r>
      <w:r>
        <w:rPr>
          <w:rFonts w:hint="eastAsia" w:ascii="仿宋" w:hAnsi="仿宋" w:eastAsia="仿宋" w:cs="仿宋"/>
          <w:b/>
          <w:bCs/>
          <w:color w:val="auto"/>
          <w:sz w:val="30"/>
          <w:szCs w:val="30"/>
          <w:highlight w:val="none"/>
        </w:rPr>
        <w:t>日</w:t>
      </w:r>
      <w:r>
        <w:rPr>
          <w:rFonts w:hint="eastAsia" w:ascii="仿宋" w:hAnsi="仿宋" w:eastAsia="仿宋" w:cs="仿宋"/>
          <w:color w:val="auto"/>
          <w:highlight w:val="none"/>
        </w:rPr>
        <w:br w:type="page"/>
      </w:r>
    </w:p>
    <w:p w14:paraId="36F18617">
      <w:pPr>
        <w:pStyle w:val="5"/>
        <w:ind w:firstLine="0" w:firstLineChars="0"/>
        <w:rPr>
          <w:rFonts w:hint="eastAsia" w:ascii="仿宋" w:hAnsi="仿宋" w:eastAsia="仿宋" w:cs="仿宋"/>
          <w:color w:val="auto"/>
          <w:highlight w:val="none"/>
          <w:lang w:eastAsia="zh-CN"/>
        </w:rPr>
      </w:pPr>
      <w:bookmarkStart w:id="543" w:name="_Toc31687"/>
      <w:r>
        <w:rPr>
          <w:rFonts w:hint="eastAsia" w:ascii="仿宋" w:hAnsi="仿宋" w:eastAsia="仿宋" w:cs="仿宋"/>
          <w:color w:val="auto"/>
          <w:highlight w:val="none"/>
        </w:rPr>
        <w:t>格式1：满足《中华人民共和国政府采购法》第二十二条规定</w:t>
      </w:r>
      <w:bookmarkEnd w:id="541"/>
      <w:bookmarkEnd w:id="542"/>
      <w:bookmarkEnd w:id="543"/>
    </w:p>
    <w:p w14:paraId="4343868C">
      <w:pPr>
        <w:pStyle w:val="6"/>
        <w:ind w:firstLine="562"/>
        <w:rPr>
          <w:rFonts w:hint="eastAsia" w:ascii="仿宋" w:hAnsi="仿宋" w:eastAsia="仿宋" w:cs="仿宋"/>
          <w:color w:val="auto"/>
          <w:highlight w:val="none"/>
        </w:rPr>
      </w:pPr>
      <w:r>
        <w:rPr>
          <w:rFonts w:hint="eastAsia" w:ascii="仿宋" w:hAnsi="仿宋" w:eastAsia="仿宋" w:cs="仿宋"/>
          <w:color w:val="auto"/>
          <w:highlight w:val="none"/>
        </w:rPr>
        <w:t>格式1-1：</w:t>
      </w:r>
      <w:r>
        <w:rPr>
          <w:rFonts w:hint="eastAsia" w:ascii="仿宋" w:hAnsi="仿宋" w:eastAsia="仿宋" w:cs="仿宋"/>
          <w:color w:val="auto"/>
          <w:highlight w:val="none"/>
          <w:lang w:eastAsia="zh-CN"/>
        </w:rPr>
        <w:t>投标人</w:t>
      </w:r>
      <w:r>
        <w:rPr>
          <w:rFonts w:hint="eastAsia" w:ascii="仿宋" w:hAnsi="仿宋" w:eastAsia="仿宋" w:cs="仿宋"/>
          <w:color w:val="auto"/>
          <w:highlight w:val="none"/>
        </w:rPr>
        <w:t>必须是</w:t>
      </w:r>
      <w:r>
        <w:rPr>
          <w:rFonts w:hint="eastAsia" w:ascii="仿宋" w:hAnsi="仿宋" w:eastAsia="仿宋" w:cs="仿宋"/>
          <w:color w:val="auto"/>
          <w:highlight w:val="none"/>
          <w:lang w:val="en-US" w:eastAsia="zh-CN"/>
        </w:rPr>
        <w:t>具有独立承担民事责任能力的企业或事业单位或非企业机构或个体工商户或自然人</w:t>
      </w:r>
      <w:r>
        <w:rPr>
          <w:rFonts w:hint="eastAsia" w:ascii="仿宋" w:hAnsi="仿宋" w:eastAsia="仿宋" w:cs="仿宋"/>
          <w:color w:val="auto"/>
          <w:highlight w:val="none"/>
        </w:rPr>
        <w:t>：</w:t>
      </w:r>
    </w:p>
    <w:p w14:paraId="348C3FB3">
      <w:pPr>
        <w:ind w:firstLine="560"/>
        <w:jc w:val="both"/>
        <w:rPr>
          <w:rFonts w:hint="eastAsia" w:ascii="仿宋" w:hAnsi="仿宋" w:eastAsia="仿宋" w:cs="仿宋"/>
          <w:color w:val="auto"/>
          <w:highlight w:val="none"/>
        </w:rPr>
      </w:pPr>
      <w:r>
        <w:rPr>
          <w:rFonts w:hint="eastAsia" w:ascii="仿宋" w:hAnsi="仿宋" w:eastAsia="仿宋" w:cs="仿宋"/>
          <w:color w:val="auto"/>
          <w:highlight w:val="none"/>
        </w:rPr>
        <w:t>说明：此处</w:t>
      </w:r>
      <w:r>
        <w:rPr>
          <w:rFonts w:hint="eastAsia" w:ascii="仿宋" w:hAnsi="仿宋" w:eastAsia="仿宋" w:cs="仿宋"/>
          <w:color w:val="auto"/>
          <w:highlight w:val="none"/>
          <w:lang w:val="en-US" w:eastAsia="zh-CN"/>
        </w:rPr>
        <w:t>提供有效的营业执照或事业单位法人证书或执业许可证或登记证书或</w:t>
      </w:r>
      <w:r>
        <w:rPr>
          <w:rFonts w:hint="eastAsia" w:cs="仿宋"/>
          <w:color w:val="auto"/>
          <w:highlight w:val="none"/>
          <w:lang w:val="en-US" w:eastAsia="zh-CN"/>
        </w:rPr>
        <w:t>个体工商户营业执照或自然人身份</w:t>
      </w:r>
      <w:r>
        <w:rPr>
          <w:rFonts w:hint="eastAsia" w:ascii="仿宋" w:hAnsi="仿宋" w:eastAsia="仿宋" w:cs="仿宋"/>
          <w:color w:val="auto"/>
          <w:highlight w:val="none"/>
          <w:lang w:val="en-US" w:eastAsia="zh-CN"/>
        </w:rPr>
        <w:t>证明</w:t>
      </w:r>
      <w:r>
        <w:rPr>
          <w:rFonts w:hint="eastAsia" w:ascii="仿宋" w:hAnsi="仿宋" w:eastAsia="仿宋" w:cs="仿宋"/>
          <w:color w:val="auto"/>
          <w:highlight w:val="none"/>
        </w:rPr>
        <w:t>。</w:t>
      </w:r>
    </w:p>
    <w:p w14:paraId="5F4E0A3E">
      <w:pPr>
        <w:rPr>
          <w:rFonts w:hint="eastAsia" w:ascii="仿宋" w:hAnsi="仿宋" w:eastAsia="仿宋" w:cs="仿宋"/>
          <w:color w:val="auto"/>
          <w:highlight w:val="none"/>
        </w:rPr>
      </w:pPr>
      <w:r>
        <w:rPr>
          <w:rFonts w:hint="eastAsia" w:ascii="仿宋" w:hAnsi="仿宋" w:eastAsia="仿宋" w:cs="仿宋"/>
          <w:color w:val="auto"/>
          <w:highlight w:val="none"/>
        </w:rPr>
        <w:br w:type="page"/>
      </w:r>
    </w:p>
    <w:p w14:paraId="670FB8A0">
      <w:pPr>
        <w:pStyle w:val="6"/>
        <w:ind w:firstLine="562"/>
        <w:rPr>
          <w:rFonts w:hint="eastAsia" w:ascii="仿宋" w:hAnsi="仿宋" w:eastAsia="仿宋" w:cs="仿宋"/>
          <w:color w:val="auto"/>
          <w:highlight w:val="none"/>
        </w:rPr>
      </w:pPr>
      <w:r>
        <w:rPr>
          <w:rFonts w:hint="eastAsia" w:ascii="仿宋" w:hAnsi="仿宋" w:eastAsia="仿宋" w:cs="仿宋"/>
          <w:color w:val="auto"/>
          <w:highlight w:val="none"/>
        </w:rPr>
        <w:t>格式1-2：财务状况报告的相关材料：</w:t>
      </w:r>
    </w:p>
    <w:p w14:paraId="0BEB376B">
      <w:pPr>
        <w:keepNext w:val="0"/>
        <w:keepLines w:val="0"/>
        <w:pageBreakBefore w:val="0"/>
        <w:widowControl w:val="0"/>
        <w:kinsoku/>
        <w:wordWrap w:val="0"/>
        <w:overflowPunct/>
        <w:topLinePunct w:val="0"/>
        <w:autoSpaceDE/>
        <w:autoSpaceDN/>
        <w:bidi w:val="0"/>
        <w:adjustRightInd/>
        <w:snapToGrid/>
        <w:jc w:val="both"/>
        <w:textAlignment w:val="auto"/>
        <w:rPr>
          <w:rFonts w:hint="eastAsia" w:ascii="仿宋" w:hAnsi="仿宋" w:eastAsia="仿宋" w:cs="仿宋"/>
          <w:color w:val="auto"/>
          <w:highlight w:val="none"/>
          <w:lang w:val="en-US" w:eastAsia="zh-CN"/>
        </w:rPr>
      </w:pPr>
      <w:r>
        <w:rPr>
          <w:rFonts w:hint="eastAsia" w:ascii="仿宋" w:hAnsi="仿宋" w:eastAsia="仿宋" w:cs="仿宋"/>
          <w:color w:val="auto"/>
          <w:highlight w:val="none"/>
        </w:rPr>
        <w:t>说明：此处提供</w:t>
      </w:r>
      <w:r>
        <w:rPr>
          <w:rFonts w:hint="eastAsia" w:ascii="仿宋" w:hAnsi="仿宋" w:eastAsia="仿宋" w:cs="仿宋"/>
          <w:color w:val="auto"/>
          <w:highlight w:val="none"/>
          <w:lang w:val="en-US" w:eastAsia="zh-CN"/>
        </w:rPr>
        <w:t>以下材料（①或②或③之一）①2024年度或2025年度经审计的财务报告【执行企业会计准则的，应提供“四表一注”（资产负债表、利润表、现金流量表、所有者权益变动表及其附注）；执行小企业会计准则的，应提供“三表一注”（资产负债表、利润表、现金流量表及其附注）；审计报告应附注册会计师行业统一监管平台验证码】；成立时间不足1年的法人及其他组织，可提供自成立以来的财务报告或财务状况说明。②近三个月内基本开户银行出具的资信证明（投标人属于个体工商户、自然人的，提供近三个月内银行出具的资信证明）。③专业担保机构出具的投标担保函（但须同时提供专业担保机构经财政部门认可的证明文件）。</w:t>
      </w:r>
    </w:p>
    <w:p w14:paraId="0ED0E99A">
      <w:pPr>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br w:type="page"/>
      </w:r>
    </w:p>
    <w:p w14:paraId="6ACB3AE3">
      <w:pPr>
        <w:pStyle w:val="6"/>
        <w:ind w:firstLine="562"/>
        <w:rPr>
          <w:rFonts w:hint="eastAsia" w:ascii="仿宋" w:hAnsi="仿宋" w:eastAsia="仿宋" w:cs="仿宋"/>
          <w:color w:val="auto"/>
          <w:highlight w:val="none"/>
        </w:rPr>
      </w:pPr>
      <w:r>
        <w:rPr>
          <w:rFonts w:hint="eastAsia" w:ascii="仿宋" w:hAnsi="仿宋" w:eastAsia="仿宋" w:cs="仿宋"/>
          <w:color w:val="auto"/>
          <w:highlight w:val="none"/>
        </w:rPr>
        <w:t>格式1-3：具有履行合同所必需的设备和专业技术能力：</w:t>
      </w:r>
    </w:p>
    <w:p w14:paraId="1DF9873D">
      <w:pPr>
        <w:ind w:firstLine="560"/>
        <w:jc w:val="both"/>
        <w:rPr>
          <w:rFonts w:hint="eastAsia" w:ascii="仿宋" w:hAnsi="仿宋" w:eastAsia="仿宋" w:cs="仿宋"/>
          <w:color w:val="auto"/>
          <w:highlight w:val="none"/>
        </w:rPr>
      </w:pPr>
      <w:r>
        <w:rPr>
          <w:rFonts w:hint="eastAsia" w:ascii="仿宋" w:hAnsi="仿宋" w:eastAsia="仿宋" w:cs="仿宋"/>
          <w:color w:val="auto"/>
          <w:highlight w:val="none"/>
        </w:rPr>
        <w:t>说明：此处提供</w:t>
      </w:r>
      <w:r>
        <w:rPr>
          <w:rFonts w:hint="eastAsia" w:ascii="仿宋" w:hAnsi="仿宋" w:eastAsia="仿宋" w:cs="仿宋"/>
          <w:color w:val="auto"/>
          <w:highlight w:val="none"/>
          <w:lang w:eastAsia="zh-CN"/>
        </w:rPr>
        <w:t>书面声明</w:t>
      </w:r>
      <w:r>
        <w:rPr>
          <w:rFonts w:hint="eastAsia" w:ascii="仿宋" w:hAnsi="仿宋" w:eastAsia="仿宋" w:cs="仿宋"/>
          <w:color w:val="auto"/>
          <w:highlight w:val="none"/>
        </w:rPr>
        <w:t>。</w:t>
      </w:r>
    </w:p>
    <w:p w14:paraId="7E099CA9">
      <w:pPr>
        <w:ind w:left="0" w:leftChars="0" w:firstLine="0" w:firstLineChars="0"/>
        <w:jc w:val="center"/>
        <w:rPr>
          <w:rFonts w:hint="eastAsia" w:ascii="仿宋" w:hAnsi="仿宋" w:eastAsia="仿宋" w:cs="仿宋"/>
          <w:b/>
          <w:bCs/>
          <w:color w:val="auto"/>
          <w:highlight w:val="none"/>
        </w:rPr>
      </w:pPr>
      <w:r>
        <w:rPr>
          <w:rFonts w:hint="eastAsia" w:ascii="仿宋" w:hAnsi="仿宋" w:eastAsia="仿宋" w:cs="仿宋"/>
          <w:b/>
          <w:bCs/>
          <w:color w:val="auto"/>
          <w:kern w:val="2"/>
          <w:sz w:val="48"/>
          <w:szCs w:val="40"/>
          <w:highlight w:val="none"/>
          <w:lang w:val="en-US" w:eastAsia="zh-CN" w:bidi="ar-SA"/>
        </w:rPr>
        <w:t>书面声明</w:t>
      </w:r>
      <w:r>
        <w:rPr>
          <w:rFonts w:hint="eastAsia" w:ascii="仿宋" w:hAnsi="仿宋" w:eastAsia="仿宋" w:cs="仿宋"/>
          <w:b w:val="0"/>
          <w:bCs w:val="0"/>
          <w:color w:val="auto"/>
          <w:highlight w:val="none"/>
        </w:rPr>
        <w:t>（参考格式）</w:t>
      </w:r>
    </w:p>
    <w:p w14:paraId="510F686B">
      <w:pPr>
        <w:bidi w:val="0"/>
        <w:ind w:left="0" w:leftChars="0" w:firstLine="0" w:firstLineChars="0"/>
        <w:rPr>
          <w:rFonts w:hint="eastAsia" w:ascii="仿宋" w:hAnsi="仿宋" w:eastAsia="仿宋" w:cs="仿宋"/>
          <w:color w:val="auto"/>
          <w:highlight w:val="none"/>
          <w:u w:val="single"/>
          <w:lang w:val="en-US" w:eastAsia="zh-CN"/>
        </w:rPr>
      </w:pPr>
      <w:r>
        <w:rPr>
          <w:rFonts w:hint="eastAsia" w:ascii="仿宋" w:hAnsi="仿宋" w:eastAsia="仿宋" w:cs="仿宋"/>
          <w:color w:val="auto"/>
          <w:highlight w:val="none"/>
          <w:lang w:val="en-US" w:eastAsia="zh-CN"/>
        </w:rPr>
        <w:t>致：</w:t>
      </w:r>
      <w:r>
        <w:rPr>
          <w:rFonts w:hint="eastAsia" w:ascii="仿宋" w:hAnsi="仿宋" w:eastAsia="仿宋" w:cs="仿宋"/>
          <w:color w:val="auto"/>
          <w:highlight w:val="none"/>
          <w:u w:val="single"/>
          <w:lang w:val="en-US" w:eastAsia="zh-CN"/>
        </w:rPr>
        <w:t xml:space="preserve">          </w:t>
      </w:r>
      <w:r>
        <w:rPr>
          <w:rFonts w:hint="eastAsia" w:ascii="仿宋" w:hAnsi="仿宋" w:eastAsia="仿宋" w:cs="仿宋"/>
          <w:color w:val="auto"/>
          <w:highlight w:val="none"/>
          <w:u w:val="none"/>
          <w:lang w:val="en-US" w:eastAsia="zh-CN"/>
        </w:rPr>
        <w:t>（采购人名称）</w:t>
      </w:r>
    </w:p>
    <w:p w14:paraId="1F9B146B">
      <w:pPr>
        <w:bidi w:val="0"/>
        <w:rPr>
          <w:rFonts w:hint="eastAsia" w:ascii="仿宋" w:hAnsi="仿宋" w:eastAsia="仿宋" w:cs="仿宋"/>
          <w:color w:val="auto"/>
          <w:highlight w:val="none"/>
        </w:rPr>
      </w:pPr>
      <w:r>
        <w:rPr>
          <w:rFonts w:hint="eastAsia" w:ascii="仿宋" w:hAnsi="仿宋" w:eastAsia="仿宋" w:cs="仿宋"/>
          <w:color w:val="auto"/>
          <w:highlight w:val="none"/>
        </w:rPr>
        <w:t>本单位</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u w:val="none"/>
          <w:lang w:eastAsia="zh-CN"/>
        </w:rPr>
        <w:t>（</w:t>
      </w:r>
      <w:r>
        <w:rPr>
          <w:rFonts w:hint="eastAsia" w:ascii="仿宋" w:hAnsi="仿宋" w:eastAsia="仿宋" w:cs="仿宋"/>
          <w:color w:val="auto"/>
          <w:sz w:val="28"/>
          <w:szCs w:val="28"/>
          <w:highlight w:val="none"/>
          <w:lang w:eastAsia="zh-CN"/>
        </w:rPr>
        <w:t>投标人</w:t>
      </w:r>
      <w:r>
        <w:rPr>
          <w:rFonts w:hint="eastAsia" w:ascii="仿宋" w:hAnsi="仿宋" w:eastAsia="仿宋" w:cs="仿宋"/>
          <w:color w:val="auto"/>
          <w:sz w:val="28"/>
          <w:szCs w:val="28"/>
          <w:highlight w:val="none"/>
        </w:rPr>
        <w:t>名称</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highlight w:val="none"/>
        </w:rPr>
        <w:t>就</w:t>
      </w:r>
      <w:r>
        <w:rPr>
          <w:rFonts w:hint="eastAsia" w:ascii="仿宋" w:hAnsi="仿宋" w:eastAsia="仿宋" w:cs="仿宋"/>
          <w:color w:val="auto"/>
          <w:highlight w:val="none"/>
          <w:lang w:val="en-US" w:eastAsia="zh-CN"/>
        </w:rPr>
        <w:t>参加</w:t>
      </w:r>
      <w:r>
        <w:rPr>
          <w:rFonts w:hint="eastAsia" w:cs="仿宋"/>
          <w:b/>
          <w:bCs/>
          <w:color w:val="auto"/>
          <w:highlight w:val="none"/>
          <w:u w:val="single"/>
          <w:lang w:eastAsia="zh-CN"/>
        </w:rPr>
        <w:t>云南轻纺职业学院人工智能学院云计算技术应用实训室及智慧教室建设项目</w:t>
      </w:r>
      <w:r>
        <w:rPr>
          <w:rFonts w:hint="eastAsia" w:cs="仿宋"/>
          <w:b/>
          <w:bCs/>
          <w:color w:val="auto"/>
          <w:highlight w:val="none"/>
          <w:u w:val="single"/>
          <w:lang w:eastAsia="zh-CN"/>
        </w:rPr>
        <w:t>（</w:t>
      </w:r>
      <w:r>
        <w:rPr>
          <w:rFonts w:hint="eastAsia" w:cs="仿宋"/>
          <w:b/>
          <w:bCs/>
          <w:color w:val="auto"/>
          <w:highlight w:val="none"/>
          <w:u w:val="single"/>
          <w:lang w:val="en-US" w:eastAsia="zh-CN"/>
        </w:rPr>
        <w:t>二次</w:t>
      </w:r>
      <w:r>
        <w:rPr>
          <w:rFonts w:hint="eastAsia" w:cs="仿宋"/>
          <w:b/>
          <w:bCs/>
          <w:color w:val="auto"/>
          <w:highlight w:val="none"/>
          <w:u w:val="single"/>
          <w:lang w:eastAsia="zh-CN"/>
        </w:rPr>
        <w:t>）</w:t>
      </w:r>
      <w:r>
        <w:rPr>
          <w:rFonts w:hint="eastAsia" w:ascii="仿宋" w:hAnsi="仿宋" w:eastAsia="仿宋" w:cs="仿宋"/>
          <w:b/>
          <w:bCs/>
          <w:color w:val="auto"/>
          <w:highlight w:val="none"/>
          <w:u w:val="single"/>
          <w:lang w:eastAsia="zh-CN"/>
        </w:rPr>
        <w:t>（项目编号：</w:t>
      </w:r>
      <w:r>
        <w:rPr>
          <w:rFonts w:hint="eastAsia" w:cs="仿宋"/>
          <w:b/>
          <w:bCs/>
          <w:color w:val="auto"/>
          <w:highlight w:val="none"/>
          <w:u w:val="single"/>
          <w:lang w:eastAsia="zh-CN"/>
        </w:rPr>
        <w:t>云润招字 HW2026-120</w:t>
      </w:r>
      <w:r>
        <w:rPr>
          <w:rFonts w:hint="eastAsia" w:ascii="仿宋" w:hAnsi="仿宋" w:eastAsia="仿宋" w:cs="仿宋"/>
          <w:b/>
          <w:bCs/>
          <w:color w:val="auto"/>
          <w:highlight w:val="none"/>
          <w:u w:val="single"/>
          <w:lang w:eastAsia="zh-CN"/>
        </w:rPr>
        <w:t>）</w:t>
      </w:r>
      <w:r>
        <w:rPr>
          <w:rFonts w:hint="eastAsia" w:ascii="仿宋" w:hAnsi="仿宋" w:eastAsia="仿宋" w:cs="仿宋"/>
          <w:color w:val="auto"/>
          <w:highlight w:val="none"/>
        </w:rPr>
        <w:t>的</w:t>
      </w:r>
      <w:r>
        <w:rPr>
          <w:rFonts w:hint="eastAsia" w:ascii="仿宋" w:hAnsi="仿宋" w:eastAsia="仿宋" w:cs="仿宋"/>
          <w:color w:val="auto"/>
          <w:highlight w:val="none"/>
          <w:lang w:val="en-US" w:eastAsia="zh-CN"/>
        </w:rPr>
        <w:t>政府采购活动</w:t>
      </w:r>
      <w:r>
        <w:rPr>
          <w:rFonts w:hint="eastAsia" w:ascii="仿宋" w:hAnsi="仿宋" w:eastAsia="仿宋" w:cs="仿宋"/>
          <w:color w:val="auto"/>
          <w:highlight w:val="none"/>
        </w:rPr>
        <w:t>，特作如下声明：​</w:t>
      </w:r>
    </w:p>
    <w:p w14:paraId="234BD85E">
      <w:pPr>
        <w:bidi w:val="0"/>
        <w:rPr>
          <w:rFonts w:hint="eastAsia" w:ascii="仿宋" w:hAnsi="仿宋" w:eastAsia="仿宋" w:cs="仿宋"/>
          <w:color w:val="auto"/>
          <w:highlight w:val="none"/>
          <w:lang w:eastAsia="zh-CN"/>
        </w:rPr>
      </w:pPr>
      <w:r>
        <w:rPr>
          <w:rFonts w:hint="eastAsia" w:ascii="仿宋" w:hAnsi="仿宋" w:eastAsia="仿宋" w:cs="仿宋"/>
          <w:color w:val="auto"/>
          <w:highlight w:val="none"/>
          <w:lang w:val="en-US" w:eastAsia="zh-CN"/>
        </w:rPr>
        <w:t>1.我</w:t>
      </w:r>
      <w:r>
        <w:rPr>
          <w:rFonts w:hint="eastAsia" w:ascii="仿宋" w:hAnsi="仿宋" w:eastAsia="仿宋" w:cs="仿宋"/>
          <w:color w:val="auto"/>
          <w:highlight w:val="none"/>
        </w:rPr>
        <w:t>单位具备履行合同所必需的设备和专业技术能力</w:t>
      </w:r>
      <w:r>
        <w:rPr>
          <w:rFonts w:hint="eastAsia" w:ascii="仿宋" w:hAnsi="仿宋" w:eastAsia="仿宋" w:cs="仿宋"/>
          <w:color w:val="auto"/>
          <w:highlight w:val="none"/>
          <w:lang w:eastAsia="zh-CN"/>
        </w:rPr>
        <w:t>。</w:t>
      </w:r>
    </w:p>
    <w:p w14:paraId="7E3F8610">
      <w:pPr>
        <w:bidi w:val="0"/>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我</w:t>
      </w:r>
      <w:r>
        <w:rPr>
          <w:rFonts w:hint="eastAsia" w:ascii="仿宋" w:hAnsi="仿宋" w:eastAsia="仿宋" w:cs="仿宋"/>
          <w:color w:val="auto"/>
          <w:highlight w:val="none"/>
        </w:rPr>
        <w:t>单位承诺，上述声明内容真实、准确、完整，不存在任何虚假陈述或隐瞒。若本声明存在不实，如有虚假，则属于政府采购法第77条第1款第1项规定的“提供虚假材料谋取中标、成交的”情形，愿意承担该条规定的法律责任。</w:t>
      </w:r>
    </w:p>
    <w:p w14:paraId="78EE6870">
      <w:pPr>
        <w:ind w:firstLine="480"/>
        <w:rPr>
          <w:rFonts w:hint="eastAsia" w:ascii="仿宋" w:hAnsi="仿宋" w:eastAsia="仿宋" w:cs="仿宋"/>
          <w:color w:val="auto"/>
          <w:sz w:val="28"/>
          <w:szCs w:val="28"/>
          <w:highlight w:val="none"/>
        </w:rPr>
      </w:pPr>
    </w:p>
    <w:p w14:paraId="2DAD6E81">
      <w:pPr>
        <w:ind w:firstLine="48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投标人</w:t>
      </w: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（电子签章）</w:t>
      </w:r>
    </w:p>
    <w:p w14:paraId="38AFA353">
      <w:pPr>
        <w:ind w:firstLine="48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法定代表人或委托代理人：</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 （电子签章或电子签名）</w:t>
      </w:r>
    </w:p>
    <w:p w14:paraId="54E40B83">
      <w:pPr>
        <w:ind w:firstLine="48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日  期：</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年</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月 </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日</w:t>
      </w:r>
    </w:p>
    <w:p w14:paraId="78C8CF9C">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br w:type="page"/>
      </w:r>
    </w:p>
    <w:p w14:paraId="59C56AC7">
      <w:pPr>
        <w:pStyle w:val="6"/>
        <w:ind w:firstLine="562"/>
        <w:rPr>
          <w:rFonts w:hint="eastAsia" w:ascii="仿宋" w:hAnsi="仿宋" w:eastAsia="仿宋" w:cs="仿宋"/>
          <w:color w:val="auto"/>
          <w:highlight w:val="none"/>
        </w:rPr>
      </w:pPr>
      <w:r>
        <w:rPr>
          <w:rFonts w:hint="eastAsia" w:ascii="仿宋" w:hAnsi="仿宋" w:eastAsia="仿宋" w:cs="仿宋"/>
          <w:color w:val="auto"/>
          <w:highlight w:val="none"/>
        </w:rPr>
        <w:t>格式1-4：</w:t>
      </w:r>
      <w:r>
        <w:rPr>
          <w:rFonts w:hint="eastAsia" w:ascii="仿宋" w:hAnsi="仿宋" w:eastAsia="仿宋" w:cs="仿宋"/>
          <w:color w:val="auto"/>
          <w:highlight w:val="none"/>
          <w:lang w:val="en-US" w:eastAsia="zh-CN"/>
        </w:rPr>
        <w:t>有依法缴纳税收和社会保障资金的良好记录</w:t>
      </w:r>
      <w:r>
        <w:rPr>
          <w:rFonts w:hint="eastAsia" w:ascii="仿宋" w:hAnsi="仿宋" w:eastAsia="仿宋" w:cs="仿宋"/>
          <w:color w:val="auto"/>
          <w:highlight w:val="none"/>
        </w:rPr>
        <w:t>：</w:t>
      </w:r>
    </w:p>
    <w:p w14:paraId="2004EF9A">
      <w:pPr>
        <w:ind w:firstLine="560"/>
        <w:jc w:val="both"/>
        <w:rPr>
          <w:rFonts w:hint="eastAsia" w:ascii="仿宋" w:hAnsi="仿宋" w:eastAsia="仿宋" w:cs="仿宋"/>
          <w:color w:val="auto"/>
          <w:highlight w:val="none"/>
        </w:rPr>
      </w:pPr>
      <w:r>
        <w:rPr>
          <w:rFonts w:hint="eastAsia" w:ascii="仿宋" w:hAnsi="仿宋" w:eastAsia="仿宋" w:cs="仿宋"/>
          <w:color w:val="auto"/>
          <w:highlight w:val="none"/>
        </w:rPr>
        <w:t>说明：</w:t>
      </w:r>
      <w:r>
        <w:rPr>
          <w:rFonts w:hint="eastAsia" w:ascii="仿宋" w:hAnsi="仿宋" w:eastAsia="仿宋" w:cs="仿宋"/>
          <w:color w:val="auto"/>
          <w:highlight w:val="none"/>
          <w:lang w:val="en-US" w:eastAsia="zh-CN"/>
        </w:rPr>
        <w:t>此处提供在投标文件提交截止时间前12个月内任意1个月的依法缴纳税收和在投标文件提交截止时间前12个月内任意1个月的依法缴纳社会保障资金的证明材料（投标人属于个体工商户、自然人的，或为成立时间不足1个月的法人及其他组织的，投标文件中提供情况说明（无需单独提供本条款要求的税收及社会保障资金缴纳证明材料）；投标人属于依法免税或依法不需要缴纳社会保障资金范围的，无需提供相应缴纳证明，但须提供由税务、社会保险经办等主管部门出具的，证明其依法免税或依法不需要缴纳社会保障资金的有效文件）</w:t>
      </w:r>
      <w:r>
        <w:rPr>
          <w:rFonts w:hint="eastAsia" w:ascii="仿宋" w:hAnsi="仿宋" w:eastAsia="仿宋" w:cs="仿宋"/>
          <w:color w:val="auto"/>
          <w:highlight w:val="none"/>
        </w:rPr>
        <w:t>。</w:t>
      </w:r>
    </w:p>
    <w:p w14:paraId="4032E81C">
      <w:pPr>
        <w:rPr>
          <w:rFonts w:hint="eastAsia" w:ascii="仿宋" w:hAnsi="仿宋" w:eastAsia="仿宋" w:cs="仿宋"/>
          <w:color w:val="auto"/>
          <w:highlight w:val="none"/>
        </w:rPr>
      </w:pPr>
      <w:r>
        <w:rPr>
          <w:rFonts w:hint="eastAsia" w:ascii="仿宋" w:hAnsi="仿宋" w:eastAsia="仿宋" w:cs="仿宋"/>
          <w:color w:val="auto"/>
          <w:highlight w:val="none"/>
        </w:rPr>
        <w:br w:type="page"/>
      </w:r>
    </w:p>
    <w:p w14:paraId="58EEABD0">
      <w:pPr>
        <w:pStyle w:val="6"/>
        <w:ind w:firstLine="562"/>
        <w:rPr>
          <w:rFonts w:hint="eastAsia" w:ascii="仿宋" w:hAnsi="仿宋" w:eastAsia="仿宋" w:cs="仿宋"/>
          <w:color w:val="auto"/>
          <w:highlight w:val="none"/>
        </w:rPr>
      </w:pPr>
      <w:r>
        <w:rPr>
          <w:rFonts w:hint="eastAsia" w:ascii="仿宋" w:hAnsi="仿宋" w:eastAsia="仿宋" w:cs="仿宋"/>
          <w:color w:val="auto"/>
          <w:highlight w:val="none"/>
        </w:rPr>
        <w:t>格式1-5：</w:t>
      </w:r>
      <w:r>
        <w:rPr>
          <w:rFonts w:hint="eastAsia" w:ascii="仿宋" w:hAnsi="仿宋" w:eastAsia="仿宋" w:cs="仿宋"/>
          <w:color w:val="auto"/>
          <w:highlight w:val="none"/>
          <w:lang w:val="en-US" w:eastAsia="zh-CN"/>
        </w:rPr>
        <w:t>参加政府采购活动前3年内，在经营活动中没有重大违法记录</w:t>
      </w:r>
      <w:r>
        <w:rPr>
          <w:rFonts w:hint="eastAsia" w:ascii="仿宋" w:hAnsi="仿宋" w:eastAsia="仿宋" w:cs="仿宋"/>
          <w:color w:val="auto"/>
          <w:highlight w:val="none"/>
        </w:rPr>
        <w:t>：</w:t>
      </w:r>
    </w:p>
    <w:p w14:paraId="3137414F">
      <w:pPr>
        <w:ind w:firstLine="560"/>
        <w:jc w:val="both"/>
        <w:rPr>
          <w:rFonts w:hint="eastAsia" w:ascii="仿宋" w:hAnsi="仿宋" w:eastAsia="仿宋" w:cs="仿宋"/>
          <w:color w:val="auto"/>
          <w:highlight w:val="none"/>
        </w:rPr>
      </w:pPr>
      <w:r>
        <w:rPr>
          <w:rFonts w:hint="eastAsia" w:ascii="仿宋" w:hAnsi="仿宋" w:eastAsia="仿宋" w:cs="仿宋"/>
          <w:color w:val="auto"/>
          <w:highlight w:val="none"/>
        </w:rPr>
        <w:t>说明：此处</w:t>
      </w:r>
      <w:r>
        <w:rPr>
          <w:rFonts w:hint="eastAsia" w:ascii="仿宋" w:hAnsi="仿宋" w:eastAsia="仿宋" w:cs="仿宋"/>
          <w:color w:val="auto"/>
          <w:highlight w:val="none"/>
          <w:lang w:val="en-US" w:eastAsia="zh-CN"/>
        </w:rPr>
        <w:t>提供书面声明</w:t>
      </w:r>
      <w:r>
        <w:rPr>
          <w:rFonts w:hint="eastAsia" w:ascii="仿宋" w:hAnsi="仿宋" w:eastAsia="仿宋" w:cs="仿宋"/>
          <w:color w:val="auto"/>
          <w:highlight w:val="none"/>
        </w:rPr>
        <w:t>。</w:t>
      </w:r>
    </w:p>
    <w:p w14:paraId="53CE5315">
      <w:pPr>
        <w:ind w:left="0" w:leftChars="0" w:firstLine="0" w:firstLineChars="0"/>
        <w:jc w:val="center"/>
        <w:rPr>
          <w:rFonts w:hint="eastAsia" w:ascii="仿宋" w:hAnsi="仿宋" w:eastAsia="仿宋" w:cs="仿宋"/>
          <w:b/>
          <w:bCs/>
          <w:color w:val="auto"/>
          <w:highlight w:val="none"/>
        </w:rPr>
      </w:pPr>
      <w:r>
        <w:rPr>
          <w:rFonts w:hint="eastAsia" w:ascii="仿宋" w:hAnsi="仿宋" w:eastAsia="仿宋" w:cs="仿宋"/>
          <w:b/>
          <w:bCs/>
          <w:color w:val="auto"/>
          <w:kern w:val="2"/>
          <w:sz w:val="48"/>
          <w:szCs w:val="40"/>
          <w:highlight w:val="none"/>
          <w:lang w:val="en-US" w:eastAsia="zh-CN" w:bidi="ar-SA"/>
        </w:rPr>
        <w:t>书面声明</w:t>
      </w:r>
      <w:r>
        <w:rPr>
          <w:rFonts w:hint="eastAsia" w:ascii="仿宋" w:hAnsi="仿宋" w:eastAsia="仿宋" w:cs="仿宋"/>
          <w:b w:val="0"/>
          <w:bCs w:val="0"/>
          <w:color w:val="auto"/>
          <w:highlight w:val="none"/>
        </w:rPr>
        <w:t>（参考格式）</w:t>
      </w:r>
    </w:p>
    <w:p w14:paraId="3BB84809">
      <w:pPr>
        <w:bidi w:val="0"/>
        <w:ind w:left="0" w:leftChars="0" w:firstLine="0" w:firstLineChars="0"/>
        <w:rPr>
          <w:rFonts w:hint="eastAsia" w:ascii="仿宋" w:hAnsi="仿宋" w:eastAsia="仿宋" w:cs="仿宋"/>
          <w:color w:val="auto"/>
          <w:highlight w:val="none"/>
          <w:u w:val="single"/>
          <w:lang w:val="en-US" w:eastAsia="zh-CN"/>
        </w:rPr>
      </w:pPr>
      <w:r>
        <w:rPr>
          <w:rFonts w:hint="eastAsia" w:ascii="仿宋" w:hAnsi="仿宋" w:eastAsia="仿宋" w:cs="仿宋"/>
          <w:color w:val="auto"/>
          <w:highlight w:val="none"/>
          <w:lang w:val="en-US" w:eastAsia="zh-CN"/>
        </w:rPr>
        <w:t>致：</w:t>
      </w:r>
      <w:r>
        <w:rPr>
          <w:rFonts w:hint="eastAsia" w:ascii="仿宋" w:hAnsi="仿宋" w:eastAsia="仿宋" w:cs="仿宋"/>
          <w:color w:val="auto"/>
          <w:highlight w:val="none"/>
          <w:u w:val="single"/>
          <w:lang w:val="en-US" w:eastAsia="zh-CN"/>
        </w:rPr>
        <w:t xml:space="preserve">          </w:t>
      </w:r>
      <w:r>
        <w:rPr>
          <w:rFonts w:hint="eastAsia" w:ascii="仿宋" w:hAnsi="仿宋" w:eastAsia="仿宋" w:cs="仿宋"/>
          <w:color w:val="auto"/>
          <w:highlight w:val="none"/>
          <w:u w:val="none"/>
          <w:lang w:val="en-US" w:eastAsia="zh-CN"/>
        </w:rPr>
        <w:t>（采购人名称）</w:t>
      </w:r>
    </w:p>
    <w:p w14:paraId="45C76F50">
      <w:pPr>
        <w:bidi w:val="0"/>
        <w:rPr>
          <w:rFonts w:hint="eastAsia" w:ascii="仿宋" w:hAnsi="仿宋" w:eastAsia="仿宋" w:cs="仿宋"/>
          <w:color w:val="auto"/>
          <w:highlight w:val="none"/>
        </w:rPr>
      </w:pPr>
      <w:r>
        <w:rPr>
          <w:rFonts w:hint="eastAsia" w:ascii="仿宋" w:hAnsi="仿宋" w:eastAsia="仿宋" w:cs="仿宋"/>
          <w:color w:val="auto"/>
          <w:highlight w:val="none"/>
        </w:rPr>
        <w:t>本单位</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u w:val="none"/>
          <w:lang w:eastAsia="zh-CN"/>
        </w:rPr>
        <w:t>（</w:t>
      </w:r>
      <w:r>
        <w:rPr>
          <w:rFonts w:hint="eastAsia" w:ascii="仿宋" w:hAnsi="仿宋" w:eastAsia="仿宋" w:cs="仿宋"/>
          <w:color w:val="auto"/>
          <w:sz w:val="28"/>
          <w:szCs w:val="28"/>
          <w:highlight w:val="none"/>
          <w:lang w:eastAsia="zh-CN"/>
        </w:rPr>
        <w:t>投标人</w:t>
      </w:r>
      <w:r>
        <w:rPr>
          <w:rFonts w:hint="eastAsia" w:ascii="仿宋" w:hAnsi="仿宋" w:eastAsia="仿宋" w:cs="仿宋"/>
          <w:color w:val="auto"/>
          <w:sz w:val="28"/>
          <w:szCs w:val="28"/>
          <w:highlight w:val="none"/>
        </w:rPr>
        <w:t>名称</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highlight w:val="none"/>
        </w:rPr>
        <w:t>就</w:t>
      </w:r>
      <w:r>
        <w:rPr>
          <w:rFonts w:hint="eastAsia" w:ascii="仿宋" w:hAnsi="仿宋" w:eastAsia="仿宋" w:cs="仿宋"/>
          <w:color w:val="auto"/>
          <w:highlight w:val="none"/>
          <w:lang w:val="en-US" w:eastAsia="zh-CN"/>
        </w:rPr>
        <w:t>参加</w:t>
      </w:r>
      <w:r>
        <w:rPr>
          <w:rFonts w:hint="eastAsia" w:cs="仿宋"/>
          <w:b/>
          <w:bCs/>
          <w:color w:val="auto"/>
          <w:highlight w:val="none"/>
          <w:u w:val="single"/>
          <w:lang w:eastAsia="zh-CN"/>
        </w:rPr>
        <w:t>云南轻纺职业学院人工智能学院云计算技术应用实训室及智慧教室建设项目</w:t>
      </w:r>
      <w:r>
        <w:rPr>
          <w:rFonts w:hint="eastAsia" w:cs="仿宋"/>
          <w:b/>
          <w:bCs/>
          <w:color w:val="auto"/>
          <w:highlight w:val="none"/>
          <w:u w:val="single"/>
          <w:lang w:eastAsia="zh-CN"/>
        </w:rPr>
        <w:t>（</w:t>
      </w:r>
      <w:r>
        <w:rPr>
          <w:rFonts w:hint="eastAsia" w:cs="仿宋"/>
          <w:b/>
          <w:bCs/>
          <w:color w:val="auto"/>
          <w:highlight w:val="none"/>
          <w:u w:val="single"/>
          <w:lang w:val="en-US" w:eastAsia="zh-CN"/>
        </w:rPr>
        <w:t>二次</w:t>
      </w:r>
      <w:r>
        <w:rPr>
          <w:rFonts w:hint="eastAsia" w:cs="仿宋"/>
          <w:b/>
          <w:bCs/>
          <w:color w:val="auto"/>
          <w:highlight w:val="none"/>
          <w:u w:val="single"/>
          <w:lang w:eastAsia="zh-CN"/>
        </w:rPr>
        <w:t>）</w:t>
      </w:r>
      <w:r>
        <w:rPr>
          <w:rFonts w:hint="eastAsia" w:ascii="仿宋" w:hAnsi="仿宋" w:eastAsia="仿宋" w:cs="仿宋"/>
          <w:b/>
          <w:bCs/>
          <w:color w:val="auto"/>
          <w:highlight w:val="none"/>
          <w:u w:val="single"/>
          <w:lang w:eastAsia="zh-CN"/>
        </w:rPr>
        <w:t>（项目编号：</w:t>
      </w:r>
      <w:r>
        <w:rPr>
          <w:rFonts w:hint="eastAsia" w:cs="仿宋"/>
          <w:b/>
          <w:bCs/>
          <w:color w:val="auto"/>
          <w:highlight w:val="none"/>
          <w:u w:val="single"/>
          <w:lang w:eastAsia="zh-CN"/>
        </w:rPr>
        <w:t>云润招字 HW2026-120</w:t>
      </w:r>
      <w:r>
        <w:rPr>
          <w:rFonts w:hint="eastAsia" w:ascii="仿宋" w:hAnsi="仿宋" w:eastAsia="仿宋" w:cs="仿宋"/>
          <w:b/>
          <w:bCs/>
          <w:color w:val="auto"/>
          <w:highlight w:val="none"/>
          <w:u w:val="single"/>
          <w:lang w:eastAsia="zh-CN"/>
        </w:rPr>
        <w:t>）</w:t>
      </w:r>
      <w:r>
        <w:rPr>
          <w:rFonts w:hint="eastAsia" w:ascii="仿宋" w:hAnsi="仿宋" w:eastAsia="仿宋" w:cs="仿宋"/>
          <w:color w:val="auto"/>
          <w:highlight w:val="none"/>
        </w:rPr>
        <w:t>的</w:t>
      </w:r>
      <w:r>
        <w:rPr>
          <w:rFonts w:hint="eastAsia" w:ascii="仿宋" w:hAnsi="仿宋" w:eastAsia="仿宋" w:cs="仿宋"/>
          <w:color w:val="auto"/>
          <w:highlight w:val="none"/>
          <w:lang w:val="en-US" w:eastAsia="zh-CN"/>
        </w:rPr>
        <w:t>政府采购活动</w:t>
      </w:r>
      <w:r>
        <w:rPr>
          <w:rFonts w:hint="eastAsia" w:ascii="仿宋" w:hAnsi="仿宋" w:eastAsia="仿宋" w:cs="仿宋"/>
          <w:color w:val="auto"/>
          <w:highlight w:val="none"/>
        </w:rPr>
        <w:t>，特作如下声明：​</w:t>
      </w:r>
    </w:p>
    <w:p w14:paraId="7B1FE989">
      <w:pPr>
        <w:bidi w:val="0"/>
        <w:rPr>
          <w:rFonts w:hint="eastAsia" w:ascii="仿宋" w:hAnsi="仿宋" w:eastAsia="仿宋" w:cs="仿宋"/>
          <w:color w:val="auto"/>
          <w:highlight w:val="none"/>
          <w:u w:val="none"/>
          <w:lang w:eastAsia="zh-CN"/>
        </w:rPr>
      </w:pPr>
      <w:r>
        <w:rPr>
          <w:rFonts w:hint="eastAsia" w:ascii="仿宋" w:hAnsi="仿宋" w:eastAsia="仿宋" w:cs="仿宋"/>
          <w:color w:val="auto"/>
          <w:highlight w:val="none"/>
          <w:u w:val="none"/>
          <w:lang w:val="en-US" w:eastAsia="zh-CN"/>
        </w:rPr>
        <w:t>1.我</w:t>
      </w:r>
      <w:r>
        <w:rPr>
          <w:rFonts w:hint="eastAsia" w:ascii="仿宋" w:hAnsi="仿宋" w:eastAsia="仿宋" w:cs="仿宋"/>
          <w:color w:val="auto"/>
          <w:highlight w:val="none"/>
          <w:u w:val="none"/>
        </w:rPr>
        <w:t>单位</w:t>
      </w:r>
      <w:r>
        <w:rPr>
          <w:rFonts w:hint="eastAsia" w:ascii="仿宋" w:hAnsi="仿宋" w:eastAsia="仿宋" w:cs="仿宋"/>
          <w:color w:val="auto"/>
          <w:highlight w:val="none"/>
          <w:u w:val="none"/>
          <w:lang w:val="en-US" w:eastAsia="zh-CN"/>
        </w:rPr>
        <w:t>在投标文件递交截止日前3年至今，在经营活动中没有重大违法记录（重大违法记录指投标人因违法经营受到刑事处罚或者责令停产停业、吊销许可证或者执照、较大数额罚款的行政处罚）</w:t>
      </w:r>
      <w:r>
        <w:rPr>
          <w:rFonts w:hint="eastAsia" w:ascii="仿宋" w:hAnsi="仿宋" w:eastAsia="仿宋" w:cs="仿宋"/>
          <w:color w:val="auto"/>
          <w:highlight w:val="none"/>
          <w:u w:val="none"/>
          <w:lang w:eastAsia="zh-CN"/>
        </w:rPr>
        <w:t>。</w:t>
      </w:r>
    </w:p>
    <w:p w14:paraId="30D75860">
      <w:pPr>
        <w:bidi w:val="0"/>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我</w:t>
      </w:r>
      <w:r>
        <w:rPr>
          <w:rFonts w:hint="eastAsia" w:ascii="仿宋" w:hAnsi="仿宋" w:eastAsia="仿宋" w:cs="仿宋"/>
          <w:color w:val="auto"/>
          <w:highlight w:val="none"/>
        </w:rPr>
        <w:t>单位承诺，上述声明内容真实、准确、完整，不存在任何虚假陈述或隐瞒。若本声明存在不实，如有虚假，则属于政府采购法第77条第1款第1项规定的“提供虚假材料谋取中标、成交的”情形，愿意承担该条规定的法律责任。</w:t>
      </w:r>
    </w:p>
    <w:p w14:paraId="745B964B">
      <w:pPr>
        <w:ind w:firstLine="480"/>
        <w:rPr>
          <w:rFonts w:hint="eastAsia" w:ascii="仿宋" w:hAnsi="仿宋" w:eastAsia="仿宋" w:cs="仿宋"/>
          <w:color w:val="auto"/>
          <w:sz w:val="28"/>
          <w:szCs w:val="28"/>
          <w:highlight w:val="none"/>
        </w:rPr>
      </w:pPr>
    </w:p>
    <w:p w14:paraId="709638B6">
      <w:pPr>
        <w:ind w:firstLine="48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投标人</w:t>
      </w: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（电子签章）</w:t>
      </w:r>
    </w:p>
    <w:p w14:paraId="4F5D55DD">
      <w:pPr>
        <w:ind w:firstLine="48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法定代表人或委托代理人：</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 （电子签章或电子签名）</w:t>
      </w:r>
    </w:p>
    <w:p w14:paraId="355068AC">
      <w:pPr>
        <w:rPr>
          <w:rFonts w:hint="eastAsia" w:ascii="仿宋" w:hAnsi="仿宋" w:eastAsia="仿宋" w:cs="仿宋"/>
          <w:color w:val="auto"/>
          <w:highlight w:val="none"/>
        </w:rPr>
      </w:pPr>
      <w:r>
        <w:rPr>
          <w:rFonts w:hint="eastAsia" w:ascii="仿宋" w:hAnsi="仿宋" w:eastAsia="仿宋" w:cs="仿宋"/>
          <w:color w:val="auto"/>
          <w:sz w:val="28"/>
          <w:szCs w:val="28"/>
          <w:highlight w:val="none"/>
        </w:rPr>
        <w:t>日  期：</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年</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月 </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日</w:t>
      </w:r>
      <w:r>
        <w:rPr>
          <w:rFonts w:hint="eastAsia" w:ascii="仿宋" w:hAnsi="仿宋" w:eastAsia="仿宋" w:cs="仿宋"/>
          <w:color w:val="auto"/>
          <w:highlight w:val="none"/>
        </w:rPr>
        <w:br w:type="page"/>
      </w:r>
    </w:p>
    <w:p w14:paraId="572BF3B1">
      <w:pPr>
        <w:pStyle w:val="6"/>
        <w:ind w:firstLine="562"/>
        <w:rPr>
          <w:rFonts w:hint="eastAsia" w:ascii="仿宋" w:hAnsi="仿宋" w:eastAsia="仿宋" w:cs="仿宋"/>
          <w:color w:val="auto"/>
          <w:highlight w:val="none"/>
        </w:rPr>
      </w:pPr>
      <w:r>
        <w:rPr>
          <w:rFonts w:hint="eastAsia" w:ascii="仿宋" w:hAnsi="仿宋" w:eastAsia="仿宋" w:cs="仿宋"/>
          <w:color w:val="auto"/>
          <w:highlight w:val="none"/>
        </w:rPr>
        <w:t>格式1-6：符合法律、行政法规规定的其他条件。</w:t>
      </w:r>
    </w:p>
    <w:p w14:paraId="7EC4CA83">
      <w:pPr>
        <w:ind w:firstLine="560"/>
        <w:jc w:val="both"/>
        <w:rPr>
          <w:rFonts w:hint="eastAsia" w:ascii="仿宋" w:hAnsi="仿宋" w:eastAsia="仿宋" w:cs="仿宋"/>
          <w:color w:val="auto"/>
          <w:highlight w:val="none"/>
        </w:rPr>
      </w:pPr>
      <w:r>
        <w:rPr>
          <w:rFonts w:hint="eastAsia" w:ascii="仿宋" w:hAnsi="仿宋" w:eastAsia="仿宋" w:cs="仿宋"/>
          <w:color w:val="auto"/>
          <w:highlight w:val="none"/>
        </w:rPr>
        <w:t>说明：此处</w:t>
      </w:r>
      <w:r>
        <w:rPr>
          <w:rFonts w:hint="eastAsia" w:ascii="仿宋" w:hAnsi="仿宋" w:eastAsia="仿宋" w:cs="仿宋"/>
          <w:color w:val="auto"/>
          <w:highlight w:val="none"/>
          <w:lang w:val="en-US" w:eastAsia="zh-CN"/>
        </w:rPr>
        <w:t>提供书面声明</w:t>
      </w:r>
      <w:r>
        <w:rPr>
          <w:rFonts w:hint="eastAsia" w:ascii="仿宋" w:hAnsi="仿宋" w:eastAsia="仿宋" w:cs="仿宋"/>
          <w:color w:val="auto"/>
          <w:highlight w:val="none"/>
        </w:rPr>
        <w:t>。</w:t>
      </w:r>
    </w:p>
    <w:p w14:paraId="3C10DB80">
      <w:pPr>
        <w:ind w:left="0" w:leftChars="0" w:firstLine="0" w:firstLineChars="0"/>
        <w:jc w:val="center"/>
        <w:rPr>
          <w:rFonts w:hint="eastAsia" w:ascii="仿宋" w:hAnsi="仿宋" w:eastAsia="仿宋" w:cs="仿宋"/>
          <w:b/>
          <w:bCs/>
          <w:color w:val="auto"/>
          <w:highlight w:val="none"/>
        </w:rPr>
      </w:pPr>
      <w:r>
        <w:rPr>
          <w:rFonts w:hint="eastAsia" w:ascii="仿宋" w:hAnsi="仿宋" w:eastAsia="仿宋" w:cs="仿宋"/>
          <w:b/>
          <w:bCs/>
          <w:color w:val="auto"/>
          <w:kern w:val="2"/>
          <w:sz w:val="48"/>
          <w:szCs w:val="40"/>
          <w:highlight w:val="none"/>
          <w:lang w:val="en-US" w:eastAsia="zh-CN" w:bidi="ar-SA"/>
        </w:rPr>
        <w:t>书面声明</w:t>
      </w:r>
      <w:r>
        <w:rPr>
          <w:rFonts w:hint="eastAsia" w:ascii="仿宋" w:hAnsi="仿宋" w:eastAsia="仿宋" w:cs="仿宋"/>
          <w:b w:val="0"/>
          <w:bCs w:val="0"/>
          <w:color w:val="auto"/>
          <w:highlight w:val="none"/>
        </w:rPr>
        <w:t>（参考格式）</w:t>
      </w:r>
    </w:p>
    <w:p w14:paraId="3F669680">
      <w:pPr>
        <w:bidi w:val="0"/>
        <w:ind w:left="0" w:leftChars="0" w:firstLine="0" w:firstLineChars="0"/>
        <w:rPr>
          <w:rFonts w:hint="eastAsia" w:ascii="仿宋" w:hAnsi="仿宋" w:eastAsia="仿宋" w:cs="仿宋"/>
          <w:color w:val="auto"/>
          <w:highlight w:val="none"/>
          <w:u w:val="single"/>
          <w:lang w:val="en-US" w:eastAsia="zh-CN"/>
        </w:rPr>
      </w:pPr>
      <w:r>
        <w:rPr>
          <w:rFonts w:hint="eastAsia" w:ascii="仿宋" w:hAnsi="仿宋" w:eastAsia="仿宋" w:cs="仿宋"/>
          <w:color w:val="auto"/>
          <w:highlight w:val="none"/>
          <w:lang w:val="en-US" w:eastAsia="zh-CN"/>
        </w:rPr>
        <w:t>致：</w:t>
      </w:r>
      <w:r>
        <w:rPr>
          <w:rFonts w:hint="eastAsia" w:ascii="仿宋" w:hAnsi="仿宋" w:eastAsia="仿宋" w:cs="仿宋"/>
          <w:color w:val="auto"/>
          <w:highlight w:val="none"/>
          <w:u w:val="single"/>
          <w:lang w:val="en-US" w:eastAsia="zh-CN"/>
        </w:rPr>
        <w:t xml:space="preserve">          </w:t>
      </w:r>
      <w:r>
        <w:rPr>
          <w:rFonts w:hint="eastAsia" w:ascii="仿宋" w:hAnsi="仿宋" w:eastAsia="仿宋" w:cs="仿宋"/>
          <w:color w:val="auto"/>
          <w:highlight w:val="none"/>
          <w:u w:val="none"/>
          <w:lang w:val="en-US" w:eastAsia="zh-CN"/>
        </w:rPr>
        <w:t>（采购人名称）</w:t>
      </w:r>
    </w:p>
    <w:p w14:paraId="3CC236BF">
      <w:pPr>
        <w:bidi w:val="0"/>
        <w:rPr>
          <w:rFonts w:hint="eastAsia" w:ascii="仿宋" w:hAnsi="仿宋" w:eastAsia="仿宋" w:cs="仿宋"/>
          <w:color w:val="auto"/>
          <w:highlight w:val="none"/>
        </w:rPr>
      </w:pPr>
      <w:r>
        <w:rPr>
          <w:rFonts w:hint="eastAsia" w:ascii="仿宋" w:hAnsi="仿宋" w:eastAsia="仿宋" w:cs="仿宋"/>
          <w:color w:val="auto"/>
          <w:highlight w:val="none"/>
        </w:rPr>
        <w:t>本单位</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u w:val="none"/>
          <w:lang w:eastAsia="zh-CN"/>
        </w:rPr>
        <w:t>（</w:t>
      </w:r>
      <w:r>
        <w:rPr>
          <w:rFonts w:hint="eastAsia" w:ascii="仿宋" w:hAnsi="仿宋" w:eastAsia="仿宋" w:cs="仿宋"/>
          <w:color w:val="auto"/>
          <w:sz w:val="28"/>
          <w:szCs w:val="28"/>
          <w:highlight w:val="none"/>
          <w:lang w:eastAsia="zh-CN"/>
        </w:rPr>
        <w:t>投标人</w:t>
      </w:r>
      <w:r>
        <w:rPr>
          <w:rFonts w:hint="eastAsia" w:ascii="仿宋" w:hAnsi="仿宋" w:eastAsia="仿宋" w:cs="仿宋"/>
          <w:color w:val="auto"/>
          <w:sz w:val="28"/>
          <w:szCs w:val="28"/>
          <w:highlight w:val="none"/>
        </w:rPr>
        <w:t>名称</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highlight w:val="none"/>
        </w:rPr>
        <w:t>就</w:t>
      </w:r>
      <w:r>
        <w:rPr>
          <w:rFonts w:hint="eastAsia" w:ascii="仿宋" w:hAnsi="仿宋" w:eastAsia="仿宋" w:cs="仿宋"/>
          <w:color w:val="auto"/>
          <w:highlight w:val="none"/>
          <w:lang w:val="en-US" w:eastAsia="zh-CN"/>
        </w:rPr>
        <w:t>参加</w:t>
      </w:r>
      <w:r>
        <w:rPr>
          <w:rFonts w:hint="eastAsia" w:cs="仿宋"/>
          <w:b/>
          <w:bCs/>
          <w:color w:val="auto"/>
          <w:highlight w:val="none"/>
          <w:u w:val="single"/>
          <w:lang w:eastAsia="zh-CN"/>
        </w:rPr>
        <w:t>云南轻纺职业学院人工智能学院云计算技术应用实训室及智慧教室建设项目</w:t>
      </w:r>
      <w:r>
        <w:rPr>
          <w:rFonts w:hint="eastAsia" w:cs="仿宋"/>
          <w:b/>
          <w:bCs/>
          <w:color w:val="auto"/>
          <w:highlight w:val="none"/>
          <w:u w:val="single"/>
          <w:lang w:eastAsia="zh-CN"/>
        </w:rPr>
        <w:t>（</w:t>
      </w:r>
      <w:r>
        <w:rPr>
          <w:rFonts w:hint="eastAsia" w:cs="仿宋"/>
          <w:b/>
          <w:bCs/>
          <w:color w:val="auto"/>
          <w:highlight w:val="none"/>
          <w:u w:val="single"/>
          <w:lang w:val="en-US" w:eastAsia="zh-CN"/>
        </w:rPr>
        <w:t>二次</w:t>
      </w:r>
      <w:r>
        <w:rPr>
          <w:rFonts w:hint="eastAsia" w:cs="仿宋"/>
          <w:b/>
          <w:bCs/>
          <w:color w:val="auto"/>
          <w:highlight w:val="none"/>
          <w:u w:val="single"/>
          <w:lang w:eastAsia="zh-CN"/>
        </w:rPr>
        <w:t>）</w:t>
      </w:r>
      <w:r>
        <w:rPr>
          <w:rFonts w:hint="eastAsia" w:ascii="仿宋" w:hAnsi="仿宋" w:eastAsia="仿宋" w:cs="仿宋"/>
          <w:b/>
          <w:bCs/>
          <w:color w:val="auto"/>
          <w:highlight w:val="none"/>
          <w:u w:val="single"/>
          <w:lang w:eastAsia="zh-CN"/>
        </w:rPr>
        <w:t>（项目编号：</w:t>
      </w:r>
      <w:r>
        <w:rPr>
          <w:rFonts w:hint="eastAsia" w:cs="仿宋"/>
          <w:b/>
          <w:bCs/>
          <w:color w:val="auto"/>
          <w:highlight w:val="none"/>
          <w:u w:val="single"/>
          <w:lang w:eastAsia="zh-CN"/>
        </w:rPr>
        <w:t>云润招字 HW2026-120</w:t>
      </w:r>
      <w:r>
        <w:rPr>
          <w:rFonts w:hint="eastAsia" w:ascii="仿宋" w:hAnsi="仿宋" w:eastAsia="仿宋" w:cs="仿宋"/>
          <w:b/>
          <w:bCs/>
          <w:color w:val="auto"/>
          <w:highlight w:val="none"/>
          <w:u w:val="single"/>
          <w:lang w:eastAsia="zh-CN"/>
        </w:rPr>
        <w:t>）</w:t>
      </w:r>
      <w:r>
        <w:rPr>
          <w:rFonts w:hint="eastAsia" w:ascii="仿宋" w:hAnsi="仿宋" w:eastAsia="仿宋" w:cs="仿宋"/>
          <w:color w:val="auto"/>
          <w:highlight w:val="none"/>
        </w:rPr>
        <w:t>的</w:t>
      </w:r>
      <w:r>
        <w:rPr>
          <w:rFonts w:hint="eastAsia" w:ascii="仿宋" w:hAnsi="仿宋" w:eastAsia="仿宋" w:cs="仿宋"/>
          <w:color w:val="auto"/>
          <w:highlight w:val="none"/>
          <w:lang w:val="en-US" w:eastAsia="zh-CN"/>
        </w:rPr>
        <w:t>政府采购活动</w:t>
      </w:r>
      <w:r>
        <w:rPr>
          <w:rFonts w:hint="eastAsia" w:ascii="仿宋" w:hAnsi="仿宋" w:eastAsia="仿宋" w:cs="仿宋"/>
          <w:color w:val="auto"/>
          <w:highlight w:val="none"/>
        </w:rPr>
        <w:t>，特作如下声明：​</w:t>
      </w:r>
    </w:p>
    <w:p w14:paraId="3C2F6968">
      <w:pPr>
        <w:bidi w:val="0"/>
        <w:rPr>
          <w:rFonts w:hint="eastAsia" w:ascii="仿宋" w:hAnsi="仿宋" w:eastAsia="仿宋" w:cs="仿宋"/>
          <w:color w:val="auto"/>
          <w:highlight w:val="none"/>
          <w:lang w:eastAsia="zh-CN"/>
        </w:rPr>
      </w:pPr>
      <w:r>
        <w:rPr>
          <w:rFonts w:hint="eastAsia" w:ascii="仿宋" w:hAnsi="仿宋" w:eastAsia="仿宋" w:cs="仿宋"/>
          <w:color w:val="auto"/>
          <w:highlight w:val="none"/>
          <w:lang w:val="en-US" w:eastAsia="zh-CN"/>
        </w:rPr>
        <w:t>1.我</w:t>
      </w:r>
      <w:r>
        <w:rPr>
          <w:rFonts w:hint="eastAsia" w:ascii="仿宋" w:hAnsi="仿宋" w:eastAsia="仿宋" w:cs="仿宋"/>
          <w:color w:val="auto"/>
          <w:highlight w:val="none"/>
        </w:rPr>
        <w:t>单位符合法律、行政法规规定的其他条件</w:t>
      </w:r>
      <w:r>
        <w:rPr>
          <w:rFonts w:hint="eastAsia" w:ascii="仿宋" w:hAnsi="仿宋" w:eastAsia="仿宋" w:cs="仿宋"/>
          <w:color w:val="auto"/>
          <w:highlight w:val="none"/>
          <w:lang w:eastAsia="zh-CN"/>
        </w:rPr>
        <w:t>。</w:t>
      </w:r>
    </w:p>
    <w:p w14:paraId="5722B320">
      <w:pPr>
        <w:bidi w:val="0"/>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我</w:t>
      </w:r>
      <w:r>
        <w:rPr>
          <w:rFonts w:hint="eastAsia" w:ascii="仿宋" w:hAnsi="仿宋" w:eastAsia="仿宋" w:cs="仿宋"/>
          <w:color w:val="auto"/>
          <w:highlight w:val="none"/>
        </w:rPr>
        <w:t>单位承诺，上述声明内容真实、准确、完整，不存在任何虚假陈述或隐瞒。若本声明存在不实，如有虚假，则属于政府采购法第77条第1款第1项规定的“提供虚假材料谋取中标、成交的”情形，愿意承担该条规定的法律责任。</w:t>
      </w:r>
    </w:p>
    <w:p w14:paraId="17368A54">
      <w:pPr>
        <w:ind w:firstLine="480"/>
        <w:rPr>
          <w:rFonts w:hint="eastAsia" w:ascii="仿宋" w:hAnsi="仿宋" w:eastAsia="仿宋" w:cs="仿宋"/>
          <w:color w:val="auto"/>
          <w:sz w:val="28"/>
          <w:szCs w:val="28"/>
          <w:highlight w:val="none"/>
        </w:rPr>
      </w:pPr>
    </w:p>
    <w:p w14:paraId="4C717AB3">
      <w:pPr>
        <w:ind w:firstLine="48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投标人</w:t>
      </w: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（电子签章）</w:t>
      </w:r>
    </w:p>
    <w:p w14:paraId="12B3C1FA">
      <w:pPr>
        <w:ind w:firstLine="48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法定代表人或委托代理人：</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 （电子签章或电子签名）</w:t>
      </w:r>
    </w:p>
    <w:p w14:paraId="50626E14">
      <w:pPr>
        <w:rPr>
          <w:rFonts w:hint="eastAsia" w:ascii="仿宋" w:hAnsi="仿宋" w:eastAsia="仿宋" w:cs="仿宋"/>
          <w:color w:val="auto"/>
          <w:highlight w:val="none"/>
        </w:rPr>
      </w:pPr>
      <w:r>
        <w:rPr>
          <w:rFonts w:hint="eastAsia" w:ascii="仿宋" w:hAnsi="仿宋" w:eastAsia="仿宋" w:cs="仿宋"/>
          <w:color w:val="auto"/>
          <w:sz w:val="28"/>
          <w:szCs w:val="28"/>
          <w:highlight w:val="none"/>
        </w:rPr>
        <w:t>日  期：</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年</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月 </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日</w:t>
      </w:r>
      <w:r>
        <w:rPr>
          <w:rFonts w:hint="eastAsia" w:ascii="仿宋" w:hAnsi="仿宋" w:eastAsia="仿宋" w:cs="仿宋"/>
          <w:color w:val="auto"/>
          <w:highlight w:val="none"/>
        </w:rPr>
        <w:br w:type="page"/>
      </w:r>
    </w:p>
    <w:p w14:paraId="7D824C23">
      <w:pPr>
        <w:pStyle w:val="5"/>
        <w:ind w:firstLine="602"/>
        <w:rPr>
          <w:rFonts w:hint="eastAsia" w:ascii="仿宋" w:hAnsi="仿宋" w:eastAsia="仿宋" w:cs="仿宋"/>
          <w:color w:val="auto"/>
          <w:highlight w:val="none"/>
          <w:lang w:eastAsia="zh-CN"/>
        </w:rPr>
      </w:pPr>
      <w:bookmarkStart w:id="544" w:name="_Toc21710"/>
      <w:bookmarkStart w:id="545" w:name="_Toc14224"/>
      <w:bookmarkStart w:id="546" w:name="_Toc17822"/>
      <w:r>
        <w:rPr>
          <w:rFonts w:hint="eastAsia" w:ascii="仿宋" w:hAnsi="仿宋" w:eastAsia="仿宋" w:cs="仿宋"/>
          <w:color w:val="auto"/>
          <w:highlight w:val="none"/>
        </w:rPr>
        <w:t>格式</w:t>
      </w:r>
      <w:r>
        <w:rPr>
          <w:rFonts w:hint="eastAsia" w:cs="仿宋"/>
          <w:color w:val="auto"/>
          <w:highlight w:val="none"/>
          <w:lang w:val="en-US" w:eastAsia="zh-CN"/>
        </w:rPr>
        <w:t>2</w:t>
      </w:r>
      <w:r>
        <w:rPr>
          <w:rFonts w:hint="eastAsia" w:ascii="仿宋" w:hAnsi="仿宋" w:eastAsia="仿宋" w:cs="仿宋"/>
          <w:color w:val="auto"/>
          <w:highlight w:val="none"/>
        </w:rPr>
        <w:t>：本项目的</w:t>
      </w:r>
      <w:r>
        <w:rPr>
          <w:rFonts w:hint="eastAsia" w:cs="仿宋"/>
          <w:color w:val="auto"/>
          <w:highlight w:val="none"/>
          <w:lang w:val="en-US" w:eastAsia="zh-CN"/>
        </w:rPr>
        <w:t>其他</w:t>
      </w:r>
      <w:r>
        <w:rPr>
          <w:rFonts w:hint="eastAsia" w:ascii="仿宋" w:hAnsi="仿宋" w:eastAsia="仿宋" w:cs="仿宋"/>
          <w:color w:val="auto"/>
          <w:highlight w:val="none"/>
        </w:rPr>
        <w:t>资格要求</w:t>
      </w:r>
      <w:bookmarkEnd w:id="544"/>
      <w:bookmarkEnd w:id="545"/>
      <w:bookmarkEnd w:id="546"/>
    </w:p>
    <w:p w14:paraId="7F769A5C">
      <w:pPr>
        <w:pStyle w:val="6"/>
        <w:ind w:firstLine="562"/>
        <w:rPr>
          <w:rFonts w:hint="eastAsia" w:ascii="仿宋" w:hAnsi="仿宋" w:eastAsia="仿宋" w:cs="仿宋"/>
          <w:color w:val="auto"/>
          <w:highlight w:val="none"/>
          <w:lang w:val="en-US" w:eastAsia="zh-CN"/>
        </w:rPr>
      </w:pPr>
      <w:r>
        <w:rPr>
          <w:rFonts w:hint="eastAsia" w:ascii="仿宋" w:hAnsi="仿宋" w:eastAsia="仿宋" w:cs="仿宋"/>
          <w:color w:val="auto"/>
          <w:highlight w:val="none"/>
        </w:rPr>
        <w:t>格式</w:t>
      </w:r>
      <w:r>
        <w:rPr>
          <w:rFonts w:hint="eastAsia" w:cs="仿宋"/>
          <w:color w:val="auto"/>
          <w:highlight w:val="none"/>
          <w:lang w:val="en-US" w:eastAsia="zh-CN"/>
        </w:rPr>
        <w:t>2</w:t>
      </w:r>
      <w:r>
        <w:rPr>
          <w:rFonts w:hint="eastAsia" w:ascii="仿宋" w:hAnsi="仿宋" w:eastAsia="仿宋" w:cs="仿宋"/>
          <w:color w:val="auto"/>
          <w:highlight w:val="none"/>
        </w:rPr>
        <w:t>-</w:t>
      </w:r>
      <w:r>
        <w:rPr>
          <w:rFonts w:hint="eastAsia" w:ascii="仿宋" w:hAnsi="仿宋" w:eastAsia="仿宋" w:cs="仿宋"/>
          <w:color w:val="auto"/>
          <w:highlight w:val="none"/>
          <w:lang w:val="en-US" w:eastAsia="zh-CN"/>
        </w:rPr>
        <w:t>1</w:t>
      </w:r>
      <w:r>
        <w:rPr>
          <w:rFonts w:hint="eastAsia" w:ascii="仿宋" w:hAnsi="仿宋" w:eastAsia="仿宋" w:cs="仿宋"/>
          <w:color w:val="auto"/>
          <w:highlight w:val="none"/>
        </w:rPr>
        <w:t>：</w:t>
      </w:r>
      <w:r>
        <w:rPr>
          <w:rFonts w:hint="eastAsia" w:ascii="仿宋" w:hAnsi="仿宋" w:eastAsia="仿宋" w:cs="仿宋"/>
          <w:color w:val="auto"/>
          <w:highlight w:val="none"/>
          <w:lang w:val="en-US" w:eastAsia="zh-CN"/>
        </w:rPr>
        <w:t>单位负责人为同一人或者存在直接控股、管理关系的不同投标人，不得参加同一合同项下的政府采购活动；为本项目提供整体设计、规范编制或者项目管理、监理、检测等服务的投标人，不得再参加本项目的采购活动；</w:t>
      </w:r>
    </w:p>
    <w:p w14:paraId="4DB5D0F6">
      <w:pPr>
        <w:ind w:firstLine="560"/>
        <w:jc w:val="both"/>
        <w:rPr>
          <w:rFonts w:hint="eastAsia" w:ascii="仿宋" w:hAnsi="仿宋" w:eastAsia="仿宋" w:cs="仿宋"/>
          <w:color w:val="auto"/>
          <w:highlight w:val="none"/>
        </w:rPr>
      </w:pPr>
      <w:r>
        <w:rPr>
          <w:rFonts w:hint="eastAsia" w:ascii="仿宋" w:hAnsi="仿宋" w:eastAsia="仿宋" w:cs="仿宋"/>
          <w:color w:val="auto"/>
          <w:highlight w:val="none"/>
        </w:rPr>
        <w:t>说明：此处</w:t>
      </w:r>
      <w:r>
        <w:rPr>
          <w:rFonts w:hint="eastAsia" w:ascii="仿宋" w:hAnsi="仿宋" w:eastAsia="仿宋" w:cs="仿宋"/>
          <w:color w:val="auto"/>
          <w:highlight w:val="none"/>
          <w:lang w:val="en-US" w:eastAsia="zh-CN"/>
        </w:rPr>
        <w:t>提供书面声明</w:t>
      </w:r>
      <w:r>
        <w:rPr>
          <w:rFonts w:hint="eastAsia" w:ascii="仿宋" w:hAnsi="仿宋" w:eastAsia="仿宋" w:cs="仿宋"/>
          <w:color w:val="auto"/>
          <w:highlight w:val="none"/>
        </w:rPr>
        <w:t>。</w:t>
      </w:r>
    </w:p>
    <w:p w14:paraId="41273539">
      <w:pPr>
        <w:ind w:left="0" w:leftChars="0" w:firstLine="0" w:firstLineChars="0"/>
        <w:jc w:val="center"/>
        <w:rPr>
          <w:rFonts w:hint="eastAsia" w:ascii="仿宋" w:hAnsi="仿宋" w:eastAsia="仿宋" w:cs="仿宋"/>
          <w:b/>
          <w:bCs/>
          <w:color w:val="auto"/>
          <w:highlight w:val="none"/>
        </w:rPr>
      </w:pPr>
      <w:r>
        <w:rPr>
          <w:rFonts w:hint="eastAsia" w:ascii="仿宋" w:hAnsi="仿宋" w:eastAsia="仿宋" w:cs="仿宋"/>
          <w:b/>
          <w:bCs/>
          <w:color w:val="auto"/>
          <w:sz w:val="40"/>
          <w:szCs w:val="40"/>
          <w:highlight w:val="none"/>
        </w:rPr>
        <w:t>书面声明</w:t>
      </w:r>
      <w:r>
        <w:rPr>
          <w:rFonts w:hint="eastAsia" w:ascii="仿宋" w:hAnsi="仿宋" w:eastAsia="仿宋" w:cs="仿宋"/>
          <w:b w:val="0"/>
          <w:bCs w:val="0"/>
          <w:color w:val="auto"/>
          <w:highlight w:val="none"/>
        </w:rPr>
        <w:t>（参考格式）</w:t>
      </w:r>
    </w:p>
    <w:p w14:paraId="3A3B7E20">
      <w:pPr>
        <w:bidi w:val="0"/>
        <w:ind w:left="0" w:leftChars="0" w:firstLine="0" w:firstLineChars="0"/>
        <w:rPr>
          <w:rFonts w:hint="eastAsia" w:ascii="仿宋" w:hAnsi="仿宋" w:eastAsia="仿宋" w:cs="仿宋"/>
          <w:color w:val="auto"/>
          <w:highlight w:val="none"/>
          <w:u w:val="single"/>
          <w:lang w:val="en-US" w:eastAsia="zh-CN"/>
        </w:rPr>
      </w:pPr>
      <w:r>
        <w:rPr>
          <w:rFonts w:hint="eastAsia" w:ascii="仿宋" w:hAnsi="仿宋" w:eastAsia="仿宋" w:cs="仿宋"/>
          <w:color w:val="auto"/>
          <w:highlight w:val="none"/>
          <w:lang w:val="en-US" w:eastAsia="zh-CN"/>
        </w:rPr>
        <w:t>致：</w:t>
      </w:r>
      <w:r>
        <w:rPr>
          <w:rFonts w:hint="eastAsia" w:ascii="仿宋" w:hAnsi="仿宋" w:eastAsia="仿宋" w:cs="仿宋"/>
          <w:color w:val="auto"/>
          <w:highlight w:val="none"/>
          <w:u w:val="single"/>
          <w:lang w:val="en-US" w:eastAsia="zh-CN"/>
        </w:rPr>
        <w:t xml:space="preserve">          </w:t>
      </w:r>
      <w:r>
        <w:rPr>
          <w:rFonts w:hint="eastAsia" w:ascii="仿宋" w:hAnsi="仿宋" w:eastAsia="仿宋" w:cs="仿宋"/>
          <w:color w:val="auto"/>
          <w:highlight w:val="none"/>
          <w:u w:val="none"/>
          <w:lang w:val="en-US" w:eastAsia="zh-CN"/>
        </w:rPr>
        <w:t>（采购人名称）</w:t>
      </w:r>
    </w:p>
    <w:p w14:paraId="47C01469">
      <w:pPr>
        <w:bidi w:val="0"/>
        <w:rPr>
          <w:rFonts w:hint="eastAsia" w:ascii="仿宋" w:hAnsi="仿宋" w:eastAsia="仿宋" w:cs="仿宋"/>
          <w:color w:val="auto"/>
          <w:highlight w:val="none"/>
        </w:rPr>
      </w:pPr>
      <w:r>
        <w:rPr>
          <w:rFonts w:hint="eastAsia" w:ascii="仿宋" w:hAnsi="仿宋" w:eastAsia="仿宋" w:cs="仿宋"/>
          <w:color w:val="auto"/>
          <w:highlight w:val="none"/>
        </w:rPr>
        <w:t>本单位</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u w:val="none"/>
          <w:lang w:eastAsia="zh-CN"/>
        </w:rPr>
        <w:t>（</w:t>
      </w:r>
      <w:r>
        <w:rPr>
          <w:rFonts w:hint="eastAsia" w:ascii="仿宋" w:hAnsi="仿宋" w:eastAsia="仿宋" w:cs="仿宋"/>
          <w:color w:val="auto"/>
          <w:sz w:val="28"/>
          <w:szCs w:val="28"/>
          <w:highlight w:val="none"/>
          <w:lang w:eastAsia="zh-CN"/>
        </w:rPr>
        <w:t>投标人</w:t>
      </w:r>
      <w:r>
        <w:rPr>
          <w:rFonts w:hint="eastAsia" w:ascii="仿宋" w:hAnsi="仿宋" w:eastAsia="仿宋" w:cs="仿宋"/>
          <w:color w:val="auto"/>
          <w:sz w:val="28"/>
          <w:szCs w:val="28"/>
          <w:highlight w:val="none"/>
        </w:rPr>
        <w:t>名称</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highlight w:val="none"/>
        </w:rPr>
        <w:t>就</w:t>
      </w:r>
      <w:r>
        <w:rPr>
          <w:rFonts w:hint="eastAsia" w:ascii="仿宋" w:hAnsi="仿宋" w:eastAsia="仿宋" w:cs="仿宋"/>
          <w:color w:val="auto"/>
          <w:highlight w:val="none"/>
          <w:lang w:val="en-US" w:eastAsia="zh-CN"/>
        </w:rPr>
        <w:t>参加</w:t>
      </w:r>
      <w:r>
        <w:rPr>
          <w:rFonts w:hint="eastAsia" w:cs="仿宋"/>
          <w:b/>
          <w:bCs/>
          <w:color w:val="auto"/>
          <w:highlight w:val="none"/>
          <w:u w:val="single"/>
          <w:lang w:eastAsia="zh-CN"/>
        </w:rPr>
        <w:t>云南轻纺职业学院人工智能学院云计算技术应用实训室及智慧教室建设项目</w:t>
      </w:r>
      <w:r>
        <w:rPr>
          <w:rFonts w:hint="eastAsia" w:cs="仿宋"/>
          <w:b/>
          <w:bCs/>
          <w:color w:val="auto"/>
          <w:highlight w:val="none"/>
          <w:u w:val="single"/>
          <w:lang w:eastAsia="zh-CN"/>
        </w:rPr>
        <w:t>（</w:t>
      </w:r>
      <w:r>
        <w:rPr>
          <w:rFonts w:hint="eastAsia" w:cs="仿宋"/>
          <w:b/>
          <w:bCs/>
          <w:color w:val="auto"/>
          <w:highlight w:val="none"/>
          <w:u w:val="single"/>
          <w:lang w:val="en-US" w:eastAsia="zh-CN"/>
        </w:rPr>
        <w:t>二次</w:t>
      </w:r>
      <w:r>
        <w:rPr>
          <w:rFonts w:hint="eastAsia" w:cs="仿宋"/>
          <w:b/>
          <w:bCs/>
          <w:color w:val="auto"/>
          <w:highlight w:val="none"/>
          <w:u w:val="single"/>
          <w:lang w:eastAsia="zh-CN"/>
        </w:rPr>
        <w:t>）</w:t>
      </w:r>
      <w:r>
        <w:rPr>
          <w:rFonts w:hint="eastAsia" w:ascii="仿宋" w:hAnsi="仿宋" w:eastAsia="仿宋" w:cs="仿宋"/>
          <w:b/>
          <w:bCs/>
          <w:color w:val="auto"/>
          <w:highlight w:val="none"/>
          <w:u w:val="single"/>
          <w:lang w:eastAsia="zh-CN"/>
        </w:rPr>
        <w:t>（项目编号：</w:t>
      </w:r>
      <w:r>
        <w:rPr>
          <w:rFonts w:hint="eastAsia" w:cs="仿宋"/>
          <w:b/>
          <w:bCs/>
          <w:color w:val="auto"/>
          <w:highlight w:val="none"/>
          <w:u w:val="single"/>
          <w:lang w:eastAsia="zh-CN"/>
        </w:rPr>
        <w:t>云润招字 HW2026-120</w:t>
      </w:r>
      <w:r>
        <w:rPr>
          <w:rFonts w:hint="eastAsia" w:ascii="仿宋" w:hAnsi="仿宋" w:eastAsia="仿宋" w:cs="仿宋"/>
          <w:b/>
          <w:bCs/>
          <w:color w:val="auto"/>
          <w:highlight w:val="none"/>
          <w:u w:val="single"/>
          <w:lang w:eastAsia="zh-CN"/>
        </w:rPr>
        <w:t>）</w:t>
      </w:r>
      <w:r>
        <w:rPr>
          <w:rFonts w:hint="eastAsia" w:ascii="仿宋" w:hAnsi="仿宋" w:eastAsia="仿宋" w:cs="仿宋"/>
          <w:color w:val="auto"/>
          <w:highlight w:val="none"/>
        </w:rPr>
        <w:t>的</w:t>
      </w:r>
      <w:r>
        <w:rPr>
          <w:rFonts w:hint="eastAsia" w:ascii="仿宋" w:hAnsi="仿宋" w:eastAsia="仿宋" w:cs="仿宋"/>
          <w:color w:val="auto"/>
          <w:highlight w:val="none"/>
          <w:lang w:val="en-US" w:eastAsia="zh-CN"/>
        </w:rPr>
        <w:t>政府采购活动</w:t>
      </w:r>
      <w:r>
        <w:rPr>
          <w:rFonts w:hint="eastAsia" w:ascii="仿宋" w:hAnsi="仿宋" w:eastAsia="仿宋" w:cs="仿宋"/>
          <w:color w:val="auto"/>
          <w:highlight w:val="none"/>
        </w:rPr>
        <w:t>，特作如下声明：​</w:t>
      </w:r>
    </w:p>
    <w:p w14:paraId="65608840">
      <w:pPr>
        <w:bidi w:val="0"/>
        <w:rPr>
          <w:rFonts w:hint="eastAsia" w:ascii="仿宋" w:hAnsi="仿宋" w:eastAsia="仿宋" w:cs="仿宋"/>
          <w:color w:val="auto"/>
          <w:highlight w:val="none"/>
          <w:lang w:eastAsia="zh-CN"/>
        </w:rPr>
      </w:pPr>
      <w:r>
        <w:rPr>
          <w:rFonts w:hint="eastAsia" w:ascii="仿宋" w:hAnsi="仿宋" w:eastAsia="仿宋" w:cs="仿宋"/>
          <w:color w:val="auto"/>
          <w:highlight w:val="none"/>
          <w:lang w:val="en-US" w:eastAsia="zh-CN"/>
        </w:rPr>
        <w:t>1.我</w:t>
      </w:r>
      <w:r>
        <w:rPr>
          <w:rFonts w:hint="eastAsia" w:ascii="仿宋" w:hAnsi="仿宋" w:eastAsia="仿宋" w:cs="仿宋"/>
          <w:color w:val="auto"/>
          <w:highlight w:val="none"/>
        </w:rPr>
        <w:t>单位</w:t>
      </w:r>
      <w:r>
        <w:rPr>
          <w:rFonts w:hint="eastAsia" w:ascii="仿宋" w:hAnsi="仿宋" w:eastAsia="仿宋" w:cs="仿宋"/>
          <w:color w:val="auto"/>
          <w:highlight w:val="none"/>
          <w:lang w:val="en-US" w:eastAsia="zh-CN"/>
        </w:rPr>
        <w:t>不存在“单位负责人为同一人或者存在直接控股、管理关系的不同投标人，参加同一合同项下的政府采购活动”的情形</w:t>
      </w:r>
      <w:r>
        <w:rPr>
          <w:rFonts w:hint="eastAsia" w:ascii="仿宋" w:hAnsi="仿宋" w:eastAsia="仿宋" w:cs="仿宋"/>
          <w:color w:val="auto"/>
          <w:highlight w:val="none"/>
          <w:lang w:eastAsia="zh-CN"/>
        </w:rPr>
        <w:t>。</w:t>
      </w:r>
    </w:p>
    <w:p w14:paraId="17556909">
      <w:pPr>
        <w:bidi w:val="0"/>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2.我</w:t>
      </w:r>
      <w:r>
        <w:rPr>
          <w:rFonts w:hint="eastAsia" w:ascii="仿宋" w:hAnsi="仿宋" w:eastAsia="仿宋" w:cs="仿宋"/>
          <w:color w:val="auto"/>
          <w:highlight w:val="none"/>
        </w:rPr>
        <w:t>单位</w:t>
      </w:r>
      <w:r>
        <w:rPr>
          <w:rFonts w:hint="eastAsia" w:ascii="仿宋" w:hAnsi="仿宋" w:eastAsia="仿宋" w:cs="仿宋"/>
          <w:color w:val="auto"/>
          <w:highlight w:val="none"/>
          <w:lang w:val="en-US" w:eastAsia="zh-CN"/>
        </w:rPr>
        <w:t>不存在“为本项目提供整体设计、规范编制或者项目管理、监理、检测等服务的投标人，再参加本项目的采购活动”的情形</w:t>
      </w:r>
      <w:r>
        <w:rPr>
          <w:rFonts w:hint="eastAsia" w:ascii="仿宋" w:hAnsi="仿宋" w:eastAsia="仿宋" w:cs="仿宋"/>
          <w:color w:val="auto"/>
          <w:highlight w:val="none"/>
          <w:lang w:eastAsia="zh-CN"/>
        </w:rPr>
        <w:t>。</w:t>
      </w:r>
    </w:p>
    <w:p w14:paraId="53CB9897">
      <w:pPr>
        <w:bidi w:val="0"/>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我</w:t>
      </w:r>
      <w:r>
        <w:rPr>
          <w:rFonts w:hint="eastAsia" w:ascii="仿宋" w:hAnsi="仿宋" w:eastAsia="仿宋" w:cs="仿宋"/>
          <w:color w:val="auto"/>
          <w:highlight w:val="none"/>
        </w:rPr>
        <w:t>单位承诺，上述声明内容真实、准确、完整，不存在任何虚假陈述或隐瞒。若本声明存在不实，如有虚假，则属于政府采购法第77条第1款第1项规定的“提供虚假材料谋取中标、成交的”情形，愿意承担该条规定的法律责任。</w:t>
      </w:r>
    </w:p>
    <w:p w14:paraId="047C6066">
      <w:pPr>
        <w:ind w:firstLine="480"/>
        <w:rPr>
          <w:rFonts w:hint="eastAsia" w:ascii="仿宋" w:hAnsi="仿宋" w:eastAsia="仿宋" w:cs="仿宋"/>
          <w:color w:val="auto"/>
          <w:sz w:val="28"/>
          <w:szCs w:val="28"/>
          <w:highlight w:val="none"/>
        </w:rPr>
      </w:pPr>
    </w:p>
    <w:p w14:paraId="4D0544D1">
      <w:pPr>
        <w:ind w:firstLine="48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投标人</w:t>
      </w: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（电子签章）</w:t>
      </w:r>
    </w:p>
    <w:p w14:paraId="23AC40B1">
      <w:pPr>
        <w:ind w:firstLine="48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法定代表人或委托代理人：</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 （电子签章或电子签名）</w:t>
      </w:r>
    </w:p>
    <w:p w14:paraId="39DB4FC1">
      <w:pPr>
        <w:ind w:firstLine="480"/>
        <w:jc w:val="both"/>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日  期：</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年</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月 </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日</w:t>
      </w:r>
    </w:p>
    <w:p w14:paraId="053CF05C">
      <w:pPr>
        <w:pStyle w:val="6"/>
        <w:bidi w:val="0"/>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格式</w:t>
      </w:r>
      <w:r>
        <w:rPr>
          <w:rFonts w:hint="eastAsia" w:cs="仿宋"/>
          <w:color w:val="auto"/>
          <w:highlight w:val="none"/>
          <w:lang w:val="en-US" w:eastAsia="zh-CN"/>
        </w:rPr>
        <w:t>2</w:t>
      </w:r>
      <w:r>
        <w:rPr>
          <w:rFonts w:hint="eastAsia" w:ascii="仿宋" w:hAnsi="仿宋" w:eastAsia="仿宋" w:cs="仿宋"/>
          <w:color w:val="auto"/>
          <w:highlight w:val="none"/>
          <w:lang w:val="en-US" w:eastAsia="zh-CN"/>
        </w:rPr>
        <w:t>-2：列入失信被执行人或重大税收违法失信主体或政府采购严重违法失信行为记录名单的投标人，不得参加政府采购活动。</w:t>
      </w:r>
    </w:p>
    <w:p w14:paraId="41B57232">
      <w:pPr>
        <w:bidi w:val="0"/>
        <w:rPr>
          <w:rFonts w:hint="eastAsia" w:ascii="仿宋" w:hAnsi="仿宋" w:eastAsia="仿宋" w:cs="仿宋"/>
          <w:color w:val="auto"/>
          <w:highlight w:val="none"/>
        </w:rPr>
      </w:pPr>
      <w:r>
        <w:rPr>
          <w:rFonts w:hint="eastAsia" w:ascii="仿宋" w:hAnsi="仿宋" w:eastAsia="仿宋" w:cs="仿宋"/>
          <w:color w:val="auto"/>
          <w:sz w:val="24"/>
          <w:szCs w:val="24"/>
          <w:highlight w:val="none"/>
          <w:lang w:val="en-US" w:eastAsia="zh-CN"/>
        </w:rPr>
        <w:t>说明：此部分由采购人或采购代理机构将于提交投标文件截止时间以后（或资格审查阶段）在中国执行信息公开网（https://zxgk.court.gov.cn/）失信被执行人、“信用中国”网站（www.creditchina.gov.cn）重大税收违法失信主体及中国政府采购网（www.ccgp.gov.cn）“政府采购严重违法失信行为信息记录”对投标人进行信用信息查询，同时对信用信息查询记录和证据进行打印存档。</w:t>
      </w:r>
      <w:r>
        <w:rPr>
          <w:rFonts w:hint="eastAsia" w:ascii="仿宋" w:hAnsi="仿宋" w:eastAsia="仿宋" w:cs="仿宋"/>
          <w:b/>
          <w:bCs/>
          <w:color w:val="auto"/>
          <w:sz w:val="24"/>
          <w:szCs w:val="24"/>
          <w:highlight w:val="none"/>
          <w:lang w:val="en-US" w:eastAsia="zh-CN"/>
        </w:rPr>
        <w:t>投标人不需要在投标文件中提供此项要求的内容，保留或删除此部分格式均可。</w:t>
      </w:r>
    </w:p>
    <w:p w14:paraId="77F799EF">
      <w:pPr>
        <w:ind w:firstLine="482"/>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br w:type="page"/>
      </w:r>
    </w:p>
    <w:p w14:paraId="44640D52">
      <w:pPr>
        <w:pStyle w:val="3"/>
        <w:spacing w:before="93" w:after="93"/>
        <w:ind w:firstLine="0" w:firstLineChars="0"/>
        <w:jc w:val="center"/>
        <w:rPr>
          <w:rFonts w:hint="eastAsia" w:ascii="仿宋" w:hAnsi="仿宋" w:eastAsia="仿宋" w:cs="仿宋"/>
          <w:color w:val="auto"/>
          <w:highlight w:val="none"/>
        </w:rPr>
      </w:pPr>
      <w:bookmarkStart w:id="547" w:name="_Toc30521"/>
      <w:bookmarkStart w:id="548" w:name="_Toc31352"/>
      <w:r>
        <w:rPr>
          <w:rFonts w:hint="eastAsia" w:ascii="仿宋" w:hAnsi="仿宋" w:eastAsia="仿宋" w:cs="仿宋"/>
          <w:color w:val="auto"/>
          <w:highlight w:val="none"/>
        </w:rPr>
        <w:t>商务报价文件</w:t>
      </w:r>
      <w:bookmarkEnd w:id="547"/>
      <w:bookmarkEnd w:id="548"/>
    </w:p>
    <w:p w14:paraId="77A44757">
      <w:pPr>
        <w:pStyle w:val="4"/>
        <w:spacing w:before="78" w:line="220" w:lineRule="auto"/>
        <w:ind w:firstLine="0" w:firstLineChars="0"/>
        <w:jc w:val="both"/>
        <w:rPr>
          <w:rFonts w:hint="eastAsia" w:ascii="仿宋" w:hAnsi="仿宋" w:eastAsia="仿宋" w:cs="仿宋"/>
          <w:b/>
          <w:bCs/>
          <w:color w:val="auto"/>
          <w:sz w:val="24"/>
          <w:szCs w:val="24"/>
          <w:highlight w:val="none"/>
          <w:lang w:val="en-US" w:eastAsia="zh-CN"/>
        </w:rPr>
      </w:pPr>
      <w:bookmarkStart w:id="549" w:name="_Toc27636"/>
      <w:bookmarkStart w:id="550" w:name="_Toc19077"/>
      <w:bookmarkStart w:id="551" w:name="_Toc12686"/>
      <w:bookmarkStart w:id="552" w:name="_Toc3427"/>
      <w:r>
        <w:rPr>
          <w:rFonts w:hint="eastAsia" w:ascii="仿宋" w:hAnsi="仿宋" w:eastAsia="仿宋" w:cs="仿宋"/>
          <w:b/>
          <w:bCs/>
          <w:color w:val="auto"/>
          <w:spacing w:val="-1"/>
          <w:sz w:val="24"/>
          <w:szCs w:val="24"/>
          <w:highlight w:val="none"/>
        </w:rPr>
        <w:t>投</w:t>
      </w:r>
      <w:r>
        <w:rPr>
          <w:rFonts w:hint="eastAsia" w:ascii="仿宋" w:hAnsi="仿宋" w:eastAsia="仿宋" w:cs="仿宋"/>
          <w:b/>
          <w:bCs/>
          <w:color w:val="auto"/>
          <w:spacing w:val="-68"/>
          <w:sz w:val="24"/>
          <w:szCs w:val="24"/>
          <w:highlight w:val="none"/>
        </w:rPr>
        <w:t xml:space="preserve"> </w:t>
      </w:r>
      <w:r>
        <w:rPr>
          <w:rFonts w:hint="eastAsia" w:ascii="仿宋" w:hAnsi="仿宋" w:eastAsia="仿宋" w:cs="仿宋"/>
          <w:b/>
          <w:bCs/>
          <w:color w:val="auto"/>
          <w:spacing w:val="-1"/>
          <w:sz w:val="24"/>
          <w:szCs w:val="24"/>
          <w:highlight w:val="none"/>
        </w:rPr>
        <w:t>标</w:t>
      </w:r>
      <w:r>
        <w:rPr>
          <w:rFonts w:hint="eastAsia" w:ascii="仿宋" w:hAnsi="仿宋" w:eastAsia="仿宋" w:cs="仿宋"/>
          <w:b/>
          <w:bCs/>
          <w:color w:val="auto"/>
          <w:spacing w:val="-68"/>
          <w:sz w:val="24"/>
          <w:szCs w:val="24"/>
          <w:highlight w:val="none"/>
        </w:rPr>
        <w:t xml:space="preserve"> </w:t>
      </w:r>
      <w:r>
        <w:rPr>
          <w:rFonts w:hint="eastAsia" w:ascii="仿宋" w:hAnsi="仿宋" w:eastAsia="仿宋" w:cs="仿宋"/>
          <w:b/>
          <w:bCs/>
          <w:color w:val="auto"/>
          <w:spacing w:val="-1"/>
          <w:sz w:val="24"/>
          <w:szCs w:val="24"/>
          <w:highlight w:val="none"/>
        </w:rPr>
        <w:t>文</w:t>
      </w:r>
      <w:r>
        <w:rPr>
          <w:rFonts w:hint="eastAsia" w:ascii="仿宋" w:hAnsi="仿宋" w:eastAsia="仿宋" w:cs="仿宋"/>
          <w:b/>
          <w:bCs/>
          <w:color w:val="auto"/>
          <w:spacing w:val="-71"/>
          <w:sz w:val="24"/>
          <w:szCs w:val="24"/>
          <w:highlight w:val="none"/>
        </w:rPr>
        <w:t xml:space="preserve"> </w:t>
      </w:r>
      <w:r>
        <w:rPr>
          <w:rFonts w:hint="eastAsia" w:ascii="仿宋" w:hAnsi="仿宋" w:eastAsia="仿宋" w:cs="仿宋"/>
          <w:b/>
          <w:bCs/>
          <w:color w:val="auto"/>
          <w:spacing w:val="-1"/>
          <w:sz w:val="24"/>
          <w:szCs w:val="24"/>
          <w:highlight w:val="none"/>
        </w:rPr>
        <w:t>件（商务报价文件</w:t>
      </w:r>
      <w:r>
        <w:rPr>
          <w:rFonts w:hint="eastAsia" w:ascii="仿宋" w:hAnsi="仿宋" w:eastAsia="仿宋" w:cs="仿宋"/>
          <w:b/>
          <w:bCs/>
          <w:color w:val="auto"/>
          <w:spacing w:val="-44"/>
          <w:sz w:val="24"/>
          <w:szCs w:val="24"/>
          <w:highlight w:val="none"/>
        </w:rPr>
        <w:t xml:space="preserve"> </w:t>
      </w:r>
      <w:r>
        <w:rPr>
          <w:rFonts w:hint="eastAsia" w:ascii="仿宋" w:hAnsi="仿宋" w:eastAsia="仿宋" w:cs="仿宋"/>
          <w:b/>
          <w:bCs/>
          <w:color w:val="auto"/>
          <w:spacing w:val="-1"/>
          <w:sz w:val="24"/>
          <w:szCs w:val="24"/>
          <w:highlight w:val="none"/>
        </w:rPr>
        <w:t>）封面</w:t>
      </w:r>
      <w:r>
        <w:rPr>
          <w:rFonts w:hint="eastAsia" w:ascii="仿宋" w:hAnsi="仿宋" w:eastAsia="仿宋" w:cs="仿宋"/>
          <w:b/>
          <w:bCs/>
          <w:color w:val="auto"/>
          <w:spacing w:val="-1"/>
          <w:sz w:val="24"/>
          <w:szCs w:val="24"/>
          <w:highlight w:val="none"/>
          <w:lang w:val="en-US" w:eastAsia="zh-CN"/>
        </w:rPr>
        <w:t>格式</w:t>
      </w:r>
    </w:p>
    <w:p w14:paraId="4045B884">
      <w:pPr>
        <w:ind w:firstLine="0" w:firstLineChars="0"/>
        <w:jc w:val="center"/>
        <w:rPr>
          <w:rFonts w:hint="eastAsia" w:ascii="仿宋" w:hAnsi="仿宋" w:eastAsia="仿宋" w:cs="仿宋"/>
          <w:b/>
          <w:bCs/>
          <w:color w:val="auto"/>
          <w:sz w:val="32"/>
          <w:szCs w:val="32"/>
          <w:highlight w:val="none"/>
        </w:rPr>
      </w:pPr>
    </w:p>
    <w:p w14:paraId="6F6FDF35">
      <w:pPr>
        <w:pStyle w:val="20"/>
        <w:bidi w:val="0"/>
        <w:rPr>
          <w:rFonts w:hint="eastAsia" w:ascii="仿宋" w:hAnsi="仿宋" w:eastAsia="仿宋" w:cs="仿宋"/>
          <w:color w:val="auto"/>
          <w:highlight w:val="none"/>
        </w:rPr>
      </w:pPr>
      <w:r>
        <w:rPr>
          <w:rFonts w:hint="eastAsia" w:cs="仿宋"/>
          <w:b/>
          <w:bCs/>
          <w:color w:val="auto"/>
          <w:sz w:val="44"/>
          <w:szCs w:val="44"/>
          <w:highlight w:val="none"/>
          <w:lang w:eastAsia="zh-CN"/>
        </w:rPr>
        <w:t>云南轻纺职业学院人工智能学院云计算技术应用实训室及智慧教室建设项目</w:t>
      </w:r>
      <w:r>
        <w:rPr>
          <w:rFonts w:hint="eastAsia" w:cs="仿宋"/>
          <w:b/>
          <w:bCs/>
          <w:color w:val="auto"/>
          <w:sz w:val="44"/>
          <w:szCs w:val="44"/>
          <w:highlight w:val="none"/>
          <w:lang w:eastAsia="zh-CN"/>
        </w:rPr>
        <w:t>（</w:t>
      </w:r>
      <w:r>
        <w:rPr>
          <w:rFonts w:hint="eastAsia" w:cs="仿宋"/>
          <w:b/>
          <w:bCs/>
          <w:color w:val="auto"/>
          <w:sz w:val="44"/>
          <w:szCs w:val="44"/>
          <w:highlight w:val="none"/>
          <w:lang w:val="en-US" w:eastAsia="zh-CN"/>
        </w:rPr>
        <w:t>二次</w:t>
      </w:r>
      <w:r>
        <w:rPr>
          <w:rFonts w:hint="eastAsia" w:cs="仿宋"/>
          <w:b/>
          <w:bCs/>
          <w:color w:val="auto"/>
          <w:sz w:val="44"/>
          <w:szCs w:val="44"/>
          <w:highlight w:val="none"/>
          <w:lang w:eastAsia="zh-CN"/>
        </w:rPr>
        <w:t>）</w:t>
      </w:r>
    </w:p>
    <w:p w14:paraId="34A9A5C0">
      <w:pPr>
        <w:bidi w:val="0"/>
        <w:rPr>
          <w:rFonts w:hint="eastAsia" w:ascii="仿宋" w:hAnsi="仿宋" w:eastAsia="仿宋" w:cs="仿宋"/>
          <w:color w:val="auto"/>
          <w:highlight w:val="none"/>
          <w:lang w:eastAsia="zh-CN"/>
        </w:rPr>
      </w:pPr>
    </w:p>
    <w:p w14:paraId="06CEF065">
      <w:pPr>
        <w:bidi w:val="0"/>
        <w:rPr>
          <w:rFonts w:hint="eastAsia" w:ascii="仿宋" w:hAnsi="仿宋" w:eastAsia="仿宋" w:cs="仿宋"/>
          <w:color w:val="auto"/>
          <w:highlight w:val="none"/>
        </w:rPr>
      </w:pPr>
    </w:p>
    <w:p w14:paraId="3E071594">
      <w:pPr>
        <w:bidi w:val="0"/>
        <w:rPr>
          <w:rFonts w:hint="eastAsia" w:ascii="仿宋" w:hAnsi="仿宋" w:eastAsia="仿宋" w:cs="仿宋"/>
          <w:color w:val="auto"/>
          <w:highlight w:val="none"/>
        </w:rPr>
      </w:pPr>
    </w:p>
    <w:p w14:paraId="21C4DFAA">
      <w:pPr>
        <w:bidi w:val="0"/>
        <w:rPr>
          <w:rFonts w:hint="eastAsia" w:ascii="仿宋" w:hAnsi="仿宋" w:eastAsia="仿宋" w:cs="仿宋"/>
          <w:color w:val="auto"/>
          <w:highlight w:val="none"/>
        </w:rPr>
      </w:pPr>
    </w:p>
    <w:p w14:paraId="2D0020EC">
      <w:pPr>
        <w:pStyle w:val="20"/>
        <w:rPr>
          <w:rFonts w:hint="eastAsia" w:ascii="仿宋" w:hAnsi="仿宋" w:eastAsia="仿宋" w:cs="仿宋"/>
          <w:b/>
          <w:color w:val="auto"/>
          <w:sz w:val="72"/>
          <w:szCs w:val="72"/>
          <w:highlight w:val="none"/>
        </w:rPr>
      </w:pPr>
      <w:r>
        <w:rPr>
          <w:rFonts w:hint="eastAsia" w:ascii="仿宋" w:hAnsi="仿宋" w:eastAsia="仿宋" w:cs="仿宋"/>
          <w:b/>
          <w:color w:val="auto"/>
          <w:sz w:val="96"/>
          <w:szCs w:val="96"/>
          <w:highlight w:val="none"/>
        </w:rPr>
        <w:t>投标文件</w:t>
      </w:r>
    </w:p>
    <w:p w14:paraId="06968229">
      <w:pPr>
        <w:pStyle w:val="33"/>
        <w:ind w:left="0" w:leftChars="0" w:firstLine="0" w:firstLineChars="0"/>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（商务报价文件）</w:t>
      </w:r>
    </w:p>
    <w:p w14:paraId="43C89E9E">
      <w:pPr>
        <w:pStyle w:val="33"/>
        <w:ind w:left="0" w:leftChars="0" w:firstLine="0" w:firstLineChars="0"/>
        <w:jc w:val="center"/>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项目编号：</w:t>
      </w:r>
      <w:r>
        <w:rPr>
          <w:rFonts w:hint="eastAsia" w:ascii="仿宋" w:eastAsia="仿宋" w:cs="仿宋"/>
          <w:color w:val="auto"/>
          <w:sz w:val="28"/>
          <w:szCs w:val="28"/>
          <w:highlight w:val="none"/>
          <w:lang w:eastAsia="zh-CN"/>
        </w:rPr>
        <w:t>云润招字 HW2026-120</w:t>
      </w:r>
    </w:p>
    <w:p w14:paraId="5F9BDD8E">
      <w:pPr>
        <w:bidi w:val="0"/>
        <w:rPr>
          <w:rFonts w:hint="eastAsia" w:ascii="仿宋" w:hAnsi="仿宋" w:eastAsia="仿宋" w:cs="仿宋"/>
          <w:color w:val="auto"/>
          <w:highlight w:val="none"/>
        </w:rPr>
      </w:pPr>
    </w:p>
    <w:p w14:paraId="5CB84A1B">
      <w:pPr>
        <w:bidi w:val="0"/>
        <w:rPr>
          <w:rFonts w:hint="eastAsia" w:ascii="仿宋" w:hAnsi="仿宋" w:eastAsia="仿宋" w:cs="仿宋"/>
          <w:color w:val="auto"/>
          <w:highlight w:val="none"/>
        </w:rPr>
      </w:pPr>
    </w:p>
    <w:p w14:paraId="629F50E2">
      <w:pPr>
        <w:bidi w:val="0"/>
        <w:rPr>
          <w:rFonts w:hint="eastAsia" w:ascii="仿宋" w:hAnsi="仿宋" w:eastAsia="仿宋" w:cs="仿宋"/>
          <w:color w:val="auto"/>
          <w:highlight w:val="none"/>
        </w:rPr>
      </w:pPr>
    </w:p>
    <w:p w14:paraId="705D48B8">
      <w:pPr>
        <w:ind w:firstLine="904" w:firstLineChars="300"/>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lang w:eastAsia="zh-CN"/>
        </w:rPr>
        <w:t>投标人</w:t>
      </w:r>
      <w:r>
        <w:rPr>
          <w:rFonts w:hint="eastAsia" w:ascii="仿宋" w:hAnsi="仿宋" w:eastAsia="仿宋" w:cs="仿宋"/>
          <w:b/>
          <w:bCs/>
          <w:color w:val="auto"/>
          <w:sz w:val="30"/>
          <w:szCs w:val="30"/>
          <w:highlight w:val="none"/>
        </w:rPr>
        <w:t>：</w:t>
      </w:r>
      <w:r>
        <w:rPr>
          <w:rFonts w:hint="eastAsia" w:ascii="仿宋" w:hAnsi="仿宋" w:eastAsia="仿宋" w:cs="仿宋"/>
          <w:b/>
          <w:bCs/>
          <w:color w:val="auto"/>
          <w:sz w:val="30"/>
          <w:szCs w:val="30"/>
          <w:highlight w:val="none"/>
          <w:u w:val="single"/>
        </w:rPr>
        <w:t xml:space="preserve">             </w:t>
      </w:r>
      <w:r>
        <w:rPr>
          <w:rFonts w:hint="eastAsia" w:ascii="仿宋" w:hAnsi="仿宋" w:eastAsia="仿宋" w:cs="仿宋"/>
          <w:b/>
          <w:bCs/>
          <w:color w:val="auto"/>
          <w:sz w:val="30"/>
          <w:szCs w:val="30"/>
          <w:highlight w:val="none"/>
        </w:rPr>
        <w:t>（电子签章）</w:t>
      </w:r>
    </w:p>
    <w:p w14:paraId="09AC3E0E">
      <w:pPr>
        <w:ind w:firstLine="904" w:firstLineChars="300"/>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t>法定代表人或委托代理人：</w:t>
      </w:r>
      <w:r>
        <w:rPr>
          <w:rFonts w:hint="eastAsia" w:ascii="仿宋" w:hAnsi="仿宋" w:eastAsia="仿宋" w:cs="仿宋"/>
          <w:b/>
          <w:bCs/>
          <w:color w:val="auto"/>
          <w:sz w:val="30"/>
          <w:szCs w:val="30"/>
          <w:highlight w:val="none"/>
          <w:u w:val="single"/>
        </w:rPr>
        <w:t xml:space="preserve">          </w:t>
      </w:r>
      <w:r>
        <w:rPr>
          <w:rFonts w:hint="eastAsia" w:ascii="仿宋" w:hAnsi="仿宋" w:eastAsia="仿宋" w:cs="仿宋"/>
          <w:b/>
          <w:bCs/>
          <w:color w:val="auto"/>
          <w:sz w:val="30"/>
          <w:szCs w:val="30"/>
          <w:highlight w:val="none"/>
        </w:rPr>
        <w:t xml:space="preserve"> （电子签章或电子签名）</w:t>
      </w:r>
    </w:p>
    <w:p w14:paraId="2CFD6B51">
      <w:pPr>
        <w:ind w:firstLine="904" w:firstLineChars="300"/>
        <w:rPr>
          <w:rFonts w:hint="eastAsia" w:ascii="仿宋" w:hAnsi="仿宋" w:eastAsia="仿宋" w:cs="仿宋"/>
          <w:color w:val="auto"/>
          <w:highlight w:val="none"/>
        </w:rPr>
      </w:pPr>
      <w:r>
        <w:rPr>
          <w:rFonts w:hint="eastAsia" w:ascii="仿宋" w:hAnsi="仿宋" w:eastAsia="仿宋" w:cs="仿宋"/>
          <w:b/>
          <w:bCs/>
          <w:color w:val="auto"/>
          <w:sz w:val="30"/>
          <w:szCs w:val="30"/>
          <w:highlight w:val="none"/>
        </w:rPr>
        <w:t>日  期：</w:t>
      </w:r>
      <w:r>
        <w:rPr>
          <w:rFonts w:hint="eastAsia" w:ascii="仿宋" w:hAnsi="仿宋" w:eastAsia="仿宋" w:cs="仿宋"/>
          <w:b/>
          <w:bCs/>
          <w:color w:val="auto"/>
          <w:sz w:val="30"/>
          <w:szCs w:val="30"/>
          <w:highlight w:val="none"/>
          <w:u w:val="single"/>
        </w:rPr>
        <w:t xml:space="preserve">       </w:t>
      </w:r>
      <w:r>
        <w:rPr>
          <w:rFonts w:hint="eastAsia" w:ascii="仿宋" w:hAnsi="仿宋" w:eastAsia="仿宋" w:cs="仿宋"/>
          <w:b/>
          <w:bCs/>
          <w:color w:val="auto"/>
          <w:sz w:val="30"/>
          <w:szCs w:val="30"/>
          <w:highlight w:val="none"/>
        </w:rPr>
        <w:t>年</w:t>
      </w:r>
      <w:r>
        <w:rPr>
          <w:rFonts w:hint="eastAsia" w:ascii="仿宋" w:hAnsi="仿宋" w:eastAsia="仿宋" w:cs="仿宋"/>
          <w:b/>
          <w:bCs/>
          <w:color w:val="auto"/>
          <w:sz w:val="30"/>
          <w:szCs w:val="30"/>
          <w:highlight w:val="none"/>
          <w:u w:val="single"/>
        </w:rPr>
        <w:t xml:space="preserve">        </w:t>
      </w:r>
      <w:r>
        <w:rPr>
          <w:rFonts w:hint="eastAsia" w:ascii="仿宋" w:hAnsi="仿宋" w:eastAsia="仿宋" w:cs="仿宋"/>
          <w:b/>
          <w:bCs/>
          <w:color w:val="auto"/>
          <w:sz w:val="30"/>
          <w:szCs w:val="30"/>
          <w:highlight w:val="none"/>
        </w:rPr>
        <w:t xml:space="preserve">月 </w:t>
      </w:r>
      <w:r>
        <w:rPr>
          <w:rFonts w:hint="eastAsia" w:ascii="仿宋" w:hAnsi="仿宋" w:eastAsia="仿宋" w:cs="仿宋"/>
          <w:b/>
          <w:bCs/>
          <w:color w:val="auto"/>
          <w:sz w:val="30"/>
          <w:szCs w:val="30"/>
          <w:highlight w:val="none"/>
          <w:u w:val="single"/>
        </w:rPr>
        <w:t xml:space="preserve">      </w:t>
      </w:r>
      <w:r>
        <w:rPr>
          <w:rFonts w:hint="eastAsia" w:ascii="仿宋" w:hAnsi="仿宋" w:eastAsia="仿宋" w:cs="仿宋"/>
          <w:b/>
          <w:bCs/>
          <w:color w:val="auto"/>
          <w:sz w:val="30"/>
          <w:szCs w:val="30"/>
          <w:highlight w:val="none"/>
        </w:rPr>
        <w:t>日</w:t>
      </w:r>
      <w:r>
        <w:rPr>
          <w:rFonts w:hint="eastAsia" w:ascii="仿宋" w:hAnsi="仿宋" w:eastAsia="仿宋" w:cs="仿宋"/>
          <w:color w:val="auto"/>
          <w:highlight w:val="none"/>
        </w:rPr>
        <w:br w:type="page"/>
      </w:r>
    </w:p>
    <w:p w14:paraId="20819A5B">
      <w:pPr>
        <w:pStyle w:val="5"/>
        <w:ind w:firstLine="602"/>
        <w:rPr>
          <w:rFonts w:hint="eastAsia" w:ascii="仿宋" w:hAnsi="仿宋" w:eastAsia="仿宋" w:cs="仿宋"/>
          <w:color w:val="auto"/>
          <w:highlight w:val="none"/>
          <w:lang w:eastAsia="zh-CN"/>
        </w:rPr>
      </w:pPr>
      <w:bookmarkStart w:id="553" w:name="_Toc5423"/>
      <w:r>
        <w:rPr>
          <w:rFonts w:hint="eastAsia" w:ascii="仿宋" w:hAnsi="仿宋" w:eastAsia="仿宋" w:cs="仿宋"/>
          <w:color w:val="auto"/>
          <w:highlight w:val="none"/>
        </w:rPr>
        <w:t>格式1：投标函</w:t>
      </w:r>
      <w:bookmarkEnd w:id="549"/>
      <w:bookmarkEnd w:id="550"/>
      <w:bookmarkEnd w:id="551"/>
      <w:bookmarkEnd w:id="552"/>
      <w:bookmarkEnd w:id="553"/>
    </w:p>
    <w:p w14:paraId="3D6D1AA4">
      <w:pPr>
        <w:pStyle w:val="20"/>
        <w:spacing w:line="600" w:lineRule="auto"/>
        <w:rPr>
          <w:rFonts w:hint="eastAsia" w:ascii="仿宋" w:hAnsi="仿宋" w:eastAsia="仿宋" w:cs="仿宋"/>
          <w:b/>
          <w:bCs/>
          <w:color w:val="auto"/>
          <w:sz w:val="48"/>
          <w:szCs w:val="40"/>
          <w:highlight w:val="none"/>
        </w:rPr>
      </w:pPr>
      <w:r>
        <w:rPr>
          <w:rFonts w:hint="eastAsia" w:ascii="仿宋" w:hAnsi="仿宋" w:eastAsia="仿宋" w:cs="仿宋"/>
          <w:b/>
          <w:bCs/>
          <w:color w:val="auto"/>
          <w:sz w:val="48"/>
          <w:szCs w:val="40"/>
          <w:highlight w:val="none"/>
        </w:rPr>
        <w:t>投标函</w:t>
      </w:r>
    </w:p>
    <w:p w14:paraId="65CCCBD7">
      <w:pPr>
        <w:ind w:firstLine="0" w:firstLineChars="0"/>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致：</w:t>
      </w:r>
      <w:r>
        <w:rPr>
          <w:rFonts w:hint="eastAsia" w:cs="仿宋"/>
          <w:b/>
          <w:bCs/>
          <w:color w:val="auto"/>
          <w:sz w:val="28"/>
          <w:szCs w:val="28"/>
          <w:highlight w:val="none"/>
          <w:u w:val="single"/>
          <w:lang w:eastAsia="zh-CN"/>
        </w:rPr>
        <w:t>云南轻纺职业学院</w:t>
      </w:r>
    </w:p>
    <w:p w14:paraId="7031CB1D">
      <w:pPr>
        <w:bidi w:val="0"/>
        <w:rPr>
          <w:rFonts w:hint="eastAsia" w:ascii="仿宋" w:hAnsi="仿宋" w:eastAsia="仿宋" w:cs="仿宋"/>
          <w:color w:val="auto"/>
          <w:highlight w:val="none"/>
        </w:rPr>
      </w:pPr>
      <w:r>
        <w:rPr>
          <w:rFonts w:hint="eastAsia" w:ascii="仿宋" w:hAnsi="仿宋" w:eastAsia="仿宋" w:cs="仿宋"/>
          <w:color w:val="auto"/>
          <w:highlight w:val="none"/>
        </w:rPr>
        <w:t>我方仔细研究了</w:t>
      </w:r>
      <w:r>
        <w:rPr>
          <w:rFonts w:hint="eastAsia" w:cs="仿宋"/>
          <w:b/>
          <w:bCs/>
          <w:color w:val="auto"/>
          <w:highlight w:val="none"/>
          <w:u w:val="single"/>
          <w:lang w:eastAsia="zh-CN"/>
        </w:rPr>
        <w:t>云南轻纺职业学院人工智能学院云计算技术应用实训室及智慧教室建设项目</w:t>
      </w:r>
      <w:r>
        <w:rPr>
          <w:rFonts w:hint="eastAsia" w:cs="仿宋"/>
          <w:b/>
          <w:bCs/>
          <w:color w:val="auto"/>
          <w:highlight w:val="none"/>
          <w:u w:val="single"/>
          <w:lang w:eastAsia="zh-CN"/>
        </w:rPr>
        <w:t>（</w:t>
      </w:r>
      <w:r>
        <w:rPr>
          <w:rFonts w:hint="eastAsia" w:cs="仿宋"/>
          <w:b/>
          <w:bCs/>
          <w:color w:val="auto"/>
          <w:highlight w:val="none"/>
          <w:u w:val="single"/>
          <w:lang w:val="en-US" w:eastAsia="zh-CN"/>
        </w:rPr>
        <w:t>二次</w:t>
      </w:r>
      <w:r>
        <w:rPr>
          <w:rFonts w:hint="eastAsia" w:cs="仿宋"/>
          <w:b/>
          <w:bCs/>
          <w:color w:val="auto"/>
          <w:highlight w:val="none"/>
          <w:u w:val="single"/>
          <w:lang w:eastAsia="zh-CN"/>
        </w:rPr>
        <w:t>）</w:t>
      </w:r>
      <w:r>
        <w:rPr>
          <w:rFonts w:hint="eastAsia" w:ascii="仿宋" w:hAnsi="仿宋" w:eastAsia="仿宋" w:cs="仿宋"/>
          <w:b/>
          <w:bCs/>
          <w:color w:val="auto"/>
          <w:highlight w:val="none"/>
          <w:u w:val="single"/>
          <w:lang w:eastAsia="zh-CN"/>
        </w:rPr>
        <w:t>（项目编号：</w:t>
      </w:r>
      <w:r>
        <w:rPr>
          <w:rFonts w:hint="eastAsia" w:cs="仿宋"/>
          <w:b/>
          <w:bCs/>
          <w:color w:val="auto"/>
          <w:highlight w:val="none"/>
          <w:u w:val="single"/>
          <w:lang w:eastAsia="zh-CN"/>
        </w:rPr>
        <w:t>云润招字 HW2026-120</w:t>
      </w:r>
      <w:r>
        <w:rPr>
          <w:rFonts w:hint="eastAsia" w:ascii="仿宋" w:hAnsi="仿宋" w:eastAsia="仿宋" w:cs="仿宋"/>
          <w:b/>
          <w:bCs/>
          <w:color w:val="auto"/>
          <w:highlight w:val="none"/>
          <w:u w:val="single"/>
          <w:lang w:eastAsia="zh-CN"/>
        </w:rPr>
        <w:t>）</w:t>
      </w:r>
      <w:r>
        <w:rPr>
          <w:rFonts w:hint="eastAsia" w:ascii="仿宋" w:hAnsi="仿宋" w:eastAsia="仿宋" w:cs="仿宋"/>
          <w:color w:val="auto"/>
          <w:highlight w:val="none"/>
          <w:lang w:val="en-US" w:eastAsia="zh-CN"/>
        </w:rPr>
        <w:t>的</w:t>
      </w:r>
      <w:r>
        <w:rPr>
          <w:rFonts w:hint="eastAsia" w:ascii="仿宋" w:hAnsi="仿宋" w:eastAsia="仿宋" w:cs="仿宋"/>
          <w:color w:val="auto"/>
          <w:highlight w:val="none"/>
          <w:lang w:eastAsia="zh-CN"/>
        </w:rPr>
        <w:t>招标文件</w:t>
      </w:r>
      <w:r>
        <w:rPr>
          <w:rFonts w:hint="eastAsia" w:ascii="仿宋" w:hAnsi="仿宋" w:eastAsia="仿宋" w:cs="仿宋"/>
          <w:color w:val="auto"/>
          <w:highlight w:val="none"/>
        </w:rPr>
        <w:t>的全部内容，正式授权</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u w:val="single"/>
          <w:lang w:val="en-US" w:eastAsia="zh-CN"/>
        </w:rPr>
        <w:t xml:space="preserve">         </w:t>
      </w:r>
      <w:r>
        <w:rPr>
          <w:rFonts w:hint="eastAsia" w:ascii="仿宋" w:hAnsi="仿宋" w:eastAsia="仿宋" w:cs="仿宋"/>
          <w:color w:val="auto"/>
          <w:highlight w:val="none"/>
        </w:rPr>
        <w:t>（姓名）全权代表</w:t>
      </w:r>
      <w:r>
        <w:rPr>
          <w:rFonts w:hint="eastAsia" w:ascii="仿宋" w:hAnsi="仿宋" w:eastAsia="仿宋" w:cs="仿宋"/>
          <w:color w:val="auto"/>
          <w:highlight w:val="none"/>
          <w:lang w:eastAsia="zh-CN"/>
        </w:rPr>
        <w:t>投标人</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u w:val="single"/>
          <w:lang w:val="en-US" w:eastAsia="zh-CN"/>
        </w:rPr>
        <w:t xml:space="preserve">    </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w:t>
      </w:r>
      <w:r>
        <w:rPr>
          <w:rFonts w:hint="eastAsia" w:ascii="仿宋" w:hAnsi="仿宋" w:eastAsia="仿宋" w:cs="仿宋"/>
          <w:color w:val="auto"/>
          <w:highlight w:val="none"/>
          <w:lang w:eastAsia="zh-CN"/>
        </w:rPr>
        <w:t>投标人</w:t>
      </w:r>
      <w:r>
        <w:rPr>
          <w:rFonts w:hint="eastAsia" w:ascii="仿宋" w:hAnsi="仿宋" w:eastAsia="仿宋" w:cs="仿宋"/>
          <w:color w:val="auto"/>
          <w:highlight w:val="none"/>
        </w:rPr>
        <w:t>全称）参加投标，并提交投标文件。</w:t>
      </w:r>
    </w:p>
    <w:p w14:paraId="72D2C4E8">
      <w:pPr>
        <w:ind w:firstLine="48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据此投标函，我单位兹宣布同意如下：</w:t>
      </w:r>
    </w:p>
    <w:p w14:paraId="75FD18B1">
      <w:pPr>
        <w:ind w:firstLine="48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1、按</w:t>
      </w:r>
      <w:r>
        <w:rPr>
          <w:rFonts w:hint="eastAsia" w:ascii="仿宋" w:hAnsi="仿宋" w:eastAsia="仿宋" w:cs="仿宋"/>
          <w:color w:val="auto"/>
          <w:sz w:val="28"/>
          <w:szCs w:val="28"/>
          <w:highlight w:val="none"/>
          <w:lang w:eastAsia="zh-CN"/>
        </w:rPr>
        <w:t>招标文件</w:t>
      </w:r>
      <w:r>
        <w:rPr>
          <w:rFonts w:hint="eastAsia" w:ascii="仿宋" w:hAnsi="仿宋" w:eastAsia="仿宋" w:cs="仿宋"/>
          <w:color w:val="auto"/>
          <w:sz w:val="28"/>
          <w:szCs w:val="28"/>
          <w:highlight w:val="none"/>
        </w:rPr>
        <w:t>采购需求，我方</w:t>
      </w:r>
      <w:r>
        <w:rPr>
          <w:rFonts w:hint="eastAsia" w:ascii="仿宋" w:hAnsi="仿宋" w:eastAsia="仿宋" w:cs="仿宋"/>
          <w:color w:val="auto"/>
          <w:sz w:val="28"/>
          <w:szCs w:val="28"/>
          <w:highlight w:val="none"/>
          <w:lang w:val="en-US" w:eastAsia="zh-CN"/>
        </w:rPr>
        <w:t>将按照投标文件“开标一览表”填写的内容参加投标</w:t>
      </w:r>
      <w:r>
        <w:rPr>
          <w:rFonts w:hint="eastAsia" w:ascii="仿宋" w:hAnsi="仿宋" w:eastAsia="仿宋" w:cs="仿宋"/>
          <w:color w:val="auto"/>
          <w:sz w:val="28"/>
          <w:szCs w:val="28"/>
          <w:highlight w:val="none"/>
        </w:rPr>
        <w:t>。</w:t>
      </w:r>
    </w:p>
    <w:p w14:paraId="3F4F7EBE">
      <w:pPr>
        <w:ind w:firstLine="48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2、我方将按</w:t>
      </w:r>
      <w:r>
        <w:rPr>
          <w:rFonts w:hint="eastAsia" w:ascii="仿宋" w:hAnsi="仿宋" w:eastAsia="仿宋" w:cs="仿宋"/>
          <w:color w:val="auto"/>
          <w:sz w:val="28"/>
          <w:szCs w:val="28"/>
          <w:highlight w:val="none"/>
          <w:lang w:eastAsia="zh-CN"/>
        </w:rPr>
        <w:t>招标文件</w:t>
      </w:r>
      <w:r>
        <w:rPr>
          <w:rFonts w:hint="eastAsia" w:ascii="仿宋" w:hAnsi="仿宋" w:eastAsia="仿宋" w:cs="仿宋"/>
          <w:color w:val="auto"/>
          <w:sz w:val="28"/>
          <w:szCs w:val="28"/>
          <w:highlight w:val="none"/>
        </w:rPr>
        <w:t>的规定履行合同责任和义务。</w:t>
      </w:r>
    </w:p>
    <w:p w14:paraId="00D8363A">
      <w:pPr>
        <w:ind w:firstLine="48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3、我方已详细审查全部</w:t>
      </w:r>
      <w:r>
        <w:rPr>
          <w:rFonts w:hint="eastAsia" w:ascii="仿宋" w:hAnsi="仿宋" w:eastAsia="仿宋" w:cs="仿宋"/>
          <w:color w:val="auto"/>
          <w:sz w:val="28"/>
          <w:szCs w:val="28"/>
          <w:highlight w:val="none"/>
          <w:lang w:eastAsia="zh-CN"/>
        </w:rPr>
        <w:t>招标文件</w:t>
      </w:r>
      <w:r>
        <w:rPr>
          <w:rFonts w:hint="eastAsia" w:ascii="仿宋" w:hAnsi="仿宋" w:eastAsia="仿宋" w:cs="仿宋"/>
          <w:color w:val="auto"/>
          <w:sz w:val="28"/>
          <w:szCs w:val="28"/>
          <w:highlight w:val="none"/>
        </w:rPr>
        <w:t>，包括更正公告以及全部参考资料和所有附件。我们完全理解并同意放弃对这方面有不明及误解的权利，并认为全部</w:t>
      </w:r>
      <w:r>
        <w:rPr>
          <w:rFonts w:hint="eastAsia" w:ascii="仿宋" w:hAnsi="仿宋" w:eastAsia="仿宋" w:cs="仿宋"/>
          <w:color w:val="auto"/>
          <w:sz w:val="28"/>
          <w:szCs w:val="28"/>
          <w:highlight w:val="none"/>
          <w:lang w:eastAsia="zh-CN"/>
        </w:rPr>
        <w:t>招标文件</w:t>
      </w:r>
      <w:r>
        <w:rPr>
          <w:rFonts w:hint="eastAsia" w:ascii="仿宋" w:hAnsi="仿宋" w:eastAsia="仿宋" w:cs="仿宋"/>
          <w:color w:val="auto"/>
          <w:sz w:val="28"/>
          <w:szCs w:val="28"/>
          <w:highlight w:val="none"/>
        </w:rPr>
        <w:t>（包括更正公告以及全部参考资料和所有附件）公平公正，无倾向性和排他性。</w:t>
      </w:r>
    </w:p>
    <w:p w14:paraId="39AAB618">
      <w:pPr>
        <w:ind w:firstLine="48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4、我方的投标有效期为从提交</w:t>
      </w:r>
      <w:r>
        <w:rPr>
          <w:rFonts w:hint="eastAsia" w:ascii="仿宋" w:hAnsi="仿宋" w:eastAsia="仿宋" w:cs="仿宋"/>
          <w:color w:val="auto"/>
          <w:sz w:val="28"/>
          <w:szCs w:val="28"/>
          <w:highlight w:val="none"/>
          <w:lang w:eastAsia="zh-CN"/>
        </w:rPr>
        <w:t>投标文件截止之日起90日历天</w:t>
      </w:r>
      <w:r>
        <w:rPr>
          <w:rFonts w:hint="eastAsia" w:ascii="仿宋" w:hAnsi="仿宋" w:eastAsia="仿宋" w:cs="仿宋"/>
          <w:color w:val="auto"/>
          <w:sz w:val="28"/>
          <w:szCs w:val="28"/>
          <w:highlight w:val="none"/>
        </w:rPr>
        <w:t>。</w:t>
      </w:r>
    </w:p>
    <w:p w14:paraId="608C5C56">
      <w:pPr>
        <w:ind w:firstLine="48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5、我方同意按照招标方要求提供的与投标有关的一切数据或资料，并声明投标文件及所提供的一切资料均真实有效。由于我方提供资料不实而造成的责任和后果由我方自行承担。</w:t>
      </w:r>
    </w:p>
    <w:p w14:paraId="3292FA45">
      <w:pPr>
        <w:ind w:firstLine="48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6、我方保证所投产品来自合法的供货渠道，若中标，则有义务向采购人提供其需要的有效书面证明材料。如果提供非法渠道的商品，视为欺诈，并承担相关责任。</w:t>
      </w:r>
    </w:p>
    <w:p w14:paraId="0B39640F">
      <w:pPr>
        <w:ind w:firstLine="48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7、我方承诺完全符合《</w:t>
      </w:r>
      <w:r>
        <w:rPr>
          <w:rFonts w:hint="eastAsia" w:ascii="仿宋" w:hAnsi="仿宋" w:eastAsia="仿宋" w:cs="仿宋"/>
          <w:color w:val="auto"/>
          <w:sz w:val="28"/>
          <w:szCs w:val="28"/>
          <w:highlight w:val="none"/>
          <w:lang w:eastAsia="zh-CN"/>
        </w:rPr>
        <w:t>中华人民共和国政府采购法</w:t>
      </w: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lang w:eastAsia="zh-CN"/>
        </w:rPr>
        <w:t>中华人民共和国政府采购法实施条例</w:t>
      </w:r>
      <w:r>
        <w:rPr>
          <w:rFonts w:hint="eastAsia" w:ascii="仿宋" w:hAnsi="仿宋" w:eastAsia="仿宋" w:cs="仿宋"/>
          <w:color w:val="auto"/>
          <w:sz w:val="28"/>
          <w:szCs w:val="28"/>
          <w:highlight w:val="none"/>
        </w:rPr>
        <w:t>》等法律法规规定，并随时接受采购人、采购代理机构的检查验证。在整个招标过程中，我方若有违规行为，我方完全接受采购人依照相关法律法规和</w:t>
      </w:r>
      <w:r>
        <w:rPr>
          <w:rFonts w:hint="eastAsia" w:ascii="仿宋" w:hAnsi="仿宋" w:eastAsia="仿宋" w:cs="仿宋"/>
          <w:color w:val="auto"/>
          <w:sz w:val="28"/>
          <w:szCs w:val="28"/>
          <w:highlight w:val="none"/>
          <w:lang w:eastAsia="zh-CN"/>
        </w:rPr>
        <w:t>招标文件</w:t>
      </w:r>
      <w:r>
        <w:rPr>
          <w:rFonts w:hint="eastAsia" w:ascii="仿宋" w:hAnsi="仿宋" w:eastAsia="仿宋" w:cs="仿宋"/>
          <w:color w:val="auto"/>
          <w:sz w:val="28"/>
          <w:szCs w:val="28"/>
          <w:highlight w:val="none"/>
        </w:rPr>
        <w:t>的规定给予处罚。</w:t>
      </w:r>
    </w:p>
    <w:p w14:paraId="489B7B13">
      <w:pPr>
        <w:ind w:firstLine="48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8、我方若中标，本</w:t>
      </w:r>
      <w:r>
        <w:rPr>
          <w:rFonts w:hint="eastAsia" w:ascii="仿宋" w:hAnsi="仿宋" w:eastAsia="仿宋" w:cs="仿宋"/>
          <w:color w:val="auto"/>
          <w:sz w:val="28"/>
          <w:szCs w:val="28"/>
          <w:highlight w:val="none"/>
          <w:lang w:val="en-US" w:eastAsia="zh-CN"/>
        </w:rPr>
        <w:t>投标函</w:t>
      </w:r>
      <w:r>
        <w:rPr>
          <w:rFonts w:hint="eastAsia" w:ascii="仿宋" w:hAnsi="仿宋" w:eastAsia="仿宋" w:cs="仿宋"/>
          <w:color w:val="auto"/>
          <w:sz w:val="28"/>
          <w:szCs w:val="28"/>
          <w:highlight w:val="none"/>
        </w:rPr>
        <w:t>将成为合同不可分割的一部分，与合同具有同等的法律效力。</w:t>
      </w:r>
    </w:p>
    <w:p w14:paraId="43B99967">
      <w:pPr>
        <w:ind w:firstLine="48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9</w:t>
      </w:r>
      <w:r>
        <w:rPr>
          <w:rFonts w:hint="eastAsia" w:ascii="仿宋" w:hAnsi="仿宋" w:eastAsia="仿宋" w:cs="仿宋"/>
          <w:color w:val="auto"/>
          <w:sz w:val="28"/>
          <w:szCs w:val="28"/>
          <w:highlight w:val="none"/>
        </w:rPr>
        <w:t>、如违反上述承诺，我方投标无效且接受相关部门依法作出的处罚。</w:t>
      </w:r>
    </w:p>
    <w:p w14:paraId="473C36E7">
      <w:pPr>
        <w:ind w:firstLine="480"/>
        <w:rPr>
          <w:rFonts w:hint="eastAsia" w:ascii="仿宋" w:hAnsi="仿宋" w:eastAsia="仿宋" w:cs="仿宋"/>
          <w:color w:val="auto"/>
          <w:sz w:val="28"/>
          <w:szCs w:val="28"/>
          <w:highlight w:val="none"/>
        </w:rPr>
      </w:pPr>
    </w:p>
    <w:p w14:paraId="3EED59CE">
      <w:pPr>
        <w:ind w:firstLine="48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投标人</w:t>
      </w: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（电子签章）</w:t>
      </w:r>
    </w:p>
    <w:p w14:paraId="78A03E40">
      <w:pPr>
        <w:ind w:firstLine="48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法定代表人或委托代理人：</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 （电子签章或电子签名）</w:t>
      </w:r>
    </w:p>
    <w:p w14:paraId="020BDBB7">
      <w:pPr>
        <w:ind w:firstLine="48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日  期：</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年</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月 </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日</w:t>
      </w:r>
    </w:p>
    <w:p w14:paraId="7CB30561">
      <w:pPr>
        <w:ind w:firstLine="48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br w:type="page"/>
      </w:r>
    </w:p>
    <w:p w14:paraId="20FC5DCF">
      <w:pPr>
        <w:pStyle w:val="5"/>
        <w:ind w:firstLine="0" w:firstLineChars="0"/>
        <w:rPr>
          <w:rFonts w:hint="eastAsia" w:ascii="仿宋" w:hAnsi="仿宋" w:eastAsia="仿宋" w:cs="仿宋"/>
          <w:color w:val="auto"/>
          <w:highlight w:val="none"/>
          <w:lang w:eastAsia="zh-CN"/>
        </w:rPr>
      </w:pPr>
      <w:bookmarkStart w:id="554" w:name="_Toc25962"/>
      <w:bookmarkStart w:id="555" w:name="_Toc18209"/>
      <w:bookmarkStart w:id="556" w:name="_Toc25928"/>
      <w:bookmarkStart w:id="557" w:name="_Toc12029"/>
      <w:bookmarkStart w:id="558" w:name="_Toc11789"/>
      <w:bookmarkStart w:id="559" w:name="_Toc24350"/>
      <w:r>
        <w:rPr>
          <w:rFonts w:hint="eastAsia" w:ascii="仿宋" w:hAnsi="仿宋" w:eastAsia="仿宋" w:cs="仿宋"/>
          <w:color w:val="auto"/>
          <w:highlight w:val="none"/>
        </w:rPr>
        <w:t>格式2：法定代表人身份证明书及授权委托书</w:t>
      </w:r>
      <w:bookmarkEnd w:id="554"/>
      <w:bookmarkEnd w:id="555"/>
      <w:bookmarkEnd w:id="556"/>
    </w:p>
    <w:bookmarkEnd w:id="557"/>
    <w:bookmarkEnd w:id="558"/>
    <w:bookmarkEnd w:id="559"/>
    <w:p w14:paraId="1F9CF082">
      <w:pPr>
        <w:pStyle w:val="20"/>
        <w:spacing w:line="600" w:lineRule="auto"/>
        <w:rPr>
          <w:rFonts w:hint="eastAsia" w:ascii="仿宋" w:hAnsi="仿宋" w:eastAsia="仿宋" w:cs="仿宋"/>
          <w:b/>
          <w:bCs/>
          <w:color w:val="auto"/>
          <w:sz w:val="48"/>
          <w:szCs w:val="40"/>
          <w:highlight w:val="none"/>
        </w:rPr>
      </w:pPr>
      <w:r>
        <w:rPr>
          <w:rFonts w:hint="eastAsia" w:ascii="仿宋" w:hAnsi="仿宋" w:eastAsia="仿宋" w:cs="仿宋"/>
          <w:b/>
          <w:bCs/>
          <w:color w:val="auto"/>
          <w:sz w:val="48"/>
          <w:szCs w:val="40"/>
          <w:highlight w:val="none"/>
        </w:rPr>
        <w:t>法定代表人身份证明书</w:t>
      </w:r>
    </w:p>
    <w:p w14:paraId="79EC5F3B">
      <w:pPr>
        <w:ind w:firstLine="560"/>
        <w:rPr>
          <w:rFonts w:hint="eastAsia" w:ascii="仿宋" w:hAnsi="仿宋" w:eastAsia="仿宋" w:cs="仿宋"/>
          <w:color w:val="auto"/>
          <w:szCs w:val="21"/>
          <w:highlight w:val="none"/>
        </w:rPr>
      </w:pPr>
      <w:r>
        <w:rPr>
          <w:rFonts w:hint="eastAsia" w:ascii="仿宋" w:hAnsi="仿宋" w:eastAsia="仿宋" w:cs="仿宋"/>
          <w:color w:val="auto"/>
          <w:szCs w:val="21"/>
          <w:highlight w:val="none"/>
          <w:lang w:eastAsia="zh-CN"/>
        </w:rPr>
        <w:t>投标人</w:t>
      </w:r>
      <w:r>
        <w:rPr>
          <w:rFonts w:hint="eastAsia" w:ascii="仿宋" w:hAnsi="仿宋" w:eastAsia="仿宋" w:cs="仿宋"/>
          <w:color w:val="auto"/>
          <w:szCs w:val="21"/>
          <w:highlight w:val="none"/>
        </w:rPr>
        <w:t>名称：</w:t>
      </w:r>
      <w:r>
        <w:rPr>
          <w:rFonts w:hint="eastAsia" w:ascii="仿宋" w:hAnsi="仿宋" w:eastAsia="仿宋" w:cs="仿宋"/>
          <w:color w:val="auto"/>
          <w:szCs w:val="21"/>
          <w:highlight w:val="none"/>
          <w:u w:val="single"/>
        </w:rPr>
        <w:t xml:space="preserve">                           </w:t>
      </w:r>
    </w:p>
    <w:p w14:paraId="398D93C0">
      <w:pPr>
        <w:ind w:firstLine="560"/>
        <w:rPr>
          <w:rFonts w:hint="eastAsia" w:ascii="仿宋" w:hAnsi="仿宋" w:eastAsia="仿宋" w:cs="仿宋"/>
          <w:color w:val="auto"/>
          <w:szCs w:val="21"/>
          <w:highlight w:val="none"/>
        </w:rPr>
      </w:pPr>
      <w:r>
        <w:rPr>
          <w:rFonts w:hint="eastAsia" w:ascii="仿宋" w:hAnsi="仿宋" w:eastAsia="仿宋" w:cs="仿宋"/>
          <w:color w:val="auto"/>
          <w:szCs w:val="21"/>
          <w:highlight w:val="none"/>
        </w:rPr>
        <w:t>单位性质：</w:t>
      </w:r>
      <w:r>
        <w:rPr>
          <w:rFonts w:hint="eastAsia" w:ascii="仿宋" w:hAnsi="仿宋" w:eastAsia="仿宋" w:cs="仿宋"/>
          <w:color w:val="auto"/>
          <w:szCs w:val="21"/>
          <w:highlight w:val="none"/>
          <w:u w:val="single"/>
        </w:rPr>
        <w:t xml:space="preserve">                              </w:t>
      </w:r>
    </w:p>
    <w:p w14:paraId="7C5DF50F">
      <w:pPr>
        <w:ind w:firstLine="560"/>
        <w:rPr>
          <w:rFonts w:hint="eastAsia" w:ascii="仿宋" w:hAnsi="仿宋" w:eastAsia="仿宋" w:cs="仿宋"/>
          <w:color w:val="auto"/>
          <w:szCs w:val="21"/>
          <w:highlight w:val="none"/>
        </w:rPr>
      </w:pPr>
      <w:r>
        <w:rPr>
          <w:rFonts w:hint="eastAsia" w:ascii="仿宋" w:hAnsi="仿宋" w:eastAsia="仿宋" w:cs="仿宋"/>
          <w:color w:val="auto"/>
          <w:szCs w:val="21"/>
          <w:highlight w:val="none"/>
        </w:rPr>
        <w:t>成立时间：</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年</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月</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日</w:t>
      </w:r>
    </w:p>
    <w:p w14:paraId="03CE012B">
      <w:pPr>
        <w:ind w:firstLine="560"/>
        <w:rPr>
          <w:rFonts w:hint="eastAsia" w:ascii="仿宋" w:hAnsi="仿宋" w:eastAsia="仿宋" w:cs="仿宋"/>
          <w:color w:val="auto"/>
          <w:szCs w:val="21"/>
          <w:highlight w:val="none"/>
        </w:rPr>
      </w:pPr>
      <w:r>
        <w:rPr>
          <w:rFonts w:hint="eastAsia" w:ascii="仿宋" w:hAnsi="仿宋" w:eastAsia="仿宋" w:cs="仿宋"/>
          <w:color w:val="auto"/>
          <w:szCs w:val="21"/>
          <w:highlight w:val="none"/>
        </w:rPr>
        <w:t>经营期限：</w:t>
      </w:r>
      <w:r>
        <w:rPr>
          <w:rFonts w:hint="eastAsia" w:ascii="仿宋" w:hAnsi="仿宋" w:eastAsia="仿宋" w:cs="仿宋"/>
          <w:color w:val="auto"/>
          <w:szCs w:val="21"/>
          <w:highlight w:val="none"/>
          <w:u w:val="single"/>
        </w:rPr>
        <w:t xml:space="preserve">                              </w:t>
      </w:r>
    </w:p>
    <w:p w14:paraId="5D607906">
      <w:pPr>
        <w:ind w:firstLine="560"/>
        <w:rPr>
          <w:rFonts w:hint="eastAsia" w:ascii="仿宋" w:hAnsi="仿宋" w:eastAsia="仿宋" w:cs="仿宋"/>
          <w:color w:val="auto"/>
          <w:szCs w:val="21"/>
          <w:highlight w:val="none"/>
        </w:rPr>
      </w:pPr>
      <w:r>
        <w:rPr>
          <w:rFonts w:hint="eastAsia" w:ascii="仿宋" w:hAnsi="仿宋" w:eastAsia="仿宋" w:cs="仿宋"/>
          <w:color w:val="auto"/>
          <w:szCs w:val="21"/>
          <w:highlight w:val="none"/>
        </w:rPr>
        <w:t>姓名：</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性别：</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年龄：</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职务：</w:t>
      </w:r>
      <w:r>
        <w:rPr>
          <w:rFonts w:hint="eastAsia" w:ascii="仿宋" w:hAnsi="仿宋" w:eastAsia="仿宋" w:cs="仿宋"/>
          <w:color w:val="auto"/>
          <w:szCs w:val="21"/>
          <w:highlight w:val="none"/>
          <w:u w:val="single"/>
        </w:rPr>
        <w:t xml:space="preserve">            </w:t>
      </w:r>
    </w:p>
    <w:p w14:paraId="77ABFAD5">
      <w:pPr>
        <w:ind w:firstLine="560"/>
        <w:rPr>
          <w:rFonts w:hint="eastAsia" w:ascii="仿宋" w:hAnsi="仿宋" w:eastAsia="仿宋" w:cs="仿宋"/>
          <w:color w:val="auto"/>
          <w:szCs w:val="21"/>
          <w:highlight w:val="none"/>
        </w:rPr>
      </w:pPr>
      <w:r>
        <w:rPr>
          <w:rFonts w:hint="eastAsia" w:ascii="仿宋" w:hAnsi="仿宋" w:eastAsia="仿宋" w:cs="仿宋"/>
          <w:color w:val="auto"/>
          <w:szCs w:val="21"/>
          <w:highlight w:val="none"/>
        </w:rPr>
        <w:t>系</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w:t>
      </w:r>
      <w:r>
        <w:rPr>
          <w:rFonts w:hint="eastAsia" w:ascii="仿宋" w:hAnsi="仿宋" w:eastAsia="仿宋" w:cs="仿宋"/>
          <w:color w:val="auto"/>
          <w:szCs w:val="21"/>
          <w:highlight w:val="none"/>
          <w:lang w:eastAsia="zh-CN"/>
        </w:rPr>
        <w:t>投标人</w:t>
      </w:r>
      <w:r>
        <w:rPr>
          <w:rFonts w:hint="eastAsia" w:ascii="仿宋" w:hAnsi="仿宋" w:eastAsia="仿宋" w:cs="仿宋"/>
          <w:color w:val="auto"/>
          <w:szCs w:val="21"/>
          <w:highlight w:val="none"/>
        </w:rPr>
        <w:t>名称）的法定代表人（负责人）。</w:t>
      </w:r>
    </w:p>
    <w:p w14:paraId="35AD5C06">
      <w:pPr>
        <w:ind w:firstLine="560"/>
        <w:rPr>
          <w:rFonts w:hint="eastAsia" w:ascii="仿宋" w:hAnsi="仿宋" w:eastAsia="仿宋" w:cs="仿宋"/>
          <w:color w:val="auto"/>
          <w:szCs w:val="21"/>
          <w:highlight w:val="none"/>
        </w:rPr>
      </w:pPr>
    </w:p>
    <w:p w14:paraId="128DCB3B">
      <w:pPr>
        <w:ind w:firstLine="560"/>
        <w:rPr>
          <w:rFonts w:hint="eastAsia" w:ascii="仿宋" w:hAnsi="仿宋" w:eastAsia="仿宋" w:cs="仿宋"/>
          <w:color w:val="auto"/>
          <w:szCs w:val="21"/>
          <w:highlight w:val="none"/>
        </w:rPr>
      </w:pPr>
      <w:r>
        <w:rPr>
          <w:rFonts w:hint="eastAsia" w:ascii="仿宋" w:hAnsi="仿宋" w:eastAsia="仿宋" w:cs="仿宋"/>
          <w:color w:val="auto"/>
          <w:szCs w:val="21"/>
          <w:highlight w:val="none"/>
        </w:rPr>
        <w:t>特此证明。</w:t>
      </w:r>
    </w:p>
    <w:p w14:paraId="0ECE7C5D">
      <w:pPr>
        <w:pStyle w:val="20"/>
        <w:spacing w:line="500" w:lineRule="exact"/>
        <w:ind w:firstLine="420"/>
        <w:jc w:val="left"/>
        <w:rPr>
          <w:rFonts w:hint="eastAsia" w:ascii="仿宋" w:hAnsi="仿宋" w:eastAsia="仿宋" w:cs="仿宋"/>
          <w:b/>
          <w:bCs/>
          <w:color w:val="auto"/>
          <w:highlight w:val="none"/>
        </w:rPr>
      </w:pPr>
      <w:r>
        <w:rPr>
          <w:rFonts w:hint="eastAsia" w:ascii="仿宋" w:hAnsi="仿宋" w:eastAsia="仿宋" w:cs="仿宋"/>
          <w:b/>
          <w:bCs/>
          <w:color w:val="auto"/>
          <w:highlight w:val="none"/>
        </w:rPr>
        <w:t>注</w:t>
      </w:r>
      <w:r>
        <w:rPr>
          <w:rFonts w:hint="eastAsia" w:ascii="仿宋" w:hAnsi="仿宋" w:eastAsia="仿宋" w:cs="仿宋"/>
          <w:b/>
          <w:bCs/>
          <w:color w:val="auto"/>
          <w:highlight w:val="none"/>
          <w:lang w:eastAsia="zh-CN"/>
        </w:rPr>
        <w:t>：</w:t>
      </w:r>
      <w:r>
        <w:rPr>
          <w:rFonts w:hint="eastAsia" w:ascii="仿宋" w:hAnsi="仿宋" w:eastAsia="仿宋" w:cs="仿宋"/>
          <w:b/>
          <w:bCs/>
          <w:color w:val="auto"/>
          <w:highlight w:val="none"/>
        </w:rPr>
        <w:t>附法定代表人身份证。</w:t>
      </w:r>
    </w:p>
    <w:p w14:paraId="7A226108">
      <w:pPr>
        <w:ind w:firstLine="560"/>
        <w:jc w:val="both"/>
        <w:rPr>
          <w:rFonts w:hint="eastAsia" w:ascii="仿宋" w:hAnsi="仿宋" w:eastAsia="仿宋" w:cs="仿宋"/>
          <w:color w:val="auto"/>
          <w:szCs w:val="21"/>
          <w:highlight w:val="none"/>
        </w:rPr>
      </w:pPr>
    </w:p>
    <w:p w14:paraId="7DA49B3A">
      <w:pPr>
        <w:ind w:firstLine="560"/>
        <w:jc w:val="both"/>
        <w:rPr>
          <w:rFonts w:hint="eastAsia" w:ascii="仿宋" w:hAnsi="仿宋" w:eastAsia="仿宋" w:cs="仿宋"/>
          <w:color w:val="auto"/>
          <w:szCs w:val="21"/>
          <w:highlight w:val="none"/>
        </w:rPr>
      </w:pPr>
    </w:p>
    <w:p w14:paraId="5AF1371F">
      <w:pPr>
        <w:pStyle w:val="33"/>
        <w:ind w:left="560" w:firstLine="400"/>
        <w:jc w:val="both"/>
        <w:rPr>
          <w:rFonts w:hint="eastAsia" w:ascii="仿宋" w:hAnsi="仿宋" w:eastAsia="仿宋" w:cs="仿宋"/>
          <w:color w:val="auto"/>
          <w:szCs w:val="21"/>
          <w:highlight w:val="none"/>
        </w:rPr>
      </w:pPr>
    </w:p>
    <w:p w14:paraId="15BA58BD">
      <w:pPr>
        <w:pStyle w:val="33"/>
        <w:ind w:left="560" w:firstLine="400"/>
        <w:jc w:val="both"/>
        <w:rPr>
          <w:rFonts w:hint="eastAsia" w:ascii="仿宋" w:hAnsi="仿宋" w:eastAsia="仿宋" w:cs="仿宋"/>
          <w:color w:val="auto"/>
          <w:szCs w:val="21"/>
          <w:highlight w:val="none"/>
        </w:rPr>
      </w:pPr>
    </w:p>
    <w:p w14:paraId="4B16F44D">
      <w:pPr>
        <w:ind w:firstLine="48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投标人</w:t>
      </w: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（电子签章）</w:t>
      </w:r>
    </w:p>
    <w:p w14:paraId="10DB3C87">
      <w:pPr>
        <w:ind w:firstLine="48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日  期：</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年</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月 </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日</w:t>
      </w:r>
    </w:p>
    <w:p w14:paraId="30D1F369">
      <w:pPr>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br w:type="page"/>
      </w:r>
    </w:p>
    <w:p w14:paraId="79A85AEF">
      <w:pPr>
        <w:pStyle w:val="20"/>
        <w:spacing w:line="600" w:lineRule="auto"/>
        <w:rPr>
          <w:rFonts w:hint="eastAsia" w:ascii="仿宋" w:hAnsi="仿宋" w:eastAsia="仿宋" w:cs="仿宋"/>
          <w:b/>
          <w:bCs/>
          <w:color w:val="auto"/>
          <w:sz w:val="48"/>
          <w:szCs w:val="40"/>
          <w:highlight w:val="none"/>
        </w:rPr>
      </w:pPr>
      <w:bookmarkStart w:id="560" w:name="_Toc21226"/>
      <w:r>
        <w:rPr>
          <w:rFonts w:hint="eastAsia" w:ascii="仿宋" w:hAnsi="仿宋" w:eastAsia="仿宋" w:cs="仿宋"/>
          <w:b/>
          <w:bCs/>
          <w:color w:val="auto"/>
          <w:sz w:val="48"/>
          <w:szCs w:val="40"/>
          <w:highlight w:val="none"/>
        </w:rPr>
        <w:t>法定代表人授权委托书</w:t>
      </w:r>
      <w:bookmarkEnd w:id="560"/>
    </w:p>
    <w:p w14:paraId="7711A7C0">
      <w:pPr>
        <w:ind w:firstLine="560"/>
        <w:rPr>
          <w:rFonts w:hint="eastAsia" w:ascii="仿宋" w:hAnsi="仿宋" w:eastAsia="仿宋" w:cs="仿宋"/>
          <w:color w:val="auto"/>
          <w:szCs w:val="21"/>
          <w:highlight w:val="none"/>
        </w:rPr>
      </w:pPr>
      <w:r>
        <w:rPr>
          <w:rFonts w:hint="eastAsia" w:ascii="仿宋" w:hAnsi="仿宋" w:eastAsia="仿宋" w:cs="仿宋"/>
          <w:color w:val="auto"/>
          <w:szCs w:val="21"/>
          <w:highlight w:val="none"/>
        </w:rPr>
        <w:t>本授权书声明：</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u w:val="single"/>
          <w:lang w:eastAsia="zh-CN"/>
        </w:rPr>
        <w:t>投标人</w:t>
      </w:r>
      <w:r>
        <w:rPr>
          <w:rFonts w:hint="eastAsia" w:ascii="仿宋" w:hAnsi="仿宋" w:eastAsia="仿宋" w:cs="仿宋"/>
          <w:color w:val="auto"/>
          <w:szCs w:val="21"/>
          <w:highlight w:val="none"/>
          <w:u w:val="single"/>
        </w:rPr>
        <w:t xml:space="preserve">全称） </w:t>
      </w:r>
      <w:r>
        <w:rPr>
          <w:rFonts w:hint="eastAsia" w:ascii="仿宋" w:hAnsi="仿宋" w:eastAsia="仿宋" w:cs="仿宋"/>
          <w:color w:val="auto"/>
          <w:szCs w:val="21"/>
          <w:highlight w:val="none"/>
        </w:rPr>
        <w:t>的法定代表人代表本公司授权</w:t>
      </w:r>
      <w:r>
        <w:rPr>
          <w:rFonts w:hint="eastAsia" w:ascii="仿宋" w:hAnsi="仿宋" w:eastAsia="仿宋" w:cs="仿宋"/>
          <w:color w:val="auto"/>
          <w:szCs w:val="21"/>
          <w:highlight w:val="none"/>
          <w:u w:val="single"/>
        </w:rPr>
        <w:t xml:space="preserve">    （委托代理人姓名）</w:t>
      </w:r>
      <w:r>
        <w:rPr>
          <w:rFonts w:hint="eastAsia" w:ascii="仿宋" w:hAnsi="仿宋" w:eastAsia="仿宋" w:cs="仿宋"/>
          <w:color w:val="auto"/>
          <w:szCs w:val="21"/>
          <w:highlight w:val="none"/>
        </w:rPr>
        <w:t>为本公司合法代理人，就贵方组织的有关</w:t>
      </w:r>
      <w:r>
        <w:rPr>
          <w:rFonts w:hint="eastAsia" w:cs="仿宋"/>
          <w:b/>
          <w:bCs/>
          <w:color w:val="auto"/>
          <w:sz w:val="28"/>
          <w:szCs w:val="28"/>
          <w:highlight w:val="none"/>
          <w:u w:val="single"/>
          <w:lang w:eastAsia="zh-CN"/>
        </w:rPr>
        <w:t>云南轻纺职业学院人工智能学院云计算技术应用实训室及智慧教室建设项目</w:t>
      </w:r>
      <w:r>
        <w:rPr>
          <w:rFonts w:hint="eastAsia" w:cs="仿宋"/>
          <w:b/>
          <w:bCs/>
          <w:color w:val="auto"/>
          <w:sz w:val="28"/>
          <w:szCs w:val="28"/>
          <w:highlight w:val="none"/>
          <w:u w:val="single"/>
          <w:lang w:eastAsia="zh-CN"/>
        </w:rPr>
        <w:t>（</w:t>
      </w:r>
      <w:r>
        <w:rPr>
          <w:rFonts w:hint="eastAsia" w:cs="仿宋"/>
          <w:b/>
          <w:bCs/>
          <w:color w:val="auto"/>
          <w:sz w:val="28"/>
          <w:szCs w:val="28"/>
          <w:highlight w:val="none"/>
          <w:u w:val="single"/>
          <w:lang w:val="en-US" w:eastAsia="zh-CN"/>
        </w:rPr>
        <w:t>二次</w:t>
      </w:r>
      <w:r>
        <w:rPr>
          <w:rFonts w:hint="eastAsia" w:cs="仿宋"/>
          <w:b/>
          <w:bCs/>
          <w:color w:val="auto"/>
          <w:sz w:val="28"/>
          <w:szCs w:val="28"/>
          <w:highlight w:val="none"/>
          <w:u w:val="single"/>
          <w:lang w:eastAsia="zh-CN"/>
        </w:rPr>
        <w:t>）</w:t>
      </w:r>
      <w:r>
        <w:rPr>
          <w:rFonts w:hint="eastAsia" w:ascii="仿宋" w:hAnsi="仿宋" w:eastAsia="仿宋" w:cs="仿宋"/>
          <w:b/>
          <w:bCs/>
          <w:color w:val="auto"/>
          <w:highlight w:val="none"/>
          <w:u w:val="single"/>
          <w:lang w:eastAsia="zh-CN"/>
        </w:rPr>
        <w:t>（项目编号：</w:t>
      </w:r>
      <w:r>
        <w:rPr>
          <w:rFonts w:hint="eastAsia" w:cs="仿宋"/>
          <w:b/>
          <w:bCs/>
          <w:color w:val="auto"/>
          <w:highlight w:val="none"/>
          <w:u w:val="single"/>
          <w:lang w:eastAsia="zh-CN"/>
        </w:rPr>
        <w:t>云润招字 HW2026-120</w:t>
      </w:r>
      <w:r>
        <w:rPr>
          <w:rFonts w:hint="eastAsia" w:ascii="仿宋" w:hAnsi="仿宋" w:eastAsia="仿宋" w:cs="仿宋"/>
          <w:b/>
          <w:bCs/>
          <w:color w:val="auto"/>
          <w:highlight w:val="none"/>
          <w:u w:val="single"/>
          <w:lang w:eastAsia="zh-CN"/>
        </w:rPr>
        <w:t>）</w:t>
      </w:r>
      <w:r>
        <w:rPr>
          <w:rFonts w:hint="eastAsia" w:ascii="仿宋" w:hAnsi="仿宋" w:eastAsia="仿宋" w:cs="仿宋"/>
          <w:b w:val="0"/>
          <w:bCs w:val="0"/>
          <w:color w:val="auto"/>
          <w:sz w:val="28"/>
          <w:szCs w:val="28"/>
          <w:highlight w:val="none"/>
          <w:u w:val="none"/>
          <w:lang w:val="en-US" w:eastAsia="zh-CN"/>
        </w:rPr>
        <w:t>的</w:t>
      </w:r>
      <w:r>
        <w:rPr>
          <w:rFonts w:hint="eastAsia" w:ascii="仿宋" w:hAnsi="仿宋" w:eastAsia="仿宋" w:cs="仿宋"/>
          <w:color w:val="auto"/>
          <w:szCs w:val="21"/>
          <w:highlight w:val="none"/>
        </w:rPr>
        <w:t>投标，以本单位名义参加。代理人在本项目中所签署的一切文件和处理与之有关的一切事务，我方均予承认。</w:t>
      </w:r>
    </w:p>
    <w:p w14:paraId="74124DED">
      <w:pPr>
        <w:ind w:firstLine="560"/>
        <w:rPr>
          <w:rFonts w:hint="eastAsia" w:ascii="仿宋" w:hAnsi="仿宋" w:eastAsia="仿宋" w:cs="仿宋"/>
          <w:color w:val="auto"/>
          <w:highlight w:val="none"/>
        </w:rPr>
      </w:pPr>
      <w:r>
        <w:rPr>
          <w:rFonts w:hint="eastAsia" w:ascii="仿宋" w:hAnsi="仿宋" w:eastAsia="仿宋" w:cs="仿宋"/>
          <w:color w:val="auto"/>
          <w:highlight w:val="none"/>
        </w:rPr>
        <w:t>委托期限：</w:t>
      </w:r>
      <w:r>
        <w:rPr>
          <w:rFonts w:hint="eastAsia" w:cs="仿宋"/>
          <w:b/>
          <w:bCs/>
          <w:color w:val="auto"/>
          <w:highlight w:val="none"/>
          <w:u w:val="single"/>
          <w:lang w:val="en-US" w:eastAsia="zh-CN"/>
        </w:rPr>
        <w:t>签署之日起至投标有效期结束止</w:t>
      </w:r>
      <w:r>
        <w:rPr>
          <w:rFonts w:hint="eastAsia" w:ascii="仿宋" w:hAnsi="仿宋" w:eastAsia="仿宋" w:cs="仿宋"/>
          <w:color w:val="auto"/>
          <w:highlight w:val="none"/>
        </w:rPr>
        <w:t>。</w:t>
      </w:r>
    </w:p>
    <w:p w14:paraId="4B3B2013">
      <w:pPr>
        <w:ind w:firstLine="560"/>
        <w:rPr>
          <w:rFonts w:hint="eastAsia" w:ascii="仿宋" w:hAnsi="仿宋" w:eastAsia="仿宋" w:cs="仿宋"/>
          <w:color w:val="auto"/>
          <w:highlight w:val="none"/>
        </w:rPr>
      </w:pPr>
      <w:r>
        <w:rPr>
          <w:rFonts w:hint="eastAsia" w:ascii="仿宋" w:hAnsi="仿宋" w:eastAsia="仿宋" w:cs="仿宋"/>
          <w:color w:val="auto"/>
          <w:highlight w:val="none"/>
        </w:rPr>
        <w:t>代理人无转委托权。</w:t>
      </w:r>
    </w:p>
    <w:p w14:paraId="73625637">
      <w:pPr>
        <w:pStyle w:val="20"/>
        <w:spacing w:line="500" w:lineRule="exact"/>
        <w:ind w:firstLine="420"/>
        <w:jc w:val="both"/>
        <w:rPr>
          <w:rFonts w:hint="eastAsia" w:ascii="仿宋" w:hAnsi="仿宋" w:eastAsia="仿宋" w:cs="仿宋"/>
          <w:b/>
          <w:bCs/>
          <w:color w:val="auto"/>
          <w:highlight w:val="none"/>
        </w:rPr>
      </w:pPr>
      <w:r>
        <w:rPr>
          <w:rFonts w:hint="eastAsia" w:ascii="仿宋" w:hAnsi="仿宋" w:eastAsia="仿宋" w:cs="仿宋"/>
          <w:b/>
          <w:bCs/>
          <w:color w:val="auto"/>
          <w:highlight w:val="none"/>
        </w:rPr>
        <w:t>注</w:t>
      </w:r>
      <w:r>
        <w:rPr>
          <w:rFonts w:hint="eastAsia" w:ascii="仿宋" w:hAnsi="仿宋" w:eastAsia="仿宋" w:cs="仿宋"/>
          <w:b/>
          <w:bCs/>
          <w:color w:val="auto"/>
          <w:highlight w:val="none"/>
          <w:lang w:eastAsia="zh-CN"/>
        </w:rPr>
        <w:t>：</w:t>
      </w:r>
      <w:r>
        <w:rPr>
          <w:rFonts w:hint="eastAsia" w:ascii="仿宋" w:hAnsi="仿宋" w:eastAsia="仿宋" w:cs="仿宋"/>
          <w:b/>
          <w:bCs/>
          <w:color w:val="auto"/>
          <w:highlight w:val="none"/>
        </w:rPr>
        <w:t>附委托代理人身份证。</w:t>
      </w:r>
    </w:p>
    <w:p w14:paraId="4A3E1270">
      <w:pPr>
        <w:pStyle w:val="20"/>
        <w:spacing w:line="500" w:lineRule="exact"/>
        <w:ind w:firstLine="420"/>
        <w:rPr>
          <w:rFonts w:hint="eastAsia" w:ascii="仿宋" w:hAnsi="仿宋" w:eastAsia="仿宋" w:cs="仿宋"/>
          <w:color w:val="auto"/>
          <w:highlight w:val="none"/>
        </w:rPr>
      </w:pPr>
    </w:p>
    <w:p w14:paraId="791C9584">
      <w:pPr>
        <w:ind w:firstLine="560"/>
        <w:rPr>
          <w:rFonts w:hint="eastAsia" w:ascii="仿宋" w:hAnsi="仿宋" w:eastAsia="仿宋" w:cs="仿宋"/>
          <w:color w:val="auto"/>
          <w:szCs w:val="21"/>
          <w:highlight w:val="none"/>
        </w:rPr>
      </w:pPr>
    </w:p>
    <w:p w14:paraId="43D662AB">
      <w:pPr>
        <w:ind w:firstLine="560"/>
        <w:rPr>
          <w:rFonts w:hint="eastAsia" w:ascii="仿宋" w:hAnsi="仿宋" w:eastAsia="仿宋" w:cs="仿宋"/>
          <w:color w:val="auto"/>
          <w:szCs w:val="21"/>
          <w:highlight w:val="none"/>
        </w:rPr>
      </w:pPr>
    </w:p>
    <w:p w14:paraId="362F4C47">
      <w:pPr>
        <w:ind w:firstLine="560"/>
        <w:rPr>
          <w:rFonts w:hint="eastAsia" w:ascii="仿宋" w:hAnsi="仿宋" w:eastAsia="仿宋" w:cs="仿宋"/>
          <w:color w:val="auto"/>
          <w:highlight w:val="none"/>
        </w:rPr>
      </w:pPr>
      <w:r>
        <w:rPr>
          <w:rFonts w:hint="eastAsia" w:ascii="仿宋" w:hAnsi="仿宋" w:eastAsia="仿宋" w:cs="仿宋"/>
          <w:color w:val="auto"/>
          <w:highlight w:val="none"/>
          <w:lang w:eastAsia="zh-CN"/>
        </w:rPr>
        <w:t>投标人</w:t>
      </w:r>
      <w:r>
        <w:rPr>
          <w:rFonts w:hint="eastAsia" w:ascii="仿宋" w:hAnsi="仿宋" w:eastAsia="仿宋" w:cs="仿宋"/>
          <w:color w:val="auto"/>
          <w:highlight w:val="none"/>
        </w:rPr>
        <w:t>：</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（电子签章）</w:t>
      </w:r>
    </w:p>
    <w:p w14:paraId="7D6A08EE">
      <w:pPr>
        <w:ind w:firstLine="560"/>
        <w:rPr>
          <w:rFonts w:hint="eastAsia" w:ascii="仿宋" w:hAnsi="仿宋" w:eastAsia="仿宋" w:cs="仿宋"/>
          <w:color w:val="auto"/>
          <w:highlight w:val="none"/>
        </w:rPr>
      </w:pPr>
      <w:r>
        <w:rPr>
          <w:rFonts w:hint="eastAsia" w:ascii="仿宋" w:hAnsi="仿宋" w:eastAsia="仿宋" w:cs="仿宋"/>
          <w:color w:val="auto"/>
          <w:highlight w:val="none"/>
        </w:rPr>
        <w:t>法定代表人：</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（电子签章或电子签名）</w:t>
      </w:r>
    </w:p>
    <w:p w14:paraId="0BC9CAD9">
      <w:pPr>
        <w:ind w:firstLine="560"/>
        <w:rPr>
          <w:rFonts w:hint="eastAsia" w:ascii="仿宋" w:hAnsi="仿宋" w:eastAsia="仿宋" w:cs="仿宋"/>
          <w:color w:val="auto"/>
          <w:highlight w:val="none"/>
        </w:rPr>
      </w:pPr>
      <w:r>
        <w:rPr>
          <w:rFonts w:hint="eastAsia" w:ascii="仿宋" w:hAnsi="仿宋" w:eastAsia="仿宋" w:cs="仿宋"/>
          <w:color w:val="auto"/>
          <w:highlight w:val="none"/>
        </w:rPr>
        <w:t>法定代表人身份证号码：</w:t>
      </w:r>
      <w:r>
        <w:rPr>
          <w:rFonts w:hint="eastAsia" w:ascii="仿宋" w:hAnsi="仿宋" w:eastAsia="仿宋" w:cs="仿宋"/>
          <w:color w:val="auto"/>
          <w:highlight w:val="none"/>
          <w:u w:val="single"/>
        </w:rPr>
        <w:t xml:space="preserve">            </w:t>
      </w:r>
    </w:p>
    <w:p w14:paraId="3DB2A7F6">
      <w:pPr>
        <w:ind w:firstLine="560"/>
        <w:rPr>
          <w:rFonts w:hint="eastAsia" w:ascii="仿宋" w:hAnsi="仿宋" w:eastAsia="仿宋" w:cs="仿宋"/>
          <w:color w:val="auto"/>
          <w:highlight w:val="none"/>
        </w:rPr>
      </w:pPr>
      <w:r>
        <w:rPr>
          <w:rFonts w:hint="eastAsia" w:ascii="仿宋" w:hAnsi="仿宋" w:eastAsia="仿宋" w:cs="仿宋"/>
          <w:color w:val="auto"/>
          <w:highlight w:val="none"/>
        </w:rPr>
        <w:t>委托代理人</w:t>
      </w:r>
      <w:r>
        <w:rPr>
          <w:rFonts w:hint="eastAsia" w:ascii="仿宋" w:hAnsi="仿宋" w:eastAsia="仿宋" w:cs="仿宋"/>
          <w:color w:val="auto"/>
          <w:highlight w:val="none"/>
          <w:lang w:val="en-US" w:eastAsia="zh-CN"/>
        </w:rPr>
        <w:t>姓名</w:t>
      </w:r>
      <w:r>
        <w:rPr>
          <w:rFonts w:hint="eastAsia" w:ascii="仿宋" w:hAnsi="仿宋" w:eastAsia="仿宋" w:cs="仿宋"/>
          <w:color w:val="auto"/>
          <w:highlight w:val="none"/>
        </w:rPr>
        <w:t>：</w:t>
      </w:r>
      <w:r>
        <w:rPr>
          <w:rFonts w:hint="eastAsia" w:ascii="仿宋" w:hAnsi="仿宋" w:eastAsia="仿宋" w:cs="仿宋"/>
          <w:color w:val="auto"/>
          <w:highlight w:val="none"/>
          <w:u w:val="single"/>
        </w:rPr>
        <w:t xml:space="preserve">            </w:t>
      </w:r>
    </w:p>
    <w:p w14:paraId="7706906F">
      <w:pPr>
        <w:ind w:firstLine="560"/>
        <w:rPr>
          <w:rFonts w:hint="eastAsia" w:ascii="仿宋" w:hAnsi="仿宋" w:eastAsia="仿宋" w:cs="仿宋"/>
          <w:color w:val="auto"/>
          <w:highlight w:val="none"/>
        </w:rPr>
      </w:pPr>
      <w:r>
        <w:rPr>
          <w:rFonts w:hint="eastAsia" w:ascii="仿宋" w:hAnsi="仿宋" w:eastAsia="仿宋" w:cs="仿宋"/>
          <w:color w:val="auto"/>
          <w:highlight w:val="none"/>
        </w:rPr>
        <w:t>委托代理人身份证号码：</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 xml:space="preserve"> </w:t>
      </w:r>
    </w:p>
    <w:p w14:paraId="73B76C5D">
      <w:pPr>
        <w:ind w:firstLine="560"/>
        <w:rPr>
          <w:rFonts w:hint="eastAsia" w:ascii="仿宋" w:hAnsi="仿宋" w:eastAsia="仿宋" w:cs="仿宋"/>
          <w:color w:val="auto"/>
          <w:highlight w:val="none"/>
        </w:rPr>
      </w:pPr>
      <w:r>
        <w:rPr>
          <w:rFonts w:hint="eastAsia" w:ascii="仿宋" w:hAnsi="仿宋" w:eastAsia="仿宋" w:cs="仿宋"/>
          <w:color w:val="auto"/>
          <w:highlight w:val="none"/>
        </w:rPr>
        <w:t>日期：</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年</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月</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日</w:t>
      </w:r>
    </w:p>
    <w:p w14:paraId="052C1352">
      <w:pPr>
        <w:ind w:firstLine="482"/>
        <w:rPr>
          <w:rFonts w:hint="eastAsia" w:ascii="仿宋" w:hAnsi="仿宋" w:eastAsia="仿宋" w:cs="仿宋"/>
          <w:b/>
          <w:color w:val="auto"/>
          <w:kern w:val="0"/>
          <w:sz w:val="24"/>
          <w:szCs w:val="20"/>
          <w:highlight w:val="none"/>
        </w:rPr>
      </w:pPr>
      <w:r>
        <w:rPr>
          <w:rFonts w:hint="eastAsia" w:ascii="仿宋" w:hAnsi="仿宋" w:eastAsia="仿宋" w:cs="仿宋"/>
          <w:b/>
          <w:color w:val="auto"/>
          <w:kern w:val="0"/>
          <w:sz w:val="24"/>
          <w:szCs w:val="20"/>
          <w:highlight w:val="none"/>
        </w:rPr>
        <w:br w:type="page"/>
      </w:r>
    </w:p>
    <w:p w14:paraId="193D1DC0">
      <w:pPr>
        <w:pStyle w:val="5"/>
        <w:ind w:firstLine="602"/>
        <w:rPr>
          <w:rFonts w:hint="eastAsia" w:ascii="仿宋" w:hAnsi="仿宋" w:eastAsia="仿宋" w:cs="仿宋"/>
          <w:color w:val="auto"/>
          <w:highlight w:val="none"/>
        </w:rPr>
      </w:pPr>
      <w:bookmarkStart w:id="561" w:name="_Toc24973"/>
      <w:bookmarkStart w:id="562" w:name="_Toc28424"/>
      <w:bookmarkStart w:id="563" w:name="_Toc13447"/>
      <w:r>
        <w:rPr>
          <w:rFonts w:hint="eastAsia" w:ascii="仿宋" w:hAnsi="仿宋" w:eastAsia="仿宋" w:cs="仿宋"/>
          <w:color w:val="auto"/>
          <w:highlight w:val="none"/>
        </w:rPr>
        <w:t>格式3：开标一览表</w:t>
      </w:r>
      <w:bookmarkEnd w:id="561"/>
      <w:bookmarkEnd w:id="562"/>
      <w:bookmarkEnd w:id="563"/>
    </w:p>
    <w:p w14:paraId="0BFF6B50">
      <w:pPr>
        <w:pStyle w:val="20"/>
        <w:spacing w:line="600" w:lineRule="auto"/>
        <w:rPr>
          <w:rFonts w:hint="eastAsia" w:ascii="仿宋" w:hAnsi="仿宋" w:eastAsia="仿宋" w:cs="仿宋"/>
          <w:b/>
          <w:bCs/>
          <w:color w:val="auto"/>
          <w:sz w:val="48"/>
          <w:szCs w:val="40"/>
          <w:highlight w:val="none"/>
        </w:rPr>
      </w:pPr>
      <w:r>
        <w:rPr>
          <w:rFonts w:hint="eastAsia" w:ascii="仿宋" w:hAnsi="仿宋" w:eastAsia="仿宋" w:cs="仿宋"/>
          <w:b/>
          <w:bCs/>
          <w:color w:val="auto"/>
          <w:sz w:val="48"/>
          <w:szCs w:val="40"/>
          <w:highlight w:val="none"/>
        </w:rPr>
        <w:t>开标一览表</w:t>
      </w:r>
    </w:p>
    <w:p w14:paraId="4D213FAD">
      <w:pPr>
        <w:ind w:left="0" w:leftChars="0" w:firstLine="0" w:firstLineChars="0"/>
        <w:rPr>
          <w:rFonts w:hint="eastAsia" w:ascii="仿宋" w:hAnsi="仿宋" w:eastAsia="仿宋" w:cs="仿宋"/>
          <w:b/>
          <w:bCs/>
          <w:color w:val="auto"/>
          <w:szCs w:val="21"/>
          <w:highlight w:val="none"/>
          <w:u w:val="single"/>
          <w:lang w:eastAsia="zh-CN"/>
        </w:rPr>
      </w:pPr>
      <w:r>
        <w:rPr>
          <w:rFonts w:hint="eastAsia" w:ascii="仿宋" w:hAnsi="仿宋" w:eastAsia="仿宋" w:cs="仿宋"/>
          <w:color w:val="auto"/>
          <w:highlight w:val="none"/>
        </w:rPr>
        <w:t>项目名称：</w:t>
      </w:r>
      <w:r>
        <w:rPr>
          <w:rFonts w:hint="eastAsia" w:cs="仿宋"/>
          <w:b/>
          <w:bCs/>
          <w:color w:val="auto"/>
          <w:szCs w:val="21"/>
          <w:highlight w:val="none"/>
          <w:u w:val="single"/>
          <w:lang w:eastAsia="zh-CN"/>
        </w:rPr>
        <w:t>云南轻纺职业学院人工智能学院云计算技术应用实训室及智慧教室建设项目</w:t>
      </w:r>
      <w:r>
        <w:rPr>
          <w:rFonts w:hint="eastAsia" w:cs="仿宋"/>
          <w:b/>
          <w:bCs/>
          <w:color w:val="auto"/>
          <w:szCs w:val="21"/>
          <w:highlight w:val="none"/>
          <w:u w:val="single"/>
          <w:lang w:eastAsia="zh-CN"/>
        </w:rPr>
        <w:t>（</w:t>
      </w:r>
      <w:r>
        <w:rPr>
          <w:rFonts w:hint="eastAsia" w:cs="仿宋"/>
          <w:b/>
          <w:bCs/>
          <w:color w:val="auto"/>
          <w:szCs w:val="21"/>
          <w:highlight w:val="none"/>
          <w:u w:val="single"/>
          <w:lang w:val="en-US" w:eastAsia="zh-CN"/>
        </w:rPr>
        <w:t>二次</w:t>
      </w:r>
      <w:r>
        <w:rPr>
          <w:rFonts w:hint="eastAsia" w:cs="仿宋"/>
          <w:b/>
          <w:bCs/>
          <w:color w:val="auto"/>
          <w:szCs w:val="21"/>
          <w:highlight w:val="none"/>
          <w:u w:val="single"/>
          <w:lang w:eastAsia="zh-CN"/>
        </w:rPr>
        <w:t>）</w:t>
      </w:r>
    </w:p>
    <w:p w14:paraId="163710F4">
      <w:pPr>
        <w:ind w:left="0" w:leftChars="0" w:firstLine="0" w:firstLineChars="0"/>
        <w:rPr>
          <w:rFonts w:hint="eastAsia" w:ascii="仿宋" w:hAnsi="仿宋" w:eastAsia="仿宋" w:cs="仿宋"/>
          <w:b/>
          <w:bCs/>
          <w:color w:val="auto"/>
          <w:highlight w:val="none"/>
          <w:u w:val="single"/>
          <w:lang w:val="en-US" w:eastAsia="zh-CN"/>
        </w:rPr>
      </w:pPr>
      <w:r>
        <w:rPr>
          <w:rFonts w:hint="eastAsia" w:ascii="仿宋" w:hAnsi="仿宋" w:eastAsia="仿宋" w:cs="仿宋"/>
          <w:color w:val="auto"/>
          <w:highlight w:val="none"/>
        </w:rPr>
        <w:t>项目编号：</w:t>
      </w:r>
      <w:r>
        <w:rPr>
          <w:rFonts w:hint="eastAsia" w:cs="仿宋"/>
          <w:b/>
          <w:bCs/>
          <w:color w:val="auto"/>
          <w:highlight w:val="none"/>
          <w:u w:val="single"/>
          <w:lang w:eastAsia="zh-CN"/>
        </w:rPr>
        <w:t>云润招字 HW2026-120</w:t>
      </w:r>
    </w:p>
    <w:tbl>
      <w:tblPr>
        <w:tblStyle w:val="3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96"/>
        <w:gridCol w:w="7334"/>
      </w:tblGrid>
      <w:tr w14:paraId="45A8B5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8" w:hRule="atLeast"/>
        </w:trPr>
        <w:tc>
          <w:tcPr>
            <w:tcW w:w="2418" w:type="dxa"/>
            <w:vAlign w:val="center"/>
          </w:tcPr>
          <w:p w14:paraId="09630019">
            <w:pPr>
              <w:pStyle w:val="20"/>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投标总报价</w:t>
            </w:r>
          </w:p>
        </w:tc>
        <w:tc>
          <w:tcPr>
            <w:tcW w:w="7417" w:type="dxa"/>
            <w:vAlign w:val="center"/>
          </w:tcPr>
          <w:p w14:paraId="145D82CB">
            <w:pPr>
              <w:pStyle w:val="20"/>
              <w:ind w:firstLine="723" w:firstLineChars="300"/>
              <w:jc w:val="both"/>
              <w:rPr>
                <w:rFonts w:hint="eastAsia" w:ascii="仿宋" w:hAnsi="仿宋" w:eastAsia="仿宋" w:cs="仿宋"/>
                <w:b/>
                <w:bCs/>
                <w:color w:val="auto"/>
                <w:sz w:val="24"/>
                <w:szCs w:val="24"/>
                <w:highlight w:val="none"/>
              </w:rPr>
            </w:pPr>
          </w:p>
        </w:tc>
      </w:tr>
      <w:tr w14:paraId="37C58D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6" w:hRule="atLeast"/>
        </w:trPr>
        <w:tc>
          <w:tcPr>
            <w:tcW w:w="2418" w:type="dxa"/>
            <w:vAlign w:val="center"/>
          </w:tcPr>
          <w:p w14:paraId="0BF95394">
            <w:pPr>
              <w:pStyle w:val="20"/>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rPr>
              <w:t>合同履行期限</w:t>
            </w:r>
            <w:r>
              <w:rPr>
                <w:rFonts w:hint="eastAsia" w:ascii="仿宋" w:hAnsi="仿宋" w:eastAsia="仿宋" w:cs="仿宋"/>
                <w:b/>
                <w:bCs/>
                <w:color w:val="auto"/>
                <w:sz w:val="24"/>
                <w:szCs w:val="24"/>
                <w:highlight w:val="none"/>
                <w:lang w:val="en-US" w:eastAsia="zh-CN"/>
              </w:rPr>
              <w:t>承诺</w:t>
            </w:r>
          </w:p>
        </w:tc>
        <w:tc>
          <w:tcPr>
            <w:tcW w:w="7417" w:type="dxa"/>
            <w:vAlign w:val="center"/>
          </w:tcPr>
          <w:p w14:paraId="2B6A7745">
            <w:pPr>
              <w:pStyle w:val="20"/>
              <w:jc w:val="center"/>
              <w:rPr>
                <w:rFonts w:hint="eastAsia" w:ascii="仿宋" w:hAnsi="仿宋" w:eastAsia="仿宋" w:cs="仿宋"/>
                <w:b/>
                <w:bCs/>
                <w:color w:val="auto"/>
                <w:sz w:val="24"/>
                <w:szCs w:val="24"/>
                <w:highlight w:val="none"/>
              </w:rPr>
            </w:pPr>
          </w:p>
        </w:tc>
      </w:tr>
      <w:tr w14:paraId="2868F3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0" w:hRule="atLeast"/>
        </w:trPr>
        <w:tc>
          <w:tcPr>
            <w:tcW w:w="2418" w:type="dxa"/>
            <w:vAlign w:val="center"/>
          </w:tcPr>
          <w:p w14:paraId="5FBCCB35">
            <w:pPr>
              <w:pStyle w:val="20"/>
              <w:rPr>
                <w:rFonts w:hint="eastAsia"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lang w:eastAsia="zh-CN"/>
              </w:rPr>
              <w:t>交货地点</w:t>
            </w:r>
            <w:r>
              <w:rPr>
                <w:rFonts w:hint="eastAsia" w:ascii="仿宋" w:hAnsi="仿宋" w:eastAsia="仿宋" w:cs="仿宋"/>
                <w:b/>
                <w:bCs/>
                <w:color w:val="auto"/>
                <w:sz w:val="24"/>
                <w:szCs w:val="24"/>
                <w:highlight w:val="none"/>
                <w:lang w:val="en-US" w:eastAsia="zh-CN"/>
              </w:rPr>
              <w:t>承诺</w:t>
            </w:r>
          </w:p>
        </w:tc>
        <w:tc>
          <w:tcPr>
            <w:tcW w:w="7417" w:type="dxa"/>
            <w:vAlign w:val="center"/>
          </w:tcPr>
          <w:p w14:paraId="3AAB11DC">
            <w:pPr>
              <w:pStyle w:val="20"/>
              <w:jc w:val="center"/>
              <w:rPr>
                <w:rFonts w:hint="eastAsia" w:ascii="仿宋" w:hAnsi="仿宋" w:eastAsia="仿宋" w:cs="仿宋"/>
                <w:b/>
                <w:bCs/>
                <w:color w:val="auto"/>
                <w:sz w:val="24"/>
                <w:szCs w:val="24"/>
                <w:highlight w:val="none"/>
              </w:rPr>
            </w:pPr>
          </w:p>
        </w:tc>
      </w:tr>
      <w:tr w14:paraId="559207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0" w:hRule="atLeast"/>
        </w:trPr>
        <w:tc>
          <w:tcPr>
            <w:tcW w:w="2418" w:type="dxa"/>
            <w:vAlign w:val="center"/>
          </w:tcPr>
          <w:p w14:paraId="2656ED6F">
            <w:pPr>
              <w:pStyle w:val="20"/>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质量要求承诺</w:t>
            </w:r>
          </w:p>
        </w:tc>
        <w:tc>
          <w:tcPr>
            <w:tcW w:w="7417" w:type="dxa"/>
            <w:vAlign w:val="center"/>
          </w:tcPr>
          <w:p w14:paraId="0FF1EFC3">
            <w:pPr>
              <w:pStyle w:val="20"/>
              <w:jc w:val="center"/>
              <w:rPr>
                <w:rFonts w:hint="eastAsia" w:ascii="仿宋" w:hAnsi="仿宋" w:eastAsia="仿宋" w:cs="仿宋"/>
                <w:b/>
                <w:bCs/>
                <w:color w:val="auto"/>
                <w:sz w:val="24"/>
                <w:szCs w:val="24"/>
                <w:highlight w:val="none"/>
              </w:rPr>
            </w:pPr>
          </w:p>
        </w:tc>
      </w:tr>
      <w:tr w14:paraId="6AB2E4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0" w:hRule="atLeast"/>
        </w:trPr>
        <w:tc>
          <w:tcPr>
            <w:tcW w:w="2418" w:type="dxa"/>
            <w:vAlign w:val="center"/>
          </w:tcPr>
          <w:p w14:paraId="2B9E844C">
            <w:pPr>
              <w:pStyle w:val="20"/>
              <w:rPr>
                <w:rFonts w:hint="default" w:ascii="仿宋" w:hAnsi="仿宋" w:eastAsia="仿宋" w:cs="仿宋"/>
                <w:b/>
                <w:bCs/>
                <w:color w:val="auto"/>
                <w:sz w:val="24"/>
                <w:szCs w:val="24"/>
                <w:highlight w:val="none"/>
                <w:lang w:val="en-US" w:eastAsia="zh-CN"/>
              </w:rPr>
            </w:pPr>
            <w:r>
              <w:rPr>
                <w:rFonts w:hint="eastAsia" w:cs="仿宋"/>
                <w:b/>
                <w:bCs/>
                <w:color w:val="auto"/>
                <w:sz w:val="24"/>
                <w:szCs w:val="24"/>
                <w:highlight w:val="none"/>
                <w:lang w:val="en-US" w:eastAsia="zh-CN"/>
              </w:rPr>
              <w:t>质保期承诺</w:t>
            </w:r>
          </w:p>
        </w:tc>
        <w:tc>
          <w:tcPr>
            <w:tcW w:w="7417" w:type="dxa"/>
            <w:vAlign w:val="center"/>
          </w:tcPr>
          <w:p w14:paraId="6A8B4515">
            <w:pPr>
              <w:pStyle w:val="20"/>
              <w:jc w:val="center"/>
              <w:rPr>
                <w:rFonts w:hint="eastAsia" w:ascii="仿宋" w:hAnsi="仿宋" w:eastAsia="仿宋" w:cs="仿宋"/>
                <w:b/>
                <w:bCs/>
                <w:color w:val="auto"/>
                <w:sz w:val="24"/>
                <w:szCs w:val="24"/>
                <w:highlight w:val="none"/>
              </w:rPr>
            </w:pPr>
          </w:p>
        </w:tc>
      </w:tr>
      <w:tr w14:paraId="17F3BA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0" w:hRule="atLeast"/>
        </w:trPr>
        <w:tc>
          <w:tcPr>
            <w:tcW w:w="2418" w:type="dxa"/>
            <w:vAlign w:val="center"/>
          </w:tcPr>
          <w:p w14:paraId="5E7E33FD">
            <w:pPr>
              <w:pStyle w:val="20"/>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保证金缴纳的形式</w:t>
            </w:r>
          </w:p>
        </w:tc>
        <w:tc>
          <w:tcPr>
            <w:tcW w:w="7417" w:type="dxa"/>
            <w:vAlign w:val="center"/>
          </w:tcPr>
          <w:p w14:paraId="64C2374F">
            <w:pPr>
              <w:pStyle w:val="20"/>
              <w:jc w:val="center"/>
              <w:rPr>
                <w:rFonts w:hint="eastAsia" w:ascii="仿宋" w:hAnsi="仿宋" w:eastAsia="仿宋" w:cs="仿宋"/>
                <w:b/>
                <w:bCs/>
                <w:color w:val="auto"/>
                <w:sz w:val="24"/>
                <w:szCs w:val="24"/>
                <w:highlight w:val="none"/>
              </w:rPr>
            </w:pPr>
          </w:p>
        </w:tc>
      </w:tr>
      <w:tr w14:paraId="08F93F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0" w:hRule="atLeast"/>
        </w:trPr>
        <w:tc>
          <w:tcPr>
            <w:tcW w:w="2418" w:type="dxa"/>
            <w:vAlign w:val="center"/>
          </w:tcPr>
          <w:p w14:paraId="5C598351">
            <w:pPr>
              <w:pStyle w:val="20"/>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备注</w:t>
            </w:r>
          </w:p>
        </w:tc>
        <w:tc>
          <w:tcPr>
            <w:tcW w:w="7417" w:type="dxa"/>
            <w:vAlign w:val="center"/>
          </w:tcPr>
          <w:p w14:paraId="4FD233E0">
            <w:pPr>
              <w:pStyle w:val="20"/>
              <w:jc w:val="center"/>
              <w:rPr>
                <w:rFonts w:hint="eastAsia" w:ascii="仿宋" w:hAnsi="仿宋" w:eastAsia="仿宋" w:cs="仿宋"/>
                <w:b/>
                <w:bCs/>
                <w:color w:val="auto"/>
                <w:sz w:val="24"/>
                <w:szCs w:val="24"/>
                <w:highlight w:val="none"/>
              </w:rPr>
            </w:pPr>
          </w:p>
        </w:tc>
      </w:tr>
    </w:tbl>
    <w:p w14:paraId="38B20270">
      <w:pPr>
        <w:ind w:firstLine="480"/>
        <w:rPr>
          <w:rFonts w:hint="eastAsia" w:ascii="仿宋" w:hAnsi="仿宋" w:eastAsia="仿宋" w:cs="仿宋"/>
          <w:color w:val="auto"/>
          <w:sz w:val="28"/>
          <w:szCs w:val="28"/>
          <w:highlight w:val="none"/>
        </w:rPr>
      </w:pPr>
    </w:p>
    <w:p w14:paraId="3F46AD07">
      <w:pPr>
        <w:ind w:firstLine="48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投标人</w:t>
      </w: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（电子签章）</w:t>
      </w:r>
    </w:p>
    <w:p w14:paraId="5C8EECE9">
      <w:pPr>
        <w:ind w:firstLine="48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法定代表人或委托代理人：</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 （电子签章或电子签名）</w:t>
      </w:r>
    </w:p>
    <w:p w14:paraId="6F3428A7">
      <w:pPr>
        <w:ind w:firstLine="48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日  期：</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年</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月 </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日</w:t>
      </w:r>
    </w:p>
    <w:p w14:paraId="6E19D755">
      <w:pPr>
        <w:ind w:left="0" w:leftChars="0" w:firstLine="0" w:firstLineChars="0"/>
        <w:rPr>
          <w:rFonts w:hint="eastAsia" w:ascii="仿宋" w:hAnsi="仿宋" w:eastAsia="仿宋" w:cs="仿宋"/>
          <w:color w:val="auto"/>
          <w:sz w:val="24"/>
          <w:szCs w:val="24"/>
          <w:highlight w:val="none"/>
        </w:rPr>
        <w:sectPr>
          <w:footerReference r:id="rId9" w:type="default"/>
          <w:pgSz w:w="11906" w:h="16838"/>
          <w:pgMar w:top="1440" w:right="1083" w:bottom="1440" w:left="1083" w:header="851" w:footer="992" w:gutter="0"/>
          <w:pgBorders>
            <w:top w:val="none" w:sz="0" w:space="0"/>
            <w:left w:val="none" w:sz="0" w:space="0"/>
            <w:bottom w:val="none" w:sz="0" w:space="0"/>
            <w:right w:val="none" w:sz="0" w:space="0"/>
          </w:pgBorders>
          <w:pgNumType w:fmt="numberInDash" w:start="1"/>
          <w:cols w:space="0" w:num="1"/>
          <w:rtlGutter w:val="0"/>
          <w:docGrid w:type="lines" w:linePitch="389" w:charSpace="0"/>
        </w:sectPr>
      </w:pPr>
    </w:p>
    <w:p w14:paraId="0B6465BD">
      <w:pPr>
        <w:pStyle w:val="5"/>
        <w:ind w:firstLine="602"/>
        <w:rPr>
          <w:rFonts w:hint="eastAsia" w:ascii="仿宋" w:hAnsi="仿宋" w:eastAsia="仿宋" w:cs="仿宋"/>
          <w:color w:val="auto"/>
          <w:highlight w:val="none"/>
        </w:rPr>
      </w:pPr>
      <w:bookmarkStart w:id="564" w:name="_Toc740"/>
      <w:bookmarkStart w:id="565" w:name="_Toc5411"/>
      <w:bookmarkStart w:id="566" w:name="_Toc4334"/>
      <w:r>
        <w:rPr>
          <w:rFonts w:hint="eastAsia" w:ascii="仿宋" w:hAnsi="仿宋" w:eastAsia="仿宋" w:cs="仿宋"/>
          <w:color w:val="auto"/>
          <w:highlight w:val="none"/>
        </w:rPr>
        <w:t>格式</w:t>
      </w:r>
      <w:r>
        <w:rPr>
          <w:rFonts w:hint="eastAsia" w:ascii="仿宋" w:hAnsi="仿宋" w:eastAsia="仿宋" w:cs="仿宋"/>
          <w:color w:val="auto"/>
          <w:highlight w:val="none"/>
          <w:lang w:val="en-US" w:eastAsia="zh-CN"/>
        </w:rPr>
        <w:t>4</w:t>
      </w:r>
      <w:r>
        <w:rPr>
          <w:rFonts w:hint="eastAsia" w:ascii="仿宋" w:hAnsi="仿宋" w:eastAsia="仿宋" w:cs="仿宋"/>
          <w:color w:val="auto"/>
          <w:highlight w:val="none"/>
        </w:rPr>
        <w:t>：投标分项报价表</w:t>
      </w:r>
      <w:bookmarkEnd w:id="564"/>
      <w:bookmarkEnd w:id="565"/>
      <w:bookmarkEnd w:id="566"/>
    </w:p>
    <w:p w14:paraId="0E4F6297">
      <w:pPr>
        <w:pStyle w:val="20"/>
        <w:spacing w:line="600" w:lineRule="auto"/>
        <w:rPr>
          <w:rFonts w:hint="eastAsia" w:ascii="仿宋" w:hAnsi="仿宋" w:eastAsia="仿宋" w:cs="仿宋"/>
          <w:b/>
          <w:bCs/>
          <w:color w:val="auto"/>
          <w:sz w:val="48"/>
          <w:szCs w:val="40"/>
          <w:highlight w:val="none"/>
        </w:rPr>
      </w:pPr>
      <w:r>
        <w:rPr>
          <w:rFonts w:hint="eastAsia" w:ascii="仿宋" w:hAnsi="仿宋" w:eastAsia="仿宋" w:cs="仿宋"/>
          <w:b/>
          <w:bCs/>
          <w:color w:val="auto"/>
          <w:sz w:val="48"/>
          <w:szCs w:val="40"/>
          <w:highlight w:val="none"/>
        </w:rPr>
        <w:t>投标分项报价表</w:t>
      </w:r>
    </w:p>
    <w:p w14:paraId="46EDF4FF">
      <w:pPr>
        <w:ind w:left="0" w:leftChars="0" w:firstLine="0" w:firstLineChars="0"/>
        <w:rPr>
          <w:rFonts w:hint="eastAsia" w:ascii="仿宋" w:hAnsi="仿宋" w:eastAsia="仿宋" w:cs="仿宋"/>
          <w:b/>
          <w:bCs/>
          <w:color w:val="auto"/>
          <w:szCs w:val="21"/>
          <w:highlight w:val="none"/>
          <w:u w:val="single"/>
          <w:lang w:eastAsia="zh-CN"/>
        </w:rPr>
      </w:pPr>
      <w:r>
        <w:rPr>
          <w:rFonts w:hint="eastAsia" w:ascii="仿宋" w:hAnsi="仿宋" w:eastAsia="仿宋" w:cs="仿宋"/>
          <w:color w:val="auto"/>
          <w:highlight w:val="none"/>
        </w:rPr>
        <w:t>项目名称：</w:t>
      </w:r>
      <w:r>
        <w:rPr>
          <w:rFonts w:hint="eastAsia" w:cs="仿宋"/>
          <w:b/>
          <w:bCs/>
          <w:color w:val="auto"/>
          <w:szCs w:val="21"/>
          <w:highlight w:val="none"/>
          <w:u w:val="single"/>
          <w:lang w:eastAsia="zh-CN"/>
        </w:rPr>
        <w:t>云南轻纺职业学院人工智能学院云计算技术应用实训室及智慧教室建设项目</w:t>
      </w:r>
      <w:r>
        <w:rPr>
          <w:rFonts w:hint="eastAsia" w:cs="仿宋"/>
          <w:b/>
          <w:bCs/>
          <w:color w:val="auto"/>
          <w:szCs w:val="21"/>
          <w:highlight w:val="none"/>
          <w:u w:val="single"/>
          <w:lang w:eastAsia="zh-CN"/>
        </w:rPr>
        <w:t>（</w:t>
      </w:r>
      <w:r>
        <w:rPr>
          <w:rFonts w:hint="eastAsia" w:cs="仿宋"/>
          <w:b/>
          <w:bCs/>
          <w:color w:val="auto"/>
          <w:szCs w:val="21"/>
          <w:highlight w:val="none"/>
          <w:u w:val="single"/>
          <w:lang w:val="en-US" w:eastAsia="zh-CN"/>
        </w:rPr>
        <w:t>二次</w:t>
      </w:r>
      <w:r>
        <w:rPr>
          <w:rFonts w:hint="eastAsia" w:cs="仿宋"/>
          <w:b/>
          <w:bCs/>
          <w:color w:val="auto"/>
          <w:szCs w:val="21"/>
          <w:highlight w:val="none"/>
          <w:u w:val="single"/>
          <w:lang w:eastAsia="zh-CN"/>
        </w:rPr>
        <w:t>）</w:t>
      </w:r>
    </w:p>
    <w:p w14:paraId="3F2AC8AE">
      <w:pPr>
        <w:spacing w:line="240" w:lineRule="auto"/>
        <w:ind w:left="0" w:leftChars="0" w:firstLine="0" w:firstLineChars="0"/>
        <w:rPr>
          <w:rFonts w:hint="eastAsia" w:ascii="仿宋" w:hAnsi="仿宋" w:eastAsia="仿宋" w:cs="仿宋"/>
          <w:color w:val="auto"/>
          <w:highlight w:val="none"/>
          <w:lang w:val="en-US" w:eastAsia="zh-CN"/>
        </w:rPr>
      </w:pPr>
      <w:r>
        <w:rPr>
          <w:rFonts w:hint="eastAsia" w:ascii="仿宋" w:hAnsi="仿宋" w:eastAsia="仿宋" w:cs="仿宋"/>
          <w:color w:val="auto"/>
          <w:highlight w:val="none"/>
        </w:rPr>
        <w:t>项目编号：</w:t>
      </w:r>
      <w:r>
        <w:rPr>
          <w:rFonts w:hint="eastAsia" w:cs="仿宋"/>
          <w:b/>
          <w:bCs/>
          <w:color w:val="auto"/>
          <w:szCs w:val="21"/>
          <w:highlight w:val="none"/>
          <w:u w:val="single"/>
          <w:lang w:eastAsia="zh-CN"/>
        </w:rPr>
        <w:t>云润招字 HW2026-120</w:t>
      </w:r>
    </w:p>
    <w:tbl>
      <w:tblPr>
        <w:tblStyle w:val="35"/>
        <w:tblW w:w="4996"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53"/>
        <w:gridCol w:w="2884"/>
        <w:gridCol w:w="1202"/>
        <w:gridCol w:w="868"/>
        <w:gridCol w:w="1152"/>
        <w:gridCol w:w="1484"/>
        <w:gridCol w:w="789"/>
        <w:gridCol w:w="1085"/>
        <w:gridCol w:w="739"/>
        <w:gridCol w:w="703"/>
        <w:gridCol w:w="1107"/>
        <w:gridCol w:w="1281"/>
      </w:tblGrid>
      <w:tr w14:paraId="31473F8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78" w:hRule="exact"/>
          <w:tblHeader/>
        </w:trPr>
        <w:tc>
          <w:tcPr>
            <w:tcW w:w="234" w:type="pct"/>
            <w:tcBorders>
              <w:top w:val="single" w:color="000000" w:sz="4" w:space="0"/>
              <w:left w:val="single" w:color="000000" w:sz="4" w:space="0"/>
              <w:bottom w:val="single" w:color="000000" w:sz="4" w:space="0"/>
              <w:right w:val="single" w:color="000000" w:sz="4" w:space="0"/>
            </w:tcBorders>
            <w:shd w:val="clear" w:color="auto" w:fill="9CC2E5"/>
            <w:vAlign w:val="center"/>
          </w:tcPr>
          <w:p w14:paraId="527419A2">
            <w:pPr>
              <w:pStyle w:val="20"/>
              <w:bidi w:val="0"/>
              <w:spacing w:line="240" w:lineRule="auto"/>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lang w:val="en-US" w:eastAsia="zh-CN"/>
              </w:rPr>
              <w:t>序号</w:t>
            </w:r>
          </w:p>
        </w:tc>
        <w:tc>
          <w:tcPr>
            <w:tcW w:w="1034" w:type="pct"/>
            <w:tcBorders>
              <w:top w:val="single" w:color="000000" w:sz="4" w:space="0"/>
              <w:left w:val="single" w:color="000000" w:sz="4" w:space="0"/>
              <w:bottom w:val="single" w:color="000000" w:sz="4" w:space="0"/>
              <w:right w:val="single" w:color="000000" w:sz="4" w:space="0"/>
            </w:tcBorders>
            <w:shd w:val="clear" w:color="auto" w:fill="9CC2E5"/>
            <w:vAlign w:val="center"/>
          </w:tcPr>
          <w:p w14:paraId="6AE80ACB">
            <w:pPr>
              <w:pStyle w:val="20"/>
              <w:bidi w:val="0"/>
              <w:spacing w:line="240" w:lineRule="auto"/>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lang w:val="en-US" w:eastAsia="zh-CN"/>
              </w:rPr>
              <w:t>标的名称</w:t>
            </w:r>
          </w:p>
        </w:tc>
        <w:tc>
          <w:tcPr>
            <w:tcW w:w="431" w:type="pct"/>
            <w:tcBorders>
              <w:top w:val="single" w:color="000000" w:sz="4" w:space="0"/>
              <w:left w:val="single" w:color="000000" w:sz="4" w:space="0"/>
              <w:bottom w:val="single" w:color="000000" w:sz="4" w:space="0"/>
              <w:right w:val="single" w:color="000000" w:sz="4" w:space="0"/>
            </w:tcBorders>
            <w:shd w:val="clear" w:color="auto" w:fill="9CC2E5"/>
            <w:vAlign w:val="center"/>
          </w:tcPr>
          <w:p w14:paraId="7201D0CB">
            <w:pPr>
              <w:pStyle w:val="20"/>
              <w:bidi w:val="0"/>
              <w:spacing w:line="240" w:lineRule="auto"/>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lang w:val="en-US" w:eastAsia="zh-CN"/>
              </w:rPr>
              <w:t>规格/型号</w:t>
            </w:r>
          </w:p>
        </w:tc>
        <w:tc>
          <w:tcPr>
            <w:tcW w:w="311" w:type="pct"/>
            <w:tcBorders>
              <w:top w:val="single" w:color="000000" w:sz="4" w:space="0"/>
              <w:left w:val="single" w:color="000000" w:sz="4" w:space="0"/>
              <w:bottom w:val="single" w:color="000000" w:sz="4" w:space="0"/>
              <w:right w:val="single" w:color="000000" w:sz="4" w:space="0"/>
            </w:tcBorders>
            <w:shd w:val="clear" w:color="auto" w:fill="9CC2E5"/>
            <w:vAlign w:val="center"/>
          </w:tcPr>
          <w:p w14:paraId="69E96C5F">
            <w:pPr>
              <w:pStyle w:val="20"/>
              <w:bidi w:val="0"/>
              <w:spacing w:line="240" w:lineRule="auto"/>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lang w:val="en-US" w:eastAsia="zh-CN"/>
              </w:rPr>
              <w:t>品牌</w:t>
            </w:r>
          </w:p>
        </w:tc>
        <w:tc>
          <w:tcPr>
            <w:tcW w:w="413" w:type="pct"/>
            <w:tcBorders>
              <w:top w:val="single" w:color="000000" w:sz="4" w:space="0"/>
              <w:left w:val="single" w:color="000000" w:sz="4" w:space="0"/>
              <w:bottom w:val="single" w:color="000000" w:sz="4" w:space="0"/>
              <w:right w:val="single" w:color="000000" w:sz="4" w:space="0"/>
            </w:tcBorders>
            <w:shd w:val="clear" w:color="auto" w:fill="9CC2E5"/>
            <w:vAlign w:val="center"/>
          </w:tcPr>
          <w:p w14:paraId="22952E5E">
            <w:pPr>
              <w:pStyle w:val="20"/>
              <w:bidi w:val="0"/>
              <w:spacing w:line="240" w:lineRule="auto"/>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lang w:val="en-US" w:eastAsia="zh-CN"/>
              </w:rPr>
              <w:t>制造商</w:t>
            </w:r>
          </w:p>
        </w:tc>
        <w:tc>
          <w:tcPr>
            <w:tcW w:w="532" w:type="pct"/>
            <w:tcBorders>
              <w:top w:val="single" w:color="000000" w:sz="4" w:space="0"/>
              <w:left w:val="single" w:color="000000" w:sz="4" w:space="0"/>
              <w:bottom w:val="single" w:color="000000" w:sz="4" w:space="0"/>
              <w:right w:val="single" w:color="000000" w:sz="4" w:space="0"/>
            </w:tcBorders>
            <w:shd w:val="clear" w:color="auto" w:fill="9CC2E5"/>
            <w:vAlign w:val="center"/>
          </w:tcPr>
          <w:p w14:paraId="269F245A">
            <w:pPr>
              <w:pStyle w:val="20"/>
              <w:bidi w:val="0"/>
              <w:spacing w:line="240" w:lineRule="auto"/>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lang w:val="en-US" w:eastAsia="zh-CN"/>
              </w:rPr>
              <w:t>制造商规模</w:t>
            </w:r>
          </w:p>
        </w:tc>
        <w:tc>
          <w:tcPr>
            <w:tcW w:w="283" w:type="pct"/>
            <w:tcBorders>
              <w:top w:val="single" w:color="000000" w:sz="4" w:space="0"/>
              <w:left w:val="single" w:color="000000" w:sz="4" w:space="0"/>
              <w:bottom w:val="single" w:color="000000" w:sz="4" w:space="0"/>
              <w:right w:val="single" w:color="000000" w:sz="4" w:space="0"/>
            </w:tcBorders>
            <w:shd w:val="clear" w:color="auto" w:fill="9CC2E5"/>
            <w:vAlign w:val="center"/>
          </w:tcPr>
          <w:p w14:paraId="05C46535">
            <w:pPr>
              <w:pStyle w:val="20"/>
              <w:bidi w:val="0"/>
              <w:spacing w:line="240" w:lineRule="auto"/>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lang w:val="en-US" w:eastAsia="zh-CN"/>
              </w:rPr>
              <w:t>产地</w:t>
            </w:r>
          </w:p>
        </w:tc>
        <w:tc>
          <w:tcPr>
            <w:tcW w:w="389" w:type="pct"/>
            <w:tcBorders>
              <w:top w:val="single" w:color="000000" w:sz="4" w:space="0"/>
              <w:left w:val="single" w:color="000000" w:sz="4" w:space="0"/>
              <w:bottom w:val="single" w:color="000000" w:sz="4" w:space="0"/>
              <w:right w:val="single" w:color="000000" w:sz="4" w:space="0"/>
            </w:tcBorders>
            <w:shd w:val="clear" w:color="auto" w:fill="9CC2E5"/>
            <w:vAlign w:val="center"/>
          </w:tcPr>
          <w:p w14:paraId="7F00CDC5">
            <w:pPr>
              <w:pStyle w:val="20"/>
              <w:bidi w:val="0"/>
              <w:spacing w:line="240" w:lineRule="auto"/>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lang w:val="en-US" w:eastAsia="zh-CN"/>
              </w:rPr>
              <w:t>商品属性</w:t>
            </w:r>
          </w:p>
        </w:tc>
        <w:tc>
          <w:tcPr>
            <w:tcW w:w="265" w:type="pct"/>
            <w:tcBorders>
              <w:top w:val="single" w:color="000000" w:sz="4" w:space="0"/>
              <w:left w:val="single" w:color="000000" w:sz="4" w:space="0"/>
              <w:bottom w:val="single" w:color="000000" w:sz="4" w:space="0"/>
              <w:right w:val="single" w:color="000000" w:sz="4" w:space="0"/>
            </w:tcBorders>
            <w:shd w:val="clear" w:color="auto" w:fill="9CC2E5"/>
            <w:vAlign w:val="center"/>
          </w:tcPr>
          <w:p w14:paraId="7D2C1C47">
            <w:pPr>
              <w:pStyle w:val="20"/>
              <w:bidi w:val="0"/>
              <w:spacing w:line="240" w:lineRule="auto"/>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lang w:val="en-US" w:eastAsia="zh-CN"/>
              </w:rPr>
              <w:t>数量</w:t>
            </w:r>
          </w:p>
        </w:tc>
        <w:tc>
          <w:tcPr>
            <w:tcW w:w="252" w:type="pct"/>
            <w:tcBorders>
              <w:top w:val="single" w:color="000000" w:sz="4" w:space="0"/>
              <w:left w:val="single" w:color="000000" w:sz="4" w:space="0"/>
              <w:bottom w:val="single" w:color="000000" w:sz="4" w:space="0"/>
              <w:right w:val="single" w:color="000000" w:sz="4" w:space="0"/>
            </w:tcBorders>
            <w:shd w:val="clear" w:color="auto" w:fill="9CC2E5"/>
            <w:vAlign w:val="center"/>
          </w:tcPr>
          <w:p w14:paraId="358C5DE4">
            <w:pPr>
              <w:pStyle w:val="20"/>
              <w:bidi w:val="0"/>
              <w:spacing w:line="240" w:lineRule="auto"/>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lang w:val="en-US" w:eastAsia="zh-CN"/>
              </w:rPr>
              <w:t>单位</w:t>
            </w:r>
          </w:p>
        </w:tc>
        <w:tc>
          <w:tcPr>
            <w:tcW w:w="397" w:type="pct"/>
            <w:tcBorders>
              <w:top w:val="single" w:color="000000" w:sz="4" w:space="0"/>
              <w:left w:val="single" w:color="000000" w:sz="4" w:space="0"/>
              <w:bottom w:val="single" w:color="000000" w:sz="4" w:space="0"/>
              <w:right w:val="single" w:color="000000" w:sz="4" w:space="0"/>
            </w:tcBorders>
            <w:shd w:val="clear" w:color="auto" w:fill="9CC2E5"/>
            <w:vAlign w:val="center"/>
          </w:tcPr>
          <w:p w14:paraId="115D33A4">
            <w:pPr>
              <w:pStyle w:val="20"/>
              <w:bidi w:val="0"/>
              <w:spacing w:line="240" w:lineRule="auto"/>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lang w:val="en-US" w:eastAsia="zh-CN"/>
              </w:rPr>
              <w:t>单价（元）</w:t>
            </w:r>
          </w:p>
        </w:tc>
        <w:tc>
          <w:tcPr>
            <w:tcW w:w="456" w:type="pct"/>
            <w:tcBorders>
              <w:top w:val="single" w:color="000000" w:sz="4" w:space="0"/>
              <w:left w:val="single" w:color="000000" w:sz="4" w:space="0"/>
              <w:bottom w:val="single" w:color="000000" w:sz="4" w:space="0"/>
              <w:right w:val="single" w:color="000000" w:sz="4" w:space="0"/>
            </w:tcBorders>
            <w:shd w:val="clear" w:color="auto" w:fill="9CC2E5"/>
            <w:vAlign w:val="center"/>
          </w:tcPr>
          <w:p w14:paraId="41164F4D">
            <w:pPr>
              <w:pStyle w:val="20"/>
              <w:bidi w:val="0"/>
              <w:spacing w:line="240" w:lineRule="auto"/>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lang w:val="en-US" w:eastAsia="zh-CN"/>
              </w:rPr>
              <w:t>小计（元）</w:t>
            </w:r>
          </w:p>
        </w:tc>
      </w:tr>
      <w:tr w14:paraId="5DDE46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8" w:hRule="exact"/>
          <w:tblHeader/>
        </w:trPr>
        <w:tc>
          <w:tcPr>
            <w:tcW w:w="234" w:type="pct"/>
            <w:tcBorders>
              <w:top w:val="single" w:color="000000" w:sz="4" w:space="0"/>
              <w:left w:val="single" w:color="000000" w:sz="4" w:space="0"/>
              <w:bottom w:val="single" w:color="000000" w:sz="4" w:space="0"/>
              <w:right w:val="single" w:color="000000" w:sz="4" w:space="0"/>
            </w:tcBorders>
            <w:shd w:val="clear" w:color="auto" w:fill="9CC2E5"/>
            <w:vAlign w:val="center"/>
          </w:tcPr>
          <w:p w14:paraId="1876F917">
            <w:pPr>
              <w:pStyle w:val="20"/>
              <w:bidi w:val="0"/>
              <w:spacing w:line="240" w:lineRule="auto"/>
              <w:rPr>
                <w:rFonts w:hint="eastAsia" w:ascii="仿宋" w:hAnsi="仿宋" w:eastAsia="仿宋" w:cs="仿宋"/>
                <w:b/>
                <w:bCs/>
                <w:color w:val="auto"/>
                <w:sz w:val="21"/>
                <w:szCs w:val="21"/>
                <w:highlight w:val="none"/>
                <w:lang w:val="en-US" w:eastAsia="zh-CN"/>
              </w:rPr>
            </w:pPr>
          </w:p>
        </w:tc>
        <w:tc>
          <w:tcPr>
            <w:tcW w:w="1034" w:type="pct"/>
            <w:tcBorders>
              <w:top w:val="single" w:color="000000" w:sz="4" w:space="0"/>
              <w:left w:val="single" w:color="000000" w:sz="4" w:space="0"/>
              <w:bottom w:val="single" w:color="000000" w:sz="4" w:space="0"/>
              <w:right w:val="single" w:color="000000" w:sz="4" w:space="0"/>
            </w:tcBorders>
            <w:shd w:val="clear" w:color="auto" w:fill="9CC2E5"/>
            <w:vAlign w:val="center"/>
          </w:tcPr>
          <w:p w14:paraId="5B77B8E8">
            <w:pPr>
              <w:pStyle w:val="20"/>
              <w:bidi w:val="0"/>
              <w:spacing w:line="240" w:lineRule="auto"/>
              <w:rPr>
                <w:rFonts w:hint="eastAsia" w:ascii="仿宋" w:hAnsi="仿宋" w:eastAsia="仿宋" w:cs="仿宋"/>
                <w:b/>
                <w:bCs/>
                <w:color w:val="auto"/>
                <w:sz w:val="21"/>
                <w:szCs w:val="21"/>
                <w:highlight w:val="none"/>
                <w:lang w:val="en-US" w:eastAsia="zh-CN"/>
              </w:rPr>
            </w:pPr>
          </w:p>
        </w:tc>
        <w:tc>
          <w:tcPr>
            <w:tcW w:w="431" w:type="pct"/>
            <w:tcBorders>
              <w:top w:val="single" w:color="000000" w:sz="4" w:space="0"/>
              <w:left w:val="single" w:color="000000" w:sz="4" w:space="0"/>
              <w:bottom w:val="single" w:color="000000" w:sz="4" w:space="0"/>
              <w:right w:val="single" w:color="000000" w:sz="4" w:space="0"/>
            </w:tcBorders>
            <w:shd w:val="clear" w:color="auto" w:fill="9CC2E5"/>
            <w:vAlign w:val="center"/>
          </w:tcPr>
          <w:p w14:paraId="445D8787">
            <w:pPr>
              <w:pStyle w:val="20"/>
              <w:bidi w:val="0"/>
              <w:spacing w:line="240" w:lineRule="auto"/>
              <w:rPr>
                <w:rFonts w:hint="eastAsia" w:ascii="仿宋" w:hAnsi="仿宋" w:eastAsia="仿宋" w:cs="仿宋"/>
                <w:b/>
                <w:bCs/>
                <w:color w:val="auto"/>
                <w:sz w:val="21"/>
                <w:szCs w:val="21"/>
                <w:highlight w:val="none"/>
                <w:lang w:val="en-US" w:eastAsia="zh-CN"/>
              </w:rPr>
            </w:pPr>
          </w:p>
        </w:tc>
        <w:tc>
          <w:tcPr>
            <w:tcW w:w="311" w:type="pct"/>
            <w:tcBorders>
              <w:top w:val="single" w:color="000000" w:sz="4" w:space="0"/>
              <w:left w:val="single" w:color="000000" w:sz="4" w:space="0"/>
              <w:bottom w:val="single" w:color="000000" w:sz="4" w:space="0"/>
              <w:right w:val="single" w:color="000000" w:sz="4" w:space="0"/>
            </w:tcBorders>
            <w:shd w:val="clear" w:color="auto" w:fill="9CC2E5"/>
            <w:vAlign w:val="center"/>
          </w:tcPr>
          <w:p w14:paraId="0F2D8CE8">
            <w:pPr>
              <w:pStyle w:val="20"/>
              <w:bidi w:val="0"/>
              <w:spacing w:line="240" w:lineRule="auto"/>
              <w:rPr>
                <w:rFonts w:hint="eastAsia" w:ascii="仿宋" w:hAnsi="仿宋" w:eastAsia="仿宋" w:cs="仿宋"/>
                <w:b/>
                <w:bCs/>
                <w:color w:val="auto"/>
                <w:sz w:val="21"/>
                <w:szCs w:val="21"/>
                <w:highlight w:val="none"/>
                <w:lang w:val="en-US" w:eastAsia="zh-CN"/>
              </w:rPr>
            </w:pPr>
          </w:p>
        </w:tc>
        <w:tc>
          <w:tcPr>
            <w:tcW w:w="413" w:type="pct"/>
            <w:tcBorders>
              <w:top w:val="single" w:color="000000" w:sz="4" w:space="0"/>
              <w:left w:val="single" w:color="000000" w:sz="4" w:space="0"/>
              <w:bottom w:val="single" w:color="000000" w:sz="4" w:space="0"/>
              <w:right w:val="single" w:color="000000" w:sz="4" w:space="0"/>
            </w:tcBorders>
            <w:shd w:val="clear" w:color="auto" w:fill="9CC2E5"/>
            <w:vAlign w:val="center"/>
          </w:tcPr>
          <w:p w14:paraId="6966772C">
            <w:pPr>
              <w:pStyle w:val="20"/>
              <w:bidi w:val="0"/>
              <w:spacing w:line="240" w:lineRule="auto"/>
              <w:rPr>
                <w:rFonts w:hint="eastAsia" w:ascii="仿宋" w:hAnsi="仿宋" w:eastAsia="仿宋" w:cs="仿宋"/>
                <w:b/>
                <w:bCs/>
                <w:color w:val="auto"/>
                <w:sz w:val="21"/>
                <w:szCs w:val="21"/>
                <w:highlight w:val="none"/>
                <w:lang w:val="en-US" w:eastAsia="zh-CN"/>
              </w:rPr>
            </w:pPr>
          </w:p>
        </w:tc>
        <w:tc>
          <w:tcPr>
            <w:tcW w:w="532" w:type="pct"/>
            <w:tcBorders>
              <w:top w:val="single" w:color="000000" w:sz="4" w:space="0"/>
              <w:left w:val="single" w:color="000000" w:sz="4" w:space="0"/>
              <w:bottom w:val="single" w:color="000000" w:sz="4" w:space="0"/>
              <w:right w:val="single" w:color="000000" w:sz="4" w:space="0"/>
            </w:tcBorders>
            <w:shd w:val="clear" w:color="auto" w:fill="9CC2E5"/>
            <w:vAlign w:val="center"/>
          </w:tcPr>
          <w:p w14:paraId="2771AFD4">
            <w:pPr>
              <w:pStyle w:val="20"/>
              <w:bidi w:val="0"/>
              <w:spacing w:line="240" w:lineRule="auto"/>
              <w:rPr>
                <w:rFonts w:hint="eastAsia" w:ascii="仿宋" w:hAnsi="仿宋" w:eastAsia="仿宋" w:cs="仿宋"/>
                <w:b/>
                <w:bCs/>
                <w:color w:val="auto"/>
                <w:sz w:val="21"/>
                <w:szCs w:val="21"/>
                <w:highlight w:val="none"/>
                <w:lang w:val="en-US" w:eastAsia="zh-CN"/>
              </w:rPr>
            </w:pPr>
          </w:p>
        </w:tc>
        <w:tc>
          <w:tcPr>
            <w:tcW w:w="283" w:type="pct"/>
            <w:tcBorders>
              <w:top w:val="single" w:color="000000" w:sz="4" w:space="0"/>
              <w:left w:val="single" w:color="000000" w:sz="4" w:space="0"/>
              <w:bottom w:val="single" w:color="000000" w:sz="4" w:space="0"/>
              <w:right w:val="single" w:color="000000" w:sz="4" w:space="0"/>
            </w:tcBorders>
            <w:shd w:val="clear" w:color="auto" w:fill="9CC2E5"/>
            <w:vAlign w:val="center"/>
          </w:tcPr>
          <w:p w14:paraId="1A4D052A">
            <w:pPr>
              <w:pStyle w:val="20"/>
              <w:bidi w:val="0"/>
              <w:spacing w:line="240" w:lineRule="auto"/>
              <w:rPr>
                <w:rFonts w:hint="eastAsia" w:ascii="仿宋" w:hAnsi="仿宋" w:eastAsia="仿宋" w:cs="仿宋"/>
                <w:b/>
                <w:bCs/>
                <w:color w:val="auto"/>
                <w:sz w:val="21"/>
                <w:szCs w:val="21"/>
                <w:highlight w:val="none"/>
                <w:lang w:val="en-US" w:eastAsia="zh-CN"/>
              </w:rPr>
            </w:pPr>
          </w:p>
        </w:tc>
        <w:tc>
          <w:tcPr>
            <w:tcW w:w="389" w:type="pct"/>
            <w:tcBorders>
              <w:top w:val="single" w:color="000000" w:sz="4" w:space="0"/>
              <w:left w:val="single" w:color="000000" w:sz="4" w:space="0"/>
              <w:bottom w:val="single" w:color="000000" w:sz="4" w:space="0"/>
              <w:right w:val="single" w:color="000000" w:sz="4" w:space="0"/>
            </w:tcBorders>
            <w:shd w:val="clear" w:color="auto" w:fill="9CC2E5"/>
            <w:vAlign w:val="center"/>
          </w:tcPr>
          <w:p w14:paraId="34D0BA9D">
            <w:pPr>
              <w:pStyle w:val="20"/>
              <w:bidi w:val="0"/>
              <w:spacing w:line="240" w:lineRule="auto"/>
              <w:rPr>
                <w:rFonts w:hint="eastAsia" w:ascii="仿宋" w:hAnsi="仿宋" w:eastAsia="仿宋" w:cs="仿宋"/>
                <w:b/>
                <w:bCs/>
                <w:color w:val="auto"/>
                <w:sz w:val="21"/>
                <w:szCs w:val="21"/>
                <w:highlight w:val="none"/>
                <w:lang w:val="en-US" w:eastAsia="zh-CN"/>
              </w:rPr>
            </w:pPr>
          </w:p>
        </w:tc>
        <w:tc>
          <w:tcPr>
            <w:tcW w:w="265" w:type="pct"/>
            <w:tcBorders>
              <w:top w:val="single" w:color="000000" w:sz="4" w:space="0"/>
              <w:left w:val="single" w:color="000000" w:sz="4" w:space="0"/>
              <w:bottom w:val="single" w:color="000000" w:sz="4" w:space="0"/>
              <w:right w:val="single" w:color="000000" w:sz="4" w:space="0"/>
            </w:tcBorders>
            <w:shd w:val="clear" w:color="auto" w:fill="9CC2E5"/>
            <w:vAlign w:val="center"/>
          </w:tcPr>
          <w:p w14:paraId="30CD1C70">
            <w:pPr>
              <w:pStyle w:val="20"/>
              <w:bidi w:val="0"/>
              <w:spacing w:line="240" w:lineRule="auto"/>
              <w:rPr>
                <w:rFonts w:hint="eastAsia" w:ascii="仿宋" w:hAnsi="仿宋" w:eastAsia="仿宋" w:cs="仿宋"/>
                <w:b/>
                <w:bCs/>
                <w:color w:val="auto"/>
                <w:sz w:val="21"/>
                <w:szCs w:val="21"/>
                <w:highlight w:val="none"/>
                <w:lang w:val="en-US" w:eastAsia="zh-CN"/>
              </w:rPr>
            </w:pPr>
          </w:p>
        </w:tc>
        <w:tc>
          <w:tcPr>
            <w:tcW w:w="252" w:type="pct"/>
            <w:tcBorders>
              <w:top w:val="single" w:color="000000" w:sz="4" w:space="0"/>
              <w:left w:val="single" w:color="000000" w:sz="4" w:space="0"/>
              <w:bottom w:val="single" w:color="000000" w:sz="4" w:space="0"/>
              <w:right w:val="single" w:color="000000" w:sz="4" w:space="0"/>
            </w:tcBorders>
            <w:shd w:val="clear" w:color="auto" w:fill="9CC2E5"/>
            <w:vAlign w:val="center"/>
          </w:tcPr>
          <w:p w14:paraId="54110CA3">
            <w:pPr>
              <w:pStyle w:val="20"/>
              <w:bidi w:val="0"/>
              <w:spacing w:line="240" w:lineRule="auto"/>
              <w:rPr>
                <w:rFonts w:hint="eastAsia" w:ascii="仿宋" w:hAnsi="仿宋" w:eastAsia="仿宋" w:cs="仿宋"/>
                <w:b/>
                <w:bCs/>
                <w:color w:val="auto"/>
                <w:sz w:val="21"/>
                <w:szCs w:val="21"/>
                <w:highlight w:val="none"/>
                <w:lang w:val="en-US" w:eastAsia="zh-CN"/>
              </w:rPr>
            </w:pPr>
          </w:p>
        </w:tc>
        <w:tc>
          <w:tcPr>
            <w:tcW w:w="397" w:type="pct"/>
            <w:tcBorders>
              <w:top w:val="single" w:color="000000" w:sz="4" w:space="0"/>
              <w:left w:val="single" w:color="000000" w:sz="4" w:space="0"/>
              <w:bottom w:val="single" w:color="000000" w:sz="4" w:space="0"/>
              <w:right w:val="single" w:color="000000" w:sz="4" w:space="0"/>
            </w:tcBorders>
            <w:shd w:val="clear" w:color="auto" w:fill="9CC2E5"/>
            <w:vAlign w:val="center"/>
          </w:tcPr>
          <w:p w14:paraId="1EA0442D">
            <w:pPr>
              <w:pStyle w:val="20"/>
              <w:bidi w:val="0"/>
              <w:spacing w:line="240" w:lineRule="auto"/>
              <w:rPr>
                <w:rFonts w:hint="eastAsia" w:ascii="仿宋" w:hAnsi="仿宋" w:eastAsia="仿宋" w:cs="仿宋"/>
                <w:b/>
                <w:bCs/>
                <w:color w:val="auto"/>
                <w:sz w:val="21"/>
                <w:szCs w:val="21"/>
                <w:highlight w:val="none"/>
                <w:lang w:val="en-US" w:eastAsia="zh-CN"/>
              </w:rPr>
            </w:pPr>
          </w:p>
        </w:tc>
        <w:tc>
          <w:tcPr>
            <w:tcW w:w="456" w:type="pct"/>
            <w:tcBorders>
              <w:top w:val="single" w:color="000000" w:sz="4" w:space="0"/>
              <w:left w:val="single" w:color="000000" w:sz="4" w:space="0"/>
              <w:bottom w:val="single" w:color="000000" w:sz="4" w:space="0"/>
              <w:right w:val="single" w:color="000000" w:sz="4" w:space="0"/>
            </w:tcBorders>
            <w:shd w:val="clear" w:color="auto" w:fill="9CC2E5"/>
            <w:vAlign w:val="center"/>
          </w:tcPr>
          <w:p w14:paraId="2999770B">
            <w:pPr>
              <w:pStyle w:val="20"/>
              <w:bidi w:val="0"/>
              <w:spacing w:line="240" w:lineRule="auto"/>
              <w:rPr>
                <w:rFonts w:hint="eastAsia" w:ascii="仿宋" w:hAnsi="仿宋" w:eastAsia="仿宋" w:cs="仿宋"/>
                <w:b/>
                <w:bCs/>
                <w:color w:val="auto"/>
                <w:sz w:val="21"/>
                <w:szCs w:val="21"/>
                <w:highlight w:val="none"/>
                <w:lang w:val="en-US" w:eastAsia="zh-CN"/>
              </w:rPr>
            </w:pPr>
          </w:p>
        </w:tc>
      </w:tr>
      <w:tr w14:paraId="3912BE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8" w:hRule="exact"/>
          <w:tblHeader/>
        </w:trPr>
        <w:tc>
          <w:tcPr>
            <w:tcW w:w="234" w:type="pct"/>
            <w:tcBorders>
              <w:top w:val="single" w:color="000000" w:sz="4" w:space="0"/>
              <w:left w:val="single" w:color="000000" w:sz="4" w:space="0"/>
              <w:bottom w:val="single" w:color="000000" w:sz="4" w:space="0"/>
              <w:right w:val="single" w:color="000000" w:sz="4" w:space="0"/>
            </w:tcBorders>
            <w:shd w:val="clear" w:color="auto" w:fill="9CC2E5"/>
            <w:vAlign w:val="center"/>
          </w:tcPr>
          <w:p w14:paraId="1B0273A6">
            <w:pPr>
              <w:pStyle w:val="20"/>
              <w:bidi w:val="0"/>
              <w:spacing w:line="240" w:lineRule="auto"/>
              <w:rPr>
                <w:rFonts w:hint="eastAsia" w:ascii="仿宋" w:hAnsi="仿宋" w:eastAsia="仿宋" w:cs="仿宋"/>
                <w:b/>
                <w:bCs/>
                <w:color w:val="auto"/>
                <w:sz w:val="21"/>
                <w:szCs w:val="21"/>
                <w:highlight w:val="none"/>
                <w:lang w:val="en-US" w:eastAsia="zh-CN"/>
              </w:rPr>
            </w:pPr>
          </w:p>
        </w:tc>
        <w:tc>
          <w:tcPr>
            <w:tcW w:w="1034" w:type="pct"/>
            <w:tcBorders>
              <w:top w:val="single" w:color="000000" w:sz="4" w:space="0"/>
              <w:left w:val="single" w:color="000000" w:sz="4" w:space="0"/>
              <w:bottom w:val="single" w:color="000000" w:sz="4" w:space="0"/>
              <w:right w:val="single" w:color="000000" w:sz="4" w:space="0"/>
            </w:tcBorders>
            <w:shd w:val="clear" w:color="auto" w:fill="9CC2E5"/>
            <w:vAlign w:val="center"/>
          </w:tcPr>
          <w:p w14:paraId="7667A026">
            <w:pPr>
              <w:pStyle w:val="20"/>
              <w:bidi w:val="0"/>
              <w:spacing w:line="240" w:lineRule="auto"/>
              <w:rPr>
                <w:rFonts w:hint="eastAsia" w:ascii="仿宋" w:hAnsi="仿宋" w:eastAsia="仿宋" w:cs="仿宋"/>
                <w:b/>
                <w:bCs/>
                <w:color w:val="auto"/>
                <w:sz w:val="21"/>
                <w:szCs w:val="21"/>
                <w:highlight w:val="none"/>
                <w:lang w:val="en-US" w:eastAsia="zh-CN"/>
              </w:rPr>
            </w:pPr>
          </w:p>
        </w:tc>
        <w:tc>
          <w:tcPr>
            <w:tcW w:w="431" w:type="pct"/>
            <w:tcBorders>
              <w:top w:val="single" w:color="000000" w:sz="4" w:space="0"/>
              <w:left w:val="single" w:color="000000" w:sz="4" w:space="0"/>
              <w:bottom w:val="single" w:color="000000" w:sz="4" w:space="0"/>
              <w:right w:val="single" w:color="000000" w:sz="4" w:space="0"/>
            </w:tcBorders>
            <w:shd w:val="clear" w:color="auto" w:fill="9CC2E5"/>
            <w:vAlign w:val="center"/>
          </w:tcPr>
          <w:p w14:paraId="5A67CE5C">
            <w:pPr>
              <w:pStyle w:val="20"/>
              <w:bidi w:val="0"/>
              <w:spacing w:line="240" w:lineRule="auto"/>
              <w:rPr>
                <w:rFonts w:hint="eastAsia" w:ascii="仿宋" w:hAnsi="仿宋" w:eastAsia="仿宋" w:cs="仿宋"/>
                <w:b/>
                <w:bCs/>
                <w:color w:val="auto"/>
                <w:sz w:val="21"/>
                <w:szCs w:val="21"/>
                <w:highlight w:val="none"/>
                <w:lang w:val="en-US" w:eastAsia="zh-CN"/>
              </w:rPr>
            </w:pPr>
          </w:p>
        </w:tc>
        <w:tc>
          <w:tcPr>
            <w:tcW w:w="311" w:type="pct"/>
            <w:tcBorders>
              <w:top w:val="single" w:color="000000" w:sz="4" w:space="0"/>
              <w:left w:val="single" w:color="000000" w:sz="4" w:space="0"/>
              <w:bottom w:val="single" w:color="000000" w:sz="4" w:space="0"/>
              <w:right w:val="single" w:color="000000" w:sz="4" w:space="0"/>
            </w:tcBorders>
            <w:shd w:val="clear" w:color="auto" w:fill="9CC2E5"/>
            <w:vAlign w:val="center"/>
          </w:tcPr>
          <w:p w14:paraId="25E5ABFC">
            <w:pPr>
              <w:pStyle w:val="20"/>
              <w:bidi w:val="0"/>
              <w:spacing w:line="240" w:lineRule="auto"/>
              <w:rPr>
                <w:rFonts w:hint="eastAsia" w:ascii="仿宋" w:hAnsi="仿宋" w:eastAsia="仿宋" w:cs="仿宋"/>
                <w:b/>
                <w:bCs/>
                <w:color w:val="auto"/>
                <w:sz w:val="21"/>
                <w:szCs w:val="21"/>
                <w:highlight w:val="none"/>
                <w:lang w:val="en-US" w:eastAsia="zh-CN"/>
              </w:rPr>
            </w:pPr>
          </w:p>
        </w:tc>
        <w:tc>
          <w:tcPr>
            <w:tcW w:w="413" w:type="pct"/>
            <w:tcBorders>
              <w:top w:val="single" w:color="000000" w:sz="4" w:space="0"/>
              <w:left w:val="single" w:color="000000" w:sz="4" w:space="0"/>
              <w:bottom w:val="single" w:color="000000" w:sz="4" w:space="0"/>
              <w:right w:val="single" w:color="000000" w:sz="4" w:space="0"/>
            </w:tcBorders>
            <w:shd w:val="clear" w:color="auto" w:fill="9CC2E5"/>
            <w:vAlign w:val="center"/>
          </w:tcPr>
          <w:p w14:paraId="4E8D8BCA">
            <w:pPr>
              <w:pStyle w:val="20"/>
              <w:bidi w:val="0"/>
              <w:spacing w:line="240" w:lineRule="auto"/>
              <w:rPr>
                <w:rFonts w:hint="eastAsia" w:ascii="仿宋" w:hAnsi="仿宋" w:eastAsia="仿宋" w:cs="仿宋"/>
                <w:b/>
                <w:bCs/>
                <w:color w:val="auto"/>
                <w:sz w:val="21"/>
                <w:szCs w:val="21"/>
                <w:highlight w:val="none"/>
                <w:lang w:val="en-US" w:eastAsia="zh-CN"/>
              </w:rPr>
            </w:pPr>
          </w:p>
        </w:tc>
        <w:tc>
          <w:tcPr>
            <w:tcW w:w="532" w:type="pct"/>
            <w:tcBorders>
              <w:top w:val="single" w:color="000000" w:sz="4" w:space="0"/>
              <w:left w:val="single" w:color="000000" w:sz="4" w:space="0"/>
              <w:bottom w:val="single" w:color="000000" w:sz="4" w:space="0"/>
              <w:right w:val="single" w:color="000000" w:sz="4" w:space="0"/>
            </w:tcBorders>
            <w:shd w:val="clear" w:color="auto" w:fill="9CC2E5"/>
            <w:vAlign w:val="center"/>
          </w:tcPr>
          <w:p w14:paraId="56DC0D24">
            <w:pPr>
              <w:pStyle w:val="20"/>
              <w:bidi w:val="0"/>
              <w:spacing w:line="240" w:lineRule="auto"/>
              <w:rPr>
                <w:rFonts w:hint="eastAsia" w:ascii="仿宋" w:hAnsi="仿宋" w:eastAsia="仿宋" w:cs="仿宋"/>
                <w:b/>
                <w:bCs/>
                <w:color w:val="auto"/>
                <w:sz w:val="21"/>
                <w:szCs w:val="21"/>
                <w:highlight w:val="none"/>
                <w:lang w:val="en-US" w:eastAsia="zh-CN"/>
              </w:rPr>
            </w:pPr>
          </w:p>
        </w:tc>
        <w:tc>
          <w:tcPr>
            <w:tcW w:w="283" w:type="pct"/>
            <w:tcBorders>
              <w:top w:val="single" w:color="000000" w:sz="4" w:space="0"/>
              <w:left w:val="single" w:color="000000" w:sz="4" w:space="0"/>
              <w:bottom w:val="single" w:color="000000" w:sz="4" w:space="0"/>
              <w:right w:val="single" w:color="000000" w:sz="4" w:space="0"/>
            </w:tcBorders>
            <w:shd w:val="clear" w:color="auto" w:fill="9CC2E5"/>
            <w:vAlign w:val="center"/>
          </w:tcPr>
          <w:p w14:paraId="0F5002F0">
            <w:pPr>
              <w:pStyle w:val="20"/>
              <w:bidi w:val="0"/>
              <w:spacing w:line="240" w:lineRule="auto"/>
              <w:rPr>
                <w:rFonts w:hint="eastAsia" w:ascii="仿宋" w:hAnsi="仿宋" w:eastAsia="仿宋" w:cs="仿宋"/>
                <w:b/>
                <w:bCs/>
                <w:color w:val="auto"/>
                <w:sz w:val="21"/>
                <w:szCs w:val="21"/>
                <w:highlight w:val="none"/>
                <w:lang w:val="en-US" w:eastAsia="zh-CN"/>
              </w:rPr>
            </w:pPr>
          </w:p>
        </w:tc>
        <w:tc>
          <w:tcPr>
            <w:tcW w:w="389" w:type="pct"/>
            <w:tcBorders>
              <w:top w:val="single" w:color="000000" w:sz="4" w:space="0"/>
              <w:left w:val="single" w:color="000000" w:sz="4" w:space="0"/>
              <w:bottom w:val="single" w:color="000000" w:sz="4" w:space="0"/>
              <w:right w:val="single" w:color="000000" w:sz="4" w:space="0"/>
            </w:tcBorders>
            <w:shd w:val="clear" w:color="auto" w:fill="9CC2E5"/>
            <w:vAlign w:val="center"/>
          </w:tcPr>
          <w:p w14:paraId="04E12CC3">
            <w:pPr>
              <w:pStyle w:val="20"/>
              <w:bidi w:val="0"/>
              <w:spacing w:line="240" w:lineRule="auto"/>
              <w:rPr>
                <w:rFonts w:hint="eastAsia" w:ascii="仿宋" w:hAnsi="仿宋" w:eastAsia="仿宋" w:cs="仿宋"/>
                <w:b/>
                <w:bCs/>
                <w:color w:val="auto"/>
                <w:sz w:val="21"/>
                <w:szCs w:val="21"/>
                <w:highlight w:val="none"/>
                <w:lang w:val="en-US" w:eastAsia="zh-CN"/>
              </w:rPr>
            </w:pPr>
          </w:p>
        </w:tc>
        <w:tc>
          <w:tcPr>
            <w:tcW w:w="265" w:type="pct"/>
            <w:tcBorders>
              <w:top w:val="single" w:color="000000" w:sz="4" w:space="0"/>
              <w:left w:val="single" w:color="000000" w:sz="4" w:space="0"/>
              <w:bottom w:val="single" w:color="000000" w:sz="4" w:space="0"/>
              <w:right w:val="single" w:color="000000" w:sz="4" w:space="0"/>
            </w:tcBorders>
            <w:shd w:val="clear" w:color="auto" w:fill="9CC2E5"/>
            <w:vAlign w:val="center"/>
          </w:tcPr>
          <w:p w14:paraId="7D9EECD9">
            <w:pPr>
              <w:pStyle w:val="20"/>
              <w:bidi w:val="0"/>
              <w:spacing w:line="240" w:lineRule="auto"/>
              <w:rPr>
                <w:rFonts w:hint="eastAsia" w:ascii="仿宋" w:hAnsi="仿宋" w:eastAsia="仿宋" w:cs="仿宋"/>
                <w:b/>
                <w:bCs/>
                <w:color w:val="auto"/>
                <w:sz w:val="21"/>
                <w:szCs w:val="21"/>
                <w:highlight w:val="none"/>
                <w:lang w:val="en-US" w:eastAsia="zh-CN"/>
              </w:rPr>
            </w:pPr>
          </w:p>
        </w:tc>
        <w:tc>
          <w:tcPr>
            <w:tcW w:w="252" w:type="pct"/>
            <w:tcBorders>
              <w:top w:val="single" w:color="000000" w:sz="4" w:space="0"/>
              <w:left w:val="single" w:color="000000" w:sz="4" w:space="0"/>
              <w:bottom w:val="single" w:color="000000" w:sz="4" w:space="0"/>
              <w:right w:val="single" w:color="000000" w:sz="4" w:space="0"/>
            </w:tcBorders>
            <w:shd w:val="clear" w:color="auto" w:fill="9CC2E5"/>
            <w:vAlign w:val="center"/>
          </w:tcPr>
          <w:p w14:paraId="0842552E">
            <w:pPr>
              <w:pStyle w:val="20"/>
              <w:bidi w:val="0"/>
              <w:spacing w:line="240" w:lineRule="auto"/>
              <w:rPr>
                <w:rFonts w:hint="eastAsia" w:ascii="仿宋" w:hAnsi="仿宋" w:eastAsia="仿宋" w:cs="仿宋"/>
                <w:b/>
                <w:bCs/>
                <w:color w:val="auto"/>
                <w:sz w:val="21"/>
                <w:szCs w:val="21"/>
                <w:highlight w:val="none"/>
                <w:lang w:val="en-US" w:eastAsia="zh-CN"/>
              </w:rPr>
            </w:pPr>
          </w:p>
        </w:tc>
        <w:tc>
          <w:tcPr>
            <w:tcW w:w="397" w:type="pct"/>
            <w:tcBorders>
              <w:top w:val="single" w:color="000000" w:sz="4" w:space="0"/>
              <w:left w:val="single" w:color="000000" w:sz="4" w:space="0"/>
              <w:bottom w:val="single" w:color="000000" w:sz="4" w:space="0"/>
              <w:right w:val="single" w:color="000000" w:sz="4" w:space="0"/>
            </w:tcBorders>
            <w:shd w:val="clear" w:color="auto" w:fill="9CC2E5"/>
            <w:vAlign w:val="center"/>
          </w:tcPr>
          <w:p w14:paraId="549C6484">
            <w:pPr>
              <w:pStyle w:val="20"/>
              <w:bidi w:val="0"/>
              <w:spacing w:line="240" w:lineRule="auto"/>
              <w:rPr>
                <w:rFonts w:hint="eastAsia" w:ascii="仿宋" w:hAnsi="仿宋" w:eastAsia="仿宋" w:cs="仿宋"/>
                <w:b/>
                <w:bCs/>
                <w:color w:val="auto"/>
                <w:sz w:val="21"/>
                <w:szCs w:val="21"/>
                <w:highlight w:val="none"/>
                <w:lang w:val="en-US" w:eastAsia="zh-CN"/>
              </w:rPr>
            </w:pPr>
          </w:p>
        </w:tc>
        <w:tc>
          <w:tcPr>
            <w:tcW w:w="456" w:type="pct"/>
            <w:tcBorders>
              <w:top w:val="single" w:color="000000" w:sz="4" w:space="0"/>
              <w:left w:val="single" w:color="000000" w:sz="4" w:space="0"/>
              <w:bottom w:val="single" w:color="000000" w:sz="4" w:space="0"/>
              <w:right w:val="single" w:color="000000" w:sz="4" w:space="0"/>
            </w:tcBorders>
            <w:shd w:val="clear" w:color="auto" w:fill="9CC2E5"/>
            <w:vAlign w:val="center"/>
          </w:tcPr>
          <w:p w14:paraId="53B8710B">
            <w:pPr>
              <w:pStyle w:val="20"/>
              <w:bidi w:val="0"/>
              <w:spacing w:line="240" w:lineRule="auto"/>
              <w:rPr>
                <w:rFonts w:hint="eastAsia" w:ascii="仿宋" w:hAnsi="仿宋" w:eastAsia="仿宋" w:cs="仿宋"/>
                <w:b/>
                <w:bCs/>
                <w:color w:val="auto"/>
                <w:sz w:val="21"/>
                <w:szCs w:val="21"/>
                <w:highlight w:val="none"/>
                <w:lang w:val="en-US" w:eastAsia="zh-CN"/>
              </w:rPr>
            </w:pPr>
          </w:p>
        </w:tc>
      </w:tr>
      <w:tr w14:paraId="4869A89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78" w:hRule="exact"/>
          <w:tblHeader/>
        </w:trPr>
        <w:tc>
          <w:tcPr>
            <w:tcW w:w="234" w:type="pct"/>
            <w:tcBorders>
              <w:top w:val="single" w:color="000000" w:sz="4" w:space="0"/>
              <w:left w:val="single" w:color="000000" w:sz="4" w:space="0"/>
              <w:bottom w:val="single" w:color="000000" w:sz="4" w:space="0"/>
              <w:right w:val="single" w:color="000000" w:sz="4" w:space="0"/>
            </w:tcBorders>
            <w:shd w:val="clear" w:color="auto" w:fill="9CC2E5"/>
            <w:vAlign w:val="center"/>
          </w:tcPr>
          <w:p w14:paraId="4F70A590">
            <w:pPr>
              <w:pStyle w:val="20"/>
              <w:bidi w:val="0"/>
              <w:spacing w:line="240" w:lineRule="auto"/>
              <w:rPr>
                <w:rFonts w:hint="eastAsia" w:ascii="仿宋" w:hAnsi="仿宋" w:eastAsia="仿宋" w:cs="仿宋"/>
                <w:b/>
                <w:bCs/>
                <w:color w:val="auto"/>
                <w:sz w:val="21"/>
                <w:szCs w:val="21"/>
                <w:highlight w:val="none"/>
                <w:lang w:val="en-US" w:eastAsia="zh-CN"/>
              </w:rPr>
            </w:pPr>
          </w:p>
        </w:tc>
        <w:tc>
          <w:tcPr>
            <w:tcW w:w="1034" w:type="pct"/>
            <w:tcBorders>
              <w:top w:val="single" w:color="000000" w:sz="4" w:space="0"/>
              <w:left w:val="single" w:color="000000" w:sz="4" w:space="0"/>
              <w:bottom w:val="single" w:color="000000" w:sz="4" w:space="0"/>
              <w:right w:val="single" w:color="000000" w:sz="4" w:space="0"/>
            </w:tcBorders>
            <w:shd w:val="clear" w:color="auto" w:fill="9CC2E5"/>
            <w:vAlign w:val="center"/>
          </w:tcPr>
          <w:p w14:paraId="66A0E0C6">
            <w:pPr>
              <w:pStyle w:val="20"/>
              <w:bidi w:val="0"/>
              <w:spacing w:line="240" w:lineRule="auto"/>
              <w:rPr>
                <w:rFonts w:hint="eastAsia" w:ascii="仿宋" w:hAnsi="仿宋" w:eastAsia="仿宋" w:cs="仿宋"/>
                <w:b/>
                <w:bCs/>
                <w:color w:val="auto"/>
                <w:sz w:val="21"/>
                <w:szCs w:val="21"/>
                <w:highlight w:val="none"/>
                <w:lang w:val="en-US" w:eastAsia="zh-CN"/>
              </w:rPr>
            </w:pPr>
          </w:p>
        </w:tc>
        <w:tc>
          <w:tcPr>
            <w:tcW w:w="431" w:type="pct"/>
            <w:tcBorders>
              <w:top w:val="single" w:color="000000" w:sz="4" w:space="0"/>
              <w:left w:val="single" w:color="000000" w:sz="4" w:space="0"/>
              <w:bottom w:val="single" w:color="000000" w:sz="4" w:space="0"/>
              <w:right w:val="single" w:color="000000" w:sz="4" w:space="0"/>
            </w:tcBorders>
            <w:shd w:val="clear" w:color="auto" w:fill="9CC2E5"/>
            <w:vAlign w:val="center"/>
          </w:tcPr>
          <w:p w14:paraId="4FB56957">
            <w:pPr>
              <w:pStyle w:val="20"/>
              <w:bidi w:val="0"/>
              <w:spacing w:line="240" w:lineRule="auto"/>
              <w:rPr>
                <w:rFonts w:hint="eastAsia" w:ascii="仿宋" w:hAnsi="仿宋" w:eastAsia="仿宋" w:cs="仿宋"/>
                <w:b/>
                <w:bCs/>
                <w:color w:val="auto"/>
                <w:sz w:val="21"/>
                <w:szCs w:val="21"/>
                <w:highlight w:val="none"/>
                <w:lang w:val="en-US" w:eastAsia="zh-CN"/>
              </w:rPr>
            </w:pPr>
          </w:p>
        </w:tc>
        <w:tc>
          <w:tcPr>
            <w:tcW w:w="311" w:type="pct"/>
            <w:tcBorders>
              <w:top w:val="single" w:color="000000" w:sz="4" w:space="0"/>
              <w:left w:val="single" w:color="000000" w:sz="4" w:space="0"/>
              <w:bottom w:val="single" w:color="000000" w:sz="4" w:space="0"/>
              <w:right w:val="single" w:color="000000" w:sz="4" w:space="0"/>
            </w:tcBorders>
            <w:shd w:val="clear" w:color="auto" w:fill="9CC2E5"/>
            <w:vAlign w:val="center"/>
          </w:tcPr>
          <w:p w14:paraId="6F8C7888">
            <w:pPr>
              <w:pStyle w:val="20"/>
              <w:bidi w:val="0"/>
              <w:spacing w:line="240" w:lineRule="auto"/>
              <w:rPr>
                <w:rFonts w:hint="eastAsia" w:ascii="仿宋" w:hAnsi="仿宋" w:eastAsia="仿宋" w:cs="仿宋"/>
                <w:b/>
                <w:bCs/>
                <w:color w:val="auto"/>
                <w:sz w:val="21"/>
                <w:szCs w:val="21"/>
                <w:highlight w:val="none"/>
                <w:lang w:val="en-US" w:eastAsia="zh-CN"/>
              </w:rPr>
            </w:pPr>
          </w:p>
        </w:tc>
        <w:tc>
          <w:tcPr>
            <w:tcW w:w="413" w:type="pct"/>
            <w:tcBorders>
              <w:top w:val="single" w:color="000000" w:sz="4" w:space="0"/>
              <w:left w:val="single" w:color="000000" w:sz="4" w:space="0"/>
              <w:bottom w:val="single" w:color="000000" w:sz="4" w:space="0"/>
              <w:right w:val="single" w:color="000000" w:sz="4" w:space="0"/>
            </w:tcBorders>
            <w:shd w:val="clear" w:color="auto" w:fill="9CC2E5"/>
            <w:vAlign w:val="center"/>
          </w:tcPr>
          <w:p w14:paraId="45883FB8">
            <w:pPr>
              <w:pStyle w:val="20"/>
              <w:bidi w:val="0"/>
              <w:spacing w:line="240" w:lineRule="auto"/>
              <w:rPr>
                <w:rFonts w:hint="eastAsia" w:ascii="仿宋" w:hAnsi="仿宋" w:eastAsia="仿宋" w:cs="仿宋"/>
                <w:b/>
                <w:bCs/>
                <w:color w:val="auto"/>
                <w:sz w:val="21"/>
                <w:szCs w:val="21"/>
                <w:highlight w:val="none"/>
                <w:lang w:val="en-US" w:eastAsia="zh-CN"/>
              </w:rPr>
            </w:pPr>
          </w:p>
        </w:tc>
        <w:tc>
          <w:tcPr>
            <w:tcW w:w="532" w:type="pct"/>
            <w:tcBorders>
              <w:top w:val="single" w:color="000000" w:sz="4" w:space="0"/>
              <w:left w:val="single" w:color="000000" w:sz="4" w:space="0"/>
              <w:bottom w:val="single" w:color="000000" w:sz="4" w:space="0"/>
              <w:right w:val="single" w:color="000000" w:sz="4" w:space="0"/>
            </w:tcBorders>
            <w:shd w:val="clear" w:color="auto" w:fill="9CC2E5"/>
            <w:vAlign w:val="center"/>
          </w:tcPr>
          <w:p w14:paraId="3B9F132E">
            <w:pPr>
              <w:pStyle w:val="20"/>
              <w:bidi w:val="0"/>
              <w:spacing w:line="240" w:lineRule="auto"/>
              <w:rPr>
                <w:rFonts w:hint="eastAsia" w:ascii="仿宋" w:hAnsi="仿宋" w:eastAsia="仿宋" w:cs="仿宋"/>
                <w:b/>
                <w:bCs/>
                <w:color w:val="auto"/>
                <w:sz w:val="21"/>
                <w:szCs w:val="21"/>
                <w:highlight w:val="none"/>
                <w:lang w:val="en-US" w:eastAsia="zh-CN"/>
              </w:rPr>
            </w:pPr>
          </w:p>
        </w:tc>
        <w:tc>
          <w:tcPr>
            <w:tcW w:w="283" w:type="pct"/>
            <w:tcBorders>
              <w:top w:val="single" w:color="000000" w:sz="4" w:space="0"/>
              <w:left w:val="single" w:color="000000" w:sz="4" w:space="0"/>
              <w:bottom w:val="single" w:color="000000" w:sz="4" w:space="0"/>
              <w:right w:val="single" w:color="000000" w:sz="4" w:space="0"/>
            </w:tcBorders>
            <w:shd w:val="clear" w:color="auto" w:fill="9CC2E5"/>
            <w:vAlign w:val="center"/>
          </w:tcPr>
          <w:p w14:paraId="3B4BA058">
            <w:pPr>
              <w:pStyle w:val="20"/>
              <w:bidi w:val="0"/>
              <w:spacing w:line="240" w:lineRule="auto"/>
              <w:rPr>
                <w:rFonts w:hint="eastAsia" w:ascii="仿宋" w:hAnsi="仿宋" w:eastAsia="仿宋" w:cs="仿宋"/>
                <w:b/>
                <w:bCs/>
                <w:color w:val="auto"/>
                <w:sz w:val="21"/>
                <w:szCs w:val="21"/>
                <w:highlight w:val="none"/>
                <w:lang w:val="en-US" w:eastAsia="zh-CN"/>
              </w:rPr>
            </w:pPr>
          </w:p>
        </w:tc>
        <w:tc>
          <w:tcPr>
            <w:tcW w:w="389" w:type="pct"/>
            <w:tcBorders>
              <w:top w:val="single" w:color="000000" w:sz="4" w:space="0"/>
              <w:left w:val="single" w:color="000000" w:sz="4" w:space="0"/>
              <w:bottom w:val="single" w:color="000000" w:sz="4" w:space="0"/>
              <w:right w:val="single" w:color="000000" w:sz="4" w:space="0"/>
            </w:tcBorders>
            <w:shd w:val="clear" w:color="auto" w:fill="9CC2E5"/>
            <w:vAlign w:val="center"/>
          </w:tcPr>
          <w:p w14:paraId="4B1CEC9C">
            <w:pPr>
              <w:pStyle w:val="20"/>
              <w:bidi w:val="0"/>
              <w:spacing w:line="240" w:lineRule="auto"/>
              <w:rPr>
                <w:rFonts w:hint="eastAsia" w:ascii="仿宋" w:hAnsi="仿宋" w:eastAsia="仿宋" w:cs="仿宋"/>
                <w:b/>
                <w:bCs/>
                <w:color w:val="auto"/>
                <w:sz w:val="21"/>
                <w:szCs w:val="21"/>
                <w:highlight w:val="none"/>
                <w:lang w:val="en-US" w:eastAsia="zh-CN"/>
              </w:rPr>
            </w:pPr>
          </w:p>
        </w:tc>
        <w:tc>
          <w:tcPr>
            <w:tcW w:w="265" w:type="pct"/>
            <w:tcBorders>
              <w:top w:val="single" w:color="000000" w:sz="4" w:space="0"/>
              <w:left w:val="single" w:color="000000" w:sz="4" w:space="0"/>
              <w:bottom w:val="single" w:color="000000" w:sz="4" w:space="0"/>
              <w:right w:val="single" w:color="000000" w:sz="4" w:space="0"/>
            </w:tcBorders>
            <w:shd w:val="clear" w:color="auto" w:fill="9CC2E5"/>
            <w:vAlign w:val="center"/>
          </w:tcPr>
          <w:p w14:paraId="21BFA196">
            <w:pPr>
              <w:pStyle w:val="20"/>
              <w:bidi w:val="0"/>
              <w:spacing w:line="240" w:lineRule="auto"/>
              <w:rPr>
                <w:rFonts w:hint="eastAsia" w:ascii="仿宋" w:hAnsi="仿宋" w:eastAsia="仿宋" w:cs="仿宋"/>
                <w:b/>
                <w:bCs/>
                <w:color w:val="auto"/>
                <w:sz w:val="21"/>
                <w:szCs w:val="21"/>
                <w:highlight w:val="none"/>
                <w:lang w:val="en-US" w:eastAsia="zh-CN"/>
              </w:rPr>
            </w:pPr>
          </w:p>
        </w:tc>
        <w:tc>
          <w:tcPr>
            <w:tcW w:w="252" w:type="pct"/>
            <w:tcBorders>
              <w:top w:val="single" w:color="000000" w:sz="4" w:space="0"/>
              <w:left w:val="single" w:color="000000" w:sz="4" w:space="0"/>
              <w:bottom w:val="single" w:color="000000" w:sz="4" w:space="0"/>
              <w:right w:val="single" w:color="000000" w:sz="4" w:space="0"/>
            </w:tcBorders>
            <w:shd w:val="clear" w:color="auto" w:fill="9CC2E5"/>
            <w:vAlign w:val="center"/>
          </w:tcPr>
          <w:p w14:paraId="67C935F7">
            <w:pPr>
              <w:pStyle w:val="20"/>
              <w:bidi w:val="0"/>
              <w:spacing w:line="240" w:lineRule="auto"/>
              <w:rPr>
                <w:rFonts w:hint="eastAsia" w:ascii="仿宋" w:hAnsi="仿宋" w:eastAsia="仿宋" w:cs="仿宋"/>
                <w:b/>
                <w:bCs/>
                <w:color w:val="auto"/>
                <w:sz w:val="21"/>
                <w:szCs w:val="21"/>
                <w:highlight w:val="none"/>
                <w:lang w:val="en-US" w:eastAsia="zh-CN"/>
              </w:rPr>
            </w:pPr>
          </w:p>
        </w:tc>
        <w:tc>
          <w:tcPr>
            <w:tcW w:w="397" w:type="pct"/>
            <w:tcBorders>
              <w:top w:val="single" w:color="000000" w:sz="4" w:space="0"/>
              <w:left w:val="single" w:color="000000" w:sz="4" w:space="0"/>
              <w:bottom w:val="single" w:color="000000" w:sz="4" w:space="0"/>
              <w:right w:val="single" w:color="000000" w:sz="4" w:space="0"/>
            </w:tcBorders>
            <w:shd w:val="clear" w:color="auto" w:fill="9CC2E5"/>
            <w:vAlign w:val="center"/>
          </w:tcPr>
          <w:p w14:paraId="051075C9">
            <w:pPr>
              <w:pStyle w:val="20"/>
              <w:bidi w:val="0"/>
              <w:spacing w:line="240" w:lineRule="auto"/>
              <w:rPr>
                <w:rFonts w:hint="eastAsia" w:ascii="仿宋" w:hAnsi="仿宋" w:eastAsia="仿宋" w:cs="仿宋"/>
                <w:b/>
                <w:bCs/>
                <w:color w:val="auto"/>
                <w:sz w:val="21"/>
                <w:szCs w:val="21"/>
                <w:highlight w:val="none"/>
                <w:lang w:val="en-US" w:eastAsia="zh-CN"/>
              </w:rPr>
            </w:pPr>
          </w:p>
        </w:tc>
        <w:tc>
          <w:tcPr>
            <w:tcW w:w="456" w:type="pct"/>
            <w:tcBorders>
              <w:top w:val="single" w:color="000000" w:sz="4" w:space="0"/>
              <w:left w:val="single" w:color="000000" w:sz="4" w:space="0"/>
              <w:bottom w:val="single" w:color="000000" w:sz="4" w:space="0"/>
              <w:right w:val="single" w:color="000000" w:sz="4" w:space="0"/>
            </w:tcBorders>
            <w:shd w:val="clear" w:color="auto" w:fill="9CC2E5"/>
            <w:vAlign w:val="center"/>
          </w:tcPr>
          <w:p w14:paraId="50F2B907">
            <w:pPr>
              <w:pStyle w:val="20"/>
              <w:bidi w:val="0"/>
              <w:spacing w:line="240" w:lineRule="auto"/>
              <w:rPr>
                <w:rFonts w:hint="eastAsia" w:ascii="仿宋" w:hAnsi="仿宋" w:eastAsia="仿宋" w:cs="仿宋"/>
                <w:b/>
                <w:bCs/>
                <w:color w:val="auto"/>
                <w:sz w:val="21"/>
                <w:szCs w:val="21"/>
                <w:highlight w:val="none"/>
                <w:lang w:val="en-US" w:eastAsia="zh-CN"/>
              </w:rPr>
            </w:pPr>
          </w:p>
        </w:tc>
      </w:tr>
      <w:tr w14:paraId="74D3DD3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78" w:hRule="exact"/>
          <w:tblHeader/>
        </w:trPr>
        <w:tc>
          <w:tcPr>
            <w:tcW w:w="234" w:type="pct"/>
            <w:tcBorders>
              <w:top w:val="single" w:color="000000" w:sz="4" w:space="0"/>
              <w:left w:val="single" w:color="000000" w:sz="4" w:space="0"/>
              <w:bottom w:val="single" w:color="000000" w:sz="4" w:space="0"/>
              <w:right w:val="single" w:color="000000" w:sz="4" w:space="0"/>
            </w:tcBorders>
            <w:shd w:val="clear" w:color="auto" w:fill="9CC2E5"/>
            <w:vAlign w:val="center"/>
          </w:tcPr>
          <w:p w14:paraId="52C7A7D5">
            <w:pPr>
              <w:pStyle w:val="20"/>
              <w:bidi w:val="0"/>
              <w:spacing w:line="240" w:lineRule="auto"/>
              <w:rPr>
                <w:rFonts w:hint="eastAsia" w:ascii="仿宋" w:hAnsi="仿宋" w:eastAsia="仿宋" w:cs="仿宋"/>
                <w:b/>
                <w:bCs/>
                <w:color w:val="auto"/>
                <w:sz w:val="21"/>
                <w:szCs w:val="21"/>
                <w:highlight w:val="none"/>
                <w:lang w:val="en-US" w:eastAsia="zh-CN"/>
              </w:rPr>
            </w:pPr>
          </w:p>
        </w:tc>
        <w:tc>
          <w:tcPr>
            <w:tcW w:w="1034" w:type="pct"/>
            <w:tcBorders>
              <w:top w:val="single" w:color="000000" w:sz="4" w:space="0"/>
              <w:left w:val="single" w:color="000000" w:sz="4" w:space="0"/>
              <w:bottom w:val="single" w:color="000000" w:sz="4" w:space="0"/>
              <w:right w:val="single" w:color="000000" w:sz="4" w:space="0"/>
            </w:tcBorders>
            <w:shd w:val="clear" w:color="auto" w:fill="9CC2E5"/>
            <w:vAlign w:val="center"/>
          </w:tcPr>
          <w:p w14:paraId="5ECA70F8">
            <w:pPr>
              <w:pStyle w:val="20"/>
              <w:bidi w:val="0"/>
              <w:spacing w:line="240" w:lineRule="auto"/>
              <w:rPr>
                <w:rFonts w:hint="eastAsia" w:ascii="仿宋" w:hAnsi="仿宋" w:eastAsia="仿宋" w:cs="仿宋"/>
                <w:b/>
                <w:bCs/>
                <w:color w:val="auto"/>
                <w:sz w:val="21"/>
                <w:szCs w:val="21"/>
                <w:highlight w:val="none"/>
                <w:lang w:val="en-US" w:eastAsia="zh-CN"/>
              </w:rPr>
            </w:pPr>
          </w:p>
        </w:tc>
        <w:tc>
          <w:tcPr>
            <w:tcW w:w="431" w:type="pct"/>
            <w:tcBorders>
              <w:top w:val="single" w:color="000000" w:sz="4" w:space="0"/>
              <w:left w:val="single" w:color="000000" w:sz="4" w:space="0"/>
              <w:bottom w:val="single" w:color="000000" w:sz="4" w:space="0"/>
              <w:right w:val="single" w:color="000000" w:sz="4" w:space="0"/>
            </w:tcBorders>
            <w:shd w:val="clear" w:color="auto" w:fill="9CC2E5"/>
            <w:vAlign w:val="center"/>
          </w:tcPr>
          <w:p w14:paraId="61111CF9">
            <w:pPr>
              <w:pStyle w:val="20"/>
              <w:bidi w:val="0"/>
              <w:spacing w:line="240" w:lineRule="auto"/>
              <w:rPr>
                <w:rFonts w:hint="eastAsia" w:ascii="仿宋" w:hAnsi="仿宋" w:eastAsia="仿宋" w:cs="仿宋"/>
                <w:b/>
                <w:bCs/>
                <w:color w:val="auto"/>
                <w:sz w:val="21"/>
                <w:szCs w:val="21"/>
                <w:highlight w:val="none"/>
                <w:lang w:val="en-US" w:eastAsia="zh-CN"/>
              </w:rPr>
            </w:pPr>
          </w:p>
        </w:tc>
        <w:tc>
          <w:tcPr>
            <w:tcW w:w="311" w:type="pct"/>
            <w:tcBorders>
              <w:top w:val="single" w:color="000000" w:sz="4" w:space="0"/>
              <w:left w:val="single" w:color="000000" w:sz="4" w:space="0"/>
              <w:bottom w:val="single" w:color="000000" w:sz="4" w:space="0"/>
              <w:right w:val="single" w:color="000000" w:sz="4" w:space="0"/>
            </w:tcBorders>
            <w:shd w:val="clear" w:color="auto" w:fill="9CC2E5"/>
            <w:vAlign w:val="center"/>
          </w:tcPr>
          <w:p w14:paraId="2E2185B7">
            <w:pPr>
              <w:pStyle w:val="20"/>
              <w:bidi w:val="0"/>
              <w:spacing w:line="240" w:lineRule="auto"/>
              <w:rPr>
                <w:rFonts w:hint="eastAsia" w:ascii="仿宋" w:hAnsi="仿宋" w:eastAsia="仿宋" w:cs="仿宋"/>
                <w:b/>
                <w:bCs/>
                <w:color w:val="auto"/>
                <w:sz w:val="21"/>
                <w:szCs w:val="21"/>
                <w:highlight w:val="none"/>
                <w:lang w:val="en-US" w:eastAsia="zh-CN"/>
              </w:rPr>
            </w:pPr>
          </w:p>
        </w:tc>
        <w:tc>
          <w:tcPr>
            <w:tcW w:w="413" w:type="pct"/>
            <w:tcBorders>
              <w:top w:val="single" w:color="000000" w:sz="4" w:space="0"/>
              <w:left w:val="single" w:color="000000" w:sz="4" w:space="0"/>
              <w:bottom w:val="single" w:color="000000" w:sz="4" w:space="0"/>
              <w:right w:val="single" w:color="000000" w:sz="4" w:space="0"/>
            </w:tcBorders>
            <w:shd w:val="clear" w:color="auto" w:fill="9CC2E5"/>
            <w:vAlign w:val="center"/>
          </w:tcPr>
          <w:p w14:paraId="5D724176">
            <w:pPr>
              <w:pStyle w:val="20"/>
              <w:bidi w:val="0"/>
              <w:spacing w:line="240" w:lineRule="auto"/>
              <w:rPr>
                <w:rFonts w:hint="eastAsia" w:ascii="仿宋" w:hAnsi="仿宋" w:eastAsia="仿宋" w:cs="仿宋"/>
                <w:b/>
                <w:bCs/>
                <w:color w:val="auto"/>
                <w:sz w:val="21"/>
                <w:szCs w:val="21"/>
                <w:highlight w:val="none"/>
                <w:lang w:val="en-US" w:eastAsia="zh-CN"/>
              </w:rPr>
            </w:pPr>
          </w:p>
        </w:tc>
        <w:tc>
          <w:tcPr>
            <w:tcW w:w="532" w:type="pct"/>
            <w:tcBorders>
              <w:top w:val="single" w:color="000000" w:sz="4" w:space="0"/>
              <w:left w:val="single" w:color="000000" w:sz="4" w:space="0"/>
              <w:bottom w:val="single" w:color="000000" w:sz="4" w:space="0"/>
              <w:right w:val="single" w:color="000000" w:sz="4" w:space="0"/>
            </w:tcBorders>
            <w:shd w:val="clear" w:color="auto" w:fill="9CC2E5"/>
            <w:vAlign w:val="center"/>
          </w:tcPr>
          <w:p w14:paraId="68A65698">
            <w:pPr>
              <w:pStyle w:val="20"/>
              <w:bidi w:val="0"/>
              <w:spacing w:line="240" w:lineRule="auto"/>
              <w:rPr>
                <w:rFonts w:hint="eastAsia" w:ascii="仿宋" w:hAnsi="仿宋" w:eastAsia="仿宋" w:cs="仿宋"/>
                <w:b/>
                <w:bCs/>
                <w:color w:val="auto"/>
                <w:sz w:val="21"/>
                <w:szCs w:val="21"/>
                <w:highlight w:val="none"/>
                <w:lang w:val="en-US" w:eastAsia="zh-CN"/>
              </w:rPr>
            </w:pPr>
          </w:p>
        </w:tc>
        <w:tc>
          <w:tcPr>
            <w:tcW w:w="283" w:type="pct"/>
            <w:tcBorders>
              <w:top w:val="single" w:color="000000" w:sz="4" w:space="0"/>
              <w:left w:val="single" w:color="000000" w:sz="4" w:space="0"/>
              <w:bottom w:val="single" w:color="000000" w:sz="4" w:space="0"/>
              <w:right w:val="single" w:color="000000" w:sz="4" w:space="0"/>
            </w:tcBorders>
            <w:shd w:val="clear" w:color="auto" w:fill="9CC2E5"/>
            <w:vAlign w:val="center"/>
          </w:tcPr>
          <w:p w14:paraId="51E5AC03">
            <w:pPr>
              <w:pStyle w:val="20"/>
              <w:bidi w:val="0"/>
              <w:spacing w:line="240" w:lineRule="auto"/>
              <w:rPr>
                <w:rFonts w:hint="eastAsia" w:ascii="仿宋" w:hAnsi="仿宋" w:eastAsia="仿宋" w:cs="仿宋"/>
                <w:b/>
                <w:bCs/>
                <w:color w:val="auto"/>
                <w:sz w:val="21"/>
                <w:szCs w:val="21"/>
                <w:highlight w:val="none"/>
                <w:lang w:val="en-US" w:eastAsia="zh-CN"/>
              </w:rPr>
            </w:pPr>
          </w:p>
        </w:tc>
        <w:tc>
          <w:tcPr>
            <w:tcW w:w="389" w:type="pct"/>
            <w:tcBorders>
              <w:top w:val="single" w:color="000000" w:sz="4" w:space="0"/>
              <w:left w:val="single" w:color="000000" w:sz="4" w:space="0"/>
              <w:bottom w:val="single" w:color="000000" w:sz="4" w:space="0"/>
              <w:right w:val="single" w:color="000000" w:sz="4" w:space="0"/>
            </w:tcBorders>
            <w:shd w:val="clear" w:color="auto" w:fill="9CC2E5"/>
            <w:vAlign w:val="center"/>
          </w:tcPr>
          <w:p w14:paraId="255679D6">
            <w:pPr>
              <w:pStyle w:val="20"/>
              <w:bidi w:val="0"/>
              <w:spacing w:line="240" w:lineRule="auto"/>
              <w:rPr>
                <w:rFonts w:hint="eastAsia" w:ascii="仿宋" w:hAnsi="仿宋" w:eastAsia="仿宋" w:cs="仿宋"/>
                <w:b/>
                <w:bCs/>
                <w:color w:val="auto"/>
                <w:sz w:val="21"/>
                <w:szCs w:val="21"/>
                <w:highlight w:val="none"/>
                <w:lang w:val="en-US" w:eastAsia="zh-CN"/>
              </w:rPr>
            </w:pPr>
          </w:p>
        </w:tc>
        <w:tc>
          <w:tcPr>
            <w:tcW w:w="265" w:type="pct"/>
            <w:tcBorders>
              <w:top w:val="single" w:color="000000" w:sz="4" w:space="0"/>
              <w:left w:val="single" w:color="000000" w:sz="4" w:space="0"/>
              <w:bottom w:val="single" w:color="000000" w:sz="4" w:space="0"/>
              <w:right w:val="single" w:color="000000" w:sz="4" w:space="0"/>
            </w:tcBorders>
            <w:shd w:val="clear" w:color="auto" w:fill="9CC2E5"/>
            <w:vAlign w:val="center"/>
          </w:tcPr>
          <w:p w14:paraId="41071EEE">
            <w:pPr>
              <w:pStyle w:val="20"/>
              <w:bidi w:val="0"/>
              <w:spacing w:line="240" w:lineRule="auto"/>
              <w:rPr>
                <w:rFonts w:hint="eastAsia" w:ascii="仿宋" w:hAnsi="仿宋" w:eastAsia="仿宋" w:cs="仿宋"/>
                <w:b/>
                <w:bCs/>
                <w:color w:val="auto"/>
                <w:sz w:val="21"/>
                <w:szCs w:val="21"/>
                <w:highlight w:val="none"/>
                <w:lang w:val="en-US" w:eastAsia="zh-CN"/>
              </w:rPr>
            </w:pPr>
          </w:p>
        </w:tc>
        <w:tc>
          <w:tcPr>
            <w:tcW w:w="252" w:type="pct"/>
            <w:tcBorders>
              <w:top w:val="single" w:color="000000" w:sz="4" w:space="0"/>
              <w:left w:val="single" w:color="000000" w:sz="4" w:space="0"/>
              <w:bottom w:val="single" w:color="000000" w:sz="4" w:space="0"/>
              <w:right w:val="single" w:color="000000" w:sz="4" w:space="0"/>
            </w:tcBorders>
            <w:shd w:val="clear" w:color="auto" w:fill="9CC2E5"/>
            <w:vAlign w:val="center"/>
          </w:tcPr>
          <w:p w14:paraId="29CDB0B3">
            <w:pPr>
              <w:pStyle w:val="20"/>
              <w:bidi w:val="0"/>
              <w:spacing w:line="240" w:lineRule="auto"/>
              <w:rPr>
                <w:rFonts w:hint="eastAsia" w:ascii="仿宋" w:hAnsi="仿宋" w:eastAsia="仿宋" w:cs="仿宋"/>
                <w:b/>
                <w:bCs/>
                <w:color w:val="auto"/>
                <w:sz w:val="21"/>
                <w:szCs w:val="21"/>
                <w:highlight w:val="none"/>
                <w:lang w:val="en-US" w:eastAsia="zh-CN"/>
              </w:rPr>
            </w:pPr>
          </w:p>
        </w:tc>
        <w:tc>
          <w:tcPr>
            <w:tcW w:w="397" w:type="pct"/>
            <w:tcBorders>
              <w:top w:val="single" w:color="000000" w:sz="4" w:space="0"/>
              <w:left w:val="single" w:color="000000" w:sz="4" w:space="0"/>
              <w:bottom w:val="single" w:color="000000" w:sz="4" w:space="0"/>
              <w:right w:val="single" w:color="000000" w:sz="4" w:space="0"/>
            </w:tcBorders>
            <w:shd w:val="clear" w:color="auto" w:fill="9CC2E5"/>
            <w:vAlign w:val="center"/>
          </w:tcPr>
          <w:p w14:paraId="789C133E">
            <w:pPr>
              <w:pStyle w:val="20"/>
              <w:bidi w:val="0"/>
              <w:spacing w:line="240" w:lineRule="auto"/>
              <w:rPr>
                <w:rFonts w:hint="eastAsia" w:ascii="仿宋" w:hAnsi="仿宋" w:eastAsia="仿宋" w:cs="仿宋"/>
                <w:b/>
                <w:bCs/>
                <w:color w:val="auto"/>
                <w:sz w:val="21"/>
                <w:szCs w:val="21"/>
                <w:highlight w:val="none"/>
                <w:lang w:val="en-US" w:eastAsia="zh-CN"/>
              </w:rPr>
            </w:pPr>
          </w:p>
        </w:tc>
        <w:tc>
          <w:tcPr>
            <w:tcW w:w="456" w:type="pct"/>
            <w:tcBorders>
              <w:top w:val="single" w:color="000000" w:sz="4" w:space="0"/>
              <w:left w:val="single" w:color="000000" w:sz="4" w:space="0"/>
              <w:bottom w:val="single" w:color="000000" w:sz="4" w:space="0"/>
              <w:right w:val="single" w:color="000000" w:sz="4" w:space="0"/>
            </w:tcBorders>
            <w:shd w:val="clear" w:color="auto" w:fill="9CC2E5"/>
            <w:vAlign w:val="center"/>
          </w:tcPr>
          <w:p w14:paraId="625A9DD3">
            <w:pPr>
              <w:pStyle w:val="20"/>
              <w:bidi w:val="0"/>
              <w:spacing w:line="240" w:lineRule="auto"/>
              <w:rPr>
                <w:rFonts w:hint="eastAsia" w:ascii="仿宋" w:hAnsi="仿宋" w:eastAsia="仿宋" w:cs="仿宋"/>
                <w:b/>
                <w:bCs/>
                <w:color w:val="auto"/>
                <w:sz w:val="21"/>
                <w:szCs w:val="21"/>
                <w:highlight w:val="none"/>
                <w:lang w:val="en-US" w:eastAsia="zh-CN"/>
              </w:rPr>
            </w:pPr>
          </w:p>
        </w:tc>
      </w:tr>
      <w:tr w14:paraId="106B567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78" w:hRule="exact"/>
          <w:tblHeader/>
        </w:trPr>
        <w:tc>
          <w:tcPr>
            <w:tcW w:w="234" w:type="pct"/>
            <w:tcBorders>
              <w:top w:val="single" w:color="000000" w:sz="4" w:space="0"/>
              <w:left w:val="single" w:color="000000" w:sz="4" w:space="0"/>
              <w:bottom w:val="single" w:color="000000" w:sz="4" w:space="0"/>
              <w:right w:val="single" w:color="000000" w:sz="4" w:space="0"/>
            </w:tcBorders>
            <w:shd w:val="clear" w:color="auto" w:fill="9CC2E5"/>
            <w:vAlign w:val="center"/>
          </w:tcPr>
          <w:p w14:paraId="582D39C9">
            <w:pPr>
              <w:pStyle w:val="20"/>
              <w:bidi w:val="0"/>
              <w:spacing w:line="240" w:lineRule="auto"/>
              <w:rPr>
                <w:rFonts w:hint="eastAsia" w:ascii="仿宋" w:hAnsi="仿宋" w:eastAsia="仿宋" w:cs="仿宋"/>
                <w:b/>
                <w:bCs/>
                <w:color w:val="auto"/>
                <w:sz w:val="21"/>
                <w:szCs w:val="21"/>
                <w:highlight w:val="none"/>
                <w:lang w:val="en-US" w:eastAsia="zh-CN"/>
              </w:rPr>
            </w:pPr>
          </w:p>
        </w:tc>
        <w:tc>
          <w:tcPr>
            <w:tcW w:w="1034" w:type="pct"/>
            <w:tcBorders>
              <w:top w:val="single" w:color="000000" w:sz="4" w:space="0"/>
              <w:left w:val="single" w:color="000000" w:sz="4" w:space="0"/>
              <w:bottom w:val="single" w:color="000000" w:sz="4" w:space="0"/>
              <w:right w:val="single" w:color="000000" w:sz="4" w:space="0"/>
            </w:tcBorders>
            <w:shd w:val="clear" w:color="auto" w:fill="9CC2E5"/>
            <w:vAlign w:val="center"/>
          </w:tcPr>
          <w:p w14:paraId="31CCB6BE">
            <w:pPr>
              <w:pStyle w:val="20"/>
              <w:bidi w:val="0"/>
              <w:spacing w:line="240" w:lineRule="auto"/>
              <w:rPr>
                <w:rFonts w:hint="eastAsia" w:ascii="仿宋" w:hAnsi="仿宋" w:eastAsia="仿宋" w:cs="仿宋"/>
                <w:b/>
                <w:bCs/>
                <w:color w:val="auto"/>
                <w:sz w:val="21"/>
                <w:szCs w:val="21"/>
                <w:highlight w:val="none"/>
                <w:lang w:val="en-US" w:eastAsia="zh-CN"/>
              </w:rPr>
            </w:pPr>
          </w:p>
        </w:tc>
        <w:tc>
          <w:tcPr>
            <w:tcW w:w="431" w:type="pct"/>
            <w:tcBorders>
              <w:top w:val="single" w:color="000000" w:sz="4" w:space="0"/>
              <w:left w:val="single" w:color="000000" w:sz="4" w:space="0"/>
              <w:bottom w:val="single" w:color="000000" w:sz="4" w:space="0"/>
              <w:right w:val="single" w:color="000000" w:sz="4" w:space="0"/>
            </w:tcBorders>
            <w:shd w:val="clear" w:color="auto" w:fill="9CC2E5"/>
            <w:vAlign w:val="center"/>
          </w:tcPr>
          <w:p w14:paraId="24EA4992">
            <w:pPr>
              <w:pStyle w:val="20"/>
              <w:bidi w:val="0"/>
              <w:spacing w:line="240" w:lineRule="auto"/>
              <w:rPr>
                <w:rFonts w:hint="eastAsia" w:ascii="仿宋" w:hAnsi="仿宋" w:eastAsia="仿宋" w:cs="仿宋"/>
                <w:b/>
                <w:bCs/>
                <w:color w:val="auto"/>
                <w:sz w:val="21"/>
                <w:szCs w:val="21"/>
                <w:highlight w:val="none"/>
                <w:lang w:val="en-US" w:eastAsia="zh-CN"/>
              </w:rPr>
            </w:pPr>
          </w:p>
        </w:tc>
        <w:tc>
          <w:tcPr>
            <w:tcW w:w="311" w:type="pct"/>
            <w:tcBorders>
              <w:top w:val="single" w:color="000000" w:sz="4" w:space="0"/>
              <w:left w:val="single" w:color="000000" w:sz="4" w:space="0"/>
              <w:bottom w:val="single" w:color="000000" w:sz="4" w:space="0"/>
              <w:right w:val="single" w:color="000000" w:sz="4" w:space="0"/>
            </w:tcBorders>
            <w:shd w:val="clear" w:color="auto" w:fill="9CC2E5"/>
            <w:vAlign w:val="center"/>
          </w:tcPr>
          <w:p w14:paraId="19326170">
            <w:pPr>
              <w:pStyle w:val="20"/>
              <w:bidi w:val="0"/>
              <w:spacing w:line="240" w:lineRule="auto"/>
              <w:rPr>
                <w:rFonts w:hint="eastAsia" w:ascii="仿宋" w:hAnsi="仿宋" w:eastAsia="仿宋" w:cs="仿宋"/>
                <w:b/>
                <w:bCs/>
                <w:color w:val="auto"/>
                <w:sz w:val="21"/>
                <w:szCs w:val="21"/>
                <w:highlight w:val="none"/>
                <w:lang w:val="en-US" w:eastAsia="zh-CN"/>
              </w:rPr>
            </w:pPr>
          </w:p>
        </w:tc>
        <w:tc>
          <w:tcPr>
            <w:tcW w:w="413" w:type="pct"/>
            <w:tcBorders>
              <w:top w:val="single" w:color="000000" w:sz="4" w:space="0"/>
              <w:left w:val="single" w:color="000000" w:sz="4" w:space="0"/>
              <w:bottom w:val="single" w:color="000000" w:sz="4" w:space="0"/>
              <w:right w:val="single" w:color="000000" w:sz="4" w:space="0"/>
            </w:tcBorders>
            <w:shd w:val="clear" w:color="auto" w:fill="9CC2E5"/>
            <w:vAlign w:val="center"/>
          </w:tcPr>
          <w:p w14:paraId="27F6EE95">
            <w:pPr>
              <w:pStyle w:val="20"/>
              <w:bidi w:val="0"/>
              <w:spacing w:line="240" w:lineRule="auto"/>
              <w:rPr>
                <w:rFonts w:hint="eastAsia" w:ascii="仿宋" w:hAnsi="仿宋" w:eastAsia="仿宋" w:cs="仿宋"/>
                <w:b/>
                <w:bCs/>
                <w:color w:val="auto"/>
                <w:sz w:val="21"/>
                <w:szCs w:val="21"/>
                <w:highlight w:val="none"/>
                <w:lang w:val="en-US" w:eastAsia="zh-CN"/>
              </w:rPr>
            </w:pPr>
          </w:p>
        </w:tc>
        <w:tc>
          <w:tcPr>
            <w:tcW w:w="532" w:type="pct"/>
            <w:tcBorders>
              <w:top w:val="single" w:color="000000" w:sz="4" w:space="0"/>
              <w:left w:val="single" w:color="000000" w:sz="4" w:space="0"/>
              <w:bottom w:val="single" w:color="000000" w:sz="4" w:space="0"/>
              <w:right w:val="single" w:color="000000" w:sz="4" w:space="0"/>
            </w:tcBorders>
            <w:shd w:val="clear" w:color="auto" w:fill="9CC2E5"/>
            <w:vAlign w:val="center"/>
          </w:tcPr>
          <w:p w14:paraId="03A91017">
            <w:pPr>
              <w:pStyle w:val="20"/>
              <w:bidi w:val="0"/>
              <w:spacing w:line="240" w:lineRule="auto"/>
              <w:rPr>
                <w:rFonts w:hint="eastAsia" w:ascii="仿宋" w:hAnsi="仿宋" w:eastAsia="仿宋" w:cs="仿宋"/>
                <w:b/>
                <w:bCs/>
                <w:color w:val="auto"/>
                <w:sz w:val="21"/>
                <w:szCs w:val="21"/>
                <w:highlight w:val="none"/>
                <w:lang w:val="en-US" w:eastAsia="zh-CN"/>
              </w:rPr>
            </w:pPr>
          </w:p>
        </w:tc>
        <w:tc>
          <w:tcPr>
            <w:tcW w:w="283" w:type="pct"/>
            <w:tcBorders>
              <w:top w:val="single" w:color="000000" w:sz="4" w:space="0"/>
              <w:left w:val="single" w:color="000000" w:sz="4" w:space="0"/>
              <w:bottom w:val="single" w:color="000000" w:sz="4" w:space="0"/>
              <w:right w:val="single" w:color="000000" w:sz="4" w:space="0"/>
            </w:tcBorders>
            <w:shd w:val="clear" w:color="auto" w:fill="9CC2E5"/>
            <w:vAlign w:val="center"/>
          </w:tcPr>
          <w:p w14:paraId="54514A76">
            <w:pPr>
              <w:pStyle w:val="20"/>
              <w:bidi w:val="0"/>
              <w:spacing w:line="240" w:lineRule="auto"/>
              <w:rPr>
                <w:rFonts w:hint="eastAsia" w:ascii="仿宋" w:hAnsi="仿宋" w:eastAsia="仿宋" w:cs="仿宋"/>
                <w:b/>
                <w:bCs/>
                <w:color w:val="auto"/>
                <w:sz w:val="21"/>
                <w:szCs w:val="21"/>
                <w:highlight w:val="none"/>
                <w:lang w:val="en-US" w:eastAsia="zh-CN"/>
              </w:rPr>
            </w:pPr>
          </w:p>
        </w:tc>
        <w:tc>
          <w:tcPr>
            <w:tcW w:w="389" w:type="pct"/>
            <w:tcBorders>
              <w:top w:val="single" w:color="000000" w:sz="4" w:space="0"/>
              <w:left w:val="single" w:color="000000" w:sz="4" w:space="0"/>
              <w:bottom w:val="single" w:color="000000" w:sz="4" w:space="0"/>
              <w:right w:val="single" w:color="000000" w:sz="4" w:space="0"/>
            </w:tcBorders>
            <w:shd w:val="clear" w:color="auto" w:fill="9CC2E5"/>
            <w:vAlign w:val="center"/>
          </w:tcPr>
          <w:p w14:paraId="29421B73">
            <w:pPr>
              <w:pStyle w:val="20"/>
              <w:bidi w:val="0"/>
              <w:spacing w:line="240" w:lineRule="auto"/>
              <w:rPr>
                <w:rFonts w:hint="eastAsia" w:ascii="仿宋" w:hAnsi="仿宋" w:eastAsia="仿宋" w:cs="仿宋"/>
                <w:b/>
                <w:bCs/>
                <w:color w:val="auto"/>
                <w:sz w:val="21"/>
                <w:szCs w:val="21"/>
                <w:highlight w:val="none"/>
                <w:lang w:val="en-US" w:eastAsia="zh-CN"/>
              </w:rPr>
            </w:pPr>
          </w:p>
        </w:tc>
        <w:tc>
          <w:tcPr>
            <w:tcW w:w="265" w:type="pct"/>
            <w:tcBorders>
              <w:top w:val="single" w:color="000000" w:sz="4" w:space="0"/>
              <w:left w:val="single" w:color="000000" w:sz="4" w:space="0"/>
              <w:bottom w:val="single" w:color="000000" w:sz="4" w:space="0"/>
              <w:right w:val="single" w:color="000000" w:sz="4" w:space="0"/>
            </w:tcBorders>
            <w:shd w:val="clear" w:color="auto" w:fill="9CC2E5"/>
            <w:vAlign w:val="center"/>
          </w:tcPr>
          <w:p w14:paraId="6F6629A5">
            <w:pPr>
              <w:pStyle w:val="20"/>
              <w:bidi w:val="0"/>
              <w:spacing w:line="240" w:lineRule="auto"/>
              <w:rPr>
                <w:rFonts w:hint="eastAsia" w:ascii="仿宋" w:hAnsi="仿宋" w:eastAsia="仿宋" w:cs="仿宋"/>
                <w:b/>
                <w:bCs/>
                <w:color w:val="auto"/>
                <w:sz w:val="21"/>
                <w:szCs w:val="21"/>
                <w:highlight w:val="none"/>
                <w:lang w:val="en-US" w:eastAsia="zh-CN"/>
              </w:rPr>
            </w:pPr>
          </w:p>
        </w:tc>
        <w:tc>
          <w:tcPr>
            <w:tcW w:w="252" w:type="pct"/>
            <w:tcBorders>
              <w:top w:val="single" w:color="000000" w:sz="4" w:space="0"/>
              <w:left w:val="single" w:color="000000" w:sz="4" w:space="0"/>
              <w:bottom w:val="single" w:color="000000" w:sz="4" w:space="0"/>
              <w:right w:val="single" w:color="000000" w:sz="4" w:space="0"/>
            </w:tcBorders>
            <w:shd w:val="clear" w:color="auto" w:fill="9CC2E5"/>
            <w:vAlign w:val="center"/>
          </w:tcPr>
          <w:p w14:paraId="05E521CD">
            <w:pPr>
              <w:pStyle w:val="20"/>
              <w:bidi w:val="0"/>
              <w:spacing w:line="240" w:lineRule="auto"/>
              <w:rPr>
                <w:rFonts w:hint="eastAsia" w:ascii="仿宋" w:hAnsi="仿宋" w:eastAsia="仿宋" w:cs="仿宋"/>
                <w:b/>
                <w:bCs/>
                <w:color w:val="auto"/>
                <w:sz w:val="21"/>
                <w:szCs w:val="21"/>
                <w:highlight w:val="none"/>
                <w:lang w:val="en-US" w:eastAsia="zh-CN"/>
              </w:rPr>
            </w:pPr>
          </w:p>
        </w:tc>
        <w:tc>
          <w:tcPr>
            <w:tcW w:w="397" w:type="pct"/>
            <w:tcBorders>
              <w:top w:val="single" w:color="000000" w:sz="4" w:space="0"/>
              <w:left w:val="single" w:color="000000" w:sz="4" w:space="0"/>
              <w:bottom w:val="single" w:color="000000" w:sz="4" w:space="0"/>
              <w:right w:val="single" w:color="000000" w:sz="4" w:space="0"/>
            </w:tcBorders>
            <w:shd w:val="clear" w:color="auto" w:fill="9CC2E5"/>
            <w:vAlign w:val="center"/>
          </w:tcPr>
          <w:p w14:paraId="47BCA59C">
            <w:pPr>
              <w:pStyle w:val="20"/>
              <w:bidi w:val="0"/>
              <w:spacing w:line="240" w:lineRule="auto"/>
              <w:rPr>
                <w:rFonts w:hint="eastAsia" w:ascii="仿宋" w:hAnsi="仿宋" w:eastAsia="仿宋" w:cs="仿宋"/>
                <w:b/>
                <w:bCs/>
                <w:color w:val="auto"/>
                <w:sz w:val="21"/>
                <w:szCs w:val="21"/>
                <w:highlight w:val="none"/>
                <w:lang w:val="en-US" w:eastAsia="zh-CN"/>
              </w:rPr>
            </w:pPr>
          </w:p>
        </w:tc>
        <w:tc>
          <w:tcPr>
            <w:tcW w:w="456" w:type="pct"/>
            <w:tcBorders>
              <w:top w:val="single" w:color="000000" w:sz="4" w:space="0"/>
              <w:left w:val="single" w:color="000000" w:sz="4" w:space="0"/>
              <w:bottom w:val="single" w:color="000000" w:sz="4" w:space="0"/>
              <w:right w:val="single" w:color="000000" w:sz="4" w:space="0"/>
            </w:tcBorders>
            <w:shd w:val="clear" w:color="auto" w:fill="9CC2E5"/>
            <w:vAlign w:val="center"/>
          </w:tcPr>
          <w:p w14:paraId="2D2A3C9B">
            <w:pPr>
              <w:pStyle w:val="20"/>
              <w:bidi w:val="0"/>
              <w:spacing w:line="240" w:lineRule="auto"/>
              <w:rPr>
                <w:rFonts w:hint="eastAsia" w:ascii="仿宋" w:hAnsi="仿宋" w:eastAsia="仿宋" w:cs="仿宋"/>
                <w:b/>
                <w:bCs/>
                <w:color w:val="auto"/>
                <w:sz w:val="21"/>
                <w:szCs w:val="21"/>
                <w:highlight w:val="none"/>
                <w:lang w:val="en-US" w:eastAsia="zh-CN"/>
              </w:rPr>
            </w:pPr>
          </w:p>
        </w:tc>
      </w:tr>
      <w:tr w14:paraId="015182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78" w:hRule="exact"/>
          <w:tblHeader/>
        </w:trPr>
        <w:tc>
          <w:tcPr>
            <w:tcW w:w="234" w:type="pct"/>
            <w:tcBorders>
              <w:top w:val="single" w:color="000000" w:sz="4" w:space="0"/>
              <w:left w:val="single" w:color="000000" w:sz="4" w:space="0"/>
              <w:bottom w:val="single" w:color="000000" w:sz="4" w:space="0"/>
              <w:right w:val="single" w:color="000000" w:sz="4" w:space="0"/>
            </w:tcBorders>
            <w:shd w:val="clear" w:color="auto" w:fill="9CC2E5"/>
            <w:vAlign w:val="center"/>
          </w:tcPr>
          <w:p w14:paraId="53E891EF">
            <w:pPr>
              <w:pStyle w:val="20"/>
              <w:bidi w:val="0"/>
              <w:spacing w:line="240" w:lineRule="auto"/>
              <w:rPr>
                <w:rFonts w:hint="eastAsia" w:ascii="仿宋" w:hAnsi="仿宋" w:eastAsia="仿宋" w:cs="仿宋"/>
                <w:b/>
                <w:bCs/>
                <w:color w:val="auto"/>
                <w:sz w:val="21"/>
                <w:szCs w:val="21"/>
                <w:highlight w:val="none"/>
                <w:lang w:val="en-US" w:eastAsia="zh-CN"/>
              </w:rPr>
            </w:pPr>
          </w:p>
        </w:tc>
        <w:tc>
          <w:tcPr>
            <w:tcW w:w="1034" w:type="pct"/>
            <w:tcBorders>
              <w:top w:val="single" w:color="000000" w:sz="4" w:space="0"/>
              <w:left w:val="single" w:color="000000" w:sz="4" w:space="0"/>
              <w:bottom w:val="single" w:color="000000" w:sz="4" w:space="0"/>
              <w:right w:val="single" w:color="000000" w:sz="4" w:space="0"/>
            </w:tcBorders>
            <w:shd w:val="clear" w:color="auto" w:fill="9CC2E5"/>
            <w:vAlign w:val="center"/>
          </w:tcPr>
          <w:p w14:paraId="027B3217">
            <w:pPr>
              <w:pStyle w:val="20"/>
              <w:bidi w:val="0"/>
              <w:spacing w:line="240" w:lineRule="auto"/>
              <w:rPr>
                <w:rFonts w:hint="eastAsia" w:ascii="仿宋" w:hAnsi="仿宋" w:eastAsia="仿宋" w:cs="仿宋"/>
                <w:b/>
                <w:bCs/>
                <w:color w:val="auto"/>
                <w:sz w:val="21"/>
                <w:szCs w:val="21"/>
                <w:highlight w:val="none"/>
                <w:lang w:val="en-US" w:eastAsia="zh-CN"/>
              </w:rPr>
            </w:pPr>
          </w:p>
        </w:tc>
        <w:tc>
          <w:tcPr>
            <w:tcW w:w="431" w:type="pct"/>
            <w:tcBorders>
              <w:top w:val="single" w:color="000000" w:sz="4" w:space="0"/>
              <w:left w:val="single" w:color="000000" w:sz="4" w:space="0"/>
              <w:bottom w:val="single" w:color="000000" w:sz="4" w:space="0"/>
              <w:right w:val="single" w:color="000000" w:sz="4" w:space="0"/>
            </w:tcBorders>
            <w:shd w:val="clear" w:color="auto" w:fill="9CC2E5"/>
            <w:vAlign w:val="center"/>
          </w:tcPr>
          <w:p w14:paraId="6AC1F139">
            <w:pPr>
              <w:pStyle w:val="20"/>
              <w:bidi w:val="0"/>
              <w:spacing w:line="240" w:lineRule="auto"/>
              <w:rPr>
                <w:rFonts w:hint="eastAsia" w:ascii="仿宋" w:hAnsi="仿宋" w:eastAsia="仿宋" w:cs="仿宋"/>
                <w:b/>
                <w:bCs/>
                <w:color w:val="auto"/>
                <w:sz w:val="21"/>
                <w:szCs w:val="21"/>
                <w:highlight w:val="none"/>
                <w:lang w:val="en-US" w:eastAsia="zh-CN"/>
              </w:rPr>
            </w:pPr>
          </w:p>
        </w:tc>
        <w:tc>
          <w:tcPr>
            <w:tcW w:w="311" w:type="pct"/>
            <w:tcBorders>
              <w:top w:val="single" w:color="000000" w:sz="4" w:space="0"/>
              <w:left w:val="single" w:color="000000" w:sz="4" w:space="0"/>
              <w:bottom w:val="single" w:color="000000" w:sz="4" w:space="0"/>
              <w:right w:val="single" w:color="000000" w:sz="4" w:space="0"/>
            </w:tcBorders>
            <w:shd w:val="clear" w:color="auto" w:fill="9CC2E5"/>
            <w:vAlign w:val="center"/>
          </w:tcPr>
          <w:p w14:paraId="3218E87F">
            <w:pPr>
              <w:pStyle w:val="20"/>
              <w:bidi w:val="0"/>
              <w:spacing w:line="240" w:lineRule="auto"/>
              <w:rPr>
                <w:rFonts w:hint="eastAsia" w:ascii="仿宋" w:hAnsi="仿宋" w:eastAsia="仿宋" w:cs="仿宋"/>
                <w:b/>
                <w:bCs/>
                <w:color w:val="auto"/>
                <w:sz w:val="21"/>
                <w:szCs w:val="21"/>
                <w:highlight w:val="none"/>
                <w:lang w:val="en-US" w:eastAsia="zh-CN"/>
              </w:rPr>
            </w:pPr>
          </w:p>
        </w:tc>
        <w:tc>
          <w:tcPr>
            <w:tcW w:w="413" w:type="pct"/>
            <w:tcBorders>
              <w:top w:val="single" w:color="000000" w:sz="4" w:space="0"/>
              <w:left w:val="single" w:color="000000" w:sz="4" w:space="0"/>
              <w:bottom w:val="single" w:color="000000" w:sz="4" w:space="0"/>
              <w:right w:val="single" w:color="000000" w:sz="4" w:space="0"/>
            </w:tcBorders>
            <w:shd w:val="clear" w:color="auto" w:fill="9CC2E5"/>
            <w:vAlign w:val="center"/>
          </w:tcPr>
          <w:p w14:paraId="061F4FF0">
            <w:pPr>
              <w:pStyle w:val="20"/>
              <w:bidi w:val="0"/>
              <w:spacing w:line="240" w:lineRule="auto"/>
              <w:rPr>
                <w:rFonts w:hint="eastAsia" w:ascii="仿宋" w:hAnsi="仿宋" w:eastAsia="仿宋" w:cs="仿宋"/>
                <w:b/>
                <w:bCs/>
                <w:color w:val="auto"/>
                <w:sz w:val="21"/>
                <w:szCs w:val="21"/>
                <w:highlight w:val="none"/>
                <w:lang w:val="en-US" w:eastAsia="zh-CN"/>
              </w:rPr>
            </w:pPr>
          </w:p>
        </w:tc>
        <w:tc>
          <w:tcPr>
            <w:tcW w:w="532" w:type="pct"/>
            <w:tcBorders>
              <w:top w:val="single" w:color="000000" w:sz="4" w:space="0"/>
              <w:left w:val="single" w:color="000000" w:sz="4" w:space="0"/>
              <w:bottom w:val="single" w:color="000000" w:sz="4" w:space="0"/>
              <w:right w:val="single" w:color="000000" w:sz="4" w:space="0"/>
            </w:tcBorders>
            <w:shd w:val="clear" w:color="auto" w:fill="9CC2E5"/>
            <w:vAlign w:val="center"/>
          </w:tcPr>
          <w:p w14:paraId="027F5901">
            <w:pPr>
              <w:pStyle w:val="20"/>
              <w:bidi w:val="0"/>
              <w:spacing w:line="240" w:lineRule="auto"/>
              <w:rPr>
                <w:rFonts w:hint="eastAsia" w:ascii="仿宋" w:hAnsi="仿宋" w:eastAsia="仿宋" w:cs="仿宋"/>
                <w:b/>
                <w:bCs/>
                <w:color w:val="auto"/>
                <w:sz w:val="21"/>
                <w:szCs w:val="21"/>
                <w:highlight w:val="none"/>
                <w:lang w:val="en-US" w:eastAsia="zh-CN"/>
              </w:rPr>
            </w:pPr>
          </w:p>
        </w:tc>
        <w:tc>
          <w:tcPr>
            <w:tcW w:w="283" w:type="pct"/>
            <w:tcBorders>
              <w:top w:val="single" w:color="000000" w:sz="4" w:space="0"/>
              <w:left w:val="single" w:color="000000" w:sz="4" w:space="0"/>
              <w:bottom w:val="single" w:color="000000" w:sz="4" w:space="0"/>
              <w:right w:val="single" w:color="000000" w:sz="4" w:space="0"/>
            </w:tcBorders>
            <w:shd w:val="clear" w:color="auto" w:fill="9CC2E5"/>
            <w:vAlign w:val="center"/>
          </w:tcPr>
          <w:p w14:paraId="3EA65894">
            <w:pPr>
              <w:pStyle w:val="20"/>
              <w:bidi w:val="0"/>
              <w:spacing w:line="240" w:lineRule="auto"/>
              <w:rPr>
                <w:rFonts w:hint="eastAsia" w:ascii="仿宋" w:hAnsi="仿宋" w:eastAsia="仿宋" w:cs="仿宋"/>
                <w:b/>
                <w:bCs/>
                <w:color w:val="auto"/>
                <w:sz w:val="21"/>
                <w:szCs w:val="21"/>
                <w:highlight w:val="none"/>
                <w:lang w:val="en-US" w:eastAsia="zh-CN"/>
              </w:rPr>
            </w:pPr>
          </w:p>
        </w:tc>
        <w:tc>
          <w:tcPr>
            <w:tcW w:w="389" w:type="pct"/>
            <w:tcBorders>
              <w:top w:val="single" w:color="000000" w:sz="4" w:space="0"/>
              <w:left w:val="single" w:color="000000" w:sz="4" w:space="0"/>
              <w:bottom w:val="single" w:color="000000" w:sz="4" w:space="0"/>
              <w:right w:val="single" w:color="000000" w:sz="4" w:space="0"/>
            </w:tcBorders>
            <w:shd w:val="clear" w:color="auto" w:fill="9CC2E5"/>
            <w:vAlign w:val="center"/>
          </w:tcPr>
          <w:p w14:paraId="189E30CA">
            <w:pPr>
              <w:pStyle w:val="20"/>
              <w:bidi w:val="0"/>
              <w:spacing w:line="240" w:lineRule="auto"/>
              <w:rPr>
                <w:rFonts w:hint="eastAsia" w:ascii="仿宋" w:hAnsi="仿宋" w:eastAsia="仿宋" w:cs="仿宋"/>
                <w:b/>
                <w:bCs/>
                <w:color w:val="auto"/>
                <w:sz w:val="21"/>
                <w:szCs w:val="21"/>
                <w:highlight w:val="none"/>
                <w:lang w:val="en-US" w:eastAsia="zh-CN"/>
              </w:rPr>
            </w:pPr>
          </w:p>
        </w:tc>
        <w:tc>
          <w:tcPr>
            <w:tcW w:w="265" w:type="pct"/>
            <w:tcBorders>
              <w:top w:val="single" w:color="000000" w:sz="4" w:space="0"/>
              <w:left w:val="single" w:color="000000" w:sz="4" w:space="0"/>
              <w:bottom w:val="single" w:color="000000" w:sz="4" w:space="0"/>
              <w:right w:val="single" w:color="000000" w:sz="4" w:space="0"/>
            </w:tcBorders>
            <w:shd w:val="clear" w:color="auto" w:fill="9CC2E5"/>
            <w:vAlign w:val="center"/>
          </w:tcPr>
          <w:p w14:paraId="15C0B901">
            <w:pPr>
              <w:pStyle w:val="20"/>
              <w:bidi w:val="0"/>
              <w:spacing w:line="240" w:lineRule="auto"/>
              <w:rPr>
                <w:rFonts w:hint="eastAsia" w:ascii="仿宋" w:hAnsi="仿宋" w:eastAsia="仿宋" w:cs="仿宋"/>
                <w:b/>
                <w:bCs/>
                <w:color w:val="auto"/>
                <w:sz w:val="21"/>
                <w:szCs w:val="21"/>
                <w:highlight w:val="none"/>
                <w:lang w:val="en-US" w:eastAsia="zh-CN"/>
              </w:rPr>
            </w:pPr>
          </w:p>
        </w:tc>
        <w:tc>
          <w:tcPr>
            <w:tcW w:w="252" w:type="pct"/>
            <w:tcBorders>
              <w:top w:val="single" w:color="000000" w:sz="4" w:space="0"/>
              <w:left w:val="single" w:color="000000" w:sz="4" w:space="0"/>
              <w:bottom w:val="single" w:color="000000" w:sz="4" w:space="0"/>
              <w:right w:val="single" w:color="000000" w:sz="4" w:space="0"/>
            </w:tcBorders>
            <w:shd w:val="clear" w:color="auto" w:fill="9CC2E5"/>
            <w:vAlign w:val="center"/>
          </w:tcPr>
          <w:p w14:paraId="3F28C94A">
            <w:pPr>
              <w:pStyle w:val="20"/>
              <w:bidi w:val="0"/>
              <w:spacing w:line="240" w:lineRule="auto"/>
              <w:rPr>
                <w:rFonts w:hint="eastAsia" w:ascii="仿宋" w:hAnsi="仿宋" w:eastAsia="仿宋" w:cs="仿宋"/>
                <w:b/>
                <w:bCs/>
                <w:color w:val="auto"/>
                <w:sz w:val="21"/>
                <w:szCs w:val="21"/>
                <w:highlight w:val="none"/>
                <w:lang w:val="en-US" w:eastAsia="zh-CN"/>
              </w:rPr>
            </w:pPr>
          </w:p>
        </w:tc>
        <w:tc>
          <w:tcPr>
            <w:tcW w:w="397" w:type="pct"/>
            <w:tcBorders>
              <w:top w:val="single" w:color="000000" w:sz="4" w:space="0"/>
              <w:left w:val="single" w:color="000000" w:sz="4" w:space="0"/>
              <w:bottom w:val="single" w:color="000000" w:sz="4" w:space="0"/>
              <w:right w:val="single" w:color="000000" w:sz="4" w:space="0"/>
            </w:tcBorders>
            <w:shd w:val="clear" w:color="auto" w:fill="9CC2E5"/>
            <w:vAlign w:val="center"/>
          </w:tcPr>
          <w:p w14:paraId="598D9BA5">
            <w:pPr>
              <w:pStyle w:val="20"/>
              <w:bidi w:val="0"/>
              <w:spacing w:line="240" w:lineRule="auto"/>
              <w:rPr>
                <w:rFonts w:hint="eastAsia" w:ascii="仿宋" w:hAnsi="仿宋" w:eastAsia="仿宋" w:cs="仿宋"/>
                <w:b/>
                <w:bCs/>
                <w:color w:val="auto"/>
                <w:sz w:val="21"/>
                <w:szCs w:val="21"/>
                <w:highlight w:val="none"/>
                <w:lang w:val="en-US" w:eastAsia="zh-CN"/>
              </w:rPr>
            </w:pPr>
          </w:p>
        </w:tc>
        <w:tc>
          <w:tcPr>
            <w:tcW w:w="456" w:type="pct"/>
            <w:tcBorders>
              <w:top w:val="single" w:color="000000" w:sz="4" w:space="0"/>
              <w:left w:val="single" w:color="000000" w:sz="4" w:space="0"/>
              <w:bottom w:val="single" w:color="000000" w:sz="4" w:space="0"/>
              <w:right w:val="single" w:color="000000" w:sz="4" w:space="0"/>
            </w:tcBorders>
            <w:shd w:val="clear" w:color="auto" w:fill="9CC2E5"/>
            <w:vAlign w:val="center"/>
          </w:tcPr>
          <w:p w14:paraId="04A0EAED">
            <w:pPr>
              <w:pStyle w:val="20"/>
              <w:bidi w:val="0"/>
              <w:spacing w:line="240" w:lineRule="auto"/>
              <w:rPr>
                <w:rFonts w:hint="eastAsia" w:ascii="仿宋" w:hAnsi="仿宋" w:eastAsia="仿宋" w:cs="仿宋"/>
                <w:b/>
                <w:bCs/>
                <w:color w:val="auto"/>
                <w:sz w:val="21"/>
                <w:szCs w:val="21"/>
                <w:highlight w:val="none"/>
                <w:lang w:val="en-US" w:eastAsia="zh-CN"/>
              </w:rPr>
            </w:pPr>
          </w:p>
        </w:tc>
      </w:tr>
      <w:tr w14:paraId="5D7D75D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78" w:hRule="exact"/>
          <w:tblHeader/>
        </w:trPr>
        <w:tc>
          <w:tcPr>
            <w:tcW w:w="234" w:type="pct"/>
            <w:tcBorders>
              <w:top w:val="single" w:color="000000" w:sz="4" w:space="0"/>
              <w:left w:val="single" w:color="000000" w:sz="4" w:space="0"/>
              <w:bottom w:val="single" w:color="000000" w:sz="4" w:space="0"/>
              <w:right w:val="single" w:color="000000" w:sz="4" w:space="0"/>
            </w:tcBorders>
            <w:shd w:val="clear" w:color="auto" w:fill="9CC2E5"/>
            <w:vAlign w:val="center"/>
          </w:tcPr>
          <w:p w14:paraId="18A82F21">
            <w:pPr>
              <w:pStyle w:val="20"/>
              <w:bidi w:val="0"/>
              <w:spacing w:line="240" w:lineRule="auto"/>
              <w:rPr>
                <w:rFonts w:hint="default" w:ascii="仿宋" w:hAnsi="仿宋" w:eastAsia="仿宋" w:cs="仿宋"/>
                <w:b/>
                <w:bCs/>
                <w:color w:val="auto"/>
                <w:sz w:val="21"/>
                <w:szCs w:val="21"/>
                <w:highlight w:val="none"/>
                <w:lang w:val="en-US" w:eastAsia="zh-CN"/>
              </w:rPr>
            </w:pPr>
            <w:r>
              <w:rPr>
                <w:rFonts w:hint="eastAsia" w:cs="仿宋"/>
                <w:b/>
                <w:bCs/>
                <w:color w:val="auto"/>
                <w:sz w:val="21"/>
                <w:szCs w:val="21"/>
                <w:highlight w:val="none"/>
                <w:lang w:val="en-US" w:eastAsia="zh-CN"/>
              </w:rPr>
              <w:t>...</w:t>
            </w:r>
          </w:p>
        </w:tc>
        <w:tc>
          <w:tcPr>
            <w:tcW w:w="1034" w:type="pct"/>
            <w:tcBorders>
              <w:top w:val="single" w:color="000000" w:sz="4" w:space="0"/>
              <w:left w:val="single" w:color="000000" w:sz="4" w:space="0"/>
              <w:bottom w:val="single" w:color="000000" w:sz="4" w:space="0"/>
              <w:right w:val="single" w:color="000000" w:sz="4" w:space="0"/>
            </w:tcBorders>
            <w:shd w:val="clear" w:color="auto" w:fill="9CC2E5"/>
            <w:vAlign w:val="center"/>
          </w:tcPr>
          <w:p w14:paraId="7CC60320">
            <w:pPr>
              <w:pStyle w:val="20"/>
              <w:bidi w:val="0"/>
              <w:spacing w:line="240" w:lineRule="auto"/>
              <w:rPr>
                <w:rFonts w:hint="default" w:ascii="仿宋" w:hAnsi="仿宋" w:eastAsia="仿宋" w:cs="仿宋"/>
                <w:b/>
                <w:bCs/>
                <w:color w:val="auto"/>
                <w:sz w:val="21"/>
                <w:szCs w:val="21"/>
                <w:highlight w:val="none"/>
                <w:lang w:val="en-US" w:eastAsia="zh-CN"/>
              </w:rPr>
            </w:pPr>
            <w:r>
              <w:rPr>
                <w:rFonts w:hint="eastAsia" w:cs="仿宋"/>
                <w:b/>
                <w:bCs/>
                <w:color w:val="auto"/>
                <w:sz w:val="21"/>
                <w:szCs w:val="21"/>
                <w:highlight w:val="none"/>
                <w:lang w:val="en-US" w:eastAsia="zh-CN"/>
              </w:rPr>
              <w:t>...</w:t>
            </w:r>
          </w:p>
        </w:tc>
        <w:tc>
          <w:tcPr>
            <w:tcW w:w="431" w:type="pct"/>
            <w:tcBorders>
              <w:top w:val="single" w:color="000000" w:sz="4" w:space="0"/>
              <w:left w:val="single" w:color="000000" w:sz="4" w:space="0"/>
              <w:bottom w:val="single" w:color="000000" w:sz="4" w:space="0"/>
              <w:right w:val="single" w:color="000000" w:sz="4" w:space="0"/>
            </w:tcBorders>
            <w:shd w:val="clear" w:color="auto" w:fill="9CC2E5"/>
            <w:vAlign w:val="center"/>
          </w:tcPr>
          <w:p w14:paraId="40D4BF7F">
            <w:pPr>
              <w:pStyle w:val="20"/>
              <w:bidi w:val="0"/>
              <w:spacing w:line="240" w:lineRule="auto"/>
              <w:rPr>
                <w:rFonts w:hint="default" w:ascii="仿宋" w:hAnsi="仿宋" w:eastAsia="仿宋" w:cs="仿宋"/>
                <w:b/>
                <w:bCs/>
                <w:color w:val="auto"/>
                <w:sz w:val="21"/>
                <w:szCs w:val="21"/>
                <w:highlight w:val="none"/>
                <w:lang w:val="en-US" w:eastAsia="zh-CN"/>
              </w:rPr>
            </w:pPr>
            <w:r>
              <w:rPr>
                <w:rFonts w:hint="eastAsia" w:cs="仿宋"/>
                <w:b/>
                <w:bCs/>
                <w:color w:val="auto"/>
                <w:sz w:val="21"/>
                <w:szCs w:val="21"/>
                <w:highlight w:val="none"/>
                <w:lang w:val="en-US" w:eastAsia="zh-CN"/>
              </w:rPr>
              <w:t>...</w:t>
            </w:r>
          </w:p>
        </w:tc>
        <w:tc>
          <w:tcPr>
            <w:tcW w:w="311" w:type="pct"/>
            <w:tcBorders>
              <w:top w:val="single" w:color="000000" w:sz="4" w:space="0"/>
              <w:left w:val="single" w:color="000000" w:sz="4" w:space="0"/>
              <w:bottom w:val="single" w:color="000000" w:sz="4" w:space="0"/>
              <w:right w:val="single" w:color="000000" w:sz="4" w:space="0"/>
            </w:tcBorders>
            <w:shd w:val="clear" w:color="auto" w:fill="9CC2E5"/>
            <w:vAlign w:val="center"/>
          </w:tcPr>
          <w:p w14:paraId="4D154E48">
            <w:pPr>
              <w:pStyle w:val="20"/>
              <w:bidi w:val="0"/>
              <w:spacing w:line="240" w:lineRule="auto"/>
              <w:rPr>
                <w:rFonts w:hint="default" w:ascii="仿宋" w:hAnsi="仿宋" w:eastAsia="仿宋" w:cs="仿宋"/>
                <w:b/>
                <w:bCs/>
                <w:color w:val="auto"/>
                <w:sz w:val="21"/>
                <w:szCs w:val="21"/>
                <w:highlight w:val="none"/>
                <w:lang w:val="en-US" w:eastAsia="zh-CN"/>
              </w:rPr>
            </w:pPr>
            <w:r>
              <w:rPr>
                <w:rFonts w:hint="eastAsia" w:cs="仿宋"/>
                <w:b/>
                <w:bCs/>
                <w:color w:val="auto"/>
                <w:sz w:val="21"/>
                <w:szCs w:val="21"/>
                <w:highlight w:val="none"/>
                <w:lang w:val="en-US" w:eastAsia="zh-CN"/>
              </w:rPr>
              <w:t>...</w:t>
            </w:r>
          </w:p>
        </w:tc>
        <w:tc>
          <w:tcPr>
            <w:tcW w:w="413" w:type="pct"/>
            <w:tcBorders>
              <w:top w:val="single" w:color="000000" w:sz="4" w:space="0"/>
              <w:left w:val="single" w:color="000000" w:sz="4" w:space="0"/>
              <w:bottom w:val="single" w:color="000000" w:sz="4" w:space="0"/>
              <w:right w:val="single" w:color="000000" w:sz="4" w:space="0"/>
            </w:tcBorders>
            <w:shd w:val="clear" w:color="auto" w:fill="9CC2E5"/>
            <w:vAlign w:val="center"/>
          </w:tcPr>
          <w:p w14:paraId="34343CD0">
            <w:pPr>
              <w:pStyle w:val="20"/>
              <w:bidi w:val="0"/>
              <w:spacing w:line="240" w:lineRule="auto"/>
              <w:rPr>
                <w:rFonts w:hint="default" w:ascii="仿宋" w:hAnsi="仿宋" w:eastAsia="仿宋" w:cs="仿宋"/>
                <w:b/>
                <w:bCs/>
                <w:color w:val="auto"/>
                <w:sz w:val="21"/>
                <w:szCs w:val="21"/>
                <w:highlight w:val="none"/>
                <w:lang w:val="en-US" w:eastAsia="zh-CN"/>
              </w:rPr>
            </w:pPr>
            <w:r>
              <w:rPr>
                <w:rFonts w:hint="eastAsia" w:cs="仿宋"/>
                <w:b/>
                <w:bCs/>
                <w:color w:val="auto"/>
                <w:sz w:val="21"/>
                <w:szCs w:val="21"/>
                <w:highlight w:val="none"/>
                <w:lang w:val="en-US" w:eastAsia="zh-CN"/>
              </w:rPr>
              <w:t>...</w:t>
            </w:r>
          </w:p>
        </w:tc>
        <w:tc>
          <w:tcPr>
            <w:tcW w:w="532" w:type="pct"/>
            <w:tcBorders>
              <w:top w:val="single" w:color="000000" w:sz="4" w:space="0"/>
              <w:left w:val="single" w:color="000000" w:sz="4" w:space="0"/>
              <w:bottom w:val="single" w:color="000000" w:sz="4" w:space="0"/>
              <w:right w:val="single" w:color="000000" w:sz="4" w:space="0"/>
            </w:tcBorders>
            <w:shd w:val="clear" w:color="auto" w:fill="9CC2E5"/>
            <w:vAlign w:val="center"/>
          </w:tcPr>
          <w:p w14:paraId="5FF66C92">
            <w:pPr>
              <w:pStyle w:val="20"/>
              <w:bidi w:val="0"/>
              <w:spacing w:line="240" w:lineRule="auto"/>
              <w:rPr>
                <w:rFonts w:hint="default" w:ascii="仿宋" w:hAnsi="仿宋" w:eastAsia="仿宋" w:cs="仿宋"/>
                <w:b/>
                <w:bCs/>
                <w:color w:val="auto"/>
                <w:sz w:val="21"/>
                <w:szCs w:val="21"/>
                <w:highlight w:val="none"/>
                <w:lang w:val="en-US" w:eastAsia="zh-CN"/>
              </w:rPr>
            </w:pPr>
            <w:r>
              <w:rPr>
                <w:rFonts w:hint="eastAsia" w:cs="仿宋"/>
                <w:b/>
                <w:bCs/>
                <w:color w:val="auto"/>
                <w:sz w:val="21"/>
                <w:szCs w:val="21"/>
                <w:highlight w:val="none"/>
                <w:lang w:val="en-US" w:eastAsia="zh-CN"/>
              </w:rPr>
              <w:t>...</w:t>
            </w:r>
          </w:p>
        </w:tc>
        <w:tc>
          <w:tcPr>
            <w:tcW w:w="283" w:type="pct"/>
            <w:tcBorders>
              <w:top w:val="single" w:color="000000" w:sz="4" w:space="0"/>
              <w:left w:val="single" w:color="000000" w:sz="4" w:space="0"/>
              <w:bottom w:val="single" w:color="000000" w:sz="4" w:space="0"/>
              <w:right w:val="single" w:color="000000" w:sz="4" w:space="0"/>
            </w:tcBorders>
            <w:shd w:val="clear" w:color="auto" w:fill="9CC2E5"/>
            <w:vAlign w:val="center"/>
          </w:tcPr>
          <w:p w14:paraId="75AD5ACF">
            <w:pPr>
              <w:pStyle w:val="20"/>
              <w:bidi w:val="0"/>
              <w:spacing w:line="240" w:lineRule="auto"/>
              <w:rPr>
                <w:rFonts w:hint="default" w:ascii="仿宋" w:hAnsi="仿宋" w:eastAsia="仿宋" w:cs="仿宋"/>
                <w:b/>
                <w:bCs/>
                <w:color w:val="auto"/>
                <w:sz w:val="21"/>
                <w:szCs w:val="21"/>
                <w:highlight w:val="none"/>
                <w:lang w:val="en-US" w:eastAsia="zh-CN"/>
              </w:rPr>
            </w:pPr>
            <w:r>
              <w:rPr>
                <w:rFonts w:hint="eastAsia" w:cs="仿宋"/>
                <w:b/>
                <w:bCs/>
                <w:color w:val="auto"/>
                <w:sz w:val="21"/>
                <w:szCs w:val="21"/>
                <w:highlight w:val="none"/>
                <w:lang w:val="en-US" w:eastAsia="zh-CN"/>
              </w:rPr>
              <w:t>...</w:t>
            </w:r>
          </w:p>
        </w:tc>
        <w:tc>
          <w:tcPr>
            <w:tcW w:w="389" w:type="pct"/>
            <w:tcBorders>
              <w:top w:val="single" w:color="000000" w:sz="4" w:space="0"/>
              <w:left w:val="single" w:color="000000" w:sz="4" w:space="0"/>
              <w:bottom w:val="single" w:color="000000" w:sz="4" w:space="0"/>
              <w:right w:val="single" w:color="000000" w:sz="4" w:space="0"/>
            </w:tcBorders>
            <w:shd w:val="clear" w:color="auto" w:fill="9CC2E5"/>
            <w:vAlign w:val="center"/>
          </w:tcPr>
          <w:p w14:paraId="11795058">
            <w:pPr>
              <w:pStyle w:val="20"/>
              <w:bidi w:val="0"/>
              <w:spacing w:line="240" w:lineRule="auto"/>
              <w:rPr>
                <w:rFonts w:hint="default" w:ascii="仿宋" w:hAnsi="仿宋" w:eastAsia="仿宋" w:cs="仿宋"/>
                <w:b/>
                <w:bCs/>
                <w:color w:val="auto"/>
                <w:sz w:val="21"/>
                <w:szCs w:val="21"/>
                <w:highlight w:val="none"/>
                <w:lang w:val="en-US" w:eastAsia="zh-CN"/>
              </w:rPr>
            </w:pPr>
            <w:r>
              <w:rPr>
                <w:rFonts w:hint="eastAsia" w:cs="仿宋"/>
                <w:b/>
                <w:bCs/>
                <w:color w:val="auto"/>
                <w:sz w:val="21"/>
                <w:szCs w:val="21"/>
                <w:highlight w:val="none"/>
                <w:lang w:val="en-US" w:eastAsia="zh-CN"/>
              </w:rPr>
              <w:t>...</w:t>
            </w:r>
          </w:p>
        </w:tc>
        <w:tc>
          <w:tcPr>
            <w:tcW w:w="265" w:type="pct"/>
            <w:tcBorders>
              <w:top w:val="single" w:color="000000" w:sz="4" w:space="0"/>
              <w:left w:val="single" w:color="000000" w:sz="4" w:space="0"/>
              <w:bottom w:val="single" w:color="000000" w:sz="4" w:space="0"/>
              <w:right w:val="single" w:color="000000" w:sz="4" w:space="0"/>
            </w:tcBorders>
            <w:shd w:val="clear" w:color="auto" w:fill="9CC2E5"/>
            <w:vAlign w:val="center"/>
          </w:tcPr>
          <w:p w14:paraId="7B47478A">
            <w:pPr>
              <w:pStyle w:val="20"/>
              <w:bidi w:val="0"/>
              <w:spacing w:line="240" w:lineRule="auto"/>
              <w:rPr>
                <w:rFonts w:hint="default" w:ascii="仿宋" w:hAnsi="仿宋" w:eastAsia="仿宋" w:cs="仿宋"/>
                <w:b/>
                <w:bCs/>
                <w:color w:val="auto"/>
                <w:sz w:val="21"/>
                <w:szCs w:val="21"/>
                <w:highlight w:val="none"/>
                <w:lang w:val="en-US" w:eastAsia="zh-CN"/>
              </w:rPr>
            </w:pPr>
            <w:r>
              <w:rPr>
                <w:rFonts w:hint="eastAsia" w:cs="仿宋"/>
                <w:b/>
                <w:bCs/>
                <w:color w:val="auto"/>
                <w:sz w:val="21"/>
                <w:szCs w:val="21"/>
                <w:highlight w:val="none"/>
                <w:lang w:val="en-US" w:eastAsia="zh-CN"/>
              </w:rPr>
              <w:t>...</w:t>
            </w:r>
          </w:p>
        </w:tc>
        <w:tc>
          <w:tcPr>
            <w:tcW w:w="252" w:type="pct"/>
            <w:tcBorders>
              <w:top w:val="single" w:color="000000" w:sz="4" w:space="0"/>
              <w:left w:val="single" w:color="000000" w:sz="4" w:space="0"/>
              <w:bottom w:val="single" w:color="000000" w:sz="4" w:space="0"/>
              <w:right w:val="single" w:color="000000" w:sz="4" w:space="0"/>
            </w:tcBorders>
            <w:shd w:val="clear" w:color="auto" w:fill="9CC2E5"/>
            <w:vAlign w:val="center"/>
          </w:tcPr>
          <w:p w14:paraId="7B0DD814">
            <w:pPr>
              <w:pStyle w:val="20"/>
              <w:bidi w:val="0"/>
              <w:spacing w:line="240" w:lineRule="auto"/>
              <w:rPr>
                <w:rFonts w:hint="default" w:ascii="仿宋" w:hAnsi="仿宋" w:eastAsia="仿宋" w:cs="仿宋"/>
                <w:b/>
                <w:bCs/>
                <w:color w:val="auto"/>
                <w:sz w:val="21"/>
                <w:szCs w:val="21"/>
                <w:highlight w:val="none"/>
                <w:lang w:val="en-US" w:eastAsia="zh-CN"/>
              </w:rPr>
            </w:pPr>
            <w:r>
              <w:rPr>
                <w:rFonts w:hint="eastAsia" w:cs="仿宋"/>
                <w:b/>
                <w:bCs/>
                <w:color w:val="auto"/>
                <w:sz w:val="21"/>
                <w:szCs w:val="21"/>
                <w:highlight w:val="none"/>
                <w:lang w:val="en-US" w:eastAsia="zh-CN"/>
              </w:rPr>
              <w:t>...</w:t>
            </w:r>
          </w:p>
        </w:tc>
        <w:tc>
          <w:tcPr>
            <w:tcW w:w="397" w:type="pct"/>
            <w:tcBorders>
              <w:top w:val="single" w:color="000000" w:sz="4" w:space="0"/>
              <w:left w:val="single" w:color="000000" w:sz="4" w:space="0"/>
              <w:bottom w:val="single" w:color="000000" w:sz="4" w:space="0"/>
              <w:right w:val="single" w:color="000000" w:sz="4" w:space="0"/>
            </w:tcBorders>
            <w:shd w:val="clear" w:color="auto" w:fill="9CC2E5"/>
            <w:vAlign w:val="center"/>
          </w:tcPr>
          <w:p w14:paraId="51EAA920">
            <w:pPr>
              <w:pStyle w:val="20"/>
              <w:bidi w:val="0"/>
              <w:spacing w:line="240" w:lineRule="auto"/>
              <w:rPr>
                <w:rFonts w:hint="default" w:ascii="仿宋" w:hAnsi="仿宋" w:eastAsia="仿宋" w:cs="仿宋"/>
                <w:b/>
                <w:bCs/>
                <w:color w:val="auto"/>
                <w:sz w:val="21"/>
                <w:szCs w:val="21"/>
                <w:highlight w:val="none"/>
                <w:lang w:val="en-US" w:eastAsia="zh-CN"/>
              </w:rPr>
            </w:pPr>
            <w:r>
              <w:rPr>
                <w:rFonts w:hint="eastAsia" w:cs="仿宋"/>
                <w:b/>
                <w:bCs/>
                <w:color w:val="auto"/>
                <w:sz w:val="21"/>
                <w:szCs w:val="21"/>
                <w:highlight w:val="none"/>
                <w:lang w:val="en-US" w:eastAsia="zh-CN"/>
              </w:rPr>
              <w:t>...</w:t>
            </w:r>
          </w:p>
        </w:tc>
        <w:tc>
          <w:tcPr>
            <w:tcW w:w="456" w:type="pct"/>
            <w:tcBorders>
              <w:top w:val="single" w:color="000000" w:sz="4" w:space="0"/>
              <w:left w:val="single" w:color="000000" w:sz="4" w:space="0"/>
              <w:bottom w:val="single" w:color="000000" w:sz="4" w:space="0"/>
              <w:right w:val="single" w:color="000000" w:sz="4" w:space="0"/>
            </w:tcBorders>
            <w:shd w:val="clear" w:color="auto" w:fill="9CC2E5"/>
            <w:vAlign w:val="center"/>
          </w:tcPr>
          <w:p w14:paraId="776453A7">
            <w:pPr>
              <w:pStyle w:val="20"/>
              <w:bidi w:val="0"/>
              <w:spacing w:line="240" w:lineRule="auto"/>
              <w:rPr>
                <w:rFonts w:hint="default" w:ascii="仿宋" w:hAnsi="仿宋" w:eastAsia="仿宋" w:cs="仿宋"/>
                <w:b/>
                <w:bCs/>
                <w:color w:val="auto"/>
                <w:sz w:val="21"/>
                <w:szCs w:val="21"/>
                <w:highlight w:val="none"/>
                <w:lang w:val="en-US" w:eastAsia="zh-CN"/>
              </w:rPr>
            </w:pPr>
            <w:r>
              <w:rPr>
                <w:rFonts w:hint="eastAsia" w:cs="仿宋"/>
                <w:b/>
                <w:bCs/>
                <w:color w:val="auto"/>
                <w:sz w:val="21"/>
                <w:szCs w:val="21"/>
                <w:highlight w:val="none"/>
                <w:lang w:val="en-US" w:eastAsia="zh-CN"/>
              </w:rPr>
              <w:t>...</w:t>
            </w:r>
          </w:p>
        </w:tc>
      </w:tr>
      <w:tr w14:paraId="4791CB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14" w:hRule="exact"/>
        </w:trPr>
        <w:tc>
          <w:tcPr>
            <w:tcW w:w="5000" w:type="pct"/>
            <w:gridSpan w:val="12"/>
            <w:tcBorders>
              <w:top w:val="single" w:color="000000" w:sz="4" w:space="0"/>
              <w:left w:val="single" w:color="000000" w:sz="4" w:space="0"/>
              <w:bottom w:val="single" w:color="000000" w:sz="4" w:space="0"/>
              <w:right w:val="single" w:color="000000" w:sz="4" w:space="0"/>
            </w:tcBorders>
            <w:shd w:val="clear" w:color="auto" w:fill="auto"/>
            <w:vAlign w:val="center"/>
          </w:tcPr>
          <w:p w14:paraId="29114ABA">
            <w:pPr>
              <w:pStyle w:val="20"/>
              <w:bidi w:val="0"/>
              <w:spacing w:line="240" w:lineRule="auto"/>
              <w:rPr>
                <w:rFonts w:hint="eastAsia" w:ascii="仿宋" w:hAnsi="仿宋" w:eastAsia="仿宋" w:cs="仿宋"/>
                <w:color w:val="auto"/>
                <w:sz w:val="21"/>
                <w:szCs w:val="21"/>
                <w:highlight w:val="none"/>
                <w:lang w:val="en-US"/>
              </w:rPr>
            </w:pPr>
            <w:r>
              <w:rPr>
                <w:rFonts w:hint="eastAsia" w:ascii="仿宋" w:hAnsi="仿宋" w:eastAsia="仿宋" w:cs="仿宋"/>
                <w:b/>
                <w:bCs/>
                <w:color w:val="auto"/>
                <w:sz w:val="28"/>
                <w:szCs w:val="28"/>
                <w:highlight w:val="none"/>
                <w:lang w:val="en-US" w:eastAsia="zh-CN"/>
              </w:rPr>
              <w:t>投标总报价=</w:t>
            </w:r>
            <w:r>
              <w:rPr>
                <w:rFonts w:hint="eastAsia" w:ascii="仿宋" w:hAnsi="仿宋" w:eastAsia="仿宋" w:cs="仿宋"/>
                <w:b/>
                <w:bCs/>
                <w:color w:val="auto"/>
                <w:sz w:val="28"/>
                <w:szCs w:val="28"/>
                <w:highlight w:val="none"/>
                <w:u w:val="single"/>
                <w:lang w:val="en-US" w:eastAsia="zh-CN"/>
              </w:rPr>
              <w:t xml:space="preserve">           </w:t>
            </w:r>
            <w:r>
              <w:rPr>
                <w:rFonts w:hint="eastAsia" w:ascii="仿宋" w:hAnsi="仿宋" w:eastAsia="仿宋" w:cs="仿宋"/>
                <w:b/>
                <w:bCs/>
                <w:color w:val="auto"/>
                <w:sz w:val="28"/>
                <w:szCs w:val="28"/>
                <w:highlight w:val="none"/>
                <w:lang w:val="en-US" w:eastAsia="zh-CN"/>
              </w:rPr>
              <w:t>元</w:t>
            </w:r>
          </w:p>
        </w:tc>
      </w:tr>
    </w:tbl>
    <w:p w14:paraId="7420FD40">
      <w:pPr>
        <w:spacing w:line="240" w:lineRule="auto"/>
        <w:ind w:firstLine="361"/>
        <w:rPr>
          <w:rFonts w:hint="eastAsia" w:ascii="仿宋" w:hAnsi="仿宋" w:eastAsia="仿宋" w:cs="仿宋"/>
          <w:b/>
          <w:bCs/>
          <w:color w:val="auto"/>
          <w:sz w:val="18"/>
          <w:szCs w:val="18"/>
          <w:highlight w:val="none"/>
        </w:rPr>
      </w:pPr>
      <w:r>
        <w:rPr>
          <w:rFonts w:hint="eastAsia" w:ascii="仿宋" w:hAnsi="仿宋" w:eastAsia="仿宋" w:cs="仿宋"/>
          <w:b/>
          <w:bCs/>
          <w:color w:val="auto"/>
          <w:sz w:val="18"/>
          <w:szCs w:val="18"/>
          <w:highlight w:val="none"/>
        </w:rPr>
        <w:t>注：1.本表中“投标总报价”项价格应与“格式3：开标一览表”中投标总报价一致。</w:t>
      </w:r>
    </w:p>
    <w:p w14:paraId="3DBFBAC6">
      <w:pPr>
        <w:spacing w:line="240" w:lineRule="auto"/>
        <w:ind w:firstLine="361"/>
        <w:rPr>
          <w:rFonts w:hint="eastAsia" w:ascii="仿宋" w:hAnsi="仿宋" w:eastAsia="仿宋" w:cs="仿宋"/>
          <w:b/>
          <w:bCs/>
          <w:color w:val="auto"/>
          <w:sz w:val="18"/>
          <w:szCs w:val="18"/>
          <w:highlight w:val="none"/>
          <w:lang w:val="en-US" w:eastAsia="zh-CN"/>
        </w:rPr>
      </w:pPr>
      <w:r>
        <w:rPr>
          <w:rFonts w:hint="eastAsia" w:ascii="仿宋" w:hAnsi="仿宋" w:eastAsia="仿宋" w:cs="仿宋"/>
          <w:b/>
          <w:bCs/>
          <w:color w:val="auto"/>
          <w:sz w:val="18"/>
          <w:szCs w:val="18"/>
          <w:highlight w:val="none"/>
          <w:lang w:val="en-US" w:eastAsia="zh-CN"/>
        </w:rPr>
        <w:t>2</w:t>
      </w:r>
      <w:r>
        <w:rPr>
          <w:rFonts w:hint="eastAsia" w:ascii="仿宋" w:hAnsi="仿宋" w:eastAsia="仿宋" w:cs="仿宋"/>
          <w:b/>
          <w:bCs/>
          <w:color w:val="auto"/>
          <w:sz w:val="18"/>
          <w:szCs w:val="18"/>
          <w:highlight w:val="none"/>
        </w:rPr>
        <w:t>.本表中“规格/型号”一列，投标人应</w:t>
      </w:r>
      <w:r>
        <w:rPr>
          <w:rFonts w:hint="eastAsia" w:ascii="仿宋" w:hAnsi="仿宋" w:eastAsia="仿宋" w:cs="仿宋"/>
          <w:b/>
          <w:bCs/>
          <w:color w:val="auto"/>
          <w:sz w:val="18"/>
          <w:szCs w:val="18"/>
          <w:highlight w:val="none"/>
          <w:lang w:val="en-US" w:eastAsia="zh-CN"/>
        </w:rPr>
        <w:t>根据产品实际情况填写</w:t>
      </w:r>
      <w:r>
        <w:rPr>
          <w:rFonts w:hint="eastAsia" w:ascii="仿宋" w:hAnsi="仿宋" w:eastAsia="仿宋" w:cs="仿宋"/>
          <w:b/>
          <w:bCs/>
          <w:color w:val="auto"/>
          <w:sz w:val="18"/>
          <w:szCs w:val="18"/>
          <w:highlight w:val="none"/>
        </w:rPr>
        <w:t>。</w:t>
      </w:r>
    </w:p>
    <w:p w14:paraId="0606488B">
      <w:pPr>
        <w:spacing w:line="240" w:lineRule="auto"/>
        <w:ind w:firstLine="361"/>
        <w:rPr>
          <w:rFonts w:hint="eastAsia" w:ascii="仿宋" w:hAnsi="仿宋" w:eastAsia="仿宋" w:cs="仿宋"/>
          <w:b/>
          <w:bCs/>
          <w:color w:val="auto"/>
          <w:sz w:val="18"/>
          <w:szCs w:val="18"/>
          <w:highlight w:val="none"/>
          <w:lang w:val="en-US" w:eastAsia="zh-CN"/>
        </w:rPr>
      </w:pPr>
      <w:r>
        <w:rPr>
          <w:rFonts w:hint="eastAsia" w:ascii="仿宋" w:hAnsi="仿宋" w:eastAsia="仿宋" w:cs="仿宋"/>
          <w:b/>
          <w:bCs/>
          <w:color w:val="auto"/>
          <w:sz w:val="18"/>
          <w:szCs w:val="18"/>
          <w:highlight w:val="none"/>
          <w:lang w:val="en-US" w:eastAsia="zh-CN"/>
        </w:rPr>
        <w:t>3.</w:t>
      </w:r>
      <w:r>
        <w:rPr>
          <w:rFonts w:hint="eastAsia" w:ascii="仿宋" w:hAnsi="仿宋" w:eastAsia="仿宋" w:cs="仿宋"/>
          <w:b/>
          <w:bCs/>
          <w:color w:val="auto"/>
          <w:sz w:val="18"/>
          <w:szCs w:val="18"/>
          <w:highlight w:val="none"/>
        </w:rPr>
        <w:t>本表中“</w:t>
      </w:r>
      <w:r>
        <w:rPr>
          <w:rFonts w:hint="eastAsia" w:ascii="仿宋" w:hAnsi="仿宋" w:eastAsia="仿宋" w:cs="仿宋"/>
          <w:b/>
          <w:bCs/>
          <w:color w:val="auto"/>
          <w:sz w:val="18"/>
          <w:szCs w:val="18"/>
          <w:highlight w:val="none"/>
          <w:lang w:val="en-US" w:eastAsia="zh-CN"/>
        </w:rPr>
        <w:t>品牌</w:t>
      </w:r>
      <w:r>
        <w:rPr>
          <w:rFonts w:hint="eastAsia" w:ascii="仿宋" w:hAnsi="仿宋" w:eastAsia="仿宋" w:cs="仿宋"/>
          <w:b/>
          <w:bCs/>
          <w:color w:val="auto"/>
          <w:sz w:val="18"/>
          <w:szCs w:val="18"/>
          <w:highlight w:val="none"/>
        </w:rPr>
        <w:t>”一列，投标人应</w:t>
      </w:r>
      <w:r>
        <w:rPr>
          <w:rFonts w:hint="eastAsia" w:ascii="仿宋" w:hAnsi="仿宋" w:eastAsia="仿宋" w:cs="仿宋"/>
          <w:b/>
          <w:bCs/>
          <w:color w:val="auto"/>
          <w:sz w:val="18"/>
          <w:szCs w:val="18"/>
          <w:highlight w:val="none"/>
          <w:lang w:val="en-US" w:eastAsia="zh-CN"/>
        </w:rPr>
        <w:t>根据产品实际填写产品的“品牌”或“生产厂家名称”</w:t>
      </w:r>
      <w:r>
        <w:rPr>
          <w:rFonts w:hint="eastAsia" w:ascii="仿宋" w:hAnsi="仿宋" w:eastAsia="仿宋" w:cs="仿宋"/>
          <w:b/>
          <w:bCs/>
          <w:color w:val="auto"/>
          <w:sz w:val="18"/>
          <w:szCs w:val="18"/>
          <w:highlight w:val="none"/>
        </w:rPr>
        <w:t>。</w:t>
      </w:r>
    </w:p>
    <w:p w14:paraId="3C806F75">
      <w:pPr>
        <w:spacing w:line="240" w:lineRule="auto"/>
        <w:ind w:firstLine="361"/>
        <w:rPr>
          <w:rFonts w:hint="eastAsia" w:ascii="仿宋" w:hAnsi="仿宋" w:eastAsia="仿宋" w:cs="仿宋"/>
          <w:b/>
          <w:bCs/>
          <w:color w:val="auto"/>
          <w:sz w:val="18"/>
          <w:szCs w:val="18"/>
          <w:highlight w:val="none"/>
          <w:lang w:val="en-US" w:eastAsia="zh-CN"/>
        </w:rPr>
      </w:pPr>
      <w:r>
        <w:rPr>
          <w:rFonts w:hint="eastAsia" w:ascii="仿宋" w:hAnsi="仿宋" w:eastAsia="仿宋" w:cs="仿宋"/>
          <w:b/>
          <w:bCs/>
          <w:color w:val="auto"/>
          <w:sz w:val="18"/>
          <w:szCs w:val="18"/>
          <w:highlight w:val="none"/>
          <w:lang w:val="en-US" w:eastAsia="zh-CN"/>
        </w:rPr>
        <w:t>4.</w:t>
      </w:r>
      <w:r>
        <w:rPr>
          <w:rFonts w:hint="eastAsia" w:ascii="仿宋" w:hAnsi="仿宋" w:eastAsia="仿宋" w:cs="仿宋"/>
          <w:b/>
          <w:bCs/>
          <w:color w:val="auto"/>
          <w:sz w:val="18"/>
          <w:szCs w:val="18"/>
          <w:highlight w:val="none"/>
        </w:rPr>
        <w:t>本表中“</w:t>
      </w:r>
      <w:r>
        <w:rPr>
          <w:rFonts w:hint="eastAsia" w:ascii="仿宋" w:hAnsi="仿宋" w:eastAsia="仿宋" w:cs="仿宋"/>
          <w:b/>
          <w:bCs/>
          <w:color w:val="auto"/>
          <w:sz w:val="18"/>
          <w:szCs w:val="18"/>
          <w:highlight w:val="none"/>
          <w:lang w:val="en-US" w:eastAsia="zh-CN"/>
        </w:rPr>
        <w:t>制造商</w:t>
      </w:r>
      <w:r>
        <w:rPr>
          <w:rFonts w:hint="eastAsia" w:ascii="仿宋" w:hAnsi="仿宋" w:eastAsia="仿宋" w:cs="仿宋"/>
          <w:b/>
          <w:bCs/>
          <w:color w:val="auto"/>
          <w:sz w:val="18"/>
          <w:szCs w:val="18"/>
          <w:highlight w:val="none"/>
        </w:rPr>
        <w:t>”一列，投标人应</w:t>
      </w:r>
      <w:r>
        <w:rPr>
          <w:rFonts w:hint="eastAsia" w:ascii="仿宋" w:hAnsi="仿宋" w:eastAsia="仿宋" w:cs="仿宋"/>
          <w:b/>
          <w:bCs/>
          <w:color w:val="auto"/>
          <w:sz w:val="18"/>
          <w:szCs w:val="18"/>
          <w:highlight w:val="none"/>
          <w:lang w:val="en-US" w:eastAsia="zh-CN"/>
        </w:rPr>
        <w:t>根据产品实际填写产品的“生产厂家名称”</w:t>
      </w:r>
      <w:r>
        <w:rPr>
          <w:rFonts w:hint="eastAsia" w:ascii="仿宋" w:hAnsi="仿宋" w:eastAsia="仿宋" w:cs="仿宋"/>
          <w:b/>
          <w:bCs/>
          <w:color w:val="auto"/>
          <w:sz w:val="18"/>
          <w:szCs w:val="18"/>
          <w:highlight w:val="none"/>
        </w:rPr>
        <w:t>。</w:t>
      </w:r>
    </w:p>
    <w:p w14:paraId="6D737822">
      <w:pPr>
        <w:spacing w:line="240" w:lineRule="auto"/>
        <w:ind w:firstLine="361"/>
        <w:rPr>
          <w:rFonts w:hint="eastAsia" w:ascii="仿宋" w:hAnsi="仿宋" w:eastAsia="仿宋" w:cs="仿宋"/>
          <w:b/>
          <w:bCs/>
          <w:color w:val="auto"/>
          <w:sz w:val="18"/>
          <w:szCs w:val="18"/>
          <w:highlight w:val="none"/>
        </w:rPr>
      </w:pPr>
      <w:r>
        <w:rPr>
          <w:rFonts w:hint="eastAsia" w:ascii="仿宋" w:hAnsi="仿宋" w:eastAsia="仿宋" w:cs="仿宋"/>
          <w:b/>
          <w:bCs/>
          <w:color w:val="auto"/>
          <w:sz w:val="18"/>
          <w:szCs w:val="18"/>
          <w:highlight w:val="none"/>
          <w:lang w:val="en-US" w:eastAsia="zh-CN"/>
        </w:rPr>
        <w:t>5</w:t>
      </w:r>
      <w:r>
        <w:rPr>
          <w:rFonts w:hint="eastAsia" w:ascii="仿宋" w:hAnsi="仿宋" w:eastAsia="仿宋" w:cs="仿宋"/>
          <w:b/>
          <w:bCs/>
          <w:color w:val="auto"/>
          <w:sz w:val="18"/>
          <w:szCs w:val="18"/>
          <w:highlight w:val="none"/>
        </w:rPr>
        <w:t>.本表中“商品属性”一列，投标人应在“环保产品”、“节能、节水产品”、“自主知识产权产品”、“无”四个选择项中选择填写。</w:t>
      </w:r>
    </w:p>
    <w:p w14:paraId="17D25B45">
      <w:pPr>
        <w:spacing w:line="240" w:lineRule="auto"/>
        <w:ind w:firstLine="361"/>
        <w:rPr>
          <w:rFonts w:hint="eastAsia" w:ascii="仿宋" w:hAnsi="仿宋" w:eastAsia="仿宋" w:cs="仿宋"/>
          <w:b/>
          <w:bCs/>
          <w:color w:val="auto"/>
          <w:sz w:val="18"/>
          <w:szCs w:val="18"/>
          <w:highlight w:val="none"/>
        </w:rPr>
      </w:pPr>
      <w:r>
        <w:rPr>
          <w:rFonts w:hint="eastAsia" w:ascii="仿宋" w:hAnsi="仿宋" w:eastAsia="仿宋" w:cs="仿宋"/>
          <w:b/>
          <w:bCs/>
          <w:color w:val="auto"/>
          <w:sz w:val="18"/>
          <w:szCs w:val="18"/>
          <w:highlight w:val="none"/>
          <w:lang w:val="en-US" w:eastAsia="zh-CN"/>
        </w:rPr>
        <w:t>6</w:t>
      </w:r>
      <w:r>
        <w:rPr>
          <w:rFonts w:hint="eastAsia" w:ascii="仿宋" w:hAnsi="仿宋" w:eastAsia="仿宋" w:cs="仿宋"/>
          <w:b/>
          <w:bCs/>
          <w:color w:val="auto"/>
          <w:sz w:val="18"/>
          <w:szCs w:val="18"/>
          <w:highlight w:val="none"/>
        </w:rPr>
        <w:t>.本表中“产地”一列，如国产产品，精确到省级行政区域。</w:t>
      </w:r>
    </w:p>
    <w:p w14:paraId="52A11F6E">
      <w:pPr>
        <w:spacing w:line="240" w:lineRule="auto"/>
        <w:ind w:firstLine="361"/>
        <w:rPr>
          <w:rFonts w:hint="eastAsia" w:ascii="仿宋" w:hAnsi="仿宋" w:eastAsia="仿宋" w:cs="仿宋"/>
          <w:b/>
          <w:bCs/>
          <w:color w:val="auto"/>
          <w:sz w:val="18"/>
          <w:szCs w:val="18"/>
          <w:highlight w:val="none"/>
          <w:lang w:eastAsia="zh-CN"/>
        </w:rPr>
      </w:pPr>
      <w:r>
        <w:rPr>
          <w:rFonts w:hint="eastAsia" w:ascii="仿宋" w:hAnsi="仿宋" w:eastAsia="仿宋" w:cs="仿宋"/>
          <w:b/>
          <w:bCs/>
          <w:color w:val="auto"/>
          <w:sz w:val="18"/>
          <w:szCs w:val="18"/>
          <w:highlight w:val="none"/>
          <w:lang w:val="en-US" w:eastAsia="zh-CN"/>
        </w:rPr>
        <w:t>7.</w:t>
      </w:r>
      <w:r>
        <w:rPr>
          <w:rFonts w:hint="eastAsia" w:ascii="仿宋" w:hAnsi="仿宋" w:eastAsia="仿宋" w:cs="仿宋"/>
          <w:b/>
          <w:bCs/>
          <w:color w:val="auto"/>
          <w:sz w:val="18"/>
          <w:szCs w:val="18"/>
          <w:highlight w:val="none"/>
        </w:rPr>
        <w:t>制造商规模请填写“大型”、“中型”、“小型”、“微型”或“其他”</w:t>
      </w:r>
      <w:r>
        <w:rPr>
          <w:rFonts w:hint="eastAsia" w:ascii="仿宋" w:hAnsi="仿宋" w:eastAsia="仿宋" w:cs="仿宋"/>
          <w:b/>
          <w:bCs/>
          <w:color w:val="auto"/>
          <w:sz w:val="18"/>
          <w:szCs w:val="18"/>
          <w:highlight w:val="none"/>
          <w:lang w:eastAsia="zh-CN"/>
        </w:rPr>
        <w:t>。</w:t>
      </w:r>
    </w:p>
    <w:p w14:paraId="09B3513E">
      <w:pPr>
        <w:spacing w:line="240" w:lineRule="auto"/>
        <w:ind w:firstLine="361"/>
        <w:rPr>
          <w:rFonts w:hint="default" w:ascii="仿宋" w:hAnsi="仿宋" w:eastAsia="仿宋" w:cs="仿宋"/>
          <w:b/>
          <w:bCs/>
          <w:color w:val="auto"/>
          <w:sz w:val="18"/>
          <w:szCs w:val="18"/>
          <w:highlight w:val="none"/>
          <w:lang w:val="en-US" w:eastAsia="zh-CN"/>
        </w:rPr>
      </w:pPr>
      <w:r>
        <w:rPr>
          <w:rFonts w:hint="eastAsia" w:cs="仿宋"/>
          <w:b/>
          <w:bCs/>
          <w:color w:val="auto"/>
          <w:sz w:val="18"/>
          <w:szCs w:val="18"/>
          <w:highlight w:val="none"/>
          <w:lang w:val="en-US" w:eastAsia="zh-CN"/>
        </w:rPr>
        <w:t>8.本表可扩展，不可漏项。</w:t>
      </w:r>
    </w:p>
    <w:p w14:paraId="0FC3E16B">
      <w:pPr>
        <w:spacing w:line="240" w:lineRule="auto"/>
        <w:ind w:firstLine="361"/>
        <w:rPr>
          <w:rFonts w:hint="eastAsia" w:ascii="仿宋" w:hAnsi="仿宋" w:eastAsia="仿宋" w:cs="仿宋"/>
          <w:b/>
          <w:bCs/>
          <w:color w:val="auto"/>
          <w:sz w:val="18"/>
          <w:szCs w:val="18"/>
          <w:highlight w:val="none"/>
          <w:lang w:val="en-US" w:eastAsia="zh-CN"/>
        </w:rPr>
      </w:pPr>
    </w:p>
    <w:p w14:paraId="1D9E15A9">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投标人</w:t>
      </w: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（电子签章）</w:t>
      </w:r>
    </w:p>
    <w:p w14:paraId="0C935230">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法定代表人或委托代理人：</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 （电子签章或电子签名）</w:t>
      </w:r>
    </w:p>
    <w:p w14:paraId="5C1944B9">
      <w:pPr>
        <w:rPr>
          <w:rFonts w:hint="eastAsia" w:ascii="仿宋" w:hAnsi="仿宋" w:eastAsia="仿宋" w:cs="仿宋"/>
          <w:color w:val="auto"/>
          <w:sz w:val="28"/>
          <w:szCs w:val="28"/>
          <w:highlight w:val="none"/>
        </w:rPr>
        <w:sectPr>
          <w:footerReference r:id="rId10" w:type="default"/>
          <w:pgSz w:w="16838" w:h="11906" w:orient="landscape"/>
          <w:pgMar w:top="1083" w:right="1440" w:bottom="1083" w:left="1440" w:header="851" w:footer="992" w:gutter="0"/>
          <w:pgBorders>
            <w:top w:val="none" w:sz="0" w:space="0"/>
            <w:left w:val="none" w:sz="0" w:space="0"/>
            <w:bottom w:val="none" w:sz="0" w:space="0"/>
            <w:right w:val="none" w:sz="0" w:space="0"/>
          </w:pgBorders>
          <w:pgNumType w:fmt="numberInDash"/>
          <w:cols w:space="0" w:num="1"/>
          <w:rtlGutter w:val="0"/>
          <w:docGrid w:type="lines" w:linePitch="389" w:charSpace="0"/>
        </w:sectPr>
      </w:pPr>
      <w:r>
        <w:rPr>
          <w:rFonts w:hint="eastAsia" w:ascii="仿宋" w:hAnsi="仿宋" w:eastAsia="仿宋" w:cs="仿宋"/>
          <w:color w:val="auto"/>
          <w:sz w:val="28"/>
          <w:szCs w:val="28"/>
          <w:highlight w:val="none"/>
        </w:rPr>
        <w:t>日  期：</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年</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月 </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日</w:t>
      </w:r>
    </w:p>
    <w:p w14:paraId="0512A9DD">
      <w:pPr>
        <w:pStyle w:val="5"/>
        <w:ind w:firstLine="602"/>
        <w:rPr>
          <w:rFonts w:hint="eastAsia" w:ascii="仿宋" w:hAnsi="仿宋" w:eastAsia="仿宋" w:cs="仿宋"/>
          <w:color w:val="auto"/>
          <w:highlight w:val="none"/>
        </w:rPr>
      </w:pPr>
      <w:bookmarkStart w:id="567" w:name="_Toc9706"/>
      <w:bookmarkStart w:id="568" w:name="_Toc21356"/>
      <w:bookmarkStart w:id="569" w:name="_Toc7618"/>
      <w:bookmarkStart w:id="570" w:name="_Toc2175"/>
      <w:bookmarkStart w:id="571" w:name="_Toc421194392"/>
      <w:bookmarkStart w:id="572" w:name="_Toc268785271"/>
      <w:bookmarkStart w:id="573" w:name="_Toc19328"/>
      <w:bookmarkStart w:id="574" w:name="_Toc259286941"/>
      <w:bookmarkStart w:id="575" w:name="_Toc446494201"/>
      <w:bookmarkStart w:id="576" w:name="_Toc268762761"/>
      <w:r>
        <w:rPr>
          <w:rFonts w:hint="eastAsia" w:ascii="仿宋" w:hAnsi="仿宋" w:eastAsia="仿宋" w:cs="仿宋"/>
          <w:color w:val="auto"/>
          <w:highlight w:val="none"/>
        </w:rPr>
        <w:t>格式5：合同书主要条款偏离表</w:t>
      </w:r>
      <w:bookmarkEnd w:id="567"/>
      <w:bookmarkEnd w:id="568"/>
      <w:bookmarkEnd w:id="569"/>
    </w:p>
    <w:p w14:paraId="18DE2E12">
      <w:pPr>
        <w:pStyle w:val="20"/>
        <w:spacing w:line="600" w:lineRule="auto"/>
        <w:rPr>
          <w:rFonts w:hint="eastAsia" w:ascii="仿宋" w:hAnsi="仿宋" w:eastAsia="仿宋" w:cs="仿宋"/>
          <w:b/>
          <w:bCs/>
          <w:color w:val="auto"/>
          <w:sz w:val="48"/>
          <w:szCs w:val="40"/>
          <w:highlight w:val="none"/>
        </w:rPr>
      </w:pPr>
      <w:r>
        <w:rPr>
          <w:rFonts w:hint="eastAsia" w:ascii="仿宋" w:hAnsi="仿宋" w:eastAsia="仿宋" w:cs="仿宋"/>
          <w:b/>
          <w:bCs/>
          <w:color w:val="auto"/>
          <w:sz w:val="48"/>
          <w:szCs w:val="40"/>
          <w:highlight w:val="none"/>
        </w:rPr>
        <w:t>合同书主要条款偏离表</w:t>
      </w:r>
    </w:p>
    <w:p w14:paraId="7B02AFAE">
      <w:pPr>
        <w:ind w:left="0" w:leftChars="0" w:firstLine="0" w:firstLineChars="0"/>
        <w:rPr>
          <w:rFonts w:hint="eastAsia" w:ascii="仿宋" w:hAnsi="仿宋" w:eastAsia="仿宋" w:cs="仿宋"/>
          <w:b/>
          <w:bCs/>
          <w:color w:val="auto"/>
          <w:szCs w:val="21"/>
          <w:highlight w:val="none"/>
          <w:u w:val="single"/>
          <w:lang w:eastAsia="zh-CN"/>
        </w:rPr>
      </w:pPr>
      <w:r>
        <w:rPr>
          <w:rFonts w:hint="eastAsia" w:ascii="仿宋" w:hAnsi="仿宋" w:eastAsia="仿宋" w:cs="仿宋"/>
          <w:color w:val="auto"/>
          <w:highlight w:val="none"/>
        </w:rPr>
        <w:t>项目名称：</w:t>
      </w:r>
      <w:r>
        <w:rPr>
          <w:rFonts w:hint="eastAsia" w:cs="仿宋"/>
          <w:b/>
          <w:bCs/>
          <w:color w:val="auto"/>
          <w:szCs w:val="21"/>
          <w:highlight w:val="none"/>
          <w:u w:val="single"/>
          <w:lang w:eastAsia="zh-CN"/>
        </w:rPr>
        <w:t>云南轻纺职业学院人工智能学院云计算技术应用实训室及智慧教室建设项目</w:t>
      </w:r>
      <w:r>
        <w:rPr>
          <w:rFonts w:hint="eastAsia" w:cs="仿宋"/>
          <w:b/>
          <w:bCs/>
          <w:color w:val="auto"/>
          <w:szCs w:val="21"/>
          <w:highlight w:val="none"/>
          <w:u w:val="single"/>
          <w:lang w:eastAsia="zh-CN"/>
        </w:rPr>
        <w:t>（</w:t>
      </w:r>
      <w:r>
        <w:rPr>
          <w:rFonts w:hint="eastAsia" w:cs="仿宋"/>
          <w:b/>
          <w:bCs/>
          <w:color w:val="auto"/>
          <w:szCs w:val="21"/>
          <w:highlight w:val="none"/>
          <w:u w:val="single"/>
          <w:lang w:val="en-US" w:eastAsia="zh-CN"/>
        </w:rPr>
        <w:t>二次</w:t>
      </w:r>
      <w:r>
        <w:rPr>
          <w:rFonts w:hint="eastAsia" w:cs="仿宋"/>
          <w:b/>
          <w:bCs/>
          <w:color w:val="auto"/>
          <w:szCs w:val="21"/>
          <w:highlight w:val="none"/>
          <w:u w:val="single"/>
          <w:lang w:eastAsia="zh-CN"/>
        </w:rPr>
        <w:t>）</w:t>
      </w:r>
    </w:p>
    <w:p w14:paraId="02166A32">
      <w:pPr>
        <w:ind w:left="0" w:leftChars="0" w:firstLine="0" w:firstLineChars="0"/>
        <w:rPr>
          <w:rFonts w:hint="eastAsia" w:ascii="仿宋" w:hAnsi="仿宋" w:eastAsia="仿宋" w:cs="仿宋"/>
          <w:color w:val="auto"/>
          <w:highlight w:val="none"/>
          <w:u w:val="single"/>
          <w:lang w:val="en-US" w:eastAsia="zh-CN"/>
        </w:rPr>
      </w:pPr>
      <w:r>
        <w:rPr>
          <w:rFonts w:hint="eastAsia" w:ascii="仿宋" w:hAnsi="仿宋" w:eastAsia="仿宋" w:cs="仿宋"/>
          <w:color w:val="auto"/>
          <w:highlight w:val="none"/>
        </w:rPr>
        <w:t>项目编号：</w:t>
      </w:r>
      <w:r>
        <w:rPr>
          <w:rFonts w:hint="eastAsia" w:cs="仿宋"/>
          <w:b/>
          <w:bCs/>
          <w:color w:val="auto"/>
          <w:highlight w:val="none"/>
          <w:u w:val="single"/>
          <w:lang w:eastAsia="zh-CN"/>
        </w:rPr>
        <w:t>云润招字 HW2026-120</w:t>
      </w:r>
    </w:p>
    <w:tbl>
      <w:tblPr>
        <w:tblStyle w:val="35"/>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32"/>
        <w:gridCol w:w="2908"/>
        <w:gridCol w:w="2563"/>
        <w:gridCol w:w="1812"/>
        <w:gridCol w:w="1211"/>
      </w:tblGrid>
      <w:tr w14:paraId="2FB77B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633" w:type="pct"/>
            <w:vAlign w:val="center"/>
          </w:tcPr>
          <w:p w14:paraId="34B9B347">
            <w:pPr>
              <w:pStyle w:val="20"/>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序号</w:t>
            </w:r>
          </w:p>
        </w:tc>
        <w:tc>
          <w:tcPr>
            <w:tcW w:w="1494" w:type="pct"/>
            <w:vAlign w:val="center"/>
          </w:tcPr>
          <w:p w14:paraId="4D8B037B">
            <w:pPr>
              <w:pStyle w:val="20"/>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招标文件的商务要求</w:t>
            </w:r>
          </w:p>
        </w:tc>
        <w:tc>
          <w:tcPr>
            <w:tcW w:w="1317" w:type="pct"/>
            <w:vAlign w:val="center"/>
          </w:tcPr>
          <w:p w14:paraId="727A603D">
            <w:pPr>
              <w:pStyle w:val="20"/>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投标文件</w:t>
            </w:r>
            <w:r>
              <w:rPr>
                <w:rFonts w:hint="eastAsia" w:ascii="仿宋" w:hAnsi="仿宋" w:eastAsia="仿宋" w:cs="仿宋"/>
                <w:b/>
                <w:bCs/>
                <w:color w:val="auto"/>
                <w:sz w:val="24"/>
                <w:szCs w:val="24"/>
                <w:highlight w:val="none"/>
                <w:lang w:val="en-US" w:eastAsia="zh-CN"/>
              </w:rPr>
              <w:t>的应答</w:t>
            </w:r>
            <w:r>
              <w:rPr>
                <w:rFonts w:hint="eastAsia" w:ascii="仿宋" w:hAnsi="仿宋" w:eastAsia="仿宋" w:cs="仿宋"/>
                <w:b/>
                <w:bCs/>
                <w:color w:val="auto"/>
                <w:sz w:val="24"/>
                <w:szCs w:val="24"/>
                <w:highlight w:val="none"/>
              </w:rPr>
              <w:t>内容</w:t>
            </w:r>
          </w:p>
        </w:tc>
        <w:tc>
          <w:tcPr>
            <w:tcW w:w="931" w:type="pct"/>
            <w:vAlign w:val="center"/>
          </w:tcPr>
          <w:p w14:paraId="437FA24B">
            <w:pPr>
              <w:pStyle w:val="20"/>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偏离情况</w:t>
            </w:r>
          </w:p>
        </w:tc>
        <w:tc>
          <w:tcPr>
            <w:tcW w:w="622" w:type="pct"/>
            <w:vAlign w:val="center"/>
          </w:tcPr>
          <w:p w14:paraId="29DA5FB6">
            <w:pPr>
              <w:pStyle w:val="20"/>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说明</w:t>
            </w:r>
          </w:p>
        </w:tc>
      </w:tr>
      <w:tr w14:paraId="7073C3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633" w:type="pct"/>
            <w:vAlign w:val="center"/>
          </w:tcPr>
          <w:p w14:paraId="4945BEC6">
            <w:pPr>
              <w:pStyle w:val="20"/>
              <w:rPr>
                <w:rFonts w:hint="eastAsia" w:ascii="仿宋" w:hAnsi="仿宋" w:eastAsia="仿宋" w:cs="仿宋"/>
                <w:b/>
                <w:bCs/>
                <w:color w:val="auto"/>
                <w:sz w:val="24"/>
                <w:szCs w:val="24"/>
                <w:highlight w:val="none"/>
              </w:rPr>
            </w:pPr>
          </w:p>
        </w:tc>
        <w:tc>
          <w:tcPr>
            <w:tcW w:w="1494" w:type="pct"/>
            <w:vAlign w:val="center"/>
          </w:tcPr>
          <w:p w14:paraId="67931E77">
            <w:pPr>
              <w:pStyle w:val="20"/>
              <w:rPr>
                <w:rFonts w:hint="eastAsia" w:ascii="仿宋" w:hAnsi="仿宋" w:eastAsia="仿宋" w:cs="仿宋"/>
                <w:b/>
                <w:bCs/>
                <w:color w:val="auto"/>
                <w:sz w:val="24"/>
                <w:szCs w:val="24"/>
                <w:highlight w:val="none"/>
              </w:rPr>
            </w:pPr>
          </w:p>
        </w:tc>
        <w:tc>
          <w:tcPr>
            <w:tcW w:w="1317" w:type="pct"/>
            <w:vAlign w:val="center"/>
          </w:tcPr>
          <w:p w14:paraId="7A59B069">
            <w:pPr>
              <w:pStyle w:val="20"/>
              <w:rPr>
                <w:rFonts w:hint="eastAsia" w:ascii="仿宋" w:hAnsi="仿宋" w:eastAsia="仿宋" w:cs="仿宋"/>
                <w:b/>
                <w:bCs/>
                <w:color w:val="auto"/>
                <w:sz w:val="24"/>
                <w:szCs w:val="24"/>
                <w:highlight w:val="none"/>
              </w:rPr>
            </w:pPr>
          </w:p>
        </w:tc>
        <w:tc>
          <w:tcPr>
            <w:tcW w:w="931" w:type="pct"/>
            <w:vAlign w:val="center"/>
          </w:tcPr>
          <w:p w14:paraId="369DBDE2">
            <w:pPr>
              <w:pStyle w:val="20"/>
              <w:rPr>
                <w:rFonts w:hint="eastAsia" w:ascii="仿宋" w:hAnsi="仿宋" w:eastAsia="仿宋" w:cs="仿宋"/>
                <w:b/>
                <w:bCs/>
                <w:color w:val="auto"/>
                <w:sz w:val="24"/>
                <w:szCs w:val="24"/>
                <w:highlight w:val="none"/>
              </w:rPr>
            </w:pPr>
          </w:p>
        </w:tc>
        <w:tc>
          <w:tcPr>
            <w:tcW w:w="622" w:type="pct"/>
            <w:vAlign w:val="center"/>
          </w:tcPr>
          <w:p w14:paraId="5AEAE5DA">
            <w:pPr>
              <w:pStyle w:val="20"/>
              <w:rPr>
                <w:rFonts w:hint="eastAsia" w:ascii="仿宋" w:hAnsi="仿宋" w:eastAsia="仿宋" w:cs="仿宋"/>
                <w:b/>
                <w:bCs/>
                <w:color w:val="auto"/>
                <w:sz w:val="24"/>
                <w:szCs w:val="24"/>
                <w:highlight w:val="none"/>
              </w:rPr>
            </w:pPr>
          </w:p>
        </w:tc>
      </w:tr>
      <w:tr w14:paraId="560810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633" w:type="pct"/>
            <w:vAlign w:val="center"/>
          </w:tcPr>
          <w:p w14:paraId="68250F54">
            <w:pPr>
              <w:pStyle w:val="20"/>
              <w:rPr>
                <w:rFonts w:hint="eastAsia" w:ascii="仿宋" w:hAnsi="仿宋" w:eastAsia="仿宋" w:cs="仿宋"/>
                <w:b/>
                <w:bCs/>
                <w:color w:val="auto"/>
                <w:sz w:val="24"/>
                <w:szCs w:val="24"/>
                <w:highlight w:val="none"/>
              </w:rPr>
            </w:pPr>
          </w:p>
        </w:tc>
        <w:tc>
          <w:tcPr>
            <w:tcW w:w="1494" w:type="pct"/>
            <w:vAlign w:val="center"/>
          </w:tcPr>
          <w:p w14:paraId="458E5EDA">
            <w:pPr>
              <w:pStyle w:val="20"/>
              <w:rPr>
                <w:rFonts w:hint="eastAsia" w:ascii="仿宋" w:hAnsi="仿宋" w:eastAsia="仿宋" w:cs="仿宋"/>
                <w:b/>
                <w:bCs/>
                <w:color w:val="auto"/>
                <w:sz w:val="24"/>
                <w:szCs w:val="24"/>
                <w:highlight w:val="none"/>
              </w:rPr>
            </w:pPr>
          </w:p>
        </w:tc>
        <w:tc>
          <w:tcPr>
            <w:tcW w:w="1317" w:type="pct"/>
            <w:vAlign w:val="center"/>
          </w:tcPr>
          <w:p w14:paraId="15E986FC">
            <w:pPr>
              <w:pStyle w:val="20"/>
              <w:rPr>
                <w:rFonts w:hint="eastAsia" w:ascii="仿宋" w:hAnsi="仿宋" w:eastAsia="仿宋" w:cs="仿宋"/>
                <w:b/>
                <w:bCs/>
                <w:color w:val="auto"/>
                <w:sz w:val="24"/>
                <w:szCs w:val="24"/>
                <w:highlight w:val="none"/>
              </w:rPr>
            </w:pPr>
          </w:p>
        </w:tc>
        <w:tc>
          <w:tcPr>
            <w:tcW w:w="931" w:type="pct"/>
            <w:vAlign w:val="center"/>
          </w:tcPr>
          <w:p w14:paraId="4975C139">
            <w:pPr>
              <w:pStyle w:val="20"/>
              <w:rPr>
                <w:rFonts w:hint="eastAsia" w:ascii="仿宋" w:hAnsi="仿宋" w:eastAsia="仿宋" w:cs="仿宋"/>
                <w:b/>
                <w:bCs/>
                <w:color w:val="auto"/>
                <w:sz w:val="24"/>
                <w:szCs w:val="24"/>
                <w:highlight w:val="none"/>
              </w:rPr>
            </w:pPr>
          </w:p>
        </w:tc>
        <w:tc>
          <w:tcPr>
            <w:tcW w:w="622" w:type="pct"/>
            <w:vAlign w:val="center"/>
          </w:tcPr>
          <w:p w14:paraId="025FC59E">
            <w:pPr>
              <w:pStyle w:val="20"/>
              <w:rPr>
                <w:rFonts w:hint="eastAsia" w:ascii="仿宋" w:hAnsi="仿宋" w:eastAsia="仿宋" w:cs="仿宋"/>
                <w:b/>
                <w:bCs/>
                <w:color w:val="auto"/>
                <w:sz w:val="24"/>
                <w:szCs w:val="24"/>
                <w:highlight w:val="none"/>
              </w:rPr>
            </w:pPr>
          </w:p>
        </w:tc>
      </w:tr>
      <w:tr w14:paraId="683201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633" w:type="pct"/>
            <w:vAlign w:val="center"/>
          </w:tcPr>
          <w:p w14:paraId="5F787066">
            <w:pPr>
              <w:pStyle w:val="20"/>
              <w:rPr>
                <w:rFonts w:hint="eastAsia" w:ascii="仿宋" w:hAnsi="仿宋" w:eastAsia="仿宋" w:cs="仿宋"/>
                <w:b/>
                <w:bCs/>
                <w:color w:val="auto"/>
                <w:sz w:val="24"/>
                <w:szCs w:val="24"/>
                <w:highlight w:val="none"/>
              </w:rPr>
            </w:pPr>
          </w:p>
        </w:tc>
        <w:tc>
          <w:tcPr>
            <w:tcW w:w="1494" w:type="pct"/>
            <w:vAlign w:val="center"/>
          </w:tcPr>
          <w:p w14:paraId="4D5D3B56">
            <w:pPr>
              <w:pStyle w:val="20"/>
              <w:rPr>
                <w:rFonts w:hint="eastAsia" w:ascii="仿宋" w:hAnsi="仿宋" w:eastAsia="仿宋" w:cs="仿宋"/>
                <w:b/>
                <w:bCs/>
                <w:color w:val="auto"/>
                <w:sz w:val="24"/>
                <w:szCs w:val="24"/>
                <w:highlight w:val="none"/>
              </w:rPr>
            </w:pPr>
          </w:p>
        </w:tc>
        <w:tc>
          <w:tcPr>
            <w:tcW w:w="1317" w:type="pct"/>
            <w:vAlign w:val="center"/>
          </w:tcPr>
          <w:p w14:paraId="4C962AA0">
            <w:pPr>
              <w:pStyle w:val="20"/>
              <w:rPr>
                <w:rFonts w:hint="eastAsia" w:ascii="仿宋" w:hAnsi="仿宋" w:eastAsia="仿宋" w:cs="仿宋"/>
                <w:b/>
                <w:bCs/>
                <w:color w:val="auto"/>
                <w:sz w:val="24"/>
                <w:szCs w:val="24"/>
                <w:highlight w:val="none"/>
              </w:rPr>
            </w:pPr>
          </w:p>
        </w:tc>
        <w:tc>
          <w:tcPr>
            <w:tcW w:w="931" w:type="pct"/>
            <w:vAlign w:val="center"/>
          </w:tcPr>
          <w:p w14:paraId="5D6AB042">
            <w:pPr>
              <w:pStyle w:val="20"/>
              <w:rPr>
                <w:rFonts w:hint="eastAsia" w:ascii="仿宋" w:hAnsi="仿宋" w:eastAsia="仿宋" w:cs="仿宋"/>
                <w:b/>
                <w:bCs/>
                <w:color w:val="auto"/>
                <w:sz w:val="24"/>
                <w:szCs w:val="24"/>
                <w:highlight w:val="none"/>
              </w:rPr>
            </w:pPr>
          </w:p>
        </w:tc>
        <w:tc>
          <w:tcPr>
            <w:tcW w:w="622" w:type="pct"/>
            <w:vAlign w:val="center"/>
          </w:tcPr>
          <w:p w14:paraId="0DCD44A5">
            <w:pPr>
              <w:pStyle w:val="20"/>
              <w:rPr>
                <w:rFonts w:hint="eastAsia" w:ascii="仿宋" w:hAnsi="仿宋" w:eastAsia="仿宋" w:cs="仿宋"/>
                <w:b/>
                <w:bCs/>
                <w:color w:val="auto"/>
                <w:sz w:val="24"/>
                <w:szCs w:val="24"/>
                <w:highlight w:val="none"/>
              </w:rPr>
            </w:pPr>
          </w:p>
        </w:tc>
      </w:tr>
      <w:tr w14:paraId="5B2A73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633" w:type="pct"/>
            <w:vAlign w:val="center"/>
          </w:tcPr>
          <w:p w14:paraId="1B8AD293">
            <w:pPr>
              <w:pStyle w:val="20"/>
              <w:rPr>
                <w:rFonts w:hint="eastAsia" w:ascii="仿宋" w:hAnsi="仿宋" w:eastAsia="仿宋" w:cs="仿宋"/>
                <w:b/>
                <w:bCs/>
                <w:color w:val="auto"/>
                <w:sz w:val="24"/>
                <w:szCs w:val="24"/>
                <w:highlight w:val="none"/>
              </w:rPr>
            </w:pPr>
          </w:p>
        </w:tc>
        <w:tc>
          <w:tcPr>
            <w:tcW w:w="1494" w:type="pct"/>
            <w:vAlign w:val="center"/>
          </w:tcPr>
          <w:p w14:paraId="76064E75">
            <w:pPr>
              <w:pStyle w:val="20"/>
              <w:rPr>
                <w:rFonts w:hint="eastAsia" w:ascii="仿宋" w:hAnsi="仿宋" w:eastAsia="仿宋" w:cs="仿宋"/>
                <w:b/>
                <w:bCs/>
                <w:color w:val="auto"/>
                <w:sz w:val="24"/>
                <w:szCs w:val="24"/>
                <w:highlight w:val="none"/>
              </w:rPr>
            </w:pPr>
          </w:p>
        </w:tc>
        <w:tc>
          <w:tcPr>
            <w:tcW w:w="1317" w:type="pct"/>
            <w:vAlign w:val="center"/>
          </w:tcPr>
          <w:p w14:paraId="0692447D">
            <w:pPr>
              <w:pStyle w:val="20"/>
              <w:rPr>
                <w:rFonts w:hint="eastAsia" w:ascii="仿宋" w:hAnsi="仿宋" w:eastAsia="仿宋" w:cs="仿宋"/>
                <w:b/>
                <w:bCs/>
                <w:color w:val="auto"/>
                <w:sz w:val="24"/>
                <w:szCs w:val="24"/>
                <w:highlight w:val="none"/>
              </w:rPr>
            </w:pPr>
          </w:p>
        </w:tc>
        <w:tc>
          <w:tcPr>
            <w:tcW w:w="931" w:type="pct"/>
            <w:vAlign w:val="center"/>
          </w:tcPr>
          <w:p w14:paraId="7F52F501">
            <w:pPr>
              <w:pStyle w:val="20"/>
              <w:rPr>
                <w:rFonts w:hint="eastAsia" w:ascii="仿宋" w:hAnsi="仿宋" w:eastAsia="仿宋" w:cs="仿宋"/>
                <w:b/>
                <w:bCs/>
                <w:color w:val="auto"/>
                <w:sz w:val="24"/>
                <w:szCs w:val="24"/>
                <w:highlight w:val="none"/>
              </w:rPr>
            </w:pPr>
          </w:p>
        </w:tc>
        <w:tc>
          <w:tcPr>
            <w:tcW w:w="622" w:type="pct"/>
            <w:vAlign w:val="center"/>
          </w:tcPr>
          <w:p w14:paraId="63C87F91">
            <w:pPr>
              <w:pStyle w:val="20"/>
              <w:rPr>
                <w:rFonts w:hint="eastAsia" w:ascii="仿宋" w:hAnsi="仿宋" w:eastAsia="仿宋" w:cs="仿宋"/>
                <w:b/>
                <w:bCs/>
                <w:color w:val="auto"/>
                <w:sz w:val="24"/>
                <w:szCs w:val="24"/>
                <w:highlight w:val="none"/>
              </w:rPr>
            </w:pPr>
          </w:p>
        </w:tc>
      </w:tr>
      <w:tr w14:paraId="012D56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633" w:type="pct"/>
            <w:vAlign w:val="center"/>
          </w:tcPr>
          <w:p w14:paraId="1E49FB0F">
            <w:pPr>
              <w:pStyle w:val="20"/>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w:t>
            </w:r>
          </w:p>
        </w:tc>
        <w:tc>
          <w:tcPr>
            <w:tcW w:w="1494" w:type="pct"/>
            <w:vAlign w:val="center"/>
          </w:tcPr>
          <w:p w14:paraId="31BF0FC0">
            <w:pPr>
              <w:pStyle w:val="20"/>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w:t>
            </w:r>
          </w:p>
        </w:tc>
        <w:tc>
          <w:tcPr>
            <w:tcW w:w="1317" w:type="pct"/>
            <w:vAlign w:val="center"/>
          </w:tcPr>
          <w:p w14:paraId="0C190121">
            <w:pPr>
              <w:pStyle w:val="20"/>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w:t>
            </w:r>
          </w:p>
        </w:tc>
        <w:tc>
          <w:tcPr>
            <w:tcW w:w="931" w:type="pct"/>
            <w:vAlign w:val="center"/>
          </w:tcPr>
          <w:p w14:paraId="7DFF1418">
            <w:pPr>
              <w:pStyle w:val="20"/>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w:t>
            </w:r>
          </w:p>
        </w:tc>
        <w:tc>
          <w:tcPr>
            <w:tcW w:w="622" w:type="pct"/>
            <w:vAlign w:val="center"/>
          </w:tcPr>
          <w:p w14:paraId="70D75E85">
            <w:pPr>
              <w:pStyle w:val="20"/>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w:t>
            </w:r>
          </w:p>
        </w:tc>
      </w:tr>
    </w:tbl>
    <w:p w14:paraId="286DAE05">
      <w:pPr>
        <w:spacing w:line="240" w:lineRule="auto"/>
        <w:ind w:firstLine="36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表格填写说明：</w:t>
      </w:r>
    </w:p>
    <w:p w14:paraId="4870B2C8">
      <w:pPr>
        <w:spacing w:line="240" w:lineRule="auto"/>
        <w:ind w:firstLine="36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1.“偏离情况”列应据实填写“正偏离”或“</w:t>
      </w:r>
      <w:r>
        <w:rPr>
          <w:rFonts w:hint="eastAsia" w:ascii="仿宋" w:hAnsi="仿宋" w:eastAsia="仿宋" w:cs="仿宋"/>
          <w:color w:val="auto"/>
          <w:sz w:val="21"/>
          <w:szCs w:val="21"/>
          <w:highlight w:val="none"/>
          <w:lang w:val="en-US" w:eastAsia="zh-CN"/>
        </w:rPr>
        <w:t>无</w:t>
      </w:r>
      <w:r>
        <w:rPr>
          <w:rFonts w:hint="eastAsia" w:ascii="仿宋" w:hAnsi="仿宋" w:eastAsia="仿宋" w:cs="仿宋"/>
          <w:color w:val="auto"/>
          <w:sz w:val="21"/>
          <w:szCs w:val="21"/>
          <w:highlight w:val="none"/>
        </w:rPr>
        <w:t>偏离”。</w:t>
      </w:r>
    </w:p>
    <w:p w14:paraId="49A3CD31">
      <w:pPr>
        <w:spacing w:line="240" w:lineRule="auto"/>
        <w:ind w:firstLine="36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2.</w:t>
      </w:r>
      <w:r>
        <w:rPr>
          <w:rFonts w:hint="eastAsia" w:ascii="仿宋" w:hAnsi="仿宋" w:eastAsia="仿宋" w:cs="仿宋"/>
          <w:color w:val="auto"/>
          <w:sz w:val="21"/>
          <w:szCs w:val="21"/>
          <w:highlight w:val="none"/>
        </w:rPr>
        <w:t>本表格中“招标文件的商务要求”列，</w:t>
      </w:r>
      <w:r>
        <w:rPr>
          <w:rFonts w:hint="eastAsia" w:ascii="仿宋" w:hAnsi="仿宋" w:eastAsia="仿宋" w:cs="仿宋"/>
          <w:color w:val="auto"/>
          <w:sz w:val="21"/>
          <w:szCs w:val="21"/>
          <w:highlight w:val="none"/>
          <w:lang w:eastAsia="zh-CN"/>
        </w:rPr>
        <w:t>投标人</w:t>
      </w:r>
      <w:r>
        <w:rPr>
          <w:rFonts w:hint="eastAsia" w:ascii="仿宋" w:hAnsi="仿宋" w:eastAsia="仿宋" w:cs="仿宋"/>
          <w:color w:val="auto"/>
          <w:sz w:val="21"/>
          <w:szCs w:val="21"/>
          <w:highlight w:val="none"/>
        </w:rPr>
        <w:t>须逐条对应“第六章 合同书主要条款及样式”的“合同书主要条款”中</w:t>
      </w:r>
      <w:r>
        <w:rPr>
          <w:rFonts w:hint="eastAsia" w:ascii="仿宋" w:hAnsi="仿宋" w:eastAsia="仿宋" w:cs="仿宋"/>
          <w:color w:val="auto"/>
          <w:sz w:val="21"/>
          <w:szCs w:val="21"/>
          <w:highlight w:val="none"/>
          <w:lang w:val="en-US" w:eastAsia="zh-CN"/>
        </w:rPr>
        <w:t>的内容</w:t>
      </w:r>
      <w:r>
        <w:rPr>
          <w:rFonts w:hint="eastAsia" w:ascii="仿宋" w:hAnsi="仿宋" w:eastAsia="仿宋" w:cs="仿宋"/>
          <w:color w:val="auto"/>
          <w:sz w:val="21"/>
          <w:szCs w:val="21"/>
          <w:highlight w:val="none"/>
        </w:rPr>
        <w:t>填写。</w:t>
      </w:r>
    </w:p>
    <w:p w14:paraId="7D6AA41E">
      <w:pPr>
        <w:spacing w:line="240" w:lineRule="auto"/>
        <w:ind w:firstLine="36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3</w:t>
      </w:r>
      <w:r>
        <w:rPr>
          <w:rFonts w:hint="eastAsia" w:ascii="仿宋" w:hAnsi="仿宋" w:eastAsia="仿宋" w:cs="仿宋"/>
          <w:color w:val="auto"/>
          <w:sz w:val="21"/>
          <w:szCs w:val="21"/>
          <w:highlight w:val="none"/>
          <w:lang w:val="en-US" w:eastAsia="zh-CN"/>
        </w:rPr>
        <w:t>.</w:t>
      </w:r>
      <w:r>
        <w:rPr>
          <w:rFonts w:hint="eastAsia" w:ascii="仿宋" w:hAnsi="仿宋" w:eastAsia="仿宋" w:cs="仿宋"/>
          <w:color w:val="auto"/>
          <w:sz w:val="21"/>
          <w:szCs w:val="21"/>
          <w:highlight w:val="none"/>
        </w:rPr>
        <w:t>本表格中“投标文件的应答内容”，请</w:t>
      </w:r>
      <w:r>
        <w:rPr>
          <w:rFonts w:hint="eastAsia" w:ascii="仿宋" w:hAnsi="仿宋" w:eastAsia="仿宋" w:cs="仿宋"/>
          <w:color w:val="auto"/>
          <w:sz w:val="21"/>
          <w:szCs w:val="21"/>
          <w:highlight w:val="none"/>
          <w:lang w:eastAsia="zh-CN"/>
        </w:rPr>
        <w:t>投标人</w:t>
      </w:r>
      <w:r>
        <w:rPr>
          <w:rFonts w:hint="eastAsia" w:ascii="仿宋" w:hAnsi="仿宋" w:eastAsia="仿宋" w:cs="仿宋"/>
          <w:color w:val="auto"/>
          <w:sz w:val="21"/>
          <w:szCs w:val="21"/>
          <w:highlight w:val="none"/>
        </w:rPr>
        <w:t>根据实际响应情况如实、完整、准确的填写</w:t>
      </w: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rPr>
        <w:t>应答</w:t>
      </w:r>
      <w:r>
        <w:rPr>
          <w:rFonts w:hint="eastAsia" w:ascii="仿宋" w:hAnsi="仿宋" w:eastAsia="仿宋" w:cs="仿宋"/>
          <w:color w:val="auto"/>
          <w:sz w:val="21"/>
          <w:szCs w:val="21"/>
          <w:highlight w:val="none"/>
          <w:lang w:val="en-US" w:eastAsia="zh-CN"/>
        </w:rPr>
        <w:t>内容为负偏离的，投标无效</w:t>
      </w:r>
      <w:r>
        <w:rPr>
          <w:rFonts w:hint="eastAsia" w:ascii="仿宋" w:hAnsi="仿宋" w:eastAsia="仿宋" w:cs="仿宋"/>
          <w:color w:val="auto"/>
          <w:sz w:val="21"/>
          <w:szCs w:val="21"/>
          <w:highlight w:val="none"/>
        </w:rPr>
        <w:t>。</w:t>
      </w:r>
    </w:p>
    <w:p w14:paraId="400D8520">
      <w:pPr>
        <w:spacing w:line="240" w:lineRule="auto"/>
        <w:ind w:firstLine="360"/>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rPr>
        <w:t>4</w:t>
      </w:r>
      <w:r>
        <w:rPr>
          <w:rFonts w:hint="eastAsia" w:ascii="仿宋" w:hAnsi="仿宋" w:eastAsia="仿宋" w:cs="仿宋"/>
          <w:color w:val="auto"/>
          <w:sz w:val="21"/>
          <w:szCs w:val="21"/>
          <w:highlight w:val="none"/>
          <w:lang w:val="en-US" w:eastAsia="zh-CN"/>
        </w:rPr>
        <w:t>.</w:t>
      </w:r>
      <w:r>
        <w:rPr>
          <w:rFonts w:hint="eastAsia" w:ascii="仿宋" w:hAnsi="仿宋" w:eastAsia="仿宋" w:cs="仿宋"/>
          <w:color w:val="auto"/>
          <w:sz w:val="21"/>
          <w:szCs w:val="21"/>
          <w:highlight w:val="none"/>
        </w:rPr>
        <w:t>本表格中内容与</w:t>
      </w:r>
      <w:r>
        <w:rPr>
          <w:rFonts w:hint="eastAsia" w:ascii="仿宋" w:hAnsi="仿宋" w:eastAsia="仿宋" w:cs="仿宋"/>
          <w:color w:val="auto"/>
          <w:sz w:val="21"/>
          <w:szCs w:val="21"/>
          <w:highlight w:val="none"/>
          <w:lang w:eastAsia="zh-CN"/>
        </w:rPr>
        <w:t>投标文件</w:t>
      </w:r>
      <w:r>
        <w:rPr>
          <w:rFonts w:hint="eastAsia" w:ascii="仿宋" w:hAnsi="仿宋" w:eastAsia="仿宋" w:cs="仿宋"/>
          <w:color w:val="auto"/>
          <w:sz w:val="21"/>
          <w:szCs w:val="21"/>
          <w:highlight w:val="none"/>
        </w:rPr>
        <w:t>其余部分不一致的，以本表格为准。</w:t>
      </w:r>
    </w:p>
    <w:p w14:paraId="6ECECFEA">
      <w:pPr>
        <w:ind w:firstLine="480"/>
        <w:rPr>
          <w:rFonts w:hint="eastAsia" w:ascii="仿宋" w:hAnsi="仿宋" w:eastAsia="仿宋" w:cs="仿宋"/>
          <w:color w:val="auto"/>
          <w:sz w:val="28"/>
          <w:szCs w:val="28"/>
          <w:highlight w:val="none"/>
        </w:rPr>
      </w:pPr>
    </w:p>
    <w:p w14:paraId="1D6ABBCD">
      <w:pPr>
        <w:ind w:firstLine="48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投标人</w:t>
      </w: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（电子签章）</w:t>
      </w:r>
    </w:p>
    <w:p w14:paraId="4E43BB47">
      <w:pPr>
        <w:ind w:firstLine="48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法定代表人或委托代理人：</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 （电子签章或电子签名）</w:t>
      </w:r>
    </w:p>
    <w:p w14:paraId="2A869471">
      <w:pPr>
        <w:ind w:firstLine="48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日  期：</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年</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月 </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日</w:t>
      </w:r>
    </w:p>
    <w:p w14:paraId="587831CF">
      <w:pPr>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br w:type="page"/>
      </w:r>
    </w:p>
    <w:bookmarkEnd w:id="570"/>
    <w:bookmarkEnd w:id="571"/>
    <w:bookmarkEnd w:id="572"/>
    <w:bookmarkEnd w:id="573"/>
    <w:bookmarkEnd w:id="574"/>
    <w:bookmarkEnd w:id="575"/>
    <w:bookmarkEnd w:id="576"/>
    <w:p w14:paraId="5D4377D3">
      <w:pPr>
        <w:pStyle w:val="5"/>
        <w:ind w:firstLine="602"/>
        <w:rPr>
          <w:rFonts w:hint="eastAsia" w:ascii="仿宋" w:hAnsi="仿宋" w:eastAsia="仿宋" w:cs="仿宋"/>
          <w:color w:val="auto"/>
          <w:highlight w:val="none"/>
        </w:rPr>
      </w:pPr>
      <w:bookmarkStart w:id="577" w:name="_Toc4640"/>
      <w:bookmarkStart w:id="578" w:name="_Toc7978"/>
      <w:bookmarkStart w:id="579" w:name="_Toc22000"/>
      <w:bookmarkStart w:id="580" w:name="_Toc444606624"/>
      <w:bookmarkStart w:id="581" w:name="_Toc45788713"/>
      <w:bookmarkStart w:id="582" w:name="_Toc14394"/>
      <w:r>
        <w:rPr>
          <w:rFonts w:hint="eastAsia" w:ascii="仿宋" w:hAnsi="仿宋" w:eastAsia="仿宋" w:cs="仿宋"/>
          <w:color w:val="auto"/>
          <w:highlight w:val="none"/>
        </w:rPr>
        <w:t>格式6：投标保证书</w:t>
      </w:r>
      <w:bookmarkEnd w:id="577"/>
      <w:bookmarkEnd w:id="578"/>
      <w:bookmarkEnd w:id="579"/>
    </w:p>
    <w:p w14:paraId="6E6D6A3B">
      <w:pPr>
        <w:pStyle w:val="20"/>
        <w:spacing w:line="600" w:lineRule="auto"/>
        <w:rPr>
          <w:rFonts w:hint="eastAsia" w:ascii="仿宋" w:hAnsi="仿宋" w:eastAsia="仿宋" w:cs="仿宋"/>
          <w:b/>
          <w:bCs/>
          <w:color w:val="auto"/>
          <w:sz w:val="48"/>
          <w:szCs w:val="40"/>
          <w:highlight w:val="none"/>
        </w:rPr>
      </w:pPr>
      <w:bookmarkStart w:id="583" w:name="_Toc29802"/>
      <w:bookmarkStart w:id="584" w:name="_Toc28587"/>
      <w:bookmarkStart w:id="585" w:name="_Toc23714"/>
      <w:r>
        <w:rPr>
          <w:rFonts w:hint="eastAsia" w:ascii="仿宋" w:hAnsi="仿宋" w:eastAsia="仿宋" w:cs="仿宋"/>
          <w:b/>
          <w:bCs/>
          <w:color w:val="auto"/>
          <w:sz w:val="48"/>
          <w:szCs w:val="40"/>
          <w:highlight w:val="none"/>
        </w:rPr>
        <w:t>投标保证书</w:t>
      </w:r>
      <w:bookmarkEnd w:id="583"/>
      <w:bookmarkEnd w:id="584"/>
      <w:bookmarkEnd w:id="585"/>
    </w:p>
    <w:p w14:paraId="1AB973E7">
      <w:pPr>
        <w:spacing w:line="360" w:lineRule="auto"/>
        <w:ind w:firstLine="0" w:firstLineChars="0"/>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致：</w:t>
      </w:r>
      <w:r>
        <w:rPr>
          <w:rFonts w:hint="eastAsia" w:cs="仿宋"/>
          <w:b/>
          <w:bCs/>
          <w:color w:val="auto"/>
          <w:sz w:val="28"/>
          <w:szCs w:val="28"/>
          <w:highlight w:val="none"/>
          <w:u w:val="single"/>
          <w:lang w:eastAsia="zh-CN"/>
        </w:rPr>
        <w:t>云南轻纺职业学院</w:t>
      </w:r>
    </w:p>
    <w:p w14:paraId="7196FF5F">
      <w:pPr>
        <w:spacing w:line="360" w:lineRule="auto"/>
        <w:ind w:firstLine="48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本书作为</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u w:val="none"/>
          <w:lang w:eastAsia="zh-CN"/>
        </w:rPr>
        <w:t>（</w:t>
      </w:r>
      <w:r>
        <w:rPr>
          <w:rFonts w:hint="eastAsia" w:ascii="仿宋" w:hAnsi="仿宋" w:eastAsia="仿宋" w:cs="仿宋"/>
          <w:color w:val="auto"/>
          <w:sz w:val="28"/>
          <w:szCs w:val="28"/>
          <w:highlight w:val="none"/>
          <w:lang w:eastAsia="zh-CN"/>
        </w:rPr>
        <w:t>投标人</w:t>
      </w:r>
      <w:r>
        <w:rPr>
          <w:rFonts w:hint="eastAsia" w:ascii="仿宋" w:hAnsi="仿宋" w:eastAsia="仿宋" w:cs="仿宋"/>
          <w:color w:val="auto"/>
          <w:sz w:val="28"/>
          <w:szCs w:val="28"/>
          <w:highlight w:val="none"/>
        </w:rPr>
        <w:t>名称</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对</w:t>
      </w:r>
      <w:r>
        <w:rPr>
          <w:rFonts w:hint="eastAsia" w:cs="仿宋"/>
          <w:b/>
          <w:bCs/>
          <w:color w:val="auto"/>
          <w:sz w:val="28"/>
          <w:szCs w:val="28"/>
          <w:highlight w:val="none"/>
          <w:u w:val="single"/>
          <w:lang w:eastAsia="zh-CN"/>
        </w:rPr>
        <w:t>云南轻纺职业学院人工智能学院云计算技术应用实训室及智慧教室建设项目</w:t>
      </w:r>
      <w:r>
        <w:rPr>
          <w:rFonts w:hint="eastAsia" w:cs="仿宋"/>
          <w:b/>
          <w:bCs/>
          <w:color w:val="auto"/>
          <w:sz w:val="28"/>
          <w:szCs w:val="28"/>
          <w:highlight w:val="none"/>
          <w:u w:val="single"/>
          <w:lang w:eastAsia="zh-CN"/>
        </w:rPr>
        <w:t>（</w:t>
      </w:r>
      <w:r>
        <w:rPr>
          <w:rFonts w:hint="eastAsia" w:cs="仿宋"/>
          <w:b/>
          <w:bCs/>
          <w:color w:val="auto"/>
          <w:sz w:val="28"/>
          <w:szCs w:val="28"/>
          <w:highlight w:val="none"/>
          <w:u w:val="single"/>
          <w:lang w:val="en-US" w:eastAsia="zh-CN"/>
        </w:rPr>
        <w:t>二次</w:t>
      </w:r>
      <w:r>
        <w:rPr>
          <w:rFonts w:hint="eastAsia" w:cs="仿宋"/>
          <w:b/>
          <w:bCs/>
          <w:color w:val="auto"/>
          <w:sz w:val="28"/>
          <w:szCs w:val="28"/>
          <w:highlight w:val="none"/>
          <w:u w:val="single"/>
          <w:lang w:eastAsia="zh-CN"/>
        </w:rPr>
        <w:t>）</w:t>
      </w:r>
      <w:r>
        <w:rPr>
          <w:rFonts w:hint="eastAsia" w:ascii="仿宋" w:hAnsi="仿宋" w:eastAsia="仿宋" w:cs="仿宋"/>
          <w:b/>
          <w:bCs/>
          <w:color w:val="auto"/>
          <w:highlight w:val="none"/>
          <w:u w:val="single"/>
          <w:lang w:eastAsia="zh-CN"/>
        </w:rPr>
        <w:t>（项目编号：</w:t>
      </w:r>
      <w:r>
        <w:rPr>
          <w:rFonts w:hint="eastAsia" w:cs="仿宋"/>
          <w:b/>
          <w:bCs/>
          <w:color w:val="auto"/>
          <w:highlight w:val="none"/>
          <w:u w:val="single"/>
          <w:lang w:eastAsia="zh-CN"/>
        </w:rPr>
        <w:t>云润招字 HW2026-120</w:t>
      </w:r>
      <w:r>
        <w:rPr>
          <w:rFonts w:hint="eastAsia" w:ascii="仿宋" w:hAnsi="仿宋" w:eastAsia="仿宋" w:cs="仿宋"/>
          <w:b/>
          <w:bCs/>
          <w:color w:val="auto"/>
          <w:highlight w:val="none"/>
          <w:u w:val="single"/>
          <w:lang w:eastAsia="zh-CN"/>
        </w:rPr>
        <w:t>）</w:t>
      </w:r>
      <w:r>
        <w:rPr>
          <w:rFonts w:hint="eastAsia" w:ascii="仿宋" w:hAnsi="仿宋" w:eastAsia="仿宋" w:cs="仿宋"/>
          <w:b w:val="0"/>
          <w:bCs w:val="0"/>
          <w:color w:val="auto"/>
          <w:sz w:val="28"/>
          <w:szCs w:val="28"/>
          <w:highlight w:val="none"/>
          <w:u w:val="none"/>
          <w:lang w:val="en-US" w:eastAsia="zh-CN"/>
        </w:rPr>
        <w:t>的</w:t>
      </w:r>
      <w:r>
        <w:rPr>
          <w:rFonts w:hint="eastAsia" w:ascii="仿宋" w:hAnsi="仿宋" w:eastAsia="仿宋" w:cs="仿宋"/>
          <w:color w:val="auto"/>
          <w:sz w:val="28"/>
          <w:szCs w:val="28"/>
          <w:highlight w:val="none"/>
        </w:rPr>
        <w:t>提供投标保证金的保证。</w:t>
      </w:r>
    </w:p>
    <w:p w14:paraId="24219ED9">
      <w:pPr>
        <w:spacing w:line="360" w:lineRule="auto"/>
        <w:ind w:firstLine="48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由</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none"/>
          <w:lang w:eastAsia="zh-CN"/>
        </w:rPr>
        <w:t>（</w:t>
      </w:r>
      <w:r>
        <w:rPr>
          <w:rFonts w:hint="eastAsia" w:ascii="仿宋" w:hAnsi="仿宋" w:eastAsia="仿宋" w:cs="仿宋"/>
          <w:color w:val="auto"/>
          <w:sz w:val="28"/>
          <w:szCs w:val="28"/>
          <w:highlight w:val="none"/>
        </w:rPr>
        <w:t>开户银行名称或</w:t>
      </w:r>
      <w:r>
        <w:rPr>
          <w:rFonts w:hint="eastAsia" w:ascii="仿宋" w:hAnsi="仿宋" w:eastAsia="仿宋" w:cs="仿宋"/>
          <w:color w:val="auto"/>
          <w:sz w:val="28"/>
          <w:szCs w:val="28"/>
          <w:highlight w:val="none"/>
          <w:lang w:eastAsia="zh-CN"/>
        </w:rPr>
        <w:t>投标人</w:t>
      </w:r>
      <w:r>
        <w:rPr>
          <w:rFonts w:hint="eastAsia" w:ascii="仿宋" w:hAnsi="仿宋" w:eastAsia="仿宋" w:cs="仿宋"/>
          <w:color w:val="auto"/>
          <w:sz w:val="28"/>
          <w:szCs w:val="28"/>
          <w:highlight w:val="none"/>
        </w:rPr>
        <w:t>名称</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提供的投标保证金</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元，投标保证金形式：</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w:t>
      </w:r>
    </w:p>
    <w:p w14:paraId="7A024161">
      <w:pPr>
        <w:spacing w:line="360" w:lineRule="auto"/>
        <w:ind w:firstLine="482"/>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一、一旦发生下述行为，我单位</w:t>
      </w:r>
      <w:r>
        <w:rPr>
          <w:rFonts w:hint="eastAsia" w:ascii="仿宋" w:hAnsi="仿宋" w:eastAsia="仿宋" w:cs="仿宋"/>
          <w:b/>
          <w:bCs/>
          <w:color w:val="auto"/>
          <w:sz w:val="28"/>
          <w:szCs w:val="28"/>
          <w:highlight w:val="none"/>
          <w:lang w:eastAsia="zh-CN"/>
        </w:rPr>
        <w:t>（</w:t>
      </w:r>
      <w:r>
        <w:rPr>
          <w:rFonts w:hint="eastAsia" w:ascii="仿宋" w:hAnsi="仿宋" w:eastAsia="仿宋" w:cs="仿宋"/>
          <w:b/>
          <w:bCs/>
          <w:color w:val="auto"/>
          <w:sz w:val="28"/>
          <w:szCs w:val="28"/>
          <w:highlight w:val="none"/>
        </w:rPr>
        <w:t>或公司</w:t>
      </w:r>
      <w:r>
        <w:rPr>
          <w:rFonts w:hint="eastAsia" w:ascii="仿宋" w:hAnsi="仿宋" w:eastAsia="仿宋" w:cs="仿宋"/>
          <w:b/>
          <w:bCs/>
          <w:color w:val="auto"/>
          <w:sz w:val="28"/>
          <w:szCs w:val="28"/>
          <w:highlight w:val="none"/>
          <w:lang w:eastAsia="zh-CN"/>
        </w:rPr>
        <w:t>）</w:t>
      </w:r>
      <w:r>
        <w:rPr>
          <w:rFonts w:hint="eastAsia" w:ascii="仿宋" w:hAnsi="仿宋" w:eastAsia="仿宋" w:cs="仿宋"/>
          <w:b/>
          <w:bCs/>
          <w:color w:val="auto"/>
          <w:sz w:val="28"/>
          <w:szCs w:val="28"/>
          <w:highlight w:val="none"/>
        </w:rPr>
        <w:t>将放弃追索保证金的权利：</w:t>
      </w:r>
    </w:p>
    <w:p w14:paraId="1BA24517">
      <w:pPr>
        <w:spacing w:line="360" w:lineRule="auto"/>
        <w:ind w:firstLine="48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1.从投标文件递交截止之日起到投标文件有效期满前撤销投标；</w:t>
      </w:r>
    </w:p>
    <w:p w14:paraId="7F5930B2">
      <w:pPr>
        <w:spacing w:line="360" w:lineRule="auto"/>
        <w:ind w:firstLine="48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2.评审到定标期间发生违反</w:t>
      </w:r>
      <w:r>
        <w:rPr>
          <w:rFonts w:hint="eastAsia" w:ascii="仿宋" w:hAnsi="仿宋" w:eastAsia="仿宋" w:cs="仿宋"/>
          <w:color w:val="auto"/>
          <w:sz w:val="28"/>
          <w:szCs w:val="28"/>
          <w:highlight w:val="none"/>
          <w:lang w:eastAsia="zh-CN"/>
        </w:rPr>
        <w:t>招标文件</w:t>
      </w:r>
      <w:r>
        <w:rPr>
          <w:rFonts w:hint="eastAsia" w:ascii="仿宋" w:hAnsi="仿宋" w:eastAsia="仿宋" w:cs="仿宋"/>
          <w:color w:val="auto"/>
          <w:sz w:val="28"/>
          <w:szCs w:val="28"/>
          <w:highlight w:val="none"/>
        </w:rPr>
        <w:t>规定的行为；</w:t>
      </w:r>
    </w:p>
    <w:p w14:paraId="257F7170">
      <w:pPr>
        <w:spacing w:line="360" w:lineRule="auto"/>
        <w:ind w:firstLine="48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3.所提交的所有资料涉及伪造、涂改、假冒等不真实的情况；</w:t>
      </w:r>
    </w:p>
    <w:p w14:paraId="59D71BB7">
      <w:pPr>
        <w:spacing w:line="360" w:lineRule="auto"/>
        <w:ind w:firstLine="48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4.在收到中标通知书后未能按中标通知书规定的时间地点与</w:t>
      </w:r>
      <w:r>
        <w:rPr>
          <w:rFonts w:hint="eastAsia" w:ascii="仿宋" w:hAnsi="仿宋" w:eastAsia="仿宋" w:cs="仿宋"/>
          <w:color w:val="auto"/>
          <w:sz w:val="28"/>
          <w:szCs w:val="28"/>
          <w:highlight w:val="none"/>
          <w:lang w:val="en-US" w:eastAsia="zh-CN"/>
        </w:rPr>
        <w:t>采购人</w:t>
      </w:r>
      <w:r>
        <w:rPr>
          <w:rFonts w:hint="eastAsia" w:ascii="仿宋" w:hAnsi="仿宋" w:eastAsia="仿宋" w:cs="仿宋"/>
          <w:color w:val="auto"/>
          <w:sz w:val="28"/>
          <w:szCs w:val="28"/>
          <w:highlight w:val="none"/>
        </w:rPr>
        <w:t>签订合同；</w:t>
      </w:r>
    </w:p>
    <w:p w14:paraId="50F59286">
      <w:pPr>
        <w:spacing w:line="360" w:lineRule="auto"/>
        <w:ind w:firstLine="48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5.中标后未按规定交付中标服务费。</w:t>
      </w:r>
    </w:p>
    <w:p w14:paraId="6B6B9B99">
      <w:pPr>
        <w:spacing w:line="360" w:lineRule="auto"/>
        <w:ind w:firstLine="48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6.如果在投标文件有效期内有其他违约行为的。</w:t>
      </w:r>
    </w:p>
    <w:p w14:paraId="1CECABA8">
      <w:pPr>
        <w:spacing w:line="360" w:lineRule="auto"/>
        <w:ind w:firstLine="482"/>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二、我方已了解</w:t>
      </w:r>
      <w:r>
        <w:rPr>
          <w:rFonts w:hint="eastAsia" w:ascii="仿宋" w:hAnsi="仿宋" w:eastAsia="仿宋" w:cs="仿宋"/>
          <w:b/>
          <w:bCs/>
          <w:color w:val="auto"/>
          <w:sz w:val="28"/>
          <w:szCs w:val="28"/>
          <w:highlight w:val="none"/>
          <w:lang w:eastAsia="zh-CN"/>
        </w:rPr>
        <w:t>招标文件</w:t>
      </w:r>
      <w:r>
        <w:rPr>
          <w:rFonts w:hint="eastAsia" w:ascii="仿宋" w:hAnsi="仿宋" w:eastAsia="仿宋" w:cs="仿宋"/>
          <w:b/>
          <w:bCs/>
          <w:color w:val="auto"/>
          <w:sz w:val="28"/>
          <w:szCs w:val="28"/>
          <w:highlight w:val="none"/>
        </w:rPr>
        <w:t>的全部内容并</w:t>
      </w:r>
      <w:r>
        <w:rPr>
          <w:rFonts w:hint="eastAsia" w:ascii="仿宋" w:hAnsi="仿宋" w:eastAsia="仿宋" w:cs="仿宋"/>
          <w:b/>
          <w:bCs/>
          <w:color w:val="auto"/>
          <w:sz w:val="28"/>
          <w:szCs w:val="28"/>
          <w:highlight w:val="none"/>
          <w:lang w:eastAsia="zh-CN"/>
        </w:rPr>
        <w:t>做出</w:t>
      </w:r>
      <w:r>
        <w:rPr>
          <w:rFonts w:hint="eastAsia" w:ascii="仿宋" w:hAnsi="仿宋" w:eastAsia="仿宋" w:cs="仿宋"/>
          <w:b/>
          <w:bCs/>
          <w:color w:val="auto"/>
          <w:sz w:val="28"/>
          <w:szCs w:val="28"/>
          <w:highlight w:val="none"/>
        </w:rPr>
        <w:t>如下保证：</w:t>
      </w:r>
    </w:p>
    <w:p w14:paraId="1B362F51">
      <w:pPr>
        <w:spacing w:line="360" w:lineRule="auto"/>
        <w:ind w:firstLine="48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1.我方已详细审核</w:t>
      </w:r>
      <w:r>
        <w:rPr>
          <w:rFonts w:hint="eastAsia" w:ascii="仿宋" w:hAnsi="仿宋" w:eastAsia="仿宋" w:cs="仿宋"/>
          <w:color w:val="auto"/>
          <w:sz w:val="28"/>
          <w:szCs w:val="28"/>
          <w:highlight w:val="none"/>
          <w:lang w:eastAsia="zh-CN"/>
        </w:rPr>
        <w:t>招标文件</w:t>
      </w:r>
      <w:r>
        <w:rPr>
          <w:rFonts w:hint="eastAsia" w:ascii="仿宋" w:hAnsi="仿宋" w:eastAsia="仿宋" w:cs="仿宋"/>
          <w:color w:val="auto"/>
          <w:sz w:val="28"/>
          <w:szCs w:val="28"/>
          <w:highlight w:val="none"/>
        </w:rPr>
        <w:t>，我方知道必须放弃提出含糊不清或误解问题的权利。</w:t>
      </w:r>
    </w:p>
    <w:p w14:paraId="454F7525">
      <w:pPr>
        <w:spacing w:line="360" w:lineRule="auto"/>
        <w:ind w:firstLine="48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2.同意应贵方要求提供与本投标申请有关的任何数据或资料。</w:t>
      </w:r>
    </w:p>
    <w:p w14:paraId="5772C91C">
      <w:pPr>
        <w:spacing w:line="360" w:lineRule="auto"/>
        <w:ind w:firstLine="48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3.我方完全理解贵方不一定要接受最低报价的</w:t>
      </w:r>
      <w:r>
        <w:rPr>
          <w:rFonts w:hint="eastAsia" w:ascii="仿宋" w:hAnsi="仿宋" w:eastAsia="仿宋" w:cs="仿宋"/>
          <w:color w:val="auto"/>
          <w:sz w:val="28"/>
          <w:szCs w:val="28"/>
          <w:highlight w:val="none"/>
          <w:lang w:eastAsia="zh-CN"/>
        </w:rPr>
        <w:t>投标人</w:t>
      </w:r>
      <w:r>
        <w:rPr>
          <w:rFonts w:hint="eastAsia" w:ascii="仿宋" w:hAnsi="仿宋" w:eastAsia="仿宋" w:cs="仿宋"/>
          <w:color w:val="auto"/>
          <w:sz w:val="28"/>
          <w:szCs w:val="28"/>
          <w:highlight w:val="none"/>
        </w:rPr>
        <w:t>为中标人的行为。</w:t>
      </w:r>
    </w:p>
    <w:p w14:paraId="2430740F">
      <w:pPr>
        <w:spacing w:line="360" w:lineRule="auto"/>
        <w:ind w:firstLine="48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4.若贵方需要，我方愿意提供我方</w:t>
      </w:r>
      <w:r>
        <w:rPr>
          <w:rFonts w:hint="eastAsia" w:ascii="仿宋" w:hAnsi="仿宋" w:eastAsia="仿宋" w:cs="仿宋"/>
          <w:color w:val="auto"/>
          <w:sz w:val="28"/>
          <w:szCs w:val="28"/>
          <w:highlight w:val="none"/>
          <w:lang w:eastAsia="zh-CN"/>
        </w:rPr>
        <w:t>做出</w:t>
      </w:r>
      <w:r>
        <w:rPr>
          <w:rFonts w:hint="eastAsia" w:ascii="仿宋" w:hAnsi="仿宋" w:eastAsia="仿宋" w:cs="仿宋"/>
          <w:color w:val="auto"/>
          <w:sz w:val="28"/>
          <w:szCs w:val="28"/>
          <w:highlight w:val="none"/>
        </w:rPr>
        <w:t>的一切承诺的证明材料。</w:t>
      </w:r>
    </w:p>
    <w:p w14:paraId="1F0096F1">
      <w:pPr>
        <w:spacing w:line="360" w:lineRule="auto"/>
        <w:ind w:firstLine="482"/>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本保证书自提交</w:t>
      </w:r>
      <w:r>
        <w:rPr>
          <w:rFonts w:hint="eastAsia" w:ascii="仿宋" w:hAnsi="仿宋" w:eastAsia="仿宋" w:cs="仿宋"/>
          <w:b/>
          <w:bCs/>
          <w:color w:val="auto"/>
          <w:sz w:val="28"/>
          <w:szCs w:val="28"/>
          <w:highlight w:val="none"/>
          <w:lang w:eastAsia="zh-CN"/>
        </w:rPr>
        <w:t>投标文件截止之日起90日历天</w:t>
      </w:r>
      <w:r>
        <w:rPr>
          <w:rFonts w:hint="eastAsia" w:ascii="仿宋" w:hAnsi="仿宋" w:eastAsia="仿宋" w:cs="仿宋"/>
          <w:b/>
          <w:bCs/>
          <w:color w:val="auto"/>
          <w:sz w:val="28"/>
          <w:szCs w:val="28"/>
          <w:highlight w:val="none"/>
        </w:rPr>
        <w:t>内有效，除非贵方提前终止或解除本保证书。</w:t>
      </w:r>
    </w:p>
    <w:p w14:paraId="7E2057CB">
      <w:pPr>
        <w:pStyle w:val="20"/>
        <w:spacing w:line="360" w:lineRule="auto"/>
        <w:ind w:firstLine="420"/>
        <w:jc w:val="left"/>
        <w:rPr>
          <w:rFonts w:hint="eastAsia" w:ascii="仿宋" w:hAnsi="仿宋" w:eastAsia="仿宋" w:cs="仿宋"/>
          <w:color w:val="auto"/>
          <w:sz w:val="28"/>
          <w:szCs w:val="28"/>
          <w:highlight w:val="none"/>
        </w:rPr>
      </w:pPr>
      <w:r>
        <w:rPr>
          <w:rFonts w:hint="eastAsia" w:ascii="仿宋" w:hAnsi="仿宋" w:eastAsia="仿宋" w:cs="仿宋"/>
          <w:color w:val="auto"/>
          <w:highlight w:val="none"/>
          <w:lang w:val="en-US" w:eastAsia="zh-CN"/>
        </w:rPr>
        <w:t>注：须在本“投标保证书”后分别</w:t>
      </w:r>
      <w:r>
        <w:rPr>
          <w:rFonts w:hint="eastAsia" w:ascii="仿宋" w:hAnsi="仿宋" w:eastAsia="仿宋" w:cs="仿宋"/>
          <w:color w:val="auto"/>
          <w:highlight w:val="none"/>
        </w:rPr>
        <w:t>附</w:t>
      </w:r>
      <w:r>
        <w:rPr>
          <w:rFonts w:hint="eastAsia" w:ascii="仿宋" w:hAnsi="仿宋" w:eastAsia="仿宋" w:cs="仿宋"/>
          <w:b/>
          <w:bCs/>
          <w:color w:val="auto"/>
          <w:highlight w:val="none"/>
          <w:lang w:eastAsia="zh-CN"/>
        </w:rPr>
        <w:t>“</w:t>
      </w:r>
      <w:r>
        <w:rPr>
          <w:rFonts w:hint="eastAsia" w:ascii="仿宋" w:hAnsi="仿宋" w:eastAsia="仿宋" w:cs="仿宋"/>
          <w:b/>
          <w:bCs/>
          <w:color w:val="auto"/>
          <w:highlight w:val="none"/>
          <w:lang w:val="en-US" w:eastAsia="zh-CN"/>
        </w:rPr>
        <w:t>投标</w:t>
      </w:r>
      <w:r>
        <w:rPr>
          <w:rFonts w:hint="eastAsia" w:ascii="仿宋" w:hAnsi="仿宋" w:eastAsia="仿宋" w:cs="仿宋"/>
          <w:b/>
          <w:bCs/>
          <w:color w:val="auto"/>
          <w:highlight w:val="none"/>
        </w:rPr>
        <w:t>保证金缴纳凭据</w:t>
      </w:r>
      <w:r>
        <w:rPr>
          <w:rFonts w:hint="eastAsia" w:ascii="仿宋" w:hAnsi="仿宋" w:eastAsia="仿宋" w:cs="仿宋"/>
          <w:b/>
          <w:bCs/>
          <w:color w:val="auto"/>
          <w:highlight w:val="none"/>
          <w:lang w:eastAsia="zh-CN"/>
        </w:rPr>
        <w:t>”</w:t>
      </w:r>
      <w:r>
        <w:rPr>
          <w:rFonts w:hint="eastAsia" w:ascii="仿宋" w:hAnsi="仿宋" w:eastAsia="仿宋" w:cs="仿宋"/>
          <w:color w:val="auto"/>
          <w:highlight w:val="none"/>
          <w:lang w:val="en-US" w:eastAsia="zh-CN"/>
        </w:rPr>
        <w:t>和</w:t>
      </w:r>
      <w:r>
        <w:rPr>
          <w:rFonts w:hint="eastAsia" w:ascii="仿宋" w:hAnsi="仿宋" w:eastAsia="仿宋" w:cs="仿宋"/>
          <w:b/>
          <w:bCs/>
          <w:color w:val="auto"/>
          <w:highlight w:val="none"/>
          <w:lang w:val="en-US" w:eastAsia="zh-CN"/>
        </w:rPr>
        <w:t>“</w:t>
      </w:r>
      <w:r>
        <w:rPr>
          <w:rFonts w:hint="eastAsia" w:ascii="仿宋" w:hAnsi="仿宋" w:eastAsia="仿宋" w:cs="仿宋"/>
          <w:b/>
          <w:bCs/>
          <w:color w:val="auto"/>
          <w:highlight w:val="none"/>
        </w:rPr>
        <w:t>开户许可证</w:t>
      </w:r>
      <w:r>
        <w:rPr>
          <w:rFonts w:hint="eastAsia" w:ascii="仿宋" w:hAnsi="仿宋" w:eastAsia="仿宋" w:cs="仿宋"/>
          <w:b/>
          <w:bCs/>
          <w:color w:val="auto"/>
          <w:highlight w:val="none"/>
          <w:lang w:eastAsia="zh-CN"/>
        </w:rPr>
        <w:t>（</w:t>
      </w:r>
      <w:r>
        <w:rPr>
          <w:rFonts w:hint="eastAsia" w:ascii="仿宋" w:hAnsi="仿宋" w:eastAsia="仿宋" w:cs="仿宋"/>
          <w:b/>
          <w:bCs/>
          <w:color w:val="auto"/>
          <w:highlight w:val="none"/>
          <w:lang w:val="en-US" w:eastAsia="zh-CN"/>
        </w:rPr>
        <w:t>基本存款账户信息</w:t>
      </w:r>
      <w:r>
        <w:rPr>
          <w:rFonts w:hint="eastAsia" w:ascii="仿宋" w:hAnsi="仿宋" w:eastAsia="仿宋" w:cs="仿宋"/>
          <w:b/>
          <w:bCs/>
          <w:color w:val="auto"/>
          <w:highlight w:val="none"/>
          <w:lang w:eastAsia="zh-CN"/>
        </w:rPr>
        <w:t>）</w:t>
      </w:r>
      <w:r>
        <w:rPr>
          <w:rFonts w:hint="eastAsia" w:ascii="仿宋" w:hAnsi="仿宋" w:eastAsia="仿宋" w:cs="仿宋"/>
          <w:b/>
          <w:bCs/>
          <w:color w:val="auto"/>
          <w:highlight w:val="none"/>
          <w:lang w:val="en-US" w:eastAsia="zh-CN"/>
        </w:rPr>
        <w:t>”</w:t>
      </w:r>
      <w:r>
        <w:rPr>
          <w:rFonts w:hint="eastAsia" w:ascii="仿宋" w:hAnsi="仿宋" w:eastAsia="仿宋" w:cs="仿宋"/>
          <w:color w:val="auto"/>
          <w:highlight w:val="none"/>
        </w:rPr>
        <w:t>。</w:t>
      </w:r>
    </w:p>
    <w:bookmarkEnd w:id="580"/>
    <w:bookmarkEnd w:id="581"/>
    <w:bookmarkEnd w:id="582"/>
    <w:p w14:paraId="356A2EC3">
      <w:pPr>
        <w:spacing w:line="360" w:lineRule="auto"/>
        <w:ind w:firstLine="3360" w:firstLineChars="1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投标人</w:t>
      </w: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（电子签章）</w:t>
      </w:r>
    </w:p>
    <w:p w14:paraId="4CB480CA">
      <w:pPr>
        <w:spacing w:line="360" w:lineRule="auto"/>
        <w:ind w:firstLine="3360" w:firstLineChars="1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法定代表人或委托代理人：</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（电子签章或电子签名）</w:t>
      </w:r>
    </w:p>
    <w:p w14:paraId="28B58D92">
      <w:pPr>
        <w:spacing w:line="360" w:lineRule="auto"/>
        <w:ind w:firstLine="3360" w:firstLineChars="1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日  期：</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年</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月 </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日</w:t>
      </w:r>
      <w:r>
        <w:rPr>
          <w:rFonts w:hint="eastAsia" w:ascii="仿宋" w:hAnsi="仿宋" w:eastAsia="仿宋" w:cs="仿宋"/>
          <w:color w:val="auto"/>
          <w:sz w:val="28"/>
          <w:szCs w:val="28"/>
          <w:highlight w:val="none"/>
        </w:rPr>
        <w:br w:type="page"/>
      </w:r>
    </w:p>
    <w:p w14:paraId="5A215609">
      <w:pPr>
        <w:pStyle w:val="5"/>
        <w:ind w:firstLine="602"/>
        <w:rPr>
          <w:rFonts w:hint="eastAsia" w:ascii="仿宋" w:hAnsi="仿宋" w:eastAsia="仿宋" w:cs="仿宋"/>
          <w:color w:val="auto"/>
          <w:highlight w:val="none"/>
        </w:rPr>
      </w:pPr>
      <w:bookmarkStart w:id="586" w:name="_Toc14963"/>
      <w:bookmarkStart w:id="587" w:name="_Toc29537"/>
      <w:bookmarkStart w:id="588" w:name="_Toc17075"/>
      <w:r>
        <w:rPr>
          <w:rFonts w:hint="eastAsia" w:ascii="仿宋" w:hAnsi="仿宋" w:eastAsia="仿宋" w:cs="仿宋"/>
          <w:color w:val="auto"/>
          <w:highlight w:val="none"/>
        </w:rPr>
        <w:t>格式</w:t>
      </w:r>
      <w:r>
        <w:rPr>
          <w:rFonts w:hint="eastAsia" w:ascii="仿宋" w:hAnsi="仿宋" w:eastAsia="仿宋" w:cs="仿宋"/>
          <w:color w:val="auto"/>
          <w:highlight w:val="none"/>
          <w:lang w:val="en-US" w:eastAsia="zh-CN"/>
        </w:rPr>
        <w:t>7</w:t>
      </w:r>
      <w:r>
        <w:rPr>
          <w:rFonts w:hint="eastAsia" w:ascii="仿宋" w:hAnsi="仿宋" w:eastAsia="仿宋" w:cs="仿宋"/>
          <w:color w:val="auto"/>
          <w:highlight w:val="none"/>
        </w:rPr>
        <w:t>：售后服务方案</w:t>
      </w:r>
      <w:bookmarkEnd w:id="586"/>
    </w:p>
    <w:p w14:paraId="35D5D277">
      <w:pPr>
        <w:ind w:left="0" w:leftChars="0" w:firstLine="0" w:firstLineChars="0"/>
        <w:jc w:val="center"/>
        <w:rPr>
          <w:rFonts w:hint="eastAsia" w:ascii="仿宋" w:hAnsi="仿宋" w:eastAsia="仿宋" w:cs="仿宋"/>
          <w:color w:val="auto"/>
          <w:highlight w:val="none"/>
          <w:lang w:eastAsia="zh-CN"/>
        </w:rPr>
      </w:pPr>
      <w:r>
        <w:rPr>
          <w:rFonts w:hint="eastAsia" w:ascii="仿宋" w:hAnsi="仿宋" w:eastAsia="仿宋" w:cs="仿宋"/>
          <w:color w:val="auto"/>
          <w:highlight w:val="none"/>
        </w:rPr>
        <w:t>（按照第五章 评标办法及标准</w:t>
      </w:r>
      <w:r>
        <w:rPr>
          <w:rFonts w:hint="eastAsia" w:ascii="仿宋" w:hAnsi="仿宋" w:eastAsia="仿宋" w:cs="仿宋"/>
          <w:color w:val="auto"/>
          <w:highlight w:val="none"/>
          <w:lang w:val="en-US" w:eastAsia="zh-CN"/>
        </w:rPr>
        <w:t>的评分标准</w:t>
      </w:r>
      <w:r>
        <w:rPr>
          <w:rFonts w:hint="eastAsia" w:ascii="仿宋" w:hAnsi="仿宋" w:eastAsia="仿宋" w:cs="仿宋"/>
          <w:color w:val="auto"/>
          <w:highlight w:val="none"/>
        </w:rPr>
        <w:t>，内容、格式自拟</w:t>
      </w:r>
      <w:r>
        <w:rPr>
          <w:rFonts w:hint="eastAsia" w:ascii="仿宋" w:hAnsi="仿宋" w:eastAsia="仿宋" w:cs="仿宋"/>
          <w:color w:val="auto"/>
          <w:highlight w:val="none"/>
          <w:lang w:eastAsia="zh-CN"/>
        </w:rPr>
        <w:t>）</w:t>
      </w:r>
    </w:p>
    <w:p w14:paraId="28EC24FE">
      <w:pPr>
        <w:bidi w:val="0"/>
        <w:rPr>
          <w:rFonts w:hint="eastAsia" w:ascii="仿宋" w:hAnsi="仿宋" w:eastAsia="仿宋" w:cs="仿宋"/>
          <w:color w:val="auto"/>
          <w:highlight w:val="none"/>
          <w:lang w:eastAsia="zh-CN"/>
        </w:rPr>
      </w:pPr>
    </w:p>
    <w:p w14:paraId="17115BC9">
      <w:pPr>
        <w:bidi w:val="0"/>
        <w:rPr>
          <w:rFonts w:hint="eastAsia" w:ascii="仿宋" w:hAnsi="仿宋" w:eastAsia="仿宋" w:cs="仿宋"/>
          <w:color w:val="auto"/>
          <w:highlight w:val="none"/>
          <w:lang w:eastAsia="zh-CN"/>
        </w:rPr>
      </w:pPr>
    </w:p>
    <w:p w14:paraId="66EC7C1A">
      <w:pPr>
        <w:bidi w:val="0"/>
        <w:rPr>
          <w:rFonts w:hint="eastAsia" w:ascii="仿宋" w:hAnsi="仿宋" w:eastAsia="仿宋" w:cs="仿宋"/>
          <w:color w:val="auto"/>
          <w:highlight w:val="none"/>
          <w:lang w:eastAsia="zh-CN"/>
        </w:rPr>
      </w:pPr>
    </w:p>
    <w:p w14:paraId="656D8FCA">
      <w:pPr>
        <w:bidi w:val="0"/>
        <w:rPr>
          <w:rFonts w:hint="eastAsia" w:ascii="仿宋" w:hAnsi="仿宋" w:eastAsia="仿宋" w:cs="仿宋"/>
          <w:color w:val="auto"/>
          <w:highlight w:val="none"/>
          <w:lang w:eastAsia="zh-CN"/>
        </w:rPr>
      </w:pPr>
    </w:p>
    <w:p w14:paraId="2FBADCBB">
      <w:pPr>
        <w:bidi w:val="0"/>
        <w:rPr>
          <w:rFonts w:hint="eastAsia" w:ascii="仿宋" w:hAnsi="仿宋" w:eastAsia="仿宋" w:cs="仿宋"/>
          <w:color w:val="auto"/>
          <w:highlight w:val="none"/>
          <w:lang w:eastAsia="zh-CN"/>
        </w:rPr>
      </w:pPr>
    </w:p>
    <w:p w14:paraId="5D618D9C">
      <w:pPr>
        <w:bidi w:val="0"/>
        <w:rPr>
          <w:rFonts w:hint="eastAsia" w:ascii="仿宋" w:hAnsi="仿宋" w:eastAsia="仿宋" w:cs="仿宋"/>
          <w:color w:val="auto"/>
          <w:highlight w:val="none"/>
          <w:lang w:eastAsia="zh-CN"/>
        </w:rPr>
      </w:pPr>
    </w:p>
    <w:p w14:paraId="75769B33">
      <w:pPr>
        <w:pStyle w:val="5"/>
        <w:ind w:firstLine="602"/>
        <w:rPr>
          <w:rFonts w:hint="eastAsia" w:ascii="仿宋" w:hAnsi="仿宋" w:eastAsia="仿宋" w:cs="仿宋"/>
          <w:color w:val="auto"/>
          <w:highlight w:val="none"/>
        </w:rPr>
      </w:pPr>
      <w:bookmarkStart w:id="589" w:name="_Toc10568"/>
      <w:r>
        <w:rPr>
          <w:rFonts w:hint="eastAsia" w:ascii="仿宋" w:hAnsi="仿宋" w:eastAsia="仿宋" w:cs="仿宋"/>
          <w:color w:val="auto"/>
          <w:highlight w:val="none"/>
        </w:rPr>
        <w:t>格式</w:t>
      </w:r>
      <w:r>
        <w:rPr>
          <w:rFonts w:hint="eastAsia" w:cs="仿宋"/>
          <w:color w:val="auto"/>
          <w:highlight w:val="none"/>
          <w:lang w:val="en-US" w:eastAsia="zh-CN"/>
        </w:rPr>
        <w:t>8</w:t>
      </w:r>
      <w:r>
        <w:rPr>
          <w:rFonts w:hint="eastAsia" w:ascii="仿宋" w:hAnsi="仿宋" w:eastAsia="仿宋" w:cs="仿宋"/>
          <w:color w:val="auto"/>
          <w:highlight w:val="none"/>
        </w:rPr>
        <w:t>：类似业绩</w:t>
      </w:r>
      <w:bookmarkEnd w:id="589"/>
    </w:p>
    <w:p w14:paraId="5991073D">
      <w:pPr>
        <w:jc w:val="center"/>
        <w:rPr>
          <w:rFonts w:hint="eastAsia" w:ascii="仿宋" w:hAnsi="仿宋" w:eastAsia="仿宋" w:cs="仿宋"/>
          <w:color w:val="auto"/>
          <w:highlight w:val="none"/>
          <w:lang w:eastAsia="zh-CN"/>
        </w:rPr>
      </w:pPr>
      <w:r>
        <w:rPr>
          <w:rFonts w:hint="eastAsia" w:ascii="仿宋" w:hAnsi="仿宋" w:eastAsia="仿宋" w:cs="仿宋"/>
          <w:color w:val="auto"/>
          <w:highlight w:val="none"/>
        </w:rPr>
        <w:t>（按照第五章 评标办法及标准</w:t>
      </w:r>
      <w:r>
        <w:rPr>
          <w:rFonts w:hint="eastAsia" w:ascii="仿宋" w:hAnsi="仿宋" w:eastAsia="仿宋" w:cs="仿宋"/>
          <w:color w:val="auto"/>
          <w:highlight w:val="none"/>
          <w:lang w:val="en-US" w:eastAsia="zh-CN"/>
        </w:rPr>
        <w:t>的评分标准</w:t>
      </w:r>
      <w:r>
        <w:rPr>
          <w:rFonts w:hint="eastAsia" w:ascii="仿宋" w:hAnsi="仿宋" w:eastAsia="仿宋" w:cs="仿宋"/>
          <w:color w:val="auto"/>
          <w:highlight w:val="none"/>
        </w:rPr>
        <w:t>，内容、格式自拟</w:t>
      </w:r>
      <w:r>
        <w:rPr>
          <w:rFonts w:hint="eastAsia" w:ascii="仿宋" w:hAnsi="仿宋" w:eastAsia="仿宋" w:cs="仿宋"/>
          <w:color w:val="auto"/>
          <w:highlight w:val="none"/>
          <w:lang w:eastAsia="zh-CN"/>
        </w:rPr>
        <w:t>）</w:t>
      </w:r>
      <w:r>
        <w:rPr>
          <w:rFonts w:hint="eastAsia" w:ascii="仿宋" w:hAnsi="仿宋" w:eastAsia="仿宋" w:cs="仿宋"/>
          <w:color w:val="auto"/>
          <w:highlight w:val="none"/>
          <w:lang w:eastAsia="zh-CN"/>
        </w:rPr>
        <w:br w:type="page"/>
      </w:r>
    </w:p>
    <w:p w14:paraId="5A645151">
      <w:pPr>
        <w:pStyle w:val="5"/>
        <w:bidi w:val="0"/>
        <w:rPr>
          <w:rFonts w:hint="eastAsia" w:ascii="仿宋" w:hAnsi="仿宋" w:eastAsia="仿宋" w:cs="仿宋"/>
          <w:color w:val="auto"/>
          <w:highlight w:val="none"/>
          <w:lang w:eastAsia="zh-CN"/>
        </w:rPr>
      </w:pPr>
      <w:bookmarkStart w:id="590" w:name="_Toc3063"/>
      <w:r>
        <w:rPr>
          <w:rFonts w:hint="eastAsia" w:ascii="仿宋" w:hAnsi="仿宋" w:eastAsia="仿宋" w:cs="仿宋"/>
          <w:color w:val="auto"/>
          <w:highlight w:val="none"/>
          <w:lang w:eastAsia="zh-CN"/>
        </w:rPr>
        <w:t>格式</w:t>
      </w:r>
      <w:r>
        <w:rPr>
          <w:rFonts w:hint="eastAsia" w:cs="仿宋"/>
          <w:color w:val="auto"/>
          <w:highlight w:val="none"/>
          <w:lang w:val="en-US" w:eastAsia="zh-CN"/>
        </w:rPr>
        <w:t>9</w:t>
      </w:r>
      <w:r>
        <w:rPr>
          <w:rFonts w:hint="eastAsia" w:ascii="仿宋" w:hAnsi="仿宋" w:eastAsia="仿宋" w:cs="仿宋"/>
          <w:color w:val="auto"/>
          <w:highlight w:val="none"/>
          <w:lang w:eastAsia="zh-CN"/>
        </w:rPr>
        <w:t>：关于符合本国产品标准的声明函</w:t>
      </w:r>
      <w:bookmarkEnd w:id="590"/>
    </w:p>
    <w:p w14:paraId="65F9689A">
      <w:pPr>
        <w:pStyle w:val="20"/>
        <w:spacing w:line="600" w:lineRule="auto"/>
        <w:rPr>
          <w:rFonts w:hint="eastAsia" w:ascii="仿宋" w:hAnsi="仿宋" w:eastAsia="仿宋" w:cs="仿宋"/>
          <w:b/>
          <w:bCs/>
          <w:color w:val="auto"/>
          <w:sz w:val="48"/>
          <w:szCs w:val="40"/>
          <w:highlight w:val="none"/>
        </w:rPr>
      </w:pPr>
      <w:r>
        <w:rPr>
          <w:rFonts w:hint="eastAsia" w:ascii="仿宋" w:hAnsi="仿宋" w:eastAsia="仿宋" w:cs="仿宋"/>
          <w:b/>
          <w:bCs/>
          <w:color w:val="auto"/>
          <w:sz w:val="48"/>
          <w:szCs w:val="40"/>
          <w:highlight w:val="none"/>
        </w:rPr>
        <w:t>关于符合本国产品标准的声明函</w:t>
      </w:r>
    </w:p>
    <w:p w14:paraId="15BE949C">
      <w:pPr>
        <w:bidi w:val="0"/>
        <w:rPr>
          <w:rFonts w:hint="eastAsia" w:ascii="仿宋" w:hAnsi="仿宋" w:eastAsia="仿宋" w:cs="仿宋"/>
          <w:color w:val="auto"/>
          <w:highlight w:val="none"/>
        </w:rPr>
      </w:pPr>
      <w:r>
        <w:rPr>
          <w:rFonts w:hint="eastAsia" w:ascii="仿宋" w:hAnsi="仿宋" w:eastAsia="仿宋" w:cs="仿宋"/>
          <w:color w:val="auto"/>
          <w:highlight w:val="none"/>
        </w:rPr>
        <w:t>本公司（单位）郑重声明，根据《国务院办公厅关于在政府采购中实施本国产品标准及相关政策的通知》（国办发〔2025〕34号）的规定，本公司（单位）提供的以下产品属于本国产品。具体情况如下：</w:t>
      </w:r>
    </w:p>
    <w:p w14:paraId="49F72605">
      <w:pPr>
        <w:bidi w:val="0"/>
        <w:rPr>
          <w:rFonts w:hint="eastAsia" w:ascii="仿宋" w:hAnsi="仿宋" w:eastAsia="仿宋" w:cs="仿宋"/>
          <w:color w:val="auto"/>
          <w:highlight w:val="none"/>
        </w:rPr>
      </w:pPr>
      <w:r>
        <w:rPr>
          <w:rFonts w:hint="eastAsia" w:ascii="仿宋" w:hAnsi="仿宋" w:eastAsia="仿宋" w:cs="仿宋"/>
          <w:color w:val="auto"/>
          <w:highlight w:val="none"/>
        </w:rPr>
        <w:t>1.</w:t>
      </w:r>
      <w:r>
        <w:rPr>
          <w:rFonts w:hint="eastAsia" w:ascii="仿宋" w:hAnsi="仿宋" w:eastAsia="仿宋" w:cs="仿宋"/>
          <w:color w:val="auto"/>
          <w:highlight w:val="none"/>
          <w:u w:val="single"/>
        </w:rPr>
        <w:t>（产品名称1）</w:t>
      </w:r>
      <w:r>
        <w:rPr>
          <w:rFonts w:hint="eastAsia" w:ascii="仿宋" w:hAnsi="仿宋" w:eastAsia="仿宋" w:cs="仿宋"/>
          <w:color w:val="auto"/>
          <w:highlight w:val="none"/>
        </w:rPr>
        <w:t>，生产厂为</w:t>
      </w:r>
      <w:r>
        <w:rPr>
          <w:rFonts w:hint="eastAsia" w:ascii="仿宋" w:hAnsi="仿宋" w:eastAsia="仿宋" w:cs="仿宋"/>
          <w:color w:val="auto"/>
          <w:highlight w:val="none"/>
          <w:u w:val="single"/>
        </w:rPr>
        <w:t>（厂名）</w:t>
      </w:r>
      <w:r>
        <w:rPr>
          <w:rFonts w:hint="eastAsia" w:ascii="仿宋" w:hAnsi="仿宋" w:eastAsia="仿宋" w:cs="仿宋"/>
          <w:color w:val="auto"/>
          <w:highlight w:val="none"/>
        </w:rPr>
        <w:t>，厂址为</w:t>
      </w:r>
      <w:r>
        <w:rPr>
          <w:rFonts w:hint="eastAsia" w:ascii="仿宋" w:hAnsi="仿宋" w:eastAsia="仿宋" w:cs="仿宋"/>
          <w:color w:val="auto"/>
          <w:highlight w:val="none"/>
          <w:u w:val="single"/>
        </w:rPr>
        <w:t>（生产厂址）</w:t>
      </w:r>
      <w:r>
        <w:rPr>
          <w:rFonts w:hint="eastAsia" w:ascii="仿宋" w:hAnsi="仿宋" w:eastAsia="仿宋" w:cs="仿宋"/>
          <w:color w:val="auto"/>
          <w:highlight w:val="none"/>
        </w:rPr>
        <w:t>。</w:t>
      </w:r>
      <w:r>
        <w:rPr>
          <w:rFonts w:hint="eastAsia" w:ascii="仿宋" w:hAnsi="仿宋" w:eastAsia="仿宋" w:cs="仿宋"/>
          <w:color w:val="auto"/>
          <w:highlight w:val="none"/>
          <w:u w:val="single"/>
        </w:rPr>
        <w:t>（产品名称1）</w:t>
      </w:r>
      <w:r>
        <w:rPr>
          <w:rFonts w:hint="eastAsia" w:ascii="仿宋" w:hAnsi="仿宋" w:eastAsia="仿宋" w:cs="仿宋"/>
          <w:color w:val="auto"/>
          <w:highlight w:val="none"/>
        </w:rPr>
        <w:t>的中国境内生产的组件成本占比≥</w:t>
      </w:r>
      <w:r>
        <w:rPr>
          <w:rFonts w:hint="eastAsia" w:ascii="仿宋" w:hAnsi="仿宋" w:eastAsia="仿宋" w:cs="仿宋"/>
          <w:color w:val="auto"/>
          <w:highlight w:val="none"/>
          <w:u w:val="single"/>
        </w:rPr>
        <w:t>（规定比例）</w:t>
      </w:r>
      <w:r>
        <w:rPr>
          <w:rFonts w:hint="eastAsia" w:ascii="仿宋" w:hAnsi="仿宋" w:eastAsia="仿宋" w:cs="仿宋"/>
          <w:color w:val="auto"/>
          <w:highlight w:val="none"/>
        </w:rPr>
        <w:t>。</w:t>
      </w:r>
      <w:r>
        <w:rPr>
          <w:rFonts w:hint="eastAsia" w:ascii="仿宋" w:hAnsi="仿宋" w:eastAsia="仿宋" w:cs="仿宋"/>
          <w:color w:val="auto"/>
          <w:highlight w:val="none"/>
          <w:u w:val="single"/>
        </w:rPr>
        <w:t>（产品名称1）</w:t>
      </w:r>
      <w:r>
        <w:rPr>
          <w:rFonts w:hint="eastAsia" w:ascii="仿宋" w:hAnsi="仿宋" w:eastAsia="仿宋" w:cs="仿宋"/>
          <w:color w:val="auto"/>
          <w:highlight w:val="none"/>
        </w:rPr>
        <w:t>的</w:t>
      </w:r>
      <w:r>
        <w:rPr>
          <w:rFonts w:hint="eastAsia" w:ascii="仿宋" w:hAnsi="仿宋" w:eastAsia="仿宋" w:cs="仿宋"/>
          <w:color w:val="auto"/>
          <w:highlight w:val="none"/>
          <w:u w:val="single"/>
        </w:rPr>
        <w:t>（关键组件）</w:t>
      </w:r>
      <w:r>
        <w:rPr>
          <w:rFonts w:hint="eastAsia" w:ascii="仿宋" w:hAnsi="仿宋" w:eastAsia="仿宋" w:cs="仿宋"/>
          <w:color w:val="auto"/>
          <w:highlight w:val="none"/>
        </w:rPr>
        <w:t>在中国境内生产。</w:t>
      </w:r>
      <w:r>
        <w:rPr>
          <w:rFonts w:hint="eastAsia" w:ascii="仿宋" w:hAnsi="仿宋" w:eastAsia="仿宋" w:cs="仿宋"/>
          <w:color w:val="auto"/>
          <w:highlight w:val="none"/>
          <w:u w:val="single"/>
        </w:rPr>
        <w:t>（产品名称1）</w:t>
      </w:r>
      <w:r>
        <w:rPr>
          <w:rFonts w:hint="eastAsia" w:ascii="仿宋" w:hAnsi="仿宋" w:eastAsia="仿宋" w:cs="仿宋"/>
          <w:color w:val="auto"/>
          <w:highlight w:val="none"/>
        </w:rPr>
        <w:t>的</w:t>
      </w:r>
      <w:r>
        <w:rPr>
          <w:rFonts w:hint="eastAsia" w:ascii="仿宋" w:hAnsi="仿宋" w:eastAsia="仿宋" w:cs="仿宋"/>
          <w:color w:val="auto"/>
          <w:highlight w:val="none"/>
          <w:u w:val="single"/>
        </w:rPr>
        <w:t>（关键工序）</w:t>
      </w:r>
      <w:r>
        <w:rPr>
          <w:rFonts w:hint="eastAsia" w:ascii="仿宋" w:hAnsi="仿宋" w:eastAsia="仿宋" w:cs="仿宋"/>
          <w:color w:val="auto"/>
          <w:highlight w:val="none"/>
        </w:rPr>
        <w:t>在中国境内完成。</w:t>
      </w:r>
    </w:p>
    <w:p w14:paraId="427BD9B7">
      <w:pPr>
        <w:bidi w:val="0"/>
        <w:rPr>
          <w:rFonts w:hint="eastAsia" w:ascii="仿宋" w:hAnsi="仿宋" w:eastAsia="仿宋" w:cs="仿宋"/>
          <w:color w:val="auto"/>
          <w:highlight w:val="none"/>
        </w:rPr>
      </w:pPr>
      <w:r>
        <w:rPr>
          <w:rFonts w:hint="eastAsia" w:ascii="仿宋" w:hAnsi="仿宋" w:eastAsia="仿宋" w:cs="仿宋"/>
          <w:color w:val="auto"/>
          <w:highlight w:val="none"/>
        </w:rPr>
        <w:t>2.</w:t>
      </w:r>
      <w:r>
        <w:rPr>
          <w:rFonts w:hint="eastAsia" w:ascii="仿宋" w:hAnsi="仿宋" w:eastAsia="仿宋" w:cs="仿宋"/>
          <w:color w:val="auto"/>
          <w:highlight w:val="none"/>
          <w:u w:val="single"/>
        </w:rPr>
        <w:t>（产品名称2）</w:t>
      </w:r>
      <w:r>
        <w:rPr>
          <w:rFonts w:hint="eastAsia" w:ascii="仿宋" w:hAnsi="仿宋" w:eastAsia="仿宋" w:cs="仿宋"/>
          <w:color w:val="auto"/>
          <w:highlight w:val="none"/>
        </w:rPr>
        <w:t>，生产厂为</w:t>
      </w:r>
      <w:r>
        <w:rPr>
          <w:rFonts w:hint="eastAsia" w:ascii="仿宋" w:hAnsi="仿宋" w:eastAsia="仿宋" w:cs="仿宋"/>
          <w:color w:val="auto"/>
          <w:highlight w:val="none"/>
          <w:u w:val="single"/>
        </w:rPr>
        <w:t>（厂名）</w:t>
      </w:r>
      <w:r>
        <w:rPr>
          <w:rFonts w:hint="eastAsia" w:ascii="仿宋" w:hAnsi="仿宋" w:eastAsia="仿宋" w:cs="仿宋"/>
          <w:color w:val="auto"/>
          <w:highlight w:val="none"/>
        </w:rPr>
        <w:t>，厂址为</w:t>
      </w:r>
      <w:r>
        <w:rPr>
          <w:rFonts w:hint="eastAsia" w:ascii="仿宋" w:hAnsi="仿宋" w:eastAsia="仿宋" w:cs="仿宋"/>
          <w:color w:val="auto"/>
          <w:highlight w:val="none"/>
          <w:u w:val="single"/>
        </w:rPr>
        <w:t>（生产厂址）</w:t>
      </w:r>
      <w:r>
        <w:rPr>
          <w:rFonts w:hint="eastAsia" w:ascii="仿宋" w:hAnsi="仿宋" w:eastAsia="仿宋" w:cs="仿宋"/>
          <w:color w:val="auto"/>
          <w:highlight w:val="none"/>
        </w:rPr>
        <w:t>。</w:t>
      </w:r>
      <w:r>
        <w:rPr>
          <w:rFonts w:hint="eastAsia" w:ascii="仿宋" w:hAnsi="仿宋" w:eastAsia="仿宋" w:cs="仿宋"/>
          <w:color w:val="auto"/>
          <w:highlight w:val="none"/>
          <w:u w:val="single"/>
        </w:rPr>
        <w:t>（产品名称2）</w:t>
      </w:r>
      <w:r>
        <w:rPr>
          <w:rFonts w:hint="eastAsia" w:ascii="仿宋" w:hAnsi="仿宋" w:eastAsia="仿宋" w:cs="仿宋"/>
          <w:color w:val="auto"/>
          <w:highlight w:val="none"/>
        </w:rPr>
        <w:t>的中国境内生产的组件成本占比≥</w:t>
      </w:r>
      <w:r>
        <w:rPr>
          <w:rFonts w:hint="eastAsia" w:ascii="仿宋" w:hAnsi="仿宋" w:eastAsia="仿宋" w:cs="仿宋"/>
          <w:color w:val="auto"/>
          <w:highlight w:val="none"/>
          <w:u w:val="single"/>
        </w:rPr>
        <w:t>（规定比例）</w:t>
      </w:r>
      <w:r>
        <w:rPr>
          <w:rFonts w:hint="eastAsia" w:ascii="仿宋" w:hAnsi="仿宋" w:eastAsia="仿宋" w:cs="仿宋"/>
          <w:color w:val="auto"/>
          <w:highlight w:val="none"/>
        </w:rPr>
        <w:t>。</w:t>
      </w:r>
      <w:r>
        <w:rPr>
          <w:rFonts w:hint="eastAsia" w:ascii="仿宋" w:hAnsi="仿宋" w:eastAsia="仿宋" w:cs="仿宋"/>
          <w:color w:val="auto"/>
          <w:highlight w:val="none"/>
          <w:u w:val="single"/>
        </w:rPr>
        <w:t>（产品名称2）</w:t>
      </w:r>
      <w:r>
        <w:rPr>
          <w:rFonts w:hint="eastAsia" w:ascii="仿宋" w:hAnsi="仿宋" w:eastAsia="仿宋" w:cs="仿宋"/>
          <w:color w:val="auto"/>
          <w:highlight w:val="none"/>
        </w:rPr>
        <w:t>的</w:t>
      </w:r>
      <w:r>
        <w:rPr>
          <w:rFonts w:hint="eastAsia" w:ascii="仿宋" w:hAnsi="仿宋" w:eastAsia="仿宋" w:cs="仿宋"/>
          <w:color w:val="auto"/>
          <w:highlight w:val="none"/>
          <w:u w:val="single"/>
        </w:rPr>
        <w:t>（关键组件）</w:t>
      </w:r>
      <w:r>
        <w:rPr>
          <w:rFonts w:hint="eastAsia" w:ascii="仿宋" w:hAnsi="仿宋" w:eastAsia="仿宋" w:cs="仿宋"/>
          <w:color w:val="auto"/>
          <w:highlight w:val="none"/>
        </w:rPr>
        <w:t>在中国境内生产。</w:t>
      </w:r>
      <w:r>
        <w:rPr>
          <w:rFonts w:hint="eastAsia" w:ascii="仿宋" w:hAnsi="仿宋" w:eastAsia="仿宋" w:cs="仿宋"/>
          <w:color w:val="auto"/>
          <w:highlight w:val="none"/>
          <w:u w:val="single"/>
        </w:rPr>
        <w:t>（产品名称2）</w:t>
      </w:r>
      <w:r>
        <w:rPr>
          <w:rFonts w:hint="eastAsia" w:ascii="仿宋" w:hAnsi="仿宋" w:eastAsia="仿宋" w:cs="仿宋"/>
          <w:color w:val="auto"/>
          <w:highlight w:val="none"/>
        </w:rPr>
        <w:t>的</w:t>
      </w:r>
      <w:r>
        <w:rPr>
          <w:rFonts w:hint="eastAsia" w:ascii="仿宋" w:hAnsi="仿宋" w:eastAsia="仿宋" w:cs="仿宋"/>
          <w:color w:val="auto"/>
          <w:highlight w:val="none"/>
          <w:u w:val="single"/>
        </w:rPr>
        <w:t>（关键工序）</w:t>
      </w:r>
      <w:r>
        <w:rPr>
          <w:rFonts w:hint="eastAsia" w:ascii="仿宋" w:hAnsi="仿宋" w:eastAsia="仿宋" w:cs="仿宋"/>
          <w:color w:val="auto"/>
          <w:highlight w:val="none"/>
        </w:rPr>
        <w:t>在中国境内完成。</w:t>
      </w:r>
    </w:p>
    <w:p w14:paraId="1D7323CD">
      <w:pPr>
        <w:bidi w:val="0"/>
        <w:rPr>
          <w:rFonts w:hint="eastAsia" w:ascii="仿宋" w:hAnsi="仿宋" w:eastAsia="仿宋" w:cs="仿宋"/>
          <w:color w:val="auto"/>
          <w:highlight w:val="none"/>
        </w:rPr>
      </w:pPr>
      <w:r>
        <w:rPr>
          <w:rFonts w:hint="eastAsia" w:ascii="仿宋" w:hAnsi="仿宋" w:eastAsia="仿宋" w:cs="仿宋"/>
          <w:color w:val="auto"/>
          <w:highlight w:val="none"/>
        </w:rPr>
        <w:t>……</w:t>
      </w:r>
    </w:p>
    <w:p w14:paraId="3EEC4B7D">
      <w:pPr>
        <w:bidi w:val="0"/>
        <w:rPr>
          <w:rFonts w:hint="eastAsia" w:ascii="仿宋" w:hAnsi="仿宋" w:eastAsia="仿宋" w:cs="仿宋"/>
          <w:color w:val="auto"/>
          <w:highlight w:val="none"/>
        </w:rPr>
      </w:pPr>
      <w:r>
        <w:rPr>
          <w:rFonts w:hint="eastAsia" w:ascii="仿宋" w:hAnsi="仿宋" w:eastAsia="仿宋" w:cs="仿宋"/>
          <w:color w:val="auto"/>
          <w:highlight w:val="none"/>
        </w:rPr>
        <w:t>本公司（单位）对上述声明内容的真实性负责。如有虚假，愿承担相应法律责任。</w:t>
      </w:r>
    </w:p>
    <w:p w14:paraId="141D9750">
      <w:pPr>
        <w:pStyle w:val="3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0"/>
        <w:jc w:val="center"/>
        <w:textAlignment w:val="baseline"/>
        <w:rPr>
          <w:rFonts w:hint="eastAsia" w:ascii="仿宋" w:hAnsi="仿宋" w:eastAsia="仿宋" w:cs="仿宋"/>
          <w:i w:val="0"/>
          <w:iCs w:val="0"/>
          <w:caps w:val="0"/>
          <w:color w:val="auto"/>
          <w:spacing w:val="0"/>
          <w:sz w:val="28"/>
          <w:szCs w:val="28"/>
          <w:highlight w:val="none"/>
        </w:rPr>
      </w:pPr>
      <w:r>
        <w:rPr>
          <w:rFonts w:hint="eastAsia" w:ascii="仿宋" w:hAnsi="仿宋" w:eastAsia="仿宋" w:cs="仿宋"/>
          <w:i w:val="0"/>
          <w:iCs w:val="0"/>
          <w:caps w:val="0"/>
          <w:color w:val="auto"/>
          <w:spacing w:val="0"/>
          <w:sz w:val="28"/>
          <w:szCs w:val="28"/>
          <w:highlight w:val="none"/>
          <w:shd w:val="clear" w:fill="FFFFFF"/>
          <w:vertAlign w:val="baseline"/>
        </w:rPr>
        <w:t>公司（单位）名称（盖章）：</w:t>
      </w:r>
    </w:p>
    <w:p w14:paraId="458E8F2B">
      <w:pPr>
        <w:pStyle w:val="30"/>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0"/>
        <w:jc w:val="center"/>
        <w:textAlignment w:val="baseline"/>
        <w:rPr>
          <w:rFonts w:hint="eastAsia" w:ascii="仿宋" w:hAnsi="仿宋" w:eastAsia="仿宋" w:cs="仿宋"/>
          <w:i w:val="0"/>
          <w:iCs w:val="0"/>
          <w:caps w:val="0"/>
          <w:color w:val="auto"/>
          <w:spacing w:val="0"/>
          <w:sz w:val="28"/>
          <w:szCs w:val="28"/>
          <w:highlight w:val="none"/>
        </w:rPr>
      </w:pPr>
      <w:r>
        <w:rPr>
          <w:rFonts w:hint="eastAsia" w:ascii="仿宋" w:hAnsi="仿宋" w:eastAsia="仿宋" w:cs="仿宋"/>
          <w:i w:val="0"/>
          <w:iCs w:val="0"/>
          <w:caps w:val="0"/>
          <w:color w:val="auto"/>
          <w:spacing w:val="0"/>
          <w:sz w:val="28"/>
          <w:szCs w:val="28"/>
          <w:highlight w:val="none"/>
          <w:shd w:val="clear" w:fill="FFFFFF"/>
          <w:vertAlign w:val="baseline"/>
        </w:rPr>
        <w:t>日期：</w:t>
      </w:r>
      <w:r>
        <w:rPr>
          <w:rFonts w:hint="eastAsia" w:ascii="仿宋" w:hAnsi="仿宋" w:eastAsia="仿宋" w:cs="仿宋"/>
          <w:i w:val="0"/>
          <w:iCs w:val="0"/>
          <w:caps w:val="0"/>
          <w:color w:val="auto"/>
          <w:spacing w:val="0"/>
          <w:sz w:val="28"/>
          <w:szCs w:val="28"/>
          <w:highlight w:val="none"/>
          <w:shd w:val="clear" w:fill="FFFFFF"/>
          <w:vertAlign w:val="baseline"/>
          <w:lang w:val="en-US" w:eastAsia="zh-CN"/>
        </w:rPr>
        <w:t xml:space="preserve">   </w:t>
      </w:r>
      <w:r>
        <w:rPr>
          <w:rFonts w:hint="eastAsia" w:ascii="仿宋" w:hAnsi="仿宋" w:eastAsia="仿宋" w:cs="仿宋"/>
          <w:i w:val="0"/>
          <w:iCs w:val="0"/>
          <w:caps w:val="0"/>
          <w:color w:val="auto"/>
          <w:spacing w:val="0"/>
          <w:sz w:val="28"/>
          <w:szCs w:val="28"/>
          <w:highlight w:val="none"/>
          <w:shd w:val="clear" w:fill="FFFFFF"/>
          <w:vertAlign w:val="baseline"/>
        </w:rPr>
        <w:t>年</w:t>
      </w:r>
      <w:r>
        <w:rPr>
          <w:rFonts w:hint="eastAsia" w:ascii="仿宋" w:hAnsi="仿宋" w:eastAsia="仿宋" w:cs="仿宋"/>
          <w:i w:val="0"/>
          <w:iCs w:val="0"/>
          <w:caps w:val="0"/>
          <w:color w:val="auto"/>
          <w:spacing w:val="0"/>
          <w:sz w:val="28"/>
          <w:szCs w:val="28"/>
          <w:highlight w:val="none"/>
          <w:shd w:val="clear" w:fill="FFFFFF"/>
          <w:vertAlign w:val="baseline"/>
          <w:lang w:val="en-US" w:eastAsia="zh-CN"/>
        </w:rPr>
        <w:t xml:space="preserve">   </w:t>
      </w:r>
      <w:r>
        <w:rPr>
          <w:rFonts w:hint="eastAsia" w:ascii="仿宋" w:hAnsi="仿宋" w:eastAsia="仿宋" w:cs="仿宋"/>
          <w:i w:val="0"/>
          <w:iCs w:val="0"/>
          <w:caps w:val="0"/>
          <w:color w:val="auto"/>
          <w:spacing w:val="0"/>
          <w:sz w:val="28"/>
          <w:szCs w:val="28"/>
          <w:highlight w:val="none"/>
          <w:shd w:val="clear" w:fill="FFFFFF"/>
          <w:vertAlign w:val="baseline"/>
        </w:rPr>
        <w:t>月</w:t>
      </w:r>
      <w:r>
        <w:rPr>
          <w:rFonts w:hint="eastAsia" w:ascii="仿宋" w:hAnsi="仿宋" w:eastAsia="仿宋" w:cs="仿宋"/>
          <w:i w:val="0"/>
          <w:iCs w:val="0"/>
          <w:caps w:val="0"/>
          <w:color w:val="auto"/>
          <w:spacing w:val="0"/>
          <w:sz w:val="28"/>
          <w:szCs w:val="28"/>
          <w:highlight w:val="none"/>
          <w:shd w:val="clear" w:fill="FFFFFF"/>
          <w:vertAlign w:val="baseline"/>
          <w:lang w:val="en-US" w:eastAsia="zh-CN"/>
        </w:rPr>
        <w:t xml:space="preserve">   </w:t>
      </w:r>
      <w:r>
        <w:rPr>
          <w:rFonts w:hint="eastAsia" w:ascii="仿宋" w:hAnsi="仿宋" w:eastAsia="仿宋" w:cs="仿宋"/>
          <w:i w:val="0"/>
          <w:iCs w:val="0"/>
          <w:caps w:val="0"/>
          <w:color w:val="auto"/>
          <w:spacing w:val="0"/>
          <w:sz w:val="28"/>
          <w:szCs w:val="28"/>
          <w:highlight w:val="none"/>
          <w:shd w:val="clear" w:fill="FFFFFF"/>
          <w:vertAlign w:val="baseline"/>
        </w:rPr>
        <w:t>日</w:t>
      </w:r>
    </w:p>
    <w:p w14:paraId="5E122453">
      <w:pPr>
        <w:bidi w:val="0"/>
        <w:spacing w:line="240" w:lineRule="auto"/>
        <w:rPr>
          <w:rFonts w:hint="eastAsia" w:ascii="仿宋" w:hAnsi="仿宋" w:eastAsia="仿宋" w:cs="仿宋"/>
          <w:b/>
          <w:bCs/>
          <w:color w:val="auto"/>
          <w:sz w:val="21"/>
          <w:szCs w:val="21"/>
          <w:highlight w:val="none"/>
        </w:rPr>
      </w:pPr>
    </w:p>
    <w:p w14:paraId="693328A0">
      <w:pPr>
        <w:bidi w:val="0"/>
        <w:spacing w:line="240" w:lineRule="auto"/>
        <w:rPr>
          <w:rFonts w:hint="eastAsia" w:ascii="仿宋" w:hAnsi="仿宋" w:eastAsia="仿宋" w:cs="仿宋"/>
          <w:b/>
          <w:bCs/>
          <w:color w:val="auto"/>
          <w:sz w:val="21"/>
          <w:szCs w:val="21"/>
          <w:highlight w:val="none"/>
        </w:rPr>
      </w:pPr>
    </w:p>
    <w:p w14:paraId="124F0B75">
      <w:pPr>
        <w:bidi w:val="0"/>
        <w:spacing w:line="240" w:lineRule="auto"/>
        <w:rPr>
          <w:rFonts w:hint="eastAsia" w:ascii="仿宋" w:hAnsi="仿宋" w:eastAsia="仿宋" w:cs="仿宋"/>
          <w:b/>
          <w:bCs/>
          <w:color w:val="auto"/>
          <w:sz w:val="21"/>
          <w:szCs w:val="21"/>
          <w:highlight w:val="none"/>
        </w:rPr>
      </w:pPr>
    </w:p>
    <w:p w14:paraId="1EEEE282">
      <w:pPr>
        <w:bidi w:val="0"/>
        <w:spacing w:line="240" w:lineRule="auto"/>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1.产品如有型号，请在“产品名称”栏一并填写。</w:t>
      </w:r>
    </w:p>
    <w:p w14:paraId="0B43817C">
      <w:pPr>
        <w:bidi w:val="0"/>
        <w:spacing w:line="240" w:lineRule="auto"/>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2.生产厂名与厂址应与生产厂营业执照载明的相关信息保持一致。</w:t>
      </w:r>
    </w:p>
    <w:p w14:paraId="7C8C4D96">
      <w:pPr>
        <w:bidi w:val="0"/>
        <w:spacing w:line="240" w:lineRule="auto"/>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3.该产品的中国境内生产的组件成本占比相关要求实施前，“规定比例”栏可不填。</w:t>
      </w:r>
    </w:p>
    <w:p w14:paraId="2321FC97">
      <w:pPr>
        <w:bidi w:val="0"/>
        <w:spacing w:line="240" w:lineRule="auto"/>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4.该产品的关键组件要求实施前，“关键组件”栏可不填。</w:t>
      </w:r>
    </w:p>
    <w:p w14:paraId="078674C4">
      <w:pPr>
        <w:bidi w:val="0"/>
        <w:spacing w:line="240" w:lineRule="auto"/>
        <w:rPr>
          <w:rFonts w:hint="eastAsia" w:ascii="仿宋" w:hAnsi="仿宋" w:eastAsia="仿宋" w:cs="仿宋"/>
          <w:b/>
          <w:bCs/>
          <w:color w:val="auto"/>
          <w:sz w:val="21"/>
          <w:szCs w:val="21"/>
          <w:highlight w:val="none"/>
          <w:lang w:eastAsia="zh-CN"/>
        </w:rPr>
      </w:pPr>
      <w:r>
        <w:rPr>
          <w:rFonts w:hint="eastAsia" w:ascii="仿宋" w:hAnsi="仿宋" w:eastAsia="仿宋" w:cs="仿宋"/>
          <w:b/>
          <w:bCs/>
          <w:color w:val="auto"/>
          <w:sz w:val="21"/>
          <w:szCs w:val="21"/>
          <w:highlight w:val="none"/>
        </w:rPr>
        <w:t>5.该产品的关键工序要求实施前，“关键工序”栏可不填</w:t>
      </w:r>
      <w:r>
        <w:rPr>
          <w:rFonts w:hint="eastAsia" w:ascii="仿宋" w:hAnsi="仿宋" w:eastAsia="仿宋" w:cs="仿宋"/>
          <w:b/>
          <w:bCs/>
          <w:color w:val="auto"/>
          <w:sz w:val="21"/>
          <w:szCs w:val="21"/>
          <w:highlight w:val="none"/>
          <w:lang w:eastAsia="zh-CN"/>
        </w:rPr>
        <w:t>。</w:t>
      </w:r>
    </w:p>
    <w:p w14:paraId="24D34E00">
      <w:pPr>
        <w:bidi w:val="0"/>
        <w:spacing w:line="240" w:lineRule="auto"/>
        <w:rPr>
          <w:rFonts w:hint="eastAsia" w:ascii="仿宋" w:hAnsi="仿宋" w:eastAsia="仿宋" w:cs="仿宋"/>
          <w:b/>
          <w:bCs/>
          <w:color w:val="auto"/>
          <w:sz w:val="21"/>
          <w:szCs w:val="21"/>
          <w:highlight w:val="none"/>
          <w:u w:val="none"/>
        </w:rPr>
      </w:pPr>
      <w:r>
        <w:rPr>
          <w:rFonts w:hint="eastAsia" w:ascii="仿宋" w:hAnsi="仿宋" w:eastAsia="仿宋" w:cs="仿宋"/>
          <w:b/>
          <w:bCs/>
          <w:color w:val="auto"/>
          <w:sz w:val="21"/>
          <w:szCs w:val="21"/>
          <w:highlight w:val="none"/>
          <w:u w:val="none"/>
          <w:lang w:val="en-US" w:eastAsia="zh-CN"/>
        </w:rPr>
        <w:t>6.</w:t>
      </w:r>
      <w:r>
        <w:rPr>
          <w:rFonts w:hint="eastAsia" w:ascii="仿宋" w:hAnsi="仿宋" w:eastAsia="仿宋" w:cs="仿宋"/>
          <w:b/>
          <w:bCs/>
          <w:color w:val="auto"/>
          <w:sz w:val="21"/>
          <w:szCs w:val="21"/>
          <w:highlight w:val="none"/>
          <w:u w:val="none"/>
          <w:lang w:eastAsia="zh-CN"/>
        </w:rPr>
        <w:t>投标人</w:t>
      </w:r>
      <w:r>
        <w:rPr>
          <w:rFonts w:hint="eastAsia" w:ascii="仿宋" w:hAnsi="仿宋" w:eastAsia="仿宋" w:cs="仿宋"/>
          <w:b/>
          <w:bCs/>
          <w:color w:val="auto"/>
          <w:sz w:val="21"/>
          <w:szCs w:val="21"/>
          <w:highlight w:val="none"/>
          <w:u w:val="none"/>
        </w:rPr>
        <w:t>应充分、准确地了解产品的制造企业信息。对相关情况了解不清楚的，不建议填报本声明函。</w:t>
      </w:r>
    </w:p>
    <w:p w14:paraId="432F8E8F">
      <w:pPr>
        <w:pStyle w:val="5"/>
        <w:bidi w:val="0"/>
        <w:rPr>
          <w:rFonts w:hint="eastAsia" w:ascii="仿宋" w:hAnsi="仿宋" w:eastAsia="仿宋" w:cs="仿宋"/>
          <w:color w:val="auto"/>
          <w:highlight w:val="none"/>
          <w:lang w:eastAsia="zh-CN"/>
        </w:rPr>
      </w:pPr>
      <w:bookmarkStart w:id="591" w:name="_Toc2231"/>
      <w:bookmarkStart w:id="592" w:name="_Toc18584"/>
      <w:bookmarkStart w:id="593" w:name="_Toc8472"/>
      <w:r>
        <w:rPr>
          <w:rFonts w:hint="eastAsia" w:ascii="仿宋" w:hAnsi="仿宋" w:eastAsia="仿宋" w:cs="仿宋"/>
          <w:color w:val="auto"/>
          <w:highlight w:val="none"/>
          <w:lang w:eastAsia="zh-CN"/>
        </w:rPr>
        <w:t>格式</w:t>
      </w:r>
      <w:r>
        <w:rPr>
          <w:rFonts w:hint="eastAsia" w:cs="仿宋"/>
          <w:color w:val="auto"/>
          <w:highlight w:val="none"/>
          <w:lang w:val="en-US" w:eastAsia="zh-CN"/>
        </w:rPr>
        <w:t>10</w:t>
      </w:r>
      <w:r>
        <w:rPr>
          <w:rFonts w:hint="eastAsia" w:ascii="仿宋" w:hAnsi="仿宋" w:eastAsia="仿宋" w:cs="仿宋"/>
          <w:color w:val="auto"/>
          <w:highlight w:val="none"/>
          <w:lang w:eastAsia="zh-CN"/>
        </w:rPr>
        <w:t>：</w:t>
      </w:r>
      <w:bookmarkEnd w:id="591"/>
      <w:bookmarkEnd w:id="592"/>
      <w:bookmarkEnd w:id="593"/>
      <w:r>
        <w:rPr>
          <w:rFonts w:hint="eastAsia" w:ascii="仿宋" w:hAnsi="仿宋" w:eastAsia="仿宋" w:cs="仿宋"/>
          <w:color w:val="auto"/>
          <w:highlight w:val="none"/>
          <w:lang w:eastAsia="zh-CN"/>
        </w:rPr>
        <w:t>中小企业声明函、监狱企业证明文件及残疾人福利性单位</w:t>
      </w:r>
    </w:p>
    <w:p w14:paraId="2AEAB238">
      <w:pPr>
        <w:pStyle w:val="20"/>
        <w:spacing w:line="600" w:lineRule="auto"/>
        <w:rPr>
          <w:rFonts w:hint="eastAsia" w:ascii="仿宋" w:hAnsi="仿宋" w:eastAsia="仿宋" w:cs="仿宋"/>
          <w:b/>
          <w:bCs/>
          <w:color w:val="auto"/>
          <w:sz w:val="48"/>
          <w:szCs w:val="40"/>
          <w:highlight w:val="none"/>
        </w:rPr>
      </w:pPr>
      <w:r>
        <w:rPr>
          <w:rFonts w:hint="eastAsia" w:ascii="仿宋" w:hAnsi="仿宋" w:eastAsia="仿宋" w:cs="仿宋"/>
          <w:b/>
          <w:bCs/>
          <w:color w:val="auto"/>
          <w:sz w:val="48"/>
          <w:szCs w:val="40"/>
          <w:highlight w:val="none"/>
        </w:rPr>
        <w:t xml:space="preserve"> 中小企业声明函（货物）</w:t>
      </w:r>
    </w:p>
    <w:p w14:paraId="62204894">
      <w:pPr>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本公司郑重声明，根据《政府采购促进中小企业发展管理办法》（财库﹝2020﹞46号）的规定，本公司参加</w:t>
      </w:r>
      <w:r>
        <w:rPr>
          <w:rFonts w:hint="eastAsia" w:cs="仿宋"/>
          <w:b/>
          <w:bCs/>
          <w:color w:val="auto"/>
          <w:sz w:val="24"/>
          <w:szCs w:val="24"/>
          <w:highlight w:val="none"/>
          <w:u w:val="single"/>
          <w:lang w:eastAsia="zh-CN"/>
        </w:rPr>
        <w:t>云南轻纺职业学院</w:t>
      </w:r>
      <w:r>
        <w:rPr>
          <w:rFonts w:hint="eastAsia" w:ascii="仿宋" w:hAnsi="仿宋" w:eastAsia="仿宋" w:cs="仿宋"/>
          <w:color w:val="auto"/>
          <w:sz w:val="24"/>
          <w:szCs w:val="24"/>
          <w:highlight w:val="none"/>
        </w:rPr>
        <w:t>（单位名称）的</w:t>
      </w:r>
      <w:r>
        <w:rPr>
          <w:rFonts w:hint="eastAsia" w:cs="仿宋"/>
          <w:b/>
          <w:bCs/>
          <w:color w:val="auto"/>
          <w:sz w:val="24"/>
          <w:szCs w:val="24"/>
          <w:highlight w:val="none"/>
          <w:u w:val="single"/>
          <w:lang w:eastAsia="zh-CN"/>
        </w:rPr>
        <w:t>云南轻纺职业学院人工智能学院云计算技术应用实训室及智慧教室建设项目</w:t>
      </w:r>
      <w:r>
        <w:rPr>
          <w:rFonts w:hint="eastAsia" w:cs="仿宋"/>
          <w:b/>
          <w:bCs/>
          <w:color w:val="auto"/>
          <w:sz w:val="24"/>
          <w:szCs w:val="24"/>
          <w:highlight w:val="none"/>
          <w:u w:val="single"/>
          <w:lang w:eastAsia="zh-CN"/>
        </w:rPr>
        <w:t>（</w:t>
      </w:r>
      <w:r>
        <w:rPr>
          <w:rFonts w:hint="eastAsia" w:cs="仿宋"/>
          <w:b/>
          <w:bCs/>
          <w:color w:val="auto"/>
          <w:sz w:val="24"/>
          <w:szCs w:val="24"/>
          <w:highlight w:val="none"/>
          <w:u w:val="single"/>
          <w:lang w:val="en-US" w:eastAsia="zh-CN"/>
        </w:rPr>
        <w:t>二次</w:t>
      </w:r>
      <w:r>
        <w:rPr>
          <w:rFonts w:hint="eastAsia" w:cs="仿宋"/>
          <w:b/>
          <w:bCs/>
          <w:color w:val="auto"/>
          <w:sz w:val="24"/>
          <w:szCs w:val="24"/>
          <w:highlight w:val="none"/>
          <w:u w:val="single"/>
          <w:lang w:eastAsia="zh-CN"/>
        </w:rPr>
        <w:t>）</w:t>
      </w:r>
      <w:r>
        <w:rPr>
          <w:rFonts w:hint="eastAsia" w:ascii="仿宋" w:hAnsi="仿宋" w:eastAsia="仿宋" w:cs="仿宋"/>
          <w:color w:val="auto"/>
          <w:sz w:val="24"/>
          <w:szCs w:val="24"/>
          <w:highlight w:val="none"/>
        </w:rPr>
        <w:t>采购活动，提供的货物</w:t>
      </w:r>
      <w:r>
        <w:rPr>
          <w:rFonts w:hint="eastAsia" w:ascii="仿宋" w:hAnsi="仿宋" w:eastAsia="仿宋" w:cs="仿宋"/>
          <w:b/>
          <w:bCs/>
          <w:color w:val="auto"/>
          <w:sz w:val="24"/>
          <w:szCs w:val="24"/>
          <w:highlight w:val="none"/>
        </w:rPr>
        <w:t>全部</w:t>
      </w:r>
      <w:r>
        <w:rPr>
          <w:rFonts w:hint="eastAsia" w:ascii="仿宋" w:hAnsi="仿宋" w:eastAsia="仿宋" w:cs="仿宋"/>
          <w:color w:val="auto"/>
          <w:sz w:val="24"/>
          <w:szCs w:val="24"/>
          <w:highlight w:val="none"/>
        </w:rPr>
        <w:t>由符合政策要求的</w:t>
      </w:r>
      <w:r>
        <w:rPr>
          <w:rFonts w:hint="eastAsia" w:ascii="仿宋" w:hAnsi="仿宋" w:eastAsia="仿宋" w:cs="仿宋"/>
          <w:b/>
          <w:bCs/>
          <w:color w:val="auto"/>
          <w:sz w:val="24"/>
          <w:szCs w:val="24"/>
          <w:highlight w:val="none"/>
        </w:rPr>
        <w:t>中小企业</w:t>
      </w:r>
      <w:r>
        <w:rPr>
          <w:rFonts w:hint="eastAsia" w:ascii="仿宋" w:hAnsi="仿宋" w:eastAsia="仿宋" w:cs="仿宋"/>
          <w:color w:val="auto"/>
          <w:sz w:val="24"/>
          <w:szCs w:val="24"/>
          <w:highlight w:val="none"/>
        </w:rPr>
        <w:t xml:space="preserve">制造。相关企业的具体情况如下： </w:t>
      </w:r>
    </w:p>
    <w:p w14:paraId="07875136">
      <w:pPr>
        <w:numPr>
          <w:ilvl w:val="0"/>
          <w:numId w:val="3"/>
        </w:numPr>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（标的名称），属于</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eastAsia="zh-CN"/>
        </w:rPr>
        <w:t>招标文件</w:t>
      </w:r>
      <w:r>
        <w:rPr>
          <w:rFonts w:hint="eastAsia" w:ascii="仿宋" w:hAnsi="仿宋" w:eastAsia="仿宋" w:cs="仿宋"/>
          <w:color w:val="auto"/>
          <w:sz w:val="24"/>
          <w:szCs w:val="24"/>
          <w:highlight w:val="none"/>
        </w:rPr>
        <w:t>中明确的所属行业）行业；制造商为</w:t>
      </w:r>
      <w:r>
        <w:rPr>
          <w:rFonts w:hint="eastAsia" w:ascii="仿宋" w:hAnsi="仿宋" w:eastAsia="仿宋" w:cs="仿宋"/>
          <w:b/>
          <w:bCs/>
          <w:color w:val="auto"/>
          <w:sz w:val="24"/>
          <w:szCs w:val="24"/>
          <w:highlight w:val="none"/>
          <w:u w:val="single"/>
        </w:rPr>
        <w:t xml:space="preserve">     </w:t>
      </w:r>
      <w:r>
        <w:rPr>
          <w:rFonts w:hint="eastAsia" w:ascii="仿宋" w:hAnsi="仿宋" w:eastAsia="仿宋" w:cs="仿宋"/>
          <w:color w:val="auto"/>
          <w:sz w:val="24"/>
          <w:szCs w:val="24"/>
          <w:highlight w:val="none"/>
        </w:rPr>
        <w:t>（企业名称），从业人员</w:t>
      </w:r>
      <w:r>
        <w:rPr>
          <w:rFonts w:hint="eastAsia" w:ascii="仿宋" w:hAnsi="仿宋" w:eastAsia="仿宋" w:cs="仿宋"/>
          <w:b/>
          <w:bCs/>
          <w:color w:val="auto"/>
          <w:sz w:val="24"/>
          <w:szCs w:val="24"/>
          <w:highlight w:val="none"/>
          <w:u w:val="single"/>
        </w:rPr>
        <w:t xml:space="preserve">    </w:t>
      </w:r>
      <w:r>
        <w:rPr>
          <w:rFonts w:hint="eastAsia" w:ascii="仿宋" w:hAnsi="仿宋" w:eastAsia="仿宋" w:cs="仿宋"/>
          <w:color w:val="auto"/>
          <w:sz w:val="24"/>
          <w:szCs w:val="24"/>
          <w:highlight w:val="none"/>
        </w:rPr>
        <w:t>人，营业收入为</w:t>
      </w:r>
      <w:r>
        <w:rPr>
          <w:rFonts w:hint="eastAsia" w:ascii="仿宋" w:hAnsi="仿宋" w:eastAsia="仿宋" w:cs="仿宋"/>
          <w:b/>
          <w:bCs/>
          <w:color w:val="auto"/>
          <w:sz w:val="24"/>
          <w:szCs w:val="24"/>
          <w:highlight w:val="none"/>
          <w:u w:val="single"/>
        </w:rPr>
        <w:t xml:space="preserve">    </w:t>
      </w:r>
      <w:r>
        <w:rPr>
          <w:rFonts w:hint="eastAsia" w:ascii="仿宋" w:hAnsi="仿宋" w:eastAsia="仿宋" w:cs="仿宋"/>
          <w:color w:val="auto"/>
          <w:sz w:val="24"/>
          <w:szCs w:val="24"/>
          <w:highlight w:val="none"/>
        </w:rPr>
        <w:t>万元，资产总额为</w:t>
      </w:r>
      <w:r>
        <w:rPr>
          <w:rFonts w:hint="eastAsia" w:ascii="仿宋" w:hAnsi="仿宋" w:eastAsia="仿宋" w:cs="仿宋"/>
          <w:b/>
          <w:bCs/>
          <w:color w:val="auto"/>
          <w:sz w:val="24"/>
          <w:szCs w:val="24"/>
          <w:highlight w:val="none"/>
          <w:u w:val="single"/>
        </w:rPr>
        <w:t xml:space="preserve">    </w:t>
      </w:r>
      <w:r>
        <w:rPr>
          <w:rFonts w:hint="eastAsia" w:ascii="仿宋" w:hAnsi="仿宋" w:eastAsia="仿宋" w:cs="仿宋"/>
          <w:color w:val="auto"/>
          <w:sz w:val="24"/>
          <w:szCs w:val="24"/>
          <w:highlight w:val="none"/>
        </w:rPr>
        <w:t>万元，属于</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（中型企业、小型企业、微型企业）；</w:t>
      </w:r>
    </w:p>
    <w:p w14:paraId="373B2851">
      <w:pPr>
        <w:numPr>
          <w:ilvl w:val="0"/>
          <w:numId w:val="3"/>
        </w:numPr>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（标的名称），属于</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eastAsia="zh-CN"/>
        </w:rPr>
        <w:t>招标文件</w:t>
      </w:r>
      <w:r>
        <w:rPr>
          <w:rFonts w:hint="eastAsia" w:ascii="仿宋" w:hAnsi="仿宋" w:eastAsia="仿宋" w:cs="仿宋"/>
          <w:color w:val="auto"/>
          <w:sz w:val="24"/>
          <w:szCs w:val="24"/>
          <w:highlight w:val="none"/>
        </w:rPr>
        <w:t>中明确的所属行业）行业；制造商为</w:t>
      </w:r>
      <w:r>
        <w:rPr>
          <w:rFonts w:hint="eastAsia" w:ascii="仿宋" w:hAnsi="仿宋" w:eastAsia="仿宋" w:cs="仿宋"/>
          <w:b/>
          <w:bCs/>
          <w:color w:val="auto"/>
          <w:sz w:val="24"/>
          <w:szCs w:val="24"/>
          <w:highlight w:val="none"/>
          <w:u w:val="single"/>
        </w:rPr>
        <w:t xml:space="preserve">     </w:t>
      </w:r>
      <w:r>
        <w:rPr>
          <w:rFonts w:hint="eastAsia" w:ascii="仿宋" w:hAnsi="仿宋" w:eastAsia="仿宋" w:cs="仿宋"/>
          <w:color w:val="auto"/>
          <w:sz w:val="24"/>
          <w:szCs w:val="24"/>
          <w:highlight w:val="none"/>
        </w:rPr>
        <w:t>（企业名称），从业人员</w:t>
      </w:r>
      <w:r>
        <w:rPr>
          <w:rFonts w:hint="eastAsia" w:ascii="仿宋" w:hAnsi="仿宋" w:eastAsia="仿宋" w:cs="仿宋"/>
          <w:b/>
          <w:bCs/>
          <w:color w:val="auto"/>
          <w:sz w:val="24"/>
          <w:szCs w:val="24"/>
          <w:highlight w:val="none"/>
          <w:u w:val="single"/>
        </w:rPr>
        <w:t xml:space="preserve">    </w:t>
      </w:r>
      <w:r>
        <w:rPr>
          <w:rFonts w:hint="eastAsia" w:ascii="仿宋" w:hAnsi="仿宋" w:eastAsia="仿宋" w:cs="仿宋"/>
          <w:color w:val="auto"/>
          <w:sz w:val="24"/>
          <w:szCs w:val="24"/>
          <w:highlight w:val="none"/>
        </w:rPr>
        <w:t>人，营业收入为</w:t>
      </w:r>
      <w:r>
        <w:rPr>
          <w:rFonts w:hint="eastAsia" w:ascii="仿宋" w:hAnsi="仿宋" w:eastAsia="仿宋" w:cs="仿宋"/>
          <w:b/>
          <w:bCs/>
          <w:color w:val="auto"/>
          <w:sz w:val="24"/>
          <w:szCs w:val="24"/>
          <w:highlight w:val="none"/>
          <w:u w:val="single"/>
        </w:rPr>
        <w:t xml:space="preserve">    </w:t>
      </w:r>
      <w:r>
        <w:rPr>
          <w:rFonts w:hint="eastAsia" w:ascii="仿宋" w:hAnsi="仿宋" w:eastAsia="仿宋" w:cs="仿宋"/>
          <w:color w:val="auto"/>
          <w:sz w:val="24"/>
          <w:szCs w:val="24"/>
          <w:highlight w:val="none"/>
        </w:rPr>
        <w:t>万元，资产总额为</w:t>
      </w:r>
      <w:r>
        <w:rPr>
          <w:rFonts w:hint="eastAsia" w:ascii="仿宋" w:hAnsi="仿宋" w:eastAsia="仿宋" w:cs="仿宋"/>
          <w:b/>
          <w:bCs/>
          <w:color w:val="auto"/>
          <w:sz w:val="24"/>
          <w:szCs w:val="24"/>
          <w:highlight w:val="none"/>
          <w:u w:val="single"/>
        </w:rPr>
        <w:t xml:space="preserve">    </w:t>
      </w:r>
      <w:r>
        <w:rPr>
          <w:rFonts w:hint="eastAsia" w:ascii="仿宋" w:hAnsi="仿宋" w:eastAsia="仿宋" w:cs="仿宋"/>
          <w:color w:val="auto"/>
          <w:sz w:val="24"/>
          <w:szCs w:val="24"/>
          <w:highlight w:val="none"/>
        </w:rPr>
        <w:t>万元，属于</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（中型企业、小型企业、微型企业）；</w:t>
      </w:r>
    </w:p>
    <w:p w14:paraId="280E73AA">
      <w:pPr>
        <w:bidi w:val="0"/>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w:t>
      </w:r>
    </w:p>
    <w:p w14:paraId="5D3AAADE">
      <w:pPr>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以上企业，不属于大企业的分支机构，不存在控股股东为大企业的情形，也不存在与大企业的负责人为同一人的情形。</w:t>
      </w:r>
    </w:p>
    <w:p w14:paraId="7564FC5C">
      <w:pPr>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本企业对上述声明内容的真实性负责。如有虚假，将依法承担相应责任。</w:t>
      </w:r>
    </w:p>
    <w:p w14:paraId="3943C0EB">
      <w:pPr>
        <w:ind w:firstLine="5600" w:firstLineChars="2000"/>
        <w:rPr>
          <w:rFonts w:hint="eastAsia" w:ascii="仿宋" w:hAnsi="仿宋" w:eastAsia="仿宋" w:cs="仿宋"/>
          <w:color w:val="auto"/>
          <w:highlight w:val="none"/>
        </w:rPr>
      </w:pPr>
    </w:p>
    <w:p w14:paraId="56B4BA7B">
      <w:pPr>
        <w:ind w:firstLine="4800" w:firstLineChars="20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企业名称（电子签章）：</w:t>
      </w:r>
    </w:p>
    <w:p w14:paraId="07701628">
      <w:pPr>
        <w:ind w:firstLine="4800" w:firstLineChars="20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日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期：</w:t>
      </w:r>
    </w:p>
    <w:p w14:paraId="3FBCCEAE">
      <w:pPr>
        <w:spacing w:line="240" w:lineRule="auto"/>
        <w:ind w:firstLine="0" w:firstLineChars="0"/>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说明：（1）从业人员、营业收入、资产总额填报上一年度数据，无上一年度数据的新成立企业可不填报。</w:t>
      </w:r>
    </w:p>
    <w:p w14:paraId="26691B38">
      <w:pPr>
        <w:spacing w:line="240" w:lineRule="auto"/>
        <w:ind w:firstLine="632" w:firstLineChars="300"/>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lang w:eastAsia="zh-CN"/>
        </w:rPr>
        <w:t>（</w:t>
      </w:r>
      <w:r>
        <w:rPr>
          <w:rFonts w:hint="eastAsia" w:ascii="仿宋" w:hAnsi="仿宋" w:eastAsia="仿宋" w:cs="仿宋"/>
          <w:b/>
          <w:bCs/>
          <w:color w:val="auto"/>
          <w:sz w:val="21"/>
          <w:szCs w:val="21"/>
          <w:highlight w:val="none"/>
          <w:lang w:val="en-US" w:eastAsia="zh-CN"/>
        </w:rPr>
        <w:t>2</w:t>
      </w:r>
      <w:r>
        <w:rPr>
          <w:rFonts w:hint="eastAsia" w:ascii="仿宋" w:hAnsi="仿宋" w:eastAsia="仿宋" w:cs="仿宋"/>
          <w:b/>
          <w:bCs/>
          <w:color w:val="auto"/>
          <w:sz w:val="21"/>
          <w:szCs w:val="21"/>
          <w:highlight w:val="none"/>
          <w:lang w:eastAsia="zh-CN"/>
        </w:rPr>
        <w:t>）投标人</w:t>
      </w:r>
      <w:r>
        <w:rPr>
          <w:rFonts w:hint="eastAsia" w:ascii="仿宋" w:hAnsi="仿宋" w:eastAsia="仿宋" w:cs="仿宋"/>
          <w:b/>
          <w:bCs/>
          <w:color w:val="auto"/>
          <w:sz w:val="21"/>
          <w:szCs w:val="21"/>
          <w:highlight w:val="none"/>
        </w:rPr>
        <w:t>应充分、准确地了解货物</w:t>
      </w:r>
      <w:r>
        <w:rPr>
          <w:rFonts w:hint="eastAsia" w:ascii="仿宋" w:hAnsi="仿宋" w:eastAsia="仿宋" w:cs="仿宋"/>
          <w:b/>
          <w:bCs/>
          <w:color w:val="auto"/>
          <w:sz w:val="21"/>
          <w:szCs w:val="21"/>
          <w:highlight w:val="none"/>
          <w:lang w:val="en-US" w:eastAsia="zh-CN"/>
        </w:rPr>
        <w:t>（标的名称）</w:t>
      </w:r>
      <w:r>
        <w:rPr>
          <w:rFonts w:hint="eastAsia" w:ascii="仿宋" w:hAnsi="仿宋" w:eastAsia="仿宋" w:cs="仿宋"/>
          <w:b/>
          <w:bCs/>
          <w:color w:val="auto"/>
          <w:sz w:val="21"/>
          <w:szCs w:val="21"/>
          <w:highlight w:val="none"/>
        </w:rPr>
        <w:t>的制造企业信息。</w:t>
      </w:r>
    </w:p>
    <w:p w14:paraId="5EA1440C">
      <w:pPr>
        <w:spacing w:line="240" w:lineRule="auto"/>
        <w:ind w:firstLine="632" w:firstLineChars="300"/>
        <w:rPr>
          <w:rFonts w:hint="eastAsia" w:ascii="仿宋" w:hAnsi="仿宋" w:eastAsia="仿宋" w:cs="仿宋"/>
          <w:b/>
          <w:bCs/>
          <w:color w:val="auto"/>
          <w:sz w:val="21"/>
          <w:szCs w:val="21"/>
          <w:highlight w:val="none"/>
          <w:u w:val="none"/>
        </w:rPr>
      </w:pPr>
      <w:r>
        <w:rPr>
          <w:rFonts w:hint="eastAsia" w:ascii="仿宋" w:hAnsi="仿宋" w:eastAsia="仿宋" w:cs="仿宋"/>
          <w:b/>
          <w:bCs/>
          <w:color w:val="auto"/>
          <w:sz w:val="21"/>
          <w:szCs w:val="21"/>
          <w:highlight w:val="none"/>
          <w:u w:val="none"/>
        </w:rPr>
        <w:t>（</w:t>
      </w:r>
      <w:r>
        <w:rPr>
          <w:rFonts w:hint="eastAsia" w:ascii="仿宋" w:hAnsi="仿宋" w:eastAsia="仿宋" w:cs="仿宋"/>
          <w:b/>
          <w:bCs/>
          <w:color w:val="auto"/>
          <w:sz w:val="21"/>
          <w:szCs w:val="21"/>
          <w:highlight w:val="none"/>
          <w:u w:val="none"/>
          <w:lang w:val="en-US" w:eastAsia="zh-CN"/>
        </w:rPr>
        <w:t>3</w:t>
      </w:r>
      <w:r>
        <w:rPr>
          <w:rFonts w:hint="eastAsia" w:ascii="仿宋" w:hAnsi="仿宋" w:eastAsia="仿宋" w:cs="仿宋"/>
          <w:b/>
          <w:bCs/>
          <w:color w:val="auto"/>
          <w:sz w:val="21"/>
          <w:szCs w:val="21"/>
          <w:highlight w:val="none"/>
          <w:u w:val="none"/>
        </w:rPr>
        <w:t>）</w:t>
      </w:r>
      <w:r>
        <w:rPr>
          <w:rFonts w:hint="eastAsia" w:ascii="仿宋" w:hAnsi="仿宋" w:eastAsia="仿宋" w:cs="仿宋"/>
          <w:b/>
          <w:bCs/>
          <w:color w:val="auto"/>
          <w:sz w:val="21"/>
          <w:szCs w:val="21"/>
          <w:highlight w:val="none"/>
          <w:u w:val="none"/>
          <w:lang w:eastAsia="zh-CN"/>
        </w:rPr>
        <w:t>“标的名称”</w:t>
      </w:r>
      <w:r>
        <w:rPr>
          <w:rFonts w:hint="eastAsia" w:ascii="仿宋" w:hAnsi="仿宋" w:eastAsia="仿宋" w:cs="仿宋"/>
          <w:b/>
          <w:bCs/>
          <w:color w:val="auto"/>
          <w:sz w:val="21"/>
          <w:szCs w:val="21"/>
          <w:highlight w:val="none"/>
          <w:u w:val="none"/>
          <w:lang w:val="en-US" w:eastAsia="zh-CN"/>
        </w:rPr>
        <w:t>详见“</w:t>
      </w:r>
      <w:r>
        <w:rPr>
          <w:rFonts w:hint="eastAsia" w:ascii="仿宋" w:hAnsi="仿宋" w:eastAsia="仿宋" w:cs="仿宋"/>
          <w:b/>
          <w:bCs/>
          <w:color w:val="auto"/>
          <w:sz w:val="21"/>
          <w:szCs w:val="21"/>
          <w:highlight w:val="none"/>
          <w:u w:val="none"/>
          <w:lang w:eastAsia="zh-CN"/>
        </w:rPr>
        <w:t>第三章 采购需求</w:t>
      </w:r>
      <w:r>
        <w:rPr>
          <w:rFonts w:hint="eastAsia" w:ascii="仿宋" w:hAnsi="仿宋" w:eastAsia="仿宋" w:cs="仿宋"/>
          <w:b/>
          <w:bCs/>
          <w:color w:val="auto"/>
          <w:sz w:val="21"/>
          <w:szCs w:val="21"/>
          <w:highlight w:val="none"/>
          <w:u w:val="none"/>
          <w:lang w:val="en-US" w:eastAsia="zh-CN"/>
        </w:rPr>
        <w:t>”中“</w:t>
      </w:r>
      <w:r>
        <w:rPr>
          <w:rFonts w:hint="eastAsia" w:ascii="仿宋" w:hAnsi="仿宋" w:eastAsia="仿宋" w:cs="仿宋"/>
          <w:b/>
          <w:bCs/>
          <w:color w:val="auto"/>
          <w:sz w:val="21"/>
          <w:szCs w:val="21"/>
          <w:highlight w:val="none"/>
          <w:u w:val="none"/>
          <w:lang w:eastAsia="zh-CN"/>
        </w:rPr>
        <w:t>四、采购清单</w:t>
      </w:r>
      <w:r>
        <w:rPr>
          <w:rFonts w:hint="eastAsia" w:ascii="仿宋" w:hAnsi="仿宋" w:eastAsia="仿宋" w:cs="仿宋"/>
          <w:b/>
          <w:bCs/>
          <w:color w:val="auto"/>
          <w:sz w:val="21"/>
          <w:szCs w:val="21"/>
          <w:highlight w:val="none"/>
          <w:u w:val="none"/>
          <w:lang w:val="en-US" w:eastAsia="zh-CN"/>
        </w:rPr>
        <w:t>”，逐条填写</w:t>
      </w:r>
      <w:r>
        <w:rPr>
          <w:rFonts w:hint="eastAsia" w:ascii="仿宋" w:hAnsi="仿宋" w:eastAsia="仿宋" w:cs="仿宋"/>
          <w:b/>
          <w:bCs/>
          <w:color w:val="auto"/>
          <w:sz w:val="21"/>
          <w:szCs w:val="21"/>
          <w:highlight w:val="none"/>
          <w:u w:val="none"/>
        </w:rPr>
        <w:t>。</w:t>
      </w:r>
    </w:p>
    <w:p w14:paraId="6E573987">
      <w:pPr>
        <w:spacing w:line="240" w:lineRule="auto"/>
        <w:ind w:firstLine="632" w:firstLineChars="300"/>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u w:val="none"/>
        </w:rPr>
        <w:t>（</w:t>
      </w:r>
      <w:r>
        <w:rPr>
          <w:rFonts w:hint="eastAsia" w:ascii="仿宋" w:hAnsi="仿宋" w:eastAsia="仿宋" w:cs="仿宋"/>
          <w:b/>
          <w:bCs/>
          <w:color w:val="auto"/>
          <w:sz w:val="21"/>
          <w:szCs w:val="21"/>
          <w:highlight w:val="none"/>
          <w:u w:val="none"/>
          <w:lang w:val="en-US" w:eastAsia="zh-CN"/>
        </w:rPr>
        <w:t>4</w:t>
      </w:r>
      <w:r>
        <w:rPr>
          <w:rFonts w:hint="eastAsia" w:ascii="仿宋" w:hAnsi="仿宋" w:eastAsia="仿宋" w:cs="仿宋"/>
          <w:b/>
          <w:bCs/>
          <w:color w:val="auto"/>
          <w:sz w:val="21"/>
          <w:szCs w:val="21"/>
          <w:highlight w:val="none"/>
          <w:u w:val="none"/>
        </w:rPr>
        <w:t>）</w:t>
      </w:r>
      <w:r>
        <w:rPr>
          <w:rFonts w:hint="eastAsia" w:ascii="仿宋" w:hAnsi="仿宋" w:eastAsia="仿宋" w:cs="仿宋"/>
          <w:b/>
          <w:bCs/>
          <w:color w:val="auto"/>
          <w:sz w:val="21"/>
          <w:szCs w:val="21"/>
          <w:highlight w:val="none"/>
          <w:u w:val="none"/>
          <w:lang w:val="en-US" w:eastAsia="zh-CN"/>
        </w:rPr>
        <w:t>各</w:t>
      </w:r>
      <w:r>
        <w:rPr>
          <w:rFonts w:hint="eastAsia" w:ascii="仿宋" w:hAnsi="仿宋" w:eastAsia="仿宋" w:cs="仿宋"/>
          <w:b/>
          <w:bCs/>
          <w:color w:val="auto"/>
          <w:sz w:val="21"/>
          <w:szCs w:val="21"/>
          <w:highlight w:val="none"/>
          <w:u w:val="none"/>
          <w:lang w:eastAsia="zh-CN"/>
        </w:rPr>
        <w:t>“标的名称”</w:t>
      </w:r>
      <w:r>
        <w:rPr>
          <w:rFonts w:hint="eastAsia" w:ascii="仿宋" w:hAnsi="仿宋" w:eastAsia="仿宋" w:cs="仿宋"/>
          <w:b/>
          <w:bCs/>
          <w:color w:val="auto"/>
          <w:sz w:val="21"/>
          <w:szCs w:val="21"/>
          <w:highlight w:val="none"/>
          <w:u w:val="none"/>
          <w:lang w:val="en-US" w:eastAsia="zh-CN"/>
        </w:rPr>
        <w:t>对应的</w:t>
      </w:r>
      <w:r>
        <w:rPr>
          <w:rFonts w:hint="eastAsia" w:ascii="仿宋" w:hAnsi="仿宋" w:eastAsia="仿宋" w:cs="仿宋"/>
          <w:b/>
          <w:bCs/>
          <w:color w:val="auto"/>
          <w:sz w:val="21"/>
          <w:szCs w:val="21"/>
          <w:highlight w:val="none"/>
          <w:u w:val="none"/>
        </w:rPr>
        <w:t>所属行业</w:t>
      </w:r>
      <w:r>
        <w:rPr>
          <w:rFonts w:hint="eastAsia" w:ascii="仿宋" w:hAnsi="仿宋" w:eastAsia="仿宋" w:cs="仿宋"/>
          <w:b/>
          <w:bCs/>
          <w:color w:val="auto"/>
          <w:sz w:val="21"/>
          <w:szCs w:val="21"/>
          <w:highlight w:val="none"/>
          <w:u w:val="none"/>
          <w:lang w:val="en-US" w:eastAsia="zh-CN"/>
        </w:rPr>
        <w:t>详见“</w:t>
      </w:r>
      <w:r>
        <w:rPr>
          <w:rFonts w:hint="eastAsia" w:ascii="仿宋" w:hAnsi="仿宋" w:eastAsia="仿宋" w:cs="仿宋"/>
          <w:b/>
          <w:bCs/>
          <w:color w:val="auto"/>
          <w:sz w:val="21"/>
          <w:szCs w:val="21"/>
          <w:highlight w:val="none"/>
          <w:u w:val="none"/>
          <w:lang w:eastAsia="zh-CN"/>
        </w:rPr>
        <w:t>第三章 采购需求</w:t>
      </w:r>
      <w:r>
        <w:rPr>
          <w:rFonts w:hint="eastAsia" w:ascii="仿宋" w:hAnsi="仿宋" w:eastAsia="仿宋" w:cs="仿宋"/>
          <w:b/>
          <w:bCs/>
          <w:color w:val="auto"/>
          <w:sz w:val="21"/>
          <w:szCs w:val="21"/>
          <w:highlight w:val="none"/>
          <w:u w:val="none"/>
          <w:lang w:val="en-US" w:eastAsia="zh-CN"/>
        </w:rPr>
        <w:t>”中“</w:t>
      </w:r>
      <w:r>
        <w:rPr>
          <w:rFonts w:hint="eastAsia" w:ascii="仿宋" w:hAnsi="仿宋" w:eastAsia="仿宋" w:cs="仿宋"/>
          <w:b/>
          <w:bCs/>
          <w:color w:val="auto"/>
          <w:sz w:val="21"/>
          <w:szCs w:val="21"/>
          <w:highlight w:val="none"/>
          <w:u w:val="none"/>
          <w:lang w:eastAsia="zh-CN"/>
        </w:rPr>
        <w:t>四、采购清单</w:t>
      </w:r>
      <w:r>
        <w:rPr>
          <w:rFonts w:hint="eastAsia" w:ascii="仿宋" w:hAnsi="仿宋" w:eastAsia="仿宋" w:cs="仿宋"/>
          <w:b/>
          <w:bCs/>
          <w:color w:val="auto"/>
          <w:sz w:val="21"/>
          <w:szCs w:val="21"/>
          <w:highlight w:val="none"/>
          <w:u w:val="none"/>
          <w:lang w:val="en-US" w:eastAsia="zh-CN"/>
        </w:rPr>
        <w:t>”，逐条填写</w:t>
      </w:r>
      <w:r>
        <w:rPr>
          <w:rFonts w:hint="eastAsia" w:ascii="仿宋" w:hAnsi="仿宋" w:eastAsia="仿宋" w:cs="仿宋"/>
          <w:b/>
          <w:bCs/>
          <w:color w:val="auto"/>
          <w:sz w:val="21"/>
          <w:szCs w:val="21"/>
          <w:highlight w:val="none"/>
          <w:u w:val="none"/>
        </w:rPr>
        <w:t>。</w:t>
      </w:r>
    </w:p>
    <w:p w14:paraId="1304EFCC">
      <w:pPr>
        <w:pStyle w:val="20"/>
        <w:spacing w:line="600" w:lineRule="auto"/>
        <w:rPr>
          <w:rFonts w:hint="eastAsia" w:ascii="仿宋" w:hAnsi="仿宋" w:eastAsia="仿宋" w:cs="仿宋"/>
          <w:b/>
          <w:bCs/>
          <w:color w:val="auto"/>
          <w:sz w:val="48"/>
          <w:szCs w:val="40"/>
          <w:highlight w:val="none"/>
        </w:rPr>
      </w:pPr>
      <w:r>
        <w:rPr>
          <w:rFonts w:hint="eastAsia" w:ascii="仿宋" w:hAnsi="仿宋" w:eastAsia="仿宋" w:cs="仿宋"/>
          <w:b/>
          <w:bCs/>
          <w:color w:val="auto"/>
          <w:sz w:val="48"/>
          <w:szCs w:val="40"/>
          <w:highlight w:val="none"/>
        </w:rPr>
        <w:t>监狱企业证明文件</w:t>
      </w:r>
    </w:p>
    <w:p w14:paraId="63900A9B">
      <w:pPr>
        <w:ind w:firstLine="560"/>
        <w:rPr>
          <w:rFonts w:hint="eastAsia" w:ascii="仿宋" w:hAnsi="仿宋" w:eastAsia="仿宋" w:cs="仿宋"/>
          <w:color w:val="auto"/>
          <w:highlight w:val="none"/>
        </w:rPr>
      </w:pPr>
      <w:r>
        <w:rPr>
          <w:rFonts w:hint="eastAsia" w:ascii="仿宋" w:hAnsi="仿宋" w:eastAsia="仿宋" w:cs="仿宋"/>
          <w:color w:val="auto"/>
          <w:highlight w:val="none"/>
        </w:rPr>
        <w:t>根据《财政部 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3BBDD585">
      <w:pPr>
        <w:ind w:firstLine="560"/>
        <w:rPr>
          <w:rStyle w:val="62"/>
          <w:rFonts w:hint="eastAsia" w:ascii="仿宋" w:hAnsi="仿宋" w:eastAsia="仿宋" w:cs="仿宋"/>
          <w:color w:val="auto"/>
          <w:highlight w:val="none"/>
        </w:rPr>
      </w:pPr>
      <w:r>
        <w:rPr>
          <w:rFonts w:hint="eastAsia" w:ascii="仿宋" w:hAnsi="仿宋" w:eastAsia="仿宋" w:cs="仿宋"/>
          <w:color w:val="auto"/>
          <w:highlight w:val="none"/>
        </w:rPr>
        <w:t>监狱企业参加政府采购活动时，应当提供由省级以上监狱管理局、戒毒管理局（含新疆生产建设兵团）出具的属于监狱企业的证明文件。</w:t>
      </w:r>
    </w:p>
    <w:p w14:paraId="04258BAA">
      <w:pPr>
        <w:ind w:firstLine="480"/>
        <w:rPr>
          <w:rStyle w:val="62"/>
          <w:rFonts w:hint="eastAsia" w:ascii="仿宋" w:hAnsi="仿宋" w:eastAsia="仿宋" w:cs="仿宋"/>
          <w:color w:val="auto"/>
          <w:highlight w:val="none"/>
        </w:rPr>
      </w:pPr>
    </w:p>
    <w:p w14:paraId="225826EF">
      <w:pPr>
        <w:spacing w:line="240" w:lineRule="auto"/>
        <w:ind w:firstLine="0" w:firstLineChars="0"/>
        <w:rPr>
          <w:rFonts w:hint="eastAsia" w:ascii="仿宋" w:hAnsi="仿宋" w:eastAsia="仿宋" w:cs="仿宋"/>
          <w:b/>
          <w:bCs/>
          <w:color w:val="auto"/>
          <w:sz w:val="18"/>
          <w:szCs w:val="18"/>
          <w:highlight w:val="none"/>
        </w:rPr>
      </w:pPr>
    </w:p>
    <w:p w14:paraId="21BB7EC9">
      <w:pPr>
        <w:spacing w:line="240" w:lineRule="auto"/>
        <w:ind w:firstLine="0" w:firstLineChars="0"/>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说明：1、</w:t>
      </w:r>
      <w:r>
        <w:rPr>
          <w:rFonts w:hint="eastAsia" w:ascii="仿宋" w:hAnsi="仿宋" w:eastAsia="仿宋" w:cs="仿宋"/>
          <w:b/>
          <w:bCs/>
          <w:color w:val="auto"/>
          <w:sz w:val="21"/>
          <w:szCs w:val="21"/>
          <w:highlight w:val="none"/>
          <w:lang w:eastAsia="zh-CN"/>
        </w:rPr>
        <w:t>投标人</w:t>
      </w:r>
      <w:r>
        <w:rPr>
          <w:rFonts w:hint="eastAsia" w:ascii="仿宋" w:hAnsi="仿宋" w:eastAsia="仿宋" w:cs="仿宋"/>
          <w:b/>
          <w:bCs/>
          <w:color w:val="auto"/>
          <w:sz w:val="21"/>
          <w:szCs w:val="21"/>
          <w:highlight w:val="none"/>
        </w:rPr>
        <w:t>为监狱企业参加的提供；2、符合条件的监狱企业在参加政府采购活动时，应当按《财政部 司法部关于政府采购支持监狱企业发展有关问题的通知》（财库</w:t>
      </w:r>
      <w:r>
        <w:rPr>
          <w:rFonts w:hint="eastAsia" w:ascii="仿宋" w:hAnsi="仿宋" w:eastAsia="仿宋" w:cs="仿宋"/>
          <w:b/>
          <w:bCs/>
          <w:color w:val="auto"/>
          <w:sz w:val="21"/>
          <w:szCs w:val="21"/>
          <w:highlight w:val="none"/>
          <w:lang w:eastAsia="zh-CN"/>
        </w:rPr>
        <w:t>〔2014〕68号</w:t>
      </w:r>
      <w:r>
        <w:rPr>
          <w:rFonts w:hint="eastAsia" w:ascii="仿宋" w:hAnsi="仿宋" w:eastAsia="仿宋" w:cs="仿宋"/>
          <w:b/>
          <w:bCs/>
          <w:color w:val="auto"/>
          <w:sz w:val="21"/>
          <w:szCs w:val="21"/>
          <w:highlight w:val="none"/>
        </w:rPr>
        <w:t>）提供规定的《监狱企业证明文件》，并对提供的证明文件真实性负责。</w:t>
      </w:r>
    </w:p>
    <w:p w14:paraId="41C8DA1B">
      <w:pPr>
        <w:ind w:firstLine="422"/>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br w:type="page"/>
      </w:r>
    </w:p>
    <w:p w14:paraId="1870148E">
      <w:pPr>
        <w:pStyle w:val="20"/>
        <w:spacing w:line="600" w:lineRule="auto"/>
        <w:rPr>
          <w:rFonts w:hint="eastAsia" w:ascii="仿宋" w:hAnsi="仿宋" w:eastAsia="仿宋" w:cs="仿宋"/>
          <w:b/>
          <w:bCs/>
          <w:color w:val="auto"/>
          <w:sz w:val="48"/>
          <w:szCs w:val="40"/>
          <w:highlight w:val="none"/>
        </w:rPr>
      </w:pPr>
      <w:r>
        <w:rPr>
          <w:rFonts w:hint="eastAsia" w:ascii="仿宋" w:hAnsi="仿宋" w:eastAsia="仿宋" w:cs="仿宋"/>
          <w:b/>
          <w:bCs/>
          <w:color w:val="auto"/>
          <w:sz w:val="48"/>
          <w:szCs w:val="40"/>
          <w:highlight w:val="none"/>
        </w:rPr>
        <w:t>残疾人福利性单位声明函</w:t>
      </w:r>
    </w:p>
    <w:p w14:paraId="76DA327E">
      <w:pPr>
        <w:ind w:firstLine="584"/>
        <w:rPr>
          <w:rFonts w:hint="eastAsia" w:ascii="仿宋" w:hAnsi="仿宋" w:eastAsia="仿宋" w:cs="仿宋"/>
          <w:color w:val="auto"/>
          <w:spacing w:val="6"/>
          <w:highlight w:val="none"/>
        </w:rPr>
      </w:pPr>
      <w:r>
        <w:rPr>
          <w:rFonts w:hint="eastAsia" w:ascii="仿宋" w:hAnsi="仿宋" w:eastAsia="仿宋" w:cs="仿宋"/>
          <w:color w:val="auto"/>
          <w:spacing w:val="6"/>
          <w:highlight w:val="none"/>
        </w:rPr>
        <w:t>本单位郑重声明，根据《财政部 民政部 中国残疾人联合会关于促进残疾人就业政府采购政策的通知》（财库</w:t>
      </w:r>
      <w:r>
        <w:rPr>
          <w:rFonts w:hint="eastAsia" w:ascii="仿宋" w:hAnsi="仿宋" w:eastAsia="仿宋" w:cs="仿宋"/>
          <w:color w:val="auto"/>
          <w:spacing w:val="6"/>
          <w:highlight w:val="none"/>
          <w:lang w:eastAsia="zh-CN"/>
        </w:rPr>
        <w:t>〔2017〕141号</w:t>
      </w:r>
      <w:r>
        <w:rPr>
          <w:rFonts w:hint="eastAsia" w:ascii="仿宋" w:hAnsi="仿宋" w:eastAsia="仿宋" w:cs="仿宋"/>
          <w:color w:val="auto"/>
          <w:spacing w:val="6"/>
          <w:highlight w:val="none"/>
        </w:rPr>
        <w:t>）的规定，本单位为符合条件的残疾人福利性单位，且本单位参加</w:t>
      </w:r>
      <w:r>
        <w:rPr>
          <w:rFonts w:hint="eastAsia" w:cs="仿宋"/>
          <w:b/>
          <w:bCs/>
          <w:color w:val="auto"/>
          <w:spacing w:val="6"/>
          <w:highlight w:val="none"/>
          <w:u w:val="single"/>
          <w:lang w:eastAsia="zh-CN"/>
        </w:rPr>
        <w:t>云南轻纺职业学院</w:t>
      </w:r>
      <w:r>
        <w:rPr>
          <w:rFonts w:hint="eastAsia" w:ascii="仿宋" w:hAnsi="仿宋" w:eastAsia="仿宋" w:cs="仿宋"/>
          <w:color w:val="auto"/>
          <w:spacing w:val="6"/>
          <w:highlight w:val="none"/>
        </w:rPr>
        <w:t>单位的</w:t>
      </w:r>
      <w:r>
        <w:rPr>
          <w:rFonts w:hint="eastAsia" w:cs="仿宋"/>
          <w:b/>
          <w:bCs/>
          <w:color w:val="auto"/>
          <w:highlight w:val="none"/>
          <w:u w:val="single"/>
          <w:lang w:eastAsia="zh-CN"/>
        </w:rPr>
        <w:t>云南轻纺职业学院人工智能学院云计算技术应用实训室及智慧教室建设项目</w:t>
      </w:r>
      <w:r>
        <w:rPr>
          <w:rFonts w:hint="eastAsia" w:cs="仿宋"/>
          <w:b/>
          <w:bCs/>
          <w:color w:val="auto"/>
          <w:highlight w:val="none"/>
          <w:u w:val="single"/>
          <w:lang w:eastAsia="zh-CN"/>
        </w:rPr>
        <w:t>（</w:t>
      </w:r>
      <w:r>
        <w:rPr>
          <w:rFonts w:hint="eastAsia" w:cs="仿宋"/>
          <w:b/>
          <w:bCs/>
          <w:color w:val="auto"/>
          <w:highlight w:val="none"/>
          <w:u w:val="single"/>
          <w:lang w:val="en-US" w:eastAsia="zh-CN"/>
        </w:rPr>
        <w:t>二次</w:t>
      </w:r>
      <w:r>
        <w:rPr>
          <w:rFonts w:hint="eastAsia" w:cs="仿宋"/>
          <w:b/>
          <w:bCs/>
          <w:color w:val="auto"/>
          <w:highlight w:val="none"/>
          <w:u w:val="single"/>
          <w:lang w:eastAsia="zh-CN"/>
        </w:rPr>
        <w:t>）</w:t>
      </w:r>
      <w:r>
        <w:rPr>
          <w:rFonts w:hint="eastAsia" w:ascii="仿宋" w:hAnsi="仿宋" w:eastAsia="仿宋" w:cs="仿宋"/>
          <w:color w:val="auto"/>
          <w:spacing w:val="6"/>
          <w:highlight w:val="none"/>
        </w:rPr>
        <w:t>采购活动提供本单位制造的货物（由本单位承担工程/提供服务），或者提供其他残疾人福利性单位制造的货物（不包括使用非残疾人福利性单位注册商标的货物）。</w:t>
      </w:r>
    </w:p>
    <w:p w14:paraId="5151604D">
      <w:pPr>
        <w:ind w:firstLine="584"/>
        <w:rPr>
          <w:rFonts w:hint="eastAsia" w:ascii="仿宋" w:hAnsi="仿宋" w:eastAsia="仿宋" w:cs="仿宋"/>
          <w:color w:val="auto"/>
          <w:spacing w:val="6"/>
          <w:highlight w:val="none"/>
        </w:rPr>
      </w:pPr>
      <w:r>
        <w:rPr>
          <w:rFonts w:hint="eastAsia" w:ascii="仿宋" w:hAnsi="仿宋" w:eastAsia="仿宋" w:cs="仿宋"/>
          <w:color w:val="auto"/>
          <w:spacing w:val="6"/>
          <w:highlight w:val="none"/>
        </w:rPr>
        <w:t>本单位对上述声明的真实性负责。如有虚假，将依法承担相应责任。</w:t>
      </w:r>
    </w:p>
    <w:p w14:paraId="50166DB7">
      <w:pPr>
        <w:ind w:firstLine="584"/>
        <w:rPr>
          <w:rFonts w:hint="eastAsia" w:ascii="仿宋" w:hAnsi="仿宋" w:eastAsia="仿宋" w:cs="仿宋"/>
          <w:color w:val="auto"/>
          <w:spacing w:val="6"/>
          <w:highlight w:val="none"/>
        </w:rPr>
      </w:pPr>
    </w:p>
    <w:p w14:paraId="76E282EB">
      <w:pPr>
        <w:pStyle w:val="20"/>
        <w:ind w:firstLine="630" w:firstLineChars="300"/>
        <w:rPr>
          <w:rFonts w:hint="eastAsia" w:ascii="仿宋" w:hAnsi="仿宋" w:eastAsia="仿宋" w:cs="仿宋"/>
          <w:color w:val="auto"/>
          <w:highlight w:val="none"/>
        </w:rPr>
      </w:pPr>
      <w:r>
        <w:rPr>
          <w:rFonts w:hint="eastAsia" w:ascii="仿宋" w:hAnsi="仿宋" w:eastAsia="仿宋" w:cs="仿宋"/>
          <w:color w:val="auto"/>
          <w:highlight w:val="none"/>
          <w:lang w:eastAsia="zh-CN"/>
        </w:rPr>
        <w:t>投标人</w:t>
      </w:r>
      <w:r>
        <w:rPr>
          <w:rFonts w:hint="eastAsia" w:ascii="仿宋" w:hAnsi="仿宋" w:eastAsia="仿宋" w:cs="仿宋"/>
          <w:color w:val="auto"/>
          <w:highlight w:val="none"/>
        </w:rPr>
        <w:t>：</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w:t>
      </w:r>
      <w:r>
        <w:rPr>
          <w:rFonts w:hint="eastAsia" w:ascii="仿宋" w:hAnsi="仿宋" w:eastAsia="仿宋" w:cs="仿宋"/>
          <w:color w:val="auto"/>
          <w:sz w:val="24"/>
          <w:highlight w:val="none"/>
        </w:rPr>
        <w:t>电子签章</w:t>
      </w:r>
      <w:r>
        <w:rPr>
          <w:rFonts w:hint="eastAsia" w:ascii="仿宋" w:hAnsi="仿宋" w:eastAsia="仿宋" w:cs="仿宋"/>
          <w:color w:val="auto"/>
          <w:highlight w:val="none"/>
        </w:rPr>
        <w:t>）</w:t>
      </w:r>
    </w:p>
    <w:p w14:paraId="3496304F">
      <w:pPr>
        <w:pStyle w:val="20"/>
        <w:ind w:firstLine="630" w:firstLineChars="300"/>
        <w:rPr>
          <w:rFonts w:hint="eastAsia" w:ascii="仿宋" w:hAnsi="仿宋" w:eastAsia="仿宋" w:cs="仿宋"/>
          <w:color w:val="auto"/>
          <w:highlight w:val="none"/>
        </w:rPr>
      </w:pPr>
      <w:r>
        <w:rPr>
          <w:rFonts w:hint="eastAsia" w:ascii="仿宋" w:hAnsi="仿宋" w:eastAsia="仿宋" w:cs="仿宋"/>
          <w:color w:val="auto"/>
          <w:highlight w:val="none"/>
        </w:rPr>
        <w:t>日  期：     年     月     日</w:t>
      </w:r>
    </w:p>
    <w:p w14:paraId="2C55DFEA">
      <w:pPr>
        <w:ind w:firstLine="560"/>
        <w:rPr>
          <w:rFonts w:hint="eastAsia" w:ascii="仿宋" w:hAnsi="仿宋" w:eastAsia="仿宋" w:cs="仿宋"/>
          <w:color w:val="auto"/>
          <w:highlight w:val="none"/>
        </w:rPr>
      </w:pPr>
    </w:p>
    <w:p w14:paraId="6A8F0C60">
      <w:pPr>
        <w:spacing w:line="240" w:lineRule="auto"/>
        <w:ind w:firstLine="0" w:firstLineChars="0"/>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说明：1、</w:t>
      </w:r>
      <w:r>
        <w:rPr>
          <w:rFonts w:hint="eastAsia" w:ascii="仿宋" w:hAnsi="仿宋" w:eastAsia="仿宋" w:cs="仿宋"/>
          <w:b/>
          <w:bCs/>
          <w:color w:val="auto"/>
          <w:sz w:val="21"/>
          <w:szCs w:val="21"/>
          <w:highlight w:val="none"/>
          <w:lang w:eastAsia="zh-CN"/>
        </w:rPr>
        <w:t>投标人</w:t>
      </w:r>
      <w:r>
        <w:rPr>
          <w:rFonts w:hint="eastAsia" w:ascii="仿宋" w:hAnsi="仿宋" w:eastAsia="仿宋" w:cs="仿宋"/>
          <w:b/>
          <w:bCs/>
          <w:color w:val="auto"/>
          <w:sz w:val="21"/>
          <w:szCs w:val="21"/>
          <w:highlight w:val="none"/>
        </w:rPr>
        <w:t>为残疾人福利性单位参加的提供；2、符合条件的残疾人福利性单位在参加政府采购活动时，应当按《三部门联合发布关于促进残疾人就业政府采购政策的通知》（财库〔2017〕141号）提供规定的《残疾人福利性单位声明函》，并对声明的真实性负责。采购代理机构在随中标结果同时公告其《残疾人福利性单位声明函》，接受社会监督。</w:t>
      </w:r>
      <w:r>
        <w:rPr>
          <w:rFonts w:hint="eastAsia" w:ascii="仿宋" w:hAnsi="仿宋" w:eastAsia="仿宋" w:cs="仿宋"/>
          <w:b/>
          <w:bCs/>
          <w:color w:val="auto"/>
          <w:sz w:val="21"/>
          <w:szCs w:val="21"/>
          <w:highlight w:val="none"/>
          <w:lang w:eastAsia="zh-CN"/>
        </w:rPr>
        <w:t>投标人</w:t>
      </w:r>
      <w:r>
        <w:rPr>
          <w:rFonts w:hint="eastAsia" w:ascii="仿宋" w:hAnsi="仿宋" w:eastAsia="仿宋" w:cs="仿宋"/>
          <w:b/>
          <w:bCs/>
          <w:color w:val="auto"/>
          <w:sz w:val="21"/>
          <w:szCs w:val="21"/>
          <w:highlight w:val="none"/>
        </w:rPr>
        <w:t>提供的《残疾人福利性单位声明函》与事实不符的，依照《</w:t>
      </w:r>
      <w:r>
        <w:rPr>
          <w:rFonts w:hint="eastAsia" w:ascii="仿宋" w:hAnsi="仿宋" w:eastAsia="仿宋" w:cs="仿宋"/>
          <w:b/>
          <w:bCs/>
          <w:color w:val="auto"/>
          <w:sz w:val="21"/>
          <w:szCs w:val="21"/>
          <w:highlight w:val="none"/>
          <w:lang w:eastAsia="zh-CN"/>
        </w:rPr>
        <w:t>中华人民共和国政府采购法</w:t>
      </w:r>
      <w:r>
        <w:rPr>
          <w:rFonts w:hint="eastAsia" w:ascii="仿宋" w:hAnsi="仿宋" w:eastAsia="仿宋" w:cs="仿宋"/>
          <w:b/>
          <w:bCs/>
          <w:color w:val="auto"/>
          <w:sz w:val="21"/>
          <w:szCs w:val="21"/>
          <w:highlight w:val="none"/>
        </w:rPr>
        <w:t>》第七十七条第一款的规定追究法律责任。</w:t>
      </w:r>
    </w:p>
    <w:p w14:paraId="2095BF02">
      <w:pPr>
        <w:ind w:firstLine="422"/>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br w:type="page"/>
      </w:r>
    </w:p>
    <w:p w14:paraId="33B59401">
      <w:pPr>
        <w:pStyle w:val="5"/>
        <w:bidi w:val="0"/>
        <w:rPr>
          <w:rFonts w:hint="eastAsia" w:ascii="仿宋" w:hAnsi="仿宋" w:eastAsia="仿宋" w:cs="仿宋"/>
          <w:color w:val="auto"/>
          <w:highlight w:val="none"/>
        </w:rPr>
      </w:pPr>
      <w:bookmarkStart w:id="594" w:name="_Toc9043"/>
      <w:r>
        <w:rPr>
          <w:rFonts w:hint="eastAsia" w:ascii="仿宋" w:hAnsi="仿宋" w:eastAsia="仿宋" w:cs="仿宋"/>
          <w:color w:val="auto"/>
          <w:highlight w:val="none"/>
        </w:rPr>
        <w:t>格式</w:t>
      </w:r>
      <w:r>
        <w:rPr>
          <w:rFonts w:hint="eastAsia" w:ascii="仿宋" w:hAnsi="仿宋" w:eastAsia="仿宋" w:cs="仿宋"/>
          <w:color w:val="auto"/>
          <w:highlight w:val="none"/>
          <w:lang w:val="en-US" w:eastAsia="zh-CN"/>
        </w:rPr>
        <w:t>1</w:t>
      </w:r>
      <w:r>
        <w:rPr>
          <w:rFonts w:hint="eastAsia" w:cs="仿宋"/>
          <w:color w:val="auto"/>
          <w:highlight w:val="none"/>
          <w:lang w:val="en-US" w:eastAsia="zh-CN"/>
        </w:rPr>
        <w:t>1</w:t>
      </w:r>
      <w:r>
        <w:rPr>
          <w:rFonts w:hint="eastAsia" w:ascii="仿宋" w:hAnsi="仿宋" w:eastAsia="仿宋" w:cs="仿宋"/>
          <w:color w:val="auto"/>
          <w:highlight w:val="none"/>
        </w:rPr>
        <w:t>：</w:t>
      </w:r>
      <w:bookmarkEnd w:id="587"/>
      <w:bookmarkEnd w:id="588"/>
      <w:bookmarkStart w:id="595" w:name="_Toc28375"/>
      <w:bookmarkStart w:id="596" w:name="_Toc24260"/>
      <w:r>
        <w:rPr>
          <w:rFonts w:hint="eastAsia" w:ascii="仿宋" w:hAnsi="仿宋" w:eastAsia="仿宋" w:cs="仿宋"/>
          <w:color w:val="auto"/>
          <w:highlight w:val="none"/>
          <w:lang w:eastAsia="zh-CN"/>
        </w:rPr>
        <w:t>招标文件</w:t>
      </w:r>
      <w:r>
        <w:rPr>
          <w:rFonts w:hint="eastAsia" w:ascii="仿宋" w:hAnsi="仿宋" w:eastAsia="仿宋" w:cs="仿宋"/>
          <w:color w:val="auto"/>
          <w:highlight w:val="none"/>
        </w:rPr>
        <w:t>中所</w:t>
      </w:r>
      <w:r>
        <w:rPr>
          <w:rFonts w:hint="eastAsia" w:ascii="仿宋" w:hAnsi="仿宋" w:eastAsia="仿宋" w:cs="仿宋"/>
          <w:color w:val="auto"/>
          <w:highlight w:val="none"/>
          <w:lang w:eastAsia="zh-CN"/>
        </w:rPr>
        <w:t>涉及</w:t>
      </w:r>
      <w:r>
        <w:rPr>
          <w:rFonts w:hint="eastAsia" w:ascii="仿宋" w:hAnsi="仿宋" w:eastAsia="仿宋" w:cs="仿宋"/>
          <w:color w:val="auto"/>
          <w:highlight w:val="none"/>
        </w:rPr>
        <w:t>的</w:t>
      </w:r>
      <w:r>
        <w:rPr>
          <w:rFonts w:hint="eastAsia" w:ascii="仿宋" w:hAnsi="仿宋" w:eastAsia="仿宋" w:cs="仿宋"/>
          <w:color w:val="auto"/>
          <w:highlight w:val="none"/>
          <w:lang w:eastAsia="zh-CN"/>
        </w:rPr>
        <w:t>其他</w:t>
      </w:r>
      <w:r>
        <w:rPr>
          <w:rFonts w:hint="eastAsia" w:ascii="仿宋" w:hAnsi="仿宋" w:eastAsia="仿宋" w:cs="仿宋"/>
          <w:color w:val="auto"/>
          <w:highlight w:val="none"/>
        </w:rPr>
        <w:t>相关资料或</w:t>
      </w:r>
      <w:r>
        <w:rPr>
          <w:rFonts w:hint="eastAsia" w:ascii="仿宋" w:hAnsi="仿宋" w:eastAsia="仿宋" w:cs="仿宋"/>
          <w:color w:val="auto"/>
          <w:highlight w:val="none"/>
          <w:lang w:eastAsia="zh-CN"/>
        </w:rPr>
        <w:t>投标人</w:t>
      </w:r>
      <w:r>
        <w:rPr>
          <w:rFonts w:hint="eastAsia" w:ascii="仿宋" w:hAnsi="仿宋" w:eastAsia="仿宋" w:cs="仿宋"/>
          <w:color w:val="auto"/>
          <w:highlight w:val="none"/>
        </w:rPr>
        <w:t>认为应该提供的其他资料。</w:t>
      </w:r>
      <w:bookmarkEnd w:id="594"/>
      <w:bookmarkEnd w:id="595"/>
      <w:bookmarkEnd w:id="596"/>
    </w:p>
    <w:p w14:paraId="6B5DB7A5">
      <w:pPr>
        <w:ind w:firstLine="560"/>
        <w:rPr>
          <w:rFonts w:hint="eastAsia" w:ascii="仿宋" w:hAnsi="仿宋" w:eastAsia="仿宋" w:cs="仿宋"/>
          <w:color w:val="auto"/>
          <w:highlight w:val="none"/>
        </w:rPr>
      </w:pPr>
      <w:r>
        <w:rPr>
          <w:rFonts w:hint="eastAsia" w:ascii="仿宋" w:hAnsi="仿宋" w:eastAsia="仿宋" w:cs="仿宋"/>
          <w:color w:val="auto"/>
          <w:highlight w:val="none"/>
        </w:rPr>
        <w:br w:type="page"/>
      </w:r>
    </w:p>
    <w:p w14:paraId="3A8E37AA">
      <w:pPr>
        <w:pStyle w:val="3"/>
        <w:spacing w:before="93" w:after="93"/>
        <w:ind w:firstLine="0" w:firstLineChars="0"/>
        <w:jc w:val="center"/>
        <w:rPr>
          <w:rFonts w:hint="eastAsia" w:ascii="仿宋" w:hAnsi="仿宋" w:eastAsia="仿宋" w:cs="仿宋"/>
          <w:color w:val="auto"/>
          <w:highlight w:val="none"/>
        </w:rPr>
      </w:pPr>
      <w:bookmarkStart w:id="597" w:name="_Toc2746"/>
      <w:bookmarkStart w:id="598" w:name="_Toc12637"/>
      <w:r>
        <w:rPr>
          <w:rFonts w:hint="eastAsia" w:ascii="仿宋" w:hAnsi="仿宋" w:eastAsia="仿宋" w:cs="仿宋"/>
          <w:color w:val="auto"/>
          <w:highlight w:val="none"/>
        </w:rPr>
        <w:t>技术文件</w:t>
      </w:r>
      <w:bookmarkEnd w:id="597"/>
      <w:bookmarkEnd w:id="598"/>
    </w:p>
    <w:p w14:paraId="183FC5D3">
      <w:pPr>
        <w:pStyle w:val="4"/>
        <w:spacing w:before="78" w:line="220" w:lineRule="auto"/>
        <w:ind w:firstLine="0" w:firstLineChars="0"/>
        <w:jc w:val="both"/>
        <w:rPr>
          <w:rFonts w:hint="eastAsia" w:ascii="仿宋" w:hAnsi="仿宋" w:eastAsia="仿宋" w:cs="仿宋"/>
          <w:b/>
          <w:bCs/>
          <w:color w:val="auto"/>
          <w:sz w:val="24"/>
          <w:szCs w:val="24"/>
          <w:highlight w:val="none"/>
          <w:lang w:val="en-US" w:eastAsia="zh-CN"/>
        </w:rPr>
      </w:pPr>
      <w:bookmarkStart w:id="599" w:name="_Toc5104"/>
      <w:bookmarkStart w:id="600" w:name="_Toc21964"/>
      <w:r>
        <w:rPr>
          <w:rFonts w:hint="eastAsia" w:ascii="仿宋" w:hAnsi="仿宋" w:eastAsia="仿宋" w:cs="仿宋"/>
          <w:b/>
          <w:bCs/>
          <w:color w:val="auto"/>
          <w:spacing w:val="-1"/>
          <w:sz w:val="24"/>
          <w:szCs w:val="24"/>
          <w:highlight w:val="none"/>
        </w:rPr>
        <w:t>投</w:t>
      </w:r>
      <w:r>
        <w:rPr>
          <w:rFonts w:hint="eastAsia" w:ascii="仿宋" w:hAnsi="仿宋" w:eastAsia="仿宋" w:cs="仿宋"/>
          <w:b/>
          <w:bCs/>
          <w:color w:val="auto"/>
          <w:spacing w:val="-68"/>
          <w:sz w:val="24"/>
          <w:szCs w:val="24"/>
          <w:highlight w:val="none"/>
        </w:rPr>
        <w:t xml:space="preserve"> </w:t>
      </w:r>
      <w:r>
        <w:rPr>
          <w:rFonts w:hint="eastAsia" w:ascii="仿宋" w:hAnsi="仿宋" w:eastAsia="仿宋" w:cs="仿宋"/>
          <w:b/>
          <w:bCs/>
          <w:color w:val="auto"/>
          <w:spacing w:val="-1"/>
          <w:sz w:val="24"/>
          <w:szCs w:val="24"/>
          <w:highlight w:val="none"/>
        </w:rPr>
        <w:t>标</w:t>
      </w:r>
      <w:r>
        <w:rPr>
          <w:rFonts w:hint="eastAsia" w:ascii="仿宋" w:hAnsi="仿宋" w:eastAsia="仿宋" w:cs="仿宋"/>
          <w:b/>
          <w:bCs/>
          <w:color w:val="auto"/>
          <w:spacing w:val="-68"/>
          <w:sz w:val="24"/>
          <w:szCs w:val="24"/>
          <w:highlight w:val="none"/>
        </w:rPr>
        <w:t xml:space="preserve"> </w:t>
      </w:r>
      <w:r>
        <w:rPr>
          <w:rFonts w:hint="eastAsia" w:ascii="仿宋" w:hAnsi="仿宋" w:eastAsia="仿宋" w:cs="仿宋"/>
          <w:b/>
          <w:bCs/>
          <w:color w:val="auto"/>
          <w:spacing w:val="-1"/>
          <w:sz w:val="24"/>
          <w:szCs w:val="24"/>
          <w:highlight w:val="none"/>
        </w:rPr>
        <w:t>文</w:t>
      </w:r>
      <w:r>
        <w:rPr>
          <w:rFonts w:hint="eastAsia" w:ascii="仿宋" w:hAnsi="仿宋" w:eastAsia="仿宋" w:cs="仿宋"/>
          <w:b/>
          <w:bCs/>
          <w:color w:val="auto"/>
          <w:spacing w:val="-71"/>
          <w:sz w:val="24"/>
          <w:szCs w:val="24"/>
          <w:highlight w:val="none"/>
        </w:rPr>
        <w:t xml:space="preserve"> </w:t>
      </w:r>
      <w:r>
        <w:rPr>
          <w:rFonts w:hint="eastAsia" w:ascii="仿宋" w:hAnsi="仿宋" w:eastAsia="仿宋" w:cs="仿宋"/>
          <w:b/>
          <w:bCs/>
          <w:color w:val="auto"/>
          <w:spacing w:val="-1"/>
          <w:sz w:val="24"/>
          <w:szCs w:val="24"/>
          <w:highlight w:val="none"/>
        </w:rPr>
        <w:t>件（</w:t>
      </w:r>
      <w:r>
        <w:rPr>
          <w:rFonts w:hint="eastAsia" w:ascii="仿宋" w:hAnsi="仿宋" w:eastAsia="仿宋" w:cs="仿宋"/>
          <w:b/>
          <w:bCs/>
          <w:color w:val="auto"/>
          <w:spacing w:val="-1"/>
          <w:sz w:val="24"/>
          <w:szCs w:val="24"/>
          <w:highlight w:val="none"/>
          <w:lang w:val="en-US" w:eastAsia="zh-CN"/>
        </w:rPr>
        <w:t>技术</w:t>
      </w:r>
      <w:r>
        <w:rPr>
          <w:rFonts w:hint="eastAsia" w:ascii="仿宋" w:hAnsi="仿宋" w:eastAsia="仿宋" w:cs="仿宋"/>
          <w:b/>
          <w:bCs/>
          <w:color w:val="auto"/>
          <w:spacing w:val="-1"/>
          <w:sz w:val="24"/>
          <w:szCs w:val="24"/>
          <w:highlight w:val="none"/>
        </w:rPr>
        <w:t>文件</w:t>
      </w:r>
      <w:r>
        <w:rPr>
          <w:rFonts w:hint="eastAsia" w:ascii="仿宋" w:hAnsi="仿宋" w:eastAsia="仿宋" w:cs="仿宋"/>
          <w:b/>
          <w:bCs/>
          <w:color w:val="auto"/>
          <w:spacing w:val="-44"/>
          <w:sz w:val="24"/>
          <w:szCs w:val="24"/>
          <w:highlight w:val="none"/>
        </w:rPr>
        <w:t xml:space="preserve"> </w:t>
      </w:r>
      <w:r>
        <w:rPr>
          <w:rFonts w:hint="eastAsia" w:ascii="仿宋" w:hAnsi="仿宋" w:eastAsia="仿宋" w:cs="仿宋"/>
          <w:b/>
          <w:bCs/>
          <w:color w:val="auto"/>
          <w:spacing w:val="-1"/>
          <w:sz w:val="24"/>
          <w:szCs w:val="24"/>
          <w:highlight w:val="none"/>
        </w:rPr>
        <w:t>）封面</w:t>
      </w:r>
      <w:r>
        <w:rPr>
          <w:rFonts w:hint="eastAsia" w:ascii="仿宋" w:hAnsi="仿宋" w:eastAsia="仿宋" w:cs="仿宋"/>
          <w:b/>
          <w:bCs/>
          <w:color w:val="auto"/>
          <w:spacing w:val="-1"/>
          <w:sz w:val="24"/>
          <w:szCs w:val="24"/>
          <w:highlight w:val="none"/>
          <w:lang w:val="en-US" w:eastAsia="zh-CN"/>
        </w:rPr>
        <w:t>格式</w:t>
      </w:r>
    </w:p>
    <w:p w14:paraId="0EFAABE7">
      <w:pPr>
        <w:ind w:firstLine="0" w:firstLineChars="0"/>
        <w:jc w:val="center"/>
        <w:rPr>
          <w:rFonts w:hint="eastAsia" w:ascii="仿宋" w:hAnsi="仿宋" w:eastAsia="仿宋" w:cs="仿宋"/>
          <w:b/>
          <w:bCs/>
          <w:color w:val="auto"/>
          <w:sz w:val="32"/>
          <w:szCs w:val="32"/>
          <w:highlight w:val="none"/>
        </w:rPr>
      </w:pPr>
    </w:p>
    <w:p w14:paraId="6106FC2A">
      <w:pPr>
        <w:ind w:left="0" w:leftChars="0" w:firstLine="0" w:firstLineChars="0"/>
        <w:jc w:val="center"/>
        <w:rPr>
          <w:rFonts w:hint="eastAsia" w:ascii="仿宋" w:hAnsi="仿宋" w:eastAsia="仿宋" w:cs="仿宋"/>
          <w:color w:val="auto"/>
          <w:highlight w:val="none"/>
        </w:rPr>
      </w:pPr>
      <w:r>
        <w:rPr>
          <w:rFonts w:hint="eastAsia" w:cs="仿宋"/>
          <w:b/>
          <w:bCs/>
          <w:color w:val="auto"/>
          <w:sz w:val="44"/>
          <w:szCs w:val="44"/>
          <w:highlight w:val="none"/>
          <w:lang w:eastAsia="zh-CN"/>
        </w:rPr>
        <w:t>云南轻纺职业学院人工智能学院云计算技术应用实训室及智慧教室建设项目</w:t>
      </w:r>
      <w:r>
        <w:rPr>
          <w:rFonts w:hint="eastAsia" w:cs="仿宋"/>
          <w:b/>
          <w:bCs/>
          <w:color w:val="auto"/>
          <w:sz w:val="44"/>
          <w:szCs w:val="44"/>
          <w:highlight w:val="none"/>
          <w:lang w:eastAsia="zh-CN"/>
        </w:rPr>
        <w:t>（</w:t>
      </w:r>
      <w:r>
        <w:rPr>
          <w:rFonts w:hint="eastAsia" w:cs="仿宋"/>
          <w:b/>
          <w:bCs/>
          <w:color w:val="auto"/>
          <w:sz w:val="44"/>
          <w:szCs w:val="44"/>
          <w:highlight w:val="none"/>
          <w:lang w:val="en-US" w:eastAsia="zh-CN"/>
        </w:rPr>
        <w:t>二次</w:t>
      </w:r>
      <w:r>
        <w:rPr>
          <w:rFonts w:hint="eastAsia" w:cs="仿宋"/>
          <w:b/>
          <w:bCs/>
          <w:color w:val="auto"/>
          <w:sz w:val="44"/>
          <w:szCs w:val="44"/>
          <w:highlight w:val="none"/>
          <w:lang w:eastAsia="zh-CN"/>
        </w:rPr>
        <w:t>）</w:t>
      </w:r>
    </w:p>
    <w:p w14:paraId="5795303B">
      <w:pPr>
        <w:bidi w:val="0"/>
        <w:rPr>
          <w:rFonts w:hint="eastAsia" w:ascii="仿宋" w:hAnsi="仿宋" w:eastAsia="仿宋" w:cs="仿宋"/>
          <w:color w:val="auto"/>
          <w:highlight w:val="none"/>
        </w:rPr>
      </w:pPr>
    </w:p>
    <w:p w14:paraId="323AB07A">
      <w:pPr>
        <w:bidi w:val="0"/>
        <w:rPr>
          <w:rFonts w:hint="eastAsia" w:ascii="仿宋" w:hAnsi="仿宋" w:eastAsia="仿宋" w:cs="仿宋"/>
          <w:color w:val="auto"/>
          <w:highlight w:val="none"/>
        </w:rPr>
      </w:pPr>
    </w:p>
    <w:p w14:paraId="0750834F">
      <w:pPr>
        <w:bidi w:val="0"/>
        <w:rPr>
          <w:rFonts w:hint="eastAsia" w:ascii="仿宋" w:hAnsi="仿宋" w:eastAsia="仿宋" w:cs="仿宋"/>
          <w:color w:val="auto"/>
          <w:highlight w:val="none"/>
        </w:rPr>
      </w:pPr>
    </w:p>
    <w:p w14:paraId="2A41AA4F">
      <w:pPr>
        <w:bidi w:val="0"/>
        <w:rPr>
          <w:rFonts w:hint="eastAsia" w:ascii="仿宋" w:hAnsi="仿宋" w:eastAsia="仿宋" w:cs="仿宋"/>
          <w:color w:val="auto"/>
          <w:highlight w:val="none"/>
        </w:rPr>
      </w:pPr>
    </w:p>
    <w:p w14:paraId="63079FE3">
      <w:pPr>
        <w:pStyle w:val="20"/>
        <w:rPr>
          <w:rFonts w:hint="eastAsia" w:ascii="仿宋" w:hAnsi="仿宋" w:eastAsia="仿宋" w:cs="仿宋"/>
          <w:b/>
          <w:color w:val="auto"/>
          <w:sz w:val="72"/>
          <w:szCs w:val="72"/>
          <w:highlight w:val="none"/>
        </w:rPr>
      </w:pPr>
      <w:r>
        <w:rPr>
          <w:rFonts w:hint="eastAsia" w:ascii="仿宋" w:hAnsi="仿宋" w:eastAsia="仿宋" w:cs="仿宋"/>
          <w:b/>
          <w:color w:val="auto"/>
          <w:sz w:val="96"/>
          <w:szCs w:val="96"/>
          <w:highlight w:val="none"/>
        </w:rPr>
        <w:t>投标文件</w:t>
      </w:r>
    </w:p>
    <w:p w14:paraId="0B71D568">
      <w:pPr>
        <w:pStyle w:val="33"/>
        <w:ind w:left="0" w:leftChars="0" w:firstLine="0" w:firstLineChars="0"/>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（技术文件）</w:t>
      </w:r>
    </w:p>
    <w:p w14:paraId="5608B01C">
      <w:pPr>
        <w:pStyle w:val="33"/>
        <w:ind w:left="0" w:leftChars="0" w:firstLine="0" w:firstLineChars="0"/>
        <w:jc w:val="center"/>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项目编号：</w:t>
      </w:r>
      <w:r>
        <w:rPr>
          <w:rFonts w:hint="eastAsia" w:ascii="仿宋" w:eastAsia="仿宋" w:cs="仿宋"/>
          <w:color w:val="auto"/>
          <w:sz w:val="28"/>
          <w:szCs w:val="28"/>
          <w:highlight w:val="none"/>
          <w:lang w:eastAsia="zh-CN"/>
        </w:rPr>
        <w:t>云润招字 HW2026-120</w:t>
      </w:r>
    </w:p>
    <w:p w14:paraId="545FFD15">
      <w:pPr>
        <w:bidi w:val="0"/>
        <w:rPr>
          <w:rFonts w:hint="eastAsia" w:ascii="仿宋" w:hAnsi="仿宋" w:eastAsia="仿宋" w:cs="仿宋"/>
          <w:color w:val="auto"/>
          <w:highlight w:val="none"/>
          <w:lang w:eastAsia="zh-CN"/>
        </w:rPr>
      </w:pPr>
    </w:p>
    <w:p w14:paraId="3A0B7153">
      <w:pPr>
        <w:bidi w:val="0"/>
        <w:rPr>
          <w:rFonts w:hint="eastAsia" w:ascii="仿宋" w:hAnsi="仿宋" w:eastAsia="仿宋" w:cs="仿宋"/>
          <w:color w:val="auto"/>
          <w:highlight w:val="none"/>
        </w:rPr>
      </w:pPr>
    </w:p>
    <w:p w14:paraId="38BFFF64">
      <w:pPr>
        <w:bidi w:val="0"/>
        <w:rPr>
          <w:rFonts w:hint="eastAsia" w:ascii="仿宋" w:hAnsi="仿宋" w:eastAsia="仿宋" w:cs="仿宋"/>
          <w:color w:val="auto"/>
          <w:highlight w:val="none"/>
        </w:rPr>
      </w:pPr>
    </w:p>
    <w:p w14:paraId="2A8759EC">
      <w:pPr>
        <w:bidi w:val="0"/>
        <w:rPr>
          <w:rFonts w:hint="eastAsia" w:ascii="仿宋" w:hAnsi="仿宋" w:eastAsia="仿宋" w:cs="仿宋"/>
          <w:color w:val="auto"/>
          <w:highlight w:val="none"/>
        </w:rPr>
      </w:pPr>
    </w:p>
    <w:p w14:paraId="6A48D115">
      <w:pPr>
        <w:ind w:firstLine="904" w:firstLineChars="300"/>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lang w:eastAsia="zh-CN"/>
        </w:rPr>
        <w:t>投标人</w:t>
      </w:r>
      <w:r>
        <w:rPr>
          <w:rFonts w:hint="eastAsia" w:ascii="仿宋" w:hAnsi="仿宋" w:eastAsia="仿宋" w:cs="仿宋"/>
          <w:b/>
          <w:bCs/>
          <w:color w:val="auto"/>
          <w:sz w:val="30"/>
          <w:szCs w:val="30"/>
          <w:highlight w:val="none"/>
        </w:rPr>
        <w:t>：</w:t>
      </w:r>
      <w:r>
        <w:rPr>
          <w:rFonts w:hint="eastAsia" w:ascii="仿宋" w:hAnsi="仿宋" w:eastAsia="仿宋" w:cs="仿宋"/>
          <w:b/>
          <w:bCs/>
          <w:color w:val="auto"/>
          <w:sz w:val="30"/>
          <w:szCs w:val="30"/>
          <w:highlight w:val="none"/>
          <w:u w:val="single"/>
        </w:rPr>
        <w:t xml:space="preserve">             </w:t>
      </w:r>
      <w:r>
        <w:rPr>
          <w:rFonts w:hint="eastAsia" w:ascii="仿宋" w:hAnsi="仿宋" w:eastAsia="仿宋" w:cs="仿宋"/>
          <w:b/>
          <w:bCs/>
          <w:color w:val="auto"/>
          <w:sz w:val="30"/>
          <w:szCs w:val="30"/>
          <w:highlight w:val="none"/>
        </w:rPr>
        <w:t>（电子签章）</w:t>
      </w:r>
    </w:p>
    <w:p w14:paraId="14153EDE">
      <w:pPr>
        <w:ind w:firstLine="904" w:firstLineChars="300"/>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t>法定代表人或委托代理人：</w:t>
      </w:r>
      <w:r>
        <w:rPr>
          <w:rFonts w:hint="eastAsia" w:ascii="仿宋" w:hAnsi="仿宋" w:eastAsia="仿宋" w:cs="仿宋"/>
          <w:b/>
          <w:bCs/>
          <w:color w:val="auto"/>
          <w:sz w:val="30"/>
          <w:szCs w:val="30"/>
          <w:highlight w:val="none"/>
          <w:u w:val="single"/>
        </w:rPr>
        <w:t xml:space="preserve">          </w:t>
      </w:r>
      <w:r>
        <w:rPr>
          <w:rFonts w:hint="eastAsia" w:ascii="仿宋" w:hAnsi="仿宋" w:eastAsia="仿宋" w:cs="仿宋"/>
          <w:b/>
          <w:bCs/>
          <w:color w:val="auto"/>
          <w:sz w:val="30"/>
          <w:szCs w:val="30"/>
          <w:highlight w:val="none"/>
        </w:rPr>
        <w:t xml:space="preserve"> （电子签章或电子签名）</w:t>
      </w:r>
    </w:p>
    <w:p w14:paraId="1CC5008D">
      <w:pPr>
        <w:bidi w:val="0"/>
        <w:ind w:firstLine="904" w:firstLineChars="300"/>
        <w:rPr>
          <w:rFonts w:hint="eastAsia" w:ascii="仿宋" w:hAnsi="仿宋" w:eastAsia="仿宋" w:cs="仿宋"/>
          <w:color w:val="auto"/>
          <w:highlight w:val="none"/>
        </w:rPr>
      </w:pPr>
      <w:r>
        <w:rPr>
          <w:rFonts w:hint="eastAsia" w:ascii="仿宋" w:hAnsi="仿宋" w:eastAsia="仿宋" w:cs="仿宋"/>
          <w:b/>
          <w:bCs/>
          <w:color w:val="auto"/>
          <w:sz w:val="30"/>
          <w:szCs w:val="30"/>
          <w:highlight w:val="none"/>
        </w:rPr>
        <w:t>日  期：</w:t>
      </w:r>
      <w:r>
        <w:rPr>
          <w:rFonts w:hint="eastAsia" w:ascii="仿宋" w:hAnsi="仿宋" w:eastAsia="仿宋" w:cs="仿宋"/>
          <w:b/>
          <w:bCs/>
          <w:color w:val="auto"/>
          <w:sz w:val="30"/>
          <w:szCs w:val="30"/>
          <w:highlight w:val="none"/>
          <w:u w:val="single"/>
        </w:rPr>
        <w:t xml:space="preserve">       </w:t>
      </w:r>
      <w:r>
        <w:rPr>
          <w:rFonts w:hint="eastAsia" w:ascii="仿宋" w:hAnsi="仿宋" w:eastAsia="仿宋" w:cs="仿宋"/>
          <w:b/>
          <w:bCs/>
          <w:color w:val="auto"/>
          <w:sz w:val="30"/>
          <w:szCs w:val="30"/>
          <w:highlight w:val="none"/>
        </w:rPr>
        <w:t>年</w:t>
      </w:r>
      <w:r>
        <w:rPr>
          <w:rFonts w:hint="eastAsia" w:ascii="仿宋" w:hAnsi="仿宋" w:eastAsia="仿宋" w:cs="仿宋"/>
          <w:b/>
          <w:bCs/>
          <w:color w:val="auto"/>
          <w:sz w:val="30"/>
          <w:szCs w:val="30"/>
          <w:highlight w:val="none"/>
          <w:u w:val="single"/>
        </w:rPr>
        <w:t xml:space="preserve">        </w:t>
      </w:r>
      <w:r>
        <w:rPr>
          <w:rFonts w:hint="eastAsia" w:ascii="仿宋" w:hAnsi="仿宋" w:eastAsia="仿宋" w:cs="仿宋"/>
          <w:b/>
          <w:bCs/>
          <w:color w:val="auto"/>
          <w:sz w:val="30"/>
          <w:szCs w:val="30"/>
          <w:highlight w:val="none"/>
        </w:rPr>
        <w:t xml:space="preserve">月 </w:t>
      </w:r>
      <w:r>
        <w:rPr>
          <w:rFonts w:hint="eastAsia" w:ascii="仿宋" w:hAnsi="仿宋" w:eastAsia="仿宋" w:cs="仿宋"/>
          <w:b/>
          <w:bCs/>
          <w:color w:val="auto"/>
          <w:sz w:val="30"/>
          <w:szCs w:val="30"/>
          <w:highlight w:val="none"/>
          <w:u w:val="single"/>
        </w:rPr>
        <w:t xml:space="preserve">      </w:t>
      </w:r>
      <w:r>
        <w:rPr>
          <w:rFonts w:hint="eastAsia" w:ascii="仿宋" w:hAnsi="仿宋" w:eastAsia="仿宋" w:cs="仿宋"/>
          <w:b/>
          <w:bCs/>
          <w:color w:val="auto"/>
          <w:sz w:val="30"/>
          <w:szCs w:val="30"/>
          <w:highlight w:val="none"/>
        </w:rPr>
        <w:t>日</w:t>
      </w:r>
      <w:r>
        <w:rPr>
          <w:rFonts w:hint="eastAsia" w:ascii="仿宋" w:hAnsi="仿宋" w:eastAsia="仿宋" w:cs="仿宋"/>
          <w:color w:val="auto"/>
          <w:highlight w:val="none"/>
        </w:rPr>
        <w:br w:type="page"/>
      </w:r>
    </w:p>
    <w:bookmarkEnd w:id="599"/>
    <w:bookmarkEnd w:id="600"/>
    <w:p w14:paraId="4CB7858C">
      <w:pPr>
        <w:pStyle w:val="5"/>
        <w:bidi w:val="0"/>
        <w:rPr>
          <w:rFonts w:hint="eastAsia" w:ascii="仿宋" w:hAnsi="仿宋" w:eastAsia="仿宋" w:cs="仿宋"/>
          <w:b w:val="0"/>
          <w:bCs w:val="0"/>
          <w:color w:val="auto"/>
          <w:highlight w:val="none"/>
          <w:lang w:eastAsia="zh-CN"/>
        </w:rPr>
      </w:pPr>
      <w:bookmarkStart w:id="601" w:name="_Toc18693"/>
      <w:bookmarkStart w:id="602" w:name="_Toc10102"/>
      <w:bookmarkStart w:id="603" w:name="_Toc7688"/>
      <w:bookmarkStart w:id="604" w:name="_Toc22590"/>
      <w:r>
        <w:rPr>
          <w:rFonts w:hint="eastAsia" w:ascii="仿宋" w:hAnsi="仿宋" w:eastAsia="仿宋" w:cs="仿宋"/>
          <w:color w:val="auto"/>
          <w:highlight w:val="none"/>
        </w:rPr>
        <w:t>格式1：</w:t>
      </w:r>
      <w:r>
        <w:rPr>
          <w:rFonts w:hint="eastAsia" w:ascii="仿宋" w:hAnsi="仿宋" w:eastAsia="仿宋" w:cs="仿宋"/>
          <w:color w:val="auto"/>
          <w:highlight w:val="none"/>
          <w:lang w:eastAsia="zh-CN"/>
        </w:rPr>
        <w:t>技术偏离应答表</w:t>
      </w:r>
      <w:bookmarkEnd w:id="601"/>
      <w:bookmarkEnd w:id="602"/>
    </w:p>
    <w:p w14:paraId="43FF8F59">
      <w:pPr>
        <w:pStyle w:val="20"/>
        <w:spacing w:line="600" w:lineRule="auto"/>
        <w:rPr>
          <w:rFonts w:hint="eastAsia" w:ascii="仿宋" w:hAnsi="仿宋" w:eastAsia="仿宋" w:cs="仿宋"/>
          <w:b/>
          <w:bCs/>
          <w:color w:val="auto"/>
          <w:sz w:val="48"/>
          <w:szCs w:val="40"/>
          <w:highlight w:val="none"/>
          <w:lang w:eastAsia="zh-CN"/>
        </w:rPr>
      </w:pPr>
      <w:r>
        <w:rPr>
          <w:rFonts w:hint="eastAsia" w:ascii="仿宋" w:hAnsi="仿宋" w:eastAsia="仿宋" w:cs="仿宋"/>
          <w:b/>
          <w:bCs/>
          <w:color w:val="auto"/>
          <w:sz w:val="48"/>
          <w:szCs w:val="40"/>
          <w:highlight w:val="none"/>
          <w:lang w:eastAsia="zh-CN"/>
        </w:rPr>
        <w:t>技术偏离应答表</w:t>
      </w:r>
    </w:p>
    <w:p w14:paraId="76323A63">
      <w:pPr>
        <w:spacing w:line="44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b/>
          <w:color w:val="auto"/>
          <w:sz w:val="24"/>
          <w:szCs w:val="24"/>
          <w:highlight w:val="none"/>
        </w:rPr>
        <w:t>本表格将作为评标委员会对</w:t>
      </w:r>
      <w:r>
        <w:rPr>
          <w:rFonts w:hint="eastAsia" w:ascii="仿宋" w:hAnsi="仿宋" w:cs="仿宋"/>
          <w:b/>
          <w:color w:val="auto"/>
          <w:sz w:val="24"/>
          <w:szCs w:val="24"/>
          <w:highlight w:val="none"/>
          <w:lang w:val="en-US" w:eastAsia="zh-CN"/>
        </w:rPr>
        <w:t>投标人</w:t>
      </w:r>
      <w:r>
        <w:rPr>
          <w:rFonts w:hint="eastAsia" w:ascii="仿宋" w:hAnsi="仿宋" w:eastAsia="仿宋" w:cs="仿宋"/>
          <w:b/>
          <w:color w:val="auto"/>
          <w:sz w:val="24"/>
          <w:szCs w:val="24"/>
          <w:highlight w:val="none"/>
        </w:rPr>
        <w:t>技术部分的评审依据。</w:t>
      </w:r>
    </w:p>
    <w:p w14:paraId="5D766503">
      <w:pPr>
        <w:spacing w:line="44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A.□我公司已详细阅读招标文件中</w:t>
      </w:r>
      <w:r>
        <w:rPr>
          <w:rFonts w:hint="eastAsia" w:ascii="仿宋" w:hAnsi="仿宋" w:eastAsia="仿宋" w:cs="宋体"/>
          <w:color w:val="auto"/>
          <w:sz w:val="24"/>
          <w:szCs w:val="24"/>
          <w:highlight w:val="none"/>
        </w:rPr>
        <w:t>第</w:t>
      </w:r>
      <w:r>
        <w:rPr>
          <w:rFonts w:hint="eastAsia" w:cs="宋体"/>
          <w:color w:val="auto"/>
          <w:sz w:val="24"/>
          <w:szCs w:val="24"/>
          <w:highlight w:val="none"/>
          <w:lang w:val="en-US" w:eastAsia="zh-CN"/>
        </w:rPr>
        <w:t>三</w:t>
      </w:r>
      <w:r>
        <w:rPr>
          <w:rFonts w:hint="eastAsia" w:ascii="仿宋" w:hAnsi="仿宋" w:eastAsia="仿宋" w:cs="宋体"/>
          <w:color w:val="auto"/>
          <w:sz w:val="24"/>
          <w:szCs w:val="24"/>
          <w:highlight w:val="none"/>
        </w:rPr>
        <w:t>章《</w:t>
      </w:r>
      <w:r>
        <w:rPr>
          <w:rFonts w:hint="eastAsia" w:cs="宋体"/>
          <w:color w:val="auto"/>
          <w:sz w:val="24"/>
          <w:szCs w:val="24"/>
          <w:highlight w:val="none"/>
          <w:lang w:val="en-US" w:eastAsia="zh-CN"/>
        </w:rPr>
        <w:t>采购需求</w:t>
      </w:r>
      <w:r>
        <w:rPr>
          <w:rFonts w:hint="eastAsia" w:ascii="仿宋" w:hAnsi="仿宋" w:eastAsia="仿宋" w:cs="宋体"/>
          <w:color w:val="auto"/>
          <w:sz w:val="24"/>
          <w:szCs w:val="24"/>
          <w:highlight w:val="none"/>
        </w:rPr>
        <w:t>》</w:t>
      </w:r>
      <w:r>
        <w:rPr>
          <w:rFonts w:hint="eastAsia" w:ascii="仿宋" w:hAnsi="仿宋" w:eastAsia="仿宋" w:cs="仿宋"/>
          <w:color w:val="auto"/>
          <w:sz w:val="24"/>
          <w:szCs w:val="24"/>
          <w:highlight w:val="none"/>
        </w:rPr>
        <w:t>中</w:t>
      </w:r>
      <w:r>
        <w:rPr>
          <w:rFonts w:hint="eastAsia" w:ascii="仿宋" w:hAnsi="仿宋" w:cs="仿宋"/>
          <w:color w:val="auto"/>
          <w:sz w:val="24"/>
          <w:szCs w:val="24"/>
          <w:highlight w:val="none"/>
          <w:lang w:eastAsia="zh-CN"/>
        </w:rPr>
        <w:t>“</w:t>
      </w:r>
      <w:r>
        <w:rPr>
          <w:rFonts w:hint="eastAsia" w:ascii="仿宋" w:hAnsi="仿宋" w:cs="仿宋"/>
          <w:color w:val="auto"/>
          <w:sz w:val="24"/>
          <w:szCs w:val="24"/>
          <w:highlight w:val="none"/>
          <w:lang w:val="en-US" w:eastAsia="zh-CN"/>
        </w:rPr>
        <w:t>三、</w:t>
      </w:r>
      <w:r>
        <w:rPr>
          <w:rFonts w:hint="eastAsia" w:ascii="仿宋" w:hAnsi="仿宋" w:cs="仿宋"/>
          <w:color w:val="auto"/>
          <w:sz w:val="24"/>
          <w:szCs w:val="24"/>
          <w:highlight w:val="none"/>
          <w:lang w:eastAsia="zh-CN"/>
        </w:rPr>
        <w:t>采购标的需满足的质量、安全、技术规格、物理特性等要求”</w:t>
      </w:r>
      <w:r>
        <w:rPr>
          <w:rFonts w:hint="eastAsia" w:ascii="仿宋" w:hAnsi="仿宋" w:eastAsia="仿宋" w:cs="仿宋"/>
          <w:color w:val="auto"/>
          <w:sz w:val="24"/>
          <w:szCs w:val="24"/>
          <w:highlight w:val="none"/>
        </w:rPr>
        <w:t>要求，所有要求均无偏离，中标后我公司将严格遵照执行。</w:t>
      </w:r>
    </w:p>
    <w:p w14:paraId="676A9A72">
      <w:pPr>
        <w:spacing w:line="44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B.□我公司已详细阅读招标文件中</w:t>
      </w:r>
      <w:r>
        <w:rPr>
          <w:rFonts w:hint="eastAsia" w:ascii="仿宋" w:hAnsi="仿宋" w:eastAsia="仿宋" w:cs="宋体"/>
          <w:color w:val="auto"/>
          <w:sz w:val="24"/>
          <w:szCs w:val="24"/>
          <w:highlight w:val="none"/>
        </w:rPr>
        <w:t>第</w:t>
      </w:r>
      <w:r>
        <w:rPr>
          <w:rFonts w:hint="eastAsia" w:cs="宋体"/>
          <w:color w:val="auto"/>
          <w:sz w:val="24"/>
          <w:szCs w:val="24"/>
          <w:highlight w:val="none"/>
          <w:lang w:val="en-US" w:eastAsia="zh-CN"/>
        </w:rPr>
        <w:t>三</w:t>
      </w:r>
      <w:r>
        <w:rPr>
          <w:rFonts w:hint="eastAsia" w:ascii="仿宋" w:hAnsi="仿宋" w:eastAsia="仿宋" w:cs="宋体"/>
          <w:color w:val="auto"/>
          <w:sz w:val="24"/>
          <w:szCs w:val="24"/>
          <w:highlight w:val="none"/>
        </w:rPr>
        <w:t>章《</w:t>
      </w:r>
      <w:r>
        <w:rPr>
          <w:rFonts w:hint="eastAsia" w:cs="宋体"/>
          <w:color w:val="auto"/>
          <w:sz w:val="24"/>
          <w:szCs w:val="24"/>
          <w:highlight w:val="none"/>
          <w:lang w:val="en-US" w:eastAsia="zh-CN"/>
        </w:rPr>
        <w:t>采购需求</w:t>
      </w:r>
      <w:r>
        <w:rPr>
          <w:rFonts w:hint="eastAsia" w:ascii="仿宋" w:hAnsi="仿宋" w:eastAsia="仿宋" w:cs="宋体"/>
          <w:color w:val="auto"/>
          <w:sz w:val="24"/>
          <w:szCs w:val="24"/>
          <w:highlight w:val="none"/>
        </w:rPr>
        <w:t>》</w:t>
      </w:r>
      <w:r>
        <w:rPr>
          <w:rFonts w:hint="eastAsia" w:ascii="仿宋" w:hAnsi="仿宋" w:eastAsia="仿宋" w:cs="仿宋"/>
          <w:color w:val="auto"/>
          <w:sz w:val="24"/>
          <w:szCs w:val="24"/>
          <w:highlight w:val="none"/>
        </w:rPr>
        <w:t>中</w:t>
      </w:r>
      <w:r>
        <w:rPr>
          <w:rFonts w:hint="eastAsia" w:ascii="仿宋" w:hAnsi="仿宋" w:cs="仿宋"/>
          <w:color w:val="auto"/>
          <w:sz w:val="24"/>
          <w:szCs w:val="24"/>
          <w:highlight w:val="none"/>
          <w:lang w:eastAsia="zh-CN"/>
        </w:rPr>
        <w:t>“</w:t>
      </w:r>
      <w:r>
        <w:rPr>
          <w:rFonts w:hint="eastAsia" w:ascii="仿宋" w:hAnsi="仿宋" w:cs="仿宋"/>
          <w:color w:val="auto"/>
          <w:sz w:val="24"/>
          <w:szCs w:val="24"/>
          <w:highlight w:val="none"/>
          <w:lang w:val="en-US" w:eastAsia="zh-CN"/>
        </w:rPr>
        <w:t>三、</w:t>
      </w:r>
      <w:r>
        <w:rPr>
          <w:rFonts w:hint="eastAsia" w:ascii="仿宋" w:hAnsi="仿宋" w:cs="仿宋"/>
          <w:color w:val="auto"/>
          <w:sz w:val="24"/>
          <w:szCs w:val="24"/>
          <w:highlight w:val="none"/>
          <w:lang w:eastAsia="zh-CN"/>
        </w:rPr>
        <w:t>采购标的需满足的质量、安全、技术规格、物理特性等要求”</w:t>
      </w:r>
      <w:r>
        <w:rPr>
          <w:rFonts w:hint="eastAsia" w:ascii="仿宋" w:hAnsi="仿宋" w:eastAsia="仿宋" w:cs="仿宋"/>
          <w:color w:val="auto"/>
          <w:sz w:val="24"/>
          <w:szCs w:val="24"/>
          <w:highlight w:val="none"/>
        </w:rPr>
        <w:t>要求，除下述条款有偏离外，其余条款我公司均予以认可，中标后将严格遵照执行。</w:t>
      </w:r>
    </w:p>
    <w:tbl>
      <w:tblPr>
        <w:tblStyle w:val="35"/>
        <w:tblW w:w="954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6"/>
        <w:gridCol w:w="1535"/>
        <w:gridCol w:w="2944"/>
        <w:gridCol w:w="2157"/>
        <w:gridCol w:w="889"/>
        <w:gridCol w:w="1366"/>
      </w:tblGrid>
      <w:tr w14:paraId="51E10B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656" w:type="dxa"/>
            <w:vAlign w:val="center"/>
          </w:tcPr>
          <w:p w14:paraId="0E4A4FCA">
            <w:pPr>
              <w:spacing w:line="44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序号</w:t>
            </w:r>
          </w:p>
        </w:tc>
        <w:tc>
          <w:tcPr>
            <w:tcW w:w="1535" w:type="dxa"/>
            <w:vAlign w:val="center"/>
          </w:tcPr>
          <w:p w14:paraId="0E0C245C">
            <w:pPr>
              <w:spacing w:line="44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项目名称</w:t>
            </w:r>
          </w:p>
        </w:tc>
        <w:tc>
          <w:tcPr>
            <w:tcW w:w="2944" w:type="dxa"/>
            <w:vAlign w:val="center"/>
          </w:tcPr>
          <w:p w14:paraId="5CA0114E">
            <w:pPr>
              <w:spacing w:line="44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招标文件服务规范、要求</w:t>
            </w:r>
          </w:p>
        </w:tc>
        <w:tc>
          <w:tcPr>
            <w:tcW w:w="2157" w:type="dxa"/>
            <w:vAlign w:val="center"/>
          </w:tcPr>
          <w:p w14:paraId="13EF191A">
            <w:pPr>
              <w:spacing w:line="44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投标文件服务承诺</w:t>
            </w:r>
          </w:p>
        </w:tc>
        <w:tc>
          <w:tcPr>
            <w:tcW w:w="889" w:type="dxa"/>
            <w:vAlign w:val="center"/>
          </w:tcPr>
          <w:p w14:paraId="2BB67684">
            <w:pPr>
              <w:spacing w:line="44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偏离</w:t>
            </w:r>
          </w:p>
        </w:tc>
        <w:tc>
          <w:tcPr>
            <w:tcW w:w="1366" w:type="dxa"/>
            <w:vAlign w:val="center"/>
          </w:tcPr>
          <w:p w14:paraId="1079F13A">
            <w:pPr>
              <w:spacing w:line="44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说明</w:t>
            </w:r>
          </w:p>
        </w:tc>
      </w:tr>
      <w:tr w14:paraId="0D3747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656" w:type="dxa"/>
            <w:vAlign w:val="center"/>
          </w:tcPr>
          <w:p w14:paraId="08277C7D">
            <w:pPr>
              <w:spacing w:line="440" w:lineRule="exact"/>
              <w:jc w:val="center"/>
              <w:rPr>
                <w:rFonts w:hint="eastAsia" w:ascii="仿宋" w:hAnsi="仿宋" w:eastAsia="仿宋" w:cs="仿宋"/>
                <w:color w:val="auto"/>
                <w:sz w:val="24"/>
                <w:szCs w:val="24"/>
                <w:highlight w:val="none"/>
              </w:rPr>
            </w:pPr>
          </w:p>
        </w:tc>
        <w:tc>
          <w:tcPr>
            <w:tcW w:w="1535" w:type="dxa"/>
            <w:vAlign w:val="center"/>
          </w:tcPr>
          <w:p w14:paraId="62773BA4">
            <w:pPr>
              <w:spacing w:line="440" w:lineRule="exact"/>
              <w:jc w:val="center"/>
              <w:rPr>
                <w:rFonts w:hint="eastAsia" w:ascii="仿宋" w:hAnsi="仿宋" w:eastAsia="仿宋" w:cs="仿宋"/>
                <w:color w:val="auto"/>
                <w:sz w:val="24"/>
                <w:szCs w:val="24"/>
                <w:highlight w:val="none"/>
              </w:rPr>
            </w:pPr>
          </w:p>
        </w:tc>
        <w:tc>
          <w:tcPr>
            <w:tcW w:w="2944" w:type="dxa"/>
            <w:vAlign w:val="center"/>
          </w:tcPr>
          <w:p w14:paraId="469FD3D8">
            <w:pPr>
              <w:spacing w:line="440" w:lineRule="exact"/>
              <w:jc w:val="center"/>
              <w:rPr>
                <w:rFonts w:hint="eastAsia" w:ascii="仿宋" w:hAnsi="仿宋" w:eastAsia="仿宋" w:cs="仿宋"/>
                <w:color w:val="auto"/>
                <w:sz w:val="24"/>
                <w:szCs w:val="24"/>
                <w:highlight w:val="none"/>
              </w:rPr>
            </w:pPr>
          </w:p>
        </w:tc>
        <w:tc>
          <w:tcPr>
            <w:tcW w:w="2157" w:type="dxa"/>
            <w:vAlign w:val="center"/>
          </w:tcPr>
          <w:p w14:paraId="4CD97BD3">
            <w:pPr>
              <w:spacing w:line="440" w:lineRule="exact"/>
              <w:jc w:val="center"/>
              <w:rPr>
                <w:rFonts w:hint="eastAsia" w:ascii="仿宋" w:hAnsi="仿宋" w:eastAsia="仿宋" w:cs="仿宋"/>
                <w:color w:val="auto"/>
                <w:sz w:val="24"/>
                <w:szCs w:val="24"/>
                <w:highlight w:val="none"/>
              </w:rPr>
            </w:pPr>
          </w:p>
        </w:tc>
        <w:tc>
          <w:tcPr>
            <w:tcW w:w="889" w:type="dxa"/>
            <w:vAlign w:val="center"/>
          </w:tcPr>
          <w:p w14:paraId="62BB963C">
            <w:pPr>
              <w:spacing w:line="440" w:lineRule="exact"/>
              <w:jc w:val="center"/>
              <w:rPr>
                <w:rFonts w:hint="eastAsia" w:ascii="仿宋" w:hAnsi="仿宋" w:eastAsia="仿宋" w:cs="仿宋"/>
                <w:color w:val="auto"/>
                <w:sz w:val="24"/>
                <w:szCs w:val="24"/>
                <w:highlight w:val="none"/>
              </w:rPr>
            </w:pPr>
          </w:p>
        </w:tc>
        <w:tc>
          <w:tcPr>
            <w:tcW w:w="1366" w:type="dxa"/>
            <w:vAlign w:val="center"/>
          </w:tcPr>
          <w:p w14:paraId="61FFF6B0">
            <w:pPr>
              <w:spacing w:line="440" w:lineRule="exact"/>
              <w:jc w:val="center"/>
              <w:rPr>
                <w:rFonts w:hint="eastAsia" w:ascii="仿宋" w:hAnsi="仿宋" w:eastAsia="仿宋" w:cs="仿宋"/>
                <w:color w:val="auto"/>
                <w:sz w:val="24"/>
                <w:szCs w:val="24"/>
                <w:highlight w:val="none"/>
              </w:rPr>
            </w:pPr>
          </w:p>
        </w:tc>
      </w:tr>
      <w:tr w14:paraId="73CCA5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656" w:type="dxa"/>
            <w:vAlign w:val="center"/>
          </w:tcPr>
          <w:p w14:paraId="226C0E2F">
            <w:pPr>
              <w:spacing w:line="440" w:lineRule="exact"/>
              <w:jc w:val="center"/>
              <w:rPr>
                <w:rFonts w:hint="eastAsia" w:ascii="仿宋" w:hAnsi="仿宋" w:eastAsia="仿宋" w:cs="仿宋"/>
                <w:color w:val="auto"/>
                <w:sz w:val="24"/>
                <w:szCs w:val="24"/>
                <w:highlight w:val="none"/>
              </w:rPr>
            </w:pPr>
          </w:p>
        </w:tc>
        <w:tc>
          <w:tcPr>
            <w:tcW w:w="1535" w:type="dxa"/>
            <w:vAlign w:val="center"/>
          </w:tcPr>
          <w:p w14:paraId="67DD539D">
            <w:pPr>
              <w:spacing w:line="440" w:lineRule="exact"/>
              <w:jc w:val="center"/>
              <w:rPr>
                <w:rFonts w:hint="eastAsia" w:ascii="仿宋" w:hAnsi="仿宋" w:eastAsia="仿宋" w:cs="仿宋"/>
                <w:color w:val="auto"/>
                <w:sz w:val="24"/>
                <w:szCs w:val="24"/>
                <w:highlight w:val="none"/>
              </w:rPr>
            </w:pPr>
          </w:p>
        </w:tc>
        <w:tc>
          <w:tcPr>
            <w:tcW w:w="2944" w:type="dxa"/>
            <w:vAlign w:val="center"/>
          </w:tcPr>
          <w:p w14:paraId="080931FC">
            <w:pPr>
              <w:spacing w:line="440" w:lineRule="exact"/>
              <w:jc w:val="center"/>
              <w:rPr>
                <w:rFonts w:hint="eastAsia" w:ascii="仿宋" w:hAnsi="仿宋" w:eastAsia="仿宋" w:cs="仿宋"/>
                <w:color w:val="auto"/>
                <w:sz w:val="24"/>
                <w:szCs w:val="24"/>
                <w:highlight w:val="none"/>
              </w:rPr>
            </w:pPr>
          </w:p>
        </w:tc>
        <w:tc>
          <w:tcPr>
            <w:tcW w:w="2157" w:type="dxa"/>
            <w:vAlign w:val="center"/>
          </w:tcPr>
          <w:p w14:paraId="337D6889">
            <w:pPr>
              <w:spacing w:line="440" w:lineRule="exact"/>
              <w:jc w:val="center"/>
              <w:rPr>
                <w:rFonts w:hint="eastAsia" w:ascii="仿宋" w:hAnsi="仿宋" w:eastAsia="仿宋" w:cs="仿宋"/>
                <w:color w:val="auto"/>
                <w:sz w:val="24"/>
                <w:szCs w:val="24"/>
                <w:highlight w:val="none"/>
              </w:rPr>
            </w:pPr>
          </w:p>
        </w:tc>
        <w:tc>
          <w:tcPr>
            <w:tcW w:w="889" w:type="dxa"/>
            <w:vAlign w:val="center"/>
          </w:tcPr>
          <w:p w14:paraId="38111744">
            <w:pPr>
              <w:spacing w:line="440" w:lineRule="exact"/>
              <w:jc w:val="center"/>
              <w:rPr>
                <w:rFonts w:hint="eastAsia" w:ascii="仿宋" w:hAnsi="仿宋" w:eastAsia="仿宋" w:cs="仿宋"/>
                <w:color w:val="auto"/>
                <w:sz w:val="24"/>
                <w:szCs w:val="24"/>
                <w:highlight w:val="none"/>
              </w:rPr>
            </w:pPr>
          </w:p>
        </w:tc>
        <w:tc>
          <w:tcPr>
            <w:tcW w:w="1366" w:type="dxa"/>
            <w:vAlign w:val="center"/>
          </w:tcPr>
          <w:p w14:paraId="5AEFDCEA">
            <w:pPr>
              <w:spacing w:line="440" w:lineRule="exact"/>
              <w:jc w:val="center"/>
              <w:rPr>
                <w:rFonts w:hint="eastAsia" w:ascii="仿宋" w:hAnsi="仿宋" w:eastAsia="仿宋" w:cs="仿宋"/>
                <w:color w:val="auto"/>
                <w:sz w:val="24"/>
                <w:szCs w:val="24"/>
                <w:highlight w:val="none"/>
              </w:rPr>
            </w:pPr>
          </w:p>
        </w:tc>
      </w:tr>
      <w:tr w14:paraId="6F4B7C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656" w:type="dxa"/>
            <w:vAlign w:val="center"/>
          </w:tcPr>
          <w:p w14:paraId="10F4A92B">
            <w:pPr>
              <w:spacing w:line="440" w:lineRule="exact"/>
              <w:jc w:val="center"/>
              <w:rPr>
                <w:rFonts w:hint="eastAsia" w:ascii="仿宋" w:hAnsi="仿宋" w:eastAsia="仿宋" w:cs="仿宋"/>
                <w:color w:val="auto"/>
                <w:sz w:val="24"/>
                <w:szCs w:val="24"/>
                <w:highlight w:val="none"/>
              </w:rPr>
            </w:pPr>
          </w:p>
        </w:tc>
        <w:tc>
          <w:tcPr>
            <w:tcW w:w="1535" w:type="dxa"/>
            <w:vAlign w:val="center"/>
          </w:tcPr>
          <w:p w14:paraId="0B7B639F">
            <w:pPr>
              <w:spacing w:line="440" w:lineRule="exact"/>
              <w:jc w:val="center"/>
              <w:rPr>
                <w:rFonts w:hint="eastAsia" w:ascii="仿宋" w:hAnsi="仿宋" w:eastAsia="仿宋" w:cs="仿宋"/>
                <w:color w:val="auto"/>
                <w:sz w:val="24"/>
                <w:szCs w:val="24"/>
                <w:highlight w:val="none"/>
              </w:rPr>
            </w:pPr>
          </w:p>
        </w:tc>
        <w:tc>
          <w:tcPr>
            <w:tcW w:w="2944" w:type="dxa"/>
            <w:vAlign w:val="center"/>
          </w:tcPr>
          <w:p w14:paraId="6340102F">
            <w:pPr>
              <w:spacing w:line="440" w:lineRule="exact"/>
              <w:jc w:val="center"/>
              <w:rPr>
                <w:rFonts w:hint="eastAsia" w:ascii="仿宋" w:hAnsi="仿宋" w:eastAsia="仿宋" w:cs="仿宋"/>
                <w:color w:val="auto"/>
                <w:sz w:val="24"/>
                <w:szCs w:val="24"/>
                <w:highlight w:val="none"/>
              </w:rPr>
            </w:pPr>
          </w:p>
        </w:tc>
        <w:tc>
          <w:tcPr>
            <w:tcW w:w="2157" w:type="dxa"/>
            <w:vAlign w:val="center"/>
          </w:tcPr>
          <w:p w14:paraId="4EB4BAD2">
            <w:pPr>
              <w:spacing w:line="440" w:lineRule="exact"/>
              <w:jc w:val="center"/>
              <w:rPr>
                <w:rFonts w:hint="eastAsia" w:ascii="仿宋" w:hAnsi="仿宋" w:eastAsia="仿宋" w:cs="仿宋"/>
                <w:color w:val="auto"/>
                <w:sz w:val="24"/>
                <w:szCs w:val="24"/>
                <w:highlight w:val="none"/>
              </w:rPr>
            </w:pPr>
          </w:p>
        </w:tc>
        <w:tc>
          <w:tcPr>
            <w:tcW w:w="889" w:type="dxa"/>
            <w:vAlign w:val="center"/>
          </w:tcPr>
          <w:p w14:paraId="4303D43E">
            <w:pPr>
              <w:spacing w:line="440" w:lineRule="exact"/>
              <w:jc w:val="center"/>
              <w:rPr>
                <w:rFonts w:hint="eastAsia" w:ascii="仿宋" w:hAnsi="仿宋" w:eastAsia="仿宋" w:cs="仿宋"/>
                <w:color w:val="auto"/>
                <w:sz w:val="24"/>
                <w:szCs w:val="24"/>
                <w:highlight w:val="none"/>
              </w:rPr>
            </w:pPr>
          </w:p>
        </w:tc>
        <w:tc>
          <w:tcPr>
            <w:tcW w:w="1366" w:type="dxa"/>
            <w:vAlign w:val="center"/>
          </w:tcPr>
          <w:p w14:paraId="03BF7AEE">
            <w:pPr>
              <w:spacing w:line="440" w:lineRule="exact"/>
              <w:jc w:val="center"/>
              <w:rPr>
                <w:rFonts w:hint="eastAsia" w:ascii="仿宋" w:hAnsi="仿宋" w:eastAsia="仿宋" w:cs="仿宋"/>
                <w:color w:val="auto"/>
                <w:sz w:val="24"/>
                <w:szCs w:val="24"/>
                <w:highlight w:val="none"/>
              </w:rPr>
            </w:pPr>
          </w:p>
        </w:tc>
      </w:tr>
    </w:tbl>
    <w:p w14:paraId="091E3BA7">
      <w:pPr>
        <w:spacing w:line="360" w:lineRule="auto"/>
        <w:ind w:firstLine="2" w:firstLineChars="1"/>
        <w:rPr>
          <w:rFonts w:hint="eastAsia" w:ascii="仿宋" w:hAnsi="仿宋" w:eastAsia="仿宋" w:cs="仿宋"/>
          <w:color w:val="auto"/>
          <w:sz w:val="24"/>
          <w:szCs w:val="24"/>
          <w:highlight w:val="none"/>
        </w:rPr>
      </w:pPr>
    </w:p>
    <w:p w14:paraId="1A55680F">
      <w:pPr>
        <w:spacing w:line="360" w:lineRule="auto"/>
        <w:ind w:firstLine="2" w:firstLineChars="1"/>
        <w:rPr>
          <w:rFonts w:hint="eastAsia" w:ascii="仿宋" w:hAnsi="仿宋" w:eastAsia="仿宋" w:cs="仿宋"/>
          <w:color w:val="auto"/>
          <w:sz w:val="24"/>
          <w:szCs w:val="24"/>
          <w:highlight w:val="none"/>
        </w:rPr>
      </w:pPr>
    </w:p>
    <w:p w14:paraId="5AFBC1BD">
      <w:pPr>
        <w:spacing w:line="360" w:lineRule="auto"/>
        <w:ind w:firstLine="2" w:firstLineChars="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（电子公章）</w:t>
      </w:r>
    </w:p>
    <w:p w14:paraId="185709B8">
      <w:pPr>
        <w:spacing w:line="360" w:lineRule="auto"/>
        <w:ind w:firstLine="2" w:firstLineChars="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法定代表人或委托代理人：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（电子签名或电子签章）</w:t>
      </w:r>
    </w:p>
    <w:p w14:paraId="3A09727D">
      <w:pPr>
        <w:spacing w:line="360" w:lineRule="auto"/>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日期：</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日</w:t>
      </w:r>
    </w:p>
    <w:p w14:paraId="5E11D5F2">
      <w:pPr>
        <w:pStyle w:val="20"/>
        <w:spacing w:line="440" w:lineRule="exact"/>
        <w:rPr>
          <w:rFonts w:hint="eastAsia" w:ascii="仿宋" w:hAnsi="仿宋" w:eastAsia="仿宋" w:cs="仿宋"/>
          <w:b/>
          <w:color w:val="auto"/>
          <w:sz w:val="24"/>
          <w:szCs w:val="24"/>
          <w:highlight w:val="none"/>
        </w:rPr>
      </w:pPr>
    </w:p>
    <w:p w14:paraId="6170C6DA">
      <w:pPr>
        <w:pStyle w:val="20"/>
        <w:spacing w:line="44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表格填写说明：</w:t>
      </w:r>
    </w:p>
    <w:p w14:paraId="75236E1B">
      <w:pPr>
        <w:pStyle w:val="20"/>
        <w:spacing w:line="44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投标人根据实际投标情况，填写本表格，若无偏离，则勾选A项，签字盖章即可。若有偏离，则勾选B项，按表格要求及实际情况填写后，签字盖章。</w:t>
      </w:r>
    </w:p>
    <w:p w14:paraId="001EDE33">
      <w:pPr>
        <w:spacing w:line="360" w:lineRule="auto"/>
        <w:ind w:firstLine="560" w:firstLineChars="200"/>
        <w:jc w:val="left"/>
        <w:rPr>
          <w:rFonts w:hint="eastAsia" w:ascii="仿宋" w:hAnsi="仿宋" w:eastAsia="仿宋" w:cs="仿宋"/>
          <w:bCs w:val="0"/>
          <w:color w:val="auto"/>
          <w:szCs w:val="24"/>
          <w:highlight w:val="none"/>
          <w:lang w:val="en-US" w:eastAsia="zh-CN"/>
        </w:rPr>
      </w:pPr>
    </w:p>
    <w:p w14:paraId="76B8CA53">
      <w:pPr>
        <w:ind w:left="0" w:leftChars="0" w:firstLine="0" w:firstLineChars="0"/>
        <w:rPr>
          <w:rFonts w:hint="eastAsia" w:cs="仿宋"/>
          <w:b/>
          <w:bCs/>
          <w:color w:val="auto"/>
          <w:highlight w:val="none"/>
          <w:u w:val="single"/>
          <w:lang w:val="en-US" w:eastAsia="zh-CN"/>
        </w:rPr>
      </w:pPr>
    </w:p>
    <w:p w14:paraId="7F6E274B">
      <w:pPr>
        <w:spacing w:line="240" w:lineRule="auto"/>
        <w:ind w:firstLine="422"/>
        <w:rPr>
          <w:rFonts w:hint="eastAsia" w:ascii="仿宋" w:hAnsi="仿宋" w:eastAsia="仿宋" w:cs="仿宋"/>
          <w:color w:val="auto"/>
          <w:highlight w:val="none"/>
        </w:rPr>
      </w:pPr>
      <w:r>
        <w:rPr>
          <w:rFonts w:hint="eastAsia" w:ascii="仿宋" w:hAnsi="仿宋" w:eastAsia="仿宋" w:cs="仿宋"/>
          <w:color w:val="auto"/>
          <w:highlight w:val="none"/>
        </w:rPr>
        <w:br w:type="page"/>
      </w:r>
    </w:p>
    <w:p w14:paraId="0B884AD1">
      <w:pPr>
        <w:pStyle w:val="5"/>
        <w:ind w:firstLine="602"/>
        <w:rPr>
          <w:rFonts w:hint="eastAsia" w:ascii="仿宋" w:hAnsi="仿宋" w:eastAsia="仿宋" w:cs="仿宋"/>
          <w:color w:val="auto"/>
          <w:highlight w:val="none"/>
        </w:rPr>
      </w:pPr>
      <w:bookmarkStart w:id="605" w:name="_Toc31186"/>
      <w:r>
        <w:rPr>
          <w:rFonts w:hint="eastAsia" w:ascii="仿宋" w:hAnsi="仿宋" w:eastAsia="仿宋" w:cs="仿宋"/>
          <w:color w:val="auto"/>
          <w:highlight w:val="none"/>
        </w:rPr>
        <w:t>格式</w:t>
      </w:r>
      <w:r>
        <w:rPr>
          <w:rFonts w:hint="eastAsia" w:ascii="仿宋" w:hAnsi="仿宋" w:eastAsia="仿宋" w:cs="仿宋"/>
          <w:color w:val="auto"/>
          <w:highlight w:val="none"/>
          <w:lang w:val="en-US" w:eastAsia="zh-CN"/>
        </w:rPr>
        <w:t>2</w:t>
      </w:r>
      <w:r>
        <w:rPr>
          <w:rFonts w:hint="eastAsia" w:ascii="仿宋" w:hAnsi="仿宋" w:eastAsia="仿宋" w:cs="仿宋"/>
          <w:color w:val="auto"/>
          <w:highlight w:val="none"/>
        </w:rPr>
        <w:t>：</w:t>
      </w:r>
      <w:bookmarkEnd w:id="603"/>
      <w:bookmarkEnd w:id="604"/>
      <w:r>
        <w:rPr>
          <w:rFonts w:hint="eastAsia" w:cs="仿宋"/>
          <w:color w:val="auto"/>
          <w:highlight w:val="none"/>
          <w:lang w:val="en-US" w:eastAsia="zh-CN"/>
        </w:rPr>
        <w:t>供货</w:t>
      </w:r>
      <w:r>
        <w:rPr>
          <w:rFonts w:hint="eastAsia" w:ascii="仿宋" w:hAnsi="仿宋" w:eastAsia="仿宋" w:cs="仿宋"/>
          <w:color w:val="auto"/>
          <w:highlight w:val="none"/>
        </w:rPr>
        <w:t>方案</w:t>
      </w:r>
      <w:bookmarkEnd w:id="605"/>
    </w:p>
    <w:p w14:paraId="55E90F77">
      <w:pPr>
        <w:ind w:firstLine="0" w:firstLineChars="0"/>
        <w:jc w:val="center"/>
        <w:rPr>
          <w:rFonts w:hint="eastAsia" w:ascii="仿宋" w:hAnsi="仿宋" w:eastAsia="仿宋" w:cs="仿宋"/>
          <w:color w:val="auto"/>
          <w:highlight w:val="none"/>
        </w:rPr>
      </w:pPr>
      <w:r>
        <w:rPr>
          <w:rFonts w:hint="eastAsia" w:ascii="仿宋" w:hAnsi="仿宋" w:eastAsia="仿宋" w:cs="仿宋"/>
          <w:color w:val="auto"/>
          <w:highlight w:val="none"/>
        </w:rPr>
        <w:t>（按照评审内容及评分标准，内容、格式自拟</w:t>
      </w:r>
      <w:r>
        <w:rPr>
          <w:rFonts w:hint="eastAsia" w:ascii="仿宋" w:hAnsi="仿宋" w:eastAsia="仿宋" w:cs="仿宋"/>
          <w:color w:val="auto"/>
          <w:highlight w:val="none"/>
          <w:lang w:eastAsia="zh-CN"/>
        </w:rPr>
        <w:t>）</w:t>
      </w:r>
    </w:p>
    <w:p w14:paraId="75E4D0C1">
      <w:pPr>
        <w:ind w:firstLine="560"/>
        <w:rPr>
          <w:rFonts w:hint="eastAsia" w:ascii="仿宋" w:hAnsi="仿宋" w:eastAsia="仿宋" w:cs="仿宋"/>
          <w:color w:val="auto"/>
          <w:highlight w:val="none"/>
        </w:rPr>
      </w:pPr>
    </w:p>
    <w:p w14:paraId="6506B6D1">
      <w:pPr>
        <w:ind w:firstLine="560"/>
        <w:rPr>
          <w:rFonts w:hint="eastAsia" w:ascii="仿宋" w:hAnsi="仿宋" w:eastAsia="仿宋" w:cs="仿宋"/>
          <w:color w:val="auto"/>
          <w:highlight w:val="none"/>
        </w:rPr>
      </w:pPr>
    </w:p>
    <w:p w14:paraId="714D5A09">
      <w:pPr>
        <w:ind w:firstLine="560"/>
        <w:rPr>
          <w:rFonts w:hint="eastAsia" w:ascii="仿宋" w:hAnsi="仿宋" w:eastAsia="仿宋" w:cs="仿宋"/>
          <w:color w:val="auto"/>
          <w:highlight w:val="none"/>
        </w:rPr>
      </w:pPr>
    </w:p>
    <w:p w14:paraId="17D2864B">
      <w:pPr>
        <w:pStyle w:val="5"/>
        <w:ind w:firstLine="602"/>
        <w:rPr>
          <w:rFonts w:hint="eastAsia" w:ascii="仿宋" w:hAnsi="仿宋" w:eastAsia="仿宋" w:cs="仿宋"/>
          <w:color w:val="auto"/>
          <w:highlight w:val="none"/>
        </w:rPr>
      </w:pPr>
      <w:bookmarkStart w:id="606" w:name="_Toc6553"/>
      <w:bookmarkStart w:id="607" w:name="_Toc29794"/>
      <w:bookmarkStart w:id="608" w:name="_Toc2255"/>
      <w:r>
        <w:rPr>
          <w:rFonts w:hint="eastAsia" w:ascii="仿宋" w:hAnsi="仿宋" w:eastAsia="仿宋" w:cs="仿宋"/>
          <w:color w:val="auto"/>
          <w:highlight w:val="none"/>
        </w:rPr>
        <w:t>格式</w:t>
      </w:r>
      <w:r>
        <w:rPr>
          <w:rFonts w:hint="eastAsia" w:ascii="仿宋" w:hAnsi="仿宋" w:eastAsia="仿宋" w:cs="仿宋"/>
          <w:color w:val="auto"/>
          <w:highlight w:val="none"/>
          <w:lang w:val="en-US" w:eastAsia="zh-CN"/>
        </w:rPr>
        <w:t>3</w:t>
      </w:r>
      <w:r>
        <w:rPr>
          <w:rFonts w:hint="eastAsia" w:ascii="仿宋" w:hAnsi="仿宋" w:eastAsia="仿宋" w:cs="仿宋"/>
          <w:color w:val="auto"/>
          <w:highlight w:val="none"/>
        </w:rPr>
        <w:t>：</w:t>
      </w:r>
      <w:bookmarkEnd w:id="606"/>
      <w:bookmarkEnd w:id="607"/>
      <w:r>
        <w:rPr>
          <w:rFonts w:hint="eastAsia" w:ascii="仿宋" w:hAnsi="仿宋" w:eastAsia="仿宋" w:cs="仿宋"/>
          <w:color w:val="auto"/>
          <w:highlight w:val="none"/>
        </w:rPr>
        <w:t>调试与验收方案</w:t>
      </w:r>
      <w:bookmarkEnd w:id="608"/>
    </w:p>
    <w:p w14:paraId="74F59A19">
      <w:pPr>
        <w:ind w:firstLine="0" w:firstLineChars="0"/>
        <w:jc w:val="center"/>
        <w:rPr>
          <w:rFonts w:hint="eastAsia" w:ascii="仿宋" w:hAnsi="仿宋" w:eastAsia="仿宋" w:cs="仿宋"/>
          <w:color w:val="auto"/>
          <w:highlight w:val="none"/>
        </w:rPr>
      </w:pPr>
      <w:r>
        <w:rPr>
          <w:rFonts w:hint="eastAsia" w:ascii="仿宋" w:hAnsi="仿宋" w:eastAsia="仿宋" w:cs="仿宋"/>
          <w:color w:val="auto"/>
          <w:highlight w:val="none"/>
        </w:rPr>
        <w:t>（按照评审内容及评分标准，内容、格式自拟</w:t>
      </w:r>
      <w:r>
        <w:rPr>
          <w:rFonts w:hint="eastAsia" w:ascii="仿宋" w:hAnsi="仿宋" w:eastAsia="仿宋" w:cs="仿宋"/>
          <w:color w:val="auto"/>
          <w:highlight w:val="none"/>
          <w:lang w:eastAsia="zh-CN"/>
        </w:rPr>
        <w:t>）</w:t>
      </w:r>
    </w:p>
    <w:p w14:paraId="168D3988">
      <w:pPr>
        <w:rPr>
          <w:rFonts w:hint="eastAsia" w:ascii="仿宋" w:hAnsi="仿宋" w:eastAsia="仿宋" w:cs="仿宋"/>
          <w:color w:val="auto"/>
          <w:highlight w:val="none"/>
        </w:rPr>
      </w:pPr>
    </w:p>
    <w:p w14:paraId="2E65C39B">
      <w:pPr>
        <w:rPr>
          <w:rFonts w:hint="eastAsia" w:ascii="仿宋" w:hAnsi="仿宋" w:eastAsia="仿宋" w:cs="仿宋"/>
          <w:color w:val="auto"/>
          <w:highlight w:val="none"/>
        </w:rPr>
      </w:pPr>
    </w:p>
    <w:p w14:paraId="074AD631">
      <w:pPr>
        <w:ind w:firstLine="0" w:firstLineChars="0"/>
        <w:rPr>
          <w:rFonts w:hint="eastAsia" w:ascii="仿宋" w:hAnsi="仿宋" w:eastAsia="仿宋" w:cs="仿宋"/>
          <w:color w:val="auto"/>
          <w:highlight w:val="none"/>
        </w:rPr>
      </w:pPr>
      <w:r>
        <w:rPr>
          <w:rFonts w:hint="eastAsia" w:ascii="仿宋" w:hAnsi="仿宋" w:eastAsia="仿宋" w:cs="仿宋"/>
          <w:color w:val="auto"/>
          <w:highlight w:val="none"/>
        </w:rPr>
        <w:br w:type="page"/>
      </w:r>
    </w:p>
    <w:p w14:paraId="7BA14F73">
      <w:pPr>
        <w:pStyle w:val="5"/>
        <w:bidi w:val="0"/>
        <w:ind w:left="0" w:leftChars="0" w:firstLine="0" w:firstLineChars="0"/>
        <w:rPr>
          <w:rFonts w:hint="eastAsia" w:ascii="仿宋" w:hAnsi="仿宋" w:eastAsia="仿宋" w:cs="仿宋"/>
          <w:color w:val="auto"/>
          <w:highlight w:val="none"/>
          <w:lang w:eastAsia="zh-CN"/>
        </w:rPr>
      </w:pPr>
      <w:bookmarkStart w:id="609" w:name="_Toc2650"/>
      <w:r>
        <w:rPr>
          <w:rFonts w:hint="eastAsia" w:ascii="仿宋" w:hAnsi="仿宋" w:eastAsia="仿宋" w:cs="仿宋"/>
          <w:color w:val="auto"/>
          <w:highlight w:val="none"/>
        </w:rPr>
        <w:t>格式</w:t>
      </w:r>
      <w:r>
        <w:rPr>
          <w:rFonts w:hint="eastAsia" w:ascii="仿宋" w:hAnsi="仿宋" w:eastAsia="仿宋" w:cs="仿宋"/>
          <w:color w:val="auto"/>
          <w:highlight w:val="none"/>
          <w:lang w:val="en-US" w:eastAsia="zh-CN"/>
        </w:rPr>
        <w:t>4：</w:t>
      </w:r>
      <w:bookmarkStart w:id="610" w:name="_Toc29626"/>
      <w:bookmarkStart w:id="611" w:name="_Toc31432"/>
      <w:r>
        <w:rPr>
          <w:rFonts w:hint="eastAsia" w:ascii="仿宋" w:hAnsi="仿宋" w:eastAsia="仿宋" w:cs="仿宋"/>
          <w:color w:val="auto"/>
          <w:highlight w:val="none"/>
          <w:lang w:eastAsia="zh-CN"/>
        </w:rPr>
        <w:t>政府优先采购的节能、环保产品汇总表</w:t>
      </w:r>
    </w:p>
    <w:tbl>
      <w:tblPr>
        <w:tblStyle w:val="35"/>
        <w:tblW w:w="9279"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796"/>
        <w:gridCol w:w="1328"/>
        <w:gridCol w:w="2753"/>
        <w:gridCol w:w="2492"/>
        <w:gridCol w:w="1910"/>
      </w:tblGrid>
      <w:tr w14:paraId="528FC68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51" w:hRule="atLeast"/>
        </w:trPr>
        <w:tc>
          <w:tcPr>
            <w:tcW w:w="796" w:type="dxa"/>
            <w:tcBorders>
              <w:tl2br w:val="nil"/>
              <w:tr2bl w:val="nil"/>
            </w:tcBorders>
            <w:vAlign w:val="center"/>
          </w:tcPr>
          <w:p w14:paraId="58785CB6">
            <w:pPr>
              <w:ind w:left="0" w:leftChars="0" w:firstLine="0" w:firstLineChars="0"/>
              <w:rPr>
                <w:rFonts w:hint="eastAsia" w:ascii="仿宋" w:hAnsi="仿宋" w:eastAsia="仿宋" w:cs="仿宋"/>
                <w:color w:val="auto"/>
                <w:highlight w:val="none"/>
              </w:rPr>
            </w:pPr>
            <w:bookmarkStart w:id="612" w:name="OLE_LINK229" w:colFirst="3" w:colLast="6"/>
            <w:bookmarkStart w:id="613" w:name="OLE_LINK235" w:colFirst="0" w:colLast="3"/>
            <w:bookmarkStart w:id="614" w:name="OLE_LINK227" w:colFirst="4" w:colLast="5"/>
            <w:bookmarkStart w:id="615" w:name="OLE_LINK228" w:colFirst="3" w:colLast="3"/>
            <w:r>
              <w:rPr>
                <w:rFonts w:hint="eastAsia" w:ascii="仿宋" w:hAnsi="仿宋" w:eastAsia="仿宋" w:cs="仿宋"/>
                <w:color w:val="auto"/>
                <w:highlight w:val="none"/>
              </w:rPr>
              <w:t>序号</w:t>
            </w:r>
          </w:p>
        </w:tc>
        <w:tc>
          <w:tcPr>
            <w:tcW w:w="1328" w:type="dxa"/>
            <w:tcBorders>
              <w:tl2br w:val="nil"/>
              <w:tr2bl w:val="nil"/>
            </w:tcBorders>
            <w:vAlign w:val="center"/>
          </w:tcPr>
          <w:p w14:paraId="57502DBC">
            <w:pPr>
              <w:ind w:left="0" w:leftChars="0" w:firstLine="0" w:firstLineChars="0"/>
              <w:rPr>
                <w:rFonts w:hint="eastAsia" w:ascii="仿宋" w:hAnsi="仿宋" w:eastAsia="仿宋" w:cs="仿宋"/>
                <w:color w:val="auto"/>
                <w:highlight w:val="none"/>
              </w:rPr>
            </w:pPr>
            <w:r>
              <w:rPr>
                <w:rFonts w:hint="eastAsia" w:ascii="仿宋" w:hAnsi="仿宋" w:eastAsia="仿宋" w:cs="仿宋"/>
                <w:color w:val="auto"/>
                <w:highlight w:val="none"/>
              </w:rPr>
              <w:t>产品</w:t>
            </w:r>
          </w:p>
          <w:p w14:paraId="47E07AEF">
            <w:pPr>
              <w:ind w:left="0" w:leftChars="0" w:firstLine="0" w:firstLineChars="0"/>
              <w:rPr>
                <w:rFonts w:hint="eastAsia" w:ascii="仿宋" w:hAnsi="仿宋" w:eastAsia="仿宋" w:cs="仿宋"/>
                <w:color w:val="auto"/>
                <w:highlight w:val="none"/>
              </w:rPr>
            </w:pPr>
            <w:r>
              <w:rPr>
                <w:rFonts w:hint="eastAsia" w:ascii="仿宋" w:hAnsi="仿宋" w:eastAsia="仿宋" w:cs="仿宋"/>
                <w:color w:val="auto"/>
                <w:highlight w:val="none"/>
              </w:rPr>
              <w:t>名称</w:t>
            </w:r>
          </w:p>
        </w:tc>
        <w:tc>
          <w:tcPr>
            <w:tcW w:w="2753" w:type="dxa"/>
            <w:tcBorders>
              <w:tl2br w:val="nil"/>
              <w:tr2bl w:val="nil"/>
            </w:tcBorders>
            <w:vAlign w:val="center"/>
          </w:tcPr>
          <w:p w14:paraId="72679052">
            <w:pPr>
              <w:ind w:left="0" w:leftChars="0" w:firstLine="0" w:firstLineChars="0"/>
              <w:rPr>
                <w:rFonts w:hint="eastAsia" w:ascii="仿宋" w:hAnsi="仿宋" w:eastAsia="仿宋" w:cs="仿宋"/>
                <w:color w:val="auto"/>
                <w:highlight w:val="none"/>
              </w:rPr>
            </w:pPr>
            <w:r>
              <w:rPr>
                <w:rFonts w:hint="eastAsia" w:ascii="仿宋" w:hAnsi="仿宋" w:eastAsia="仿宋" w:cs="仿宋"/>
                <w:color w:val="auto"/>
                <w:highlight w:val="none"/>
              </w:rPr>
              <w:t>生产者 （制造商）</w:t>
            </w:r>
          </w:p>
        </w:tc>
        <w:tc>
          <w:tcPr>
            <w:tcW w:w="2492" w:type="dxa"/>
            <w:tcBorders>
              <w:tl2br w:val="nil"/>
              <w:tr2bl w:val="nil"/>
            </w:tcBorders>
            <w:vAlign w:val="center"/>
          </w:tcPr>
          <w:p w14:paraId="68DCFBE4">
            <w:pPr>
              <w:ind w:firstLine="560"/>
              <w:rPr>
                <w:rFonts w:hint="eastAsia" w:ascii="仿宋" w:hAnsi="仿宋" w:eastAsia="仿宋" w:cs="仿宋"/>
                <w:color w:val="auto"/>
                <w:highlight w:val="none"/>
              </w:rPr>
            </w:pPr>
            <w:r>
              <w:rPr>
                <w:rFonts w:hint="eastAsia" w:ascii="仿宋" w:hAnsi="仿宋" w:eastAsia="仿宋" w:cs="仿宋"/>
                <w:color w:val="auto"/>
                <w:highlight w:val="none"/>
              </w:rPr>
              <w:t>规格型号</w:t>
            </w:r>
          </w:p>
        </w:tc>
        <w:tc>
          <w:tcPr>
            <w:tcW w:w="1910" w:type="dxa"/>
            <w:tcBorders>
              <w:tl2br w:val="nil"/>
              <w:tr2bl w:val="nil"/>
            </w:tcBorders>
            <w:vAlign w:val="center"/>
          </w:tcPr>
          <w:p w14:paraId="784439C5">
            <w:pPr>
              <w:ind w:left="0" w:leftChars="0" w:firstLine="0" w:firstLineChars="0"/>
              <w:rPr>
                <w:rFonts w:hint="eastAsia" w:ascii="仿宋" w:hAnsi="仿宋" w:eastAsia="仿宋" w:cs="仿宋"/>
                <w:color w:val="auto"/>
                <w:highlight w:val="none"/>
              </w:rPr>
            </w:pPr>
            <w:r>
              <w:rPr>
                <w:rFonts w:hint="eastAsia" w:ascii="仿宋" w:hAnsi="仿宋" w:eastAsia="仿宋" w:cs="仿宋"/>
                <w:color w:val="auto"/>
                <w:highlight w:val="none"/>
              </w:rPr>
              <w:t>证书编号</w:t>
            </w:r>
          </w:p>
        </w:tc>
      </w:tr>
      <w:bookmarkEnd w:id="612"/>
      <w:bookmarkEnd w:id="613"/>
      <w:tr w14:paraId="7F9ACBE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796" w:type="dxa"/>
            <w:tcBorders>
              <w:tl2br w:val="nil"/>
              <w:tr2bl w:val="nil"/>
            </w:tcBorders>
          </w:tcPr>
          <w:p w14:paraId="1AE0E176">
            <w:pPr>
              <w:ind w:firstLine="560"/>
              <w:rPr>
                <w:rFonts w:hint="eastAsia" w:ascii="仿宋" w:hAnsi="仿宋" w:eastAsia="仿宋" w:cs="仿宋"/>
                <w:color w:val="auto"/>
                <w:highlight w:val="none"/>
              </w:rPr>
            </w:pPr>
            <w:bookmarkStart w:id="616" w:name="OLE_LINK230" w:colFirst="3" w:colLast="6"/>
          </w:p>
        </w:tc>
        <w:tc>
          <w:tcPr>
            <w:tcW w:w="1328" w:type="dxa"/>
            <w:tcBorders>
              <w:tl2br w:val="nil"/>
              <w:tr2bl w:val="nil"/>
            </w:tcBorders>
          </w:tcPr>
          <w:p w14:paraId="59DB7EC0">
            <w:pPr>
              <w:ind w:firstLine="560"/>
              <w:rPr>
                <w:rFonts w:hint="eastAsia" w:ascii="仿宋" w:hAnsi="仿宋" w:eastAsia="仿宋" w:cs="仿宋"/>
                <w:color w:val="auto"/>
                <w:highlight w:val="none"/>
              </w:rPr>
            </w:pPr>
          </w:p>
        </w:tc>
        <w:tc>
          <w:tcPr>
            <w:tcW w:w="2753" w:type="dxa"/>
            <w:tcBorders>
              <w:tl2br w:val="nil"/>
              <w:tr2bl w:val="nil"/>
            </w:tcBorders>
          </w:tcPr>
          <w:p w14:paraId="0255A7FA">
            <w:pPr>
              <w:ind w:firstLine="560"/>
              <w:rPr>
                <w:rFonts w:hint="eastAsia" w:ascii="仿宋" w:hAnsi="仿宋" w:eastAsia="仿宋" w:cs="仿宋"/>
                <w:color w:val="auto"/>
                <w:highlight w:val="none"/>
              </w:rPr>
            </w:pPr>
          </w:p>
        </w:tc>
        <w:tc>
          <w:tcPr>
            <w:tcW w:w="2492" w:type="dxa"/>
            <w:tcBorders>
              <w:tl2br w:val="nil"/>
              <w:tr2bl w:val="nil"/>
            </w:tcBorders>
          </w:tcPr>
          <w:p w14:paraId="2FB8BAC9">
            <w:pPr>
              <w:ind w:firstLine="560"/>
              <w:rPr>
                <w:rFonts w:hint="eastAsia" w:ascii="仿宋" w:hAnsi="仿宋" w:eastAsia="仿宋" w:cs="仿宋"/>
                <w:color w:val="auto"/>
                <w:highlight w:val="none"/>
              </w:rPr>
            </w:pPr>
          </w:p>
        </w:tc>
        <w:tc>
          <w:tcPr>
            <w:tcW w:w="1910" w:type="dxa"/>
            <w:tcBorders>
              <w:tl2br w:val="nil"/>
              <w:tr2bl w:val="nil"/>
            </w:tcBorders>
          </w:tcPr>
          <w:p w14:paraId="145BDA9B">
            <w:pPr>
              <w:ind w:firstLine="560"/>
              <w:rPr>
                <w:rFonts w:hint="eastAsia" w:ascii="仿宋" w:hAnsi="仿宋" w:eastAsia="仿宋" w:cs="仿宋"/>
                <w:color w:val="auto"/>
                <w:highlight w:val="none"/>
              </w:rPr>
            </w:pPr>
          </w:p>
        </w:tc>
      </w:tr>
      <w:bookmarkEnd w:id="616"/>
      <w:tr w14:paraId="6A61FF8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796" w:type="dxa"/>
            <w:tcBorders>
              <w:tl2br w:val="nil"/>
              <w:tr2bl w:val="nil"/>
            </w:tcBorders>
          </w:tcPr>
          <w:p w14:paraId="00F03692">
            <w:pPr>
              <w:ind w:firstLine="560"/>
              <w:rPr>
                <w:rFonts w:hint="eastAsia" w:ascii="仿宋" w:hAnsi="仿宋" w:eastAsia="仿宋" w:cs="仿宋"/>
                <w:color w:val="auto"/>
                <w:highlight w:val="none"/>
              </w:rPr>
            </w:pPr>
            <w:bookmarkStart w:id="617" w:name="OLE_LINK231" w:colFirst="3" w:colLast="6"/>
          </w:p>
        </w:tc>
        <w:tc>
          <w:tcPr>
            <w:tcW w:w="1328" w:type="dxa"/>
            <w:tcBorders>
              <w:tl2br w:val="nil"/>
              <w:tr2bl w:val="nil"/>
            </w:tcBorders>
          </w:tcPr>
          <w:p w14:paraId="0CA718DB">
            <w:pPr>
              <w:ind w:firstLine="560"/>
              <w:rPr>
                <w:rFonts w:hint="eastAsia" w:ascii="仿宋" w:hAnsi="仿宋" w:eastAsia="仿宋" w:cs="仿宋"/>
                <w:color w:val="auto"/>
                <w:highlight w:val="none"/>
              </w:rPr>
            </w:pPr>
          </w:p>
        </w:tc>
        <w:tc>
          <w:tcPr>
            <w:tcW w:w="2753" w:type="dxa"/>
            <w:tcBorders>
              <w:tl2br w:val="nil"/>
              <w:tr2bl w:val="nil"/>
            </w:tcBorders>
          </w:tcPr>
          <w:p w14:paraId="0B712C3F">
            <w:pPr>
              <w:ind w:firstLine="560"/>
              <w:rPr>
                <w:rFonts w:hint="eastAsia" w:ascii="仿宋" w:hAnsi="仿宋" w:eastAsia="仿宋" w:cs="仿宋"/>
                <w:color w:val="auto"/>
                <w:highlight w:val="none"/>
              </w:rPr>
            </w:pPr>
          </w:p>
        </w:tc>
        <w:tc>
          <w:tcPr>
            <w:tcW w:w="2492" w:type="dxa"/>
            <w:tcBorders>
              <w:tl2br w:val="nil"/>
              <w:tr2bl w:val="nil"/>
            </w:tcBorders>
          </w:tcPr>
          <w:p w14:paraId="0BA733DE">
            <w:pPr>
              <w:ind w:firstLine="560"/>
              <w:rPr>
                <w:rFonts w:hint="eastAsia" w:ascii="仿宋" w:hAnsi="仿宋" w:eastAsia="仿宋" w:cs="仿宋"/>
                <w:color w:val="auto"/>
                <w:highlight w:val="none"/>
              </w:rPr>
            </w:pPr>
          </w:p>
        </w:tc>
        <w:tc>
          <w:tcPr>
            <w:tcW w:w="1910" w:type="dxa"/>
            <w:tcBorders>
              <w:tl2br w:val="nil"/>
              <w:tr2bl w:val="nil"/>
            </w:tcBorders>
          </w:tcPr>
          <w:p w14:paraId="0D847FA2">
            <w:pPr>
              <w:ind w:firstLine="560"/>
              <w:rPr>
                <w:rFonts w:hint="eastAsia" w:ascii="仿宋" w:hAnsi="仿宋" w:eastAsia="仿宋" w:cs="仿宋"/>
                <w:color w:val="auto"/>
                <w:highlight w:val="none"/>
              </w:rPr>
            </w:pPr>
          </w:p>
        </w:tc>
      </w:tr>
      <w:bookmarkEnd w:id="617"/>
      <w:tr w14:paraId="10391F6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796" w:type="dxa"/>
            <w:tcBorders>
              <w:tl2br w:val="nil"/>
              <w:tr2bl w:val="nil"/>
            </w:tcBorders>
          </w:tcPr>
          <w:p w14:paraId="7B9B8E07">
            <w:pPr>
              <w:ind w:firstLine="560"/>
              <w:rPr>
                <w:rFonts w:hint="eastAsia" w:ascii="仿宋" w:hAnsi="仿宋" w:eastAsia="仿宋" w:cs="仿宋"/>
                <w:color w:val="auto"/>
                <w:highlight w:val="none"/>
              </w:rPr>
            </w:pPr>
            <w:bookmarkStart w:id="618" w:name="OLE_LINK232" w:colFirst="3" w:colLast="6"/>
          </w:p>
        </w:tc>
        <w:tc>
          <w:tcPr>
            <w:tcW w:w="1328" w:type="dxa"/>
            <w:tcBorders>
              <w:tl2br w:val="nil"/>
              <w:tr2bl w:val="nil"/>
            </w:tcBorders>
          </w:tcPr>
          <w:p w14:paraId="69D751DB">
            <w:pPr>
              <w:ind w:firstLine="560"/>
              <w:rPr>
                <w:rFonts w:hint="eastAsia" w:ascii="仿宋" w:hAnsi="仿宋" w:eastAsia="仿宋" w:cs="仿宋"/>
                <w:color w:val="auto"/>
                <w:highlight w:val="none"/>
              </w:rPr>
            </w:pPr>
          </w:p>
        </w:tc>
        <w:tc>
          <w:tcPr>
            <w:tcW w:w="2753" w:type="dxa"/>
            <w:tcBorders>
              <w:tl2br w:val="nil"/>
              <w:tr2bl w:val="nil"/>
            </w:tcBorders>
          </w:tcPr>
          <w:p w14:paraId="5981537B">
            <w:pPr>
              <w:ind w:firstLine="560"/>
              <w:rPr>
                <w:rFonts w:hint="eastAsia" w:ascii="仿宋" w:hAnsi="仿宋" w:eastAsia="仿宋" w:cs="仿宋"/>
                <w:color w:val="auto"/>
                <w:highlight w:val="none"/>
              </w:rPr>
            </w:pPr>
          </w:p>
        </w:tc>
        <w:tc>
          <w:tcPr>
            <w:tcW w:w="2492" w:type="dxa"/>
            <w:tcBorders>
              <w:tl2br w:val="nil"/>
              <w:tr2bl w:val="nil"/>
            </w:tcBorders>
          </w:tcPr>
          <w:p w14:paraId="5B7906BD">
            <w:pPr>
              <w:ind w:firstLine="560"/>
              <w:rPr>
                <w:rFonts w:hint="eastAsia" w:ascii="仿宋" w:hAnsi="仿宋" w:eastAsia="仿宋" w:cs="仿宋"/>
                <w:color w:val="auto"/>
                <w:highlight w:val="none"/>
              </w:rPr>
            </w:pPr>
          </w:p>
        </w:tc>
        <w:tc>
          <w:tcPr>
            <w:tcW w:w="1910" w:type="dxa"/>
            <w:tcBorders>
              <w:tl2br w:val="nil"/>
              <w:tr2bl w:val="nil"/>
            </w:tcBorders>
          </w:tcPr>
          <w:p w14:paraId="6E6FDF0C">
            <w:pPr>
              <w:ind w:firstLine="560"/>
              <w:rPr>
                <w:rFonts w:hint="eastAsia" w:ascii="仿宋" w:hAnsi="仿宋" w:eastAsia="仿宋" w:cs="仿宋"/>
                <w:color w:val="auto"/>
                <w:highlight w:val="none"/>
              </w:rPr>
            </w:pPr>
          </w:p>
        </w:tc>
      </w:tr>
      <w:bookmarkEnd w:id="618"/>
      <w:tr w14:paraId="75990E8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796" w:type="dxa"/>
            <w:tcBorders>
              <w:tl2br w:val="nil"/>
              <w:tr2bl w:val="nil"/>
            </w:tcBorders>
          </w:tcPr>
          <w:p w14:paraId="122D9025">
            <w:pPr>
              <w:ind w:firstLine="560"/>
              <w:rPr>
                <w:rFonts w:hint="eastAsia" w:ascii="仿宋" w:hAnsi="仿宋" w:eastAsia="仿宋" w:cs="仿宋"/>
                <w:color w:val="auto"/>
                <w:highlight w:val="none"/>
              </w:rPr>
            </w:pPr>
            <w:bookmarkStart w:id="619" w:name="OLE_LINK233" w:colFirst="3" w:colLast="6"/>
          </w:p>
        </w:tc>
        <w:tc>
          <w:tcPr>
            <w:tcW w:w="1328" w:type="dxa"/>
            <w:tcBorders>
              <w:tl2br w:val="nil"/>
              <w:tr2bl w:val="nil"/>
            </w:tcBorders>
          </w:tcPr>
          <w:p w14:paraId="7C6B87DA">
            <w:pPr>
              <w:ind w:firstLine="560"/>
              <w:rPr>
                <w:rFonts w:hint="eastAsia" w:ascii="仿宋" w:hAnsi="仿宋" w:eastAsia="仿宋" w:cs="仿宋"/>
                <w:color w:val="auto"/>
                <w:highlight w:val="none"/>
              </w:rPr>
            </w:pPr>
          </w:p>
        </w:tc>
        <w:tc>
          <w:tcPr>
            <w:tcW w:w="2753" w:type="dxa"/>
            <w:tcBorders>
              <w:tl2br w:val="nil"/>
              <w:tr2bl w:val="nil"/>
            </w:tcBorders>
          </w:tcPr>
          <w:p w14:paraId="0A39FC38">
            <w:pPr>
              <w:ind w:firstLine="560"/>
              <w:rPr>
                <w:rFonts w:hint="eastAsia" w:ascii="仿宋" w:hAnsi="仿宋" w:eastAsia="仿宋" w:cs="仿宋"/>
                <w:color w:val="auto"/>
                <w:highlight w:val="none"/>
              </w:rPr>
            </w:pPr>
          </w:p>
        </w:tc>
        <w:tc>
          <w:tcPr>
            <w:tcW w:w="2492" w:type="dxa"/>
            <w:tcBorders>
              <w:tl2br w:val="nil"/>
              <w:tr2bl w:val="nil"/>
            </w:tcBorders>
          </w:tcPr>
          <w:p w14:paraId="3A448D67">
            <w:pPr>
              <w:ind w:firstLine="560"/>
              <w:rPr>
                <w:rFonts w:hint="eastAsia" w:ascii="仿宋" w:hAnsi="仿宋" w:eastAsia="仿宋" w:cs="仿宋"/>
                <w:color w:val="auto"/>
                <w:highlight w:val="none"/>
              </w:rPr>
            </w:pPr>
          </w:p>
        </w:tc>
        <w:tc>
          <w:tcPr>
            <w:tcW w:w="1910" w:type="dxa"/>
            <w:tcBorders>
              <w:tl2br w:val="nil"/>
              <w:tr2bl w:val="nil"/>
            </w:tcBorders>
          </w:tcPr>
          <w:p w14:paraId="1098808A">
            <w:pPr>
              <w:ind w:firstLine="560"/>
              <w:rPr>
                <w:rFonts w:hint="eastAsia" w:ascii="仿宋" w:hAnsi="仿宋" w:eastAsia="仿宋" w:cs="仿宋"/>
                <w:color w:val="auto"/>
                <w:highlight w:val="none"/>
              </w:rPr>
            </w:pPr>
          </w:p>
        </w:tc>
      </w:tr>
      <w:bookmarkEnd w:id="619"/>
      <w:tr w14:paraId="083B8F1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796" w:type="dxa"/>
            <w:tcBorders>
              <w:tl2br w:val="nil"/>
              <w:tr2bl w:val="nil"/>
            </w:tcBorders>
          </w:tcPr>
          <w:p w14:paraId="3A0B007C">
            <w:pPr>
              <w:ind w:firstLine="560"/>
              <w:rPr>
                <w:rFonts w:hint="eastAsia" w:ascii="仿宋" w:hAnsi="仿宋" w:eastAsia="仿宋" w:cs="仿宋"/>
                <w:color w:val="auto"/>
                <w:highlight w:val="none"/>
              </w:rPr>
            </w:pPr>
            <w:bookmarkStart w:id="620" w:name="OLE_LINK234" w:colFirst="3" w:colLast="6"/>
          </w:p>
        </w:tc>
        <w:tc>
          <w:tcPr>
            <w:tcW w:w="1328" w:type="dxa"/>
            <w:tcBorders>
              <w:tl2br w:val="nil"/>
              <w:tr2bl w:val="nil"/>
            </w:tcBorders>
          </w:tcPr>
          <w:p w14:paraId="7A65B8E6">
            <w:pPr>
              <w:ind w:firstLine="560"/>
              <w:rPr>
                <w:rFonts w:hint="eastAsia" w:ascii="仿宋" w:hAnsi="仿宋" w:eastAsia="仿宋" w:cs="仿宋"/>
                <w:color w:val="auto"/>
                <w:highlight w:val="none"/>
              </w:rPr>
            </w:pPr>
          </w:p>
        </w:tc>
        <w:tc>
          <w:tcPr>
            <w:tcW w:w="2753" w:type="dxa"/>
            <w:tcBorders>
              <w:tl2br w:val="nil"/>
              <w:tr2bl w:val="nil"/>
            </w:tcBorders>
          </w:tcPr>
          <w:p w14:paraId="25268BC4">
            <w:pPr>
              <w:ind w:firstLine="560"/>
              <w:rPr>
                <w:rFonts w:hint="eastAsia" w:ascii="仿宋" w:hAnsi="仿宋" w:eastAsia="仿宋" w:cs="仿宋"/>
                <w:color w:val="auto"/>
                <w:highlight w:val="none"/>
              </w:rPr>
            </w:pPr>
          </w:p>
        </w:tc>
        <w:tc>
          <w:tcPr>
            <w:tcW w:w="2492" w:type="dxa"/>
            <w:tcBorders>
              <w:tl2br w:val="nil"/>
              <w:tr2bl w:val="nil"/>
            </w:tcBorders>
          </w:tcPr>
          <w:p w14:paraId="3E79055E">
            <w:pPr>
              <w:ind w:firstLine="560"/>
              <w:rPr>
                <w:rFonts w:hint="eastAsia" w:ascii="仿宋" w:hAnsi="仿宋" w:eastAsia="仿宋" w:cs="仿宋"/>
                <w:color w:val="auto"/>
                <w:highlight w:val="none"/>
              </w:rPr>
            </w:pPr>
          </w:p>
        </w:tc>
        <w:tc>
          <w:tcPr>
            <w:tcW w:w="1910" w:type="dxa"/>
            <w:tcBorders>
              <w:tl2br w:val="nil"/>
              <w:tr2bl w:val="nil"/>
            </w:tcBorders>
          </w:tcPr>
          <w:p w14:paraId="35C42C4E">
            <w:pPr>
              <w:ind w:firstLine="560"/>
              <w:rPr>
                <w:rFonts w:hint="eastAsia" w:ascii="仿宋" w:hAnsi="仿宋" w:eastAsia="仿宋" w:cs="仿宋"/>
                <w:color w:val="auto"/>
                <w:highlight w:val="none"/>
              </w:rPr>
            </w:pPr>
          </w:p>
        </w:tc>
      </w:tr>
      <w:bookmarkEnd w:id="614"/>
      <w:bookmarkEnd w:id="615"/>
      <w:bookmarkEnd w:id="620"/>
    </w:tbl>
    <w:p w14:paraId="5292B1B8">
      <w:pPr>
        <w:ind w:firstLine="56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注：</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若</w:t>
      </w:r>
      <w:r>
        <w:rPr>
          <w:rFonts w:hint="eastAsia" w:ascii="仿宋" w:hAnsi="仿宋" w:eastAsia="仿宋" w:cs="仿宋"/>
          <w:color w:val="auto"/>
          <w:sz w:val="24"/>
          <w:szCs w:val="24"/>
          <w:highlight w:val="none"/>
          <w:lang w:val="en-US" w:eastAsia="zh-CN"/>
        </w:rPr>
        <w:t>所</w:t>
      </w:r>
      <w:bookmarkStart w:id="621" w:name="OLE_LINK236"/>
      <w:r>
        <w:rPr>
          <w:rFonts w:hint="eastAsia" w:ascii="仿宋" w:hAnsi="仿宋" w:eastAsia="仿宋" w:cs="仿宋"/>
          <w:color w:val="auto"/>
          <w:sz w:val="24"/>
          <w:szCs w:val="24"/>
          <w:highlight w:val="none"/>
          <w:lang w:val="en-US" w:eastAsia="zh-CN"/>
        </w:rPr>
        <w:t>投</w:t>
      </w:r>
      <w:r>
        <w:rPr>
          <w:rFonts w:hint="eastAsia" w:ascii="仿宋" w:hAnsi="仿宋" w:eastAsia="仿宋" w:cs="仿宋"/>
          <w:color w:val="auto"/>
          <w:sz w:val="24"/>
          <w:szCs w:val="24"/>
          <w:highlight w:val="none"/>
        </w:rPr>
        <w:t>产品为政府采购品目清单内的节能、环保产品，应提供处于有效期之内的节能产品、环境标志产品认证证书（认证机构须为国家相关部门公布的认证机构名录内单位）（提供扫描件</w:t>
      </w:r>
      <w:r>
        <w:rPr>
          <w:rFonts w:hint="eastAsia" w:cs="仿宋"/>
          <w:color w:val="auto"/>
          <w:sz w:val="24"/>
          <w:szCs w:val="24"/>
          <w:highlight w:val="none"/>
          <w:lang w:val="en-US" w:eastAsia="zh-CN"/>
        </w:rPr>
        <w:t>或复印件</w:t>
      </w:r>
      <w:r>
        <w:rPr>
          <w:rFonts w:hint="eastAsia" w:ascii="仿宋" w:hAnsi="仿宋" w:eastAsia="仿宋" w:cs="仿宋"/>
          <w:color w:val="auto"/>
          <w:sz w:val="24"/>
          <w:szCs w:val="24"/>
          <w:highlight w:val="none"/>
          <w:lang w:val="en-US" w:eastAsia="zh-CN"/>
        </w:rPr>
        <w:t>或照片等形式的电子文件</w:t>
      </w:r>
      <w:r>
        <w:rPr>
          <w:rFonts w:hint="eastAsia" w:ascii="仿宋" w:hAnsi="仿宋" w:eastAsia="仿宋" w:cs="仿宋"/>
          <w:color w:val="auto"/>
          <w:sz w:val="24"/>
          <w:szCs w:val="24"/>
          <w:highlight w:val="none"/>
        </w:rPr>
        <w:t>）。</w:t>
      </w:r>
      <w:bookmarkEnd w:id="621"/>
    </w:p>
    <w:p w14:paraId="11CC0076">
      <w:pPr>
        <w:ind w:firstLine="56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2、</w:t>
      </w:r>
      <w:bookmarkStart w:id="622" w:name="OLE_LINK289"/>
      <w:r>
        <w:rPr>
          <w:rFonts w:hint="eastAsia" w:ascii="仿宋" w:hAnsi="仿宋" w:eastAsia="仿宋" w:cs="仿宋"/>
          <w:color w:val="auto"/>
          <w:sz w:val="24"/>
          <w:szCs w:val="24"/>
          <w:highlight w:val="none"/>
        </w:rPr>
        <w:t>此表由投标人按实际情况编制，若无政府优先采购的节能、环保产品则此表可不提供</w:t>
      </w:r>
      <w:bookmarkEnd w:id="622"/>
      <w:r>
        <w:rPr>
          <w:rFonts w:hint="eastAsia" w:ascii="仿宋" w:hAnsi="仿宋" w:eastAsia="仿宋" w:cs="仿宋"/>
          <w:color w:val="auto"/>
          <w:sz w:val="24"/>
          <w:szCs w:val="24"/>
          <w:highlight w:val="none"/>
        </w:rPr>
        <w:t>。</w:t>
      </w:r>
    </w:p>
    <w:p w14:paraId="484DFB49">
      <w:pPr>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br w:type="page"/>
      </w:r>
    </w:p>
    <w:p w14:paraId="7C674FB9">
      <w:pPr>
        <w:pStyle w:val="5"/>
        <w:ind w:firstLine="0" w:firstLineChars="0"/>
        <w:rPr>
          <w:rFonts w:hint="eastAsia" w:ascii="仿宋" w:hAnsi="仿宋" w:eastAsia="仿宋" w:cs="仿宋"/>
          <w:color w:val="auto"/>
          <w:highlight w:val="none"/>
        </w:rPr>
      </w:pPr>
      <w:r>
        <w:rPr>
          <w:rFonts w:hint="eastAsia" w:cs="仿宋"/>
          <w:color w:val="auto"/>
          <w:highlight w:val="none"/>
          <w:lang w:val="en-US" w:eastAsia="zh-CN"/>
        </w:rPr>
        <w:t>格式5：</w:t>
      </w:r>
      <w:r>
        <w:rPr>
          <w:rFonts w:hint="eastAsia" w:ascii="仿宋" w:hAnsi="仿宋" w:eastAsia="仿宋" w:cs="仿宋"/>
          <w:color w:val="auto"/>
          <w:highlight w:val="none"/>
          <w:lang w:eastAsia="zh-CN"/>
        </w:rPr>
        <w:t>投标人</w:t>
      </w:r>
      <w:r>
        <w:rPr>
          <w:rFonts w:hint="eastAsia" w:ascii="仿宋" w:hAnsi="仿宋" w:eastAsia="仿宋" w:cs="仿宋"/>
          <w:color w:val="auto"/>
          <w:highlight w:val="none"/>
        </w:rPr>
        <w:t>认为应该提供的其他技术资料。</w:t>
      </w:r>
      <w:bookmarkEnd w:id="609"/>
      <w:bookmarkEnd w:id="610"/>
      <w:bookmarkEnd w:id="611"/>
    </w:p>
    <w:bookmarkEnd w:id="537"/>
    <w:bookmarkEnd w:id="538"/>
    <w:p w14:paraId="48C75AC7">
      <w:pPr>
        <w:ind w:firstLine="560"/>
        <w:rPr>
          <w:rFonts w:hint="eastAsia" w:ascii="仿宋" w:hAnsi="仿宋" w:eastAsia="仿宋" w:cs="仿宋"/>
          <w:color w:val="auto"/>
          <w:highlight w:val="none"/>
        </w:rPr>
      </w:pPr>
    </w:p>
    <w:sectPr>
      <w:headerReference r:id="rId11" w:type="default"/>
      <w:footerReference r:id="rId12" w:type="default"/>
      <w:pgSz w:w="11906" w:h="16838"/>
      <w:pgMar w:top="1440" w:right="1083" w:bottom="1440" w:left="1083" w:header="851" w:footer="992" w:gutter="0"/>
      <w:pgBorders>
        <w:top w:val="none" w:sz="0" w:space="0"/>
        <w:left w:val="none" w:sz="0" w:space="0"/>
        <w:bottom w:val="none" w:sz="0" w:space="0"/>
        <w:right w:val="none" w:sz="0" w:space="0"/>
      </w:pgBorders>
      <w:pgNumType w:fmt="numberInDash"/>
      <w:cols w:space="0" w:num="1"/>
      <w:rtlGutter w:val="0"/>
      <w:docGrid w:type="lines" w:linePitch="389" w:charSpace="0"/>
    </w:sectPr>
  </w:body>
</w:document>
</file>

<file path=word/customizations.xml><?xml version="1.0" encoding="utf-8"?>
<wne:tcg xmlns:r="http://schemas.openxmlformats.org/officeDocument/2006/relationships" xmlns:wne="http://schemas.microsoft.com/office/word/2006/wordml">
  <wne:keymaps>
    <wne:keymap wne:kcmPrimary="0431">
      <wne:acd wne:acdName="acd0"/>
    </wne:keymap>
    <wne:keymap wne:kcmPrimary="0432">
      <wne:acd wne:acdName="acd1"/>
    </wne:keymap>
    <wne:keymap wne:kcmPrimary="0433">
      <wne:acd wne:acdName="acd2"/>
    </wne:keymap>
  </wne:keymaps>
  <wne:acds>
    <wne:acd wne:argValue="AQAAAAEA" wne:acdName="acd0" wne:fciIndexBasedOn="0065"/>
    <wne:acd wne:argValue="AQAAAAIA" wne:acdName="acd1" wne:fciIndexBasedOn="0065"/>
    <wne:acd wne:argValue="AQAAAAMA" wne:acdName="acd2" wne:fciIndexBasedOn="0065"/>
  </wne:acds>
</wne:tcg>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560"/>
      </w:pPr>
      <w:r>
        <w:separator/>
      </w:r>
    </w:p>
  </w:endnote>
  <w:endnote w:type="continuationSeparator" w:id="1">
    <w:p>
      <w:pPr>
        <w:spacing w:line="240" w:lineRule="auto"/>
        <w:ind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E69D1D48-EB08-48F9-B849-8BB79CE9FE6C}"/>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embedRegular r:id="rId2" w:fontKey="{44B584AA-EAF9-4FDA-858C-E7645E07EE85}"/>
  </w:font>
  <w:font w:name="方正黑体_GBK">
    <w:panose1 w:val="02010600010101010101"/>
    <w:charset w:val="86"/>
    <w:family w:val="auto"/>
    <w:pitch w:val="default"/>
    <w:sig w:usb0="00000001" w:usb1="080E0000" w:usb2="00000000" w:usb3="00000000" w:csb0="00040000" w:csb1="00000000"/>
  </w:font>
  <w:font w:name="方正楷体_GBK">
    <w:panose1 w:val="02000000000000000000"/>
    <w:charset w:val="86"/>
    <w:family w:val="auto"/>
    <w:pitch w:val="default"/>
    <w:sig w:usb0="800002BF" w:usb1="38CF7CFA" w:usb2="00000016" w:usb3="00000000" w:csb0="00040000" w:csb1="00000000"/>
  </w:font>
  <w:font w:name="等线">
    <w:panose1 w:val="02010600030101010101"/>
    <w:charset w:val="86"/>
    <w:family w:val="auto"/>
    <w:pitch w:val="default"/>
    <w:sig w:usb0="A00002BF" w:usb1="38CF7CFA" w:usb2="00000016" w:usb3="00000000" w:csb0="0004000F"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华文楷体">
    <w:panose1 w:val="02010600040101010101"/>
    <w:charset w:val="86"/>
    <w:family w:val="auto"/>
    <w:pitch w:val="default"/>
    <w:sig w:usb0="00000287" w:usb1="080F0000" w:usb2="00000000" w:usb3="00000000" w:csb0="0004009F" w:csb1="DFD7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A6AD3E">
    <w:pPr>
      <w:pStyle w:val="20"/>
      <w:pBdr>
        <w:top w:val="none" w:color="auto" w:sz="0" w:space="0"/>
        <w:left w:val="none" w:color="auto" w:sz="0" w:space="0"/>
        <w:bottom w:val="none" w:color="auto" w:sz="0" w:space="0"/>
        <w:right w:val="none" w:color="auto" w:sz="0" w:space="0"/>
        <w:between w:val="none" w:color="auto" w:sz="0" w:space="0"/>
      </w:pBdr>
      <w:spacing w:line="240" w:lineRule="auto"/>
      <w:rPr>
        <w:rFonts w:hint="eastAsi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3039B8">
    <w:pPr>
      <w:pStyle w:val="20"/>
      <w:pBdr>
        <w:top w:val="single" w:color="auto" w:sz="4" w:space="0"/>
      </w:pBdr>
      <w:spacing w:line="240" w:lineRule="auto"/>
      <w:jc w:val="both"/>
      <w:rPr>
        <w:rFonts w:hint="eastAsia"/>
      </w:rPr>
    </w:pPr>
    <w:r>
      <w:rPr>
        <w:sz w:val="21"/>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E45DF4D">
                          <w:pPr>
                            <w:pStyle w:val="22"/>
                          </w:pPr>
                          <w:r>
                            <w:fldChar w:fldCharType="begin"/>
                          </w:r>
                          <w:r>
                            <w:instrText xml:space="preserve"> PAGE  \* MERGEFORMAT </w:instrText>
                          </w:r>
                          <w:r>
                            <w:fldChar w:fldCharType="separate"/>
                          </w:r>
                          <w:r>
                            <w:t>- 4 -</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3E45DF4D">
                    <w:pPr>
                      <w:pStyle w:val="22"/>
                    </w:pPr>
                    <w:r>
                      <w:fldChar w:fldCharType="begin"/>
                    </w:r>
                    <w:r>
                      <w:instrText xml:space="preserve"> PAGE  \* MERGEFORMAT </w:instrText>
                    </w:r>
                    <w:r>
                      <w:fldChar w:fldCharType="separate"/>
                    </w:r>
                    <w:r>
                      <w:t>- 4 -</w:t>
                    </w:r>
                    <w:r>
                      <w:fldChar w:fldCharType="end"/>
                    </w:r>
                  </w:p>
                </w:txbxContent>
              </v:textbox>
            </v:shape>
          </w:pict>
        </mc:Fallback>
      </mc:AlternateContent>
    </w:r>
    <w:r>
      <w:rPr>
        <w:rFonts w:hint="eastAsia"/>
        <w:b/>
        <w:bCs/>
      </w:rPr>
      <w:drawing>
        <wp:inline distT="0" distB="0" distL="114300" distR="114300">
          <wp:extent cx="163195" cy="141605"/>
          <wp:effectExtent l="0" t="0" r="8255" b="10795"/>
          <wp:docPr id="3" name="图片 22" descr="$JE%XUY530]]FBGG3{DG[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2" descr="$JE%XUY530]]FBGG3{DG[05"/>
                  <pic:cNvPicPr>
                    <a:picLocks noChangeAspect="1"/>
                  </pic:cNvPicPr>
                </pic:nvPicPr>
                <pic:blipFill>
                  <a:blip r:embed="rId1"/>
                  <a:stretch>
                    <a:fillRect/>
                  </a:stretch>
                </pic:blipFill>
                <pic:spPr>
                  <a:xfrm>
                    <a:off x="0" y="0"/>
                    <a:ext cx="163195" cy="141605"/>
                  </a:xfrm>
                  <a:prstGeom prst="rect">
                    <a:avLst/>
                  </a:prstGeom>
                  <a:noFill/>
                  <a:ln>
                    <a:noFill/>
                  </a:ln>
                </pic:spPr>
              </pic:pic>
            </a:graphicData>
          </a:graphic>
        </wp:inline>
      </w:drawing>
    </w:r>
    <w:r>
      <w:rPr>
        <w:rFonts w:hint="eastAsia"/>
        <w:b/>
        <w:bCs/>
      </w:rPr>
      <w:t xml:space="preserve">云南润达工程项目管理咨询有限公司                   </w:t>
    </w:r>
    <w:r>
      <w:rPr>
        <w:rFonts w:hint="eastAsia"/>
        <w:b/>
        <w:bCs/>
        <w:lang w:val="en-US" w:eastAsia="zh-CN"/>
      </w:rPr>
      <w:t xml:space="preserve">                  </w:t>
    </w:r>
    <w:r>
      <w:rPr>
        <w:rFonts w:hint="eastAsia"/>
        <w:b/>
        <w:bCs/>
      </w:rPr>
      <w:t xml:space="preserve">  </w:t>
    </w:r>
    <w:r>
      <w:rPr>
        <w:rFonts w:hint="eastAsia"/>
        <w:b/>
        <w:bCs/>
      </w:rPr>
      <w:sym w:font="Wingdings" w:char="0028"/>
    </w:r>
    <w:r>
      <w:rPr>
        <w:rFonts w:hint="eastAsia"/>
        <w:b/>
        <w:bCs/>
      </w:rPr>
      <w:t>：0871-65353686</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CE754C">
    <w:pPr>
      <w:pStyle w:val="20"/>
      <w:pBdr>
        <w:top w:val="single" w:color="auto" w:sz="4" w:space="0"/>
      </w:pBdr>
      <w:spacing w:line="240" w:lineRule="auto"/>
      <w:jc w:val="both"/>
      <w:rPr>
        <w:rFonts w:hint="eastAsia"/>
      </w:rPr>
    </w:pPr>
    <w:r>
      <w:rPr>
        <w:sz w:val="21"/>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78BADBB">
                          <w:pPr>
                            <w:pStyle w:val="22"/>
                          </w:pPr>
                          <w:r>
                            <w:fldChar w:fldCharType="begin"/>
                          </w:r>
                          <w:r>
                            <w:instrText xml:space="preserve"> PAGE  \* MERGEFORMAT </w:instrText>
                          </w:r>
                          <w:r>
                            <w:fldChar w:fldCharType="separate"/>
                          </w:r>
                          <w:r>
                            <w:t>- 4 -</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278BADBB">
                    <w:pPr>
                      <w:pStyle w:val="22"/>
                    </w:pPr>
                    <w:r>
                      <w:fldChar w:fldCharType="begin"/>
                    </w:r>
                    <w:r>
                      <w:instrText xml:space="preserve"> PAGE  \* MERGEFORMAT </w:instrText>
                    </w:r>
                    <w:r>
                      <w:fldChar w:fldCharType="separate"/>
                    </w:r>
                    <w:r>
                      <w:t>- 4 -</w:t>
                    </w:r>
                    <w:r>
                      <w:fldChar w:fldCharType="end"/>
                    </w:r>
                  </w:p>
                </w:txbxContent>
              </v:textbox>
            </v:shape>
          </w:pict>
        </mc:Fallback>
      </mc:AlternateContent>
    </w:r>
    <w:r>
      <w:rPr>
        <w:rFonts w:hint="eastAsia"/>
        <w:b/>
        <w:bCs/>
      </w:rPr>
      <w:drawing>
        <wp:inline distT="0" distB="0" distL="114300" distR="114300">
          <wp:extent cx="163195" cy="141605"/>
          <wp:effectExtent l="0" t="0" r="8255" b="10795"/>
          <wp:docPr id="6" name="图片 22" descr="$JE%XUY530]]FBGG3{DG[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22" descr="$JE%XUY530]]FBGG3{DG[05"/>
                  <pic:cNvPicPr>
                    <a:picLocks noChangeAspect="1"/>
                  </pic:cNvPicPr>
                </pic:nvPicPr>
                <pic:blipFill>
                  <a:blip r:embed="rId1"/>
                  <a:stretch>
                    <a:fillRect/>
                  </a:stretch>
                </pic:blipFill>
                <pic:spPr>
                  <a:xfrm>
                    <a:off x="0" y="0"/>
                    <a:ext cx="163195" cy="141605"/>
                  </a:xfrm>
                  <a:prstGeom prst="rect">
                    <a:avLst/>
                  </a:prstGeom>
                  <a:noFill/>
                  <a:ln>
                    <a:noFill/>
                  </a:ln>
                </pic:spPr>
              </pic:pic>
            </a:graphicData>
          </a:graphic>
        </wp:inline>
      </w:drawing>
    </w:r>
    <w:r>
      <w:rPr>
        <w:rFonts w:hint="eastAsia"/>
        <w:b/>
        <w:bCs/>
      </w:rPr>
      <w:t xml:space="preserve">云南润达工程项目管理咨询有限公司                   </w:t>
    </w:r>
    <w:r>
      <w:rPr>
        <w:rFonts w:hint="eastAsia"/>
        <w:b/>
        <w:bCs/>
        <w:lang w:val="en-US" w:eastAsia="zh-CN"/>
      </w:rPr>
      <w:t xml:space="preserve">                  </w:t>
    </w:r>
    <w:r>
      <w:rPr>
        <w:rFonts w:hint="eastAsia"/>
        <w:b/>
        <w:bCs/>
      </w:rPr>
      <w:t xml:space="preserve">  </w:t>
    </w:r>
    <w:r>
      <w:rPr>
        <w:rFonts w:hint="eastAsia"/>
        <w:b/>
        <w:bCs/>
      </w:rPr>
      <w:sym w:font="Wingdings" w:char="0028"/>
    </w:r>
    <w:r>
      <w:rPr>
        <w:rFonts w:hint="eastAsia"/>
        <w:b/>
        <w:bCs/>
      </w:rPr>
      <w:t>：0871-65353686</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5D9720">
    <w:pPr>
      <w:pStyle w:val="20"/>
      <w:pBdr>
        <w:top w:val="single" w:color="auto" w:sz="4" w:space="0"/>
      </w:pBdr>
      <w:spacing w:line="240" w:lineRule="auto"/>
      <w:jc w:val="both"/>
      <w:rPr>
        <w:rFonts w:hint="eastAsia"/>
      </w:rPr>
    </w:pPr>
    <w:r>
      <w:rPr>
        <w:sz w:val="21"/>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17E614A">
                          <w:pPr>
                            <w:pStyle w:val="22"/>
                          </w:pPr>
                          <w:r>
                            <w:fldChar w:fldCharType="begin"/>
                          </w:r>
                          <w:r>
                            <w:instrText xml:space="preserve"> PAGE  \* MERGEFORMAT </w:instrText>
                          </w:r>
                          <w:r>
                            <w:fldChar w:fldCharType="separate"/>
                          </w:r>
                          <w:r>
                            <w:t>- 139 -</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14:paraId="417E614A">
                    <w:pPr>
                      <w:pStyle w:val="22"/>
                    </w:pPr>
                    <w:r>
                      <w:fldChar w:fldCharType="begin"/>
                    </w:r>
                    <w:r>
                      <w:instrText xml:space="preserve"> PAGE  \* MERGEFORMAT </w:instrText>
                    </w:r>
                    <w:r>
                      <w:fldChar w:fldCharType="separate"/>
                    </w:r>
                    <w:r>
                      <w:t>- 139 -</w:t>
                    </w:r>
                    <w:r>
                      <w:fldChar w:fldCharType="end"/>
                    </w:r>
                  </w:p>
                </w:txbxContent>
              </v:textbox>
            </v:shape>
          </w:pict>
        </mc:Fallback>
      </mc:AlternateContent>
    </w:r>
    <w:r>
      <w:rPr>
        <w:rFonts w:hint="eastAsia"/>
        <w:b/>
        <w:bCs/>
      </w:rPr>
      <w:drawing>
        <wp:inline distT="0" distB="0" distL="114300" distR="114300">
          <wp:extent cx="163195" cy="141605"/>
          <wp:effectExtent l="0" t="0" r="8255" b="10795"/>
          <wp:docPr id="8" name="图片 22" descr="$JE%XUY530]]FBGG3{DG[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22" descr="$JE%XUY530]]FBGG3{DG[05"/>
                  <pic:cNvPicPr>
                    <a:picLocks noChangeAspect="1"/>
                  </pic:cNvPicPr>
                </pic:nvPicPr>
                <pic:blipFill>
                  <a:blip r:embed="rId1"/>
                  <a:stretch>
                    <a:fillRect/>
                  </a:stretch>
                </pic:blipFill>
                <pic:spPr>
                  <a:xfrm>
                    <a:off x="0" y="0"/>
                    <a:ext cx="163195" cy="141605"/>
                  </a:xfrm>
                  <a:prstGeom prst="rect">
                    <a:avLst/>
                  </a:prstGeom>
                  <a:noFill/>
                  <a:ln>
                    <a:noFill/>
                  </a:ln>
                </pic:spPr>
              </pic:pic>
            </a:graphicData>
          </a:graphic>
        </wp:inline>
      </w:drawing>
    </w:r>
    <w:r>
      <w:rPr>
        <w:rFonts w:hint="eastAsia"/>
        <w:b/>
        <w:bCs/>
      </w:rPr>
      <w:t xml:space="preserve">云南润达工程项目管理咨询有限公司                   </w:t>
    </w:r>
    <w:r>
      <w:rPr>
        <w:rFonts w:hint="eastAsia"/>
        <w:b/>
        <w:bCs/>
        <w:lang w:val="en-US" w:eastAsia="zh-CN"/>
      </w:rPr>
      <w:t xml:space="preserve">                                                          </w:t>
    </w:r>
    <w:r>
      <w:rPr>
        <w:rFonts w:hint="eastAsia"/>
        <w:b/>
        <w:bCs/>
      </w:rPr>
      <w:t xml:space="preserve">  </w:t>
    </w:r>
    <w:r>
      <w:rPr>
        <w:rFonts w:hint="eastAsia"/>
        <w:b/>
        <w:bCs/>
      </w:rPr>
      <w:sym w:font="Wingdings" w:char="0028"/>
    </w:r>
    <w:r>
      <w:rPr>
        <w:rFonts w:hint="eastAsia"/>
        <w:b/>
        <w:bCs/>
      </w:rPr>
      <w:t>：0871-65353686</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E25DB8">
    <w:pPr>
      <w:pStyle w:val="20"/>
      <w:pBdr>
        <w:top w:val="single" w:color="auto" w:sz="4" w:space="0"/>
      </w:pBdr>
      <w:spacing w:line="240" w:lineRule="auto"/>
      <w:rPr>
        <w:rFonts w:hint="eastAsia"/>
      </w:rPr>
    </w:pPr>
    <w:r>
      <w:rPr>
        <w:sz w:val="21"/>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B67637D">
                          <w:pPr>
                            <w:pStyle w:val="22"/>
                          </w:pPr>
                          <w:r>
                            <w:fldChar w:fldCharType="begin"/>
                          </w:r>
                          <w:r>
                            <w:instrText xml:space="preserve"> PAGE  \* MERGEFORMAT </w:instrText>
                          </w:r>
                          <w:r>
                            <w:fldChar w:fldCharType="separate"/>
                          </w:r>
                          <w:r>
                            <w:t>- 139 -</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AOHox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rADh6MQIAAGMEAAAOAAAAAAAAAAEAIAAAAB8BAABkcnMvZTJvRG9jLnhtbFBLBQYA&#10;AAAABgAGAFkBAADCBQAAAAA=&#10;">
              <v:fill on="f" focussize="0,0"/>
              <v:stroke on="f" weight="0.5pt"/>
              <v:imagedata o:title=""/>
              <o:lock v:ext="edit" aspectratio="f"/>
              <v:textbox inset="0mm,0mm,0mm,0mm" style="mso-fit-shape-to-text:t;">
                <w:txbxContent>
                  <w:p w14:paraId="4B67637D">
                    <w:pPr>
                      <w:pStyle w:val="22"/>
                    </w:pPr>
                    <w:r>
                      <w:fldChar w:fldCharType="begin"/>
                    </w:r>
                    <w:r>
                      <w:instrText xml:space="preserve"> PAGE  \* MERGEFORMAT </w:instrText>
                    </w:r>
                    <w:r>
                      <w:fldChar w:fldCharType="separate"/>
                    </w:r>
                    <w:r>
                      <w:t>- 139 -</w:t>
                    </w:r>
                    <w:r>
                      <w:fldChar w:fldCharType="end"/>
                    </w:r>
                  </w:p>
                </w:txbxContent>
              </v:textbox>
            </v:shape>
          </w:pict>
        </mc:Fallback>
      </mc:AlternateContent>
    </w:r>
    <w:r>
      <w:rPr>
        <w:rFonts w:hint="eastAsia"/>
        <w:b/>
        <w:bCs/>
      </w:rPr>
      <w:drawing>
        <wp:inline distT="0" distB="0" distL="114300" distR="114300">
          <wp:extent cx="163195" cy="141605"/>
          <wp:effectExtent l="0" t="0" r="8255" b="10795"/>
          <wp:docPr id="13" name="图片 22" descr="$JE%XUY530]]FBGG3{DG[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22" descr="$JE%XUY530]]FBGG3{DG[05"/>
                  <pic:cNvPicPr>
                    <a:picLocks noChangeAspect="1"/>
                  </pic:cNvPicPr>
                </pic:nvPicPr>
                <pic:blipFill>
                  <a:blip r:embed="rId1"/>
                  <a:stretch>
                    <a:fillRect/>
                  </a:stretch>
                </pic:blipFill>
                <pic:spPr>
                  <a:xfrm>
                    <a:off x="0" y="0"/>
                    <a:ext cx="163195" cy="141605"/>
                  </a:xfrm>
                  <a:prstGeom prst="rect">
                    <a:avLst/>
                  </a:prstGeom>
                  <a:noFill/>
                  <a:ln>
                    <a:noFill/>
                  </a:ln>
                </pic:spPr>
              </pic:pic>
            </a:graphicData>
          </a:graphic>
        </wp:inline>
      </w:drawing>
    </w:r>
    <w:r>
      <w:rPr>
        <w:rFonts w:hint="eastAsia"/>
        <w:b/>
        <w:bCs/>
      </w:rPr>
      <w:t xml:space="preserve">云南润达工程项目管理咨询有限公司                                       </w:t>
    </w:r>
    <w:r>
      <w:rPr>
        <w:rFonts w:hint="eastAsia"/>
        <w:b/>
        <w:bCs/>
      </w:rPr>
      <w:sym w:font="Wingdings" w:char="0028"/>
    </w:r>
    <w:r>
      <w:rPr>
        <w:rFonts w:hint="eastAsia"/>
        <w:b/>
        <w:bCs/>
      </w:rPr>
      <w:t>：0871-65353686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560"/>
      </w:pPr>
      <w:r>
        <w:separator/>
      </w:r>
    </w:p>
  </w:footnote>
  <w:footnote w:type="continuationSeparator" w:id="1">
    <w:p>
      <w:pPr>
        <w:spacing w:line="360" w:lineRule="auto"/>
        <w:ind w:firstLine="56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87BC0C">
    <w:pPr>
      <w:pStyle w:val="20"/>
      <w:pBdr>
        <w:top w:val="none" w:color="auto" w:sz="0" w:space="0"/>
        <w:left w:val="none" w:color="auto" w:sz="0" w:space="0"/>
        <w:bottom w:val="none" w:color="auto" w:sz="0" w:space="0"/>
        <w:right w:val="none" w:color="auto" w:sz="0" w:space="0"/>
        <w:between w:val="none" w:color="auto" w:sz="0" w:space="0"/>
      </w:pBdr>
      <w:spacing w:line="240" w:lineRule="auto"/>
      <w:jc w:val="both"/>
      <w:rPr>
        <w:rFonts w:hint="eastAsia"/>
        <w:b/>
        <w:bCs/>
        <w:sz w:val="24"/>
        <w:szCs w:val="24"/>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430492">
    <w:pPr>
      <w:pStyle w:val="20"/>
      <w:pBdr>
        <w:bottom w:val="single" w:color="auto" w:sz="4" w:space="0"/>
      </w:pBdr>
      <w:spacing w:line="240" w:lineRule="auto"/>
      <w:jc w:val="right"/>
      <w:rPr>
        <w:rFonts w:hint="eastAsia"/>
        <w:b/>
        <w:bCs/>
        <w:sz w:val="24"/>
        <w:szCs w:val="24"/>
      </w:rPr>
    </w:pPr>
    <w:r>
      <w:rPr>
        <w:rFonts w:hint="eastAsia"/>
        <w:b/>
        <w:bCs/>
        <w:sz w:val="24"/>
        <w:szCs w:val="24"/>
      </w:rPr>
      <w:sym w:font="Wingdings" w:char="0026"/>
    </w:r>
    <w:r>
      <w:rPr>
        <w:rFonts w:hint="eastAsia"/>
        <w:b/>
        <w:bCs/>
        <w:sz w:val="24"/>
        <w:szCs w:val="24"/>
      </w:rPr>
      <w:t>招标</w:t>
    </w:r>
    <w:r>
      <w:rPr>
        <w:rFonts w:hint="eastAsia"/>
        <w:b/>
        <w:bCs/>
        <w:sz w:val="24"/>
        <w:szCs w:val="24"/>
        <w:lang w:val="en-US" w:eastAsia="zh-CN"/>
      </w:rPr>
      <w:t>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2DD0CB">
    <w:pPr>
      <w:pStyle w:val="20"/>
      <w:pBdr>
        <w:bottom w:val="single" w:color="auto" w:sz="4" w:space="0"/>
      </w:pBdr>
      <w:spacing w:line="240" w:lineRule="auto"/>
      <w:jc w:val="right"/>
      <w:rPr>
        <w:rFonts w:hint="eastAsia" w:eastAsia="仿宋"/>
        <w:b/>
        <w:bCs/>
        <w:sz w:val="24"/>
        <w:szCs w:val="24"/>
        <w:lang w:eastAsia="zh-CN"/>
      </w:rPr>
    </w:pPr>
    <w:r>
      <w:rPr>
        <w:rFonts w:hint="eastAsia"/>
        <w:b/>
        <w:bCs/>
        <w:sz w:val="24"/>
        <w:szCs w:val="24"/>
      </w:rPr>
      <w:sym w:font="Wingdings" w:char="0026"/>
    </w:r>
    <w:r>
      <w:rPr>
        <w:rFonts w:hint="eastAsia"/>
        <w:b/>
        <w:bCs/>
        <w:sz w:val="24"/>
        <w:szCs w:val="24"/>
      </w:rPr>
      <w:t>招标</w:t>
    </w:r>
    <w:r>
      <w:rPr>
        <w:rFonts w:hint="eastAsia"/>
        <w:b/>
        <w:bCs/>
        <w:sz w:val="24"/>
        <w:szCs w:val="24"/>
        <w:lang w:val="en-US" w:eastAsia="zh-CN"/>
      </w:rPr>
      <w:t>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3066D22"/>
    <w:multiLevelType w:val="singleLevel"/>
    <w:tmpl w:val="C3066D22"/>
    <w:lvl w:ilvl="0" w:tentative="0">
      <w:start w:val="1"/>
      <w:numFmt w:val="decimal"/>
      <w:suff w:val="nothing"/>
      <w:lvlText w:val="（%1）"/>
      <w:lvlJc w:val="left"/>
    </w:lvl>
  </w:abstractNum>
  <w:abstractNum w:abstractNumId="1">
    <w:nsid w:val="447B6378"/>
    <w:multiLevelType w:val="multilevel"/>
    <w:tmpl w:val="447B6378"/>
    <w:lvl w:ilvl="0" w:tentative="0">
      <w:start w:val="1"/>
      <w:numFmt w:val="decimal"/>
      <w:pStyle w:val="49"/>
      <w:suff w:val="nothing"/>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7E841CEF"/>
    <w:multiLevelType w:val="singleLevel"/>
    <w:tmpl w:val="7E841CEF"/>
    <w:lvl w:ilvl="0" w:tentative="0">
      <w:start w:val="1"/>
      <w:numFmt w:val="decimal"/>
      <w:suff w:val="space"/>
      <w:lvlText w:val="%1."/>
      <w:lvlJc w:val="left"/>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32"/>
  <w:embedTrueTypeFonts/>
  <w:saveSubsetFonts/>
  <w:bordersDoNotSurroundHeader w:val="0"/>
  <w:bordersDoNotSurroundFooter w:val="0"/>
  <w:documentProtection w:enforcement="0"/>
  <w:defaultTabStop w:val="0"/>
  <w:drawingGridVerticalSpacing w:val="195"/>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2Y2MWY1ZDRhODU3OGNkZDcyMTIwMzdjYWI2MjQ4NjAifQ=="/>
  </w:docVars>
  <w:rsids>
    <w:rsidRoot w:val="001022A4"/>
    <w:rsid w:val="0000366A"/>
    <w:rsid w:val="00006F7F"/>
    <w:rsid w:val="00007003"/>
    <w:rsid w:val="000075B7"/>
    <w:rsid w:val="000237EA"/>
    <w:rsid w:val="00027CD2"/>
    <w:rsid w:val="00031E0C"/>
    <w:rsid w:val="00040832"/>
    <w:rsid w:val="00040D23"/>
    <w:rsid w:val="000439DA"/>
    <w:rsid w:val="00063604"/>
    <w:rsid w:val="0006370A"/>
    <w:rsid w:val="00066832"/>
    <w:rsid w:val="00067934"/>
    <w:rsid w:val="000720BF"/>
    <w:rsid w:val="0008641D"/>
    <w:rsid w:val="000B39A0"/>
    <w:rsid w:val="000C3E03"/>
    <w:rsid w:val="000C488D"/>
    <w:rsid w:val="000C52EC"/>
    <w:rsid w:val="000D0230"/>
    <w:rsid w:val="000D0AD3"/>
    <w:rsid w:val="000E45BD"/>
    <w:rsid w:val="000E4E33"/>
    <w:rsid w:val="000E67CF"/>
    <w:rsid w:val="000F20FD"/>
    <w:rsid w:val="000F39B0"/>
    <w:rsid w:val="0010002C"/>
    <w:rsid w:val="001008D8"/>
    <w:rsid w:val="001022A4"/>
    <w:rsid w:val="00115EF7"/>
    <w:rsid w:val="0013642D"/>
    <w:rsid w:val="00146410"/>
    <w:rsid w:val="00150D67"/>
    <w:rsid w:val="00156600"/>
    <w:rsid w:val="00160E9C"/>
    <w:rsid w:val="00172190"/>
    <w:rsid w:val="00173480"/>
    <w:rsid w:val="00181988"/>
    <w:rsid w:val="00182557"/>
    <w:rsid w:val="0018304A"/>
    <w:rsid w:val="001904E9"/>
    <w:rsid w:val="001A77DE"/>
    <w:rsid w:val="001B36EC"/>
    <w:rsid w:val="001D7B23"/>
    <w:rsid w:val="001E2F56"/>
    <w:rsid w:val="002062E6"/>
    <w:rsid w:val="00207131"/>
    <w:rsid w:val="0022214D"/>
    <w:rsid w:val="00223585"/>
    <w:rsid w:val="002317DB"/>
    <w:rsid w:val="00232245"/>
    <w:rsid w:val="0023265E"/>
    <w:rsid w:val="00235B5A"/>
    <w:rsid w:val="00251060"/>
    <w:rsid w:val="002514A3"/>
    <w:rsid w:val="00256B32"/>
    <w:rsid w:val="00256D01"/>
    <w:rsid w:val="002706F2"/>
    <w:rsid w:val="00271135"/>
    <w:rsid w:val="00285E30"/>
    <w:rsid w:val="002A1AEC"/>
    <w:rsid w:val="002A1BCB"/>
    <w:rsid w:val="002A5262"/>
    <w:rsid w:val="002A6484"/>
    <w:rsid w:val="002A79C6"/>
    <w:rsid w:val="002C06B9"/>
    <w:rsid w:val="002C0FDD"/>
    <w:rsid w:val="002C5E37"/>
    <w:rsid w:val="002D11F7"/>
    <w:rsid w:val="002D48C5"/>
    <w:rsid w:val="002E0B52"/>
    <w:rsid w:val="002E1CF4"/>
    <w:rsid w:val="002E5FED"/>
    <w:rsid w:val="002F0DA9"/>
    <w:rsid w:val="003113C1"/>
    <w:rsid w:val="00312C3A"/>
    <w:rsid w:val="0031353D"/>
    <w:rsid w:val="0032200D"/>
    <w:rsid w:val="00333B37"/>
    <w:rsid w:val="0034487B"/>
    <w:rsid w:val="00347CC6"/>
    <w:rsid w:val="00347D88"/>
    <w:rsid w:val="00350BCD"/>
    <w:rsid w:val="00351E68"/>
    <w:rsid w:val="0035643C"/>
    <w:rsid w:val="003622A7"/>
    <w:rsid w:val="00366226"/>
    <w:rsid w:val="003746B0"/>
    <w:rsid w:val="00374A6B"/>
    <w:rsid w:val="00383E1C"/>
    <w:rsid w:val="00390D4A"/>
    <w:rsid w:val="003918E9"/>
    <w:rsid w:val="0039222E"/>
    <w:rsid w:val="0039288A"/>
    <w:rsid w:val="00393395"/>
    <w:rsid w:val="0039372E"/>
    <w:rsid w:val="00394AF5"/>
    <w:rsid w:val="003A19A4"/>
    <w:rsid w:val="003A1A1B"/>
    <w:rsid w:val="003A4485"/>
    <w:rsid w:val="003A4878"/>
    <w:rsid w:val="003B4310"/>
    <w:rsid w:val="003B60A6"/>
    <w:rsid w:val="003C5883"/>
    <w:rsid w:val="003C7C49"/>
    <w:rsid w:val="003D3327"/>
    <w:rsid w:val="003E057C"/>
    <w:rsid w:val="003E2B14"/>
    <w:rsid w:val="003E314B"/>
    <w:rsid w:val="003F5655"/>
    <w:rsid w:val="003F5BC6"/>
    <w:rsid w:val="004021C6"/>
    <w:rsid w:val="00406BEF"/>
    <w:rsid w:val="00410595"/>
    <w:rsid w:val="00420F7C"/>
    <w:rsid w:val="00433514"/>
    <w:rsid w:val="00446BB3"/>
    <w:rsid w:val="0045353D"/>
    <w:rsid w:val="00470D44"/>
    <w:rsid w:val="004747D3"/>
    <w:rsid w:val="004771C7"/>
    <w:rsid w:val="00481C3A"/>
    <w:rsid w:val="004851CA"/>
    <w:rsid w:val="0048656E"/>
    <w:rsid w:val="00493221"/>
    <w:rsid w:val="004A302C"/>
    <w:rsid w:val="004A6B6D"/>
    <w:rsid w:val="004B539D"/>
    <w:rsid w:val="004C1FA1"/>
    <w:rsid w:val="004C3DCC"/>
    <w:rsid w:val="004D0167"/>
    <w:rsid w:val="004E0BF9"/>
    <w:rsid w:val="004E0CF9"/>
    <w:rsid w:val="004F3FDD"/>
    <w:rsid w:val="004F46AB"/>
    <w:rsid w:val="00501A4A"/>
    <w:rsid w:val="005032B9"/>
    <w:rsid w:val="005100F2"/>
    <w:rsid w:val="00510300"/>
    <w:rsid w:val="00511D7B"/>
    <w:rsid w:val="00513AD5"/>
    <w:rsid w:val="00523D37"/>
    <w:rsid w:val="00524831"/>
    <w:rsid w:val="0052616B"/>
    <w:rsid w:val="00532F25"/>
    <w:rsid w:val="00541D90"/>
    <w:rsid w:val="00542258"/>
    <w:rsid w:val="0054547C"/>
    <w:rsid w:val="0054632A"/>
    <w:rsid w:val="00551EDC"/>
    <w:rsid w:val="005544D1"/>
    <w:rsid w:val="00554509"/>
    <w:rsid w:val="00561523"/>
    <w:rsid w:val="00561527"/>
    <w:rsid w:val="00590E72"/>
    <w:rsid w:val="00594E7A"/>
    <w:rsid w:val="005A146E"/>
    <w:rsid w:val="005A7987"/>
    <w:rsid w:val="005B5936"/>
    <w:rsid w:val="005C0D20"/>
    <w:rsid w:val="005D050C"/>
    <w:rsid w:val="005F7A46"/>
    <w:rsid w:val="00611383"/>
    <w:rsid w:val="00620B1C"/>
    <w:rsid w:val="00626E33"/>
    <w:rsid w:val="006407ED"/>
    <w:rsid w:val="0064251F"/>
    <w:rsid w:val="00643F74"/>
    <w:rsid w:val="006503AE"/>
    <w:rsid w:val="00651EE4"/>
    <w:rsid w:val="00654524"/>
    <w:rsid w:val="00654BCF"/>
    <w:rsid w:val="0066052B"/>
    <w:rsid w:val="006630EF"/>
    <w:rsid w:val="0066446E"/>
    <w:rsid w:val="0066601A"/>
    <w:rsid w:val="006662AB"/>
    <w:rsid w:val="00674212"/>
    <w:rsid w:val="0067621A"/>
    <w:rsid w:val="006815D1"/>
    <w:rsid w:val="00687DD5"/>
    <w:rsid w:val="006923C3"/>
    <w:rsid w:val="006937E9"/>
    <w:rsid w:val="00693EF9"/>
    <w:rsid w:val="006947A5"/>
    <w:rsid w:val="006A1A11"/>
    <w:rsid w:val="006A2C75"/>
    <w:rsid w:val="006A4105"/>
    <w:rsid w:val="006B0C84"/>
    <w:rsid w:val="006B543B"/>
    <w:rsid w:val="006B7E54"/>
    <w:rsid w:val="006C0BD1"/>
    <w:rsid w:val="006C30C8"/>
    <w:rsid w:val="006C5139"/>
    <w:rsid w:val="006C69FC"/>
    <w:rsid w:val="006D069F"/>
    <w:rsid w:val="006D2C95"/>
    <w:rsid w:val="006D5F8F"/>
    <w:rsid w:val="006D6CEA"/>
    <w:rsid w:val="006E3B5C"/>
    <w:rsid w:val="006E3EB8"/>
    <w:rsid w:val="00707B1D"/>
    <w:rsid w:val="00710909"/>
    <w:rsid w:val="00716369"/>
    <w:rsid w:val="00723649"/>
    <w:rsid w:val="007265C3"/>
    <w:rsid w:val="00735F23"/>
    <w:rsid w:val="00740CEF"/>
    <w:rsid w:val="00742261"/>
    <w:rsid w:val="00750D8D"/>
    <w:rsid w:val="00752C5E"/>
    <w:rsid w:val="007531F9"/>
    <w:rsid w:val="00764378"/>
    <w:rsid w:val="0076591F"/>
    <w:rsid w:val="00766F0F"/>
    <w:rsid w:val="00773916"/>
    <w:rsid w:val="00773B9A"/>
    <w:rsid w:val="0077582F"/>
    <w:rsid w:val="007862C9"/>
    <w:rsid w:val="0079007B"/>
    <w:rsid w:val="007A0F22"/>
    <w:rsid w:val="007B5C1A"/>
    <w:rsid w:val="007C03A0"/>
    <w:rsid w:val="007C2BEF"/>
    <w:rsid w:val="007D3D77"/>
    <w:rsid w:val="007E157B"/>
    <w:rsid w:val="007E4818"/>
    <w:rsid w:val="007E5868"/>
    <w:rsid w:val="007E6A7E"/>
    <w:rsid w:val="007F33F3"/>
    <w:rsid w:val="007F6124"/>
    <w:rsid w:val="00801743"/>
    <w:rsid w:val="00801BDF"/>
    <w:rsid w:val="00802B86"/>
    <w:rsid w:val="0082514B"/>
    <w:rsid w:val="00830599"/>
    <w:rsid w:val="008334B0"/>
    <w:rsid w:val="0083496F"/>
    <w:rsid w:val="0083530F"/>
    <w:rsid w:val="00836468"/>
    <w:rsid w:val="00843492"/>
    <w:rsid w:val="00845F16"/>
    <w:rsid w:val="00852AF3"/>
    <w:rsid w:val="00856D2D"/>
    <w:rsid w:val="00856F2E"/>
    <w:rsid w:val="00857C99"/>
    <w:rsid w:val="00871560"/>
    <w:rsid w:val="00872D54"/>
    <w:rsid w:val="00872F2D"/>
    <w:rsid w:val="0087585D"/>
    <w:rsid w:val="00880E22"/>
    <w:rsid w:val="00882B6F"/>
    <w:rsid w:val="008834AE"/>
    <w:rsid w:val="00885F4D"/>
    <w:rsid w:val="008962E2"/>
    <w:rsid w:val="008A74EF"/>
    <w:rsid w:val="008B0539"/>
    <w:rsid w:val="008B1C98"/>
    <w:rsid w:val="008B5ADF"/>
    <w:rsid w:val="008D0B3B"/>
    <w:rsid w:val="008D1450"/>
    <w:rsid w:val="008D2E66"/>
    <w:rsid w:val="008D56A5"/>
    <w:rsid w:val="008E1546"/>
    <w:rsid w:val="008E189F"/>
    <w:rsid w:val="008E24ED"/>
    <w:rsid w:val="008E40FE"/>
    <w:rsid w:val="008E57AC"/>
    <w:rsid w:val="008E6D3B"/>
    <w:rsid w:val="00902C2A"/>
    <w:rsid w:val="00906396"/>
    <w:rsid w:val="0090770A"/>
    <w:rsid w:val="00916E4D"/>
    <w:rsid w:val="00917A63"/>
    <w:rsid w:val="00923C36"/>
    <w:rsid w:val="00924B8E"/>
    <w:rsid w:val="009344DE"/>
    <w:rsid w:val="009357E5"/>
    <w:rsid w:val="00936087"/>
    <w:rsid w:val="00945D17"/>
    <w:rsid w:val="00965FBF"/>
    <w:rsid w:val="00973941"/>
    <w:rsid w:val="0097751F"/>
    <w:rsid w:val="00980255"/>
    <w:rsid w:val="009804FA"/>
    <w:rsid w:val="00985B78"/>
    <w:rsid w:val="0098649F"/>
    <w:rsid w:val="00993AFA"/>
    <w:rsid w:val="0099686E"/>
    <w:rsid w:val="00996DF2"/>
    <w:rsid w:val="009A41B0"/>
    <w:rsid w:val="009A4756"/>
    <w:rsid w:val="009A4C46"/>
    <w:rsid w:val="009A4DBF"/>
    <w:rsid w:val="009B3513"/>
    <w:rsid w:val="009B39EA"/>
    <w:rsid w:val="009D3FC3"/>
    <w:rsid w:val="009D433D"/>
    <w:rsid w:val="009D4484"/>
    <w:rsid w:val="009D5889"/>
    <w:rsid w:val="009D7755"/>
    <w:rsid w:val="009F1D20"/>
    <w:rsid w:val="00A00548"/>
    <w:rsid w:val="00A00713"/>
    <w:rsid w:val="00A00731"/>
    <w:rsid w:val="00A11A5C"/>
    <w:rsid w:val="00A22235"/>
    <w:rsid w:val="00A22F7B"/>
    <w:rsid w:val="00A23801"/>
    <w:rsid w:val="00A2554C"/>
    <w:rsid w:val="00A25B25"/>
    <w:rsid w:val="00A33652"/>
    <w:rsid w:val="00A3798C"/>
    <w:rsid w:val="00A42866"/>
    <w:rsid w:val="00A461C1"/>
    <w:rsid w:val="00A46B5C"/>
    <w:rsid w:val="00A50D6E"/>
    <w:rsid w:val="00A51DD8"/>
    <w:rsid w:val="00A647EA"/>
    <w:rsid w:val="00A736C6"/>
    <w:rsid w:val="00A82472"/>
    <w:rsid w:val="00A83F1F"/>
    <w:rsid w:val="00A8416F"/>
    <w:rsid w:val="00AA0223"/>
    <w:rsid w:val="00AB28B8"/>
    <w:rsid w:val="00AB3B77"/>
    <w:rsid w:val="00AC57B7"/>
    <w:rsid w:val="00AC73C5"/>
    <w:rsid w:val="00AC755C"/>
    <w:rsid w:val="00AD0E13"/>
    <w:rsid w:val="00AD5ABF"/>
    <w:rsid w:val="00AF45C5"/>
    <w:rsid w:val="00AF5667"/>
    <w:rsid w:val="00B05DD5"/>
    <w:rsid w:val="00B12477"/>
    <w:rsid w:val="00B13343"/>
    <w:rsid w:val="00B1354B"/>
    <w:rsid w:val="00B220B2"/>
    <w:rsid w:val="00B23942"/>
    <w:rsid w:val="00B4327E"/>
    <w:rsid w:val="00B467A4"/>
    <w:rsid w:val="00B5286D"/>
    <w:rsid w:val="00B545BC"/>
    <w:rsid w:val="00B61032"/>
    <w:rsid w:val="00B61D2E"/>
    <w:rsid w:val="00B71854"/>
    <w:rsid w:val="00B71DA4"/>
    <w:rsid w:val="00B7235B"/>
    <w:rsid w:val="00B76348"/>
    <w:rsid w:val="00B81261"/>
    <w:rsid w:val="00B82556"/>
    <w:rsid w:val="00B87655"/>
    <w:rsid w:val="00B87801"/>
    <w:rsid w:val="00B92871"/>
    <w:rsid w:val="00B928DA"/>
    <w:rsid w:val="00BA5AC3"/>
    <w:rsid w:val="00BA630D"/>
    <w:rsid w:val="00BB06B4"/>
    <w:rsid w:val="00BB2551"/>
    <w:rsid w:val="00BB4892"/>
    <w:rsid w:val="00BB5E9B"/>
    <w:rsid w:val="00BC0655"/>
    <w:rsid w:val="00BC1A44"/>
    <w:rsid w:val="00BC5C37"/>
    <w:rsid w:val="00BC7ED2"/>
    <w:rsid w:val="00BD0190"/>
    <w:rsid w:val="00BE212E"/>
    <w:rsid w:val="00BE4AAB"/>
    <w:rsid w:val="00BE5086"/>
    <w:rsid w:val="00BF4971"/>
    <w:rsid w:val="00C07F40"/>
    <w:rsid w:val="00C12E85"/>
    <w:rsid w:val="00C16A79"/>
    <w:rsid w:val="00C20278"/>
    <w:rsid w:val="00C22791"/>
    <w:rsid w:val="00C236DC"/>
    <w:rsid w:val="00C32F79"/>
    <w:rsid w:val="00C33FD2"/>
    <w:rsid w:val="00C35271"/>
    <w:rsid w:val="00C4036A"/>
    <w:rsid w:val="00C50E28"/>
    <w:rsid w:val="00C62934"/>
    <w:rsid w:val="00C64428"/>
    <w:rsid w:val="00C74D6F"/>
    <w:rsid w:val="00C8136C"/>
    <w:rsid w:val="00C842DE"/>
    <w:rsid w:val="00C902FB"/>
    <w:rsid w:val="00C965AE"/>
    <w:rsid w:val="00CA0AED"/>
    <w:rsid w:val="00CA66E6"/>
    <w:rsid w:val="00CC29DE"/>
    <w:rsid w:val="00CC3B64"/>
    <w:rsid w:val="00CD37C6"/>
    <w:rsid w:val="00CD3BA4"/>
    <w:rsid w:val="00CD41AA"/>
    <w:rsid w:val="00CD6943"/>
    <w:rsid w:val="00CE6C2F"/>
    <w:rsid w:val="00CE73CC"/>
    <w:rsid w:val="00CE7E9C"/>
    <w:rsid w:val="00CF2EF3"/>
    <w:rsid w:val="00CF3298"/>
    <w:rsid w:val="00D02F3B"/>
    <w:rsid w:val="00D0657B"/>
    <w:rsid w:val="00D129CB"/>
    <w:rsid w:val="00D16A04"/>
    <w:rsid w:val="00D27C17"/>
    <w:rsid w:val="00D41B89"/>
    <w:rsid w:val="00D47F27"/>
    <w:rsid w:val="00D5541F"/>
    <w:rsid w:val="00D57923"/>
    <w:rsid w:val="00D61964"/>
    <w:rsid w:val="00D66387"/>
    <w:rsid w:val="00D741B6"/>
    <w:rsid w:val="00D74BD0"/>
    <w:rsid w:val="00D74FED"/>
    <w:rsid w:val="00D75A81"/>
    <w:rsid w:val="00D7761F"/>
    <w:rsid w:val="00D86806"/>
    <w:rsid w:val="00D86C35"/>
    <w:rsid w:val="00DB04FB"/>
    <w:rsid w:val="00DB6549"/>
    <w:rsid w:val="00DB6DFF"/>
    <w:rsid w:val="00DC003F"/>
    <w:rsid w:val="00DC7C1D"/>
    <w:rsid w:val="00DD1FC5"/>
    <w:rsid w:val="00DE72B3"/>
    <w:rsid w:val="00DF4668"/>
    <w:rsid w:val="00E00172"/>
    <w:rsid w:val="00E0533A"/>
    <w:rsid w:val="00E0701A"/>
    <w:rsid w:val="00E131D1"/>
    <w:rsid w:val="00E17AA0"/>
    <w:rsid w:val="00E2655B"/>
    <w:rsid w:val="00E311AB"/>
    <w:rsid w:val="00E358BF"/>
    <w:rsid w:val="00E36EC8"/>
    <w:rsid w:val="00E51146"/>
    <w:rsid w:val="00E512A9"/>
    <w:rsid w:val="00E54AF9"/>
    <w:rsid w:val="00E5624E"/>
    <w:rsid w:val="00E601D4"/>
    <w:rsid w:val="00E64C88"/>
    <w:rsid w:val="00E7179D"/>
    <w:rsid w:val="00E74832"/>
    <w:rsid w:val="00E81B04"/>
    <w:rsid w:val="00E820C5"/>
    <w:rsid w:val="00E87550"/>
    <w:rsid w:val="00E9413F"/>
    <w:rsid w:val="00E973D2"/>
    <w:rsid w:val="00EC7C64"/>
    <w:rsid w:val="00ED00D6"/>
    <w:rsid w:val="00ED31FD"/>
    <w:rsid w:val="00EE26DC"/>
    <w:rsid w:val="00EE3FF1"/>
    <w:rsid w:val="00EE5816"/>
    <w:rsid w:val="00F03292"/>
    <w:rsid w:val="00F0565C"/>
    <w:rsid w:val="00F121AE"/>
    <w:rsid w:val="00F15852"/>
    <w:rsid w:val="00F23F4B"/>
    <w:rsid w:val="00F26946"/>
    <w:rsid w:val="00F46C50"/>
    <w:rsid w:val="00F56CD7"/>
    <w:rsid w:val="00F60B61"/>
    <w:rsid w:val="00F66E89"/>
    <w:rsid w:val="00F67822"/>
    <w:rsid w:val="00F70621"/>
    <w:rsid w:val="00F74182"/>
    <w:rsid w:val="00F7607A"/>
    <w:rsid w:val="00F8517B"/>
    <w:rsid w:val="00F90250"/>
    <w:rsid w:val="00F91395"/>
    <w:rsid w:val="00F961D7"/>
    <w:rsid w:val="00F97A2B"/>
    <w:rsid w:val="00FA0CA3"/>
    <w:rsid w:val="00FA3BC5"/>
    <w:rsid w:val="00FA40FE"/>
    <w:rsid w:val="00FB08DC"/>
    <w:rsid w:val="00FB0D30"/>
    <w:rsid w:val="00FB1AE0"/>
    <w:rsid w:val="00FB34C2"/>
    <w:rsid w:val="00FB42F5"/>
    <w:rsid w:val="00FD76E1"/>
    <w:rsid w:val="00FE0970"/>
    <w:rsid w:val="00FE7811"/>
    <w:rsid w:val="00FF3F3A"/>
    <w:rsid w:val="00FF400F"/>
    <w:rsid w:val="012C7507"/>
    <w:rsid w:val="013E0F10"/>
    <w:rsid w:val="01967DCC"/>
    <w:rsid w:val="01A1689D"/>
    <w:rsid w:val="01BB37F0"/>
    <w:rsid w:val="01CC1A40"/>
    <w:rsid w:val="01E4322D"/>
    <w:rsid w:val="021033C5"/>
    <w:rsid w:val="024651BB"/>
    <w:rsid w:val="024E06A7"/>
    <w:rsid w:val="025263E9"/>
    <w:rsid w:val="029579D0"/>
    <w:rsid w:val="02A779DA"/>
    <w:rsid w:val="02AA5A88"/>
    <w:rsid w:val="02AD3196"/>
    <w:rsid w:val="02B349AE"/>
    <w:rsid w:val="02BF23FC"/>
    <w:rsid w:val="02D2650C"/>
    <w:rsid w:val="02F70D3E"/>
    <w:rsid w:val="02FC24CC"/>
    <w:rsid w:val="03163BF6"/>
    <w:rsid w:val="033124A2"/>
    <w:rsid w:val="03373831"/>
    <w:rsid w:val="03B24C65"/>
    <w:rsid w:val="03CA1FAF"/>
    <w:rsid w:val="03DE35BD"/>
    <w:rsid w:val="03EA6727"/>
    <w:rsid w:val="043A7135"/>
    <w:rsid w:val="04C06F08"/>
    <w:rsid w:val="04CE19B0"/>
    <w:rsid w:val="04DD3F64"/>
    <w:rsid w:val="04EE7F1F"/>
    <w:rsid w:val="04F354C5"/>
    <w:rsid w:val="05095BE0"/>
    <w:rsid w:val="0540483E"/>
    <w:rsid w:val="054C3F00"/>
    <w:rsid w:val="055F2BCB"/>
    <w:rsid w:val="0563090D"/>
    <w:rsid w:val="05A15D87"/>
    <w:rsid w:val="05B13578"/>
    <w:rsid w:val="05B41D83"/>
    <w:rsid w:val="06110369"/>
    <w:rsid w:val="0616772D"/>
    <w:rsid w:val="061F2751"/>
    <w:rsid w:val="062F6A41"/>
    <w:rsid w:val="06707E29"/>
    <w:rsid w:val="067F52D3"/>
    <w:rsid w:val="068C33DC"/>
    <w:rsid w:val="06954688"/>
    <w:rsid w:val="069F7723"/>
    <w:rsid w:val="06E4782C"/>
    <w:rsid w:val="06F51A39"/>
    <w:rsid w:val="07062CD9"/>
    <w:rsid w:val="070752C8"/>
    <w:rsid w:val="07725D73"/>
    <w:rsid w:val="077741FC"/>
    <w:rsid w:val="07866B35"/>
    <w:rsid w:val="07B94814"/>
    <w:rsid w:val="07DD01F0"/>
    <w:rsid w:val="07ED2710"/>
    <w:rsid w:val="07F91FBF"/>
    <w:rsid w:val="082C668B"/>
    <w:rsid w:val="085A6570"/>
    <w:rsid w:val="08AC6127"/>
    <w:rsid w:val="08B140CE"/>
    <w:rsid w:val="08DA2C94"/>
    <w:rsid w:val="08E753B1"/>
    <w:rsid w:val="08F847D6"/>
    <w:rsid w:val="090221EB"/>
    <w:rsid w:val="090B10A0"/>
    <w:rsid w:val="09535D34"/>
    <w:rsid w:val="0958547B"/>
    <w:rsid w:val="09782887"/>
    <w:rsid w:val="097C3D4B"/>
    <w:rsid w:val="097F1A8E"/>
    <w:rsid w:val="09A42F49"/>
    <w:rsid w:val="09AC1C5B"/>
    <w:rsid w:val="09CE174C"/>
    <w:rsid w:val="09D61B19"/>
    <w:rsid w:val="09D73355"/>
    <w:rsid w:val="0A0F3741"/>
    <w:rsid w:val="0A4E1728"/>
    <w:rsid w:val="0B1F0D93"/>
    <w:rsid w:val="0B2C4B67"/>
    <w:rsid w:val="0B3B3792"/>
    <w:rsid w:val="0B416FB3"/>
    <w:rsid w:val="0B7A69B0"/>
    <w:rsid w:val="0BB24C22"/>
    <w:rsid w:val="0BCA3494"/>
    <w:rsid w:val="0BF45945"/>
    <w:rsid w:val="0BF6229A"/>
    <w:rsid w:val="0C1049D2"/>
    <w:rsid w:val="0C25691C"/>
    <w:rsid w:val="0C2C3490"/>
    <w:rsid w:val="0C450474"/>
    <w:rsid w:val="0C6906C6"/>
    <w:rsid w:val="0C79253B"/>
    <w:rsid w:val="0CC779D3"/>
    <w:rsid w:val="0CCC516C"/>
    <w:rsid w:val="0D115149"/>
    <w:rsid w:val="0D2E35AF"/>
    <w:rsid w:val="0D9773A6"/>
    <w:rsid w:val="0DC267E8"/>
    <w:rsid w:val="0DD77BC6"/>
    <w:rsid w:val="0E125A88"/>
    <w:rsid w:val="0E4B6064"/>
    <w:rsid w:val="0E550D71"/>
    <w:rsid w:val="0E5A03D3"/>
    <w:rsid w:val="0E707BF7"/>
    <w:rsid w:val="0E7C0027"/>
    <w:rsid w:val="0EFE2F29"/>
    <w:rsid w:val="0FAD34F2"/>
    <w:rsid w:val="0FFA3C1C"/>
    <w:rsid w:val="10047D52"/>
    <w:rsid w:val="100E1475"/>
    <w:rsid w:val="10305890"/>
    <w:rsid w:val="10423AAD"/>
    <w:rsid w:val="104F3F68"/>
    <w:rsid w:val="10A02A15"/>
    <w:rsid w:val="10A73088"/>
    <w:rsid w:val="10A83678"/>
    <w:rsid w:val="10B169D0"/>
    <w:rsid w:val="10B77D5F"/>
    <w:rsid w:val="10DC0310"/>
    <w:rsid w:val="10EF574B"/>
    <w:rsid w:val="10FE14EA"/>
    <w:rsid w:val="110203C1"/>
    <w:rsid w:val="11A6405B"/>
    <w:rsid w:val="11FC1ECD"/>
    <w:rsid w:val="1212349F"/>
    <w:rsid w:val="1218482D"/>
    <w:rsid w:val="123B1070"/>
    <w:rsid w:val="12411FD6"/>
    <w:rsid w:val="124E024F"/>
    <w:rsid w:val="12597320"/>
    <w:rsid w:val="127A7296"/>
    <w:rsid w:val="12802AFE"/>
    <w:rsid w:val="12A61E39"/>
    <w:rsid w:val="12AC1431"/>
    <w:rsid w:val="12DB64EF"/>
    <w:rsid w:val="12E70CF1"/>
    <w:rsid w:val="12F773AA"/>
    <w:rsid w:val="12FC56ED"/>
    <w:rsid w:val="13223BB5"/>
    <w:rsid w:val="133E25B0"/>
    <w:rsid w:val="133E6515"/>
    <w:rsid w:val="1376180B"/>
    <w:rsid w:val="13783386"/>
    <w:rsid w:val="13806B2E"/>
    <w:rsid w:val="140137CB"/>
    <w:rsid w:val="14100946"/>
    <w:rsid w:val="144933C4"/>
    <w:rsid w:val="148937C0"/>
    <w:rsid w:val="14B545B5"/>
    <w:rsid w:val="14BC1DE8"/>
    <w:rsid w:val="14C34F24"/>
    <w:rsid w:val="14C44CA4"/>
    <w:rsid w:val="14F11C7A"/>
    <w:rsid w:val="15205ED3"/>
    <w:rsid w:val="1528122B"/>
    <w:rsid w:val="15747FCD"/>
    <w:rsid w:val="15A308B2"/>
    <w:rsid w:val="15E1364D"/>
    <w:rsid w:val="15F31839"/>
    <w:rsid w:val="16422E4D"/>
    <w:rsid w:val="16585B40"/>
    <w:rsid w:val="16791B12"/>
    <w:rsid w:val="167D2FDD"/>
    <w:rsid w:val="167D3757"/>
    <w:rsid w:val="167D7355"/>
    <w:rsid w:val="169C3C7F"/>
    <w:rsid w:val="16C86822"/>
    <w:rsid w:val="16D276A1"/>
    <w:rsid w:val="16DE0BDF"/>
    <w:rsid w:val="16E8266B"/>
    <w:rsid w:val="171926EA"/>
    <w:rsid w:val="173D267E"/>
    <w:rsid w:val="175B2228"/>
    <w:rsid w:val="178C784F"/>
    <w:rsid w:val="17B24A58"/>
    <w:rsid w:val="17B40B54"/>
    <w:rsid w:val="180513B0"/>
    <w:rsid w:val="1836075D"/>
    <w:rsid w:val="18377CB8"/>
    <w:rsid w:val="184D6DCC"/>
    <w:rsid w:val="187673EA"/>
    <w:rsid w:val="18BF0DE4"/>
    <w:rsid w:val="18F27B86"/>
    <w:rsid w:val="18F7519C"/>
    <w:rsid w:val="19102702"/>
    <w:rsid w:val="19324427"/>
    <w:rsid w:val="19794F06"/>
    <w:rsid w:val="197C4C02"/>
    <w:rsid w:val="19805192"/>
    <w:rsid w:val="198A4263"/>
    <w:rsid w:val="19CA0BE0"/>
    <w:rsid w:val="19FF5487"/>
    <w:rsid w:val="1A0924ED"/>
    <w:rsid w:val="1A334BA4"/>
    <w:rsid w:val="1A8213DE"/>
    <w:rsid w:val="1A98475D"/>
    <w:rsid w:val="1A9A04D5"/>
    <w:rsid w:val="1A9E2186"/>
    <w:rsid w:val="1AC94917"/>
    <w:rsid w:val="1ACC4407"/>
    <w:rsid w:val="1B375D24"/>
    <w:rsid w:val="1B46240B"/>
    <w:rsid w:val="1B661988"/>
    <w:rsid w:val="1B950C9D"/>
    <w:rsid w:val="1BA3153A"/>
    <w:rsid w:val="1BC42BBE"/>
    <w:rsid w:val="1BCD33F4"/>
    <w:rsid w:val="1BD63C62"/>
    <w:rsid w:val="1BDC68CC"/>
    <w:rsid w:val="1BEC1EA5"/>
    <w:rsid w:val="1C382DB2"/>
    <w:rsid w:val="1C411335"/>
    <w:rsid w:val="1C626DD1"/>
    <w:rsid w:val="1C732E1C"/>
    <w:rsid w:val="1C990377"/>
    <w:rsid w:val="1CAC629E"/>
    <w:rsid w:val="1CAE7DC2"/>
    <w:rsid w:val="1CD770EC"/>
    <w:rsid w:val="1D1A76AB"/>
    <w:rsid w:val="1D2D5631"/>
    <w:rsid w:val="1D884F5D"/>
    <w:rsid w:val="1D9C6312"/>
    <w:rsid w:val="1DAD49C3"/>
    <w:rsid w:val="1DEB28A6"/>
    <w:rsid w:val="1E522E75"/>
    <w:rsid w:val="1EB85E6F"/>
    <w:rsid w:val="1EC024D4"/>
    <w:rsid w:val="1EC61EEB"/>
    <w:rsid w:val="1EEE0DF0"/>
    <w:rsid w:val="1EFF2FFD"/>
    <w:rsid w:val="1F0979D8"/>
    <w:rsid w:val="1F0B7BF4"/>
    <w:rsid w:val="1F1F369F"/>
    <w:rsid w:val="1F7237CF"/>
    <w:rsid w:val="1F9C084C"/>
    <w:rsid w:val="1F9E45C4"/>
    <w:rsid w:val="200A3A07"/>
    <w:rsid w:val="200D1749"/>
    <w:rsid w:val="20146634"/>
    <w:rsid w:val="202D4F00"/>
    <w:rsid w:val="202F0868"/>
    <w:rsid w:val="204A00D1"/>
    <w:rsid w:val="208F7AFD"/>
    <w:rsid w:val="20B56069"/>
    <w:rsid w:val="20FB77F4"/>
    <w:rsid w:val="20FC6A4B"/>
    <w:rsid w:val="214607F0"/>
    <w:rsid w:val="21470C8B"/>
    <w:rsid w:val="21521B0A"/>
    <w:rsid w:val="216E7FC6"/>
    <w:rsid w:val="2176194A"/>
    <w:rsid w:val="21920158"/>
    <w:rsid w:val="219A700D"/>
    <w:rsid w:val="21F37F51"/>
    <w:rsid w:val="220A5F40"/>
    <w:rsid w:val="22244B28"/>
    <w:rsid w:val="22284619"/>
    <w:rsid w:val="222B5EB7"/>
    <w:rsid w:val="222D1C2F"/>
    <w:rsid w:val="225B679C"/>
    <w:rsid w:val="226D64CF"/>
    <w:rsid w:val="227D4C1C"/>
    <w:rsid w:val="228F6446"/>
    <w:rsid w:val="22E56987"/>
    <w:rsid w:val="231F3C6E"/>
    <w:rsid w:val="2325595B"/>
    <w:rsid w:val="23272B22"/>
    <w:rsid w:val="23415CA0"/>
    <w:rsid w:val="235F406A"/>
    <w:rsid w:val="2373100E"/>
    <w:rsid w:val="237A70F6"/>
    <w:rsid w:val="238500C1"/>
    <w:rsid w:val="23A979DB"/>
    <w:rsid w:val="23C42838"/>
    <w:rsid w:val="23E10F23"/>
    <w:rsid w:val="23E427C1"/>
    <w:rsid w:val="23E53458"/>
    <w:rsid w:val="23EF1892"/>
    <w:rsid w:val="24326064"/>
    <w:rsid w:val="244F1C78"/>
    <w:rsid w:val="248B79D6"/>
    <w:rsid w:val="24920313"/>
    <w:rsid w:val="24A106B2"/>
    <w:rsid w:val="24D942F0"/>
    <w:rsid w:val="251E17FE"/>
    <w:rsid w:val="25965D3D"/>
    <w:rsid w:val="25B75DE7"/>
    <w:rsid w:val="25C428AA"/>
    <w:rsid w:val="25D56865"/>
    <w:rsid w:val="260A2F54"/>
    <w:rsid w:val="26472787"/>
    <w:rsid w:val="26663961"/>
    <w:rsid w:val="26695200"/>
    <w:rsid w:val="26827CF9"/>
    <w:rsid w:val="26C336C6"/>
    <w:rsid w:val="2702368A"/>
    <w:rsid w:val="27075144"/>
    <w:rsid w:val="270918C1"/>
    <w:rsid w:val="271206D8"/>
    <w:rsid w:val="271E5FEA"/>
    <w:rsid w:val="278B027A"/>
    <w:rsid w:val="27921034"/>
    <w:rsid w:val="27B435B3"/>
    <w:rsid w:val="27DD08C2"/>
    <w:rsid w:val="28011B94"/>
    <w:rsid w:val="28036860"/>
    <w:rsid w:val="28041684"/>
    <w:rsid w:val="282C2B4E"/>
    <w:rsid w:val="28347772"/>
    <w:rsid w:val="28461C9C"/>
    <w:rsid w:val="285C14C0"/>
    <w:rsid w:val="286C5EC7"/>
    <w:rsid w:val="28804724"/>
    <w:rsid w:val="28991DCC"/>
    <w:rsid w:val="289D486D"/>
    <w:rsid w:val="28C11323"/>
    <w:rsid w:val="28CA01D8"/>
    <w:rsid w:val="28E84B02"/>
    <w:rsid w:val="2918096D"/>
    <w:rsid w:val="29487B9E"/>
    <w:rsid w:val="295561CD"/>
    <w:rsid w:val="29823297"/>
    <w:rsid w:val="298E56A9"/>
    <w:rsid w:val="29B36EBE"/>
    <w:rsid w:val="2A430F6F"/>
    <w:rsid w:val="2A4E308A"/>
    <w:rsid w:val="2A753876"/>
    <w:rsid w:val="2AA15DB9"/>
    <w:rsid w:val="2AA57891"/>
    <w:rsid w:val="2AEE4B12"/>
    <w:rsid w:val="2AF754D0"/>
    <w:rsid w:val="2B126055"/>
    <w:rsid w:val="2B144149"/>
    <w:rsid w:val="2B466919"/>
    <w:rsid w:val="2B74267D"/>
    <w:rsid w:val="2B834F81"/>
    <w:rsid w:val="2BA56CDA"/>
    <w:rsid w:val="2BB533C1"/>
    <w:rsid w:val="2BC2163A"/>
    <w:rsid w:val="2BE7562D"/>
    <w:rsid w:val="2C3D26FD"/>
    <w:rsid w:val="2CC909DE"/>
    <w:rsid w:val="2CF16BCB"/>
    <w:rsid w:val="2D20584C"/>
    <w:rsid w:val="2D223B78"/>
    <w:rsid w:val="2D520C78"/>
    <w:rsid w:val="2D6B7AAF"/>
    <w:rsid w:val="2DAC4350"/>
    <w:rsid w:val="2DCA2A28"/>
    <w:rsid w:val="2DD65871"/>
    <w:rsid w:val="2DE0224B"/>
    <w:rsid w:val="2DFB7085"/>
    <w:rsid w:val="2E224612"/>
    <w:rsid w:val="2E422F06"/>
    <w:rsid w:val="2E4722CA"/>
    <w:rsid w:val="2E5B0E9D"/>
    <w:rsid w:val="2EAD4823"/>
    <w:rsid w:val="2ED40002"/>
    <w:rsid w:val="2F167CA6"/>
    <w:rsid w:val="2F5D6F3E"/>
    <w:rsid w:val="2F6D7B0F"/>
    <w:rsid w:val="2FD67216"/>
    <w:rsid w:val="2FD8767E"/>
    <w:rsid w:val="2FF40230"/>
    <w:rsid w:val="303E14AB"/>
    <w:rsid w:val="30684D3E"/>
    <w:rsid w:val="306A4193"/>
    <w:rsid w:val="30A27C8C"/>
    <w:rsid w:val="30B654E5"/>
    <w:rsid w:val="30C10112"/>
    <w:rsid w:val="30D146BB"/>
    <w:rsid w:val="30D26291"/>
    <w:rsid w:val="30D36097"/>
    <w:rsid w:val="30EF0B21"/>
    <w:rsid w:val="30FC114A"/>
    <w:rsid w:val="31442AF1"/>
    <w:rsid w:val="31557924"/>
    <w:rsid w:val="31AD68E8"/>
    <w:rsid w:val="31B77767"/>
    <w:rsid w:val="31B9528D"/>
    <w:rsid w:val="31E16592"/>
    <w:rsid w:val="325154C6"/>
    <w:rsid w:val="327D078A"/>
    <w:rsid w:val="328156D2"/>
    <w:rsid w:val="32931F82"/>
    <w:rsid w:val="32D25BBE"/>
    <w:rsid w:val="33093FF2"/>
    <w:rsid w:val="33137BF7"/>
    <w:rsid w:val="3352392A"/>
    <w:rsid w:val="337B3A3F"/>
    <w:rsid w:val="33AB09C9"/>
    <w:rsid w:val="33BF0B9A"/>
    <w:rsid w:val="33C46C09"/>
    <w:rsid w:val="33CF3A74"/>
    <w:rsid w:val="34003D36"/>
    <w:rsid w:val="341E27F0"/>
    <w:rsid w:val="343D7DD6"/>
    <w:rsid w:val="346239BA"/>
    <w:rsid w:val="349D764D"/>
    <w:rsid w:val="34F00BE3"/>
    <w:rsid w:val="352C10B9"/>
    <w:rsid w:val="355E7319"/>
    <w:rsid w:val="355F7EFA"/>
    <w:rsid w:val="356371E7"/>
    <w:rsid w:val="357A4D33"/>
    <w:rsid w:val="362B4280"/>
    <w:rsid w:val="36405F7D"/>
    <w:rsid w:val="36651CA6"/>
    <w:rsid w:val="3720190B"/>
    <w:rsid w:val="373830F8"/>
    <w:rsid w:val="37614FD6"/>
    <w:rsid w:val="379245B6"/>
    <w:rsid w:val="37A4253C"/>
    <w:rsid w:val="37D15ED4"/>
    <w:rsid w:val="37D913AF"/>
    <w:rsid w:val="37D95311"/>
    <w:rsid w:val="3821593A"/>
    <w:rsid w:val="383A69FC"/>
    <w:rsid w:val="383E0E57"/>
    <w:rsid w:val="38D429AD"/>
    <w:rsid w:val="3922196A"/>
    <w:rsid w:val="39410D75"/>
    <w:rsid w:val="39693679"/>
    <w:rsid w:val="399A1E48"/>
    <w:rsid w:val="39BB1996"/>
    <w:rsid w:val="39DE7E3A"/>
    <w:rsid w:val="3A282FB0"/>
    <w:rsid w:val="3A35795B"/>
    <w:rsid w:val="3A631110"/>
    <w:rsid w:val="3A8614A0"/>
    <w:rsid w:val="3A8A3C6B"/>
    <w:rsid w:val="3A985A30"/>
    <w:rsid w:val="3AB42A96"/>
    <w:rsid w:val="3ACD3B57"/>
    <w:rsid w:val="3AE74C19"/>
    <w:rsid w:val="3B0A583A"/>
    <w:rsid w:val="3B3911ED"/>
    <w:rsid w:val="3B612ACA"/>
    <w:rsid w:val="3B661803"/>
    <w:rsid w:val="3BB22FDF"/>
    <w:rsid w:val="3BC1190E"/>
    <w:rsid w:val="3BD056AD"/>
    <w:rsid w:val="3BE55B47"/>
    <w:rsid w:val="3C13510B"/>
    <w:rsid w:val="3C372D23"/>
    <w:rsid w:val="3C571544"/>
    <w:rsid w:val="3C7550F0"/>
    <w:rsid w:val="3C937EBB"/>
    <w:rsid w:val="3C9C1AD8"/>
    <w:rsid w:val="3CA27DBE"/>
    <w:rsid w:val="3CB77232"/>
    <w:rsid w:val="3CC94E9F"/>
    <w:rsid w:val="3D34699E"/>
    <w:rsid w:val="3D3872CF"/>
    <w:rsid w:val="3D4520CB"/>
    <w:rsid w:val="3D5C18D2"/>
    <w:rsid w:val="3D74475E"/>
    <w:rsid w:val="3D7D1865"/>
    <w:rsid w:val="3D874491"/>
    <w:rsid w:val="3DAC3EF8"/>
    <w:rsid w:val="3DB53F63"/>
    <w:rsid w:val="3DCB0822"/>
    <w:rsid w:val="3DFA1E50"/>
    <w:rsid w:val="3E09294E"/>
    <w:rsid w:val="3E0C543F"/>
    <w:rsid w:val="3E3839DE"/>
    <w:rsid w:val="3E5500EC"/>
    <w:rsid w:val="3E885B96"/>
    <w:rsid w:val="3EC139D3"/>
    <w:rsid w:val="3EE76488"/>
    <w:rsid w:val="3EEF0540"/>
    <w:rsid w:val="3F1941A6"/>
    <w:rsid w:val="3F333C56"/>
    <w:rsid w:val="3F5304CB"/>
    <w:rsid w:val="3F613D2E"/>
    <w:rsid w:val="3F6A5E19"/>
    <w:rsid w:val="3F95585A"/>
    <w:rsid w:val="3F965B19"/>
    <w:rsid w:val="3F9F3D14"/>
    <w:rsid w:val="3FC10C55"/>
    <w:rsid w:val="3FCB6213"/>
    <w:rsid w:val="3FDD65EB"/>
    <w:rsid w:val="4010076E"/>
    <w:rsid w:val="40134DA2"/>
    <w:rsid w:val="40236FA5"/>
    <w:rsid w:val="406E7C2E"/>
    <w:rsid w:val="40721429"/>
    <w:rsid w:val="40956EC5"/>
    <w:rsid w:val="409F5F96"/>
    <w:rsid w:val="40E11229"/>
    <w:rsid w:val="40EA0D3F"/>
    <w:rsid w:val="410249FD"/>
    <w:rsid w:val="41102052"/>
    <w:rsid w:val="4126717C"/>
    <w:rsid w:val="419A57D9"/>
    <w:rsid w:val="41A35612"/>
    <w:rsid w:val="41C917A8"/>
    <w:rsid w:val="41D37CA5"/>
    <w:rsid w:val="41D801BF"/>
    <w:rsid w:val="4204114C"/>
    <w:rsid w:val="420411F0"/>
    <w:rsid w:val="42116A20"/>
    <w:rsid w:val="42375131"/>
    <w:rsid w:val="424E72C4"/>
    <w:rsid w:val="42521821"/>
    <w:rsid w:val="425608D6"/>
    <w:rsid w:val="42660B19"/>
    <w:rsid w:val="428643E6"/>
    <w:rsid w:val="42DA6628"/>
    <w:rsid w:val="42DC702D"/>
    <w:rsid w:val="435E5C94"/>
    <w:rsid w:val="436F1C50"/>
    <w:rsid w:val="43E3619A"/>
    <w:rsid w:val="4416031D"/>
    <w:rsid w:val="444906F3"/>
    <w:rsid w:val="44580DBE"/>
    <w:rsid w:val="44613C8E"/>
    <w:rsid w:val="44641089"/>
    <w:rsid w:val="44915BF6"/>
    <w:rsid w:val="44B2618C"/>
    <w:rsid w:val="44B813D4"/>
    <w:rsid w:val="44C11AA6"/>
    <w:rsid w:val="44DA57EF"/>
    <w:rsid w:val="450D1720"/>
    <w:rsid w:val="45216070"/>
    <w:rsid w:val="453273D9"/>
    <w:rsid w:val="45356EC9"/>
    <w:rsid w:val="45415D40"/>
    <w:rsid w:val="455D5402"/>
    <w:rsid w:val="458C5390"/>
    <w:rsid w:val="458F0387"/>
    <w:rsid w:val="4594599D"/>
    <w:rsid w:val="45B222C8"/>
    <w:rsid w:val="45E00BE3"/>
    <w:rsid w:val="45EE6E38"/>
    <w:rsid w:val="46141AA7"/>
    <w:rsid w:val="46C93D6D"/>
    <w:rsid w:val="471843AC"/>
    <w:rsid w:val="47264D1B"/>
    <w:rsid w:val="473F7B8B"/>
    <w:rsid w:val="47492772"/>
    <w:rsid w:val="47925359"/>
    <w:rsid w:val="47DC2A90"/>
    <w:rsid w:val="480B3FDC"/>
    <w:rsid w:val="487B247F"/>
    <w:rsid w:val="487E46E3"/>
    <w:rsid w:val="488340A3"/>
    <w:rsid w:val="48B76708"/>
    <w:rsid w:val="48EC5D01"/>
    <w:rsid w:val="494B141D"/>
    <w:rsid w:val="494B3812"/>
    <w:rsid w:val="49553696"/>
    <w:rsid w:val="495A0CAC"/>
    <w:rsid w:val="49753D38"/>
    <w:rsid w:val="4995122F"/>
    <w:rsid w:val="499707E5"/>
    <w:rsid w:val="499A67B4"/>
    <w:rsid w:val="49D74107"/>
    <w:rsid w:val="49FB156F"/>
    <w:rsid w:val="4A235542"/>
    <w:rsid w:val="4A2E2503"/>
    <w:rsid w:val="4A6C0C97"/>
    <w:rsid w:val="4A783AE0"/>
    <w:rsid w:val="4AAC3789"/>
    <w:rsid w:val="4ABF170F"/>
    <w:rsid w:val="4B2D09D0"/>
    <w:rsid w:val="4B3317B5"/>
    <w:rsid w:val="4B5736F5"/>
    <w:rsid w:val="4B8D35BB"/>
    <w:rsid w:val="4B9A1834"/>
    <w:rsid w:val="4BDC1E4C"/>
    <w:rsid w:val="4BEB17CB"/>
    <w:rsid w:val="4BF72460"/>
    <w:rsid w:val="4C4C5224"/>
    <w:rsid w:val="4C6406E4"/>
    <w:rsid w:val="4C7E15B6"/>
    <w:rsid w:val="4CA26813"/>
    <w:rsid w:val="4CEC4311"/>
    <w:rsid w:val="4D023F06"/>
    <w:rsid w:val="4D3A32CE"/>
    <w:rsid w:val="4D3F7921"/>
    <w:rsid w:val="4D4B54DB"/>
    <w:rsid w:val="4D581648"/>
    <w:rsid w:val="4DD454D1"/>
    <w:rsid w:val="4DE00305"/>
    <w:rsid w:val="4DF9336E"/>
    <w:rsid w:val="4E1F3515"/>
    <w:rsid w:val="4E231FB4"/>
    <w:rsid w:val="4E375A60"/>
    <w:rsid w:val="4E3F18D5"/>
    <w:rsid w:val="4E5E4D9B"/>
    <w:rsid w:val="4E682ACC"/>
    <w:rsid w:val="4E791BD4"/>
    <w:rsid w:val="4EA4661C"/>
    <w:rsid w:val="4ED92673"/>
    <w:rsid w:val="4F0F326C"/>
    <w:rsid w:val="4F0F42E7"/>
    <w:rsid w:val="4F5C39D0"/>
    <w:rsid w:val="4FC41575"/>
    <w:rsid w:val="4FC450D1"/>
    <w:rsid w:val="4FE37C4D"/>
    <w:rsid w:val="4FF05EC6"/>
    <w:rsid w:val="4FF77255"/>
    <w:rsid w:val="50A63830"/>
    <w:rsid w:val="50B96C00"/>
    <w:rsid w:val="50D33563"/>
    <w:rsid w:val="510B6869"/>
    <w:rsid w:val="51826FF2"/>
    <w:rsid w:val="51AE366B"/>
    <w:rsid w:val="51B82A14"/>
    <w:rsid w:val="51BB1906"/>
    <w:rsid w:val="51C55131"/>
    <w:rsid w:val="51ED6B61"/>
    <w:rsid w:val="521F6F68"/>
    <w:rsid w:val="5227475A"/>
    <w:rsid w:val="52321A47"/>
    <w:rsid w:val="527309D3"/>
    <w:rsid w:val="52833022"/>
    <w:rsid w:val="52B73D28"/>
    <w:rsid w:val="52FC37B4"/>
    <w:rsid w:val="53034162"/>
    <w:rsid w:val="53073C53"/>
    <w:rsid w:val="53087C68"/>
    <w:rsid w:val="532E2213"/>
    <w:rsid w:val="534722A1"/>
    <w:rsid w:val="534A3D40"/>
    <w:rsid w:val="536F1C4A"/>
    <w:rsid w:val="537D2167"/>
    <w:rsid w:val="538B22AF"/>
    <w:rsid w:val="539329F5"/>
    <w:rsid w:val="53FF2B7C"/>
    <w:rsid w:val="542B571F"/>
    <w:rsid w:val="543A3BB4"/>
    <w:rsid w:val="544D38E7"/>
    <w:rsid w:val="54B576DE"/>
    <w:rsid w:val="54BE30E2"/>
    <w:rsid w:val="54D9517B"/>
    <w:rsid w:val="54F71AA5"/>
    <w:rsid w:val="556A3EE4"/>
    <w:rsid w:val="559047C1"/>
    <w:rsid w:val="55A0369C"/>
    <w:rsid w:val="55A37293"/>
    <w:rsid w:val="55AE2A78"/>
    <w:rsid w:val="55E71B19"/>
    <w:rsid w:val="560B5785"/>
    <w:rsid w:val="560F74E2"/>
    <w:rsid w:val="563C1E65"/>
    <w:rsid w:val="564E44A8"/>
    <w:rsid w:val="5661367A"/>
    <w:rsid w:val="566946D6"/>
    <w:rsid w:val="566B44F9"/>
    <w:rsid w:val="567B3B80"/>
    <w:rsid w:val="56C41E5B"/>
    <w:rsid w:val="56CA56C3"/>
    <w:rsid w:val="56DA342C"/>
    <w:rsid w:val="57193F55"/>
    <w:rsid w:val="572906CC"/>
    <w:rsid w:val="57330DDE"/>
    <w:rsid w:val="57882E88"/>
    <w:rsid w:val="57931F59"/>
    <w:rsid w:val="57FE314A"/>
    <w:rsid w:val="580C5867"/>
    <w:rsid w:val="583F79EB"/>
    <w:rsid w:val="5845542E"/>
    <w:rsid w:val="58504A85"/>
    <w:rsid w:val="5851771E"/>
    <w:rsid w:val="585F008D"/>
    <w:rsid w:val="587753D7"/>
    <w:rsid w:val="587907C9"/>
    <w:rsid w:val="58BE1EE9"/>
    <w:rsid w:val="59245DBC"/>
    <w:rsid w:val="596929A1"/>
    <w:rsid w:val="59916436"/>
    <w:rsid w:val="59DA3B12"/>
    <w:rsid w:val="5A9A53AC"/>
    <w:rsid w:val="5AA24261"/>
    <w:rsid w:val="5AA62E48"/>
    <w:rsid w:val="5AAF07C5"/>
    <w:rsid w:val="5B3B58E3"/>
    <w:rsid w:val="5B6C12F0"/>
    <w:rsid w:val="5B7D3C8A"/>
    <w:rsid w:val="5B8219EE"/>
    <w:rsid w:val="5B903486"/>
    <w:rsid w:val="5B9242D5"/>
    <w:rsid w:val="5BEA2363"/>
    <w:rsid w:val="5BFF1E2F"/>
    <w:rsid w:val="5C036F81"/>
    <w:rsid w:val="5C3D06E5"/>
    <w:rsid w:val="5C3D2493"/>
    <w:rsid w:val="5CBB785C"/>
    <w:rsid w:val="5CD821BC"/>
    <w:rsid w:val="5D177188"/>
    <w:rsid w:val="5D1B5F7E"/>
    <w:rsid w:val="5D1E5A78"/>
    <w:rsid w:val="5D2947AD"/>
    <w:rsid w:val="5D50591B"/>
    <w:rsid w:val="5D63417B"/>
    <w:rsid w:val="5D7719D5"/>
    <w:rsid w:val="5D7E7207"/>
    <w:rsid w:val="5D924A61"/>
    <w:rsid w:val="5DFE1A0B"/>
    <w:rsid w:val="5E015742"/>
    <w:rsid w:val="5E215ADF"/>
    <w:rsid w:val="5E260F36"/>
    <w:rsid w:val="5E4F4700"/>
    <w:rsid w:val="5E677C9B"/>
    <w:rsid w:val="5E9110B6"/>
    <w:rsid w:val="5F075005"/>
    <w:rsid w:val="5F1871E8"/>
    <w:rsid w:val="5F1B1A3C"/>
    <w:rsid w:val="5F2931A3"/>
    <w:rsid w:val="5F2D3CB4"/>
    <w:rsid w:val="5F33738A"/>
    <w:rsid w:val="5F337B7D"/>
    <w:rsid w:val="5F645F89"/>
    <w:rsid w:val="5F8B79B9"/>
    <w:rsid w:val="5F9E76ED"/>
    <w:rsid w:val="5FC353A5"/>
    <w:rsid w:val="5FF11F12"/>
    <w:rsid w:val="606D70BF"/>
    <w:rsid w:val="60A32AE1"/>
    <w:rsid w:val="60BB607C"/>
    <w:rsid w:val="61291238"/>
    <w:rsid w:val="612B408F"/>
    <w:rsid w:val="613A3445"/>
    <w:rsid w:val="615564D1"/>
    <w:rsid w:val="616B66B4"/>
    <w:rsid w:val="616B7AA3"/>
    <w:rsid w:val="617C3A5E"/>
    <w:rsid w:val="619450F8"/>
    <w:rsid w:val="61DF4125"/>
    <w:rsid w:val="62610CE3"/>
    <w:rsid w:val="629748CF"/>
    <w:rsid w:val="629A7963"/>
    <w:rsid w:val="62A212A2"/>
    <w:rsid w:val="62E55491"/>
    <w:rsid w:val="631460D6"/>
    <w:rsid w:val="632A3167"/>
    <w:rsid w:val="633345F0"/>
    <w:rsid w:val="63467B6E"/>
    <w:rsid w:val="63733C64"/>
    <w:rsid w:val="638F3DAE"/>
    <w:rsid w:val="643D6789"/>
    <w:rsid w:val="645E7808"/>
    <w:rsid w:val="64AF30A1"/>
    <w:rsid w:val="64AF414A"/>
    <w:rsid w:val="64B259E8"/>
    <w:rsid w:val="650A1380"/>
    <w:rsid w:val="65113AC4"/>
    <w:rsid w:val="65146CC9"/>
    <w:rsid w:val="654E74BF"/>
    <w:rsid w:val="65F839E8"/>
    <w:rsid w:val="66100C18"/>
    <w:rsid w:val="662335CB"/>
    <w:rsid w:val="67293782"/>
    <w:rsid w:val="676F7BC1"/>
    <w:rsid w:val="67775D4B"/>
    <w:rsid w:val="67C04445"/>
    <w:rsid w:val="67C73559"/>
    <w:rsid w:val="67C95523"/>
    <w:rsid w:val="687E630D"/>
    <w:rsid w:val="68AF64C7"/>
    <w:rsid w:val="68F70A23"/>
    <w:rsid w:val="692260A7"/>
    <w:rsid w:val="694C139B"/>
    <w:rsid w:val="69561038"/>
    <w:rsid w:val="69727787"/>
    <w:rsid w:val="69AF24F6"/>
    <w:rsid w:val="69D4253F"/>
    <w:rsid w:val="69FC16D5"/>
    <w:rsid w:val="6A040A94"/>
    <w:rsid w:val="6A3D3FA6"/>
    <w:rsid w:val="6A4964A7"/>
    <w:rsid w:val="6A7F59F0"/>
    <w:rsid w:val="6A845731"/>
    <w:rsid w:val="6A8E7383"/>
    <w:rsid w:val="6A983B2B"/>
    <w:rsid w:val="6AB73D58"/>
    <w:rsid w:val="6AC233DC"/>
    <w:rsid w:val="6AD71D05"/>
    <w:rsid w:val="6ADA55BA"/>
    <w:rsid w:val="6AE10DD5"/>
    <w:rsid w:val="6AF428B7"/>
    <w:rsid w:val="6B3709F5"/>
    <w:rsid w:val="6B3B2294"/>
    <w:rsid w:val="6B8E5F87"/>
    <w:rsid w:val="6B8F0831"/>
    <w:rsid w:val="6B9B2D32"/>
    <w:rsid w:val="6BB13803"/>
    <w:rsid w:val="6BD10E4A"/>
    <w:rsid w:val="6BDF70C3"/>
    <w:rsid w:val="6C0905E4"/>
    <w:rsid w:val="6C170504"/>
    <w:rsid w:val="6C360CAD"/>
    <w:rsid w:val="6CA55DD8"/>
    <w:rsid w:val="6CB50CE9"/>
    <w:rsid w:val="6CD24E7A"/>
    <w:rsid w:val="6CD429A0"/>
    <w:rsid w:val="6CDF30F3"/>
    <w:rsid w:val="6D1E3C1B"/>
    <w:rsid w:val="6D3135B1"/>
    <w:rsid w:val="6D3B18E0"/>
    <w:rsid w:val="6D6A6E60"/>
    <w:rsid w:val="6D716441"/>
    <w:rsid w:val="6D745F31"/>
    <w:rsid w:val="6DA00AD4"/>
    <w:rsid w:val="6E3147D9"/>
    <w:rsid w:val="6E5805C6"/>
    <w:rsid w:val="6ECB64DD"/>
    <w:rsid w:val="6EE94F64"/>
    <w:rsid w:val="6F4C23BD"/>
    <w:rsid w:val="6FC52A74"/>
    <w:rsid w:val="6FE3114C"/>
    <w:rsid w:val="6FEF189F"/>
    <w:rsid w:val="701E4BA2"/>
    <w:rsid w:val="70384FF4"/>
    <w:rsid w:val="70386A76"/>
    <w:rsid w:val="703B4AE4"/>
    <w:rsid w:val="704A2661"/>
    <w:rsid w:val="705F07D2"/>
    <w:rsid w:val="70840D27"/>
    <w:rsid w:val="70860433"/>
    <w:rsid w:val="709C192B"/>
    <w:rsid w:val="711B022A"/>
    <w:rsid w:val="715C06CE"/>
    <w:rsid w:val="723D4351"/>
    <w:rsid w:val="726F7FB0"/>
    <w:rsid w:val="72807725"/>
    <w:rsid w:val="728817C0"/>
    <w:rsid w:val="729B5D0E"/>
    <w:rsid w:val="72B648F6"/>
    <w:rsid w:val="72CE7E91"/>
    <w:rsid w:val="72E66F89"/>
    <w:rsid w:val="72FB6788"/>
    <w:rsid w:val="732775A1"/>
    <w:rsid w:val="737555F2"/>
    <w:rsid w:val="738532B5"/>
    <w:rsid w:val="73BC23E0"/>
    <w:rsid w:val="7416389E"/>
    <w:rsid w:val="742F15AE"/>
    <w:rsid w:val="747D3A68"/>
    <w:rsid w:val="748225C0"/>
    <w:rsid w:val="74EA4FDD"/>
    <w:rsid w:val="752A4149"/>
    <w:rsid w:val="75524DAA"/>
    <w:rsid w:val="759B0A42"/>
    <w:rsid w:val="75B74589"/>
    <w:rsid w:val="75C17839"/>
    <w:rsid w:val="75C4260C"/>
    <w:rsid w:val="75EE2F27"/>
    <w:rsid w:val="75FC4D15"/>
    <w:rsid w:val="76253E01"/>
    <w:rsid w:val="76477A70"/>
    <w:rsid w:val="764A3CD3"/>
    <w:rsid w:val="768F7938"/>
    <w:rsid w:val="76CA6BC2"/>
    <w:rsid w:val="76CC293A"/>
    <w:rsid w:val="76D33CC8"/>
    <w:rsid w:val="77274014"/>
    <w:rsid w:val="773B1404"/>
    <w:rsid w:val="7760252B"/>
    <w:rsid w:val="77876861"/>
    <w:rsid w:val="779435F7"/>
    <w:rsid w:val="77BE6726"/>
    <w:rsid w:val="77C83101"/>
    <w:rsid w:val="77E22187"/>
    <w:rsid w:val="77F42148"/>
    <w:rsid w:val="782F13D2"/>
    <w:rsid w:val="785030F6"/>
    <w:rsid w:val="787369AB"/>
    <w:rsid w:val="78782D79"/>
    <w:rsid w:val="788E22F0"/>
    <w:rsid w:val="78A23447"/>
    <w:rsid w:val="78F77228"/>
    <w:rsid w:val="790A4622"/>
    <w:rsid w:val="790F6B0E"/>
    <w:rsid w:val="7927654D"/>
    <w:rsid w:val="79351CB1"/>
    <w:rsid w:val="79575FDE"/>
    <w:rsid w:val="796B0C8C"/>
    <w:rsid w:val="799675A8"/>
    <w:rsid w:val="79BA437A"/>
    <w:rsid w:val="79F226B7"/>
    <w:rsid w:val="79FF3026"/>
    <w:rsid w:val="7A0643B5"/>
    <w:rsid w:val="7A1650D0"/>
    <w:rsid w:val="7A4F18B8"/>
    <w:rsid w:val="7A526F79"/>
    <w:rsid w:val="7AD718AD"/>
    <w:rsid w:val="7B2014A6"/>
    <w:rsid w:val="7B3F192C"/>
    <w:rsid w:val="7B425546"/>
    <w:rsid w:val="7B446F42"/>
    <w:rsid w:val="7B4707E1"/>
    <w:rsid w:val="7B4F58E7"/>
    <w:rsid w:val="7B5573A2"/>
    <w:rsid w:val="7B61025E"/>
    <w:rsid w:val="7B8A156E"/>
    <w:rsid w:val="7B8C7C65"/>
    <w:rsid w:val="7BED49C3"/>
    <w:rsid w:val="7C373DAF"/>
    <w:rsid w:val="7C484810"/>
    <w:rsid w:val="7C572CA5"/>
    <w:rsid w:val="7C8D4919"/>
    <w:rsid w:val="7CB006D3"/>
    <w:rsid w:val="7CD91FB2"/>
    <w:rsid w:val="7CEB42BE"/>
    <w:rsid w:val="7D0E4FE0"/>
    <w:rsid w:val="7D2012E9"/>
    <w:rsid w:val="7D380E83"/>
    <w:rsid w:val="7D404BAC"/>
    <w:rsid w:val="7D406A1E"/>
    <w:rsid w:val="7D72797B"/>
    <w:rsid w:val="7DB06B11"/>
    <w:rsid w:val="7DC2312C"/>
    <w:rsid w:val="7DC6656A"/>
    <w:rsid w:val="7DE14F1D"/>
    <w:rsid w:val="7DF32EA2"/>
    <w:rsid w:val="7E0B1F99"/>
    <w:rsid w:val="7E176B90"/>
    <w:rsid w:val="7E1F73F1"/>
    <w:rsid w:val="7E431733"/>
    <w:rsid w:val="7E671CB9"/>
    <w:rsid w:val="7E7C6FDB"/>
    <w:rsid w:val="7E860E45"/>
    <w:rsid w:val="7EA37E2C"/>
    <w:rsid w:val="7EB23781"/>
    <w:rsid w:val="7EC80085"/>
    <w:rsid w:val="7EC81C39"/>
    <w:rsid w:val="7EFF0436"/>
    <w:rsid w:val="7F13770B"/>
    <w:rsid w:val="7F2C666B"/>
    <w:rsid w:val="7F572FBC"/>
    <w:rsid w:val="7FBC6E01"/>
    <w:rsid w:val="7FBF303C"/>
    <w:rsid w:val="7FD30895"/>
    <w:rsid w:val="7FD37903"/>
    <w:rsid w:val="7FDD5BB8"/>
    <w:rsid w:val="7FF6692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0" w:semiHidden="0" w:name="heading 5"/>
    <w:lsdException w:qFormat="1" w:uiPriority="0" w:semiHidden="0"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uiPriority="99" w:name="footnote text"/>
    <w:lsdException w:qFormat="1" w:unhideWhenUsed="0" w:uiPriority="0" w:semiHidden="0" w:name="annotation text"/>
    <w:lsdException w:qFormat="1" w:uiPriority="99" w:semiHidden="0" w:name="header"/>
    <w:lsdException w:qFormat="1" w:uiPriority="99" w:semiHidden="0" w:name="footer"/>
    <w:lsdException w:uiPriority="99" w:name="index heading"/>
    <w:lsdException w:qFormat="1" w:unhideWhenUsed="0" w:uiPriority="35" w:semiHidden="0" w:name="caption"/>
    <w:lsdException w:uiPriority="99" w:name="table of figures"/>
    <w:lsdException w:uiPriority="99" w:name="envelope address"/>
    <w:lsdException w:qFormat="1" w:unhideWhenUsed="0" w:uiPriority="0" w:semiHidden="0" w:name="envelope return"/>
    <w:lsdException w:uiPriority="99" w:name="footnote reference"/>
    <w:lsdException w:qFormat="1" w:unhideWhenUsed="0" w:uiPriority="0"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qFormat="1" w:uiPriority="99" w:semiHidden="0"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iPriority="99"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uiPriority="99" w:name="Body Text 3"/>
    <w:lsdException w:uiPriority="99" w:name="Body Text Indent 2"/>
    <w:lsdException w:uiPriority="99" w:name="Body Text Indent 3"/>
    <w:lsdException w:qFormat="1" w:uiPriority="99" w:semiHidden="0"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wordWrap w:val="0"/>
      <w:spacing w:line="360" w:lineRule="auto"/>
      <w:ind w:firstLine="1124" w:firstLineChars="200"/>
    </w:pPr>
    <w:rPr>
      <w:rFonts w:ascii="仿宋" w:hAnsi="仿宋" w:eastAsia="仿宋" w:cs="仿宋"/>
      <w:kern w:val="2"/>
      <w:sz w:val="28"/>
      <w:szCs w:val="28"/>
      <w:lang w:val="en-US" w:eastAsia="zh-CN" w:bidi="ar-SA"/>
    </w:rPr>
  </w:style>
  <w:style w:type="paragraph" w:styleId="2">
    <w:name w:val="heading 1"/>
    <w:basedOn w:val="1"/>
    <w:next w:val="1"/>
    <w:link w:val="48"/>
    <w:qFormat/>
    <w:uiPriority w:val="9"/>
    <w:pPr>
      <w:keepNext/>
      <w:keepLines/>
      <w:adjustRightInd w:val="0"/>
      <w:snapToGrid w:val="0"/>
      <w:spacing w:line="480" w:lineRule="auto"/>
      <w:ind w:firstLine="0" w:firstLineChars="0"/>
      <w:jc w:val="center"/>
      <w:outlineLvl w:val="0"/>
    </w:pPr>
    <w:rPr>
      <w:rFonts w:ascii="方正黑体_GBK" w:hAnsi="方正黑体_GBK" w:eastAsia="方正黑体_GBK" w:cs="方正黑体_GBK"/>
      <w:b/>
      <w:bCs/>
      <w:kern w:val="44"/>
      <w:sz w:val="44"/>
      <w:szCs w:val="44"/>
    </w:rPr>
  </w:style>
  <w:style w:type="paragraph" w:styleId="3">
    <w:name w:val="heading 2"/>
    <w:basedOn w:val="4"/>
    <w:next w:val="4"/>
    <w:link w:val="42"/>
    <w:unhideWhenUsed/>
    <w:qFormat/>
    <w:uiPriority w:val="9"/>
    <w:pPr>
      <w:keepNext/>
      <w:keepLines/>
      <w:jc w:val="left"/>
      <w:outlineLvl w:val="1"/>
    </w:pPr>
    <w:rPr>
      <w:rFonts w:ascii="方正楷体_GBK" w:hAnsi="方正楷体_GBK" w:eastAsia="方正楷体_GBK" w:cs="方正楷体_GBK"/>
      <w:b/>
      <w:bCs/>
      <w:sz w:val="32"/>
      <w:szCs w:val="32"/>
    </w:rPr>
  </w:style>
  <w:style w:type="paragraph" w:styleId="5">
    <w:name w:val="heading 3"/>
    <w:basedOn w:val="1"/>
    <w:next w:val="1"/>
    <w:link w:val="45"/>
    <w:unhideWhenUsed/>
    <w:qFormat/>
    <w:uiPriority w:val="9"/>
    <w:pPr>
      <w:keepNext/>
      <w:keepLines/>
      <w:outlineLvl w:val="2"/>
    </w:pPr>
    <w:rPr>
      <w:b/>
      <w:bCs/>
      <w:sz w:val="30"/>
    </w:rPr>
  </w:style>
  <w:style w:type="paragraph" w:styleId="6">
    <w:name w:val="heading 4"/>
    <w:basedOn w:val="1"/>
    <w:next w:val="1"/>
    <w:link w:val="46"/>
    <w:unhideWhenUsed/>
    <w:qFormat/>
    <w:uiPriority w:val="9"/>
    <w:pPr>
      <w:keepNext/>
      <w:keepLines/>
      <w:outlineLvl w:val="3"/>
    </w:pPr>
    <w:rPr>
      <w:b/>
      <w:bCs/>
    </w:rPr>
  </w:style>
  <w:style w:type="paragraph" w:styleId="7">
    <w:name w:val="heading 5"/>
    <w:basedOn w:val="1"/>
    <w:next w:val="1"/>
    <w:unhideWhenUsed/>
    <w:qFormat/>
    <w:uiPriority w:val="0"/>
    <w:pPr>
      <w:keepNext/>
      <w:keepLines/>
      <w:spacing w:before="50" w:beforeLines="50" w:after="50" w:afterLines="50"/>
      <w:ind w:firstLine="0" w:firstLineChars="0"/>
      <w:outlineLvl w:val="4"/>
    </w:pPr>
  </w:style>
  <w:style w:type="paragraph" w:styleId="8">
    <w:name w:val="heading 6"/>
    <w:basedOn w:val="7"/>
    <w:next w:val="1"/>
    <w:unhideWhenUsed/>
    <w:qFormat/>
    <w:uiPriority w:val="0"/>
    <w:pPr>
      <w:spacing w:before="240" w:beforeLines="0" w:after="64" w:afterLines="0"/>
      <w:outlineLvl w:val="5"/>
    </w:pPr>
  </w:style>
  <w:style w:type="character" w:default="1" w:styleId="37">
    <w:name w:val="Default Paragraph Font"/>
    <w:semiHidden/>
    <w:unhideWhenUsed/>
    <w:qFormat/>
    <w:uiPriority w:val="1"/>
  </w:style>
  <w:style w:type="table" w:default="1" w:styleId="35">
    <w:name w:val="Normal Table"/>
    <w:semiHidden/>
    <w:unhideWhenUsed/>
    <w:qFormat/>
    <w:uiPriority w:val="99"/>
    <w:tblPr>
      <w:tblCellMar>
        <w:top w:w="0" w:type="dxa"/>
        <w:left w:w="108" w:type="dxa"/>
        <w:bottom w:w="0" w:type="dxa"/>
        <w:right w:w="108" w:type="dxa"/>
      </w:tblCellMar>
    </w:tblPr>
  </w:style>
  <w:style w:type="paragraph" w:styleId="4">
    <w:name w:val="Body Text"/>
    <w:basedOn w:val="1"/>
    <w:link w:val="44"/>
    <w:qFormat/>
    <w:uiPriority w:val="99"/>
    <w:pPr>
      <w:jc w:val="center"/>
    </w:pPr>
  </w:style>
  <w:style w:type="paragraph" w:styleId="9">
    <w:name w:val="toc 7"/>
    <w:basedOn w:val="1"/>
    <w:next w:val="1"/>
    <w:unhideWhenUsed/>
    <w:qFormat/>
    <w:uiPriority w:val="39"/>
    <w:pPr>
      <w:ind w:left="1440"/>
    </w:pPr>
    <w:rPr>
      <w:rFonts w:asciiTheme="minorHAnsi" w:eastAsiaTheme="minorHAnsi"/>
      <w:sz w:val="18"/>
      <w:szCs w:val="18"/>
    </w:rPr>
  </w:style>
  <w:style w:type="paragraph" w:styleId="10">
    <w:name w:val="Normal Indent"/>
    <w:basedOn w:val="1"/>
    <w:qFormat/>
    <w:uiPriority w:val="0"/>
    <w:pPr>
      <w:widowControl/>
      <w:ind w:firstLine="420"/>
    </w:pPr>
    <w:rPr>
      <w:kern w:val="0"/>
      <w:sz w:val="20"/>
      <w:szCs w:val="20"/>
    </w:rPr>
  </w:style>
  <w:style w:type="paragraph" w:styleId="11">
    <w:name w:val="caption"/>
    <w:basedOn w:val="1"/>
    <w:next w:val="1"/>
    <w:qFormat/>
    <w:uiPriority w:val="35"/>
    <w:rPr>
      <w:rFonts w:ascii="Cambria" w:hAnsi="Cambria" w:eastAsia="黑体" w:cs="Times New Roman"/>
      <w:sz w:val="20"/>
      <w:szCs w:val="20"/>
    </w:rPr>
  </w:style>
  <w:style w:type="paragraph" w:styleId="12">
    <w:name w:val="List Bullet"/>
    <w:basedOn w:val="1"/>
    <w:unhideWhenUsed/>
    <w:qFormat/>
    <w:uiPriority w:val="99"/>
    <w:pPr>
      <w:tabs>
        <w:tab w:val="left" w:pos="360"/>
        <w:tab w:val="left" w:pos="1134"/>
      </w:tabs>
      <w:spacing w:line="240" w:lineRule="auto"/>
      <w:ind w:left="1134" w:hanging="1134"/>
      <w:contextualSpacing/>
      <w:jc w:val="both"/>
    </w:pPr>
    <w:rPr>
      <w:rFonts w:ascii="Times New Roman" w:hAnsi="Times New Roman" w:cs="Times New Roman"/>
      <w:kern w:val="0"/>
      <w:sz w:val="20"/>
      <w:szCs w:val="20"/>
    </w:rPr>
  </w:style>
  <w:style w:type="paragraph" w:styleId="13">
    <w:name w:val="Document Map"/>
    <w:basedOn w:val="1"/>
    <w:next w:val="14"/>
    <w:qFormat/>
    <w:uiPriority w:val="0"/>
    <w:rPr>
      <w:rFonts w:ascii="宋体" w:hAnsi="Times New Roman" w:eastAsia="宋体" w:cs="Times New Roman"/>
      <w:sz w:val="18"/>
      <w:szCs w:val="18"/>
    </w:rPr>
  </w:style>
  <w:style w:type="paragraph" w:styleId="14">
    <w:name w:val="Block Text"/>
    <w:basedOn w:val="1"/>
    <w:unhideWhenUsed/>
    <w:qFormat/>
    <w:uiPriority w:val="99"/>
    <w:pPr>
      <w:ind w:left="1440" w:leftChars="700" w:right="700" w:rightChars="700"/>
    </w:pPr>
    <w:rPr>
      <w:szCs w:val="24"/>
    </w:rPr>
  </w:style>
  <w:style w:type="paragraph" w:styleId="15">
    <w:name w:val="annotation text"/>
    <w:basedOn w:val="1"/>
    <w:link w:val="52"/>
    <w:qFormat/>
    <w:uiPriority w:val="0"/>
    <w:pPr>
      <w:spacing w:line="240" w:lineRule="auto"/>
    </w:pPr>
    <w:rPr>
      <w:rFonts w:eastAsiaTheme="minorEastAsia"/>
      <w:sz w:val="21"/>
      <w:szCs w:val="24"/>
    </w:rPr>
  </w:style>
  <w:style w:type="paragraph" w:styleId="16">
    <w:name w:val="Body Text Indent"/>
    <w:basedOn w:val="1"/>
    <w:next w:val="17"/>
    <w:qFormat/>
    <w:uiPriority w:val="99"/>
    <w:pPr>
      <w:spacing w:after="120"/>
      <w:ind w:left="420" w:leftChars="200"/>
    </w:pPr>
    <w:rPr>
      <w:rFonts w:eastAsia="宋体"/>
      <w:sz w:val="21"/>
    </w:rPr>
  </w:style>
  <w:style w:type="paragraph" w:styleId="17">
    <w:name w:val="envelope return"/>
    <w:basedOn w:val="1"/>
    <w:qFormat/>
    <w:uiPriority w:val="0"/>
    <w:pPr>
      <w:snapToGrid w:val="0"/>
    </w:pPr>
    <w:rPr>
      <w:rFonts w:ascii="Arial" w:hAnsi="Arial"/>
    </w:rPr>
  </w:style>
  <w:style w:type="paragraph" w:styleId="18">
    <w:name w:val="toc 5"/>
    <w:basedOn w:val="1"/>
    <w:next w:val="1"/>
    <w:unhideWhenUsed/>
    <w:qFormat/>
    <w:uiPriority w:val="39"/>
    <w:pPr>
      <w:ind w:left="960"/>
    </w:pPr>
    <w:rPr>
      <w:rFonts w:asciiTheme="minorHAnsi" w:eastAsiaTheme="minorHAnsi"/>
      <w:sz w:val="18"/>
      <w:szCs w:val="18"/>
    </w:rPr>
  </w:style>
  <w:style w:type="paragraph" w:styleId="19">
    <w:name w:val="toc 3"/>
    <w:basedOn w:val="1"/>
    <w:next w:val="1"/>
    <w:unhideWhenUsed/>
    <w:qFormat/>
    <w:uiPriority w:val="39"/>
    <w:pPr>
      <w:ind w:left="480"/>
    </w:pPr>
    <w:rPr>
      <w:rFonts w:asciiTheme="minorHAnsi" w:eastAsiaTheme="minorHAnsi"/>
      <w:i/>
      <w:iCs/>
      <w:sz w:val="20"/>
      <w:szCs w:val="20"/>
    </w:rPr>
  </w:style>
  <w:style w:type="paragraph" w:styleId="20">
    <w:name w:val="Plain Text"/>
    <w:basedOn w:val="1"/>
    <w:qFormat/>
    <w:uiPriority w:val="0"/>
    <w:pPr>
      <w:ind w:firstLine="0" w:firstLineChars="0"/>
      <w:jc w:val="center"/>
    </w:pPr>
    <w:rPr>
      <w:sz w:val="21"/>
      <w:szCs w:val="21"/>
    </w:rPr>
  </w:style>
  <w:style w:type="paragraph" w:styleId="21">
    <w:name w:val="toc 8"/>
    <w:basedOn w:val="1"/>
    <w:next w:val="1"/>
    <w:unhideWhenUsed/>
    <w:qFormat/>
    <w:uiPriority w:val="39"/>
    <w:pPr>
      <w:ind w:left="1680"/>
    </w:pPr>
    <w:rPr>
      <w:rFonts w:asciiTheme="minorHAnsi" w:eastAsiaTheme="minorHAnsi"/>
      <w:sz w:val="18"/>
      <w:szCs w:val="18"/>
    </w:rPr>
  </w:style>
  <w:style w:type="paragraph" w:styleId="22">
    <w:name w:val="footer"/>
    <w:basedOn w:val="1"/>
    <w:link w:val="51"/>
    <w:unhideWhenUsed/>
    <w:qFormat/>
    <w:uiPriority w:val="99"/>
    <w:pPr>
      <w:tabs>
        <w:tab w:val="center" w:pos="4153"/>
        <w:tab w:val="right" w:pos="8306"/>
      </w:tabs>
      <w:snapToGrid w:val="0"/>
      <w:spacing w:line="240" w:lineRule="auto"/>
    </w:pPr>
    <w:rPr>
      <w:sz w:val="18"/>
      <w:szCs w:val="18"/>
    </w:rPr>
  </w:style>
  <w:style w:type="paragraph" w:styleId="23">
    <w:name w:val="header"/>
    <w:basedOn w:val="1"/>
    <w:link w:val="50"/>
    <w:unhideWhenUsed/>
    <w:qFormat/>
    <w:uiPriority w:val="99"/>
    <w:pPr>
      <w:pBdr>
        <w:bottom w:val="single" w:color="auto" w:sz="6" w:space="1"/>
      </w:pBdr>
      <w:tabs>
        <w:tab w:val="center" w:pos="4153"/>
        <w:tab w:val="right" w:pos="8306"/>
      </w:tabs>
      <w:snapToGrid w:val="0"/>
      <w:spacing w:line="240" w:lineRule="auto"/>
      <w:jc w:val="center"/>
    </w:pPr>
    <w:rPr>
      <w:sz w:val="18"/>
      <w:szCs w:val="18"/>
    </w:rPr>
  </w:style>
  <w:style w:type="paragraph" w:styleId="24">
    <w:name w:val="toc 1"/>
    <w:basedOn w:val="1"/>
    <w:next w:val="1"/>
    <w:unhideWhenUsed/>
    <w:qFormat/>
    <w:uiPriority w:val="39"/>
    <w:pPr>
      <w:spacing w:before="120" w:after="120"/>
    </w:pPr>
    <w:rPr>
      <w:rFonts w:asciiTheme="minorHAnsi" w:eastAsiaTheme="minorHAnsi"/>
      <w:b/>
      <w:bCs/>
      <w:caps/>
      <w:sz w:val="20"/>
      <w:szCs w:val="20"/>
    </w:rPr>
  </w:style>
  <w:style w:type="paragraph" w:styleId="25">
    <w:name w:val="toc 4"/>
    <w:basedOn w:val="1"/>
    <w:next w:val="1"/>
    <w:unhideWhenUsed/>
    <w:qFormat/>
    <w:uiPriority w:val="39"/>
    <w:pPr>
      <w:ind w:left="720"/>
    </w:pPr>
    <w:rPr>
      <w:rFonts w:asciiTheme="minorHAnsi" w:eastAsiaTheme="minorHAnsi"/>
      <w:sz w:val="18"/>
      <w:szCs w:val="18"/>
    </w:rPr>
  </w:style>
  <w:style w:type="paragraph" w:styleId="26">
    <w:name w:val="toc 6"/>
    <w:basedOn w:val="1"/>
    <w:next w:val="1"/>
    <w:unhideWhenUsed/>
    <w:qFormat/>
    <w:uiPriority w:val="39"/>
    <w:pPr>
      <w:ind w:left="1200"/>
    </w:pPr>
    <w:rPr>
      <w:rFonts w:asciiTheme="minorHAnsi" w:eastAsiaTheme="minorHAnsi"/>
      <w:sz w:val="18"/>
      <w:szCs w:val="18"/>
    </w:rPr>
  </w:style>
  <w:style w:type="paragraph" w:styleId="27">
    <w:name w:val="toc 2"/>
    <w:basedOn w:val="1"/>
    <w:next w:val="1"/>
    <w:unhideWhenUsed/>
    <w:qFormat/>
    <w:uiPriority w:val="39"/>
    <w:pPr>
      <w:ind w:left="240"/>
    </w:pPr>
    <w:rPr>
      <w:rFonts w:asciiTheme="minorHAnsi" w:eastAsiaTheme="minorHAnsi"/>
      <w:smallCaps/>
      <w:sz w:val="20"/>
      <w:szCs w:val="20"/>
    </w:rPr>
  </w:style>
  <w:style w:type="paragraph" w:styleId="28">
    <w:name w:val="toc 9"/>
    <w:basedOn w:val="1"/>
    <w:next w:val="1"/>
    <w:unhideWhenUsed/>
    <w:qFormat/>
    <w:uiPriority w:val="39"/>
    <w:pPr>
      <w:ind w:left="1920"/>
    </w:pPr>
    <w:rPr>
      <w:rFonts w:asciiTheme="minorHAnsi" w:eastAsiaTheme="minorHAnsi"/>
      <w:sz w:val="18"/>
      <w:szCs w:val="18"/>
    </w:rPr>
  </w:style>
  <w:style w:type="paragraph" w:styleId="29">
    <w:name w:val="Body Text 2"/>
    <w:basedOn w:val="1"/>
    <w:qFormat/>
    <w:uiPriority w:val="0"/>
    <w:pPr>
      <w:spacing w:after="120" w:line="480" w:lineRule="auto"/>
    </w:pPr>
    <w:rPr>
      <w:rFonts w:ascii="Calibri" w:hAnsi="Calibri" w:cs="Times New Roman"/>
    </w:rPr>
  </w:style>
  <w:style w:type="paragraph" w:styleId="30">
    <w:name w:val="Normal (Web)"/>
    <w:basedOn w:val="1"/>
    <w:qFormat/>
    <w:uiPriority w:val="99"/>
    <w:pPr>
      <w:widowControl/>
      <w:spacing w:before="100" w:beforeAutospacing="1" w:after="100" w:afterAutospacing="1"/>
    </w:pPr>
    <w:rPr>
      <w:rFonts w:cs="宋体"/>
      <w:color w:val="000000"/>
      <w:kern w:val="0"/>
      <w:szCs w:val="24"/>
    </w:rPr>
  </w:style>
  <w:style w:type="paragraph" w:styleId="31">
    <w:name w:val="annotation subject"/>
    <w:basedOn w:val="15"/>
    <w:next w:val="15"/>
    <w:link w:val="57"/>
    <w:semiHidden/>
    <w:unhideWhenUsed/>
    <w:qFormat/>
    <w:uiPriority w:val="99"/>
    <w:pPr>
      <w:spacing w:line="360" w:lineRule="auto"/>
    </w:pPr>
    <w:rPr>
      <w:rFonts w:eastAsia="宋体"/>
      <w:b/>
      <w:bCs/>
      <w:sz w:val="24"/>
      <w:szCs w:val="22"/>
    </w:rPr>
  </w:style>
  <w:style w:type="paragraph" w:styleId="32">
    <w:name w:val="Body Text First Indent"/>
    <w:basedOn w:val="4"/>
    <w:next w:val="1"/>
    <w:unhideWhenUsed/>
    <w:qFormat/>
    <w:uiPriority w:val="99"/>
    <w:pPr>
      <w:spacing w:after="120"/>
      <w:ind w:firstLine="100" w:firstLineChars="100"/>
    </w:pPr>
    <w:rPr>
      <w:szCs w:val="22"/>
    </w:rPr>
  </w:style>
  <w:style w:type="paragraph" w:styleId="33">
    <w:name w:val="Body Text First Indent 2"/>
    <w:basedOn w:val="16"/>
    <w:next w:val="34"/>
    <w:qFormat/>
    <w:uiPriority w:val="0"/>
    <w:pPr>
      <w:widowControl/>
      <w:tabs>
        <w:tab w:val="left" w:pos="3996"/>
      </w:tabs>
      <w:spacing w:line="240" w:lineRule="auto"/>
      <w:ind w:firstLine="420"/>
    </w:pPr>
    <w:rPr>
      <w:rFonts w:ascii="Times New Roman"/>
      <w:sz w:val="20"/>
      <w:szCs w:val="20"/>
    </w:rPr>
  </w:style>
  <w:style w:type="paragraph" w:customStyle="1" w:styleId="34">
    <w:name w:val="正文内容"/>
    <w:basedOn w:val="1"/>
    <w:qFormat/>
    <w:uiPriority w:val="0"/>
    <w:pPr>
      <w:ind w:firstLine="200"/>
    </w:pPr>
    <w:rPr>
      <w:rFonts w:ascii="Times New Roman" w:hAnsi="Times New Roman" w:eastAsia="仿宋_GB2312" w:cs="Times New Roman"/>
      <w:sz w:val="24"/>
    </w:rPr>
  </w:style>
  <w:style w:type="table" w:styleId="36">
    <w:name w:val="Table Grid"/>
    <w:basedOn w:val="35"/>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8">
    <w:name w:val="Strong"/>
    <w:basedOn w:val="37"/>
    <w:qFormat/>
    <w:uiPriority w:val="22"/>
    <w:rPr>
      <w:b/>
    </w:rPr>
  </w:style>
  <w:style w:type="character" w:styleId="39">
    <w:name w:val="Emphasis"/>
    <w:basedOn w:val="37"/>
    <w:qFormat/>
    <w:uiPriority w:val="20"/>
    <w:rPr>
      <w:i/>
    </w:rPr>
  </w:style>
  <w:style w:type="character" w:styleId="40">
    <w:name w:val="Hyperlink"/>
    <w:basedOn w:val="37"/>
    <w:unhideWhenUsed/>
    <w:qFormat/>
    <w:uiPriority w:val="99"/>
    <w:rPr>
      <w:color w:val="0563C1" w:themeColor="hyperlink"/>
      <w:u w:val="single"/>
      <w14:textFill>
        <w14:solidFill>
          <w14:schemeClr w14:val="hlink"/>
        </w14:solidFill>
      </w14:textFill>
    </w:rPr>
  </w:style>
  <w:style w:type="character" w:styleId="41">
    <w:name w:val="annotation reference"/>
    <w:qFormat/>
    <w:uiPriority w:val="0"/>
    <w:rPr>
      <w:sz w:val="21"/>
      <w:szCs w:val="21"/>
    </w:rPr>
  </w:style>
  <w:style w:type="character" w:customStyle="1" w:styleId="42">
    <w:name w:val="标题 2 字符"/>
    <w:basedOn w:val="37"/>
    <w:link w:val="3"/>
    <w:qFormat/>
    <w:uiPriority w:val="0"/>
    <w:rPr>
      <w:rFonts w:ascii="方正楷体_GBK" w:hAnsi="方正楷体_GBK" w:eastAsia="方正楷体_GBK" w:cs="方正楷体_GBK"/>
      <w:b/>
      <w:bCs/>
      <w:sz w:val="32"/>
      <w:szCs w:val="32"/>
    </w:rPr>
  </w:style>
  <w:style w:type="character" w:customStyle="1" w:styleId="43">
    <w:name w:val="标题 4 字符"/>
    <w:basedOn w:val="37"/>
    <w:qFormat/>
    <w:uiPriority w:val="9"/>
    <w:rPr>
      <w:rFonts w:ascii="仿宋" w:hAnsi="仿宋" w:eastAsia="仿宋" w:cs="仿宋"/>
      <w:b/>
      <w:bCs/>
      <w:sz w:val="28"/>
      <w:szCs w:val="28"/>
    </w:rPr>
  </w:style>
  <w:style w:type="character" w:customStyle="1" w:styleId="44">
    <w:name w:val="正文文本 字符"/>
    <w:basedOn w:val="37"/>
    <w:link w:val="4"/>
    <w:qFormat/>
    <w:uiPriority w:val="99"/>
    <w:rPr>
      <w:rFonts w:ascii="仿宋" w:hAnsi="仿宋" w:eastAsia="仿宋" w:cs="仿宋"/>
      <w:sz w:val="28"/>
      <w:szCs w:val="28"/>
    </w:rPr>
  </w:style>
  <w:style w:type="character" w:customStyle="1" w:styleId="45">
    <w:name w:val="标题 3 字符"/>
    <w:basedOn w:val="37"/>
    <w:link w:val="5"/>
    <w:qFormat/>
    <w:uiPriority w:val="9"/>
    <w:rPr>
      <w:rFonts w:eastAsia="仿宋"/>
      <w:b/>
      <w:bCs/>
      <w:sz w:val="30"/>
      <w:szCs w:val="28"/>
    </w:rPr>
  </w:style>
  <w:style w:type="character" w:customStyle="1" w:styleId="46">
    <w:name w:val="标题 4 字符1"/>
    <w:link w:val="6"/>
    <w:qFormat/>
    <w:uiPriority w:val="0"/>
    <w:rPr>
      <w:rFonts w:ascii="仿宋" w:hAnsi="仿宋" w:eastAsia="仿宋"/>
      <w:b/>
      <w:sz w:val="24"/>
    </w:rPr>
  </w:style>
  <w:style w:type="paragraph" w:customStyle="1" w:styleId="47">
    <w:name w:val="正文缩进2"/>
    <w:basedOn w:val="1"/>
    <w:qFormat/>
    <w:uiPriority w:val="0"/>
    <w:pPr>
      <w:ind w:firstLine="480"/>
    </w:pPr>
    <w:rPr>
      <w:iCs/>
      <w:shd w:val="clear" w:color="auto" w:fill="FFFFFF" w:themeFill="background1"/>
      <w:lang w:val="zh-CN"/>
    </w:rPr>
  </w:style>
  <w:style w:type="character" w:customStyle="1" w:styleId="48">
    <w:name w:val="标题 1 字符"/>
    <w:basedOn w:val="37"/>
    <w:link w:val="2"/>
    <w:qFormat/>
    <w:uiPriority w:val="9"/>
    <w:rPr>
      <w:rFonts w:ascii="方正黑体_GBK" w:hAnsi="方正黑体_GBK" w:eastAsia="方正黑体_GBK" w:cs="方正黑体_GBK"/>
      <w:b/>
      <w:bCs/>
      <w:kern w:val="44"/>
      <w:sz w:val="44"/>
      <w:szCs w:val="44"/>
    </w:rPr>
  </w:style>
  <w:style w:type="paragraph" w:styleId="49">
    <w:name w:val="List Paragraph"/>
    <w:basedOn w:val="1"/>
    <w:qFormat/>
    <w:uiPriority w:val="34"/>
    <w:pPr>
      <w:numPr>
        <w:ilvl w:val="0"/>
        <w:numId w:val="1"/>
      </w:numPr>
    </w:pPr>
  </w:style>
  <w:style w:type="character" w:customStyle="1" w:styleId="50">
    <w:name w:val="页眉 字符"/>
    <w:basedOn w:val="37"/>
    <w:link w:val="23"/>
    <w:qFormat/>
    <w:uiPriority w:val="99"/>
    <w:rPr>
      <w:rFonts w:eastAsia="宋体"/>
      <w:sz w:val="18"/>
      <w:szCs w:val="18"/>
    </w:rPr>
  </w:style>
  <w:style w:type="character" w:customStyle="1" w:styleId="51">
    <w:name w:val="页脚 字符"/>
    <w:basedOn w:val="37"/>
    <w:link w:val="22"/>
    <w:qFormat/>
    <w:uiPriority w:val="99"/>
    <w:rPr>
      <w:rFonts w:eastAsia="宋体"/>
      <w:sz w:val="18"/>
      <w:szCs w:val="18"/>
    </w:rPr>
  </w:style>
  <w:style w:type="character" w:customStyle="1" w:styleId="52">
    <w:name w:val="批注文字 字符"/>
    <w:basedOn w:val="37"/>
    <w:link w:val="15"/>
    <w:qFormat/>
    <w:uiPriority w:val="0"/>
    <w:rPr>
      <w:szCs w:val="24"/>
    </w:rPr>
  </w:style>
  <w:style w:type="paragraph" w:customStyle="1" w:styleId="53">
    <w:name w:val="Char1 Char Char Char"/>
    <w:basedOn w:val="1"/>
    <w:qFormat/>
    <w:uiPriority w:val="0"/>
    <w:pPr>
      <w:adjustRightInd w:val="0"/>
      <w:jc w:val="both"/>
    </w:pPr>
    <w:rPr>
      <w:rFonts w:ascii="Times New Roman" w:hAnsi="Times New Roman" w:cs="Times New Roman"/>
      <w:kern w:val="0"/>
      <w:szCs w:val="20"/>
    </w:rPr>
  </w:style>
  <w:style w:type="paragraph" w:customStyle="1" w:styleId="54">
    <w:name w:val="样式"/>
    <w:basedOn w:val="1"/>
    <w:qFormat/>
    <w:uiPriority w:val="0"/>
    <w:pPr>
      <w:autoSpaceDE w:val="0"/>
      <w:autoSpaceDN w:val="0"/>
      <w:snapToGrid w:val="0"/>
      <w:spacing w:before="120" w:after="120"/>
      <w:jc w:val="both"/>
    </w:pPr>
    <w:rPr>
      <w:rFonts w:hAnsi="Times New Roman" w:cs="Times New Roman"/>
      <w:kern w:val="0"/>
      <w:szCs w:val="20"/>
    </w:rPr>
  </w:style>
  <w:style w:type="paragraph" w:styleId="55">
    <w:name w:val="No Spacing"/>
    <w:qFormat/>
    <w:uiPriority w:val="1"/>
    <w:pPr>
      <w:widowControl w:val="0"/>
    </w:pPr>
    <w:rPr>
      <w:rFonts w:ascii="宋体" w:hAnsi="宋体" w:eastAsia="宋体" w:cstheme="minorBidi"/>
      <w:kern w:val="2"/>
      <w:sz w:val="24"/>
      <w:szCs w:val="22"/>
      <w:lang w:val="en-US" w:eastAsia="zh-CN" w:bidi="ar-SA"/>
    </w:rPr>
  </w:style>
  <w:style w:type="character" w:customStyle="1" w:styleId="56">
    <w:name w:val="未处理的提及1"/>
    <w:basedOn w:val="37"/>
    <w:semiHidden/>
    <w:unhideWhenUsed/>
    <w:qFormat/>
    <w:uiPriority w:val="99"/>
    <w:rPr>
      <w:color w:val="605E5C"/>
      <w:shd w:val="clear" w:color="auto" w:fill="E1DFDD"/>
    </w:rPr>
  </w:style>
  <w:style w:type="character" w:customStyle="1" w:styleId="57">
    <w:name w:val="批注主题 字符"/>
    <w:basedOn w:val="52"/>
    <w:link w:val="31"/>
    <w:semiHidden/>
    <w:qFormat/>
    <w:uiPriority w:val="99"/>
    <w:rPr>
      <w:rFonts w:ascii="宋体" w:hAnsi="宋体" w:cstheme="minorBidi"/>
      <w:b/>
      <w:bCs/>
      <w:kern w:val="2"/>
      <w:sz w:val="24"/>
      <w:szCs w:val="22"/>
    </w:rPr>
  </w:style>
  <w:style w:type="character" w:customStyle="1" w:styleId="58">
    <w:name w:val="未处理的提及2"/>
    <w:basedOn w:val="37"/>
    <w:semiHidden/>
    <w:unhideWhenUsed/>
    <w:qFormat/>
    <w:uiPriority w:val="99"/>
    <w:rPr>
      <w:color w:val="605E5C"/>
      <w:shd w:val="clear" w:color="auto" w:fill="E1DFDD"/>
    </w:rPr>
  </w:style>
  <w:style w:type="table" w:customStyle="1" w:styleId="59">
    <w:name w:val="Table Normal"/>
    <w:unhideWhenUsed/>
    <w:qFormat/>
    <w:uiPriority w:val="0"/>
    <w:tblPr>
      <w:tblCellMar>
        <w:top w:w="0" w:type="dxa"/>
        <w:left w:w="0" w:type="dxa"/>
        <w:bottom w:w="0" w:type="dxa"/>
        <w:right w:w="0" w:type="dxa"/>
      </w:tblCellMar>
    </w:tblPr>
  </w:style>
  <w:style w:type="character" w:customStyle="1" w:styleId="60">
    <w:name w:val="font11"/>
    <w:basedOn w:val="37"/>
    <w:qFormat/>
    <w:uiPriority w:val="0"/>
    <w:rPr>
      <w:rFonts w:hint="eastAsia" w:ascii="仿宋" w:hAnsi="仿宋" w:eastAsia="仿宋" w:cs="仿宋"/>
      <w:color w:val="000000"/>
      <w:sz w:val="21"/>
      <w:szCs w:val="21"/>
      <w:u w:val="none"/>
    </w:rPr>
  </w:style>
  <w:style w:type="paragraph" w:customStyle="1" w:styleId="61">
    <w:name w:val="列出段落1"/>
    <w:basedOn w:val="1"/>
    <w:qFormat/>
    <w:uiPriority w:val="34"/>
    <w:pPr>
      <w:ind w:firstLine="420"/>
    </w:pPr>
    <w:rPr>
      <w:rFonts w:eastAsia="宋体"/>
      <w:sz w:val="21"/>
      <w:szCs w:val="21"/>
    </w:rPr>
  </w:style>
  <w:style w:type="character" w:customStyle="1" w:styleId="62">
    <w:name w:val="fontstyle01"/>
    <w:qFormat/>
    <w:uiPriority w:val="0"/>
    <w:rPr>
      <w:rFonts w:hint="eastAsia" w:ascii="宋体" w:hAnsi="宋体" w:eastAsia="宋体"/>
      <w:color w:val="000000"/>
      <w:sz w:val="24"/>
      <w:szCs w:val="24"/>
    </w:rPr>
  </w:style>
  <w:style w:type="paragraph" w:customStyle="1" w:styleId="63">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customStyle="1" w:styleId="64">
    <w:name w:val="Table Text"/>
    <w:basedOn w:val="1"/>
    <w:semiHidden/>
    <w:qFormat/>
    <w:uiPriority w:val="0"/>
    <w:rPr>
      <w:rFonts w:ascii="宋体" w:hAnsi="宋体" w:eastAsia="宋体" w:cs="宋体"/>
      <w:sz w:val="20"/>
      <w:szCs w:val="20"/>
      <w:lang w:eastAsia="en-US"/>
    </w:rPr>
  </w:style>
  <w:style w:type="character" w:customStyle="1" w:styleId="65">
    <w:name w:val="font21"/>
    <w:basedOn w:val="37"/>
    <w:qFormat/>
    <w:uiPriority w:val="0"/>
    <w:rPr>
      <w:rFonts w:hint="eastAsia" w:ascii="宋体" w:hAnsi="宋体" w:eastAsia="宋体" w:cs="宋体"/>
      <w:color w:val="000000"/>
      <w:sz w:val="22"/>
      <w:szCs w:val="22"/>
      <w:u w:val="none"/>
    </w:rPr>
  </w:style>
  <w:style w:type="character" w:customStyle="1" w:styleId="66">
    <w:name w:val="font41"/>
    <w:basedOn w:val="37"/>
    <w:qFormat/>
    <w:uiPriority w:val="0"/>
    <w:rPr>
      <w:rFonts w:hint="default" w:ascii="Calibri" w:hAnsi="Calibri" w:cs="Calibri"/>
      <w:color w:val="000000"/>
      <w:sz w:val="21"/>
      <w:szCs w:val="21"/>
      <w:u w:val="none"/>
    </w:rPr>
  </w:style>
  <w:style w:type="character" w:customStyle="1" w:styleId="67">
    <w:name w:val="font51"/>
    <w:basedOn w:val="37"/>
    <w:qFormat/>
    <w:uiPriority w:val="0"/>
    <w:rPr>
      <w:rFonts w:hint="eastAsia" w:ascii="宋体" w:hAnsi="宋体" w:eastAsia="宋体" w:cs="宋体"/>
      <w:color w:val="000000"/>
      <w:sz w:val="21"/>
      <w:szCs w:val="21"/>
      <w:u w:val="none"/>
    </w:rPr>
  </w:style>
  <w:style w:type="paragraph" w:customStyle="1" w:styleId="68">
    <w:name w:val="_Style 13"/>
    <w:qFormat/>
    <w:uiPriority w:val="0"/>
    <w:pPr>
      <w:spacing w:before="120" w:after="120" w:line="288" w:lineRule="auto"/>
      <w:ind w:left="0"/>
      <w:jc w:val="left"/>
    </w:pPr>
    <w:rPr>
      <w:rFonts w:ascii="Arial" w:hAnsi="Arial" w:eastAsia="等线" w:cs="Arial"/>
      <w:sz w:val="22"/>
      <w:szCs w:val="22"/>
    </w:rPr>
  </w:style>
  <w:style w:type="paragraph" w:customStyle="1" w:styleId="69">
    <w:name w:val="Plain Text"/>
    <w:basedOn w:val="1"/>
    <w:next w:val="1"/>
    <w:qFormat/>
    <w:uiPriority w:val="0"/>
    <w:pPr>
      <w:ind w:firstLine="0" w:firstLineChars="0"/>
      <w:jc w:val="center"/>
    </w:pPr>
    <w:rPr>
      <w:sz w:val="21"/>
      <w:szCs w:val="21"/>
    </w:rPr>
  </w:style>
  <w:style w:type="paragraph" w:customStyle="1" w:styleId="70">
    <w:name w:val="缺省文本"/>
    <w:basedOn w:val="1"/>
    <w:autoRedefine/>
    <w:qFormat/>
    <w:uiPriority w:val="0"/>
    <w:pPr>
      <w:autoSpaceDE w:val="0"/>
      <w:autoSpaceDN w:val="0"/>
      <w:adjustRightInd w:val="0"/>
      <w:jc w:val="left"/>
    </w:pPr>
    <w:rPr>
      <w:kern w:val="0"/>
      <w:sz w:val="24"/>
    </w:rPr>
  </w:style>
  <w:style w:type="paragraph" w:customStyle="1" w:styleId="71">
    <w:name w:val="正文（标准）"/>
    <w:basedOn w:val="1"/>
    <w:next w:val="1"/>
    <w:semiHidden/>
    <w:qFormat/>
    <w:uiPriority w:val="0"/>
    <w:pPr>
      <w:ind w:firstLine="525"/>
    </w:pPr>
    <w:rPr>
      <w:rFonts w:ascii="宋体" w:hAnsi="宋体"/>
    </w:rPr>
  </w:style>
  <w:style w:type="character" w:customStyle="1" w:styleId="72">
    <w:name w:val="font71"/>
    <w:basedOn w:val="37"/>
    <w:qFormat/>
    <w:uiPriority w:val="0"/>
    <w:rPr>
      <w:rFonts w:hint="eastAsia" w:ascii="宋体" w:hAnsi="宋体" w:eastAsia="宋体" w:cs="宋体"/>
      <w:color w:val="000000"/>
      <w:sz w:val="16"/>
      <w:szCs w:val="16"/>
      <w:u w:val="none"/>
    </w:rPr>
  </w:style>
  <w:style w:type="character" w:customStyle="1" w:styleId="73">
    <w:name w:val="font31"/>
    <w:basedOn w:val="37"/>
    <w:qFormat/>
    <w:uiPriority w:val="0"/>
    <w:rPr>
      <w:rFonts w:hint="eastAsia" w:ascii="仿宋" w:hAnsi="仿宋" w:eastAsia="仿宋" w:cs="仿宋"/>
      <w:color w:val="000000"/>
      <w:sz w:val="21"/>
      <w:szCs w:val="21"/>
      <w:u w:val="none"/>
    </w:rPr>
  </w:style>
  <w:style w:type="character" w:customStyle="1" w:styleId="74">
    <w:name w:val="font91"/>
    <w:basedOn w:val="37"/>
    <w:qFormat/>
    <w:uiPriority w:val="0"/>
    <w:rPr>
      <w:rFonts w:hint="eastAsia" w:ascii="宋体" w:hAnsi="宋体" w:eastAsia="宋体" w:cs="宋体"/>
      <w:color w:val="000000"/>
      <w:sz w:val="24"/>
      <w:szCs w:val="24"/>
      <w:u w:val="none"/>
    </w:rPr>
  </w:style>
  <w:style w:type="character" w:customStyle="1" w:styleId="75">
    <w:name w:val="font121"/>
    <w:basedOn w:val="37"/>
    <w:qFormat/>
    <w:uiPriority w:val="0"/>
    <w:rPr>
      <w:rFonts w:hint="eastAsia" w:ascii="微软雅黑" w:hAnsi="微软雅黑" w:eastAsia="微软雅黑" w:cs="微软雅黑"/>
      <w:color w:val="FF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header" Target="head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8" Type="http://schemas.openxmlformats.org/officeDocument/2006/relationships/fontTable" Target="fontTable.xml"/><Relationship Id="rId17" Type="http://schemas.microsoft.com/office/2006/relationships/keyMapCustomizations" Target="customizations.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image" Target="media/image2.png"/><Relationship Id="rId13" Type="http://schemas.openxmlformats.org/officeDocument/2006/relationships/theme" Target="theme/theme1.xml"/><Relationship Id="rId12" Type="http://schemas.openxmlformats.org/officeDocument/2006/relationships/footer" Target="footer5.xml"/><Relationship Id="rId11" Type="http://schemas.openxmlformats.org/officeDocument/2006/relationships/header" Target="header3.xml"/><Relationship Id="rId10" Type="http://schemas.openxmlformats.org/officeDocument/2006/relationships/footer" Target="footer4.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_rels/footer4.xml.rels><?xml version="1.0" encoding="UTF-8" standalone="yes"?>
<Relationships xmlns="http://schemas.openxmlformats.org/package/2006/relationships"><Relationship Id="rId1" Type="http://schemas.openxmlformats.org/officeDocument/2006/relationships/image" Target="media/image1.png"/></Relationships>
</file>

<file path=word/_rels/footer5.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144</Pages>
  <Words>657</Words>
  <Characters>739</Characters>
  <Lines>409</Lines>
  <Paragraphs>115</Paragraphs>
  <TotalTime>17</TotalTime>
  <ScaleCrop>false</ScaleCrop>
  <LinksUpToDate>false</LinksUpToDate>
  <CharactersWithSpaces>787</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2024-01-02T05:57:00Z</dcterms:created>
  <dc:creator>杨涛（云南润达工程项目管理咨询有限公司）</dc:creator>
  <cp:lastModifiedBy>岩松</cp:lastModifiedBy>
  <cp:lastPrinted>2024-10-25T02:48:00Z</cp:lastPrinted>
  <dcterms:modified xsi:type="dcterms:W3CDTF">2026-07-28T09:00:33Z</dcterms:modified>
  <cp:revision>438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6E48B339BA644ED28F4B5518DB18656F_13</vt:lpwstr>
  </property>
  <property fmtid="{D5CDD505-2E9C-101B-9397-08002B2CF9AE}" pid="4" name="KSOTemplateDocerSaveRecord">
    <vt:lpwstr>eyJoZGlkIjoiOGNmYmM1NmFiN2JmZTI4MDgwNTc3NzNhNjFkYTg5MjgiLCJ1c2VySWQiOiI2NDI2MTA4NTYifQ==</vt:lpwstr>
  </property>
</Properties>
</file>