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67C0EB">
      <w:pPr>
        <w:keepNext w:val="0"/>
        <w:widowControl w:val="0"/>
        <w:adjustRightInd w:val="0"/>
        <w:snapToGrid w:val="0"/>
        <w:spacing w:before="156" w:beforeLines="50" w:line="360" w:lineRule="auto"/>
        <w:jc w:val="center"/>
        <w:outlineLvl w:val="0"/>
        <w:rPr>
          <w:rFonts w:ascii="黑体" w:hAnsi="华文中宋" w:eastAsia="黑体" w:cs="Times New Roman"/>
          <w:b/>
          <w:bCs/>
          <w:color w:val="auto"/>
          <w:kern w:val="2"/>
          <w:sz w:val="32"/>
          <w:szCs w:val="32"/>
          <w:highlight w:val="none"/>
          <w:lang w:val="en-US" w:eastAsia="zh-CN" w:bidi="ar-SA"/>
        </w:rPr>
      </w:pPr>
      <w:r>
        <w:rPr>
          <w:rFonts w:hint="eastAsia" w:ascii="黑体" w:hAnsi="华文中宋" w:eastAsia="黑体" w:cs="Times New Roman"/>
          <w:b/>
          <w:bCs/>
          <w:color w:val="auto"/>
          <w:kern w:val="2"/>
          <w:sz w:val="32"/>
          <w:szCs w:val="32"/>
          <w:highlight w:val="none"/>
          <w:lang w:val="en-US" w:eastAsia="zh-CN" w:bidi="ar-SA"/>
        </w:rPr>
        <w:t>采购需求</w:t>
      </w:r>
    </w:p>
    <w:p w14:paraId="2DED64E3">
      <w:pPr>
        <w:rPr>
          <w:rFonts w:hint="eastAsia" w:ascii="Calibri" w:hAnsi="Calibri" w:eastAsia="宋体" w:cs="Times New Roman"/>
          <w:color w:val="auto"/>
          <w:highlight w:val="none"/>
        </w:rPr>
      </w:pPr>
      <w:bookmarkStart w:id="0" w:name="EB9baad02da2434c97bf3bd9a509fffe9a"/>
    </w:p>
    <w:p w14:paraId="593E4030">
      <w:pPr>
        <w:pStyle w:val="24"/>
        <w:adjustRightInd w:val="0"/>
        <w:snapToGrid w:val="0"/>
        <w:spacing w:before="156" w:beforeLines="50"/>
        <w:jc w:val="center"/>
        <w:rPr>
          <w:rStyle w:val="18"/>
          <w:rFonts w:hint="eastAsia" w:ascii="宋体" w:hAnsi="宋体" w:cs="宋体"/>
          <w:color w:val="auto"/>
          <w:sz w:val="52"/>
          <w:szCs w:val="52"/>
          <w:highlight w:val="none"/>
        </w:rPr>
      </w:pPr>
      <w:bookmarkStart w:id="1" w:name="_Toc256000038"/>
      <w:r>
        <w:rPr>
          <w:rStyle w:val="18"/>
          <w:rFonts w:hint="eastAsia" w:ascii="宋体" w:hAnsi="宋体" w:cs="宋体"/>
          <w:color w:val="auto"/>
          <w:sz w:val="28"/>
          <w:szCs w:val="28"/>
          <w:highlight w:val="none"/>
        </w:rPr>
        <w:t>第一节 采购清单一览表</w:t>
      </w:r>
      <w:bookmarkEnd w:id="1"/>
    </w:p>
    <w:tbl>
      <w:tblPr>
        <w:tblStyle w:val="17"/>
        <w:tblpPr w:leftFromText="180" w:rightFromText="180" w:vertAnchor="text" w:horzAnchor="page" w:tblpX="1600" w:tblpY="517"/>
        <w:tblOverlap w:val="never"/>
        <w:tblW w:w="478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77"/>
        <w:gridCol w:w="599"/>
        <w:gridCol w:w="2777"/>
        <w:gridCol w:w="1322"/>
        <w:gridCol w:w="705"/>
        <w:gridCol w:w="1446"/>
        <w:gridCol w:w="444"/>
        <w:gridCol w:w="376"/>
      </w:tblGrid>
      <w:tr w14:paraId="591935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292" w:type="pct"/>
            <w:vMerge w:val="restart"/>
            <w:noWrap w:val="0"/>
            <w:vAlign w:val="center"/>
          </w:tcPr>
          <w:p w14:paraId="3400C937">
            <w:pPr>
              <w:pStyle w:val="25"/>
              <w:adjustRightInd w:val="0"/>
              <w:snapToGrid w:val="0"/>
              <w:jc w:val="center"/>
              <w:rPr>
                <w:rStyle w:val="18"/>
                <w:rFonts w:hint="eastAsia" w:ascii="宋体" w:hAnsi="宋体" w:eastAsia="宋体" w:cs="宋体"/>
                <w:color w:val="auto"/>
                <w:sz w:val="21"/>
                <w:szCs w:val="21"/>
                <w:highlight w:val="none"/>
              </w:rPr>
            </w:pPr>
            <w:bookmarkStart w:id="2" w:name="_Toc18736"/>
            <w:bookmarkStart w:id="3" w:name="_Toc77522293"/>
            <w:bookmarkStart w:id="4" w:name="_Toc11716"/>
            <w:r>
              <w:rPr>
                <w:rStyle w:val="18"/>
                <w:rFonts w:hint="eastAsia" w:ascii="宋体" w:hAnsi="宋体" w:eastAsia="宋体" w:cs="宋体"/>
                <w:color w:val="auto"/>
                <w:sz w:val="21"/>
                <w:szCs w:val="21"/>
                <w:highlight w:val="none"/>
              </w:rPr>
              <w:t>包号</w:t>
            </w:r>
          </w:p>
        </w:tc>
        <w:tc>
          <w:tcPr>
            <w:tcW w:w="367" w:type="pct"/>
            <w:vMerge w:val="restart"/>
            <w:noWrap w:val="0"/>
            <w:vAlign w:val="center"/>
          </w:tcPr>
          <w:p w14:paraId="10631DDA">
            <w:pPr>
              <w:pStyle w:val="25"/>
              <w:adjustRightInd w:val="0"/>
              <w:snapToGrid w:val="0"/>
              <w:jc w:val="center"/>
              <w:rPr>
                <w:rStyle w:val="18"/>
                <w:rFonts w:hint="eastAsia" w:ascii="宋体" w:hAnsi="宋体" w:eastAsia="宋体" w:cs="宋体"/>
                <w:color w:val="auto"/>
                <w:sz w:val="21"/>
                <w:szCs w:val="21"/>
                <w:highlight w:val="none"/>
              </w:rPr>
            </w:pPr>
            <w:r>
              <w:rPr>
                <w:rStyle w:val="18"/>
                <w:rFonts w:hint="eastAsia" w:ascii="宋体" w:hAnsi="宋体" w:eastAsia="宋体" w:cs="宋体"/>
                <w:color w:val="auto"/>
                <w:sz w:val="21"/>
                <w:szCs w:val="21"/>
                <w:highlight w:val="none"/>
              </w:rPr>
              <w:t>包名称</w:t>
            </w:r>
          </w:p>
        </w:tc>
        <w:tc>
          <w:tcPr>
            <w:tcW w:w="1704" w:type="pct"/>
            <w:vMerge w:val="restart"/>
            <w:noWrap w:val="0"/>
            <w:vAlign w:val="center"/>
          </w:tcPr>
          <w:p w14:paraId="26915054">
            <w:pPr>
              <w:pStyle w:val="25"/>
              <w:adjustRightInd w:val="0"/>
              <w:snapToGrid w:val="0"/>
              <w:jc w:val="center"/>
              <w:rPr>
                <w:rStyle w:val="18"/>
                <w:rFonts w:hint="eastAsia" w:ascii="宋体" w:hAnsi="宋体" w:eastAsia="宋体" w:cs="宋体"/>
                <w:color w:val="auto"/>
                <w:sz w:val="21"/>
                <w:szCs w:val="21"/>
                <w:highlight w:val="none"/>
              </w:rPr>
            </w:pPr>
            <w:r>
              <w:rPr>
                <w:rStyle w:val="18"/>
                <w:rFonts w:hint="eastAsia" w:ascii="宋体" w:hAnsi="宋体" w:eastAsia="宋体" w:cs="宋体"/>
                <w:color w:val="auto"/>
                <w:sz w:val="21"/>
                <w:szCs w:val="21"/>
                <w:highlight w:val="none"/>
              </w:rPr>
              <w:t>分项项目名称</w:t>
            </w:r>
          </w:p>
          <w:p w14:paraId="3A415699">
            <w:pPr>
              <w:pStyle w:val="25"/>
              <w:adjustRightInd w:val="0"/>
              <w:snapToGrid w:val="0"/>
              <w:jc w:val="center"/>
              <w:rPr>
                <w:rStyle w:val="18"/>
                <w:rFonts w:hint="eastAsia" w:ascii="宋体" w:hAnsi="宋体" w:eastAsia="宋体" w:cs="宋体"/>
                <w:color w:val="auto"/>
                <w:sz w:val="21"/>
                <w:szCs w:val="21"/>
                <w:highlight w:val="none"/>
              </w:rPr>
            </w:pPr>
            <w:r>
              <w:rPr>
                <w:rStyle w:val="18"/>
                <w:rFonts w:hint="eastAsia" w:ascii="宋体" w:hAnsi="宋体" w:eastAsia="宋体" w:cs="宋体"/>
                <w:color w:val="auto"/>
                <w:sz w:val="21"/>
                <w:szCs w:val="21"/>
                <w:highlight w:val="none"/>
              </w:rPr>
              <w:t>（条目号/品目名称）</w:t>
            </w:r>
          </w:p>
        </w:tc>
        <w:tc>
          <w:tcPr>
            <w:tcW w:w="811" w:type="pct"/>
            <w:vMerge w:val="restart"/>
            <w:tcBorders>
              <w:left w:val="single" w:color="auto" w:sz="4" w:space="0"/>
            </w:tcBorders>
            <w:noWrap w:val="0"/>
            <w:vAlign w:val="center"/>
          </w:tcPr>
          <w:p w14:paraId="20B4184D">
            <w:pPr>
              <w:pStyle w:val="25"/>
              <w:adjustRightInd w:val="0"/>
              <w:snapToGrid w:val="0"/>
              <w:jc w:val="center"/>
              <w:rPr>
                <w:rStyle w:val="18"/>
                <w:rFonts w:hint="eastAsia" w:ascii="宋体" w:hAnsi="宋体" w:eastAsia="宋体" w:cs="宋体"/>
                <w:color w:val="auto"/>
                <w:sz w:val="21"/>
                <w:szCs w:val="21"/>
                <w:highlight w:val="none"/>
              </w:rPr>
            </w:pPr>
            <w:r>
              <w:rPr>
                <w:rStyle w:val="18"/>
                <w:rFonts w:hint="eastAsia" w:ascii="宋体" w:hAnsi="宋体" w:eastAsia="宋体" w:cs="宋体"/>
                <w:color w:val="auto"/>
                <w:kern w:val="0"/>
                <w:sz w:val="21"/>
                <w:szCs w:val="21"/>
                <w:highlight w:val="none"/>
              </w:rPr>
              <w:t>是否接受进口设备</w:t>
            </w:r>
          </w:p>
        </w:tc>
        <w:tc>
          <w:tcPr>
            <w:tcW w:w="432" w:type="pct"/>
            <w:vMerge w:val="restart"/>
            <w:noWrap w:val="0"/>
            <w:vAlign w:val="center"/>
          </w:tcPr>
          <w:p w14:paraId="60B850B3">
            <w:pPr>
              <w:pStyle w:val="25"/>
              <w:adjustRightInd w:val="0"/>
              <w:snapToGrid w:val="0"/>
              <w:jc w:val="center"/>
              <w:rPr>
                <w:rStyle w:val="18"/>
                <w:rFonts w:hint="eastAsia" w:ascii="宋体" w:hAnsi="宋体" w:eastAsia="宋体" w:cs="宋体"/>
                <w:color w:val="auto"/>
                <w:sz w:val="21"/>
                <w:szCs w:val="21"/>
                <w:highlight w:val="none"/>
              </w:rPr>
            </w:pPr>
            <w:r>
              <w:rPr>
                <w:rStyle w:val="18"/>
                <w:rFonts w:hint="eastAsia" w:ascii="宋体" w:hAnsi="宋体" w:eastAsia="宋体" w:cs="宋体"/>
                <w:color w:val="auto"/>
                <w:sz w:val="21"/>
                <w:szCs w:val="21"/>
                <w:highlight w:val="none"/>
              </w:rPr>
              <w:t>数量</w:t>
            </w:r>
          </w:p>
        </w:tc>
        <w:tc>
          <w:tcPr>
            <w:tcW w:w="1159" w:type="pct"/>
            <w:gridSpan w:val="2"/>
            <w:noWrap w:val="0"/>
            <w:vAlign w:val="center"/>
          </w:tcPr>
          <w:p w14:paraId="5DE3E236">
            <w:pPr>
              <w:pStyle w:val="25"/>
              <w:adjustRightInd w:val="0"/>
              <w:snapToGrid w:val="0"/>
              <w:jc w:val="center"/>
              <w:rPr>
                <w:rStyle w:val="18"/>
                <w:rFonts w:hint="eastAsia" w:ascii="宋体" w:hAnsi="宋体" w:eastAsia="宋体" w:cs="宋体"/>
                <w:color w:val="auto"/>
                <w:sz w:val="21"/>
                <w:szCs w:val="21"/>
                <w:highlight w:val="none"/>
              </w:rPr>
            </w:pPr>
            <w:r>
              <w:rPr>
                <w:rStyle w:val="18"/>
                <w:rFonts w:hint="eastAsia" w:ascii="宋体" w:hAnsi="宋体" w:eastAsia="宋体" w:cs="宋体"/>
                <w:color w:val="auto"/>
                <w:sz w:val="21"/>
                <w:szCs w:val="21"/>
                <w:highlight w:val="none"/>
              </w:rPr>
              <w:t>交货要求</w:t>
            </w:r>
          </w:p>
        </w:tc>
        <w:tc>
          <w:tcPr>
            <w:tcW w:w="230" w:type="pct"/>
            <w:vMerge w:val="restart"/>
            <w:noWrap w:val="0"/>
            <w:vAlign w:val="center"/>
          </w:tcPr>
          <w:p w14:paraId="76581F4D">
            <w:pPr>
              <w:pStyle w:val="25"/>
              <w:adjustRightInd w:val="0"/>
              <w:snapToGrid w:val="0"/>
              <w:jc w:val="center"/>
              <w:rPr>
                <w:rStyle w:val="18"/>
                <w:rFonts w:hint="eastAsia" w:ascii="宋体" w:hAnsi="宋体" w:eastAsia="宋体" w:cs="宋体"/>
                <w:color w:val="auto"/>
                <w:sz w:val="21"/>
                <w:szCs w:val="21"/>
                <w:highlight w:val="none"/>
              </w:rPr>
            </w:pPr>
            <w:r>
              <w:rPr>
                <w:rStyle w:val="18"/>
                <w:rFonts w:hint="eastAsia" w:ascii="宋体" w:hAnsi="宋体" w:eastAsia="宋体" w:cs="宋体"/>
                <w:color w:val="auto"/>
                <w:sz w:val="21"/>
                <w:szCs w:val="21"/>
                <w:highlight w:val="none"/>
              </w:rPr>
              <w:t>备注</w:t>
            </w:r>
          </w:p>
        </w:tc>
      </w:tr>
      <w:tr w14:paraId="4EDC9D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32" w:hRule="atLeast"/>
        </w:trPr>
        <w:tc>
          <w:tcPr>
            <w:tcW w:w="292" w:type="pct"/>
            <w:vMerge w:val="continue"/>
            <w:noWrap w:val="0"/>
            <w:vAlign w:val="center"/>
          </w:tcPr>
          <w:p w14:paraId="2075756A">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44A7E8B2">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vMerge w:val="continue"/>
            <w:noWrap w:val="0"/>
            <w:vAlign w:val="center"/>
          </w:tcPr>
          <w:p w14:paraId="0C6915EE">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811" w:type="pct"/>
            <w:vMerge w:val="continue"/>
            <w:tcBorders>
              <w:left w:val="single" w:color="auto" w:sz="4" w:space="0"/>
            </w:tcBorders>
            <w:noWrap w:val="0"/>
            <w:vAlign w:val="center"/>
          </w:tcPr>
          <w:p w14:paraId="40157C45">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432" w:type="pct"/>
            <w:vMerge w:val="continue"/>
            <w:noWrap w:val="0"/>
            <w:vAlign w:val="center"/>
          </w:tcPr>
          <w:p w14:paraId="3F338457">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887" w:type="pct"/>
            <w:noWrap w:val="0"/>
            <w:vAlign w:val="center"/>
          </w:tcPr>
          <w:p w14:paraId="7F173744">
            <w:pPr>
              <w:pStyle w:val="25"/>
              <w:adjustRightInd w:val="0"/>
              <w:snapToGrid w:val="0"/>
              <w:spacing w:before="156" w:beforeLines="50"/>
              <w:jc w:val="center"/>
              <w:rPr>
                <w:rStyle w:val="18"/>
                <w:rFonts w:hint="eastAsia" w:ascii="宋体" w:hAnsi="宋体" w:eastAsia="宋体" w:cs="宋体"/>
                <w:color w:val="auto"/>
                <w:sz w:val="21"/>
                <w:szCs w:val="21"/>
                <w:highlight w:val="none"/>
              </w:rPr>
            </w:pPr>
            <w:r>
              <w:rPr>
                <w:rStyle w:val="18"/>
                <w:rFonts w:hint="eastAsia" w:ascii="宋体" w:hAnsi="宋体" w:eastAsia="宋体" w:cs="宋体"/>
                <w:color w:val="auto"/>
                <w:sz w:val="21"/>
                <w:szCs w:val="21"/>
                <w:highlight w:val="none"/>
              </w:rPr>
              <w:t>时间</w:t>
            </w:r>
          </w:p>
        </w:tc>
        <w:tc>
          <w:tcPr>
            <w:tcW w:w="272" w:type="pct"/>
            <w:noWrap w:val="0"/>
            <w:vAlign w:val="center"/>
          </w:tcPr>
          <w:p w14:paraId="61CC111E">
            <w:pPr>
              <w:pStyle w:val="25"/>
              <w:adjustRightInd w:val="0"/>
              <w:snapToGrid w:val="0"/>
              <w:spacing w:before="156" w:beforeLines="50"/>
              <w:jc w:val="center"/>
              <w:rPr>
                <w:rStyle w:val="18"/>
                <w:rFonts w:hint="eastAsia" w:ascii="宋体" w:hAnsi="宋体" w:eastAsia="宋体" w:cs="宋体"/>
                <w:color w:val="auto"/>
                <w:sz w:val="21"/>
                <w:szCs w:val="21"/>
                <w:highlight w:val="none"/>
              </w:rPr>
            </w:pPr>
            <w:r>
              <w:rPr>
                <w:rStyle w:val="18"/>
                <w:rFonts w:hint="eastAsia" w:ascii="宋体" w:hAnsi="宋体" w:eastAsia="宋体" w:cs="宋体"/>
                <w:color w:val="auto"/>
                <w:sz w:val="21"/>
                <w:szCs w:val="21"/>
                <w:highlight w:val="none"/>
              </w:rPr>
              <w:t>地点</w:t>
            </w:r>
          </w:p>
        </w:tc>
        <w:tc>
          <w:tcPr>
            <w:tcW w:w="230" w:type="pct"/>
            <w:vMerge w:val="continue"/>
            <w:noWrap w:val="0"/>
            <w:vAlign w:val="center"/>
          </w:tcPr>
          <w:p w14:paraId="0D892A80">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6905B6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restart"/>
            <w:noWrap w:val="0"/>
            <w:vAlign w:val="center"/>
          </w:tcPr>
          <w:p w14:paraId="5E6AC599">
            <w:pPr>
              <w:pStyle w:val="28"/>
              <w:widowControl/>
              <w:adjustRightInd w:val="0"/>
              <w:snapToGrid w:val="0"/>
              <w:jc w:val="center"/>
              <w:rPr>
                <w:rStyle w:val="18"/>
                <w:rFonts w:hint="eastAsia" w:ascii="宋体" w:hAnsi="宋体" w:eastAsia="宋体" w:cs="宋体"/>
                <w:color w:val="auto"/>
                <w:sz w:val="21"/>
                <w:szCs w:val="21"/>
                <w:highlight w:val="none"/>
                <w:lang w:val="en-US" w:eastAsia="zh-CN"/>
              </w:rPr>
            </w:pPr>
            <w:r>
              <w:rPr>
                <w:rStyle w:val="18"/>
                <w:rFonts w:hint="eastAsia" w:ascii="宋体" w:hAnsi="宋体" w:eastAsia="宋体" w:cs="宋体"/>
                <w:color w:val="auto"/>
                <w:sz w:val="21"/>
                <w:szCs w:val="21"/>
                <w:highlight w:val="none"/>
                <w:lang w:val="en-US" w:eastAsia="zh-CN"/>
              </w:rPr>
              <w:t>包1</w:t>
            </w:r>
          </w:p>
        </w:tc>
        <w:tc>
          <w:tcPr>
            <w:tcW w:w="367" w:type="pct"/>
            <w:vMerge w:val="restart"/>
            <w:noWrap w:val="0"/>
            <w:vAlign w:val="center"/>
          </w:tcPr>
          <w:p w14:paraId="5F825587">
            <w:pPr>
              <w:pStyle w:val="25"/>
              <w:adjustRightInd w:val="0"/>
              <w:snapToGrid w:val="0"/>
              <w:spacing w:before="156" w:beforeLines="50"/>
              <w:jc w:val="center"/>
              <w:rPr>
                <w:rStyle w:val="18"/>
                <w:rFonts w:hint="eastAsia" w:ascii="宋体" w:hAnsi="宋体" w:eastAsia="宋体" w:cs="宋体"/>
                <w:color w:val="auto"/>
                <w:sz w:val="21"/>
                <w:szCs w:val="21"/>
                <w:highlight w:val="none"/>
              </w:rPr>
            </w:pPr>
            <w:r>
              <w:rPr>
                <w:rStyle w:val="18"/>
                <w:rFonts w:hint="eastAsia" w:ascii="宋体" w:hAnsi="宋体" w:cs="宋体"/>
                <w:color w:val="auto"/>
                <w:sz w:val="21"/>
                <w:szCs w:val="21"/>
                <w:highlight w:val="none"/>
                <w:lang w:eastAsia="zh-CN"/>
              </w:rPr>
              <w:t>5G+全景教学空间（含5G+互动教学、5G+VR/AR教学等场景应用）</w:t>
            </w:r>
          </w:p>
        </w:tc>
        <w:tc>
          <w:tcPr>
            <w:tcW w:w="1704" w:type="pct"/>
            <w:noWrap w:val="0"/>
            <w:vAlign w:val="center"/>
          </w:tcPr>
          <w:p w14:paraId="291ABB7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rPr>
            </w:pPr>
            <w:r>
              <w:rPr>
                <w:rFonts w:hint="eastAsia" w:ascii="宋体" w:hAnsi="宋体" w:eastAsia="宋体" w:cs="宋体"/>
                <w:i w:val="0"/>
                <w:iCs w:val="0"/>
                <w:color w:val="auto"/>
                <w:kern w:val="0"/>
                <w:sz w:val="21"/>
                <w:szCs w:val="21"/>
                <w:highlight w:val="none"/>
                <w:u w:val="none"/>
                <w:lang w:val="en-US" w:eastAsia="zh-CN" w:bidi="ar"/>
              </w:rPr>
              <w:t>直播/录播主机</w:t>
            </w:r>
          </w:p>
        </w:tc>
        <w:tc>
          <w:tcPr>
            <w:tcW w:w="811" w:type="pct"/>
            <w:tcBorders>
              <w:left w:val="single" w:color="auto" w:sz="4" w:space="0"/>
            </w:tcBorders>
            <w:noWrap w:val="0"/>
            <w:vAlign w:val="center"/>
          </w:tcPr>
          <w:p w14:paraId="098029AA">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730D745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restart"/>
            <w:noWrap w:val="0"/>
            <w:vAlign w:val="center"/>
          </w:tcPr>
          <w:p w14:paraId="388433D6">
            <w:pPr>
              <w:pStyle w:val="25"/>
              <w:adjustRightInd w:val="0"/>
              <w:snapToGrid w:val="0"/>
              <w:spacing w:before="156" w:beforeLines="50"/>
              <w:jc w:val="center"/>
              <w:rPr>
                <w:rStyle w:val="18"/>
                <w:rFonts w:hint="eastAsia" w:eastAsia="宋体"/>
                <w:color w:val="auto"/>
                <w:highlight w:val="none"/>
                <w:lang w:eastAsia="zh-CN"/>
              </w:rPr>
            </w:pPr>
            <w:r>
              <w:rPr>
                <w:rStyle w:val="18"/>
                <w:rFonts w:hint="eastAsia" w:ascii="宋体" w:hAnsi="宋体" w:eastAsia="宋体" w:cs="宋体"/>
                <w:color w:val="auto"/>
                <w:highlight w:val="none"/>
              </w:rPr>
              <w:t>软硬件系统（除全景创新课堂AI教学资源外的建设内容）：合同签订后30天内按</w:t>
            </w:r>
            <w:r>
              <w:rPr>
                <w:rStyle w:val="18"/>
                <w:rFonts w:hint="eastAsia" w:ascii="宋体" w:hAnsi="宋体" w:cs="宋体"/>
                <w:color w:val="auto"/>
                <w:highlight w:val="none"/>
                <w:lang w:eastAsia="zh-CN"/>
              </w:rPr>
              <w:t>采购人</w:t>
            </w:r>
            <w:r>
              <w:rPr>
                <w:rStyle w:val="18"/>
                <w:rFonts w:hint="eastAsia" w:ascii="宋体" w:hAnsi="宋体" w:eastAsia="宋体" w:cs="宋体"/>
                <w:color w:val="auto"/>
                <w:highlight w:val="none"/>
              </w:rPr>
              <w:t>指定校内安装位置完成软硬件系统的安装及调试。全景创新课堂AI教学资源：</w:t>
            </w:r>
            <w:r>
              <w:rPr>
                <w:rStyle w:val="18"/>
                <w:rFonts w:hint="eastAsia" w:ascii="宋体" w:hAnsi="宋体" w:cs="宋体"/>
                <w:color w:val="auto"/>
                <w:highlight w:val="none"/>
                <w:lang w:eastAsia="zh-CN"/>
              </w:rPr>
              <w:t>采购人</w:t>
            </w:r>
            <w:r>
              <w:rPr>
                <w:rStyle w:val="18"/>
                <w:rFonts w:hint="eastAsia" w:ascii="宋体" w:hAnsi="宋体" w:eastAsia="宋体" w:cs="宋体"/>
                <w:color w:val="auto"/>
                <w:highlight w:val="none"/>
              </w:rPr>
              <w:t>明确资源需求后的45天内完成资源制作并进行初验，达到合同要求，15个工作日内组织项目验收。</w:t>
            </w:r>
          </w:p>
        </w:tc>
        <w:tc>
          <w:tcPr>
            <w:tcW w:w="272" w:type="pct"/>
            <w:vMerge w:val="restart"/>
            <w:noWrap w:val="0"/>
            <w:vAlign w:val="center"/>
          </w:tcPr>
          <w:p w14:paraId="0249EEAB">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lang w:val="en-US" w:eastAsia="zh-CN"/>
              </w:rPr>
              <w:t>采购人</w:t>
            </w:r>
            <w:r>
              <w:rPr>
                <w:rStyle w:val="18"/>
                <w:rFonts w:hint="eastAsia" w:eastAsia="宋体"/>
                <w:color w:val="auto"/>
                <w:highlight w:val="none"/>
              </w:rPr>
              <w:t>指定校内安装位置</w:t>
            </w:r>
          </w:p>
        </w:tc>
        <w:tc>
          <w:tcPr>
            <w:tcW w:w="230" w:type="pct"/>
            <w:noWrap w:val="0"/>
            <w:vAlign w:val="center"/>
          </w:tcPr>
          <w:p w14:paraId="6E9EF074">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22FB8A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625E0FCB">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01928CEB">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38780A1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rPr>
            </w:pPr>
            <w:r>
              <w:rPr>
                <w:rFonts w:hint="eastAsia" w:ascii="宋体" w:hAnsi="宋体" w:eastAsia="宋体" w:cs="宋体"/>
                <w:i w:val="0"/>
                <w:iCs w:val="0"/>
                <w:color w:val="auto"/>
                <w:kern w:val="0"/>
                <w:sz w:val="21"/>
                <w:szCs w:val="21"/>
                <w:highlight w:val="none"/>
                <w:u w:val="none"/>
                <w:lang w:val="en-US" w:eastAsia="zh-CN" w:bidi="ar"/>
              </w:rPr>
              <w:t>智能控制台</w:t>
            </w:r>
          </w:p>
        </w:tc>
        <w:tc>
          <w:tcPr>
            <w:tcW w:w="811" w:type="pct"/>
            <w:tcBorders>
              <w:left w:val="single" w:color="auto" w:sz="4" w:space="0"/>
            </w:tcBorders>
            <w:noWrap w:val="0"/>
            <w:vAlign w:val="center"/>
          </w:tcPr>
          <w:p w14:paraId="1FE61C36">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7A04A220">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28634B61">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3CD0990A">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0B9FB58F">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5BE735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2D74786D">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55BFBC67">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29A4BC7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中控面板</w:t>
            </w:r>
          </w:p>
        </w:tc>
        <w:tc>
          <w:tcPr>
            <w:tcW w:w="811" w:type="pct"/>
            <w:tcBorders>
              <w:left w:val="single" w:color="auto" w:sz="4" w:space="0"/>
            </w:tcBorders>
            <w:noWrap w:val="0"/>
            <w:vAlign w:val="center"/>
          </w:tcPr>
          <w:p w14:paraId="2E36C4BD">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51E966C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1289F975">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10421AD1">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46E4FDF1">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6F3EA5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3E7E5BEE">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5480D60F">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30CE9F8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rPr>
            </w:pPr>
            <w:r>
              <w:rPr>
                <w:rFonts w:hint="eastAsia" w:ascii="宋体" w:hAnsi="宋体" w:eastAsia="宋体" w:cs="宋体"/>
                <w:i w:val="0"/>
                <w:iCs w:val="0"/>
                <w:color w:val="auto"/>
                <w:kern w:val="0"/>
                <w:sz w:val="21"/>
                <w:szCs w:val="21"/>
                <w:highlight w:val="none"/>
                <w:u w:val="none"/>
                <w:lang w:val="en-US" w:eastAsia="zh-CN" w:bidi="ar"/>
              </w:rPr>
              <w:t>串口主机</w:t>
            </w:r>
          </w:p>
        </w:tc>
        <w:tc>
          <w:tcPr>
            <w:tcW w:w="811" w:type="pct"/>
            <w:tcBorders>
              <w:left w:val="single" w:color="auto" w:sz="4" w:space="0"/>
            </w:tcBorders>
            <w:noWrap w:val="0"/>
            <w:vAlign w:val="center"/>
          </w:tcPr>
          <w:p w14:paraId="0C2DF897">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568A517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209B6C48">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2D76A6F1">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188B3FAB">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02D2E2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0C426E9B">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1FEAEC44">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68BC76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时序电源</w:t>
            </w:r>
          </w:p>
        </w:tc>
        <w:tc>
          <w:tcPr>
            <w:tcW w:w="811" w:type="pct"/>
            <w:tcBorders>
              <w:left w:val="single" w:color="auto" w:sz="4" w:space="0"/>
            </w:tcBorders>
            <w:noWrap w:val="0"/>
            <w:vAlign w:val="center"/>
          </w:tcPr>
          <w:p w14:paraId="5E181EBD">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3835773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887" w:type="pct"/>
            <w:vMerge w:val="continue"/>
            <w:noWrap w:val="0"/>
            <w:vAlign w:val="center"/>
          </w:tcPr>
          <w:p w14:paraId="09BBF579">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772D1AC7">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45E36358">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234F2D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3A98BB9A">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35924380">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570583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窄机柜</w:t>
            </w:r>
          </w:p>
        </w:tc>
        <w:tc>
          <w:tcPr>
            <w:tcW w:w="811" w:type="pct"/>
            <w:tcBorders>
              <w:left w:val="single" w:color="auto" w:sz="4" w:space="0"/>
            </w:tcBorders>
            <w:noWrap w:val="0"/>
            <w:vAlign w:val="center"/>
          </w:tcPr>
          <w:p w14:paraId="432F1A52">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5083717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3C7FF71A">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2EAA7988">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267844CF">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31CF07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2D16AC4A">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30D7B8B5">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04D2996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宽机柜</w:t>
            </w:r>
          </w:p>
        </w:tc>
        <w:tc>
          <w:tcPr>
            <w:tcW w:w="811" w:type="pct"/>
            <w:tcBorders>
              <w:left w:val="single" w:color="auto" w:sz="4" w:space="0"/>
            </w:tcBorders>
            <w:noWrap w:val="0"/>
            <w:vAlign w:val="center"/>
          </w:tcPr>
          <w:p w14:paraId="2A45D2CD">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693E16B0">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6B3E36C0">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2C7769E7">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5DDBCC94">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10B677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329CDEEE">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094D34A6">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5249CD9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视频矩阵</w:t>
            </w:r>
          </w:p>
        </w:tc>
        <w:tc>
          <w:tcPr>
            <w:tcW w:w="811" w:type="pct"/>
            <w:tcBorders>
              <w:left w:val="single" w:color="auto" w:sz="4" w:space="0"/>
            </w:tcBorders>
            <w:noWrap w:val="0"/>
            <w:vAlign w:val="center"/>
          </w:tcPr>
          <w:p w14:paraId="3463F1E6">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7FFBBBB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14AAF5CE">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02586131">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0AF5BE75">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5458B8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3B004E8B">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0FB7E8CB">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0E3DF3D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老师投屏器</w:t>
            </w:r>
          </w:p>
        </w:tc>
        <w:tc>
          <w:tcPr>
            <w:tcW w:w="811" w:type="pct"/>
            <w:tcBorders>
              <w:left w:val="single" w:color="auto" w:sz="4" w:space="0"/>
            </w:tcBorders>
            <w:noWrap w:val="0"/>
            <w:vAlign w:val="center"/>
          </w:tcPr>
          <w:p w14:paraId="22A2D436">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522D794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7786C929">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62F4FB09">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3FB442F9">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22C0C6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44D36EFB">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39B02AE7">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0DE21A11">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单通道手持无线套装</w:t>
            </w:r>
          </w:p>
        </w:tc>
        <w:tc>
          <w:tcPr>
            <w:tcW w:w="811" w:type="pct"/>
            <w:tcBorders>
              <w:left w:val="single" w:color="auto" w:sz="4" w:space="0"/>
            </w:tcBorders>
            <w:noWrap w:val="0"/>
            <w:vAlign w:val="center"/>
          </w:tcPr>
          <w:p w14:paraId="554025DA">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1286D1E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887" w:type="pct"/>
            <w:vMerge w:val="continue"/>
            <w:noWrap w:val="0"/>
            <w:vAlign w:val="center"/>
          </w:tcPr>
          <w:p w14:paraId="3A6C4B9C">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2CE03F97">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173942BC">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399E0E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08800FE9">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728436F9">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791384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单通道腰包无线套装</w:t>
            </w:r>
          </w:p>
        </w:tc>
        <w:tc>
          <w:tcPr>
            <w:tcW w:w="811" w:type="pct"/>
            <w:tcBorders>
              <w:left w:val="single" w:color="auto" w:sz="4" w:space="0"/>
            </w:tcBorders>
            <w:noWrap w:val="0"/>
            <w:vAlign w:val="center"/>
          </w:tcPr>
          <w:p w14:paraId="409D3336">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2399B68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7F6104EF">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214A940D">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5080FD26">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749F13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52862FF9">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36351B08">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3C24126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无线天线套装</w:t>
            </w:r>
          </w:p>
        </w:tc>
        <w:tc>
          <w:tcPr>
            <w:tcW w:w="811" w:type="pct"/>
            <w:tcBorders>
              <w:left w:val="single" w:color="auto" w:sz="4" w:space="0"/>
            </w:tcBorders>
            <w:noWrap w:val="0"/>
            <w:vAlign w:val="center"/>
          </w:tcPr>
          <w:p w14:paraId="4C2F85F9">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00DEC7E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482944C8">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0F71EA6D">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4AE586C8">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289252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671E6D95">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0BBC7296">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91DBAE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调音台</w:t>
            </w:r>
          </w:p>
        </w:tc>
        <w:tc>
          <w:tcPr>
            <w:tcW w:w="811" w:type="pct"/>
            <w:tcBorders>
              <w:left w:val="single" w:color="auto" w:sz="4" w:space="0"/>
            </w:tcBorders>
            <w:noWrap w:val="0"/>
            <w:vAlign w:val="center"/>
          </w:tcPr>
          <w:p w14:paraId="62FE50DA">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226C078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6DA864D4">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63D1E1E1">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7CB77C68">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13E033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5934EF07">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5E2B0B74">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4B975BC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数字音频处理器</w:t>
            </w:r>
          </w:p>
        </w:tc>
        <w:tc>
          <w:tcPr>
            <w:tcW w:w="811" w:type="pct"/>
            <w:tcBorders>
              <w:left w:val="single" w:color="auto" w:sz="4" w:space="0"/>
            </w:tcBorders>
            <w:noWrap w:val="0"/>
            <w:vAlign w:val="center"/>
          </w:tcPr>
          <w:p w14:paraId="181DC0F4">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1E8A098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2E6F8E43">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1F06DCF0">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20192EA9">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5E034B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335D288E">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6A308098">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1D23388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环绕功放</w:t>
            </w:r>
          </w:p>
        </w:tc>
        <w:tc>
          <w:tcPr>
            <w:tcW w:w="811" w:type="pct"/>
            <w:tcBorders>
              <w:left w:val="single" w:color="auto" w:sz="4" w:space="0"/>
            </w:tcBorders>
            <w:noWrap w:val="0"/>
            <w:vAlign w:val="center"/>
          </w:tcPr>
          <w:p w14:paraId="1E096273">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53D5CBC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887" w:type="pct"/>
            <w:vMerge w:val="continue"/>
            <w:noWrap w:val="0"/>
            <w:vAlign w:val="center"/>
          </w:tcPr>
          <w:p w14:paraId="6AB688DF">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756ED571">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318B1B92">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766FA6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5D0B6D6E">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2CCC8F96">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4DE1C04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环绕音箱</w:t>
            </w:r>
          </w:p>
        </w:tc>
        <w:tc>
          <w:tcPr>
            <w:tcW w:w="811" w:type="pct"/>
            <w:tcBorders>
              <w:left w:val="single" w:color="auto" w:sz="4" w:space="0"/>
            </w:tcBorders>
            <w:noWrap w:val="0"/>
            <w:vAlign w:val="center"/>
          </w:tcPr>
          <w:p w14:paraId="69E3964E">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6FA8060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w:t>
            </w:r>
          </w:p>
        </w:tc>
        <w:tc>
          <w:tcPr>
            <w:tcW w:w="887" w:type="pct"/>
            <w:vMerge w:val="continue"/>
            <w:noWrap w:val="0"/>
            <w:vAlign w:val="center"/>
          </w:tcPr>
          <w:p w14:paraId="463084A5">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1AD11CF5">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7E2D273F">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2A4BAA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1B7058A6">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5E6FB70A">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0BFF106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低频音箱</w:t>
            </w:r>
          </w:p>
        </w:tc>
        <w:tc>
          <w:tcPr>
            <w:tcW w:w="811" w:type="pct"/>
            <w:tcBorders>
              <w:left w:val="single" w:color="auto" w:sz="4" w:space="0"/>
            </w:tcBorders>
            <w:noWrap w:val="0"/>
            <w:vAlign w:val="center"/>
          </w:tcPr>
          <w:p w14:paraId="6A925460">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481AA5B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887" w:type="pct"/>
            <w:vMerge w:val="continue"/>
            <w:noWrap w:val="0"/>
            <w:vAlign w:val="center"/>
          </w:tcPr>
          <w:p w14:paraId="6B5E8211">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1442AD7A">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6F2BD0C4">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351493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2A2ED83C">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58946D83">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07EE472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反馈抑制器</w:t>
            </w:r>
          </w:p>
        </w:tc>
        <w:tc>
          <w:tcPr>
            <w:tcW w:w="811" w:type="pct"/>
            <w:tcBorders>
              <w:left w:val="single" w:color="auto" w:sz="4" w:space="0"/>
            </w:tcBorders>
            <w:noWrap w:val="0"/>
            <w:vAlign w:val="center"/>
          </w:tcPr>
          <w:p w14:paraId="15FEC35F">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165CACF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0B378C09">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40DC143C">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6DDDFE3B">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22768D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61EE8529">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1CD9AC5B">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2C68CAF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5G+路由器</w:t>
            </w:r>
          </w:p>
        </w:tc>
        <w:tc>
          <w:tcPr>
            <w:tcW w:w="811" w:type="pct"/>
            <w:tcBorders>
              <w:left w:val="single" w:color="auto" w:sz="4" w:space="0"/>
            </w:tcBorders>
            <w:noWrap w:val="0"/>
            <w:vAlign w:val="center"/>
          </w:tcPr>
          <w:p w14:paraId="4819CA14">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48395AB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887" w:type="pct"/>
            <w:vMerge w:val="continue"/>
            <w:noWrap w:val="0"/>
            <w:vAlign w:val="center"/>
          </w:tcPr>
          <w:p w14:paraId="7BE6B157">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1CDB1E9E">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75286192">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4B5972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19AE5BB1">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1CCD3FB3">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6C186C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无线AP</w:t>
            </w:r>
          </w:p>
        </w:tc>
        <w:tc>
          <w:tcPr>
            <w:tcW w:w="811" w:type="pct"/>
            <w:tcBorders>
              <w:left w:val="single" w:color="auto" w:sz="4" w:space="0"/>
            </w:tcBorders>
            <w:noWrap w:val="0"/>
            <w:vAlign w:val="center"/>
          </w:tcPr>
          <w:p w14:paraId="70D88161">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7F969A8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887" w:type="pct"/>
            <w:vMerge w:val="continue"/>
            <w:noWrap w:val="0"/>
            <w:vAlign w:val="center"/>
          </w:tcPr>
          <w:p w14:paraId="02C08682">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4DEAF6CA">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26072DE3">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7112A1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7343970E">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4F554C53">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55B80D1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环幕固定摄像机</w:t>
            </w:r>
          </w:p>
        </w:tc>
        <w:tc>
          <w:tcPr>
            <w:tcW w:w="811" w:type="pct"/>
            <w:tcBorders>
              <w:left w:val="single" w:color="auto" w:sz="4" w:space="0"/>
            </w:tcBorders>
            <w:noWrap w:val="0"/>
            <w:vAlign w:val="center"/>
          </w:tcPr>
          <w:p w14:paraId="53FC679C">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65EA857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4051AE52">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101C648D">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364D7EB6">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5658ED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5400808B">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03FFECBA">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56D2B2F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场景机位摄像机</w:t>
            </w:r>
          </w:p>
        </w:tc>
        <w:tc>
          <w:tcPr>
            <w:tcW w:w="811" w:type="pct"/>
            <w:tcBorders>
              <w:left w:val="single" w:color="auto" w:sz="4" w:space="0"/>
            </w:tcBorders>
            <w:noWrap w:val="0"/>
            <w:vAlign w:val="center"/>
          </w:tcPr>
          <w:p w14:paraId="0F673F0C">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186057F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6EF89BCD">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37EF0AE1">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635423B2">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2C85D0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6C2223B8">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24B6A629">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144BB35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侧墙固定机位摄像机</w:t>
            </w:r>
          </w:p>
        </w:tc>
        <w:tc>
          <w:tcPr>
            <w:tcW w:w="811" w:type="pct"/>
            <w:tcBorders>
              <w:left w:val="single" w:color="auto" w:sz="4" w:space="0"/>
            </w:tcBorders>
            <w:noWrap w:val="0"/>
            <w:vAlign w:val="center"/>
          </w:tcPr>
          <w:p w14:paraId="0EAA27E5">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3AE5002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887" w:type="pct"/>
            <w:vMerge w:val="continue"/>
            <w:noWrap w:val="0"/>
            <w:vAlign w:val="center"/>
          </w:tcPr>
          <w:p w14:paraId="577FE9E5">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00CAC793">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3BDA8CD8">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3F6968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0EFAFF27">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013F4540">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53D847B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学生投屏器</w:t>
            </w:r>
          </w:p>
        </w:tc>
        <w:tc>
          <w:tcPr>
            <w:tcW w:w="811" w:type="pct"/>
            <w:tcBorders>
              <w:left w:val="single" w:color="auto" w:sz="4" w:space="0"/>
            </w:tcBorders>
            <w:noWrap w:val="0"/>
            <w:vAlign w:val="center"/>
          </w:tcPr>
          <w:p w14:paraId="7FA78CC3">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3F7AB9F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887" w:type="pct"/>
            <w:vMerge w:val="continue"/>
            <w:noWrap w:val="0"/>
            <w:vAlign w:val="center"/>
          </w:tcPr>
          <w:p w14:paraId="3B71AD76">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49785AC5">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160A0CDD">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1D18BC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1BF1F130">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02892DE9">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CBA30A7">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全景教学软件</w:t>
            </w:r>
          </w:p>
        </w:tc>
        <w:tc>
          <w:tcPr>
            <w:tcW w:w="811" w:type="pct"/>
            <w:tcBorders>
              <w:left w:val="single" w:color="auto" w:sz="4" w:space="0"/>
            </w:tcBorders>
            <w:noWrap w:val="0"/>
            <w:vAlign w:val="center"/>
          </w:tcPr>
          <w:p w14:paraId="07949B2E">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497773A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701981DF">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6C16DE6E">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242E096C">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329AFA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4994C5F3">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28C98752">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6A1FCD2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全景智能运维与管理软件</w:t>
            </w:r>
          </w:p>
        </w:tc>
        <w:tc>
          <w:tcPr>
            <w:tcW w:w="811" w:type="pct"/>
            <w:tcBorders>
              <w:left w:val="single" w:color="auto" w:sz="4" w:space="0"/>
            </w:tcBorders>
            <w:noWrap w:val="0"/>
            <w:vAlign w:val="center"/>
          </w:tcPr>
          <w:p w14:paraId="089529F4">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200954F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21B503F3">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423DF068">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6881A527">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70622B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5E89FDAA">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0314DA52">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42C2E56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全景智能中枢控制套件</w:t>
            </w:r>
          </w:p>
        </w:tc>
        <w:tc>
          <w:tcPr>
            <w:tcW w:w="811" w:type="pct"/>
            <w:tcBorders>
              <w:left w:val="single" w:color="auto" w:sz="4" w:space="0"/>
            </w:tcBorders>
            <w:noWrap w:val="0"/>
            <w:vAlign w:val="center"/>
          </w:tcPr>
          <w:p w14:paraId="6CF353C1">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33FBA7D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6CC449CA">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0B663B5D">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76493BEC">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39106C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7AADA4A4">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453E5144">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C51057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全景智能板书软件</w:t>
            </w:r>
          </w:p>
        </w:tc>
        <w:tc>
          <w:tcPr>
            <w:tcW w:w="811" w:type="pct"/>
            <w:tcBorders>
              <w:left w:val="single" w:color="auto" w:sz="4" w:space="0"/>
            </w:tcBorders>
            <w:noWrap w:val="0"/>
            <w:vAlign w:val="center"/>
          </w:tcPr>
          <w:p w14:paraId="72A5E77D">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3D61777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38D75757">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39E319A8">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4ADEA89E">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750429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576C01B5">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0AECAE87">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FB787E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全景多屏协同教学软件</w:t>
            </w:r>
          </w:p>
        </w:tc>
        <w:tc>
          <w:tcPr>
            <w:tcW w:w="811" w:type="pct"/>
            <w:tcBorders>
              <w:left w:val="single" w:color="auto" w:sz="4" w:space="0"/>
            </w:tcBorders>
            <w:noWrap w:val="0"/>
            <w:vAlign w:val="center"/>
          </w:tcPr>
          <w:p w14:paraId="5D69B875">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6F96C4A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3D29E17F">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72B0696A">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4B531075">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5E0754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26400BCF">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77ECEA32">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6D4E9B9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全景资源管理软件</w:t>
            </w:r>
          </w:p>
        </w:tc>
        <w:tc>
          <w:tcPr>
            <w:tcW w:w="811" w:type="pct"/>
            <w:tcBorders>
              <w:left w:val="single" w:color="auto" w:sz="4" w:space="0"/>
            </w:tcBorders>
            <w:noWrap w:val="0"/>
            <w:vAlign w:val="center"/>
          </w:tcPr>
          <w:p w14:paraId="6E52EFB4">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4D3EFC53">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64E74C1C">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3929D3BF">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462BD545">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5BE89C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7EC06291">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58BB0AB5">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4364BF6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全景播控软件</w:t>
            </w:r>
          </w:p>
        </w:tc>
        <w:tc>
          <w:tcPr>
            <w:tcW w:w="811" w:type="pct"/>
            <w:tcBorders>
              <w:left w:val="single" w:color="auto" w:sz="4" w:space="0"/>
            </w:tcBorders>
            <w:noWrap w:val="0"/>
            <w:vAlign w:val="center"/>
          </w:tcPr>
          <w:p w14:paraId="420C8BBA">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0354E6B3">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3ACF46DA">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2EB22F2C">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683B938C">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12D112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03D0EACB">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138454F9">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3A30E46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全景智慧云录播软件</w:t>
            </w:r>
          </w:p>
        </w:tc>
        <w:tc>
          <w:tcPr>
            <w:tcW w:w="811" w:type="pct"/>
            <w:tcBorders>
              <w:left w:val="single" w:color="auto" w:sz="4" w:space="0"/>
            </w:tcBorders>
            <w:noWrap w:val="0"/>
            <w:vAlign w:val="center"/>
          </w:tcPr>
          <w:p w14:paraId="45751843">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5A17B613">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660F8113">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5875414F">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5A18A887">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3077BA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1782C7C9">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28ACF5FD">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242D79C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全景课堂分组研讨软件</w:t>
            </w:r>
          </w:p>
        </w:tc>
        <w:tc>
          <w:tcPr>
            <w:tcW w:w="811" w:type="pct"/>
            <w:tcBorders>
              <w:left w:val="single" w:color="auto" w:sz="4" w:space="0"/>
            </w:tcBorders>
            <w:noWrap w:val="0"/>
            <w:vAlign w:val="center"/>
          </w:tcPr>
          <w:p w14:paraId="150B6937">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4157224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887" w:type="pct"/>
            <w:vMerge w:val="continue"/>
            <w:noWrap w:val="0"/>
            <w:vAlign w:val="center"/>
          </w:tcPr>
          <w:p w14:paraId="21FB0EA1">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4C2C2D07">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5F3C8A46">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05E540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41CA6341">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69A52B13">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23A857F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互动软件</w:t>
            </w:r>
          </w:p>
        </w:tc>
        <w:tc>
          <w:tcPr>
            <w:tcW w:w="811" w:type="pct"/>
            <w:tcBorders>
              <w:left w:val="single" w:color="auto" w:sz="4" w:space="0"/>
            </w:tcBorders>
            <w:noWrap w:val="0"/>
            <w:vAlign w:val="center"/>
          </w:tcPr>
          <w:p w14:paraId="15C28809">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4C21D69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215D6505">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5B0D27E3">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4CD2DBB0">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7E40DA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19C19E89">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7A97F295">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405E731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AI同步课堂管理平台</w:t>
            </w:r>
          </w:p>
        </w:tc>
        <w:tc>
          <w:tcPr>
            <w:tcW w:w="811" w:type="pct"/>
            <w:tcBorders>
              <w:left w:val="single" w:color="auto" w:sz="4" w:space="0"/>
            </w:tcBorders>
            <w:noWrap w:val="0"/>
            <w:vAlign w:val="center"/>
          </w:tcPr>
          <w:p w14:paraId="0EAD3884">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673FD15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7413942D">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2CCE0515">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014FFEAC">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6ABBEB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2E0797D6">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484092B5">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6EB892F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老师跟踪摄像机</w:t>
            </w:r>
          </w:p>
        </w:tc>
        <w:tc>
          <w:tcPr>
            <w:tcW w:w="811" w:type="pct"/>
            <w:tcBorders>
              <w:left w:val="single" w:color="auto" w:sz="4" w:space="0"/>
            </w:tcBorders>
            <w:noWrap w:val="0"/>
            <w:vAlign w:val="center"/>
          </w:tcPr>
          <w:p w14:paraId="4D2E2FD5">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193B2991">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19257B5F">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19396602">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3A2D67C3">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5FC3D9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6CEAE8E4">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652B33C8">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17B1B18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学生跟踪摄像机</w:t>
            </w:r>
          </w:p>
        </w:tc>
        <w:tc>
          <w:tcPr>
            <w:tcW w:w="811" w:type="pct"/>
            <w:tcBorders>
              <w:left w:val="single" w:color="auto" w:sz="4" w:space="0"/>
            </w:tcBorders>
            <w:noWrap w:val="0"/>
            <w:vAlign w:val="center"/>
          </w:tcPr>
          <w:p w14:paraId="3A79DA7A">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5301271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3F29277E">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7A245FF8">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56D71630">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2A8C72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2BDF965E">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1C52F145">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1D0D985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无感扩声麦克风</w:t>
            </w:r>
          </w:p>
        </w:tc>
        <w:tc>
          <w:tcPr>
            <w:tcW w:w="811" w:type="pct"/>
            <w:tcBorders>
              <w:left w:val="single" w:color="auto" w:sz="4" w:space="0"/>
            </w:tcBorders>
            <w:noWrap w:val="0"/>
            <w:vAlign w:val="center"/>
          </w:tcPr>
          <w:p w14:paraId="7C87033B">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5749C12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3EE63FBF">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23A70DED">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6AEBF299">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71EE7A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7F982225">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340B300E">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4A28A9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VR全景摄像头</w:t>
            </w:r>
          </w:p>
        </w:tc>
        <w:tc>
          <w:tcPr>
            <w:tcW w:w="811" w:type="pct"/>
            <w:tcBorders>
              <w:left w:val="single" w:color="auto" w:sz="4" w:space="0"/>
            </w:tcBorders>
            <w:noWrap w:val="0"/>
            <w:vAlign w:val="center"/>
          </w:tcPr>
          <w:p w14:paraId="632DEF2C">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34327A8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6775849A">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597C1676">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59E6834B">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3DB54F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3A6F2DB0">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41ED4087">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579743E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360°全景VR直播套件</w:t>
            </w:r>
          </w:p>
        </w:tc>
        <w:tc>
          <w:tcPr>
            <w:tcW w:w="811" w:type="pct"/>
            <w:tcBorders>
              <w:left w:val="single" w:color="auto" w:sz="4" w:space="0"/>
            </w:tcBorders>
            <w:noWrap w:val="0"/>
            <w:vAlign w:val="center"/>
          </w:tcPr>
          <w:p w14:paraId="5EA8F0CE">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6D97174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887" w:type="pct"/>
            <w:vMerge w:val="continue"/>
            <w:noWrap w:val="0"/>
            <w:vAlign w:val="center"/>
          </w:tcPr>
          <w:p w14:paraId="5CEDBC7F">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7C7023B7">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225E3FC4">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68E293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1DDBACB8">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358FA4FB">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353804BC">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全景创新课堂AI教学资源</w:t>
            </w:r>
          </w:p>
        </w:tc>
        <w:tc>
          <w:tcPr>
            <w:tcW w:w="811" w:type="pct"/>
            <w:tcBorders>
              <w:left w:val="single" w:color="auto" w:sz="4" w:space="0"/>
            </w:tcBorders>
            <w:noWrap w:val="0"/>
            <w:vAlign w:val="center"/>
          </w:tcPr>
          <w:p w14:paraId="756A21C3">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0561F81B">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887" w:type="pct"/>
            <w:vMerge w:val="continue"/>
            <w:noWrap w:val="0"/>
            <w:vAlign w:val="center"/>
          </w:tcPr>
          <w:p w14:paraId="48B6BD78">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6A983929">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52AF5CC3">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2D9892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41E1D58C">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77A5841C">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77BBD424">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全景党建资源</w:t>
            </w:r>
          </w:p>
        </w:tc>
        <w:tc>
          <w:tcPr>
            <w:tcW w:w="811" w:type="pct"/>
            <w:tcBorders>
              <w:left w:val="single" w:color="auto" w:sz="4" w:space="0"/>
            </w:tcBorders>
            <w:noWrap w:val="0"/>
            <w:vAlign w:val="center"/>
          </w:tcPr>
          <w:p w14:paraId="0241234E">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11216755">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w:t>
            </w:r>
          </w:p>
        </w:tc>
        <w:tc>
          <w:tcPr>
            <w:tcW w:w="887" w:type="pct"/>
            <w:vMerge w:val="continue"/>
            <w:noWrap w:val="0"/>
            <w:vAlign w:val="center"/>
          </w:tcPr>
          <w:p w14:paraId="403F1A0E">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09E72F0F">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0312F462">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tr w14:paraId="0974FE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92" w:type="pct"/>
            <w:vMerge w:val="continue"/>
            <w:noWrap w:val="0"/>
            <w:vAlign w:val="center"/>
          </w:tcPr>
          <w:p w14:paraId="347460E2">
            <w:pPr>
              <w:pStyle w:val="28"/>
              <w:widowControl/>
              <w:adjustRightInd w:val="0"/>
              <w:snapToGrid w:val="0"/>
              <w:jc w:val="center"/>
              <w:rPr>
                <w:rStyle w:val="18"/>
                <w:rFonts w:hint="eastAsia" w:ascii="宋体" w:hAnsi="宋体" w:eastAsia="宋体" w:cs="宋体"/>
                <w:color w:val="auto"/>
                <w:sz w:val="21"/>
                <w:szCs w:val="21"/>
                <w:highlight w:val="none"/>
              </w:rPr>
            </w:pPr>
          </w:p>
        </w:tc>
        <w:tc>
          <w:tcPr>
            <w:tcW w:w="367" w:type="pct"/>
            <w:vMerge w:val="continue"/>
            <w:noWrap w:val="0"/>
            <w:vAlign w:val="center"/>
          </w:tcPr>
          <w:p w14:paraId="11FA39AF">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c>
          <w:tcPr>
            <w:tcW w:w="1704" w:type="pct"/>
            <w:noWrap w:val="0"/>
            <w:vAlign w:val="center"/>
          </w:tcPr>
          <w:p w14:paraId="187D9CD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Style w:val="18"/>
                <w:rFonts w:hint="eastAsia" w:ascii="Calibri" w:hAnsi="Calibri" w:eastAsia="宋体" w:cs="Times New Roman"/>
                <w:color w:val="auto"/>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环境改造</w:t>
            </w:r>
          </w:p>
        </w:tc>
        <w:tc>
          <w:tcPr>
            <w:tcW w:w="811" w:type="pct"/>
            <w:tcBorders>
              <w:left w:val="single" w:color="auto" w:sz="4" w:space="0"/>
            </w:tcBorders>
            <w:noWrap w:val="0"/>
            <w:vAlign w:val="center"/>
          </w:tcPr>
          <w:p w14:paraId="38951638">
            <w:pPr>
              <w:pStyle w:val="25"/>
              <w:adjustRightInd w:val="0"/>
              <w:snapToGrid w:val="0"/>
              <w:spacing w:before="156" w:beforeLines="50"/>
              <w:jc w:val="center"/>
              <w:rPr>
                <w:rStyle w:val="18"/>
                <w:rFonts w:hint="eastAsia" w:eastAsia="宋体"/>
                <w:color w:val="auto"/>
                <w:highlight w:val="none"/>
              </w:rPr>
            </w:pPr>
            <w:r>
              <w:rPr>
                <w:rStyle w:val="18"/>
                <w:rFonts w:hint="eastAsia" w:eastAsia="宋体"/>
                <w:color w:val="auto"/>
                <w:highlight w:val="none"/>
              </w:rPr>
              <w:t>否</w:t>
            </w:r>
          </w:p>
        </w:tc>
        <w:tc>
          <w:tcPr>
            <w:tcW w:w="432" w:type="pct"/>
            <w:noWrap w:val="0"/>
            <w:vAlign w:val="center"/>
          </w:tcPr>
          <w:p w14:paraId="1665EDE6">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18"/>
                <w:rFonts w:hint="eastAsia" w:ascii="Calibri" w:hAnsi="Calibri" w:eastAsia="宋体" w:cs="Times New Roman"/>
                <w:color w:val="auto"/>
                <w:highlight w:val="none"/>
                <w:lang w:eastAsia="zh-CN"/>
              </w:rPr>
            </w:pPr>
            <w:r>
              <w:rPr>
                <w:rFonts w:hint="eastAsia" w:ascii="宋体" w:hAnsi="宋体" w:eastAsia="宋体" w:cs="宋体"/>
                <w:i w:val="0"/>
                <w:iCs w:val="0"/>
                <w:color w:val="auto"/>
                <w:sz w:val="21"/>
                <w:szCs w:val="21"/>
                <w:highlight w:val="none"/>
                <w:u w:val="none"/>
                <w:lang w:val="en-US" w:eastAsia="zh-CN"/>
              </w:rPr>
              <w:t>1</w:t>
            </w:r>
          </w:p>
        </w:tc>
        <w:tc>
          <w:tcPr>
            <w:tcW w:w="887" w:type="pct"/>
            <w:vMerge w:val="continue"/>
            <w:noWrap w:val="0"/>
            <w:vAlign w:val="center"/>
          </w:tcPr>
          <w:p w14:paraId="390CDD38">
            <w:pPr>
              <w:pStyle w:val="25"/>
              <w:adjustRightInd w:val="0"/>
              <w:snapToGrid w:val="0"/>
              <w:spacing w:before="156" w:beforeLines="50"/>
              <w:jc w:val="center"/>
              <w:rPr>
                <w:rStyle w:val="18"/>
                <w:rFonts w:hint="eastAsia" w:eastAsia="宋体"/>
                <w:color w:val="auto"/>
                <w:highlight w:val="none"/>
                <w:lang w:eastAsia="zh-CN"/>
              </w:rPr>
            </w:pPr>
          </w:p>
        </w:tc>
        <w:tc>
          <w:tcPr>
            <w:tcW w:w="272" w:type="pct"/>
            <w:vMerge w:val="continue"/>
            <w:noWrap w:val="0"/>
            <w:vAlign w:val="center"/>
          </w:tcPr>
          <w:p w14:paraId="2E731B4D">
            <w:pPr>
              <w:pStyle w:val="25"/>
              <w:adjustRightInd w:val="0"/>
              <w:snapToGrid w:val="0"/>
              <w:spacing w:before="156" w:beforeLines="50"/>
              <w:jc w:val="center"/>
              <w:rPr>
                <w:rStyle w:val="18"/>
                <w:rFonts w:hint="eastAsia" w:eastAsia="宋体"/>
                <w:color w:val="auto"/>
                <w:highlight w:val="none"/>
              </w:rPr>
            </w:pPr>
          </w:p>
        </w:tc>
        <w:tc>
          <w:tcPr>
            <w:tcW w:w="230" w:type="pct"/>
            <w:noWrap w:val="0"/>
            <w:vAlign w:val="center"/>
          </w:tcPr>
          <w:p w14:paraId="2CA48008">
            <w:pPr>
              <w:pStyle w:val="25"/>
              <w:adjustRightInd w:val="0"/>
              <w:snapToGrid w:val="0"/>
              <w:spacing w:before="156" w:beforeLines="50"/>
              <w:jc w:val="center"/>
              <w:rPr>
                <w:rStyle w:val="18"/>
                <w:rFonts w:hint="eastAsia" w:ascii="宋体" w:hAnsi="宋体" w:eastAsia="宋体" w:cs="宋体"/>
                <w:color w:val="auto"/>
                <w:sz w:val="21"/>
                <w:szCs w:val="21"/>
                <w:highlight w:val="none"/>
              </w:rPr>
            </w:pPr>
          </w:p>
        </w:tc>
      </w:tr>
      <w:bookmarkEnd w:id="2"/>
      <w:bookmarkEnd w:id="3"/>
      <w:bookmarkEnd w:id="4"/>
    </w:tbl>
    <w:p w14:paraId="358D07C8">
      <w:pPr>
        <w:pStyle w:val="25"/>
        <w:adjustRightInd w:val="0"/>
        <w:snapToGrid w:val="0"/>
        <w:spacing w:before="156" w:beforeLines="50" w:line="360" w:lineRule="auto"/>
        <w:rPr>
          <w:rStyle w:val="18"/>
          <w:rFonts w:hint="eastAsia" w:ascii="宋体" w:hAnsi="宋体" w:cs="宋体"/>
          <w:color w:val="auto"/>
          <w:szCs w:val="21"/>
          <w:highlight w:val="none"/>
        </w:rPr>
      </w:pPr>
      <w:r>
        <w:rPr>
          <w:rStyle w:val="18"/>
          <w:rFonts w:hint="eastAsia" w:ascii="宋体" w:hAnsi="宋体" w:cs="宋体"/>
          <w:color w:val="auto"/>
          <w:szCs w:val="21"/>
          <w:highlight w:val="none"/>
        </w:rPr>
        <w:t>注：1、“包”为最小合同单位（最小投标单位）。每“包”内容应细化到“品目”（如果分品目的）。</w:t>
      </w:r>
    </w:p>
    <w:p w14:paraId="006F7FE6">
      <w:pPr>
        <w:pStyle w:val="25"/>
        <w:adjustRightInd w:val="0"/>
        <w:snapToGrid w:val="0"/>
        <w:spacing w:before="156" w:beforeLines="50" w:line="360" w:lineRule="auto"/>
        <w:ind w:firstLine="420" w:firstLineChars="200"/>
        <w:rPr>
          <w:rStyle w:val="18"/>
          <w:rFonts w:hint="eastAsia" w:ascii="宋体" w:hAnsi="宋体" w:cs="宋体"/>
          <w:color w:val="auto"/>
          <w:szCs w:val="21"/>
          <w:highlight w:val="none"/>
        </w:rPr>
      </w:pPr>
      <w:r>
        <w:rPr>
          <w:rStyle w:val="18"/>
          <w:rFonts w:hint="eastAsia" w:ascii="宋体" w:hAnsi="宋体" w:cs="宋体"/>
          <w:color w:val="auto"/>
          <w:szCs w:val="21"/>
          <w:highlight w:val="none"/>
        </w:rPr>
        <w:t>2、投标人必须对一个完整、独立的包进行投标，不得仅对一个包中的部分品目投标，否则</w:t>
      </w:r>
      <w:r>
        <w:rPr>
          <w:rStyle w:val="18"/>
          <w:rFonts w:hint="eastAsia" w:ascii="宋体" w:hAnsi="宋体" w:cs="宋体"/>
          <w:b/>
          <w:color w:val="auto"/>
          <w:szCs w:val="21"/>
          <w:highlight w:val="none"/>
        </w:rPr>
        <w:t>投标无效。</w:t>
      </w:r>
    </w:p>
    <w:p w14:paraId="4F4247CC">
      <w:pPr>
        <w:pStyle w:val="25"/>
        <w:adjustRightInd w:val="0"/>
        <w:snapToGrid w:val="0"/>
        <w:spacing w:before="156" w:beforeLines="50" w:line="360" w:lineRule="auto"/>
        <w:ind w:firstLine="420" w:firstLineChars="200"/>
        <w:rPr>
          <w:rStyle w:val="18"/>
          <w:rFonts w:hint="eastAsia" w:ascii="宋体" w:hAnsi="宋体" w:cs="宋体"/>
          <w:color w:val="auto"/>
          <w:kern w:val="0"/>
          <w:szCs w:val="21"/>
          <w:highlight w:val="none"/>
        </w:rPr>
      </w:pPr>
      <w:r>
        <w:rPr>
          <w:rStyle w:val="18"/>
          <w:rFonts w:hint="eastAsia" w:ascii="宋体" w:hAnsi="宋体" w:cs="宋体"/>
          <w:color w:val="auto"/>
          <w:szCs w:val="21"/>
          <w:highlight w:val="none"/>
        </w:rPr>
        <w:t>3、货物的主要技术参数或规格：</w:t>
      </w:r>
      <w:r>
        <w:rPr>
          <w:rStyle w:val="18"/>
          <w:rFonts w:hint="eastAsia" w:ascii="宋体" w:hAnsi="宋体" w:cs="宋体"/>
          <w:color w:val="auto"/>
          <w:kern w:val="0"/>
          <w:szCs w:val="21"/>
          <w:highlight w:val="none"/>
        </w:rPr>
        <w:t>详见“技术要求”中的具体技术参数。</w:t>
      </w:r>
    </w:p>
    <w:p w14:paraId="33870110">
      <w:pPr>
        <w:pStyle w:val="25"/>
        <w:adjustRightInd w:val="0"/>
        <w:snapToGrid w:val="0"/>
        <w:spacing w:before="156" w:beforeLines="50" w:line="360" w:lineRule="auto"/>
        <w:ind w:firstLine="420" w:firstLineChars="200"/>
        <w:rPr>
          <w:rStyle w:val="18"/>
          <w:rFonts w:hint="eastAsia" w:ascii="宋体" w:hAnsi="宋体" w:cs="宋体"/>
          <w:color w:val="auto"/>
          <w:kern w:val="0"/>
          <w:szCs w:val="21"/>
          <w:highlight w:val="none"/>
        </w:rPr>
      </w:pPr>
      <w:r>
        <w:rPr>
          <w:rStyle w:val="18"/>
          <w:rFonts w:hint="eastAsia" w:ascii="宋体" w:hAnsi="宋体" w:cs="宋体"/>
          <w:bCs/>
          <w:color w:val="auto"/>
          <w:kern w:val="0"/>
          <w:szCs w:val="21"/>
          <w:highlight w:val="none"/>
        </w:rPr>
        <w:t>4、投标人应</w:t>
      </w:r>
      <w:r>
        <w:rPr>
          <w:rStyle w:val="18"/>
          <w:rFonts w:hint="eastAsia" w:ascii="宋体" w:hAnsi="宋体" w:cs="宋体"/>
          <w:color w:val="auto"/>
          <w:kern w:val="0"/>
          <w:szCs w:val="21"/>
          <w:highlight w:val="none"/>
        </w:rPr>
        <w:t>在投标文件《分项报价明细表》中按</w:t>
      </w:r>
      <w:r>
        <w:rPr>
          <w:rStyle w:val="18"/>
          <w:rFonts w:hint="eastAsia" w:ascii="宋体" w:hAnsi="宋体" w:cs="宋体"/>
          <w:color w:val="auto"/>
          <w:szCs w:val="21"/>
          <w:highlight w:val="none"/>
        </w:rPr>
        <w:t>分项项目名称（包括</w:t>
      </w:r>
      <w:r>
        <w:rPr>
          <w:rStyle w:val="18"/>
          <w:rFonts w:hint="eastAsia" w:ascii="宋体" w:hAnsi="宋体" w:cs="宋体"/>
          <w:color w:val="auto"/>
          <w:kern w:val="0"/>
          <w:szCs w:val="21"/>
          <w:highlight w:val="none"/>
        </w:rPr>
        <w:t>条目号/品目名称）顺序逐项填写，且每个品目中的条目均需按招标文件规定报价。如有缺项、漏项，其</w:t>
      </w:r>
      <w:r>
        <w:rPr>
          <w:rStyle w:val="18"/>
          <w:rFonts w:hint="eastAsia" w:ascii="宋体" w:hAnsi="宋体" w:cs="宋体"/>
          <w:b/>
          <w:color w:val="auto"/>
          <w:kern w:val="0"/>
          <w:szCs w:val="21"/>
          <w:highlight w:val="none"/>
        </w:rPr>
        <w:t>投标无效</w:t>
      </w:r>
      <w:r>
        <w:rPr>
          <w:rStyle w:val="18"/>
          <w:rFonts w:hint="eastAsia" w:ascii="宋体" w:hAnsi="宋体" w:cs="宋体"/>
          <w:color w:val="auto"/>
          <w:kern w:val="0"/>
          <w:szCs w:val="21"/>
          <w:highlight w:val="none"/>
        </w:rPr>
        <w:t>。</w:t>
      </w:r>
    </w:p>
    <w:p w14:paraId="2F807FEB">
      <w:pPr>
        <w:pStyle w:val="27"/>
        <w:rPr>
          <w:rStyle w:val="18"/>
          <w:rFonts w:hint="eastAsia" w:ascii="宋体" w:hAnsi="宋体" w:cs="宋体"/>
          <w:color w:val="auto"/>
          <w:kern w:val="0"/>
          <w:szCs w:val="21"/>
          <w:highlight w:val="none"/>
        </w:rPr>
      </w:pPr>
    </w:p>
    <w:bookmarkEnd w:id="0"/>
    <w:p w14:paraId="54DD945F">
      <w:pPr>
        <w:pStyle w:val="24"/>
        <w:adjustRightInd w:val="0"/>
        <w:snapToGrid w:val="0"/>
        <w:spacing w:before="156" w:beforeLines="50"/>
        <w:jc w:val="center"/>
        <w:rPr>
          <w:rStyle w:val="18"/>
          <w:rFonts w:hint="eastAsia" w:ascii="宋体" w:hAnsi="宋体" w:cs="宋体"/>
          <w:color w:val="auto"/>
          <w:sz w:val="28"/>
          <w:szCs w:val="28"/>
          <w:highlight w:val="none"/>
        </w:rPr>
      </w:pPr>
      <w:r>
        <w:rPr>
          <w:rStyle w:val="18"/>
          <w:rFonts w:hint="eastAsia" w:ascii="宋体" w:hAnsi="宋体" w:cs="宋体"/>
          <w:color w:val="auto"/>
          <w:sz w:val="28"/>
          <w:szCs w:val="28"/>
          <w:highlight w:val="none"/>
        </w:rPr>
        <w:t>第二节 技术要求</w:t>
      </w:r>
    </w:p>
    <w:p w14:paraId="7FDEA35B">
      <w:pPr>
        <w:pStyle w:val="29"/>
        <w:ind w:firstLine="0" w:firstLineChars="0"/>
        <w:jc w:val="left"/>
        <w:rPr>
          <w:rStyle w:val="18"/>
          <w:rFonts w:hint="eastAsia" w:ascii="宋体" w:hAnsi="宋体" w:eastAsia="宋体" w:cs="宋体"/>
          <w:b/>
          <w:bCs/>
          <w:color w:val="auto"/>
          <w:sz w:val="21"/>
          <w:szCs w:val="21"/>
          <w:highlight w:val="none"/>
        </w:rPr>
      </w:pPr>
      <w:r>
        <w:rPr>
          <w:rStyle w:val="18"/>
          <w:rFonts w:hint="eastAsia" w:ascii="宋体" w:hAnsi="宋体" w:eastAsia="宋体" w:cs="宋体"/>
          <w:b/>
          <w:bCs/>
          <w:color w:val="auto"/>
          <w:kern w:val="2"/>
          <w:sz w:val="21"/>
          <w:szCs w:val="21"/>
          <w:highlight w:val="none"/>
        </w:rPr>
        <w:t>一、项目</w:t>
      </w:r>
      <w:r>
        <w:rPr>
          <w:rStyle w:val="18"/>
          <w:rFonts w:hint="eastAsia" w:ascii="宋体" w:hAnsi="宋体" w:cs="宋体"/>
          <w:b/>
          <w:bCs/>
          <w:color w:val="auto"/>
          <w:kern w:val="2"/>
          <w:sz w:val="21"/>
          <w:szCs w:val="21"/>
          <w:highlight w:val="none"/>
          <w:lang w:val="en-US" w:eastAsia="zh-CN"/>
        </w:rPr>
        <w:t>名称</w:t>
      </w:r>
      <w:r>
        <w:rPr>
          <w:rStyle w:val="18"/>
          <w:rFonts w:hint="eastAsia" w:ascii="宋体" w:hAnsi="宋体" w:eastAsia="宋体" w:cs="宋体"/>
          <w:b/>
          <w:bCs/>
          <w:color w:val="auto"/>
          <w:kern w:val="2"/>
          <w:sz w:val="21"/>
          <w:szCs w:val="21"/>
          <w:highlight w:val="none"/>
        </w:rPr>
        <w:t>：</w:t>
      </w:r>
    </w:p>
    <w:p w14:paraId="636D9550">
      <w:pPr>
        <w:pStyle w:val="30"/>
        <w:ind w:firstLine="420" w:firstLineChars="200"/>
        <w:jc w:val="left"/>
        <w:rPr>
          <w:rStyle w:val="18"/>
          <w:rFonts w:hint="eastAsia" w:ascii="宋体" w:hAnsi="宋体" w:eastAsia="宋体" w:cs="宋体"/>
          <w:color w:val="auto"/>
          <w:sz w:val="21"/>
          <w:szCs w:val="21"/>
          <w:highlight w:val="none"/>
        </w:rPr>
      </w:pPr>
      <w:r>
        <w:rPr>
          <w:rStyle w:val="18"/>
          <w:rFonts w:hint="eastAsia" w:ascii="宋体" w:hAnsi="宋体" w:eastAsia="宋体" w:cs="宋体"/>
          <w:color w:val="auto"/>
          <w:kern w:val="2"/>
          <w:sz w:val="21"/>
          <w:szCs w:val="21"/>
          <w:highlight w:val="none"/>
        </w:rPr>
        <w:t>本项目为</w:t>
      </w:r>
      <w:r>
        <w:rPr>
          <w:rStyle w:val="18"/>
          <w:rFonts w:hint="eastAsia" w:ascii="宋体" w:hAnsi="宋体" w:cs="宋体"/>
          <w:color w:val="auto"/>
          <w:kern w:val="2"/>
          <w:sz w:val="21"/>
          <w:szCs w:val="21"/>
          <w:highlight w:val="none"/>
          <w:lang w:eastAsia="zh-CN"/>
        </w:rPr>
        <w:t>5G+全景教学空间（含5G+互动教学、5G+VR/AR教学等场景应用）</w:t>
      </w:r>
      <w:r>
        <w:rPr>
          <w:rStyle w:val="18"/>
          <w:rFonts w:hint="eastAsia" w:ascii="宋体" w:hAnsi="宋体" w:eastAsia="宋体" w:cs="宋体"/>
          <w:color w:val="auto"/>
          <w:kern w:val="2"/>
          <w:sz w:val="21"/>
          <w:szCs w:val="21"/>
          <w:highlight w:val="none"/>
        </w:rPr>
        <w:t xml:space="preserve"> </w:t>
      </w:r>
    </w:p>
    <w:p w14:paraId="087A5602">
      <w:pPr>
        <w:pStyle w:val="31"/>
        <w:keepNext w:val="0"/>
        <w:keepLines w:val="0"/>
        <w:pageBreakBefore w:val="0"/>
        <w:widowControl w:val="0"/>
        <w:kinsoku/>
        <w:wordWrap/>
        <w:overflowPunct/>
        <w:topLinePunct w:val="0"/>
        <w:autoSpaceDE/>
        <w:autoSpaceDN/>
        <w:bidi w:val="0"/>
        <w:adjustRightInd/>
        <w:snapToGrid/>
        <w:spacing w:line="420" w:lineRule="exact"/>
        <w:textAlignment w:val="auto"/>
        <w:rPr>
          <w:rStyle w:val="18"/>
          <w:rFonts w:hint="eastAsia" w:ascii="宋体" w:hAnsi="宋体" w:eastAsia="宋体" w:cs="宋体"/>
          <w:b/>
          <w:bCs/>
          <w:color w:val="auto"/>
          <w:kern w:val="2"/>
          <w:sz w:val="21"/>
          <w:szCs w:val="21"/>
          <w:highlight w:val="none"/>
          <w:lang w:val="en-US" w:eastAsia="zh-CN"/>
        </w:rPr>
      </w:pPr>
      <w:r>
        <w:rPr>
          <w:rStyle w:val="18"/>
          <w:rFonts w:hint="eastAsia" w:ascii="宋体" w:hAnsi="宋体" w:eastAsia="宋体" w:cs="宋体"/>
          <w:b/>
          <w:bCs/>
          <w:color w:val="auto"/>
          <w:kern w:val="2"/>
          <w:sz w:val="21"/>
          <w:szCs w:val="21"/>
          <w:highlight w:val="none"/>
          <w:lang w:val="en-US" w:eastAsia="zh-CN"/>
        </w:rPr>
        <w:t>二、项目内容</w:t>
      </w:r>
    </w:p>
    <w:p w14:paraId="52A16812">
      <w:pPr>
        <w:pStyle w:val="31"/>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color w:val="auto"/>
          <w:sz w:val="21"/>
          <w:szCs w:val="21"/>
          <w:highlight w:val="none"/>
        </w:rPr>
        <w:t>本项目拟在数智工坊3楼共享功能室西侧（原302/303室位置）建设一套先进的5G+全景教学空间，打造可容纳100人的教学场所。项目包括</w:t>
      </w:r>
      <w:r>
        <w:rPr>
          <w:rStyle w:val="18"/>
          <w:rFonts w:hint="eastAsia" w:ascii="宋体" w:hAnsi="宋体" w:eastAsia="宋体" w:cs="宋体"/>
          <w:color w:val="auto"/>
          <w:sz w:val="21"/>
          <w:szCs w:val="21"/>
          <w:highlight w:val="none"/>
          <w:lang w:val="en-US" w:eastAsia="zh-CN"/>
        </w:rPr>
        <w:t>全景LED环幕（由其它项目另行采购）、</w:t>
      </w:r>
      <w:r>
        <w:rPr>
          <w:rStyle w:val="18"/>
          <w:rFonts w:hint="eastAsia" w:ascii="宋体" w:hAnsi="宋体" w:eastAsia="宋体" w:cs="宋体"/>
          <w:color w:val="auto"/>
          <w:sz w:val="21"/>
          <w:szCs w:val="21"/>
          <w:highlight w:val="none"/>
        </w:rPr>
        <w:t>全景空间设备及集中管控系统、企业端5G+互动/VR环境、教学资源建设及环境改造等建设内容</w:t>
      </w:r>
      <w:r>
        <w:rPr>
          <w:rStyle w:val="18"/>
          <w:rFonts w:hint="eastAsia" w:ascii="宋体" w:hAnsi="宋体" w:eastAsia="宋体" w:cs="宋体"/>
          <w:color w:val="auto"/>
          <w:sz w:val="21"/>
          <w:szCs w:val="21"/>
          <w:highlight w:val="none"/>
          <w:lang w:eastAsia="zh-CN"/>
        </w:rPr>
        <w:t>，</w:t>
      </w:r>
      <w:r>
        <w:rPr>
          <w:rStyle w:val="18"/>
          <w:rFonts w:hint="eastAsia" w:ascii="宋体" w:hAnsi="宋体" w:eastAsia="宋体" w:cs="宋体"/>
          <w:color w:val="auto"/>
          <w:sz w:val="21"/>
          <w:szCs w:val="21"/>
          <w:highlight w:val="none"/>
          <w:lang w:val="en-US" w:eastAsia="zh-CN"/>
        </w:rPr>
        <w:t>本项目建设内容需与全景LED环幕对接，实现多场景教学。</w:t>
      </w:r>
    </w:p>
    <w:p w14:paraId="5D186171">
      <w:pPr>
        <w:pStyle w:val="29"/>
        <w:ind w:firstLine="0" w:firstLineChars="0"/>
        <w:jc w:val="left"/>
        <w:rPr>
          <w:rStyle w:val="18"/>
          <w:rFonts w:hint="eastAsia" w:ascii="宋体" w:hAnsi="宋体" w:eastAsia="宋体" w:cs="宋体"/>
          <w:b/>
          <w:bCs/>
          <w:color w:val="auto"/>
          <w:sz w:val="21"/>
          <w:szCs w:val="21"/>
          <w:highlight w:val="none"/>
        </w:rPr>
      </w:pPr>
      <w:r>
        <w:rPr>
          <w:rStyle w:val="18"/>
          <w:rFonts w:hint="eastAsia" w:ascii="宋体" w:hAnsi="宋体" w:eastAsia="宋体" w:cs="宋体"/>
          <w:b/>
          <w:bCs/>
          <w:color w:val="auto"/>
          <w:kern w:val="2"/>
          <w:sz w:val="21"/>
          <w:szCs w:val="21"/>
          <w:highlight w:val="none"/>
          <w:lang w:val="en-US" w:eastAsia="zh-CN"/>
        </w:rPr>
        <w:t>三、</w:t>
      </w:r>
      <w:r>
        <w:rPr>
          <w:rStyle w:val="18"/>
          <w:rFonts w:hint="eastAsia" w:ascii="宋体" w:hAnsi="宋体" w:eastAsia="宋体" w:cs="宋体"/>
          <w:b/>
          <w:bCs/>
          <w:color w:val="auto"/>
          <w:kern w:val="2"/>
          <w:sz w:val="21"/>
          <w:szCs w:val="21"/>
          <w:highlight w:val="none"/>
        </w:rPr>
        <w:t>技术规格、参数与要求</w:t>
      </w:r>
    </w:p>
    <w:tbl>
      <w:tblPr>
        <w:tblStyle w:val="17"/>
        <w:tblW w:w="5107" w:type="pct"/>
        <w:tblInd w:w="-9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53"/>
        <w:gridCol w:w="392"/>
        <w:gridCol w:w="619"/>
        <w:gridCol w:w="6737"/>
        <w:gridCol w:w="297"/>
        <w:gridCol w:w="306"/>
      </w:tblGrid>
      <w:tr w14:paraId="64B2E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tcBorders>
              <w:top w:val="single" w:color="000000" w:sz="4" w:space="0"/>
              <w:left w:val="single" w:color="000000" w:sz="4" w:space="0"/>
              <w:bottom w:val="single" w:color="000000" w:sz="4" w:space="0"/>
              <w:right w:val="single" w:color="000000" w:sz="4" w:space="0"/>
            </w:tcBorders>
            <w:shd w:val="clear" w:color="auto" w:fill="92D050"/>
            <w:noWrap w:val="0"/>
            <w:vAlign w:val="center"/>
          </w:tcPr>
          <w:p w14:paraId="7CC8AB29">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25" w:type="pct"/>
            <w:tcBorders>
              <w:top w:val="single" w:color="000000" w:sz="4" w:space="0"/>
              <w:left w:val="single" w:color="000000" w:sz="4" w:space="0"/>
              <w:bottom w:val="single" w:color="000000" w:sz="4" w:space="0"/>
              <w:right w:val="single" w:color="000000" w:sz="4" w:space="0"/>
            </w:tcBorders>
            <w:shd w:val="clear" w:color="auto" w:fill="92D050"/>
            <w:noWrap w:val="0"/>
            <w:vAlign w:val="center"/>
          </w:tcPr>
          <w:p w14:paraId="435505DC">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项目名称</w:t>
            </w:r>
          </w:p>
        </w:tc>
        <w:tc>
          <w:tcPr>
            <w:tcW w:w="355" w:type="pct"/>
            <w:tcBorders>
              <w:top w:val="single" w:color="000000" w:sz="4" w:space="0"/>
              <w:left w:val="single" w:color="000000" w:sz="4" w:space="0"/>
              <w:bottom w:val="single" w:color="000000" w:sz="4" w:space="0"/>
              <w:right w:val="single" w:color="000000" w:sz="4" w:space="0"/>
            </w:tcBorders>
            <w:shd w:val="clear" w:color="auto" w:fill="92D050"/>
            <w:noWrap w:val="0"/>
            <w:vAlign w:val="center"/>
          </w:tcPr>
          <w:p w14:paraId="4CF7FBDF">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设备/系统名称</w:t>
            </w:r>
          </w:p>
        </w:tc>
        <w:tc>
          <w:tcPr>
            <w:tcW w:w="3870" w:type="pct"/>
            <w:tcBorders>
              <w:top w:val="single" w:color="000000" w:sz="4" w:space="0"/>
              <w:left w:val="single" w:color="000000" w:sz="4" w:space="0"/>
              <w:bottom w:val="single" w:color="000000" w:sz="4" w:space="0"/>
              <w:right w:val="single" w:color="000000" w:sz="4" w:space="0"/>
            </w:tcBorders>
            <w:shd w:val="clear" w:color="auto" w:fill="92D050"/>
            <w:noWrap w:val="0"/>
            <w:vAlign w:val="center"/>
          </w:tcPr>
          <w:p w14:paraId="71553B8C">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招标参数</w:t>
            </w:r>
          </w:p>
        </w:tc>
        <w:tc>
          <w:tcPr>
            <w:tcW w:w="170" w:type="pct"/>
            <w:tcBorders>
              <w:top w:val="single" w:color="000000" w:sz="4" w:space="0"/>
              <w:left w:val="single" w:color="000000" w:sz="4" w:space="0"/>
              <w:bottom w:val="single" w:color="000000" w:sz="4" w:space="0"/>
              <w:right w:val="single" w:color="000000" w:sz="4" w:space="0"/>
            </w:tcBorders>
            <w:shd w:val="clear" w:color="auto" w:fill="92D050"/>
            <w:noWrap w:val="0"/>
            <w:vAlign w:val="center"/>
          </w:tcPr>
          <w:p w14:paraId="51D16B9F">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175" w:type="pct"/>
            <w:tcBorders>
              <w:top w:val="single" w:color="000000" w:sz="4" w:space="0"/>
              <w:left w:val="single" w:color="000000" w:sz="4" w:space="0"/>
              <w:bottom w:val="single" w:color="000000" w:sz="4" w:space="0"/>
              <w:right w:val="single" w:color="000000" w:sz="4" w:space="0"/>
            </w:tcBorders>
            <w:shd w:val="clear" w:color="auto" w:fill="92D050"/>
            <w:noWrap w:val="0"/>
            <w:vAlign w:val="center"/>
          </w:tcPr>
          <w:p w14:paraId="072F6317">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r>
      <w:tr w14:paraId="20B9D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restart"/>
            <w:tcBorders>
              <w:top w:val="single" w:color="000000" w:sz="4" w:space="0"/>
              <w:left w:val="single" w:color="000000" w:sz="4" w:space="0"/>
              <w:right w:val="single" w:color="000000" w:sz="4" w:space="0"/>
            </w:tcBorders>
            <w:shd w:val="clear" w:color="auto" w:fill="FFFFFF"/>
            <w:noWrap/>
            <w:vAlign w:val="center"/>
          </w:tcPr>
          <w:p w14:paraId="5F8AB9AC">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w:t>
            </w:r>
          </w:p>
        </w:tc>
        <w:tc>
          <w:tcPr>
            <w:tcW w:w="225"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1BFE0">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全景空间设备及</w:t>
            </w:r>
          </w:p>
          <w:p w14:paraId="46A1A43A">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集中管控系统</w:t>
            </w: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D2EB0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直播/录播主机</w:t>
            </w:r>
          </w:p>
        </w:tc>
        <w:tc>
          <w:tcPr>
            <w:tcW w:w="3870" w:type="pct"/>
            <w:tcBorders>
              <w:top w:val="single" w:color="000000" w:sz="4" w:space="0"/>
              <w:left w:val="single" w:color="000000" w:sz="4" w:space="0"/>
              <w:right w:val="single" w:color="000000" w:sz="4" w:space="0"/>
            </w:tcBorders>
            <w:shd w:val="clear" w:color="auto" w:fill="auto"/>
            <w:noWrap w:val="0"/>
            <w:vAlign w:val="center"/>
          </w:tcPr>
          <w:p w14:paraId="2C254B5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1.支持对外直播互动、课程录制,录制教师的授课过程，包括教师的讲解画面和黑板（或电子屏幕）上的内容;</w:t>
            </w:r>
          </w:p>
          <w:p w14:paraId="504B935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2.支持通过网页/手机APP远程下载或分享，在线课程分发。</w:t>
            </w:r>
          </w:p>
          <w:p w14:paraId="12ABC21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3.接口要求：装配≥5路HDMI采集卡，接口5*HDMI、采集视频最高支持≥2048x2160分辨率。装配≥1张高性能图形处理显卡(显存容量≥32G、支持DP或HDMI输出接口，数量≥4个)；</w:t>
            </w:r>
          </w:p>
          <w:p w14:paraId="16F035BF">
            <w:pPr>
              <w:keepNext w:val="0"/>
              <w:keepLines w:val="0"/>
              <w:pageBreakBefore w:val="0"/>
              <w:widowControl w:val="0"/>
              <w:kinsoku/>
              <w:wordWrap/>
              <w:overflowPunct/>
              <w:topLinePunct w:val="0"/>
              <w:autoSpaceDE/>
              <w:autoSpaceDN/>
              <w:bidi w:val="0"/>
              <w:adjustRightInd/>
              <w:snapToGrid w:val="0"/>
              <w:spacing w:after="0"/>
              <w:ind w:firstLine="0" w:firstLineChars="0"/>
              <w:jc w:val="both"/>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不少于1xRJ45网络接口；不少于8个USB端口，不少于1个type-c，不少于1个音频输出，不少于1个音频输入。</w:t>
            </w:r>
          </w:p>
          <w:p w14:paraId="3F5CB1E0">
            <w:pPr>
              <w:keepNext w:val="0"/>
              <w:keepLines w:val="0"/>
              <w:pageBreakBefore w:val="0"/>
              <w:widowControl w:val="0"/>
              <w:kinsoku/>
              <w:wordWrap/>
              <w:overflowPunct/>
              <w:topLinePunct w:val="0"/>
              <w:autoSpaceDE/>
              <w:autoSpaceDN/>
              <w:bidi w:val="0"/>
              <w:adjustRightInd/>
              <w:snapToGrid w:val="0"/>
              <w:spacing w:after="0"/>
              <w:ind w:firstLine="0" w:firstLineChars="0"/>
              <w:jc w:val="both"/>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4.硬件要求:处理器主频频率≥3.0GHz，核心≥12核，线程≥24线程，缓存≥28MB；内存：≥64GB；硬盘：≥2TB(固态硬盘)；电源：≥1200W。</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21DF83">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714F20">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5A076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F50BEA1">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B7D02">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CADA4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智能控制台</w:t>
            </w:r>
          </w:p>
        </w:tc>
        <w:tc>
          <w:tcPr>
            <w:tcW w:w="38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C6D28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智能控制台：</w:t>
            </w:r>
          </w:p>
          <w:p w14:paraId="77D6DE7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1.一体化设计智能控制台内含高性能多任务处理终端，鹅颈话筒，笔记本接口模块，升降电机等；</w:t>
            </w:r>
          </w:p>
          <w:p w14:paraId="05B0B86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2.一体式智能控制台优化设备连接，减少线缆，紧凑的内部结构节省空间；</w:t>
            </w:r>
          </w:p>
          <w:p w14:paraId="51674C8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3.控制台高度电动升降：根据身高电动调节桌面高度，无噪音，通过讲桌升、降两个触摸按键调节，可升高≥150mm；</w:t>
            </w:r>
          </w:p>
          <w:p w14:paraId="7A4729E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4.桌面嵌入鹅颈话筒，有效收音距离≥20CM；</w:t>
            </w:r>
          </w:p>
          <w:p w14:paraId="5690E2C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5.智能控制台可支持显示终端整体水平角度，整体成水平≥10度向用户方向倾斜，方便放置演讲稿，提升用户视觉体验；</w:t>
            </w:r>
          </w:p>
          <w:p w14:paraId="3125187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6.可以随时控制鹅颈话筒开关和静音；</w:t>
            </w:r>
          </w:p>
          <w:p w14:paraId="6D98296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7.接口：支持HDMI、USB、Type-c输入；</w:t>
            </w:r>
          </w:p>
          <w:p w14:paraId="5D5B2F1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8.控制台底部安装4只承重福马脚轮，4只脚轮承重≥500KG，方便移动。</w:t>
            </w:r>
          </w:p>
          <w:p w14:paraId="2A9177C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智能控制台显示组件：</w:t>
            </w:r>
          </w:p>
          <w:p w14:paraId="3B7E429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1.书写屏部分倾斜式设计，让书写更加舒适，方便放置演讲稿；配备手绘笔；倾斜笔身亦可勾勒笔画，轻松进行板书书写体验；</w:t>
            </w:r>
          </w:p>
          <w:p w14:paraId="6929C63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2.支持≥21寸全贴合触摸显示屏，支持≥60°侧锋功能，视角：≥175°；</w:t>
            </w:r>
          </w:p>
          <w:p w14:paraId="132E3A9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接口：支持HDMI输入；屏幕比例：≥16:9；分辨率：≥1920*1080；亮度：≥250cd/m2；对比度：≥3000：1；</w:t>
            </w:r>
          </w:p>
          <w:p w14:paraId="5718E5F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▲4.提供节能证书、3C证书，复印件加盖公章。</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B67EC1">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1743A0">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7D1AA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6F3450E7">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2A7C00">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2E9EF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中控面板</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762E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用于教室内控制各种设备的开关机，控制上课模式，一键开启\关闭课堂。</w:t>
            </w:r>
          </w:p>
          <w:p w14:paraId="28DBF5C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1.具备开启/关闭锁屏、设置锁屏封面后可输入密码进入主界面；</w:t>
            </w:r>
          </w:p>
          <w:p w14:paraId="2CBAEF8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2.支持课件直播终端、智能讲台远程开关机，支持监测硬件设备更新状态，并提示错误；</w:t>
            </w:r>
          </w:p>
          <w:p w14:paraId="58B1700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3.支持远程控制时序电源、视频矩阵、音频处理器设备的开关机；</w:t>
            </w:r>
          </w:p>
          <w:p w14:paraId="73BC311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4.支持配电箱远程开关机功能，过程中更新硬件设备状态并提示错误；</w:t>
            </w:r>
          </w:p>
          <w:p w14:paraId="1BF72CE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5.可显示默认LOGO，支持更新自定义LOGO，支持更新锁屏界面背景图；</w:t>
            </w:r>
          </w:p>
          <w:p w14:paraId="70CDC87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6.支持自动在线更新；</w:t>
            </w:r>
          </w:p>
          <w:p w14:paraId="22B4D68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7.支持故障上报功能，在线报告故障文字说明，并且锁屏界面同步展示；</w:t>
            </w:r>
          </w:p>
          <w:p w14:paraId="68CFB3F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8.提供局域网不通、管控终端 IP 地址配置错误等异常提示。</w:t>
            </w:r>
          </w:p>
          <w:p w14:paraId="5A5B5C5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9.支持与全景智能中枢控制平台软件适配运行;</w:t>
            </w:r>
          </w:p>
          <w:p w14:paraId="504D1E9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10.配套管控终端：屏幕尺寸：≥10.1英寸IPS多点触摸屏；分辨率：≥1920*1200；亮度：≥300cd/㎡；显示比例：≥16:10；可视角度：≥170°；支持PoE供电。</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75802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6318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73AB5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49A9ABD">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531D1">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EDD0F7">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串口主机</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46BF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1.支持B/S及C/S方式进行设备管理；</w:t>
            </w:r>
          </w:p>
          <w:p w14:paraId="4741371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2.网络端通信协议支持TCP、UDP、Telnet、ModbusTCP；</w:t>
            </w:r>
          </w:p>
          <w:p w14:paraId="3B14258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3.嵌入式处理器，主频≥400MHz，内存≥64M，闪存≥128M；</w:t>
            </w:r>
          </w:p>
          <w:p w14:paraId="0E6D291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4.10/100Mbps自适应网口≥1个，支持MDI/MDI-X自适应功能；</w:t>
            </w:r>
          </w:p>
          <w:p w14:paraId="78E5F58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5.RS232/485/422通信串口≥16个，可软件切换；</w:t>
            </w:r>
          </w:p>
          <w:p w14:paraId="24C94A6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6.单个串口可支持≥6个会话；</w:t>
            </w:r>
          </w:p>
          <w:p w14:paraId="6B576BD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7.输入电压范围：110~264VAC/DC；</w:t>
            </w:r>
          </w:p>
          <w:p w14:paraId="6D701C7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8.标准≥19英寸1U高机架式，单侧出线，适应各种机柜安装；</w:t>
            </w:r>
          </w:p>
          <w:p w14:paraId="718C725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9.波特率支持≥110bps、300bps、600bps、1200bps、2400bps、4800bps、9600bps、19200bps、38400bps、57600bps、115200bps、230400bps、460800bps。</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2D03A1">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2903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64F3B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3BAE73E9">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5450F">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0A68C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时序电源</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0773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1.支持≥8通道独立控制的时序通道，≥8通道独立常开控制；</w:t>
            </w:r>
          </w:p>
          <w:p w14:paraId="795C9A8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2.支持RS485、RS232、TCP/IP进行设备控制；</w:t>
            </w:r>
          </w:p>
          <w:p w14:paraId="0D5D5AE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3.支持设置时序延时≥1-999秒；</w:t>
            </w:r>
          </w:p>
          <w:p w14:paraId="27941A6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4.电源插座：国标≥10A安全划盖插座≥4路，面板两个直通为国标≥10A安全划盖插座；</w:t>
            </w:r>
          </w:p>
          <w:p w14:paraId="3CA8400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5.电源输出：电源输出单相总极限负载的电流为≥40A，a、在音频负载情况下，每路极限总电流都为≥20A，b、在纯电阻负载情况下，每路极限总电流都为≥10A；</w:t>
            </w:r>
          </w:p>
          <w:p w14:paraId="2816032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6.支持远程控制接口：RS485、RS232、TCP/IP、USB3.0/USB2.0、线控；</w:t>
            </w:r>
          </w:p>
          <w:p w14:paraId="5C35344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7.支持红外学习功能：内置红外IR学习功能；</w:t>
            </w:r>
          </w:p>
          <w:p w14:paraId="3441554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8.支持RH/EMI电源滤波器：带电源滤波器；</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E7A52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71A6A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3B518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63B579D2">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2ABFB">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00CBD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窄机柜</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D9C2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1.容量：≥42U；</w:t>
            </w:r>
          </w:p>
          <w:p w14:paraId="675F2BA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2.尺寸：≥600mm*800mm*2055mm；</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55425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663E3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30323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4DF8AE27">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F57BC">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F935D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宽机柜</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3059E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1.容量：≥42U；</w:t>
            </w:r>
          </w:p>
          <w:p w14:paraId="27093B9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2.尺寸：≥800mm*800mm*2055mm；</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ADA94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D4BD1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13BC0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2301AB70">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E60F11">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17528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视频矩阵</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C42D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1.支持≥4×4 无缝高清矩阵；</w:t>
            </w:r>
          </w:p>
          <w:p w14:paraId="2043A54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2.符合≥HDCP 2.2规范；</w:t>
            </w:r>
          </w:p>
          <w:p w14:paraId="75969AD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3.多画面模式下可支持≥12种显示模式，视频墙模式下可支持≥9种拼接模式；</w:t>
            </w:r>
          </w:p>
          <w:p w14:paraId="1A664AF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4.支持CEC控制和多种视频分辨率输出；</w:t>
            </w:r>
          </w:p>
          <w:p w14:paraId="3BEE8AF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5.支持通过前面板按键、IR遥控器、Web GUI和RS-232指令进行控制。</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F1F34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DC903">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17FBA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49941259">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20197B">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37D6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老师投屏器</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DCA8B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1.兼容终端：iOS终端/Android终端/Windows PC/Mac PC；</w:t>
            </w:r>
          </w:p>
          <w:p w14:paraId="1ADBEBB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2.接口：HDMI视频接口≥1个；USB接口≥2个；网络接口≥1个；内置天线≥3个；3.5mm音频≥1个;</w:t>
            </w:r>
          </w:p>
          <w:p w14:paraId="6AC6B05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3.开机时长：&lt;30s；</w:t>
            </w:r>
          </w:p>
          <w:p w14:paraId="7234860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4.显示分辨率：≥4K;</w:t>
            </w:r>
          </w:p>
          <w:p w14:paraId="5F58AF1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5.天线：内置天线。</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30CFE7">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190910">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294C7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1FAE39CF">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26395">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noWrap w:val="0"/>
            <w:vAlign w:val="center"/>
          </w:tcPr>
          <w:p w14:paraId="4202BC2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单通道手持无线套装</w:t>
            </w:r>
          </w:p>
        </w:tc>
        <w:tc>
          <w:tcPr>
            <w:tcW w:w="3870" w:type="pct"/>
            <w:tcBorders>
              <w:top w:val="single" w:color="000000" w:sz="4" w:space="0"/>
              <w:left w:val="single" w:color="000000" w:sz="4" w:space="0"/>
              <w:bottom w:val="single" w:color="000000" w:sz="4" w:space="0"/>
              <w:right w:val="single" w:color="000000" w:sz="4" w:space="0"/>
            </w:tcBorders>
            <w:noWrap w:val="0"/>
            <w:vAlign w:val="center"/>
          </w:tcPr>
          <w:p w14:paraId="24FC3B7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一套单通道手持无线话筒套装</w:t>
            </w:r>
          </w:p>
          <w:p w14:paraId="59E95DB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1.频率指标不低于：610-670MHz</w:t>
            </w:r>
          </w:p>
          <w:p w14:paraId="38E6974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2.配套有1台接收主机和1个无线手持话筒；</w:t>
            </w:r>
          </w:p>
          <w:p w14:paraId="05B5DF2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3.采用稳定的PLL相伴锁定振荡电路。具有（IR）红外线自动对频功能；</w:t>
            </w:r>
          </w:p>
          <w:p w14:paraId="589629D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4.提供≥3000可调频道，≥8个预设组，全频段扫描式搜索频率；</w:t>
            </w:r>
          </w:p>
          <w:p w14:paraId="03DFBC9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5.具有自动搜频操作跟一键锁定功能，频率响应不低于60Hz-15KHz。</w:t>
            </w:r>
          </w:p>
        </w:tc>
        <w:tc>
          <w:tcPr>
            <w:tcW w:w="170" w:type="pct"/>
            <w:tcBorders>
              <w:top w:val="single" w:color="000000" w:sz="4" w:space="0"/>
              <w:left w:val="single" w:color="000000" w:sz="4" w:space="0"/>
              <w:bottom w:val="single" w:color="000000" w:sz="4" w:space="0"/>
              <w:right w:val="single" w:color="000000" w:sz="4" w:space="0"/>
            </w:tcBorders>
            <w:noWrap w:val="0"/>
            <w:vAlign w:val="center"/>
          </w:tcPr>
          <w:p w14:paraId="0B6F95C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75" w:type="pct"/>
            <w:tcBorders>
              <w:top w:val="single" w:color="000000" w:sz="4" w:space="0"/>
              <w:left w:val="single" w:color="000000" w:sz="4" w:space="0"/>
              <w:bottom w:val="single" w:color="000000" w:sz="4" w:space="0"/>
              <w:right w:val="single" w:color="000000" w:sz="4" w:space="0"/>
            </w:tcBorders>
            <w:noWrap w:val="0"/>
            <w:vAlign w:val="center"/>
          </w:tcPr>
          <w:p w14:paraId="047D4F6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0169E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006F162">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12A19">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noWrap w:val="0"/>
            <w:vAlign w:val="center"/>
          </w:tcPr>
          <w:p w14:paraId="0C1036E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单通道腰包无线套装</w:t>
            </w:r>
          </w:p>
        </w:tc>
        <w:tc>
          <w:tcPr>
            <w:tcW w:w="3870" w:type="pct"/>
            <w:tcBorders>
              <w:top w:val="single" w:color="000000" w:sz="4" w:space="0"/>
              <w:left w:val="single" w:color="000000" w:sz="4" w:space="0"/>
              <w:bottom w:val="single" w:color="000000" w:sz="4" w:space="0"/>
              <w:right w:val="single" w:color="000000" w:sz="4" w:space="0"/>
            </w:tcBorders>
            <w:noWrap w:val="0"/>
            <w:vAlign w:val="center"/>
          </w:tcPr>
          <w:p w14:paraId="3F75700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一套单通道腰包无线话筒套装</w:t>
            </w:r>
          </w:p>
          <w:p w14:paraId="7E8CCB2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1.频率指标不低于：610-670MHz</w:t>
            </w:r>
          </w:p>
          <w:p w14:paraId="0D1816A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2.配套有1台接收主机和1个无线腰包话筒；</w:t>
            </w:r>
          </w:p>
          <w:p w14:paraId="63EDD21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3.采用稳定的PLL相伴锁定振荡电路。具有（IR）红外线自动对频功能；</w:t>
            </w:r>
          </w:p>
          <w:p w14:paraId="6C7B49F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4.提供≥3000可调频道，≥8个预设组，全频段扫描式搜索频率；</w:t>
            </w:r>
          </w:p>
          <w:p w14:paraId="14FF063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5.具有自动搜频操作跟一键锁定功能，频率响应不低于60Hz-15KHz。</w:t>
            </w:r>
          </w:p>
        </w:tc>
        <w:tc>
          <w:tcPr>
            <w:tcW w:w="170" w:type="pct"/>
            <w:tcBorders>
              <w:top w:val="single" w:color="000000" w:sz="4" w:space="0"/>
              <w:left w:val="single" w:color="000000" w:sz="4" w:space="0"/>
              <w:bottom w:val="single" w:color="000000" w:sz="4" w:space="0"/>
              <w:right w:val="single" w:color="000000" w:sz="4" w:space="0"/>
            </w:tcBorders>
            <w:noWrap w:val="0"/>
            <w:vAlign w:val="center"/>
          </w:tcPr>
          <w:p w14:paraId="67C4D68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noWrap w:val="0"/>
            <w:vAlign w:val="center"/>
          </w:tcPr>
          <w:p w14:paraId="2824FE61">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5ED41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2C1DA69A">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084348">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noWrap w:val="0"/>
            <w:vAlign w:val="center"/>
          </w:tcPr>
          <w:p w14:paraId="596C364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无线天线套装</w:t>
            </w:r>
          </w:p>
        </w:tc>
        <w:tc>
          <w:tcPr>
            <w:tcW w:w="3870" w:type="pct"/>
            <w:tcBorders>
              <w:top w:val="single" w:color="000000" w:sz="4" w:space="0"/>
              <w:left w:val="single" w:color="000000" w:sz="4" w:space="0"/>
              <w:bottom w:val="single" w:color="000000" w:sz="4" w:space="0"/>
              <w:right w:val="single" w:color="000000" w:sz="4" w:space="0"/>
            </w:tcBorders>
            <w:noWrap w:val="0"/>
            <w:vAlign w:val="center"/>
          </w:tcPr>
          <w:p w14:paraId="5D950F2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1.天线分配器是全频道的UHF天线分配器，支持在多频道系统中导引天线讯号从一对天线到多台接收机。</w:t>
            </w:r>
          </w:p>
          <w:p w14:paraId="262F9AC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2.内置直流电配电器,可提供四组12V直流电给接收机。</w:t>
            </w:r>
          </w:p>
          <w:p w14:paraId="244D444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3.单台天线分配器主机可支持16个天线通道端口；</w:t>
            </w:r>
          </w:p>
          <w:p w14:paraId="3D13E1A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4.频率范围不低于450MHz-970MHz，阻抗≧50欧母。</w:t>
            </w:r>
          </w:p>
        </w:tc>
        <w:tc>
          <w:tcPr>
            <w:tcW w:w="170" w:type="pct"/>
            <w:tcBorders>
              <w:top w:val="single" w:color="000000" w:sz="4" w:space="0"/>
              <w:left w:val="single" w:color="000000" w:sz="4" w:space="0"/>
              <w:bottom w:val="single" w:color="000000" w:sz="4" w:space="0"/>
              <w:right w:val="single" w:color="000000" w:sz="4" w:space="0"/>
            </w:tcBorders>
            <w:noWrap w:val="0"/>
            <w:vAlign w:val="center"/>
          </w:tcPr>
          <w:p w14:paraId="6FF27A51">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noWrap w:val="0"/>
            <w:vAlign w:val="center"/>
          </w:tcPr>
          <w:p w14:paraId="0F0607D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3E2C2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C1B7201">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612E6E">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noWrap w:val="0"/>
            <w:vAlign w:val="center"/>
          </w:tcPr>
          <w:p w14:paraId="19BC54E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调音台</w:t>
            </w:r>
          </w:p>
        </w:tc>
        <w:tc>
          <w:tcPr>
            <w:tcW w:w="3870" w:type="pct"/>
            <w:tcBorders>
              <w:top w:val="single" w:color="000000" w:sz="4" w:space="0"/>
              <w:left w:val="single" w:color="000000" w:sz="4" w:space="0"/>
              <w:bottom w:val="single" w:color="000000" w:sz="4" w:space="0"/>
              <w:right w:val="single" w:color="000000" w:sz="4" w:space="0"/>
            </w:tcBorders>
            <w:noWrap w:val="0"/>
            <w:vAlign w:val="center"/>
          </w:tcPr>
          <w:p w14:paraId="5861BAA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1.输入：≥16路；</w:t>
            </w:r>
          </w:p>
          <w:p w14:paraId="0AA8761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2.输出：≥8路；</w:t>
            </w:r>
          </w:p>
          <w:p w14:paraId="377ABCF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3.USB接口：≥2个USB接口；</w:t>
            </w:r>
          </w:p>
          <w:p w14:paraId="40F3B66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4.显示屏：≥4.3英寸高清电容触摸显示屏；</w:t>
            </w:r>
          </w:p>
          <w:p w14:paraId="45612DA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5.ADC/DCA：≥24位Delta-sigma；</w:t>
            </w:r>
          </w:p>
          <w:p w14:paraId="3CEBA21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6.采样率：≥48KHz ±100PPM；</w:t>
            </w:r>
          </w:p>
          <w:p w14:paraId="43F33C4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7.动态范围：≥110dB；</w:t>
            </w:r>
          </w:p>
          <w:p w14:paraId="6F077D6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8.信噪比：XLR≥92db,TRS≥82db；</w:t>
            </w:r>
          </w:p>
          <w:p w14:paraId="33A2B97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9.最大输出电压：≥4VAC MAX；</w:t>
            </w:r>
          </w:p>
          <w:p w14:paraId="1FF8248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10.失真度：＜0.0003%（1KhzFull Power）；</w:t>
            </w:r>
          </w:p>
          <w:p w14:paraId="3D4E38A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11.频率响应：≥20HZ-20KHZ+/-0.5db；</w:t>
            </w:r>
          </w:p>
          <w:p w14:paraId="73A7890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12.均衡器：≥5段参量EQ；</w:t>
            </w:r>
          </w:p>
          <w:p w14:paraId="1E47D1E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13.高低通：≥12db/24db,(BT/BS/LRK),20-20K；</w:t>
            </w:r>
          </w:p>
          <w:p w14:paraId="3F8ED14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14.门阀值：≥-135db到-40db；</w:t>
            </w:r>
          </w:p>
          <w:p w14:paraId="50D20EB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15.冲击/释放：≥50us-300ms/10ms-5s；</w:t>
            </w:r>
          </w:p>
          <w:p w14:paraId="78ED415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16.网络：TCP/IP 以太网用于PC和ipad应用。</w:t>
            </w:r>
          </w:p>
        </w:tc>
        <w:tc>
          <w:tcPr>
            <w:tcW w:w="170" w:type="pct"/>
            <w:tcBorders>
              <w:top w:val="single" w:color="000000" w:sz="4" w:space="0"/>
              <w:left w:val="single" w:color="000000" w:sz="4" w:space="0"/>
              <w:bottom w:val="single" w:color="000000" w:sz="4" w:space="0"/>
              <w:right w:val="single" w:color="000000" w:sz="4" w:space="0"/>
            </w:tcBorders>
            <w:noWrap w:val="0"/>
            <w:vAlign w:val="center"/>
          </w:tcPr>
          <w:p w14:paraId="21D5207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noWrap w:val="0"/>
            <w:vAlign w:val="center"/>
          </w:tcPr>
          <w:p w14:paraId="1EB1AEF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01AD9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177E12DA">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3BD8A">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DF22C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数字音频处理器</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CF149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1.输入通道：≥16路输入；</w:t>
            </w:r>
          </w:p>
          <w:p w14:paraId="6E9391A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2.输出通道：≥16路输出；</w:t>
            </w:r>
          </w:p>
          <w:p w14:paraId="45D9866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3.信号处理：≥32-bit 400MHz；</w:t>
            </w:r>
          </w:p>
          <w:p w14:paraId="72170EF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4.音频系统延迟：＜3ms；</w:t>
            </w:r>
          </w:p>
          <w:p w14:paraId="2699D85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5.数模转换：≥48KHz 24-bit；</w:t>
            </w:r>
          </w:p>
          <w:p w14:paraId="45A9A49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6.输入阻抗：≥16KΩ；</w:t>
            </w:r>
          </w:p>
          <w:p w14:paraId="591C4E9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7.输出阻抗：≥150Ω；</w:t>
            </w:r>
          </w:p>
          <w:p w14:paraId="3AF4DEA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8.音频接口：3.81mm凤凰插，12-pin；</w:t>
            </w:r>
          </w:p>
          <w:p w14:paraId="54C44D6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9.最大输入电平：≥17dBu/Line, -3dBu/Mic；</w:t>
            </w:r>
          </w:p>
          <w:p w14:paraId="4CA971F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10.幻象电源：≥+48VDC；</w:t>
            </w:r>
          </w:p>
          <w:p w14:paraId="6AEE64B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11.频响曲线：≥50Hz-20kHz；</w:t>
            </w:r>
          </w:p>
          <w:p w14:paraId="03ACDFF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12.THD+N：≥-90dB；</w:t>
            </w:r>
          </w:p>
          <w:p w14:paraId="2B6EB68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13.信噪比：≥100dB；</w:t>
            </w:r>
          </w:p>
          <w:p w14:paraId="38B48E7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14.RS232：串口通信；</w:t>
            </w:r>
          </w:p>
          <w:p w14:paraId="30BBE47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15.TCP/IP网口：≥1*RJ-45。</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1B379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0A9F31">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6F948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39FE4632">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0602BB">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1D47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环绕功放</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D801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1.额定功率：≥2×400W/8Ω，≥2×640W/4Ω；桥接：≥1×800W/8Ω，≥1×1280W/4Ω；</w:t>
            </w:r>
          </w:p>
          <w:p w14:paraId="0F4392C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2.输出电路: Class H；</w:t>
            </w:r>
          </w:p>
          <w:p w14:paraId="61F3539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3.频率响应：≥80Hz - 20kHz；</w:t>
            </w:r>
          </w:p>
          <w:p w14:paraId="0A5FA08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4.总谐波失真(THD)：﹤0.05% - 0.1%；</w:t>
            </w:r>
          </w:p>
          <w:p w14:paraId="1149B31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5.输入灵敏度可选: 0.775V/1.0v/1.4v；</w:t>
            </w:r>
          </w:p>
          <w:p w14:paraId="51B0E58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6.输入阻抗：≥20KΩ；</w:t>
            </w:r>
          </w:p>
          <w:p w14:paraId="24AFA77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7.信噪比：＞80dB；</w:t>
            </w:r>
          </w:p>
          <w:p w14:paraId="4D5CD45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8.串音： ≥65dB。</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0A2B9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DEFD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7A762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34DCE8D7">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05BC2F">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A6A1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环绕音箱</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0E341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1.输入阻抗：≥8Ω；</w:t>
            </w:r>
          </w:p>
          <w:p w14:paraId="6DCF1D4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2.额定功率：≥200W；</w:t>
            </w:r>
          </w:p>
          <w:p w14:paraId="32A25A6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3.频率响应：≥80Hz-18kHz；</w:t>
            </w:r>
          </w:p>
          <w:p w14:paraId="0BA579A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4.灵敏度：≥90dB；</w:t>
            </w:r>
          </w:p>
          <w:p w14:paraId="247B91A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5.配置：高音：≥20mm 音圈，低音：≥130mm 音圈；</w:t>
            </w:r>
          </w:p>
          <w:p w14:paraId="7407292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6.最大声压级：≥110dB；</w:t>
            </w:r>
          </w:p>
          <w:p w14:paraId="4668C86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7.声场辐射范围：≥90°x55°；</w:t>
            </w:r>
          </w:p>
          <w:p w14:paraId="4C4BBA9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8.输入接口：线夹。</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2B092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DCC731">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r>
      <w:tr w14:paraId="0673F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29F971C7">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CB08A2">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11C6D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低频音箱</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FF310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1.类型：≥12寸超低音音箱；</w:t>
            </w:r>
          </w:p>
          <w:p w14:paraId="1112BDC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2.标称阻抗：≥8Ω；</w:t>
            </w:r>
          </w:p>
          <w:p w14:paraId="2A92B8C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3.功率：≥400W(AES)；≥1600W(peak)；</w:t>
            </w:r>
          </w:p>
          <w:p w14:paraId="4587521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4.频响范围：≥45Hz-500Hz（-10dB）；</w:t>
            </w:r>
          </w:p>
          <w:p w14:paraId="2E945B7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5.灵敏度：≥99dB；</w:t>
            </w:r>
          </w:p>
          <w:p w14:paraId="63BD0FE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6.声压级：≥122dB；</w:t>
            </w:r>
          </w:p>
          <w:p w14:paraId="228FCAD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7.单元:≥12低音单元；</w:t>
            </w:r>
          </w:p>
          <w:p w14:paraId="3AC010D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8.箱体：≥18mm夹板箱体。</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48714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E9F77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r>
      <w:tr w14:paraId="07D51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6ED4194C">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B1783B">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4B0C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反馈抑制器</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13D6A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1.输入接口：≥4路；</w:t>
            </w:r>
          </w:p>
          <w:p w14:paraId="4D34868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2.输出接口：≥4路；</w:t>
            </w:r>
          </w:p>
          <w:p w14:paraId="71BE35B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3.输入阻抗：平衡≥50Ω，不平衡≥10KΩ；</w:t>
            </w:r>
          </w:p>
          <w:p w14:paraId="5BA7C09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4.输出阻抗：≥120Ω；</w:t>
            </w:r>
          </w:p>
          <w:p w14:paraId="5CC5EA6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5.频响范围：≥80Hz~20kHz；</w:t>
            </w:r>
          </w:p>
          <w:p w14:paraId="4471D4F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6.总谐波失真：＜0.014% THD+D；</w:t>
            </w:r>
          </w:p>
          <w:p w14:paraId="0B02F21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7.信噪比：≥100dB；</w:t>
            </w:r>
          </w:p>
          <w:p w14:paraId="506A3AC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8.动态范围：≥110dB；</w:t>
            </w:r>
          </w:p>
          <w:p w14:paraId="2A26C4F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9.最大输入电平：≥2V；</w:t>
            </w:r>
          </w:p>
          <w:p w14:paraId="15F00A1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10.最大输出电平：≥1.6V；</w:t>
            </w:r>
          </w:p>
          <w:p w14:paraId="65041C8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11.音频系统延迟：＜1.9ms；</w:t>
            </w:r>
          </w:p>
          <w:p w14:paraId="262ADB6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12.传声增益：≥6—10dB；</w:t>
            </w:r>
          </w:p>
          <w:p w14:paraId="7FB0BD3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13.系统增益：≥0dB；</w:t>
            </w:r>
          </w:p>
          <w:p w14:paraId="0D3A978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14.啸叫寻找时间：≥0.1—0.5s；</w:t>
            </w:r>
          </w:p>
          <w:p w14:paraId="2E4D8C2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15.处理器:≥96kHz采样频率；</w:t>
            </w:r>
          </w:p>
          <w:p w14:paraId="0D5B9AC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16.通讯接口：≥RS-485接口*1；</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1896C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2036C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3175E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56F9DEAF">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A85ACF">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417A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5G+路由器</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9535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1.设备接口：≥4个千兆电口；</w:t>
            </w:r>
          </w:p>
          <w:p w14:paraId="57D065E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2.网络支持：5G，4G</w:t>
            </w:r>
          </w:p>
          <w:p w14:paraId="2F0586C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3.无线协议：支持Wi-Fi 6</w:t>
            </w:r>
          </w:p>
          <w:p w14:paraId="1F6D103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4.带宽：WAN口支持≥1000M带宽。</w:t>
            </w:r>
          </w:p>
          <w:p w14:paraId="2BC0852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5.网络制式：支持中国联通、中国电信、中国移动；</w:t>
            </w:r>
          </w:p>
          <w:p w14:paraId="61C7A1E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6.免费提供5年内5G流量</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D3A7A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3D13D7">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0833E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669C37EE">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575530">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3A30B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无线AP</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8E61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1.符合支持IEEE 802.11be、IEEE 802.11ax、IEEE 802.11ac协议，支持≥160M频宽，支持MU-MIMO双流技术；</w:t>
            </w:r>
          </w:p>
          <w:p w14:paraId="38A462A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2.工作模式：≥2.4G+5G；</w:t>
            </w:r>
          </w:p>
          <w:p w14:paraId="4AF6160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3.传输速率：2.4G提供最高600Mbps的接入速率，5G提供最高4000Mbps的接入速率；</w:t>
            </w:r>
          </w:p>
          <w:p w14:paraId="232810F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4.发射功率：≥26dBm；</w:t>
            </w:r>
          </w:p>
          <w:p w14:paraId="1D997DD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5.天线：内置天线；</w:t>
            </w:r>
          </w:p>
          <w:p w14:paraId="55DBA1B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6.供电方式：支持本地供电，支持PoE供电；</w:t>
            </w:r>
          </w:p>
          <w:p w14:paraId="0629FB5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7.整机功率：≤40W；</w:t>
            </w:r>
          </w:p>
          <w:p w14:paraId="2ABD1FE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8.安装方式：壁挂、吸顶。</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738B5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6A8C2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r>
      <w:tr w14:paraId="41C99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16F22DAB">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EBFF65">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DD2BD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环幕固定摄像机</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10FF4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1.视频分辨率：最高支持输出4K60FPS的的优质图像。并且向下兼容1080P、720P等多种分辨率；</w:t>
            </w:r>
          </w:p>
          <w:p w14:paraId="02E54C3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2.传感器：≥1/2.5英寸,CMOS,有效像素：≥850万；</w:t>
            </w:r>
          </w:p>
          <w:p w14:paraId="0500A80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3.HDMI和RJ45视频输出最大支持3840*2160p/60Hz；</w:t>
            </w:r>
          </w:p>
          <w:p w14:paraId="422B81B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4.支持2D和3D降噪，降低图像噪声，图像信噪比≥55dB；</w:t>
            </w:r>
          </w:p>
          <w:p w14:paraId="079AE18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▲5.支持4K超高清镜头，水平视场角≥71°，光学变焦≥12倍；（提供能证明此功能参数的第三方权威机构具有CMA或CNAS标识的检测报告检测报告复印件，并加盖投标人公章）；</w:t>
            </w:r>
          </w:p>
          <w:p w14:paraId="3564A6F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6.支持多种方式控制摄像机，可通过RS232、RS485、网络以及USB对摄像机进行控制，支持VISCA、网络VISCA协议、PELCO-D/P多种协议的对摄像机进行控制；</w:t>
            </w:r>
          </w:p>
          <w:p w14:paraId="0D70320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7.支持多种方式控制摄像机，可通过RS232、RS485、网络以及USB对摄像机进行控制，支持VISCA、网络VISCA协议、PELCO-D/P多种协议的对摄像机进行控制；</w:t>
            </w:r>
          </w:p>
          <w:p w14:paraId="4883D08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8.云台转动范围，水平：±170°，垂直：-30°~+90°。转动速度范围，水平：1.7° ~ 100°/s，垂直1.7° ~ 69.9°/s ；</w:t>
            </w:r>
          </w:p>
          <w:p w14:paraId="02B08C3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9.摄像机可设置不少于250个预置位，预置位精度≤0.1，支持预置位过程图像冻结功能；</w:t>
            </w:r>
          </w:p>
          <w:p w14:paraId="7E8F74A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网口音视频编码输出，支持H.265/H.264/MJEPG三种视频编码标准，音频AAC、G711编码标准；必须支持Http、TCP/IP、RTSP、RTMP、Onvif、组播、DHCP等网络协议；网络视频编码码率最大可支持50Mbps，网络音频编码码率最大可支持256Kbps；</w:t>
            </w:r>
          </w:p>
          <w:p w14:paraId="095C94B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11.支持音频LINE IN输入和LINE OUT输出，摄像机可对音频进行编码；</w:t>
            </w:r>
          </w:p>
          <w:p w14:paraId="563AB2E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12.支持PoE供电，控制、供电、视频、音频仅需一条网线即可完成；</w:t>
            </w:r>
          </w:p>
          <w:p w14:paraId="061C568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13.配套安装支架。</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37F54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D60077">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2F36A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FBACB59">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69445">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EB6E7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场景机位摄像机</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75BD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 支持智能分析处理，具备智能中心构图功能，可实现自动识别并跟踪拍摄目标；</w:t>
            </w:r>
          </w:p>
          <w:p w14:paraId="50F279F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 支持三种拍摄模式可供选择，全身、半身和特写；</w:t>
            </w:r>
          </w:p>
          <w:p w14:paraId="0FE2E65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 图像成像器：≥1/2.5 英寸CMOS；</w:t>
            </w:r>
          </w:p>
          <w:p w14:paraId="2BF2B41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 信号系统（最大）：≥2160（4K）29.97p/1080（FHD）59.94p；</w:t>
            </w:r>
          </w:p>
          <w:p w14:paraId="5800A7A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 变焦倍率：≥12倍；</w:t>
            </w:r>
          </w:p>
          <w:p w14:paraId="7D7D06F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 焦距：≥4.4mm-52.8mm；</w:t>
            </w:r>
          </w:p>
          <w:p w14:paraId="69047B8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 水平视角（广角）：≥65°；</w:t>
            </w:r>
          </w:p>
          <w:p w14:paraId="6839154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 平移/俯仰角度：平移：≥±170°/俯仰：≥±90°，-20°；</w:t>
            </w:r>
          </w:p>
          <w:p w14:paraId="3772713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 预置位：≥256（CGI）、≥100（VISCA）；</w:t>
            </w:r>
          </w:p>
          <w:p w14:paraId="55FEA58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 IP视频需支持分辨率：3840x2160、1920x1080、1280 x720、640x360；</w:t>
            </w:r>
          </w:p>
          <w:p w14:paraId="0172080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11.支持压缩格式：H.264、H.265；</w:t>
            </w:r>
          </w:p>
          <w:p w14:paraId="611D626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 支持网络协议：IPv4、IPv6、TCP、UDP、ARP、ICMP、HTTP、HTTPS、DHCP、DNS、RTSP；</w:t>
            </w:r>
          </w:p>
          <w:p w14:paraId="155EA6F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 支持视频输出：3G-SDI/HDMl/IP流传输；</w:t>
            </w:r>
          </w:p>
          <w:p w14:paraId="055BDA2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 支持内置AI分析：支持智能中心构图；</w:t>
            </w:r>
          </w:p>
          <w:p w14:paraId="132CED7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 配套安装支架。</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6894F7">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91BAB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5B091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839B7EE">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D5B4E">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F3C7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侧墙固定机位摄像机</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99ED0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1.视频分辨率：最高支持输出4K60FPS的的优质图像。并且至少向下兼容1080P、720P分辨率；</w:t>
            </w:r>
          </w:p>
          <w:p w14:paraId="220ED8F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2.传感器：≥1/2.5英寸,CMOS,有效像素：≥850万；</w:t>
            </w:r>
          </w:p>
          <w:p w14:paraId="795B2AC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3.HDMI和RJ45视频输出最大支持3840*2160p/60Hz；</w:t>
            </w:r>
          </w:p>
          <w:p w14:paraId="3B0AC10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4.支持2D和3D降噪，降低图像噪声，图像信噪比≥55dB；</w:t>
            </w:r>
          </w:p>
          <w:p w14:paraId="32FA0B9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5.支持4K超高清镜头，水平视场角≥71°，光学变焦≥12倍；</w:t>
            </w:r>
          </w:p>
          <w:p w14:paraId="7C6DE47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6.支持多种方式控制摄像机，可通过RS232、RS485、网络以及USB对摄像机进行控制，支持VISCA、网络VISCA协议、PELCO-D/P多种协议的对摄像机进行控制；</w:t>
            </w:r>
          </w:p>
          <w:p w14:paraId="64325CE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7.支持多种方式控制摄像机，可通过RS232、RS485、网络以及USB对摄像机进行控制，支持VISCA、网络VISCA协议、PELCO-D/P多种协议的对摄像机进行控制；</w:t>
            </w:r>
          </w:p>
          <w:p w14:paraId="1C2FB24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8.云台转动范围，水平：±170°，垂直：-30°~+90°。转动速度范围，水平：1.7° ~ 100°/s，垂直1.7° ~ 69.9°/s ；</w:t>
            </w:r>
          </w:p>
          <w:p w14:paraId="4D8E347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9.摄像机可设置不少于250个预置位，预置位精度≤0.1，支持预置位过程图像冻结功能；</w:t>
            </w:r>
          </w:p>
          <w:p w14:paraId="7EACC97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网口音视频编码输出，支持H.265/H.264/MJEPG三种视频编码标准，音频AAC、G711编码标准；必须支持Http、TCP/IP、RTSP、RTMP、Onvif、组播、DHCP等网络协议；网络视频编码码率最大可支持50Mbps，网络音频编码码率最大可支持256Kbps；</w:t>
            </w:r>
          </w:p>
          <w:p w14:paraId="4FADC9D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11.支持音频LINE IN输入和LINE OUT输出，摄像机可对音频进行编码；</w:t>
            </w:r>
          </w:p>
          <w:p w14:paraId="37404E2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12.支持PoE供电，控制、供电、视频、音频仅需一条网线即可完成；</w:t>
            </w:r>
          </w:p>
          <w:p w14:paraId="6683634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13.配套安装支架。</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2370C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3D3637">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378EF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0964BF57">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42238C">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7013A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学生投屏器</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34E31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1.兼容终端：iOS终端/Android终端/Windows PC/Mac PC；</w:t>
            </w:r>
          </w:p>
          <w:p w14:paraId="0C6A058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2.接口：HDMI视频接口≥1个；USB接口≥2个；网络接口≥1个；内置天线≥3个；3.5mm音频≥1个;</w:t>
            </w:r>
          </w:p>
          <w:p w14:paraId="561A9F5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3.开机时长：&lt;30s；</w:t>
            </w:r>
          </w:p>
          <w:p w14:paraId="50F3B59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4.显示分辨率：≥4K;</w:t>
            </w:r>
          </w:p>
          <w:p w14:paraId="1602BC6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5.天线：内置天线。</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C07D7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2F87A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19FE0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372CAAFE">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31E5D2">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478DB1">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全景教学软件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3F3D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1.支持展示常规分辨率和长宽比的课件内容（≥1280*720、1920*1080等）；</w:t>
            </w:r>
          </w:p>
          <w:p w14:paraId="5FB11AB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2.支持不同课程的授课场景需要，在教室内切换不同的授课主题模式（包括在环幕上展示分辨率≥9600*1200的主题背景）；</w:t>
            </w:r>
          </w:p>
          <w:p w14:paraId="7EF9E78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全景操作：全景内的老师可以通过智能讲台资源目录下，利用关键词进行搜索，便捷找到全景图片类资源，支持通过智能控制台操控全景图片类资源画面尺寸，可选择等比例最大化、适应高度、拉伸充满屏幕、平铺，在智能控制台方位移动区域操控此全景图片的360°水平旋转和一定角度的上下拖动，现场也可以看到该全景图片类资源在环幕大屏上360°水平旋转和一定角度的上下拖动的效果；</w:t>
            </w:r>
          </w:p>
          <w:p w14:paraId="4FC9A51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4.支持全景图片、全景视频、三维模型等媒体资源的展示；支持通过讲台电脑实现全景视频类资源的360°水平旋转；</w:t>
            </w:r>
          </w:p>
          <w:p w14:paraId="44FC916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5.支持H.264、H.265编码的全景视频资源，支持JPG、PNG全景图片类资源的最高分辨率≥16000*2200；</w:t>
            </w:r>
          </w:p>
          <w:p w14:paraId="15AE578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6.支持在教室环幕上展示三维模型，实现模型的360°全方位无死角展示，使用目前流行的行业标准unity3d技术;</w:t>
            </w:r>
          </w:p>
          <w:p w14:paraId="202CCD8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7.支持使用讲台电脑作为操作端对各种三维模型进行旋转、缩放、移动实时的功能性操作;</w:t>
            </w:r>
          </w:p>
          <w:p w14:paraId="55E106B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▲8.全景模式支持普通PPT演示为5页式布局，中间为当前画面，同时会显示前两页和后两页的画面，为老师提供前后文提示的同时，使讲课内容主次分明，下方显示PPT的当前页数及总页数。</w:t>
            </w:r>
            <w:r>
              <w:rPr>
                <w:rFonts w:hint="eastAsia" w:ascii="宋体" w:hAnsi="宋体" w:eastAsia="宋体" w:cs="宋体"/>
                <w:b/>
                <w:bCs/>
                <w:i w:val="0"/>
                <w:iCs w:val="0"/>
                <w:color w:val="auto"/>
                <w:kern w:val="0"/>
                <w:sz w:val="21"/>
                <w:szCs w:val="21"/>
                <w:highlight w:val="none"/>
                <w:u w:val="none"/>
                <w:lang w:val="en-US" w:eastAsia="zh-CN" w:bidi="ar"/>
              </w:rPr>
              <w:t>（需</w:t>
            </w:r>
            <w:r>
              <w:rPr>
                <w:rFonts w:hint="eastAsia" w:ascii="宋体" w:hAnsi="宋体" w:eastAsia="宋体" w:cs="宋体"/>
                <w:i w:val="0"/>
                <w:iCs w:val="0"/>
                <w:color w:val="auto"/>
                <w:kern w:val="0"/>
                <w:sz w:val="21"/>
                <w:szCs w:val="21"/>
                <w:highlight w:val="none"/>
                <w:u w:val="none"/>
                <w:lang w:val="en-US" w:eastAsia="zh-CN" w:bidi="ar"/>
              </w:rPr>
              <w:t>提供产品功能截图，并加盖投标人公章</w:t>
            </w:r>
            <w:r>
              <w:rPr>
                <w:rFonts w:hint="eastAsia" w:ascii="宋体" w:hAnsi="宋体" w:eastAsia="宋体" w:cs="宋体"/>
                <w:b/>
                <w:bCs/>
                <w:i w:val="0"/>
                <w:iCs w:val="0"/>
                <w:color w:val="auto"/>
                <w:kern w:val="0"/>
                <w:sz w:val="21"/>
                <w:szCs w:val="21"/>
                <w:highlight w:val="none"/>
                <w:u w:val="none"/>
                <w:lang w:val="en-US" w:eastAsia="zh-CN" w:bidi="ar"/>
              </w:rPr>
              <w:t>）</w:t>
            </w:r>
          </w:p>
          <w:p w14:paraId="06B70299">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9.PPT5页式布局时，前两页为已经讲完的内容，方便学生回看内容；中间页为正在授课内容；最后两页为未授课内容，可以根据授课情况选择显示或遮盖。</w:t>
            </w:r>
          </w:p>
          <w:p w14:paraId="522F81C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模型操控：全景内的老师可以通过智能讲台，打开教学三维模型，操控该教学模型一键拆分和一键组合，现场可以在环幕上看到该教学模型拆分和组合的画面；全景内的老师可以通过智能讲台拆分该教学模型中的指定零部件，现场可以在环幕上看到该零部件从该教学模型整体中分离的效果；全景内的老师可以通过智能讲台操作放大、缩小或旋转该教学模型，现场可以在环幕上看到该教学模型同步放大、缩小或旋转的画面。</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2B06F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1CD4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2BF24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4C9B0F0A">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33F5B3">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3678B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全景智能运维与管理软件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09D2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1.支持开机自启和按照策略按需启动对应业务功能程序；</w:t>
            </w:r>
          </w:p>
          <w:p w14:paraId="792C685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2.支持系统进程守护，确保当前所运行的程序能够稳定运行，内部有进程状态检测机制，可实时监控各个业务程序的运行状态；</w:t>
            </w:r>
          </w:p>
          <w:p w14:paraId="06FCFC7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3.支持进程状态检测机制，轮询检测进程状态；轮询检测进程消耗的资源，CPU、内存，并实时将信息实时上报到云端监控平台，用户可通过web网页的方式直观的看到程序的消耗；</w:t>
            </w:r>
          </w:p>
          <w:p w14:paraId="5223646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4.支持配置输出到本地屏幕上的画面分辨率；支持配置课件信号源采集的分辨率、帧率；支持配置音频设备的输入、输出，并支持配置两路音频输入设备同时采集。</w:t>
            </w:r>
          </w:p>
          <w:p w14:paraId="32B7C2A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5.支持按需关闭对应业务程序；</w:t>
            </w:r>
          </w:p>
          <w:p w14:paraId="33C09BD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6.支持开机自动检测最新版本，支持对当前课程状态的检查，支持自动获取新版本软件；</w:t>
            </w:r>
          </w:p>
          <w:p w14:paraId="23D78DD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7.支持本地老版本软件备份功能，当升级新版本失败时自动回退，避免因新版本问题影响上课进程，提高用户体验；</w:t>
            </w:r>
          </w:p>
          <w:p w14:paraId="7419509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8.支持教室基本信息的显示与教室序列号的配置，智能同步云端教室基本信息，包括学校名称、校区、楼宇、教室名称等信息；</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4F73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628C9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3D155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543E0A8B">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AB278">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19AC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全景智能中枢控制套件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F75C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1.支持配置各硬件参数，可视化选择各硬件产品控制通道，可视化配置串口主机通讯参数；</w:t>
            </w:r>
          </w:p>
          <w:p w14:paraId="664AE68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2.支持一键式开关机，一键式控制教室内音响、2D媒体工作站、数据交换设备等设备的上电断电，并同步实时状态；</w:t>
            </w:r>
          </w:p>
          <w:p w14:paraId="4BF975E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3.支持局域网内主机的网络唤醒功能，自动获取主机开关状态并进行实时监控，支持局域网内主机的关机功能；</w:t>
            </w:r>
          </w:p>
          <w:p w14:paraId="21F189C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4.支持助教电脑信号、讲台笔记本电脑信号、无线投屏信号按需切换。</w:t>
            </w:r>
          </w:p>
          <w:p w14:paraId="6927D68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▲5.支持可视化滑块方式控制教室音量的调节。（需提供产品功能截图并加盖投标人公章）</w:t>
            </w:r>
          </w:p>
          <w:p w14:paraId="630001D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6.支持上传全景图片文件、全景2D视频文件、普通图片文件、普通2D视频文件资源到本地服务器；</w:t>
            </w:r>
          </w:p>
          <w:p w14:paraId="50C88A7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7.支持资源目录按角色进行分类，资源目录快速导航，支持利用关键词搜索资源，支持对资源目录的删除、修改功能。</w:t>
            </w:r>
          </w:p>
          <w:p w14:paraId="30B9858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互动课件：全景内的老师可以通过智能讲台打开互动场景课件资源，该互动场景课件资源中包含若干个互动点，现场可以在环幕上看到该互动场景课件，并且当老师点击课件中的互动点后，环幕上可以看到针对该互动点的相关讲解内容，再次点击将会收起该互动点；支持上下左右方移动互动场景课件，便于全面展示课件细节。</w:t>
            </w:r>
          </w:p>
          <w:p w14:paraId="328AB82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9.处理器频率≥2.5GHz，核心≥8核，线程≥16线程；内存：≥32GB；硬盘：≥2TB(固态硬盘)；接口：USB端口≥6个，type-c接口≥1个，音频输出口≥1个，音频输入≥1个；网口：≥1xRJ45网络接口；</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E6473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653D5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56426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2DFD5AB9">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96817">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AE64D0">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全景智能板书软件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BC9FF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1.支持启用软件时，自动与直播主机站建立连接；</w:t>
            </w:r>
          </w:p>
          <w:p w14:paraId="686B46F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2.支持全景智能板书软件的刷新率≥50FPS；支持板书软件与环幕的数据传输延迟≤300ms；。</w:t>
            </w:r>
          </w:p>
          <w:p w14:paraId="632CC8D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3.支持在屏幕书写区域中按照环幕全彩呈现套件尺寸滑动到指定区域进行书写；</w:t>
            </w:r>
          </w:p>
          <w:p w14:paraId="5F255D8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4.支持进行示范、涂鸦、计算题目、推导公式的板书书写；</w:t>
            </w:r>
          </w:p>
          <w:p w14:paraId="4F8EFA9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▲5.支持使用多种颜色进行书写和涂鸦并支持调整画笔的大小和粗细；</w:t>
            </w:r>
            <w:r>
              <w:rPr>
                <w:rFonts w:hint="eastAsia" w:ascii="宋体" w:hAnsi="宋体" w:eastAsia="宋体" w:cs="宋体"/>
                <w:b/>
                <w:bCs/>
                <w:i w:val="0"/>
                <w:iCs w:val="0"/>
                <w:color w:val="auto"/>
                <w:kern w:val="0"/>
                <w:sz w:val="21"/>
                <w:szCs w:val="21"/>
                <w:highlight w:val="none"/>
                <w:u w:val="none"/>
                <w:lang w:val="en-US" w:eastAsia="zh-CN" w:bidi="ar"/>
              </w:rPr>
              <w:t>（提供产品功能截图，并加盖投标人公章）</w:t>
            </w:r>
          </w:p>
          <w:p w14:paraId="27FB283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6.支持使用直线工具绘制直线、箭头；</w:t>
            </w:r>
          </w:p>
          <w:p w14:paraId="7760DAE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7.支持在需要讲解其他内容时隐藏书写的界面；支持隐藏后再次将书写界面显示出来，继续书写或涂鸦；</w:t>
            </w:r>
          </w:p>
          <w:p w14:paraId="33DB780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8.支持使用软件提供的橡皮擦工具擦除部分或全部书写内容；支持将书写的板书内容保存为本地文件；</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1416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6564D9">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6ABB6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81CF012">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3E7DE">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75399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全景多屏协同教学软件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03C5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1.支持图像上传与展示:支持U盘等移动存储设备内的图片资源;支持通过手势操作，将讲台电脑的图片资源直接上传到环幕上进行展示;支持将老师在讲台电脑上的操作实时同步到环幕。</w:t>
            </w:r>
          </w:p>
          <w:p w14:paraId="0ACCADF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2.支持灵活的资源选择功能:支持在讲台电脑控制软件界面中，老师可以方便地搜索到存储图片的文件夹;支持从资源缩略图中快速选择想要演示的图片。</w:t>
            </w:r>
          </w:p>
          <w:p w14:paraId="10B0FAE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▲3.支持多图同时展示:老师可以在环幕上同时展示至少20张图片。</w:t>
            </w:r>
            <w:r>
              <w:rPr>
                <w:rFonts w:hint="eastAsia" w:ascii="宋体" w:hAnsi="宋体" w:eastAsia="宋体" w:cs="宋体"/>
                <w:b/>
                <w:bCs/>
                <w:i w:val="0"/>
                <w:iCs w:val="0"/>
                <w:color w:val="auto"/>
                <w:kern w:val="0"/>
                <w:sz w:val="21"/>
                <w:szCs w:val="21"/>
                <w:highlight w:val="none"/>
                <w:u w:val="none"/>
                <w:lang w:val="en-US" w:eastAsia="zh-CN" w:bidi="ar"/>
              </w:rPr>
              <w:t>（提供产品功能截图，并加盖投标人公章）</w:t>
            </w:r>
          </w:p>
          <w:p w14:paraId="12F4E66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4.支持图片缩放与移动:通过简单的手势操作，可以自由地调整图片的大小和位置;支持双指外扩或内收操作，进行相应地放大或缩小图片;支持选择一张或多张图片，并将它们轻松地拖动到屏幕上的任意位置。</w:t>
            </w:r>
          </w:p>
          <w:p w14:paraId="7CED76C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5.支持图片删除与清空:支持单独删除任意一张图片;也可以通过点击"删除全部"按钮一键清空屏幕上的所有图片和标记;能够快速调整和清理屏幕上的内容，为下一阶段的教学做好准备。</w:t>
            </w:r>
          </w:p>
          <w:p w14:paraId="3E1FD87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6.支持图片标记与互动:支持对图片或任意位置进行标记;支持删除所有已标记的内容。</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9E6A2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227A03">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70B7D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BA18306">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BB0D1D">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4FB33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全景资源管理软件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2DD2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1.支持搜索媒体服务器目录中的资源；</w:t>
            </w:r>
          </w:p>
          <w:p w14:paraId="580F9D2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2.支持搜索智能控制台外接移动存储器中的资源；</w:t>
            </w:r>
          </w:p>
          <w:p w14:paraId="067E337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3.支持获取授权用户对应平台中的资源；</w:t>
            </w:r>
          </w:p>
          <w:p w14:paraId="728BC28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4.支持同步智能控制台外接移动存储器中的资源到媒体服务器；</w:t>
            </w:r>
          </w:p>
          <w:p w14:paraId="3DD1C13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5.支持远程同步授权用户对应平台中的资源到媒体服务器；</w:t>
            </w:r>
          </w:p>
          <w:p w14:paraId="454B87C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6.支持同步资源列表到全景智能中枢控制平台软件中进行展示；</w:t>
            </w:r>
          </w:p>
          <w:p w14:paraId="19EF7AE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7.支持上传资源到媒体服务器；</w:t>
            </w:r>
          </w:p>
          <w:p w14:paraId="7128077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8.支持删除媒体服务器中的指定目录的资源；</w:t>
            </w:r>
          </w:p>
          <w:p w14:paraId="0A8CD09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9.支持修改媒体服务器中的指定目录的资源名；</w:t>
            </w:r>
          </w:p>
          <w:p w14:paraId="03A2B35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10.支持删除媒体服务器中的指定目录中的子资源目录；</w:t>
            </w:r>
          </w:p>
          <w:p w14:paraId="1FF32E1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11.支持修改媒体服务器中的指定目录的子资源目录名；</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5C9497">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EF4EB3">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61398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234F0F15">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6BC1B1">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9D58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全景播控软件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29DC4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1.支持向下兼容，支持解码5.1、2.1、2.0声道特性的视频文件进行播放；</w:t>
            </w:r>
          </w:p>
          <w:p w14:paraId="3179C6F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2.支持反馈视频文件的声道特性；</w:t>
            </w:r>
          </w:p>
          <w:p w14:paraId="378C20D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3.支持准确识别并区分每个声道的音轨；</w:t>
            </w:r>
          </w:p>
          <w:p w14:paraId="686DDF8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4.支持与7.1声道声卡兼容，实现每个声道独立控制音轨的播放与停止播放；</w:t>
            </w:r>
          </w:p>
          <w:p w14:paraId="4AD08B6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5.支持反馈每个音轨的实时音量；</w:t>
            </w:r>
          </w:p>
          <w:p w14:paraId="4007801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6.支持控制每个音轨的播放音量。</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EDE8E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883E4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1E53F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1CBF0794">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239224">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F552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全景智慧云录播软件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62F4F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1.支持录制课程功能，录制的画面包含老师、学生、课件以及板书等内容；</w:t>
            </w:r>
          </w:p>
          <w:p w14:paraId="6A68898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2.支持分辨率≥1280*720P、1920*1080P等多种规格的高清录播；</w:t>
            </w:r>
          </w:p>
          <w:p w14:paraId="365E4C8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3.支持录制码率的自定义设置（单位Kbps）；</w:t>
            </w:r>
          </w:p>
          <w:p w14:paraId="5C4DAE1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4.支持录制格式设置，支持MP4和FLV；</w:t>
            </w:r>
          </w:p>
          <w:p w14:paraId="753FC87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5.支持录制文件的路径设置；</w:t>
            </w:r>
          </w:p>
          <w:p w14:paraId="4A13F32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6.支持≥6个画面的视频采集，包括老师1，老师2，学生1，学生2，课件，板书；</w:t>
            </w:r>
          </w:p>
          <w:p w14:paraId="533B3E5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7.支持多画面融合显示，分别是老师、学生、PPT、老师+PPT、老师+学生、老师+PPT+学生画面模式，支持≥3画面融合；</w:t>
            </w:r>
          </w:p>
          <w:p w14:paraId="21445C5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8.支持录制的同时推送一路RTMP直播到网络直播平台；</w:t>
            </w:r>
          </w:p>
          <w:p w14:paraId="09A19D8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9.支持RTMP直播流的地址设置；</w:t>
            </w:r>
          </w:p>
          <w:p w14:paraId="4320042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10.支持≥1280*720P分辨率RTMP直播；</w:t>
            </w:r>
          </w:p>
          <w:p w14:paraId="0152947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11.支持画面间切换的多重特效选择，比如左边进入、百叶窗、淡入淡出；</w:t>
            </w:r>
          </w:p>
          <w:p w14:paraId="7080FEF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12.支持录播单独启用、录像与RTMP同时启用；</w:t>
            </w:r>
          </w:p>
          <w:p w14:paraId="17D8326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13.支持渲染和编解码硬件加速；</w:t>
            </w:r>
          </w:p>
          <w:p w14:paraId="52984D1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14.具有录制文件异常恢复机制，保证在录制过程中突然断电的情况下，已录一半的视频也能通过FLV格式文件正常打开使用；</w:t>
            </w:r>
          </w:p>
          <w:p w14:paraId="08B9D79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15.录制的文件音视频同步；</w:t>
            </w:r>
          </w:p>
          <w:p w14:paraId="69324C2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16.支持在录制的视频中添加主讲人信息和logo文件标志；</w:t>
            </w:r>
          </w:p>
          <w:p w14:paraId="45E19EA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17.支持在录制≥1280*720P MIX视频时，同时录制老师、学生、课件三路独立视频；</w:t>
            </w:r>
          </w:p>
          <w:p w14:paraId="4D01462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18.支持通过网页查看本地录制路径中的全部视频文件；</w:t>
            </w:r>
          </w:p>
          <w:p w14:paraId="1D3E940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19.支持通过网页预览、删除、下载本地录制路径中录制的视频。</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C2BEF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CFBB3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7C7E5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6E2E2FA">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073EC">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099D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全景课堂分组研讨软件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FC691">
            <w:pPr>
              <w:keepNext w:val="0"/>
              <w:keepLines w:val="0"/>
              <w:pageBreakBefore w:val="0"/>
              <w:widowControl/>
              <w:numPr>
                <w:ilvl w:val="0"/>
                <w:numId w:val="1"/>
              </w:numPr>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支持手机、平板、笔记本电脑无线投屏</w:t>
            </w:r>
          </w:p>
          <w:p w14:paraId="67AE788E">
            <w:pPr>
              <w:keepNext w:val="0"/>
              <w:keepLines w:val="0"/>
              <w:pageBreakBefore w:val="0"/>
              <w:widowControl/>
              <w:numPr>
                <w:ilvl w:val="0"/>
                <w:numId w:val="0"/>
              </w:numPr>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2.兼容Airplay、Miracast、WiDi无线投屏协议；</w:t>
            </w:r>
          </w:p>
          <w:p w14:paraId="245EBD8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3.支持≥1920*1080分辨率的视频投屏播放；</w:t>
            </w:r>
          </w:p>
          <w:p w14:paraId="7D75989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4.支持投屏设备音频的投屏播放；</w:t>
            </w:r>
          </w:p>
          <w:p w14:paraId="6E5CFD3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5.保证投屏播放的音视频同步；</w:t>
            </w:r>
          </w:p>
          <w:p w14:paraId="0B56D1C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6.支持被选中小组开启音频，未被选中小组则静音；</w:t>
            </w:r>
          </w:p>
          <w:p w14:paraId="52D70A4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7.支持≥4分组投屏画面同时上屏；</w:t>
            </w:r>
          </w:p>
          <w:p w14:paraId="59C5C3A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8.支持老师投屏画面能切换成笔记本信号；</w:t>
            </w:r>
          </w:p>
          <w:p w14:paraId="71353E1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9.支持≥2个分组之间进行PK；</w:t>
            </w:r>
          </w:p>
          <w:p w14:paraId="3294555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10.支持在PK时只显示被选中的≥2个分组投屏视频画面；</w:t>
            </w:r>
          </w:p>
          <w:p w14:paraId="73C21BB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11.支持在PK时未被选中的≥2个分组投屏静音。</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29E692">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6393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447D6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1F0B865A">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01F30">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76FC3B">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互动软件</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AFC7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▲1.利用高质量音视频处理技术完成本地授课，同时将本地教室内老师授课场景实时传输到远端教室，并支持实时与远端学生进行现场互动；</w:t>
            </w:r>
            <w:r>
              <w:rPr>
                <w:rFonts w:hint="eastAsia" w:ascii="宋体" w:hAnsi="宋体" w:eastAsia="宋体" w:cs="宋体"/>
                <w:b/>
                <w:bCs/>
                <w:i w:val="0"/>
                <w:iCs w:val="0"/>
                <w:color w:val="auto"/>
                <w:kern w:val="0"/>
                <w:sz w:val="21"/>
                <w:szCs w:val="21"/>
                <w:highlight w:val="none"/>
                <w:u w:val="none"/>
                <w:lang w:val="en-US" w:eastAsia="zh-CN" w:bidi="ar"/>
              </w:rPr>
              <w:t>（投标文件中提供第三方检测机构出具的带有CMA 或 CNAS 标志的检测报告扫描件，并加盖投标人公章。）</w:t>
            </w:r>
          </w:p>
          <w:p w14:paraId="4B4BD7D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2.支持模拟信号与网络数字信号采集；支持摄像头标清、高清信号采集；支持高质量双声道音频信号采集，音频采样率≥48KHz；</w:t>
            </w:r>
          </w:p>
          <w:p w14:paraId="647E8E4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3.支持MIC与HDMI双路音频信号同时采集，并可以进行实时软件混音；支持音频的回声消除、噪声抑制、自动增益、静音检测；</w:t>
            </w:r>
          </w:p>
          <w:p w14:paraId="1FA168F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4.支持拥有多路H.264视频高性能编码能力；拥有高码率opus音频编码能力；支持多路音视频实时解码能力；</w:t>
            </w:r>
          </w:p>
          <w:p w14:paraId="49108DD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5.支持高质量音视频本地局域网传输能力：可以将高清视频编码流通过局域网络传输到其他边缘设备中；</w:t>
            </w:r>
          </w:p>
          <w:p w14:paraId="5AA15A0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6.支持等大还原本地或远端现场画面在教室环幕上显示：支持教室在互动时，显示红色背景闪烁；</w:t>
            </w:r>
          </w:p>
          <w:p w14:paraId="35FCF88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7.支持拥有远程进课、远程退课、课程异常恢复能力；能远程切换本教室角色，可以主讲或收视的角色接入直播互动课程；支持根据课程角色的不同，自动转换画面拼接策略；</w:t>
            </w:r>
          </w:p>
          <w:p w14:paraId="663A8C6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8.支持将本教室音视频传输到远端教室，并可将远端教室的音视频拉取到本地教室（正常网络环境下，单向音视频延迟≤400ms，且保证音视频保持同步）；</w:t>
            </w:r>
          </w:p>
          <w:p w14:paraId="238BEE3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9.支持直播互动核心软硬件系统认证和检测机制，保证教学场景下软硬件的稳定性；</w:t>
            </w:r>
          </w:p>
          <w:p w14:paraId="1FCDC90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10.支持对教室间视频数据实时编码流传输进行分辨率/码率/帧数的控制，能自动化识别实时带宽的波动，对存在较大网络波动的视频流进行动态码流质量的控制，以保证直播互动场景的音视频流畅；</w:t>
            </w:r>
          </w:p>
          <w:p w14:paraId="62DB9BF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11.支持拥有冗余抗丢包能力，能在最多15%丢包的网络环境下让音视频流不出现卡顿，正常进行远程互动授课。</w:t>
            </w:r>
          </w:p>
          <w:p w14:paraId="621C285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教室间互动时，本教室内的环幕收视区可以看到远程互动教室场景，并且可以与远程互动教室进行流畅的音视频交流；全景教学空间作为跨校收视教室，学生在本教室内的环幕收视区可以看到远程直播教室内授课老师在讲台区正常的授课内容和过程，可以看到远程直播教室展示的课件画面，并且当本教室被互动时，可与远程直播教室进行流畅的音视频交流。</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AC98A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50790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4A33A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left w:val="single" w:color="000000" w:sz="4" w:space="0"/>
              <w:right w:val="single" w:color="000000" w:sz="4" w:space="0"/>
            </w:tcBorders>
            <w:shd w:val="clear" w:color="auto" w:fill="FFFFFF"/>
            <w:noWrap/>
            <w:vAlign w:val="center"/>
          </w:tcPr>
          <w:p w14:paraId="72DD310D">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DFB7FC">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D1EC1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AI同步课堂管理平台</w:t>
            </w:r>
          </w:p>
        </w:tc>
        <w:tc>
          <w:tcPr>
            <w:tcW w:w="387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E2AA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一、支持3间满足接入需求的智慧教室/多媒体教室接入平台，实现全景与其他3间教室间的直播互动教学。</w:t>
            </w:r>
          </w:p>
          <w:p w14:paraId="1FAE866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1.支持快速绑定教室的电脑设备与教室摄像机设备，简化教室的设备调试流程，能够快速搭建直播互动教室，与异地教室快速组网；</w:t>
            </w:r>
          </w:p>
          <w:p w14:paraId="60BFC4D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2.支持用户名/密码、微信扫码多种登录方式，登录系统；</w:t>
            </w:r>
          </w:p>
          <w:p w14:paraId="1C3EB45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3.支持快捷开启直播课堂；支持老师编辑课堂名称与授课老师姓名，支持学生随时加入直播课程；支持通过听课教室参加码和课堂观摩参加码两种方式加入直播课堂；</w:t>
            </w:r>
          </w:p>
          <w:p w14:paraId="637553D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4.支持通过客户端采集教室音频设备流，内置编解码模块，可通过网络抓取技术采集显示信号和音频信号同步进行压缩编码传输；</w:t>
            </w:r>
          </w:p>
          <w:p w14:paraId="7EFCE31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5.课中支持讲师随时进入课间休息状态，暂停课堂录制；支持讲师在课间休息中随时回到课堂，继续直播录制；支持客户端设置是否开启直播流；</w:t>
            </w:r>
          </w:p>
          <w:p w14:paraId="26FDB2F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支持开课后自由选择是否开启屏幕共享，开启屏幕共享后，系统展开窗口自动缩小，并支持随时结束共享，支持选择启动时自动开启屏幕共享，并设置小窗口方位；支持共享桌面画面，听课教室以及观摩学生可以直接看到主讲教师桌面，方便教学课件进行展示；支持老师在直播课堂中发起投票、点名、签到、问答的课堂互动；</w:t>
            </w:r>
          </w:p>
          <w:p w14:paraId="52A4271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7.支持调用本地的摄像机（支持同时接入老师机位摄像机和学生机位摄像机），采集教室视频流；</w:t>
            </w:r>
          </w:p>
          <w:p w14:paraId="71F2EE3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8.支持老师便捷打开本地课件调取文件，展示电脑存储的课件、视频、图片等文件，方便课堂授课讲解；</w:t>
            </w:r>
          </w:p>
          <w:p w14:paraId="68AC0AF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9.支持听课教室输入听课教室参加码，直接加入课程；听课教室的助教老师可调用听课教室的摄像头、麦克风设备与主讲教室进行音视频互动教学，可随时切换所选用的设备；</w:t>
            </w:r>
          </w:p>
          <w:p w14:paraId="4FB2F1D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10.支持静音设置，老师在直播授课过程中，点击麦克风，手动操作本教室静音，同时也可以点击关闭本教室摄像机画面；</w:t>
            </w:r>
          </w:p>
          <w:p w14:paraId="143CC51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11.支持老师一键复制听课信息，方便听课教室通过参加码分享加入直播课程；</w:t>
            </w:r>
          </w:p>
          <w:p w14:paraId="5AB47F8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12.支持老师一键复制观摩信息，方便邀请旁听学生通过课堂观摩参加码加入直播课程，或通过课堂观摩直播链接快速进入观摩课堂，节省时间；</w:t>
            </w:r>
          </w:p>
          <w:p w14:paraId="28B283D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13.支持老师在课程中随时切换所选用的设备；支持老师点击麦克风图标，进入音频选项界面，检测麦克风、扬声器接入情况，调整音量大小；</w:t>
            </w:r>
          </w:p>
          <w:p w14:paraId="30E20B8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14.支持查看在线用户列表，通过“花名册”可以查看在线学生，通过搜索关键字进行姓名检索，方便老师确认学生状态；</w:t>
            </w:r>
          </w:p>
          <w:p w14:paraId="0AA0C7E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15.为满足部分教室拾音或摄像设备配备不完善的情况下仍需进行课堂直播/录播的需求，课堂教学系统需支持教师通过移动APP端作为主拾音或录像设备开展课堂教学；</w:t>
            </w:r>
          </w:p>
          <w:p w14:paraId="200A97E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16.系统支持实时展示当前正在发言的教室信息；课堂教学系统需支持丰富的课堂互动工具，所有互动都需支持学生在移动端进行参与；</w:t>
            </w:r>
          </w:p>
          <w:p w14:paraId="73C9217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17.支持学生通过移动端app加入课堂互动；支持通过移动端app或小程序观摩课堂；</w:t>
            </w:r>
          </w:p>
          <w:p w14:paraId="5846471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18.支持通过WEB端观摩课堂；</w:t>
            </w:r>
          </w:p>
          <w:p w14:paraId="07F54D0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19.可以将主讲教室教学画面、远程互动教学画面经过导播和画面组合后进行实时直播和同步录制；</w:t>
            </w:r>
          </w:p>
          <w:p w14:paraId="2140345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支持老师创建课程，填写课程信息、课程编码、上传课程封面；支持老师查看自己的课程列表，进入课程详情页管控基础信息，分配教师团队与学生班级信息，查看直播的评课信息；支持老师编辑教学大纲，上传录像文件；</w:t>
            </w:r>
          </w:p>
          <w:p w14:paraId="78CD11D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21.支持批量添加直播课程，在创建课程时可以指定课程名称、授课开始时间、授课结束时间、授课日期等基础信息；</w:t>
            </w:r>
          </w:p>
          <w:p w14:paraId="424A10E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22.创建完成的课程会自动生成课程唯一参加码，可用该参加码听课；</w:t>
            </w:r>
          </w:p>
          <w:p w14:paraId="3460D0F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创建完成的直播课程，可以在直播列表中依次排列展示，支持按状态、时间、名称等筛选课程列表的直播信息，支持对课程下的直播进行灵活调整（导播、分享、编辑等操作）；为方便教学督导及教学管理，支持查看累计开课数量、正在直播课程；</w:t>
            </w:r>
          </w:p>
          <w:p w14:paraId="63198C8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24.实时检测课堂教学行为（讲演PPT、板书、发言互动），自动切换录制画面布局；</w:t>
            </w:r>
          </w:p>
          <w:p w14:paraId="49F9500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▲25.支持布局显示主讲教室大画面、主讲教室+课件组合画面、主讲教室+互动教室组合画面、主讲教室+学生组合画面、主讲教室+互动教室+课件组合画面、主讲教室+学生+课件组合画面等≥6个画面布局；（</w:t>
            </w:r>
            <w:r>
              <w:rPr>
                <w:rFonts w:hint="eastAsia" w:ascii="宋体" w:hAnsi="宋体" w:eastAsia="宋体" w:cs="宋体"/>
                <w:b/>
                <w:bCs/>
                <w:i w:val="0"/>
                <w:iCs w:val="0"/>
                <w:color w:val="auto"/>
                <w:kern w:val="0"/>
                <w:sz w:val="21"/>
                <w:szCs w:val="21"/>
                <w:highlight w:val="none"/>
                <w:u w:val="none"/>
                <w:lang w:val="en-US" w:eastAsia="zh-CN" w:bidi="ar"/>
              </w:rPr>
              <w:t>提供产品功能截图，并加盖投标人公章</w:t>
            </w:r>
            <w:r>
              <w:rPr>
                <w:rFonts w:hint="eastAsia" w:ascii="宋体" w:hAnsi="宋体" w:eastAsia="宋体" w:cs="宋体"/>
                <w:i w:val="0"/>
                <w:iCs w:val="0"/>
                <w:color w:val="auto"/>
                <w:kern w:val="0"/>
                <w:sz w:val="21"/>
                <w:szCs w:val="21"/>
                <w:highlight w:val="none"/>
                <w:u w:val="none"/>
                <w:lang w:val="en-US" w:eastAsia="zh-CN" w:bidi="ar"/>
              </w:rPr>
              <w:t>）</w:t>
            </w:r>
          </w:p>
          <w:p w14:paraId="6C5889D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教室开课直播时，可以通过后台进入手动导播界面，可以根据需求，切换视图模式，支持不少于四种授课模式视图：①单画面视图，仅展示一个视图画面内容，多视图切换单视图默认保留页面上第一个画面内容；②侧边栏视图，最多展示三个画面，每一类画面最多选择一个，分别是老师，学生，课件类，切换其他视图且为非跟随视图，按照页面当前视图顺序保留，若切换跟随视图，当前视图均为学生或课件视图，仅保留其中一个，若当前页面包含老师与其他的，保留一个老师画面，一个其他画面；③画中画视图，最多选择两个画面，后选择的画面展示在小屏幕区域，切换单视图保留大画面，切换其他视图按照顺序保留；④宫格视图，最多选择四个画面，每一类画面最多选择一个，切换单视图保留第一个视图，切换多视图按照顺序保留；</w:t>
            </w:r>
          </w:p>
          <w:p w14:paraId="79B9B04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27.摄像机接入方式灵活多样，如插件推流、主机推流、手机接入等；</w:t>
            </w:r>
          </w:p>
          <w:p w14:paraId="2F0A20D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28.可以对该教室客户端进行自定义设置：（1）支持自动开启“屏幕共享”；（2）开机时启动客户端；（3）客户端自动登录；（4）客户端自动开课；</w:t>
            </w:r>
          </w:p>
          <w:p w14:paraId="283A5E1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29.支持教师巡课任务管理，明确巡课的目的，确保教学质量、观察学生学习情况、评估教师教学表现等。同时，确定评估的标准，以便能够客观地评价巡课结果；</w:t>
            </w:r>
          </w:p>
          <w:p w14:paraId="7C0DFCE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30.安排巡课的时间、课程和教师，可以根据学校的课程表和教师的授课安排，合理分配巡课任务，确保覆盖到所有需要检查的课程和教师；能够方便督导专家即时收到巡课任务，实时在线巡课督学；</w:t>
            </w:r>
          </w:p>
          <w:p w14:paraId="0FBFB89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31.支持按单场直播添加督导人员，分享评课链接，督导专家可以通过网页快速认证，在线评课；</w:t>
            </w:r>
          </w:p>
          <w:p w14:paraId="66859B8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32.支持管理员在九宫格视图点击进入任意教室的详情巡视界面，支持管理员查看最近教室课程情况，支持通过教师名称、课程名称快速搜索直播课程，一键回放教室授课画面；支持查看巡视状态，编辑巡视备注；</w:t>
            </w:r>
          </w:p>
          <w:p w14:paraId="67C925E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33.教室巡视页面涵盖课堂基本信息（课程名称、主讲老师、学期、授课时间）、主讲教室信息；支持多角度巡视：主讲老师画面、学生画面、课件画面巡视；支持查看已巡视的人员信息，并可以提交巡视总结；</w:t>
            </w:r>
          </w:p>
          <w:p w14:paraId="647CD84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34.巡视过程中管理员可以对课堂进行文字评价；</w:t>
            </w:r>
          </w:p>
          <w:p w14:paraId="47C9ECC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35.巡视过程中管理员可以进入导播台，对直播画面进行手动导播；</w:t>
            </w:r>
          </w:p>
          <w:p w14:paraId="5A2F660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36.支持查看评审任务详情；支持查看分配给自己的评审任务列表，对于具体老师选课进入，填写评价表发布评价；</w:t>
            </w:r>
          </w:p>
          <w:p w14:paraId="223614F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37.支持搜寻被评审的课堂直播或回放录像；支持对课堂直播或回放录像进行评审打分；支持对课堂直播或回放录像进行总结；支持学生/老师/专家通过微信小程序进入查看自己的评课列表，便捷观看直播并根据评价表发布课堂评价；</w:t>
            </w:r>
          </w:p>
          <w:p w14:paraId="295A22E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支持新增评价表、按照评价表名称进行搜索；评价表类型灵活多样，如同行评价、领导评价、专家评价、学生评价等；评价规则可以是按总分评价也可以按等第评价；评价项目可以由打分题、单选题、多选题、问答题等类型组成，方便学校建立专业的评价表体系；评分题可以设置为选答或必答，也可以设置评分理由；</w:t>
            </w:r>
          </w:p>
          <w:p w14:paraId="193A85A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39.同时支持≥3间听课教室加入主讲老师的直播互动课，参与同步课堂教学；直播课程中，支持学生申请与主讲老师进行实时音视频互动，支持6位学生同时参与音视频互动；</w:t>
            </w:r>
          </w:p>
          <w:p w14:paraId="5E2057C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支持在线视频连麦提问，当老师在线点名到某位学生时，在学生同意后才可加入直播连线；学生可以通过举手的方式提出进行音视频连麦的申请，在得到教师的批准后，可以加入音视频互动环节。过程中学生可自行静音或者结束语音互动。</w:t>
            </w:r>
          </w:p>
          <w:p w14:paraId="7DC188A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二、慕课西行:</w:t>
            </w:r>
          </w:p>
          <w:p w14:paraId="2D1C552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支持学校加入“慕课西行”课程共享联盟，促进东西部教育资源的流动与均衡，推动本校优质师资、课堂“走出去”的同时将外校资源“引进来”，为师生提供更大的发展空间。充分发挥以慕课为代表的信息技术与资源优势，将东部优质的师资和慕课资源持续不断输送至中西部地区高校，推动教育高质量公平。</w:t>
            </w:r>
          </w:p>
          <w:p w14:paraId="09FCE0D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2.协助学校联系帮扶学校,并为参与校接入平台服务。</w:t>
            </w:r>
          </w:p>
        </w:tc>
        <w:tc>
          <w:tcPr>
            <w:tcW w:w="1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EFB74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099B8E">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r>
      <w:tr w14:paraId="2C26F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F52007">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2</w:t>
            </w:r>
          </w:p>
        </w:tc>
        <w:tc>
          <w:tcPr>
            <w:tcW w:w="225"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C35B0B">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企业端5G+互动/VR</w:t>
            </w:r>
          </w:p>
          <w:p w14:paraId="20966AAE">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环境</w:t>
            </w:r>
          </w:p>
        </w:tc>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83FA92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老师跟踪摄像机</w:t>
            </w:r>
          </w:p>
        </w:tc>
        <w:tc>
          <w:tcPr>
            <w:tcW w:w="38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3020A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1.内置领先的图像识别与跟踪算法，无需任何辅助定位摄像机或者跟踪主机，也可实现对目标快、稳、准的跟踪；</w:t>
            </w:r>
          </w:p>
          <w:p w14:paraId="2C740D2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2.灵活的识别屏蔽区设置，使得跟踪目标一旦锁定，不受其它运动目标或投影仪等干扰的影响；</w:t>
            </w:r>
          </w:p>
          <w:p w14:paraId="68F5B71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3.动作灵敏度可调节，跟踪目标小幅移动以及手部等动作不会造成摄像机的误操作；</w:t>
            </w:r>
          </w:p>
          <w:p w14:paraId="21366F0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4.视频输出接口：LAN口；</w:t>
            </w:r>
          </w:p>
          <w:p w14:paraId="2A6587A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5.视角：59.8°（D） /52.2°（H）/29.4°（V），焦距：f=5.89mm，光圈：F2.20</w:t>
            </w:r>
          </w:p>
          <w:p w14:paraId="0281752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6.支持实时跟踪、电影、区域跟踪多种跟踪模式切换；</w:t>
            </w:r>
          </w:p>
          <w:p w14:paraId="1DA7567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7.采用1/2.8英寸高品质4K CMOS传感器，呈现清晰逼真的超高清视频，生动的展现人物的表情和动作；</w:t>
            </w:r>
          </w:p>
          <w:p w14:paraId="2AAA829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8.采用超无畸变4K镜头，支持3倍电子变倍，同时支持ePTZ控制；</w:t>
            </w:r>
          </w:p>
          <w:p w14:paraId="5B50A3B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9.低噪声CMOS有效地保证了摄像机视频的超高信噪比，即便在超低照度情况下，依然保持画面干净清晰；</w:t>
            </w:r>
          </w:p>
          <w:p w14:paraId="72D29C1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10.支持五码流，同时输出特写主码流、特写子码流、全景主码流、全景子码流和导播码流；</w:t>
            </w:r>
          </w:p>
          <w:p w14:paraId="5911C3E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11.支持PoE，即一条网线同时实现传输供电、控制、视频信号，从而简化接线安装；</w:t>
            </w:r>
          </w:p>
        </w:tc>
        <w:tc>
          <w:tcPr>
            <w:tcW w:w="1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1A0E96">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6AEB68">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64BC3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12B86D">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82FD62">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333577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学生跟踪摄像机</w:t>
            </w:r>
          </w:p>
        </w:tc>
        <w:tc>
          <w:tcPr>
            <w:tcW w:w="38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F986D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1.内置领先的图像识别与跟踪算法，无需任何辅助定位摄像机或者跟踪主机，也可实现对目标快、稳、准的跟踪；</w:t>
            </w:r>
          </w:p>
          <w:p w14:paraId="13BD911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2.灵活的识别屏蔽区设置，使得跟踪目标一旦锁定，不受其它运动目标或投影仪等干扰的影响；</w:t>
            </w:r>
          </w:p>
          <w:p w14:paraId="7DB3D95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3.动作灵敏度可调节，跟踪目标小幅移动以及手部等动作不会造成摄像机的误操作；</w:t>
            </w:r>
          </w:p>
          <w:p w14:paraId="2FE66E3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4.视频输出接口：LAN口；</w:t>
            </w:r>
          </w:p>
          <w:p w14:paraId="65E5006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5.视角：95°（D）/83°(H)/46°(V)，焦距：f=3.24mm，光圈：F2.10</w:t>
            </w:r>
          </w:p>
          <w:p w14:paraId="0028BD8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6.支持实时跟踪、电影、区域跟踪多种跟踪模式切换；</w:t>
            </w:r>
          </w:p>
          <w:p w14:paraId="0B45F93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7.采用1/2.8英寸高品质4K CMOS传感器，呈现清晰逼真的超高清视频，生动的展现人物的表情和动作；</w:t>
            </w:r>
          </w:p>
          <w:p w14:paraId="6A5335F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8.采用超无畸变4K镜头，支持3倍电子变倍，同时支持ePTZ控制；</w:t>
            </w:r>
          </w:p>
          <w:p w14:paraId="09721F8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9.低噪声CMOS有效地保证了摄像机视频的超高信噪比，即便在超低照度情况下，依然保持画面干净清晰；</w:t>
            </w:r>
          </w:p>
          <w:p w14:paraId="6AEC411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10.支持五码流，同时输出特写主码流、特写子码流、全景主码流、全景子码流和导播码流；</w:t>
            </w:r>
          </w:p>
          <w:p w14:paraId="2F62A53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11.支持PoE，即一条网线同时实现传输供电、控制、视频信号，从而简化接线安装；</w:t>
            </w:r>
          </w:p>
        </w:tc>
        <w:tc>
          <w:tcPr>
            <w:tcW w:w="1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5851D7">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4CEEEB0">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7BFD4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B85BA5">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6AC9425D">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BFF82C3">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无感扩声麦克风</w:t>
            </w:r>
          </w:p>
        </w:tc>
        <w:tc>
          <w:tcPr>
            <w:tcW w:w="38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93519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1.无感扩音: 彻底解放演讲者双手，不再受活动空间限制，无需繁琐准备，发挥更自由。</w:t>
            </w:r>
          </w:p>
          <w:p w14:paraId="2812A75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2.互动扩音一键切换: 集成远距离拾音、本地扩音、远程互动等功能，配备红外遥控器，远程互动互动、本地扩音一键切换。</w:t>
            </w:r>
          </w:p>
          <w:p w14:paraId="00B0D93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3.核心音频处理技术: 深度学习降噪和去混响，具有智能降噪、低延时、自动增益控制，在嘈杂环境下也可获得清晰的声音效果。</w:t>
            </w:r>
          </w:p>
          <w:p w14:paraId="42FD669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4.即插即用，无需专业调音: 配备标准 USB2.0 和 3.5mm 音频接口，即插即用，无需专业调音，满足数字和模拟音频双模应用。</w:t>
            </w:r>
          </w:p>
          <w:p w14:paraId="1538306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5.供电方式灵活:支持USB或网络POE两种方式供电，可根据现场情况灵活选择供电方式。</w:t>
            </w:r>
          </w:p>
        </w:tc>
        <w:tc>
          <w:tcPr>
            <w:tcW w:w="1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28621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00F13D">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54D8A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70649D">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A30BD3">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3B1B035">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VR全景摄像头</w:t>
            </w:r>
          </w:p>
        </w:tc>
        <w:tc>
          <w:tcPr>
            <w:tcW w:w="387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0633E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1、8K超高清卓越画质，采用4组高精度光学镜头和高端图像传感器，结合AI计算摄影算法，轻松获得更出色的360°超高清影像效果。</w:t>
            </w:r>
          </w:p>
          <w:p w14:paraId="5D35AA1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2、机内实时图像拼接，搭乘专利拼接算法，告别后期处理，在相机内 自动完成4个镜头的图像拼接，直接输出360°全景画面。</w:t>
            </w:r>
          </w:p>
          <w:p w14:paraId="4FBB10F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3.-20至45℃不惧酷暑严寒，凭借巧妙的硬件结构与特有散热技术，保证相 机在零下20°C超低温和45°C酷热环境0故障稳定运行。</w:t>
            </w:r>
          </w:p>
          <w:p w14:paraId="2D90154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4.全自动化24/7运行，一次设置，7*24小时不间断全景直播。如遇到断电、系统崩溃等意外情况，无须进行繁琐的人工操作和配置，相机在恢 复供电后能自动重启联网，进入最近一次自动保存的状态。</w:t>
            </w:r>
          </w:p>
          <w:p w14:paraId="6ECB1E3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5.裸机IP65高效防潮，采用精选铝合金 金属材料打造，整体感观英朗精致，整机具备全面IP65 防护标准，能有效应对电力设备防潮工作，保障设备不 被侵蚀。</w:t>
            </w:r>
          </w:p>
          <w:p w14:paraId="734AB34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6.支持多管理平台，全景直播相机可以通过圆周率眺望者远程控制系统或接入GB28181协议进行摄像头的批量访问和统一管理。</w:t>
            </w:r>
          </w:p>
          <w:p w14:paraId="47A20F9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7.先进航空接口，支持PoE供电:集成功能强大的航空接口实现以太网供电和数据传输，一线 两用，降低了线缆效率损耗和维护成本。无须繁杂的布线，安装简洁，开箱即用。</w:t>
            </w:r>
          </w:p>
          <w:p w14:paraId="4B465B0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8.Wi-Fi/有线联网，支持通过Wi-Fi、有线联网，独特的天线设计确保全天侯接收最强信号，更快更稳。</w:t>
            </w:r>
          </w:p>
          <w:p w14:paraId="0829514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9.协议接入和分发，支持GB28281控制协议，提供 RTSP、RTMP等多种协议流输出，支持视频上云和全终端播放。</w:t>
            </w:r>
          </w:p>
        </w:tc>
        <w:tc>
          <w:tcPr>
            <w:tcW w:w="1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8D8FB4">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D2EE0A">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4F979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118509">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D0A5A2">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B3AF5F">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360°全景VR直播套件</w:t>
            </w:r>
          </w:p>
        </w:tc>
        <w:tc>
          <w:tcPr>
            <w:tcW w:w="387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65B30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1.支持公网、专网等环境下的直播快速分发、高并发等直播推拉流功能；</w:t>
            </w:r>
          </w:p>
          <w:p w14:paraId="4AC0CCA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2.支持4K/8K全景视频流的推拉流，支持Pilot 8K视频协议；</w:t>
            </w:r>
          </w:p>
          <w:p w14:paraId="322A395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3.支持传统平面相机、全景相机、OBS、视频助手等各类设备及软件的推流；</w:t>
            </w:r>
          </w:p>
          <w:p w14:paraId="14941D9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4.支持标准rtmp推流协议；</w:t>
            </w:r>
          </w:p>
          <w:p w14:paraId="359D4FE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5.支持VLC、Potplayer等市面传统播放器拉流观看，也兼容全景专用视频软件拉流观看。</w:t>
            </w:r>
          </w:p>
          <w:p w14:paraId="12BB501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6.流媒体支持独立部署，在高并发需求下同时支持集群部署方案；</w:t>
            </w:r>
          </w:p>
          <w:p w14:paraId="3EEB22C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7.视频4K分辨率为3840*1920，8K分辨率为7680*3840；</w:t>
            </w:r>
          </w:p>
          <w:p w14:paraId="7FD1BCB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8.流媒体服务器的地址为 rtmp://流媒体服务器IP/live/XXX格式，需支持自主定义直播秘钥，需支持服务器固定IP为推拉流地址定义。</w:t>
            </w:r>
          </w:p>
          <w:p w14:paraId="5C476383">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9.配置环境要求：处理器需具备多核高性能计算能力,64G及以上固态硬盘，确保不低于2路信号流畅直播。</w:t>
            </w:r>
          </w:p>
        </w:tc>
        <w:tc>
          <w:tcPr>
            <w:tcW w:w="1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7AC4D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7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54192C">
            <w:pPr>
              <w:keepNext w:val="0"/>
              <w:keepLines w:val="0"/>
              <w:pageBreakBefore w:val="0"/>
              <w:widowControl/>
              <w:suppressLineNumbers w:val="0"/>
              <w:kinsoku/>
              <w:wordWrap/>
              <w:overflowPunct/>
              <w:topLinePunct w:val="0"/>
              <w:autoSpaceDE/>
              <w:autoSpaceDN/>
              <w:bidi w:val="0"/>
              <w:adjustRightInd/>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47A3D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F04D7D">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225"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3B17DF">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教学资源</w:t>
            </w:r>
          </w:p>
        </w:tc>
        <w:tc>
          <w:tcPr>
            <w:tcW w:w="35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57C1429">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全景创新课堂AI教学资源</w:t>
            </w:r>
          </w:p>
        </w:tc>
        <w:tc>
          <w:tcPr>
            <w:tcW w:w="387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A8E357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每套资源提供1个全景创新课堂AI教学资源定制开发服务。依托包括但不限于医学特殊情景，帮助学生理解理论，并基于全景教学实验空间在虛拟仿真的3D场景中进行实践。通过虚拟仿真实验，为学生提供真实场景浸入感，提高教学的吸引力，同时增强学生的体验感和案例讨论的趣味性。</w:t>
            </w:r>
          </w:p>
          <w:p w14:paraId="4063450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1.系统要求 </w:t>
            </w:r>
          </w:p>
          <w:p w14:paraId="577ADCD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（1）可以针对全景教学实验空间进行交互及界面适配，可在全景教学实验空间使用全景创新课堂AI教学资源完成教学活动。 </w:t>
            </w:r>
          </w:p>
          <w:p w14:paraId="16DFB81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（2）要求系统通过主流的三维仿真技术进行研发，包括建立真实三维模型和功能需求开发。 实验报告功能，教师可基于全景教学空间评选优秀实验报告，并展示给所有学生查看学习，促进学生间的学习交流。</w:t>
            </w:r>
          </w:p>
          <w:p w14:paraId="3C4003D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提供医学及健康管理特色的AI智能仿真教学资源定制开发服务，涵盖医学特殊情境、核心病例推演、急慢病管理、康复评估、心理干预等模块。适配多场景、多模式的AI全景互动教学，实现理论与实操、课堂与实训、主讲与协作一体化的空间创新体验。</w:t>
            </w:r>
          </w:p>
          <w:p w14:paraId="64D3691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2.系统内容 </w:t>
            </w:r>
          </w:p>
          <w:p w14:paraId="7666651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包含三个模块，理论学习、仿真实操和智能考核，三大核心子系统，所有教学活动支持在全景实验空间或虚拟仿真3D场景内完成。</w:t>
            </w:r>
          </w:p>
          <w:p w14:paraId="37CD2E4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（1）理论学习：覆盖实验项目介绍、权威病例剖析、场景化知识拓展、流程图/动画/视频/图文交互测试等，具备课程展示页与师资展示功能。</w:t>
            </w:r>
          </w:p>
          <w:p w14:paraId="068D7A6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（2）实操练习：搭建仿真场景环境，完整还原标准操作步骤，支持5-10步互动训练与实时引导，包括交互按钮、步骤提示、分组协作、成绩自动记录等。</w:t>
            </w:r>
          </w:p>
          <w:p w14:paraId="0B8D9AF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（3）知识考核：通过设置考核题目（选择、判断、填空、病例分析等），对学习者进行实验知识考核,考核成绩及作答情况可以后台自动记录，支持成绩可视化与优秀案例班级展示。</w:t>
            </w:r>
          </w:p>
          <w:p w14:paraId="6388F2F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3.模型动画技术要求 </w:t>
            </w:r>
          </w:p>
          <w:p w14:paraId="13640F4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（1）必须按照1：1制作指定场景，如试验现场、材料、试验设备和工具等； </w:t>
            </w:r>
          </w:p>
          <w:p w14:paraId="140F26C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（2）标准化建模，引擎场景要做到最大优化，保证系统流畅运行； </w:t>
            </w:r>
          </w:p>
          <w:p w14:paraId="54F1E086">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（3）有近距离交互功能模型需要精细建模，单体模型不能有穿插； </w:t>
            </w:r>
          </w:p>
          <w:p w14:paraId="1079D03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（4）场景内模型不能有闪面、重面、破面，不能有多边面；</w:t>
            </w:r>
          </w:p>
          <w:p w14:paraId="4B0A7DC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（5）布线基于结构优化表现，所有模型必须都要有光滑组，光滑组处理符合标准； </w:t>
            </w:r>
          </w:p>
          <w:p w14:paraId="37386348">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（6）模型UV需要最大限度的利用UV空间，减少接缝； </w:t>
            </w:r>
          </w:p>
          <w:p w14:paraId="7F7A823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（7）系统需进行场景烘焙，烘焙不能曝光过度，不能有黑边现象，烘焙方式视场景优化情况而定； </w:t>
            </w:r>
          </w:p>
          <w:p w14:paraId="4BA79C3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（8）系统场景动画要求真实、自然，符合仿真训练要求； </w:t>
            </w:r>
          </w:p>
          <w:p w14:paraId="263682C1">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（9）系统场景帧率理想情况下大于60帧，最低不低于30帧。 </w:t>
            </w:r>
          </w:p>
          <w:p w14:paraId="096CA06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高标准还原真实医疗场景，三维模型按照1:1建模，具备典型性、比例合理、光源与阴影、法线/高光/颜色贴图等细节优化。全部模型与场景支持多视角切换与交互，动画仿真流畅（理想帧率≥60帧，最低不低于30帧），支持近距离交互与步骤演练，杜绝穿插、闪面、重面、破面等技术缺陷。支持场景烘焙（无黑边、无过曝），模型布线与UV最大化利用，保证视觉与操作体验。</w:t>
            </w:r>
          </w:p>
          <w:p w14:paraId="4866F680">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交互与界面体验：操作方式简洁直观，符合医学教学实际，支持自由视角漫游与智能提示，系统不能卡顿、崩溃、无抖动黑色拖尾。二维界面风格与课程内容紧密结合，支持课件、图片、视频、多模式展示。支持教师16:9PPT展示。</w:t>
            </w:r>
          </w:p>
          <w:p w14:paraId="0CBA765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（12）资源应免费提供并开放接口，支持接入学校后期建设的相关平台，质保期内免费配合平台接入事宜。</w:t>
            </w:r>
          </w:p>
          <w:p w14:paraId="3E4C1C3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4.其他要求 </w:t>
            </w:r>
          </w:p>
          <w:p w14:paraId="1B277C8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（1）真实3D模型设计需具有典型性、还原逼真、比例适当、应具有光源影响和阴影效果，利于学生熟悉真实场景，提高实验效果。 </w:t>
            </w:r>
          </w:p>
          <w:p w14:paraId="7928D35F">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（2）系统实验场景内的全部模型需要采用法线贴图来描绘物体表面细节的凸凹变化 、使用颜色贴图表现物体的颜色和纹理、使用高光贴图表现物体在光线照射条件下体现出的质感。 </w:t>
            </w:r>
          </w:p>
          <w:p w14:paraId="30C3743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（3）系统操作方式简洁、直观、易于理解，符合常规操作习惯；操作应自由灵活，符合实际情况；系统不能卡顿，崩溃或丢失数据；应用程序必须摆脱颠簸、抖动和黑 色拖尾效应。 </w:t>
            </w:r>
          </w:p>
          <w:p w14:paraId="2E41B1C5">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（4）系统二维界面应符合课程特色，与学科内容相结合。</w:t>
            </w:r>
          </w:p>
          <w:p w14:paraId="1022515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为保证资源建设的质量，中标单位需邀请学校认可的第三方检验机构对课程质量进行评估。</w:t>
            </w:r>
          </w:p>
          <w:p w14:paraId="676C24A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（5）中标单位需协助院校邀请专家对资源质量及5G+教学空间适配运行情况进行评估，并持续优化。质保期内，配合学校参与教学能力竞赛、教学成果奖申报等相关工作，助力课程资源高水平申报与推广。</w:t>
            </w:r>
          </w:p>
          <w:p w14:paraId="6BC0F0B7">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★（6）3套资源应不少于3门不同的课程，3门课程资源总课时≥96节，每门课程包括8-10个模块，每个模块包括对应的全景实训视频、VR/AR沉浸交互资源、智能数字人模型、交互动画和宣教短片。</w:t>
            </w:r>
          </w:p>
          <w:p w14:paraId="08FAEEE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5.固化成果与创新推广</w:t>
            </w:r>
          </w:p>
          <w:p w14:paraId="5FB1C8E4">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投标人须提供承诺函，承诺配备一个服务小组全力配合采购人利用全景AI资源库和数字课程成果，推进课堂革命，力争省级课堂革命成功案例≥2项，覆盖老龄产业、护理、康复、临床等系部。全力配合组织教师教学能力大赛，争取湖南省职业能力比赛获奖2项，提升团队创新能力。</w:t>
            </w:r>
          </w:p>
          <w:p w14:paraId="0605E4F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（2）投标人须提供承诺函，承诺配备一个服务小组全力配合采购人利用3套资源争取申请并取得3-5项实用新型专利，内容涵盖数字仿真场景、教学工具等。</w:t>
            </w:r>
          </w:p>
          <w:p w14:paraId="1F6B9FF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（3）投标人须提供承诺函，承诺配备一个服务小组全力配合采购人以3套资源为依托，争取取得不少于1项省级或省级以上教学教改成果，包括但不限于优秀案例或精品在线开放课程或教学能力大赛等。</w:t>
            </w:r>
          </w:p>
        </w:tc>
        <w:tc>
          <w:tcPr>
            <w:tcW w:w="1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325C64">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7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A8E9968">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6F269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202"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29AAB4">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225"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73F660">
            <w:pPr>
              <w:keepNext w:val="0"/>
              <w:keepLines w:val="0"/>
              <w:pageBreakBefore w:val="0"/>
              <w:kinsoku/>
              <w:wordWrap/>
              <w:overflowPunct/>
              <w:topLinePunct w:val="0"/>
              <w:autoSpaceDE/>
              <w:autoSpaceDN/>
              <w:bidi w:val="0"/>
              <w:adjustRightInd/>
              <w:snapToGrid w:val="0"/>
              <w:ind w:firstLine="0" w:firstLineChars="0"/>
              <w:jc w:val="center"/>
              <w:rPr>
                <w:rFonts w:hint="eastAsia" w:ascii="宋体" w:hAnsi="宋体" w:eastAsia="宋体" w:cs="宋体"/>
                <w:b/>
                <w:bCs/>
                <w:i w:val="0"/>
                <w:iCs w:val="0"/>
                <w:color w:val="auto"/>
                <w:sz w:val="21"/>
                <w:szCs w:val="21"/>
                <w:highlight w:val="none"/>
                <w:u w:val="none"/>
              </w:rPr>
            </w:pPr>
          </w:p>
        </w:tc>
        <w:tc>
          <w:tcPr>
            <w:tcW w:w="35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E71201">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全景党建资源</w:t>
            </w:r>
          </w:p>
        </w:tc>
        <w:tc>
          <w:tcPr>
            <w:tcW w:w="387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000482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为辅助教学开展，提供配套虚拟党建环屏适配资源，虚拟资源需根据LED环屏尺寸进行适配，保证展馆显示动态并建模还原真实展馆参观效果。通过虚拟解说员，带领体验者体验整个展馆过程，内含自由模式和非自由模式随意切换、支持统一播控，方便集体学习，支持互动交互包括视频、图片点击等，每个主题应不少于30分钟体验时间</w:t>
            </w:r>
          </w:p>
          <w:p w14:paraId="25EF18EE">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展馆应包含论中国共产党历史、建党100周年、中国人民抗日战争、习近平新时代中国特色社会主义思想、新时代中国特色大国外交等主题内容供学校选择。</w:t>
            </w:r>
          </w:p>
        </w:tc>
        <w:tc>
          <w:tcPr>
            <w:tcW w:w="1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682DF0">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w:t>
            </w:r>
          </w:p>
        </w:tc>
        <w:tc>
          <w:tcPr>
            <w:tcW w:w="17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2BB941F">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项</w:t>
            </w:r>
          </w:p>
        </w:tc>
      </w:tr>
      <w:tr w14:paraId="15787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6" w:hRule="atLeast"/>
        </w:trPr>
        <w:tc>
          <w:tcPr>
            <w:tcW w:w="20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5EEC6D">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22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2FEE58F">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环境改造</w:t>
            </w:r>
          </w:p>
        </w:tc>
        <w:tc>
          <w:tcPr>
            <w:tcW w:w="35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C6BCD8">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环境改造</w:t>
            </w:r>
          </w:p>
        </w:tc>
        <w:tc>
          <w:tcPr>
            <w:tcW w:w="387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E446E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1、中标后7日内向学校提供环境改造效果图，经学校确认后方可改造，否则一切损失由中标单位承担；</w:t>
            </w:r>
          </w:p>
          <w:p w14:paraId="204ADD79">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2、包含全景空间内墙面国标轻钢龙骨石膏贴面板隔墙，吸音板定制与造型；</w:t>
            </w:r>
          </w:p>
          <w:p w14:paraId="706BF01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3、包含全景环幕设备区防静电地板(约48平方米)，其它区域地面专用水泥基材料做地面找平,铺贴定制地毯(约184平方米)；</w:t>
            </w:r>
          </w:p>
          <w:p w14:paraId="2F0DA6EA">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4、包含全景空间区域吊顶、窗帘导轨、窗帘盒等安装；</w:t>
            </w:r>
          </w:p>
          <w:p w14:paraId="68C5148C">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5、包含设备间区域矿棉板吊顶(约48平方米)，其它区域喷涂重色有机涂料(约184平方米)；</w:t>
            </w:r>
          </w:p>
          <w:p w14:paraId="7E55560B">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6、包含顶面照明布线,装饰照明设备安装；</w:t>
            </w:r>
          </w:p>
          <w:p w14:paraId="79FB29B2">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7、包含全景空间内影响施工的原有设备的拆除与安装及其他五金安装；</w:t>
            </w:r>
          </w:p>
          <w:p w14:paraId="051514ED">
            <w:pPr>
              <w:keepNext w:val="0"/>
              <w:keepLines w:val="0"/>
              <w:pageBreakBefore w:val="0"/>
              <w:widowControl/>
              <w:suppressLineNumbers w:val="0"/>
              <w:kinsoku/>
              <w:wordWrap/>
              <w:overflowPunct/>
              <w:topLinePunct w:val="0"/>
              <w:autoSpaceDE/>
              <w:autoSpaceDN/>
              <w:bidi w:val="0"/>
              <w:adjustRightInd/>
              <w:snapToGrid w:val="0"/>
              <w:ind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8、包含不少于10米可移动屏风隔断，不少于6组墙柜定制，不少于8组墙插布线，8个弱电信息点，配套开关等。</w:t>
            </w:r>
          </w:p>
        </w:tc>
        <w:tc>
          <w:tcPr>
            <w:tcW w:w="17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154DCE">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7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3718F3">
            <w:pPr>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项</w:t>
            </w:r>
          </w:p>
        </w:tc>
      </w:tr>
    </w:tbl>
    <w:p w14:paraId="56354CD8">
      <w:pPr>
        <w:pStyle w:val="25"/>
        <w:adjustRightInd w:val="0"/>
        <w:snapToGrid w:val="0"/>
        <w:spacing w:line="380" w:lineRule="exact"/>
        <w:rPr>
          <w:rStyle w:val="18"/>
          <w:rFonts w:hint="eastAsia" w:ascii="宋体" w:hAnsi="宋体" w:eastAsia="宋体" w:cs="宋体"/>
          <w:b/>
          <w:color w:val="auto"/>
          <w:sz w:val="21"/>
          <w:szCs w:val="21"/>
          <w:highlight w:val="none"/>
          <w:lang w:val="en-US" w:eastAsia="zh-CN"/>
        </w:rPr>
      </w:pPr>
      <w:r>
        <w:rPr>
          <w:rStyle w:val="18"/>
          <w:rFonts w:hint="eastAsia" w:ascii="宋体" w:hAnsi="宋体" w:eastAsia="宋体" w:cs="宋体"/>
          <w:b/>
          <w:color w:val="auto"/>
          <w:sz w:val="21"/>
          <w:szCs w:val="21"/>
          <w:highlight w:val="none"/>
          <w:lang w:val="en-US" w:eastAsia="zh-CN"/>
        </w:rPr>
        <w:t>注：</w:t>
      </w:r>
      <w:r>
        <w:rPr>
          <w:rStyle w:val="18"/>
          <w:rFonts w:hint="eastAsia" w:ascii="宋体" w:hAnsi="宋体" w:cs="宋体"/>
          <w:b/>
          <w:color w:val="auto"/>
          <w:sz w:val="21"/>
          <w:szCs w:val="21"/>
          <w:highlight w:val="none"/>
          <w:lang w:val="en-US" w:eastAsia="zh-CN"/>
        </w:rPr>
        <w:t>1</w:t>
      </w:r>
      <w:r>
        <w:rPr>
          <w:rStyle w:val="18"/>
          <w:rFonts w:hint="eastAsia" w:ascii="宋体" w:hAnsi="宋体" w:eastAsia="宋体" w:cs="宋体"/>
          <w:b/>
          <w:color w:val="auto"/>
          <w:sz w:val="21"/>
          <w:szCs w:val="21"/>
          <w:highlight w:val="none"/>
          <w:lang w:val="en-US" w:eastAsia="zh-CN"/>
        </w:rPr>
        <w:t>投标人所投产品必须满足或者优于以上参数。</w:t>
      </w:r>
    </w:p>
    <w:p w14:paraId="2555B5BD">
      <w:pPr>
        <w:pStyle w:val="31"/>
        <w:ind w:firstLine="210" w:firstLineChars="100"/>
        <w:rPr>
          <w:rStyle w:val="18"/>
          <w:rFonts w:hint="eastAsia" w:ascii="宋体" w:hAnsi="宋体" w:eastAsia="宋体" w:cs="宋体"/>
          <w:b/>
          <w:bCs/>
          <w:color w:val="auto"/>
          <w:sz w:val="21"/>
          <w:szCs w:val="21"/>
          <w:highlight w:val="none"/>
          <w:lang w:val="en-US" w:eastAsia="zh-CN"/>
        </w:rPr>
      </w:pPr>
      <w:r>
        <w:rPr>
          <w:rStyle w:val="18"/>
          <w:rFonts w:hint="eastAsia" w:ascii="宋体" w:hAnsi="宋体" w:eastAsia="宋体" w:cs="宋体"/>
          <w:color w:val="auto"/>
          <w:sz w:val="21"/>
          <w:szCs w:val="21"/>
          <w:highlight w:val="none"/>
        </w:rPr>
        <w:t>★</w:t>
      </w:r>
      <w:r>
        <w:rPr>
          <w:rStyle w:val="18"/>
          <w:rFonts w:hint="eastAsia" w:ascii="宋体" w:hAnsi="宋体" w:eastAsia="宋体" w:cs="宋体"/>
          <w:b/>
          <w:bCs w:val="0"/>
          <w:color w:val="auto"/>
          <w:sz w:val="21"/>
          <w:szCs w:val="21"/>
          <w:highlight w:val="none"/>
          <w:lang w:val="en-US" w:eastAsia="zh-CN"/>
        </w:rPr>
        <w:t>2</w:t>
      </w:r>
      <w:r>
        <w:rPr>
          <w:rStyle w:val="18"/>
          <w:rFonts w:hint="eastAsia" w:ascii="宋体" w:hAnsi="宋体" w:eastAsia="宋体" w:cs="宋体"/>
          <w:b/>
          <w:bCs/>
          <w:color w:val="auto"/>
          <w:sz w:val="21"/>
          <w:szCs w:val="21"/>
          <w:highlight w:val="none"/>
          <w:lang w:val="en-US" w:eastAsia="zh-CN"/>
        </w:rPr>
        <w:t>其他</w:t>
      </w:r>
    </w:p>
    <w:p w14:paraId="7AB4961B">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2.1</w:t>
      </w:r>
      <w:r>
        <w:rPr>
          <w:rStyle w:val="18"/>
          <w:rFonts w:hint="default" w:ascii="宋体" w:hAnsi="宋体" w:eastAsia="宋体" w:cs="宋体"/>
          <w:b/>
          <w:bCs/>
          <w:color w:val="auto"/>
          <w:sz w:val="21"/>
          <w:szCs w:val="21"/>
          <w:highlight w:val="none"/>
          <w:lang w:val="en-US" w:eastAsia="zh-CN"/>
        </w:rPr>
        <w:t>集成工程要求</w:t>
      </w:r>
      <w:r>
        <w:rPr>
          <w:rStyle w:val="18"/>
          <w:rFonts w:hint="default" w:ascii="宋体" w:hAnsi="宋体" w:eastAsia="宋体" w:cs="宋体"/>
          <w:b/>
          <w:bCs/>
          <w:color w:val="auto"/>
          <w:sz w:val="21"/>
          <w:szCs w:val="21"/>
          <w:highlight w:val="none"/>
          <w:lang w:val="en-US" w:eastAsia="zh-CN"/>
        </w:rPr>
        <w:tab/>
      </w:r>
      <w:r>
        <w:rPr>
          <w:rStyle w:val="18"/>
          <w:rFonts w:hint="default" w:ascii="宋体" w:hAnsi="宋体" w:eastAsia="宋体" w:cs="宋体"/>
          <w:b/>
          <w:bCs/>
          <w:color w:val="auto"/>
          <w:sz w:val="21"/>
          <w:szCs w:val="21"/>
          <w:highlight w:val="none"/>
          <w:lang w:val="en-US" w:eastAsia="zh-CN"/>
        </w:rPr>
        <w:t>本项目为交钥匙工程。为支持或实现技术参数要求的所有项目内容（包括但不限于安装调试服务、支撑货物运行的软件系统安装与配置），以及施工过程中涉及的软硬件、配件、配电系统、强弱电布线、辅材，装饰装修及原有设备的拆除及复原等各类费用</w:t>
      </w:r>
      <w:r>
        <w:rPr>
          <w:rStyle w:val="18"/>
          <w:rFonts w:hint="eastAsia" w:ascii="宋体" w:hAnsi="宋体" w:eastAsia="宋体" w:cs="宋体"/>
          <w:b/>
          <w:bCs/>
          <w:color w:val="auto"/>
          <w:sz w:val="21"/>
          <w:szCs w:val="21"/>
          <w:highlight w:val="none"/>
          <w:lang w:val="en-US" w:eastAsia="zh-CN"/>
        </w:rPr>
        <w:t>等</w:t>
      </w:r>
      <w:r>
        <w:rPr>
          <w:rStyle w:val="18"/>
          <w:rFonts w:hint="default" w:ascii="宋体" w:hAnsi="宋体" w:eastAsia="宋体" w:cs="宋体"/>
          <w:b/>
          <w:bCs/>
          <w:color w:val="auto"/>
          <w:sz w:val="21"/>
          <w:szCs w:val="21"/>
          <w:highlight w:val="none"/>
          <w:lang w:val="en-US" w:eastAsia="zh-CN"/>
        </w:rPr>
        <w:t>，</w:t>
      </w:r>
      <w:r>
        <w:rPr>
          <w:rStyle w:val="18"/>
          <w:rFonts w:hint="eastAsia" w:ascii="宋体" w:hAnsi="宋体" w:eastAsia="宋体" w:cs="宋体"/>
          <w:color w:val="auto"/>
          <w:sz w:val="21"/>
          <w:szCs w:val="21"/>
          <w:highlight w:val="none"/>
          <w:lang w:val="en-US" w:eastAsia="zh-CN"/>
        </w:rPr>
        <w:t>以上所有可能产生的费用投标人应计入投标报价中，如一旦中标，在项目实施中出现任何遗漏，均由中标人负责，采购人不再支付任何费用</w:t>
      </w:r>
      <w:r>
        <w:rPr>
          <w:rStyle w:val="18"/>
          <w:rFonts w:hint="default" w:ascii="宋体" w:hAnsi="宋体" w:eastAsia="宋体" w:cs="宋体"/>
          <w:b/>
          <w:bCs/>
          <w:color w:val="auto"/>
          <w:sz w:val="21"/>
          <w:szCs w:val="21"/>
          <w:highlight w:val="none"/>
          <w:lang w:val="en-US" w:eastAsia="zh-CN"/>
        </w:rPr>
        <w:t>。</w:t>
      </w:r>
    </w:p>
    <w:p w14:paraId="2F580FEA">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2.2</w:t>
      </w:r>
      <w:r>
        <w:rPr>
          <w:rStyle w:val="18"/>
          <w:rFonts w:hint="default" w:ascii="宋体" w:hAnsi="宋体" w:eastAsia="宋体" w:cs="宋体"/>
          <w:b/>
          <w:bCs/>
          <w:color w:val="auto"/>
          <w:sz w:val="21"/>
          <w:szCs w:val="21"/>
          <w:highlight w:val="none"/>
          <w:lang w:val="en-US" w:eastAsia="zh-CN"/>
        </w:rPr>
        <w:t>总体要求</w:t>
      </w:r>
      <w:r>
        <w:rPr>
          <w:rStyle w:val="18"/>
          <w:rFonts w:hint="default" w:ascii="宋体" w:hAnsi="宋体" w:eastAsia="宋体" w:cs="宋体"/>
          <w:b/>
          <w:bCs/>
          <w:color w:val="auto"/>
          <w:sz w:val="21"/>
          <w:szCs w:val="21"/>
          <w:highlight w:val="none"/>
          <w:lang w:val="en-US" w:eastAsia="zh-CN"/>
        </w:rPr>
        <w:tab/>
      </w:r>
    </w:p>
    <w:p w14:paraId="3FEAA442">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2.2.</w:t>
      </w:r>
      <w:r>
        <w:rPr>
          <w:rStyle w:val="18"/>
          <w:rFonts w:hint="default" w:ascii="宋体" w:hAnsi="宋体" w:eastAsia="宋体" w:cs="宋体"/>
          <w:b/>
          <w:bCs/>
          <w:color w:val="auto"/>
          <w:sz w:val="21"/>
          <w:szCs w:val="21"/>
          <w:highlight w:val="none"/>
          <w:lang w:val="en-US" w:eastAsia="zh-CN"/>
        </w:rPr>
        <w:t>1、稳定性：系统架构设计合理，支持主备、双活、集群部署等行业主流方式，并遵循开放标准。</w:t>
      </w:r>
    </w:p>
    <w:p w14:paraId="2206A4A8">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2.2.</w:t>
      </w:r>
      <w:r>
        <w:rPr>
          <w:rStyle w:val="18"/>
          <w:rFonts w:hint="default" w:ascii="宋体" w:hAnsi="宋体" w:eastAsia="宋体" w:cs="宋体"/>
          <w:b/>
          <w:bCs/>
          <w:color w:val="auto"/>
          <w:sz w:val="21"/>
          <w:szCs w:val="21"/>
          <w:highlight w:val="none"/>
          <w:lang w:val="en-US" w:eastAsia="zh-CN"/>
        </w:rPr>
        <w:t>2、兼容性：提供PC端与手机端的自适应显示效果。PC端系统应保证Windows 10及其以上版本客户端的正常使用，浏览器兼容IE10及其以上版本，并同时兼容非IE内核浏览器，如360、谷歌、火狐、搜狗等，移动端应保证在IOS、Android等系统与浏览器上正常使用。</w:t>
      </w:r>
    </w:p>
    <w:p w14:paraId="5AFB4672">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2.2.</w:t>
      </w:r>
      <w:r>
        <w:rPr>
          <w:rStyle w:val="18"/>
          <w:rFonts w:hint="default" w:ascii="宋体" w:hAnsi="宋体" w:eastAsia="宋体" w:cs="宋体"/>
          <w:b/>
          <w:bCs/>
          <w:color w:val="auto"/>
          <w:sz w:val="21"/>
          <w:szCs w:val="21"/>
          <w:highlight w:val="none"/>
          <w:lang w:val="en-US" w:eastAsia="zh-CN"/>
        </w:rPr>
        <w:t>3、可审计：系统具备日志跟踪与分析功能，提供详尽的用户操作日志，提供丰富的查询方式，供追溯和追责。</w:t>
      </w:r>
    </w:p>
    <w:p w14:paraId="0A9B072C">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2.3</w:t>
      </w:r>
      <w:r>
        <w:rPr>
          <w:rStyle w:val="18"/>
          <w:rFonts w:hint="default" w:ascii="宋体" w:hAnsi="宋体" w:eastAsia="宋体" w:cs="宋体"/>
          <w:b/>
          <w:bCs/>
          <w:color w:val="auto"/>
          <w:sz w:val="21"/>
          <w:szCs w:val="21"/>
          <w:highlight w:val="none"/>
          <w:lang w:val="en-US" w:eastAsia="zh-CN"/>
        </w:rPr>
        <w:t>安全性</w:t>
      </w:r>
      <w:r>
        <w:rPr>
          <w:rStyle w:val="18"/>
          <w:rFonts w:hint="default" w:ascii="宋体" w:hAnsi="宋体" w:eastAsia="宋体" w:cs="宋体"/>
          <w:b/>
          <w:bCs/>
          <w:color w:val="auto"/>
          <w:sz w:val="21"/>
          <w:szCs w:val="21"/>
          <w:highlight w:val="none"/>
          <w:lang w:val="en-US" w:eastAsia="zh-CN"/>
        </w:rPr>
        <w:tab/>
      </w:r>
    </w:p>
    <w:p w14:paraId="04276F0E">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2.3.</w:t>
      </w:r>
      <w:r>
        <w:rPr>
          <w:rStyle w:val="18"/>
          <w:rFonts w:hint="default" w:ascii="宋体" w:hAnsi="宋体" w:eastAsia="宋体" w:cs="宋体"/>
          <w:b/>
          <w:bCs/>
          <w:color w:val="auto"/>
          <w:sz w:val="21"/>
          <w:szCs w:val="21"/>
          <w:highlight w:val="none"/>
          <w:lang w:val="en-US" w:eastAsia="zh-CN"/>
        </w:rPr>
        <w:t>1、</w:t>
      </w:r>
      <w:r>
        <w:rPr>
          <w:rStyle w:val="18"/>
          <w:rFonts w:hint="eastAsia" w:ascii="宋体" w:hAnsi="宋体" w:eastAsia="宋体" w:cs="宋体"/>
          <w:b/>
          <w:bCs/>
          <w:color w:val="auto"/>
          <w:sz w:val="21"/>
          <w:szCs w:val="21"/>
          <w:highlight w:val="none"/>
          <w:lang w:val="en-US" w:eastAsia="zh-CN"/>
        </w:rPr>
        <w:t>投标人须提供承诺函，承诺：</w:t>
      </w:r>
      <w:r>
        <w:rPr>
          <w:rStyle w:val="18"/>
          <w:rFonts w:hint="default" w:ascii="宋体" w:hAnsi="宋体" w:eastAsia="宋体" w:cs="宋体"/>
          <w:b/>
          <w:bCs/>
          <w:color w:val="auto"/>
          <w:sz w:val="21"/>
          <w:szCs w:val="21"/>
          <w:highlight w:val="none"/>
          <w:lang w:val="en-US" w:eastAsia="zh-CN"/>
        </w:rPr>
        <w:t>信息系统符合网络安全等级保护2.0标准的第二级或以上要求，并提供全生命周期内的网络安全保障和整改服务。在学校私有云平台部署前，信息系统须满足以下3项要求中的至少1项。</w:t>
      </w:r>
    </w:p>
    <w:p w14:paraId="32407787">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default" w:ascii="宋体" w:hAnsi="宋体" w:eastAsia="宋体" w:cs="宋体"/>
          <w:b/>
          <w:bCs/>
          <w:color w:val="auto"/>
          <w:sz w:val="21"/>
          <w:szCs w:val="21"/>
          <w:highlight w:val="none"/>
          <w:lang w:val="en-US" w:eastAsia="zh-CN"/>
        </w:rPr>
        <w:t>（1）提供近两年由公安机关出具的备案证明或等级保护测评机构出具的等级保护测评报告，备案证明和等级保护测评报告的信息系统版本号与实际部署的信息系统版本号一致；</w:t>
      </w:r>
    </w:p>
    <w:p w14:paraId="3FFC9112">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default" w:ascii="宋体" w:hAnsi="宋体" w:eastAsia="宋体" w:cs="宋体"/>
          <w:b/>
          <w:bCs/>
          <w:color w:val="auto"/>
          <w:sz w:val="21"/>
          <w:szCs w:val="21"/>
          <w:highlight w:val="none"/>
          <w:lang w:val="en-US" w:eastAsia="zh-CN"/>
        </w:rPr>
        <w:t>（2）提供有相关资质的网络安全风险评估公司出具的风险评估报告，风险评估报告的信息系统版本号与实际部署的信息系统版本号一致。</w:t>
      </w:r>
    </w:p>
    <w:p w14:paraId="0786A0E0">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default" w:ascii="宋体" w:hAnsi="宋体" w:eastAsia="宋体" w:cs="宋体"/>
          <w:b/>
          <w:bCs/>
          <w:color w:val="auto"/>
          <w:sz w:val="21"/>
          <w:szCs w:val="21"/>
          <w:highlight w:val="none"/>
          <w:lang w:val="en-US" w:eastAsia="zh-CN"/>
        </w:rPr>
        <w:t>（3）网络安全设备提供公安部的《网络安全专用产品安全检测证书》。（备注：第1项、第2项和第3项根据实际情况选择其中1项）</w:t>
      </w:r>
    </w:p>
    <w:p w14:paraId="7638E99C">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2.3.</w:t>
      </w:r>
      <w:r>
        <w:rPr>
          <w:rStyle w:val="18"/>
          <w:rFonts w:hint="default" w:ascii="宋体" w:hAnsi="宋体" w:eastAsia="宋体" w:cs="宋体"/>
          <w:b/>
          <w:bCs/>
          <w:color w:val="auto"/>
          <w:sz w:val="21"/>
          <w:szCs w:val="21"/>
          <w:highlight w:val="none"/>
          <w:lang w:val="en-US" w:eastAsia="zh-CN"/>
        </w:rPr>
        <w:t>2、</w:t>
      </w:r>
      <w:r>
        <w:rPr>
          <w:rStyle w:val="18"/>
          <w:rFonts w:hint="eastAsia" w:ascii="宋体" w:hAnsi="宋体" w:eastAsia="宋体" w:cs="宋体"/>
          <w:b/>
          <w:bCs/>
          <w:color w:val="auto"/>
          <w:sz w:val="21"/>
          <w:szCs w:val="21"/>
          <w:highlight w:val="none"/>
          <w:lang w:val="en-US" w:eastAsia="zh-CN"/>
        </w:rPr>
        <w:t>投标人须提供承诺函，承诺：</w:t>
      </w:r>
      <w:r>
        <w:rPr>
          <w:rStyle w:val="18"/>
          <w:rFonts w:hint="default" w:ascii="宋体" w:hAnsi="宋体" w:eastAsia="宋体" w:cs="宋体"/>
          <w:b/>
          <w:bCs/>
          <w:color w:val="auto"/>
          <w:sz w:val="21"/>
          <w:szCs w:val="21"/>
          <w:highlight w:val="none"/>
          <w:lang w:val="en-US" w:eastAsia="zh-CN"/>
        </w:rPr>
        <w:t>数据安全要求支持数据全生命周期（创建、存储、传输、使用、销毁）实施加密与完整性校验，支持国产密码与认证。</w:t>
      </w:r>
    </w:p>
    <w:p w14:paraId="0678B277">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2.4</w:t>
      </w:r>
      <w:r>
        <w:rPr>
          <w:rStyle w:val="18"/>
          <w:rFonts w:hint="default" w:ascii="宋体" w:hAnsi="宋体" w:eastAsia="宋体" w:cs="宋体"/>
          <w:b/>
          <w:bCs/>
          <w:color w:val="auto"/>
          <w:sz w:val="21"/>
          <w:szCs w:val="21"/>
          <w:highlight w:val="none"/>
          <w:lang w:val="en-US" w:eastAsia="zh-CN"/>
        </w:rPr>
        <w:t>国产化</w:t>
      </w:r>
      <w:r>
        <w:rPr>
          <w:rStyle w:val="18"/>
          <w:rFonts w:hint="eastAsia" w:ascii="宋体" w:hAnsi="宋体" w:eastAsia="宋体" w:cs="宋体"/>
          <w:b/>
          <w:bCs/>
          <w:color w:val="auto"/>
          <w:sz w:val="21"/>
          <w:szCs w:val="21"/>
          <w:highlight w:val="none"/>
          <w:lang w:val="en-US" w:eastAsia="zh-CN"/>
        </w:rPr>
        <w:t>支持</w:t>
      </w:r>
    </w:p>
    <w:p w14:paraId="29DFFC7C">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投标人须提供承诺函，承诺：</w:t>
      </w:r>
      <w:r>
        <w:rPr>
          <w:rStyle w:val="18"/>
          <w:rFonts w:hint="default" w:ascii="宋体" w:hAnsi="宋体" w:eastAsia="宋体" w:cs="宋体"/>
          <w:b/>
          <w:bCs/>
          <w:color w:val="auto"/>
          <w:sz w:val="21"/>
          <w:szCs w:val="21"/>
          <w:highlight w:val="none"/>
          <w:lang w:val="en-US" w:eastAsia="zh-CN"/>
        </w:rPr>
        <w:t>信息系统部署在学校私有云平台，须符合国家国产化标准要求，支持主流的国产操作系统、数据库、中间件等，并可按照学校要求对应用系统程序及数据库进行国产化适配和迁移。</w:t>
      </w:r>
    </w:p>
    <w:p w14:paraId="21D80C2E">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2.5</w:t>
      </w:r>
      <w:r>
        <w:rPr>
          <w:rStyle w:val="18"/>
          <w:rFonts w:hint="default" w:ascii="宋体" w:hAnsi="宋体" w:eastAsia="宋体" w:cs="宋体"/>
          <w:b/>
          <w:bCs/>
          <w:color w:val="auto"/>
          <w:sz w:val="21"/>
          <w:szCs w:val="21"/>
          <w:highlight w:val="none"/>
          <w:lang w:val="en-US" w:eastAsia="zh-CN"/>
        </w:rPr>
        <w:t>数据对接</w:t>
      </w:r>
      <w:r>
        <w:rPr>
          <w:rStyle w:val="18"/>
          <w:rFonts w:hint="default" w:ascii="宋体" w:hAnsi="宋体" w:eastAsia="宋体" w:cs="宋体"/>
          <w:b/>
          <w:bCs/>
          <w:color w:val="auto"/>
          <w:sz w:val="21"/>
          <w:szCs w:val="21"/>
          <w:highlight w:val="none"/>
          <w:lang w:val="en-US" w:eastAsia="zh-CN"/>
        </w:rPr>
        <w:tab/>
      </w:r>
    </w:p>
    <w:p w14:paraId="609E1258">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投标人须提供承诺函，承诺：</w:t>
      </w:r>
      <w:r>
        <w:rPr>
          <w:rStyle w:val="18"/>
          <w:rFonts w:hint="default" w:ascii="宋体" w:hAnsi="宋体" w:eastAsia="宋体" w:cs="宋体"/>
          <w:b/>
          <w:bCs/>
          <w:color w:val="auto"/>
          <w:sz w:val="21"/>
          <w:szCs w:val="21"/>
          <w:highlight w:val="none"/>
          <w:lang w:val="en-US" w:eastAsia="zh-CN"/>
        </w:rPr>
        <w:t>此项目的数据结构设计遵循长沙民政职业技术学院数据标准或按数据标准提供所有数据的视图，后台数据库及表结构字段清晰易懂，有明确的注释标记，提供反映数据库真实表结构的数据字典，完成大数据中心数据集中工作；此项目与长沙民政职业技术学院大数据中心进行数据对接，采用大数据中心提供的RestFul API接口方式调用所涉及的已有基础数据或业务数据，并进行同步管理。</w:t>
      </w:r>
    </w:p>
    <w:p w14:paraId="16A9194C">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2.6</w:t>
      </w:r>
      <w:r>
        <w:rPr>
          <w:rStyle w:val="18"/>
          <w:rFonts w:hint="default" w:ascii="宋体" w:hAnsi="宋体" w:eastAsia="宋体" w:cs="宋体"/>
          <w:b/>
          <w:bCs/>
          <w:color w:val="auto"/>
          <w:sz w:val="21"/>
          <w:szCs w:val="21"/>
          <w:highlight w:val="none"/>
          <w:lang w:val="en-US" w:eastAsia="zh-CN"/>
        </w:rPr>
        <w:t>系统集成与业务重构</w:t>
      </w:r>
      <w:r>
        <w:rPr>
          <w:rStyle w:val="18"/>
          <w:rFonts w:hint="default" w:ascii="宋体" w:hAnsi="宋体" w:eastAsia="宋体" w:cs="宋体"/>
          <w:b/>
          <w:bCs/>
          <w:color w:val="auto"/>
          <w:sz w:val="21"/>
          <w:szCs w:val="21"/>
          <w:highlight w:val="none"/>
          <w:lang w:val="en-US" w:eastAsia="zh-CN"/>
        </w:rPr>
        <w:tab/>
      </w:r>
    </w:p>
    <w:p w14:paraId="254968FC">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投标人须提供承诺函，承诺：</w:t>
      </w:r>
      <w:r>
        <w:rPr>
          <w:rStyle w:val="18"/>
          <w:rFonts w:hint="default" w:ascii="宋体" w:hAnsi="宋体" w:eastAsia="宋体" w:cs="宋体"/>
          <w:b/>
          <w:bCs/>
          <w:color w:val="auto"/>
          <w:sz w:val="21"/>
          <w:szCs w:val="21"/>
          <w:highlight w:val="none"/>
          <w:lang w:val="en-US" w:eastAsia="zh-CN"/>
        </w:rPr>
        <w:t>此项目软件系统平台开放单点登陆、消息待办接口给学校智慧校园平台，包括但不限于统一身份认证、融合门户、一网通办等。</w:t>
      </w:r>
      <w:r>
        <w:rPr>
          <w:rStyle w:val="18"/>
          <w:rFonts w:hint="eastAsia" w:ascii="宋体" w:hAnsi="宋体" w:eastAsia="宋体" w:cs="宋体"/>
          <w:color w:val="auto"/>
          <w:sz w:val="21"/>
          <w:szCs w:val="21"/>
          <w:highlight w:val="none"/>
          <w:lang w:val="en-US" w:eastAsia="zh-CN"/>
        </w:rPr>
        <w:t>以上所有可能产生的费用投标人应计入投标报价中，如一旦中标，在项目实施中出现任何遗漏，均由中标人负责，采购人不再支付任何费用</w:t>
      </w:r>
      <w:r>
        <w:rPr>
          <w:rStyle w:val="18"/>
          <w:rFonts w:hint="default" w:ascii="宋体" w:hAnsi="宋体" w:eastAsia="宋体" w:cs="宋体"/>
          <w:b/>
          <w:bCs/>
          <w:color w:val="auto"/>
          <w:sz w:val="21"/>
          <w:szCs w:val="21"/>
          <w:highlight w:val="none"/>
          <w:lang w:val="en-US" w:eastAsia="zh-CN"/>
        </w:rPr>
        <w:t>。</w:t>
      </w:r>
    </w:p>
    <w:p w14:paraId="680CF786">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2.7</w:t>
      </w:r>
      <w:r>
        <w:rPr>
          <w:rStyle w:val="18"/>
          <w:rFonts w:hint="default" w:ascii="宋体" w:hAnsi="宋体" w:eastAsia="宋体" w:cs="宋体"/>
          <w:b/>
          <w:bCs/>
          <w:color w:val="auto"/>
          <w:sz w:val="21"/>
          <w:szCs w:val="21"/>
          <w:highlight w:val="none"/>
          <w:lang w:val="en-US" w:eastAsia="zh-CN"/>
        </w:rPr>
        <w:t>消息对接</w:t>
      </w:r>
      <w:r>
        <w:rPr>
          <w:rStyle w:val="18"/>
          <w:rFonts w:hint="default" w:ascii="宋体" w:hAnsi="宋体" w:eastAsia="宋体" w:cs="宋体"/>
          <w:b/>
          <w:bCs/>
          <w:color w:val="auto"/>
          <w:sz w:val="21"/>
          <w:szCs w:val="21"/>
          <w:highlight w:val="none"/>
          <w:lang w:val="en-US" w:eastAsia="zh-CN"/>
        </w:rPr>
        <w:tab/>
      </w:r>
    </w:p>
    <w:p w14:paraId="539D8C89">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投标人须提供承诺函，承诺：</w:t>
      </w:r>
      <w:r>
        <w:rPr>
          <w:rStyle w:val="18"/>
          <w:rFonts w:hint="default" w:ascii="宋体" w:hAnsi="宋体" w:eastAsia="宋体" w:cs="宋体"/>
          <w:b/>
          <w:bCs/>
          <w:color w:val="auto"/>
          <w:sz w:val="21"/>
          <w:szCs w:val="21"/>
          <w:highlight w:val="none"/>
          <w:lang w:val="en-US" w:eastAsia="zh-CN"/>
        </w:rPr>
        <w:t>此项目的消息推送包括但不限于与短信平台、企业微信、师生服务大厅等对接；微服务及企业微信应用集成对系统中的各类申报、审核、认证等业务与流程进行消息推送提醒，推送消息的形式包括但不限于短信、企业微信、邮件、师生服务大厅、平台消息等。</w:t>
      </w:r>
    </w:p>
    <w:p w14:paraId="1FE1EB72">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2.8</w:t>
      </w:r>
      <w:r>
        <w:rPr>
          <w:rStyle w:val="18"/>
          <w:rFonts w:hint="default" w:ascii="宋体" w:hAnsi="宋体" w:eastAsia="宋体" w:cs="宋体"/>
          <w:b/>
          <w:bCs/>
          <w:color w:val="auto"/>
          <w:sz w:val="21"/>
          <w:szCs w:val="21"/>
          <w:highlight w:val="none"/>
          <w:lang w:val="en-US" w:eastAsia="zh-CN"/>
        </w:rPr>
        <w:t>售后服务</w:t>
      </w:r>
      <w:r>
        <w:rPr>
          <w:rStyle w:val="18"/>
          <w:rFonts w:hint="default" w:ascii="宋体" w:hAnsi="宋体" w:eastAsia="宋体" w:cs="宋体"/>
          <w:b/>
          <w:bCs/>
          <w:color w:val="auto"/>
          <w:sz w:val="21"/>
          <w:szCs w:val="21"/>
          <w:highlight w:val="none"/>
          <w:lang w:val="en-US" w:eastAsia="zh-CN"/>
        </w:rPr>
        <w:tab/>
      </w:r>
    </w:p>
    <w:p w14:paraId="18C69D05">
      <w:pPr>
        <w:pStyle w:val="31"/>
        <w:ind w:firstLine="422" w:firstLineChars="200"/>
        <w:rPr>
          <w:rStyle w:val="18"/>
          <w:rFonts w:hint="default" w:ascii="宋体" w:hAnsi="宋体" w:eastAsia="宋体" w:cs="宋体"/>
          <w:b/>
          <w:bCs/>
          <w:color w:val="auto"/>
          <w:sz w:val="21"/>
          <w:szCs w:val="21"/>
          <w:highlight w:val="none"/>
          <w:lang w:val="en-US" w:eastAsia="zh-CN"/>
        </w:rPr>
      </w:pPr>
      <w:r>
        <w:rPr>
          <w:rStyle w:val="18"/>
          <w:rFonts w:hint="eastAsia" w:ascii="宋体" w:hAnsi="宋体" w:eastAsia="宋体" w:cs="宋体"/>
          <w:b/>
          <w:bCs/>
          <w:color w:val="auto"/>
          <w:sz w:val="21"/>
          <w:szCs w:val="21"/>
          <w:highlight w:val="none"/>
          <w:lang w:val="en-US" w:eastAsia="zh-CN"/>
        </w:rPr>
        <w:t>投标人须提供承诺函，承诺：</w:t>
      </w:r>
      <w:r>
        <w:rPr>
          <w:rStyle w:val="18"/>
          <w:rFonts w:hint="default" w:ascii="宋体" w:hAnsi="宋体" w:eastAsia="宋体" w:cs="宋体"/>
          <w:b/>
          <w:bCs/>
          <w:color w:val="auto"/>
          <w:sz w:val="21"/>
          <w:szCs w:val="21"/>
          <w:highlight w:val="none"/>
          <w:lang w:val="en-US" w:eastAsia="zh-CN"/>
        </w:rPr>
        <w:t>提供5年的售后服务。包括但不限于例行操作服务、响应支持服务、优化改善服务等，提供原厂服务、定期巡检、软件升级更新、数据备份、调整优化，设备及系统出现异常时，</w:t>
      </w:r>
      <w:r>
        <w:rPr>
          <w:rStyle w:val="18"/>
          <w:rFonts w:hint="eastAsia" w:ascii="宋体" w:hAnsi="宋体" w:eastAsia="宋体" w:cs="宋体"/>
          <w:b/>
          <w:bCs/>
          <w:color w:val="auto"/>
          <w:sz w:val="21"/>
          <w:szCs w:val="21"/>
          <w:highlight w:val="none"/>
          <w:lang w:val="en-US" w:eastAsia="zh-CN"/>
        </w:rPr>
        <w:t>每周</w:t>
      </w:r>
      <w:r>
        <w:rPr>
          <w:rStyle w:val="18"/>
          <w:rFonts w:hint="default" w:ascii="宋体" w:hAnsi="宋体" w:eastAsia="宋体" w:cs="宋体"/>
          <w:b/>
          <w:bCs/>
          <w:color w:val="auto"/>
          <w:sz w:val="21"/>
          <w:szCs w:val="21"/>
          <w:highlight w:val="none"/>
          <w:lang w:val="en-US" w:eastAsia="zh-CN"/>
        </w:rPr>
        <w:t>7*24小时电话支持，24 小时内到达现场提供服务支持。质保期内应免费配合5G+全景教学空间内重大活动的前期巡检及活动期间的现场保障。</w:t>
      </w:r>
    </w:p>
    <w:p w14:paraId="50569C8A">
      <w:pPr>
        <w:spacing w:before="120" w:beforeLines="50" w:after="120" w:afterLines="50"/>
        <w:ind w:firstLine="420"/>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四</w:t>
      </w:r>
      <w:r>
        <w:rPr>
          <w:rFonts w:hint="eastAsia" w:ascii="Times New Roman" w:hAnsi="Times New Roman" w:eastAsia="宋体" w:cs="Times New Roman"/>
          <w:b/>
          <w:color w:val="auto"/>
          <w:sz w:val="24"/>
          <w:szCs w:val="24"/>
          <w:highlight w:val="none"/>
        </w:rPr>
        <w:t>、</w:t>
      </w:r>
      <w:r>
        <w:rPr>
          <w:rFonts w:hint="eastAsia" w:ascii="Times New Roman" w:hAnsi="Times New Roman" w:eastAsia="宋体" w:cs="Times New Roman"/>
          <w:b/>
          <w:color w:val="auto"/>
          <w:sz w:val="24"/>
          <w:szCs w:val="24"/>
          <w:highlight w:val="none"/>
          <w:lang w:val="en-US" w:eastAsia="zh-CN"/>
        </w:rPr>
        <w:t>其它要求</w:t>
      </w:r>
    </w:p>
    <w:p w14:paraId="394882E0">
      <w:pPr>
        <w:spacing w:line="360" w:lineRule="auto"/>
        <w:ind w:firstLine="420" w:firstLineChars="200"/>
        <w:rPr>
          <w:rFonts w:hint="eastAsia" w:ascii="Times New Roman" w:hAnsi="Times New Roman" w:eastAsia="宋体" w:cs="Times New Roman"/>
          <w:color w:val="auto"/>
          <w:szCs w:val="20"/>
          <w:highlight w:val="none"/>
          <w:lang w:val="en-US" w:eastAsia="zh-CN"/>
        </w:rPr>
      </w:pPr>
      <w:r>
        <w:rPr>
          <w:rFonts w:hint="eastAsia" w:ascii="Times New Roman" w:hAnsi="Times New Roman" w:eastAsia="宋体" w:cs="Times New Roman"/>
          <w:color w:val="auto"/>
          <w:szCs w:val="20"/>
          <w:highlight w:val="none"/>
          <w:lang w:val="en-US" w:eastAsia="zh-CN"/>
        </w:rPr>
        <w:t>1、投标人须承诺在中标公示后5日内向采购人提供主要软硬件产品来源渠道合法的证明文件（销售协议或代理协议或原厂授权等原件资料）。</w:t>
      </w:r>
    </w:p>
    <w:p w14:paraId="55DECDC7">
      <w:pPr>
        <w:spacing w:line="360" w:lineRule="auto"/>
        <w:ind w:firstLine="420" w:firstLineChars="200"/>
        <w:rPr>
          <w:rStyle w:val="18"/>
          <w:rFonts w:hint="eastAsia" w:ascii="宋体" w:hAnsi="宋体" w:eastAsia="宋体" w:cs="宋体"/>
          <w:b/>
          <w:bCs w:val="0"/>
          <w:color w:val="auto"/>
          <w:sz w:val="21"/>
          <w:szCs w:val="21"/>
          <w:highlight w:val="none"/>
          <w:lang w:val="en-US" w:eastAsia="zh-CN"/>
        </w:rPr>
      </w:pPr>
      <w:r>
        <w:rPr>
          <w:rFonts w:hint="eastAsia" w:ascii="Times New Roman" w:hAnsi="Times New Roman" w:eastAsia="宋体" w:cs="Times New Roman"/>
          <w:color w:val="auto"/>
          <w:szCs w:val="20"/>
          <w:highlight w:val="none"/>
          <w:lang w:val="en-US" w:eastAsia="zh-CN"/>
        </w:rPr>
        <w:t>3、投标人须承诺中标后，在中标公示后三个工作日内到采购人处对投标文件中的“</w:t>
      </w:r>
      <w:r>
        <w:rPr>
          <w:rStyle w:val="18"/>
          <w:rFonts w:ascii="宋体" w:hAnsi="宋体" w:eastAsia="宋体" w:cs="宋体"/>
          <w:b w:val="0"/>
          <w:color w:val="auto"/>
          <w:sz w:val="21"/>
          <w:szCs w:val="24"/>
          <w:highlight w:val="none"/>
        </w:rPr>
        <w:t>★</w:t>
      </w:r>
      <w:r>
        <w:rPr>
          <w:rFonts w:hint="eastAsia" w:ascii="Times New Roman" w:hAnsi="Times New Roman" w:eastAsia="宋体" w:cs="Times New Roman"/>
          <w:color w:val="auto"/>
          <w:szCs w:val="20"/>
          <w:highlight w:val="none"/>
          <w:lang w:val="en-US" w:eastAsia="zh-CN"/>
        </w:rPr>
        <w:t>”</w:t>
      </w:r>
      <w:r>
        <w:rPr>
          <w:rStyle w:val="18"/>
          <w:rFonts w:hint="eastAsia" w:ascii="宋体" w:hAnsi="宋体" w:eastAsia="宋体" w:cs="宋体"/>
          <w:b w:val="0"/>
          <w:color w:val="auto"/>
          <w:sz w:val="21"/>
          <w:szCs w:val="24"/>
          <w:highlight w:val="none"/>
          <w:lang w:eastAsia="zh-CN"/>
        </w:rPr>
        <w:t>、</w:t>
      </w:r>
      <w:r>
        <w:rPr>
          <w:rStyle w:val="18"/>
          <w:rFonts w:ascii="宋体" w:hAnsi="宋体" w:eastAsia="宋体" w:cs="宋体"/>
          <w:b w:val="0"/>
          <w:color w:val="auto"/>
          <w:sz w:val="21"/>
          <w:szCs w:val="24"/>
          <w:highlight w:val="none"/>
        </w:rPr>
        <w:t>“▲”条款</w:t>
      </w:r>
      <w:r>
        <w:rPr>
          <w:rStyle w:val="18"/>
          <w:rFonts w:hint="eastAsia" w:ascii="宋体" w:hAnsi="宋体" w:eastAsia="宋体" w:cs="宋体"/>
          <w:b w:val="0"/>
          <w:color w:val="auto"/>
          <w:sz w:val="21"/>
          <w:szCs w:val="24"/>
          <w:highlight w:val="none"/>
          <w:lang w:val="en-US" w:eastAsia="zh-CN"/>
        </w:rPr>
        <w:t>的相关材料进行原件复核并就</w:t>
      </w:r>
      <w:r>
        <w:rPr>
          <w:rFonts w:hint="eastAsia" w:ascii="Times New Roman" w:hAnsi="Times New Roman" w:eastAsia="宋体" w:cs="Times New Roman"/>
          <w:color w:val="auto"/>
          <w:szCs w:val="20"/>
          <w:highlight w:val="none"/>
          <w:lang w:val="en-US" w:eastAsia="zh-CN"/>
        </w:rPr>
        <w:t>演示项进行演示，否则视为虚假应标,取消其中标资格。</w:t>
      </w:r>
      <w:r>
        <w:rPr>
          <w:rStyle w:val="18"/>
          <w:rFonts w:hint="eastAsia" w:ascii="宋体" w:hAnsi="宋体" w:eastAsia="宋体" w:cs="宋体"/>
          <w:b/>
          <w:bCs w:val="0"/>
          <w:color w:val="auto"/>
          <w:sz w:val="21"/>
          <w:szCs w:val="21"/>
          <w:highlight w:val="none"/>
          <w:lang w:val="en-US" w:eastAsia="zh-CN"/>
        </w:rPr>
        <w:t>采购人有权根据政府采购相关法律法规上报上级主管部门，所有可能发生的损失均由中标人承担。</w:t>
      </w:r>
    </w:p>
    <w:p w14:paraId="3540374A">
      <w:pPr>
        <w:spacing w:line="360" w:lineRule="auto"/>
        <w:ind w:firstLine="422" w:firstLineChars="200"/>
        <w:rPr>
          <w:rStyle w:val="18"/>
          <w:rFonts w:ascii="宋体" w:hAnsi="宋体" w:eastAsia="宋体" w:cs="宋体"/>
          <w:b/>
          <w:color w:val="auto"/>
          <w:szCs w:val="21"/>
          <w:highlight w:val="none"/>
        </w:rPr>
      </w:pPr>
      <w:r>
        <w:rPr>
          <w:rStyle w:val="18"/>
          <w:rFonts w:hint="eastAsia" w:ascii="宋体" w:hAnsi="宋体" w:eastAsia="宋体" w:cs="宋体"/>
          <w:b/>
          <w:color w:val="auto"/>
          <w:szCs w:val="21"/>
          <w:highlight w:val="none"/>
          <w:lang w:val="en-US" w:eastAsia="zh-CN"/>
        </w:rPr>
        <w:t>4、投标人应</w:t>
      </w:r>
      <w:r>
        <w:rPr>
          <w:rFonts w:hint="eastAsia" w:ascii="Calibri" w:hAnsi="Calibri" w:eastAsia="宋体" w:cs="Times New Roman"/>
          <w:color w:val="auto"/>
          <w:highlight w:val="none"/>
        </w:rPr>
        <w:t>就本项目涉及的所有软件、课程资源及相关素材取得合法有效的知识产权授权，如因本项目使用的软件或课程资源发生任何知识产权纠纷（包括但不限于第三方索赔、诉讼等），中标人应承担全部责任，包括但不限于赔偿</w:t>
      </w:r>
      <w:r>
        <w:rPr>
          <w:rStyle w:val="18"/>
          <w:rFonts w:hint="eastAsia" w:ascii="宋体" w:hAnsi="宋体" w:eastAsia="宋体" w:cs="宋体"/>
          <w:b/>
          <w:color w:val="auto"/>
          <w:szCs w:val="21"/>
          <w:highlight w:val="none"/>
          <w:lang w:eastAsia="zh-CN"/>
        </w:rPr>
        <w:t>采购</w:t>
      </w:r>
      <w:r>
        <w:rPr>
          <w:rFonts w:hint="eastAsia" w:ascii="Calibri" w:hAnsi="Calibri" w:eastAsia="宋体" w:cs="Times New Roman"/>
          <w:color w:val="auto"/>
          <w:highlight w:val="none"/>
        </w:rPr>
        <w:t>人因此遭受的全部损失，并负责处理相关纠纷事宜。</w:t>
      </w:r>
    </w:p>
    <w:p w14:paraId="01163D75">
      <w:pPr>
        <w:spacing w:line="360" w:lineRule="auto"/>
        <w:ind w:firstLine="420" w:firstLineChars="200"/>
        <w:rPr>
          <w:rFonts w:hint="eastAsia" w:ascii="Times New Roman" w:hAnsi="Times New Roman" w:eastAsia="宋体" w:cs="Times New Roman"/>
          <w:color w:val="auto"/>
          <w:szCs w:val="20"/>
          <w:highlight w:val="none"/>
          <w:lang w:val="en-US" w:eastAsia="zh-CN"/>
        </w:rPr>
      </w:pPr>
      <w:r>
        <w:rPr>
          <w:rFonts w:hint="eastAsia" w:ascii="Times New Roman" w:hAnsi="Times New Roman" w:eastAsia="宋体" w:cs="Times New Roman"/>
          <w:color w:val="auto"/>
          <w:szCs w:val="20"/>
          <w:highlight w:val="none"/>
          <w:lang w:val="en-US" w:eastAsia="zh-CN"/>
        </w:rPr>
        <w:t>5、履行合同的时间、地点及方式：</w:t>
      </w:r>
    </w:p>
    <w:p w14:paraId="1EC56489">
      <w:pPr>
        <w:spacing w:line="360" w:lineRule="auto"/>
        <w:ind w:firstLine="420" w:firstLineChars="200"/>
        <w:rPr>
          <w:rFonts w:hint="eastAsia" w:ascii="Times New Roman" w:hAnsi="Times New Roman" w:eastAsia="宋体" w:cs="Times New Roman"/>
          <w:color w:val="auto"/>
          <w:szCs w:val="20"/>
          <w:highlight w:val="none"/>
          <w:lang w:val="en-US" w:eastAsia="zh-CN"/>
        </w:rPr>
      </w:pPr>
      <w:r>
        <w:rPr>
          <w:rFonts w:hint="eastAsia" w:ascii="Times New Roman" w:hAnsi="Times New Roman" w:eastAsia="宋体" w:cs="Times New Roman"/>
          <w:color w:val="auto"/>
          <w:szCs w:val="20"/>
          <w:highlight w:val="none"/>
          <w:lang w:val="en-US" w:eastAsia="zh-CN"/>
        </w:rPr>
        <w:t>（1）软硬件系统（除全景创新课堂AI教学资源外的建设内容）：合同签订后30天内按采购人指定校内安装位置完成软硬件系统的安装及调试。本项目采用费用包干方式建设，含设备的强弱电布线，系统安装调试费、试运行测试、验收、培训、质保等人工、管理、材料及税务所有费用，采购人除支付中标金额外，将不再支付任何其他费用。安装调试完成后，进行初验，初验通过后进入试运行；试运行期不少于1个月，试运行如无问题，15个工作日内组织项目验收。</w:t>
      </w:r>
    </w:p>
    <w:p w14:paraId="14A85BA1">
      <w:pPr>
        <w:spacing w:line="360" w:lineRule="auto"/>
        <w:ind w:firstLine="420" w:firstLineChars="200"/>
        <w:rPr>
          <w:rFonts w:hint="default" w:ascii="Times New Roman" w:hAnsi="Times New Roman" w:eastAsia="宋体" w:cs="Times New Roman"/>
          <w:color w:val="auto"/>
          <w:szCs w:val="20"/>
          <w:highlight w:val="none"/>
          <w:lang w:val="en-US" w:eastAsia="zh-CN"/>
        </w:rPr>
      </w:pPr>
      <w:r>
        <w:rPr>
          <w:rFonts w:hint="eastAsia" w:ascii="Times New Roman" w:hAnsi="Times New Roman" w:eastAsia="宋体" w:cs="Times New Roman"/>
          <w:color w:val="auto"/>
          <w:szCs w:val="20"/>
          <w:highlight w:val="none"/>
          <w:lang w:val="en-US" w:eastAsia="zh-CN"/>
        </w:rPr>
        <w:t>（2）全景创新课堂AI教学资源：采购人明确资源需求后的45天内完成资源制作并进行初验，达到合同要求，15个工作日内组织项目验收。</w:t>
      </w:r>
    </w:p>
    <w:p w14:paraId="53BDD777">
      <w:pPr>
        <w:spacing w:line="360" w:lineRule="auto"/>
        <w:ind w:firstLine="420" w:firstLineChars="200"/>
        <w:rPr>
          <w:rFonts w:hint="eastAsia" w:ascii="Times New Roman" w:hAnsi="Times New Roman" w:eastAsia="宋体" w:cs="Times New Roman"/>
          <w:color w:val="auto"/>
          <w:szCs w:val="20"/>
          <w:highlight w:val="none"/>
          <w:lang w:val="en-US" w:eastAsia="zh-CN"/>
        </w:rPr>
      </w:pPr>
      <w:r>
        <w:rPr>
          <w:rFonts w:hint="eastAsia" w:ascii="Times New Roman" w:hAnsi="Times New Roman" w:eastAsia="宋体" w:cs="Times New Roman"/>
          <w:color w:val="auto"/>
          <w:szCs w:val="20"/>
          <w:highlight w:val="none"/>
          <w:lang w:val="en-US" w:eastAsia="zh-CN"/>
        </w:rPr>
        <w:t>6、如中标人未在约定的时间内完成软硬件系统的安装及调试或者未在约定时间内完成资源制作的，每逾期一日的，中标人应按合同金额的0.5%按日向采购人支付违约金。</w:t>
      </w:r>
    </w:p>
    <w:p w14:paraId="1FA3838B">
      <w:pPr>
        <w:spacing w:line="360" w:lineRule="auto"/>
        <w:ind w:firstLine="420" w:firstLineChars="200"/>
        <w:rPr>
          <w:rFonts w:hint="eastAsia" w:ascii="Times New Roman" w:hAnsi="Times New Roman" w:eastAsia="宋体" w:cs="Times New Roman"/>
          <w:color w:val="auto"/>
          <w:szCs w:val="20"/>
          <w:highlight w:val="none"/>
          <w:lang w:val="en-US" w:eastAsia="zh-CN"/>
        </w:rPr>
      </w:pPr>
      <w:r>
        <w:rPr>
          <w:rFonts w:hint="eastAsia" w:ascii="Times New Roman" w:hAnsi="Times New Roman" w:eastAsia="宋体" w:cs="Times New Roman"/>
          <w:color w:val="auto"/>
          <w:szCs w:val="20"/>
          <w:highlight w:val="none"/>
          <w:lang w:val="en-US" w:eastAsia="zh-CN"/>
        </w:rPr>
        <w:t>7、付款：</w:t>
      </w:r>
    </w:p>
    <w:p w14:paraId="66BDF071">
      <w:pPr>
        <w:spacing w:line="360" w:lineRule="auto"/>
        <w:ind w:firstLine="420" w:firstLineChars="200"/>
        <w:rPr>
          <w:rFonts w:hint="eastAsia" w:ascii="Times New Roman" w:hAnsi="Times New Roman" w:eastAsia="宋体" w:cs="Times New Roman"/>
          <w:color w:val="auto"/>
          <w:szCs w:val="20"/>
          <w:highlight w:val="none"/>
          <w:lang w:val="en-US" w:eastAsia="zh-CN"/>
        </w:rPr>
      </w:pPr>
      <w:r>
        <w:rPr>
          <w:rFonts w:hint="eastAsia" w:ascii="Times New Roman" w:hAnsi="Times New Roman" w:eastAsia="宋体" w:cs="Times New Roman"/>
          <w:color w:val="auto"/>
          <w:szCs w:val="20"/>
          <w:highlight w:val="none"/>
          <w:lang w:val="en-US" w:eastAsia="zh-CN"/>
        </w:rPr>
        <w:t>（1）合同签订后的5个工作日内，中标人向采购人缴纳合同金额5%的履约保证金。</w:t>
      </w:r>
    </w:p>
    <w:p w14:paraId="34A5A435">
      <w:pPr>
        <w:spacing w:line="360" w:lineRule="auto"/>
        <w:ind w:firstLine="420" w:firstLineChars="200"/>
        <w:rPr>
          <w:rFonts w:hint="eastAsia" w:ascii="Times New Roman" w:hAnsi="Times New Roman" w:eastAsia="宋体" w:cs="Times New Roman"/>
          <w:color w:val="auto"/>
          <w:szCs w:val="20"/>
          <w:highlight w:val="none"/>
          <w:lang w:val="en-US" w:eastAsia="zh-CN"/>
        </w:rPr>
      </w:pPr>
      <w:r>
        <w:rPr>
          <w:rFonts w:hint="eastAsia" w:ascii="Times New Roman" w:hAnsi="Times New Roman" w:eastAsia="宋体" w:cs="Times New Roman"/>
          <w:color w:val="auto"/>
          <w:szCs w:val="20"/>
          <w:highlight w:val="none"/>
          <w:lang w:val="en-US" w:eastAsia="zh-CN"/>
        </w:rPr>
        <w:t>（2）软硬件系统：软硬件系统整体验收合格后，采购人根据中标人开具的相应金额的增值税普通发票、采购人验收证明单及</w:t>
      </w:r>
      <w:r>
        <w:rPr>
          <w:rFonts w:hint="eastAsia" w:ascii="Times New Roman" w:hAnsi="Times New Roman" w:eastAsia="宋体" w:cs="Times New Roman"/>
          <w:strike w:val="0"/>
          <w:color w:val="auto"/>
          <w:szCs w:val="20"/>
          <w:highlight w:val="none"/>
          <w:lang w:val="en-US" w:eastAsia="zh-CN"/>
        </w:rPr>
        <w:t>履约保证金</w:t>
      </w:r>
      <w:r>
        <w:rPr>
          <w:rFonts w:hint="eastAsia" w:ascii="Times New Roman" w:hAnsi="Times New Roman" w:eastAsia="宋体" w:cs="Times New Roman"/>
          <w:color w:val="auto"/>
          <w:szCs w:val="20"/>
          <w:highlight w:val="none"/>
          <w:lang w:val="en-US" w:eastAsia="zh-CN"/>
        </w:rPr>
        <w:t>交纳证明，支付除全景创新课堂AI教学资源外的合同金额的全款。验收合格运行五年后若无质量问题及其他纠纷，凭采购人的验收合格证明退还履约保证金(不计利息)。</w:t>
      </w:r>
    </w:p>
    <w:p w14:paraId="6020FA5B">
      <w:pPr>
        <w:widowControl w:val="0"/>
        <w:autoSpaceDE w:val="0"/>
        <w:autoSpaceDN w:val="0"/>
        <w:adjustRightInd w:val="0"/>
        <w:ind w:firstLine="420" w:firstLineChars="200"/>
        <w:rPr>
          <w:rStyle w:val="18"/>
          <w:rFonts w:hint="eastAsia" w:ascii="宋体" w:hAnsi="宋体" w:eastAsia="宋体" w:cs="宋体"/>
          <w:color w:val="auto"/>
          <w:sz w:val="21"/>
          <w:szCs w:val="21"/>
          <w:highlight w:val="none"/>
          <w:lang w:val="en-US" w:eastAsia="zh-CN" w:bidi="ar-SA"/>
        </w:rPr>
      </w:pPr>
      <w:r>
        <w:rPr>
          <w:rFonts w:hint="eastAsia" w:ascii="Times New Roman" w:hAnsi="Times New Roman" w:eastAsia="宋体" w:cs="Times New Roman"/>
          <w:color w:val="auto"/>
          <w:kern w:val="2"/>
          <w:sz w:val="21"/>
          <w:szCs w:val="20"/>
          <w:highlight w:val="none"/>
          <w:lang w:val="en-US" w:eastAsia="zh-CN" w:bidi="ar-SA"/>
        </w:rPr>
        <w:t>（3）全景创新课堂AI教学资源：全景创新课堂AI教学资源整体验收合格后，采购人根据中标人开具的相应金额的增值税普通发票、采购人验收合格证明单及履约保证金交纳证明，支付全景创新课堂AI教学资源合同款金额的全款。</w:t>
      </w:r>
    </w:p>
    <w:p w14:paraId="5B36339D">
      <w:pPr>
        <w:pStyle w:val="31"/>
        <w:rPr>
          <w:rStyle w:val="18"/>
          <w:rFonts w:hint="eastAsia" w:ascii="宋体" w:hAnsi="宋体" w:eastAsia="宋体" w:cs="宋体"/>
          <w:b/>
          <w:bCs/>
          <w:color w:val="auto"/>
          <w:kern w:val="32"/>
          <w:sz w:val="21"/>
          <w:szCs w:val="21"/>
          <w:highlight w:val="none"/>
        </w:rPr>
      </w:pPr>
    </w:p>
    <w:p w14:paraId="562BD396">
      <w:pPr>
        <w:pStyle w:val="31"/>
        <w:rPr>
          <w:rStyle w:val="18"/>
          <w:rFonts w:ascii="Calibri" w:hAnsi="Calibri" w:eastAsia="宋体" w:cs="Times New Roman"/>
          <w:color w:val="auto"/>
          <w:highlight w:val="none"/>
        </w:rPr>
      </w:pPr>
      <w:r>
        <w:rPr>
          <w:rStyle w:val="18"/>
          <w:rFonts w:hint="eastAsia" w:ascii="宋体" w:hAnsi="宋体" w:eastAsia="宋体" w:cs="宋体"/>
          <w:b/>
          <w:bCs/>
          <w:color w:val="auto"/>
          <w:kern w:val="32"/>
          <w:sz w:val="21"/>
          <w:szCs w:val="21"/>
          <w:highlight w:val="none"/>
        </w:rPr>
        <w:t>对于上述项目要求，投标人应在投标文件中进行回应，作出承诺及说明。</w:t>
      </w:r>
    </w:p>
    <w:p w14:paraId="00D2A915">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AB642B"/>
    <w:multiLevelType w:val="singleLevel"/>
    <w:tmpl w:val="7FAB642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7E112C"/>
    <w:rsid w:val="00AE30B0"/>
    <w:rsid w:val="010B1807"/>
    <w:rsid w:val="012D2791"/>
    <w:rsid w:val="01341807"/>
    <w:rsid w:val="013F3111"/>
    <w:rsid w:val="01475ACE"/>
    <w:rsid w:val="02000F22"/>
    <w:rsid w:val="02186A33"/>
    <w:rsid w:val="022E44A8"/>
    <w:rsid w:val="02866E43"/>
    <w:rsid w:val="02C24DBA"/>
    <w:rsid w:val="032E7468"/>
    <w:rsid w:val="03E8503A"/>
    <w:rsid w:val="04185410"/>
    <w:rsid w:val="04622348"/>
    <w:rsid w:val="046917C8"/>
    <w:rsid w:val="04841C5D"/>
    <w:rsid w:val="04A46CA4"/>
    <w:rsid w:val="05545C97"/>
    <w:rsid w:val="05616943"/>
    <w:rsid w:val="05964123"/>
    <w:rsid w:val="05D742D4"/>
    <w:rsid w:val="05DD246D"/>
    <w:rsid w:val="05E5445E"/>
    <w:rsid w:val="06A3767D"/>
    <w:rsid w:val="06C2790F"/>
    <w:rsid w:val="071D5B80"/>
    <w:rsid w:val="07820A2E"/>
    <w:rsid w:val="07961D7F"/>
    <w:rsid w:val="089A716B"/>
    <w:rsid w:val="08D94642"/>
    <w:rsid w:val="0913264A"/>
    <w:rsid w:val="096E57C7"/>
    <w:rsid w:val="09CB333A"/>
    <w:rsid w:val="0A9F4195"/>
    <w:rsid w:val="0ADA6B99"/>
    <w:rsid w:val="0B7C6285"/>
    <w:rsid w:val="0B7F42FD"/>
    <w:rsid w:val="0B892750"/>
    <w:rsid w:val="0C201171"/>
    <w:rsid w:val="0C7041F5"/>
    <w:rsid w:val="0CCC648D"/>
    <w:rsid w:val="0CE60609"/>
    <w:rsid w:val="0D3F3A0E"/>
    <w:rsid w:val="0DB22432"/>
    <w:rsid w:val="0E3F5167"/>
    <w:rsid w:val="0E615611"/>
    <w:rsid w:val="0E8813E4"/>
    <w:rsid w:val="0EA3277B"/>
    <w:rsid w:val="0F35576D"/>
    <w:rsid w:val="0F71665B"/>
    <w:rsid w:val="0FB4208E"/>
    <w:rsid w:val="0FBE0EFF"/>
    <w:rsid w:val="100F0C6F"/>
    <w:rsid w:val="101B6CAF"/>
    <w:rsid w:val="11040A12"/>
    <w:rsid w:val="111B02EE"/>
    <w:rsid w:val="11E3705D"/>
    <w:rsid w:val="11F95807"/>
    <w:rsid w:val="120D52C6"/>
    <w:rsid w:val="126433BC"/>
    <w:rsid w:val="12842942"/>
    <w:rsid w:val="12A254D1"/>
    <w:rsid w:val="12BB58E4"/>
    <w:rsid w:val="13314232"/>
    <w:rsid w:val="137D73E6"/>
    <w:rsid w:val="13E61BB5"/>
    <w:rsid w:val="1432321E"/>
    <w:rsid w:val="14521DA1"/>
    <w:rsid w:val="14DD0A89"/>
    <w:rsid w:val="15104696"/>
    <w:rsid w:val="155953E1"/>
    <w:rsid w:val="15DB44F0"/>
    <w:rsid w:val="15E57946"/>
    <w:rsid w:val="16142B3E"/>
    <w:rsid w:val="16315EBE"/>
    <w:rsid w:val="166444E5"/>
    <w:rsid w:val="177E112C"/>
    <w:rsid w:val="17AE7E79"/>
    <w:rsid w:val="188D1AD1"/>
    <w:rsid w:val="1979234B"/>
    <w:rsid w:val="19986715"/>
    <w:rsid w:val="19E80F89"/>
    <w:rsid w:val="1A10026E"/>
    <w:rsid w:val="1A3D3E6B"/>
    <w:rsid w:val="1A6A0924"/>
    <w:rsid w:val="1AAC4E51"/>
    <w:rsid w:val="1AB80A34"/>
    <w:rsid w:val="1ADA4D76"/>
    <w:rsid w:val="1CF57C45"/>
    <w:rsid w:val="1D7F08B9"/>
    <w:rsid w:val="1DA31EB7"/>
    <w:rsid w:val="1DB272BE"/>
    <w:rsid w:val="1E1939CB"/>
    <w:rsid w:val="1E831280"/>
    <w:rsid w:val="1EE658E4"/>
    <w:rsid w:val="1EFA68EA"/>
    <w:rsid w:val="1F2438EE"/>
    <w:rsid w:val="1F6B4868"/>
    <w:rsid w:val="20F66BCA"/>
    <w:rsid w:val="213616EF"/>
    <w:rsid w:val="21D97B35"/>
    <w:rsid w:val="22124DF5"/>
    <w:rsid w:val="223C6316"/>
    <w:rsid w:val="22743E6E"/>
    <w:rsid w:val="22D243EC"/>
    <w:rsid w:val="23024E6A"/>
    <w:rsid w:val="23A0431E"/>
    <w:rsid w:val="23AC1E3A"/>
    <w:rsid w:val="24087CB6"/>
    <w:rsid w:val="241A3E7B"/>
    <w:rsid w:val="24257892"/>
    <w:rsid w:val="244B1B1F"/>
    <w:rsid w:val="24572958"/>
    <w:rsid w:val="245D7FFB"/>
    <w:rsid w:val="24C93A12"/>
    <w:rsid w:val="24CD1BC1"/>
    <w:rsid w:val="24D30047"/>
    <w:rsid w:val="251E4C45"/>
    <w:rsid w:val="26202C71"/>
    <w:rsid w:val="262D6420"/>
    <w:rsid w:val="26B828F8"/>
    <w:rsid w:val="26CA5239"/>
    <w:rsid w:val="272F56A6"/>
    <w:rsid w:val="279C6222"/>
    <w:rsid w:val="27BA5D13"/>
    <w:rsid w:val="28052748"/>
    <w:rsid w:val="286214DB"/>
    <w:rsid w:val="28D013C6"/>
    <w:rsid w:val="28F8243E"/>
    <w:rsid w:val="2959425F"/>
    <w:rsid w:val="29A46C7B"/>
    <w:rsid w:val="29BF76E2"/>
    <w:rsid w:val="29E26E64"/>
    <w:rsid w:val="2A0C65CE"/>
    <w:rsid w:val="2A706411"/>
    <w:rsid w:val="2A915A0E"/>
    <w:rsid w:val="2B30238E"/>
    <w:rsid w:val="2B404781"/>
    <w:rsid w:val="2B755792"/>
    <w:rsid w:val="2BAE17CE"/>
    <w:rsid w:val="2BBD04C8"/>
    <w:rsid w:val="2BE5357A"/>
    <w:rsid w:val="2C6A7186"/>
    <w:rsid w:val="2CB230DE"/>
    <w:rsid w:val="2D5C1736"/>
    <w:rsid w:val="2DD74825"/>
    <w:rsid w:val="2E3157D5"/>
    <w:rsid w:val="2EAD4823"/>
    <w:rsid w:val="2F810A25"/>
    <w:rsid w:val="306B04F2"/>
    <w:rsid w:val="30877043"/>
    <w:rsid w:val="314609FB"/>
    <w:rsid w:val="3198380B"/>
    <w:rsid w:val="323A7E12"/>
    <w:rsid w:val="329763CD"/>
    <w:rsid w:val="32FC03F7"/>
    <w:rsid w:val="331C6A1E"/>
    <w:rsid w:val="336E667D"/>
    <w:rsid w:val="33847A0D"/>
    <w:rsid w:val="33C024F3"/>
    <w:rsid w:val="33F47ECB"/>
    <w:rsid w:val="34781990"/>
    <w:rsid w:val="34A21B15"/>
    <w:rsid w:val="34B90224"/>
    <w:rsid w:val="34DD37D9"/>
    <w:rsid w:val="35470F7B"/>
    <w:rsid w:val="35784503"/>
    <w:rsid w:val="357B2363"/>
    <w:rsid w:val="35DB35B0"/>
    <w:rsid w:val="35EA1EB9"/>
    <w:rsid w:val="35EB5A1D"/>
    <w:rsid w:val="36BA34AD"/>
    <w:rsid w:val="36C31297"/>
    <w:rsid w:val="36F97AC8"/>
    <w:rsid w:val="3715562F"/>
    <w:rsid w:val="379B7FF3"/>
    <w:rsid w:val="381F09FB"/>
    <w:rsid w:val="39272B6C"/>
    <w:rsid w:val="396066F9"/>
    <w:rsid w:val="396F0447"/>
    <w:rsid w:val="39BF2A01"/>
    <w:rsid w:val="3A405BBE"/>
    <w:rsid w:val="3A63223A"/>
    <w:rsid w:val="3AFD213A"/>
    <w:rsid w:val="3B0C1DA7"/>
    <w:rsid w:val="3B39238D"/>
    <w:rsid w:val="3B8E0B5B"/>
    <w:rsid w:val="3B910415"/>
    <w:rsid w:val="3BC27434"/>
    <w:rsid w:val="3C541977"/>
    <w:rsid w:val="3C5F6A31"/>
    <w:rsid w:val="3D0777F5"/>
    <w:rsid w:val="3D7D667C"/>
    <w:rsid w:val="3D9170BE"/>
    <w:rsid w:val="3DB809E6"/>
    <w:rsid w:val="3DBF38C1"/>
    <w:rsid w:val="3E342B4A"/>
    <w:rsid w:val="3ECE409C"/>
    <w:rsid w:val="3F3A1267"/>
    <w:rsid w:val="40102959"/>
    <w:rsid w:val="40BB12FE"/>
    <w:rsid w:val="40EF2A79"/>
    <w:rsid w:val="41642F23"/>
    <w:rsid w:val="41960FC2"/>
    <w:rsid w:val="41A71946"/>
    <w:rsid w:val="422E56D6"/>
    <w:rsid w:val="42825A3B"/>
    <w:rsid w:val="42DF22D7"/>
    <w:rsid w:val="42DF77A4"/>
    <w:rsid w:val="42E323B4"/>
    <w:rsid w:val="44613C8E"/>
    <w:rsid w:val="44661ADD"/>
    <w:rsid w:val="449A7907"/>
    <w:rsid w:val="44B10FA9"/>
    <w:rsid w:val="44DA134B"/>
    <w:rsid w:val="44DA312A"/>
    <w:rsid w:val="44F95512"/>
    <w:rsid w:val="4515296F"/>
    <w:rsid w:val="45EC0586"/>
    <w:rsid w:val="46B34549"/>
    <w:rsid w:val="47433201"/>
    <w:rsid w:val="47B71D42"/>
    <w:rsid w:val="481E3C44"/>
    <w:rsid w:val="48427A97"/>
    <w:rsid w:val="48455C99"/>
    <w:rsid w:val="48B23078"/>
    <w:rsid w:val="48F6180D"/>
    <w:rsid w:val="48FE626C"/>
    <w:rsid w:val="490411EA"/>
    <w:rsid w:val="49E32D94"/>
    <w:rsid w:val="4A45370A"/>
    <w:rsid w:val="4AE25454"/>
    <w:rsid w:val="4B101F6A"/>
    <w:rsid w:val="4B3D65EE"/>
    <w:rsid w:val="4B6F27DD"/>
    <w:rsid w:val="4BC828FD"/>
    <w:rsid w:val="4BEC0C9A"/>
    <w:rsid w:val="4C806C7C"/>
    <w:rsid w:val="4CED6BF3"/>
    <w:rsid w:val="4CFB4D44"/>
    <w:rsid w:val="4D9D4ACC"/>
    <w:rsid w:val="4E694A00"/>
    <w:rsid w:val="4ED07B3E"/>
    <w:rsid w:val="4EF7020E"/>
    <w:rsid w:val="4EFE194E"/>
    <w:rsid w:val="4FA165E0"/>
    <w:rsid w:val="4FC43323"/>
    <w:rsid w:val="509815D6"/>
    <w:rsid w:val="50A43A3C"/>
    <w:rsid w:val="514C537E"/>
    <w:rsid w:val="530B1288"/>
    <w:rsid w:val="53146370"/>
    <w:rsid w:val="533B56AA"/>
    <w:rsid w:val="535B1907"/>
    <w:rsid w:val="5383656E"/>
    <w:rsid w:val="53E44857"/>
    <w:rsid w:val="5409646C"/>
    <w:rsid w:val="544C505E"/>
    <w:rsid w:val="55243733"/>
    <w:rsid w:val="56025B8C"/>
    <w:rsid w:val="560D6F51"/>
    <w:rsid w:val="5639752B"/>
    <w:rsid w:val="566D14D9"/>
    <w:rsid w:val="56716E93"/>
    <w:rsid w:val="570E6CD9"/>
    <w:rsid w:val="576B22D6"/>
    <w:rsid w:val="57803478"/>
    <w:rsid w:val="57985433"/>
    <w:rsid w:val="57C40D63"/>
    <w:rsid w:val="57D52899"/>
    <w:rsid w:val="58197B05"/>
    <w:rsid w:val="587B3DC3"/>
    <w:rsid w:val="58C148A4"/>
    <w:rsid w:val="595E6596"/>
    <w:rsid w:val="597D6C7A"/>
    <w:rsid w:val="59CC1FA9"/>
    <w:rsid w:val="5A345019"/>
    <w:rsid w:val="5A97728D"/>
    <w:rsid w:val="5AB11C14"/>
    <w:rsid w:val="5B256A07"/>
    <w:rsid w:val="5C384E7D"/>
    <w:rsid w:val="5D057255"/>
    <w:rsid w:val="5DDF6561"/>
    <w:rsid w:val="5DFA1203"/>
    <w:rsid w:val="5E1A6D78"/>
    <w:rsid w:val="5E43111E"/>
    <w:rsid w:val="5E571F54"/>
    <w:rsid w:val="5E895E64"/>
    <w:rsid w:val="5ED56562"/>
    <w:rsid w:val="5F236821"/>
    <w:rsid w:val="5F915705"/>
    <w:rsid w:val="5F9245B5"/>
    <w:rsid w:val="603F6AFB"/>
    <w:rsid w:val="607602AB"/>
    <w:rsid w:val="609F0AA8"/>
    <w:rsid w:val="60C93AC4"/>
    <w:rsid w:val="60CA0849"/>
    <w:rsid w:val="60D858A8"/>
    <w:rsid w:val="61994561"/>
    <w:rsid w:val="61CB00C3"/>
    <w:rsid w:val="61F210FF"/>
    <w:rsid w:val="622B1281"/>
    <w:rsid w:val="62821AAC"/>
    <w:rsid w:val="62BB4B46"/>
    <w:rsid w:val="63405B3C"/>
    <w:rsid w:val="63605D9D"/>
    <w:rsid w:val="64730770"/>
    <w:rsid w:val="654F46C0"/>
    <w:rsid w:val="6598225B"/>
    <w:rsid w:val="65BE2C69"/>
    <w:rsid w:val="65DD39D4"/>
    <w:rsid w:val="671E340E"/>
    <w:rsid w:val="67313CD0"/>
    <w:rsid w:val="67472418"/>
    <w:rsid w:val="67D77C40"/>
    <w:rsid w:val="682862EA"/>
    <w:rsid w:val="685D5E1B"/>
    <w:rsid w:val="69257CB8"/>
    <w:rsid w:val="69567B1D"/>
    <w:rsid w:val="696E178E"/>
    <w:rsid w:val="69B9677B"/>
    <w:rsid w:val="69E3747F"/>
    <w:rsid w:val="69E82A3F"/>
    <w:rsid w:val="6A1A7D6C"/>
    <w:rsid w:val="6AA14E96"/>
    <w:rsid w:val="6B7C0D55"/>
    <w:rsid w:val="6BE753C5"/>
    <w:rsid w:val="6CB41F7C"/>
    <w:rsid w:val="6D4D75F2"/>
    <w:rsid w:val="6DDF3A15"/>
    <w:rsid w:val="6DF25480"/>
    <w:rsid w:val="6DF57072"/>
    <w:rsid w:val="6E275B54"/>
    <w:rsid w:val="6F8A51C7"/>
    <w:rsid w:val="6FC62C21"/>
    <w:rsid w:val="6FE06545"/>
    <w:rsid w:val="70557365"/>
    <w:rsid w:val="70A06B1A"/>
    <w:rsid w:val="70C04097"/>
    <w:rsid w:val="70FF1FB5"/>
    <w:rsid w:val="71A83818"/>
    <w:rsid w:val="71F53401"/>
    <w:rsid w:val="72B92C0D"/>
    <w:rsid w:val="72C415F0"/>
    <w:rsid w:val="72F97A65"/>
    <w:rsid w:val="731D60CC"/>
    <w:rsid w:val="734D50D9"/>
    <w:rsid w:val="73B057E9"/>
    <w:rsid w:val="73DD7494"/>
    <w:rsid w:val="74714964"/>
    <w:rsid w:val="74DE5F6D"/>
    <w:rsid w:val="754775F1"/>
    <w:rsid w:val="75587EE6"/>
    <w:rsid w:val="75AC4804"/>
    <w:rsid w:val="76280ABF"/>
    <w:rsid w:val="763639DD"/>
    <w:rsid w:val="767328A5"/>
    <w:rsid w:val="769024C5"/>
    <w:rsid w:val="76F43F8E"/>
    <w:rsid w:val="77C8615C"/>
    <w:rsid w:val="785E75C1"/>
    <w:rsid w:val="78617D41"/>
    <w:rsid w:val="788953E4"/>
    <w:rsid w:val="78B9161D"/>
    <w:rsid w:val="78D36DE8"/>
    <w:rsid w:val="78E94215"/>
    <w:rsid w:val="792910CF"/>
    <w:rsid w:val="79404F19"/>
    <w:rsid w:val="79425135"/>
    <w:rsid w:val="7999298D"/>
    <w:rsid w:val="7A0C3E02"/>
    <w:rsid w:val="7A183AEF"/>
    <w:rsid w:val="7A7E12F3"/>
    <w:rsid w:val="7AB11CCE"/>
    <w:rsid w:val="7AE53FCA"/>
    <w:rsid w:val="7B413143"/>
    <w:rsid w:val="7B943C00"/>
    <w:rsid w:val="7BCA0824"/>
    <w:rsid w:val="7BCE7035"/>
    <w:rsid w:val="7C280EA0"/>
    <w:rsid w:val="7C3F1B77"/>
    <w:rsid w:val="7C6B0520"/>
    <w:rsid w:val="7C7422A2"/>
    <w:rsid w:val="7C7A0297"/>
    <w:rsid w:val="7CEC1490"/>
    <w:rsid w:val="7D671E68"/>
    <w:rsid w:val="7D7D3AEB"/>
    <w:rsid w:val="7D8F1AD4"/>
    <w:rsid w:val="7DB35C2D"/>
    <w:rsid w:val="7EAA40ED"/>
    <w:rsid w:val="7EF178A5"/>
    <w:rsid w:val="7F390D88"/>
    <w:rsid w:val="7F691F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9"/>
    <w:autoRedefine/>
    <w:qFormat/>
    <w:uiPriority w:val="0"/>
    <w:pPr>
      <w:spacing w:before="0" w:beforeAutospacing="1" w:after="0" w:afterAutospacing="1"/>
      <w:jc w:val="center"/>
      <w:outlineLvl w:val="0"/>
    </w:pPr>
    <w:rPr>
      <w:rFonts w:hint="eastAsia" w:ascii="宋体" w:hAnsi="宋体" w:eastAsia="宋体" w:cs="宋体"/>
      <w:b/>
      <w:bCs/>
      <w:kern w:val="44"/>
      <w:sz w:val="44"/>
      <w:szCs w:val="48"/>
      <w:lang w:bidi="ar"/>
    </w:rPr>
  </w:style>
  <w:style w:type="paragraph" w:styleId="3">
    <w:name w:val="heading 2"/>
    <w:basedOn w:val="1"/>
    <w:next w:val="1"/>
    <w:link w:val="21"/>
    <w:autoRedefine/>
    <w:semiHidden/>
    <w:unhideWhenUsed/>
    <w:qFormat/>
    <w:uiPriority w:val="0"/>
    <w:pPr>
      <w:keepNext/>
      <w:keepLines/>
      <w:spacing w:line="360" w:lineRule="auto"/>
      <w:outlineLvl w:val="1"/>
    </w:pPr>
    <w:rPr>
      <w:rFonts w:ascii="Arial" w:hAnsi="Arial" w:eastAsia="宋体"/>
      <w:b/>
      <w:bCs/>
      <w:sz w:val="24"/>
      <w:szCs w:val="32"/>
    </w:rPr>
  </w:style>
  <w:style w:type="paragraph" w:styleId="4">
    <w:name w:val="heading 3"/>
    <w:basedOn w:val="1"/>
    <w:next w:val="1"/>
    <w:link w:val="20"/>
    <w:semiHidden/>
    <w:unhideWhenUsed/>
    <w:qFormat/>
    <w:uiPriority w:val="0"/>
    <w:pPr>
      <w:keepNext/>
      <w:keepLines/>
      <w:spacing w:line="240" w:lineRule="auto"/>
      <w:outlineLvl w:val="2"/>
    </w:pPr>
    <w:rPr>
      <w:rFonts w:ascii="Calibri" w:hAnsi="Calibri" w:eastAsia="宋体"/>
      <w:b/>
      <w:bCs/>
      <w:sz w:val="21"/>
      <w:szCs w:val="32"/>
    </w:rPr>
  </w:style>
  <w:style w:type="paragraph" w:styleId="5">
    <w:name w:val="heading 4"/>
    <w:basedOn w:val="1"/>
    <w:next w:val="1"/>
    <w:link w:val="22"/>
    <w:autoRedefine/>
    <w:semiHidden/>
    <w:unhideWhenUsed/>
    <w:qFormat/>
    <w:uiPriority w:val="0"/>
    <w:pPr>
      <w:keepNext/>
      <w:keepLines/>
      <w:spacing w:line="360" w:lineRule="auto"/>
      <w:ind w:firstLine="0" w:firstLineChars="0"/>
      <w:jc w:val="center"/>
      <w:outlineLvl w:val="3"/>
    </w:pPr>
    <w:rPr>
      <w:rFonts w:asciiTheme="majorAscii" w:hAnsiTheme="majorAscii" w:cstheme="majorBidi"/>
      <w:b/>
      <w:bCs/>
      <w:sz w:val="30"/>
      <w:szCs w:val="28"/>
    </w:rPr>
  </w:style>
  <w:style w:type="paragraph" w:styleId="6">
    <w:name w:val="heading 5"/>
    <w:basedOn w:val="1"/>
    <w:next w:val="1"/>
    <w:autoRedefine/>
    <w:semiHidden/>
    <w:unhideWhenUsed/>
    <w:qFormat/>
    <w:uiPriority w:val="0"/>
    <w:pPr>
      <w:keepNext/>
      <w:keepLines/>
      <w:spacing w:beforeLines="0" w:beforeAutospacing="0" w:afterLines="0" w:afterAutospacing="0" w:line="360" w:lineRule="auto"/>
      <w:ind w:firstLine="0" w:firstLineChars="0"/>
      <w:jc w:val="center"/>
      <w:outlineLvl w:val="4"/>
    </w:pPr>
    <w:rPr>
      <w:rFonts w:ascii="Times New Roman" w:hAnsi="Times New Roman" w:eastAsia="宋体" w:cs="Times New Roman"/>
      <w:b/>
      <w:sz w:val="24"/>
    </w:rPr>
  </w:style>
  <w:style w:type="character" w:default="1" w:styleId="18">
    <w:name w:val="Default Paragraph Font"/>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7">
    <w:name w:val="Normal Indent"/>
    <w:basedOn w:val="1"/>
    <w:autoRedefine/>
    <w:qFormat/>
    <w:uiPriority w:val="0"/>
    <w:pPr>
      <w:ind w:firstLine="420" w:firstLineChars="200"/>
    </w:pPr>
  </w:style>
  <w:style w:type="paragraph" w:styleId="8">
    <w:name w:val="Body Text"/>
    <w:basedOn w:val="1"/>
    <w:next w:val="9"/>
    <w:autoRedefine/>
    <w:qFormat/>
    <w:uiPriority w:val="0"/>
    <w:pPr>
      <w:spacing w:after="120"/>
    </w:pPr>
    <w:rPr>
      <w:rFonts w:ascii="Calibri" w:hAnsi="Calibri" w:eastAsia="宋体"/>
    </w:rPr>
  </w:style>
  <w:style w:type="paragraph" w:styleId="9">
    <w:name w:val="Plain Text"/>
    <w:basedOn w:val="1"/>
    <w:autoRedefine/>
    <w:qFormat/>
    <w:uiPriority w:val="0"/>
    <w:rPr>
      <w:rFonts w:ascii="宋体" w:hAnsi="Courier New"/>
    </w:rPr>
  </w:style>
  <w:style w:type="paragraph" w:styleId="10">
    <w:name w:val="Body Text Indent"/>
    <w:basedOn w:val="1"/>
    <w:autoRedefine/>
    <w:qFormat/>
    <w:uiPriority w:val="0"/>
    <w:pPr>
      <w:spacing w:after="120" w:afterLines="0" w:afterAutospacing="0"/>
      <w:ind w:left="420" w:leftChars="200"/>
    </w:pPr>
  </w:style>
  <w:style w:type="paragraph" w:styleId="11">
    <w:name w:val="Block Text"/>
    <w:basedOn w:val="1"/>
    <w:qFormat/>
    <w:uiPriority w:val="0"/>
    <w:pPr>
      <w:spacing w:after="120" w:afterLines="0" w:afterAutospacing="0"/>
      <w:ind w:left="1440" w:leftChars="700" w:rightChars="700"/>
    </w:p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rPr>
      <w:sz w:val="28"/>
    </w:rPr>
  </w:style>
  <w:style w:type="paragraph" w:styleId="14">
    <w:name w:val="Title"/>
    <w:basedOn w:val="1"/>
    <w:autoRedefine/>
    <w:qFormat/>
    <w:uiPriority w:val="0"/>
    <w:pPr>
      <w:spacing w:before="240" w:beforeLines="0" w:beforeAutospacing="0" w:after="60" w:afterLines="0" w:afterAutospacing="0"/>
      <w:jc w:val="center"/>
      <w:outlineLvl w:val="0"/>
    </w:pPr>
    <w:rPr>
      <w:rFonts w:ascii="Arial" w:hAnsi="Arial"/>
      <w:b/>
      <w:sz w:val="32"/>
    </w:rPr>
  </w:style>
  <w:style w:type="paragraph" w:styleId="15">
    <w:name w:val="Body Text First Indent"/>
    <w:basedOn w:val="8"/>
    <w:autoRedefine/>
    <w:qFormat/>
    <w:uiPriority w:val="0"/>
    <w:pPr>
      <w:ind w:firstLine="420" w:firstLineChars="100"/>
    </w:pPr>
  </w:style>
  <w:style w:type="paragraph" w:styleId="16">
    <w:name w:val="Body Text First Indent 2"/>
    <w:basedOn w:val="10"/>
    <w:autoRedefine/>
    <w:qFormat/>
    <w:uiPriority w:val="0"/>
    <w:pPr>
      <w:ind w:firstLine="420" w:firstLineChars="200"/>
    </w:pPr>
  </w:style>
  <w:style w:type="character" w:customStyle="1" w:styleId="19">
    <w:name w:val="标题 1 Char"/>
    <w:link w:val="2"/>
    <w:autoRedefine/>
    <w:qFormat/>
    <w:uiPriority w:val="0"/>
    <w:rPr>
      <w:rFonts w:ascii="宋体" w:hAnsi="宋体" w:eastAsia="宋体" w:cs="宋体"/>
      <w:b/>
      <w:bCs/>
      <w:kern w:val="44"/>
      <w:sz w:val="44"/>
      <w:szCs w:val="24"/>
      <w:lang w:val="en-US" w:eastAsia="zh-CN" w:bidi="ar-SA"/>
    </w:rPr>
  </w:style>
  <w:style w:type="character" w:customStyle="1" w:styleId="20">
    <w:name w:val="标题 3 Char"/>
    <w:link w:val="4"/>
    <w:autoRedefine/>
    <w:qFormat/>
    <w:uiPriority w:val="0"/>
    <w:rPr>
      <w:rFonts w:ascii="Calibri" w:hAnsi="Calibri" w:eastAsia="宋体" w:cs="宋体"/>
      <w:b/>
      <w:bCs/>
      <w:sz w:val="21"/>
      <w:szCs w:val="32"/>
    </w:rPr>
  </w:style>
  <w:style w:type="character" w:customStyle="1" w:styleId="21">
    <w:name w:val="标题 2 Char"/>
    <w:link w:val="3"/>
    <w:autoRedefine/>
    <w:qFormat/>
    <w:locked/>
    <w:uiPriority w:val="99"/>
    <w:rPr>
      <w:rFonts w:ascii="Arial" w:hAnsi="Arial" w:eastAsia="宋体" w:cs="宋体"/>
      <w:b/>
      <w:bCs/>
      <w:sz w:val="24"/>
      <w:szCs w:val="32"/>
    </w:rPr>
  </w:style>
  <w:style w:type="character" w:customStyle="1" w:styleId="22">
    <w:name w:val="标题 4 Char"/>
    <w:link w:val="5"/>
    <w:autoRedefine/>
    <w:qFormat/>
    <w:uiPriority w:val="0"/>
    <w:rPr>
      <w:rFonts w:ascii="Times New Roman" w:hAnsi="Times New Roman" w:eastAsia="宋体" w:cs="Times New Roman"/>
      <w:b/>
      <w:bCs/>
      <w:color w:val="000000"/>
      <w:sz w:val="30"/>
      <w:szCs w:val="22"/>
    </w:rPr>
  </w:style>
  <w:style w:type="character" w:customStyle="1" w:styleId="23">
    <w:name w:val="NormalCharacter"/>
    <w:link w:val="1"/>
    <w:autoRedefine/>
    <w:qFormat/>
    <w:uiPriority w:val="0"/>
    <w:rPr>
      <w:rFonts w:ascii="Times New Roman" w:hAnsi="Times New Roman" w:eastAsia="宋体" w:cs="Times New Roman"/>
      <w:snapToGrid w:val="0"/>
      <w:color w:val="000000"/>
      <w:kern w:val="0"/>
      <w:sz w:val="28"/>
      <w:szCs w:val="21"/>
    </w:rPr>
  </w:style>
  <w:style w:type="paragraph" w:customStyle="1" w:styleId="24">
    <w:name w:val="标题 2_0"/>
    <w:next w:val="25"/>
    <w:qFormat/>
    <w:uiPriority w:val="0"/>
    <w:pPr>
      <w:keepNext/>
      <w:keepLines/>
      <w:widowControl w:val="0"/>
      <w:spacing w:line="360" w:lineRule="auto"/>
      <w:jc w:val="both"/>
      <w:outlineLvl w:val="1"/>
    </w:pPr>
    <w:rPr>
      <w:rFonts w:ascii="Arial" w:hAnsi="Arial" w:eastAsia="宋体" w:cs="Times New Roman"/>
      <w:b/>
      <w:bCs/>
      <w:kern w:val="2"/>
      <w:sz w:val="24"/>
      <w:szCs w:val="32"/>
      <w:lang w:val="en-US" w:eastAsia="zh-CN" w:bidi="ar-SA"/>
    </w:rPr>
  </w:style>
  <w:style w:type="paragraph" w:customStyle="1" w:styleId="25">
    <w:name w:val="正文_0"/>
    <w:next w:val="26"/>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
    <w:name w:val="正文文本_0"/>
    <w:next w:val="27"/>
    <w:qFormat/>
    <w:uiPriority w:val="0"/>
    <w:pPr>
      <w:widowControl w:val="0"/>
      <w:spacing w:after="120"/>
      <w:jc w:val="both"/>
    </w:pPr>
    <w:rPr>
      <w:rFonts w:ascii="Times New Roman" w:hAnsi="Times New Roman" w:eastAsia="宋体" w:cs="Times New Roman"/>
      <w:kern w:val="2"/>
      <w:sz w:val="21"/>
      <w:szCs w:val="22"/>
      <w:lang w:val="en-US" w:eastAsia="zh-CN" w:bidi="ar-SA"/>
    </w:rPr>
  </w:style>
  <w:style w:type="paragraph" w:customStyle="1" w:styleId="27">
    <w:name w:val="Default_0"/>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8">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
    <w:name w:val="List Paragraph"/>
    <w:qFormat/>
    <w:uiPriority w:val="0"/>
    <w:pPr>
      <w:widowControl w:val="0"/>
      <w:ind w:firstLine="420" w:firstLineChars="200"/>
      <w:jc w:val="both"/>
    </w:pPr>
    <w:rPr>
      <w:rFonts w:ascii="Times New Roman" w:hAnsi="Times New Roman" w:eastAsia="宋体" w:cs="Times New Roman"/>
      <w:kern w:val="0"/>
      <w:sz w:val="20"/>
      <w:szCs w:val="24"/>
      <w:lang w:val="en-US" w:eastAsia="zh-CN" w:bidi="ar-SA"/>
    </w:rPr>
  </w:style>
  <w:style w:type="paragraph" w:customStyle="1" w:styleId="30">
    <w:name w:val="正文文本_1"/>
    <w:qFormat/>
    <w:uiPriority w:val="0"/>
    <w:pPr>
      <w:widowControl w:val="0"/>
      <w:spacing w:after="120"/>
      <w:jc w:val="both"/>
    </w:pPr>
    <w:rPr>
      <w:rFonts w:ascii="Times New Roman" w:hAnsi="Times New Roman" w:eastAsia="宋体" w:cs="Times New Roman"/>
      <w:kern w:val="0"/>
      <w:sz w:val="20"/>
      <w:szCs w:val="24"/>
      <w:lang w:val="en-US" w:eastAsia="zh-CN" w:bidi="ar-SA"/>
    </w:rPr>
  </w:style>
  <w:style w:type="paragraph" w:customStyle="1" w:styleId="31">
    <w:name w:val="正文_1"/>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2025-08-07T07:51:00Z</dcterms:created>
  <dc:creator>adm</dc:creator>
  <cp:lastModifiedBy>adm</cp:lastModifiedBy>
  <dcterms:modified xsi:type="dcterms:W3CDTF">2025-08-07T07:51:43Z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7F615A7A2A11427BB7EE90339BCC69DB_11</vt:lpwstr>
  </property>
  <property fmtid="{D5CDD505-2E9C-101B-9397-08002B2CF9AE}" pid="4" name="KSOTemplateDocerSaveRecord">
    <vt:lpwstr>eyJoZGlkIjoiM2Y2YTlhNzYzYmIwNTRjMGEyZWZiODIxYWY3N2U5MDciLCJ1c2VySWQiOiIzMDUwMjU3ODMifQ==</vt:lpwstr>
  </property>
</Properties>
</file>